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5E2C6" w14:textId="63E8B03C" w:rsidR="009A1275" w:rsidRDefault="009A1275" w:rsidP="00B243B6">
      <w:pPr>
        <w:rPr>
          <w:lang w:eastAsia="es-ES"/>
        </w:rPr>
      </w:pPr>
    </w:p>
    <w:p w14:paraId="70BDE262" w14:textId="3FA2BBB8" w:rsidR="000A5FE8" w:rsidRDefault="000A5FE8" w:rsidP="00B243B6">
      <w:pPr>
        <w:rPr>
          <w:lang w:eastAsia="es-ES"/>
        </w:rPr>
      </w:pPr>
    </w:p>
    <w:p w14:paraId="61084DE5" w14:textId="16A1320B" w:rsidR="000A5FE8" w:rsidRDefault="000A5FE8" w:rsidP="00B243B6">
      <w:pPr>
        <w:rPr>
          <w:lang w:eastAsia="es-ES"/>
        </w:rPr>
      </w:pPr>
    </w:p>
    <w:p w14:paraId="4109A065" w14:textId="77777777" w:rsidR="000A5FE8" w:rsidRPr="001B5E2B" w:rsidRDefault="000A5FE8" w:rsidP="00B243B6">
      <w:pPr>
        <w:rPr>
          <w:lang w:eastAsia="es-ES"/>
        </w:rPr>
      </w:pPr>
    </w:p>
    <w:p w14:paraId="6DDA99E8" w14:textId="77777777" w:rsidR="009A1275" w:rsidRPr="001B5E2B" w:rsidRDefault="009A1275" w:rsidP="00B243B6">
      <w:pPr>
        <w:rPr>
          <w:lang w:eastAsia="es-ES"/>
        </w:rPr>
      </w:pPr>
    </w:p>
    <w:p w14:paraId="52C65C83" w14:textId="77777777" w:rsidR="00B86B2C" w:rsidRPr="001B5E2B" w:rsidRDefault="00B86B2C" w:rsidP="00B243B6">
      <w:pPr>
        <w:rPr>
          <w:lang w:eastAsia="es-ES"/>
        </w:rPr>
      </w:pPr>
    </w:p>
    <w:p w14:paraId="38478EAA" w14:textId="77777777" w:rsidR="00A738F4" w:rsidRPr="001B5E2B" w:rsidRDefault="00A738F4" w:rsidP="00B243B6">
      <w:pPr>
        <w:pStyle w:val="Ttulo"/>
        <w:outlineLvl w:val="9"/>
        <w:rPr>
          <w:lang w:val="en-US"/>
        </w:rPr>
      </w:pPr>
    </w:p>
    <w:p w14:paraId="1976CC1B" w14:textId="77777777" w:rsidR="00A738F4" w:rsidRPr="001B5E2B" w:rsidRDefault="00A738F4" w:rsidP="00B243B6">
      <w:pPr>
        <w:pStyle w:val="Ttulo"/>
        <w:outlineLvl w:val="9"/>
        <w:rPr>
          <w:lang w:val="en-US"/>
        </w:rPr>
      </w:pPr>
    </w:p>
    <w:p w14:paraId="7D80F069" w14:textId="77777777" w:rsidR="00A738F4" w:rsidRPr="001B5E2B" w:rsidRDefault="00A738F4" w:rsidP="00B243B6">
      <w:pPr>
        <w:jc w:val="center"/>
      </w:pPr>
    </w:p>
    <w:p w14:paraId="5693ECB8" w14:textId="1BF7286D" w:rsidR="00CA6FB1" w:rsidRPr="00300A27" w:rsidRDefault="005B1C65" w:rsidP="00B243B6">
      <w:pPr>
        <w:jc w:val="center"/>
        <w:rPr>
          <w:b/>
        </w:rPr>
      </w:pPr>
      <w:r w:rsidRPr="00300A27">
        <w:rPr>
          <w:b/>
        </w:rPr>
        <w:t>INTER-AMERICAN COURT OF HUMAN RIGHTS</w:t>
      </w:r>
    </w:p>
    <w:p w14:paraId="03ED435C" w14:textId="77777777" w:rsidR="00CA6FB1" w:rsidRPr="00300A27" w:rsidRDefault="00CA6FB1" w:rsidP="00B243B6">
      <w:pPr>
        <w:jc w:val="center"/>
        <w:rPr>
          <w:b/>
          <w:bCs/>
          <w:szCs w:val="20"/>
        </w:rPr>
      </w:pPr>
    </w:p>
    <w:p w14:paraId="403DE535" w14:textId="62363AE9" w:rsidR="00CA6FB1" w:rsidRPr="00300A27" w:rsidRDefault="00CA6FB1" w:rsidP="00B243B6">
      <w:pPr>
        <w:jc w:val="center"/>
        <w:rPr>
          <w:b/>
          <w:bCs/>
          <w:szCs w:val="20"/>
        </w:rPr>
      </w:pPr>
      <w:r w:rsidRPr="00300A27">
        <w:rPr>
          <w:b/>
          <w:bCs/>
          <w:szCs w:val="20"/>
        </w:rPr>
        <w:t>CAS</w:t>
      </w:r>
      <w:r w:rsidR="005B1C65" w:rsidRPr="00300A27">
        <w:rPr>
          <w:b/>
          <w:bCs/>
          <w:szCs w:val="20"/>
        </w:rPr>
        <w:t>E OF</w:t>
      </w:r>
      <w:r w:rsidRPr="00300A27">
        <w:rPr>
          <w:b/>
          <w:bCs/>
          <w:szCs w:val="20"/>
        </w:rPr>
        <w:t xml:space="preserve"> </w:t>
      </w:r>
      <w:r w:rsidR="00453AF7" w:rsidRPr="00300A27">
        <w:rPr>
          <w:b/>
          <w:bCs/>
          <w:szCs w:val="20"/>
        </w:rPr>
        <w:t xml:space="preserve">AZUL </w:t>
      </w:r>
      <w:r w:rsidRPr="00300A27">
        <w:rPr>
          <w:b/>
          <w:bCs/>
          <w:szCs w:val="20"/>
        </w:rPr>
        <w:t xml:space="preserve">ROJAS MARÍN </w:t>
      </w:r>
      <w:r w:rsidR="005B1C65" w:rsidRPr="00300A27">
        <w:rPr>
          <w:b/>
          <w:bCs/>
          <w:i/>
          <w:iCs/>
          <w:szCs w:val="20"/>
        </w:rPr>
        <w:t>ET AL. V.</w:t>
      </w:r>
      <w:r w:rsidR="005B1C65" w:rsidRPr="00300A27">
        <w:rPr>
          <w:b/>
          <w:bCs/>
          <w:szCs w:val="20"/>
        </w:rPr>
        <w:t xml:space="preserve"> PERU</w:t>
      </w:r>
    </w:p>
    <w:p w14:paraId="218EF25B" w14:textId="77777777" w:rsidR="00CA6FB1" w:rsidRPr="00300A27" w:rsidRDefault="00CA6FB1" w:rsidP="00B243B6">
      <w:pPr>
        <w:jc w:val="center"/>
        <w:rPr>
          <w:b/>
          <w:szCs w:val="20"/>
        </w:rPr>
      </w:pPr>
    </w:p>
    <w:p w14:paraId="03F44735" w14:textId="5D291ACA" w:rsidR="00CA6FB1" w:rsidRPr="00300A27" w:rsidRDefault="005B1C65" w:rsidP="00B243B6">
      <w:pPr>
        <w:jc w:val="center"/>
        <w:rPr>
          <w:b/>
          <w:szCs w:val="20"/>
        </w:rPr>
      </w:pPr>
      <w:bookmarkStart w:id="0" w:name="_Toc424833992"/>
      <w:bookmarkStart w:id="1" w:name="_Toc424834593"/>
      <w:bookmarkStart w:id="2" w:name="_Toc424834676"/>
      <w:bookmarkStart w:id="3" w:name="_Toc424834743"/>
      <w:r w:rsidRPr="00300A27">
        <w:rPr>
          <w:b/>
          <w:szCs w:val="20"/>
        </w:rPr>
        <w:t>JUDGMENT OF</w:t>
      </w:r>
      <w:r w:rsidR="00CA6FB1" w:rsidRPr="00300A27">
        <w:rPr>
          <w:b/>
          <w:szCs w:val="20"/>
        </w:rPr>
        <w:t xml:space="preserve"> </w:t>
      </w:r>
      <w:r w:rsidRPr="00300A27">
        <w:rPr>
          <w:b/>
          <w:szCs w:val="20"/>
        </w:rPr>
        <w:t>MARCH 12,</w:t>
      </w:r>
      <w:r w:rsidR="00CA6FB1" w:rsidRPr="00300A27">
        <w:rPr>
          <w:b/>
          <w:szCs w:val="20"/>
        </w:rPr>
        <w:t xml:space="preserve"> </w:t>
      </w:r>
      <w:bookmarkEnd w:id="0"/>
      <w:bookmarkEnd w:id="1"/>
      <w:bookmarkEnd w:id="2"/>
      <w:bookmarkEnd w:id="3"/>
      <w:r w:rsidR="00D05680" w:rsidRPr="00300A27">
        <w:rPr>
          <w:b/>
          <w:szCs w:val="20"/>
        </w:rPr>
        <w:t>2020</w:t>
      </w:r>
    </w:p>
    <w:p w14:paraId="4D5C6DEE" w14:textId="77777777" w:rsidR="00CA6FB1" w:rsidRPr="00300A27" w:rsidRDefault="00CA6FB1" w:rsidP="00B243B6">
      <w:pPr>
        <w:jc w:val="center"/>
        <w:rPr>
          <w:szCs w:val="20"/>
        </w:rPr>
      </w:pPr>
    </w:p>
    <w:p w14:paraId="6DF22DB5" w14:textId="59BC215E" w:rsidR="00CA6FB1" w:rsidRPr="00300A27" w:rsidRDefault="00CA6FB1" w:rsidP="00B243B6">
      <w:pPr>
        <w:jc w:val="center"/>
        <w:rPr>
          <w:b/>
          <w:szCs w:val="20"/>
        </w:rPr>
      </w:pPr>
      <w:bookmarkStart w:id="4" w:name="_Toc424833993"/>
      <w:bookmarkStart w:id="5" w:name="_Toc424834594"/>
      <w:bookmarkStart w:id="6" w:name="_Toc424834677"/>
      <w:bookmarkStart w:id="7" w:name="_Toc424834744"/>
      <w:r w:rsidRPr="00300A27">
        <w:rPr>
          <w:b/>
          <w:szCs w:val="20"/>
        </w:rPr>
        <w:t>(</w:t>
      </w:r>
      <w:r w:rsidR="005B1C65" w:rsidRPr="00300A27">
        <w:rPr>
          <w:b/>
          <w:i/>
          <w:szCs w:val="20"/>
        </w:rPr>
        <w:t>Preliminary objections merits, reparations and costs</w:t>
      </w:r>
      <w:r w:rsidRPr="00300A27">
        <w:rPr>
          <w:b/>
          <w:szCs w:val="20"/>
        </w:rPr>
        <w:t>)</w:t>
      </w:r>
      <w:bookmarkEnd w:id="4"/>
      <w:bookmarkEnd w:id="5"/>
      <w:bookmarkEnd w:id="6"/>
      <w:bookmarkEnd w:id="7"/>
    </w:p>
    <w:p w14:paraId="2753FB8B" w14:textId="77777777" w:rsidR="005961C8" w:rsidRPr="00300A27" w:rsidRDefault="005961C8" w:rsidP="00B243B6">
      <w:pPr>
        <w:widowControl w:val="0"/>
        <w:tabs>
          <w:tab w:val="left" w:pos="6932"/>
        </w:tabs>
        <w:adjustRightInd w:val="0"/>
        <w:jc w:val="both"/>
        <w:textAlignment w:val="baseline"/>
        <w:rPr>
          <w:rFonts w:cs="Verdana"/>
          <w:b/>
          <w:bCs/>
          <w:szCs w:val="20"/>
          <w:lang w:eastAsia="es-CR"/>
        </w:rPr>
      </w:pPr>
    </w:p>
    <w:p w14:paraId="1C8B7C5D" w14:textId="77777777" w:rsidR="005961C8" w:rsidRPr="00300A27" w:rsidRDefault="005961C8" w:rsidP="00B243B6">
      <w:pPr>
        <w:widowControl w:val="0"/>
        <w:tabs>
          <w:tab w:val="left" w:pos="6932"/>
        </w:tabs>
        <w:adjustRightInd w:val="0"/>
        <w:jc w:val="both"/>
        <w:textAlignment w:val="baseline"/>
        <w:rPr>
          <w:rFonts w:cs="Verdana"/>
          <w:b/>
          <w:bCs/>
          <w:szCs w:val="20"/>
          <w:lang w:eastAsia="es-CR"/>
        </w:rPr>
      </w:pPr>
    </w:p>
    <w:p w14:paraId="540B80B6" w14:textId="77777777" w:rsidR="005961C8" w:rsidRPr="00300A27" w:rsidRDefault="005961C8" w:rsidP="00B243B6">
      <w:pPr>
        <w:widowControl w:val="0"/>
        <w:tabs>
          <w:tab w:val="left" w:pos="6932"/>
        </w:tabs>
        <w:adjustRightInd w:val="0"/>
        <w:jc w:val="both"/>
        <w:textAlignment w:val="baseline"/>
        <w:rPr>
          <w:rFonts w:cs="Verdana"/>
          <w:b/>
          <w:bCs/>
          <w:szCs w:val="20"/>
          <w:lang w:eastAsia="es-CR"/>
        </w:rPr>
      </w:pPr>
    </w:p>
    <w:p w14:paraId="78EF9DBE" w14:textId="77777777" w:rsidR="008F1BD3" w:rsidRPr="00300A27" w:rsidRDefault="008F1BD3" w:rsidP="00B243B6">
      <w:pPr>
        <w:widowControl w:val="0"/>
        <w:tabs>
          <w:tab w:val="left" w:pos="6932"/>
        </w:tabs>
        <w:adjustRightInd w:val="0"/>
        <w:jc w:val="both"/>
        <w:textAlignment w:val="baseline"/>
        <w:rPr>
          <w:rFonts w:cs="Verdana"/>
          <w:b/>
          <w:bCs/>
          <w:szCs w:val="20"/>
          <w:lang w:eastAsia="es-CR"/>
        </w:rPr>
      </w:pPr>
    </w:p>
    <w:p w14:paraId="7ED06852" w14:textId="1EB74C1C" w:rsidR="00CD0AA7" w:rsidRPr="00300A27" w:rsidRDefault="00CD0AA7" w:rsidP="00B243B6">
      <w:pPr>
        <w:widowControl w:val="0"/>
        <w:tabs>
          <w:tab w:val="left" w:pos="6932"/>
        </w:tabs>
        <w:adjustRightInd w:val="0"/>
        <w:jc w:val="both"/>
        <w:textAlignment w:val="baseline"/>
        <w:rPr>
          <w:rFonts w:cs="Verdana"/>
          <w:b/>
          <w:bCs/>
          <w:szCs w:val="20"/>
          <w:lang w:eastAsia="es-CR"/>
        </w:rPr>
      </w:pPr>
      <w:r w:rsidRPr="00300A27">
        <w:rPr>
          <w:rFonts w:cs="Verdana"/>
          <w:b/>
          <w:bCs/>
          <w:szCs w:val="20"/>
          <w:lang w:eastAsia="es-CR"/>
        </w:rPr>
        <w:tab/>
      </w:r>
    </w:p>
    <w:p w14:paraId="1C3EFD77" w14:textId="77777777" w:rsidR="00CD0AA7" w:rsidRPr="00300A27" w:rsidRDefault="00CD0AA7" w:rsidP="00B243B6">
      <w:pPr>
        <w:widowControl w:val="0"/>
        <w:tabs>
          <w:tab w:val="left" w:pos="567"/>
          <w:tab w:val="left" w:pos="720"/>
        </w:tabs>
        <w:adjustRightInd w:val="0"/>
        <w:jc w:val="both"/>
        <w:textAlignment w:val="baseline"/>
        <w:rPr>
          <w:rFonts w:cs="Verdana"/>
          <w:szCs w:val="20"/>
          <w:lang w:eastAsia="es-CR"/>
        </w:rPr>
      </w:pPr>
    </w:p>
    <w:p w14:paraId="378E7275" w14:textId="54246CD6" w:rsidR="00CD0AA7" w:rsidRPr="00300A27" w:rsidRDefault="005B1C65" w:rsidP="00B243B6">
      <w:pPr>
        <w:widowControl w:val="0"/>
        <w:tabs>
          <w:tab w:val="left" w:pos="567"/>
          <w:tab w:val="left" w:pos="720"/>
        </w:tabs>
        <w:adjustRightInd w:val="0"/>
        <w:ind w:left="567" w:hanging="567"/>
        <w:jc w:val="both"/>
        <w:textAlignment w:val="baseline"/>
        <w:rPr>
          <w:rFonts w:cs="Verdana"/>
          <w:i/>
          <w:iCs/>
          <w:szCs w:val="20"/>
          <w:lang w:eastAsia="es-CR"/>
        </w:rPr>
      </w:pPr>
      <w:r w:rsidRPr="00300A27">
        <w:rPr>
          <w:rFonts w:cs="Verdana"/>
          <w:szCs w:val="20"/>
          <w:lang w:eastAsia="es-CR"/>
        </w:rPr>
        <w:t>In the case of</w:t>
      </w:r>
      <w:r w:rsidR="005B6049" w:rsidRPr="00300A27">
        <w:rPr>
          <w:rFonts w:cs="Verdana"/>
          <w:i/>
          <w:iCs/>
          <w:szCs w:val="20"/>
          <w:lang w:eastAsia="es-CR"/>
        </w:rPr>
        <w:t xml:space="preserve"> Azul Rojas Marín </w:t>
      </w:r>
      <w:r w:rsidRPr="00300A27">
        <w:rPr>
          <w:rFonts w:cs="Verdana"/>
          <w:i/>
          <w:iCs/>
          <w:szCs w:val="20"/>
          <w:lang w:eastAsia="es-CR"/>
        </w:rPr>
        <w:t>et al. v</w:t>
      </w:r>
      <w:r w:rsidR="005B6049" w:rsidRPr="00300A27">
        <w:rPr>
          <w:rFonts w:cs="Verdana"/>
          <w:i/>
          <w:iCs/>
          <w:szCs w:val="20"/>
          <w:lang w:eastAsia="es-CR"/>
        </w:rPr>
        <w:t>. Pe</w:t>
      </w:r>
      <w:r w:rsidRPr="00300A27">
        <w:rPr>
          <w:rFonts w:cs="Verdana"/>
          <w:i/>
          <w:iCs/>
          <w:szCs w:val="20"/>
          <w:lang w:eastAsia="es-CR"/>
        </w:rPr>
        <w:t>ru</w:t>
      </w:r>
      <w:r w:rsidR="00CD0AA7" w:rsidRPr="00300A27">
        <w:rPr>
          <w:rFonts w:cs="Verdana"/>
          <w:i/>
          <w:iCs/>
          <w:szCs w:val="20"/>
          <w:lang w:eastAsia="es-CR"/>
        </w:rPr>
        <w:t xml:space="preserve">, </w:t>
      </w:r>
    </w:p>
    <w:p w14:paraId="6EC9BD21" w14:textId="77777777" w:rsidR="00CD0AA7" w:rsidRPr="00300A27" w:rsidRDefault="00CD0AA7" w:rsidP="00B243B6">
      <w:pPr>
        <w:widowControl w:val="0"/>
        <w:tabs>
          <w:tab w:val="left" w:pos="567"/>
          <w:tab w:val="left" w:pos="720"/>
        </w:tabs>
        <w:adjustRightInd w:val="0"/>
        <w:jc w:val="both"/>
        <w:textAlignment w:val="baseline"/>
        <w:rPr>
          <w:rFonts w:cs="Verdana"/>
          <w:szCs w:val="20"/>
          <w:lang w:eastAsia="es-CR"/>
        </w:rPr>
      </w:pPr>
    </w:p>
    <w:p w14:paraId="4C6997E5" w14:textId="45DA78B3" w:rsidR="00CD0AA7" w:rsidRPr="00300A27" w:rsidRDefault="005B1C65" w:rsidP="00B243B6">
      <w:pPr>
        <w:widowControl w:val="0"/>
        <w:tabs>
          <w:tab w:val="left" w:pos="567"/>
          <w:tab w:val="left" w:pos="720"/>
        </w:tabs>
        <w:adjustRightInd w:val="0"/>
        <w:jc w:val="both"/>
        <w:textAlignment w:val="baseline"/>
        <w:rPr>
          <w:rFonts w:cs="Verdana"/>
          <w:szCs w:val="20"/>
          <w:lang w:eastAsia="es-CR"/>
        </w:rPr>
      </w:pPr>
      <w:r w:rsidRPr="00300A27">
        <w:rPr>
          <w:rFonts w:cs="Verdana"/>
          <w:szCs w:val="20"/>
          <w:lang w:eastAsia="es-CR"/>
        </w:rPr>
        <w:t>the Inter-American Court of Human Rights</w:t>
      </w:r>
      <w:r w:rsidR="00CD0AA7" w:rsidRPr="00300A27">
        <w:rPr>
          <w:rFonts w:cs="Verdana"/>
          <w:szCs w:val="20"/>
          <w:lang w:eastAsia="es-CR"/>
        </w:rPr>
        <w:t xml:space="preserve"> (</w:t>
      </w:r>
      <w:r w:rsidRPr="00300A27">
        <w:rPr>
          <w:rFonts w:cs="Verdana"/>
          <w:szCs w:val="20"/>
          <w:lang w:eastAsia="es-CR"/>
        </w:rPr>
        <w:t>hereinafter</w:t>
      </w:r>
      <w:r w:rsidR="00CD0AA7" w:rsidRPr="00300A27">
        <w:rPr>
          <w:rFonts w:cs="Verdana"/>
          <w:szCs w:val="20"/>
          <w:lang w:eastAsia="es-CR"/>
        </w:rPr>
        <w:t xml:space="preserve"> “</w:t>
      </w:r>
      <w:r w:rsidRPr="00300A27">
        <w:rPr>
          <w:rFonts w:cs="Verdana"/>
          <w:szCs w:val="20"/>
          <w:lang w:eastAsia="es-CR"/>
        </w:rPr>
        <w:t>the Inter-American Court</w:t>
      </w:r>
      <w:r w:rsidR="00CD0AA7" w:rsidRPr="00300A27">
        <w:rPr>
          <w:rFonts w:cs="Verdana"/>
          <w:szCs w:val="20"/>
          <w:lang w:eastAsia="es-CR"/>
        </w:rPr>
        <w:t>”</w:t>
      </w:r>
      <w:r w:rsidRPr="00300A27">
        <w:rPr>
          <w:rFonts w:cs="Verdana"/>
          <w:szCs w:val="20"/>
          <w:lang w:eastAsia="es-CR"/>
        </w:rPr>
        <w:t xml:space="preserve"> or</w:t>
      </w:r>
      <w:r w:rsidR="00CD0AA7" w:rsidRPr="00300A27">
        <w:rPr>
          <w:rFonts w:cs="Verdana"/>
          <w:szCs w:val="20"/>
          <w:lang w:eastAsia="es-CR"/>
        </w:rPr>
        <w:t xml:space="preserve"> “</w:t>
      </w:r>
      <w:r w:rsidRPr="00300A27">
        <w:rPr>
          <w:rFonts w:cs="Verdana"/>
          <w:szCs w:val="20"/>
          <w:lang w:eastAsia="es-CR"/>
        </w:rPr>
        <w:t>the Court</w:t>
      </w:r>
      <w:r w:rsidR="00CD0AA7" w:rsidRPr="00300A27">
        <w:rPr>
          <w:rFonts w:cs="Verdana"/>
          <w:szCs w:val="20"/>
          <w:lang w:eastAsia="es-CR"/>
        </w:rPr>
        <w:t xml:space="preserve">”), </w:t>
      </w:r>
      <w:r w:rsidRPr="00300A27">
        <w:rPr>
          <w:rFonts w:cs="Verdana"/>
          <w:szCs w:val="20"/>
          <w:lang w:eastAsia="es-CR"/>
        </w:rPr>
        <w:t>composed of the following judges:</w:t>
      </w:r>
      <w:r w:rsidR="005B4A55" w:rsidRPr="00300A27">
        <w:rPr>
          <w:rStyle w:val="Refdenotaalpie"/>
          <w:rFonts w:eastAsia="Batang"/>
          <w:noProof/>
        </w:rPr>
        <w:footnoteReference w:customMarkFollows="1" w:id="1"/>
        <w:t>*</w:t>
      </w:r>
    </w:p>
    <w:p w14:paraId="09F4FE3E" w14:textId="77777777" w:rsidR="00CD0AA7" w:rsidRPr="00300A27" w:rsidRDefault="00CD0AA7" w:rsidP="00B243B6">
      <w:pPr>
        <w:pStyle w:val="PrrafodeSentencia"/>
        <w:widowControl w:val="0"/>
        <w:numPr>
          <w:ilvl w:val="0"/>
          <w:numId w:val="0"/>
        </w:numPr>
        <w:tabs>
          <w:tab w:val="left" w:pos="720"/>
        </w:tabs>
        <w:adjustRightInd w:val="0"/>
        <w:textAlignment w:val="baseline"/>
        <w:rPr>
          <w:rFonts w:eastAsia="MS Mincho" w:cs="Verdana"/>
          <w:spacing w:val="0"/>
          <w:szCs w:val="20"/>
          <w:lang w:val="en-US" w:eastAsia="es-CR"/>
        </w:rPr>
      </w:pPr>
    </w:p>
    <w:p w14:paraId="16CA4008" w14:textId="6E748371" w:rsidR="00A113F9" w:rsidRPr="00300A27" w:rsidRDefault="00A113F9" w:rsidP="00B243B6">
      <w:pPr>
        <w:pStyle w:val="citaindirecta"/>
        <w:tabs>
          <w:tab w:val="left" w:pos="567"/>
          <w:tab w:val="left" w:pos="851"/>
        </w:tabs>
        <w:ind w:left="0" w:right="-174"/>
        <w:rPr>
          <w:lang w:val="es-CR"/>
        </w:rPr>
      </w:pPr>
      <w:r w:rsidRPr="00300A27">
        <w:rPr>
          <w:rFonts w:cs="Verdana"/>
          <w:lang w:val="es-CR"/>
        </w:rPr>
        <w:t xml:space="preserve">Elizabeth Odio Benito, </w:t>
      </w:r>
      <w:r w:rsidR="005B1C65" w:rsidRPr="00300A27">
        <w:rPr>
          <w:lang w:val="es-CR"/>
        </w:rPr>
        <w:t>President</w:t>
      </w:r>
    </w:p>
    <w:p w14:paraId="68072C86" w14:textId="5F3B1909" w:rsidR="00A113F9" w:rsidRPr="00300A27" w:rsidRDefault="005E697D" w:rsidP="00B243B6">
      <w:pPr>
        <w:tabs>
          <w:tab w:val="left" w:pos="567"/>
          <w:tab w:val="left" w:pos="720"/>
          <w:tab w:val="left" w:pos="851"/>
        </w:tabs>
        <w:ind w:right="-174"/>
        <w:jc w:val="both"/>
        <w:rPr>
          <w:rFonts w:cs="Verdana"/>
          <w:szCs w:val="20"/>
          <w:lang w:val="es-CR"/>
        </w:rPr>
      </w:pPr>
      <w:r w:rsidRPr="00300A27">
        <w:rPr>
          <w:rFonts w:cs="Verdana"/>
          <w:szCs w:val="20"/>
          <w:lang w:val="es-CR"/>
        </w:rPr>
        <w:t xml:space="preserve">L. </w:t>
      </w:r>
      <w:r w:rsidR="00A113F9" w:rsidRPr="00300A27">
        <w:rPr>
          <w:rFonts w:cs="Verdana"/>
          <w:szCs w:val="20"/>
          <w:lang w:val="es-CR"/>
        </w:rPr>
        <w:t xml:space="preserve">Patricio Pazmiño Freire, </w:t>
      </w:r>
      <w:r w:rsidR="00A113F9" w:rsidRPr="00300A27">
        <w:rPr>
          <w:rFonts w:cs="Verdana"/>
          <w:lang w:val="es-CR"/>
        </w:rPr>
        <w:t>Vice</w:t>
      </w:r>
      <w:r w:rsidR="005B1C65" w:rsidRPr="00300A27">
        <w:rPr>
          <w:rFonts w:cs="Verdana"/>
          <w:lang w:val="es-CR"/>
        </w:rPr>
        <w:t xml:space="preserve"> President</w:t>
      </w:r>
    </w:p>
    <w:p w14:paraId="35EF82CA" w14:textId="06E37639" w:rsidR="00F07320" w:rsidRPr="00300A27" w:rsidRDefault="00F07320" w:rsidP="00B243B6">
      <w:pPr>
        <w:pStyle w:val="citaindirecta"/>
        <w:tabs>
          <w:tab w:val="left" w:pos="567"/>
          <w:tab w:val="left" w:pos="851"/>
          <w:tab w:val="left" w:pos="7213"/>
        </w:tabs>
        <w:ind w:left="0" w:right="-174"/>
        <w:rPr>
          <w:lang w:val="es-CR"/>
        </w:rPr>
      </w:pPr>
      <w:r w:rsidRPr="00300A27">
        <w:rPr>
          <w:lang w:val="es-CR"/>
        </w:rPr>
        <w:t xml:space="preserve">Humberto Antonio Sierra Porto, </w:t>
      </w:r>
      <w:r w:rsidR="005B1C65" w:rsidRPr="00300A27">
        <w:rPr>
          <w:lang w:val="es-CR"/>
        </w:rPr>
        <w:t>Judge</w:t>
      </w:r>
    </w:p>
    <w:p w14:paraId="2A73F4DB" w14:textId="793C4E2D" w:rsidR="00CD0AA7" w:rsidRPr="00300A27" w:rsidRDefault="00394347" w:rsidP="00B243B6">
      <w:pPr>
        <w:pStyle w:val="citaindirecta"/>
        <w:tabs>
          <w:tab w:val="left" w:pos="567"/>
          <w:tab w:val="left" w:pos="851"/>
          <w:tab w:val="left" w:pos="7213"/>
        </w:tabs>
        <w:ind w:left="0" w:right="-174"/>
        <w:rPr>
          <w:lang w:val="es-CR"/>
        </w:rPr>
      </w:pPr>
      <w:r w:rsidRPr="00300A27">
        <w:rPr>
          <w:lang w:val="es-CR"/>
        </w:rPr>
        <w:t xml:space="preserve">Eduardo Ferrer Mac-Gregor Poisot, </w:t>
      </w:r>
      <w:r w:rsidR="005B1C65" w:rsidRPr="00300A27">
        <w:rPr>
          <w:lang w:val="es-CR"/>
        </w:rPr>
        <w:t>Judge</w:t>
      </w:r>
      <w:r w:rsidR="00CD0AA7" w:rsidRPr="00300A27">
        <w:rPr>
          <w:lang w:val="es-CR"/>
        </w:rPr>
        <w:tab/>
      </w:r>
    </w:p>
    <w:p w14:paraId="43D4E278" w14:textId="14390057" w:rsidR="00394347" w:rsidRPr="00300A27" w:rsidRDefault="00394347" w:rsidP="00B243B6">
      <w:pPr>
        <w:pStyle w:val="citaindirecta"/>
        <w:tabs>
          <w:tab w:val="left" w:pos="567"/>
          <w:tab w:val="left" w:pos="851"/>
          <w:tab w:val="left" w:pos="7213"/>
        </w:tabs>
        <w:ind w:left="0" w:right="-174"/>
        <w:rPr>
          <w:lang w:val="en-US"/>
        </w:rPr>
      </w:pPr>
      <w:r w:rsidRPr="00300A27">
        <w:rPr>
          <w:lang w:val="en-US"/>
        </w:rPr>
        <w:t xml:space="preserve">Eugenio Raúl Zaffaroni, </w:t>
      </w:r>
      <w:r w:rsidR="005B1C65" w:rsidRPr="00300A27">
        <w:rPr>
          <w:lang w:val="en-US"/>
        </w:rPr>
        <w:t>Judge</w:t>
      </w:r>
      <w:r w:rsidRPr="00300A27">
        <w:rPr>
          <w:lang w:val="en-US"/>
        </w:rPr>
        <w:t xml:space="preserve">, </w:t>
      </w:r>
      <w:r w:rsidR="005B1C65" w:rsidRPr="00300A27">
        <w:rPr>
          <w:lang w:val="en-US"/>
        </w:rPr>
        <w:t>and</w:t>
      </w:r>
    </w:p>
    <w:p w14:paraId="03CE4DF4" w14:textId="3822510B" w:rsidR="00CD0AA7" w:rsidRPr="00300A27" w:rsidRDefault="00CD0AA7" w:rsidP="00B243B6">
      <w:pPr>
        <w:tabs>
          <w:tab w:val="left" w:pos="567"/>
          <w:tab w:val="left" w:pos="720"/>
          <w:tab w:val="left" w:pos="851"/>
        </w:tabs>
        <w:ind w:right="-174"/>
        <w:jc w:val="both"/>
        <w:rPr>
          <w:rFonts w:cs="Verdana"/>
          <w:szCs w:val="20"/>
        </w:rPr>
      </w:pPr>
      <w:r w:rsidRPr="00300A27">
        <w:rPr>
          <w:szCs w:val="20"/>
        </w:rPr>
        <w:t xml:space="preserve">Ricardo Pérez Manrique, </w:t>
      </w:r>
      <w:r w:rsidR="005B1C65" w:rsidRPr="00300A27">
        <w:rPr>
          <w:szCs w:val="20"/>
        </w:rPr>
        <w:t>Judge</w:t>
      </w:r>
      <w:r w:rsidR="00E979B5" w:rsidRPr="00300A27">
        <w:rPr>
          <w:szCs w:val="20"/>
        </w:rPr>
        <w:t>,</w:t>
      </w:r>
    </w:p>
    <w:p w14:paraId="1C9144B0" w14:textId="77777777" w:rsidR="00CD0AA7" w:rsidRPr="00300A27" w:rsidRDefault="00CD0AA7" w:rsidP="00B243B6">
      <w:pPr>
        <w:widowControl w:val="0"/>
        <w:tabs>
          <w:tab w:val="left" w:pos="567"/>
          <w:tab w:val="left" w:pos="720"/>
        </w:tabs>
        <w:adjustRightInd w:val="0"/>
        <w:jc w:val="both"/>
        <w:textAlignment w:val="baseline"/>
        <w:rPr>
          <w:rFonts w:cs="Verdana"/>
          <w:szCs w:val="20"/>
          <w:lang w:eastAsia="es-CR"/>
        </w:rPr>
      </w:pPr>
    </w:p>
    <w:p w14:paraId="2F267663" w14:textId="5F0B5C3B" w:rsidR="00CD0AA7" w:rsidRPr="00300A27" w:rsidRDefault="005B1C65" w:rsidP="00B243B6">
      <w:pPr>
        <w:pStyle w:val="PrrafodeSentencia"/>
        <w:widowControl w:val="0"/>
        <w:numPr>
          <w:ilvl w:val="0"/>
          <w:numId w:val="0"/>
        </w:numPr>
        <w:tabs>
          <w:tab w:val="left" w:pos="720"/>
        </w:tabs>
        <w:adjustRightInd w:val="0"/>
        <w:textAlignment w:val="baseline"/>
        <w:rPr>
          <w:rFonts w:eastAsia="MS Mincho" w:cs="Verdana"/>
          <w:spacing w:val="0"/>
          <w:szCs w:val="20"/>
          <w:lang w:val="en-US" w:eastAsia="es-CR"/>
        </w:rPr>
      </w:pPr>
      <w:r w:rsidRPr="00300A27">
        <w:rPr>
          <w:rFonts w:eastAsia="MS Mincho" w:cs="Verdana"/>
          <w:spacing w:val="0"/>
          <w:szCs w:val="20"/>
          <w:lang w:val="en-US" w:eastAsia="es-CR"/>
        </w:rPr>
        <w:t>also present</w:t>
      </w:r>
      <w:r w:rsidR="00CD0AA7" w:rsidRPr="00300A27">
        <w:rPr>
          <w:rFonts w:eastAsia="MS Mincho" w:cs="Verdana"/>
          <w:spacing w:val="0"/>
          <w:szCs w:val="20"/>
          <w:lang w:val="en-US" w:eastAsia="es-CR"/>
        </w:rPr>
        <w:t>,</w:t>
      </w:r>
    </w:p>
    <w:p w14:paraId="719881AA" w14:textId="77777777" w:rsidR="00CD0AA7" w:rsidRPr="00300A27" w:rsidRDefault="00CD0AA7" w:rsidP="00B243B6">
      <w:pPr>
        <w:widowControl w:val="0"/>
        <w:tabs>
          <w:tab w:val="left" w:pos="567"/>
          <w:tab w:val="left" w:pos="720"/>
        </w:tabs>
        <w:adjustRightInd w:val="0"/>
        <w:jc w:val="both"/>
        <w:textAlignment w:val="baseline"/>
        <w:rPr>
          <w:rFonts w:cs="Verdana"/>
          <w:szCs w:val="20"/>
          <w:lang w:eastAsia="es-CR"/>
        </w:rPr>
      </w:pPr>
    </w:p>
    <w:p w14:paraId="02B33E76" w14:textId="4C31A342" w:rsidR="00CD0AA7" w:rsidRPr="00300A27" w:rsidRDefault="00CD0AA7" w:rsidP="00B243B6">
      <w:pPr>
        <w:widowControl w:val="0"/>
        <w:tabs>
          <w:tab w:val="left" w:pos="567"/>
          <w:tab w:val="left" w:pos="720"/>
        </w:tabs>
        <w:adjustRightInd w:val="0"/>
        <w:jc w:val="both"/>
        <w:textAlignment w:val="baseline"/>
        <w:rPr>
          <w:rFonts w:cs="Verdana"/>
          <w:szCs w:val="20"/>
          <w:lang w:eastAsia="es-CR"/>
        </w:rPr>
      </w:pPr>
      <w:r w:rsidRPr="00300A27">
        <w:rPr>
          <w:rFonts w:cs="Verdana"/>
          <w:szCs w:val="20"/>
          <w:lang w:eastAsia="es-CR"/>
        </w:rPr>
        <w:t>Pablo Saavedra Alessandri, Secretar</w:t>
      </w:r>
      <w:r w:rsidR="005B1C65" w:rsidRPr="00300A27">
        <w:rPr>
          <w:rFonts w:cs="Verdana"/>
          <w:szCs w:val="20"/>
          <w:lang w:eastAsia="es-CR"/>
        </w:rPr>
        <w:t>y</w:t>
      </w:r>
      <w:r w:rsidRPr="00300A27">
        <w:rPr>
          <w:rFonts w:cs="Verdana"/>
          <w:szCs w:val="20"/>
          <w:lang w:eastAsia="es-CR"/>
        </w:rPr>
        <w:t xml:space="preserve">, </w:t>
      </w:r>
      <w:r w:rsidR="00610AD8" w:rsidRPr="00300A27">
        <w:rPr>
          <w:rFonts w:cs="Verdana"/>
          <w:szCs w:val="20"/>
          <w:lang w:eastAsia="es-CR"/>
        </w:rPr>
        <w:t>and</w:t>
      </w:r>
    </w:p>
    <w:p w14:paraId="47B4340E" w14:textId="5F2F348A" w:rsidR="006B02FE" w:rsidRPr="00300A27" w:rsidRDefault="00BC1492" w:rsidP="00B243B6">
      <w:pPr>
        <w:widowControl w:val="0"/>
        <w:tabs>
          <w:tab w:val="left" w:pos="567"/>
          <w:tab w:val="left" w:pos="720"/>
        </w:tabs>
        <w:adjustRightInd w:val="0"/>
        <w:jc w:val="both"/>
        <w:textAlignment w:val="baseline"/>
        <w:rPr>
          <w:rFonts w:cs="Verdana"/>
          <w:szCs w:val="20"/>
          <w:lang w:eastAsia="es-CR"/>
        </w:rPr>
      </w:pPr>
      <w:r w:rsidRPr="00300A27">
        <w:rPr>
          <w:rFonts w:cs="Verdana"/>
          <w:szCs w:val="20"/>
          <w:lang w:eastAsia="es-CR"/>
        </w:rPr>
        <w:t xml:space="preserve">Romina </w:t>
      </w:r>
      <w:r w:rsidR="00FF5D10" w:rsidRPr="00300A27">
        <w:rPr>
          <w:rFonts w:cs="Verdana"/>
          <w:szCs w:val="20"/>
          <w:lang w:eastAsia="es-CR"/>
        </w:rPr>
        <w:t xml:space="preserve">I. </w:t>
      </w:r>
      <w:r w:rsidRPr="00300A27">
        <w:rPr>
          <w:rFonts w:cs="Verdana"/>
          <w:szCs w:val="20"/>
          <w:lang w:eastAsia="es-CR"/>
        </w:rPr>
        <w:t>Sijniensky</w:t>
      </w:r>
      <w:r w:rsidR="006B02FE" w:rsidRPr="00300A27">
        <w:rPr>
          <w:rFonts w:cs="Verdana"/>
          <w:szCs w:val="20"/>
          <w:lang w:eastAsia="es-CR"/>
        </w:rPr>
        <w:t xml:space="preserve">, </w:t>
      </w:r>
      <w:r w:rsidR="005B1C65" w:rsidRPr="00300A27">
        <w:rPr>
          <w:rFonts w:cs="Verdana"/>
          <w:szCs w:val="20"/>
          <w:lang w:eastAsia="es-CR"/>
        </w:rPr>
        <w:t>Deputy Secretary</w:t>
      </w:r>
      <w:r w:rsidR="006B02FE" w:rsidRPr="00300A27">
        <w:rPr>
          <w:rFonts w:cs="Verdana"/>
          <w:szCs w:val="20"/>
          <w:lang w:eastAsia="es-CR"/>
        </w:rPr>
        <w:t>,</w:t>
      </w:r>
    </w:p>
    <w:p w14:paraId="2F702FC7" w14:textId="77777777" w:rsidR="00CD0AA7" w:rsidRPr="00300A27" w:rsidRDefault="00CD0AA7" w:rsidP="00B243B6">
      <w:pPr>
        <w:widowControl w:val="0"/>
        <w:tabs>
          <w:tab w:val="left" w:pos="567"/>
          <w:tab w:val="left" w:pos="720"/>
        </w:tabs>
        <w:adjustRightInd w:val="0"/>
        <w:jc w:val="both"/>
        <w:textAlignment w:val="baseline"/>
        <w:rPr>
          <w:rFonts w:cs="Verdana"/>
          <w:szCs w:val="20"/>
          <w:lang w:eastAsia="es-CR"/>
        </w:rPr>
      </w:pPr>
    </w:p>
    <w:p w14:paraId="727AA62B" w14:textId="5496150B" w:rsidR="00CA6FB1" w:rsidRPr="00300A27" w:rsidRDefault="005B1C65" w:rsidP="00B243B6">
      <w:pPr>
        <w:pStyle w:val="Textoindependiente1"/>
        <w:tabs>
          <w:tab w:val="left" w:pos="567"/>
          <w:tab w:val="left" w:pos="720"/>
        </w:tabs>
        <w:adjustRightInd w:val="0"/>
        <w:textAlignment w:val="baseline"/>
        <w:rPr>
          <w:rFonts w:ascii="Verdana" w:hAnsi="Verdana" w:cs="Verdana"/>
          <w:lang w:val="en-US" w:eastAsia="es-CR"/>
        </w:rPr>
      </w:pPr>
      <w:r w:rsidRPr="00300A27">
        <w:rPr>
          <w:rFonts w:ascii="Verdana" w:hAnsi="Verdana" w:cs="Verdana"/>
          <w:lang w:val="en-US" w:eastAsia="es-CR"/>
        </w:rPr>
        <w:t>pursuant to</w:t>
      </w:r>
      <w:r w:rsidR="00CD0AA7" w:rsidRPr="00300A27">
        <w:rPr>
          <w:rFonts w:ascii="Verdana" w:hAnsi="Verdana" w:cs="Verdana"/>
          <w:lang w:val="en-US" w:eastAsia="es-CR"/>
        </w:rPr>
        <w:t xml:space="preserve"> </w:t>
      </w:r>
      <w:r w:rsidRPr="00300A27">
        <w:rPr>
          <w:rFonts w:ascii="Verdana" w:hAnsi="Verdana" w:cs="Verdana"/>
          <w:lang w:val="en-US" w:eastAsia="es-CR"/>
        </w:rPr>
        <w:t>Articles</w:t>
      </w:r>
      <w:r w:rsidR="00CD0AA7" w:rsidRPr="00300A27">
        <w:rPr>
          <w:rFonts w:ascii="Verdana" w:hAnsi="Verdana" w:cs="Verdana"/>
          <w:lang w:val="en-US" w:eastAsia="es-CR"/>
        </w:rPr>
        <w:t xml:space="preserve"> 62</w:t>
      </w:r>
      <w:r w:rsidRPr="00300A27">
        <w:rPr>
          <w:rFonts w:ascii="Verdana" w:hAnsi="Verdana" w:cs="Verdana"/>
          <w:lang w:val="en-US" w:eastAsia="es-CR"/>
        </w:rPr>
        <w:t>(</w:t>
      </w:r>
      <w:r w:rsidR="00CD0AA7" w:rsidRPr="00300A27">
        <w:rPr>
          <w:rFonts w:ascii="Verdana" w:hAnsi="Verdana" w:cs="Verdana"/>
          <w:lang w:val="en-US" w:eastAsia="es-CR"/>
        </w:rPr>
        <w:t>3</w:t>
      </w:r>
      <w:r w:rsidRPr="00300A27">
        <w:rPr>
          <w:rFonts w:ascii="Verdana" w:hAnsi="Verdana" w:cs="Verdana"/>
          <w:lang w:val="en-US" w:eastAsia="es-CR"/>
        </w:rPr>
        <w:t xml:space="preserve">) and </w:t>
      </w:r>
      <w:r w:rsidR="00CD0AA7" w:rsidRPr="00300A27">
        <w:rPr>
          <w:rFonts w:ascii="Verdana" w:hAnsi="Verdana" w:cs="Verdana"/>
          <w:lang w:val="en-US" w:eastAsia="es-CR"/>
        </w:rPr>
        <w:t>63</w:t>
      </w:r>
      <w:r w:rsidRPr="00300A27">
        <w:rPr>
          <w:rFonts w:ascii="Verdana" w:hAnsi="Verdana" w:cs="Verdana"/>
          <w:lang w:val="en-US" w:eastAsia="es-CR"/>
        </w:rPr>
        <w:t>(1) of the American Convention on Human Rights</w:t>
      </w:r>
      <w:r w:rsidR="00CD0AA7" w:rsidRPr="00300A27">
        <w:rPr>
          <w:rFonts w:ascii="Verdana" w:hAnsi="Verdana" w:cs="Verdana"/>
          <w:lang w:val="en-US" w:eastAsia="es-CR"/>
        </w:rPr>
        <w:t xml:space="preserve"> (</w:t>
      </w:r>
      <w:r w:rsidRPr="00300A27">
        <w:rPr>
          <w:rFonts w:ascii="Verdana" w:hAnsi="Verdana" w:cs="Verdana"/>
          <w:lang w:val="en-US" w:eastAsia="es-CR"/>
        </w:rPr>
        <w:t>hereinafter</w:t>
      </w:r>
      <w:r w:rsidR="00CD0AA7" w:rsidRPr="00300A27">
        <w:rPr>
          <w:rFonts w:ascii="Verdana" w:hAnsi="Verdana" w:cs="Verdana"/>
          <w:lang w:val="en-US" w:eastAsia="es-CR"/>
        </w:rPr>
        <w:t xml:space="preserve"> “</w:t>
      </w:r>
      <w:r w:rsidRPr="00300A27">
        <w:rPr>
          <w:rFonts w:ascii="Verdana" w:hAnsi="Verdana" w:cs="Verdana"/>
          <w:lang w:val="en-US" w:eastAsia="es-CR"/>
        </w:rPr>
        <w:t>the American Convention</w:t>
      </w:r>
      <w:r w:rsidR="00CD0AA7" w:rsidRPr="00300A27">
        <w:rPr>
          <w:rFonts w:ascii="Verdana" w:hAnsi="Verdana" w:cs="Verdana"/>
          <w:lang w:val="en-US" w:eastAsia="es-CR"/>
        </w:rPr>
        <w:t>” o</w:t>
      </w:r>
      <w:r w:rsidRPr="00300A27">
        <w:rPr>
          <w:rFonts w:ascii="Verdana" w:hAnsi="Verdana" w:cs="Verdana"/>
          <w:lang w:val="en-US" w:eastAsia="es-CR"/>
        </w:rPr>
        <w:t>r</w:t>
      </w:r>
      <w:r w:rsidR="00CD0AA7" w:rsidRPr="00300A27">
        <w:rPr>
          <w:rFonts w:ascii="Verdana" w:hAnsi="Verdana" w:cs="Verdana"/>
          <w:lang w:val="en-US" w:eastAsia="es-CR"/>
        </w:rPr>
        <w:t xml:space="preserve"> “</w:t>
      </w:r>
      <w:r w:rsidRPr="00300A27">
        <w:rPr>
          <w:rFonts w:ascii="Verdana" w:hAnsi="Verdana" w:cs="Verdana"/>
          <w:lang w:val="en-US" w:eastAsia="es-CR"/>
        </w:rPr>
        <w:t>the Convention</w:t>
      </w:r>
      <w:r w:rsidR="00CD0AA7" w:rsidRPr="00300A27">
        <w:rPr>
          <w:rFonts w:ascii="Verdana" w:hAnsi="Verdana" w:cs="Verdana"/>
          <w:lang w:val="en-US" w:eastAsia="es-CR"/>
        </w:rPr>
        <w:t>”)</w:t>
      </w:r>
      <w:r w:rsidRPr="00300A27">
        <w:rPr>
          <w:rFonts w:ascii="Verdana" w:hAnsi="Verdana" w:cs="Verdana"/>
          <w:lang w:val="en-US" w:eastAsia="es-CR"/>
        </w:rPr>
        <w:t xml:space="preserve"> and</w:t>
      </w:r>
      <w:r w:rsidR="00CD0AA7" w:rsidRPr="00300A27">
        <w:rPr>
          <w:rFonts w:ascii="Verdana" w:hAnsi="Verdana" w:cs="Verdana"/>
          <w:lang w:val="en-US" w:eastAsia="es-CR"/>
        </w:rPr>
        <w:t xml:space="preserve"> </w:t>
      </w:r>
      <w:r w:rsidRPr="00300A27">
        <w:rPr>
          <w:rFonts w:ascii="Verdana" w:hAnsi="Verdana" w:cs="Verdana"/>
          <w:lang w:val="en-US" w:eastAsia="es-CR"/>
        </w:rPr>
        <w:t>Articles</w:t>
      </w:r>
      <w:r w:rsidR="00CD0AA7" w:rsidRPr="00300A27">
        <w:rPr>
          <w:rFonts w:ascii="Verdana" w:hAnsi="Verdana" w:cs="Verdana"/>
          <w:lang w:val="en-US" w:eastAsia="es-CR"/>
        </w:rPr>
        <w:t xml:space="preserve"> 31, 32, 42, 65</w:t>
      </w:r>
      <w:r w:rsidRPr="00300A27">
        <w:rPr>
          <w:rFonts w:ascii="Verdana" w:hAnsi="Verdana" w:cs="Verdana"/>
          <w:lang w:val="en-US" w:eastAsia="es-CR"/>
        </w:rPr>
        <w:t xml:space="preserve"> and </w:t>
      </w:r>
      <w:r w:rsidR="00CD0AA7" w:rsidRPr="00300A27">
        <w:rPr>
          <w:rFonts w:ascii="Verdana" w:hAnsi="Verdana" w:cs="Verdana"/>
          <w:lang w:val="en-US" w:eastAsia="es-CR"/>
        </w:rPr>
        <w:t>67</w:t>
      </w:r>
      <w:r w:rsidRPr="00300A27">
        <w:rPr>
          <w:rFonts w:ascii="Verdana" w:hAnsi="Verdana" w:cs="Verdana"/>
          <w:lang w:val="en-US" w:eastAsia="es-CR"/>
        </w:rPr>
        <w:t xml:space="preserve"> of the Rules of Procedure of the Court</w:t>
      </w:r>
      <w:r w:rsidR="00CD0AA7" w:rsidRPr="00300A27">
        <w:rPr>
          <w:rFonts w:ascii="Verdana" w:hAnsi="Verdana" w:cs="Verdana"/>
          <w:lang w:val="en-US" w:eastAsia="es-CR"/>
        </w:rPr>
        <w:t xml:space="preserve"> (</w:t>
      </w:r>
      <w:r w:rsidRPr="00300A27">
        <w:rPr>
          <w:rFonts w:ascii="Verdana" w:hAnsi="Verdana" w:cs="Verdana"/>
          <w:lang w:val="en-US" w:eastAsia="es-CR"/>
        </w:rPr>
        <w:t>hereinafter</w:t>
      </w:r>
      <w:r w:rsidR="00CD0AA7" w:rsidRPr="00300A27">
        <w:rPr>
          <w:rFonts w:ascii="Verdana" w:hAnsi="Verdana" w:cs="Verdana"/>
          <w:lang w:val="en-US" w:eastAsia="es-CR"/>
        </w:rPr>
        <w:t xml:space="preserve"> “</w:t>
      </w:r>
      <w:r w:rsidRPr="00300A27">
        <w:rPr>
          <w:rFonts w:ascii="Verdana" w:hAnsi="Verdana" w:cs="Verdana"/>
          <w:lang w:val="en-US" w:eastAsia="es-CR"/>
        </w:rPr>
        <w:t>the Rules of Procedure</w:t>
      </w:r>
      <w:r w:rsidR="00CD0AA7" w:rsidRPr="00300A27">
        <w:rPr>
          <w:rFonts w:ascii="Verdana" w:hAnsi="Verdana" w:cs="Verdana"/>
          <w:lang w:val="en-US" w:eastAsia="es-CR"/>
        </w:rPr>
        <w:t>” o</w:t>
      </w:r>
      <w:r w:rsidRPr="00300A27">
        <w:rPr>
          <w:rFonts w:ascii="Verdana" w:hAnsi="Verdana" w:cs="Verdana"/>
          <w:lang w:val="en-US" w:eastAsia="es-CR"/>
        </w:rPr>
        <w:t>r</w:t>
      </w:r>
      <w:r w:rsidR="00CD0AA7" w:rsidRPr="00300A27">
        <w:rPr>
          <w:rFonts w:ascii="Verdana" w:hAnsi="Verdana" w:cs="Verdana"/>
          <w:lang w:val="en-US" w:eastAsia="es-CR"/>
        </w:rPr>
        <w:t xml:space="preserve"> “</w:t>
      </w:r>
      <w:r w:rsidRPr="00300A27">
        <w:rPr>
          <w:rFonts w:ascii="Verdana" w:hAnsi="Verdana" w:cs="Verdana"/>
          <w:lang w:val="en-US" w:eastAsia="es-CR"/>
        </w:rPr>
        <w:t>the Court’s Rules of Procedure</w:t>
      </w:r>
      <w:r w:rsidR="00CD0AA7" w:rsidRPr="00300A27">
        <w:rPr>
          <w:rFonts w:ascii="Verdana" w:hAnsi="Verdana" w:cs="Verdana"/>
          <w:lang w:val="en-US" w:eastAsia="es-CR"/>
        </w:rPr>
        <w:t>”), d</w:t>
      </w:r>
      <w:r w:rsidRPr="00300A27">
        <w:rPr>
          <w:rFonts w:ascii="Verdana" w:hAnsi="Verdana" w:cs="Verdana"/>
          <w:lang w:val="en-US" w:eastAsia="es-CR"/>
        </w:rPr>
        <w:t>elivers this judgment structured as follows:</w:t>
      </w:r>
    </w:p>
    <w:p w14:paraId="48D7F10B" w14:textId="69A0DEE9" w:rsidR="005B1C65" w:rsidRPr="00300A27" w:rsidRDefault="005B1C65" w:rsidP="00B243B6">
      <w:pPr>
        <w:pStyle w:val="Textoindependiente1"/>
        <w:tabs>
          <w:tab w:val="left" w:pos="567"/>
          <w:tab w:val="left" w:pos="720"/>
        </w:tabs>
        <w:adjustRightInd w:val="0"/>
        <w:textAlignment w:val="baseline"/>
        <w:rPr>
          <w:rFonts w:ascii="Verdana" w:hAnsi="Verdana" w:cs="Verdana"/>
          <w:lang w:val="en-US" w:eastAsia="es-CR"/>
        </w:rPr>
      </w:pPr>
    </w:p>
    <w:p w14:paraId="5B9470A1" w14:textId="23E14E6A" w:rsidR="005B1C65" w:rsidRPr="00300A27" w:rsidRDefault="005B1C65" w:rsidP="00B243B6">
      <w:pPr>
        <w:pStyle w:val="Textoindependiente1"/>
        <w:tabs>
          <w:tab w:val="left" w:pos="567"/>
          <w:tab w:val="left" w:pos="720"/>
        </w:tabs>
        <w:adjustRightInd w:val="0"/>
        <w:textAlignment w:val="baseline"/>
        <w:rPr>
          <w:rFonts w:ascii="Verdana" w:hAnsi="Verdana" w:cs="Verdana"/>
          <w:lang w:val="en-US" w:eastAsia="es-CR"/>
        </w:rPr>
      </w:pPr>
    </w:p>
    <w:p w14:paraId="1589F74D" w14:textId="2CF1F42D" w:rsidR="005B1C65" w:rsidRPr="00300A27" w:rsidRDefault="005B1C65" w:rsidP="00B243B6">
      <w:pPr>
        <w:spacing w:after="160"/>
        <w:rPr>
          <w:rFonts w:eastAsia="Times New Roman" w:cs="Verdana"/>
          <w:szCs w:val="20"/>
          <w:lang w:eastAsia="es-CR"/>
        </w:rPr>
      </w:pPr>
      <w:r w:rsidRPr="00300A27">
        <w:rPr>
          <w:rFonts w:cs="Verdana"/>
          <w:lang w:eastAsia="es-CR"/>
        </w:rPr>
        <w:br w:type="page"/>
      </w:r>
    </w:p>
    <w:p w14:paraId="59312B2D" w14:textId="77777777" w:rsidR="005B1C65" w:rsidRPr="00300A27" w:rsidRDefault="005B1C65" w:rsidP="00B243B6">
      <w:pPr>
        <w:pStyle w:val="Textoindependiente1"/>
        <w:tabs>
          <w:tab w:val="left" w:pos="567"/>
          <w:tab w:val="left" w:pos="720"/>
        </w:tabs>
        <w:adjustRightInd w:val="0"/>
        <w:textAlignment w:val="baseline"/>
        <w:rPr>
          <w:rFonts w:ascii="Verdana" w:hAnsi="Verdana" w:cs="Verdana"/>
          <w:lang w:val="en-US" w:eastAsia="es-CR"/>
        </w:rPr>
      </w:pPr>
    </w:p>
    <w:bookmarkStart w:id="9" w:name="_Toc4402698" w:displacedByCustomXml="next"/>
    <w:bookmarkStart w:id="10" w:name="_Toc4402937" w:displacedByCustomXml="next"/>
    <w:bookmarkStart w:id="11" w:name="_Toc9511429" w:displacedByCustomXml="next"/>
    <w:bookmarkStart w:id="12" w:name="_Toc32394130" w:displacedByCustomXml="next"/>
    <w:sdt>
      <w:sdtPr>
        <w:rPr>
          <w:rFonts w:ascii="Verdana" w:eastAsia="MS Mincho" w:hAnsi="Verdana" w:cs="Times New Roman"/>
          <w:color w:val="auto"/>
          <w:sz w:val="20"/>
          <w:szCs w:val="20"/>
        </w:rPr>
        <w:id w:val="-2039503175"/>
        <w:docPartObj>
          <w:docPartGallery w:val="Table of Contents"/>
          <w:docPartUnique/>
        </w:docPartObj>
      </w:sdtPr>
      <w:sdtEndPr>
        <w:rPr>
          <w:b/>
          <w:bCs/>
          <w:noProof/>
        </w:rPr>
      </w:sdtEndPr>
      <w:sdtContent>
        <w:p w14:paraId="50983FDE" w14:textId="100B463B" w:rsidR="00D41F3C" w:rsidRPr="00300A27" w:rsidRDefault="00D41F3C" w:rsidP="00B243B6">
          <w:pPr>
            <w:pStyle w:val="TtuloTDC"/>
            <w:tabs>
              <w:tab w:val="left" w:pos="567"/>
            </w:tabs>
            <w:spacing w:before="40" w:line="240" w:lineRule="auto"/>
            <w:jc w:val="center"/>
            <w:rPr>
              <w:rFonts w:ascii="Verdana" w:hAnsi="Verdana"/>
              <w:b/>
              <w:color w:val="auto"/>
              <w:sz w:val="20"/>
              <w:szCs w:val="20"/>
            </w:rPr>
          </w:pPr>
          <w:r w:rsidRPr="00300A27">
            <w:rPr>
              <w:rFonts w:ascii="Verdana" w:hAnsi="Verdana"/>
              <w:b/>
              <w:color w:val="auto"/>
              <w:sz w:val="20"/>
              <w:szCs w:val="20"/>
            </w:rPr>
            <w:t>TABL</w:t>
          </w:r>
          <w:r w:rsidR="00290A46" w:rsidRPr="00300A27">
            <w:rPr>
              <w:rFonts w:ascii="Verdana" w:hAnsi="Verdana"/>
              <w:b/>
              <w:color w:val="auto"/>
              <w:sz w:val="20"/>
              <w:szCs w:val="20"/>
            </w:rPr>
            <w:t>E OF CONTENTS</w:t>
          </w:r>
        </w:p>
        <w:p w14:paraId="54BB465D" w14:textId="77777777" w:rsidR="00632F77" w:rsidRPr="00300A27" w:rsidRDefault="00632F77" w:rsidP="00B243B6"/>
        <w:p w14:paraId="3C0DC21B" w14:textId="172378C0" w:rsidR="00632F77" w:rsidRPr="00300A27" w:rsidRDefault="00D41F3C" w:rsidP="00B243B6">
          <w:pPr>
            <w:pStyle w:val="TDC1"/>
            <w:tabs>
              <w:tab w:val="right" w:pos="9394"/>
            </w:tabs>
            <w:spacing w:before="40" w:after="0"/>
            <w:rPr>
              <w:rFonts w:ascii="Verdana" w:eastAsiaTheme="minorEastAsia" w:hAnsi="Verdana" w:cstheme="minorBidi"/>
              <w:b w:val="0"/>
              <w:bCs w:val="0"/>
              <w:noProof/>
            </w:rPr>
          </w:pPr>
          <w:r w:rsidRPr="00300A27">
            <w:rPr>
              <w:rFonts w:ascii="Verdana" w:hAnsi="Verdana"/>
              <w:noProof/>
            </w:rPr>
            <w:fldChar w:fldCharType="begin"/>
          </w:r>
          <w:r w:rsidRPr="00300A27">
            <w:rPr>
              <w:rFonts w:ascii="Verdana" w:hAnsi="Verdana"/>
              <w:noProof/>
            </w:rPr>
            <w:instrText xml:space="preserve"> TOC \o "1-3" \h \z \u </w:instrText>
          </w:r>
          <w:r w:rsidRPr="00300A27">
            <w:rPr>
              <w:rFonts w:ascii="Verdana" w:hAnsi="Verdana"/>
              <w:noProof/>
            </w:rPr>
            <w:fldChar w:fldCharType="separate"/>
          </w:r>
          <w:hyperlink w:anchor="_Toc36823448" w:history="1">
            <w:r w:rsidR="00632F77" w:rsidRPr="00300A27">
              <w:rPr>
                <w:rStyle w:val="Hipervnculo"/>
                <w:rFonts w:ascii="Verdana" w:hAnsi="Verdana"/>
                <w:noProof/>
              </w:rPr>
              <w:t xml:space="preserve">I </w:t>
            </w:r>
            <w:r w:rsidR="00314B0A" w:rsidRPr="00300A27">
              <w:rPr>
                <w:rStyle w:val="Hipervnculo"/>
                <w:rFonts w:ascii="Verdana" w:hAnsi="Verdana"/>
                <w:noProof/>
              </w:rPr>
              <w:t>INTRODUCTION OF THE CASE AND PURPOSE OF THE DISPUTE</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_Toc36823448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4</w:t>
            </w:r>
            <w:r w:rsidR="00632F77" w:rsidRPr="00300A27">
              <w:rPr>
                <w:rFonts w:ascii="Verdana" w:hAnsi="Verdana"/>
                <w:noProof/>
                <w:webHidden/>
              </w:rPr>
              <w:fldChar w:fldCharType="end"/>
            </w:r>
          </w:hyperlink>
        </w:p>
        <w:p w14:paraId="76DC47BE" w14:textId="121B82A6" w:rsidR="00632F77" w:rsidRPr="00300A27" w:rsidRDefault="00CF4784" w:rsidP="00B243B6">
          <w:pPr>
            <w:pStyle w:val="TDC1"/>
            <w:tabs>
              <w:tab w:val="right" w:pos="9394"/>
            </w:tabs>
            <w:spacing w:before="40" w:after="0"/>
            <w:rPr>
              <w:rFonts w:ascii="Verdana" w:eastAsiaTheme="minorEastAsia" w:hAnsi="Verdana" w:cstheme="minorBidi"/>
              <w:b w:val="0"/>
              <w:bCs w:val="0"/>
              <w:noProof/>
            </w:rPr>
          </w:pPr>
          <w:hyperlink w:anchor="_Toc36823449" w:history="1">
            <w:r w:rsidR="00632F77" w:rsidRPr="00300A27">
              <w:rPr>
                <w:rStyle w:val="Hipervnculo"/>
                <w:rFonts w:ascii="Verdana" w:hAnsi="Verdana"/>
                <w:noProof/>
              </w:rPr>
              <w:t xml:space="preserve">II </w:t>
            </w:r>
            <w:r w:rsidR="007071F6" w:rsidRPr="00300A27">
              <w:rPr>
                <w:rStyle w:val="Hipervnculo"/>
                <w:rFonts w:ascii="Verdana" w:hAnsi="Verdana"/>
                <w:noProof/>
              </w:rPr>
              <w:t>PROCEEDINGS BEFORE THE</w:t>
            </w:r>
            <w:r w:rsidR="005B1C65" w:rsidRPr="00300A27">
              <w:rPr>
                <w:rStyle w:val="Hipervnculo"/>
                <w:rFonts w:ascii="Verdana" w:hAnsi="Verdana"/>
                <w:noProof/>
              </w:rPr>
              <w:t xml:space="preserve"> COURT</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_Toc36823449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5</w:t>
            </w:r>
            <w:r w:rsidR="00632F77" w:rsidRPr="00300A27">
              <w:rPr>
                <w:rFonts w:ascii="Verdana" w:hAnsi="Verdana"/>
                <w:noProof/>
                <w:webHidden/>
              </w:rPr>
              <w:fldChar w:fldCharType="end"/>
            </w:r>
          </w:hyperlink>
        </w:p>
        <w:p w14:paraId="7BB93E3A" w14:textId="7BA7C347" w:rsidR="00632F77" w:rsidRPr="00300A27" w:rsidRDefault="00CF4784" w:rsidP="00B243B6">
          <w:pPr>
            <w:pStyle w:val="TDC1"/>
            <w:tabs>
              <w:tab w:val="right" w:pos="9394"/>
            </w:tabs>
            <w:spacing w:before="40" w:after="0"/>
            <w:rPr>
              <w:rFonts w:ascii="Verdana" w:eastAsiaTheme="minorEastAsia" w:hAnsi="Verdana" w:cstheme="minorBidi"/>
              <w:b w:val="0"/>
              <w:bCs w:val="0"/>
              <w:noProof/>
            </w:rPr>
          </w:pPr>
          <w:hyperlink w:anchor="_Toc36823450" w:history="1">
            <w:r w:rsidR="00632F77" w:rsidRPr="00300A27">
              <w:rPr>
                <w:rStyle w:val="Hipervnculo"/>
                <w:rFonts w:ascii="Verdana" w:hAnsi="Verdana"/>
                <w:noProof/>
              </w:rPr>
              <w:t xml:space="preserve">III </w:t>
            </w:r>
            <w:r w:rsidR="00FD36FD" w:rsidRPr="00300A27">
              <w:rPr>
                <w:rStyle w:val="Hipervnculo"/>
                <w:rFonts w:ascii="Verdana" w:hAnsi="Verdana"/>
                <w:noProof/>
              </w:rPr>
              <w:t>JURISDICTION</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_Toc36823450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7</w:t>
            </w:r>
            <w:r w:rsidR="00632F77" w:rsidRPr="00300A27">
              <w:rPr>
                <w:rFonts w:ascii="Verdana" w:hAnsi="Verdana"/>
                <w:noProof/>
                <w:webHidden/>
              </w:rPr>
              <w:fldChar w:fldCharType="end"/>
            </w:r>
          </w:hyperlink>
        </w:p>
        <w:p w14:paraId="0C95412B" w14:textId="5AE710FE" w:rsidR="00632F77" w:rsidRPr="00300A27" w:rsidRDefault="00CF4784" w:rsidP="00B243B6">
          <w:pPr>
            <w:pStyle w:val="TDC1"/>
            <w:tabs>
              <w:tab w:val="right" w:pos="9394"/>
            </w:tabs>
            <w:spacing w:before="40" w:after="0"/>
            <w:rPr>
              <w:rFonts w:ascii="Verdana" w:eastAsiaTheme="minorEastAsia" w:hAnsi="Verdana" w:cstheme="minorBidi"/>
              <w:b w:val="0"/>
              <w:bCs w:val="0"/>
              <w:noProof/>
            </w:rPr>
          </w:pPr>
          <w:hyperlink w:anchor="_Toc36823451" w:history="1">
            <w:r w:rsidR="00632F77" w:rsidRPr="00300A27">
              <w:rPr>
                <w:rStyle w:val="Hipervnculo"/>
                <w:rFonts w:ascii="Verdana" w:hAnsi="Verdana"/>
                <w:noProof/>
              </w:rPr>
              <w:t xml:space="preserve">IV </w:t>
            </w:r>
            <w:r w:rsidR="00FD36FD" w:rsidRPr="00300A27">
              <w:rPr>
                <w:rStyle w:val="Hipervnculo"/>
                <w:rFonts w:ascii="Verdana" w:hAnsi="Verdana"/>
                <w:noProof/>
              </w:rPr>
              <w:t>PRELIMINARY OBJECTIONS</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_Toc36823451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7</w:t>
            </w:r>
            <w:r w:rsidR="00632F77" w:rsidRPr="00300A27">
              <w:rPr>
                <w:rFonts w:ascii="Verdana" w:hAnsi="Verdana"/>
                <w:noProof/>
                <w:webHidden/>
              </w:rPr>
              <w:fldChar w:fldCharType="end"/>
            </w:r>
          </w:hyperlink>
        </w:p>
        <w:p w14:paraId="54F1B91B" w14:textId="2D296DD0" w:rsidR="00632F77" w:rsidRPr="00300A27" w:rsidRDefault="00CF4784" w:rsidP="00B243B6">
          <w:pPr>
            <w:pStyle w:val="TDC2"/>
            <w:spacing w:before="40"/>
            <w:rPr>
              <w:rFonts w:ascii="Verdana" w:eastAsiaTheme="minorEastAsia" w:hAnsi="Verdana" w:cstheme="minorBidi"/>
              <w:i w:val="0"/>
              <w:iCs w:val="0"/>
              <w:noProof/>
            </w:rPr>
          </w:pPr>
          <w:hyperlink w:anchor="_Toc36823452" w:history="1">
            <w:r w:rsidR="00632F77" w:rsidRPr="00300A27">
              <w:rPr>
                <w:rStyle w:val="Hipervnculo"/>
                <w:rFonts w:ascii="Verdana" w:hAnsi="Verdana"/>
                <w:i w:val="0"/>
                <w:iCs w:val="0"/>
                <w:noProof/>
              </w:rPr>
              <w:t>A.</w:t>
            </w:r>
            <w:r w:rsidR="00632F77" w:rsidRPr="00300A27">
              <w:rPr>
                <w:rFonts w:ascii="Verdana" w:eastAsiaTheme="minorEastAsia" w:hAnsi="Verdana" w:cstheme="minorBidi"/>
                <w:i w:val="0"/>
                <w:iCs w:val="0"/>
                <w:noProof/>
              </w:rPr>
              <w:tab/>
            </w:r>
            <w:r w:rsidR="00FD36FD" w:rsidRPr="00300A27">
              <w:rPr>
                <w:rStyle w:val="Hipervnculo"/>
                <w:rFonts w:ascii="Verdana" w:hAnsi="Verdana"/>
                <w:i w:val="0"/>
                <w:iCs w:val="0"/>
                <w:noProof/>
              </w:rPr>
              <w:t>Alleged failure to exhaust domestic remedies</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_Toc36823452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7</w:t>
            </w:r>
            <w:r w:rsidR="00632F77" w:rsidRPr="00300A27">
              <w:rPr>
                <w:rFonts w:ascii="Verdana" w:hAnsi="Verdana"/>
                <w:i w:val="0"/>
                <w:iCs w:val="0"/>
                <w:noProof/>
                <w:webHidden/>
              </w:rPr>
              <w:fldChar w:fldCharType="end"/>
            </w:r>
          </w:hyperlink>
        </w:p>
        <w:p w14:paraId="58571A46" w14:textId="3C512FD7" w:rsidR="00632F77" w:rsidRPr="00300A27" w:rsidRDefault="00CF4784" w:rsidP="00B243B6">
          <w:pPr>
            <w:pStyle w:val="TDC3"/>
            <w:rPr>
              <w:rFonts w:ascii="Verdana" w:eastAsiaTheme="minorEastAsia" w:hAnsi="Verdana" w:cstheme="minorBidi"/>
              <w:noProof/>
            </w:rPr>
          </w:pPr>
          <w:hyperlink w:anchor="_Toc36823453" w:history="1">
            <w:r w:rsidR="00632F77" w:rsidRPr="00300A27">
              <w:rPr>
                <w:rStyle w:val="Hipervnculo"/>
                <w:rFonts w:ascii="Verdana" w:hAnsi="Verdana"/>
                <w:noProof/>
              </w:rPr>
              <w:t>A.1</w:t>
            </w:r>
            <w:r w:rsidR="00632F77" w:rsidRPr="00300A27">
              <w:rPr>
                <w:rFonts w:ascii="Verdana" w:eastAsiaTheme="minorEastAsia" w:hAnsi="Verdana" w:cstheme="minorBidi"/>
                <w:noProof/>
              </w:rPr>
              <w:tab/>
            </w:r>
            <w:r w:rsidR="00FD36FD" w:rsidRPr="00300A27">
              <w:rPr>
                <w:rStyle w:val="Hipervnculo"/>
                <w:rFonts w:ascii="Verdana" w:hAnsi="Verdana"/>
                <w:noProof/>
              </w:rPr>
              <w:t>Arguments of the parties</w:t>
            </w:r>
            <w:r w:rsidR="005B1C65" w:rsidRPr="00300A27">
              <w:rPr>
                <w:rStyle w:val="Hipervnculo"/>
                <w:rFonts w:ascii="Verdana" w:hAnsi="Verdana"/>
                <w:noProof/>
              </w:rPr>
              <w:t xml:space="preserve"> and</w:t>
            </w:r>
            <w:r w:rsidR="007071F6" w:rsidRPr="00300A27">
              <w:rPr>
                <w:rStyle w:val="Hipervnculo"/>
                <w:rFonts w:ascii="Verdana" w:hAnsi="Verdana"/>
                <w:noProof/>
              </w:rPr>
              <w:t xml:space="preserve"> of the </w:t>
            </w:r>
            <w:r w:rsidR="00C2001D" w:rsidRPr="00300A27">
              <w:rPr>
                <w:rStyle w:val="Hipervnculo"/>
                <w:rFonts w:ascii="Verdana" w:hAnsi="Verdana"/>
                <w:noProof/>
              </w:rPr>
              <w:t>Commission</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_Toc36823453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7</w:t>
            </w:r>
            <w:r w:rsidR="00632F77" w:rsidRPr="00300A27">
              <w:rPr>
                <w:rFonts w:ascii="Verdana" w:hAnsi="Verdana"/>
                <w:noProof/>
                <w:webHidden/>
              </w:rPr>
              <w:fldChar w:fldCharType="end"/>
            </w:r>
          </w:hyperlink>
        </w:p>
        <w:p w14:paraId="2097C4A0" w14:textId="03B619BC" w:rsidR="00632F77" w:rsidRPr="00300A27" w:rsidRDefault="00CF4784" w:rsidP="00B243B6">
          <w:pPr>
            <w:pStyle w:val="TDC3"/>
            <w:rPr>
              <w:rFonts w:ascii="Verdana" w:eastAsiaTheme="minorEastAsia" w:hAnsi="Verdana" w:cstheme="minorBidi"/>
              <w:noProof/>
            </w:rPr>
          </w:pPr>
          <w:hyperlink w:anchor="_Toc36823454" w:history="1">
            <w:r w:rsidR="00632F77" w:rsidRPr="00300A27">
              <w:rPr>
                <w:rStyle w:val="Hipervnculo"/>
                <w:rFonts w:ascii="Verdana" w:hAnsi="Verdana"/>
                <w:noProof/>
                <w:lang w:eastAsia="es-MX"/>
              </w:rPr>
              <w:t xml:space="preserve">A.2 </w:t>
            </w:r>
            <w:r w:rsidR="00632F77" w:rsidRPr="00300A27">
              <w:rPr>
                <w:rFonts w:ascii="Verdana" w:eastAsiaTheme="minorEastAsia" w:hAnsi="Verdana" w:cstheme="minorBidi"/>
                <w:noProof/>
              </w:rPr>
              <w:tab/>
            </w:r>
            <w:r w:rsidR="009B35A1" w:rsidRPr="00300A27">
              <w:rPr>
                <w:rStyle w:val="Hipervnculo"/>
                <w:rFonts w:ascii="Verdana" w:hAnsi="Verdana"/>
                <w:noProof/>
                <w:lang w:eastAsia="es-MX"/>
              </w:rPr>
              <w:t>Considerations</w:t>
            </w:r>
            <w:r w:rsidR="005B1C65" w:rsidRPr="00300A27">
              <w:rPr>
                <w:rStyle w:val="Hipervnculo"/>
                <w:rFonts w:ascii="Verdana" w:hAnsi="Verdana"/>
                <w:noProof/>
                <w:lang w:eastAsia="es-MX"/>
              </w:rPr>
              <w:t xml:space="preserve"> of the Court</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_Toc36823454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8</w:t>
            </w:r>
            <w:r w:rsidR="00632F77" w:rsidRPr="00300A27">
              <w:rPr>
                <w:rFonts w:ascii="Verdana" w:hAnsi="Verdana"/>
                <w:noProof/>
                <w:webHidden/>
              </w:rPr>
              <w:fldChar w:fldCharType="end"/>
            </w:r>
          </w:hyperlink>
        </w:p>
        <w:p w14:paraId="795EF5C1" w14:textId="59E75B3D" w:rsidR="00632F77" w:rsidRPr="00300A27" w:rsidRDefault="00CF4784" w:rsidP="00B243B6">
          <w:pPr>
            <w:pStyle w:val="TDC2"/>
            <w:spacing w:before="40"/>
            <w:rPr>
              <w:rFonts w:ascii="Verdana" w:eastAsiaTheme="minorEastAsia" w:hAnsi="Verdana" w:cstheme="minorBidi"/>
              <w:i w:val="0"/>
              <w:iCs w:val="0"/>
              <w:noProof/>
            </w:rPr>
          </w:pPr>
          <w:hyperlink w:anchor="_Toc36823455" w:history="1">
            <w:r w:rsidR="00632F77" w:rsidRPr="00300A27">
              <w:rPr>
                <w:rStyle w:val="Hipervnculo"/>
                <w:rFonts w:ascii="Verdana" w:hAnsi="Verdana"/>
                <w:i w:val="0"/>
                <w:iCs w:val="0"/>
                <w:noProof/>
              </w:rPr>
              <w:t>B.</w:t>
            </w:r>
            <w:r w:rsidR="00632F77" w:rsidRPr="00300A27">
              <w:rPr>
                <w:rFonts w:ascii="Verdana" w:eastAsiaTheme="minorEastAsia" w:hAnsi="Verdana" w:cstheme="minorBidi"/>
                <w:i w:val="0"/>
                <w:iCs w:val="0"/>
                <w:noProof/>
              </w:rPr>
              <w:tab/>
            </w:r>
            <w:r w:rsidR="00892EDF" w:rsidRPr="00300A27">
              <w:rPr>
                <w:rStyle w:val="Hipervnculo"/>
                <w:rFonts w:ascii="Verdana" w:hAnsi="Verdana"/>
                <w:i w:val="0"/>
                <w:iCs w:val="0"/>
                <w:noProof/>
              </w:rPr>
              <w:t>The subsidiary nature of the inter-American system</w:t>
            </w:r>
            <w:r w:rsidR="00632F77" w:rsidRPr="00300A27">
              <w:rPr>
                <w:rFonts w:ascii="Verdana" w:hAnsi="Verdana"/>
                <w:i w:val="0"/>
                <w:iCs w:val="0"/>
                <w:noProof/>
                <w:webHidden/>
              </w:rPr>
              <w:tab/>
            </w:r>
            <w:r w:rsidR="00C20436" w:rsidRPr="00300A27">
              <w:rPr>
                <w:rFonts w:ascii="Verdana" w:hAnsi="Verdana"/>
                <w:i w:val="0"/>
                <w:iCs w:val="0"/>
                <w:noProof/>
                <w:webHidden/>
              </w:rPr>
              <w:t>9</w:t>
            </w:r>
          </w:hyperlink>
        </w:p>
        <w:p w14:paraId="4B06DFD4" w14:textId="7F852B51" w:rsidR="00632F77" w:rsidRPr="00300A27" w:rsidRDefault="00CF4784" w:rsidP="00B243B6">
          <w:pPr>
            <w:pStyle w:val="TDC3"/>
            <w:rPr>
              <w:rFonts w:ascii="Verdana" w:eastAsiaTheme="minorEastAsia" w:hAnsi="Verdana" w:cstheme="minorBidi"/>
              <w:noProof/>
            </w:rPr>
          </w:pPr>
          <w:hyperlink w:anchor="_Toc36823456" w:history="1">
            <w:r w:rsidR="00632F77" w:rsidRPr="00300A27">
              <w:rPr>
                <w:rStyle w:val="Hipervnculo"/>
                <w:rFonts w:ascii="Verdana" w:hAnsi="Verdana"/>
                <w:noProof/>
              </w:rPr>
              <w:t>B.1</w:t>
            </w:r>
            <w:r w:rsidR="00632F77" w:rsidRPr="00300A27">
              <w:rPr>
                <w:rFonts w:ascii="Verdana" w:eastAsiaTheme="minorEastAsia" w:hAnsi="Verdana" w:cstheme="minorBidi"/>
                <w:noProof/>
              </w:rPr>
              <w:tab/>
            </w:r>
            <w:r w:rsidR="00FD36FD" w:rsidRPr="00300A27">
              <w:rPr>
                <w:rStyle w:val="Hipervnculo"/>
                <w:rFonts w:ascii="Verdana" w:hAnsi="Verdana"/>
                <w:noProof/>
              </w:rPr>
              <w:t>Arguments of the parties</w:t>
            </w:r>
            <w:r w:rsidR="005B1C65" w:rsidRPr="00300A27">
              <w:rPr>
                <w:rStyle w:val="Hipervnculo"/>
                <w:rFonts w:ascii="Verdana" w:hAnsi="Verdana"/>
                <w:noProof/>
              </w:rPr>
              <w:t xml:space="preserve"> and</w:t>
            </w:r>
            <w:r w:rsidR="007071F6" w:rsidRPr="00300A27">
              <w:rPr>
                <w:rStyle w:val="Hipervnculo"/>
                <w:rFonts w:ascii="Verdana" w:hAnsi="Verdana"/>
                <w:noProof/>
              </w:rPr>
              <w:t xml:space="preserve"> of the </w:t>
            </w:r>
            <w:r w:rsidR="00C2001D" w:rsidRPr="00300A27">
              <w:rPr>
                <w:rStyle w:val="Hipervnculo"/>
                <w:rFonts w:ascii="Verdana" w:hAnsi="Verdana"/>
                <w:noProof/>
              </w:rPr>
              <w:t>Commission</w:t>
            </w:r>
            <w:r w:rsidR="00632F77" w:rsidRPr="00300A27">
              <w:rPr>
                <w:rFonts w:ascii="Verdana" w:hAnsi="Verdana"/>
                <w:noProof/>
                <w:webHidden/>
              </w:rPr>
              <w:tab/>
            </w:r>
            <w:r w:rsidR="00C20436" w:rsidRPr="00300A27">
              <w:rPr>
                <w:rFonts w:ascii="Verdana" w:hAnsi="Verdana"/>
                <w:noProof/>
                <w:webHidden/>
              </w:rPr>
              <w:t>9</w:t>
            </w:r>
          </w:hyperlink>
        </w:p>
        <w:p w14:paraId="61C5A573" w14:textId="09F11419" w:rsidR="00632F77" w:rsidRPr="00300A27" w:rsidRDefault="00CF4784" w:rsidP="00B243B6">
          <w:pPr>
            <w:pStyle w:val="TDC3"/>
            <w:rPr>
              <w:rFonts w:ascii="Verdana" w:eastAsiaTheme="minorEastAsia" w:hAnsi="Verdana" w:cstheme="minorBidi"/>
              <w:noProof/>
            </w:rPr>
          </w:pPr>
          <w:hyperlink w:anchor="_Toc36823457" w:history="1">
            <w:r w:rsidR="00632F77" w:rsidRPr="00300A27">
              <w:rPr>
                <w:rStyle w:val="Hipervnculo"/>
                <w:rFonts w:ascii="Verdana" w:hAnsi="Verdana"/>
                <w:noProof/>
                <w:lang w:eastAsia="es-MX"/>
              </w:rPr>
              <w:t xml:space="preserve">B.2 </w:t>
            </w:r>
            <w:r w:rsidR="00632F77" w:rsidRPr="00300A27">
              <w:rPr>
                <w:rFonts w:ascii="Verdana" w:eastAsiaTheme="minorEastAsia" w:hAnsi="Verdana" w:cstheme="minorBidi"/>
                <w:noProof/>
              </w:rPr>
              <w:tab/>
            </w:r>
            <w:r w:rsidR="009B35A1" w:rsidRPr="00300A27">
              <w:rPr>
                <w:rStyle w:val="Hipervnculo"/>
                <w:rFonts w:ascii="Verdana" w:hAnsi="Verdana"/>
                <w:noProof/>
                <w:lang w:eastAsia="es-MX"/>
              </w:rPr>
              <w:t>Considerations</w:t>
            </w:r>
            <w:r w:rsidR="005B1C65" w:rsidRPr="00300A27">
              <w:rPr>
                <w:rStyle w:val="Hipervnculo"/>
                <w:rFonts w:ascii="Verdana" w:hAnsi="Verdana"/>
                <w:noProof/>
                <w:lang w:eastAsia="es-MX"/>
              </w:rPr>
              <w:t xml:space="preserve"> of the Court</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_Toc36823457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10</w:t>
            </w:r>
            <w:r w:rsidR="00632F77" w:rsidRPr="00300A27">
              <w:rPr>
                <w:rFonts w:ascii="Verdana" w:hAnsi="Verdana"/>
                <w:noProof/>
                <w:webHidden/>
              </w:rPr>
              <w:fldChar w:fldCharType="end"/>
            </w:r>
          </w:hyperlink>
        </w:p>
        <w:p w14:paraId="76691A05" w14:textId="26E255AB" w:rsidR="00632F77" w:rsidRPr="00300A27" w:rsidRDefault="00CF4784" w:rsidP="00B243B6">
          <w:pPr>
            <w:pStyle w:val="TDC2"/>
            <w:spacing w:before="40"/>
            <w:rPr>
              <w:rFonts w:ascii="Verdana" w:eastAsiaTheme="minorEastAsia" w:hAnsi="Verdana" w:cstheme="minorBidi"/>
              <w:i w:val="0"/>
              <w:iCs w:val="0"/>
              <w:noProof/>
            </w:rPr>
          </w:pPr>
          <w:hyperlink w:anchor="_Toc36823458" w:history="1">
            <w:r w:rsidR="00632F77" w:rsidRPr="00300A27">
              <w:rPr>
                <w:rStyle w:val="Hipervnculo"/>
                <w:rFonts w:ascii="Verdana" w:hAnsi="Verdana"/>
                <w:i w:val="0"/>
                <w:iCs w:val="0"/>
                <w:noProof/>
              </w:rPr>
              <w:t>C.</w:t>
            </w:r>
            <w:r w:rsidR="00632F77" w:rsidRPr="00300A27">
              <w:rPr>
                <w:rFonts w:ascii="Verdana" w:eastAsiaTheme="minorEastAsia" w:hAnsi="Verdana" w:cstheme="minorBidi"/>
                <w:i w:val="0"/>
                <w:iCs w:val="0"/>
                <w:noProof/>
              </w:rPr>
              <w:tab/>
            </w:r>
            <w:r w:rsidR="007071F6" w:rsidRPr="00300A27">
              <w:rPr>
                <w:rStyle w:val="Hipervnculo"/>
                <w:rFonts w:ascii="Verdana" w:hAnsi="Verdana"/>
                <w:i w:val="0"/>
                <w:iCs w:val="0"/>
                <w:noProof/>
              </w:rPr>
              <w:t>Preliminary objection</w:t>
            </w:r>
            <w:r w:rsidR="00632F77" w:rsidRPr="00300A27">
              <w:rPr>
                <w:rStyle w:val="Hipervnculo"/>
                <w:rFonts w:ascii="Verdana" w:hAnsi="Verdana"/>
                <w:i w:val="0"/>
                <w:iCs w:val="0"/>
                <w:noProof/>
              </w:rPr>
              <w:t xml:space="preserve"> </w:t>
            </w:r>
            <w:r w:rsidR="00610AD8" w:rsidRPr="00300A27">
              <w:rPr>
                <w:rStyle w:val="Hipervnculo"/>
                <w:rFonts w:ascii="Verdana" w:hAnsi="Verdana"/>
                <w:i w:val="0"/>
                <w:iCs w:val="0"/>
                <w:noProof/>
              </w:rPr>
              <w:t>of</w:t>
            </w:r>
            <w:r w:rsidR="00632F77" w:rsidRPr="00300A27">
              <w:rPr>
                <w:rStyle w:val="Hipervnculo"/>
                <w:rFonts w:ascii="Verdana" w:hAnsi="Verdana"/>
                <w:i w:val="0"/>
                <w:iCs w:val="0"/>
                <w:noProof/>
              </w:rPr>
              <w:t xml:space="preserve"> “</w:t>
            </w:r>
            <w:r w:rsidR="00AC76E7" w:rsidRPr="00300A27">
              <w:rPr>
                <w:rStyle w:val="Hipervnculo"/>
                <w:rFonts w:ascii="Verdana" w:hAnsi="Verdana"/>
                <w:i w:val="0"/>
                <w:iCs w:val="0"/>
                <w:noProof/>
              </w:rPr>
              <w:t>fourth instance</w:t>
            </w:r>
            <w:r w:rsidR="00632F77" w:rsidRPr="00300A27">
              <w:rPr>
                <w:rStyle w:val="Hipervnculo"/>
                <w:rFonts w:ascii="Verdana" w:hAnsi="Verdana"/>
                <w:i w:val="0"/>
                <w:iCs w:val="0"/>
                <w:noProof/>
              </w:rPr>
              <w:t>”</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_Toc36823458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10</w:t>
            </w:r>
            <w:r w:rsidR="00632F77" w:rsidRPr="00300A27">
              <w:rPr>
                <w:rFonts w:ascii="Verdana" w:hAnsi="Verdana"/>
                <w:i w:val="0"/>
                <w:iCs w:val="0"/>
                <w:noProof/>
                <w:webHidden/>
              </w:rPr>
              <w:fldChar w:fldCharType="end"/>
            </w:r>
          </w:hyperlink>
        </w:p>
        <w:p w14:paraId="39182B93" w14:textId="4748E8CA" w:rsidR="00632F77" w:rsidRPr="00300A27" w:rsidRDefault="00CF4784" w:rsidP="00B243B6">
          <w:pPr>
            <w:pStyle w:val="TDC3"/>
            <w:rPr>
              <w:rFonts w:ascii="Verdana" w:eastAsiaTheme="minorEastAsia" w:hAnsi="Verdana" w:cstheme="minorBidi"/>
              <w:noProof/>
            </w:rPr>
          </w:pPr>
          <w:hyperlink w:anchor="_Toc36823459" w:history="1">
            <w:r w:rsidR="00632F77" w:rsidRPr="00300A27">
              <w:rPr>
                <w:rStyle w:val="Hipervnculo"/>
                <w:rFonts w:ascii="Verdana" w:hAnsi="Verdana"/>
                <w:noProof/>
              </w:rPr>
              <w:t>C.1</w:t>
            </w:r>
            <w:r w:rsidR="00632F77" w:rsidRPr="00300A27">
              <w:rPr>
                <w:rFonts w:ascii="Verdana" w:eastAsiaTheme="minorEastAsia" w:hAnsi="Verdana" w:cstheme="minorBidi"/>
                <w:noProof/>
              </w:rPr>
              <w:tab/>
            </w:r>
            <w:r w:rsidR="00FD36FD" w:rsidRPr="00300A27">
              <w:rPr>
                <w:rStyle w:val="Hipervnculo"/>
                <w:rFonts w:ascii="Verdana" w:hAnsi="Verdana"/>
                <w:noProof/>
              </w:rPr>
              <w:t>Arguments of the parties</w:t>
            </w:r>
            <w:r w:rsidR="005B1C65" w:rsidRPr="00300A27">
              <w:rPr>
                <w:rStyle w:val="Hipervnculo"/>
                <w:rFonts w:ascii="Verdana" w:hAnsi="Verdana"/>
                <w:noProof/>
              </w:rPr>
              <w:t xml:space="preserve"> and</w:t>
            </w:r>
            <w:r w:rsidR="007071F6" w:rsidRPr="00300A27">
              <w:rPr>
                <w:rStyle w:val="Hipervnculo"/>
                <w:rFonts w:ascii="Verdana" w:hAnsi="Verdana"/>
                <w:noProof/>
              </w:rPr>
              <w:t xml:space="preserve"> of the </w:t>
            </w:r>
            <w:r w:rsidR="00C2001D" w:rsidRPr="00300A27">
              <w:rPr>
                <w:rStyle w:val="Hipervnculo"/>
                <w:rFonts w:ascii="Verdana" w:hAnsi="Verdana"/>
                <w:noProof/>
              </w:rPr>
              <w:t>Commission</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_Toc36823459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10</w:t>
            </w:r>
            <w:r w:rsidR="00632F77" w:rsidRPr="00300A27">
              <w:rPr>
                <w:rFonts w:ascii="Verdana" w:hAnsi="Verdana"/>
                <w:noProof/>
                <w:webHidden/>
              </w:rPr>
              <w:fldChar w:fldCharType="end"/>
            </w:r>
          </w:hyperlink>
        </w:p>
        <w:p w14:paraId="6F4C86AF" w14:textId="310BEB96" w:rsidR="00632F77" w:rsidRPr="00300A27" w:rsidRDefault="00CF4784" w:rsidP="00B243B6">
          <w:pPr>
            <w:pStyle w:val="TDC3"/>
            <w:rPr>
              <w:rFonts w:ascii="Verdana" w:eastAsiaTheme="minorEastAsia" w:hAnsi="Verdana" w:cstheme="minorBidi"/>
              <w:noProof/>
            </w:rPr>
          </w:pPr>
          <w:hyperlink w:anchor="_Toc36823460" w:history="1">
            <w:r w:rsidR="00632F77" w:rsidRPr="00300A27">
              <w:rPr>
                <w:rStyle w:val="Hipervnculo"/>
                <w:rFonts w:ascii="Verdana" w:hAnsi="Verdana"/>
                <w:noProof/>
              </w:rPr>
              <w:t xml:space="preserve">C.2 </w:t>
            </w:r>
            <w:r w:rsidR="00632F77" w:rsidRPr="00300A27">
              <w:rPr>
                <w:rFonts w:ascii="Verdana" w:eastAsiaTheme="minorEastAsia" w:hAnsi="Verdana" w:cstheme="minorBidi"/>
                <w:noProof/>
              </w:rPr>
              <w:tab/>
            </w:r>
            <w:r w:rsidR="009B35A1" w:rsidRPr="00300A27">
              <w:rPr>
                <w:rStyle w:val="Hipervnculo"/>
                <w:rFonts w:ascii="Verdana" w:hAnsi="Verdana"/>
                <w:noProof/>
              </w:rPr>
              <w:t>Considerations</w:t>
            </w:r>
            <w:r w:rsidR="005B1C65" w:rsidRPr="00300A27">
              <w:rPr>
                <w:rStyle w:val="Hipervnculo"/>
                <w:rFonts w:ascii="Verdana" w:hAnsi="Verdana"/>
                <w:noProof/>
              </w:rPr>
              <w:t xml:space="preserve"> of the Court</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_Toc36823460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1</w:t>
            </w:r>
            <w:r w:rsidR="00C20436" w:rsidRPr="00300A27">
              <w:rPr>
                <w:rFonts w:ascii="Verdana" w:hAnsi="Verdana"/>
                <w:noProof/>
                <w:webHidden/>
              </w:rPr>
              <w:t>0</w:t>
            </w:r>
            <w:r w:rsidR="00632F77" w:rsidRPr="00300A27">
              <w:rPr>
                <w:rFonts w:ascii="Verdana" w:hAnsi="Verdana"/>
                <w:noProof/>
                <w:webHidden/>
              </w:rPr>
              <w:fldChar w:fldCharType="end"/>
            </w:r>
          </w:hyperlink>
        </w:p>
        <w:p w14:paraId="65D7D112" w14:textId="1F396753" w:rsidR="00632F77" w:rsidRPr="00300A27" w:rsidRDefault="00CF4784" w:rsidP="00B243B6">
          <w:pPr>
            <w:pStyle w:val="TDC1"/>
            <w:tabs>
              <w:tab w:val="right" w:pos="9394"/>
            </w:tabs>
            <w:spacing w:before="40" w:after="0"/>
            <w:rPr>
              <w:rFonts w:ascii="Verdana" w:eastAsiaTheme="minorEastAsia" w:hAnsi="Verdana" w:cstheme="minorBidi"/>
              <w:b w:val="0"/>
              <w:bCs w:val="0"/>
              <w:noProof/>
            </w:rPr>
          </w:pPr>
          <w:hyperlink w:anchor="_Toc36823461" w:history="1">
            <w:r w:rsidR="00632F77" w:rsidRPr="00300A27">
              <w:rPr>
                <w:rStyle w:val="Hipervnculo"/>
                <w:rFonts w:ascii="Verdana" w:hAnsi="Verdana"/>
                <w:noProof/>
              </w:rPr>
              <w:t xml:space="preserve">V </w:t>
            </w:r>
            <w:r w:rsidR="009B35A1" w:rsidRPr="00300A27">
              <w:rPr>
                <w:rStyle w:val="Hipervnculo"/>
                <w:rFonts w:ascii="Verdana" w:hAnsi="Verdana"/>
                <w:noProof/>
              </w:rPr>
              <w:t>EVIDENCE</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_Toc36823461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11</w:t>
            </w:r>
            <w:r w:rsidR="00632F77" w:rsidRPr="00300A27">
              <w:rPr>
                <w:rFonts w:ascii="Verdana" w:hAnsi="Verdana"/>
                <w:noProof/>
                <w:webHidden/>
              </w:rPr>
              <w:fldChar w:fldCharType="end"/>
            </w:r>
          </w:hyperlink>
        </w:p>
        <w:p w14:paraId="237C9627" w14:textId="7EA071B3" w:rsidR="00632F77" w:rsidRPr="00300A27" w:rsidRDefault="00CF4784" w:rsidP="00B243B6">
          <w:pPr>
            <w:pStyle w:val="TDC2"/>
            <w:spacing w:before="40"/>
            <w:rPr>
              <w:rFonts w:ascii="Verdana" w:eastAsiaTheme="minorEastAsia" w:hAnsi="Verdana" w:cstheme="minorBidi"/>
              <w:i w:val="0"/>
              <w:iCs w:val="0"/>
              <w:noProof/>
            </w:rPr>
          </w:pPr>
          <w:hyperlink w:anchor="_Toc36823462" w:history="1">
            <w:r w:rsidR="00632F77" w:rsidRPr="00300A27">
              <w:rPr>
                <w:rStyle w:val="Hipervnculo"/>
                <w:rFonts w:ascii="Verdana" w:hAnsi="Verdana"/>
                <w:i w:val="0"/>
                <w:iCs w:val="0"/>
                <w:noProof/>
              </w:rPr>
              <w:t>A.</w:t>
            </w:r>
            <w:r w:rsidR="00632F77" w:rsidRPr="00300A27">
              <w:rPr>
                <w:rFonts w:ascii="Verdana" w:eastAsiaTheme="minorEastAsia" w:hAnsi="Verdana" w:cstheme="minorBidi"/>
                <w:i w:val="0"/>
                <w:iCs w:val="0"/>
                <w:noProof/>
              </w:rPr>
              <w:tab/>
            </w:r>
            <w:r w:rsidR="009B35A1" w:rsidRPr="00300A27">
              <w:rPr>
                <w:rStyle w:val="Hipervnculo"/>
                <w:rFonts w:ascii="Verdana" w:hAnsi="Verdana"/>
                <w:i w:val="0"/>
                <w:iCs w:val="0"/>
                <w:noProof/>
              </w:rPr>
              <w:t>Admissibility of the documentary evidence</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_Toc36823462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11</w:t>
            </w:r>
            <w:r w:rsidR="00632F77" w:rsidRPr="00300A27">
              <w:rPr>
                <w:rFonts w:ascii="Verdana" w:hAnsi="Verdana"/>
                <w:i w:val="0"/>
                <w:iCs w:val="0"/>
                <w:noProof/>
                <w:webHidden/>
              </w:rPr>
              <w:fldChar w:fldCharType="end"/>
            </w:r>
          </w:hyperlink>
        </w:p>
        <w:p w14:paraId="7D991E3F" w14:textId="79258ED0" w:rsidR="00632F77" w:rsidRPr="00300A27" w:rsidRDefault="00CF4784" w:rsidP="00B243B6">
          <w:pPr>
            <w:pStyle w:val="TDC2"/>
            <w:spacing w:before="40"/>
            <w:rPr>
              <w:rFonts w:ascii="Verdana" w:eastAsiaTheme="minorEastAsia" w:hAnsi="Verdana" w:cstheme="minorBidi"/>
              <w:i w:val="0"/>
              <w:iCs w:val="0"/>
              <w:noProof/>
            </w:rPr>
          </w:pPr>
          <w:hyperlink w:anchor="_Toc36823463" w:history="1">
            <w:r w:rsidR="00632F77" w:rsidRPr="00300A27">
              <w:rPr>
                <w:rStyle w:val="Hipervnculo"/>
                <w:rFonts w:ascii="Verdana" w:hAnsi="Verdana"/>
                <w:i w:val="0"/>
                <w:iCs w:val="0"/>
                <w:noProof/>
              </w:rPr>
              <w:t>B.</w:t>
            </w:r>
            <w:r w:rsidR="00632F77" w:rsidRPr="00300A27">
              <w:rPr>
                <w:rFonts w:ascii="Verdana" w:eastAsiaTheme="minorEastAsia" w:hAnsi="Verdana" w:cstheme="minorBidi"/>
                <w:i w:val="0"/>
                <w:iCs w:val="0"/>
                <w:noProof/>
              </w:rPr>
              <w:tab/>
            </w:r>
            <w:r w:rsidR="009B35A1" w:rsidRPr="00300A27">
              <w:rPr>
                <w:rStyle w:val="Hipervnculo"/>
                <w:rFonts w:ascii="Verdana" w:hAnsi="Verdana"/>
                <w:i w:val="0"/>
                <w:iCs w:val="0"/>
                <w:noProof/>
              </w:rPr>
              <w:t>Admissibility of the testimonial and expert evidence</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_Toc36823463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12</w:t>
            </w:r>
            <w:r w:rsidR="00632F77" w:rsidRPr="00300A27">
              <w:rPr>
                <w:rFonts w:ascii="Verdana" w:hAnsi="Verdana"/>
                <w:i w:val="0"/>
                <w:iCs w:val="0"/>
                <w:noProof/>
                <w:webHidden/>
              </w:rPr>
              <w:fldChar w:fldCharType="end"/>
            </w:r>
          </w:hyperlink>
        </w:p>
        <w:p w14:paraId="762A4D0C" w14:textId="59C8AF79" w:rsidR="00632F77" w:rsidRPr="00300A27" w:rsidRDefault="00CF4784" w:rsidP="00B243B6">
          <w:pPr>
            <w:pStyle w:val="TDC1"/>
            <w:tabs>
              <w:tab w:val="right" w:pos="9394"/>
            </w:tabs>
            <w:spacing w:before="40" w:after="0"/>
            <w:rPr>
              <w:rFonts w:ascii="Verdana" w:eastAsiaTheme="minorEastAsia" w:hAnsi="Verdana" w:cstheme="minorBidi"/>
              <w:b w:val="0"/>
              <w:bCs w:val="0"/>
              <w:noProof/>
            </w:rPr>
          </w:pPr>
          <w:hyperlink w:anchor="_Toc36823464" w:history="1">
            <w:r w:rsidR="00632F77" w:rsidRPr="00300A27">
              <w:rPr>
                <w:rStyle w:val="Hipervnculo"/>
                <w:rFonts w:ascii="Verdana" w:hAnsi="Verdana"/>
                <w:noProof/>
              </w:rPr>
              <w:t xml:space="preserve">VI </w:t>
            </w:r>
            <w:r w:rsidR="00C35B21" w:rsidRPr="00300A27">
              <w:rPr>
                <w:rStyle w:val="Hipervnculo"/>
                <w:rFonts w:ascii="Verdana" w:hAnsi="Verdana"/>
                <w:noProof/>
              </w:rPr>
              <w:t>FACTS</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_Toc36823464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1</w:t>
            </w:r>
            <w:r w:rsidR="00C20436" w:rsidRPr="00300A27">
              <w:rPr>
                <w:rFonts w:ascii="Verdana" w:hAnsi="Verdana"/>
                <w:noProof/>
                <w:webHidden/>
              </w:rPr>
              <w:t>3</w:t>
            </w:r>
            <w:r w:rsidR="00632F77" w:rsidRPr="00300A27">
              <w:rPr>
                <w:rFonts w:ascii="Verdana" w:hAnsi="Verdana"/>
                <w:noProof/>
                <w:webHidden/>
              </w:rPr>
              <w:fldChar w:fldCharType="end"/>
            </w:r>
          </w:hyperlink>
        </w:p>
        <w:p w14:paraId="4FDAB06E" w14:textId="4719DDCA" w:rsidR="00632F77" w:rsidRPr="00300A27" w:rsidRDefault="00CF4784" w:rsidP="00B243B6">
          <w:pPr>
            <w:pStyle w:val="TDC2"/>
            <w:spacing w:before="40"/>
            <w:rPr>
              <w:rFonts w:ascii="Verdana" w:eastAsiaTheme="minorEastAsia" w:hAnsi="Verdana" w:cstheme="minorBidi"/>
              <w:i w:val="0"/>
              <w:iCs w:val="0"/>
              <w:noProof/>
            </w:rPr>
          </w:pPr>
          <w:hyperlink w:anchor="_Toc36823465" w:history="1">
            <w:r w:rsidR="00632F77" w:rsidRPr="00300A27">
              <w:rPr>
                <w:rStyle w:val="Hipervnculo"/>
                <w:rFonts w:ascii="Verdana" w:hAnsi="Verdana"/>
                <w:i w:val="0"/>
                <w:iCs w:val="0"/>
                <w:noProof/>
              </w:rPr>
              <w:t>A.</w:t>
            </w:r>
            <w:r w:rsidR="00632F77" w:rsidRPr="00300A27">
              <w:rPr>
                <w:rFonts w:ascii="Verdana" w:eastAsiaTheme="minorEastAsia" w:hAnsi="Verdana" w:cstheme="minorBidi"/>
                <w:i w:val="0"/>
                <w:iCs w:val="0"/>
                <w:noProof/>
              </w:rPr>
              <w:tab/>
            </w:r>
            <w:r w:rsidR="00C35B21" w:rsidRPr="00300A27">
              <w:rPr>
                <w:rStyle w:val="Hipervnculo"/>
                <w:rFonts w:ascii="Verdana" w:hAnsi="Verdana"/>
                <w:i w:val="0"/>
                <w:iCs w:val="0"/>
                <w:noProof/>
              </w:rPr>
              <w:t>Situation of the LGBTI population in</w:t>
            </w:r>
            <w:r w:rsidR="00632F77" w:rsidRPr="00300A27">
              <w:rPr>
                <w:rStyle w:val="Hipervnculo"/>
                <w:rFonts w:ascii="Verdana" w:hAnsi="Verdana"/>
                <w:i w:val="0"/>
                <w:iCs w:val="0"/>
                <w:noProof/>
              </w:rPr>
              <w:t xml:space="preserve"> </w:t>
            </w:r>
            <w:r w:rsidR="005B1C65" w:rsidRPr="00300A27">
              <w:rPr>
                <w:rStyle w:val="Hipervnculo"/>
                <w:rFonts w:ascii="Verdana" w:hAnsi="Verdana"/>
                <w:i w:val="0"/>
                <w:iCs w:val="0"/>
                <w:noProof/>
              </w:rPr>
              <w:t>Peru</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_Toc36823465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1</w:t>
            </w:r>
            <w:r w:rsidR="00C20436" w:rsidRPr="00300A27">
              <w:rPr>
                <w:rFonts w:ascii="Verdana" w:hAnsi="Verdana"/>
                <w:i w:val="0"/>
                <w:iCs w:val="0"/>
                <w:noProof/>
                <w:webHidden/>
              </w:rPr>
              <w:t>3</w:t>
            </w:r>
            <w:r w:rsidR="00632F77" w:rsidRPr="00300A27">
              <w:rPr>
                <w:rFonts w:ascii="Verdana" w:hAnsi="Verdana"/>
                <w:i w:val="0"/>
                <w:iCs w:val="0"/>
                <w:noProof/>
                <w:webHidden/>
              </w:rPr>
              <w:fldChar w:fldCharType="end"/>
            </w:r>
          </w:hyperlink>
        </w:p>
        <w:p w14:paraId="13AF5B88" w14:textId="30A5C64E" w:rsidR="00632F77" w:rsidRPr="00300A27" w:rsidRDefault="00CF4784" w:rsidP="00B243B6">
          <w:pPr>
            <w:pStyle w:val="TDC2"/>
            <w:spacing w:before="40"/>
            <w:rPr>
              <w:rFonts w:ascii="Verdana" w:eastAsiaTheme="minorEastAsia" w:hAnsi="Verdana" w:cstheme="minorBidi"/>
              <w:i w:val="0"/>
              <w:iCs w:val="0"/>
              <w:noProof/>
            </w:rPr>
          </w:pPr>
          <w:hyperlink w:anchor="_Toc36823466" w:history="1">
            <w:r w:rsidR="00632F77" w:rsidRPr="00300A27">
              <w:rPr>
                <w:rStyle w:val="Hipervnculo"/>
                <w:rFonts w:ascii="Verdana" w:hAnsi="Verdana"/>
                <w:i w:val="0"/>
                <w:iCs w:val="0"/>
                <w:noProof/>
              </w:rPr>
              <w:t>B.</w:t>
            </w:r>
            <w:r w:rsidR="00632F77" w:rsidRPr="00300A27">
              <w:rPr>
                <w:rFonts w:ascii="Verdana" w:eastAsiaTheme="minorEastAsia" w:hAnsi="Verdana" w:cstheme="minorBidi"/>
                <w:i w:val="0"/>
                <w:iCs w:val="0"/>
                <w:noProof/>
              </w:rPr>
              <w:tab/>
            </w:r>
            <w:r w:rsidR="009240E9" w:rsidRPr="00300A27">
              <w:rPr>
                <w:rStyle w:val="Hipervnculo"/>
                <w:rFonts w:ascii="Verdana" w:hAnsi="Verdana"/>
                <w:i w:val="0"/>
                <w:iCs w:val="0"/>
                <w:noProof/>
              </w:rPr>
              <w:t>Detention of Azul Rojas Marín and alleged torture</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_Toc36823466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1</w:t>
            </w:r>
            <w:r w:rsidR="00C20436" w:rsidRPr="00300A27">
              <w:rPr>
                <w:rFonts w:ascii="Verdana" w:hAnsi="Verdana"/>
                <w:i w:val="0"/>
                <w:iCs w:val="0"/>
                <w:noProof/>
                <w:webHidden/>
              </w:rPr>
              <w:t>5</w:t>
            </w:r>
            <w:r w:rsidR="00632F77" w:rsidRPr="00300A27">
              <w:rPr>
                <w:rFonts w:ascii="Verdana" w:hAnsi="Verdana"/>
                <w:i w:val="0"/>
                <w:iCs w:val="0"/>
                <w:noProof/>
                <w:webHidden/>
              </w:rPr>
              <w:fldChar w:fldCharType="end"/>
            </w:r>
          </w:hyperlink>
        </w:p>
        <w:p w14:paraId="495735A4" w14:textId="6274DA32" w:rsidR="00632F77" w:rsidRPr="00300A27" w:rsidRDefault="00CF4784" w:rsidP="00B243B6">
          <w:pPr>
            <w:pStyle w:val="TDC2"/>
            <w:spacing w:before="40"/>
            <w:rPr>
              <w:rFonts w:ascii="Verdana" w:eastAsiaTheme="minorEastAsia" w:hAnsi="Verdana" w:cstheme="minorBidi"/>
              <w:i w:val="0"/>
              <w:iCs w:val="0"/>
              <w:noProof/>
            </w:rPr>
          </w:pPr>
          <w:hyperlink w:anchor="_Toc36823467" w:history="1">
            <w:r w:rsidR="00632F77" w:rsidRPr="00300A27">
              <w:rPr>
                <w:rStyle w:val="Hipervnculo"/>
                <w:rFonts w:ascii="Verdana" w:hAnsi="Verdana"/>
                <w:i w:val="0"/>
                <w:iCs w:val="0"/>
                <w:noProof/>
              </w:rPr>
              <w:t>C.</w:t>
            </w:r>
            <w:r w:rsidR="00632F77" w:rsidRPr="00300A27">
              <w:rPr>
                <w:rFonts w:ascii="Verdana" w:eastAsiaTheme="minorEastAsia" w:hAnsi="Verdana" w:cstheme="minorBidi"/>
                <w:i w:val="0"/>
                <w:iCs w:val="0"/>
                <w:noProof/>
              </w:rPr>
              <w:tab/>
            </w:r>
            <w:r w:rsidR="00737D26" w:rsidRPr="00300A27">
              <w:rPr>
                <w:rStyle w:val="Hipervnculo"/>
                <w:rFonts w:ascii="Verdana" w:hAnsi="Verdana"/>
                <w:i w:val="0"/>
                <w:iCs w:val="0"/>
                <w:noProof/>
              </w:rPr>
              <w:t>Investigation of the facts</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_Toc36823467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1</w:t>
            </w:r>
            <w:r w:rsidR="00C20436" w:rsidRPr="00300A27">
              <w:rPr>
                <w:rFonts w:ascii="Verdana" w:hAnsi="Verdana"/>
                <w:i w:val="0"/>
                <w:iCs w:val="0"/>
                <w:noProof/>
                <w:webHidden/>
              </w:rPr>
              <w:t>6</w:t>
            </w:r>
            <w:r w:rsidR="00632F77" w:rsidRPr="00300A27">
              <w:rPr>
                <w:rFonts w:ascii="Verdana" w:hAnsi="Verdana"/>
                <w:i w:val="0"/>
                <w:iCs w:val="0"/>
                <w:noProof/>
                <w:webHidden/>
              </w:rPr>
              <w:fldChar w:fldCharType="end"/>
            </w:r>
          </w:hyperlink>
        </w:p>
        <w:p w14:paraId="31B1A820" w14:textId="022F1B45" w:rsidR="00632F77" w:rsidRPr="00300A27" w:rsidRDefault="00CF4784" w:rsidP="00B243B6">
          <w:pPr>
            <w:pStyle w:val="TDC2"/>
            <w:spacing w:before="40"/>
            <w:rPr>
              <w:rFonts w:ascii="Verdana" w:eastAsiaTheme="minorEastAsia" w:hAnsi="Verdana" w:cstheme="minorBidi"/>
              <w:i w:val="0"/>
              <w:iCs w:val="0"/>
              <w:noProof/>
            </w:rPr>
          </w:pPr>
          <w:hyperlink w:anchor="_Toc36823468" w:history="1">
            <w:r w:rsidR="00632F77" w:rsidRPr="00300A27">
              <w:rPr>
                <w:rStyle w:val="Hipervnculo"/>
                <w:rFonts w:ascii="Verdana" w:hAnsi="Verdana"/>
                <w:i w:val="0"/>
                <w:iCs w:val="0"/>
                <w:noProof/>
              </w:rPr>
              <w:t>D.</w:t>
            </w:r>
            <w:r w:rsidR="00632F77" w:rsidRPr="00300A27">
              <w:rPr>
                <w:rFonts w:ascii="Verdana" w:eastAsiaTheme="minorEastAsia" w:hAnsi="Verdana" w:cstheme="minorBidi"/>
                <w:i w:val="0"/>
                <w:iCs w:val="0"/>
                <w:noProof/>
              </w:rPr>
              <w:tab/>
            </w:r>
            <w:r w:rsidR="007B7502" w:rsidRPr="00300A27">
              <w:rPr>
                <w:rStyle w:val="Hipervnculo"/>
                <w:rFonts w:ascii="Verdana" w:hAnsi="Verdana"/>
                <w:i w:val="0"/>
                <w:iCs w:val="0"/>
                <w:noProof/>
              </w:rPr>
              <w:t>The complaint filed against the Ascope Prosecution Service</w:t>
            </w:r>
            <w:r w:rsidR="00632F77" w:rsidRPr="00300A27">
              <w:rPr>
                <w:rFonts w:ascii="Verdana" w:hAnsi="Verdana"/>
                <w:i w:val="0"/>
                <w:iCs w:val="0"/>
                <w:noProof/>
                <w:webHidden/>
              </w:rPr>
              <w:tab/>
            </w:r>
            <w:r w:rsidR="00C20436" w:rsidRPr="00300A27">
              <w:rPr>
                <w:rFonts w:ascii="Verdana" w:hAnsi="Verdana"/>
                <w:i w:val="0"/>
                <w:iCs w:val="0"/>
                <w:noProof/>
                <w:webHidden/>
              </w:rPr>
              <w:t>19</w:t>
            </w:r>
          </w:hyperlink>
        </w:p>
        <w:p w14:paraId="078B9B69" w14:textId="011E18B8" w:rsidR="00632F77" w:rsidRPr="00300A27" w:rsidRDefault="00CF4784" w:rsidP="00B243B6">
          <w:pPr>
            <w:pStyle w:val="TDC2"/>
            <w:spacing w:before="40"/>
            <w:rPr>
              <w:rFonts w:ascii="Verdana" w:eastAsiaTheme="minorEastAsia" w:hAnsi="Verdana" w:cstheme="minorBidi"/>
              <w:i w:val="0"/>
              <w:iCs w:val="0"/>
              <w:noProof/>
            </w:rPr>
          </w:pPr>
          <w:hyperlink w:anchor="_Toc36823469" w:history="1">
            <w:r w:rsidR="00632F77" w:rsidRPr="00300A27">
              <w:rPr>
                <w:rStyle w:val="Hipervnculo"/>
                <w:rFonts w:ascii="Verdana" w:hAnsi="Verdana"/>
                <w:i w:val="0"/>
                <w:iCs w:val="0"/>
                <w:noProof/>
                <w:lang w:eastAsia="es-CR"/>
              </w:rPr>
              <w:t>E.</w:t>
            </w:r>
            <w:r w:rsidR="00632F77" w:rsidRPr="00300A27">
              <w:rPr>
                <w:rFonts w:ascii="Verdana" w:eastAsiaTheme="minorEastAsia" w:hAnsi="Verdana" w:cstheme="minorBidi"/>
                <w:i w:val="0"/>
                <w:iCs w:val="0"/>
                <w:noProof/>
              </w:rPr>
              <w:tab/>
            </w:r>
            <w:r w:rsidR="002959DE" w:rsidRPr="00300A27">
              <w:rPr>
                <w:rStyle w:val="Hipervnculo"/>
                <w:rFonts w:ascii="Verdana" w:hAnsi="Verdana"/>
                <w:i w:val="0"/>
                <w:iCs w:val="0"/>
                <w:noProof/>
                <w:lang w:eastAsia="es-CR"/>
              </w:rPr>
              <w:t xml:space="preserve">The </w:t>
            </w:r>
            <w:r w:rsidR="005F06DA" w:rsidRPr="00300A27">
              <w:rPr>
                <w:rStyle w:val="Hipervnculo"/>
                <w:rFonts w:ascii="Verdana" w:hAnsi="Verdana"/>
                <w:i w:val="0"/>
                <w:iCs w:val="0"/>
                <w:noProof/>
                <w:lang w:eastAsia="es-CR"/>
              </w:rPr>
              <w:t>disciplinary</w:t>
            </w:r>
            <w:r w:rsidR="002959DE" w:rsidRPr="00300A27">
              <w:rPr>
                <w:rStyle w:val="Hipervnculo"/>
                <w:rFonts w:ascii="Verdana" w:hAnsi="Verdana"/>
                <w:i w:val="0"/>
                <w:iCs w:val="0"/>
                <w:noProof/>
                <w:lang w:eastAsia="es-CR"/>
              </w:rPr>
              <w:t xml:space="preserve"> administrative proceeding against the members</w:t>
            </w:r>
            <w:r w:rsidR="00632F77" w:rsidRPr="00300A27">
              <w:rPr>
                <w:rStyle w:val="Hipervnculo"/>
                <w:rFonts w:ascii="Verdana" w:hAnsi="Verdana"/>
                <w:i w:val="0"/>
                <w:iCs w:val="0"/>
                <w:noProof/>
                <w:lang w:eastAsia="es-CR"/>
              </w:rPr>
              <w:t xml:space="preserve"> </w:t>
            </w:r>
            <w:r w:rsidR="009B35A1" w:rsidRPr="00300A27">
              <w:rPr>
                <w:rStyle w:val="Hipervnculo"/>
                <w:rFonts w:ascii="Verdana" w:hAnsi="Verdana"/>
                <w:i w:val="0"/>
                <w:iCs w:val="0"/>
                <w:noProof/>
                <w:lang w:eastAsia="es-CR"/>
              </w:rPr>
              <w:t xml:space="preserve">of the </w:t>
            </w:r>
            <w:r w:rsidR="005F06DA" w:rsidRPr="00300A27">
              <w:rPr>
                <w:rStyle w:val="Hipervnculo"/>
                <w:rFonts w:ascii="Verdana" w:hAnsi="Verdana"/>
                <w:i w:val="0"/>
                <w:iCs w:val="0"/>
                <w:noProof/>
                <w:lang w:eastAsia="es-CR"/>
              </w:rPr>
              <w:t>Peruvian National Police</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_Toc36823469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2</w:t>
            </w:r>
            <w:r w:rsidR="00C20436" w:rsidRPr="00300A27">
              <w:rPr>
                <w:rFonts w:ascii="Verdana" w:hAnsi="Verdana"/>
                <w:i w:val="0"/>
                <w:iCs w:val="0"/>
                <w:noProof/>
                <w:webHidden/>
              </w:rPr>
              <w:t>1</w:t>
            </w:r>
            <w:r w:rsidR="00632F77" w:rsidRPr="00300A27">
              <w:rPr>
                <w:rFonts w:ascii="Verdana" w:hAnsi="Verdana"/>
                <w:i w:val="0"/>
                <w:iCs w:val="0"/>
                <w:noProof/>
                <w:webHidden/>
              </w:rPr>
              <w:fldChar w:fldCharType="end"/>
            </w:r>
          </w:hyperlink>
        </w:p>
        <w:p w14:paraId="11D5BF13" w14:textId="70DC7F77" w:rsidR="00632F77" w:rsidRPr="00300A27" w:rsidRDefault="00CF4784" w:rsidP="00B243B6">
          <w:pPr>
            <w:pStyle w:val="TDC2"/>
            <w:spacing w:before="40"/>
            <w:rPr>
              <w:rFonts w:ascii="Verdana" w:eastAsiaTheme="minorEastAsia" w:hAnsi="Verdana" w:cstheme="minorBidi"/>
              <w:i w:val="0"/>
              <w:iCs w:val="0"/>
              <w:noProof/>
            </w:rPr>
          </w:pPr>
          <w:hyperlink w:anchor="_Toc36823470" w:history="1">
            <w:r w:rsidR="00632F77" w:rsidRPr="00300A27">
              <w:rPr>
                <w:rStyle w:val="Hipervnculo"/>
                <w:rFonts w:ascii="Verdana" w:hAnsi="Verdana"/>
                <w:i w:val="0"/>
                <w:iCs w:val="0"/>
                <w:noProof/>
                <w:lang w:eastAsia="es-CR"/>
              </w:rPr>
              <w:t>F.</w:t>
            </w:r>
            <w:r w:rsidR="00632F77" w:rsidRPr="00300A27">
              <w:rPr>
                <w:rFonts w:ascii="Verdana" w:eastAsiaTheme="minorEastAsia" w:hAnsi="Verdana" w:cstheme="minorBidi"/>
                <w:i w:val="0"/>
                <w:iCs w:val="0"/>
                <w:noProof/>
              </w:rPr>
              <w:tab/>
            </w:r>
            <w:r w:rsidR="002959DE" w:rsidRPr="00300A27">
              <w:rPr>
                <w:rStyle w:val="Hipervnculo"/>
                <w:rFonts w:ascii="Verdana" w:hAnsi="Verdana"/>
                <w:i w:val="0"/>
                <w:iCs w:val="0"/>
                <w:noProof/>
                <w:lang w:eastAsia="es-CR"/>
              </w:rPr>
              <w:t>The second investigation into</w:t>
            </w:r>
            <w:r w:rsidR="00737D26" w:rsidRPr="00300A27">
              <w:rPr>
                <w:rStyle w:val="Hipervnculo"/>
                <w:rFonts w:ascii="Verdana" w:hAnsi="Verdana"/>
                <w:i w:val="0"/>
                <w:iCs w:val="0"/>
                <w:noProof/>
                <w:lang w:eastAsia="es-CR"/>
              </w:rPr>
              <w:t xml:space="preserve"> the facts</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_Toc36823470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2</w:t>
            </w:r>
            <w:r w:rsidR="00C20436" w:rsidRPr="00300A27">
              <w:rPr>
                <w:rFonts w:ascii="Verdana" w:hAnsi="Verdana"/>
                <w:i w:val="0"/>
                <w:iCs w:val="0"/>
                <w:noProof/>
                <w:webHidden/>
              </w:rPr>
              <w:t>2</w:t>
            </w:r>
            <w:r w:rsidR="00632F77" w:rsidRPr="00300A27">
              <w:rPr>
                <w:rFonts w:ascii="Verdana" w:hAnsi="Verdana"/>
                <w:i w:val="0"/>
                <w:iCs w:val="0"/>
                <w:noProof/>
                <w:webHidden/>
              </w:rPr>
              <w:fldChar w:fldCharType="end"/>
            </w:r>
          </w:hyperlink>
        </w:p>
        <w:p w14:paraId="500FEAA8" w14:textId="2C484052" w:rsidR="00632F77" w:rsidRPr="00300A27" w:rsidRDefault="00CF4784" w:rsidP="00B243B6">
          <w:pPr>
            <w:pStyle w:val="TDC1"/>
            <w:tabs>
              <w:tab w:val="right" w:pos="9394"/>
            </w:tabs>
            <w:spacing w:before="40" w:after="0"/>
            <w:rPr>
              <w:rFonts w:ascii="Verdana" w:eastAsiaTheme="minorEastAsia" w:hAnsi="Verdana" w:cstheme="minorBidi"/>
              <w:b w:val="0"/>
              <w:bCs w:val="0"/>
              <w:noProof/>
            </w:rPr>
          </w:pPr>
          <w:hyperlink w:anchor="_Toc36823471" w:history="1">
            <w:r w:rsidR="00632F77" w:rsidRPr="00300A27">
              <w:rPr>
                <w:rStyle w:val="Hipervnculo"/>
                <w:rFonts w:ascii="Verdana" w:hAnsi="Verdana"/>
                <w:noProof/>
              </w:rPr>
              <w:t xml:space="preserve">VII </w:t>
            </w:r>
            <w:r w:rsidR="002959DE" w:rsidRPr="00300A27">
              <w:rPr>
                <w:rStyle w:val="Hipervnculo"/>
                <w:rFonts w:ascii="Verdana" w:hAnsi="Verdana"/>
                <w:noProof/>
              </w:rPr>
              <w:t>MERITS</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_Toc36823471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2</w:t>
            </w:r>
            <w:r w:rsidR="00C20436" w:rsidRPr="00300A27">
              <w:rPr>
                <w:rFonts w:ascii="Verdana" w:hAnsi="Verdana"/>
                <w:noProof/>
                <w:webHidden/>
              </w:rPr>
              <w:t>2</w:t>
            </w:r>
            <w:r w:rsidR="00632F77" w:rsidRPr="00300A27">
              <w:rPr>
                <w:rFonts w:ascii="Verdana" w:hAnsi="Verdana"/>
                <w:noProof/>
                <w:webHidden/>
              </w:rPr>
              <w:fldChar w:fldCharType="end"/>
            </w:r>
          </w:hyperlink>
        </w:p>
        <w:p w14:paraId="0DAA1610" w14:textId="07F7A5BF" w:rsidR="00632F77" w:rsidRPr="00300A27" w:rsidRDefault="00CF4784" w:rsidP="00B243B6">
          <w:pPr>
            <w:pStyle w:val="TDC1"/>
            <w:tabs>
              <w:tab w:val="right" w:pos="9394"/>
            </w:tabs>
            <w:spacing w:before="40" w:after="0"/>
            <w:rPr>
              <w:rFonts w:ascii="Verdana" w:eastAsiaTheme="minorEastAsia" w:hAnsi="Verdana" w:cstheme="minorBidi"/>
              <w:b w:val="0"/>
              <w:bCs w:val="0"/>
              <w:noProof/>
            </w:rPr>
          </w:pPr>
          <w:hyperlink w:anchor="_Toc36823472" w:history="1">
            <w:r w:rsidR="00632F77" w:rsidRPr="00300A27">
              <w:rPr>
                <w:rStyle w:val="Hipervnculo"/>
                <w:rFonts w:ascii="Verdana" w:hAnsi="Verdana"/>
                <w:noProof/>
              </w:rPr>
              <w:t xml:space="preserve">VII-1 </w:t>
            </w:r>
            <w:r w:rsidR="002959DE" w:rsidRPr="00300A27">
              <w:rPr>
                <w:rStyle w:val="Hipervnculo"/>
                <w:rFonts w:ascii="Verdana" w:hAnsi="Verdana"/>
                <w:noProof/>
              </w:rPr>
              <w:t>GENERAL CONSIDERATIONS ON THE RIGHT TO EQUALITY AND NON-DISCRIMINATION</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_Toc36823472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2</w:t>
            </w:r>
            <w:r w:rsidR="00C20436" w:rsidRPr="00300A27">
              <w:rPr>
                <w:rFonts w:ascii="Verdana" w:hAnsi="Verdana"/>
                <w:noProof/>
                <w:webHidden/>
              </w:rPr>
              <w:t>3</w:t>
            </w:r>
            <w:r w:rsidR="00632F77" w:rsidRPr="00300A27">
              <w:rPr>
                <w:rFonts w:ascii="Verdana" w:hAnsi="Verdana"/>
                <w:noProof/>
                <w:webHidden/>
              </w:rPr>
              <w:fldChar w:fldCharType="end"/>
            </w:r>
          </w:hyperlink>
        </w:p>
        <w:p w14:paraId="62ABF3B8" w14:textId="4B1198CE" w:rsidR="00632F77" w:rsidRPr="00300A27" w:rsidRDefault="00CF4784" w:rsidP="00B243B6">
          <w:pPr>
            <w:pStyle w:val="TDC2"/>
            <w:spacing w:before="40"/>
            <w:rPr>
              <w:rFonts w:ascii="Verdana" w:eastAsiaTheme="minorEastAsia" w:hAnsi="Verdana" w:cstheme="minorBidi"/>
              <w:i w:val="0"/>
              <w:iCs w:val="0"/>
              <w:noProof/>
            </w:rPr>
          </w:pPr>
          <w:hyperlink w:anchor="_Toc36823474" w:history="1">
            <w:r w:rsidR="00632F77" w:rsidRPr="00300A27">
              <w:rPr>
                <w:rStyle w:val="Hipervnculo"/>
                <w:rFonts w:ascii="Verdana" w:hAnsi="Verdana"/>
                <w:i w:val="0"/>
                <w:iCs w:val="0"/>
                <w:noProof/>
              </w:rPr>
              <w:t>A.</w:t>
            </w:r>
            <w:r w:rsidR="00632F77" w:rsidRPr="00300A27">
              <w:rPr>
                <w:rFonts w:ascii="Verdana" w:eastAsiaTheme="minorEastAsia" w:hAnsi="Verdana" w:cstheme="minorBidi"/>
                <w:i w:val="0"/>
                <w:iCs w:val="0"/>
                <w:noProof/>
              </w:rPr>
              <w:tab/>
            </w:r>
            <w:r w:rsidR="00FD36FD" w:rsidRPr="00300A27">
              <w:rPr>
                <w:rStyle w:val="Hipervnculo"/>
                <w:rFonts w:ascii="Verdana" w:hAnsi="Verdana"/>
                <w:i w:val="0"/>
                <w:iCs w:val="0"/>
                <w:noProof/>
              </w:rPr>
              <w:t xml:space="preserve">Arguments of the </w:t>
            </w:r>
            <w:r w:rsidR="00DE1419" w:rsidRPr="00300A27">
              <w:rPr>
                <w:rStyle w:val="Hipervnculo"/>
                <w:rFonts w:ascii="Verdana" w:hAnsi="Verdana"/>
                <w:i w:val="0"/>
                <w:iCs w:val="0"/>
                <w:noProof/>
              </w:rPr>
              <w:t>parties and of the Commissio</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_Toc36823474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2</w:t>
            </w:r>
            <w:r w:rsidR="00C20436" w:rsidRPr="00300A27">
              <w:rPr>
                <w:rFonts w:ascii="Verdana" w:hAnsi="Verdana"/>
                <w:i w:val="0"/>
                <w:iCs w:val="0"/>
                <w:noProof/>
                <w:webHidden/>
              </w:rPr>
              <w:t>3</w:t>
            </w:r>
            <w:r w:rsidR="00632F77" w:rsidRPr="00300A27">
              <w:rPr>
                <w:rFonts w:ascii="Verdana" w:hAnsi="Verdana"/>
                <w:i w:val="0"/>
                <w:iCs w:val="0"/>
                <w:noProof/>
                <w:webHidden/>
              </w:rPr>
              <w:fldChar w:fldCharType="end"/>
            </w:r>
          </w:hyperlink>
        </w:p>
        <w:p w14:paraId="79B1C3A4" w14:textId="4C4CFAEF" w:rsidR="00632F77" w:rsidRPr="00300A27" w:rsidRDefault="00CF4784" w:rsidP="00B243B6">
          <w:pPr>
            <w:pStyle w:val="TDC2"/>
            <w:spacing w:before="40"/>
            <w:rPr>
              <w:rFonts w:ascii="Verdana" w:eastAsiaTheme="minorEastAsia" w:hAnsi="Verdana" w:cstheme="minorBidi"/>
              <w:i w:val="0"/>
              <w:iCs w:val="0"/>
              <w:noProof/>
            </w:rPr>
          </w:pPr>
          <w:hyperlink w:anchor="_Toc36823475" w:history="1">
            <w:r w:rsidR="00632F77" w:rsidRPr="00300A27">
              <w:rPr>
                <w:rStyle w:val="Hipervnculo"/>
                <w:rFonts w:ascii="Verdana" w:hAnsi="Verdana"/>
                <w:i w:val="0"/>
                <w:iCs w:val="0"/>
                <w:noProof/>
                <w:lang w:eastAsia="es-MX"/>
              </w:rPr>
              <w:t>B.</w:t>
            </w:r>
            <w:r w:rsidR="00632F77" w:rsidRPr="00300A27">
              <w:rPr>
                <w:rFonts w:ascii="Verdana" w:eastAsiaTheme="minorEastAsia" w:hAnsi="Verdana" w:cstheme="minorBidi"/>
                <w:i w:val="0"/>
                <w:iCs w:val="0"/>
                <w:noProof/>
              </w:rPr>
              <w:tab/>
            </w:r>
            <w:r w:rsidR="009B35A1" w:rsidRPr="00300A27">
              <w:rPr>
                <w:rStyle w:val="Hipervnculo"/>
                <w:rFonts w:ascii="Verdana" w:hAnsi="Verdana"/>
                <w:i w:val="0"/>
                <w:iCs w:val="0"/>
                <w:noProof/>
                <w:lang w:eastAsia="es-MX"/>
              </w:rPr>
              <w:t>Considerations</w:t>
            </w:r>
            <w:r w:rsidR="005B1C65" w:rsidRPr="00300A27">
              <w:rPr>
                <w:rStyle w:val="Hipervnculo"/>
                <w:rFonts w:ascii="Verdana" w:hAnsi="Verdana"/>
                <w:i w:val="0"/>
                <w:iCs w:val="0"/>
                <w:noProof/>
                <w:lang w:eastAsia="es-MX"/>
              </w:rPr>
              <w:t xml:space="preserve"> of the Court</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_Toc36823475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2</w:t>
            </w:r>
            <w:r w:rsidR="00C20436" w:rsidRPr="00300A27">
              <w:rPr>
                <w:rFonts w:ascii="Verdana" w:hAnsi="Verdana"/>
                <w:i w:val="0"/>
                <w:iCs w:val="0"/>
                <w:noProof/>
                <w:webHidden/>
              </w:rPr>
              <w:t>4</w:t>
            </w:r>
            <w:r w:rsidR="00632F77" w:rsidRPr="00300A27">
              <w:rPr>
                <w:rFonts w:ascii="Verdana" w:hAnsi="Verdana"/>
                <w:i w:val="0"/>
                <w:iCs w:val="0"/>
                <w:noProof/>
                <w:webHidden/>
              </w:rPr>
              <w:fldChar w:fldCharType="end"/>
            </w:r>
          </w:hyperlink>
        </w:p>
        <w:p w14:paraId="33AB56B3" w14:textId="79D2C340" w:rsidR="00632F77" w:rsidRPr="00300A27" w:rsidRDefault="00CF4784" w:rsidP="00B243B6">
          <w:pPr>
            <w:pStyle w:val="TDC1"/>
            <w:tabs>
              <w:tab w:val="right" w:pos="9394"/>
            </w:tabs>
            <w:spacing w:before="40" w:after="0"/>
            <w:rPr>
              <w:rFonts w:ascii="Verdana" w:eastAsiaTheme="minorEastAsia" w:hAnsi="Verdana" w:cstheme="minorBidi"/>
              <w:b w:val="0"/>
              <w:bCs w:val="0"/>
              <w:noProof/>
            </w:rPr>
          </w:pPr>
          <w:hyperlink w:anchor="_Toc36823476" w:history="1">
            <w:r w:rsidR="00632F77" w:rsidRPr="00300A27">
              <w:rPr>
                <w:rStyle w:val="Hipervnculo"/>
                <w:rFonts w:ascii="Verdana" w:hAnsi="Verdana"/>
                <w:noProof/>
              </w:rPr>
              <w:t xml:space="preserve">VII-2 </w:t>
            </w:r>
            <w:r w:rsidR="002959DE" w:rsidRPr="00300A27">
              <w:rPr>
                <w:rStyle w:val="Hipervnculo"/>
                <w:rFonts w:ascii="Verdana" w:hAnsi="Verdana"/>
                <w:noProof/>
              </w:rPr>
              <w:t>RIGHT TO PERSONAL LIBERTY</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_Toc36823476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2</w:t>
            </w:r>
            <w:r w:rsidR="00C20436" w:rsidRPr="00300A27">
              <w:rPr>
                <w:rFonts w:ascii="Verdana" w:hAnsi="Verdana"/>
                <w:noProof/>
                <w:webHidden/>
              </w:rPr>
              <w:t>6</w:t>
            </w:r>
            <w:r w:rsidR="00632F77" w:rsidRPr="00300A27">
              <w:rPr>
                <w:rFonts w:ascii="Verdana" w:hAnsi="Verdana"/>
                <w:noProof/>
                <w:webHidden/>
              </w:rPr>
              <w:fldChar w:fldCharType="end"/>
            </w:r>
          </w:hyperlink>
        </w:p>
        <w:p w14:paraId="4F29EF10" w14:textId="0B825AA1" w:rsidR="00632F77" w:rsidRPr="00300A27" w:rsidRDefault="00CF4784" w:rsidP="00B243B6">
          <w:pPr>
            <w:pStyle w:val="TDC2"/>
            <w:spacing w:before="40"/>
            <w:rPr>
              <w:rFonts w:ascii="Verdana" w:eastAsiaTheme="minorEastAsia" w:hAnsi="Verdana" w:cstheme="minorBidi"/>
              <w:i w:val="0"/>
              <w:iCs w:val="0"/>
              <w:noProof/>
            </w:rPr>
          </w:pPr>
          <w:hyperlink w:anchor="_Toc36823477" w:history="1">
            <w:r w:rsidR="00632F77" w:rsidRPr="00300A27">
              <w:rPr>
                <w:rStyle w:val="Hipervnculo"/>
                <w:rFonts w:ascii="Verdana" w:hAnsi="Verdana"/>
                <w:i w:val="0"/>
                <w:iCs w:val="0"/>
                <w:noProof/>
              </w:rPr>
              <w:t>A.</w:t>
            </w:r>
            <w:r w:rsidR="00632F77" w:rsidRPr="00300A27">
              <w:rPr>
                <w:rFonts w:ascii="Verdana" w:eastAsiaTheme="minorEastAsia" w:hAnsi="Verdana" w:cstheme="minorBidi"/>
                <w:i w:val="0"/>
                <w:iCs w:val="0"/>
                <w:noProof/>
              </w:rPr>
              <w:tab/>
            </w:r>
            <w:r w:rsidR="00FD36FD" w:rsidRPr="00300A27">
              <w:rPr>
                <w:rStyle w:val="Hipervnculo"/>
                <w:rFonts w:ascii="Verdana" w:hAnsi="Verdana"/>
                <w:i w:val="0"/>
                <w:iCs w:val="0"/>
                <w:noProof/>
              </w:rPr>
              <w:t>Arguments of the parties</w:t>
            </w:r>
            <w:r w:rsidR="005B1C65" w:rsidRPr="00300A27">
              <w:rPr>
                <w:rStyle w:val="Hipervnculo"/>
                <w:rFonts w:ascii="Verdana" w:hAnsi="Verdana"/>
                <w:i w:val="0"/>
                <w:iCs w:val="0"/>
                <w:noProof/>
              </w:rPr>
              <w:t xml:space="preserve"> and</w:t>
            </w:r>
            <w:r w:rsidR="007071F6" w:rsidRPr="00300A27">
              <w:rPr>
                <w:rStyle w:val="Hipervnculo"/>
                <w:rFonts w:ascii="Verdana" w:hAnsi="Verdana"/>
                <w:i w:val="0"/>
                <w:iCs w:val="0"/>
                <w:noProof/>
              </w:rPr>
              <w:t xml:space="preserve"> of the </w:t>
            </w:r>
            <w:r w:rsidR="00C2001D" w:rsidRPr="00300A27">
              <w:rPr>
                <w:rStyle w:val="Hipervnculo"/>
                <w:rFonts w:ascii="Verdana" w:hAnsi="Verdana"/>
                <w:i w:val="0"/>
                <w:iCs w:val="0"/>
                <w:noProof/>
              </w:rPr>
              <w:t>Commission</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_Toc36823477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2</w:t>
            </w:r>
            <w:r w:rsidR="00C20436" w:rsidRPr="00300A27">
              <w:rPr>
                <w:rFonts w:ascii="Verdana" w:hAnsi="Verdana"/>
                <w:i w:val="0"/>
                <w:iCs w:val="0"/>
                <w:noProof/>
                <w:webHidden/>
              </w:rPr>
              <w:t>6</w:t>
            </w:r>
            <w:r w:rsidR="00632F77" w:rsidRPr="00300A27">
              <w:rPr>
                <w:rFonts w:ascii="Verdana" w:hAnsi="Verdana"/>
                <w:i w:val="0"/>
                <w:iCs w:val="0"/>
                <w:noProof/>
                <w:webHidden/>
              </w:rPr>
              <w:fldChar w:fldCharType="end"/>
            </w:r>
          </w:hyperlink>
        </w:p>
        <w:p w14:paraId="16C51115" w14:textId="5D8665AE" w:rsidR="00632F77" w:rsidRPr="00300A27" w:rsidRDefault="00CF4784" w:rsidP="00B243B6">
          <w:pPr>
            <w:pStyle w:val="TDC2"/>
            <w:spacing w:before="40"/>
            <w:rPr>
              <w:rFonts w:ascii="Verdana" w:eastAsiaTheme="minorEastAsia" w:hAnsi="Verdana" w:cstheme="minorBidi"/>
              <w:i w:val="0"/>
              <w:iCs w:val="0"/>
              <w:noProof/>
            </w:rPr>
          </w:pPr>
          <w:hyperlink w:anchor="_Toc36823478" w:history="1">
            <w:r w:rsidR="00632F77" w:rsidRPr="00300A27">
              <w:rPr>
                <w:rStyle w:val="Hipervnculo"/>
                <w:rFonts w:ascii="Verdana" w:hAnsi="Verdana"/>
                <w:i w:val="0"/>
                <w:iCs w:val="0"/>
                <w:noProof/>
              </w:rPr>
              <w:t>B.</w:t>
            </w:r>
            <w:r w:rsidR="00632F77" w:rsidRPr="00300A27">
              <w:rPr>
                <w:rFonts w:ascii="Verdana" w:eastAsiaTheme="minorEastAsia" w:hAnsi="Verdana" w:cstheme="minorBidi"/>
                <w:i w:val="0"/>
                <w:iCs w:val="0"/>
                <w:noProof/>
              </w:rPr>
              <w:tab/>
            </w:r>
            <w:r w:rsidR="009B35A1" w:rsidRPr="00300A27">
              <w:rPr>
                <w:rStyle w:val="Hipervnculo"/>
                <w:rFonts w:ascii="Verdana" w:hAnsi="Verdana"/>
                <w:i w:val="0"/>
                <w:iCs w:val="0"/>
                <w:noProof/>
              </w:rPr>
              <w:t>Considerations</w:t>
            </w:r>
            <w:r w:rsidR="005B1C65" w:rsidRPr="00300A27">
              <w:rPr>
                <w:rStyle w:val="Hipervnculo"/>
                <w:rFonts w:ascii="Verdana" w:hAnsi="Verdana"/>
                <w:i w:val="0"/>
                <w:iCs w:val="0"/>
                <w:noProof/>
              </w:rPr>
              <w:t xml:space="preserve"> of the Court</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_Toc36823478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2</w:t>
            </w:r>
            <w:r w:rsidR="00C20436" w:rsidRPr="00300A27">
              <w:rPr>
                <w:rFonts w:ascii="Verdana" w:hAnsi="Verdana"/>
                <w:i w:val="0"/>
                <w:iCs w:val="0"/>
                <w:noProof/>
                <w:webHidden/>
              </w:rPr>
              <w:t>7</w:t>
            </w:r>
            <w:r w:rsidR="00632F77" w:rsidRPr="00300A27">
              <w:rPr>
                <w:rFonts w:ascii="Verdana" w:hAnsi="Verdana"/>
                <w:i w:val="0"/>
                <w:iCs w:val="0"/>
                <w:noProof/>
                <w:webHidden/>
              </w:rPr>
              <w:fldChar w:fldCharType="end"/>
            </w:r>
          </w:hyperlink>
        </w:p>
        <w:p w14:paraId="212D050F" w14:textId="57C7E6B4" w:rsidR="00632F77" w:rsidRPr="00300A27" w:rsidRDefault="00CF4784" w:rsidP="00B243B6">
          <w:pPr>
            <w:pStyle w:val="TDC3"/>
            <w:rPr>
              <w:rFonts w:ascii="Verdana" w:eastAsiaTheme="minorEastAsia" w:hAnsi="Verdana" w:cstheme="minorBidi"/>
              <w:noProof/>
            </w:rPr>
          </w:pPr>
          <w:hyperlink w:anchor="_Toc36823479" w:history="1">
            <w:r w:rsidR="00632F77" w:rsidRPr="00300A27">
              <w:rPr>
                <w:rStyle w:val="Hipervnculo"/>
                <w:rFonts w:ascii="Verdana" w:hAnsi="Verdana"/>
                <w:noProof/>
              </w:rPr>
              <w:t>B.1</w:t>
            </w:r>
            <w:r w:rsidR="00632F77" w:rsidRPr="00300A27">
              <w:rPr>
                <w:rFonts w:ascii="Verdana" w:eastAsiaTheme="minorEastAsia" w:hAnsi="Verdana" w:cstheme="minorBidi"/>
                <w:noProof/>
              </w:rPr>
              <w:tab/>
            </w:r>
            <w:r w:rsidR="002959DE" w:rsidRPr="00300A27">
              <w:rPr>
                <w:rStyle w:val="Hipervnculo"/>
                <w:rFonts w:ascii="Verdana" w:hAnsi="Verdana"/>
                <w:noProof/>
              </w:rPr>
              <w:t>Determination of the facts</w:t>
            </w:r>
            <w:r w:rsidR="00632F77" w:rsidRPr="00300A27">
              <w:rPr>
                <w:rFonts w:ascii="Verdana" w:hAnsi="Verdana"/>
                <w:noProof/>
                <w:webHidden/>
              </w:rPr>
              <w:tab/>
            </w:r>
            <w:r w:rsidR="00C20436" w:rsidRPr="00300A27">
              <w:rPr>
                <w:rFonts w:ascii="Verdana" w:hAnsi="Verdana"/>
                <w:noProof/>
                <w:webHidden/>
              </w:rPr>
              <w:t>28</w:t>
            </w:r>
          </w:hyperlink>
        </w:p>
        <w:p w14:paraId="5727CD4A" w14:textId="00F0B473" w:rsidR="00632F77" w:rsidRPr="00300A27" w:rsidRDefault="00CF4784" w:rsidP="00B243B6">
          <w:pPr>
            <w:pStyle w:val="TDC3"/>
            <w:rPr>
              <w:rFonts w:ascii="Verdana" w:eastAsiaTheme="minorEastAsia" w:hAnsi="Verdana" w:cstheme="minorBidi"/>
              <w:noProof/>
            </w:rPr>
          </w:pPr>
          <w:hyperlink w:anchor="_Toc36823480" w:history="1">
            <w:r w:rsidR="00632F77" w:rsidRPr="00300A27">
              <w:rPr>
                <w:rStyle w:val="Hipervnculo"/>
                <w:rFonts w:ascii="Verdana" w:hAnsi="Verdana"/>
                <w:noProof/>
              </w:rPr>
              <w:t xml:space="preserve">B.2 </w:t>
            </w:r>
            <w:r w:rsidR="00632F77" w:rsidRPr="00300A27">
              <w:rPr>
                <w:rFonts w:ascii="Verdana" w:eastAsiaTheme="minorEastAsia" w:hAnsi="Verdana" w:cstheme="minorBidi"/>
                <w:noProof/>
              </w:rPr>
              <w:tab/>
            </w:r>
            <w:r w:rsidR="002959DE" w:rsidRPr="00300A27">
              <w:rPr>
                <w:rStyle w:val="Hipervnculo"/>
                <w:rFonts w:ascii="Verdana" w:hAnsi="Verdana"/>
                <w:noProof/>
              </w:rPr>
              <w:t>Lawfulness of the detention</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_Toc36823480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3</w:t>
            </w:r>
            <w:r w:rsidR="00C20436" w:rsidRPr="00300A27">
              <w:rPr>
                <w:rFonts w:ascii="Verdana" w:hAnsi="Verdana"/>
                <w:noProof/>
                <w:webHidden/>
              </w:rPr>
              <w:t>0</w:t>
            </w:r>
            <w:r w:rsidR="00632F77" w:rsidRPr="00300A27">
              <w:rPr>
                <w:rFonts w:ascii="Verdana" w:hAnsi="Verdana"/>
                <w:noProof/>
                <w:webHidden/>
              </w:rPr>
              <w:fldChar w:fldCharType="end"/>
            </w:r>
          </w:hyperlink>
        </w:p>
        <w:p w14:paraId="2CFB7C9B" w14:textId="22D0879E" w:rsidR="00632F77" w:rsidRPr="00300A27" w:rsidRDefault="00CF4784" w:rsidP="00B243B6">
          <w:pPr>
            <w:pStyle w:val="TDC3"/>
            <w:rPr>
              <w:rFonts w:ascii="Verdana" w:eastAsiaTheme="minorEastAsia" w:hAnsi="Verdana" w:cstheme="minorBidi"/>
              <w:noProof/>
            </w:rPr>
          </w:pPr>
          <w:hyperlink w:anchor="_Toc36823481" w:history="1">
            <w:r w:rsidR="00632F77" w:rsidRPr="00300A27">
              <w:rPr>
                <w:rStyle w:val="Hipervnculo"/>
                <w:rFonts w:ascii="Verdana" w:hAnsi="Verdana"/>
                <w:noProof/>
              </w:rPr>
              <w:t xml:space="preserve">B.3 </w:t>
            </w:r>
            <w:r w:rsidR="00632F77" w:rsidRPr="00300A27">
              <w:rPr>
                <w:rFonts w:ascii="Verdana" w:eastAsiaTheme="minorEastAsia" w:hAnsi="Verdana" w:cstheme="minorBidi"/>
                <w:noProof/>
              </w:rPr>
              <w:tab/>
            </w:r>
            <w:r w:rsidR="002959DE" w:rsidRPr="00300A27">
              <w:rPr>
                <w:rStyle w:val="Hipervnculo"/>
                <w:rFonts w:ascii="Verdana" w:hAnsi="Verdana"/>
                <w:noProof/>
              </w:rPr>
              <w:t>Arbitrary nature of the detention</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_Toc36823481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3</w:t>
            </w:r>
            <w:r w:rsidR="00C20436" w:rsidRPr="00300A27">
              <w:rPr>
                <w:rFonts w:ascii="Verdana" w:hAnsi="Verdana"/>
                <w:noProof/>
                <w:webHidden/>
              </w:rPr>
              <w:t>3</w:t>
            </w:r>
            <w:r w:rsidR="00632F77" w:rsidRPr="00300A27">
              <w:rPr>
                <w:rFonts w:ascii="Verdana" w:hAnsi="Verdana"/>
                <w:noProof/>
                <w:webHidden/>
              </w:rPr>
              <w:fldChar w:fldCharType="end"/>
            </w:r>
          </w:hyperlink>
        </w:p>
        <w:p w14:paraId="46E80F4A" w14:textId="63F6E4D8" w:rsidR="00632F77" w:rsidRPr="00300A27" w:rsidRDefault="00CF4784" w:rsidP="00B243B6">
          <w:pPr>
            <w:pStyle w:val="TDC3"/>
            <w:rPr>
              <w:rFonts w:ascii="Verdana" w:eastAsiaTheme="minorEastAsia" w:hAnsi="Verdana" w:cstheme="minorBidi"/>
              <w:noProof/>
            </w:rPr>
          </w:pPr>
          <w:hyperlink w:anchor="_Toc36823482" w:history="1">
            <w:r w:rsidR="00632F77" w:rsidRPr="00300A27">
              <w:rPr>
                <w:rStyle w:val="Hipervnculo"/>
                <w:rFonts w:ascii="Verdana" w:hAnsi="Verdana"/>
                <w:noProof/>
              </w:rPr>
              <w:t xml:space="preserve">B.4 </w:t>
            </w:r>
            <w:r w:rsidR="00632F77" w:rsidRPr="00300A27">
              <w:rPr>
                <w:rFonts w:ascii="Verdana" w:eastAsiaTheme="minorEastAsia" w:hAnsi="Verdana" w:cstheme="minorBidi"/>
                <w:noProof/>
              </w:rPr>
              <w:tab/>
            </w:r>
            <w:r w:rsidR="002959DE" w:rsidRPr="00300A27">
              <w:rPr>
                <w:rStyle w:val="Hipervnculo"/>
                <w:rFonts w:ascii="Verdana" w:hAnsi="Verdana"/>
                <w:noProof/>
              </w:rPr>
              <w:t>Notification of the reasons for the detention</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_Toc36823482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3</w:t>
            </w:r>
            <w:r w:rsidR="00C20436" w:rsidRPr="00300A27">
              <w:rPr>
                <w:rFonts w:ascii="Verdana" w:hAnsi="Verdana"/>
                <w:noProof/>
                <w:webHidden/>
              </w:rPr>
              <w:t>5</w:t>
            </w:r>
            <w:r w:rsidR="00632F77" w:rsidRPr="00300A27">
              <w:rPr>
                <w:rFonts w:ascii="Verdana" w:hAnsi="Verdana"/>
                <w:noProof/>
                <w:webHidden/>
              </w:rPr>
              <w:fldChar w:fldCharType="end"/>
            </w:r>
          </w:hyperlink>
        </w:p>
        <w:p w14:paraId="4F9F6093" w14:textId="1570D5E2" w:rsidR="00632F77" w:rsidRPr="00300A27" w:rsidRDefault="00CF4784" w:rsidP="00B243B6">
          <w:pPr>
            <w:pStyle w:val="TDC3"/>
            <w:rPr>
              <w:rFonts w:ascii="Verdana" w:eastAsiaTheme="minorEastAsia" w:hAnsi="Verdana" w:cstheme="minorBidi"/>
              <w:noProof/>
            </w:rPr>
          </w:pPr>
          <w:hyperlink w:anchor="_Toc36823483" w:history="1">
            <w:r w:rsidR="00632F77" w:rsidRPr="00300A27">
              <w:rPr>
                <w:rStyle w:val="Hipervnculo"/>
                <w:rFonts w:ascii="Verdana" w:hAnsi="Verdana"/>
                <w:noProof/>
                <w:lang w:eastAsia="es-MX"/>
              </w:rPr>
              <w:t xml:space="preserve">B.5 </w:t>
            </w:r>
            <w:r w:rsidR="00632F77" w:rsidRPr="00300A27">
              <w:rPr>
                <w:rFonts w:ascii="Verdana" w:eastAsiaTheme="minorEastAsia" w:hAnsi="Verdana" w:cstheme="minorBidi"/>
                <w:noProof/>
              </w:rPr>
              <w:tab/>
            </w:r>
            <w:r w:rsidR="00260A35" w:rsidRPr="00300A27">
              <w:rPr>
                <w:rStyle w:val="Hipervnculo"/>
                <w:rFonts w:ascii="Verdana" w:hAnsi="Verdana"/>
                <w:noProof/>
                <w:lang w:eastAsia="es-MX"/>
              </w:rPr>
              <w:t>Conclusion</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_Toc36823483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3</w:t>
            </w:r>
            <w:r w:rsidR="00C20436" w:rsidRPr="00300A27">
              <w:rPr>
                <w:rFonts w:ascii="Verdana" w:hAnsi="Verdana"/>
                <w:noProof/>
                <w:webHidden/>
              </w:rPr>
              <w:t>5</w:t>
            </w:r>
            <w:r w:rsidR="00632F77" w:rsidRPr="00300A27">
              <w:rPr>
                <w:rFonts w:ascii="Verdana" w:hAnsi="Verdana"/>
                <w:noProof/>
                <w:webHidden/>
              </w:rPr>
              <w:fldChar w:fldCharType="end"/>
            </w:r>
          </w:hyperlink>
        </w:p>
        <w:p w14:paraId="3048C750" w14:textId="733AE020" w:rsidR="00632F77" w:rsidRPr="00300A27" w:rsidRDefault="00CF4784" w:rsidP="00B243B6">
          <w:pPr>
            <w:pStyle w:val="TDC1"/>
            <w:tabs>
              <w:tab w:val="right" w:pos="9394"/>
            </w:tabs>
            <w:spacing w:before="40" w:after="0"/>
            <w:rPr>
              <w:rFonts w:ascii="Verdana" w:eastAsiaTheme="minorEastAsia" w:hAnsi="Verdana" w:cstheme="minorBidi"/>
              <w:b w:val="0"/>
              <w:bCs w:val="0"/>
              <w:noProof/>
            </w:rPr>
          </w:pPr>
          <w:hyperlink w:anchor="_Toc36823484" w:history="1">
            <w:r w:rsidR="00632F77" w:rsidRPr="00300A27">
              <w:rPr>
                <w:rStyle w:val="Hipervnculo"/>
                <w:rFonts w:ascii="Verdana" w:hAnsi="Verdana"/>
                <w:noProof/>
              </w:rPr>
              <w:t xml:space="preserve">VII-3 </w:t>
            </w:r>
            <w:r w:rsidR="002959DE" w:rsidRPr="00300A27">
              <w:rPr>
                <w:rStyle w:val="Hipervnculo"/>
                <w:rFonts w:ascii="Verdana" w:hAnsi="Verdana"/>
                <w:noProof/>
              </w:rPr>
              <w:t>RIGHTS TO PERSONAL INTEGRITY AND TO PRIVACY</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_Toc36823484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3</w:t>
            </w:r>
            <w:r w:rsidR="00C20436" w:rsidRPr="00300A27">
              <w:rPr>
                <w:rFonts w:ascii="Verdana" w:hAnsi="Verdana"/>
                <w:noProof/>
                <w:webHidden/>
              </w:rPr>
              <w:t>6</w:t>
            </w:r>
            <w:r w:rsidR="00632F77" w:rsidRPr="00300A27">
              <w:rPr>
                <w:rFonts w:ascii="Verdana" w:hAnsi="Verdana"/>
                <w:noProof/>
                <w:webHidden/>
              </w:rPr>
              <w:fldChar w:fldCharType="end"/>
            </w:r>
          </w:hyperlink>
        </w:p>
        <w:p w14:paraId="73130EB8" w14:textId="2115272B" w:rsidR="00632F77" w:rsidRPr="00300A27" w:rsidRDefault="00CF4784" w:rsidP="00B243B6">
          <w:pPr>
            <w:pStyle w:val="TDC2"/>
            <w:spacing w:before="40"/>
            <w:rPr>
              <w:rFonts w:ascii="Verdana" w:eastAsiaTheme="minorEastAsia" w:hAnsi="Verdana" w:cstheme="minorBidi"/>
              <w:i w:val="0"/>
              <w:iCs w:val="0"/>
              <w:noProof/>
            </w:rPr>
          </w:pPr>
          <w:hyperlink w:anchor="_Toc36823485" w:history="1">
            <w:r w:rsidR="00632F77" w:rsidRPr="00300A27">
              <w:rPr>
                <w:rStyle w:val="Hipervnculo"/>
                <w:rFonts w:ascii="Verdana" w:hAnsi="Verdana"/>
                <w:i w:val="0"/>
                <w:iCs w:val="0"/>
                <w:noProof/>
              </w:rPr>
              <w:t>A.</w:t>
            </w:r>
            <w:r w:rsidR="00632F77" w:rsidRPr="00300A27">
              <w:rPr>
                <w:rFonts w:ascii="Verdana" w:eastAsiaTheme="minorEastAsia" w:hAnsi="Verdana" w:cstheme="minorBidi"/>
                <w:i w:val="0"/>
                <w:iCs w:val="0"/>
                <w:noProof/>
              </w:rPr>
              <w:tab/>
            </w:r>
            <w:r w:rsidR="00FD36FD" w:rsidRPr="00300A27">
              <w:rPr>
                <w:rStyle w:val="Hipervnculo"/>
                <w:rFonts w:ascii="Verdana" w:hAnsi="Verdana"/>
                <w:i w:val="0"/>
                <w:iCs w:val="0"/>
                <w:noProof/>
              </w:rPr>
              <w:t>Arguments of the parties</w:t>
            </w:r>
            <w:r w:rsidR="005B1C65" w:rsidRPr="00300A27">
              <w:rPr>
                <w:rStyle w:val="Hipervnculo"/>
                <w:rFonts w:ascii="Verdana" w:hAnsi="Verdana"/>
                <w:i w:val="0"/>
                <w:iCs w:val="0"/>
                <w:noProof/>
              </w:rPr>
              <w:t xml:space="preserve"> and</w:t>
            </w:r>
            <w:r w:rsidR="007071F6" w:rsidRPr="00300A27">
              <w:rPr>
                <w:rStyle w:val="Hipervnculo"/>
                <w:rFonts w:ascii="Verdana" w:hAnsi="Verdana"/>
                <w:i w:val="0"/>
                <w:iCs w:val="0"/>
                <w:noProof/>
              </w:rPr>
              <w:t xml:space="preserve"> of the </w:t>
            </w:r>
            <w:r w:rsidR="00C2001D" w:rsidRPr="00300A27">
              <w:rPr>
                <w:rStyle w:val="Hipervnculo"/>
                <w:rFonts w:ascii="Verdana" w:hAnsi="Verdana"/>
                <w:i w:val="0"/>
                <w:iCs w:val="0"/>
                <w:noProof/>
              </w:rPr>
              <w:t>Commission</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_Toc36823485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3</w:t>
            </w:r>
            <w:r w:rsidR="00C20436" w:rsidRPr="00300A27">
              <w:rPr>
                <w:rFonts w:ascii="Verdana" w:hAnsi="Verdana"/>
                <w:i w:val="0"/>
                <w:iCs w:val="0"/>
                <w:noProof/>
                <w:webHidden/>
              </w:rPr>
              <w:t>6</w:t>
            </w:r>
            <w:r w:rsidR="00632F77" w:rsidRPr="00300A27">
              <w:rPr>
                <w:rFonts w:ascii="Verdana" w:hAnsi="Verdana"/>
                <w:i w:val="0"/>
                <w:iCs w:val="0"/>
                <w:noProof/>
                <w:webHidden/>
              </w:rPr>
              <w:fldChar w:fldCharType="end"/>
            </w:r>
          </w:hyperlink>
        </w:p>
        <w:p w14:paraId="3D288DB3" w14:textId="7A17732C" w:rsidR="00632F77" w:rsidRPr="00300A27" w:rsidRDefault="00CF4784" w:rsidP="00B243B6">
          <w:pPr>
            <w:pStyle w:val="TDC2"/>
            <w:spacing w:before="40"/>
            <w:rPr>
              <w:rFonts w:ascii="Verdana" w:eastAsiaTheme="minorEastAsia" w:hAnsi="Verdana" w:cstheme="minorBidi"/>
              <w:i w:val="0"/>
              <w:iCs w:val="0"/>
              <w:noProof/>
            </w:rPr>
          </w:pPr>
          <w:hyperlink w:anchor="_Toc36823486" w:history="1">
            <w:r w:rsidR="00632F77" w:rsidRPr="00300A27">
              <w:rPr>
                <w:rStyle w:val="Hipervnculo"/>
                <w:rFonts w:ascii="Verdana" w:hAnsi="Verdana"/>
                <w:i w:val="0"/>
                <w:iCs w:val="0"/>
                <w:noProof/>
                <w:lang w:eastAsia="es-MX"/>
              </w:rPr>
              <w:t>B.</w:t>
            </w:r>
            <w:r w:rsidR="00632F77" w:rsidRPr="00300A27">
              <w:rPr>
                <w:rFonts w:ascii="Verdana" w:eastAsiaTheme="minorEastAsia" w:hAnsi="Verdana" w:cstheme="minorBidi"/>
                <w:i w:val="0"/>
                <w:iCs w:val="0"/>
                <w:noProof/>
              </w:rPr>
              <w:tab/>
            </w:r>
            <w:r w:rsidR="009B35A1" w:rsidRPr="00300A27">
              <w:rPr>
                <w:rStyle w:val="Hipervnculo"/>
                <w:rFonts w:ascii="Verdana" w:hAnsi="Verdana"/>
                <w:i w:val="0"/>
                <w:iCs w:val="0"/>
                <w:noProof/>
                <w:lang w:eastAsia="es-MX"/>
              </w:rPr>
              <w:t>Considerations</w:t>
            </w:r>
            <w:r w:rsidR="005B1C65" w:rsidRPr="00300A27">
              <w:rPr>
                <w:rStyle w:val="Hipervnculo"/>
                <w:rFonts w:ascii="Verdana" w:hAnsi="Verdana"/>
                <w:i w:val="0"/>
                <w:iCs w:val="0"/>
                <w:noProof/>
                <w:lang w:eastAsia="es-MX"/>
              </w:rPr>
              <w:t xml:space="preserve"> of the Court</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_Toc36823486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3</w:t>
            </w:r>
            <w:r w:rsidR="00C20436" w:rsidRPr="00300A27">
              <w:rPr>
                <w:rFonts w:ascii="Verdana" w:hAnsi="Verdana"/>
                <w:i w:val="0"/>
                <w:iCs w:val="0"/>
                <w:noProof/>
                <w:webHidden/>
              </w:rPr>
              <w:t>7</w:t>
            </w:r>
            <w:r w:rsidR="00632F77" w:rsidRPr="00300A27">
              <w:rPr>
                <w:rFonts w:ascii="Verdana" w:hAnsi="Verdana"/>
                <w:i w:val="0"/>
                <w:iCs w:val="0"/>
                <w:noProof/>
                <w:webHidden/>
              </w:rPr>
              <w:fldChar w:fldCharType="end"/>
            </w:r>
          </w:hyperlink>
        </w:p>
        <w:p w14:paraId="57D0D262" w14:textId="59B9D7AB" w:rsidR="00632F77" w:rsidRPr="00300A27" w:rsidRDefault="00CF4784" w:rsidP="00B243B6">
          <w:pPr>
            <w:pStyle w:val="TDC3"/>
            <w:rPr>
              <w:rFonts w:ascii="Verdana" w:eastAsiaTheme="minorEastAsia" w:hAnsi="Verdana" w:cstheme="minorBidi"/>
              <w:noProof/>
            </w:rPr>
          </w:pPr>
          <w:hyperlink w:anchor="_Toc36823487" w:history="1">
            <w:r w:rsidR="00632F77" w:rsidRPr="00300A27">
              <w:rPr>
                <w:rStyle w:val="Hipervnculo"/>
                <w:rFonts w:ascii="Verdana" w:hAnsi="Verdana"/>
                <w:noProof/>
              </w:rPr>
              <w:t xml:space="preserve">B.1 </w:t>
            </w:r>
            <w:r w:rsidR="00632F77" w:rsidRPr="00300A27">
              <w:rPr>
                <w:rFonts w:ascii="Verdana" w:eastAsiaTheme="minorEastAsia" w:hAnsi="Verdana" w:cstheme="minorBidi"/>
                <w:noProof/>
              </w:rPr>
              <w:tab/>
            </w:r>
            <w:r w:rsidR="002959DE" w:rsidRPr="00300A27">
              <w:rPr>
                <w:rStyle w:val="Hipervnculo"/>
                <w:rFonts w:ascii="Verdana" w:hAnsi="Verdana"/>
                <w:noProof/>
              </w:rPr>
              <w:t>The statements made by</w:t>
            </w:r>
            <w:r w:rsidR="00632F77" w:rsidRPr="00300A27">
              <w:rPr>
                <w:rStyle w:val="Hipervnculo"/>
                <w:rFonts w:ascii="Verdana" w:hAnsi="Verdana"/>
                <w:noProof/>
              </w:rPr>
              <w:t xml:space="preserve"> Azul Rojas Marín</w:t>
            </w:r>
            <w:r w:rsidR="00632F77" w:rsidRPr="00300A27">
              <w:rPr>
                <w:rFonts w:ascii="Verdana" w:hAnsi="Verdana"/>
                <w:noProof/>
                <w:webHidden/>
              </w:rPr>
              <w:tab/>
            </w:r>
            <w:r w:rsidR="00C20436" w:rsidRPr="00300A27">
              <w:rPr>
                <w:rFonts w:ascii="Verdana" w:hAnsi="Verdana"/>
                <w:noProof/>
                <w:webHidden/>
              </w:rPr>
              <w:t>38</w:t>
            </w:r>
          </w:hyperlink>
        </w:p>
        <w:p w14:paraId="0123E8F3" w14:textId="3EFA0534" w:rsidR="00632F77" w:rsidRPr="00300A27" w:rsidRDefault="00CF4784" w:rsidP="00B243B6">
          <w:pPr>
            <w:pStyle w:val="TDC3"/>
            <w:rPr>
              <w:rFonts w:ascii="Verdana" w:eastAsiaTheme="minorEastAsia" w:hAnsi="Verdana" w:cstheme="minorBidi"/>
              <w:noProof/>
            </w:rPr>
          </w:pPr>
          <w:hyperlink w:anchor="_Toc36823488" w:history="1">
            <w:r w:rsidR="00632F77" w:rsidRPr="00300A27">
              <w:rPr>
                <w:rStyle w:val="Hipervnculo"/>
                <w:rFonts w:ascii="Verdana" w:hAnsi="Verdana"/>
                <w:noProof/>
              </w:rPr>
              <w:t xml:space="preserve">B.2 </w:t>
            </w:r>
            <w:r w:rsidR="00632F77" w:rsidRPr="00300A27">
              <w:rPr>
                <w:rFonts w:ascii="Verdana" w:eastAsiaTheme="minorEastAsia" w:hAnsi="Verdana" w:cstheme="minorBidi"/>
                <w:noProof/>
              </w:rPr>
              <w:tab/>
            </w:r>
            <w:r w:rsidR="002959DE" w:rsidRPr="00300A27">
              <w:rPr>
                <w:rStyle w:val="Hipervnculo"/>
                <w:rFonts w:ascii="Verdana" w:hAnsi="Verdana"/>
                <w:noProof/>
              </w:rPr>
              <w:t xml:space="preserve">Forensic </w:t>
            </w:r>
            <w:r w:rsidR="00467FD3" w:rsidRPr="00300A27">
              <w:rPr>
                <w:rStyle w:val="Hipervnculo"/>
                <w:rFonts w:ascii="Verdana" w:hAnsi="Verdana"/>
                <w:noProof/>
              </w:rPr>
              <w:t xml:space="preserve">medical </w:t>
            </w:r>
            <w:r w:rsidR="002959DE" w:rsidRPr="00300A27">
              <w:rPr>
                <w:rStyle w:val="Hipervnculo"/>
                <w:rFonts w:ascii="Verdana" w:hAnsi="Verdana"/>
                <w:noProof/>
              </w:rPr>
              <w:t>examination</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_Toc36823488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4</w:t>
            </w:r>
            <w:r w:rsidR="00C20436" w:rsidRPr="00300A27">
              <w:rPr>
                <w:rFonts w:ascii="Verdana" w:hAnsi="Verdana"/>
                <w:noProof/>
                <w:webHidden/>
              </w:rPr>
              <w:t>1</w:t>
            </w:r>
            <w:r w:rsidR="00632F77" w:rsidRPr="00300A27">
              <w:rPr>
                <w:rFonts w:ascii="Verdana" w:hAnsi="Verdana"/>
                <w:noProof/>
                <w:webHidden/>
              </w:rPr>
              <w:fldChar w:fldCharType="end"/>
            </w:r>
          </w:hyperlink>
        </w:p>
        <w:p w14:paraId="59AC629B" w14:textId="4216DA1A" w:rsidR="00632F77" w:rsidRPr="00300A27" w:rsidRDefault="00CF4784" w:rsidP="00B243B6">
          <w:pPr>
            <w:pStyle w:val="TDC3"/>
            <w:rPr>
              <w:rFonts w:ascii="Verdana" w:eastAsiaTheme="minorEastAsia" w:hAnsi="Verdana" w:cstheme="minorBidi"/>
              <w:noProof/>
            </w:rPr>
          </w:pPr>
          <w:hyperlink w:anchor="_Toc36823489" w:history="1">
            <w:r w:rsidR="00632F77" w:rsidRPr="00300A27">
              <w:rPr>
                <w:rStyle w:val="Hipervnculo"/>
                <w:rFonts w:ascii="Verdana" w:hAnsi="Verdana"/>
                <w:noProof/>
              </w:rPr>
              <w:t xml:space="preserve">B.3 </w:t>
            </w:r>
            <w:r w:rsidR="00632F77" w:rsidRPr="00300A27">
              <w:rPr>
                <w:rFonts w:ascii="Verdana" w:eastAsiaTheme="minorEastAsia" w:hAnsi="Verdana" w:cstheme="minorBidi"/>
                <w:noProof/>
              </w:rPr>
              <w:tab/>
            </w:r>
            <w:r w:rsidR="00DE1419" w:rsidRPr="00300A27">
              <w:rPr>
                <w:rStyle w:val="Hipervnculo"/>
                <w:rFonts w:ascii="Verdana" w:hAnsi="Verdana"/>
                <w:noProof/>
              </w:rPr>
              <w:t>Expert appraisal</w:t>
            </w:r>
            <w:r w:rsidR="008546E9" w:rsidRPr="00300A27">
              <w:rPr>
                <w:rStyle w:val="Hipervnculo"/>
                <w:rFonts w:ascii="Verdana" w:hAnsi="Verdana"/>
                <w:noProof/>
              </w:rPr>
              <w:t xml:space="preserve"> of the </w:t>
            </w:r>
            <w:r w:rsidR="00834A1B" w:rsidRPr="00300A27">
              <w:rPr>
                <w:rStyle w:val="Hipervnculo"/>
                <w:rFonts w:ascii="Verdana" w:hAnsi="Verdana"/>
                <w:noProof/>
              </w:rPr>
              <w:t>presumed victim</w:t>
            </w:r>
            <w:r w:rsidR="00DE1419" w:rsidRPr="00300A27">
              <w:rPr>
                <w:rStyle w:val="Hipervnculo"/>
                <w:rFonts w:ascii="Verdana" w:hAnsi="Verdana"/>
                <w:noProof/>
              </w:rPr>
              <w:t>’s clothing</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_Toc36823489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4</w:t>
            </w:r>
            <w:r w:rsidR="00C20436" w:rsidRPr="00300A27">
              <w:rPr>
                <w:rFonts w:ascii="Verdana" w:hAnsi="Verdana"/>
                <w:noProof/>
                <w:webHidden/>
              </w:rPr>
              <w:t>2</w:t>
            </w:r>
            <w:r w:rsidR="00632F77" w:rsidRPr="00300A27">
              <w:rPr>
                <w:rFonts w:ascii="Verdana" w:hAnsi="Verdana"/>
                <w:noProof/>
                <w:webHidden/>
              </w:rPr>
              <w:fldChar w:fldCharType="end"/>
            </w:r>
          </w:hyperlink>
        </w:p>
        <w:p w14:paraId="454FB438" w14:textId="54537BBC" w:rsidR="00632F77" w:rsidRPr="00300A27" w:rsidRDefault="00CF4784" w:rsidP="00B243B6">
          <w:pPr>
            <w:pStyle w:val="TDC3"/>
            <w:rPr>
              <w:rFonts w:ascii="Verdana" w:eastAsiaTheme="minorEastAsia" w:hAnsi="Verdana" w:cstheme="minorBidi"/>
              <w:noProof/>
            </w:rPr>
          </w:pPr>
          <w:hyperlink w:anchor="_Toc36823490" w:history="1">
            <w:r w:rsidR="00632F77" w:rsidRPr="00300A27">
              <w:rPr>
                <w:rStyle w:val="Hipervnculo"/>
                <w:rFonts w:ascii="Verdana" w:hAnsi="Verdana"/>
                <w:noProof/>
              </w:rPr>
              <w:t xml:space="preserve">B.4 </w:t>
            </w:r>
            <w:r w:rsidR="00632F77" w:rsidRPr="00300A27">
              <w:rPr>
                <w:rFonts w:ascii="Verdana" w:eastAsiaTheme="minorEastAsia" w:hAnsi="Verdana" w:cstheme="minorBidi"/>
                <w:noProof/>
              </w:rPr>
              <w:tab/>
            </w:r>
            <w:r w:rsidR="00632F77" w:rsidRPr="00300A27">
              <w:rPr>
                <w:rStyle w:val="Hipervnculo"/>
                <w:rFonts w:ascii="Verdana" w:hAnsi="Verdana"/>
                <w:noProof/>
              </w:rPr>
              <w:t>Determina</w:t>
            </w:r>
            <w:r w:rsidR="00DE1419" w:rsidRPr="00300A27">
              <w:rPr>
                <w:rStyle w:val="Hipervnculo"/>
                <w:rFonts w:ascii="Verdana" w:hAnsi="Verdana"/>
                <w:noProof/>
              </w:rPr>
              <w:t>tion of the ill-treatment that occurred</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_Toc36823490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4</w:t>
            </w:r>
            <w:r w:rsidR="00C20436" w:rsidRPr="00300A27">
              <w:rPr>
                <w:rFonts w:ascii="Verdana" w:hAnsi="Verdana"/>
                <w:noProof/>
                <w:webHidden/>
              </w:rPr>
              <w:t>2</w:t>
            </w:r>
            <w:r w:rsidR="00632F77" w:rsidRPr="00300A27">
              <w:rPr>
                <w:rFonts w:ascii="Verdana" w:hAnsi="Verdana"/>
                <w:noProof/>
                <w:webHidden/>
              </w:rPr>
              <w:fldChar w:fldCharType="end"/>
            </w:r>
          </w:hyperlink>
        </w:p>
        <w:p w14:paraId="1DC19A78" w14:textId="2E90AD5D" w:rsidR="00632F77" w:rsidRPr="00300A27" w:rsidRDefault="00CF4784" w:rsidP="00B243B6">
          <w:pPr>
            <w:pStyle w:val="TDC3"/>
            <w:rPr>
              <w:rFonts w:ascii="Verdana" w:eastAsiaTheme="minorEastAsia" w:hAnsi="Verdana" w:cstheme="minorBidi"/>
              <w:noProof/>
            </w:rPr>
          </w:pPr>
          <w:hyperlink w:anchor="_Toc36823491" w:history="1">
            <w:r w:rsidR="00632F77" w:rsidRPr="00300A27">
              <w:rPr>
                <w:rStyle w:val="Hipervnculo"/>
                <w:rFonts w:ascii="Verdana" w:hAnsi="Verdana"/>
                <w:noProof/>
              </w:rPr>
              <w:t xml:space="preserve">B.5 </w:t>
            </w:r>
            <w:r w:rsidR="00632F77" w:rsidRPr="00300A27">
              <w:rPr>
                <w:rFonts w:ascii="Verdana" w:eastAsiaTheme="minorEastAsia" w:hAnsi="Verdana" w:cstheme="minorBidi"/>
                <w:noProof/>
              </w:rPr>
              <w:tab/>
            </w:r>
            <w:r w:rsidR="00DE1419" w:rsidRPr="00300A27">
              <w:rPr>
                <w:rStyle w:val="Hipervnculo"/>
                <w:rFonts w:ascii="Verdana" w:hAnsi="Verdana"/>
                <w:noProof/>
              </w:rPr>
              <w:t>Legal classification</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_Toc36823491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4</w:t>
            </w:r>
            <w:r w:rsidR="00C20436" w:rsidRPr="00300A27">
              <w:rPr>
                <w:rFonts w:ascii="Verdana" w:hAnsi="Verdana"/>
                <w:noProof/>
                <w:webHidden/>
              </w:rPr>
              <w:t>2</w:t>
            </w:r>
            <w:r w:rsidR="00632F77" w:rsidRPr="00300A27">
              <w:rPr>
                <w:rFonts w:ascii="Verdana" w:hAnsi="Verdana"/>
                <w:noProof/>
                <w:webHidden/>
              </w:rPr>
              <w:fldChar w:fldCharType="end"/>
            </w:r>
          </w:hyperlink>
        </w:p>
        <w:p w14:paraId="274FA412" w14:textId="5C019418" w:rsidR="00632F77" w:rsidRPr="00300A27" w:rsidRDefault="00CF4784" w:rsidP="00B243B6">
          <w:pPr>
            <w:pStyle w:val="TDC1"/>
            <w:tabs>
              <w:tab w:val="right" w:pos="9394"/>
            </w:tabs>
            <w:spacing w:before="40" w:after="0"/>
            <w:rPr>
              <w:rFonts w:ascii="Verdana" w:eastAsiaTheme="minorEastAsia" w:hAnsi="Verdana" w:cstheme="minorBidi"/>
              <w:b w:val="0"/>
              <w:bCs w:val="0"/>
              <w:noProof/>
            </w:rPr>
          </w:pPr>
          <w:hyperlink w:anchor="_Toc36823492" w:history="1">
            <w:r w:rsidR="00632F77" w:rsidRPr="00300A27">
              <w:rPr>
                <w:rStyle w:val="Hipervnculo"/>
                <w:rFonts w:ascii="Verdana" w:hAnsi="Verdana"/>
                <w:noProof/>
              </w:rPr>
              <w:t xml:space="preserve">VII-4 </w:t>
            </w:r>
            <w:r w:rsidR="002959DE" w:rsidRPr="00300A27">
              <w:rPr>
                <w:rStyle w:val="Hipervnculo"/>
                <w:rFonts w:ascii="Verdana" w:hAnsi="Verdana"/>
                <w:noProof/>
              </w:rPr>
              <w:t>RIGHTS TO JUDICIAL GUARANTEES AND JUDICIAL PROTECTION</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_Toc36823492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4</w:t>
            </w:r>
            <w:r w:rsidR="00C20436" w:rsidRPr="00300A27">
              <w:rPr>
                <w:rFonts w:ascii="Verdana" w:hAnsi="Verdana"/>
                <w:noProof/>
                <w:webHidden/>
              </w:rPr>
              <w:t>5</w:t>
            </w:r>
            <w:r w:rsidR="00632F77" w:rsidRPr="00300A27">
              <w:rPr>
                <w:rFonts w:ascii="Verdana" w:hAnsi="Verdana"/>
                <w:noProof/>
                <w:webHidden/>
              </w:rPr>
              <w:fldChar w:fldCharType="end"/>
            </w:r>
          </w:hyperlink>
        </w:p>
        <w:p w14:paraId="3555FC0A" w14:textId="37184023" w:rsidR="00632F77" w:rsidRPr="00300A27" w:rsidRDefault="00CF4784" w:rsidP="00B243B6">
          <w:pPr>
            <w:pStyle w:val="TDC2"/>
            <w:spacing w:before="40"/>
            <w:rPr>
              <w:rFonts w:ascii="Verdana" w:eastAsiaTheme="minorEastAsia" w:hAnsi="Verdana" w:cstheme="minorBidi"/>
              <w:i w:val="0"/>
              <w:iCs w:val="0"/>
              <w:noProof/>
            </w:rPr>
          </w:pPr>
          <w:hyperlink w:anchor="_Toc36823493" w:history="1">
            <w:r w:rsidR="00632F77" w:rsidRPr="00300A27">
              <w:rPr>
                <w:rStyle w:val="Hipervnculo"/>
                <w:rFonts w:ascii="Verdana" w:hAnsi="Verdana"/>
                <w:i w:val="0"/>
                <w:iCs w:val="0"/>
                <w:noProof/>
              </w:rPr>
              <w:t>A.</w:t>
            </w:r>
            <w:r w:rsidR="00632F77" w:rsidRPr="00300A27">
              <w:rPr>
                <w:rFonts w:ascii="Verdana" w:eastAsiaTheme="minorEastAsia" w:hAnsi="Verdana" w:cstheme="minorBidi"/>
                <w:i w:val="0"/>
                <w:iCs w:val="0"/>
                <w:noProof/>
              </w:rPr>
              <w:tab/>
            </w:r>
            <w:r w:rsidR="00FD36FD" w:rsidRPr="00300A27">
              <w:rPr>
                <w:rStyle w:val="Hipervnculo"/>
                <w:rFonts w:ascii="Verdana" w:hAnsi="Verdana"/>
                <w:i w:val="0"/>
                <w:iCs w:val="0"/>
                <w:noProof/>
              </w:rPr>
              <w:t>Arguments of the parties</w:t>
            </w:r>
            <w:r w:rsidR="005B1C65" w:rsidRPr="00300A27">
              <w:rPr>
                <w:rStyle w:val="Hipervnculo"/>
                <w:rFonts w:ascii="Verdana" w:hAnsi="Verdana"/>
                <w:i w:val="0"/>
                <w:iCs w:val="0"/>
                <w:noProof/>
              </w:rPr>
              <w:t xml:space="preserve"> and</w:t>
            </w:r>
            <w:r w:rsidR="007071F6" w:rsidRPr="00300A27">
              <w:rPr>
                <w:rStyle w:val="Hipervnculo"/>
                <w:rFonts w:ascii="Verdana" w:hAnsi="Verdana"/>
                <w:i w:val="0"/>
                <w:iCs w:val="0"/>
                <w:noProof/>
              </w:rPr>
              <w:t xml:space="preserve"> of the </w:t>
            </w:r>
            <w:r w:rsidR="00C2001D" w:rsidRPr="00300A27">
              <w:rPr>
                <w:rStyle w:val="Hipervnculo"/>
                <w:rFonts w:ascii="Verdana" w:hAnsi="Verdana"/>
                <w:i w:val="0"/>
                <w:iCs w:val="0"/>
                <w:noProof/>
              </w:rPr>
              <w:t>Commission</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_Toc36823493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4</w:t>
            </w:r>
            <w:r w:rsidR="00C20436" w:rsidRPr="00300A27">
              <w:rPr>
                <w:rFonts w:ascii="Verdana" w:hAnsi="Verdana"/>
                <w:i w:val="0"/>
                <w:iCs w:val="0"/>
                <w:noProof/>
                <w:webHidden/>
              </w:rPr>
              <w:t>5</w:t>
            </w:r>
            <w:r w:rsidR="00632F77" w:rsidRPr="00300A27">
              <w:rPr>
                <w:rFonts w:ascii="Verdana" w:hAnsi="Verdana"/>
                <w:i w:val="0"/>
                <w:iCs w:val="0"/>
                <w:noProof/>
                <w:webHidden/>
              </w:rPr>
              <w:fldChar w:fldCharType="end"/>
            </w:r>
          </w:hyperlink>
        </w:p>
        <w:p w14:paraId="3EB2D9A2" w14:textId="06A972A1" w:rsidR="00632F77" w:rsidRPr="00300A27" w:rsidRDefault="00CF4784" w:rsidP="00B243B6">
          <w:pPr>
            <w:pStyle w:val="TDC2"/>
            <w:spacing w:before="40"/>
            <w:rPr>
              <w:rFonts w:ascii="Verdana" w:eastAsiaTheme="minorEastAsia" w:hAnsi="Verdana" w:cstheme="minorBidi"/>
              <w:i w:val="0"/>
              <w:iCs w:val="0"/>
              <w:noProof/>
            </w:rPr>
          </w:pPr>
          <w:hyperlink w:anchor="_Toc36823494" w:history="1">
            <w:r w:rsidR="00632F77" w:rsidRPr="00300A27">
              <w:rPr>
                <w:rStyle w:val="Hipervnculo"/>
                <w:rFonts w:ascii="Verdana" w:hAnsi="Verdana"/>
                <w:i w:val="0"/>
                <w:iCs w:val="0"/>
                <w:noProof/>
              </w:rPr>
              <w:t>B.</w:t>
            </w:r>
            <w:r w:rsidR="00632F77" w:rsidRPr="00300A27">
              <w:rPr>
                <w:rFonts w:ascii="Verdana" w:eastAsiaTheme="minorEastAsia" w:hAnsi="Verdana" w:cstheme="minorBidi"/>
                <w:i w:val="0"/>
                <w:iCs w:val="0"/>
                <w:noProof/>
              </w:rPr>
              <w:tab/>
            </w:r>
            <w:r w:rsidR="009B35A1" w:rsidRPr="00300A27">
              <w:rPr>
                <w:rStyle w:val="Hipervnculo"/>
                <w:rFonts w:ascii="Verdana" w:hAnsi="Verdana"/>
                <w:i w:val="0"/>
                <w:iCs w:val="0"/>
                <w:noProof/>
              </w:rPr>
              <w:t>Considerations</w:t>
            </w:r>
            <w:r w:rsidR="005B1C65" w:rsidRPr="00300A27">
              <w:rPr>
                <w:rStyle w:val="Hipervnculo"/>
                <w:rFonts w:ascii="Verdana" w:hAnsi="Verdana"/>
                <w:i w:val="0"/>
                <w:iCs w:val="0"/>
                <w:noProof/>
              </w:rPr>
              <w:t xml:space="preserve"> of the Court</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_Toc36823494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4</w:t>
            </w:r>
            <w:r w:rsidR="00C20436" w:rsidRPr="00300A27">
              <w:rPr>
                <w:rFonts w:ascii="Verdana" w:hAnsi="Verdana"/>
                <w:i w:val="0"/>
                <w:iCs w:val="0"/>
                <w:noProof/>
                <w:webHidden/>
              </w:rPr>
              <w:t>6</w:t>
            </w:r>
            <w:r w:rsidR="00632F77" w:rsidRPr="00300A27">
              <w:rPr>
                <w:rFonts w:ascii="Verdana" w:hAnsi="Verdana"/>
                <w:i w:val="0"/>
                <w:iCs w:val="0"/>
                <w:noProof/>
                <w:webHidden/>
              </w:rPr>
              <w:fldChar w:fldCharType="end"/>
            </w:r>
          </w:hyperlink>
        </w:p>
        <w:p w14:paraId="6E53F90F" w14:textId="4F64120F" w:rsidR="00632F77" w:rsidRPr="00300A27" w:rsidRDefault="00CF4784" w:rsidP="00B243B6">
          <w:pPr>
            <w:pStyle w:val="TDC3"/>
            <w:rPr>
              <w:rFonts w:ascii="Verdana" w:eastAsiaTheme="minorEastAsia" w:hAnsi="Verdana" w:cstheme="minorBidi"/>
              <w:noProof/>
            </w:rPr>
          </w:pPr>
          <w:hyperlink w:anchor="_Toc36823495" w:history="1">
            <w:r w:rsidR="00632F77" w:rsidRPr="00300A27">
              <w:rPr>
                <w:rStyle w:val="Hipervnculo"/>
                <w:rFonts w:ascii="Verdana" w:hAnsi="Verdana"/>
                <w:noProof/>
              </w:rPr>
              <w:t>B.1</w:t>
            </w:r>
            <w:r w:rsidR="00632F77" w:rsidRPr="00300A27">
              <w:rPr>
                <w:rFonts w:ascii="Verdana" w:eastAsiaTheme="minorEastAsia" w:hAnsi="Verdana" w:cstheme="minorBidi"/>
                <w:noProof/>
              </w:rPr>
              <w:tab/>
            </w:r>
            <w:r w:rsidR="00CD6F00" w:rsidRPr="00300A27">
              <w:rPr>
                <w:rStyle w:val="Hipervnculo"/>
                <w:rFonts w:ascii="Verdana" w:hAnsi="Verdana"/>
                <w:noProof/>
              </w:rPr>
              <w:t>Obligation to receive the complaint</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_Toc36823495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4</w:t>
            </w:r>
            <w:r w:rsidR="00C20436" w:rsidRPr="00300A27">
              <w:rPr>
                <w:rFonts w:ascii="Verdana" w:hAnsi="Verdana"/>
                <w:noProof/>
                <w:webHidden/>
              </w:rPr>
              <w:t>7</w:t>
            </w:r>
            <w:r w:rsidR="00632F77" w:rsidRPr="00300A27">
              <w:rPr>
                <w:rFonts w:ascii="Verdana" w:hAnsi="Verdana"/>
                <w:noProof/>
                <w:webHidden/>
              </w:rPr>
              <w:fldChar w:fldCharType="end"/>
            </w:r>
          </w:hyperlink>
        </w:p>
        <w:p w14:paraId="2686B328" w14:textId="64246643" w:rsidR="00632F77" w:rsidRPr="00300A27" w:rsidRDefault="00CF4784" w:rsidP="00B243B6">
          <w:pPr>
            <w:pStyle w:val="TDC3"/>
            <w:rPr>
              <w:rFonts w:ascii="Verdana" w:eastAsiaTheme="minorEastAsia" w:hAnsi="Verdana" w:cstheme="minorBidi"/>
              <w:noProof/>
            </w:rPr>
          </w:pPr>
          <w:hyperlink w:anchor="_Toc36823496" w:history="1">
            <w:r w:rsidR="00632F77" w:rsidRPr="00300A27">
              <w:rPr>
                <w:rStyle w:val="Hipervnculo"/>
                <w:rFonts w:ascii="Verdana" w:hAnsi="Verdana"/>
                <w:noProof/>
              </w:rPr>
              <w:t xml:space="preserve">B.2 </w:t>
            </w:r>
            <w:r w:rsidR="00632F77" w:rsidRPr="00300A27">
              <w:rPr>
                <w:rStyle w:val="Hipervnculo"/>
                <w:rFonts w:ascii="Verdana" w:hAnsi="Verdana"/>
                <w:noProof/>
              </w:rPr>
              <w:tab/>
            </w:r>
            <w:r w:rsidR="00CD6F00" w:rsidRPr="00300A27">
              <w:rPr>
                <w:rStyle w:val="Hipervnculo"/>
                <w:rFonts w:ascii="Verdana" w:hAnsi="Verdana"/>
                <w:noProof/>
              </w:rPr>
              <w:t>Due diligence in the investigation</w:t>
            </w:r>
            <w:r w:rsidR="00632F77" w:rsidRPr="00300A27">
              <w:rPr>
                <w:rFonts w:ascii="Verdana" w:hAnsi="Verdana"/>
                <w:noProof/>
                <w:webHidden/>
              </w:rPr>
              <w:tab/>
            </w:r>
            <w:r w:rsidR="00C20436" w:rsidRPr="00300A27">
              <w:rPr>
                <w:rFonts w:ascii="Verdana" w:hAnsi="Verdana"/>
                <w:noProof/>
                <w:webHidden/>
              </w:rPr>
              <w:t>47</w:t>
            </w:r>
          </w:hyperlink>
        </w:p>
        <w:p w14:paraId="1893BF01" w14:textId="73B9ADE3" w:rsidR="00632F77" w:rsidRPr="00300A27" w:rsidRDefault="00CF4784" w:rsidP="00B243B6">
          <w:pPr>
            <w:pStyle w:val="TDC3"/>
            <w:rPr>
              <w:rFonts w:ascii="Verdana" w:eastAsiaTheme="minorEastAsia" w:hAnsi="Verdana" w:cstheme="minorBidi"/>
              <w:noProof/>
            </w:rPr>
          </w:pPr>
          <w:hyperlink w:anchor="_Toc36823497" w:history="1">
            <w:r w:rsidR="00632F77" w:rsidRPr="00300A27">
              <w:rPr>
                <w:rStyle w:val="Hipervnculo"/>
                <w:rFonts w:ascii="Verdana" w:hAnsi="Verdana"/>
                <w:noProof/>
              </w:rPr>
              <w:t xml:space="preserve">B.3 </w:t>
            </w:r>
            <w:r w:rsidR="00632F77" w:rsidRPr="00300A27">
              <w:rPr>
                <w:rStyle w:val="Hipervnculo"/>
                <w:rFonts w:ascii="Verdana" w:hAnsi="Verdana"/>
                <w:noProof/>
              </w:rPr>
              <w:tab/>
            </w:r>
            <w:r w:rsidR="00CD6F00" w:rsidRPr="00300A27">
              <w:rPr>
                <w:rStyle w:val="Hipervnculo"/>
                <w:rFonts w:ascii="Verdana" w:hAnsi="Verdana"/>
                <w:noProof/>
              </w:rPr>
              <w:t xml:space="preserve">The absence of an investigation into the </w:t>
            </w:r>
            <w:r w:rsidR="0013678A" w:rsidRPr="00300A27">
              <w:rPr>
                <w:rStyle w:val="Hipervnculo"/>
                <w:rFonts w:ascii="Verdana" w:hAnsi="Verdana"/>
                <w:noProof/>
              </w:rPr>
              <w:t>crime of torture</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_Toc36823497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5</w:t>
            </w:r>
            <w:r w:rsidR="00C20436" w:rsidRPr="00300A27">
              <w:rPr>
                <w:rFonts w:ascii="Verdana" w:hAnsi="Verdana"/>
                <w:noProof/>
                <w:webHidden/>
              </w:rPr>
              <w:t>5</w:t>
            </w:r>
            <w:r w:rsidR="00632F77" w:rsidRPr="00300A27">
              <w:rPr>
                <w:rFonts w:ascii="Verdana" w:hAnsi="Verdana"/>
                <w:noProof/>
                <w:webHidden/>
              </w:rPr>
              <w:fldChar w:fldCharType="end"/>
            </w:r>
          </w:hyperlink>
        </w:p>
        <w:p w14:paraId="7713490D" w14:textId="782FB37E" w:rsidR="00632F77" w:rsidRPr="00300A27" w:rsidRDefault="00CF4784" w:rsidP="002C2504">
          <w:pPr>
            <w:pStyle w:val="TDC3"/>
            <w:rPr>
              <w:rFonts w:ascii="Verdana" w:eastAsiaTheme="minorEastAsia" w:hAnsi="Verdana" w:cstheme="minorBidi"/>
              <w:noProof/>
            </w:rPr>
          </w:pPr>
          <w:hyperlink w:anchor="_Toc36823498" w:history="1">
            <w:r w:rsidR="00632F77" w:rsidRPr="00300A27">
              <w:rPr>
                <w:rStyle w:val="Hipervnculo"/>
                <w:rFonts w:ascii="Verdana" w:hAnsi="Verdana"/>
                <w:noProof/>
              </w:rPr>
              <w:t>B.4</w:t>
            </w:r>
            <w:r w:rsidR="00632F77" w:rsidRPr="00300A27">
              <w:rPr>
                <w:rFonts w:ascii="Verdana" w:eastAsiaTheme="minorEastAsia" w:hAnsi="Verdana" w:cstheme="minorBidi"/>
                <w:noProof/>
              </w:rPr>
              <w:tab/>
            </w:r>
            <w:r w:rsidR="00CD6F00" w:rsidRPr="00300A27">
              <w:rPr>
                <w:rStyle w:val="Hipervnculo"/>
                <w:rFonts w:ascii="Verdana" w:hAnsi="Verdana"/>
                <w:noProof/>
              </w:rPr>
              <w:t>The dismissal decision</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_Toc36823498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5</w:t>
            </w:r>
            <w:r w:rsidR="00C20436" w:rsidRPr="00300A27">
              <w:rPr>
                <w:rFonts w:ascii="Verdana" w:hAnsi="Verdana"/>
                <w:noProof/>
                <w:webHidden/>
              </w:rPr>
              <w:t>5</w:t>
            </w:r>
            <w:r w:rsidR="00632F77" w:rsidRPr="00300A27">
              <w:rPr>
                <w:rFonts w:ascii="Verdana" w:hAnsi="Verdana"/>
                <w:noProof/>
                <w:webHidden/>
              </w:rPr>
              <w:fldChar w:fldCharType="end"/>
            </w:r>
          </w:hyperlink>
        </w:p>
        <w:p w14:paraId="39E660B3" w14:textId="516E2491" w:rsidR="00632F77" w:rsidRPr="00300A27" w:rsidRDefault="00CF4784" w:rsidP="002C2504">
          <w:pPr>
            <w:pStyle w:val="TDC3"/>
            <w:rPr>
              <w:rFonts w:ascii="Verdana" w:eastAsiaTheme="minorEastAsia" w:hAnsi="Verdana" w:cstheme="minorBidi"/>
              <w:noProof/>
            </w:rPr>
          </w:pPr>
          <w:hyperlink w:anchor="_Toc36823499" w:history="1">
            <w:r w:rsidR="00632F77" w:rsidRPr="00300A27">
              <w:rPr>
                <w:rStyle w:val="Hipervnculo"/>
                <w:rFonts w:ascii="Verdana" w:hAnsi="Verdana"/>
                <w:noProof/>
              </w:rPr>
              <w:t xml:space="preserve">B.5 </w:t>
            </w:r>
            <w:r w:rsidR="00632F77" w:rsidRPr="00300A27">
              <w:rPr>
                <w:rStyle w:val="Hipervnculo"/>
                <w:rFonts w:ascii="Verdana" w:hAnsi="Verdana"/>
                <w:noProof/>
              </w:rPr>
              <w:tab/>
            </w:r>
            <w:r w:rsidR="00260A35" w:rsidRPr="00300A27">
              <w:rPr>
                <w:rStyle w:val="Hipervnculo"/>
                <w:rFonts w:ascii="Verdana" w:hAnsi="Verdana"/>
                <w:noProof/>
              </w:rPr>
              <w:t>Conclusion</w:t>
            </w:r>
            <w:r w:rsidR="00632F77" w:rsidRPr="00300A27">
              <w:rPr>
                <w:rFonts w:ascii="Verdana" w:hAnsi="Verdana"/>
                <w:noProof/>
                <w:webHidden/>
              </w:rPr>
              <w:tab/>
            </w:r>
            <w:r w:rsidR="00C20436" w:rsidRPr="00300A27">
              <w:rPr>
                <w:rFonts w:ascii="Verdana" w:hAnsi="Verdana"/>
                <w:noProof/>
                <w:webHidden/>
              </w:rPr>
              <w:t>57</w:t>
            </w:r>
          </w:hyperlink>
        </w:p>
        <w:p w14:paraId="561878EF" w14:textId="46F8A7A8" w:rsidR="00632F77" w:rsidRPr="00300A27" w:rsidRDefault="00CF4784" w:rsidP="002C2504">
          <w:pPr>
            <w:pStyle w:val="TDC1"/>
            <w:tabs>
              <w:tab w:val="left" w:pos="567"/>
              <w:tab w:val="right" w:pos="9394"/>
            </w:tabs>
            <w:spacing w:before="40" w:after="0"/>
            <w:rPr>
              <w:rFonts w:ascii="Verdana" w:hAnsi="Verdana"/>
              <w:noProof/>
            </w:rPr>
          </w:pPr>
          <w:hyperlink w:anchor="_Toc36823500" w:history="1">
            <w:r w:rsidR="00632F77" w:rsidRPr="00300A27">
              <w:rPr>
                <w:rStyle w:val="Hipervnculo"/>
                <w:rFonts w:ascii="Verdana" w:hAnsi="Verdana"/>
                <w:noProof/>
              </w:rPr>
              <w:t xml:space="preserve">VII-5 </w:t>
            </w:r>
            <w:r w:rsidR="002959DE" w:rsidRPr="00300A27">
              <w:rPr>
                <w:rStyle w:val="Hipervnculo"/>
                <w:rFonts w:ascii="Verdana" w:hAnsi="Verdana"/>
                <w:noProof/>
              </w:rPr>
              <w:t>RIGHT TO PERSONAL INTEGRITY OF AZUL ROJAS MARÍN’S MOTHER</w:t>
            </w:r>
            <w:r w:rsidR="00632F77" w:rsidRPr="00300A27">
              <w:rPr>
                <w:rFonts w:ascii="Verdana" w:hAnsi="Verdana"/>
                <w:noProof/>
                <w:webHidden/>
              </w:rPr>
              <w:tab/>
            </w:r>
            <w:r w:rsidR="00C20436" w:rsidRPr="00300A27">
              <w:rPr>
                <w:rFonts w:ascii="Verdana" w:hAnsi="Verdana"/>
                <w:noProof/>
                <w:webHidden/>
              </w:rPr>
              <w:t>57</w:t>
            </w:r>
          </w:hyperlink>
        </w:p>
        <w:p w14:paraId="4C44A176" w14:textId="61926C6F" w:rsidR="002C2504" w:rsidRPr="00300A27" w:rsidRDefault="002C2504" w:rsidP="002C2504">
          <w:pPr>
            <w:tabs>
              <w:tab w:val="left" w:pos="567"/>
            </w:tabs>
          </w:pPr>
          <w:r w:rsidRPr="00300A27">
            <w:t>A.</w:t>
          </w:r>
          <w:r w:rsidRPr="00300A27">
            <w:tab/>
            <w:t>Arguments of the parties and the Commission</w:t>
          </w:r>
          <w:r w:rsidRPr="00300A27">
            <w:tab/>
          </w:r>
          <w:r w:rsidRPr="00300A27">
            <w:tab/>
          </w:r>
          <w:r w:rsidRPr="00300A27">
            <w:tab/>
          </w:r>
          <w:r w:rsidRPr="00300A27">
            <w:tab/>
          </w:r>
          <w:r w:rsidRPr="00300A27">
            <w:tab/>
            <w:t xml:space="preserve">       57</w:t>
          </w:r>
        </w:p>
        <w:p w14:paraId="03E454BA" w14:textId="5952E6AA" w:rsidR="00632F77" w:rsidRPr="00300A27" w:rsidRDefault="00CF4784" w:rsidP="002C2504">
          <w:pPr>
            <w:pStyle w:val="TDC2"/>
            <w:spacing w:before="40"/>
            <w:rPr>
              <w:rFonts w:ascii="Verdana" w:eastAsiaTheme="minorEastAsia" w:hAnsi="Verdana" w:cstheme="minorBidi"/>
              <w:i w:val="0"/>
              <w:iCs w:val="0"/>
              <w:noProof/>
            </w:rPr>
          </w:pPr>
          <w:hyperlink w:anchor="_Toc36823501" w:history="1">
            <w:r w:rsidR="00632F77" w:rsidRPr="00300A27">
              <w:rPr>
                <w:rStyle w:val="Hipervnculo"/>
                <w:rFonts w:ascii="Verdana" w:hAnsi="Verdana"/>
                <w:i w:val="0"/>
                <w:iCs w:val="0"/>
                <w:noProof/>
              </w:rPr>
              <w:t>B.</w:t>
            </w:r>
            <w:r w:rsidR="00632F77" w:rsidRPr="00300A27">
              <w:rPr>
                <w:rFonts w:ascii="Verdana" w:eastAsiaTheme="minorEastAsia" w:hAnsi="Verdana" w:cstheme="minorBidi"/>
                <w:i w:val="0"/>
                <w:iCs w:val="0"/>
                <w:noProof/>
              </w:rPr>
              <w:tab/>
            </w:r>
            <w:r w:rsidR="009B35A1" w:rsidRPr="00300A27">
              <w:rPr>
                <w:rStyle w:val="Hipervnculo"/>
                <w:rFonts w:ascii="Verdana" w:hAnsi="Verdana"/>
                <w:i w:val="0"/>
                <w:iCs w:val="0"/>
                <w:noProof/>
              </w:rPr>
              <w:t>Considerations</w:t>
            </w:r>
            <w:r w:rsidR="005B1C65" w:rsidRPr="00300A27">
              <w:rPr>
                <w:rStyle w:val="Hipervnculo"/>
                <w:rFonts w:ascii="Verdana" w:hAnsi="Verdana"/>
                <w:i w:val="0"/>
                <w:iCs w:val="0"/>
                <w:noProof/>
              </w:rPr>
              <w:t xml:space="preserve"> of the Court</w:t>
            </w:r>
            <w:r w:rsidR="00632F77" w:rsidRPr="00300A27">
              <w:rPr>
                <w:rFonts w:ascii="Verdana" w:hAnsi="Verdana"/>
                <w:i w:val="0"/>
                <w:iCs w:val="0"/>
                <w:noProof/>
                <w:webHidden/>
              </w:rPr>
              <w:tab/>
            </w:r>
            <w:r w:rsidR="002C2504" w:rsidRPr="00300A27">
              <w:rPr>
                <w:rFonts w:ascii="Verdana" w:hAnsi="Verdana"/>
                <w:i w:val="0"/>
                <w:iCs w:val="0"/>
                <w:noProof/>
                <w:webHidden/>
              </w:rPr>
              <w:t>58</w:t>
            </w:r>
          </w:hyperlink>
        </w:p>
        <w:p w14:paraId="69930643" w14:textId="09FD4008" w:rsidR="00632F77" w:rsidRPr="00300A27" w:rsidRDefault="00CF4784" w:rsidP="00B243B6">
          <w:pPr>
            <w:pStyle w:val="TDC1"/>
            <w:tabs>
              <w:tab w:val="right" w:pos="9394"/>
            </w:tabs>
            <w:spacing w:before="40" w:after="0"/>
            <w:rPr>
              <w:rFonts w:ascii="Verdana" w:eastAsiaTheme="minorEastAsia" w:hAnsi="Verdana" w:cstheme="minorBidi"/>
              <w:b w:val="0"/>
              <w:bCs w:val="0"/>
              <w:noProof/>
            </w:rPr>
          </w:pPr>
          <w:hyperlink w:anchor="_Toc36823502" w:history="1">
            <w:r w:rsidR="00632F77" w:rsidRPr="00300A27">
              <w:rPr>
                <w:rStyle w:val="Hipervnculo"/>
                <w:rFonts w:ascii="Verdana" w:hAnsi="Verdana"/>
                <w:noProof/>
              </w:rPr>
              <w:t xml:space="preserve">VIII </w:t>
            </w:r>
            <w:r w:rsidR="002959DE" w:rsidRPr="00300A27">
              <w:rPr>
                <w:rStyle w:val="Hipervnculo"/>
                <w:rFonts w:ascii="Verdana" w:hAnsi="Verdana"/>
                <w:noProof/>
              </w:rPr>
              <w:t>REPARATIONS</w:t>
            </w:r>
            <w:r w:rsidR="00632F77" w:rsidRPr="00300A27">
              <w:rPr>
                <w:rFonts w:ascii="Verdana" w:hAnsi="Verdana"/>
                <w:noProof/>
                <w:webHidden/>
              </w:rPr>
              <w:tab/>
            </w:r>
            <w:r w:rsidR="002C2504" w:rsidRPr="00300A27">
              <w:rPr>
                <w:rFonts w:ascii="Verdana" w:hAnsi="Verdana"/>
                <w:noProof/>
                <w:webHidden/>
              </w:rPr>
              <w:t>59</w:t>
            </w:r>
          </w:hyperlink>
        </w:p>
        <w:p w14:paraId="48641600" w14:textId="540D6DDB" w:rsidR="00632F77" w:rsidRPr="00300A27" w:rsidRDefault="00CF4784" w:rsidP="00B243B6">
          <w:pPr>
            <w:pStyle w:val="TDC2"/>
            <w:spacing w:before="40"/>
            <w:rPr>
              <w:rFonts w:ascii="Verdana" w:eastAsiaTheme="minorEastAsia" w:hAnsi="Verdana" w:cstheme="minorBidi"/>
              <w:i w:val="0"/>
              <w:iCs w:val="0"/>
              <w:noProof/>
            </w:rPr>
          </w:pPr>
          <w:hyperlink w:anchor="_Toc36823503" w:history="1">
            <w:r w:rsidR="00632F77" w:rsidRPr="00300A27">
              <w:rPr>
                <w:rStyle w:val="Hipervnculo"/>
                <w:rFonts w:ascii="Verdana" w:hAnsi="Verdana"/>
                <w:i w:val="0"/>
                <w:iCs w:val="0"/>
                <w:noProof/>
                <w:lang w:eastAsia="es-ES"/>
              </w:rPr>
              <w:t>A.</w:t>
            </w:r>
            <w:r w:rsidR="00632F77" w:rsidRPr="00300A27">
              <w:rPr>
                <w:rFonts w:ascii="Verdana" w:eastAsiaTheme="minorEastAsia" w:hAnsi="Verdana" w:cstheme="minorBidi"/>
                <w:i w:val="0"/>
                <w:iCs w:val="0"/>
                <w:noProof/>
              </w:rPr>
              <w:tab/>
            </w:r>
            <w:r w:rsidR="002959DE" w:rsidRPr="00300A27">
              <w:rPr>
                <w:rStyle w:val="Hipervnculo"/>
                <w:rFonts w:ascii="Verdana" w:hAnsi="Verdana"/>
                <w:i w:val="0"/>
                <w:iCs w:val="0"/>
                <w:noProof/>
              </w:rPr>
              <w:t>Injured party</w:t>
            </w:r>
            <w:r w:rsidR="00632F77" w:rsidRPr="00300A27">
              <w:rPr>
                <w:rFonts w:ascii="Verdana" w:hAnsi="Verdana"/>
                <w:i w:val="0"/>
                <w:iCs w:val="0"/>
                <w:noProof/>
                <w:webHidden/>
              </w:rPr>
              <w:tab/>
            </w:r>
            <w:r w:rsidR="002C2504" w:rsidRPr="00300A27">
              <w:rPr>
                <w:rFonts w:ascii="Verdana" w:hAnsi="Verdana"/>
                <w:i w:val="0"/>
                <w:iCs w:val="0"/>
                <w:noProof/>
                <w:webHidden/>
              </w:rPr>
              <w:t>59</w:t>
            </w:r>
          </w:hyperlink>
        </w:p>
        <w:p w14:paraId="42ACD9CA" w14:textId="5F139E12" w:rsidR="00632F77" w:rsidRPr="00300A27" w:rsidRDefault="00CF4784" w:rsidP="00B243B6">
          <w:pPr>
            <w:pStyle w:val="TDC2"/>
            <w:spacing w:before="40"/>
            <w:rPr>
              <w:rFonts w:ascii="Verdana" w:eastAsiaTheme="minorEastAsia" w:hAnsi="Verdana" w:cstheme="minorBidi"/>
              <w:i w:val="0"/>
              <w:iCs w:val="0"/>
              <w:noProof/>
            </w:rPr>
          </w:pPr>
          <w:hyperlink w:anchor="_Toc36823504" w:history="1">
            <w:r w:rsidR="00632F77" w:rsidRPr="00300A27">
              <w:rPr>
                <w:rStyle w:val="Hipervnculo"/>
                <w:rFonts w:ascii="Verdana" w:hAnsi="Verdana"/>
                <w:i w:val="0"/>
                <w:iCs w:val="0"/>
                <w:noProof/>
                <w:lang w:eastAsia="es-ES"/>
              </w:rPr>
              <w:t>B.</w:t>
            </w:r>
            <w:r w:rsidR="00632F77" w:rsidRPr="00300A27">
              <w:rPr>
                <w:rFonts w:ascii="Verdana" w:eastAsiaTheme="minorEastAsia" w:hAnsi="Verdana" w:cstheme="minorBidi"/>
                <w:i w:val="0"/>
                <w:iCs w:val="0"/>
                <w:noProof/>
              </w:rPr>
              <w:tab/>
            </w:r>
            <w:r w:rsidR="002959DE" w:rsidRPr="00300A27">
              <w:rPr>
                <w:rStyle w:val="Hipervnculo"/>
                <w:rFonts w:ascii="Verdana" w:hAnsi="Verdana"/>
                <w:i w:val="0"/>
                <w:iCs w:val="0"/>
                <w:noProof/>
              </w:rPr>
              <w:t>Obligation to investigate</w:t>
            </w:r>
            <w:r w:rsidR="00632F77" w:rsidRPr="00300A27">
              <w:rPr>
                <w:rFonts w:ascii="Verdana" w:hAnsi="Verdana"/>
                <w:i w:val="0"/>
                <w:iCs w:val="0"/>
                <w:noProof/>
                <w:webHidden/>
              </w:rPr>
              <w:tab/>
            </w:r>
            <w:r w:rsidR="002C2504" w:rsidRPr="00300A27">
              <w:rPr>
                <w:rFonts w:ascii="Verdana" w:hAnsi="Verdana"/>
                <w:i w:val="0"/>
                <w:iCs w:val="0"/>
                <w:noProof/>
                <w:webHidden/>
              </w:rPr>
              <w:t>59</w:t>
            </w:r>
          </w:hyperlink>
        </w:p>
        <w:p w14:paraId="7C2BE169" w14:textId="44623038" w:rsidR="00632F77" w:rsidRPr="00300A27" w:rsidRDefault="00CF4784" w:rsidP="00B243B6">
          <w:pPr>
            <w:pStyle w:val="TDC2"/>
            <w:spacing w:before="40"/>
            <w:rPr>
              <w:rFonts w:ascii="Verdana" w:eastAsiaTheme="minorEastAsia" w:hAnsi="Verdana" w:cstheme="minorBidi"/>
              <w:i w:val="0"/>
              <w:iCs w:val="0"/>
              <w:noProof/>
            </w:rPr>
          </w:pPr>
          <w:hyperlink w:anchor="_Toc36823505" w:history="1">
            <w:r w:rsidR="00632F77" w:rsidRPr="00300A27">
              <w:rPr>
                <w:rStyle w:val="Hipervnculo"/>
                <w:rFonts w:ascii="Verdana" w:hAnsi="Verdana"/>
                <w:i w:val="0"/>
                <w:iCs w:val="0"/>
                <w:noProof/>
                <w:lang w:eastAsia="es-ES"/>
              </w:rPr>
              <w:t>C.</w:t>
            </w:r>
            <w:r w:rsidR="00632F77" w:rsidRPr="00300A27">
              <w:rPr>
                <w:rFonts w:ascii="Verdana" w:eastAsiaTheme="minorEastAsia" w:hAnsi="Verdana" w:cstheme="minorBidi"/>
                <w:i w:val="0"/>
                <w:iCs w:val="0"/>
                <w:noProof/>
              </w:rPr>
              <w:tab/>
            </w:r>
            <w:r w:rsidR="002959DE" w:rsidRPr="00300A27">
              <w:rPr>
                <w:rStyle w:val="Hipervnculo"/>
                <w:rFonts w:ascii="Verdana" w:hAnsi="Verdana"/>
                <w:i w:val="0"/>
                <w:iCs w:val="0"/>
                <w:noProof/>
              </w:rPr>
              <w:t>Measures of satisfaction</w:t>
            </w:r>
            <w:r w:rsidR="005B1C65" w:rsidRPr="00300A27">
              <w:rPr>
                <w:rStyle w:val="Hipervnculo"/>
                <w:rFonts w:ascii="Verdana" w:hAnsi="Verdana"/>
                <w:i w:val="0"/>
                <w:iCs w:val="0"/>
                <w:noProof/>
              </w:rPr>
              <w:t xml:space="preserve"> and </w:t>
            </w:r>
            <w:r w:rsidR="002959DE" w:rsidRPr="00300A27">
              <w:rPr>
                <w:rStyle w:val="Hipervnculo"/>
                <w:rFonts w:ascii="Verdana" w:hAnsi="Verdana"/>
                <w:i w:val="0"/>
                <w:iCs w:val="0"/>
                <w:noProof/>
              </w:rPr>
              <w:t>rehabilitation</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_Toc36823505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6</w:t>
            </w:r>
            <w:r w:rsidR="002C2504" w:rsidRPr="00300A27">
              <w:rPr>
                <w:rFonts w:ascii="Verdana" w:hAnsi="Verdana"/>
                <w:i w:val="0"/>
                <w:iCs w:val="0"/>
                <w:noProof/>
                <w:webHidden/>
              </w:rPr>
              <w:t>0</w:t>
            </w:r>
            <w:r w:rsidR="00632F77" w:rsidRPr="00300A27">
              <w:rPr>
                <w:rFonts w:ascii="Verdana" w:hAnsi="Verdana"/>
                <w:i w:val="0"/>
                <w:iCs w:val="0"/>
                <w:noProof/>
                <w:webHidden/>
              </w:rPr>
              <w:fldChar w:fldCharType="end"/>
            </w:r>
          </w:hyperlink>
        </w:p>
        <w:p w14:paraId="3A7380D7" w14:textId="1661DFF1" w:rsidR="00632F77" w:rsidRPr="00300A27" w:rsidRDefault="00CF4784" w:rsidP="00B243B6">
          <w:pPr>
            <w:pStyle w:val="TDC3"/>
            <w:rPr>
              <w:rFonts w:ascii="Verdana" w:eastAsiaTheme="minorEastAsia" w:hAnsi="Verdana" w:cstheme="minorBidi"/>
              <w:noProof/>
            </w:rPr>
          </w:pPr>
          <w:hyperlink w:anchor="_Toc36823506" w:history="1">
            <w:r w:rsidR="00632F77" w:rsidRPr="00300A27">
              <w:rPr>
                <w:rStyle w:val="Hipervnculo"/>
                <w:rFonts w:ascii="Verdana" w:hAnsi="Verdana"/>
                <w:noProof/>
              </w:rPr>
              <w:t xml:space="preserve">C.1 </w:t>
            </w:r>
            <w:r w:rsidR="00632F77" w:rsidRPr="00300A27">
              <w:rPr>
                <w:rStyle w:val="Hipervnculo"/>
                <w:rFonts w:ascii="Verdana" w:hAnsi="Verdana"/>
                <w:noProof/>
              </w:rPr>
              <w:tab/>
            </w:r>
            <w:r w:rsidR="002959DE" w:rsidRPr="00300A27">
              <w:rPr>
                <w:rStyle w:val="Hipervnculo"/>
                <w:rFonts w:ascii="Verdana" w:hAnsi="Verdana"/>
                <w:noProof/>
              </w:rPr>
              <w:t>Measures of satisfaction</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_Toc36823506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6</w:t>
            </w:r>
            <w:r w:rsidR="002C2504" w:rsidRPr="00300A27">
              <w:rPr>
                <w:rFonts w:ascii="Verdana" w:hAnsi="Verdana"/>
                <w:noProof/>
                <w:webHidden/>
              </w:rPr>
              <w:t>0</w:t>
            </w:r>
            <w:r w:rsidR="00632F77" w:rsidRPr="00300A27">
              <w:rPr>
                <w:rFonts w:ascii="Verdana" w:hAnsi="Verdana"/>
                <w:noProof/>
                <w:webHidden/>
              </w:rPr>
              <w:fldChar w:fldCharType="end"/>
            </w:r>
          </w:hyperlink>
        </w:p>
        <w:p w14:paraId="7C229025" w14:textId="6FFA65D5" w:rsidR="00632F77" w:rsidRPr="00300A27" w:rsidRDefault="00CF4784" w:rsidP="00B243B6">
          <w:pPr>
            <w:pStyle w:val="TDC3"/>
            <w:rPr>
              <w:rFonts w:ascii="Verdana" w:eastAsiaTheme="minorEastAsia" w:hAnsi="Verdana" w:cstheme="minorBidi"/>
              <w:noProof/>
            </w:rPr>
          </w:pPr>
          <w:hyperlink w:anchor="_Toc36823507" w:history="1">
            <w:r w:rsidR="00632F77" w:rsidRPr="00300A27">
              <w:rPr>
                <w:rStyle w:val="Hipervnculo"/>
                <w:rFonts w:ascii="Verdana" w:hAnsi="Verdana"/>
                <w:noProof/>
              </w:rPr>
              <w:t xml:space="preserve">C.2. </w:t>
            </w:r>
            <w:r w:rsidR="00632F77" w:rsidRPr="00300A27">
              <w:rPr>
                <w:rStyle w:val="Hipervnculo"/>
                <w:rFonts w:ascii="Verdana" w:hAnsi="Verdana"/>
                <w:noProof/>
              </w:rPr>
              <w:tab/>
            </w:r>
            <w:r w:rsidR="002959DE" w:rsidRPr="00300A27">
              <w:rPr>
                <w:rStyle w:val="Hipervnculo"/>
                <w:rFonts w:ascii="Verdana" w:hAnsi="Verdana"/>
                <w:noProof/>
              </w:rPr>
              <w:t>Measures of</w:t>
            </w:r>
            <w:r w:rsidR="00632F77" w:rsidRPr="00300A27">
              <w:rPr>
                <w:rStyle w:val="Hipervnculo"/>
                <w:rFonts w:ascii="Verdana" w:hAnsi="Verdana"/>
                <w:noProof/>
              </w:rPr>
              <w:t xml:space="preserve"> </w:t>
            </w:r>
            <w:r w:rsidR="002959DE" w:rsidRPr="00300A27">
              <w:rPr>
                <w:rStyle w:val="Hipervnculo"/>
                <w:rFonts w:ascii="Verdana" w:hAnsi="Verdana"/>
                <w:noProof/>
              </w:rPr>
              <w:t>rehabilitation</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_Toc36823507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6</w:t>
            </w:r>
            <w:r w:rsidR="002C2504" w:rsidRPr="00300A27">
              <w:rPr>
                <w:rFonts w:ascii="Verdana" w:hAnsi="Verdana"/>
                <w:noProof/>
                <w:webHidden/>
              </w:rPr>
              <w:t>1</w:t>
            </w:r>
            <w:r w:rsidR="00632F77" w:rsidRPr="00300A27">
              <w:rPr>
                <w:rFonts w:ascii="Verdana" w:hAnsi="Verdana"/>
                <w:noProof/>
                <w:webHidden/>
              </w:rPr>
              <w:fldChar w:fldCharType="end"/>
            </w:r>
          </w:hyperlink>
        </w:p>
        <w:p w14:paraId="5500C5B0" w14:textId="487B1222" w:rsidR="00632F77" w:rsidRPr="00300A27" w:rsidRDefault="00CF4784" w:rsidP="00B243B6">
          <w:pPr>
            <w:pStyle w:val="TDC2"/>
            <w:spacing w:before="40"/>
            <w:rPr>
              <w:rFonts w:ascii="Verdana" w:eastAsiaTheme="minorEastAsia" w:hAnsi="Verdana" w:cstheme="minorBidi"/>
              <w:i w:val="0"/>
              <w:iCs w:val="0"/>
              <w:noProof/>
            </w:rPr>
          </w:pPr>
          <w:hyperlink w:anchor="_Toc36823508" w:history="1">
            <w:r w:rsidR="00632F77" w:rsidRPr="00300A27">
              <w:rPr>
                <w:rStyle w:val="Hipervnculo"/>
                <w:rFonts w:ascii="Verdana" w:hAnsi="Verdana"/>
                <w:i w:val="0"/>
                <w:iCs w:val="0"/>
                <w:noProof/>
              </w:rPr>
              <w:t>D.</w:t>
            </w:r>
            <w:r w:rsidR="00632F77" w:rsidRPr="00300A27">
              <w:rPr>
                <w:rFonts w:ascii="Verdana" w:eastAsiaTheme="minorEastAsia" w:hAnsi="Verdana" w:cstheme="minorBidi"/>
                <w:i w:val="0"/>
                <w:iCs w:val="0"/>
                <w:noProof/>
              </w:rPr>
              <w:tab/>
            </w:r>
            <w:r w:rsidR="002959DE" w:rsidRPr="00300A27">
              <w:rPr>
                <w:rStyle w:val="Hipervnculo"/>
                <w:rFonts w:ascii="Verdana" w:hAnsi="Verdana"/>
                <w:i w:val="0"/>
                <w:iCs w:val="0"/>
                <w:noProof/>
              </w:rPr>
              <w:t>Guarantees of non-repetition</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_Toc36823508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6</w:t>
            </w:r>
            <w:r w:rsidR="002C2504" w:rsidRPr="00300A27">
              <w:rPr>
                <w:rFonts w:ascii="Verdana" w:hAnsi="Verdana"/>
                <w:i w:val="0"/>
                <w:iCs w:val="0"/>
                <w:noProof/>
                <w:webHidden/>
              </w:rPr>
              <w:t>2</w:t>
            </w:r>
            <w:r w:rsidR="00632F77" w:rsidRPr="00300A27">
              <w:rPr>
                <w:rFonts w:ascii="Verdana" w:hAnsi="Verdana"/>
                <w:i w:val="0"/>
                <w:iCs w:val="0"/>
                <w:noProof/>
                <w:webHidden/>
              </w:rPr>
              <w:fldChar w:fldCharType="end"/>
            </w:r>
          </w:hyperlink>
        </w:p>
        <w:p w14:paraId="19ACE0A9" w14:textId="4FA95BDE" w:rsidR="00632F77" w:rsidRPr="00300A27" w:rsidRDefault="00CF4784" w:rsidP="00B243B6">
          <w:pPr>
            <w:pStyle w:val="TDC3"/>
            <w:rPr>
              <w:rFonts w:ascii="Verdana" w:eastAsiaTheme="minorEastAsia" w:hAnsi="Verdana" w:cstheme="minorBidi"/>
              <w:noProof/>
            </w:rPr>
          </w:pPr>
          <w:hyperlink w:anchor="_Toc36823509" w:history="1">
            <w:r w:rsidR="00632F77" w:rsidRPr="00300A27">
              <w:rPr>
                <w:rStyle w:val="Hipervnculo"/>
                <w:rFonts w:ascii="Verdana" w:hAnsi="Verdana"/>
                <w:noProof/>
              </w:rPr>
              <w:t xml:space="preserve">D.1 </w:t>
            </w:r>
            <w:r w:rsidR="00632F77" w:rsidRPr="00300A27">
              <w:rPr>
                <w:rStyle w:val="Hipervnculo"/>
                <w:rFonts w:ascii="Verdana" w:hAnsi="Verdana"/>
                <w:noProof/>
              </w:rPr>
              <w:tab/>
            </w:r>
            <w:r w:rsidR="00CD6F00" w:rsidRPr="00300A27">
              <w:rPr>
                <w:rStyle w:val="Hipervnculo"/>
                <w:rFonts w:ascii="Verdana" w:hAnsi="Verdana"/>
                <w:noProof/>
              </w:rPr>
              <w:t>Adoption of a protocol on investigation and administration of justice</w:t>
            </w:r>
            <w:r w:rsidR="00632F77" w:rsidRPr="00300A27">
              <w:rPr>
                <w:rStyle w:val="Hipervnculo"/>
                <w:rFonts w:ascii="Verdana" w:hAnsi="Verdana"/>
                <w:noProof/>
              </w:rPr>
              <w:t xml:space="preserve"> </w:t>
            </w:r>
            <w:r w:rsidR="00CD6F00" w:rsidRPr="00300A27">
              <w:rPr>
                <w:rStyle w:val="Hipervnculo"/>
                <w:rFonts w:ascii="Verdana" w:hAnsi="Verdana"/>
                <w:noProof/>
              </w:rPr>
              <w:t>in cases of violence against LGBTI people</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_Toc36823509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6</w:t>
            </w:r>
            <w:r w:rsidR="002C2504" w:rsidRPr="00300A27">
              <w:rPr>
                <w:rFonts w:ascii="Verdana" w:hAnsi="Verdana"/>
                <w:noProof/>
                <w:webHidden/>
              </w:rPr>
              <w:t>2</w:t>
            </w:r>
            <w:r w:rsidR="00632F77" w:rsidRPr="00300A27">
              <w:rPr>
                <w:rFonts w:ascii="Verdana" w:hAnsi="Verdana"/>
                <w:noProof/>
                <w:webHidden/>
              </w:rPr>
              <w:fldChar w:fldCharType="end"/>
            </w:r>
          </w:hyperlink>
        </w:p>
        <w:p w14:paraId="18336034" w14:textId="4ADDF8B4" w:rsidR="00632F77" w:rsidRPr="00300A27" w:rsidRDefault="00CF4784" w:rsidP="00B243B6">
          <w:pPr>
            <w:pStyle w:val="TDC3"/>
            <w:rPr>
              <w:rFonts w:ascii="Verdana" w:eastAsiaTheme="minorEastAsia" w:hAnsi="Verdana" w:cstheme="minorBidi"/>
              <w:noProof/>
            </w:rPr>
          </w:pPr>
          <w:hyperlink w:anchor="_Toc36823510" w:history="1">
            <w:r w:rsidR="00632F77" w:rsidRPr="00300A27">
              <w:rPr>
                <w:rStyle w:val="Hipervnculo"/>
                <w:rFonts w:ascii="Verdana" w:hAnsi="Verdana"/>
                <w:noProof/>
                <w:lang w:eastAsia="es-MX"/>
              </w:rPr>
              <w:t xml:space="preserve">D.2 </w:t>
            </w:r>
            <w:r w:rsidR="00632F77" w:rsidRPr="00300A27">
              <w:rPr>
                <w:rStyle w:val="Hipervnculo"/>
                <w:rFonts w:ascii="Verdana" w:hAnsi="Verdana"/>
                <w:noProof/>
                <w:lang w:eastAsia="es-MX"/>
              </w:rPr>
              <w:tab/>
            </w:r>
            <w:r w:rsidR="00CD6F00" w:rsidRPr="00300A27">
              <w:rPr>
                <w:rStyle w:val="Hipervnculo"/>
                <w:rFonts w:ascii="Verdana" w:hAnsi="Verdana"/>
                <w:noProof/>
                <w:lang w:eastAsia="es-MX"/>
              </w:rPr>
              <w:t>Awareness-raising and training of state agents on violence against</w:t>
            </w:r>
            <w:r w:rsidR="00632F77" w:rsidRPr="00300A27">
              <w:rPr>
                <w:rStyle w:val="Hipervnculo"/>
                <w:rFonts w:ascii="Verdana" w:hAnsi="Verdana"/>
                <w:noProof/>
                <w:lang w:eastAsia="es-MX"/>
              </w:rPr>
              <w:t xml:space="preserve"> </w:t>
            </w:r>
            <w:r w:rsidR="007E4CD0" w:rsidRPr="00300A27">
              <w:rPr>
                <w:rStyle w:val="Hipervnculo"/>
                <w:rFonts w:ascii="Verdana" w:hAnsi="Verdana"/>
                <w:noProof/>
                <w:lang w:eastAsia="es-MX"/>
              </w:rPr>
              <w:t>LGBTI people</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_Toc36823510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6</w:t>
            </w:r>
            <w:r w:rsidR="002C2504" w:rsidRPr="00300A27">
              <w:rPr>
                <w:rFonts w:ascii="Verdana" w:hAnsi="Verdana"/>
                <w:noProof/>
                <w:webHidden/>
              </w:rPr>
              <w:t>4</w:t>
            </w:r>
            <w:r w:rsidR="00632F77" w:rsidRPr="00300A27">
              <w:rPr>
                <w:rFonts w:ascii="Verdana" w:hAnsi="Verdana"/>
                <w:noProof/>
                <w:webHidden/>
              </w:rPr>
              <w:fldChar w:fldCharType="end"/>
            </w:r>
          </w:hyperlink>
        </w:p>
        <w:p w14:paraId="05FE7633" w14:textId="14DFA9D9" w:rsidR="00632F77" w:rsidRPr="00300A27" w:rsidRDefault="00CF4784" w:rsidP="00B243B6">
          <w:pPr>
            <w:pStyle w:val="TDC3"/>
            <w:rPr>
              <w:rFonts w:ascii="Verdana" w:eastAsiaTheme="minorEastAsia" w:hAnsi="Verdana" w:cstheme="minorBidi"/>
              <w:noProof/>
            </w:rPr>
          </w:pPr>
          <w:hyperlink w:anchor="_Toc36823511" w:history="1">
            <w:r w:rsidR="00632F77" w:rsidRPr="00300A27">
              <w:rPr>
                <w:rStyle w:val="Hipervnculo"/>
                <w:rFonts w:ascii="Verdana" w:hAnsi="Verdana"/>
                <w:noProof/>
                <w:lang w:eastAsia="es-MX"/>
              </w:rPr>
              <w:t xml:space="preserve">D.3 </w:t>
            </w:r>
            <w:r w:rsidR="00632F77" w:rsidRPr="00300A27">
              <w:rPr>
                <w:rStyle w:val="Hipervnculo"/>
                <w:rFonts w:ascii="Verdana" w:hAnsi="Verdana"/>
                <w:noProof/>
                <w:lang w:eastAsia="es-MX"/>
              </w:rPr>
              <w:tab/>
            </w:r>
            <w:r w:rsidR="00CD6F00" w:rsidRPr="00300A27">
              <w:rPr>
                <w:rStyle w:val="Hipervnculo"/>
                <w:rFonts w:ascii="Verdana" w:hAnsi="Verdana"/>
                <w:noProof/>
                <w:lang w:eastAsia="es-MX"/>
              </w:rPr>
              <w:t>Design and implementation of a system to produce and compile statistics</w:t>
            </w:r>
            <w:r w:rsidR="00632F77" w:rsidRPr="00300A27">
              <w:rPr>
                <w:rStyle w:val="Hipervnculo"/>
                <w:rFonts w:ascii="Verdana" w:hAnsi="Verdana"/>
                <w:noProof/>
                <w:lang w:eastAsia="es-MX"/>
              </w:rPr>
              <w:t xml:space="preserve"> </w:t>
            </w:r>
            <w:r w:rsidR="00CD6F00" w:rsidRPr="00300A27">
              <w:rPr>
                <w:rStyle w:val="Hipervnculo"/>
                <w:rFonts w:ascii="Verdana" w:hAnsi="Verdana"/>
                <w:noProof/>
                <w:lang w:eastAsia="es-MX"/>
              </w:rPr>
              <w:t>on violence against LGBTI people</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_Toc36823511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6</w:t>
            </w:r>
            <w:r w:rsidR="002C2504" w:rsidRPr="00300A27">
              <w:rPr>
                <w:rFonts w:ascii="Verdana" w:hAnsi="Verdana"/>
                <w:noProof/>
                <w:webHidden/>
              </w:rPr>
              <w:t>5</w:t>
            </w:r>
            <w:r w:rsidR="00632F77" w:rsidRPr="00300A27">
              <w:rPr>
                <w:rFonts w:ascii="Verdana" w:hAnsi="Verdana"/>
                <w:noProof/>
                <w:webHidden/>
              </w:rPr>
              <w:fldChar w:fldCharType="end"/>
            </w:r>
          </w:hyperlink>
        </w:p>
        <w:p w14:paraId="0E0924B3" w14:textId="4A5C3B33" w:rsidR="00632F77" w:rsidRPr="00300A27" w:rsidRDefault="00CF4784" w:rsidP="00B243B6">
          <w:pPr>
            <w:pStyle w:val="TDC3"/>
            <w:rPr>
              <w:rFonts w:ascii="Verdana" w:eastAsiaTheme="minorEastAsia" w:hAnsi="Verdana" w:cstheme="minorBidi"/>
              <w:noProof/>
            </w:rPr>
          </w:pPr>
          <w:hyperlink w:anchor="_Toc36823512" w:history="1">
            <w:r w:rsidR="00632F77" w:rsidRPr="00300A27">
              <w:rPr>
                <w:rStyle w:val="Hipervnculo"/>
                <w:rFonts w:ascii="Verdana" w:hAnsi="Verdana"/>
                <w:noProof/>
                <w:lang w:eastAsia="es-MX"/>
              </w:rPr>
              <w:t xml:space="preserve">D.4 </w:t>
            </w:r>
            <w:r w:rsidR="00632F77" w:rsidRPr="00300A27">
              <w:rPr>
                <w:rStyle w:val="Hipervnculo"/>
                <w:rFonts w:ascii="Verdana" w:hAnsi="Verdana"/>
                <w:noProof/>
                <w:lang w:eastAsia="es-MX"/>
              </w:rPr>
              <w:tab/>
            </w:r>
            <w:r w:rsidR="00CD6F00" w:rsidRPr="00300A27">
              <w:rPr>
                <w:rStyle w:val="Hipervnculo"/>
                <w:rFonts w:ascii="Verdana" w:hAnsi="Verdana"/>
                <w:noProof/>
                <w:lang w:eastAsia="es-MX"/>
              </w:rPr>
              <w:t>Eliminate the indicator of “eradication of homosexuals and transvestites”</w:t>
            </w:r>
            <w:r w:rsidR="00632F77" w:rsidRPr="00300A27">
              <w:rPr>
                <w:rStyle w:val="Hipervnculo"/>
                <w:rFonts w:ascii="Verdana" w:hAnsi="Verdana"/>
                <w:noProof/>
                <w:lang w:eastAsia="es-MX"/>
              </w:rPr>
              <w:t xml:space="preserve"> </w:t>
            </w:r>
            <w:r w:rsidR="00CD6F00" w:rsidRPr="00300A27">
              <w:rPr>
                <w:rStyle w:val="Hipervnculo"/>
                <w:rFonts w:ascii="Verdana" w:hAnsi="Verdana"/>
                <w:noProof/>
                <w:lang w:eastAsia="es-MX"/>
              </w:rPr>
              <w:t>from the public safety plans of the regions and districts</w:t>
            </w:r>
            <w:r w:rsidR="00632F77" w:rsidRPr="00300A27">
              <w:rPr>
                <w:rStyle w:val="Hipervnculo"/>
                <w:rFonts w:ascii="Verdana" w:hAnsi="Verdana"/>
                <w:noProof/>
                <w:lang w:eastAsia="es-MX"/>
              </w:rPr>
              <w:t xml:space="preserve"> </w:t>
            </w:r>
            <w:r w:rsidR="009B35A1" w:rsidRPr="00300A27">
              <w:rPr>
                <w:rStyle w:val="Hipervnculo"/>
                <w:rFonts w:ascii="Verdana" w:hAnsi="Verdana"/>
                <w:noProof/>
                <w:lang w:eastAsia="es-MX"/>
              </w:rPr>
              <w:t>of Peru</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_Toc36823512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6</w:t>
            </w:r>
            <w:r w:rsidR="002C2504" w:rsidRPr="00300A27">
              <w:rPr>
                <w:rFonts w:ascii="Verdana" w:hAnsi="Verdana"/>
                <w:noProof/>
                <w:webHidden/>
              </w:rPr>
              <w:t>6</w:t>
            </w:r>
            <w:r w:rsidR="00632F77" w:rsidRPr="00300A27">
              <w:rPr>
                <w:rFonts w:ascii="Verdana" w:hAnsi="Verdana"/>
                <w:noProof/>
                <w:webHidden/>
              </w:rPr>
              <w:fldChar w:fldCharType="end"/>
            </w:r>
          </w:hyperlink>
        </w:p>
        <w:p w14:paraId="0FD193EA" w14:textId="14B29527" w:rsidR="00632F77" w:rsidRPr="00300A27" w:rsidRDefault="00CF4784" w:rsidP="00B243B6">
          <w:pPr>
            <w:pStyle w:val="TDC2"/>
            <w:spacing w:before="40"/>
            <w:rPr>
              <w:rFonts w:ascii="Verdana" w:eastAsiaTheme="minorEastAsia" w:hAnsi="Verdana" w:cstheme="minorBidi"/>
              <w:i w:val="0"/>
              <w:iCs w:val="0"/>
              <w:noProof/>
            </w:rPr>
          </w:pPr>
          <w:hyperlink w:anchor="_Toc36823513" w:history="1">
            <w:r w:rsidR="00632F77" w:rsidRPr="00300A27">
              <w:rPr>
                <w:rStyle w:val="Hipervnculo"/>
                <w:rFonts w:ascii="Verdana" w:hAnsi="Verdana"/>
                <w:i w:val="0"/>
                <w:iCs w:val="0"/>
                <w:noProof/>
                <w:lang w:eastAsia="es-ES"/>
              </w:rPr>
              <w:t>E.</w:t>
            </w:r>
            <w:r w:rsidR="00632F77" w:rsidRPr="00300A27">
              <w:rPr>
                <w:rFonts w:ascii="Verdana" w:eastAsiaTheme="minorEastAsia" w:hAnsi="Verdana" w:cstheme="minorBidi"/>
                <w:i w:val="0"/>
                <w:iCs w:val="0"/>
                <w:noProof/>
              </w:rPr>
              <w:tab/>
            </w:r>
            <w:r w:rsidR="00CD6F00" w:rsidRPr="00300A27">
              <w:rPr>
                <w:rStyle w:val="Hipervnculo"/>
                <w:rFonts w:ascii="Verdana" w:hAnsi="Verdana"/>
                <w:i w:val="0"/>
                <w:iCs w:val="0"/>
                <w:noProof/>
              </w:rPr>
              <w:t>Compensation</w:t>
            </w:r>
            <w:r w:rsidR="00632F77" w:rsidRPr="00300A27">
              <w:rPr>
                <w:rFonts w:ascii="Verdana" w:hAnsi="Verdana"/>
                <w:i w:val="0"/>
                <w:iCs w:val="0"/>
                <w:noProof/>
                <w:webHidden/>
              </w:rPr>
              <w:tab/>
            </w:r>
            <w:r w:rsidR="002C2504" w:rsidRPr="00300A27">
              <w:rPr>
                <w:rFonts w:ascii="Verdana" w:hAnsi="Verdana"/>
                <w:i w:val="0"/>
                <w:iCs w:val="0"/>
                <w:noProof/>
                <w:webHidden/>
              </w:rPr>
              <w:t>66</w:t>
            </w:r>
          </w:hyperlink>
        </w:p>
        <w:p w14:paraId="762423EA" w14:textId="156689A0" w:rsidR="00632F77" w:rsidRPr="00300A27" w:rsidRDefault="00CF4784" w:rsidP="00B243B6">
          <w:pPr>
            <w:pStyle w:val="TDC3"/>
            <w:rPr>
              <w:rFonts w:ascii="Verdana" w:eastAsiaTheme="minorEastAsia" w:hAnsi="Verdana" w:cstheme="minorBidi"/>
              <w:noProof/>
            </w:rPr>
          </w:pPr>
          <w:hyperlink w:anchor="_Toc36823514" w:history="1">
            <w:r w:rsidR="00632F77" w:rsidRPr="00300A27">
              <w:rPr>
                <w:rStyle w:val="Hipervnculo"/>
                <w:rFonts w:ascii="Verdana" w:eastAsiaTheme="minorHAnsi" w:hAnsi="Verdana"/>
                <w:noProof/>
                <w:lang w:eastAsia="es-MX"/>
              </w:rPr>
              <w:t xml:space="preserve">E.1 </w:t>
            </w:r>
            <w:r w:rsidR="00632F77" w:rsidRPr="00300A27">
              <w:rPr>
                <w:rStyle w:val="Hipervnculo"/>
                <w:rFonts w:ascii="Verdana" w:eastAsiaTheme="minorHAnsi" w:hAnsi="Verdana"/>
                <w:noProof/>
                <w:lang w:eastAsia="es-MX"/>
              </w:rPr>
              <w:tab/>
            </w:r>
            <w:r w:rsidR="002959DE" w:rsidRPr="00300A27">
              <w:rPr>
                <w:rStyle w:val="Hipervnculo"/>
                <w:rFonts w:ascii="Verdana" w:eastAsiaTheme="minorHAnsi" w:hAnsi="Verdana"/>
                <w:noProof/>
                <w:lang w:eastAsia="es-MX"/>
              </w:rPr>
              <w:t>Pecuniary damage</w:t>
            </w:r>
            <w:r w:rsidR="00632F77" w:rsidRPr="00300A27">
              <w:rPr>
                <w:rFonts w:ascii="Verdana" w:hAnsi="Verdana"/>
                <w:noProof/>
                <w:webHidden/>
              </w:rPr>
              <w:tab/>
            </w:r>
            <w:r w:rsidR="002C2504" w:rsidRPr="00300A27">
              <w:rPr>
                <w:rFonts w:ascii="Verdana" w:hAnsi="Verdana"/>
                <w:noProof/>
                <w:webHidden/>
              </w:rPr>
              <w:t>66</w:t>
            </w:r>
          </w:hyperlink>
        </w:p>
        <w:p w14:paraId="6382B2C7" w14:textId="0F470D93" w:rsidR="00632F77" w:rsidRPr="00300A27" w:rsidRDefault="00CF4784" w:rsidP="00B243B6">
          <w:pPr>
            <w:pStyle w:val="TDC3"/>
            <w:rPr>
              <w:rFonts w:ascii="Verdana" w:eastAsiaTheme="minorEastAsia" w:hAnsi="Verdana" w:cstheme="minorBidi"/>
              <w:noProof/>
            </w:rPr>
          </w:pPr>
          <w:hyperlink w:anchor="_Toc36823515" w:history="1">
            <w:r w:rsidR="00632F77" w:rsidRPr="00300A27">
              <w:rPr>
                <w:rStyle w:val="Hipervnculo"/>
                <w:rFonts w:ascii="Verdana" w:eastAsiaTheme="minorHAnsi" w:hAnsi="Verdana"/>
                <w:noProof/>
                <w:lang w:eastAsia="es-MX"/>
              </w:rPr>
              <w:t xml:space="preserve">E.2 </w:t>
            </w:r>
            <w:r w:rsidR="00632F77" w:rsidRPr="00300A27">
              <w:rPr>
                <w:rStyle w:val="Hipervnculo"/>
                <w:rFonts w:ascii="Verdana" w:eastAsiaTheme="minorHAnsi" w:hAnsi="Verdana"/>
                <w:noProof/>
                <w:lang w:eastAsia="es-MX"/>
              </w:rPr>
              <w:tab/>
            </w:r>
            <w:r w:rsidR="002959DE" w:rsidRPr="00300A27">
              <w:rPr>
                <w:rStyle w:val="Hipervnculo"/>
                <w:rFonts w:ascii="Verdana" w:eastAsiaTheme="minorHAnsi" w:hAnsi="Verdana"/>
                <w:noProof/>
                <w:lang w:eastAsia="es-MX"/>
              </w:rPr>
              <w:t>Non-pecuniary damage</w:t>
            </w:r>
            <w:r w:rsidR="00632F77" w:rsidRPr="00300A27">
              <w:rPr>
                <w:rFonts w:ascii="Verdana" w:hAnsi="Verdana"/>
                <w:noProof/>
                <w:webHidden/>
              </w:rPr>
              <w:tab/>
            </w:r>
            <w:r w:rsidR="002C2504" w:rsidRPr="00300A27">
              <w:rPr>
                <w:rFonts w:ascii="Verdana" w:hAnsi="Verdana"/>
                <w:noProof/>
                <w:webHidden/>
              </w:rPr>
              <w:t>67</w:t>
            </w:r>
          </w:hyperlink>
        </w:p>
        <w:p w14:paraId="2811765A" w14:textId="2A99AB64" w:rsidR="00632F77" w:rsidRPr="00300A27" w:rsidRDefault="00CF4784" w:rsidP="00B243B6">
          <w:pPr>
            <w:pStyle w:val="TDC2"/>
            <w:spacing w:before="40"/>
            <w:rPr>
              <w:rFonts w:ascii="Verdana" w:eastAsiaTheme="minorEastAsia" w:hAnsi="Verdana" w:cstheme="minorBidi"/>
              <w:i w:val="0"/>
              <w:iCs w:val="0"/>
              <w:noProof/>
            </w:rPr>
          </w:pPr>
          <w:hyperlink w:anchor="_Toc36823516" w:history="1">
            <w:r w:rsidR="00632F77" w:rsidRPr="00300A27">
              <w:rPr>
                <w:rStyle w:val="Hipervnculo"/>
                <w:rFonts w:ascii="Verdana" w:hAnsi="Verdana"/>
                <w:i w:val="0"/>
                <w:iCs w:val="0"/>
                <w:noProof/>
                <w:lang w:eastAsia="es-ES"/>
              </w:rPr>
              <w:t>F.</w:t>
            </w:r>
            <w:r w:rsidR="00632F77" w:rsidRPr="00300A27">
              <w:rPr>
                <w:rFonts w:ascii="Verdana" w:eastAsiaTheme="minorEastAsia" w:hAnsi="Verdana" w:cstheme="minorBidi"/>
                <w:i w:val="0"/>
                <w:iCs w:val="0"/>
                <w:noProof/>
              </w:rPr>
              <w:tab/>
            </w:r>
            <w:r w:rsidR="002959DE" w:rsidRPr="00300A27">
              <w:rPr>
                <w:rStyle w:val="Hipervnculo"/>
                <w:rFonts w:ascii="Verdana" w:hAnsi="Verdana"/>
                <w:i w:val="0"/>
                <w:iCs w:val="0"/>
                <w:noProof/>
              </w:rPr>
              <w:t>Other measures requested</w:t>
            </w:r>
            <w:r w:rsidR="00632F77" w:rsidRPr="00300A27">
              <w:rPr>
                <w:rFonts w:ascii="Verdana" w:hAnsi="Verdana"/>
                <w:i w:val="0"/>
                <w:iCs w:val="0"/>
                <w:noProof/>
                <w:webHidden/>
              </w:rPr>
              <w:tab/>
            </w:r>
            <w:r w:rsidR="002C2504" w:rsidRPr="00300A27">
              <w:rPr>
                <w:rFonts w:ascii="Verdana" w:hAnsi="Verdana"/>
                <w:i w:val="0"/>
                <w:iCs w:val="0"/>
                <w:noProof/>
                <w:webHidden/>
              </w:rPr>
              <w:t>68</w:t>
            </w:r>
          </w:hyperlink>
        </w:p>
        <w:p w14:paraId="40F6306A" w14:textId="1B4292E0" w:rsidR="00632F77" w:rsidRPr="00300A27" w:rsidRDefault="00CF4784" w:rsidP="00B243B6">
          <w:pPr>
            <w:pStyle w:val="TDC2"/>
            <w:spacing w:before="40"/>
            <w:rPr>
              <w:rFonts w:ascii="Verdana" w:eastAsiaTheme="minorEastAsia" w:hAnsi="Verdana" w:cstheme="minorBidi"/>
              <w:i w:val="0"/>
              <w:iCs w:val="0"/>
              <w:noProof/>
            </w:rPr>
          </w:pPr>
          <w:hyperlink w:anchor="_Toc36823517" w:history="1">
            <w:r w:rsidR="00632F77" w:rsidRPr="00300A27">
              <w:rPr>
                <w:rStyle w:val="Hipervnculo"/>
                <w:rFonts w:ascii="Verdana" w:hAnsi="Verdana"/>
                <w:i w:val="0"/>
                <w:iCs w:val="0"/>
                <w:noProof/>
              </w:rPr>
              <w:t>G.</w:t>
            </w:r>
            <w:r w:rsidR="00632F77" w:rsidRPr="00300A27">
              <w:rPr>
                <w:rFonts w:ascii="Verdana" w:eastAsiaTheme="minorEastAsia" w:hAnsi="Verdana" w:cstheme="minorBidi"/>
                <w:i w:val="0"/>
                <w:iCs w:val="0"/>
                <w:noProof/>
              </w:rPr>
              <w:tab/>
            </w:r>
            <w:r w:rsidR="007071F6" w:rsidRPr="00300A27">
              <w:rPr>
                <w:rStyle w:val="Hipervnculo"/>
                <w:rFonts w:ascii="Verdana" w:hAnsi="Verdana"/>
                <w:i w:val="0"/>
                <w:iCs w:val="0"/>
                <w:noProof/>
              </w:rPr>
              <w:t>Costs and expenses</w:t>
            </w:r>
            <w:r w:rsidR="00632F77" w:rsidRPr="00300A27">
              <w:rPr>
                <w:rFonts w:ascii="Verdana" w:hAnsi="Verdana"/>
                <w:i w:val="0"/>
                <w:iCs w:val="0"/>
                <w:noProof/>
                <w:webHidden/>
              </w:rPr>
              <w:tab/>
            </w:r>
            <w:r w:rsidR="002C2504" w:rsidRPr="00300A27">
              <w:rPr>
                <w:rFonts w:ascii="Verdana" w:hAnsi="Verdana"/>
                <w:i w:val="0"/>
                <w:iCs w:val="0"/>
                <w:noProof/>
                <w:webHidden/>
              </w:rPr>
              <w:t>69</w:t>
            </w:r>
          </w:hyperlink>
        </w:p>
        <w:p w14:paraId="3FAC248E" w14:textId="54BB2C03" w:rsidR="00632F77" w:rsidRPr="00300A27" w:rsidRDefault="00CF4784" w:rsidP="00B243B6">
          <w:pPr>
            <w:pStyle w:val="TDC2"/>
            <w:spacing w:before="40"/>
            <w:rPr>
              <w:rFonts w:ascii="Verdana" w:eastAsiaTheme="minorEastAsia" w:hAnsi="Verdana" w:cstheme="minorBidi"/>
              <w:i w:val="0"/>
              <w:iCs w:val="0"/>
              <w:noProof/>
            </w:rPr>
          </w:pPr>
          <w:hyperlink w:anchor="_Toc36823518" w:history="1">
            <w:r w:rsidR="00632F77" w:rsidRPr="00300A27">
              <w:rPr>
                <w:rStyle w:val="Hipervnculo"/>
                <w:rFonts w:ascii="Verdana" w:hAnsi="Verdana"/>
                <w:i w:val="0"/>
                <w:iCs w:val="0"/>
                <w:noProof/>
              </w:rPr>
              <w:t>H.</w:t>
            </w:r>
            <w:r w:rsidR="00632F77" w:rsidRPr="00300A27">
              <w:rPr>
                <w:rFonts w:ascii="Verdana" w:eastAsiaTheme="minorEastAsia" w:hAnsi="Verdana" w:cstheme="minorBidi"/>
                <w:i w:val="0"/>
                <w:iCs w:val="0"/>
                <w:noProof/>
              </w:rPr>
              <w:tab/>
            </w:r>
            <w:r w:rsidR="002959DE" w:rsidRPr="00300A27">
              <w:rPr>
                <w:rStyle w:val="Hipervnculo"/>
                <w:rFonts w:ascii="Verdana" w:hAnsi="Verdana"/>
                <w:i w:val="0"/>
                <w:iCs w:val="0"/>
                <w:noProof/>
              </w:rPr>
              <w:t>Reimbursement of the Victims’ Legal Assistance Fund</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_Toc36823518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7</w:t>
            </w:r>
            <w:r w:rsidR="002C2504" w:rsidRPr="00300A27">
              <w:rPr>
                <w:rFonts w:ascii="Verdana" w:hAnsi="Verdana"/>
                <w:i w:val="0"/>
                <w:iCs w:val="0"/>
                <w:noProof/>
                <w:webHidden/>
              </w:rPr>
              <w:t>1</w:t>
            </w:r>
            <w:r w:rsidR="00632F77" w:rsidRPr="00300A27">
              <w:rPr>
                <w:rFonts w:ascii="Verdana" w:hAnsi="Verdana"/>
                <w:i w:val="0"/>
                <w:iCs w:val="0"/>
                <w:noProof/>
                <w:webHidden/>
              </w:rPr>
              <w:fldChar w:fldCharType="end"/>
            </w:r>
          </w:hyperlink>
        </w:p>
        <w:p w14:paraId="4A033174" w14:textId="7470B09A" w:rsidR="00632F77" w:rsidRPr="00300A27" w:rsidRDefault="00CF4784" w:rsidP="00B243B6">
          <w:pPr>
            <w:pStyle w:val="TDC2"/>
            <w:spacing w:before="40"/>
            <w:rPr>
              <w:rFonts w:ascii="Verdana" w:eastAsiaTheme="minorEastAsia" w:hAnsi="Verdana" w:cstheme="minorBidi"/>
              <w:i w:val="0"/>
              <w:iCs w:val="0"/>
              <w:noProof/>
            </w:rPr>
          </w:pPr>
          <w:hyperlink w:anchor="_Toc36823519" w:history="1">
            <w:r w:rsidR="00632F77" w:rsidRPr="00300A27">
              <w:rPr>
                <w:rStyle w:val="Hipervnculo"/>
                <w:rFonts w:ascii="Verdana" w:hAnsi="Verdana"/>
                <w:i w:val="0"/>
                <w:iCs w:val="0"/>
                <w:noProof/>
              </w:rPr>
              <w:t>I.</w:t>
            </w:r>
            <w:r w:rsidR="00632F77" w:rsidRPr="00300A27">
              <w:rPr>
                <w:rFonts w:ascii="Verdana" w:eastAsiaTheme="minorEastAsia" w:hAnsi="Verdana" w:cstheme="minorBidi"/>
                <w:i w:val="0"/>
                <w:iCs w:val="0"/>
                <w:noProof/>
              </w:rPr>
              <w:tab/>
            </w:r>
            <w:r w:rsidR="002959DE" w:rsidRPr="00300A27">
              <w:rPr>
                <w:rStyle w:val="Hipervnculo"/>
                <w:rFonts w:ascii="Verdana" w:hAnsi="Verdana"/>
                <w:i w:val="0"/>
                <w:iCs w:val="0"/>
                <w:noProof/>
              </w:rPr>
              <w:t>Method of compliance with the payments ordered</w:t>
            </w:r>
            <w:r w:rsidR="00632F77" w:rsidRPr="00300A27">
              <w:rPr>
                <w:rFonts w:ascii="Verdana" w:hAnsi="Verdana"/>
                <w:i w:val="0"/>
                <w:iCs w:val="0"/>
                <w:noProof/>
                <w:webHidden/>
              </w:rPr>
              <w:tab/>
            </w:r>
            <w:r w:rsidR="00632F77" w:rsidRPr="00300A27">
              <w:rPr>
                <w:rFonts w:ascii="Verdana" w:hAnsi="Verdana"/>
                <w:i w:val="0"/>
                <w:iCs w:val="0"/>
                <w:noProof/>
                <w:webHidden/>
              </w:rPr>
              <w:fldChar w:fldCharType="begin"/>
            </w:r>
            <w:r w:rsidR="00632F77" w:rsidRPr="00300A27">
              <w:rPr>
                <w:rFonts w:ascii="Verdana" w:hAnsi="Verdana"/>
                <w:i w:val="0"/>
                <w:iCs w:val="0"/>
                <w:noProof/>
                <w:webHidden/>
              </w:rPr>
              <w:instrText xml:space="preserve"> PAGEREF _Toc36823519 \h </w:instrText>
            </w:r>
            <w:r w:rsidR="00632F77" w:rsidRPr="00300A27">
              <w:rPr>
                <w:rFonts w:ascii="Verdana" w:hAnsi="Verdana"/>
                <w:i w:val="0"/>
                <w:iCs w:val="0"/>
                <w:noProof/>
                <w:webHidden/>
              </w:rPr>
            </w:r>
            <w:r w:rsidR="00632F77" w:rsidRPr="00300A27">
              <w:rPr>
                <w:rFonts w:ascii="Verdana" w:hAnsi="Verdana"/>
                <w:i w:val="0"/>
                <w:iCs w:val="0"/>
                <w:noProof/>
                <w:webHidden/>
              </w:rPr>
              <w:fldChar w:fldCharType="separate"/>
            </w:r>
            <w:r w:rsidR="00632F77" w:rsidRPr="00300A27">
              <w:rPr>
                <w:rFonts w:ascii="Verdana" w:hAnsi="Verdana"/>
                <w:i w:val="0"/>
                <w:iCs w:val="0"/>
                <w:noProof/>
                <w:webHidden/>
              </w:rPr>
              <w:t>7</w:t>
            </w:r>
            <w:r w:rsidR="002C2504" w:rsidRPr="00300A27">
              <w:rPr>
                <w:rFonts w:ascii="Verdana" w:hAnsi="Verdana"/>
                <w:i w:val="0"/>
                <w:iCs w:val="0"/>
                <w:noProof/>
                <w:webHidden/>
              </w:rPr>
              <w:t>2</w:t>
            </w:r>
            <w:r w:rsidR="00632F77" w:rsidRPr="00300A27">
              <w:rPr>
                <w:rFonts w:ascii="Verdana" w:hAnsi="Verdana"/>
                <w:i w:val="0"/>
                <w:iCs w:val="0"/>
                <w:noProof/>
                <w:webHidden/>
              </w:rPr>
              <w:fldChar w:fldCharType="end"/>
            </w:r>
          </w:hyperlink>
        </w:p>
        <w:p w14:paraId="778D0F1F" w14:textId="3F39E6DE" w:rsidR="00632F77" w:rsidRPr="00300A27" w:rsidRDefault="00CF4784" w:rsidP="00B243B6">
          <w:pPr>
            <w:pStyle w:val="TDC1"/>
            <w:tabs>
              <w:tab w:val="right" w:pos="9394"/>
            </w:tabs>
            <w:spacing w:before="40" w:after="0"/>
            <w:rPr>
              <w:rFonts w:ascii="Verdana" w:eastAsiaTheme="minorEastAsia" w:hAnsi="Verdana" w:cstheme="minorBidi"/>
              <w:b w:val="0"/>
              <w:bCs w:val="0"/>
              <w:noProof/>
            </w:rPr>
          </w:pPr>
          <w:hyperlink w:anchor="_Toc36823520" w:history="1">
            <w:r w:rsidR="00632F77" w:rsidRPr="00300A27">
              <w:rPr>
                <w:rStyle w:val="Hipervnculo"/>
                <w:rFonts w:ascii="Verdana" w:hAnsi="Verdana"/>
                <w:noProof/>
              </w:rPr>
              <w:t xml:space="preserve">IX </w:t>
            </w:r>
            <w:r w:rsidR="002959DE" w:rsidRPr="00300A27">
              <w:rPr>
                <w:rStyle w:val="Hipervnculo"/>
                <w:rFonts w:ascii="Verdana" w:hAnsi="Verdana"/>
                <w:noProof/>
              </w:rPr>
              <w:t>OPERATIVE PARAGRAPHS</w:t>
            </w:r>
            <w:r w:rsidR="00632F77" w:rsidRPr="00300A27">
              <w:rPr>
                <w:rFonts w:ascii="Verdana" w:hAnsi="Verdana"/>
                <w:noProof/>
                <w:webHidden/>
              </w:rPr>
              <w:tab/>
            </w:r>
            <w:r w:rsidR="00632F77" w:rsidRPr="00300A27">
              <w:rPr>
                <w:rFonts w:ascii="Verdana" w:hAnsi="Verdana"/>
                <w:noProof/>
                <w:webHidden/>
              </w:rPr>
              <w:fldChar w:fldCharType="begin"/>
            </w:r>
            <w:r w:rsidR="00632F77" w:rsidRPr="00300A27">
              <w:rPr>
                <w:rFonts w:ascii="Verdana" w:hAnsi="Verdana"/>
                <w:noProof/>
                <w:webHidden/>
              </w:rPr>
              <w:instrText xml:space="preserve"> PAGEREF _Toc36823520 \h </w:instrText>
            </w:r>
            <w:r w:rsidR="00632F77" w:rsidRPr="00300A27">
              <w:rPr>
                <w:rFonts w:ascii="Verdana" w:hAnsi="Verdana"/>
                <w:noProof/>
                <w:webHidden/>
              </w:rPr>
            </w:r>
            <w:r w:rsidR="00632F77" w:rsidRPr="00300A27">
              <w:rPr>
                <w:rFonts w:ascii="Verdana" w:hAnsi="Verdana"/>
                <w:noProof/>
                <w:webHidden/>
              </w:rPr>
              <w:fldChar w:fldCharType="separate"/>
            </w:r>
            <w:r w:rsidR="00632F77" w:rsidRPr="00300A27">
              <w:rPr>
                <w:rFonts w:ascii="Verdana" w:hAnsi="Verdana"/>
                <w:noProof/>
                <w:webHidden/>
              </w:rPr>
              <w:t>7</w:t>
            </w:r>
            <w:r w:rsidR="002C2504" w:rsidRPr="00300A27">
              <w:rPr>
                <w:rFonts w:ascii="Verdana" w:hAnsi="Verdana"/>
                <w:noProof/>
                <w:webHidden/>
              </w:rPr>
              <w:t>2</w:t>
            </w:r>
            <w:r w:rsidR="00632F77" w:rsidRPr="00300A27">
              <w:rPr>
                <w:rFonts w:ascii="Verdana" w:hAnsi="Verdana"/>
                <w:noProof/>
                <w:webHidden/>
              </w:rPr>
              <w:fldChar w:fldCharType="end"/>
            </w:r>
          </w:hyperlink>
        </w:p>
        <w:p w14:paraId="501EF260" w14:textId="3174F7F7" w:rsidR="00D41F3C" w:rsidRPr="00300A27" w:rsidRDefault="00D41F3C" w:rsidP="00B243B6">
          <w:pPr>
            <w:tabs>
              <w:tab w:val="left" w:pos="567"/>
            </w:tabs>
            <w:spacing w:before="40"/>
            <w:jc w:val="both"/>
            <w:rPr>
              <w:szCs w:val="20"/>
            </w:rPr>
          </w:pPr>
          <w:r w:rsidRPr="00300A27">
            <w:rPr>
              <w:b/>
              <w:bCs/>
              <w:noProof/>
              <w:szCs w:val="20"/>
            </w:rPr>
            <w:fldChar w:fldCharType="end"/>
          </w:r>
        </w:p>
      </w:sdtContent>
    </w:sdt>
    <w:p w14:paraId="0122A709" w14:textId="77777777" w:rsidR="00D535EA" w:rsidRPr="00300A27" w:rsidRDefault="00D535EA" w:rsidP="00B243B6">
      <w:pPr>
        <w:pStyle w:val="Ttulo1"/>
        <w:tabs>
          <w:tab w:val="left" w:pos="567"/>
        </w:tabs>
        <w:spacing w:before="40" w:after="0"/>
        <w:contextualSpacing w:val="0"/>
        <w:jc w:val="left"/>
        <w:rPr>
          <w:sz w:val="18"/>
          <w:szCs w:val="18"/>
          <w:lang w:val="en-US"/>
        </w:rPr>
      </w:pPr>
    </w:p>
    <w:p w14:paraId="506C8969" w14:textId="77777777" w:rsidR="00D535EA" w:rsidRPr="00300A27" w:rsidRDefault="00D535EA" w:rsidP="00B243B6">
      <w:pPr>
        <w:tabs>
          <w:tab w:val="left" w:pos="567"/>
        </w:tabs>
        <w:rPr>
          <w:sz w:val="18"/>
          <w:szCs w:val="18"/>
        </w:rPr>
      </w:pPr>
    </w:p>
    <w:p w14:paraId="44C22450" w14:textId="77777777" w:rsidR="00D535EA" w:rsidRPr="00300A27" w:rsidRDefault="00D535EA" w:rsidP="00B243B6">
      <w:pPr>
        <w:tabs>
          <w:tab w:val="left" w:pos="567"/>
        </w:tabs>
        <w:rPr>
          <w:sz w:val="18"/>
          <w:szCs w:val="18"/>
        </w:rPr>
      </w:pPr>
    </w:p>
    <w:p w14:paraId="5B09426E" w14:textId="77777777" w:rsidR="00D535EA" w:rsidRPr="00300A27" w:rsidRDefault="00D535EA" w:rsidP="00B243B6">
      <w:pPr>
        <w:tabs>
          <w:tab w:val="left" w:pos="567"/>
        </w:tabs>
        <w:rPr>
          <w:sz w:val="18"/>
          <w:szCs w:val="18"/>
        </w:rPr>
      </w:pPr>
    </w:p>
    <w:p w14:paraId="4CE9F0BC" w14:textId="77777777" w:rsidR="00D535EA" w:rsidRPr="00300A27" w:rsidRDefault="00D535EA" w:rsidP="00B243B6">
      <w:pPr>
        <w:tabs>
          <w:tab w:val="left" w:pos="567"/>
        </w:tabs>
      </w:pPr>
    </w:p>
    <w:p w14:paraId="5D0B76B7" w14:textId="77777777" w:rsidR="00D535EA" w:rsidRPr="00300A27" w:rsidRDefault="00D535EA" w:rsidP="00B243B6"/>
    <w:p w14:paraId="5D943C67" w14:textId="77777777" w:rsidR="00AD3522" w:rsidRPr="00300A27" w:rsidRDefault="00AD3522" w:rsidP="00B243B6"/>
    <w:p w14:paraId="1ADE346E" w14:textId="77777777" w:rsidR="00AD3522" w:rsidRPr="00300A27" w:rsidRDefault="00AD3522" w:rsidP="00B243B6"/>
    <w:p w14:paraId="18D201F6" w14:textId="4071DB8F" w:rsidR="00A738F4" w:rsidRPr="00300A27" w:rsidRDefault="00396C1A" w:rsidP="00B243B6">
      <w:pPr>
        <w:pStyle w:val="Ttulo1"/>
        <w:rPr>
          <w:lang w:val="en-US"/>
        </w:rPr>
      </w:pPr>
      <w:bookmarkStart w:id="13" w:name="_Toc36823448"/>
      <w:r w:rsidRPr="00300A27">
        <w:rPr>
          <w:lang w:val="en-US"/>
        </w:rPr>
        <w:lastRenderedPageBreak/>
        <w:t>I</w:t>
      </w:r>
      <w:r w:rsidR="008E4AA0" w:rsidRPr="00300A27">
        <w:rPr>
          <w:lang w:val="en-US"/>
        </w:rPr>
        <w:br/>
      </w:r>
      <w:r w:rsidR="00314B0A" w:rsidRPr="00300A27">
        <w:rPr>
          <w:lang w:val="en-US"/>
        </w:rPr>
        <w:t>INTRODUCTION OF THE CASE AND PURPOSE OF THE DISPUTE</w:t>
      </w:r>
      <w:bookmarkEnd w:id="13"/>
      <w:bookmarkEnd w:id="12"/>
      <w:bookmarkEnd w:id="11"/>
      <w:bookmarkEnd w:id="10"/>
      <w:bookmarkEnd w:id="9"/>
    </w:p>
    <w:p w14:paraId="62E555B5" w14:textId="0D839CFB" w:rsidR="006B5575" w:rsidRPr="00300A27" w:rsidRDefault="00C2001D" w:rsidP="00B243B6">
      <w:pPr>
        <w:pStyle w:val="Prrafodelista"/>
        <w:numPr>
          <w:ilvl w:val="0"/>
          <w:numId w:val="3"/>
        </w:numPr>
        <w:tabs>
          <w:tab w:val="left" w:pos="567"/>
        </w:tabs>
        <w:spacing w:before="120" w:after="120"/>
        <w:ind w:left="0" w:firstLine="0"/>
        <w:contextualSpacing w:val="0"/>
        <w:jc w:val="both"/>
      </w:pPr>
      <w:r w:rsidRPr="00300A27">
        <w:rPr>
          <w:i/>
          <w:iCs/>
        </w:rPr>
        <w:t>The case submitted to</w:t>
      </w:r>
      <w:r w:rsidR="009E2D9D" w:rsidRPr="00300A27">
        <w:rPr>
          <w:i/>
          <w:iCs/>
        </w:rPr>
        <w:t xml:space="preserve"> </w:t>
      </w:r>
      <w:r w:rsidR="005B1C65" w:rsidRPr="00300A27">
        <w:rPr>
          <w:i/>
          <w:iCs/>
        </w:rPr>
        <w:t>the Court</w:t>
      </w:r>
      <w:r w:rsidR="009E2D9D" w:rsidRPr="00300A27">
        <w:rPr>
          <w:i/>
          <w:iCs/>
        </w:rPr>
        <w:t>.</w:t>
      </w:r>
      <w:r w:rsidR="009E2D9D" w:rsidRPr="00300A27">
        <w:t xml:space="preserve"> </w:t>
      </w:r>
      <w:r w:rsidRPr="00300A27">
        <w:t>On August 22,</w:t>
      </w:r>
      <w:r w:rsidR="00A738F4" w:rsidRPr="00300A27">
        <w:t xml:space="preserve"> 2018</w:t>
      </w:r>
      <w:r w:rsidRPr="00300A27">
        <w:t>,</w:t>
      </w:r>
      <w:r w:rsidR="00A738F4" w:rsidRPr="00300A27">
        <w:t xml:space="preserve"> </w:t>
      </w:r>
      <w:r w:rsidRPr="00300A27">
        <w:t>the Inter-American Commission on Human Rights</w:t>
      </w:r>
      <w:r w:rsidR="00A738F4" w:rsidRPr="00300A27">
        <w:t xml:space="preserve"> (</w:t>
      </w:r>
      <w:r w:rsidR="005B1C65" w:rsidRPr="00300A27">
        <w:t>hereinafter</w:t>
      </w:r>
      <w:r w:rsidR="00A738F4" w:rsidRPr="00300A27">
        <w:t xml:space="preserve"> “</w:t>
      </w:r>
      <w:r w:rsidRPr="00300A27">
        <w:t>the Inter-American Commission</w:t>
      </w:r>
      <w:r w:rsidR="00A738F4" w:rsidRPr="00300A27">
        <w:t>” o</w:t>
      </w:r>
      <w:r w:rsidR="006B5575" w:rsidRPr="00300A27">
        <w:t>r</w:t>
      </w:r>
      <w:r w:rsidR="00A738F4" w:rsidRPr="00300A27">
        <w:t xml:space="preserve"> “</w:t>
      </w:r>
      <w:r w:rsidRPr="00300A27">
        <w:t>the Commission</w:t>
      </w:r>
      <w:r w:rsidR="00A738F4" w:rsidRPr="00300A27">
        <w:t>”) s</w:t>
      </w:r>
      <w:r w:rsidR="006B5575" w:rsidRPr="00300A27">
        <w:t xml:space="preserve">ubmitted </w:t>
      </w:r>
      <w:r w:rsidR="00610AD8" w:rsidRPr="00300A27">
        <w:t xml:space="preserve">to the jurisdiction of the Court </w:t>
      </w:r>
      <w:r w:rsidR="006B5575" w:rsidRPr="00300A27">
        <w:t xml:space="preserve">the case of </w:t>
      </w:r>
      <w:r w:rsidR="009E2D9D" w:rsidRPr="00300A27">
        <w:rPr>
          <w:i/>
          <w:iCs/>
        </w:rPr>
        <w:t>Azul Rojas Marín</w:t>
      </w:r>
      <w:r w:rsidR="005B1C65" w:rsidRPr="00300A27">
        <w:rPr>
          <w:i/>
          <w:iCs/>
        </w:rPr>
        <w:t xml:space="preserve"> </w:t>
      </w:r>
      <w:r w:rsidR="006B5575" w:rsidRPr="00300A27">
        <w:rPr>
          <w:i/>
          <w:iCs/>
        </w:rPr>
        <w:t>et al.</w:t>
      </w:r>
      <w:r w:rsidR="009E2D9D" w:rsidRPr="00300A27">
        <w:rPr>
          <w:i/>
          <w:iCs/>
        </w:rPr>
        <w:t xml:space="preserve"> </w:t>
      </w:r>
      <w:r w:rsidR="006B5575" w:rsidRPr="00300A27">
        <w:rPr>
          <w:i/>
          <w:iCs/>
        </w:rPr>
        <w:t>v.</w:t>
      </w:r>
      <w:r w:rsidR="009E2D9D" w:rsidRPr="00300A27">
        <w:rPr>
          <w:i/>
          <w:iCs/>
        </w:rPr>
        <w:t xml:space="preserve"> </w:t>
      </w:r>
      <w:r w:rsidR="005B1C65" w:rsidRPr="00300A27">
        <w:rPr>
          <w:i/>
          <w:iCs/>
        </w:rPr>
        <w:t>the Republic of Peru</w:t>
      </w:r>
      <w:r w:rsidR="009E2D9D" w:rsidRPr="00300A27">
        <w:t xml:space="preserve"> </w:t>
      </w:r>
      <w:r w:rsidR="00A738F4" w:rsidRPr="00300A27">
        <w:t>(</w:t>
      </w:r>
      <w:r w:rsidR="005B1C65" w:rsidRPr="00300A27">
        <w:t>hereinafter</w:t>
      </w:r>
      <w:r w:rsidR="00A738F4" w:rsidRPr="00300A27">
        <w:t xml:space="preserve"> “</w:t>
      </w:r>
      <w:r w:rsidR="005B1C65" w:rsidRPr="00300A27">
        <w:t>the State</w:t>
      </w:r>
      <w:r w:rsidR="00A738F4" w:rsidRPr="00300A27">
        <w:t>”</w:t>
      </w:r>
      <w:r w:rsidR="00C666E9" w:rsidRPr="00300A27">
        <w:t xml:space="preserve"> </w:t>
      </w:r>
      <w:r w:rsidR="00A738F4" w:rsidRPr="00300A27">
        <w:t>o</w:t>
      </w:r>
      <w:r w:rsidR="006B5575" w:rsidRPr="00300A27">
        <w:t>r</w:t>
      </w:r>
      <w:r w:rsidR="00A738F4" w:rsidRPr="00300A27">
        <w:t xml:space="preserve"> “</w:t>
      </w:r>
      <w:r w:rsidR="006B5575" w:rsidRPr="00300A27">
        <w:t>Peru</w:t>
      </w:r>
      <w:r w:rsidR="00A738F4" w:rsidRPr="00300A27">
        <w:t xml:space="preserve">”). </w:t>
      </w:r>
      <w:r w:rsidRPr="00300A27">
        <w:t>The Commission</w:t>
      </w:r>
      <w:r w:rsidR="00162F3A" w:rsidRPr="00300A27">
        <w:t xml:space="preserve"> </w:t>
      </w:r>
      <w:r w:rsidR="006B5575" w:rsidRPr="00300A27">
        <w:t xml:space="preserve">indicated that the case related ‘to the illegal, arbitrary and discriminatory deprivation of liberty of Azul Rojas Marín […] on February 25, 2008, supposedly for identification purposes.” The Commission also “considered that serious acts of physical and psychological violence had been proved” and that, owing to “the nature of this violence and the way in which it was inflicted, </w:t>
      </w:r>
      <w:r w:rsidR="00610AD8" w:rsidRPr="00300A27">
        <w:t>particular</w:t>
      </w:r>
      <w:r w:rsidR="006B5575" w:rsidRPr="00300A27">
        <w:t xml:space="preserve"> brutality was used based on the identification or perception of Azul Rojas Marín as a gay man at that time.” Lastly, the Commission “concluded that the fact</w:t>
      </w:r>
      <w:r w:rsidR="00610AD8" w:rsidRPr="00300A27">
        <w:t>s</w:t>
      </w:r>
      <w:r w:rsidR="006B5575" w:rsidRPr="00300A27">
        <w:t xml:space="preserve"> of the case remain unpunished owing to </w:t>
      </w:r>
      <w:r w:rsidR="00610AD8" w:rsidRPr="00300A27">
        <w:t>various</w:t>
      </w:r>
      <w:r w:rsidR="006B5575" w:rsidRPr="00300A27">
        <w:t xml:space="preserve"> factors that include failure to comply with the obligation to conduct an investigation with due diligence from the </w:t>
      </w:r>
      <w:r w:rsidR="00610AD8" w:rsidRPr="00300A27">
        <w:t>very start</w:t>
      </w:r>
      <w:r w:rsidR="006B5575" w:rsidRPr="00300A27">
        <w:t xml:space="preserve"> of the investigation. […] The Commission considered that the State had violated the obligations </w:t>
      </w:r>
      <w:r w:rsidR="00BA3C7F" w:rsidRPr="00300A27">
        <w:t xml:space="preserve">to provide care and protection to a victim who reports sexual violence, with the aggravating factor of the prejudice against LGBTI people. The Commission also determined that the right to personal integrity of Azul Rojas Marín’s mother[, </w:t>
      </w:r>
      <w:r w:rsidR="00BA3C7F" w:rsidRPr="00300A27">
        <w:rPr>
          <w:szCs w:val="20"/>
        </w:rPr>
        <w:t>Juana Rosa Tanta Marín,] had been violated.”</w:t>
      </w:r>
    </w:p>
    <w:p w14:paraId="1D45739E" w14:textId="3BB04B29" w:rsidR="00E76D89" w:rsidRPr="00300A27" w:rsidRDefault="00BA3C7F" w:rsidP="00B243B6">
      <w:pPr>
        <w:pStyle w:val="Prrafodelista"/>
        <w:numPr>
          <w:ilvl w:val="0"/>
          <w:numId w:val="3"/>
        </w:numPr>
        <w:spacing w:before="120" w:after="120"/>
        <w:ind w:left="567" w:hanging="567"/>
        <w:contextualSpacing w:val="0"/>
      </w:pPr>
      <w:r w:rsidRPr="00300A27">
        <w:rPr>
          <w:i/>
          <w:iCs/>
        </w:rPr>
        <w:t>Procedure before</w:t>
      </w:r>
      <w:r w:rsidR="009E2D9D" w:rsidRPr="00300A27">
        <w:rPr>
          <w:i/>
          <w:iCs/>
        </w:rPr>
        <w:t xml:space="preserve"> </w:t>
      </w:r>
      <w:r w:rsidR="00C2001D" w:rsidRPr="00300A27">
        <w:rPr>
          <w:i/>
          <w:iCs/>
        </w:rPr>
        <w:t>the Commission</w:t>
      </w:r>
      <w:r w:rsidR="009E2D9D" w:rsidRPr="00300A27">
        <w:rPr>
          <w:i/>
          <w:iCs/>
        </w:rPr>
        <w:t xml:space="preserve">. </w:t>
      </w:r>
      <w:r w:rsidRPr="00300A27">
        <w:t>The procedure before the Commission was as follows:</w:t>
      </w:r>
      <w:r w:rsidR="00E76D89" w:rsidRPr="00300A27">
        <w:t xml:space="preserve"> </w:t>
      </w:r>
    </w:p>
    <w:p w14:paraId="0C714254" w14:textId="7AA4E101" w:rsidR="00B50BBD" w:rsidRPr="00300A27" w:rsidRDefault="00E76D89" w:rsidP="00B243B6">
      <w:pPr>
        <w:pStyle w:val="Prrafodelista"/>
        <w:numPr>
          <w:ilvl w:val="1"/>
          <w:numId w:val="3"/>
        </w:numPr>
        <w:spacing w:before="120" w:after="120"/>
        <w:ind w:left="1077" w:hanging="357"/>
        <w:contextualSpacing w:val="0"/>
        <w:jc w:val="both"/>
      </w:pPr>
      <w:r w:rsidRPr="00300A27">
        <w:rPr>
          <w:i/>
        </w:rPr>
        <w:t>Peti</w:t>
      </w:r>
      <w:r w:rsidR="00BA3C7F" w:rsidRPr="00300A27">
        <w:rPr>
          <w:i/>
        </w:rPr>
        <w:t>tio</w:t>
      </w:r>
      <w:r w:rsidRPr="00300A27">
        <w:rPr>
          <w:i/>
        </w:rPr>
        <w:t>n.</w:t>
      </w:r>
      <w:r w:rsidRPr="00300A27">
        <w:t xml:space="preserve"> </w:t>
      </w:r>
      <w:r w:rsidR="00BA3C7F" w:rsidRPr="00300A27">
        <w:t>On April 15,</w:t>
      </w:r>
      <w:r w:rsidR="00FB449C" w:rsidRPr="00300A27">
        <w:t xml:space="preserve"> 2009</w:t>
      </w:r>
      <w:r w:rsidR="00BA3C7F" w:rsidRPr="00300A27">
        <w:t xml:space="preserve">, the National Human Rights Coordinator, the </w:t>
      </w:r>
      <w:r w:rsidR="00FB449C" w:rsidRPr="00300A27">
        <w:rPr>
          <w:i/>
          <w:iCs/>
        </w:rPr>
        <w:t>Centro de Promoción</w:t>
      </w:r>
      <w:r w:rsidR="005B1C65" w:rsidRPr="00300A27">
        <w:rPr>
          <w:i/>
          <w:iCs/>
        </w:rPr>
        <w:t xml:space="preserve"> </w:t>
      </w:r>
      <w:r w:rsidR="00BA3C7F" w:rsidRPr="00300A27">
        <w:rPr>
          <w:i/>
          <w:iCs/>
        </w:rPr>
        <w:t>y</w:t>
      </w:r>
      <w:r w:rsidR="005B1C65" w:rsidRPr="00300A27">
        <w:rPr>
          <w:i/>
          <w:iCs/>
        </w:rPr>
        <w:t xml:space="preserve"> </w:t>
      </w:r>
      <w:r w:rsidR="00FB449C" w:rsidRPr="00300A27">
        <w:rPr>
          <w:i/>
          <w:iCs/>
        </w:rPr>
        <w:t>Defensa de los Derechos Sexuales</w:t>
      </w:r>
      <w:r w:rsidR="005B1C65" w:rsidRPr="00300A27">
        <w:rPr>
          <w:i/>
          <w:iCs/>
        </w:rPr>
        <w:t xml:space="preserve"> </w:t>
      </w:r>
      <w:r w:rsidR="00BA3C7F" w:rsidRPr="00300A27">
        <w:rPr>
          <w:i/>
          <w:iCs/>
        </w:rPr>
        <w:t>y</w:t>
      </w:r>
      <w:r w:rsidR="005B1C65" w:rsidRPr="00300A27">
        <w:rPr>
          <w:i/>
          <w:iCs/>
        </w:rPr>
        <w:t xml:space="preserve"> </w:t>
      </w:r>
      <w:r w:rsidR="00FB449C" w:rsidRPr="00300A27">
        <w:rPr>
          <w:i/>
          <w:iCs/>
        </w:rPr>
        <w:t>Reproductivos</w:t>
      </w:r>
      <w:r w:rsidR="00FB449C" w:rsidRPr="00300A27">
        <w:t xml:space="preserve"> (PROMSEX)</w:t>
      </w:r>
      <w:r w:rsidR="005B1C65" w:rsidRPr="00300A27">
        <w:t xml:space="preserve"> and </w:t>
      </w:r>
      <w:r w:rsidR="00FB449C" w:rsidRPr="00300A27">
        <w:t xml:space="preserve">Redress Trust </w:t>
      </w:r>
      <w:r w:rsidR="00BA3C7F" w:rsidRPr="00300A27">
        <w:t>lodged the initial petition on behalf of the presumed victims</w:t>
      </w:r>
      <w:r w:rsidR="00B50BBD" w:rsidRPr="00300A27">
        <w:t xml:space="preserve">. </w:t>
      </w:r>
    </w:p>
    <w:p w14:paraId="700A4064" w14:textId="6E138391" w:rsidR="00E230B1" w:rsidRPr="00300A27" w:rsidRDefault="00BA3C7F" w:rsidP="00B243B6">
      <w:pPr>
        <w:pStyle w:val="Prrafodelista"/>
        <w:numPr>
          <w:ilvl w:val="1"/>
          <w:numId w:val="3"/>
        </w:numPr>
        <w:spacing w:before="120" w:after="120"/>
        <w:ind w:left="1077" w:hanging="357"/>
        <w:contextualSpacing w:val="0"/>
        <w:jc w:val="both"/>
      </w:pPr>
      <w:r w:rsidRPr="00300A27">
        <w:rPr>
          <w:i/>
        </w:rPr>
        <w:t>Admissibility Report</w:t>
      </w:r>
      <w:r w:rsidR="00B50BBD" w:rsidRPr="00300A27">
        <w:rPr>
          <w:i/>
        </w:rPr>
        <w:t>.</w:t>
      </w:r>
      <w:r w:rsidR="00B50BBD" w:rsidRPr="00300A27">
        <w:t xml:space="preserve"> </w:t>
      </w:r>
      <w:r w:rsidRPr="00300A27">
        <w:t>On November 6,</w:t>
      </w:r>
      <w:r w:rsidR="00B50BBD" w:rsidRPr="00300A27">
        <w:t xml:space="preserve"> 2</w:t>
      </w:r>
      <w:r w:rsidR="0088185F" w:rsidRPr="00300A27">
        <w:t>0</w:t>
      </w:r>
      <w:r w:rsidR="00B50BBD" w:rsidRPr="00300A27">
        <w:t>14</w:t>
      </w:r>
      <w:r w:rsidRPr="00300A27">
        <w:t>,</w:t>
      </w:r>
      <w:r w:rsidR="00B50BBD" w:rsidRPr="00300A27">
        <w:t xml:space="preserve"> </w:t>
      </w:r>
      <w:r w:rsidR="00C2001D" w:rsidRPr="00300A27">
        <w:t>the Commission</w:t>
      </w:r>
      <w:r w:rsidR="00B50BBD" w:rsidRPr="00300A27">
        <w:t xml:space="preserve"> </w:t>
      </w:r>
      <w:r w:rsidRPr="00300A27">
        <w:t xml:space="preserve">adopted the Admissibility Report in which it concluded that the petition was admissible. </w:t>
      </w:r>
      <w:r w:rsidR="00B50BBD" w:rsidRPr="00300A27">
        <w:t xml:space="preserve"> </w:t>
      </w:r>
    </w:p>
    <w:p w14:paraId="54553F27" w14:textId="544E624C" w:rsidR="00E230B1" w:rsidRPr="00300A27" w:rsidRDefault="00BA3C7F" w:rsidP="00B243B6">
      <w:pPr>
        <w:pStyle w:val="Prrafodelista"/>
        <w:numPr>
          <w:ilvl w:val="1"/>
          <w:numId w:val="3"/>
        </w:numPr>
        <w:spacing w:before="120" w:after="120"/>
        <w:ind w:left="1077" w:hanging="357"/>
        <w:contextualSpacing w:val="0"/>
        <w:jc w:val="both"/>
      </w:pPr>
      <w:r w:rsidRPr="00300A27">
        <w:rPr>
          <w:i/>
        </w:rPr>
        <w:t>Merits Report</w:t>
      </w:r>
      <w:r w:rsidR="00C41BB2" w:rsidRPr="00300A27">
        <w:t xml:space="preserve">. </w:t>
      </w:r>
      <w:r w:rsidRPr="00300A27">
        <w:t>On February 24,</w:t>
      </w:r>
      <w:r w:rsidR="00E230B1" w:rsidRPr="00300A27">
        <w:t xml:space="preserve"> 2018</w:t>
      </w:r>
      <w:r w:rsidRPr="00300A27">
        <w:t>,</w:t>
      </w:r>
      <w:r w:rsidR="00E230B1" w:rsidRPr="00300A27">
        <w:t xml:space="preserve"> </w:t>
      </w:r>
      <w:r w:rsidR="00C2001D" w:rsidRPr="00300A27">
        <w:t>the Commission</w:t>
      </w:r>
      <w:r w:rsidR="00E230B1" w:rsidRPr="00300A27">
        <w:t xml:space="preserve"> </w:t>
      </w:r>
      <w:r w:rsidRPr="00300A27">
        <w:t>adopted</w:t>
      </w:r>
      <w:r w:rsidR="00E230B1" w:rsidRPr="00300A27">
        <w:t xml:space="preserve"> </w:t>
      </w:r>
      <w:r w:rsidRPr="00300A27">
        <w:t>Merits Report</w:t>
      </w:r>
      <w:r w:rsidR="00E230B1" w:rsidRPr="00300A27">
        <w:t xml:space="preserve"> No. 24/18, </w:t>
      </w:r>
      <w:r w:rsidRPr="00300A27">
        <w:t>in which it reached a series of conclusions</w:t>
      </w:r>
      <w:r w:rsidR="00E230B1" w:rsidRPr="00300A27">
        <w:rPr>
          <w:rStyle w:val="Refdenotaalpie"/>
        </w:rPr>
        <w:footnoteReference w:id="2"/>
      </w:r>
      <w:r w:rsidR="005B1C65" w:rsidRPr="00300A27">
        <w:t xml:space="preserve"> and </w:t>
      </w:r>
      <w:r w:rsidRPr="00300A27">
        <w:t>made several recommendations to the State.</w:t>
      </w:r>
    </w:p>
    <w:p w14:paraId="5F8FB591" w14:textId="6D1926E3" w:rsidR="00226410" w:rsidRPr="00300A27" w:rsidRDefault="009E2D9D" w:rsidP="00B243B6">
      <w:pPr>
        <w:pStyle w:val="Prrafodelista"/>
        <w:numPr>
          <w:ilvl w:val="0"/>
          <w:numId w:val="3"/>
        </w:numPr>
        <w:tabs>
          <w:tab w:val="left" w:pos="567"/>
        </w:tabs>
        <w:spacing w:before="120" w:after="120"/>
        <w:ind w:left="0" w:firstLine="0"/>
        <w:contextualSpacing w:val="0"/>
        <w:jc w:val="both"/>
      </w:pPr>
      <w:r w:rsidRPr="00300A27">
        <w:rPr>
          <w:i/>
          <w:iCs/>
        </w:rPr>
        <w:t>Notifica</w:t>
      </w:r>
      <w:r w:rsidR="00BA3C7F" w:rsidRPr="00300A27">
        <w:rPr>
          <w:i/>
          <w:iCs/>
        </w:rPr>
        <w:t>tio</w:t>
      </w:r>
      <w:r w:rsidRPr="00300A27">
        <w:rPr>
          <w:i/>
          <w:iCs/>
        </w:rPr>
        <w:t xml:space="preserve">n </w:t>
      </w:r>
      <w:r w:rsidR="00BA3C7F" w:rsidRPr="00300A27">
        <w:rPr>
          <w:i/>
          <w:iCs/>
        </w:rPr>
        <w:t>to the State</w:t>
      </w:r>
      <w:r w:rsidRPr="00300A27">
        <w:rPr>
          <w:i/>
          <w:iCs/>
        </w:rPr>
        <w:t xml:space="preserve">. </w:t>
      </w:r>
      <w:r w:rsidR="00BA3C7F" w:rsidRPr="00300A27">
        <w:t>The</w:t>
      </w:r>
      <w:r w:rsidR="00E230B1" w:rsidRPr="00300A27">
        <w:t xml:space="preserve"> </w:t>
      </w:r>
      <w:r w:rsidR="00BA3C7F" w:rsidRPr="00300A27">
        <w:t>Merits Report</w:t>
      </w:r>
      <w:r w:rsidR="00E230B1" w:rsidRPr="00300A27">
        <w:t xml:space="preserve"> </w:t>
      </w:r>
      <w:r w:rsidR="00BA3C7F" w:rsidRPr="00300A27">
        <w:t>was notified</w:t>
      </w:r>
      <w:r w:rsidR="00E230B1" w:rsidRPr="00300A27">
        <w:t xml:space="preserve"> </w:t>
      </w:r>
      <w:r w:rsidR="00BA3C7F" w:rsidRPr="00300A27">
        <w:t>to the State</w:t>
      </w:r>
      <w:r w:rsidR="00E230B1" w:rsidRPr="00300A27">
        <w:t xml:space="preserve"> </w:t>
      </w:r>
      <w:r w:rsidR="00BA3C7F" w:rsidRPr="00300A27">
        <w:t>on March 22,</w:t>
      </w:r>
      <w:r w:rsidR="00E230B1" w:rsidRPr="00300A27">
        <w:t xml:space="preserve"> 2018, </w:t>
      </w:r>
      <w:r w:rsidR="00BA3C7F" w:rsidRPr="00300A27">
        <w:t xml:space="preserve">granting it two months to provide a report on compliance with the recommendations. The State “presented information on a series of measures taken to avoid the repetition of the violations that occurred in this case, as well as on the reopening of the criminal investigation.” However, “regarding the recommendation </w:t>
      </w:r>
      <w:r w:rsidR="00610AD8" w:rsidRPr="00300A27">
        <w:t>to</w:t>
      </w:r>
      <w:r w:rsidR="00BA3C7F" w:rsidRPr="00300A27">
        <w:t xml:space="preserve"> provid</w:t>
      </w:r>
      <w:r w:rsidR="00610AD8" w:rsidRPr="00300A27">
        <w:t>e</w:t>
      </w:r>
      <w:r w:rsidR="00BA3C7F" w:rsidRPr="00300A27">
        <w:t xml:space="preserve"> full reparation to the victims, the Peruvian State indicated that this recommendation was related to the investigation into the facts in the domestic sphere […] and indicated that, in any case, this was the function of the competent entities</w:t>
      </w:r>
      <w:r w:rsidR="00BA3C7F" w:rsidRPr="00300A27">
        <w:rPr>
          <w:szCs w:val="20"/>
        </w:rPr>
        <w:t>.</w:t>
      </w:r>
      <w:r w:rsidR="00226410" w:rsidRPr="00300A27">
        <w:rPr>
          <w:szCs w:val="20"/>
        </w:rPr>
        <w:t xml:space="preserve">” </w:t>
      </w:r>
      <w:r w:rsidR="00C2001D" w:rsidRPr="00300A27">
        <w:rPr>
          <w:szCs w:val="20"/>
        </w:rPr>
        <w:t>The Commission</w:t>
      </w:r>
      <w:r w:rsidR="0088185F" w:rsidRPr="00300A27">
        <w:rPr>
          <w:szCs w:val="20"/>
        </w:rPr>
        <w:t xml:space="preserve"> indic</w:t>
      </w:r>
      <w:r w:rsidR="00BA3C7F" w:rsidRPr="00300A27">
        <w:rPr>
          <w:szCs w:val="20"/>
        </w:rPr>
        <w:t xml:space="preserve">ated that five months after this report, “the Peruvian State ha[d] not contacted the victims </w:t>
      </w:r>
      <w:r w:rsidR="005B1C65" w:rsidRPr="00300A27">
        <w:rPr>
          <w:szCs w:val="20"/>
        </w:rPr>
        <w:t xml:space="preserve">and </w:t>
      </w:r>
      <w:r w:rsidR="00BA3C7F" w:rsidRPr="00300A27">
        <w:rPr>
          <w:szCs w:val="20"/>
        </w:rPr>
        <w:t>their representatives to make a specific proposal on full reparation.”</w:t>
      </w:r>
    </w:p>
    <w:p w14:paraId="48DB840D" w14:textId="2136DC10" w:rsidR="002E6EEF" w:rsidRPr="00300A27" w:rsidRDefault="00F756EF" w:rsidP="00B243B6">
      <w:pPr>
        <w:pStyle w:val="Prrafodelista"/>
        <w:numPr>
          <w:ilvl w:val="0"/>
          <w:numId w:val="3"/>
        </w:numPr>
        <w:tabs>
          <w:tab w:val="left" w:pos="567"/>
        </w:tabs>
        <w:spacing w:before="120" w:after="120"/>
        <w:ind w:left="0" w:firstLine="0"/>
        <w:contextualSpacing w:val="0"/>
        <w:jc w:val="both"/>
      </w:pPr>
      <w:r w:rsidRPr="00300A27">
        <w:rPr>
          <w:i/>
          <w:iCs/>
        </w:rPr>
        <w:t>Submission to</w:t>
      </w:r>
      <w:r w:rsidR="009E2D9D" w:rsidRPr="00300A27">
        <w:rPr>
          <w:i/>
          <w:iCs/>
        </w:rPr>
        <w:t xml:space="preserve"> </w:t>
      </w:r>
      <w:r w:rsidR="005B1C65" w:rsidRPr="00300A27">
        <w:rPr>
          <w:i/>
          <w:iCs/>
        </w:rPr>
        <w:t>the Court</w:t>
      </w:r>
      <w:r w:rsidR="009E2D9D" w:rsidRPr="00300A27">
        <w:rPr>
          <w:i/>
          <w:iCs/>
        </w:rPr>
        <w:t xml:space="preserve">. </w:t>
      </w:r>
      <w:r w:rsidRPr="00300A27">
        <w:t>On August 22,</w:t>
      </w:r>
      <w:r w:rsidR="00554F2F" w:rsidRPr="00300A27">
        <w:t xml:space="preserve"> 2018</w:t>
      </w:r>
      <w:r w:rsidRPr="00300A27">
        <w:t>,</w:t>
      </w:r>
      <w:r w:rsidR="00554F2F" w:rsidRPr="00300A27">
        <w:t xml:space="preserve"> </w:t>
      </w:r>
      <w:r w:rsidR="00C2001D" w:rsidRPr="00300A27">
        <w:t>the Commission</w:t>
      </w:r>
      <w:r w:rsidR="00554F2F" w:rsidRPr="00300A27">
        <w:t xml:space="preserve"> </w:t>
      </w:r>
      <w:r w:rsidRPr="00300A27">
        <w:t>submitted this case to</w:t>
      </w:r>
      <w:r w:rsidR="00554F2F" w:rsidRPr="00300A27">
        <w:t xml:space="preserve"> </w:t>
      </w:r>
      <w:r w:rsidR="005B1C65" w:rsidRPr="00300A27">
        <w:t>the Court</w:t>
      </w:r>
      <w:r w:rsidR="00554F2F" w:rsidRPr="00300A27">
        <w:t xml:space="preserve"> </w:t>
      </w:r>
      <w:r w:rsidRPr="00300A27">
        <w:t>owing to</w:t>
      </w:r>
      <w:r w:rsidR="00603777" w:rsidRPr="00300A27">
        <w:t xml:space="preserve"> “</w:t>
      </w:r>
      <w:r w:rsidRPr="00300A27">
        <w:t>the need to obtain justice for the victims.</w:t>
      </w:r>
      <w:r w:rsidR="0088185F" w:rsidRPr="00300A27">
        <w:t>”</w:t>
      </w:r>
      <w:r w:rsidR="0088185F" w:rsidRPr="00300A27">
        <w:rPr>
          <w:rStyle w:val="Refdenotaalpie"/>
        </w:rPr>
        <w:footnoteReference w:id="3"/>
      </w:r>
      <w:r w:rsidR="0088185F" w:rsidRPr="00300A27">
        <w:t xml:space="preserve"> </w:t>
      </w:r>
    </w:p>
    <w:p w14:paraId="2865B360" w14:textId="1A6AC8BC" w:rsidR="00900494" w:rsidRPr="00300A27" w:rsidRDefault="007071F6" w:rsidP="00B243B6">
      <w:pPr>
        <w:pStyle w:val="Prrafodelista"/>
        <w:numPr>
          <w:ilvl w:val="0"/>
          <w:numId w:val="3"/>
        </w:numPr>
        <w:tabs>
          <w:tab w:val="left" w:pos="567"/>
        </w:tabs>
        <w:spacing w:before="120" w:after="120"/>
        <w:ind w:left="0" w:firstLine="0"/>
        <w:contextualSpacing w:val="0"/>
        <w:jc w:val="both"/>
      </w:pPr>
      <w:r w:rsidRPr="00300A27">
        <w:rPr>
          <w:i/>
          <w:iCs/>
        </w:rPr>
        <w:t>Requests of</w:t>
      </w:r>
      <w:r w:rsidR="009E2D9D" w:rsidRPr="00300A27">
        <w:rPr>
          <w:i/>
          <w:iCs/>
        </w:rPr>
        <w:t xml:space="preserve"> </w:t>
      </w:r>
      <w:r w:rsidR="00C2001D" w:rsidRPr="00300A27">
        <w:rPr>
          <w:i/>
          <w:iCs/>
        </w:rPr>
        <w:t>the Commission</w:t>
      </w:r>
      <w:r w:rsidR="009E2D9D" w:rsidRPr="00300A27">
        <w:rPr>
          <w:i/>
          <w:iCs/>
        </w:rPr>
        <w:t xml:space="preserve">. </w:t>
      </w:r>
      <w:r w:rsidR="00F756EF" w:rsidRPr="00300A27">
        <w:t>Based on the foregoing</w:t>
      </w:r>
      <w:r w:rsidR="00D26270" w:rsidRPr="00300A27">
        <w:t xml:space="preserve">, </w:t>
      </w:r>
      <w:r w:rsidR="00C2001D" w:rsidRPr="00300A27">
        <w:t>the Inter-American Commission</w:t>
      </w:r>
      <w:r w:rsidR="00D26270" w:rsidRPr="00300A27">
        <w:t xml:space="preserve"> </w:t>
      </w:r>
      <w:r w:rsidR="00F756EF" w:rsidRPr="00300A27">
        <w:t>asked</w:t>
      </w:r>
      <w:r w:rsidR="00D26270" w:rsidRPr="00300A27">
        <w:t xml:space="preserve"> </w:t>
      </w:r>
      <w:r w:rsidR="005B1C65" w:rsidRPr="00300A27">
        <w:t>th</w:t>
      </w:r>
      <w:r w:rsidR="00F756EF" w:rsidRPr="00300A27">
        <w:t>e</w:t>
      </w:r>
      <w:r w:rsidR="005B1C65" w:rsidRPr="00300A27">
        <w:t xml:space="preserve"> Court</w:t>
      </w:r>
      <w:r w:rsidR="00D26270" w:rsidRPr="00300A27">
        <w:t xml:space="preserve"> </w:t>
      </w:r>
      <w:r w:rsidR="00F756EF" w:rsidRPr="00300A27">
        <w:t>to find and declare the international responsibility of the Stat</w:t>
      </w:r>
      <w:r w:rsidRPr="00300A27">
        <w:t>e</w:t>
      </w:r>
      <w:r w:rsidR="00F756EF" w:rsidRPr="00300A27">
        <w:t xml:space="preserve"> for the violations contained in its </w:t>
      </w:r>
      <w:r w:rsidR="00BA3C7F" w:rsidRPr="00300A27">
        <w:t>Merits Report</w:t>
      </w:r>
      <w:r w:rsidR="005B1C65" w:rsidRPr="00300A27">
        <w:t xml:space="preserve"> and</w:t>
      </w:r>
      <w:r w:rsidR="00F756EF" w:rsidRPr="00300A27">
        <w:t xml:space="preserve"> to require the State, as measures of reparation, to execute the</w:t>
      </w:r>
      <w:r w:rsidR="00610AD8" w:rsidRPr="00300A27">
        <w:t xml:space="preserve"> measures</w:t>
      </w:r>
      <w:r w:rsidR="00F756EF" w:rsidRPr="00300A27">
        <w:t xml:space="preserve"> included in the said report.</w:t>
      </w:r>
    </w:p>
    <w:p w14:paraId="57EA412E" w14:textId="4DE57E48" w:rsidR="00900494" w:rsidRPr="00300A27" w:rsidRDefault="00900494" w:rsidP="00B243B6">
      <w:pPr>
        <w:pStyle w:val="Ttulo1"/>
        <w:rPr>
          <w:lang w:val="en-US"/>
        </w:rPr>
      </w:pPr>
      <w:bookmarkStart w:id="14" w:name="_Toc32394131"/>
      <w:bookmarkStart w:id="15" w:name="_Toc36823449"/>
      <w:r w:rsidRPr="00300A27">
        <w:rPr>
          <w:lang w:val="en-US"/>
        </w:rPr>
        <w:t>II</w:t>
      </w:r>
      <w:r w:rsidR="008A33EC" w:rsidRPr="00300A27">
        <w:rPr>
          <w:lang w:val="en-US"/>
        </w:rPr>
        <w:br/>
      </w:r>
      <w:r w:rsidR="007071F6" w:rsidRPr="00300A27">
        <w:rPr>
          <w:lang w:val="en-US"/>
        </w:rPr>
        <w:t>PROCEEDINGS BEFORE THE</w:t>
      </w:r>
      <w:r w:rsidR="005B1C65" w:rsidRPr="00300A27">
        <w:rPr>
          <w:lang w:val="en-US"/>
        </w:rPr>
        <w:t xml:space="preserve"> COURT</w:t>
      </w:r>
      <w:bookmarkEnd w:id="14"/>
      <w:bookmarkEnd w:id="15"/>
      <w:r w:rsidRPr="00300A27">
        <w:rPr>
          <w:lang w:val="en-US"/>
        </w:rPr>
        <w:t xml:space="preserve"> </w:t>
      </w:r>
    </w:p>
    <w:p w14:paraId="50D35ABA" w14:textId="38F1F093" w:rsidR="00DA0BDA" w:rsidRPr="00300A27" w:rsidRDefault="009E2D9D" w:rsidP="00B243B6">
      <w:pPr>
        <w:pStyle w:val="Prrafodelista"/>
        <w:numPr>
          <w:ilvl w:val="0"/>
          <w:numId w:val="3"/>
        </w:numPr>
        <w:tabs>
          <w:tab w:val="left" w:pos="567"/>
        </w:tabs>
        <w:spacing w:before="120" w:after="120"/>
        <w:ind w:left="0" w:firstLine="0"/>
        <w:contextualSpacing w:val="0"/>
        <w:jc w:val="both"/>
        <w:rPr>
          <w:szCs w:val="20"/>
        </w:rPr>
      </w:pPr>
      <w:r w:rsidRPr="00300A27">
        <w:rPr>
          <w:i/>
          <w:iCs/>
          <w:szCs w:val="20"/>
        </w:rPr>
        <w:t>Notifica</w:t>
      </w:r>
      <w:r w:rsidR="007071F6" w:rsidRPr="00300A27">
        <w:rPr>
          <w:i/>
          <w:iCs/>
          <w:szCs w:val="20"/>
        </w:rPr>
        <w:t>tio</w:t>
      </w:r>
      <w:r w:rsidRPr="00300A27">
        <w:rPr>
          <w:i/>
          <w:iCs/>
          <w:szCs w:val="20"/>
        </w:rPr>
        <w:t xml:space="preserve">n </w:t>
      </w:r>
      <w:r w:rsidR="00BA3C7F" w:rsidRPr="00300A27">
        <w:rPr>
          <w:i/>
          <w:iCs/>
          <w:szCs w:val="20"/>
        </w:rPr>
        <w:t>to the State</w:t>
      </w:r>
      <w:r w:rsidR="005B1C65" w:rsidRPr="00300A27">
        <w:rPr>
          <w:i/>
          <w:iCs/>
          <w:szCs w:val="20"/>
        </w:rPr>
        <w:t xml:space="preserve"> and </w:t>
      </w:r>
      <w:r w:rsidR="007071F6" w:rsidRPr="00300A27">
        <w:rPr>
          <w:i/>
          <w:iCs/>
          <w:szCs w:val="20"/>
        </w:rPr>
        <w:t>to</w:t>
      </w:r>
      <w:r w:rsidRPr="00300A27">
        <w:rPr>
          <w:i/>
          <w:iCs/>
          <w:szCs w:val="20"/>
        </w:rPr>
        <w:t xml:space="preserve"> </w:t>
      </w:r>
      <w:r w:rsidR="00BA3C7F" w:rsidRPr="00300A27">
        <w:rPr>
          <w:i/>
          <w:iCs/>
          <w:szCs w:val="20"/>
        </w:rPr>
        <w:t>the representatives</w:t>
      </w:r>
      <w:r w:rsidRPr="00300A27">
        <w:rPr>
          <w:i/>
          <w:iCs/>
          <w:szCs w:val="20"/>
        </w:rPr>
        <w:t>.</w:t>
      </w:r>
      <w:r w:rsidRPr="00300A27">
        <w:rPr>
          <w:szCs w:val="20"/>
        </w:rPr>
        <w:t xml:space="preserve"> </w:t>
      </w:r>
      <w:r w:rsidR="007071F6" w:rsidRPr="00300A27">
        <w:rPr>
          <w:szCs w:val="20"/>
        </w:rPr>
        <w:t>The submission of the case was notified to the State and to</w:t>
      </w:r>
      <w:r w:rsidR="00C34C4C" w:rsidRPr="00300A27">
        <w:rPr>
          <w:szCs w:val="20"/>
        </w:rPr>
        <w:t xml:space="preserve"> </w:t>
      </w:r>
      <w:r w:rsidR="00BA3C7F" w:rsidRPr="00300A27">
        <w:rPr>
          <w:szCs w:val="20"/>
        </w:rPr>
        <w:t>the representatives</w:t>
      </w:r>
      <w:r w:rsidR="007071F6" w:rsidRPr="00300A27">
        <w:rPr>
          <w:szCs w:val="20"/>
        </w:rPr>
        <w:t xml:space="preserve"> of the </w:t>
      </w:r>
      <w:r w:rsidR="00BA3C7F" w:rsidRPr="00300A27">
        <w:rPr>
          <w:szCs w:val="20"/>
        </w:rPr>
        <w:t>presumed victims</w:t>
      </w:r>
      <w:r w:rsidR="00E80D08" w:rsidRPr="00300A27">
        <w:rPr>
          <w:szCs w:val="20"/>
        </w:rPr>
        <w:t xml:space="preserve"> </w:t>
      </w:r>
      <w:r w:rsidR="007071F6" w:rsidRPr="00300A27">
        <w:rPr>
          <w:szCs w:val="20"/>
        </w:rPr>
        <w:t>on October 15,</w:t>
      </w:r>
      <w:r w:rsidR="00CD2791" w:rsidRPr="00300A27">
        <w:rPr>
          <w:szCs w:val="20"/>
        </w:rPr>
        <w:t xml:space="preserve"> 2018</w:t>
      </w:r>
      <w:r w:rsidR="00027BEA" w:rsidRPr="00300A27">
        <w:rPr>
          <w:szCs w:val="20"/>
        </w:rPr>
        <w:t>.</w:t>
      </w:r>
      <w:r w:rsidR="0088185F" w:rsidRPr="00300A27">
        <w:rPr>
          <w:szCs w:val="20"/>
        </w:rPr>
        <w:t xml:space="preserve"> </w:t>
      </w:r>
    </w:p>
    <w:p w14:paraId="574C6351" w14:textId="578252BF" w:rsidR="00DA0BDA" w:rsidRPr="00300A27" w:rsidRDefault="007071F6" w:rsidP="00B243B6">
      <w:pPr>
        <w:pStyle w:val="Prrafodelista"/>
        <w:numPr>
          <w:ilvl w:val="0"/>
          <w:numId w:val="3"/>
        </w:numPr>
        <w:tabs>
          <w:tab w:val="left" w:pos="567"/>
        </w:tabs>
        <w:spacing w:before="120" w:after="120"/>
        <w:ind w:left="0" w:firstLine="0"/>
        <w:contextualSpacing w:val="0"/>
        <w:jc w:val="both"/>
        <w:rPr>
          <w:szCs w:val="20"/>
        </w:rPr>
      </w:pPr>
      <w:r w:rsidRPr="00300A27">
        <w:rPr>
          <w:i/>
          <w:iCs/>
          <w:szCs w:val="20"/>
        </w:rPr>
        <w:t>Brief with pleadings, motions and evidence</w:t>
      </w:r>
      <w:r w:rsidR="009E2D9D" w:rsidRPr="00300A27">
        <w:rPr>
          <w:i/>
          <w:iCs/>
          <w:szCs w:val="20"/>
        </w:rPr>
        <w:t xml:space="preserve">.  </w:t>
      </w:r>
      <w:r w:rsidRPr="00300A27">
        <w:rPr>
          <w:szCs w:val="20"/>
        </w:rPr>
        <w:t>On December 11,</w:t>
      </w:r>
      <w:r w:rsidR="00A362B9" w:rsidRPr="00300A27">
        <w:rPr>
          <w:szCs w:val="20"/>
        </w:rPr>
        <w:t xml:space="preserve"> 2018</w:t>
      </w:r>
      <w:r w:rsidRPr="00300A27">
        <w:rPr>
          <w:szCs w:val="20"/>
        </w:rPr>
        <w:t>,</w:t>
      </w:r>
      <w:r w:rsidR="00A362B9" w:rsidRPr="00300A27">
        <w:rPr>
          <w:szCs w:val="20"/>
        </w:rPr>
        <w:t xml:space="preserve"> </w:t>
      </w:r>
      <w:r w:rsidRPr="00300A27">
        <w:rPr>
          <w:szCs w:val="20"/>
        </w:rPr>
        <w:t xml:space="preserve">the National Human Rights Coordinator, the </w:t>
      </w:r>
      <w:r w:rsidR="00A362B9" w:rsidRPr="00300A27">
        <w:rPr>
          <w:i/>
          <w:iCs/>
          <w:szCs w:val="20"/>
        </w:rPr>
        <w:t>Centro de Promoción</w:t>
      </w:r>
      <w:r w:rsidR="005B1C65" w:rsidRPr="00300A27">
        <w:rPr>
          <w:i/>
          <w:iCs/>
          <w:szCs w:val="20"/>
        </w:rPr>
        <w:t xml:space="preserve"> </w:t>
      </w:r>
      <w:r w:rsidR="00FD36FD" w:rsidRPr="00300A27">
        <w:rPr>
          <w:i/>
          <w:iCs/>
          <w:szCs w:val="20"/>
        </w:rPr>
        <w:t>y</w:t>
      </w:r>
      <w:r w:rsidR="005B1C65" w:rsidRPr="00300A27">
        <w:rPr>
          <w:i/>
          <w:iCs/>
          <w:szCs w:val="20"/>
        </w:rPr>
        <w:t xml:space="preserve"> </w:t>
      </w:r>
      <w:r w:rsidR="00A362B9" w:rsidRPr="00300A27">
        <w:rPr>
          <w:i/>
          <w:iCs/>
          <w:szCs w:val="20"/>
        </w:rPr>
        <w:t>Defensa de los Derechos Sexuales</w:t>
      </w:r>
      <w:r w:rsidR="005B1C65" w:rsidRPr="00300A27">
        <w:rPr>
          <w:i/>
          <w:iCs/>
          <w:szCs w:val="20"/>
        </w:rPr>
        <w:t xml:space="preserve"> </w:t>
      </w:r>
      <w:r w:rsidR="00FD36FD" w:rsidRPr="00300A27">
        <w:rPr>
          <w:i/>
          <w:iCs/>
          <w:szCs w:val="20"/>
        </w:rPr>
        <w:t>y</w:t>
      </w:r>
      <w:r w:rsidR="005B1C65" w:rsidRPr="00300A27">
        <w:rPr>
          <w:i/>
          <w:iCs/>
          <w:szCs w:val="20"/>
        </w:rPr>
        <w:t xml:space="preserve"> </w:t>
      </w:r>
      <w:r w:rsidR="00A362B9" w:rsidRPr="00300A27">
        <w:rPr>
          <w:i/>
          <w:iCs/>
          <w:szCs w:val="20"/>
        </w:rPr>
        <w:t xml:space="preserve">Reproductivos </w:t>
      </w:r>
      <w:r w:rsidR="00A362B9" w:rsidRPr="00300A27">
        <w:rPr>
          <w:szCs w:val="20"/>
        </w:rPr>
        <w:t>(PROMSEX)</w:t>
      </w:r>
      <w:r w:rsidR="005B1C65" w:rsidRPr="00300A27">
        <w:rPr>
          <w:szCs w:val="20"/>
        </w:rPr>
        <w:t xml:space="preserve"> and </w:t>
      </w:r>
      <w:r w:rsidR="00A362B9" w:rsidRPr="00300A27">
        <w:rPr>
          <w:szCs w:val="20"/>
        </w:rPr>
        <w:t>Redress Trust (</w:t>
      </w:r>
      <w:r w:rsidR="005B1C65" w:rsidRPr="00300A27">
        <w:rPr>
          <w:szCs w:val="20"/>
        </w:rPr>
        <w:t>hereinafter</w:t>
      </w:r>
      <w:r w:rsidR="00A362B9" w:rsidRPr="00300A27">
        <w:rPr>
          <w:szCs w:val="20"/>
        </w:rPr>
        <w:t xml:space="preserve"> “</w:t>
      </w:r>
      <w:r w:rsidR="00BA3C7F" w:rsidRPr="00300A27">
        <w:rPr>
          <w:szCs w:val="20"/>
        </w:rPr>
        <w:t>the representatives</w:t>
      </w:r>
      <w:r w:rsidR="00A362B9" w:rsidRPr="00300A27">
        <w:rPr>
          <w:szCs w:val="20"/>
        </w:rPr>
        <w:t xml:space="preserve">”) </w:t>
      </w:r>
      <w:r w:rsidRPr="00300A27">
        <w:rPr>
          <w:szCs w:val="20"/>
        </w:rPr>
        <w:t>submitted their brief with pleadings, motions and evidence</w:t>
      </w:r>
      <w:r w:rsidR="000A7C3B" w:rsidRPr="00300A27">
        <w:rPr>
          <w:szCs w:val="20"/>
        </w:rPr>
        <w:t xml:space="preserve"> (</w:t>
      </w:r>
      <w:r w:rsidR="005B1C65" w:rsidRPr="00300A27">
        <w:rPr>
          <w:szCs w:val="20"/>
        </w:rPr>
        <w:t>hereinafter</w:t>
      </w:r>
      <w:r w:rsidR="000A7C3B" w:rsidRPr="00300A27">
        <w:rPr>
          <w:szCs w:val="20"/>
        </w:rPr>
        <w:t xml:space="preserve"> “</w:t>
      </w:r>
      <w:r w:rsidRPr="00300A27">
        <w:rPr>
          <w:szCs w:val="20"/>
        </w:rPr>
        <w:t>pleadings and motions brief</w:t>
      </w:r>
      <w:r w:rsidR="000A7C3B" w:rsidRPr="00300A27">
        <w:rPr>
          <w:szCs w:val="20"/>
        </w:rPr>
        <w:t xml:space="preserve">”), </w:t>
      </w:r>
      <w:r w:rsidRPr="00300A27">
        <w:rPr>
          <w:szCs w:val="20"/>
        </w:rPr>
        <w:t>pursuant to</w:t>
      </w:r>
      <w:r w:rsidR="000A7C3B" w:rsidRPr="00300A27">
        <w:rPr>
          <w:szCs w:val="20"/>
        </w:rPr>
        <w:t xml:space="preserve"> </w:t>
      </w:r>
      <w:r w:rsidR="005B1C65" w:rsidRPr="00300A27">
        <w:rPr>
          <w:szCs w:val="20"/>
        </w:rPr>
        <w:t>Articles</w:t>
      </w:r>
      <w:r w:rsidR="000A7C3B" w:rsidRPr="00300A27">
        <w:rPr>
          <w:szCs w:val="20"/>
        </w:rPr>
        <w:t xml:space="preserve"> 25</w:t>
      </w:r>
      <w:r w:rsidR="005B1C65" w:rsidRPr="00300A27">
        <w:rPr>
          <w:szCs w:val="20"/>
        </w:rPr>
        <w:t xml:space="preserve"> and </w:t>
      </w:r>
      <w:r w:rsidR="000A7C3B" w:rsidRPr="00300A27">
        <w:rPr>
          <w:szCs w:val="20"/>
        </w:rPr>
        <w:t>40</w:t>
      </w:r>
      <w:r w:rsidR="005B1C65" w:rsidRPr="00300A27">
        <w:rPr>
          <w:szCs w:val="20"/>
        </w:rPr>
        <w:t xml:space="preserve"> of the Court’s Rules of Procedure</w:t>
      </w:r>
      <w:r w:rsidR="000A7C3B" w:rsidRPr="00300A27">
        <w:rPr>
          <w:szCs w:val="20"/>
        </w:rPr>
        <w:t xml:space="preserve">. </w:t>
      </w:r>
      <w:r w:rsidR="00BA3C7F" w:rsidRPr="00300A27">
        <w:rPr>
          <w:szCs w:val="20"/>
        </w:rPr>
        <w:t>The representatives</w:t>
      </w:r>
      <w:r w:rsidR="000A7C3B" w:rsidRPr="00300A27">
        <w:rPr>
          <w:szCs w:val="20"/>
        </w:rPr>
        <w:t xml:space="preserve"> </w:t>
      </w:r>
      <w:r w:rsidRPr="00300A27">
        <w:rPr>
          <w:szCs w:val="20"/>
        </w:rPr>
        <w:t xml:space="preserve">agreed with the allegations made by </w:t>
      </w:r>
      <w:r w:rsidR="00C2001D" w:rsidRPr="00300A27">
        <w:rPr>
          <w:szCs w:val="20"/>
        </w:rPr>
        <w:t>the Commission</w:t>
      </w:r>
      <w:r w:rsidR="005B1C65" w:rsidRPr="00300A27">
        <w:rPr>
          <w:szCs w:val="20"/>
        </w:rPr>
        <w:t xml:space="preserve"> and </w:t>
      </w:r>
      <w:r w:rsidRPr="00300A27">
        <w:rPr>
          <w:szCs w:val="20"/>
        </w:rPr>
        <w:t>added that</w:t>
      </w:r>
      <w:r w:rsidR="00306187" w:rsidRPr="00300A27">
        <w:rPr>
          <w:szCs w:val="20"/>
        </w:rPr>
        <w:t xml:space="preserve"> </w:t>
      </w:r>
      <w:r w:rsidR="005B1C65" w:rsidRPr="00300A27">
        <w:rPr>
          <w:szCs w:val="20"/>
        </w:rPr>
        <w:t>the State</w:t>
      </w:r>
      <w:r w:rsidR="00306187" w:rsidRPr="00300A27">
        <w:rPr>
          <w:szCs w:val="20"/>
        </w:rPr>
        <w:t xml:space="preserve"> </w:t>
      </w:r>
      <w:r w:rsidRPr="00300A27">
        <w:rPr>
          <w:szCs w:val="20"/>
        </w:rPr>
        <w:t xml:space="preserve">was also responsible for </w:t>
      </w:r>
      <w:r w:rsidR="00BA3C7F" w:rsidRPr="00300A27">
        <w:rPr>
          <w:szCs w:val="20"/>
        </w:rPr>
        <w:t>the violation of</w:t>
      </w:r>
      <w:r w:rsidRPr="00300A27">
        <w:rPr>
          <w:szCs w:val="20"/>
        </w:rPr>
        <w:t xml:space="preserve"> the obligation to adopt domestic legal provisions in light of Article</w:t>
      </w:r>
      <w:r w:rsidR="00306187" w:rsidRPr="00300A27">
        <w:rPr>
          <w:szCs w:val="20"/>
        </w:rPr>
        <w:t xml:space="preserve"> 2</w:t>
      </w:r>
      <w:r w:rsidR="005B1C65" w:rsidRPr="00300A27">
        <w:rPr>
          <w:szCs w:val="20"/>
        </w:rPr>
        <w:t xml:space="preserve"> of the American Convention</w:t>
      </w:r>
      <w:r w:rsidR="000A7C3B" w:rsidRPr="00300A27">
        <w:rPr>
          <w:szCs w:val="20"/>
        </w:rPr>
        <w:t>.</w:t>
      </w:r>
      <w:r w:rsidR="00306187" w:rsidRPr="00300A27">
        <w:rPr>
          <w:szCs w:val="20"/>
        </w:rPr>
        <w:t xml:space="preserve"> </w:t>
      </w:r>
      <w:r w:rsidRPr="00300A27">
        <w:rPr>
          <w:szCs w:val="20"/>
        </w:rPr>
        <w:t>In addition, it asked that the Court order the State to adopt various measures of reparation and to reimburse certain costs and expenses</w:t>
      </w:r>
      <w:r w:rsidR="0088185F" w:rsidRPr="00300A27">
        <w:rPr>
          <w:szCs w:val="20"/>
        </w:rPr>
        <w:t>.</w:t>
      </w:r>
      <w:r w:rsidR="000A7C3B" w:rsidRPr="00300A27">
        <w:rPr>
          <w:szCs w:val="20"/>
        </w:rPr>
        <w:t xml:space="preserve"> </w:t>
      </w:r>
    </w:p>
    <w:p w14:paraId="288AFAC9" w14:textId="3DAD3CDB" w:rsidR="00DA0BDA" w:rsidRPr="00300A27" w:rsidRDefault="007071F6" w:rsidP="00B243B6">
      <w:pPr>
        <w:pStyle w:val="Prrafodelista"/>
        <w:numPr>
          <w:ilvl w:val="0"/>
          <w:numId w:val="3"/>
        </w:numPr>
        <w:tabs>
          <w:tab w:val="left" w:pos="567"/>
        </w:tabs>
        <w:spacing w:before="120" w:after="120"/>
        <w:ind w:left="0" w:firstLine="0"/>
        <w:contextualSpacing w:val="0"/>
        <w:jc w:val="both"/>
        <w:rPr>
          <w:szCs w:val="20"/>
        </w:rPr>
      </w:pPr>
      <w:r w:rsidRPr="00300A27">
        <w:rPr>
          <w:i/>
          <w:iCs/>
          <w:szCs w:val="20"/>
        </w:rPr>
        <w:t>Answering brief</w:t>
      </w:r>
      <w:r w:rsidR="009E2D9D" w:rsidRPr="00300A27">
        <w:rPr>
          <w:i/>
          <w:iCs/>
          <w:szCs w:val="20"/>
        </w:rPr>
        <w:t>.</w:t>
      </w:r>
      <w:r w:rsidR="009E2D9D" w:rsidRPr="00300A27">
        <w:rPr>
          <w:szCs w:val="20"/>
        </w:rPr>
        <w:t xml:space="preserve"> </w:t>
      </w:r>
      <w:r w:rsidRPr="00300A27">
        <w:rPr>
          <w:szCs w:val="20"/>
        </w:rPr>
        <w:t>On April 5,</w:t>
      </w:r>
      <w:r w:rsidR="000A7C3B" w:rsidRPr="00300A27">
        <w:rPr>
          <w:szCs w:val="20"/>
        </w:rPr>
        <w:t xml:space="preserve"> 2019</w:t>
      </w:r>
      <w:r w:rsidRPr="00300A27">
        <w:rPr>
          <w:szCs w:val="20"/>
        </w:rPr>
        <w:t>,</w:t>
      </w:r>
      <w:r w:rsidR="000A7C3B" w:rsidRPr="00300A27">
        <w:rPr>
          <w:szCs w:val="20"/>
        </w:rPr>
        <w:t xml:space="preserve"> </w:t>
      </w:r>
      <w:r w:rsidR="005B1C65" w:rsidRPr="00300A27">
        <w:rPr>
          <w:szCs w:val="20"/>
        </w:rPr>
        <w:t>the State</w:t>
      </w:r>
      <w:r w:rsidR="000A7C3B" w:rsidRPr="00300A27">
        <w:rPr>
          <w:szCs w:val="20"/>
        </w:rPr>
        <w:t xml:space="preserve"> </w:t>
      </w:r>
      <w:r w:rsidRPr="00300A27">
        <w:rPr>
          <w:szCs w:val="20"/>
        </w:rPr>
        <w:t>submitted to</w:t>
      </w:r>
      <w:r w:rsidR="000A7C3B" w:rsidRPr="00300A27">
        <w:rPr>
          <w:szCs w:val="20"/>
        </w:rPr>
        <w:t xml:space="preserve"> </w:t>
      </w:r>
      <w:r w:rsidR="005B1C65" w:rsidRPr="00300A27">
        <w:rPr>
          <w:szCs w:val="20"/>
        </w:rPr>
        <w:t>the Court</w:t>
      </w:r>
      <w:r w:rsidR="000A7C3B" w:rsidRPr="00300A27">
        <w:rPr>
          <w:szCs w:val="20"/>
        </w:rPr>
        <w:t xml:space="preserve"> </w:t>
      </w:r>
      <w:r w:rsidRPr="00300A27">
        <w:rPr>
          <w:szCs w:val="20"/>
        </w:rPr>
        <w:t>its brief with preliminary objections</w:t>
      </w:r>
      <w:r w:rsidR="005B1C65" w:rsidRPr="00300A27">
        <w:rPr>
          <w:szCs w:val="20"/>
        </w:rPr>
        <w:t xml:space="preserve"> and</w:t>
      </w:r>
      <w:r w:rsidRPr="00300A27">
        <w:rPr>
          <w:szCs w:val="20"/>
        </w:rPr>
        <w:t xml:space="preserve"> in answer to the submission of the case by </w:t>
      </w:r>
      <w:r w:rsidRPr="00300A27">
        <w:t xml:space="preserve">the </w:t>
      </w:r>
      <w:r w:rsidR="00C2001D" w:rsidRPr="00300A27">
        <w:t>Commission</w:t>
      </w:r>
      <w:r w:rsidR="00DA59BF" w:rsidRPr="00300A27">
        <w:t xml:space="preserve">, </w:t>
      </w:r>
      <w:r w:rsidRPr="00300A27">
        <w:t>together with its observations on the pleadings and motions brief</w:t>
      </w:r>
      <w:r w:rsidR="000A7C3B" w:rsidRPr="00300A27">
        <w:rPr>
          <w:szCs w:val="20"/>
        </w:rPr>
        <w:t xml:space="preserve"> (</w:t>
      </w:r>
      <w:r w:rsidR="005B1C65" w:rsidRPr="00300A27">
        <w:rPr>
          <w:szCs w:val="20"/>
        </w:rPr>
        <w:t>hereinafter</w:t>
      </w:r>
      <w:r w:rsidR="000A7C3B" w:rsidRPr="00300A27">
        <w:rPr>
          <w:szCs w:val="20"/>
        </w:rPr>
        <w:t xml:space="preserve"> “</w:t>
      </w:r>
      <w:r w:rsidRPr="00300A27">
        <w:rPr>
          <w:szCs w:val="20"/>
        </w:rPr>
        <w:t>answering brief</w:t>
      </w:r>
      <w:r w:rsidR="000A7C3B" w:rsidRPr="00300A27">
        <w:rPr>
          <w:szCs w:val="20"/>
        </w:rPr>
        <w:t xml:space="preserve">”). </w:t>
      </w:r>
      <w:r w:rsidRPr="00300A27">
        <w:rPr>
          <w:szCs w:val="20"/>
        </w:rPr>
        <w:t xml:space="preserve">In this brief, </w:t>
      </w:r>
      <w:r w:rsidR="005B1C65" w:rsidRPr="00300A27">
        <w:rPr>
          <w:szCs w:val="20"/>
        </w:rPr>
        <w:t>the State</w:t>
      </w:r>
      <w:r w:rsidR="000A7C3B" w:rsidRPr="00300A27">
        <w:rPr>
          <w:szCs w:val="20"/>
        </w:rPr>
        <w:t xml:space="preserve"> </w:t>
      </w:r>
      <w:r w:rsidRPr="00300A27">
        <w:rPr>
          <w:szCs w:val="20"/>
        </w:rPr>
        <w:t>filed three preliminary objections</w:t>
      </w:r>
      <w:r w:rsidR="005B1C65" w:rsidRPr="00300A27">
        <w:rPr>
          <w:szCs w:val="20"/>
        </w:rPr>
        <w:t xml:space="preserve"> and </w:t>
      </w:r>
      <w:r w:rsidRPr="00300A27">
        <w:rPr>
          <w:szCs w:val="20"/>
        </w:rPr>
        <w:t xml:space="preserve">contested the alleged violations and the requests for measures of reparation presented by the </w:t>
      </w:r>
      <w:r w:rsidR="00C2001D" w:rsidRPr="00300A27">
        <w:rPr>
          <w:szCs w:val="20"/>
        </w:rPr>
        <w:t>Commission</w:t>
      </w:r>
      <w:r w:rsidR="005B1C65" w:rsidRPr="00300A27">
        <w:rPr>
          <w:szCs w:val="20"/>
        </w:rPr>
        <w:t xml:space="preserve"> and </w:t>
      </w:r>
      <w:r w:rsidR="00BA3C7F" w:rsidRPr="00300A27">
        <w:rPr>
          <w:szCs w:val="20"/>
        </w:rPr>
        <w:t>the representatives</w:t>
      </w:r>
      <w:r w:rsidR="000A7C3B" w:rsidRPr="00300A27">
        <w:rPr>
          <w:szCs w:val="20"/>
        </w:rPr>
        <w:t xml:space="preserve">. </w:t>
      </w:r>
    </w:p>
    <w:p w14:paraId="76C3BB1F" w14:textId="59E9E6E7" w:rsidR="00DA0BDA" w:rsidRPr="00300A27" w:rsidRDefault="007071F6" w:rsidP="00B243B6">
      <w:pPr>
        <w:pStyle w:val="Prrafodelista"/>
        <w:numPr>
          <w:ilvl w:val="0"/>
          <w:numId w:val="3"/>
        </w:numPr>
        <w:tabs>
          <w:tab w:val="left" w:pos="567"/>
        </w:tabs>
        <w:spacing w:before="120" w:after="120"/>
        <w:ind w:left="0" w:firstLine="0"/>
        <w:contextualSpacing w:val="0"/>
        <w:jc w:val="both"/>
        <w:rPr>
          <w:szCs w:val="20"/>
        </w:rPr>
      </w:pPr>
      <w:r w:rsidRPr="00300A27">
        <w:rPr>
          <w:i/>
          <w:iCs/>
          <w:szCs w:val="20"/>
        </w:rPr>
        <w:t>Observations</w:t>
      </w:r>
      <w:r w:rsidR="009E2D9D" w:rsidRPr="00300A27">
        <w:rPr>
          <w:i/>
          <w:iCs/>
          <w:szCs w:val="20"/>
        </w:rPr>
        <w:t xml:space="preserve"> </w:t>
      </w:r>
      <w:r w:rsidRPr="00300A27">
        <w:rPr>
          <w:i/>
          <w:iCs/>
          <w:szCs w:val="20"/>
        </w:rPr>
        <w:t>on the</w:t>
      </w:r>
      <w:r w:rsidR="009E2D9D" w:rsidRPr="00300A27">
        <w:rPr>
          <w:i/>
          <w:iCs/>
          <w:szCs w:val="20"/>
        </w:rPr>
        <w:t xml:space="preserve"> </w:t>
      </w:r>
      <w:r w:rsidRPr="00300A27">
        <w:rPr>
          <w:i/>
          <w:iCs/>
          <w:szCs w:val="20"/>
        </w:rPr>
        <w:t>preliminary objections</w:t>
      </w:r>
      <w:r w:rsidR="009E2D9D" w:rsidRPr="00300A27">
        <w:rPr>
          <w:i/>
          <w:iCs/>
          <w:szCs w:val="20"/>
        </w:rPr>
        <w:t>.</w:t>
      </w:r>
      <w:r w:rsidR="00233C01" w:rsidRPr="00300A27">
        <w:rPr>
          <w:szCs w:val="20"/>
        </w:rPr>
        <w:t xml:space="preserve"> </w:t>
      </w:r>
      <w:r w:rsidRPr="00300A27">
        <w:rPr>
          <w:szCs w:val="20"/>
        </w:rPr>
        <w:t>On May 24,</w:t>
      </w:r>
      <w:r w:rsidR="00233C01" w:rsidRPr="00300A27">
        <w:rPr>
          <w:szCs w:val="20"/>
        </w:rPr>
        <w:t xml:space="preserve"> 2019</w:t>
      </w:r>
      <w:r w:rsidRPr="00300A27">
        <w:rPr>
          <w:szCs w:val="20"/>
        </w:rPr>
        <w:t>,</w:t>
      </w:r>
      <w:r w:rsidR="00233C01" w:rsidRPr="00300A27">
        <w:rPr>
          <w:szCs w:val="20"/>
        </w:rPr>
        <w:t xml:space="preserve"> </w:t>
      </w:r>
      <w:r w:rsidR="00BA3C7F" w:rsidRPr="00300A27">
        <w:rPr>
          <w:szCs w:val="20"/>
        </w:rPr>
        <w:t>the representatives</w:t>
      </w:r>
      <w:r w:rsidR="005B1C65" w:rsidRPr="00300A27">
        <w:rPr>
          <w:szCs w:val="20"/>
        </w:rPr>
        <w:t xml:space="preserve"> and </w:t>
      </w:r>
      <w:r w:rsidR="00C2001D" w:rsidRPr="00300A27">
        <w:rPr>
          <w:szCs w:val="20"/>
        </w:rPr>
        <w:t>the Commission</w:t>
      </w:r>
      <w:r w:rsidR="00233C01" w:rsidRPr="00300A27">
        <w:rPr>
          <w:szCs w:val="20"/>
        </w:rPr>
        <w:t xml:space="preserve"> </w:t>
      </w:r>
      <w:r w:rsidRPr="00300A27">
        <w:rPr>
          <w:szCs w:val="20"/>
        </w:rPr>
        <w:t>presented their observations</w:t>
      </w:r>
      <w:r w:rsidR="00DA59BF" w:rsidRPr="00300A27">
        <w:rPr>
          <w:szCs w:val="20"/>
        </w:rPr>
        <w:t xml:space="preserve"> </w:t>
      </w:r>
      <w:r w:rsidRPr="00300A27">
        <w:rPr>
          <w:szCs w:val="20"/>
        </w:rPr>
        <w:t>on the</w:t>
      </w:r>
      <w:r w:rsidR="00DA59BF" w:rsidRPr="00300A27">
        <w:rPr>
          <w:szCs w:val="20"/>
        </w:rPr>
        <w:t xml:space="preserve"> </w:t>
      </w:r>
      <w:r w:rsidRPr="00300A27">
        <w:rPr>
          <w:szCs w:val="20"/>
        </w:rPr>
        <w:t>preliminary objections</w:t>
      </w:r>
      <w:r w:rsidR="00233C01" w:rsidRPr="00300A27">
        <w:rPr>
          <w:szCs w:val="20"/>
        </w:rPr>
        <w:t xml:space="preserve">. </w:t>
      </w:r>
    </w:p>
    <w:p w14:paraId="52B46291" w14:textId="48C2CFC0" w:rsidR="00DA0BDA" w:rsidRPr="00300A27" w:rsidRDefault="007071F6" w:rsidP="00B243B6">
      <w:pPr>
        <w:pStyle w:val="Prrafodelista"/>
        <w:numPr>
          <w:ilvl w:val="0"/>
          <w:numId w:val="3"/>
        </w:numPr>
        <w:tabs>
          <w:tab w:val="left" w:pos="567"/>
        </w:tabs>
        <w:spacing w:before="120" w:after="120"/>
        <w:ind w:left="0" w:firstLine="0"/>
        <w:contextualSpacing w:val="0"/>
        <w:jc w:val="both"/>
        <w:rPr>
          <w:szCs w:val="20"/>
        </w:rPr>
      </w:pPr>
      <w:bookmarkStart w:id="16" w:name="_Ref446678625"/>
      <w:r w:rsidRPr="00300A27">
        <w:rPr>
          <w:i/>
          <w:iCs/>
          <w:szCs w:val="20"/>
        </w:rPr>
        <w:t>Public hearing</w:t>
      </w:r>
      <w:r w:rsidR="009E2D9D" w:rsidRPr="00300A27">
        <w:rPr>
          <w:i/>
          <w:iCs/>
          <w:szCs w:val="20"/>
        </w:rPr>
        <w:t>.</w:t>
      </w:r>
      <w:r w:rsidR="009E2D9D" w:rsidRPr="00300A27">
        <w:rPr>
          <w:szCs w:val="20"/>
        </w:rPr>
        <w:t xml:space="preserve"> </w:t>
      </w:r>
      <w:r w:rsidRPr="00300A27">
        <w:rPr>
          <w:szCs w:val="20"/>
        </w:rPr>
        <w:t>On July 10,</w:t>
      </w:r>
      <w:r w:rsidR="00CA0925" w:rsidRPr="00300A27">
        <w:rPr>
          <w:szCs w:val="20"/>
        </w:rPr>
        <w:t xml:space="preserve"> 2019</w:t>
      </w:r>
      <w:r w:rsidRPr="00300A27">
        <w:rPr>
          <w:szCs w:val="20"/>
        </w:rPr>
        <w:t>,</w:t>
      </w:r>
      <w:r w:rsidR="00CA0925" w:rsidRPr="00300A27">
        <w:rPr>
          <w:szCs w:val="20"/>
        </w:rPr>
        <w:t xml:space="preserve"> </w:t>
      </w:r>
      <w:r w:rsidRPr="00300A27">
        <w:rPr>
          <w:szCs w:val="20"/>
        </w:rPr>
        <w:t>the</w:t>
      </w:r>
      <w:r w:rsidR="00867465" w:rsidRPr="00300A27">
        <w:rPr>
          <w:szCs w:val="20"/>
        </w:rPr>
        <w:t xml:space="preserve"> </w:t>
      </w:r>
      <w:r w:rsidR="005B1C65" w:rsidRPr="00300A27">
        <w:rPr>
          <w:szCs w:val="20"/>
        </w:rPr>
        <w:t>President</w:t>
      </w:r>
      <w:r w:rsidR="00863759" w:rsidRPr="00300A27">
        <w:rPr>
          <w:szCs w:val="20"/>
        </w:rPr>
        <w:t xml:space="preserve"> </w:t>
      </w:r>
      <w:r w:rsidRPr="00300A27">
        <w:rPr>
          <w:szCs w:val="20"/>
        </w:rPr>
        <w:t>of the Court</w:t>
      </w:r>
      <w:r w:rsidR="008463FB" w:rsidRPr="00300A27">
        <w:rPr>
          <w:szCs w:val="20"/>
        </w:rPr>
        <w:t xml:space="preserve"> at the time</w:t>
      </w:r>
      <w:r w:rsidRPr="00300A27">
        <w:rPr>
          <w:szCs w:val="20"/>
        </w:rPr>
        <w:t xml:space="preserve"> issued an order in which he called the </w:t>
      </w:r>
      <w:r w:rsidR="00DE1419" w:rsidRPr="00300A27">
        <w:rPr>
          <w:szCs w:val="20"/>
        </w:rPr>
        <w:t>parties and of the Commissio</w:t>
      </w:r>
      <w:r w:rsidR="008F1BD3" w:rsidRPr="00300A27">
        <w:rPr>
          <w:szCs w:val="20"/>
        </w:rPr>
        <w:t>n</w:t>
      </w:r>
      <w:r w:rsidRPr="00300A27">
        <w:rPr>
          <w:szCs w:val="20"/>
        </w:rPr>
        <w:t xml:space="preserve"> to</w:t>
      </w:r>
      <w:r w:rsidR="00863759" w:rsidRPr="00300A27">
        <w:rPr>
          <w:szCs w:val="20"/>
        </w:rPr>
        <w:t xml:space="preserve"> a </w:t>
      </w:r>
      <w:r w:rsidRPr="00300A27">
        <w:rPr>
          <w:szCs w:val="20"/>
        </w:rPr>
        <w:t>public hearing</w:t>
      </w:r>
      <w:r w:rsidR="00863759" w:rsidRPr="00300A27">
        <w:rPr>
          <w:szCs w:val="20"/>
        </w:rPr>
        <w:t xml:space="preserve"> </w:t>
      </w:r>
      <w:r w:rsidRPr="00300A27">
        <w:rPr>
          <w:szCs w:val="20"/>
        </w:rPr>
        <w:t>on the</w:t>
      </w:r>
      <w:r w:rsidR="00863759" w:rsidRPr="00300A27">
        <w:rPr>
          <w:szCs w:val="20"/>
        </w:rPr>
        <w:t xml:space="preserve"> </w:t>
      </w:r>
      <w:r w:rsidRPr="00300A27">
        <w:rPr>
          <w:szCs w:val="20"/>
        </w:rPr>
        <w:t>preliminary objections</w:t>
      </w:r>
      <w:r w:rsidR="005B1C65" w:rsidRPr="00300A27">
        <w:rPr>
          <w:szCs w:val="20"/>
        </w:rPr>
        <w:t xml:space="preserve"> and </w:t>
      </w:r>
      <w:r w:rsidR="00863759" w:rsidRPr="00300A27">
        <w:rPr>
          <w:szCs w:val="20"/>
        </w:rPr>
        <w:t>eventual</w:t>
      </w:r>
      <w:r w:rsidRPr="00300A27">
        <w:rPr>
          <w:szCs w:val="20"/>
        </w:rPr>
        <w:t xml:space="preserve"> merits, reparations and costs.</w:t>
      </w:r>
      <w:r w:rsidR="001D0E86" w:rsidRPr="00300A27">
        <w:rPr>
          <w:rStyle w:val="Refdenotaalpie"/>
          <w:szCs w:val="20"/>
        </w:rPr>
        <w:footnoteReference w:id="4"/>
      </w:r>
      <w:r w:rsidRPr="00300A27">
        <w:rPr>
          <w:szCs w:val="20"/>
        </w:rPr>
        <w:t xml:space="preserve"> Also, in this order, he called on the presumed victim, a witness and an expert witness proposed by the Commission to testify during the public hearing, and required two witnesses and six expert witnesses to submit their statements by affidavit and these were </w:t>
      </w:r>
      <w:r w:rsidR="008B71AC" w:rsidRPr="00300A27">
        <w:rPr>
          <w:szCs w:val="20"/>
        </w:rPr>
        <w:t>forwarded</w:t>
      </w:r>
      <w:r w:rsidRPr="00300A27">
        <w:rPr>
          <w:szCs w:val="20"/>
        </w:rPr>
        <w:t xml:space="preserve"> on August 12, 2019. On July 18, 2019, </w:t>
      </w:r>
      <w:r w:rsidR="00BA3C7F" w:rsidRPr="00300A27">
        <w:t>the representatives</w:t>
      </w:r>
      <w:r w:rsidR="002B44EE" w:rsidRPr="00300A27">
        <w:t xml:space="preserve"> </w:t>
      </w:r>
      <w:r w:rsidRPr="00300A27">
        <w:t>asked the Court to reconsider this decision because, for reasons beyond her control, the presumed victim would be unable to attend the hearing, and they requested that the Court call a witness</w:t>
      </w:r>
      <w:r w:rsidR="00E12E0A" w:rsidRPr="00300A27">
        <w:t xml:space="preserve">. </w:t>
      </w:r>
      <w:r w:rsidRPr="00300A27">
        <w:t>In an order</w:t>
      </w:r>
      <w:r w:rsidR="005B1C65" w:rsidRPr="00300A27">
        <w:t xml:space="preserve"> of the Court</w:t>
      </w:r>
      <w:r w:rsidR="002B44EE" w:rsidRPr="00300A27">
        <w:t xml:space="preserve"> </w:t>
      </w:r>
      <w:r w:rsidRPr="00300A27">
        <w:t>of August 26,</w:t>
      </w:r>
      <w:r w:rsidR="002B44EE" w:rsidRPr="00300A27">
        <w:t xml:space="preserve"> 2019</w:t>
      </w:r>
      <w:r w:rsidRPr="00300A27">
        <w:t xml:space="preserve">, it was decided to admit the </w:t>
      </w:r>
      <w:r w:rsidR="00BA3C7F" w:rsidRPr="00300A27">
        <w:t>representatives</w:t>
      </w:r>
      <w:r w:rsidRPr="00300A27">
        <w:t>’ request.</w:t>
      </w:r>
      <w:r w:rsidR="002B44EE" w:rsidRPr="00300A27">
        <w:rPr>
          <w:rStyle w:val="Refdenotaalpie"/>
        </w:rPr>
        <w:footnoteReference w:id="5"/>
      </w:r>
      <w:r w:rsidR="00555306" w:rsidRPr="00300A27">
        <w:rPr>
          <w:szCs w:val="20"/>
        </w:rPr>
        <w:t xml:space="preserve"> </w:t>
      </w:r>
      <w:r w:rsidR="008B71AC" w:rsidRPr="00300A27">
        <w:rPr>
          <w:szCs w:val="20"/>
        </w:rPr>
        <w:t>The</w:t>
      </w:r>
      <w:r w:rsidR="00555306" w:rsidRPr="00300A27">
        <w:rPr>
          <w:szCs w:val="20"/>
        </w:rPr>
        <w:t xml:space="preserve"> </w:t>
      </w:r>
      <w:r w:rsidRPr="00300A27">
        <w:rPr>
          <w:szCs w:val="20"/>
        </w:rPr>
        <w:t>public hearing</w:t>
      </w:r>
      <w:r w:rsidR="00555306" w:rsidRPr="00300A27">
        <w:rPr>
          <w:szCs w:val="20"/>
        </w:rPr>
        <w:t xml:space="preserve"> </w:t>
      </w:r>
      <w:r w:rsidRPr="00300A27">
        <w:rPr>
          <w:szCs w:val="20"/>
        </w:rPr>
        <w:t>took place on August 27,</w:t>
      </w:r>
      <w:r w:rsidR="00555306" w:rsidRPr="00300A27">
        <w:rPr>
          <w:szCs w:val="20"/>
        </w:rPr>
        <w:t xml:space="preserve"> 2019, </w:t>
      </w:r>
      <w:r w:rsidRPr="00300A27">
        <w:rPr>
          <w:szCs w:val="20"/>
        </w:rPr>
        <w:t>during the</w:t>
      </w:r>
      <w:r w:rsidR="00555306" w:rsidRPr="00300A27">
        <w:rPr>
          <w:szCs w:val="20"/>
        </w:rPr>
        <w:t xml:space="preserve"> 62</w:t>
      </w:r>
      <w:r w:rsidRPr="00300A27">
        <w:rPr>
          <w:szCs w:val="20"/>
        </w:rPr>
        <w:t xml:space="preserve">nd special session held in </w:t>
      </w:r>
      <w:r w:rsidR="00DA59BF" w:rsidRPr="00300A27">
        <w:rPr>
          <w:szCs w:val="20"/>
        </w:rPr>
        <w:t>Barranquilla, Colombia</w:t>
      </w:r>
      <w:r w:rsidRPr="00300A27">
        <w:rPr>
          <w:szCs w:val="20"/>
        </w:rPr>
        <w:t>.</w:t>
      </w:r>
      <w:r w:rsidR="00555306" w:rsidRPr="00300A27">
        <w:rPr>
          <w:rStyle w:val="Refdenotaalpie"/>
          <w:szCs w:val="20"/>
        </w:rPr>
        <w:footnoteReference w:id="6"/>
      </w:r>
      <w:r w:rsidRPr="00300A27">
        <w:rPr>
          <w:szCs w:val="20"/>
        </w:rPr>
        <w:t xml:space="preserve"> During the hearing, the Court’s judges asked </w:t>
      </w:r>
      <w:r w:rsidR="008B71AC" w:rsidRPr="00300A27">
        <w:rPr>
          <w:szCs w:val="20"/>
        </w:rPr>
        <w:t>t</w:t>
      </w:r>
      <w:r w:rsidRPr="00300A27">
        <w:rPr>
          <w:szCs w:val="20"/>
        </w:rPr>
        <w:t xml:space="preserve">he </w:t>
      </w:r>
      <w:r w:rsidR="00DE1419" w:rsidRPr="00300A27">
        <w:rPr>
          <w:szCs w:val="20"/>
        </w:rPr>
        <w:t>parties and of the Commissio</w:t>
      </w:r>
      <w:r w:rsidR="008F1BD3" w:rsidRPr="00300A27">
        <w:rPr>
          <w:szCs w:val="20"/>
        </w:rPr>
        <w:t>n</w:t>
      </w:r>
      <w:r w:rsidRPr="00300A27">
        <w:rPr>
          <w:szCs w:val="20"/>
        </w:rPr>
        <w:t xml:space="preserve"> to provide certain information and explanations</w:t>
      </w:r>
      <w:r w:rsidR="00394347" w:rsidRPr="00300A27">
        <w:rPr>
          <w:szCs w:val="20"/>
        </w:rPr>
        <w:t>.</w:t>
      </w:r>
      <w:bookmarkEnd w:id="16"/>
    </w:p>
    <w:p w14:paraId="565AC4D1" w14:textId="6229AC51" w:rsidR="00223772" w:rsidRPr="00300A27" w:rsidRDefault="009E2D9D" w:rsidP="00B243B6">
      <w:pPr>
        <w:pStyle w:val="Prrafodelista"/>
        <w:numPr>
          <w:ilvl w:val="0"/>
          <w:numId w:val="3"/>
        </w:numPr>
        <w:tabs>
          <w:tab w:val="left" w:pos="567"/>
          <w:tab w:val="left" w:pos="5670"/>
        </w:tabs>
        <w:spacing w:before="120" w:after="120"/>
        <w:ind w:left="0" w:firstLine="0"/>
        <w:contextualSpacing w:val="0"/>
        <w:jc w:val="both"/>
        <w:rPr>
          <w:szCs w:val="20"/>
        </w:rPr>
      </w:pPr>
      <w:r w:rsidRPr="00300A27">
        <w:rPr>
          <w:i/>
          <w:iCs/>
          <w:szCs w:val="20"/>
        </w:rPr>
        <w:t xml:space="preserve">Amici </w:t>
      </w:r>
      <w:r w:rsidR="00FD36FD" w:rsidRPr="00300A27">
        <w:rPr>
          <w:i/>
          <w:iCs/>
          <w:szCs w:val="20"/>
        </w:rPr>
        <w:t>c</w:t>
      </w:r>
      <w:r w:rsidRPr="00300A27">
        <w:rPr>
          <w:i/>
          <w:iCs/>
          <w:szCs w:val="20"/>
        </w:rPr>
        <w:t xml:space="preserve">uriae. </w:t>
      </w:r>
      <w:r w:rsidR="00FD36FD" w:rsidRPr="00300A27">
        <w:rPr>
          <w:szCs w:val="20"/>
        </w:rPr>
        <w:t>Th</w:t>
      </w:r>
      <w:r w:rsidR="006104AA" w:rsidRPr="00300A27">
        <w:rPr>
          <w:szCs w:val="20"/>
        </w:rPr>
        <w:t>e Court received eight</w:t>
      </w:r>
      <w:r w:rsidR="00F21A57" w:rsidRPr="00300A27">
        <w:rPr>
          <w:szCs w:val="20"/>
        </w:rPr>
        <w:t xml:space="preserve"> </w:t>
      </w:r>
      <w:r w:rsidR="00F21A57" w:rsidRPr="00300A27">
        <w:rPr>
          <w:i/>
          <w:iCs/>
          <w:szCs w:val="20"/>
        </w:rPr>
        <w:t xml:space="preserve">amicus curiae </w:t>
      </w:r>
      <w:r w:rsidR="006104AA" w:rsidRPr="00300A27">
        <w:rPr>
          <w:szCs w:val="20"/>
        </w:rPr>
        <w:t>briefs presented by:</w:t>
      </w:r>
      <w:r w:rsidR="00F21A57" w:rsidRPr="00300A27">
        <w:rPr>
          <w:szCs w:val="20"/>
        </w:rPr>
        <w:t xml:space="preserve"> </w:t>
      </w:r>
      <w:r w:rsidR="006104AA" w:rsidRPr="00300A27">
        <w:rPr>
          <w:szCs w:val="20"/>
        </w:rPr>
        <w:t>(</w:t>
      </w:r>
      <w:r w:rsidR="00157D3E" w:rsidRPr="00300A27">
        <w:rPr>
          <w:szCs w:val="20"/>
        </w:rPr>
        <w:t xml:space="preserve">1) </w:t>
      </w:r>
      <w:r w:rsidR="006104AA" w:rsidRPr="00300A27">
        <w:rPr>
          <w:szCs w:val="20"/>
        </w:rPr>
        <w:t>the</w:t>
      </w:r>
      <w:r w:rsidR="00157D3E" w:rsidRPr="00300A27">
        <w:rPr>
          <w:szCs w:val="20"/>
        </w:rPr>
        <w:t xml:space="preserve"> Únic</w:t>
      </w:r>
      <w:r w:rsidR="00881401" w:rsidRPr="00300A27">
        <w:rPr>
          <w:szCs w:val="20"/>
        </w:rPr>
        <w:t>xs</w:t>
      </w:r>
      <w:r w:rsidR="006104AA" w:rsidRPr="00300A27">
        <w:rPr>
          <w:szCs w:val="20"/>
        </w:rPr>
        <w:t xml:space="preserve"> Free Legal Clinic of the</w:t>
      </w:r>
      <w:r w:rsidR="00157D3E" w:rsidRPr="00300A27">
        <w:rPr>
          <w:szCs w:val="20"/>
        </w:rPr>
        <w:t xml:space="preserve"> </w:t>
      </w:r>
      <w:r w:rsidR="006104AA" w:rsidRPr="00300A27">
        <w:rPr>
          <w:szCs w:val="20"/>
        </w:rPr>
        <w:t>Faculty of Law at the</w:t>
      </w:r>
      <w:r w:rsidR="00157D3E" w:rsidRPr="00300A27">
        <w:rPr>
          <w:szCs w:val="20"/>
        </w:rPr>
        <w:t xml:space="preserve"> Pontificia Universidad Católica </w:t>
      </w:r>
      <w:r w:rsidR="006104AA" w:rsidRPr="00300A27">
        <w:rPr>
          <w:szCs w:val="20"/>
        </w:rPr>
        <w:t xml:space="preserve">del </w:t>
      </w:r>
      <w:r w:rsidR="005B1C65" w:rsidRPr="00300A27">
        <w:rPr>
          <w:szCs w:val="20"/>
        </w:rPr>
        <w:t>Per</w:t>
      </w:r>
      <w:r w:rsidR="006104AA" w:rsidRPr="00300A27">
        <w:rPr>
          <w:szCs w:val="20"/>
        </w:rPr>
        <w:t>ú;</w:t>
      </w:r>
      <w:r w:rsidR="00157D3E" w:rsidRPr="00300A27">
        <w:rPr>
          <w:rStyle w:val="Refdenotaalpie"/>
          <w:szCs w:val="20"/>
        </w:rPr>
        <w:footnoteReference w:id="7"/>
      </w:r>
      <w:r w:rsidR="00E22BA4" w:rsidRPr="00300A27">
        <w:rPr>
          <w:szCs w:val="20"/>
        </w:rPr>
        <w:t xml:space="preserve"> </w:t>
      </w:r>
      <w:r w:rsidR="006104AA" w:rsidRPr="00300A27">
        <w:rPr>
          <w:szCs w:val="20"/>
        </w:rPr>
        <w:t>(</w:t>
      </w:r>
      <w:r w:rsidR="00157D3E" w:rsidRPr="00300A27">
        <w:rPr>
          <w:szCs w:val="20"/>
        </w:rPr>
        <w:t>2</w:t>
      </w:r>
      <w:r w:rsidR="00F21A57" w:rsidRPr="00300A27">
        <w:rPr>
          <w:szCs w:val="20"/>
        </w:rPr>
        <w:t>)</w:t>
      </w:r>
      <w:r w:rsidR="00157D3E" w:rsidRPr="00300A27">
        <w:rPr>
          <w:szCs w:val="20"/>
        </w:rPr>
        <w:t xml:space="preserve"> </w:t>
      </w:r>
      <w:r w:rsidR="006104AA" w:rsidRPr="00300A27">
        <w:rPr>
          <w:szCs w:val="20"/>
        </w:rPr>
        <w:t>the</w:t>
      </w:r>
      <w:r w:rsidR="00157D3E" w:rsidRPr="00300A27">
        <w:rPr>
          <w:szCs w:val="20"/>
        </w:rPr>
        <w:t xml:space="preserve"> </w:t>
      </w:r>
      <w:r w:rsidR="00CE049C" w:rsidRPr="00300A27">
        <w:rPr>
          <w:szCs w:val="20"/>
        </w:rPr>
        <w:t xml:space="preserve">Coalition of </w:t>
      </w:r>
      <w:r w:rsidR="00157D3E" w:rsidRPr="00300A27">
        <w:rPr>
          <w:szCs w:val="20"/>
        </w:rPr>
        <w:t>L</w:t>
      </w:r>
      <w:r w:rsidR="00881401" w:rsidRPr="00300A27">
        <w:rPr>
          <w:szCs w:val="20"/>
        </w:rPr>
        <w:t xml:space="preserve">esbian, </w:t>
      </w:r>
      <w:r w:rsidR="00157D3E" w:rsidRPr="00300A27">
        <w:rPr>
          <w:szCs w:val="20"/>
        </w:rPr>
        <w:t>G</w:t>
      </w:r>
      <w:r w:rsidR="00881401" w:rsidRPr="00300A27">
        <w:rPr>
          <w:szCs w:val="20"/>
        </w:rPr>
        <w:t xml:space="preserve">ay, </w:t>
      </w:r>
      <w:r w:rsidR="00157D3E" w:rsidRPr="00300A27">
        <w:rPr>
          <w:szCs w:val="20"/>
        </w:rPr>
        <w:t>B</w:t>
      </w:r>
      <w:r w:rsidR="00881401" w:rsidRPr="00300A27">
        <w:rPr>
          <w:szCs w:val="20"/>
        </w:rPr>
        <w:t xml:space="preserve">isexual, </w:t>
      </w:r>
      <w:r w:rsidR="00157D3E" w:rsidRPr="00300A27">
        <w:rPr>
          <w:szCs w:val="20"/>
        </w:rPr>
        <w:t>T</w:t>
      </w:r>
      <w:r w:rsidR="00881401" w:rsidRPr="00300A27">
        <w:rPr>
          <w:szCs w:val="20"/>
        </w:rPr>
        <w:t xml:space="preserve">ravesti, </w:t>
      </w:r>
      <w:r w:rsidR="00157D3E" w:rsidRPr="00300A27">
        <w:rPr>
          <w:szCs w:val="20"/>
        </w:rPr>
        <w:t>T</w:t>
      </w:r>
      <w:r w:rsidR="00881401" w:rsidRPr="00300A27">
        <w:rPr>
          <w:szCs w:val="20"/>
        </w:rPr>
        <w:t>rans</w:t>
      </w:r>
      <w:r w:rsidR="006104AA" w:rsidRPr="00300A27">
        <w:rPr>
          <w:szCs w:val="20"/>
        </w:rPr>
        <w:t>gender</w:t>
      </w:r>
      <w:r w:rsidR="00CE049C" w:rsidRPr="00300A27">
        <w:rPr>
          <w:szCs w:val="20"/>
        </w:rPr>
        <w:t>, Transsexual</w:t>
      </w:r>
      <w:r w:rsidR="006104AA" w:rsidRPr="00300A27">
        <w:rPr>
          <w:szCs w:val="20"/>
        </w:rPr>
        <w:t xml:space="preserve"> and Intersex </w:t>
      </w:r>
      <w:r w:rsidR="00CE049C" w:rsidRPr="00300A27">
        <w:rPr>
          <w:szCs w:val="20"/>
        </w:rPr>
        <w:t>Organizations of the Americas before the OAS</w:t>
      </w:r>
      <w:r w:rsidR="007E3C7B" w:rsidRPr="00300A27">
        <w:rPr>
          <w:szCs w:val="20"/>
        </w:rPr>
        <w:t xml:space="preserve"> (LGBTTTI</w:t>
      </w:r>
      <w:r w:rsidR="00CE049C" w:rsidRPr="00300A27">
        <w:rPr>
          <w:szCs w:val="20"/>
        </w:rPr>
        <w:t xml:space="preserve"> Coalition</w:t>
      </w:r>
      <w:r w:rsidR="007E3C7B" w:rsidRPr="00300A27">
        <w:rPr>
          <w:szCs w:val="20"/>
        </w:rPr>
        <w:t>)</w:t>
      </w:r>
      <w:r w:rsidR="00834A1B" w:rsidRPr="00300A27">
        <w:rPr>
          <w:szCs w:val="20"/>
        </w:rPr>
        <w:t>;</w:t>
      </w:r>
      <w:r w:rsidR="00157D3E" w:rsidRPr="00300A27">
        <w:rPr>
          <w:rStyle w:val="Refdenotaalpie"/>
          <w:szCs w:val="20"/>
        </w:rPr>
        <w:footnoteReference w:id="8"/>
      </w:r>
      <w:r w:rsidR="00D17429" w:rsidRPr="00300A27">
        <w:rPr>
          <w:szCs w:val="20"/>
        </w:rPr>
        <w:t xml:space="preserve"> </w:t>
      </w:r>
      <w:r w:rsidR="00834A1B" w:rsidRPr="00300A27">
        <w:rPr>
          <w:szCs w:val="20"/>
        </w:rPr>
        <w:t>(</w:t>
      </w:r>
      <w:r w:rsidR="00157D3E" w:rsidRPr="00300A27">
        <w:rPr>
          <w:szCs w:val="20"/>
        </w:rPr>
        <w:t>3)</w:t>
      </w:r>
      <w:r w:rsidR="007E3C7B" w:rsidRPr="00300A27">
        <w:rPr>
          <w:szCs w:val="20"/>
        </w:rPr>
        <w:t xml:space="preserve"> </w:t>
      </w:r>
      <w:r w:rsidR="00834A1B" w:rsidRPr="00300A27">
        <w:rPr>
          <w:szCs w:val="20"/>
        </w:rPr>
        <w:t>students and professors at</w:t>
      </w:r>
      <w:r w:rsidR="005B1C65" w:rsidRPr="00300A27">
        <w:rPr>
          <w:szCs w:val="20"/>
        </w:rPr>
        <w:t xml:space="preserve"> </w:t>
      </w:r>
      <w:r w:rsidR="00026E27" w:rsidRPr="00300A27">
        <w:rPr>
          <w:szCs w:val="20"/>
        </w:rPr>
        <w:t>Boston College</w:t>
      </w:r>
      <w:r w:rsidR="002F0F94" w:rsidRPr="00300A27">
        <w:rPr>
          <w:szCs w:val="20"/>
        </w:rPr>
        <w:t xml:space="preserve"> Law School</w:t>
      </w:r>
      <w:r w:rsidR="00834A1B" w:rsidRPr="00300A27">
        <w:rPr>
          <w:szCs w:val="20"/>
        </w:rPr>
        <w:t>;</w:t>
      </w:r>
      <w:r w:rsidR="006E5F9D" w:rsidRPr="00300A27">
        <w:rPr>
          <w:rStyle w:val="Refdenotaalpie"/>
          <w:szCs w:val="20"/>
        </w:rPr>
        <w:footnoteReference w:id="9"/>
      </w:r>
      <w:r w:rsidR="006E2350" w:rsidRPr="00300A27">
        <w:rPr>
          <w:szCs w:val="20"/>
        </w:rPr>
        <w:t xml:space="preserve"> </w:t>
      </w:r>
      <w:r w:rsidR="00834A1B" w:rsidRPr="00300A27">
        <w:rPr>
          <w:szCs w:val="20"/>
        </w:rPr>
        <w:t>(</w:t>
      </w:r>
      <w:r w:rsidR="00157D3E" w:rsidRPr="00300A27">
        <w:rPr>
          <w:szCs w:val="20"/>
        </w:rPr>
        <w:t>4</w:t>
      </w:r>
      <w:r w:rsidR="00026E27" w:rsidRPr="00300A27">
        <w:rPr>
          <w:szCs w:val="20"/>
        </w:rPr>
        <w:t>)</w:t>
      </w:r>
      <w:r w:rsidR="00E541C3" w:rsidRPr="00300A27">
        <w:rPr>
          <w:szCs w:val="20"/>
        </w:rPr>
        <w:t xml:space="preserve"> European Region of the International Lesbian, Gay, Bisexual, Trans and Intersex Association (ILGA-Europe)</w:t>
      </w:r>
      <w:r w:rsidR="00834A1B" w:rsidRPr="00300A27">
        <w:rPr>
          <w:szCs w:val="20"/>
        </w:rPr>
        <w:t>;</w:t>
      </w:r>
      <w:r w:rsidR="006E5F9D" w:rsidRPr="00300A27">
        <w:rPr>
          <w:rStyle w:val="Refdenotaalpie"/>
          <w:szCs w:val="20"/>
        </w:rPr>
        <w:footnoteReference w:id="10"/>
      </w:r>
      <w:r w:rsidR="00C64A74" w:rsidRPr="00300A27">
        <w:rPr>
          <w:szCs w:val="20"/>
        </w:rPr>
        <w:t xml:space="preserve"> </w:t>
      </w:r>
      <w:r w:rsidR="00834A1B" w:rsidRPr="00300A27">
        <w:rPr>
          <w:szCs w:val="20"/>
        </w:rPr>
        <w:t>(</w:t>
      </w:r>
      <w:r w:rsidR="00157D3E" w:rsidRPr="00300A27">
        <w:rPr>
          <w:szCs w:val="20"/>
        </w:rPr>
        <w:t>5</w:t>
      </w:r>
      <w:r w:rsidR="00E541C3" w:rsidRPr="00300A27">
        <w:rPr>
          <w:szCs w:val="20"/>
        </w:rPr>
        <w:t xml:space="preserve">) </w:t>
      </w:r>
      <w:r w:rsidR="00834A1B" w:rsidRPr="00300A27">
        <w:rPr>
          <w:szCs w:val="20"/>
        </w:rPr>
        <w:t>the</w:t>
      </w:r>
      <w:r w:rsidR="00E541C3" w:rsidRPr="00300A27">
        <w:rPr>
          <w:szCs w:val="20"/>
        </w:rPr>
        <w:t xml:space="preserve"> </w:t>
      </w:r>
      <w:r w:rsidR="00E541C3" w:rsidRPr="00300A27">
        <w:rPr>
          <w:i/>
          <w:iCs/>
          <w:szCs w:val="20"/>
        </w:rPr>
        <w:t>No Tengo Miedo</w:t>
      </w:r>
      <w:r w:rsidR="00834A1B" w:rsidRPr="00300A27">
        <w:rPr>
          <w:szCs w:val="20"/>
        </w:rPr>
        <w:t xml:space="preserve"> organization;</w:t>
      </w:r>
      <w:r w:rsidR="006E5F9D" w:rsidRPr="00300A27">
        <w:rPr>
          <w:rStyle w:val="Refdenotaalpie"/>
          <w:szCs w:val="20"/>
        </w:rPr>
        <w:footnoteReference w:id="11"/>
      </w:r>
      <w:r w:rsidR="00D350C5" w:rsidRPr="00300A27">
        <w:rPr>
          <w:szCs w:val="20"/>
        </w:rPr>
        <w:t xml:space="preserve"> </w:t>
      </w:r>
      <w:r w:rsidR="00834A1B" w:rsidRPr="00300A27">
        <w:rPr>
          <w:szCs w:val="20"/>
        </w:rPr>
        <w:t>(</w:t>
      </w:r>
      <w:r w:rsidR="00157D3E" w:rsidRPr="00300A27">
        <w:rPr>
          <w:szCs w:val="20"/>
        </w:rPr>
        <w:t>6</w:t>
      </w:r>
      <w:r w:rsidR="00E541C3" w:rsidRPr="00300A27">
        <w:rPr>
          <w:szCs w:val="20"/>
        </w:rPr>
        <w:t>)</w:t>
      </w:r>
      <w:r w:rsidR="00553424" w:rsidRPr="00300A27">
        <w:rPr>
          <w:szCs w:val="20"/>
        </w:rPr>
        <w:t xml:space="preserve"> </w:t>
      </w:r>
      <w:r w:rsidR="00834A1B" w:rsidRPr="00300A27">
        <w:rPr>
          <w:szCs w:val="20"/>
        </w:rPr>
        <w:t>the</w:t>
      </w:r>
      <w:r w:rsidR="00553424" w:rsidRPr="00300A27">
        <w:rPr>
          <w:szCs w:val="20"/>
        </w:rPr>
        <w:t xml:space="preserve"> </w:t>
      </w:r>
      <w:r w:rsidR="00E541C3" w:rsidRPr="00300A27">
        <w:rPr>
          <w:szCs w:val="20"/>
        </w:rPr>
        <w:t>Centre on Law</w:t>
      </w:r>
      <w:r w:rsidR="00162904" w:rsidRPr="00300A27">
        <w:rPr>
          <w:szCs w:val="20"/>
        </w:rPr>
        <w:t xml:space="preserve"> </w:t>
      </w:r>
      <w:r w:rsidR="00834A1B" w:rsidRPr="00300A27">
        <w:rPr>
          <w:szCs w:val="20"/>
        </w:rPr>
        <w:t>and</w:t>
      </w:r>
      <w:r w:rsidR="00E541C3" w:rsidRPr="00300A27">
        <w:rPr>
          <w:szCs w:val="20"/>
        </w:rPr>
        <w:t xml:space="preserve"> Social Transformation</w:t>
      </w:r>
      <w:r w:rsidR="00834A1B" w:rsidRPr="00300A27">
        <w:rPr>
          <w:szCs w:val="20"/>
        </w:rPr>
        <w:t>;</w:t>
      </w:r>
      <w:r w:rsidR="00B15BA8" w:rsidRPr="00300A27">
        <w:rPr>
          <w:rStyle w:val="Refdenotaalpie"/>
          <w:szCs w:val="20"/>
        </w:rPr>
        <w:footnoteReference w:id="12"/>
      </w:r>
      <w:r w:rsidR="00D17429" w:rsidRPr="00300A27">
        <w:rPr>
          <w:szCs w:val="20"/>
        </w:rPr>
        <w:t xml:space="preserve"> </w:t>
      </w:r>
      <w:r w:rsidR="00834A1B" w:rsidRPr="00300A27">
        <w:rPr>
          <w:szCs w:val="20"/>
        </w:rPr>
        <w:t>(</w:t>
      </w:r>
      <w:r w:rsidR="00157D3E" w:rsidRPr="00300A27">
        <w:rPr>
          <w:szCs w:val="20"/>
        </w:rPr>
        <w:t>7</w:t>
      </w:r>
      <w:r w:rsidR="00E541C3" w:rsidRPr="00300A27">
        <w:rPr>
          <w:szCs w:val="20"/>
        </w:rPr>
        <w:t>)</w:t>
      </w:r>
      <w:r w:rsidR="00162904" w:rsidRPr="00300A27">
        <w:rPr>
          <w:szCs w:val="20"/>
        </w:rPr>
        <w:t xml:space="preserve"> </w:t>
      </w:r>
      <w:r w:rsidR="00834A1B" w:rsidRPr="00300A27">
        <w:rPr>
          <w:szCs w:val="20"/>
        </w:rPr>
        <w:t>the</w:t>
      </w:r>
      <w:r w:rsidR="00E541C3" w:rsidRPr="00300A27">
        <w:rPr>
          <w:szCs w:val="20"/>
        </w:rPr>
        <w:t xml:space="preserve"> International Bar Associatio</w:t>
      </w:r>
      <w:r w:rsidR="00834A1B" w:rsidRPr="00300A27">
        <w:rPr>
          <w:szCs w:val="20"/>
        </w:rPr>
        <w:t>n’s</w:t>
      </w:r>
      <w:r w:rsidR="00E541C3" w:rsidRPr="00300A27">
        <w:rPr>
          <w:szCs w:val="20"/>
        </w:rPr>
        <w:t xml:space="preserve"> Human Rights Institute (IBAHRI)</w:t>
      </w:r>
      <w:r w:rsidR="00834A1B" w:rsidRPr="00300A27">
        <w:rPr>
          <w:szCs w:val="20"/>
        </w:rPr>
        <w:t>,</w:t>
      </w:r>
      <w:r w:rsidR="00B15BA8" w:rsidRPr="00300A27">
        <w:rPr>
          <w:rStyle w:val="Refdenotaalpie"/>
          <w:szCs w:val="20"/>
        </w:rPr>
        <w:footnoteReference w:id="13"/>
      </w:r>
      <w:r w:rsidR="005B1C65" w:rsidRPr="00300A27">
        <w:rPr>
          <w:szCs w:val="20"/>
        </w:rPr>
        <w:t xml:space="preserve"> and </w:t>
      </w:r>
      <w:r w:rsidR="00834A1B" w:rsidRPr="00300A27">
        <w:rPr>
          <w:szCs w:val="20"/>
        </w:rPr>
        <w:t>(</w:t>
      </w:r>
      <w:r w:rsidR="00157D3E" w:rsidRPr="00300A27">
        <w:rPr>
          <w:szCs w:val="20"/>
        </w:rPr>
        <w:t>8</w:t>
      </w:r>
      <w:r w:rsidR="00E541C3" w:rsidRPr="00300A27">
        <w:rPr>
          <w:szCs w:val="20"/>
        </w:rPr>
        <w:t>)</w:t>
      </w:r>
      <w:r w:rsidR="00BC3625" w:rsidRPr="00300A27">
        <w:rPr>
          <w:szCs w:val="20"/>
        </w:rPr>
        <w:t xml:space="preserve"> Juan Pablo Pérez León Acevedo</w:t>
      </w:r>
      <w:r w:rsidR="00834A1B" w:rsidRPr="00300A27">
        <w:rPr>
          <w:szCs w:val="20"/>
        </w:rPr>
        <w:t>.</w:t>
      </w:r>
      <w:r w:rsidR="00B15BA8" w:rsidRPr="00300A27">
        <w:rPr>
          <w:rStyle w:val="Refdenotaalpie"/>
          <w:szCs w:val="20"/>
        </w:rPr>
        <w:footnoteReference w:id="14"/>
      </w:r>
      <w:r w:rsidR="00D17429" w:rsidRPr="00300A27">
        <w:rPr>
          <w:szCs w:val="20"/>
        </w:rPr>
        <w:t xml:space="preserve"> </w:t>
      </w:r>
    </w:p>
    <w:p w14:paraId="170DD72B" w14:textId="2C268777" w:rsidR="00DA0BDA" w:rsidRPr="00300A27" w:rsidRDefault="00834A1B" w:rsidP="00B243B6">
      <w:pPr>
        <w:pStyle w:val="Prrafodelista"/>
        <w:numPr>
          <w:ilvl w:val="0"/>
          <w:numId w:val="3"/>
        </w:numPr>
        <w:tabs>
          <w:tab w:val="left" w:pos="567"/>
        </w:tabs>
        <w:spacing w:before="120" w:after="120"/>
        <w:ind w:left="0" w:firstLine="0"/>
        <w:contextualSpacing w:val="0"/>
        <w:jc w:val="both"/>
        <w:rPr>
          <w:szCs w:val="20"/>
        </w:rPr>
      </w:pPr>
      <w:r w:rsidRPr="00300A27">
        <w:rPr>
          <w:i/>
          <w:iCs/>
        </w:rPr>
        <w:t xml:space="preserve">Final written arguments </w:t>
      </w:r>
      <w:r w:rsidR="005B1C65" w:rsidRPr="00300A27">
        <w:rPr>
          <w:i/>
          <w:iCs/>
        </w:rPr>
        <w:t xml:space="preserve">and </w:t>
      </w:r>
      <w:r w:rsidR="007071F6" w:rsidRPr="00300A27">
        <w:rPr>
          <w:i/>
          <w:iCs/>
        </w:rPr>
        <w:t>observations</w:t>
      </w:r>
      <w:r w:rsidR="009E2D9D" w:rsidRPr="00300A27">
        <w:rPr>
          <w:i/>
          <w:iCs/>
        </w:rPr>
        <w:t>.</w:t>
      </w:r>
      <w:r w:rsidR="009E2D9D" w:rsidRPr="00300A27">
        <w:t xml:space="preserve"> </w:t>
      </w:r>
      <w:r w:rsidRPr="00300A27">
        <w:t>On September 30,</w:t>
      </w:r>
      <w:r w:rsidR="00747F6D" w:rsidRPr="00300A27">
        <w:t xml:space="preserve"> 2019</w:t>
      </w:r>
      <w:r w:rsidRPr="00300A27">
        <w:t>,</w:t>
      </w:r>
      <w:r w:rsidR="00747F6D" w:rsidRPr="00300A27">
        <w:t xml:space="preserve"> </w:t>
      </w:r>
      <w:r w:rsidR="005B1C65" w:rsidRPr="00300A27">
        <w:t>the State</w:t>
      </w:r>
      <w:r w:rsidR="00970B63" w:rsidRPr="00300A27">
        <w:t>,</w:t>
      </w:r>
      <w:r w:rsidR="00747F6D" w:rsidRPr="00300A27">
        <w:t xml:space="preserve"> </w:t>
      </w:r>
      <w:r w:rsidR="00BA3C7F" w:rsidRPr="00300A27">
        <w:t>the representatives</w:t>
      </w:r>
      <w:r w:rsidR="005B1C65" w:rsidRPr="00300A27">
        <w:t xml:space="preserve"> and </w:t>
      </w:r>
      <w:r w:rsidR="00C2001D" w:rsidRPr="00300A27">
        <w:t>the Commission</w:t>
      </w:r>
      <w:r w:rsidR="00747F6D" w:rsidRPr="00300A27">
        <w:t xml:space="preserve">, </w:t>
      </w:r>
      <w:r w:rsidRPr="00300A27">
        <w:t>forwarded their final written arguments and observations, respectively, together with the annexes.</w:t>
      </w:r>
      <w:r w:rsidR="00273DFB" w:rsidRPr="00300A27">
        <w:rPr>
          <w:rStyle w:val="Refdenotaalpie"/>
        </w:rPr>
        <w:footnoteReference w:id="15"/>
      </w:r>
    </w:p>
    <w:p w14:paraId="1C8B9013" w14:textId="6587EE08" w:rsidR="00880671" w:rsidRPr="00300A27" w:rsidRDefault="00834A1B" w:rsidP="00B243B6">
      <w:pPr>
        <w:pStyle w:val="Prrafodelista"/>
        <w:numPr>
          <w:ilvl w:val="0"/>
          <w:numId w:val="3"/>
        </w:numPr>
        <w:tabs>
          <w:tab w:val="left" w:pos="567"/>
        </w:tabs>
        <w:spacing w:before="120" w:after="120"/>
        <w:ind w:left="0" w:firstLine="0"/>
        <w:contextualSpacing w:val="0"/>
        <w:jc w:val="both"/>
        <w:rPr>
          <w:szCs w:val="20"/>
        </w:rPr>
      </w:pPr>
      <w:r w:rsidRPr="00300A27">
        <w:rPr>
          <w:i/>
          <w:iCs/>
          <w:szCs w:val="20"/>
        </w:rPr>
        <w:t>Supervening facts</w:t>
      </w:r>
      <w:r w:rsidR="009E2D9D" w:rsidRPr="00300A27">
        <w:rPr>
          <w:i/>
          <w:iCs/>
          <w:szCs w:val="20"/>
        </w:rPr>
        <w:t xml:space="preserve">. </w:t>
      </w:r>
      <w:r w:rsidRPr="00300A27">
        <w:rPr>
          <w:szCs w:val="20"/>
        </w:rPr>
        <w:t>On May 24,</w:t>
      </w:r>
      <w:r w:rsidR="0012455A" w:rsidRPr="00300A27">
        <w:rPr>
          <w:szCs w:val="20"/>
        </w:rPr>
        <w:t xml:space="preserve"> 2019</w:t>
      </w:r>
      <w:r w:rsidRPr="00300A27">
        <w:rPr>
          <w:szCs w:val="20"/>
        </w:rPr>
        <w:t>,</w:t>
      </w:r>
      <w:r w:rsidR="005B1C65" w:rsidRPr="00300A27">
        <w:rPr>
          <w:szCs w:val="20"/>
        </w:rPr>
        <w:t xml:space="preserve"> and </w:t>
      </w:r>
      <w:r w:rsidRPr="00300A27">
        <w:rPr>
          <w:szCs w:val="20"/>
        </w:rPr>
        <w:t xml:space="preserve">February 3, </w:t>
      </w:r>
      <w:r w:rsidR="0012455A" w:rsidRPr="00300A27">
        <w:rPr>
          <w:szCs w:val="20"/>
        </w:rPr>
        <w:t>2020</w:t>
      </w:r>
      <w:r w:rsidRPr="00300A27">
        <w:rPr>
          <w:szCs w:val="20"/>
        </w:rPr>
        <w:t>,</w:t>
      </w:r>
      <w:r w:rsidR="0012455A" w:rsidRPr="00300A27">
        <w:rPr>
          <w:szCs w:val="20"/>
        </w:rPr>
        <w:t xml:space="preserve"> </w:t>
      </w:r>
      <w:r w:rsidR="00BA3C7F" w:rsidRPr="00300A27">
        <w:rPr>
          <w:szCs w:val="20"/>
        </w:rPr>
        <w:t>the representatives</w:t>
      </w:r>
      <w:r w:rsidR="00162904" w:rsidRPr="00300A27">
        <w:rPr>
          <w:szCs w:val="20"/>
        </w:rPr>
        <w:t xml:space="preserve"> </w:t>
      </w:r>
      <w:r w:rsidRPr="00300A27">
        <w:rPr>
          <w:szCs w:val="20"/>
        </w:rPr>
        <w:t>forwarded information on supervening facts concerning the actual situation of the presumed victim</w:t>
      </w:r>
      <w:r w:rsidR="005B1C65" w:rsidRPr="00300A27">
        <w:rPr>
          <w:szCs w:val="20"/>
        </w:rPr>
        <w:t xml:space="preserve"> and</w:t>
      </w:r>
      <w:r w:rsidR="00BA3C7F" w:rsidRPr="00300A27">
        <w:rPr>
          <w:szCs w:val="20"/>
        </w:rPr>
        <w:t xml:space="preserve"> </w:t>
      </w:r>
      <w:r w:rsidR="008B71AC" w:rsidRPr="00300A27">
        <w:rPr>
          <w:szCs w:val="20"/>
        </w:rPr>
        <w:t xml:space="preserve">the </w:t>
      </w:r>
      <w:r w:rsidRPr="00300A27">
        <w:rPr>
          <w:szCs w:val="20"/>
        </w:rPr>
        <w:t>status of the investigation opened following the issue of the</w:t>
      </w:r>
      <w:r w:rsidR="0012455A" w:rsidRPr="00300A27">
        <w:rPr>
          <w:szCs w:val="20"/>
        </w:rPr>
        <w:t xml:space="preserve"> </w:t>
      </w:r>
      <w:r w:rsidR="00BA3C7F" w:rsidRPr="00300A27">
        <w:rPr>
          <w:szCs w:val="20"/>
        </w:rPr>
        <w:t>Merits Report</w:t>
      </w:r>
      <w:r w:rsidR="0012455A" w:rsidRPr="00300A27">
        <w:rPr>
          <w:szCs w:val="20"/>
        </w:rPr>
        <w:t xml:space="preserve">. </w:t>
      </w:r>
      <w:r w:rsidR="005B1C65" w:rsidRPr="00300A27">
        <w:rPr>
          <w:szCs w:val="20"/>
        </w:rPr>
        <w:t xml:space="preserve">The State and </w:t>
      </w:r>
      <w:r w:rsidR="00C2001D" w:rsidRPr="00300A27">
        <w:rPr>
          <w:szCs w:val="20"/>
        </w:rPr>
        <w:t>the Commission</w:t>
      </w:r>
      <w:r w:rsidR="00C85693" w:rsidRPr="00300A27">
        <w:rPr>
          <w:szCs w:val="20"/>
        </w:rPr>
        <w:t xml:space="preserve"> present</w:t>
      </w:r>
      <w:r w:rsidRPr="00300A27">
        <w:rPr>
          <w:szCs w:val="20"/>
        </w:rPr>
        <w:t>ed their</w:t>
      </w:r>
      <w:r w:rsidR="00C85693" w:rsidRPr="00300A27">
        <w:rPr>
          <w:szCs w:val="20"/>
        </w:rPr>
        <w:t xml:space="preserve"> </w:t>
      </w:r>
      <w:r w:rsidR="007071F6" w:rsidRPr="00300A27">
        <w:rPr>
          <w:szCs w:val="20"/>
        </w:rPr>
        <w:t>observations</w:t>
      </w:r>
      <w:r w:rsidRPr="00300A27">
        <w:rPr>
          <w:szCs w:val="20"/>
        </w:rPr>
        <w:t xml:space="preserve"> in this regard</w:t>
      </w:r>
      <w:r w:rsidR="00C85693" w:rsidRPr="00300A27">
        <w:rPr>
          <w:szCs w:val="20"/>
        </w:rPr>
        <w:t>.</w:t>
      </w:r>
    </w:p>
    <w:p w14:paraId="03EAC772" w14:textId="51905A12" w:rsidR="00DA0BDA" w:rsidRPr="00300A27" w:rsidRDefault="00FD36FD" w:rsidP="00B243B6">
      <w:pPr>
        <w:pStyle w:val="Prrafodelista"/>
        <w:numPr>
          <w:ilvl w:val="0"/>
          <w:numId w:val="3"/>
        </w:numPr>
        <w:tabs>
          <w:tab w:val="left" w:pos="567"/>
        </w:tabs>
        <w:spacing w:before="120" w:after="120"/>
        <w:ind w:left="0" w:firstLine="0"/>
        <w:contextualSpacing w:val="0"/>
        <w:jc w:val="both"/>
        <w:rPr>
          <w:szCs w:val="20"/>
        </w:rPr>
      </w:pPr>
      <w:r w:rsidRPr="00300A27">
        <w:rPr>
          <w:i/>
          <w:iCs/>
        </w:rPr>
        <w:t>Helpful information and evidence</w:t>
      </w:r>
      <w:r w:rsidR="004113EF" w:rsidRPr="00300A27">
        <w:rPr>
          <w:i/>
          <w:iCs/>
        </w:rPr>
        <w:t xml:space="preserve">. </w:t>
      </w:r>
      <w:r w:rsidR="004113EF" w:rsidRPr="00300A27">
        <w:t xml:space="preserve"> </w:t>
      </w:r>
      <w:r w:rsidRPr="00300A27">
        <w:t>On February 7,</w:t>
      </w:r>
      <w:r w:rsidR="00C85693" w:rsidRPr="00300A27">
        <w:t xml:space="preserve"> 202</w:t>
      </w:r>
      <w:r w:rsidR="00D220E0" w:rsidRPr="00300A27">
        <w:t>0</w:t>
      </w:r>
      <w:r w:rsidRPr="00300A27">
        <w:t>,</w:t>
      </w:r>
      <w:r w:rsidR="00D220E0" w:rsidRPr="00300A27">
        <w:t xml:space="preserve"> </w:t>
      </w:r>
      <w:r w:rsidRPr="00300A27">
        <w:t>the</w:t>
      </w:r>
      <w:r w:rsidR="00D220E0" w:rsidRPr="00300A27">
        <w:t xml:space="preserve"> </w:t>
      </w:r>
      <w:r w:rsidR="005B1C65" w:rsidRPr="00300A27">
        <w:t>President of the Court</w:t>
      </w:r>
      <w:r w:rsidR="00D220E0" w:rsidRPr="00300A27">
        <w:t xml:space="preserve"> </w:t>
      </w:r>
      <w:r w:rsidRPr="00300A27">
        <w:t>asked</w:t>
      </w:r>
      <w:r w:rsidR="00BA3C7F" w:rsidRPr="00300A27">
        <w:t xml:space="preserve"> the State</w:t>
      </w:r>
      <w:r w:rsidRPr="00300A27">
        <w:t xml:space="preserve"> to present helpful documentation. Peru presented this information on February 13 and 28, </w:t>
      </w:r>
      <w:r w:rsidR="00D220E0" w:rsidRPr="00300A27">
        <w:t>2020.</w:t>
      </w:r>
    </w:p>
    <w:p w14:paraId="4CE1CDA1" w14:textId="13D180BB" w:rsidR="0012455A" w:rsidRPr="00300A27" w:rsidRDefault="007071F6" w:rsidP="00B243B6">
      <w:pPr>
        <w:pStyle w:val="Prrafodelista"/>
        <w:numPr>
          <w:ilvl w:val="0"/>
          <w:numId w:val="3"/>
        </w:numPr>
        <w:tabs>
          <w:tab w:val="left" w:pos="567"/>
        </w:tabs>
        <w:spacing w:before="120" w:after="120"/>
        <w:ind w:left="0" w:firstLine="0"/>
        <w:contextualSpacing w:val="0"/>
        <w:jc w:val="both"/>
        <w:rPr>
          <w:szCs w:val="20"/>
        </w:rPr>
      </w:pPr>
      <w:r w:rsidRPr="00300A27">
        <w:rPr>
          <w:i/>
          <w:iCs/>
        </w:rPr>
        <w:t>Observations</w:t>
      </w:r>
      <w:r w:rsidR="004113EF" w:rsidRPr="00300A27">
        <w:rPr>
          <w:i/>
          <w:iCs/>
        </w:rPr>
        <w:t xml:space="preserve"> </w:t>
      </w:r>
      <w:r w:rsidR="00FD36FD" w:rsidRPr="00300A27">
        <w:rPr>
          <w:i/>
          <w:iCs/>
        </w:rPr>
        <w:t>on the helpful information and evidence</w:t>
      </w:r>
      <w:r w:rsidR="004113EF" w:rsidRPr="00300A27">
        <w:rPr>
          <w:i/>
          <w:iCs/>
        </w:rPr>
        <w:t>.</w:t>
      </w:r>
      <w:r w:rsidR="004113EF" w:rsidRPr="00300A27">
        <w:t xml:space="preserve"> </w:t>
      </w:r>
      <w:r w:rsidR="00FD36FD" w:rsidRPr="00300A27">
        <w:t>On October 21,</w:t>
      </w:r>
      <w:r w:rsidR="001A5B0E" w:rsidRPr="00300A27">
        <w:t xml:space="preserve"> 2019</w:t>
      </w:r>
      <w:r w:rsidR="00FD36FD" w:rsidRPr="00300A27">
        <w:t>,</w:t>
      </w:r>
      <w:r w:rsidR="001A5B0E" w:rsidRPr="00300A27">
        <w:t xml:space="preserve"> </w:t>
      </w:r>
      <w:r w:rsidR="00C2001D" w:rsidRPr="00300A27">
        <w:t>the Commission</w:t>
      </w:r>
      <w:r w:rsidR="001A5B0E" w:rsidRPr="00300A27">
        <w:t xml:space="preserve">, </w:t>
      </w:r>
      <w:r w:rsidR="00BA3C7F" w:rsidRPr="00300A27">
        <w:t>the representatives</w:t>
      </w:r>
      <w:r w:rsidR="005B1C65" w:rsidRPr="00300A27">
        <w:t xml:space="preserve"> and the State</w:t>
      </w:r>
      <w:r w:rsidR="001A5B0E" w:rsidRPr="00300A27">
        <w:t xml:space="preserve"> present</w:t>
      </w:r>
      <w:r w:rsidR="00FD36FD" w:rsidRPr="00300A27">
        <w:t xml:space="preserve">ed their </w:t>
      </w:r>
      <w:r w:rsidRPr="00300A27">
        <w:t>observations</w:t>
      </w:r>
      <w:r w:rsidR="001A5B0E" w:rsidRPr="00300A27">
        <w:t xml:space="preserve"> </w:t>
      </w:r>
      <w:r w:rsidR="00FD36FD" w:rsidRPr="00300A27">
        <w:t xml:space="preserve">on the annexes presented with the final written arguments. </w:t>
      </w:r>
      <w:r w:rsidR="00BA3C7F" w:rsidRPr="00300A27">
        <w:t>The representatives</w:t>
      </w:r>
      <w:r w:rsidR="005B1C65" w:rsidRPr="00300A27">
        <w:t xml:space="preserve"> and </w:t>
      </w:r>
      <w:r w:rsidR="00C2001D" w:rsidRPr="00300A27">
        <w:t>the Commission</w:t>
      </w:r>
      <w:r w:rsidR="00D220E0" w:rsidRPr="00300A27">
        <w:t xml:space="preserve"> </w:t>
      </w:r>
      <w:r w:rsidR="00FD36FD" w:rsidRPr="00300A27">
        <w:t>also presented their</w:t>
      </w:r>
      <w:r w:rsidR="00D220E0" w:rsidRPr="00300A27">
        <w:t xml:space="preserve"> </w:t>
      </w:r>
      <w:r w:rsidRPr="00300A27">
        <w:t>observations</w:t>
      </w:r>
      <w:r w:rsidR="00D220E0" w:rsidRPr="00300A27">
        <w:t xml:space="preserve"> </w:t>
      </w:r>
      <w:r w:rsidR="00FD36FD" w:rsidRPr="00300A27">
        <w:t>on the helpful evidence presented by the State.</w:t>
      </w:r>
    </w:p>
    <w:p w14:paraId="4D7D2D6A" w14:textId="58D2A50D" w:rsidR="00F21A57" w:rsidRPr="00300A27" w:rsidRDefault="004113EF" w:rsidP="00B243B6">
      <w:pPr>
        <w:pStyle w:val="Prrafodelista"/>
        <w:numPr>
          <w:ilvl w:val="0"/>
          <w:numId w:val="3"/>
        </w:numPr>
        <w:tabs>
          <w:tab w:val="left" w:pos="567"/>
        </w:tabs>
        <w:spacing w:before="120" w:after="120"/>
        <w:ind w:left="0" w:firstLine="0"/>
        <w:contextualSpacing w:val="0"/>
        <w:jc w:val="both"/>
        <w:rPr>
          <w:szCs w:val="20"/>
        </w:rPr>
      </w:pPr>
      <w:r w:rsidRPr="00300A27">
        <w:rPr>
          <w:i/>
          <w:iCs/>
          <w:szCs w:val="20"/>
        </w:rPr>
        <w:t>Delibera</w:t>
      </w:r>
      <w:r w:rsidR="00FD36FD" w:rsidRPr="00300A27">
        <w:rPr>
          <w:i/>
          <w:iCs/>
          <w:szCs w:val="20"/>
        </w:rPr>
        <w:t>tion of this case</w:t>
      </w:r>
      <w:r w:rsidRPr="00300A27">
        <w:rPr>
          <w:i/>
          <w:iCs/>
          <w:szCs w:val="20"/>
        </w:rPr>
        <w:t xml:space="preserve">. </w:t>
      </w:r>
      <w:r w:rsidRPr="00300A27">
        <w:rPr>
          <w:szCs w:val="20"/>
        </w:rPr>
        <w:t xml:space="preserve"> </w:t>
      </w:r>
      <w:r w:rsidR="005B1C65" w:rsidRPr="00300A27">
        <w:rPr>
          <w:szCs w:val="20"/>
        </w:rPr>
        <w:t>The Court</w:t>
      </w:r>
      <w:r w:rsidR="00223772" w:rsidRPr="00300A27">
        <w:rPr>
          <w:szCs w:val="20"/>
        </w:rPr>
        <w:t xml:space="preserve"> </w:t>
      </w:r>
      <w:r w:rsidR="00FD36FD" w:rsidRPr="00300A27">
        <w:rPr>
          <w:szCs w:val="20"/>
        </w:rPr>
        <w:t xml:space="preserve">began to deliberate this judgment on </w:t>
      </w:r>
      <w:r w:rsidR="005B1C65" w:rsidRPr="00300A27">
        <w:rPr>
          <w:szCs w:val="20"/>
        </w:rPr>
        <w:t>March 12,</w:t>
      </w:r>
      <w:r w:rsidR="00F21A57" w:rsidRPr="00300A27">
        <w:rPr>
          <w:szCs w:val="20"/>
        </w:rPr>
        <w:t xml:space="preserve"> 2020.</w:t>
      </w:r>
    </w:p>
    <w:p w14:paraId="687A7407" w14:textId="19C9FE17" w:rsidR="00F21A57" w:rsidRPr="00300A27" w:rsidRDefault="00F21A57" w:rsidP="00B243B6">
      <w:pPr>
        <w:pStyle w:val="Ttulo1"/>
        <w:rPr>
          <w:lang w:val="en-US"/>
        </w:rPr>
      </w:pPr>
      <w:bookmarkStart w:id="17" w:name="_Toc32394132"/>
      <w:bookmarkStart w:id="18" w:name="_Toc36823450"/>
      <w:r w:rsidRPr="00300A27">
        <w:rPr>
          <w:lang w:val="en-US"/>
        </w:rPr>
        <w:t>III</w:t>
      </w:r>
      <w:r w:rsidR="008A33EC" w:rsidRPr="00300A27">
        <w:rPr>
          <w:lang w:val="en-US"/>
        </w:rPr>
        <w:br/>
      </w:r>
      <w:r w:rsidR="00FD36FD" w:rsidRPr="00300A27">
        <w:rPr>
          <w:lang w:val="en-US"/>
        </w:rPr>
        <w:t>JURISDICTION</w:t>
      </w:r>
      <w:bookmarkEnd w:id="17"/>
      <w:bookmarkEnd w:id="18"/>
    </w:p>
    <w:p w14:paraId="73691ADC" w14:textId="6135C3C6" w:rsidR="002B115A" w:rsidRPr="00300A27" w:rsidRDefault="005B1C65" w:rsidP="00B243B6">
      <w:pPr>
        <w:pStyle w:val="Prrafodelista"/>
        <w:numPr>
          <w:ilvl w:val="0"/>
          <w:numId w:val="3"/>
        </w:numPr>
        <w:tabs>
          <w:tab w:val="left" w:pos="567"/>
        </w:tabs>
        <w:ind w:left="0" w:firstLine="0"/>
        <w:jc w:val="both"/>
      </w:pPr>
      <w:r w:rsidRPr="00300A27">
        <w:t>The Court</w:t>
      </w:r>
      <w:r w:rsidR="00F21A57" w:rsidRPr="00300A27">
        <w:t xml:space="preserve"> </w:t>
      </w:r>
      <w:r w:rsidR="00F816B4" w:rsidRPr="00300A27">
        <w:t xml:space="preserve">has jurisdiction to hear this case, pursuant to </w:t>
      </w:r>
      <w:r w:rsidR="007071F6" w:rsidRPr="00300A27">
        <w:t>Article</w:t>
      </w:r>
      <w:r w:rsidR="00F21A57" w:rsidRPr="00300A27">
        <w:t xml:space="preserve"> 62</w:t>
      </w:r>
      <w:r w:rsidR="00F816B4" w:rsidRPr="00300A27">
        <w:t>(</w:t>
      </w:r>
      <w:r w:rsidR="00F21A57" w:rsidRPr="00300A27">
        <w:t>3</w:t>
      </w:r>
      <w:r w:rsidR="00F816B4" w:rsidRPr="00300A27">
        <w:t>)</w:t>
      </w:r>
      <w:r w:rsidRPr="00300A27">
        <w:t xml:space="preserve"> of the Convention</w:t>
      </w:r>
      <w:r w:rsidR="00F21A57" w:rsidRPr="00300A27">
        <w:t xml:space="preserve">, </w:t>
      </w:r>
      <w:r w:rsidR="00F816B4" w:rsidRPr="00300A27">
        <w:t xml:space="preserve">because Peru has been a State Party to this instrument since July 28, 1978, and accepted the contentious jurisdiction of the Court on January 21, </w:t>
      </w:r>
      <w:r w:rsidR="00F21A57" w:rsidRPr="00300A27">
        <w:t>1981.</w:t>
      </w:r>
      <w:r w:rsidR="0001062C" w:rsidRPr="00300A27">
        <w:t xml:space="preserve"> </w:t>
      </w:r>
      <w:r w:rsidR="00F816B4" w:rsidRPr="00300A27">
        <w:t>In addition</w:t>
      </w:r>
      <w:r w:rsidR="0001062C" w:rsidRPr="00300A27">
        <w:t xml:space="preserve">, </w:t>
      </w:r>
      <w:r w:rsidRPr="00300A27">
        <w:t>the State</w:t>
      </w:r>
      <w:r w:rsidR="0001062C" w:rsidRPr="00300A27">
        <w:t xml:space="preserve"> ratifi</w:t>
      </w:r>
      <w:r w:rsidR="00F816B4" w:rsidRPr="00300A27">
        <w:t>ed</w:t>
      </w:r>
      <w:r w:rsidR="0001062C" w:rsidRPr="00300A27">
        <w:t xml:space="preserve"> </w:t>
      </w:r>
      <w:r w:rsidRPr="00300A27">
        <w:t xml:space="preserve">the </w:t>
      </w:r>
      <w:r w:rsidR="00F816B4" w:rsidRPr="00300A27">
        <w:t>Inter-American Convention to Prevent and Punish Torture</w:t>
      </w:r>
      <w:r w:rsidR="00867465" w:rsidRPr="00300A27">
        <w:t xml:space="preserve"> </w:t>
      </w:r>
      <w:r w:rsidR="00F816B4" w:rsidRPr="00300A27">
        <w:t>on March 28,</w:t>
      </w:r>
      <w:r w:rsidR="00867465" w:rsidRPr="00300A27">
        <w:t xml:space="preserve"> 1991.</w:t>
      </w:r>
    </w:p>
    <w:p w14:paraId="6837B002" w14:textId="52724E71" w:rsidR="002B115A" w:rsidRPr="00300A27" w:rsidRDefault="002B115A" w:rsidP="00B243B6">
      <w:pPr>
        <w:pStyle w:val="Ttulo1"/>
        <w:rPr>
          <w:lang w:val="en-US"/>
        </w:rPr>
      </w:pPr>
      <w:bookmarkStart w:id="19" w:name="_Toc32394133"/>
      <w:bookmarkStart w:id="20" w:name="_Toc36823451"/>
      <w:r w:rsidRPr="00300A27">
        <w:rPr>
          <w:lang w:val="en-US"/>
        </w:rPr>
        <w:t>IV</w:t>
      </w:r>
      <w:r w:rsidRPr="00300A27">
        <w:rPr>
          <w:lang w:val="en-US"/>
        </w:rPr>
        <w:br/>
      </w:r>
      <w:r w:rsidR="00FD36FD" w:rsidRPr="00300A27">
        <w:rPr>
          <w:lang w:val="en-US"/>
        </w:rPr>
        <w:t>PRELIMINARY OBJECTIONS</w:t>
      </w:r>
      <w:bookmarkEnd w:id="19"/>
      <w:bookmarkEnd w:id="20"/>
    </w:p>
    <w:p w14:paraId="31B21DB1" w14:textId="65ADACD5" w:rsidR="00651282" w:rsidRPr="00300A27" w:rsidRDefault="00F816B4" w:rsidP="00B243B6">
      <w:pPr>
        <w:pStyle w:val="Prrafodelista"/>
        <w:numPr>
          <w:ilvl w:val="0"/>
          <w:numId w:val="3"/>
        </w:numPr>
        <w:tabs>
          <w:tab w:val="left" w:pos="567"/>
        </w:tabs>
        <w:ind w:left="0" w:firstLine="0"/>
        <w:jc w:val="both"/>
      </w:pPr>
      <w:bookmarkStart w:id="21" w:name="_Toc32394134"/>
      <w:r w:rsidRPr="00300A27">
        <w:t>In this</w:t>
      </w:r>
      <w:r w:rsidR="00651282" w:rsidRPr="00300A27">
        <w:t xml:space="preserve"> cas</w:t>
      </w:r>
      <w:r w:rsidRPr="00300A27">
        <w:t>e,</w:t>
      </w:r>
      <w:r w:rsidR="00651282" w:rsidRPr="00300A27">
        <w:t xml:space="preserve"> </w:t>
      </w:r>
      <w:r w:rsidR="005B1C65" w:rsidRPr="00300A27">
        <w:t>the State</w:t>
      </w:r>
      <w:r w:rsidR="00651282" w:rsidRPr="00300A27">
        <w:t xml:space="preserve"> </w:t>
      </w:r>
      <w:r w:rsidRPr="00300A27">
        <w:t>filed three</w:t>
      </w:r>
      <w:r w:rsidR="00651282" w:rsidRPr="00300A27">
        <w:t xml:space="preserve"> </w:t>
      </w:r>
      <w:r w:rsidR="007071F6" w:rsidRPr="00300A27">
        <w:t>preliminary objections</w:t>
      </w:r>
      <w:r w:rsidR="00651282" w:rsidRPr="00300A27">
        <w:t xml:space="preserve"> </w:t>
      </w:r>
      <w:r w:rsidRPr="00300A27">
        <w:t>relating to</w:t>
      </w:r>
      <w:r w:rsidR="00651282" w:rsidRPr="00300A27">
        <w:t xml:space="preserve">: </w:t>
      </w:r>
      <w:r w:rsidRPr="00300A27">
        <w:t>(</w:t>
      </w:r>
      <w:r w:rsidR="00651282" w:rsidRPr="00300A27">
        <w:t xml:space="preserve">a) </w:t>
      </w:r>
      <w:r w:rsidRPr="00300A27">
        <w:t>the</w:t>
      </w:r>
      <w:r w:rsidR="00651282" w:rsidRPr="00300A27">
        <w:t xml:space="preserve"> </w:t>
      </w:r>
      <w:r w:rsidRPr="00300A27">
        <w:t>a</w:t>
      </w:r>
      <w:r w:rsidR="00FD36FD" w:rsidRPr="00300A27">
        <w:t>lleged failure to exhaust domestic remedies</w:t>
      </w:r>
      <w:r w:rsidR="00651282" w:rsidRPr="00300A27">
        <w:t xml:space="preserve">; </w:t>
      </w:r>
      <w:r w:rsidRPr="00300A27">
        <w:t>(</w:t>
      </w:r>
      <w:r w:rsidR="00651282" w:rsidRPr="00300A27">
        <w:t xml:space="preserve">b) </w:t>
      </w:r>
      <w:r w:rsidRPr="00300A27">
        <w:t xml:space="preserve">the subsidiary nature of the inter-American system, and (c) the “fourth instance” </w:t>
      </w:r>
      <w:r w:rsidR="007071F6" w:rsidRPr="00300A27">
        <w:t>objection</w:t>
      </w:r>
      <w:r w:rsidRPr="00300A27">
        <w:t>.</w:t>
      </w:r>
    </w:p>
    <w:p w14:paraId="3B6830F1" w14:textId="52715861" w:rsidR="002B115A" w:rsidRPr="00300A27" w:rsidRDefault="00FD36FD" w:rsidP="00B243B6">
      <w:pPr>
        <w:pStyle w:val="Ttulo2"/>
        <w:numPr>
          <w:ilvl w:val="0"/>
          <w:numId w:val="19"/>
        </w:numPr>
        <w:ind w:left="1134" w:hanging="567"/>
        <w:rPr>
          <w:lang w:val="en-US"/>
        </w:rPr>
      </w:pPr>
      <w:r w:rsidRPr="00300A27">
        <w:rPr>
          <w:lang w:val="en-US"/>
        </w:rPr>
        <w:t>Alleged failure to exhaust domestic remedies</w:t>
      </w:r>
      <w:bookmarkEnd w:id="21"/>
    </w:p>
    <w:p w14:paraId="5369D5AA" w14:textId="39CEDFF2" w:rsidR="002B115A" w:rsidRPr="00300A27" w:rsidRDefault="002B115A" w:rsidP="00B243B6">
      <w:pPr>
        <w:pStyle w:val="Ttulo3"/>
        <w:rPr>
          <w:lang w:val="en-US"/>
        </w:rPr>
      </w:pPr>
      <w:bookmarkStart w:id="22" w:name="_Toc32394135"/>
      <w:bookmarkStart w:id="23" w:name="_Toc36823453"/>
      <w:r w:rsidRPr="00300A27">
        <w:rPr>
          <w:lang w:val="en-US"/>
        </w:rPr>
        <w:t>A.1</w:t>
      </w:r>
      <w:r w:rsidRPr="00300A27">
        <w:rPr>
          <w:lang w:val="en-US"/>
        </w:rPr>
        <w:tab/>
      </w:r>
      <w:r w:rsidR="00FD36FD" w:rsidRPr="00300A27">
        <w:rPr>
          <w:lang w:val="en-US"/>
        </w:rPr>
        <w:t>Arguments of the parties</w:t>
      </w:r>
      <w:r w:rsidR="005B1C65" w:rsidRPr="00300A27">
        <w:rPr>
          <w:lang w:val="en-US"/>
        </w:rPr>
        <w:t xml:space="preserve"> and</w:t>
      </w:r>
      <w:r w:rsidR="007071F6" w:rsidRPr="00300A27">
        <w:rPr>
          <w:lang w:val="en-US"/>
        </w:rPr>
        <w:t xml:space="preserve"> of the </w:t>
      </w:r>
      <w:r w:rsidR="00C2001D" w:rsidRPr="00300A27">
        <w:rPr>
          <w:lang w:val="en-US"/>
        </w:rPr>
        <w:t>Commission</w:t>
      </w:r>
      <w:bookmarkEnd w:id="22"/>
      <w:bookmarkEnd w:id="23"/>
    </w:p>
    <w:p w14:paraId="0B4B141F" w14:textId="05391E8E" w:rsidR="00C15C13" w:rsidRPr="00300A27" w:rsidRDefault="005B1C65" w:rsidP="00B243B6">
      <w:pPr>
        <w:pStyle w:val="Prrafodelista"/>
        <w:numPr>
          <w:ilvl w:val="0"/>
          <w:numId w:val="3"/>
        </w:numPr>
        <w:tabs>
          <w:tab w:val="left" w:pos="567"/>
        </w:tabs>
        <w:spacing w:before="120" w:after="120"/>
        <w:ind w:left="0" w:firstLine="0"/>
        <w:contextualSpacing w:val="0"/>
        <w:jc w:val="both"/>
      </w:pPr>
      <w:r w:rsidRPr="00300A27">
        <w:t xml:space="preserve">The </w:t>
      </w:r>
      <w:r w:rsidRPr="00300A27">
        <w:rPr>
          <w:b/>
          <w:bCs/>
          <w:i/>
          <w:iCs/>
        </w:rPr>
        <w:t>State</w:t>
      </w:r>
      <w:r w:rsidR="00880671" w:rsidRPr="00300A27">
        <w:t xml:space="preserve"> a</w:t>
      </w:r>
      <w:r w:rsidR="00315CEA" w:rsidRPr="00300A27">
        <w:t xml:space="preserve">rgued that </w:t>
      </w:r>
      <w:r w:rsidR="00880671" w:rsidRPr="00300A27">
        <w:t>“</w:t>
      </w:r>
      <w:r w:rsidR="00315CEA" w:rsidRPr="00300A27">
        <w:t xml:space="preserve">the </w:t>
      </w:r>
      <w:r w:rsidR="009B35A1" w:rsidRPr="00300A27">
        <w:t>order to dismiss the proceedings</w:t>
      </w:r>
      <w:r w:rsidR="00880671" w:rsidRPr="00300A27">
        <w:t xml:space="preserve"> […]</w:t>
      </w:r>
      <w:r w:rsidR="008B71AC" w:rsidRPr="00300A27">
        <w:t xml:space="preserve"> </w:t>
      </w:r>
      <w:r w:rsidR="00315CEA" w:rsidRPr="00300A27">
        <w:t>requir</w:t>
      </w:r>
      <w:r w:rsidR="008B71AC" w:rsidRPr="00300A27">
        <w:t>ing</w:t>
      </w:r>
      <w:r w:rsidR="00315CEA" w:rsidRPr="00300A27">
        <w:t xml:space="preserve"> the archive of the criminal investigation for the offenses of rape and abuse of authority could have been contested by </w:t>
      </w:r>
      <w:r w:rsidR="00834A1B" w:rsidRPr="00300A27">
        <w:t>the presumed victim</w:t>
      </w:r>
      <w:r w:rsidR="00880671" w:rsidRPr="00300A27">
        <w:t xml:space="preserve"> </w:t>
      </w:r>
      <w:r w:rsidR="00315CEA" w:rsidRPr="00300A27">
        <w:t>and/or her</w:t>
      </w:r>
      <w:r w:rsidR="00BA3C7F" w:rsidRPr="00300A27">
        <w:t xml:space="preserve"> representatives</w:t>
      </w:r>
      <w:r w:rsidR="005632D0" w:rsidRPr="00300A27">
        <w:t xml:space="preserve"> […] </w:t>
      </w:r>
      <w:r w:rsidR="00315CEA" w:rsidRPr="00300A27">
        <w:t xml:space="preserve">pursuant to domestic law.” In this regard, it indicated that the remedy was filed belatedly. Therefore, the State argued that </w:t>
      </w:r>
      <w:r w:rsidR="00834A1B" w:rsidRPr="00300A27">
        <w:t>the presumed victim</w:t>
      </w:r>
      <w:r w:rsidR="008B71AC" w:rsidRPr="00300A27">
        <w:t xml:space="preserve"> had</w:t>
      </w:r>
      <w:r w:rsidR="00880671" w:rsidRPr="00300A27">
        <w:t xml:space="preserve"> incurr</w:t>
      </w:r>
      <w:r w:rsidR="00315CEA" w:rsidRPr="00300A27">
        <w:t xml:space="preserve">ed in an </w:t>
      </w:r>
      <w:r w:rsidR="00880671" w:rsidRPr="00300A27">
        <w:t>“</w:t>
      </w:r>
      <w:r w:rsidR="00616A84" w:rsidRPr="00300A27">
        <w:t>improper</w:t>
      </w:r>
      <w:r w:rsidR="00315CEA" w:rsidRPr="00300A27">
        <w:t xml:space="preserve"> exhaustion of domestic remedies” and, consequently, </w:t>
      </w:r>
      <w:r w:rsidR="00C2001D" w:rsidRPr="00300A27">
        <w:t>the Commission</w:t>
      </w:r>
      <w:r w:rsidR="00880671" w:rsidRPr="00300A27">
        <w:t xml:space="preserve"> </w:t>
      </w:r>
      <w:r w:rsidR="00315CEA" w:rsidRPr="00300A27">
        <w:t>should have declared the petition inadmissible.</w:t>
      </w:r>
      <w:r w:rsidR="00E62D2E" w:rsidRPr="00300A27">
        <w:rPr>
          <w:b/>
        </w:rPr>
        <w:t xml:space="preserve"> </w:t>
      </w:r>
      <w:r w:rsidR="00880671" w:rsidRPr="00300A27">
        <w:rPr>
          <w:b/>
        </w:rPr>
        <w:t xml:space="preserve"> </w:t>
      </w:r>
    </w:p>
    <w:p w14:paraId="6B80BAC1" w14:textId="2DE6C1F0" w:rsidR="00C15C13" w:rsidRPr="00300A27" w:rsidRDefault="00C2001D" w:rsidP="00B243B6">
      <w:pPr>
        <w:pStyle w:val="Prrafodelista"/>
        <w:numPr>
          <w:ilvl w:val="0"/>
          <w:numId w:val="3"/>
        </w:numPr>
        <w:tabs>
          <w:tab w:val="left" w:pos="567"/>
        </w:tabs>
        <w:spacing w:before="120" w:after="120"/>
        <w:ind w:left="0" w:firstLine="0"/>
        <w:contextualSpacing w:val="0"/>
        <w:jc w:val="both"/>
      </w:pPr>
      <w:r w:rsidRPr="00300A27">
        <w:rPr>
          <w:szCs w:val="20"/>
        </w:rPr>
        <w:t xml:space="preserve">The </w:t>
      </w:r>
      <w:r w:rsidRPr="00300A27">
        <w:rPr>
          <w:b/>
          <w:bCs/>
          <w:i/>
          <w:iCs/>
          <w:szCs w:val="20"/>
        </w:rPr>
        <w:t>Commission</w:t>
      </w:r>
      <w:r w:rsidR="00880671" w:rsidRPr="00300A27">
        <w:rPr>
          <w:szCs w:val="20"/>
        </w:rPr>
        <w:t xml:space="preserve"> reite</w:t>
      </w:r>
      <w:r w:rsidR="000C3137" w:rsidRPr="00300A27">
        <w:rPr>
          <w:szCs w:val="20"/>
        </w:rPr>
        <w:t>r</w:t>
      </w:r>
      <w:r w:rsidR="00315CEA" w:rsidRPr="00300A27">
        <w:rPr>
          <w:szCs w:val="20"/>
        </w:rPr>
        <w:t>ated the analysis made in the Admissibility Report</w:t>
      </w:r>
      <w:r w:rsidR="00880671" w:rsidRPr="00300A27">
        <w:rPr>
          <w:szCs w:val="20"/>
        </w:rPr>
        <w:t xml:space="preserve">. </w:t>
      </w:r>
      <w:r w:rsidR="00315CEA" w:rsidRPr="00300A27">
        <w:rPr>
          <w:szCs w:val="20"/>
        </w:rPr>
        <w:t xml:space="preserve">It also indicated that “in the case of acts of torture such as those denounced by Azul Rojas Marín, the domestic remedies should be provided by the State </w:t>
      </w:r>
      <w:r w:rsidR="00315CEA" w:rsidRPr="00300A27">
        <w:rPr>
          <w:i/>
          <w:iCs/>
          <w:szCs w:val="20"/>
        </w:rPr>
        <w:t>ex officio</w:t>
      </w:r>
      <w:r w:rsidR="00315CEA" w:rsidRPr="00300A27">
        <w:rPr>
          <w:szCs w:val="20"/>
        </w:rPr>
        <w:t>”; therefore, “</w:t>
      </w:r>
      <w:r w:rsidR="00616A84" w:rsidRPr="00300A27">
        <w:rPr>
          <w:szCs w:val="20"/>
        </w:rPr>
        <w:t>an</w:t>
      </w:r>
      <w:r w:rsidR="00315CEA" w:rsidRPr="00300A27">
        <w:rPr>
          <w:szCs w:val="20"/>
        </w:rPr>
        <w:t xml:space="preserve"> appeal against a specific procedural measure should not be understood as an appropriate and effective remedy in cases of serious human rights violations, because </w:t>
      </w:r>
      <w:r w:rsidR="00616A84" w:rsidRPr="00300A27">
        <w:rPr>
          <w:szCs w:val="20"/>
        </w:rPr>
        <w:t>an appropriate and effective</w:t>
      </w:r>
      <w:r w:rsidR="00315CEA" w:rsidRPr="00300A27">
        <w:rPr>
          <w:szCs w:val="20"/>
        </w:rPr>
        <w:t xml:space="preserve"> remedy </w:t>
      </w:r>
      <w:r w:rsidR="00616A84" w:rsidRPr="00300A27">
        <w:rPr>
          <w:szCs w:val="20"/>
        </w:rPr>
        <w:t>w</w:t>
      </w:r>
      <w:r w:rsidR="00315CEA" w:rsidRPr="00300A27">
        <w:rPr>
          <w:szCs w:val="20"/>
        </w:rPr>
        <w:t xml:space="preserve">ould be the integrity of the investigation and criminal proceedings that […] should be opened and conducted </w:t>
      </w:r>
      <w:r w:rsidR="00616A84" w:rsidRPr="00300A27">
        <w:rPr>
          <w:szCs w:val="20"/>
        </w:rPr>
        <w:t>satisfactorily</w:t>
      </w:r>
      <w:r w:rsidR="00315CEA" w:rsidRPr="00300A27">
        <w:rPr>
          <w:szCs w:val="20"/>
        </w:rPr>
        <w:t xml:space="preserve"> and, </w:t>
      </w:r>
      <w:r w:rsidR="00315CEA" w:rsidRPr="00300A27">
        <w:rPr>
          <w:i/>
          <w:iCs/>
          <w:szCs w:val="20"/>
        </w:rPr>
        <w:t>ex officio</w:t>
      </w:r>
      <w:r w:rsidR="00315CEA" w:rsidRPr="00300A27">
        <w:rPr>
          <w:szCs w:val="20"/>
        </w:rPr>
        <w:t xml:space="preserve">, by the State.” It also </w:t>
      </w:r>
      <w:r w:rsidR="00616A84" w:rsidRPr="00300A27">
        <w:rPr>
          <w:szCs w:val="20"/>
        </w:rPr>
        <w:t>asserted</w:t>
      </w:r>
      <w:r w:rsidR="00315CEA" w:rsidRPr="00300A27">
        <w:rPr>
          <w:szCs w:val="20"/>
        </w:rPr>
        <w:t xml:space="preserve"> that, </w:t>
      </w:r>
      <w:r w:rsidR="00FA0435" w:rsidRPr="00300A27">
        <w:rPr>
          <w:szCs w:val="20"/>
        </w:rPr>
        <w:t>the analysis of admissibility reveal</w:t>
      </w:r>
      <w:r w:rsidR="00616A84" w:rsidRPr="00300A27">
        <w:rPr>
          <w:szCs w:val="20"/>
        </w:rPr>
        <w:t>ed</w:t>
      </w:r>
      <w:r w:rsidR="00FA0435" w:rsidRPr="00300A27">
        <w:rPr>
          <w:szCs w:val="20"/>
        </w:rPr>
        <w:t xml:space="preserve"> that “</w:t>
      </w:r>
      <w:r w:rsidR="00616A84" w:rsidRPr="00300A27">
        <w:rPr>
          <w:szCs w:val="20"/>
        </w:rPr>
        <w:t xml:space="preserve">there were </w:t>
      </w:r>
      <w:r w:rsidR="00FA0435" w:rsidRPr="00300A27">
        <w:rPr>
          <w:szCs w:val="20"/>
        </w:rPr>
        <w:t xml:space="preserve">numerous indications that </w:t>
      </w:r>
      <w:r w:rsidR="00FA0435" w:rsidRPr="00300A27">
        <w:rPr>
          <w:i/>
          <w:szCs w:val="20"/>
        </w:rPr>
        <w:t>prima facie</w:t>
      </w:r>
      <w:r w:rsidR="00FA0435" w:rsidRPr="00300A27">
        <w:rPr>
          <w:szCs w:val="20"/>
        </w:rPr>
        <w:t xml:space="preserve"> </w:t>
      </w:r>
      <w:r w:rsidR="00616A84" w:rsidRPr="00300A27">
        <w:rPr>
          <w:szCs w:val="20"/>
        </w:rPr>
        <w:t>pointed to</w:t>
      </w:r>
      <w:r w:rsidR="00FA0435" w:rsidRPr="00300A27">
        <w:rPr>
          <w:szCs w:val="20"/>
        </w:rPr>
        <w:t xml:space="preserve"> the ineffectiveness of the investigations </w:t>
      </w:r>
      <w:r w:rsidR="00616A84" w:rsidRPr="00300A27">
        <w:rPr>
          <w:szCs w:val="20"/>
        </w:rPr>
        <w:t xml:space="preserve">that were </w:t>
      </w:r>
      <w:r w:rsidR="00FA0435" w:rsidRPr="00300A27">
        <w:rPr>
          <w:szCs w:val="20"/>
        </w:rPr>
        <w:t>conducted</w:t>
      </w:r>
      <w:r w:rsidR="00616A84" w:rsidRPr="00300A27">
        <w:rPr>
          <w:szCs w:val="20"/>
        </w:rPr>
        <w:t xml:space="preserve"> and that</w:t>
      </w:r>
      <w:r w:rsidR="00FA0435" w:rsidRPr="00300A27">
        <w:rPr>
          <w:szCs w:val="20"/>
        </w:rPr>
        <w:t xml:space="preserve"> culminated </w:t>
      </w:r>
      <w:r w:rsidR="00616A84" w:rsidRPr="00300A27">
        <w:rPr>
          <w:szCs w:val="20"/>
        </w:rPr>
        <w:t>in</w:t>
      </w:r>
      <w:r w:rsidR="00FA0435" w:rsidRPr="00300A27">
        <w:rPr>
          <w:szCs w:val="20"/>
        </w:rPr>
        <w:t xml:space="preserve"> the dismissal of the proceedings” and that “[o]n this basis, the Commission made a preliminary decision on the lack of effectiveness of the domestic remedies which was amply confirmed in i</w:t>
      </w:r>
      <w:r w:rsidR="00616A84" w:rsidRPr="00300A27">
        <w:rPr>
          <w:szCs w:val="20"/>
        </w:rPr>
        <w:t>t</w:t>
      </w:r>
      <w:r w:rsidR="00FA0435" w:rsidRPr="00300A27">
        <w:rPr>
          <w:szCs w:val="20"/>
        </w:rPr>
        <w:t xml:space="preserve">s analysis of the merits.” The Commission asked the Court not to diverge from the analysis made in </w:t>
      </w:r>
      <w:r w:rsidR="00FA0435" w:rsidRPr="00300A27">
        <w:t xml:space="preserve">the </w:t>
      </w:r>
      <w:r w:rsidR="00315CEA" w:rsidRPr="00300A27">
        <w:rPr>
          <w:szCs w:val="20"/>
        </w:rPr>
        <w:t>Admissibility Report</w:t>
      </w:r>
      <w:r w:rsidR="005B1C65" w:rsidRPr="00300A27">
        <w:rPr>
          <w:szCs w:val="20"/>
        </w:rPr>
        <w:t xml:space="preserve"> and </w:t>
      </w:r>
      <w:r w:rsidR="00FA0435" w:rsidRPr="00300A27">
        <w:rPr>
          <w:szCs w:val="20"/>
        </w:rPr>
        <w:t>to reject the</w:t>
      </w:r>
      <w:r w:rsidR="00880671" w:rsidRPr="00300A27">
        <w:rPr>
          <w:szCs w:val="20"/>
        </w:rPr>
        <w:t xml:space="preserve"> </w:t>
      </w:r>
      <w:r w:rsidR="007071F6" w:rsidRPr="00300A27">
        <w:rPr>
          <w:szCs w:val="20"/>
        </w:rPr>
        <w:t>preliminary objection</w:t>
      </w:r>
      <w:r w:rsidR="00880671" w:rsidRPr="00300A27">
        <w:rPr>
          <w:szCs w:val="20"/>
        </w:rPr>
        <w:t xml:space="preserve"> </w:t>
      </w:r>
      <w:r w:rsidR="00FA0435" w:rsidRPr="00300A27">
        <w:rPr>
          <w:szCs w:val="20"/>
        </w:rPr>
        <w:t>filed by</w:t>
      </w:r>
      <w:r w:rsidR="00880671" w:rsidRPr="00300A27">
        <w:rPr>
          <w:szCs w:val="20"/>
        </w:rPr>
        <w:t xml:space="preserve"> </w:t>
      </w:r>
      <w:r w:rsidR="005B1C65" w:rsidRPr="00300A27">
        <w:rPr>
          <w:szCs w:val="20"/>
        </w:rPr>
        <w:t>the State</w:t>
      </w:r>
      <w:r w:rsidR="00880671" w:rsidRPr="00300A27">
        <w:rPr>
          <w:szCs w:val="20"/>
        </w:rPr>
        <w:t>.</w:t>
      </w:r>
      <w:r w:rsidR="00880671" w:rsidRPr="00300A27">
        <w:rPr>
          <w:rFonts w:eastAsiaTheme="minorHAnsi"/>
          <w:b/>
          <w:szCs w:val="20"/>
        </w:rPr>
        <w:t xml:space="preserve"> </w:t>
      </w:r>
    </w:p>
    <w:p w14:paraId="7FC82DA7" w14:textId="1A766497" w:rsidR="00FA0435" w:rsidRPr="00300A27" w:rsidRDefault="00BA3C7F" w:rsidP="00B243B6">
      <w:pPr>
        <w:pStyle w:val="Prrafodelista"/>
        <w:numPr>
          <w:ilvl w:val="0"/>
          <w:numId w:val="3"/>
        </w:numPr>
        <w:tabs>
          <w:tab w:val="left" w:pos="567"/>
        </w:tabs>
        <w:spacing w:before="120" w:after="120"/>
        <w:ind w:left="0" w:firstLine="0"/>
        <w:contextualSpacing w:val="0"/>
        <w:jc w:val="both"/>
      </w:pPr>
      <w:r w:rsidRPr="00300A27">
        <w:t xml:space="preserve">The </w:t>
      </w:r>
      <w:r w:rsidRPr="00300A27">
        <w:rPr>
          <w:b/>
          <w:bCs/>
          <w:i/>
          <w:iCs/>
        </w:rPr>
        <w:t>representatives</w:t>
      </w:r>
      <w:r w:rsidR="00880671" w:rsidRPr="00300A27">
        <w:t xml:space="preserve"> </w:t>
      </w:r>
      <w:r w:rsidR="00FA0435" w:rsidRPr="00300A27">
        <w:t>pointed out that</w:t>
      </w:r>
      <w:r w:rsidR="00880671" w:rsidRPr="00300A27">
        <w:t xml:space="preserve"> “</w:t>
      </w:r>
      <w:r w:rsidR="00FA0435" w:rsidRPr="00300A27">
        <w:t xml:space="preserve">a careful reading of the </w:t>
      </w:r>
      <w:r w:rsidR="00616A84" w:rsidRPr="00300A27">
        <w:t xml:space="preserve">Commission’s </w:t>
      </w:r>
      <w:r w:rsidR="00FA0435" w:rsidRPr="00300A27">
        <w:t xml:space="preserve">decision on admissibility reveals that it did not fail to consider the objection filed by the State or to include reasoned arguments on the obligation to exhaust domestic remedies and on the possible application of exceptions to this rule.” They indicated that the remedy of appeal referred to by the State was neither adequate nor effective </w:t>
      </w:r>
      <w:r w:rsidR="00616A84" w:rsidRPr="00300A27">
        <w:t xml:space="preserve">in proceedings for rape and abuse of power </w:t>
      </w:r>
      <w:r w:rsidR="00FA0435" w:rsidRPr="00300A27">
        <w:t xml:space="preserve">because “it would not have protected </w:t>
      </w:r>
      <w:r w:rsidR="00FA0435" w:rsidRPr="00300A27">
        <w:rPr>
          <w:rFonts w:eastAsiaTheme="minorHAnsi"/>
          <w:szCs w:val="20"/>
        </w:rPr>
        <w:t>[the presumed victim] in</w:t>
      </w:r>
      <w:r w:rsidR="00616A84" w:rsidRPr="00300A27">
        <w:rPr>
          <w:rFonts w:eastAsiaTheme="minorHAnsi"/>
          <w:szCs w:val="20"/>
        </w:rPr>
        <w:t xml:space="preserve"> relation to</w:t>
      </w:r>
      <w:r w:rsidR="00FA0435" w:rsidRPr="00300A27">
        <w:rPr>
          <w:rFonts w:eastAsiaTheme="minorHAnsi"/>
          <w:szCs w:val="20"/>
        </w:rPr>
        <w:t xml:space="preserve"> the legal situation that was violated.” They stressed that “in Peru, there is no due process of law that guarantees access to effective remedies in cases such as that of Azul because the criminal definition of torture is inadequate and </w:t>
      </w:r>
      <w:r w:rsidR="00616A84" w:rsidRPr="00300A27">
        <w:rPr>
          <w:rFonts w:eastAsiaTheme="minorHAnsi"/>
          <w:szCs w:val="20"/>
        </w:rPr>
        <w:t xml:space="preserve">due to </w:t>
      </w:r>
      <w:r w:rsidR="00FA0435" w:rsidRPr="00300A27">
        <w:rPr>
          <w:rFonts w:eastAsiaTheme="minorHAnsi"/>
          <w:szCs w:val="20"/>
        </w:rPr>
        <w:t>deficiencies in due process in the context of structural discrimination against the LGBTI community.”</w:t>
      </w:r>
    </w:p>
    <w:p w14:paraId="450B62C6" w14:textId="7B34EE92" w:rsidR="00C15C13" w:rsidRPr="00300A27" w:rsidRDefault="00C15C13" w:rsidP="00B243B6">
      <w:pPr>
        <w:pStyle w:val="Ttulo3"/>
        <w:rPr>
          <w:lang w:val="en-US" w:eastAsia="es-MX"/>
        </w:rPr>
      </w:pPr>
      <w:bookmarkStart w:id="24" w:name="_Toc32394136"/>
      <w:bookmarkStart w:id="25" w:name="_Toc36823454"/>
      <w:r w:rsidRPr="00300A27">
        <w:rPr>
          <w:lang w:val="en-US" w:eastAsia="es-MX"/>
        </w:rPr>
        <w:t xml:space="preserve">A.2 </w:t>
      </w:r>
      <w:r w:rsidRPr="00300A27">
        <w:rPr>
          <w:lang w:val="en-US" w:eastAsia="es-MX"/>
        </w:rPr>
        <w:tab/>
      </w:r>
      <w:r w:rsidR="009B35A1" w:rsidRPr="00300A27">
        <w:rPr>
          <w:lang w:val="en-US" w:eastAsia="es-MX"/>
        </w:rPr>
        <w:t>Considerations</w:t>
      </w:r>
      <w:r w:rsidR="005B1C65" w:rsidRPr="00300A27">
        <w:rPr>
          <w:lang w:val="en-US" w:eastAsia="es-MX"/>
        </w:rPr>
        <w:t xml:space="preserve"> of the Court</w:t>
      </w:r>
      <w:bookmarkEnd w:id="24"/>
      <w:bookmarkEnd w:id="25"/>
    </w:p>
    <w:p w14:paraId="64B0FBA3" w14:textId="5CA15AF1" w:rsidR="00C15C13" w:rsidRPr="00300A27" w:rsidRDefault="005B1C65" w:rsidP="00B243B6">
      <w:pPr>
        <w:pStyle w:val="Prrafodelista"/>
        <w:numPr>
          <w:ilvl w:val="0"/>
          <w:numId w:val="3"/>
        </w:numPr>
        <w:tabs>
          <w:tab w:val="left" w:pos="567"/>
        </w:tabs>
        <w:spacing w:before="120" w:after="120"/>
        <w:ind w:left="0" w:firstLine="0"/>
        <w:contextualSpacing w:val="0"/>
        <w:jc w:val="both"/>
      </w:pPr>
      <w:bookmarkStart w:id="26" w:name="_Ref446681717"/>
      <w:r w:rsidRPr="00300A27">
        <w:t>Th</w:t>
      </w:r>
      <w:r w:rsidR="008673A4" w:rsidRPr="00300A27">
        <w:t>e</w:t>
      </w:r>
      <w:r w:rsidRPr="00300A27">
        <w:t xml:space="preserve"> Court</w:t>
      </w:r>
      <w:r w:rsidR="00880671" w:rsidRPr="00300A27">
        <w:t xml:space="preserve"> </w:t>
      </w:r>
      <w:r w:rsidR="000C4BE3" w:rsidRPr="00300A27">
        <w:t xml:space="preserve">notes that there is no dispute that the petition in this case was lodged before </w:t>
      </w:r>
      <w:r w:rsidR="00C2001D" w:rsidRPr="00300A27">
        <w:t>the Commission</w:t>
      </w:r>
      <w:r w:rsidR="00091958" w:rsidRPr="00300A27">
        <w:t xml:space="preserve"> </w:t>
      </w:r>
      <w:r w:rsidR="000C4BE3" w:rsidRPr="00300A27">
        <w:t>on April 15,</w:t>
      </w:r>
      <w:r w:rsidR="00091958" w:rsidRPr="00300A27">
        <w:t xml:space="preserve"> 2009</w:t>
      </w:r>
      <w:r w:rsidR="00A41AEB" w:rsidRPr="00300A27">
        <w:t xml:space="preserve">, </w:t>
      </w:r>
      <w:r w:rsidR="000C4BE3" w:rsidRPr="00300A27">
        <w:t>asserting that the domestic remedies had been exhausted and providing the relevant information</w:t>
      </w:r>
      <w:r w:rsidR="008673A4" w:rsidRPr="00300A27">
        <w:t>.</w:t>
      </w:r>
      <w:r w:rsidR="000C4BE3" w:rsidRPr="00300A27">
        <w:t xml:space="preserve"> </w:t>
      </w:r>
      <w:r w:rsidR="008F1BD3" w:rsidRPr="00300A27">
        <w:t>On June 5, 2013, t</w:t>
      </w:r>
      <w:r w:rsidR="000C4BE3" w:rsidRPr="00300A27">
        <w:t>h</w:t>
      </w:r>
      <w:r w:rsidR="008673A4" w:rsidRPr="00300A27">
        <w:t>e petition</w:t>
      </w:r>
      <w:r w:rsidR="000C4BE3" w:rsidRPr="00300A27">
        <w:t xml:space="preserve"> was forwarded to the State </w:t>
      </w:r>
      <w:r w:rsidR="008F1BD3" w:rsidRPr="00300A27">
        <w:t xml:space="preserve">which </w:t>
      </w:r>
      <w:r w:rsidR="000C4BE3" w:rsidRPr="00300A27">
        <w:t>sent its answering brief on March 24, 2014, in which it duly filed the objection of failure to exhaust domestic remedies for the reasons indicated.</w:t>
      </w:r>
      <w:r w:rsidR="00880671" w:rsidRPr="00300A27">
        <w:rPr>
          <w:rStyle w:val="Refdenotaalpie"/>
        </w:rPr>
        <w:footnoteReference w:id="16"/>
      </w:r>
      <w:r w:rsidR="000C4BE3" w:rsidRPr="00300A27">
        <w:rPr>
          <w:szCs w:val="20"/>
        </w:rPr>
        <w:t xml:space="preserve"> Therefore, bearing in mind that is not the task</w:t>
      </w:r>
      <w:r w:rsidR="00880671" w:rsidRPr="00300A27">
        <w:rPr>
          <w:szCs w:val="20"/>
        </w:rPr>
        <w:t xml:space="preserve"> </w:t>
      </w:r>
      <w:r w:rsidRPr="00300A27">
        <w:t>of</w:t>
      </w:r>
      <w:r w:rsidR="000C4BE3" w:rsidRPr="00300A27">
        <w:t xml:space="preserve"> either</w:t>
      </w:r>
      <w:r w:rsidRPr="00300A27">
        <w:t xml:space="preserve"> the Court</w:t>
      </w:r>
      <w:r w:rsidR="00A6159F" w:rsidRPr="00300A27">
        <w:t xml:space="preserve"> </w:t>
      </w:r>
      <w:r w:rsidR="000C4BE3" w:rsidRPr="00300A27">
        <w:t>or</w:t>
      </w:r>
      <w:r w:rsidR="007071F6" w:rsidRPr="00300A27">
        <w:t xml:space="preserve"> the </w:t>
      </w:r>
      <w:r w:rsidR="00C2001D" w:rsidRPr="00300A27">
        <w:t>Commission</w:t>
      </w:r>
      <w:r w:rsidR="00A6159F" w:rsidRPr="00300A27">
        <w:t xml:space="preserve"> </w:t>
      </w:r>
      <w:r w:rsidR="000C4BE3" w:rsidRPr="00300A27">
        <w:t>to identify</w:t>
      </w:r>
      <w:r w:rsidR="00A6159F" w:rsidRPr="00300A27">
        <w:t xml:space="preserve"> </w:t>
      </w:r>
      <w:r w:rsidR="00A6159F" w:rsidRPr="00300A27">
        <w:rPr>
          <w:i/>
        </w:rPr>
        <w:t>ex officio</w:t>
      </w:r>
      <w:r w:rsidR="00A6159F" w:rsidRPr="00300A27">
        <w:t xml:space="preserve"> </w:t>
      </w:r>
      <w:r w:rsidR="000C4BE3" w:rsidRPr="00300A27">
        <w:t>which domestic remedies remain pending,</w:t>
      </w:r>
      <w:r w:rsidR="00A6159F" w:rsidRPr="00300A27">
        <w:rPr>
          <w:rStyle w:val="Refdenotaalpie"/>
        </w:rPr>
        <w:footnoteReference w:id="17"/>
      </w:r>
      <w:r w:rsidR="000C4BE3" w:rsidRPr="00300A27">
        <w:t xml:space="preserve"> it is necessary to analyze whether </w:t>
      </w:r>
      <w:r w:rsidR="00834A1B" w:rsidRPr="00300A27">
        <w:rPr>
          <w:szCs w:val="20"/>
        </w:rPr>
        <w:t>the presumed victim</w:t>
      </w:r>
      <w:r w:rsidR="00880671" w:rsidRPr="00300A27">
        <w:rPr>
          <w:szCs w:val="20"/>
        </w:rPr>
        <w:t xml:space="preserve"> </w:t>
      </w:r>
      <w:r w:rsidR="000C4BE3" w:rsidRPr="00300A27">
        <w:rPr>
          <w:szCs w:val="20"/>
        </w:rPr>
        <w:t xml:space="preserve">exhausted the domestic remedies or whether one of the exceptions stipulated in </w:t>
      </w:r>
      <w:r w:rsidRPr="00300A27">
        <w:rPr>
          <w:szCs w:val="20"/>
        </w:rPr>
        <w:t>Article</w:t>
      </w:r>
      <w:r w:rsidR="00880671" w:rsidRPr="00300A27">
        <w:rPr>
          <w:szCs w:val="20"/>
        </w:rPr>
        <w:t xml:space="preserve"> 46</w:t>
      </w:r>
      <w:r w:rsidRPr="00300A27">
        <w:rPr>
          <w:szCs w:val="20"/>
        </w:rPr>
        <w:t xml:space="preserve"> of the American Convention</w:t>
      </w:r>
      <w:r w:rsidR="000C4BE3" w:rsidRPr="00300A27">
        <w:rPr>
          <w:szCs w:val="20"/>
        </w:rPr>
        <w:t xml:space="preserve"> was applicable and, as appropriate, whether the State specified the remedies that remained to be exhausted and whether it proved that these were available and were adequate, suitable and effective.</w:t>
      </w:r>
      <w:r w:rsidR="00A6159F" w:rsidRPr="00300A27">
        <w:rPr>
          <w:rStyle w:val="Refdenotaalpie"/>
        </w:rPr>
        <w:footnoteReference w:id="18"/>
      </w:r>
      <w:bookmarkEnd w:id="26"/>
      <w:r w:rsidR="000C4BE3" w:rsidRPr="00300A27">
        <w:tab/>
      </w:r>
    </w:p>
    <w:p w14:paraId="79C819D8" w14:textId="432F564A" w:rsidR="00C15C13" w:rsidRPr="00300A27" w:rsidRDefault="000C4BE3" w:rsidP="00B243B6">
      <w:pPr>
        <w:pStyle w:val="Prrafodelista"/>
        <w:numPr>
          <w:ilvl w:val="0"/>
          <w:numId w:val="3"/>
        </w:numPr>
        <w:tabs>
          <w:tab w:val="left" w:pos="567"/>
          <w:tab w:val="left" w:pos="7290"/>
        </w:tabs>
        <w:spacing w:before="120" w:after="120"/>
        <w:ind w:left="0" w:firstLine="0"/>
        <w:contextualSpacing w:val="0"/>
        <w:jc w:val="both"/>
      </w:pPr>
      <w:r w:rsidRPr="00300A27">
        <w:t>In this case</w:t>
      </w:r>
      <w:r w:rsidR="00880671" w:rsidRPr="00300A27">
        <w:t xml:space="preserve">, </w:t>
      </w:r>
      <w:r w:rsidRPr="00300A27">
        <w:t xml:space="preserve">following </w:t>
      </w:r>
      <w:r w:rsidR="00D75EFA" w:rsidRPr="00300A27">
        <w:t xml:space="preserve">the </w:t>
      </w:r>
      <w:r w:rsidR="00ED7AB1" w:rsidRPr="00300A27">
        <w:t>complaint</w:t>
      </w:r>
      <w:r w:rsidR="00D75EFA" w:rsidRPr="00300A27">
        <w:t xml:space="preserve"> filed by </w:t>
      </w:r>
      <w:r w:rsidR="00834A1B" w:rsidRPr="00300A27">
        <w:t>the presumed victim</w:t>
      </w:r>
      <w:r w:rsidR="00880671" w:rsidRPr="00300A27">
        <w:t xml:space="preserve">, </w:t>
      </w:r>
      <w:r w:rsidR="00D75EFA" w:rsidRPr="00300A27">
        <w:t xml:space="preserve">an investigation into rape and abuse of authority was opened. On May 5, </w:t>
      </w:r>
      <w:r w:rsidR="00880671" w:rsidRPr="00300A27">
        <w:t>2008</w:t>
      </w:r>
      <w:r w:rsidR="00D75EFA" w:rsidRPr="00300A27">
        <w:t>,</w:t>
      </w:r>
      <w:r w:rsidR="00880671" w:rsidRPr="00300A27">
        <w:t xml:space="preserve"> </w:t>
      </w:r>
      <w:r w:rsidR="00834A1B" w:rsidRPr="00300A27">
        <w:t>the presumed victim</w:t>
      </w:r>
      <w:r w:rsidR="00880671" w:rsidRPr="00300A27">
        <w:t xml:space="preserve"> </w:t>
      </w:r>
      <w:r w:rsidR="00D75EFA" w:rsidRPr="00300A27">
        <w:t>requested that the investigation be expanded to include torture, and this was rejected by the prosecut</w:t>
      </w:r>
      <w:r w:rsidR="008C26F4" w:rsidRPr="00300A27">
        <w:t>ion</w:t>
      </w:r>
      <w:r w:rsidR="00D75EFA" w:rsidRPr="00300A27">
        <w:t xml:space="preserve"> on June 16, </w:t>
      </w:r>
      <w:r w:rsidR="00880671" w:rsidRPr="00300A27">
        <w:t>2008, indica</w:t>
      </w:r>
      <w:r w:rsidR="00D75EFA" w:rsidRPr="00300A27">
        <w:t>ting that there had not been criminal intent or evidence that the act had been committed for one of the purposes described in a</w:t>
      </w:r>
      <w:r w:rsidR="005B1C65" w:rsidRPr="00300A27">
        <w:t>rticle</w:t>
      </w:r>
      <w:r w:rsidR="00880671" w:rsidRPr="00300A27">
        <w:t xml:space="preserve"> 321 </w:t>
      </w:r>
      <w:r w:rsidR="00D75EFA" w:rsidRPr="00300A27">
        <w:t>of the Criminal Code, which describe</w:t>
      </w:r>
      <w:r w:rsidR="008F1BD3" w:rsidRPr="00300A27">
        <w:t>s</w:t>
      </w:r>
      <w:r w:rsidR="00D75EFA" w:rsidRPr="00300A27">
        <w:t xml:space="preserve"> the elements that constitute </w:t>
      </w:r>
      <w:r w:rsidR="00880671" w:rsidRPr="00300A27">
        <w:t>tortur</w:t>
      </w:r>
      <w:r w:rsidR="00D75EFA" w:rsidRPr="00300A27">
        <w:t>e.</w:t>
      </w:r>
      <w:r w:rsidR="00880671" w:rsidRPr="00300A27">
        <w:rPr>
          <w:rStyle w:val="Refdenotaalpie"/>
        </w:rPr>
        <w:footnoteReference w:id="19"/>
      </w:r>
      <w:r w:rsidR="00880671" w:rsidRPr="00300A27">
        <w:t xml:space="preserve"> </w:t>
      </w:r>
      <w:r w:rsidR="00834A1B" w:rsidRPr="00300A27">
        <w:t>The presumed victim</w:t>
      </w:r>
      <w:r w:rsidR="00880671" w:rsidRPr="00300A27">
        <w:t xml:space="preserve"> </w:t>
      </w:r>
      <w:r w:rsidR="00D75EFA" w:rsidRPr="00300A27">
        <w:t>appealed this decision, arguing that the presumed torture had been committed to punish her for her sexual orientation.</w:t>
      </w:r>
      <w:r w:rsidR="00880671" w:rsidRPr="00300A27">
        <w:rPr>
          <w:rStyle w:val="Refdenotaalpie"/>
        </w:rPr>
        <w:footnoteReference w:id="20"/>
      </w:r>
      <w:r w:rsidR="00D75EFA" w:rsidRPr="00300A27">
        <w:t xml:space="preserve"> This appeal was declared without grounds by the prosecut</w:t>
      </w:r>
      <w:r w:rsidR="008C26F4" w:rsidRPr="00300A27">
        <w:t>ion</w:t>
      </w:r>
      <w:r w:rsidR="00D75EFA" w:rsidRPr="00300A27">
        <w:t xml:space="preserve"> on</w:t>
      </w:r>
      <w:r w:rsidR="00880671" w:rsidRPr="00300A27">
        <w:t xml:space="preserve"> </w:t>
      </w:r>
      <w:r w:rsidR="00892EDF" w:rsidRPr="00300A27">
        <w:t>August 28,</w:t>
      </w:r>
      <w:r w:rsidR="00880671" w:rsidRPr="00300A27">
        <w:t xml:space="preserve"> 2008, </w:t>
      </w:r>
      <w:r w:rsidR="00D75EFA" w:rsidRPr="00300A27">
        <w:t xml:space="preserve">and, following the appeal presented by </w:t>
      </w:r>
      <w:r w:rsidR="00834A1B" w:rsidRPr="00300A27">
        <w:t>the presumed victim</w:t>
      </w:r>
      <w:r w:rsidR="00880671" w:rsidRPr="00300A27">
        <w:t xml:space="preserve">, </w:t>
      </w:r>
      <w:r w:rsidR="00D75EFA" w:rsidRPr="00300A27">
        <w:t xml:space="preserve">the superior prosecutor confirmed that decision on </w:t>
      </w:r>
      <w:r w:rsidR="00892EDF" w:rsidRPr="00300A27">
        <w:t>October 15,</w:t>
      </w:r>
      <w:r w:rsidR="00880671" w:rsidRPr="00300A27">
        <w:t xml:space="preserve"> 2008</w:t>
      </w:r>
      <w:r w:rsidR="00D75EFA" w:rsidRPr="00300A27">
        <w:t>.</w:t>
      </w:r>
      <w:r w:rsidR="00880671" w:rsidRPr="00300A27">
        <w:rPr>
          <w:rStyle w:val="Refdenotaalpie"/>
        </w:rPr>
        <w:footnoteReference w:id="21"/>
      </w:r>
      <w:r w:rsidR="00880671" w:rsidRPr="00300A27">
        <w:t xml:space="preserve"> </w:t>
      </w:r>
    </w:p>
    <w:p w14:paraId="4EC8A6EF" w14:textId="25AEBA45" w:rsidR="00C15C13" w:rsidRPr="00300A27" w:rsidRDefault="00D75EFA" w:rsidP="00B243B6">
      <w:pPr>
        <w:pStyle w:val="Prrafodelista"/>
        <w:numPr>
          <w:ilvl w:val="0"/>
          <w:numId w:val="3"/>
        </w:numPr>
        <w:tabs>
          <w:tab w:val="left" w:pos="567"/>
        </w:tabs>
        <w:spacing w:before="120" w:after="120"/>
        <w:ind w:left="0" w:firstLine="0"/>
        <w:contextualSpacing w:val="0"/>
        <w:jc w:val="both"/>
      </w:pPr>
      <w:bookmarkStart w:id="27" w:name="_Ref33105917"/>
      <w:r w:rsidRPr="00300A27">
        <w:t xml:space="preserve">Regarding the investigation into rape and abuse of authority, </w:t>
      </w:r>
      <w:r w:rsidR="009B35A1" w:rsidRPr="00300A27">
        <w:t>on January</w:t>
      </w:r>
      <w:r w:rsidR="00892EDF" w:rsidRPr="00300A27">
        <w:t xml:space="preserve"> 9,</w:t>
      </w:r>
      <w:r w:rsidR="00880671" w:rsidRPr="00300A27">
        <w:t xml:space="preserve"> 2009</w:t>
      </w:r>
      <w:r w:rsidRPr="00300A27">
        <w:t xml:space="preserve">, the </w:t>
      </w:r>
      <w:r w:rsidR="008F1BD3" w:rsidRPr="00300A27">
        <w:t xml:space="preserve">Ascope </w:t>
      </w:r>
      <w:r w:rsidRPr="00300A27">
        <w:t>Criminal Judge of Preliminary Investigation</w:t>
      </w:r>
      <w:r w:rsidR="008F1BD3" w:rsidRPr="00300A27">
        <w:t>s</w:t>
      </w:r>
      <w:r w:rsidRPr="00300A27">
        <w:t xml:space="preserve"> </w:t>
      </w:r>
      <w:r w:rsidR="005B1C65" w:rsidRPr="00300A27">
        <w:t xml:space="preserve">of the </w:t>
      </w:r>
      <w:r w:rsidRPr="00300A27">
        <w:t xml:space="preserve">Superior </w:t>
      </w:r>
      <w:r w:rsidR="005B1C65" w:rsidRPr="00300A27">
        <w:t>Court</w:t>
      </w:r>
      <w:r w:rsidR="00880671" w:rsidRPr="00300A27">
        <w:t xml:space="preserve"> </w:t>
      </w:r>
      <w:r w:rsidRPr="00300A27">
        <w:t>of Justice of</w:t>
      </w:r>
      <w:r w:rsidR="00880671" w:rsidRPr="00300A27">
        <w:t xml:space="preserve"> </w:t>
      </w:r>
      <w:r w:rsidRPr="00300A27">
        <w:t>L</w:t>
      </w:r>
      <w:r w:rsidR="00880671" w:rsidRPr="00300A27">
        <w:t xml:space="preserve">a Libertad </w:t>
      </w:r>
      <w:r w:rsidRPr="00300A27">
        <w:t>issued, at the request of the prosecut</w:t>
      </w:r>
      <w:r w:rsidR="008C26F4" w:rsidRPr="00300A27">
        <w:t>ion</w:t>
      </w:r>
      <w:r w:rsidRPr="00300A27">
        <w:t xml:space="preserve">, an </w:t>
      </w:r>
      <w:r w:rsidR="009B35A1" w:rsidRPr="00300A27">
        <w:t>order to dismiss the proceedings</w:t>
      </w:r>
      <w:r w:rsidRPr="00300A27">
        <w:t>.</w:t>
      </w:r>
      <w:r w:rsidR="00880671" w:rsidRPr="00300A27">
        <w:rPr>
          <w:rStyle w:val="Refdenotaalpie"/>
        </w:rPr>
        <w:footnoteReference w:id="22"/>
      </w:r>
      <w:r w:rsidR="00880671" w:rsidRPr="00300A27">
        <w:t xml:space="preserve"> </w:t>
      </w:r>
      <w:r w:rsidR="00834A1B" w:rsidRPr="00300A27">
        <w:t>The presumed v</w:t>
      </w:r>
      <w:r w:rsidR="008F5BD9" w:rsidRPr="00300A27">
        <w:t>i</w:t>
      </w:r>
      <w:r w:rsidR="00834A1B" w:rsidRPr="00300A27">
        <w:t>ctim</w:t>
      </w:r>
      <w:r w:rsidR="00880671" w:rsidRPr="00300A27">
        <w:t>, constitu</w:t>
      </w:r>
      <w:r w:rsidRPr="00300A27">
        <w:t>ted as “civil actor” in the criminal proceedings</w:t>
      </w:r>
      <w:r w:rsidR="008F1BD3" w:rsidRPr="00300A27">
        <w:t>,</w:t>
      </w:r>
      <w:r w:rsidRPr="00300A27">
        <w:t xml:space="preserve"> filed a</w:t>
      </w:r>
      <w:r w:rsidR="008F5BD9" w:rsidRPr="00300A27">
        <w:t xml:space="preserve"> </w:t>
      </w:r>
      <w:r w:rsidR="008F1BD3" w:rsidRPr="00300A27">
        <w:t>time-barred</w:t>
      </w:r>
      <w:r w:rsidRPr="00300A27">
        <w:t xml:space="preserve"> remedy of appeal against this decision</w:t>
      </w:r>
      <w:r w:rsidR="008F5BD9" w:rsidRPr="00300A27">
        <w:t>.</w:t>
      </w:r>
      <w:r w:rsidR="00880671" w:rsidRPr="00300A27">
        <w:rPr>
          <w:rStyle w:val="Refdenotaalpie"/>
        </w:rPr>
        <w:footnoteReference w:id="23"/>
      </w:r>
      <w:bookmarkEnd w:id="27"/>
    </w:p>
    <w:p w14:paraId="37C47678" w14:textId="0CAD5806" w:rsidR="00C15C13" w:rsidRPr="00300A27" w:rsidRDefault="005B1C65" w:rsidP="00B243B6">
      <w:pPr>
        <w:pStyle w:val="Prrafodelista"/>
        <w:numPr>
          <w:ilvl w:val="0"/>
          <w:numId w:val="3"/>
        </w:numPr>
        <w:tabs>
          <w:tab w:val="left" w:pos="567"/>
        </w:tabs>
        <w:spacing w:before="120" w:after="120"/>
        <w:ind w:left="0" w:firstLine="0"/>
        <w:contextualSpacing w:val="0"/>
        <w:jc w:val="both"/>
      </w:pPr>
      <w:r w:rsidRPr="00300A27">
        <w:t>This Court</w:t>
      </w:r>
      <w:r w:rsidR="00880671" w:rsidRPr="00300A27">
        <w:t xml:space="preserve"> </w:t>
      </w:r>
      <w:r w:rsidR="008F5BD9" w:rsidRPr="00300A27">
        <w:t>recalls that</w:t>
      </w:r>
      <w:r w:rsidR="00880671" w:rsidRPr="00300A27">
        <w:t xml:space="preserve"> </w:t>
      </w:r>
      <w:r w:rsidRPr="00300A27">
        <w:t>the State</w:t>
      </w:r>
      <w:r w:rsidR="00880671" w:rsidRPr="00300A27">
        <w:t xml:space="preserve"> </w:t>
      </w:r>
      <w:r w:rsidR="008F5BD9" w:rsidRPr="00300A27">
        <w:t xml:space="preserve">has an obligation to investigate, </w:t>
      </w:r>
      <w:r w:rsidR="008F5BD9" w:rsidRPr="00300A27">
        <w:rPr>
          <w:i/>
          <w:iCs/>
        </w:rPr>
        <w:t>ex officio</w:t>
      </w:r>
      <w:r w:rsidR="008F5BD9" w:rsidRPr="00300A27">
        <w:t>, acts of torture such as those alleged in the instant case.</w:t>
      </w:r>
      <w:r w:rsidR="00880671" w:rsidRPr="00300A27">
        <w:rPr>
          <w:rStyle w:val="Refdenotaalpie"/>
        </w:rPr>
        <w:footnoteReference w:id="24"/>
      </w:r>
      <w:r w:rsidR="00880671" w:rsidRPr="00300A27">
        <w:rPr>
          <w:szCs w:val="20"/>
        </w:rPr>
        <w:t xml:space="preserve"> </w:t>
      </w:r>
      <w:r w:rsidR="008F5BD9" w:rsidRPr="00300A27">
        <w:rPr>
          <w:szCs w:val="20"/>
        </w:rPr>
        <w:t>To examine the proper exhaustion of domestic remedies, in each case it is necessary to evaluate whether the person concerned (or other persons or entities on his behalf) had the possibility</w:t>
      </w:r>
      <w:r w:rsidR="00E81A5E" w:rsidRPr="00300A27">
        <w:rPr>
          <w:szCs w:val="20"/>
        </w:rPr>
        <w:t xml:space="preserve"> – and exercised it – of</w:t>
      </w:r>
      <w:r w:rsidR="008F5BD9" w:rsidRPr="00300A27">
        <w:rPr>
          <w:szCs w:val="20"/>
        </w:rPr>
        <w:t xml:space="preserve"> </w:t>
      </w:r>
      <w:r w:rsidR="00E81A5E" w:rsidRPr="00300A27">
        <w:rPr>
          <w:szCs w:val="20"/>
        </w:rPr>
        <w:t>enabling the</w:t>
      </w:r>
      <w:r w:rsidR="008F5BD9" w:rsidRPr="00300A27">
        <w:rPr>
          <w:szCs w:val="20"/>
        </w:rPr>
        <w:t xml:space="preserve"> State to settle the matter by its own means</w:t>
      </w:r>
      <w:r w:rsidR="00E81A5E" w:rsidRPr="00300A27">
        <w:rPr>
          <w:szCs w:val="20"/>
        </w:rPr>
        <w:t xml:space="preserve"> using available remedies</w:t>
      </w:r>
      <w:r w:rsidR="008F5BD9" w:rsidRPr="00300A27">
        <w:rPr>
          <w:szCs w:val="20"/>
        </w:rPr>
        <w:t>.</w:t>
      </w:r>
      <w:r w:rsidR="00880671" w:rsidRPr="00300A27">
        <w:rPr>
          <w:rStyle w:val="Refdenotaalpie"/>
        </w:rPr>
        <w:footnoteReference w:id="25"/>
      </w:r>
      <w:r w:rsidR="008F5BD9" w:rsidRPr="00300A27">
        <w:rPr>
          <w:szCs w:val="20"/>
        </w:rPr>
        <w:t xml:space="preserve"> The Court has also indicated that the obligation to exhaust domestic remedies does not signify the obligation to act as a special complainant or p</w:t>
      </w:r>
      <w:r w:rsidR="00E81A5E" w:rsidRPr="00300A27">
        <w:rPr>
          <w:szCs w:val="20"/>
        </w:rPr>
        <w:t xml:space="preserve">laintiff </w:t>
      </w:r>
      <w:r w:rsidR="008F5BD9" w:rsidRPr="00300A27">
        <w:rPr>
          <w:szCs w:val="20"/>
        </w:rPr>
        <w:t>in criminal proceedings.</w:t>
      </w:r>
      <w:r w:rsidR="00880671" w:rsidRPr="00300A27">
        <w:rPr>
          <w:rStyle w:val="Refdenotaalpie"/>
        </w:rPr>
        <w:footnoteReference w:id="26"/>
      </w:r>
    </w:p>
    <w:p w14:paraId="71ADE5B2" w14:textId="13CB0DC9" w:rsidR="008E17D1" w:rsidRPr="00300A27" w:rsidRDefault="008F5BD9" w:rsidP="00B243B6">
      <w:pPr>
        <w:pStyle w:val="Prrafodelista"/>
        <w:numPr>
          <w:ilvl w:val="0"/>
          <w:numId w:val="3"/>
        </w:numPr>
        <w:tabs>
          <w:tab w:val="left" w:pos="567"/>
        </w:tabs>
        <w:spacing w:before="120" w:after="120"/>
        <w:ind w:left="0" w:firstLine="0"/>
        <w:contextualSpacing w:val="0"/>
        <w:jc w:val="both"/>
      </w:pPr>
      <w:bookmarkStart w:id="28" w:name="_Ref446681719"/>
      <w:r w:rsidRPr="00300A27">
        <w:t>In this case,</w:t>
      </w:r>
      <w:r w:rsidR="00327605" w:rsidRPr="00300A27">
        <w:t xml:space="preserve"> </w:t>
      </w:r>
      <w:r w:rsidR="00834A1B" w:rsidRPr="00300A27">
        <w:t>the presumed victim</w:t>
      </w:r>
      <w:r w:rsidR="008E17D1" w:rsidRPr="00300A27">
        <w:t xml:space="preserve"> </w:t>
      </w:r>
      <w:r w:rsidRPr="00300A27">
        <w:t xml:space="preserve">reported the facts, </w:t>
      </w:r>
      <w:r w:rsidR="0003564D" w:rsidRPr="00300A27">
        <w:t>and this</w:t>
      </w:r>
      <w:r w:rsidRPr="00300A27">
        <w:t xml:space="preserve"> initiat</w:t>
      </w:r>
      <w:r w:rsidR="0003564D" w:rsidRPr="00300A27">
        <w:t>ed</w:t>
      </w:r>
      <w:r w:rsidRPr="00300A27">
        <w:t xml:space="preserve"> the </w:t>
      </w:r>
      <w:r w:rsidR="0003564D" w:rsidRPr="00300A27">
        <w:t xml:space="preserve">corresponding </w:t>
      </w:r>
      <w:r w:rsidRPr="00300A27">
        <w:t xml:space="preserve">criminal investigation. </w:t>
      </w:r>
      <w:r w:rsidR="00E81A5E" w:rsidRPr="00300A27">
        <w:t>T</w:t>
      </w:r>
      <w:r w:rsidRPr="00300A27">
        <w:t>he Court notes that the representatives and the Commission a</w:t>
      </w:r>
      <w:r w:rsidR="00E81A5E" w:rsidRPr="00300A27">
        <w:t>llege</w:t>
      </w:r>
      <w:r w:rsidRPr="00300A27">
        <w:t xml:space="preserve">d </w:t>
      </w:r>
      <w:r w:rsidR="0003564D" w:rsidRPr="00300A27">
        <w:t>various</w:t>
      </w:r>
      <w:r w:rsidRPr="00300A27">
        <w:t xml:space="preserve"> violations of due diligence in the investigation conducted in this case </w:t>
      </w:r>
      <w:r w:rsidR="0003564D" w:rsidRPr="00300A27">
        <w:t>which led</w:t>
      </w:r>
      <w:r w:rsidRPr="00300A27">
        <w:t xml:space="preserve"> </w:t>
      </w:r>
      <w:r w:rsidR="0003564D" w:rsidRPr="00300A27">
        <w:t>to</w:t>
      </w:r>
      <w:r w:rsidRPr="00300A27">
        <w:t xml:space="preserve"> the </w:t>
      </w:r>
      <w:r w:rsidR="00E81A5E" w:rsidRPr="00300A27">
        <w:t>closure</w:t>
      </w:r>
      <w:r w:rsidRPr="00300A27">
        <w:t xml:space="preserve"> of the investigation owing to the dismissal</w:t>
      </w:r>
      <w:r w:rsidR="00E81A5E" w:rsidRPr="00300A27">
        <w:t xml:space="preserve"> of the case</w:t>
      </w:r>
      <w:r w:rsidR="000F1642" w:rsidRPr="00300A27">
        <w:t xml:space="preserve">, </w:t>
      </w:r>
      <w:r w:rsidR="0003564D" w:rsidRPr="00300A27">
        <w:t>and this</w:t>
      </w:r>
      <w:r w:rsidR="000F1642" w:rsidRPr="00300A27">
        <w:t xml:space="preserve"> allegedly resulted in the </w:t>
      </w:r>
      <w:r w:rsidR="00E81A5E" w:rsidRPr="00300A27">
        <w:t>in</w:t>
      </w:r>
      <w:r w:rsidR="000F1642" w:rsidRPr="00300A27">
        <w:t xml:space="preserve">effectiveness of the remedies. An examination of these arguments involves an evaluation of the State’s actions in relation to its obligation to guarantee the rights recognized in the American Convention that are alleged to have been violated, </w:t>
      </w:r>
      <w:r w:rsidR="00E81A5E" w:rsidRPr="00300A27">
        <w:t>and this</w:t>
      </w:r>
      <w:r w:rsidR="000F1642" w:rsidRPr="00300A27">
        <w:t xml:space="preserve"> is a matter that is closely related to the merits of the dispute.</w:t>
      </w:r>
      <w:r w:rsidR="00B3752A" w:rsidRPr="00300A27">
        <w:rPr>
          <w:rStyle w:val="Refdenotaalpie"/>
          <w:szCs w:val="20"/>
        </w:rPr>
        <w:footnoteReference w:id="27"/>
      </w:r>
      <w:r w:rsidR="000F1642" w:rsidRPr="00300A27">
        <w:rPr>
          <w:szCs w:val="20"/>
        </w:rPr>
        <w:t xml:space="preserve"> </w:t>
      </w:r>
      <w:r w:rsidR="00E81A5E" w:rsidRPr="00300A27">
        <w:rPr>
          <w:szCs w:val="20"/>
        </w:rPr>
        <w:t>Bearing in mind</w:t>
      </w:r>
      <w:r w:rsidR="000F1642" w:rsidRPr="00300A27">
        <w:rPr>
          <w:szCs w:val="20"/>
        </w:rPr>
        <w:t xml:space="preserve"> that</w:t>
      </w:r>
      <w:r w:rsidR="00B3752A" w:rsidRPr="00300A27">
        <w:t xml:space="preserve"> </w:t>
      </w:r>
      <w:r w:rsidR="00834A1B" w:rsidRPr="00300A27">
        <w:t>the presumed victim</w:t>
      </w:r>
      <w:r w:rsidR="00B3752A" w:rsidRPr="00300A27">
        <w:t xml:space="preserve"> </w:t>
      </w:r>
      <w:r w:rsidR="000F1642" w:rsidRPr="00300A27">
        <w:t xml:space="preserve">reported the facts, which resulted in the State’s obligation to investigate them, </w:t>
      </w:r>
      <w:r w:rsidR="000F1642" w:rsidRPr="00300A27">
        <w:rPr>
          <w:i/>
          <w:iCs/>
        </w:rPr>
        <w:t>ex officio</w:t>
      </w:r>
      <w:r w:rsidR="000F1642" w:rsidRPr="00300A27">
        <w:t>, as well as the alleged violations of due process, the Court finds that the alleged failure to exhaust domestic remedies is inextricably linked to the examination of due diligence in the criminal investigation</w:t>
      </w:r>
      <w:r w:rsidR="0003564D" w:rsidRPr="00300A27">
        <w:t>.</w:t>
      </w:r>
      <w:r w:rsidR="000F1642" w:rsidRPr="00300A27">
        <w:t xml:space="preserve"> </w:t>
      </w:r>
      <w:r w:rsidR="0003564D" w:rsidRPr="00300A27">
        <w:t>T</w:t>
      </w:r>
      <w:r w:rsidR="000F1642" w:rsidRPr="00300A27">
        <w:t xml:space="preserve">herefore, it is a matter that must be examined </w:t>
      </w:r>
      <w:r w:rsidR="0003564D" w:rsidRPr="00300A27">
        <w:t>when analyzing</w:t>
      </w:r>
      <w:r w:rsidR="000F1642" w:rsidRPr="00300A27">
        <w:t xml:space="preserve"> the merits of the dispute. Consequently, </w:t>
      </w:r>
      <w:bookmarkEnd w:id="28"/>
      <w:r w:rsidR="000F1642" w:rsidRPr="00300A27">
        <w:rPr>
          <w:szCs w:val="20"/>
        </w:rPr>
        <w:t>this</w:t>
      </w:r>
      <w:r w:rsidR="00E31FF2" w:rsidRPr="00300A27">
        <w:rPr>
          <w:szCs w:val="20"/>
        </w:rPr>
        <w:t xml:space="preserve"> </w:t>
      </w:r>
      <w:r w:rsidR="007071F6" w:rsidRPr="00300A27">
        <w:rPr>
          <w:szCs w:val="20"/>
        </w:rPr>
        <w:t>preliminary objection</w:t>
      </w:r>
      <w:r w:rsidR="000F1642" w:rsidRPr="00300A27">
        <w:rPr>
          <w:szCs w:val="20"/>
        </w:rPr>
        <w:t xml:space="preserve"> is rejected</w:t>
      </w:r>
      <w:r w:rsidR="00E31FF2" w:rsidRPr="00300A27">
        <w:rPr>
          <w:szCs w:val="20"/>
        </w:rPr>
        <w:t xml:space="preserve">. </w:t>
      </w:r>
    </w:p>
    <w:p w14:paraId="1C123F7B" w14:textId="020B6ED0" w:rsidR="00C15C13" w:rsidRPr="00300A27" w:rsidRDefault="00892EDF" w:rsidP="00B243B6">
      <w:pPr>
        <w:pStyle w:val="Ttulo2"/>
        <w:rPr>
          <w:lang w:val="en-US"/>
        </w:rPr>
      </w:pPr>
      <w:r w:rsidRPr="00300A27">
        <w:rPr>
          <w:lang w:val="en-US"/>
        </w:rPr>
        <w:t>The subsidiary nature of the inter-American system</w:t>
      </w:r>
    </w:p>
    <w:p w14:paraId="096296F3" w14:textId="1CDFDD69" w:rsidR="00C15C13" w:rsidRPr="00300A27" w:rsidRDefault="00C15C13" w:rsidP="00B243B6">
      <w:pPr>
        <w:pStyle w:val="Ttulo3"/>
        <w:rPr>
          <w:lang w:val="en-US"/>
        </w:rPr>
      </w:pPr>
      <w:bookmarkStart w:id="29" w:name="_Toc32394138"/>
      <w:bookmarkStart w:id="30" w:name="_Toc36823456"/>
      <w:r w:rsidRPr="00300A27">
        <w:rPr>
          <w:lang w:val="en-US"/>
        </w:rPr>
        <w:t>B.1</w:t>
      </w:r>
      <w:r w:rsidRPr="00300A27">
        <w:rPr>
          <w:lang w:val="en-US"/>
        </w:rPr>
        <w:tab/>
      </w:r>
      <w:r w:rsidR="00FD36FD" w:rsidRPr="00300A27">
        <w:rPr>
          <w:lang w:val="en-US"/>
        </w:rPr>
        <w:t>Arguments of the parties</w:t>
      </w:r>
      <w:r w:rsidR="005B1C65" w:rsidRPr="00300A27">
        <w:rPr>
          <w:lang w:val="en-US"/>
        </w:rPr>
        <w:t xml:space="preserve"> and</w:t>
      </w:r>
      <w:r w:rsidR="007071F6" w:rsidRPr="00300A27">
        <w:rPr>
          <w:lang w:val="en-US"/>
        </w:rPr>
        <w:t xml:space="preserve"> of the </w:t>
      </w:r>
      <w:r w:rsidR="00C2001D" w:rsidRPr="00300A27">
        <w:rPr>
          <w:lang w:val="en-US"/>
        </w:rPr>
        <w:t>Commission</w:t>
      </w:r>
      <w:bookmarkEnd w:id="29"/>
      <w:bookmarkEnd w:id="30"/>
    </w:p>
    <w:p w14:paraId="4DA7CC8C" w14:textId="0201C463" w:rsidR="004D7F6A" w:rsidRPr="00300A27" w:rsidRDefault="005B1C65" w:rsidP="00B243B6">
      <w:pPr>
        <w:pStyle w:val="Prrafodelista"/>
        <w:numPr>
          <w:ilvl w:val="0"/>
          <w:numId w:val="3"/>
        </w:numPr>
        <w:tabs>
          <w:tab w:val="left" w:pos="567"/>
        </w:tabs>
        <w:spacing w:before="120" w:after="120"/>
        <w:ind w:left="0" w:firstLine="0"/>
        <w:contextualSpacing w:val="0"/>
        <w:jc w:val="both"/>
      </w:pPr>
      <w:r w:rsidRPr="00300A27">
        <w:t xml:space="preserve">The </w:t>
      </w:r>
      <w:r w:rsidRPr="00300A27">
        <w:rPr>
          <w:b/>
          <w:bCs/>
          <w:i/>
          <w:iCs/>
        </w:rPr>
        <w:t>State</w:t>
      </w:r>
      <w:r w:rsidR="00880671" w:rsidRPr="00300A27">
        <w:rPr>
          <w:b/>
          <w:bCs/>
          <w:i/>
          <w:iCs/>
        </w:rPr>
        <w:t xml:space="preserve"> </w:t>
      </w:r>
      <w:r w:rsidR="004D7F6A" w:rsidRPr="00300A27">
        <w:t xml:space="preserve">argued that, in light of the recommendations made by </w:t>
      </w:r>
      <w:r w:rsidR="00C2001D" w:rsidRPr="00300A27">
        <w:t>the Commission</w:t>
      </w:r>
      <w:r w:rsidR="00B756A2" w:rsidRPr="00300A27">
        <w:t xml:space="preserve"> </w:t>
      </w:r>
      <w:r w:rsidR="004D7F6A" w:rsidRPr="00300A27">
        <w:t>in the</w:t>
      </w:r>
      <w:r w:rsidR="00B756A2" w:rsidRPr="00300A27">
        <w:t xml:space="preserve"> </w:t>
      </w:r>
      <w:r w:rsidR="00BA3C7F" w:rsidRPr="00300A27">
        <w:t>Merits Report</w:t>
      </w:r>
      <w:r w:rsidR="003B3206" w:rsidRPr="00300A27">
        <w:t>,</w:t>
      </w:r>
      <w:r w:rsidR="00880671" w:rsidRPr="00300A27">
        <w:t xml:space="preserve"> </w:t>
      </w:r>
      <w:r w:rsidR="004D7F6A" w:rsidRPr="00300A27">
        <w:t xml:space="preserve">a new investigation into </w:t>
      </w:r>
      <w:r w:rsidR="00737D26" w:rsidRPr="00300A27">
        <w:t>the facts</w:t>
      </w:r>
      <w:r w:rsidR="004D7F6A" w:rsidRPr="00300A27">
        <w:t xml:space="preserve"> </w:t>
      </w:r>
      <w:r w:rsidR="00E81A5E" w:rsidRPr="00300A27">
        <w:t xml:space="preserve">had been opened </w:t>
      </w:r>
      <w:r w:rsidR="004D7F6A" w:rsidRPr="00300A27">
        <w:t>and, therefore, “there was a real possibility that the Stat</w:t>
      </w:r>
      <w:r w:rsidR="0086750A" w:rsidRPr="00300A27">
        <w:t>e</w:t>
      </w:r>
      <w:r w:rsidR="004D7F6A" w:rsidRPr="00300A27">
        <w:t xml:space="preserve"> could respond to the presumed human right violations alleged by </w:t>
      </w:r>
      <w:r w:rsidR="00880671" w:rsidRPr="00300A27">
        <w:rPr>
          <w:szCs w:val="20"/>
        </w:rPr>
        <w:t>Azul Rojas Marín</w:t>
      </w:r>
      <w:r w:rsidR="004D7F6A" w:rsidRPr="00300A27">
        <w:rPr>
          <w:szCs w:val="20"/>
        </w:rPr>
        <w:t>.</w:t>
      </w:r>
      <w:r w:rsidR="00880671" w:rsidRPr="00300A27">
        <w:rPr>
          <w:szCs w:val="20"/>
        </w:rPr>
        <w:t>”</w:t>
      </w:r>
      <w:r w:rsidR="004D7F6A" w:rsidRPr="00300A27">
        <w:rPr>
          <w:szCs w:val="20"/>
        </w:rPr>
        <w:t xml:space="preserve"> Pursuant to the principle of subsidiarity, the State argued that it “should not be found internationally responsible while a process to address the violations alleged by the presumed victim</w:t>
      </w:r>
      <w:r w:rsidR="0086750A" w:rsidRPr="00300A27">
        <w:rPr>
          <w:szCs w:val="20"/>
        </w:rPr>
        <w:t xml:space="preserve"> was underway</w:t>
      </w:r>
      <w:r w:rsidR="004D7F6A" w:rsidRPr="00300A27">
        <w:rPr>
          <w:szCs w:val="20"/>
        </w:rPr>
        <w:t xml:space="preserve">.” </w:t>
      </w:r>
      <w:r w:rsidR="004D7F6A" w:rsidRPr="00300A27">
        <w:rPr>
          <w:b/>
          <w:bCs/>
        </w:rPr>
        <w:t>The Commission</w:t>
      </w:r>
      <w:r w:rsidR="004D7F6A" w:rsidRPr="00300A27">
        <w:t xml:space="preserve"> pointed out that “</w:t>
      </w:r>
      <w:r w:rsidR="0003564D" w:rsidRPr="00300A27">
        <w:t xml:space="preserve">in order </w:t>
      </w:r>
      <w:r w:rsidR="004D7F6A" w:rsidRPr="00300A27">
        <w:t xml:space="preserve">for the Court, when examining the merits, not to declare the State’s responsibility based on an argument of complementarity, the State must recognize the internationally wrongful act and </w:t>
      </w:r>
      <w:r w:rsidR="0003564D" w:rsidRPr="00300A27">
        <w:t xml:space="preserve">assess </w:t>
      </w:r>
      <w:r w:rsidR="004D7F6A" w:rsidRPr="00300A27">
        <w:t xml:space="preserve">whether this has ceased and whether it has made full reparation for the consequences of the measure or situation that constituted it.” </w:t>
      </w:r>
      <w:r w:rsidR="00C2001D" w:rsidRPr="00300A27">
        <w:t>The Commission</w:t>
      </w:r>
      <w:r w:rsidR="00880671" w:rsidRPr="00300A27">
        <w:t xml:space="preserve"> </w:t>
      </w:r>
      <w:r w:rsidR="004D7F6A" w:rsidRPr="00300A27">
        <w:t>argued that the elements that would indicate the admissibility of the argument of complementarity did not exist in th</w:t>
      </w:r>
      <w:r w:rsidR="0003564D" w:rsidRPr="00300A27">
        <w:t>is</w:t>
      </w:r>
      <w:r w:rsidR="004D7F6A" w:rsidRPr="00300A27">
        <w:t xml:space="preserve"> case, and therefore asked the Court to reject the preliminary objection. The </w:t>
      </w:r>
      <w:r w:rsidR="004D7F6A" w:rsidRPr="00300A27">
        <w:rPr>
          <w:b/>
          <w:bCs/>
          <w:i/>
          <w:iCs/>
        </w:rPr>
        <w:t>representatives</w:t>
      </w:r>
      <w:r w:rsidR="004D7F6A" w:rsidRPr="00300A27">
        <w:t xml:space="preserve"> argued that</w:t>
      </w:r>
      <w:r w:rsidR="00AC76E7" w:rsidRPr="00300A27">
        <w:t xml:space="preserve">: “(i) the State </w:t>
      </w:r>
      <w:r w:rsidR="0003564D" w:rsidRPr="00300A27">
        <w:t xml:space="preserve">has </w:t>
      </w:r>
      <w:r w:rsidR="00AC76E7" w:rsidRPr="00300A27">
        <w:t>based itself on an erroneous interpretation of the principle of subsidiarity, and (ii) the State had already had the opportunity to investigate the facts and punish those who were responsible, but did not do so.”</w:t>
      </w:r>
    </w:p>
    <w:p w14:paraId="54BF1693" w14:textId="080D8472" w:rsidR="00880671" w:rsidRPr="00300A27" w:rsidRDefault="00880671" w:rsidP="00B243B6">
      <w:pPr>
        <w:pStyle w:val="Ttulo3"/>
        <w:rPr>
          <w:lang w:val="en-US" w:eastAsia="es-MX"/>
        </w:rPr>
      </w:pPr>
      <w:bookmarkStart w:id="31" w:name="_Toc32394139"/>
      <w:bookmarkStart w:id="32" w:name="_Toc36823457"/>
      <w:r w:rsidRPr="00300A27">
        <w:rPr>
          <w:lang w:val="en-US" w:eastAsia="es-MX"/>
        </w:rPr>
        <w:t xml:space="preserve">B.2 </w:t>
      </w:r>
      <w:r w:rsidRPr="00300A27">
        <w:rPr>
          <w:lang w:val="en-US" w:eastAsia="es-MX"/>
        </w:rPr>
        <w:tab/>
      </w:r>
      <w:r w:rsidR="009B35A1" w:rsidRPr="00300A27">
        <w:rPr>
          <w:lang w:val="en-US" w:eastAsia="es-MX"/>
        </w:rPr>
        <w:t>Considerations</w:t>
      </w:r>
      <w:r w:rsidR="005B1C65" w:rsidRPr="00300A27">
        <w:rPr>
          <w:lang w:val="en-US" w:eastAsia="es-MX"/>
        </w:rPr>
        <w:t xml:space="preserve"> of the Court</w:t>
      </w:r>
      <w:bookmarkEnd w:id="31"/>
      <w:bookmarkEnd w:id="32"/>
    </w:p>
    <w:p w14:paraId="7C828C77" w14:textId="19FA1C4B" w:rsidR="00201A0B" w:rsidRPr="00300A27" w:rsidRDefault="00AC76E7" w:rsidP="00B243B6">
      <w:pPr>
        <w:pStyle w:val="PrrafodeSentencia"/>
        <w:numPr>
          <w:ilvl w:val="0"/>
          <w:numId w:val="3"/>
        </w:numPr>
        <w:spacing w:before="120" w:after="120"/>
        <w:ind w:left="0" w:firstLine="0"/>
        <w:rPr>
          <w:spacing w:val="0"/>
          <w:lang w:val="en-US"/>
        </w:rPr>
      </w:pPr>
      <w:bookmarkStart w:id="33" w:name="_Ref446681761"/>
      <w:bookmarkStart w:id="34" w:name="_Ref33105984"/>
      <w:r w:rsidRPr="00300A27">
        <w:rPr>
          <w:spacing w:val="0"/>
          <w:lang w:val="en-US"/>
        </w:rPr>
        <w:t>Owing to the complementary nature of the inter-American system, the Court has considered it pertinent not to declare the responsibility of the State if, when hearing the case, the State has put an end to the violation and redressed the consequences of the measure or situation that constituted it.</w:t>
      </w:r>
      <w:r w:rsidR="00880671" w:rsidRPr="00300A27">
        <w:rPr>
          <w:rStyle w:val="Refdenotaalpie"/>
          <w:spacing w:val="0"/>
          <w:lang w:val="en-US"/>
        </w:rPr>
        <w:footnoteReference w:id="28"/>
      </w:r>
      <w:r w:rsidRPr="00300A27">
        <w:rPr>
          <w:spacing w:val="0"/>
          <w:lang w:val="en-US"/>
        </w:rPr>
        <w:t xml:space="preserve"> In this case, the State has opened a new investigation into </w:t>
      </w:r>
      <w:r w:rsidR="00737D26" w:rsidRPr="00300A27">
        <w:rPr>
          <w:spacing w:val="0"/>
          <w:lang w:val="en-US"/>
        </w:rPr>
        <w:t>the facts</w:t>
      </w:r>
      <w:r w:rsidR="00880671" w:rsidRPr="00300A27">
        <w:rPr>
          <w:spacing w:val="0"/>
          <w:lang w:val="en-US"/>
        </w:rPr>
        <w:t xml:space="preserve">. </w:t>
      </w:r>
      <w:r w:rsidRPr="00300A27">
        <w:rPr>
          <w:spacing w:val="0"/>
          <w:lang w:val="en-US"/>
        </w:rPr>
        <w:t>However</w:t>
      </w:r>
      <w:r w:rsidR="00880671" w:rsidRPr="00300A27">
        <w:rPr>
          <w:spacing w:val="0"/>
          <w:lang w:val="en-US"/>
        </w:rPr>
        <w:t xml:space="preserve">, </w:t>
      </w:r>
      <w:r w:rsidR="005B1C65" w:rsidRPr="00300A27">
        <w:rPr>
          <w:spacing w:val="0"/>
          <w:lang w:val="en-US"/>
        </w:rPr>
        <w:t>the Court</w:t>
      </w:r>
      <w:r w:rsidR="004B2EBF" w:rsidRPr="00300A27">
        <w:rPr>
          <w:spacing w:val="0"/>
          <w:lang w:val="en-US"/>
        </w:rPr>
        <w:t xml:space="preserve"> </w:t>
      </w:r>
      <w:r w:rsidRPr="00300A27">
        <w:rPr>
          <w:spacing w:val="0"/>
          <w:lang w:val="en-US"/>
        </w:rPr>
        <w:t>notes that, in the context of this new investigation, it was decided not to annu</w:t>
      </w:r>
      <w:r w:rsidR="0086750A" w:rsidRPr="00300A27">
        <w:rPr>
          <w:spacing w:val="0"/>
          <w:lang w:val="en-US"/>
        </w:rPr>
        <w:t>l</w:t>
      </w:r>
      <w:r w:rsidRPr="00300A27">
        <w:rPr>
          <w:spacing w:val="0"/>
          <w:lang w:val="en-US"/>
        </w:rPr>
        <w:t xml:space="preserve"> the dismissal that had been ordered</w:t>
      </w:r>
      <w:r w:rsidR="00BF4AEB" w:rsidRPr="00300A27">
        <w:rPr>
          <w:spacing w:val="0"/>
          <w:lang w:val="en-US"/>
        </w:rPr>
        <w:t>,</w:t>
      </w:r>
      <w:r w:rsidRPr="00300A27">
        <w:rPr>
          <w:spacing w:val="0"/>
          <w:lang w:val="en-US"/>
        </w:rPr>
        <w:t xml:space="preserve"> and the rights that were presumably violated</w:t>
      </w:r>
      <w:r w:rsidR="00BF4AEB" w:rsidRPr="00300A27">
        <w:rPr>
          <w:spacing w:val="0"/>
          <w:lang w:val="en-US"/>
        </w:rPr>
        <w:t xml:space="preserve"> have not been redressed</w:t>
      </w:r>
      <w:r w:rsidRPr="00300A27">
        <w:rPr>
          <w:spacing w:val="0"/>
          <w:lang w:val="en-US"/>
        </w:rPr>
        <w:t>. Therefore, the conditions required in order not to examine State responsibility have not been met</w:t>
      </w:r>
      <w:r w:rsidR="00880671" w:rsidRPr="00300A27">
        <w:rPr>
          <w:spacing w:val="0"/>
          <w:lang w:val="en-US"/>
        </w:rPr>
        <w:t>.</w:t>
      </w:r>
      <w:bookmarkEnd w:id="33"/>
      <w:r w:rsidR="00880671" w:rsidRPr="00300A27">
        <w:rPr>
          <w:spacing w:val="0"/>
          <w:lang w:val="en-US"/>
        </w:rPr>
        <w:t xml:space="preserve"> </w:t>
      </w:r>
    </w:p>
    <w:p w14:paraId="6E177B4F" w14:textId="543DAF52" w:rsidR="00C15C13" w:rsidRPr="00300A27" w:rsidRDefault="00AC76E7" w:rsidP="00B243B6">
      <w:pPr>
        <w:pStyle w:val="PrrafodeSentencia"/>
        <w:numPr>
          <w:ilvl w:val="0"/>
          <w:numId w:val="3"/>
        </w:numPr>
        <w:spacing w:before="120" w:after="120"/>
        <w:ind w:left="0" w:firstLine="0"/>
        <w:rPr>
          <w:spacing w:val="0"/>
          <w:lang w:val="en-US"/>
        </w:rPr>
      </w:pPr>
      <w:bookmarkStart w:id="35" w:name="_Ref446681763"/>
      <w:r w:rsidRPr="00300A27">
        <w:rPr>
          <w:spacing w:val="0"/>
          <w:lang w:val="en-US"/>
        </w:rPr>
        <w:t>Consequently</w:t>
      </w:r>
      <w:r w:rsidR="00880671" w:rsidRPr="00300A27">
        <w:rPr>
          <w:spacing w:val="0"/>
          <w:lang w:val="en-US"/>
        </w:rPr>
        <w:t xml:space="preserve">, </w:t>
      </w:r>
      <w:r w:rsidR="009B35A1" w:rsidRPr="00300A27">
        <w:rPr>
          <w:spacing w:val="0"/>
          <w:lang w:val="en-US"/>
        </w:rPr>
        <w:t>the Court</w:t>
      </w:r>
      <w:r w:rsidR="00880671" w:rsidRPr="00300A27">
        <w:rPr>
          <w:spacing w:val="0"/>
          <w:lang w:val="en-US"/>
        </w:rPr>
        <w:t xml:space="preserve"> decl</w:t>
      </w:r>
      <w:r w:rsidRPr="00300A27">
        <w:rPr>
          <w:spacing w:val="0"/>
          <w:lang w:val="en-US"/>
        </w:rPr>
        <w:t xml:space="preserve">ares the </w:t>
      </w:r>
      <w:r w:rsidR="007071F6" w:rsidRPr="00300A27">
        <w:rPr>
          <w:spacing w:val="0"/>
          <w:lang w:val="en-US"/>
        </w:rPr>
        <w:t>preliminary objection</w:t>
      </w:r>
      <w:r w:rsidR="00880671" w:rsidRPr="00300A27">
        <w:rPr>
          <w:spacing w:val="0"/>
          <w:lang w:val="en-US"/>
        </w:rPr>
        <w:t xml:space="preserve"> </w:t>
      </w:r>
      <w:r w:rsidRPr="00300A27">
        <w:rPr>
          <w:spacing w:val="0"/>
          <w:lang w:val="en-US"/>
        </w:rPr>
        <w:t>filed by</w:t>
      </w:r>
      <w:r w:rsidR="00880671" w:rsidRPr="00300A27">
        <w:rPr>
          <w:spacing w:val="0"/>
          <w:lang w:val="en-US"/>
        </w:rPr>
        <w:t xml:space="preserve"> </w:t>
      </w:r>
      <w:r w:rsidR="005B1C65" w:rsidRPr="00300A27">
        <w:rPr>
          <w:spacing w:val="0"/>
          <w:lang w:val="en-US"/>
        </w:rPr>
        <w:t>the State</w:t>
      </w:r>
      <w:r w:rsidRPr="00300A27">
        <w:rPr>
          <w:spacing w:val="0"/>
          <w:lang w:val="en-US"/>
        </w:rPr>
        <w:t xml:space="preserve"> inadmissible</w:t>
      </w:r>
      <w:r w:rsidR="00880671" w:rsidRPr="00300A27">
        <w:rPr>
          <w:spacing w:val="0"/>
          <w:lang w:val="en-US"/>
        </w:rPr>
        <w:t>.</w:t>
      </w:r>
      <w:bookmarkEnd w:id="34"/>
      <w:bookmarkEnd w:id="35"/>
    </w:p>
    <w:p w14:paraId="6D19300D" w14:textId="3BBEFF8F" w:rsidR="00C15C13" w:rsidRPr="00300A27" w:rsidRDefault="007071F6" w:rsidP="00B243B6">
      <w:pPr>
        <w:pStyle w:val="Ttulo2"/>
        <w:rPr>
          <w:lang w:val="en-US"/>
        </w:rPr>
      </w:pPr>
      <w:bookmarkStart w:id="36" w:name="_Toc32394140"/>
      <w:bookmarkStart w:id="37" w:name="_Toc36823458"/>
      <w:r w:rsidRPr="00300A27">
        <w:rPr>
          <w:lang w:val="en-US"/>
        </w:rPr>
        <w:t>Preliminary objection</w:t>
      </w:r>
      <w:r w:rsidR="00C15C13" w:rsidRPr="00300A27">
        <w:rPr>
          <w:lang w:val="en-US"/>
        </w:rPr>
        <w:t xml:space="preserve"> </w:t>
      </w:r>
      <w:r w:rsidR="00AC76E7" w:rsidRPr="00300A27">
        <w:rPr>
          <w:lang w:val="en-US"/>
        </w:rPr>
        <w:t>of</w:t>
      </w:r>
      <w:r w:rsidR="00C15C13" w:rsidRPr="00300A27">
        <w:rPr>
          <w:lang w:val="en-US"/>
        </w:rPr>
        <w:t xml:space="preserve"> “</w:t>
      </w:r>
      <w:r w:rsidR="00AC76E7" w:rsidRPr="00300A27">
        <w:rPr>
          <w:lang w:val="en-US"/>
        </w:rPr>
        <w:t>fourth instance</w:t>
      </w:r>
      <w:r w:rsidR="00C15C13" w:rsidRPr="00300A27">
        <w:rPr>
          <w:lang w:val="en-US"/>
        </w:rPr>
        <w:t>”</w:t>
      </w:r>
      <w:bookmarkEnd w:id="36"/>
      <w:bookmarkEnd w:id="37"/>
    </w:p>
    <w:p w14:paraId="45E6C041" w14:textId="6301A76F" w:rsidR="00C15C13" w:rsidRPr="00300A27" w:rsidRDefault="00C15C13" w:rsidP="00B243B6">
      <w:pPr>
        <w:pStyle w:val="Ttulo3"/>
        <w:rPr>
          <w:lang w:val="en-US"/>
        </w:rPr>
      </w:pPr>
      <w:bookmarkStart w:id="38" w:name="_Toc32394141"/>
      <w:bookmarkStart w:id="39" w:name="_Toc36823459"/>
      <w:r w:rsidRPr="00300A27">
        <w:rPr>
          <w:lang w:val="en-US"/>
        </w:rPr>
        <w:t>C.1</w:t>
      </w:r>
      <w:r w:rsidRPr="00300A27">
        <w:rPr>
          <w:lang w:val="en-US"/>
        </w:rPr>
        <w:tab/>
      </w:r>
      <w:r w:rsidR="00FD36FD" w:rsidRPr="00300A27">
        <w:rPr>
          <w:lang w:val="en-US"/>
        </w:rPr>
        <w:t>Arguments of the parties</w:t>
      </w:r>
      <w:r w:rsidR="005B1C65" w:rsidRPr="00300A27">
        <w:rPr>
          <w:lang w:val="en-US"/>
        </w:rPr>
        <w:t xml:space="preserve"> and</w:t>
      </w:r>
      <w:r w:rsidR="007071F6" w:rsidRPr="00300A27">
        <w:rPr>
          <w:lang w:val="en-US"/>
        </w:rPr>
        <w:t xml:space="preserve"> of the </w:t>
      </w:r>
      <w:r w:rsidR="00C2001D" w:rsidRPr="00300A27">
        <w:rPr>
          <w:lang w:val="en-US"/>
        </w:rPr>
        <w:t>Commission</w:t>
      </w:r>
      <w:bookmarkEnd w:id="38"/>
      <w:bookmarkEnd w:id="39"/>
    </w:p>
    <w:p w14:paraId="4890AA21" w14:textId="3F9FA55D" w:rsidR="00511C55" w:rsidRPr="00300A27" w:rsidRDefault="005B1C65" w:rsidP="00B243B6">
      <w:pPr>
        <w:pStyle w:val="PrrafodeSentencia"/>
        <w:numPr>
          <w:ilvl w:val="0"/>
          <w:numId w:val="3"/>
        </w:numPr>
        <w:ind w:left="0" w:firstLine="0"/>
        <w:rPr>
          <w:b/>
          <w:spacing w:val="0"/>
          <w:szCs w:val="20"/>
          <w:lang w:val="en-US"/>
        </w:rPr>
      </w:pPr>
      <w:bookmarkStart w:id="40" w:name="_Toc32394142"/>
      <w:r w:rsidRPr="00300A27">
        <w:rPr>
          <w:spacing w:val="0"/>
          <w:lang w:val="en-US"/>
        </w:rPr>
        <w:t xml:space="preserve">The </w:t>
      </w:r>
      <w:r w:rsidRPr="00300A27">
        <w:rPr>
          <w:b/>
          <w:bCs/>
          <w:i/>
          <w:iCs/>
          <w:spacing w:val="0"/>
          <w:lang w:val="en-US"/>
        </w:rPr>
        <w:t>State</w:t>
      </w:r>
      <w:r w:rsidR="00511C55" w:rsidRPr="00300A27">
        <w:rPr>
          <w:spacing w:val="0"/>
          <w:lang w:val="en-US"/>
        </w:rPr>
        <w:t xml:space="preserve"> </w:t>
      </w:r>
      <w:r w:rsidR="00AC76E7" w:rsidRPr="00300A27">
        <w:rPr>
          <w:spacing w:val="0"/>
          <w:lang w:val="en-US"/>
        </w:rPr>
        <w:t>argued that</w:t>
      </w:r>
      <w:r w:rsidR="00511C55" w:rsidRPr="00300A27">
        <w:rPr>
          <w:spacing w:val="0"/>
          <w:lang w:val="en-US"/>
        </w:rPr>
        <w:t xml:space="preserve"> </w:t>
      </w:r>
      <w:r w:rsidR="00C2001D" w:rsidRPr="00300A27">
        <w:rPr>
          <w:spacing w:val="0"/>
          <w:lang w:val="en-US"/>
        </w:rPr>
        <w:t>the Commission</w:t>
      </w:r>
      <w:r w:rsidR="00511C55" w:rsidRPr="00300A27">
        <w:rPr>
          <w:spacing w:val="0"/>
          <w:lang w:val="en-US"/>
        </w:rPr>
        <w:t xml:space="preserve"> </w:t>
      </w:r>
      <w:r w:rsidR="00AC76E7" w:rsidRPr="00300A27">
        <w:rPr>
          <w:spacing w:val="0"/>
          <w:lang w:val="en-US"/>
        </w:rPr>
        <w:t>had acted as</w:t>
      </w:r>
      <w:r w:rsidR="00511C55" w:rsidRPr="00300A27">
        <w:rPr>
          <w:spacing w:val="0"/>
          <w:lang w:val="en-US"/>
        </w:rPr>
        <w:t xml:space="preserve"> “</w:t>
      </w:r>
      <w:r w:rsidR="00AC76E7" w:rsidRPr="00300A27">
        <w:rPr>
          <w:spacing w:val="0"/>
          <w:lang w:val="en-US"/>
        </w:rPr>
        <w:t>a court of</w:t>
      </w:r>
      <w:r w:rsidR="00511C55" w:rsidRPr="00300A27">
        <w:rPr>
          <w:spacing w:val="0"/>
          <w:lang w:val="en-US"/>
        </w:rPr>
        <w:t xml:space="preserve"> </w:t>
      </w:r>
      <w:r w:rsidR="00AC76E7" w:rsidRPr="00300A27">
        <w:rPr>
          <w:spacing w:val="0"/>
          <w:lang w:val="en-US"/>
        </w:rPr>
        <w:t xml:space="preserve">fourth instance when </w:t>
      </w:r>
      <w:r w:rsidR="00BF4AEB" w:rsidRPr="00300A27">
        <w:rPr>
          <w:spacing w:val="0"/>
          <w:lang w:val="en-US"/>
        </w:rPr>
        <w:t>classifying</w:t>
      </w:r>
      <w:r w:rsidR="00AC76E7" w:rsidRPr="00300A27">
        <w:rPr>
          <w:spacing w:val="0"/>
          <w:lang w:val="en-US"/>
        </w:rPr>
        <w:t xml:space="preserve"> the sexual violence suffered by Azul Rojas Marín</w:t>
      </w:r>
      <w:r w:rsidR="0086750A" w:rsidRPr="00300A27">
        <w:rPr>
          <w:spacing w:val="0"/>
          <w:lang w:val="en-US"/>
        </w:rPr>
        <w:t xml:space="preserve"> as torture</w:t>
      </w:r>
      <w:r w:rsidR="00AC76E7" w:rsidRPr="00300A27">
        <w:rPr>
          <w:spacing w:val="0"/>
          <w:lang w:val="en-US"/>
        </w:rPr>
        <w:t xml:space="preserve"> in its Merits Report, because this c</w:t>
      </w:r>
      <w:r w:rsidR="00BF4AEB" w:rsidRPr="00300A27">
        <w:rPr>
          <w:spacing w:val="0"/>
          <w:lang w:val="en-US"/>
        </w:rPr>
        <w:t>lassification</w:t>
      </w:r>
      <w:r w:rsidR="00AC76E7" w:rsidRPr="00300A27">
        <w:rPr>
          <w:spacing w:val="0"/>
          <w:lang w:val="en-US"/>
        </w:rPr>
        <w:t xml:space="preserve"> corresponds to the domestic authorities.” It therefore asked the Court to conduct a control of the legality of the Commission’s action. The </w:t>
      </w:r>
      <w:r w:rsidR="00AC76E7" w:rsidRPr="00300A27">
        <w:rPr>
          <w:b/>
          <w:bCs/>
          <w:i/>
          <w:iCs/>
          <w:spacing w:val="0"/>
          <w:lang w:val="en-US"/>
        </w:rPr>
        <w:t>Commission</w:t>
      </w:r>
      <w:r w:rsidR="00AC76E7" w:rsidRPr="00300A27">
        <w:rPr>
          <w:spacing w:val="0"/>
          <w:lang w:val="en-US"/>
        </w:rPr>
        <w:t xml:space="preserve"> argued that “the Peruvian State has not proved that the minimum assumptions exist for [</w:t>
      </w:r>
      <w:r w:rsidR="00BF4AEB" w:rsidRPr="00300A27">
        <w:rPr>
          <w:spacing w:val="0"/>
          <w:lang w:val="en-US"/>
        </w:rPr>
        <w:t xml:space="preserve">executing </w:t>
      </w:r>
      <w:r w:rsidR="00AC76E7" w:rsidRPr="00300A27">
        <w:rPr>
          <w:spacing w:val="0"/>
          <w:lang w:val="en-US"/>
        </w:rPr>
        <w:t>a possible control of the legality of its actions].”</w:t>
      </w:r>
      <w:r w:rsidR="00AC76E7" w:rsidRPr="00300A27">
        <w:rPr>
          <w:b/>
          <w:spacing w:val="0"/>
          <w:szCs w:val="20"/>
          <w:lang w:val="en-US"/>
        </w:rPr>
        <w:t xml:space="preserve"> </w:t>
      </w:r>
      <w:r w:rsidR="00BA3C7F" w:rsidRPr="00300A27">
        <w:rPr>
          <w:spacing w:val="0"/>
          <w:szCs w:val="20"/>
          <w:lang w:val="en-US"/>
        </w:rPr>
        <w:t xml:space="preserve">The </w:t>
      </w:r>
      <w:r w:rsidR="00BA3C7F" w:rsidRPr="00300A27">
        <w:rPr>
          <w:b/>
          <w:bCs/>
          <w:spacing w:val="0"/>
          <w:szCs w:val="20"/>
          <w:lang w:val="en-US"/>
        </w:rPr>
        <w:t>representatives</w:t>
      </w:r>
      <w:r w:rsidR="00511C55" w:rsidRPr="00300A27">
        <w:rPr>
          <w:spacing w:val="0"/>
          <w:szCs w:val="20"/>
          <w:lang w:val="en-US"/>
        </w:rPr>
        <w:t xml:space="preserve"> clar</w:t>
      </w:r>
      <w:r w:rsidR="00AC76E7" w:rsidRPr="00300A27">
        <w:rPr>
          <w:spacing w:val="0"/>
          <w:szCs w:val="20"/>
          <w:lang w:val="en-US"/>
        </w:rPr>
        <w:t>ified that it was not asking the Court to review the ruling of a domestic court; rather they were arguing that a series of acts and omissions of the Peruvian State constituted violations of the rights containe</w:t>
      </w:r>
      <w:r w:rsidR="0086750A" w:rsidRPr="00300A27">
        <w:rPr>
          <w:spacing w:val="0"/>
          <w:szCs w:val="20"/>
          <w:lang w:val="en-US"/>
        </w:rPr>
        <w:t>d</w:t>
      </w:r>
      <w:r w:rsidR="00AC76E7" w:rsidRPr="00300A27">
        <w:rPr>
          <w:spacing w:val="0"/>
          <w:szCs w:val="20"/>
          <w:lang w:val="en-US"/>
        </w:rPr>
        <w:t xml:space="preserve"> in </w:t>
      </w:r>
      <w:r w:rsidRPr="00300A27">
        <w:rPr>
          <w:spacing w:val="0"/>
          <w:szCs w:val="20"/>
          <w:lang w:val="en-US"/>
        </w:rPr>
        <w:t>the Convention</w:t>
      </w:r>
      <w:r w:rsidR="00511C55" w:rsidRPr="00300A27">
        <w:rPr>
          <w:spacing w:val="0"/>
          <w:szCs w:val="20"/>
          <w:lang w:val="en-US"/>
        </w:rPr>
        <w:t>.</w:t>
      </w:r>
    </w:p>
    <w:p w14:paraId="6FCB87C8" w14:textId="2C1FCD37" w:rsidR="00880671" w:rsidRPr="00300A27" w:rsidRDefault="00880671" w:rsidP="00B243B6">
      <w:pPr>
        <w:pStyle w:val="Ttulo3"/>
        <w:rPr>
          <w:lang w:val="en-US"/>
        </w:rPr>
      </w:pPr>
      <w:bookmarkStart w:id="41" w:name="_Toc36823460"/>
      <w:r w:rsidRPr="00300A27">
        <w:rPr>
          <w:lang w:val="en-US"/>
        </w:rPr>
        <w:t xml:space="preserve">C.2 </w:t>
      </w:r>
      <w:r w:rsidRPr="00300A27">
        <w:rPr>
          <w:lang w:val="en-US"/>
        </w:rPr>
        <w:tab/>
      </w:r>
      <w:r w:rsidR="009B35A1" w:rsidRPr="00300A27">
        <w:rPr>
          <w:lang w:val="en-US"/>
        </w:rPr>
        <w:t>Considerations</w:t>
      </w:r>
      <w:r w:rsidR="005B1C65" w:rsidRPr="00300A27">
        <w:rPr>
          <w:lang w:val="en-US"/>
        </w:rPr>
        <w:t xml:space="preserve"> of the Court</w:t>
      </w:r>
      <w:bookmarkEnd w:id="40"/>
      <w:bookmarkEnd w:id="41"/>
    </w:p>
    <w:p w14:paraId="27E0054A" w14:textId="496B1A74" w:rsidR="000F186B" w:rsidRPr="00300A27" w:rsidRDefault="00AC76E7" w:rsidP="00B243B6">
      <w:pPr>
        <w:pStyle w:val="PrrafodeSentencia"/>
        <w:numPr>
          <w:ilvl w:val="0"/>
          <w:numId w:val="3"/>
        </w:numPr>
        <w:spacing w:before="120" w:after="120"/>
        <w:ind w:left="0" w:firstLine="0"/>
        <w:rPr>
          <w:spacing w:val="0"/>
          <w:lang w:val="en-US"/>
        </w:rPr>
      </w:pPr>
      <w:bookmarkStart w:id="42" w:name="_Ref33106019"/>
      <w:r w:rsidRPr="00300A27">
        <w:rPr>
          <w:spacing w:val="0"/>
          <w:lang w:val="en-US"/>
        </w:rPr>
        <w:t xml:space="preserve">The Court has established that, when assessing compliance with certain international obligations, there may be an intrinsic interrelationship between the analysis of international law and domestic law. Therefore, the determination of whether or not the actions of judicial organs </w:t>
      </w:r>
      <w:r w:rsidR="0086750A" w:rsidRPr="00300A27">
        <w:rPr>
          <w:spacing w:val="0"/>
          <w:lang w:val="en-US"/>
        </w:rPr>
        <w:t xml:space="preserve">constitute a violation of the State’s international obligations </w:t>
      </w:r>
      <w:r w:rsidRPr="00300A27">
        <w:rPr>
          <w:spacing w:val="0"/>
          <w:lang w:val="en-US"/>
        </w:rPr>
        <w:t>may</w:t>
      </w:r>
      <w:r w:rsidR="00700254" w:rsidRPr="00300A27">
        <w:rPr>
          <w:spacing w:val="0"/>
          <w:lang w:val="en-US"/>
        </w:rPr>
        <w:t xml:space="preserve"> result in the Court having to examine the respective domestic proceedings to establish their compatibility with </w:t>
      </w:r>
      <w:r w:rsidR="005B1C65" w:rsidRPr="00300A27">
        <w:rPr>
          <w:spacing w:val="0"/>
          <w:lang w:val="en-US"/>
        </w:rPr>
        <w:t>the American Convention</w:t>
      </w:r>
      <w:r w:rsidR="00700254" w:rsidRPr="00300A27">
        <w:rPr>
          <w:spacing w:val="0"/>
          <w:lang w:val="en-US"/>
        </w:rPr>
        <w:t>.</w:t>
      </w:r>
      <w:r w:rsidR="000F186B" w:rsidRPr="00300A27">
        <w:rPr>
          <w:rStyle w:val="Refdenotaalpie"/>
          <w:spacing w:val="0"/>
          <w:lang w:val="en-US"/>
        </w:rPr>
        <w:footnoteReference w:id="29"/>
      </w:r>
      <w:r w:rsidR="000F186B" w:rsidRPr="00300A27">
        <w:rPr>
          <w:spacing w:val="0"/>
          <w:lang w:val="en-US"/>
        </w:rPr>
        <w:t xml:space="preserve"> </w:t>
      </w:r>
      <w:r w:rsidR="00700254" w:rsidRPr="00300A27">
        <w:rPr>
          <w:spacing w:val="0"/>
          <w:lang w:val="en-US"/>
        </w:rPr>
        <w:t xml:space="preserve">However, the Court has established that it does not have competence to rule on domestic judicial decisions if </w:t>
      </w:r>
      <w:r w:rsidR="00BF4AEB" w:rsidRPr="00300A27">
        <w:rPr>
          <w:spacing w:val="0"/>
          <w:lang w:val="en-US"/>
        </w:rPr>
        <w:t xml:space="preserve">it has not been verified that they have violated </w:t>
      </w:r>
      <w:r w:rsidR="00700254" w:rsidRPr="00300A27">
        <w:rPr>
          <w:spacing w:val="0"/>
          <w:lang w:val="en-US"/>
        </w:rPr>
        <w:t xml:space="preserve">due process and if they are not manifestly arbitrary or unreasonable. Thus, although this Court is not a fourth instance </w:t>
      </w:r>
      <w:r w:rsidR="00BF4AEB" w:rsidRPr="00300A27">
        <w:rPr>
          <w:spacing w:val="0"/>
          <w:lang w:val="en-US"/>
        </w:rPr>
        <w:t>of</w:t>
      </w:r>
      <w:r w:rsidR="00700254" w:rsidRPr="00300A27">
        <w:rPr>
          <w:spacing w:val="0"/>
          <w:lang w:val="en-US"/>
        </w:rPr>
        <w:t xml:space="preserve"> judicial review and does not examine the assessment of the evidence made by the domestic judges, it does have competence, exceptionally, to decide on the content of judicial decisions that contravene the American Convention in a</w:t>
      </w:r>
      <w:r w:rsidR="00BF4AEB" w:rsidRPr="00300A27">
        <w:rPr>
          <w:spacing w:val="0"/>
          <w:lang w:val="en-US"/>
        </w:rPr>
        <w:t>n arbitrary</w:t>
      </w:r>
      <w:r w:rsidR="00700254" w:rsidRPr="00300A27">
        <w:rPr>
          <w:spacing w:val="0"/>
          <w:lang w:val="en-US"/>
        </w:rPr>
        <w:t xml:space="preserve"> manner.</w:t>
      </w:r>
      <w:r w:rsidR="000F186B" w:rsidRPr="00300A27">
        <w:rPr>
          <w:rStyle w:val="Refdenotaalpie"/>
          <w:spacing w:val="0"/>
          <w:lang w:val="en-US"/>
        </w:rPr>
        <w:footnoteReference w:id="30"/>
      </w:r>
      <w:bookmarkEnd w:id="42"/>
    </w:p>
    <w:p w14:paraId="73C6664E" w14:textId="03BB8AE6" w:rsidR="00201A0B" w:rsidRPr="00300A27" w:rsidRDefault="005B1C65" w:rsidP="00B243B6">
      <w:pPr>
        <w:pStyle w:val="PrrafodeSentencia"/>
        <w:numPr>
          <w:ilvl w:val="0"/>
          <w:numId w:val="3"/>
        </w:numPr>
        <w:tabs>
          <w:tab w:val="clear" w:pos="567"/>
          <w:tab w:val="left" w:pos="284"/>
        </w:tabs>
        <w:spacing w:before="120" w:after="120"/>
        <w:ind w:left="0" w:firstLine="0"/>
        <w:rPr>
          <w:spacing w:val="0"/>
          <w:lang w:val="en-US"/>
        </w:rPr>
      </w:pPr>
      <w:bookmarkStart w:id="43" w:name="_Ref33106020"/>
      <w:r w:rsidRPr="00300A27">
        <w:rPr>
          <w:spacing w:val="0"/>
          <w:lang w:val="en-US"/>
        </w:rPr>
        <w:t>The Court</w:t>
      </w:r>
      <w:r w:rsidR="00880671" w:rsidRPr="00300A27">
        <w:rPr>
          <w:spacing w:val="0"/>
          <w:lang w:val="en-US"/>
        </w:rPr>
        <w:t xml:space="preserve"> consider</w:t>
      </w:r>
      <w:r w:rsidR="00700254" w:rsidRPr="00300A27">
        <w:rPr>
          <w:spacing w:val="0"/>
          <w:lang w:val="en-US"/>
        </w:rPr>
        <w:t>s that the determination of whether the alleged facts can be c</w:t>
      </w:r>
      <w:r w:rsidR="00BF4AEB" w:rsidRPr="00300A27">
        <w:rPr>
          <w:spacing w:val="0"/>
          <w:lang w:val="en-US"/>
        </w:rPr>
        <w:t xml:space="preserve">lassified </w:t>
      </w:r>
      <w:r w:rsidR="00700254" w:rsidRPr="00300A27">
        <w:rPr>
          <w:spacing w:val="0"/>
          <w:lang w:val="en-US"/>
        </w:rPr>
        <w:t>as torture does not represent a review of the decisions of the domestic courts. To the contrary, this determination falls within the competence of the organs of the inter-American system</w:t>
      </w:r>
      <w:r w:rsidR="0086750A" w:rsidRPr="00300A27">
        <w:rPr>
          <w:spacing w:val="0"/>
          <w:lang w:val="en-US"/>
        </w:rPr>
        <w:t xml:space="preserve"> </w:t>
      </w:r>
      <w:r w:rsidR="00BF4AEB" w:rsidRPr="00300A27">
        <w:rPr>
          <w:spacing w:val="0"/>
          <w:lang w:val="en-US"/>
        </w:rPr>
        <w:t>when</w:t>
      </w:r>
      <w:r w:rsidR="00700254" w:rsidRPr="00300A27">
        <w:rPr>
          <w:spacing w:val="0"/>
          <w:lang w:val="en-US"/>
        </w:rPr>
        <w:t xml:space="preserve"> establish</w:t>
      </w:r>
      <w:r w:rsidR="00BF4AEB" w:rsidRPr="00300A27">
        <w:rPr>
          <w:spacing w:val="0"/>
          <w:lang w:val="en-US"/>
        </w:rPr>
        <w:t>ing</w:t>
      </w:r>
      <w:r w:rsidR="00700254" w:rsidRPr="00300A27">
        <w:rPr>
          <w:spacing w:val="0"/>
          <w:lang w:val="en-US"/>
        </w:rPr>
        <w:t xml:space="preserve"> whether there has been a violation of </w:t>
      </w:r>
      <w:r w:rsidRPr="00300A27">
        <w:rPr>
          <w:spacing w:val="0"/>
          <w:lang w:val="en-US"/>
        </w:rPr>
        <w:t>the American Convention</w:t>
      </w:r>
      <w:r w:rsidR="003341E2" w:rsidRPr="00300A27">
        <w:rPr>
          <w:spacing w:val="0"/>
          <w:lang w:val="en-US"/>
        </w:rPr>
        <w:t xml:space="preserve"> </w:t>
      </w:r>
      <w:r w:rsidR="00700254" w:rsidRPr="00300A27">
        <w:rPr>
          <w:spacing w:val="0"/>
          <w:lang w:val="en-US"/>
        </w:rPr>
        <w:t xml:space="preserve">and, if appropriate, </w:t>
      </w:r>
      <w:r w:rsidRPr="00300A27">
        <w:rPr>
          <w:spacing w:val="0"/>
          <w:lang w:val="en-US"/>
        </w:rPr>
        <w:t xml:space="preserve">of the </w:t>
      </w:r>
      <w:r w:rsidR="00F816B4" w:rsidRPr="00300A27">
        <w:rPr>
          <w:spacing w:val="0"/>
          <w:lang w:val="en-US"/>
        </w:rPr>
        <w:t>Inter-American Convention to Prevent and Punish Torture</w:t>
      </w:r>
      <w:r w:rsidR="003B3206" w:rsidRPr="00300A27">
        <w:rPr>
          <w:spacing w:val="0"/>
          <w:lang w:val="en-US"/>
        </w:rPr>
        <w:t>.</w:t>
      </w:r>
    </w:p>
    <w:p w14:paraId="04709E4E" w14:textId="22540241" w:rsidR="008416A0" w:rsidRPr="00300A27" w:rsidRDefault="00700254" w:rsidP="00B243B6">
      <w:pPr>
        <w:pStyle w:val="PrrafodeSentencia"/>
        <w:numPr>
          <w:ilvl w:val="0"/>
          <w:numId w:val="3"/>
        </w:numPr>
        <w:spacing w:before="120" w:after="120"/>
        <w:ind w:left="0" w:firstLine="0"/>
        <w:rPr>
          <w:spacing w:val="0"/>
          <w:lang w:val="en-US"/>
        </w:rPr>
      </w:pPr>
      <w:bookmarkStart w:id="44" w:name="_Ref446681784"/>
      <w:r w:rsidRPr="00300A27">
        <w:rPr>
          <w:spacing w:val="0"/>
          <w:lang w:val="en-US"/>
        </w:rPr>
        <w:t>Accordingly</w:t>
      </w:r>
      <w:r w:rsidR="00880671" w:rsidRPr="00300A27">
        <w:rPr>
          <w:spacing w:val="0"/>
          <w:lang w:val="en-US"/>
        </w:rPr>
        <w:t xml:space="preserve">, </w:t>
      </w:r>
      <w:r w:rsidR="009B35A1" w:rsidRPr="00300A27">
        <w:rPr>
          <w:spacing w:val="0"/>
          <w:lang w:val="en-US"/>
        </w:rPr>
        <w:t>the Court</w:t>
      </w:r>
      <w:r w:rsidR="00880671" w:rsidRPr="00300A27">
        <w:rPr>
          <w:spacing w:val="0"/>
          <w:lang w:val="en-US"/>
        </w:rPr>
        <w:t xml:space="preserve"> declar</w:t>
      </w:r>
      <w:r w:rsidRPr="00300A27">
        <w:rPr>
          <w:spacing w:val="0"/>
          <w:lang w:val="en-US"/>
        </w:rPr>
        <w:t>es the</w:t>
      </w:r>
      <w:r w:rsidR="00880671" w:rsidRPr="00300A27">
        <w:rPr>
          <w:spacing w:val="0"/>
          <w:lang w:val="en-US"/>
        </w:rPr>
        <w:t xml:space="preserve"> </w:t>
      </w:r>
      <w:r w:rsidR="007071F6" w:rsidRPr="00300A27">
        <w:rPr>
          <w:spacing w:val="0"/>
          <w:lang w:val="en-US"/>
        </w:rPr>
        <w:t>preliminary objection</w:t>
      </w:r>
      <w:r w:rsidR="00880671" w:rsidRPr="00300A27">
        <w:rPr>
          <w:spacing w:val="0"/>
          <w:lang w:val="en-US"/>
        </w:rPr>
        <w:t xml:space="preserve"> </w:t>
      </w:r>
      <w:r w:rsidRPr="00300A27">
        <w:rPr>
          <w:spacing w:val="0"/>
          <w:lang w:val="en-US"/>
        </w:rPr>
        <w:t>filed by</w:t>
      </w:r>
      <w:r w:rsidR="00880671" w:rsidRPr="00300A27">
        <w:rPr>
          <w:spacing w:val="0"/>
          <w:lang w:val="en-US"/>
        </w:rPr>
        <w:t xml:space="preserve"> </w:t>
      </w:r>
      <w:r w:rsidR="005B1C65" w:rsidRPr="00300A27">
        <w:rPr>
          <w:spacing w:val="0"/>
          <w:lang w:val="en-US"/>
        </w:rPr>
        <w:t>the State</w:t>
      </w:r>
      <w:r w:rsidRPr="00300A27">
        <w:rPr>
          <w:spacing w:val="0"/>
          <w:lang w:val="en-US"/>
        </w:rPr>
        <w:t xml:space="preserve"> inadmissible</w:t>
      </w:r>
      <w:r w:rsidR="00880671" w:rsidRPr="00300A27">
        <w:rPr>
          <w:spacing w:val="0"/>
          <w:lang w:val="en-US"/>
        </w:rPr>
        <w:t>.</w:t>
      </w:r>
      <w:bookmarkEnd w:id="43"/>
      <w:bookmarkEnd w:id="44"/>
    </w:p>
    <w:p w14:paraId="098B1B6B" w14:textId="4B496957" w:rsidR="00F21A57" w:rsidRPr="00300A27" w:rsidRDefault="00F349A9" w:rsidP="00B243B6">
      <w:pPr>
        <w:pStyle w:val="Ttulo1"/>
        <w:rPr>
          <w:lang w:val="en-US"/>
        </w:rPr>
      </w:pPr>
      <w:bookmarkStart w:id="45" w:name="_Toc32394143"/>
      <w:bookmarkStart w:id="46" w:name="_Toc36823461"/>
      <w:r w:rsidRPr="00300A27">
        <w:rPr>
          <w:lang w:val="en-US"/>
        </w:rPr>
        <w:t>V</w:t>
      </w:r>
      <w:r w:rsidR="008A33EC" w:rsidRPr="00300A27">
        <w:rPr>
          <w:lang w:val="en-US"/>
        </w:rPr>
        <w:br/>
      </w:r>
      <w:r w:rsidR="009B35A1" w:rsidRPr="00300A27">
        <w:rPr>
          <w:lang w:val="en-US"/>
        </w:rPr>
        <w:t>EVIDENCE</w:t>
      </w:r>
      <w:bookmarkEnd w:id="45"/>
      <w:bookmarkEnd w:id="46"/>
    </w:p>
    <w:p w14:paraId="7E76211D" w14:textId="025775EE" w:rsidR="00F21A57" w:rsidRPr="00300A27" w:rsidRDefault="009B35A1" w:rsidP="00B243B6">
      <w:pPr>
        <w:pStyle w:val="Ttulo2"/>
        <w:numPr>
          <w:ilvl w:val="1"/>
          <w:numId w:val="2"/>
        </w:numPr>
        <w:ind w:left="1134" w:hanging="567"/>
        <w:rPr>
          <w:lang w:val="en-US"/>
        </w:rPr>
      </w:pPr>
      <w:r w:rsidRPr="00300A27">
        <w:rPr>
          <w:lang w:val="en-US"/>
        </w:rPr>
        <w:t>Admissibility of the documentary evidence</w:t>
      </w:r>
    </w:p>
    <w:p w14:paraId="12A56F69" w14:textId="59ED0FAE" w:rsidR="00F21A57" w:rsidRPr="00300A27" w:rsidRDefault="009B35A1" w:rsidP="00B243B6">
      <w:pPr>
        <w:pStyle w:val="PrrafodeSentencia"/>
        <w:numPr>
          <w:ilvl w:val="0"/>
          <w:numId w:val="3"/>
        </w:numPr>
        <w:spacing w:before="120" w:after="120"/>
        <w:ind w:left="0" w:firstLine="0"/>
        <w:rPr>
          <w:spacing w:val="0"/>
          <w:lang w:val="en-US"/>
        </w:rPr>
      </w:pPr>
      <w:r w:rsidRPr="00300A27">
        <w:rPr>
          <w:spacing w:val="0"/>
          <w:lang w:val="en-US"/>
        </w:rPr>
        <w:t>The Court</w:t>
      </w:r>
      <w:r w:rsidR="00F21A57" w:rsidRPr="00300A27">
        <w:rPr>
          <w:spacing w:val="0"/>
          <w:lang w:val="en-US"/>
        </w:rPr>
        <w:t xml:space="preserve"> rec</w:t>
      </w:r>
      <w:r w:rsidR="00700254" w:rsidRPr="00300A27">
        <w:rPr>
          <w:spacing w:val="0"/>
          <w:lang w:val="en-US"/>
        </w:rPr>
        <w:t xml:space="preserve">eived diverse documents presented as evidence by </w:t>
      </w:r>
      <w:r w:rsidR="00C2001D" w:rsidRPr="00300A27">
        <w:rPr>
          <w:spacing w:val="0"/>
          <w:lang w:val="en-US"/>
        </w:rPr>
        <w:t>the Commission</w:t>
      </w:r>
      <w:r w:rsidR="00F21A57" w:rsidRPr="00300A27">
        <w:rPr>
          <w:spacing w:val="0"/>
          <w:lang w:val="en-US"/>
        </w:rPr>
        <w:t xml:space="preserve">, </w:t>
      </w:r>
      <w:r w:rsidR="00BA3C7F" w:rsidRPr="00300A27">
        <w:rPr>
          <w:spacing w:val="0"/>
          <w:lang w:val="en-US"/>
        </w:rPr>
        <w:t>the representatives</w:t>
      </w:r>
      <w:r w:rsidR="005B1C65" w:rsidRPr="00300A27">
        <w:rPr>
          <w:spacing w:val="0"/>
          <w:lang w:val="en-US"/>
        </w:rPr>
        <w:t xml:space="preserve"> and the State</w:t>
      </w:r>
      <w:r w:rsidR="00F21A57" w:rsidRPr="00300A27">
        <w:rPr>
          <w:spacing w:val="0"/>
          <w:lang w:val="en-US"/>
        </w:rPr>
        <w:t>, as</w:t>
      </w:r>
      <w:r w:rsidR="00700254" w:rsidRPr="00300A27">
        <w:rPr>
          <w:spacing w:val="0"/>
          <w:lang w:val="en-US"/>
        </w:rPr>
        <w:t xml:space="preserve"> well as those requested by the Court or its President as helpful evidence and, as in other cases, it admits them in the understanding that they were presented at the proper procedural opportunity </w:t>
      </w:r>
      <w:r w:rsidR="00F21A57" w:rsidRPr="00300A27">
        <w:rPr>
          <w:spacing w:val="0"/>
          <w:lang w:val="en-US"/>
        </w:rPr>
        <w:t>(</w:t>
      </w:r>
      <w:r w:rsidRPr="00300A27">
        <w:rPr>
          <w:spacing w:val="0"/>
          <w:lang w:val="en-US"/>
        </w:rPr>
        <w:t>Article</w:t>
      </w:r>
      <w:r w:rsidR="00F21A57" w:rsidRPr="00300A27">
        <w:rPr>
          <w:spacing w:val="0"/>
          <w:lang w:val="en-US"/>
        </w:rPr>
        <w:t xml:space="preserve"> 57</w:t>
      </w:r>
      <w:r w:rsidR="005B1C65" w:rsidRPr="00300A27">
        <w:rPr>
          <w:spacing w:val="0"/>
          <w:lang w:val="en-US"/>
        </w:rPr>
        <w:t xml:space="preserve"> of the Rules of Procedure</w:t>
      </w:r>
      <w:r w:rsidR="00F21A57" w:rsidRPr="00300A27">
        <w:rPr>
          <w:spacing w:val="0"/>
          <w:lang w:val="en-US"/>
        </w:rPr>
        <w:t>)</w:t>
      </w:r>
      <w:r w:rsidR="00F21A57" w:rsidRPr="00300A27">
        <w:rPr>
          <w:rStyle w:val="Refdenotaalpie"/>
          <w:spacing w:val="0"/>
          <w:lang w:val="en-US"/>
        </w:rPr>
        <w:footnoteReference w:id="31"/>
      </w:r>
      <w:r w:rsidR="005B1C65" w:rsidRPr="00300A27">
        <w:rPr>
          <w:spacing w:val="0"/>
          <w:lang w:val="en-US"/>
        </w:rPr>
        <w:t xml:space="preserve"> and</w:t>
      </w:r>
      <w:r w:rsidR="00700254" w:rsidRPr="00300A27">
        <w:rPr>
          <w:spacing w:val="0"/>
          <w:lang w:val="en-US"/>
        </w:rPr>
        <w:t xml:space="preserve"> their admissibility was neither contested </w:t>
      </w:r>
      <w:r w:rsidR="00FA64B9" w:rsidRPr="00300A27">
        <w:rPr>
          <w:spacing w:val="0"/>
          <w:lang w:val="en-US"/>
        </w:rPr>
        <w:t>n</w:t>
      </w:r>
      <w:r w:rsidR="00700254" w:rsidRPr="00300A27">
        <w:rPr>
          <w:spacing w:val="0"/>
          <w:lang w:val="en-US"/>
        </w:rPr>
        <w:t xml:space="preserve">or challenged. </w:t>
      </w:r>
      <w:r w:rsidR="005B1C65" w:rsidRPr="00300A27">
        <w:rPr>
          <w:spacing w:val="0"/>
          <w:lang w:val="en-US"/>
        </w:rPr>
        <w:t xml:space="preserve"> </w:t>
      </w:r>
    </w:p>
    <w:p w14:paraId="541C0F21" w14:textId="06AEB1B2" w:rsidR="00B86E74" w:rsidRPr="00300A27" w:rsidRDefault="00C2001D" w:rsidP="00B243B6">
      <w:pPr>
        <w:pStyle w:val="Numberedparagraphs"/>
        <w:numPr>
          <w:ilvl w:val="0"/>
          <w:numId w:val="3"/>
        </w:numPr>
        <w:tabs>
          <w:tab w:val="left" w:pos="284"/>
        </w:tabs>
        <w:ind w:left="0" w:firstLine="0"/>
        <w:rPr>
          <w:lang w:val="en-US"/>
        </w:rPr>
      </w:pPr>
      <w:r w:rsidRPr="00300A27">
        <w:rPr>
          <w:rFonts w:cs="Arial"/>
          <w:color w:val="0C0C0C"/>
          <w:lang w:val="en-US"/>
        </w:rPr>
        <w:t xml:space="preserve">The </w:t>
      </w:r>
      <w:r w:rsidRPr="00300A27">
        <w:rPr>
          <w:rFonts w:cs="Arial"/>
          <w:b/>
          <w:bCs/>
          <w:i/>
          <w:iCs/>
          <w:color w:val="0C0C0C"/>
          <w:lang w:val="en-US"/>
        </w:rPr>
        <w:t>Commission</w:t>
      </w:r>
      <w:r w:rsidR="00B86E74" w:rsidRPr="00300A27">
        <w:rPr>
          <w:rFonts w:cs="Arial"/>
          <w:b/>
          <w:i/>
          <w:color w:val="1D1D1D"/>
          <w:lang w:val="en-US"/>
        </w:rPr>
        <w:t xml:space="preserve"> </w:t>
      </w:r>
      <w:r w:rsidR="00700254" w:rsidRPr="00300A27">
        <w:rPr>
          <w:rFonts w:cs="Arial"/>
          <w:color w:val="1D1D1D"/>
          <w:lang w:val="en-US"/>
        </w:rPr>
        <w:t>indicated that</w:t>
      </w:r>
      <w:r w:rsidR="00B86E74" w:rsidRPr="00300A27">
        <w:rPr>
          <w:rFonts w:cs="Arial"/>
          <w:color w:val="0C0C0C"/>
          <w:lang w:val="en-US"/>
        </w:rPr>
        <w:t xml:space="preserve"> </w:t>
      </w:r>
      <w:r w:rsidR="00B86E74" w:rsidRPr="00300A27">
        <w:rPr>
          <w:rFonts w:cs="Arial"/>
          <w:color w:val="1D1D1D"/>
          <w:lang w:val="en-US"/>
        </w:rPr>
        <w:t>an</w:t>
      </w:r>
      <w:r w:rsidR="00700254" w:rsidRPr="00300A27">
        <w:rPr>
          <w:rFonts w:cs="Arial"/>
          <w:color w:val="1D1D1D"/>
          <w:lang w:val="en-US"/>
        </w:rPr>
        <w:t>nexe</w:t>
      </w:r>
      <w:r w:rsidR="00B86E74" w:rsidRPr="00300A27">
        <w:rPr>
          <w:rFonts w:cs="Arial"/>
          <w:color w:val="1D1D1D"/>
          <w:lang w:val="en-US"/>
        </w:rPr>
        <w:t xml:space="preserve">s </w:t>
      </w:r>
      <w:r w:rsidR="00B86E74" w:rsidRPr="00300A27">
        <w:rPr>
          <w:rFonts w:cs="Arial"/>
          <w:bCs/>
          <w:color w:val="0C0C0C"/>
          <w:lang w:val="en-US"/>
        </w:rPr>
        <w:t>1</w:t>
      </w:r>
      <w:r w:rsidR="00700254" w:rsidRPr="00300A27">
        <w:rPr>
          <w:rFonts w:cs="Arial"/>
          <w:bCs/>
          <w:color w:val="0C0C0C"/>
          <w:lang w:val="en-US"/>
        </w:rPr>
        <w:t>,</w:t>
      </w:r>
      <w:r w:rsidR="00B86E74" w:rsidRPr="00300A27">
        <w:rPr>
          <w:rStyle w:val="Refdenotaalpie"/>
          <w:bCs/>
          <w:color w:val="0C0C0C"/>
          <w:lang w:val="en-US"/>
        </w:rPr>
        <w:footnoteReference w:id="32"/>
      </w:r>
      <w:r w:rsidR="00B86E74" w:rsidRPr="00300A27">
        <w:rPr>
          <w:rFonts w:cs="Arial"/>
          <w:b/>
          <w:bCs/>
          <w:color w:val="0C0C0C"/>
          <w:lang w:val="en-US"/>
        </w:rPr>
        <w:t xml:space="preserve"> </w:t>
      </w:r>
      <w:r w:rsidR="00B86E74" w:rsidRPr="00300A27">
        <w:rPr>
          <w:rFonts w:cs="Arial"/>
          <w:color w:val="1D1D1D"/>
          <w:lang w:val="en-US"/>
        </w:rPr>
        <w:t>3</w:t>
      </w:r>
      <w:r w:rsidR="00B86E74" w:rsidRPr="00300A27">
        <w:rPr>
          <w:rStyle w:val="Refdenotaalpie"/>
          <w:color w:val="1D1D1D"/>
          <w:lang w:val="en-US"/>
        </w:rPr>
        <w:footnoteReference w:id="33"/>
      </w:r>
      <w:r w:rsidR="005B1C65" w:rsidRPr="00300A27">
        <w:rPr>
          <w:rFonts w:cs="Arial"/>
          <w:color w:val="1D1D1D"/>
          <w:lang w:val="en-US"/>
        </w:rPr>
        <w:t xml:space="preserve"> and </w:t>
      </w:r>
      <w:r w:rsidR="00B86E74" w:rsidRPr="00300A27">
        <w:rPr>
          <w:rFonts w:cs="Arial"/>
          <w:color w:val="0C0C0C"/>
          <w:lang w:val="en-US"/>
        </w:rPr>
        <w:t>4</w:t>
      </w:r>
      <w:r w:rsidR="00B86E74" w:rsidRPr="00300A27">
        <w:rPr>
          <w:rStyle w:val="Refdenotaalpie"/>
          <w:color w:val="0C0C0C"/>
          <w:lang w:val="en-US"/>
        </w:rPr>
        <w:footnoteReference w:id="34"/>
      </w:r>
      <w:r w:rsidR="00B86E74" w:rsidRPr="00300A27">
        <w:rPr>
          <w:rFonts w:cs="Arial"/>
          <w:color w:val="0C0C0C"/>
          <w:lang w:val="en-US"/>
        </w:rPr>
        <w:t xml:space="preserve"> </w:t>
      </w:r>
      <w:r w:rsidR="00700254" w:rsidRPr="00300A27">
        <w:rPr>
          <w:rFonts w:cs="Arial"/>
          <w:color w:val="1D1D1D"/>
          <w:lang w:val="en-US"/>
        </w:rPr>
        <w:t>provided by</w:t>
      </w:r>
      <w:r w:rsidR="00B86E74" w:rsidRPr="00300A27">
        <w:rPr>
          <w:rFonts w:cs="Arial"/>
          <w:color w:val="1D1D1D"/>
          <w:lang w:val="en-US"/>
        </w:rPr>
        <w:t xml:space="preserve"> </w:t>
      </w:r>
      <w:r w:rsidR="005B1C65" w:rsidRPr="00300A27">
        <w:rPr>
          <w:rFonts w:cs="Arial"/>
          <w:color w:val="1D1D1D"/>
          <w:lang w:val="en-US"/>
        </w:rPr>
        <w:t>the State</w:t>
      </w:r>
      <w:r w:rsidR="00B86E74" w:rsidRPr="00300A27">
        <w:rPr>
          <w:rFonts w:cs="Arial"/>
          <w:color w:val="0C0C0C"/>
          <w:lang w:val="en-US"/>
        </w:rPr>
        <w:t xml:space="preserve"> </w:t>
      </w:r>
      <w:r w:rsidR="00700254" w:rsidRPr="00300A27">
        <w:rPr>
          <w:rFonts w:cs="Arial"/>
          <w:color w:val="0C0C0C"/>
          <w:lang w:val="en-US"/>
        </w:rPr>
        <w:t xml:space="preserve">with its final written arguments “refer to information that was available when the State presented its answering brief and were not requested by the Court.” </w:t>
      </w:r>
      <w:r w:rsidR="00BA3C7F" w:rsidRPr="00300A27">
        <w:rPr>
          <w:lang w:val="en-US"/>
        </w:rPr>
        <w:t xml:space="preserve">The </w:t>
      </w:r>
      <w:r w:rsidR="00BA3C7F" w:rsidRPr="00300A27">
        <w:rPr>
          <w:b/>
          <w:bCs/>
          <w:i/>
          <w:iCs/>
          <w:lang w:val="en-US"/>
        </w:rPr>
        <w:t>representatives</w:t>
      </w:r>
      <w:r w:rsidR="00B86E74" w:rsidRPr="00300A27">
        <w:rPr>
          <w:b/>
          <w:i/>
          <w:lang w:val="en-US"/>
        </w:rPr>
        <w:t xml:space="preserve"> </w:t>
      </w:r>
      <w:r w:rsidR="00700254" w:rsidRPr="00300A27">
        <w:rPr>
          <w:lang w:val="en-US"/>
        </w:rPr>
        <w:t xml:space="preserve">indicated that, in annexes </w:t>
      </w:r>
      <w:r w:rsidR="00B86E74" w:rsidRPr="00300A27">
        <w:rPr>
          <w:lang w:val="en-US"/>
        </w:rPr>
        <w:t>1, 3, 4, 5</w:t>
      </w:r>
      <w:r w:rsidR="00700254" w:rsidRPr="00300A27">
        <w:rPr>
          <w:lang w:val="en-US"/>
        </w:rPr>
        <w:t>,</w:t>
      </w:r>
      <w:r w:rsidR="00B86E74" w:rsidRPr="00300A27">
        <w:rPr>
          <w:rStyle w:val="Refdenotaalpie"/>
          <w:lang w:val="en-US"/>
        </w:rPr>
        <w:footnoteReference w:id="35"/>
      </w:r>
      <w:r w:rsidR="00B86E74" w:rsidRPr="00300A27">
        <w:rPr>
          <w:lang w:val="en-US"/>
        </w:rPr>
        <w:t xml:space="preserve"> 6</w:t>
      </w:r>
      <w:r w:rsidR="00B86E74" w:rsidRPr="00300A27">
        <w:rPr>
          <w:rStyle w:val="Refdenotaalpie"/>
          <w:lang w:val="en-US"/>
        </w:rPr>
        <w:footnoteReference w:id="36"/>
      </w:r>
      <w:r w:rsidR="005B1C65" w:rsidRPr="00300A27">
        <w:rPr>
          <w:lang w:val="en-US"/>
        </w:rPr>
        <w:t xml:space="preserve"> and </w:t>
      </w:r>
      <w:r w:rsidR="00B86E74" w:rsidRPr="00300A27">
        <w:rPr>
          <w:lang w:val="en-US"/>
        </w:rPr>
        <w:t>7</w:t>
      </w:r>
      <w:r w:rsidR="00700254" w:rsidRPr="00300A27">
        <w:rPr>
          <w:lang w:val="en-US"/>
        </w:rPr>
        <w:t>,</w:t>
      </w:r>
      <w:r w:rsidR="00B86E74" w:rsidRPr="00300A27">
        <w:rPr>
          <w:rStyle w:val="Refdenotaalpie"/>
          <w:lang w:val="en-US"/>
        </w:rPr>
        <w:footnoteReference w:id="37"/>
      </w:r>
      <w:r w:rsidR="00B86E74" w:rsidRPr="00300A27">
        <w:rPr>
          <w:lang w:val="en-US"/>
        </w:rPr>
        <w:t xml:space="preserve"> </w:t>
      </w:r>
      <w:r w:rsidR="00700254" w:rsidRPr="00300A27">
        <w:rPr>
          <w:lang w:val="en-US"/>
        </w:rPr>
        <w:t>the</w:t>
      </w:r>
      <w:r w:rsidR="00B86E74" w:rsidRPr="00300A27">
        <w:rPr>
          <w:lang w:val="en-US"/>
        </w:rPr>
        <w:t xml:space="preserve"> “</w:t>
      </w:r>
      <w:r w:rsidR="00700254" w:rsidRPr="00300A27">
        <w:rPr>
          <w:lang w:val="en-US"/>
        </w:rPr>
        <w:t xml:space="preserve">State seeks to introduce evidence that is not supervening outside the proper procedural occasion.” They also indicated that annexes </w:t>
      </w:r>
      <w:r w:rsidR="00B86E74" w:rsidRPr="00300A27">
        <w:rPr>
          <w:lang w:val="en-US"/>
        </w:rPr>
        <w:t>2</w:t>
      </w:r>
      <w:r w:rsidR="00B86E74" w:rsidRPr="00300A27">
        <w:rPr>
          <w:rStyle w:val="Refdenotaalpie"/>
          <w:lang w:val="en-US"/>
        </w:rPr>
        <w:footnoteReference w:id="38"/>
      </w:r>
      <w:r w:rsidR="005B1C65" w:rsidRPr="00300A27">
        <w:rPr>
          <w:lang w:val="en-US"/>
        </w:rPr>
        <w:t xml:space="preserve"> and </w:t>
      </w:r>
      <w:r w:rsidR="00B86E74" w:rsidRPr="00300A27">
        <w:rPr>
          <w:lang w:val="en-US"/>
        </w:rPr>
        <w:t>4, “</w:t>
      </w:r>
      <w:r w:rsidR="00700254" w:rsidRPr="00300A27">
        <w:rPr>
          <w:lang w:val="en-US"/>
        </w:rPr>
        <w:t xml:space="preserve">are unrelated to the arguments made by the IACHR or the victims’ </w:t>
      </w:r>
      <w:r w:rsidR="00BA3C7F" w:rsidRPr="00300A27">
        <w:rPr>
          <w:lang w:val="en-US"/>
        </w:rPr>
        <w:t>representatives</w:t>
      </w:r>
      <w:r w:rsidR="00700254" w:rsidRPr="00300A27">
        <w:rPr>
          <w:lang w:val="en-US"/>
        </w:rPr>
        <w:t>.</w:t>
      </w:r>
      <w:r w:rsidR="00B86E74" w:rsidRPr="00300A27">
        <w:rPr>
          <w:lang w:val="en-US"/>
        </w:rPr>
        <w:t xml:space="preserve">” </w:t>
      </w:r>
      <w:r w:rsidR="00700254" w:rsidRPr="00300A27">
        <w:rPr>
          <w:lang w:val="en-US"/>
        </w:rPr>
        <w:t xml:space="preserve">Regarding the documents presented by </w:t>
      </w:r>
      <w:r w:rsidR="005B1C65" w:rsidRPr="00300A27">
        <w:rPr>
          <w:lang w:val="en-US" w:eastAsia="es-MX"/>
        </w:rPr>
        <w:t>the State</w:t>
      </w:r>
      <w:r w:rsidR="00B86E74" w:rsidRPr="00300A27">
        <w:rPr>
          <w:lang w:val="en-US" w:eastAsia="es-MX"/>
        </w:rPr>
        <w:t xml:space="preserve"> </w:t>
      </w:r>
      <w:r w:rsidR="00700254" w:rsidRPr="00300A27">
        <w:rPr>
          <w:lang w:val="en-US" w:eastAsia="es-MX"/>
        </w:rPr>
        <w:t xml:space="preserve">together with its final arguments, the Court notes that they respond to the request made by the Court during the public hearing under </w:t>
      </w:r>
      <w:r w:rsidR="007071F6" w:rsidRPr="00300A27">
        <w:rPr>
          <w:lang w:val="en-US" w:eastAsia="es-MX"/>
        </w:rPr>
        <w:t>Article</w:t>
      </w:r>
      <w:r w:rsidR="00B86E74" w:rsidRPr="00300A27">
        <w:rPr>
          <w:lang w:val="en-US" w:eastAsia="es-MX"/>
        </w:rPr>
        <w:t xml:space="preserve"> 58</w:t>
      </w:r>
      <w:r w:rsidR="00700254" w:rsidRPr="00300A27">
        <w:rPr>
          <w:lang w:val="en-US" w:eastAsia="es-MX"/>
        </w:rPr>
        <w:t>(</w:t>
      </w:r>
      <w:r w:rsidR="00B86E74" w:rsidRPr="00300A27">
        <w:rPr>
          <w:lang w:val="en-US" w:eastAsia="es-MX"/>
        </w:rPr>
        <w:t>b)</w:t>
      </w:r>
      <w:r w:rsidR="005B1C65" w:rsidRPr="00300A27">
        <w:rPr>
          <w:lang w:val="en-US" w:eastAsia="es-MX"/>
        </w:rPr>
        <w:t xml:space="preserve"> of the Rules of Procedure</w:t>
      </w:r>
      <w:r w:rsidR="00B86E74" w:rsidRPr="00300A27">
        <w:rPr>
          <w:lang w:val="en-US" w:eastAsia="es-MX"/>
        </w:rPr>
        <w:t xml:space="preserve">, </w:t>
      </w:r>
      <w:r w:rsidR="00700254" w:rsidRPr="00300A27">
        <w:rPr>
          <w:lang w:val="en-US" w:eastAsia="es-MX"/>
        </w:rPr>
        <w:t>and therefore considers it appropriate to admit them.</w:t>
      </w:r>
    </w:p>
    <w:p w14:paraId="4B3E0EBB" w14:textId="108652B3" w:rsidR="00B86E74" w:rsidRPr="00300A27" w:rsidRDefault="00700254" w:rsidP="00B243B6">
      <w:pPr>
        <w:pStyle w:val="Numberedparagraphs"/>
        <w:numPr>
          <w:ilvl w:val="0"/>
          <w:numId w:val="3"/>
        </w:numPr>
        <w:tabs>
          <w:tab w:val="left" w:pos="567"/>
        </w:tabs>
        <w:spacing w:before="120" w:after="120"/>
        <w:ind w:left="0" w:firstLine="0"/>
        <w:rPr>
          <w:lang w:val="en-US"/>
        </w:rPr>
      </w:pPr>
      <w:r w:rsidRPr="00300A27">
        <w:rPr>
          <w:lang w:val="en-US"/>
        </w:rPr>
        <w:t>T</w:t>
      </w:r>
      <w:r w:rsidR="005B1C65" w:rsidRPr="00300A27">
        <w:rPr>
          <w:lang w:val="en-US"/>
        </w:rPr>
        <w:t xml:space="preserve">he </w:t>
      </w:r>
      <w:r w:rsidR="005B1C65" w:rsidRPr="00300A27">
        <w:rPr>
          <w:b/>
          <w:bCs/>
          <w:i/>
          <w:iCs/>
          <w:lang w:val="en-US"/>
        </w:rPr>
        <w:t>State</w:t>
      </w:r>
      <w:r w:rsidR="00B86E74" w:rsidRPr="00300A27">
        <w:rPr>
          <w:lang w:val="en-US"/>
        </w:rPr>
        <w:t xml:space="preserve"> </w:t>
      </w:r>
      <w:r w:rsidRPr="00300A27">
        <w:rPr>
          <w:lang w:val="en-US"/>
        </w:rPr>
        <w:t xml:space="preserve">indicated that most of the expenses included by </w:t>
      </w:r>
      <w:r w:rsidR="00BA3C7F" w:rsidRPr="00300A27">
        <w:rPr>
          <w:lang w:val="en-US"/>
        </w:rPr>
        <w:t>the representatives</w:t>
      </w:r>
      <w:r w:rsidR="00B86E74" w:rsidRPr="00300A27">
        <w:rPr>
          <w:lang w:val="en-US"/>
        </w:rPr>
        <w:t xml:space="preserve"> “</w:t>
      </w:r>
      <w:r w:rsidRPr="00300A27">
        <w:rPr>
          <w:lang w:val="en-US"/>
        </w:rPr>
        <w:t>were inadmissible owing to late submission of the documentary support.”</w:t>
      </w:r>
      <w:r w:rsidR="00B86E74" w:rsidRPr="00300A27">
        <w:rPr>
          <w:lang w:val="en-US"/>
        </w:rPr>
        <w:t xml:space="preserve"> </w:t>
      </w:r>
    </w:p>
    <w:p w14:paraId="752F44A8" w14:textId="7C60013D" w:rsidR="00C2698D" w:rsidRPr="00300A27" w:rsidRDefault="005B1C65" w:rsidP="00B243B6">
      <w:pPr>
        <w:pStyle w:val="Numberedparagraphs"/>
        <w:numPr>
          <w:ilvl w:val="0"/>
          <w:numId w:val="3"/>
        </w:numPr>
        <w:tabs>
          <w:tab w:val="left" w:pos="567"/>
        </w:tabs>
        <w:spacing w:before="120" w:after="120"/>
        <w:ind w:left="0" w:firstLine="0"/>
        <w:rPr>
          <w:lang w:val="en-US"/>
        </w:rPr>
      </w:pPr>
      <w:bookmarkStart w:id="47" w:name="_Ref446678575"/>
      <w:r w:rsidRPr="00300A27">
        <w:rPr>
          <w:lang w:val="en-US" w:eastAsia="es-MX"/>
        </w:rPr>
        <w:t>The Court</w:t>
      </w:r>
      <w:r w:rsidR="00106794" w:rsidRPr="00300A27">
        <w:rPr>
          <w:lang w:val="en-US" w:eastAsia="es-MX"/>
        </w:rPr>
        <w:t xml:space="preserve"> </w:t>
      </w:r>
      <w:r w:rsidR="00DE7ED5" w:rsidRPr="00300A27">
        <w:rPr>
          <w:lang w:val="en-US" w:eastAsia="es-MX"/>
        </w:rPr>
        <w:t>notes that</w:t>
      </w:r>
      <w:r w:rsidR="00106794" w:rsidRPr="00300A27">
        <w:rPr>
          <w:lang w:val="en-US" w:eastAsia="es-MX"/>
        </w:rPr>
        <w:t xml:space="preserve"> </w:t>
      </w:r>
      <w:r w:rsidR="00BA3C7F" w:rsidRPr="00300A27">
        <w:rPr>
          <w:lang w:val="en-US" w:eastAsia="es-MX"/>
        </w:rPr>
        <w:t>the representatives</w:t>
      </w:r>
      <w:r w:rsidR="00106794" w:rsidRPr="00300A27">
        <w:rPr>
          <w:lang w:val="en-US" w:eastAsia="es-MX"/>
        </w:rPr>
        <w:t xml:space="preserve"> </w:t>
      </w:r>
      <w:r w:rsidR="00B86E74" w:rsidRPr="00300A27">
        <w:rPr>
          <w:lang w:val="en-US" w:eastAsia="es-MX"/>
        </w:rPr>
        <w:t>present</w:t>
      </w:r>
      <w:r w:rsidR="00DE7ED5" w:rsidRPr="00300A27">
        <w:rPr>
          <w:lang w:val="en-US" w:eastAsia="es-MX"/>
        </w:rPr>
        <w:t xml:space="preserve">ed vouchers for costs and expenses incurred prior to the presentation of the pleadings and motions brief with their final written arguments. The Court considers that, pursuant to Article 40(b) of the Rules of Procedure, this offer of evidence is time-barred and, consequently, when calculating the costs and expenses, it will not take it into consideration any voucher dated prior to the presentation of the </w:t>
      </w:r>
      <w:r w:rsidR="007071F6" w:rsidRPr="00300A27">
        <w:rPr>
          <w:lang w:val="en-US" w:eastAsia="es-MX"/>
        </w:rPr>
        <w:t>pleadings and motions brief</w:t>
      </w:r>
      <w:r w:rsidR="00DE7ED5" w:rsidRPr="00300A27">
        <w:rPr>
          <w:lang w:val="en-US" w:eastAsia="es-MX"/>
        </w:rPr>
        <w:t xml:space="preserve"> on December 11, </w:t>
      </w:r>
      <w:r w:rsidR="00B86E74" w:rsidRPr="00300A27">
        <w:rPr>
          <w:lang w:val="en-US" w:eastAsia="es-MX"/>
        </w:rPr>
        <w:t>2018.</w:t>
      </w:r>
      <w:bookmarkEnd w:id="47"/>
      <w:r w:rsidR="00B86E74" w:rsidRPr="00300A27">
        <w:rPr>
          <w:lang w:val="en-US" w:eastAsia="es-MX"/>
        </w:rPr>
        <w:t xml:space="preserve"> </w:t>
      </w:r>
    </w:p>
    <w:p w14:paraId="78A7E574" w14:textId="06DA20FF" w:rsidR="00C2698D" w:rsidRPr="00300A27" w:rsidRDefault="00D54665" w:rsidP="00B243B6">
      <w:pPr>
        <w:pStyle w:val="Prrafodelista"/>
        <w:numPr>
          <w:ilvl w:val="0"/>
          <w:numId w:val="3"/>
        </w:numPr>
        <w:tabs>
          <w:tab w:val="left" w:pos="567"/>
        </w:tabs>
        <w:ind w:left="0" w:firstLine="0"/>
        <w:jc w:val="both"/>
        <w:rPr>
          <w:lang w:eastAsia="es-MX"/>
        </w:rPr>
      </w:pPr>
      <w:r w:rsidRPr="00300A27">
        <w:rPr>
          <w:lang w:eastAsia="es-MX"/>
        </w:rPr>
        <w:t>Lastly</w:t>
      </w:r>
      <w:r w:rsidR="00981018" w:rsidRPr="00300A27">
        <w:rPr>
          <w:lang w:eastAsia="es-MX"/>
        </w:rPr>
        <w:t xml:space="preserve">, </w:t>
      </w:r>
      <w:r w:rsidR="005B1C65" w:rsidRPr="00300A27">
        <w:rPr>
          <w:lang w:eastAsia="es-MX"/>
        </w:rPr>
        <w:t>the State</w:t>
      </w:r>
      <w:r w:rsidR="00C2698D" w:rsidRPr="00300A27">
        <w:rPr>
          <w:lang w:eastAsia="es-MX"/>
        </w:rPr>
        <w:t xml:space="preserve"> </w:t>
      </w:r>
      <w:r w:rsidR="00DE7ED5" w:rsidRPr="00300A27">
        <w:rPr>
          <w:lang w:eastAsia="es-MX"/>
        </w:rPr>
        <w:t xml:space="preserve">contested the admissibility of the facts and evidence presented by the representatives on May 24, 2019, on the current situation of </w:t>
      </w:r>
      <w:r w:rsidR="00834A1B" w:rsidRPr="00300A27">
        <w:rPr>
          <w:lang w:eastAsia="es-MX"/>
        </w:rPr>
        <w:t>the presumed victim</w:t>
      </w:r>
      <w:r w:rsidR="008B1922" w:rsidRPr="00300A27">
        <w:rPr>
          <w:lang w:eastAsia="es-MX"/>
        </w:rPr>
        <w:t>.</w:t>
      </w:r>
      <w:r w:rsidR="008B1922" w:rsidRPr="00300A27">
        <w:rPr>
          <w:b/>
        </w:rPr>
        <w:t xml:space="preserve"> </w:t>
      </w:r>
      <w:r w:rsidR="00DE7ED5" w:rsidRPr="00300A27">
        <w:rPr>
          <w:lang w:eastAsia="es-MX"/>
        </w:rPr>
        <w:t xml:space="preserve">The Court notes that these facts do not form part of the purpose of the case and are, therefore, not admissible. </w:t>
      </w:r>
    </w:p>
    <w:p w14:paraId="2FF48ABB" w14:textId="4805913A" w:rsidR="00F21A57" w:rsidRPr="00300A27" w:rsidRDefault="009B35A1" w:rsidP="00B243B6">
      <w:pPr>
        <w:pStyle w:val="Ttulo2"/>
        <w:numPr>
          <w:ilvl w:val="1"/>
          <w:numId w:val="8"/>
        </w:numPr>
        <w:ind w:left="1134" w:hanging="567"/>
        <w:rPr>
          <w:lang w:val="en-US"/>
        </w:rPr>
      </w:pPr>
      <w:r w:rsidRPr="00300A27">
        <w:rPr>
          <w:lang w:val="en-US"/>
        </w:rPr>
        <w:t>Admissibility of the testimonial and expert evidence</w:t>
      </w:r>
    </w:p>
    <w:p w14:paraId="691F6D53" w14:textId="5E745219" w:rsidR="00B86E74" w:rsidRPr="00300A27" w:rsidRDefault="005B1C65" w:rsidP="00B243B6">
      <w:pPr>
        <w:pStyle w:val="Numberedparagraphs"/>
        <w:numPr>
          <w:ilvl w:val="0"/>
          <w:numId w:val="3"/>
        </w:numPr>
        <w:tabs>
          <w:tab w:val="left" w:pos="567"/>
        </w:tabs>
        <w:spacing w:before="120" w:after="120"/>
        <w:ind w:left="0" w:firstLine="0"/>
        <w:rPr>
          <w:lang w:val="en-US"/>
        </w:rPr>
      </w:pPr>
      <w:r w:rsidRPr="00300A27">
        <w:rPr>
          <w:lang w:val="en-US"/>
        </w:rPr>
        <w:t>Th</w:t>
      </w:r>
      <w:r w:rsidR="00DE7ED5" w:rsidRPr="00300A27">
        <w:rPr>
          <w:lang w:val="en-US"/>
        </w:rPr>
        <w:t>e</w:t>
      </w:r>
      <w:r w:rsidRPr="00300A27">
        <w:rPr>
          <w:lang w:val="en-US"/>
        </w:rPr>
        <w:t xml:space="preserve"> Court</w:t>
      </w:r>
      <w:r w:rsidR="00F21A57" w:rsidRPr="00300A27">
        <w:rPr>
          <w:lang w:val="en-US"/>
        </w:rPr>
        <w:t xml:space="preserve"> </w:t>
      </w:r>
      <w:r w:rsidR="009E607D" w:rsidRPr="00300A27">
        <w:rPr>
          <w:lang w:val="en-US"/>
        </w:rPr>
        <w:t>finds it pertinent to admit the statements made by affidavit</w:t>
      </w:r>
      <w:r w:rsidR="00F21A57" w:rsidRPr="00300A27">
        <w:rPr>
          <w:rStyle w:val="Refdenotaalpie"/>
          <w:lang w:val="en-US"/>
        </w:rPr>
        <w:footnoteReference w:id="39"/>
      </w:r>
      <w:r w:rsidRPr="00300A27">
        <w:rPr>
          <w:lang w:val="en-US"/>
        </w:rPr>
        <w:t xml:space="preserve"> and </w:t>
      </w:r>
      <w:r w:rsidR="009E607D" w:rsidRPr="00300A27">
        <w:rPr>
          <w:lang w:val="en-US"/>
        </w:rPr>
        <w:t>at the</w:t>
      </w:r>
      <w:r w:rsidR="00F21A57" w:rsidRPr="00300A27">
        <w:rPr>
          <w:lang w:val="en-US"/>
        </w:rPr>
        <w:t xml:space="preserve"> </w:t>
      </w:r>
      <w:r w:rsidR="007071F6" w:rsidRPr="00300A27">
        <w:rPr>
          <w:lang w:val="en-US"/>
        </w:rPr>
        <w:t>public hearing</w:t>
      </w:r>
      <w:r w:rsidR="00FA64B9" w:rsidRPr="00300A27">
        <w:rPr>
          <w:lang w:val="en-US"/>
        </w:rPr>
        <w:t>,</w:t>
      </w:r>
      <w:r w:rsidR="00F21A57" w:rsidRPr="00300A27">
        <w:rPr>
          <w:rStyle w:val="Refdenotaalpie"/>
          <w:lang w:val="en-US"/>
        </w:rPr>
        <w:footnoteReference w:id="40"/>
      </w:r>
      <w:r w:rsidR="00F21A57" w:rsidRPr="00300A27">
        <w:rPr>
          <w:lang w:val="en-US"/>
        </w:rPr>
        <w:t xml:space="preserve"> </w:t>
      </w:r>
      <w:r w:rsidR="009E607D" w:rsidRPr="00300A27">
        <w:rPr>
          <w:lang w:val="en-US"/>
        </w:rPr>
        <w:t xml:space="preserve">insofar as they </w:t>
      </w:r>
      <w:r w:rsidR="00FA64B9" w:rsidRPr="00300A27">
        <w:rPr>
          <w:lang w:val="en-US"/>
        </w:rPr>
        <w:t>a</w:t>
      </w:r>
      <w:r w:rsidR="009E607D" w:rsidRPr="00300A27">
        <w:rPr>
          <w:lang w:val="en-US"/>
        </w:rPr>
        <w:t xml:space="preserve">re in keeping with the purpose defined by the President in </w:t>
      </w:r>
      <w:r w:rsidR="00FA64B9" w:rsidRPr="00300A27">
        <w:rPr>
          <w:lang w:val="en-US"/>
        </w:rPr>
        <w:t xml:space="preserve">the </w:t>
      </w:r>
      <w:r w:rsidR="009E607D" w:rsidRPr="00300A27">
        <w:rPr>
          <w:lang w:val="en-US"/>
        </w:rPr>
        <w:t>order requiring them and the purpose of this case</w:t>
      </w:r>
      <w:r w:rsidR="00562354" w:rsidRPr="00300A27">
        <w:rPr>
          <w:lang w:val="en-US"/>
        </w:rPr>
        <w:t>.</w:t>
      </w:r>
      <w:r w:rsidR="00B86E74" w:rsidRPr="00300A27">
        <w:rPr>
          <w:lang w:val="en-US"/>
        </w:rPr>
        <w:t xml:space="preserve"> </w:t>
      </w:r>
    </w:p>
    <w:p w14:paraId="16BB321A" w14:textId="13091A22" w:rsidR="00B86E74" w:rsidRPr="00300A27" w:rsidRDefault="00BA3C7F" w:rsidP="00B243B6">
      <w:pPr>
        <w:pStyle w:val="Numberedparagraphs"/>
        <w:numPr>
          <w:ilvl w:val="0"/>
          <w:numId w:val="3"/>
        </w:numPr>
        <w:tabs>
          <w:tab w:val="left" w:pos="567"/>
        </w:tabs>
        <w:spacing w:before="120" w:after="120"/>
        <w:ind w:left="0" w:firstLine="0"/>
        <w:rPr>
          <w:lang w:val="en-US"/>
        </w:rPr>
      </w:pPr>
      <w:r w:rsidRPr="00300A27">
        <w:rPr>
          <w:lang w:val="en-US"/>
        </w:rPr>
        <w:t xml:space="preserve">The </w:t>
      </w:r>
      <w:r w:rsidRPr="00300A27">
        <w:rPr>
          <w:b/>
          <w:bCs/>
          <w:i/>
          <w:iCs/>
          <w:lang w:val="en-US"/>
        </w:rPr>
        <w:t>representatives</w:t>
      </w:r>
      <w:r w:rsidR="00B86E74" w:rsidRPr="00300A27">
        <w:rPr>
          <w:b/>
          <w:i/>
          <w:lang w:val="en-US"/>
        </w:rPr>
        <w:t xml:space="preserve"> </w:t>
      </w:r>
      <w:r w:rsidR="00B86E74" w:rsidRPr="00300A27">
        <w:rPr>
          <w:lang w:val="en-US"/>
        </w:rPr>
        <w:t>a</w:t>
      </w:r>
      <w:r w:rsidR="009E607D" w:rsidRPr="00300A27">
        <w:rPr>
          <w:lang w:val="en-US"/>
        </w:rPr>
        <w:t>rgued that the questions sent to the deponents offered by the State were disregarded or unanswered. They indicated that: (i) expert witness</w:t>
      </w:r>
      <w:r w:rsidR="00EA7ED0" w:rsidRPr="00300A27">
        <w:rPr>
          <w:lang w:val="en-US"/>
        </w:rPr>
        <w:t xml:space="preserve"> Víctor Manuel Cubas Villanueva </w:t>
      </w:r>
      <w:r w:rsidR="009E607D" w:rsidRPr="00300A27">
        <w:rPr>
          <w:lang w:val="en-US"/>
        </w:rPr>
        <w:t>failed to address the only question posed to him; (</w:t>
      </w:r>
      <w:r w:rsidR="00EA7ED0" w:rsidRPr="00300A27">
        <w:rPr>
          <w:lang w:val="en-US"/>
        </w:rPr>
        <w:t xml:space="preserve">ii) </w:t>
      </w:r>
      <w:r w:rsidR="009E607D" w:rsidRPr="00300A27">
        <w:rPr>
          <w:lang w:val="en-US"/>
        </w:rPr>
        <w:t>while expert witness</w:t>
      </w:r>
      <w:r w:rsidR="00EA7ED0" w:rsidRPr="00300A27">
        <w:rPr>
          <w:lang w:val="en-US"/>
        </w:rPr>
        <w:t xml:space="preserve"> Moisés Valdem</w:t>
      </w:r>
      <w:r w:rsidR="001053BA" w:rsidRPr="00300A27">
        <w:rPr>
          <w:lang w:val="en-US"/>
        </w:rPr>
        <w:t>ar Ponce Malaver</w:t>
      </w:r>
      <w:r w:rsidR="009E607D" w:rsidRPr="00300A27">
        <w:rPr>
          <w:lang w:val="en-US"/>
        </w:rPr>
        <w:t xml:space="preserve"> did address the questions posed, he indicated that he did not have the information requested even though, in his expert opinion, he referred to the training courses that he was asked about</w:t>
      </w:r>
      <w:r w:rsidR="00EA7ED0" w:rsidRPr="00300A27">
        <w:rPr>
          <w:lang w:val="en-US"/>
        </w:rPr>
        <w:t>,</w:t>
      </w:r>
      <w:r w:rsidR="005B1C65" w:rsidRPr="00300A27">
        <w:rPr>
          <w:lang w:val="en-US"/>
        </w:rPr>
        <w:t xml:space="preserve"> and </w:t>
      </w:r>
      <w:r w:rsidR="009E607D" w:rsidRPr="00300A27">
        <w:rPr>
          <w:lang w:val="en-US"/>
        </w:rPr>
        <w:t>(</w:t>
      </w:r>
      <w:r w:rsidR="00EA7ED0" w:rsidRPr="00300A27">
        <w:rPr>
          <w:lang w:val="en-US"/>
        </w:rPr>
        <w:t xml:space="preserve">iii) </w:t>
      </w:r>
      <w:r w:rsidR="009E607D" w:rsidRPr="00300A27">
        <w:rPr>
          <w:lang w:val="en-US"/>
        </w:rPr>
        <w:t>expert witness</w:t>
      </w:r>
      <w:r w:rsidR="00EA7ED0" w:rsidRPr="00300A27">
        <w:rPr>
          <w:lang w:val="en-US"/>
        </w:rPr>
        <w:t xml:space="preserve"> Luís Alberto Naldos Blanco</w:t>
      </w:r>
      <w:r w:rsidR="009E607D" w:rsidRPr="00300A27">
        <w:rPr>
          <w:lang w:val="en-US"/>
        </w:rPr>
        <w:t xml:space="preserve"> indicated that the question fell outside the purpose of his expert opinion, even though it was within this purpose and</w:t>
      </w:r>
      <w:r w:rsidR="00FA64B9" w:rsidRPr="00300A27">
        <w:rPr>
          <w:lang w:val="en-US"/>
        </w:rPr>
        <w:t xml:space="preserve"> the</w:t>
      </w:r>
      <w:r w:rsidR="00EA7ED0" w:rsidRPr="00300A27">
        <w:rPr>
          <w:lang w:val="en-US"/>
        </w:rPr>
        <w:t xml:space="preserve"> </w:t>
      </w:r>
      <w:r w:rsidR="009E607D" w:rsidRPr="00300A27">
        <w:rPr>
          <w:lang w:val="en-US"/>
        </w:rPr>
        <w:t>expert witness referred to this aspect in the text of his expert opinion</w:t>
      </w:r>
      <w:r w:rsidR="004051D6" w:rsidRPr="00300A27">
        <w:rPr>
          <w:lang w:val="en-US"/>
        </w:rPr>
        <w:t>;</w:t>
      </w:r>
      <w:r w:rsidR="009E607D" w:rsidRPr="00300A27">
        <w:rPr>
          <w:lang w:val="en-US"/>
        </w:rPr>
        <w:t xml:space="preserve"> a</w:t>
      </w:r>
      <w:r w:rsidR="004051D6" w:rsidRPr="00300A27">
        <w:rPr>
          <w:lang w:val="en-US"/>
        </w:rPr>
        <w:t>lso</w:t>
      </w:r>
      <w:r w:rsidR="009E607D" w:rsidRPr="00300A27">
        <w:rPr>
          <w:lang w:val="en-US"/>
        </w:rPr>
        <w:t xml:space="preserve"> the answer </w:t>
      </w:r>
      <w:r w:rsidR="004051D6" w:rsidRPr="00300A27">
        <w:rPr>
          <w:lang w:val="en-US"/>
        </w:rPr>
        <w:t>wa</w:t>
      </w:r>
      <w:r w:rsidR="009E607D" w:rsidRPr="00300A27">
        <w:rPr>
          <w:lang w:val="en-US"/>
        </w:rPr>
        <w:t xml:space="preserve">s given in the plural and it </w:t>
      </w:r>
      <w:r w:rsidR="004051D6" w:rsidRPr="00300A27">
        <w:rPr>
          <w:lang w:val="en-US"/>
        </w:rPr>
        <w:t>was</w:t>
      </w:r>
      <w:r w:rsidR="009E607D" w:rsidRPr="00300A27">
        <w:rPr>
          <w:lang w:val="en-US"/>
        </w:rPr>
        <w:t xml:space="preserve"> not clear whether the</w:t>
      </w:r>
      <w:r w:rsidR="00EA7ED0" w:rsidRPr="00300A27">
        <w:rPr>
          <w:lang w:val="en-US"/>
        </w:rPr>
        <w:t xml:space="preserve"> </w:t>
      </w:r>
      <w:r w:rsidR="009E607D" w:rsidRPr="00300A27">
        <w:rPr>
          <w:lang w:val="en-US"/>
        </w:rPr>
        <w:t>expert witness</w:t>
      </w:r>
      <w:r w:rsidR="00EA7ED0" w:rsidRPr="00300A27">
        <w:rPr>
          <w:lang w:val="en-US"/>
        </w:rPr>
        <w:t xml:space="preserve"> </w:t>
      </w:r>
      <w:r w:rsidR="009E607D" w:rsidRPr="00300A27">
        <w:rPr>
          <w:lang w:val="en-US"/>
        </w:rPr>
        <w:t>was answering the question directly. They therefore asked the Court to take these comments into account when assessing th</w:t>
      </w:r>
      <w:r w:rsidR="004051D6" w:rsidRPr="00300A27">
        <w:rPr>
          <w:lang w:val="en-US"/>
        </w:rPr>
        <w:t>is</w:t>
      </w:r>
      <w:r w:rsidR="009E607D" w:rsidRPr="00300A27">
        <w:rPr>
          <w:lang w:val="en-US"/>
        </w:rPr>
        <w:t xml:space="preserve"> evidence.</w:t>
      </w:r>
    </w:p>
    <w:p w14:paraId="7B423FE9" w14:textId="0D72E351" w:rsidR="00EA7ED0" w:rsidRPr="00300A27" w:rsidRDefault="009E607D" w:rsidP="00B243B6">
      <w:pPr>
        <w:pStyle w:val="Numberedparagraphs"/>
        <w:numPr>
          <w:ilvl w:val="0"/>
          <w:numId w:val="3"/>
        </w:numPr>
        <w:tabs>
          <w:tab w:val="left" w:pos="567"/>
        </w:tabs>
        <w:spacing w:before="120" w:after="120"/>
        <w:ind w:left="0" w:firstLine="0"/>
        <w:rPr>
          <w:lang w:val="en-US"/>
        </w:rPr>
      </w:pPr>
      <w:r w:rsidRPr="00300A27">
        <w:rPr>
          <w:lang w:val="en-US"/>
        </w:rPr>
        <w:t>First</w:t>
      </w:r>
      <w:r w:rsidR="00EA7ED0" w:rsidRPr="00300A27">
        <w:rPr>
          <w:lang w:val="en-US"/>
        </w:rPr>
        <w:t xml:space="preserve">, </w:t>
      </w:r>
      <w:r w:rsidR="005B1C65" w:rsidRPr="00300A27">
        <w:rPr>
          <w:lang w:val="en-US"/>
        </w:rPr>
        <w:t>the Court</w:t>
      </w:r>
      <w:r w:rsidR="00EA7ED0" w:rsidRPr="00300A27">
        <w:rPr>
          <w:lang w:val="en-US"/>
        </w:rPr>
        <w:t xml:space="preserve"> </w:t>
      </w:r>
      <w:r w:rsidRPr="00300A27">
        <w:rPr>
          <w:lang w:val="en-US"/>
        </w:rPr>
        <w:t>notes that</w:t>
      </w:r>
      <w:r w:rsidR="00EA7ED0" w:rsidRPr="00300A27">
        <w:rPr>
          <w:lang w:val="en-US"/>
        </w:rPr>
        <w:t xml:space="preserve"> </w:t>
      </w:r>
      <w:r w:rsidRPr="00300A27">
        <w:rPr>
          <w:lang w:val="en-US"/>
        </w:rPr>
        <w:t>expert witness</w:t>
      </w:r>
      <w:r w:rsidR="00EA7ED0" w:rsidRPr="00300A27">
        <w:rPr>
          <w:lang w:val="en-US"/>
        </w:rPr>
        <w:t xml:space="preserve"> Cubas Villanueva </w:t>
      </w:r>
      <w:r w:rsidRPr="00300A27">
        <w:rPr>
          <w:lang w:val="en-US"/>
        </w:rPr>
        <w:t xml:space="preserve">did not explicitly answer the only question posed by </w:t>
      </w:r>
      <w:r w:rsidR="00BA3C7F" w:rsidRPr="00300A27">
        <w:rPr>
          <w:lang w:val="en-US"/>
        </w:rPr>
        <w:t>the representatives</w:t>
      </w:r>
      <w:r w:rsidRPr="00300A27">
        <w:rPr>
          <w:lang w:val="en-US"/>
        </w:rPr>
        <w:t xml:space="preserve">, and </w:t>
      </w:r>
      <w:r w:rsidR="00EA7ED0" w:rsidRPr="00300A27">
        <w:rPr>
          <w:lang w:val="en-US"/>
        </w:rPr>
        <w:t>reitera</w:t>
      </w:r>
      <w:r w:rsidRPr="00300A27">
        <w:rPr>
          <w:lang w:val="en-US"/>
        </w:rPr>
        <w:t>tes the duty of the party that offers a</w:t>
      </w:r>
      <w:r w:rsidR="00EA7ED0" w:rsidRPr="00300A27">
        <w:rPr>
          <w:lang w:val="en-US"/>
        </w:rPr>
        <w:t xml:space="preserve"> </w:t>
      </w:r>
      <w:r w:rsidR="00910D8E" w:rsidRPr="00300A27">
        <w:rPr>
          <w:lang w:val="en-US"/>
        </w:rPr>
        <w:t xml:space="preserve">statement </w:t>
      </w:r>
      <w:r w:rsidRPr="00300A27">
        <w:rPr>
          <w:lang w:val="en-US"/>
        </w:rPr>
        <w:t xml:space="preserve">to take the necessary steps to forward the questions to the deponents and to ensure that they </w:t>
      </w:r>
      <w:r w:rsidR="004051D6" w:rsidRPr="00300A27">
        <w:rPr>
          <w:lang w:val="en-US"/>
        </w:rPr>
        <w:t>provide</w:t>
      </w:r>
      <w:r w:rsidRPr="00300A27">
        <w:rPr>
          <w:lang w:val="en-US"/>
        </w:rPr>
        <w:t xml:space="preserve"> the respective answers.</w:t>
      </w:r>
      <w:r w:rsidR="00EA7ED0" w:rsidRPr="00300A27">
        <w:rPr>
          <w:rStyle w:val="Refdenotaalpie"/>
          <w:lang w:val="en-US"/>
        </w:rPr>
        <w:footnoteReference w:id="41"/>
      </w:r>
      <w:r w:rsidRPr="00300A27">
        <w:rPr>
          <w:lang w:val="en-US"/>
        </w:rPr>
        <w:t xml:space="preserve"> Nevertheless, the Court considers that the failure to answer the questions of the other party does not affect the admissibility of a statement and is an aspect that, according to the scope of a deponent</w:t>
      </w:r>
      <w:r w:rsidR="004051D6" w:rsidRPr="00300A27">
        <w:rPr>
          <w:lang w:val="en-US"/>
        </w:rPr>
        <w:t>’s silence</w:t>
      </w:r>
      <w:r w:rsidRPr="00300A27">
        <w:rPr>
          <w:lang w:val="en-US"/>
        </w:rPr>
        <w:t xml:space="preserve">, may have an impact on the probative value of </w:t>
      </w:r>
      <w:r w:rsidR="004051D6" w:rsidRPr="00300A27">
        <w:rPr>
          <w:lang w:val="en-US"/>
        </w:rPr>
        <w:t>the</w:t>
      </w:r>
      <w:r w:rsidRPr="00300A27">
        <w:rPr>
          <w:lang w:val="en-US"/>
        </w:rPr>
        <w:t xml:space="preserve"> statement or expert opinion, an aspect that will be assessed when examining the merits of the case.</w:t>
      </w:r>
      <w:r w:rsidR="00EA7ED0" w:rsidRPr="00300A27">
        <w:rPr>
          <w:rStyle w:val="Refdenotaalpie"/>
          <w:lang w:val="en-US"/>
        </w:rPr>
        <w:footnoteReference w:id="42"/>
      </w:r>
      <w:r w:rsidRPr="00300A27">
        <w:rPr>
          <w:lang w:val="en-US"/>
        </w:rPr>
        <w:t xml:space="preserve"> Second, </w:t>
      </w:r>
      <w:r w:rsidR="004051D6" w:rsidRPr="00300A27">
        <w:rPr>
          <w:lang w:val="en-US"/>
        </w:rPr>
        <w:t>t</w:t>
      </w:r>
      <w:r w:rsidRPr="00300A27">
        <w:rPr>
          <w:lang w:val="en-US"/>
        </w:rPr>
        <w:t xml:space="preserve">he Court notes that the </w:t>
      </w:r>
      <w:r w:rsidR="004051D6" w:rsidRPr="00300A27">
        <w:rPr>
          <w:lang w:val="en-US"/>
        </w:rPr>
        <w:t>comments</w:t>
      </w:r>
      <w:r w:rsidRPr="00300A27">
        <w:rPr>
          <w:lang w:val="en-US"/>
        </w:rPr>
        <w:t xml:space="preserve"> made by </w:t>
      </w:r>
      <w:r w:rsidR="00BA3C7F" w:rsidRPr="00300A27">
        <w:rPr>
          <w:lang w:val="en-US"/>
        </w:rPr>
        <w:t>the representatives</w:t>
      </w:r>
      <w:r w:rsidR="00EA7ED0" w:rsidRPr="00300A27">
        <w:rPr>
          <w:lang w:val="en-US"/>
        </w:rPr>
        <w:t xml:space="preserve"> </w:t>
      </w:r>
      <w:r w:rsidRPr="00300A27">
        <w:rPr>
          <w:lang w:val="en-US"/>
        </w:rPr>
        <w:t xml:space="preserve">on the expert opinions of Messrs. </w:t>
      </w:r>
      <w:r w:rsidR="00EA7ED0" w:rsidRPr="00300A27">
        <w:rPr>
          <w:lang w:val="en-US"/>
        </w:rPr>
        <w:t>Ponce Malaver</w:t>
      </w:r>
      <w:r w:rsidR="005B1C65" w:rsidRPr="00300A27">
        <w:rPr>
          <w:lang w:val="en-US"/>
        </w:rPr>
        <w:t xml:space="preserve"> and </w:t>
      </w:r>
      <w:r w:rsidR="00EA7ED0" w:rsidRPr="00300A27">
        <w:rPr>
          <w:lang w:val="en-US"/>
        </w:rPr>
        <w:t xml:space="preserve">Naldos Blanco </w:t>
      </w:r>
      <w:r w:rsidRPr="00300A27">
        <w:rPr>
          <w:lang w:val="en-US"/>
        </w:rPr>
        <w:t>relate to their content and probative value, but not to their admissibility.</w:t>
      </w:r>
    </w:p>
    <w:p w14:paraId="379AC874" w14:textId="71EFC116" w:rsidR="00EA7ED0" w:rsidRPr="00300A27" w:rsidRDefault="009E607D" w:rsidP="00B243B6">
      <w:pPr>
        <w:pStyle w:val="Numberedparagraphs"/>
        <w:numPr>
          <w:ilvl w:val="0"/>
          <w:numId w:val="3"/>
        </w:numPr>
        <w:tabs>
          <w:tab w:val="left" w:pos="567"/>
        </w:tabs>
        <w:spacing w:before="120" w:after="120"/>
        <w:ind w:left="0" w:firstLine="0"/>
        <w:rPr>
          <w:lang w:val="en-US"/>
        </w:rPr>
      </w:pPr>
      <w:r w:rsidRPr="00300A27">
        <w:rPr>
          <w:lang w:val="en-US"/>
        </w:rPr>
        <w:t>Consequently</w:t>
      </w:r>
      <w:r w:rsidR="00EA7ED0" w:rsidRPr="00300A27">
        <w:rPr>
          <w:lang w:val="en-US"/>
        </w:rPr>
        <w:t xml:space="preserve">, </w:t>
      </w:r>
      <w:r w:rsidR="005B1C65" w:rsidRPr="00300A27">
        <w:rPr>
          <w:lang w:val="en-US"/>
        </w:rPr>
        <w:t>the Court</w:t>
      </w:r>
      <w:r w:rsidR="00EA7ED0" w:rsidRPr="00300A27">
        <w:rPr>
          <w:lang w:val="en-US"/>
        </w:rPr>
        <w:t xml:space="preserve"> </w:t>
      </w:r>
      <w:r w:rsidRPr="00300A27">
        <w:rPr>
          <w:lang w:val="en-US"/>
        </w:rPr>
        <w:t xml:space="preserve">finds it pertinent to admit the expert opinions of </w:t>
      </w:r>
      <w:r w:rsidR="00EA7ED0" w:rsidRPr="00300A27">
        <w:rPr>
          <w:lang w:val="en-US"/>
        </w:rPr>
        <w:t>V</w:t>
      </w:r>
      <w:r w:rsidR="00E52D46" w:rsidRPr="00300A27">
        <w:rPr>
          <w:lang w:val="en-US"/>
        </w:rPr>
        <w:t>í</w:t>
      </w:r>
      <w:r w:rsidR="00EA7ED0" w:rsidRPr="00300A27">
        <w:rPr>
          <w:lang w:val="en-US"/>
        </w:rPr>
        <w:t>ctor Manuel Cubas Villanueva, Moisés Valdemar Ponce Malaver</w:t>
      </w:r>
      <w:r w:rsidR="005B1C65" w:rsidRPr="00300A27">
        <w:rPr>
          <w:lang w:val="en-US"/>
        </w:rPr>
        <w:t xml:space="preserve"> and </w:t>
      </w:r>
      <w:r w:rsidR="00EA7ED0" w:rsidRPr="00300A27">
        <w:rPr>
          <w:lang w:val="en-US"/>
        </w:rPr>
        <w:t>Luis Alberto Naldos Blanco of</w:t>
      </w:r>
      <w:r w:rsidRPr="00300A27">
        <w:rPr>
          <w:lang w:val="en-US"/>
        </w:rPr>
        <w:t>fered by</w:t>
      </w:r>
      <w:r w:rsidR="00EA7ED0" w:rsidRPr="00300A27">
        <w:rPr>
          <w:lang w:val="en-US"/>
        </w:rPr>
        <w:t xml:space="preserve"> </w:t>
      </w:r>
      <w:r w:rsidR="006B5575" w:rsidRPr="00300A27">
        <w:rPr>
          <w:lang w:val="en-US"/>
        </w:rPr>
        <w:t>Peru</w:t>
      </w:r>
      <w:r w:rsidR="00EA7ED0" w:rsidRPr="00300A27">
        <w:rPr>
          <w:lang w:val="en-US"/>
        </w:rPr>
        <w:t xml:space="preserve">, </w:t>
      </w:r>
      <w:r w:rsidRPr="00300A27">
        <w:rPr>
          <w:lang w:val="en-US"/>
        </w:rPr>
        <w:t xml:space="preserve">insofar as they are in keeping with their purpose, bearing in mind the relevant comments </w:t>
      </w:r>
      <w:r w:rsidR="007071F6" w:rsidRPr="00300A27">
        <w:rPr>
          <w:lang w:val="en-US"/>
        </w:rPr>
        <w:t xml:space="preserve">of the </w:t>
      </w:r>
      <w:r w:rsidR="00BA3C7F" w:rsidRPr="00300A27">
        <w:rPr>
          <w:lang w:val="en-US"/>
        </w:rPr>
        <w:t>representatives</w:t>
      </w:r>
      <w:r w:rsidR="00EA7ED0" w:rsidRPr="00300A27">
        <w:rPr>
          <w:lang w:val="en-US"/>
        </w:rPr>
        <w:t xml:space="preserve"> </w:t>
      </w:r>
      <w:r w:rsidRPr="00300A27">
        <w:rPr>
          <w:lang w:val="en-US"/>
        </w:rPr>
        <w:t>when assessing their probative value.</w:t>
      </w:r>
    </w:p>
    <w:p w14:paraId="4FF3C6B5" w14:textId="7AC6F416" w:rsidR="009E607D" w:rsidRPr="00300A27" w:rsidRDefault="009E607D" w:rsidP="00B243B6">
      <w:pPr>
        <w:pStyle w:val="Numberedparagraphs"/>
        <w:numPr>
          <w:ilvl w:val="0"/>
          <w:numId w:val="3"/>
        </w:numPr>
        <w:tabs>
          <w:tab w:val="left" w:pos="567"/>
        </w:tabs>
        <w:spacing w:before="120" w:after="120"/>
        <w:ind w:left="0" w:firstLine="0"/>
        <w:rPr>
          <w:lang w:val="en-US"/>
        </w:rPr>
      </w:pPr>
      <w:r w:rsidRPr="00300A27">
        <w:rPr>
          <w:lang w:val="en-US"/>
        </w:rPr>
        <w:t>The</w:t>
      </w:r>
      <w:r w:rsidR="005B1C65" w:rsidRPr="00300A27">
        <w:rPr>
          <w:lang w:val="en-US"/>
        </w:rPr>
        <w:t xml:space="preserve"> State</w:t>
      </w:r>
      <w:r w:rsidR="00B86E74" w:rsidRPr="00300A27">
        <w:rPr>
          <w:lang w:val="en-US"/>
        </w:rPr>
        <w:t xml:space="preserve"> </w:t>
      </w:r>
      <w:r w:rsidRPr="00300A27">
        <w:rPr>
          <w:lang w:val="en-US"/>
        </w:rPr>
        <w:t xml:space="preserve">made several comments on the </w:t>
      </w:r>
      <w:r w:rsidR="00910D8E" w:rsidRPr="00300A27">
        <w:rPr>
          <w:lang w:val="en-US"/>
        </w:rPr>
        <w:t>statement by</w:t>
      </w:r>
      <w:r w:rsidR="00B86E74" w:rsidRPr="00300A27">
        <w:rPr>
          <w:lang w:val="en-US"/>
        </w:rPr>
        <w:t xml:space="preserve"> Víctor Álvarez. </w:t>
      </w:r>
      <w:r w:rsidRPr="00300A27">
        <w:rPr>
          <w:lang w:val="en-US"/>
        </w:rPr>
        <w:t xml:space="preserve">First, it indicated that the fact that Mr. </w:t>
      </w:r>
      <w:r w:rsidR="00B86E74" w:rsidRPr="00300A27">
        <w:rPr>
          <w:lang w:val="en-US"/>
        </w:rPr>
        <w:t xml:space="preserve">Álvarez </w:t>
      </w:r>
      <w:r w:rsidRPr="00300A27">
        <w:rPr>
          <w:lang w:val="en-US"/>
        </w:rPr>
        <w:t xml:space="preserve">had been </w:t>
      </w:r>
      <w:r w:rsidR="00366550" w:rsidRPr="00300A27">
        <w:rPr>
          <w:lang w:val="en-US"/>
        </w:rPr>
        <w:t>summoned</w:t>
      </w:r>
      <w:r w:rsidRPr="00300A27">
        <w:rPr>
          <w:lang w:val="en-US"/>
        </w:rPr>
        <w:t xml:space="preserve"> to make his statement at the</w:t>
      </w:r>
      <w:r w:rsidR="00B86E74" w:rsidRPr="00300A27">
        <w:rPr>
          <w:lang w:val="en-US"/>
        </w:rPr>
        <w:t xml:space="preserve"> </w:t>
      </w:r>
      <w:r w:rsidR="007071F6" w:rsidRPr="00300A27">
        <w:rPr>
          <w:lang w:val="en-US"/>
        </w:rPr>
        <w:t>public hearing</w:t>
      </w:r>
      <w:r w:rsidR="004051D6" w:rsidRPr="00300A27">
        <w:rPr>
          <w:lang w:val="en-US"/>
        </w:rPr>
        <w:t xml:space="preserve"> – in</w:t>
      </w:r>
      <w:r w:rsidRPr="00300A27">
        <w:rPr>
          <w:lang w:val="en-US"/>
        </w:rPr>
        <w:t xml:space="preserve"> the order </w:t>
      </w:r>
      <w:r w:rsidR="004051D6" w:rsidRPr="00300A27">
        <w:rPr>
          <w:lang w:val="en-US"/>
        </w:rPr>
        <w:t>amending</w:t>
      </w:r>
      <w:r w:rsidRPr="00300A27">
        <w:rPr>
          <w:lang w:val="en-US"/>
        </w:rPr>
        <w:t xml:space="preserve"> the order calling the public hearing </w:t>
      </w:r>
      <w:r w:rsidR="004051D6" w:rsidRPr="00300A27">
        <w:rPr>
          <w:lang w:val="en-US"/>
        </w:rPr>
        <w:t>– infringed</w:t>
      </w:r>
      <w:r w:rsidRPr="00300A27">
        <w:rPr>
          <w:lang w:val="en-US"/>
        </w:rPr>
        <w:t xml:space="preserve"> the principle of the “equality of arms” and the Peruvian State</w:t>
      </w:r>
      <w:r w:rsidR="00366550" w:rsidRPr="00300A27">
        <w:rPr>
          <w:lang w:val="en-US"/>
        </w:rPr>
        <w:t>’s right of defense</w:t>
      </w:r>
      <w:r w:rsidRPr="00300A27">
        <w:rPr>
          <w:lang w:val="en-US"/>
        </w:rPr>
        <w:t xml:space="preserve">. It pointed out that, as of July 30, 2019, </w:t>
      </w:r>
      <w:r w:rsidR="00BA3C7F" w:rsidRPr="00300A27">
        <w:rPr>
          <w:rFonts w:cs="Arial"/>
          <w:lang w:val="en-US"/>
        </w:rPr>
        <w:t>the representatives</w:t>
      </w:r>
      <w:r w:rsidR="00B86E74" w:rsidRPr="00300A27">
        <w:rPr>
          <w:rFonts w:cs="Arial"/>
          <w:lang w:val="en-US"/>
        </w:rPr>
        <w:t>,</w:t>
      </w:r>
      <w:r w:rsidR="005B1C65" w:rsidRPr="00300A27">
        <w:rPr>
          <w:rFonts w:cs="Arial"/>
          <w:lang w:val="en-US"/>
        </w:rPr>
        <w:t xml:space="preserve"> and</w:t>
      </w:r>
      <w:r w:rsidRPr="00300A27">
        <w:rPr>
          <w:rFonts w:cs="Arial"/>
          <w:lang w:val="en-US"/>
        </w:rPr>
        <w:t xml:space="preserve"> consequently the witness, were aware of the questions that the Peruvian State wished to ask him and</w:t>
      </w:r>
      <w:r w:rsidR="00366550" w:rsidRPr="00300A27">
        <w:rPr>
          <w:rFonts w:cs="Arial"/>
          <w:lang w:val="en-US"/>
        </w:rPr>
        <w:t>, therefore,</w:t>
      </w:r>
      <w:r w:rsidRPr="00300A27">
        <w:rPr>
          <w:rFonts w:cs="Arial"/>
          <w:lang w:val="en-US"/>
        </w:rPr>
        <w:t xml:space="preserve"> </w:t>
      </w:r>
      <w:r w:rsidR="00366550" w:rsidRPr="00300A27">
        <w:rPr>
          <w:rFonts w:cs="Arial"/>
          <w:lang w:val="en-US"/>
        </w:rPr>
        <w:t>knew</w:t>
      </w:r>
      <w:r w:rsidRPr="00300A27">
        <w:rPr>
          <w:rFonts w:cs="Arial"/>
          <w:lang w:val="en-US"/>
        </w:rPr>
        <w:t xml:space="preserve"> part of the Peruvian State’s strategy with 28 days’ advance notice. </w:t>
      </w:r>
    </w:p>
    <w:p w14:paraId="2ADAC238" w14:textId="4F40FDF8" w:rsidR="009E607D" w:rsidRPr="00300A27" w:rsidRDefault="009E607D" w:rsidP="00B243B6">
      <w:pPr>
        <w:pStyle w:val="Numberedparagraphs"/>
        <w:numPr>
          <w:ilvl w:val="0"/>
          <w:numId w:val="3"/>
        </w:numPr>
        <w:tabs>
          <w:tab w:val="left" w:pos="567"/>
        </w:tabs>
        <w:spacing w:before="120" w:after="120"/>
        <w:ind w:left="0" w:firstLine="0"/>
        <w:rPr>
          <w:lang w:val="en-US"/>
        </w:rPr>
      </w:pPr>
      <w:r w:rsidRPr="00300A27">
        <w:rPr>
          <w:lang w:val="en-US"/>
        </w:rPr>
        <w:t>Regarding the State’s comment, the Court recalls that, at the proper procedural moment, it was advised that, it could pose other questions to the witness</w:t>
      </w:r>
      <w:r w:rsidR="00366550" w:rsidRPr="00300A27">
        <w:rPr>
          <w:lang w:val="en-US"/>
        </w:rPr>
        <w:t xml:space="preserve"> at the public hearing</w:t>
      </w:r>
      <w:r w:rsidRPr="00300A27">
        <w:rPr>
          <w:lang w:val="en-US"/>
        </w:rPr>
        <w:t>. Consequently, the Court does not find that the Peruvian State’s defense was affected. Regarding the other comments made by the State, the Court will take them into account when assessing their probative value.</w:t>
      </w:r>
    </w:p>
    <w:p w14:paraId="1287EAC4" w14:textId="365BCB79" w:rsidR="00121FEF" w:rsidRPr="00300A27" w:rsidRDefault="00121FEF" w:rsidP="00B243B6">
      <w:pPr>
        <w:pStyle w:val="Ttulo1"/>
        <w:tabs>
          <w:tab w:val="left" w:pos="567"/>
        </w:tabs>
        <w:rPr>
          <w:lang w:val="en-US"/>
        </w:rPr>
      </w:pPr>
      <w:bookmarkStart w:id="48" w:name="_Toc531172520"/>
      <w:bookmarkStart w:id="49" w:name="_Toc531162224"/>
      <w:bookmarkStart w:id="50" w:name="_Toc529790109"/>
      <w:bookmarkStart w:id="51" w:name="_Toc528937209"/>
      <w:bookmarkStart w:id="52" w:name="_Toc527465087"/>
      <w:bookmarkStart w:id="53" w:name="_Toc527464895"/>
      <w:bookmarkStart w:id="54" w:name="_Toc514063395"/>
      <w:bookmarkStart w:id="55" w:name="_Toc512498987"/>
      <w:bookmarkStart w:id="56" w:name="_Toc504661213"/>
      <w:bookmarkStart w:id="57" w:name="_Toc504656585"/>
      <w:bookmarkStart w:id="58" w:name="_Toc503594853"/>
      <w:bookmarkStart w:id="59" w:name="_Toc502891557"/>
      <w:bookmarkStart w:id="60" w:name="_Toc502023010"/>
      <w:bookmarkStart w:id="61" w:name="_Toc501802115"/>
      <w:bookmarkStart w:id="62" w:name="_Toc32394146"/>
      <w:bookmarkStart w:id="63" w:name="_Toc36823464"/>
      <w:r w:rsidRPr="00300A27">
        <w:rPr>
          <w:lang w:val="en-US"/>
        </w:rPr>
        <w:t>VI</w:t>
      </w:r>
      <w:r w:rsidR="008A33EC" w:rsidRPr="00300A27">
        <w:rPr>
          <w:lang w:val="en-US"/>
        </w:rPr>
        <w:br/>
      </w:r>
      <w:r w:rsidR="00C35B21" w:rsidRPr="00300A27">
        <w:rPr>
          <w:lang w:val="en-US"/>
        </w:rPr>
        <w:t>FACTS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300A27">
        <w:rPr>
          <w:lang w:val="en-US"/>
        </w:rPr>
        <w:t xml:space="preserve"> </w:t>
      </w:r>
    </w:p>
    <w:p w14:paraId="034609BE" w14:textId="79B6C3FF" w:rsidR="00121FEF" w:rsidRPr="00300A27" w:rsidRDefault="009E607D" w:rsidP="00B243B6">
      <w:pPr>
        <w:pStyle w:val="PrrafodeSentencia"/>
        <w:numPr>
          <w:ilvl w:val="0"/>
          <w:numId w:val="3"/>
        </w:numPr>
        <w:spacing w:before="120" w:after="120"/>
        <w:ind w:left="0" w:firstLine="0"/>
        <w:rPr>
          <w:spacing w:val="0"/>
          <w:lang w:val="en-US"/>
        </w:rPr>
      </w:pPr>
      <w:r w:rsidRPr="00300A27">
        <w:rPr>
          <w:spacing w:val="0"/>
          <w:lang w:val="en-US"/>
        </w:rPr>
        <w:t xml:space="preserve">This case refers to the detention and alleged torture of </w:t>
      </w:r>
      <w:r w:rsidR="00121FEF" w:rsidRPr="00300A27">
        <w:rPr>
          <w:spacing w:val="0"/>
          <w:lang w:val="en-US"/>
        </w:rPr>
        <w:t xml:space="preserve">Azul Rojas Marín. </w:t>
      </w:r>
      <w:r w:rsidRPr="00300A27">
        <w:rPr>
          <w:spacing w:val="0"/>
          <w:lang w:val="en-US"/>
        </w:rPr>
        <w:t xml:space="preserve">Based on the </w:t>
      </w:r>
      <w:r w:rsidR="00366550" w:rsidRPr="00300A27">
        <w:rPr>
          <w:spacing w:val="0"/>
          <w:lang w:val="en-US"/>
        </w:rPr>
        <w:t>arguments</w:t>
      </w:r>
      <w:r w:rsidRPr="00300A27">
        <w:rPr>
          <w:spacing w:val="0"/>
          <w:lang w:val="en-US"/>
        </w:rPr>
        <w:t xml:space="preserve"> submitted by the </w:t>
      </w:r>
      <w:r w:rsidR="00DE1419" w:rsidRPr="00300A27">
        <w:rPr>
          <w:spacing w:val="0"/>
          <w:lang w:val="en-US"/>
        </w:rPr>
        <w:t xml:space="preserve">parties and the </w:t>
      </w:r>
      <w:r w:rsidR="00C3087E" w:rsidRPr="00300A27">
        <w:rPr>
          <w:spacing w:val="0"/>
          <w:lang w:val="en-US"/>
        </w:rPr>
        <w:t>Commission</w:t>
      </w:r>
      <w:r w:rsidR="00121FEF" w:rsidRPr="00300A27">
        <w:rPr>
          <w:spacing w:val="0"/>
          <w:lang w:val="en-US"/>
        </w:rPr>
        <w:t xml:space="preserve">, </w:t>
      </w:r>
      <w:r w:rsidRPr="00300A27">
        <w:rPr>
          <w:spacing w:val="0"/>
          <w:lang w:val="en-US"/>
        </w:rPr>
        <w:t>the Court will describe the main facts of the case in the following order</w:t>
      </w:r>
      <w:r w:rsidR="00121FEF" w:rsidRPr="00300A27">
        <w:rPr>
          <w:spacing w:val="0"/>
          <w:lang w:val="en-US"/>
        </w:rPr>
        <w:t xml:space="preserve">: </w:t>
      </w:r>
      <w:r w:rsidRPr="00300A27">
        <w:rPr>
          <w:spacing w:val="0"/>
          <w:lang w:val="en-US"/>
        </w:rPr>
        <w:t>(</w:t>
      </w:r>
      <w:r w:rsidR="00121FEF" w:rsidRPr="00300A27">
        <w:rPr>
          <w:spacing w:val="0"/>
          <w:lang w:val="en-US"/>
        </w:rPr>
        <w:t xml:space="preserve">a) </w:t>
      </w:r>
      <w:r w:rsidRPr="00300A27">
        <w:rPr>
          <w:spacing w:val="0"/>
          <w:lang w:val="en-US"/>
        </w:rPr>
        <w:t>the</w:t>
      </w:r>
      <w:r w:rsidR="003A0688" w:rsidRPr="00300A27">
        <w:rPr>
          <w:spacing w:val="0"/>
          <w:lang w:val="en-US"/>
        </w:rPr>
        <w:t xml:space="preserve"> </w:t>
      </w:r>
      <w:r w:rsidRPr="00300A27">
        <w:rPr>
          <w:spacing w:val="0"/>
          <w:lang w:val="en-US"/>
        </w:rPr>
        <w:t>s</w:t>
      </w:r>
      <w:r w:rsidR="00C35B21" w:rsidRPr="00300A27">
        <w:rPr>
          <w:spacing w:val="0"/>
          <w:lang w:val="en-US"/>
        </w:rPr>
        <w:t>ituation of the LGBTI population in</w:t>
      </w:r>
      <w:r w:rsidR="00121FEF" w:rsidRPr="00300A27">
        <w:rPr>
          <w:spacing w:val="0"/>
          <w:lang w:val="en-US"/>
        </w:rPr>
        <w:t xml:space="preserve"> </w:t>
      </w:r>
      <w:r w:rsidR="005B1C65" w:rsidRPr="00300A27">
        <w:rPr>
          <w:spacing w:val="0"/>
          <w:lang w:val="en-US"/>
        </w:rPr>
        <w:t>Peru</w:t>
      </w:r>
      <w:r w:rsidR="00121FEF" w:rsidRPr="00300A27">
        <w:rPr>
          <w:spacing w:val="0"/>
          <w:lang w:val="en-US"/>
        </w:rPr>
        <w:t xml:space="preserve">; </w:t>
      </w:r>
      <w:r w:rsidRPr="00300A27">
        <w:rPr>
          <w:spacing w:val="0"/>
          <w:lang w:val="en-US"/>
        </w:rPr>
        <w:t>(</w:t>
      </w:r>
      <w:r w:rsidR="00121FEF" w:rsidRPr="00300A27">
        <w:rPr>
          <w:spacing w:val="0"/>
          <w:lang w:val="en-US"/>
        </w:rPr>
        <w:t xml:space="preserve">b) </w:t>
      </w:r>
      <w:r w:rsidRPr="00300A27">
        <w:rPr>
          <w:spacing w:val="0"/>
          <w:lang w:val="en-US"/>
        </w:rPr>
        <w:t>the detention and alleged torture</w:t>
      </w:r>
      <w:r w:rsidR="00121FEF" w:rsidRPr="00300A27">
        <w:rPr>
          <w:spacing w:val="0"/>
          <w:lang w:val="en-US"/>
        </w:rPr>
        <w:t xml:space="preserve"> </w:t>
      </w:r>
      <w:r w:rsidRPr="00300A27">
        <w:rPr>
          <w:spacing w:val="0"/>
          <w:lang w:val="en-US"/>
        </w:rPr>
        <w:t>of</w:t>
      </w:r>
      <w:r w:rsidR="00121FEF" w:rsidRPr="00300A27">
        <w:rPr>
          <w:spacing w:val="0"/>
          <w:lang w:val="en-US"/>
        </w:rPr>
        <w:t xml:space="preserve"> Azul Rojas Marín; </w:t>
      </w:r>
      <w:r w:rsidRPr="00300A27">
        <w:rPr>
          <w:spacing w:val="0"/>
          <w:lang w:val="en-US"/>
        </w:rPr>
        <w:t>(</w:t>
      </w:r>
      <w:r w:rsidR="003341E2" w:rsidRPr="00300A27">
        <w:rPr>
          <w:spacing w:val="0"/>
          <w:lang w:val="en-US"/>
        </w:rPr>
        <w:t>c</w:t>
      </w:r>
      <w:r w:rsidR="00121FEF" w:rsidRPr="00300A27">
        <w:rPr>
          <w:spacing w:val="0"/>
          <w:lang w:val="en-US"/>
        </w:rPr>
        <w:t xml:space="preserve">) </w:t>
      </w:r>
      <w:r w:rsidRPr="00300A27">
        <w:rPr>
          <w:spacing w:val="0"/>
          <w:lang w:val="en-US"/>
        </w:rPr>
        <w:t>the</w:t>
      </w:r>
      <w:r w:rsidR="00121FEF" w:rsidRPr="00300A27">
        <w:rPr>
          <w:spacing w:val="0"/>
          <w:lang w:val="en-US"/>
        </w:rPr>
        <w:t xml:space="preserve"> </w:t>
      </w:r>
      <w:r w:rsidRPr="00300A27">
        <w:rPr>
          <w:spacing w:val="0"/>
          <w:lang w:val="en-US"/>
        </w:rPr>
        <w:t>i</w:t>
      </w:r>
      <w:r w:rsidR="00737D26" w:rsidRPr="00300A27">
        <w:rPr>
          <w:spacing w:val="0"/>
          <w:lang w:val="en-US"/>
        </w:rPr>
        <w:t>nvestigation of the facts</w:t>
      </w:r>
      <w:r w:rsidR="00F424E0" w:rsidRPr="00300A27">
        <w:rPr>
          <w:spacing w:val="0"/>
          <w:lang w:val="en-US"/>
        </w:rPr>
        <w:t>;</w:t>
      </w:r>
      <w:r w:rsidR="00121FEF" w:rsidRPr="00300A27">
        <w:rPr>
          <w:spacing w:val="0"/>
          <w:lang w:val="en-US"/>
        </w:rPr>
        <w:t xml:space="preserve"> </w:t>
      </w:r>
      <w:r w:rsidRPr="00300A27">
        <w:rPr>
          <w:spacing w:val="0"/>
          <w:lang w:val="en-US"/>
        </w:rPr>
        <w:t>(</w:t>
      </w:r>
      <w:r w:rsidR="003341E2" w:rsidRPr="00300A27">
        <w:rPr>
          <w:spacing w:val="0"/>
          <w:lang w:val="en-US"/>
        </w:rPr>
        <w:t>d</w:t>
      </w:r>
      <w:r w:rsidR="00121FEF" w:rsidRPr="00300A27">
        <w:rPr>
          <w:spacing w:val="0"/>
          <w:lang w:val="en-US"/>
        </w:rPr>
        <w:t>)</w:t>
      </w:r>
      <w:r w:rsidRPr="00300A27">
        <w:rPr>
          <w:spacing w:val="0"/>
          <w:lang w:val="en-US"/>
        </w:rPr>
        <w:t xml:space="preserve"> the complaint filed against the Ascope Prosecut</w:t>
      </w:r>
      <w:r w:rsidR="008C26F4" w:rsidRPr="00300A27">
        <w:rPr>
          <w:spacing w:val="0"/>
          <w:lang w:val="en-US"/>
        </w:rPr>
        <w:t>ion Service</w:t>
      </w:r>
      <w:r w:rsidRPr="00300A27">
        <w:rPr>
          <w:spacing w:val="0"/>
          <w:lang w:val="en-US"/>
        </w:rPr>
        <w:t>; (e)</w:t>
      </w:r>
      <w:r w:rsidR="00121FEF" w:rsidRPr="00300A27">
        <w:rPr>
          <w:spacing w:val="0"/>
          <w:lang w:val="en-US"/>
        </w:rPr>
        <w:t xml:space="preserve"> </w:t>
      </w:r>
      <w:r w:rsidRPr="00300A27">
        <w:rPr>
          <w:spacing w:val="0"/>
          <w:lang w:val="en-US"/>
        </w:rPr>
        <w:t xml:space="preserve">the disciplinary administrative proceeding instituted against the members </w:t>
      </w:r>
      <w:r w:rsidR="009B35A1" w:rsidRPr="00300A27">
        <w:rPr>
          <w:spacing w:val="0"/>
          <w:lang w:val="en-US"/>
        </w:rPr>
        <w:t xml:space="preserve">of the </w:t>
      </w:r>
      <w:r w:rsidR="005F06DA" w:rsidRPr="00300A27">
        <w:rPr>
          <w:spacing w:val="0"/>
          <w:lang w:val="en-US"/>
        </w:rPr>
        <w:t>Peruvian National Police</w:t>
      </w:r>
      <w:r w:rsidR="00F424E0" w:rsidRPr="00300A27">
        <w:rPr>
          <w:spacing w:val="0"/>
          <w:lang w:val="en-US"/>
        </w:rPr>
        <w:t>,</w:t>
      </w:r>
      <w:r w:rsidR="005B1C65" w:rsidRPr="00300A27">
        <w:rPr>
          <w:spacing w:val="0"/>
          <w:lang w:val="en-US"/>
        </w:rPr>
        <w:t xml:space="preserve"> and </w:t>
      </w:r>
      <w:r w:rsidRPr="00300A27">
        <w:rPr>
          <w:spacing w:val="0"/>
          <w:lang w:val="en-US"/>
        </w:rPr>
        <w:t>(</w:t>
      </w:r>
      <w:r w:rsidR="003341E2" w:rsidRPr="00300A27">
        <w:rPr>
          <w:spacing w:val="0"/>
          <w:lang w:val="en-US"/>
        </w:rPr>
        <w:t>f</w:t>
      </w:r>
      <w:r w:rsidR="00F424E0" w:rsidRPr="00300A27">
        <w:rPr>
          <w:spacing w:val="0"/>
          <w:lang w:val="en-US"/>
        </w:rPr>
        <w:t>)</w:t>
      </w:r>
      <w:r w:rsidR="001D0BDC" w:rsidRPr="00300A27">
        <w:rPr>
          <w:spacing w:val="0"/>
          <w:lang w:val="en-US"/>
        </w:rPr>
        <w:t xml:space="preserve"> </w:t>
      </w:r>
      <w:r w:rsidRPr="00300A27">
        <w:rPr>
          <w:spacing w:val="0"/>
          <w:lang w:val="en-US"/>
        </w:rPr>
        <w:t>the second i</w:t>
      </w:r>
      <w:r w:rsidR="00737D26" w:rsidRPr="00300A27">
        <w:rPr>
          <w:spacing w:val="0"/>
          <w:lang w:val="en-US"/>
        </w:rPr>
        <w:t>nvestigation of the facts</w:t>
      </w:r>
      <w:r w:rsidR="001D0BDC" w:rsidRPr="00300A27">
        <w:rPr>
          <w:spacing w:val="0"/>
          <w:lang w:val="en-US"/>
        </w:rPr>
        <w:t>.</w:t>
      </w:r>
    </w:p>
    <w:p w14:paraId="30F07BC4" w14:textId="7F0BBC70" w:rsidR="00121FEF" w:rsidRPr="00300A27" w:rsidRDefault="00C35B21" w:rsidP="00B243B6">
      <w:pPr>
        <w:pStyle w:val="Ttulo2"/>
        <w:numPr>
          <w:ilvl w:val="0"/>
          <w:numId w:val="18"/>
        </w:numPr>
        <w:rPr>
          <w:lang w:val="en-US"/>
        </w:rPr>
      </w:pPr>
      <w:bookmarkStart w:id="64" w:name="_Toc32394147"/>
      <w:bookmarkStart w:id="65" w:name="_Toc36823465"/>
      <w:r w:rsidRPr="00300A27">
        <w:rPr>
          <w:lang w:val="en-US"/>
        </w:rPr>
        <w:t>Situation of the LGBTI population in</w:t>
      </w:r>
      <w:r w:rsidR="00121FEF" w:rsidRPr="00300A27">
        <w:rPr>
          <w:lang w:val="en-US"/>
        </w:rPr>
        <w:t xml:space="preserve"> </w:t>
      </w:r>
      <w:r w:rsidR="005B1C65" w:rsidRPr="00300A27">
        <w:rPr>
          <w:lang w:val="en-US"/>
        </w:rPr>
        <w:t>Peru</w:t>
      </w:r>
      <w:bookmarkEnd w:id="64"/>
      <w:bookmarkEnd w:id="65"/>
    </w:p>
    <w:p w14:paraId="0021A2F9" w14:textId="63893FE1" w:rsidR="00F875F3" w:rsidRPr="00300A27" w:rsidRDefault="00172F05" w:rsidP="00B243B6">
      <w:pPr>
        <w:pStyle w:val="Numberedparagraphs"/>
        <w:numPr>
          <w:ilvl w:val="0"/>
          <w:numId w:val="3"/>
        </w:numPr>
        <w:tabs>
          <w:tab w:val="left" w:pos="567"/>
        </w:tabs>
        <w:spacing w:before="120" w:after="120"/>
        <w:ind w:left="0" w:firstLine="0"/>
        <w:rPr>
          <w:lang w:val="en-US"/>
        </w:rPr>
      </w:pPr>
      <w:r w:rsidRPr="00300A27">
        <w:rPr>
          <w:lang w:val="en-US"/>
        </w:rPr>
        <w:t>Since</w:t>
      </w:r>
      <w:r w:rsidR="00F875F3" w:rsidRPr="00300A27">
        <w:rPr>
          <w:lang w:val="en-US"/>
        </w:rPr>
        <w:t xml:space="preserve"> 2008, </w:t>
      </w:r>
      <w:r w:rsidRPr="00300A27">
        <w:rPr>
          <w:lang w:val="en-US"/>
        </w:rPr>
        <w:t xml:space="preserve">in different resolutions, the OAS General Assembly has stated that LGBTI </w:t>
      </w:r>
      <w:r w:rsidR="009B589F" w:rsidRPr="00300A27">
        <w:rPr>
          <w:lang w:val="en-US"/>
        </w:rPr>
        <w:t xml:space="preserve">persons </w:t>
      </w:r>
      <w:r w:rsidR="00614311" w:rsidRPr="00300A27">
        <w:rPr>
          <w:lang w:val="en-US"/>
        </w:rPr>
        <w:t>a</w:t>
      </w:r>
      <w:r w:rsidR="009B589F" w:rsidRPr="00300A27">
        <w:rPr>
          <w:lang w:val="en-US"/>
        </w:rPr>
        <w:t>re</w:t>
      </w:r>
      <w:r w:rsidRPr="00300A27">
        <w:rPr>
          <w:lang w:val="en-US"/>
        </w:rPr>
        <w:t xml:space="preserve"> subject to </w:t>
      </w:r>
      <w:r w:rsidR="009B589F" w:rsidRPr="00300A27">
        <w:rPr>
          <w:lang w:val="en-US"/>
        </w:rPr>
        <w:t>various</w:t>
      </w:r>
      <w:r w:rsidRPr="00300A27">
        <w:rPr>
          <w:lang w:val="en-US"/>
        </w:rPr>
        <w:t xml:space="preserve"> forms of violence and discrimination in the region based on</w:t>
      </w:r>
      <w:r w:rsidR="00614311" w:rsidRPr="00300A27">
        <w:rPr>
          <w:lang w:val="en-US"/>
        </w:rPr>
        <w:t xml:space="preserve"> the perception of</w:t>
      </w:r>
      <w:r w:rsidRPr="00300A27">
        <w:rPr>
          <w:lang w:val="en-US"/>
        </w:rPr>
        <w:t xml:space="preserve"> their sexual orientation</w:t>
      </w:r>
      <w:r w:rsidR="009B589F" w:rsidRPr="00300A27">
        <w:rPr>
          <w:lang w:val="en-US"/>
        </w:rPr>
        <w:t>,</w:t>
      </w:r>
      <w:r w:rsidRPr="00300A27">
        <w:rPr>
          <w:lang w:val="en-US"/>
        </w:rPr>
        <w:t xml:space="preserve"> gender identity or expression and</w:t>
      </w:r>
      <w:r w:rsidR="00366550" w:rsidRPr="00300A27">
        <w:rPr>
          <w:lang w:val="en-US"/>
        </w:rPr>
        <w:t xml:space="preserve"> [has]</w:t>
      </w:r>
      <w:r w:rsidRPr="00300A27">
        <w:rPr>
          <w:lang w:val="en-US"/>
        </w:rPr>
        <w:t xml:space="preserve"> resolved to condemn</w:t>
      </w:r>
      <w:r w:rsidR="00614311" w:rsidRPr="00300A27">
        <w:rPr>
          <w:lang w:val="en-US"/>
        </w:rPr>
        <w:t xml:space="preserve"> all forms of discrimination,</w:t>
      </w:r>
      <w:r w:rsidRPr="00300A27">
        <w:rPr>
          <w:lang w:val="en-US"/>
        </w:rPr>
        <w:t xml:space="preserve"> </w:t>
      </w:r>
      <w:r w:rsidR="007621ED" w:rsidRPr="00300A27">
        <w:rPr>
          <w:lang w:val="en-US"/>
        </w:rPr>
        <w:t>acts of</w:t>
      </w:r>
      <w:r w:rsidRPr="00300A27">
        <w:rPr>
          <w:lang w:val="en-US"/>
        </w:rPr>
        <w:t xml:space="preserve"> violence,</w:t>
      </w:r>
      <w:r w:rsidR="005E5300" w:rsidRPr="00300A27">
        <w:rPr>
          <w:lang w:val="en-US"/>
        </w:rPr>
        <w:t xml:space="preserve"> and</w:t>
      </w:r>
      <w:r w:rsidRPr="00300A27">
        <w:rPr>
          <w:lang w:val="en-US"/>
        </w:rPr>
        <w:t xml:space="preserve"> human rights violations</w:t>
      </w:r>
      <w:r w:rsidR="007621ED" w:rsidRPr="00300A27">
        <w:rPr>
          <w:lang w:val="en-US"/>
        </w:rPr>
        <w:t xml:space="preserve"> on the basis of</w:t>
      </w:r>
      <w:r w:rsidRPr="00300A27">
        <w:rPr>
          <w:lang w:val="en-US"/>
        </w:rPr>
        <w:t xml:space="preserve"> sexual orientation and gender identity or expression</w:t>
      </w:r>
      <w:r w:rsidR="001C008D" w:rsidRPr="00300A27">
        <w:rPr>
          <w:lang w:val="en-US"/>
        </w:rPr>
        <w:t>.</w:t>
      </w:r>
      <w:r w:rsidR="00F875F3" w:rsidRPr="00300A27">
        <w:rPr>
          <w:rStyle w:val="Refdenotaalpie"/>
          <w:lang w:val="en-US"/>
        </w:rPr>
        <w:footnoteReference w:id="43"/>
      </w:r>
    </w:p>
    <w:p w14:paraId="40C44F14" w14:textId="4A9DF757" w:rsidR="005E772C" w:rsidRPr="00300A27" w:rsidRDefault="00614311" w:rsidP="00B243B6">
      <w:pPr>
        <w:pStyle w:val="PrrafodeSentencia"/>
        <w:numPr>
          <w:ilvl w:val="0"/>
          <w:numId w:val="3"/>
        </w:numPr>
        <w:spacing w:before="120" w:after="120"/>
        <w:ind w:left="0" w:firstLine="0"/>
        <w:rPr>
          <w:rFonts w:cs="Cambria"/>
          <w:spacing w:val="0"/>
          <w:szCs w:val="20"/>
          <w:lang w:val="en-US"/>
        </w:rPr>
      </w:pPr>
      <w:r w:rsidRPr="00300A27">
        <w:rPr>
          <w:spacing w:val="0"/>
          <w:szCs w:val="20"/>
          <w:lang w:val="en-US"/>
        </w:rPr>
        <w:t xml:space="preserve">Up until </w:t>
      </w:r>
      <w:r w:rsidR="005E772C" w:rsidRPr="00300A27">
        <w:rPr>
          <w:spacing w:val="0"/>
          <w:szCs w:val="20"/>
          <w:lang w:val="en-US"/>
        </w:rPr>
        <w:t>2017</w:t>
      </w:r>
      <w:r w:rsidR="003A6435" w:rsidRPr="00300A27">
        <w:rPr>
          <w:spacing w:val="0"/>
          <w:szCs w:val="20"/>
          <w:lang w:val="en-US"/>
        </w:rPr>
        <w:t>,</w:t>
      </w:r>
      <w:r w:rsidR="005E772C" w:rsidRPr="00300A27">
        <w:rPr>
          <w:spacing w:val="0"/>
          <w:szCs w:val="20"/>
          <w:lang w:val="en-US"/>
        </w:rPr>
        <w:t xml:space="preserve"> </w:t>
      </w:r>
      <w:r w:rsidR="005B1C65" w:rsidRPr="00300A27">
        <w:rPr>
          <w:spacing w:val="0"/>
          <w:szCs w:val="20"/>
          <w:lang w:val="en-US"/>
        </w:rPr>
        <w:t xml:space="preserve">the </w:t>
      </w:r>
      <w:r w:rsidRPr="00300A27">
        <w:rPr>
          <w:spacing w:val="0"/>
          <w:szCs w:val="20"/>
          <w:lang w:val="en-US"/>
        </w:rPr>
        <w:t xml:space="preserve">Peruvian </w:t>
      </w:r>
      <w:r w:rsidR="005B1C65" w:rsidRPr="00300A27">
        <w:rPr>
          <w:spacing w:val="0"/>
          <w:szCs w:val="20"/>
          <w:lang w:val="en-US"/>
        </w:rPr>
        <w:t>State</w:t>
      </w:r>
      <w:r w:rsidR="005E772C" w:rsidRPr="00300A27">
        <w:rPr>
          <w:spacing w:val="0"/>
          <w:szCs w:val="20"/>
          <w:lang w:val="en-US"/>
        </w:rPr>
        <w:t xml:space="preserve"> </w:t>
      </w:r>
      <w:r w:rsidR="00366550" w:rsidRPr="00300A27">
        <w:rPr>
          <w:spacing w:val="0"/>
          <w:szCs w:val="20"/>
          <w:lang w:val="en-US"/>
        </w:rPr>
        <w:t>had no</w:t>
      </w:r>
      <w:r w:rsidRPr="00300A27">
        <w:rPr>
          <w:spacing w:val="0"/>
          <w:szCs w:val="20"/>
          <w:lang w:val="en-US"/>
        </w:rPr>
        <w:t xml:space="preserve"> statistical information on the LGBTI population. That year, the National Institute of Statistics and Informatics conduc</w:t>
      </w:r>
      <w:r w:rsidR="00366550" w:rsidRPr="00300A27">
        <w:rPr>
          <w:spacing w:val="0"/>
          <w:szCs w:val="20"/>
          <w:lang w:val="en-US"/>
        </w:rPr>
        <w:t>t</w:t>
      </w:r>
      <w:r w:rsidRPr="00300A27">
        <w:rPr>
          <w:spacing w:val="0"/>
          <w:szCs w:val="20"/>
          <w:lang w:val="en-US"/>
        </w:rPr>
        <w:t xml:space="preserve">ed the “First </w:t>
      </w:r>
      <w:r w:rsidR="007E4CD0" w:rsidRPr="00300A27">
        <w:rPr>
          <w:spacing w:val="0"/>
          <w:szCs w:val="20"/>
          <w:lang w:val="en-US"/>
        </w:rPr>
        <w:t>virtual</w:t>
      </w:r>
      <w:r w:rsidRPr="00300A27">
        <w:rPr>
          <w:spacing w:val="0"/>
          <w:szCs w:val="20"/>
          <w:lang w:val="en-US"/>
        </w:rPr>
        <w:t xml:space="preserve"> survey </w:t>
      </w:r>
      <w:r w:rsidR="00366550" w:rsidRPr="00300A27">
        <w:rPr>
          <w:spacing w:val="0"/>
          <w:szCs w:val="20"/>
          <w:lang w:val="en-US"/>
        </w:rPr>
        <w:t>of</w:t>
      </w:r>
      <w:r w:rsidRPr="00300A27">
        <w:rPr>
          <w:spacing w:val="0"/>
          <w:szCs w:val="20"/>
          <w:lang w:val="en-US"/>
        </w:rPr>
        <w:t xml:space="preserve"> LGBTI persons,” to enable “the public authorities and civil society to implement policies, actions and strategies that guarantee their recognition and protection in different public and private spheres.</w:t>
      </w:r>
      <w:r w:rsidR="005E772C" w:rsidRPr="00300A27">
        <w:rPr>
          <w:spacing w:val="0"/>
          <w:szCs w:val="20"/>
          <w:lang w:val="en-US"/>
        </w:rPr>
        <w:t>”</w:t>
      </w:r>
      <w:r w:rsidR="005E772C" w:rsidRPr="00300A27">
        <w:rPr>
          <w:rStyle w:val="Refdenotaalpie"/>
          <w:spacing w:val="0"/>
          <w:szCs w:val="20"/>
          <w:lang w:val="en-US"/>
        </w:rPr>
        <w:footnoteReference w:id="44"/>
      </w:r>
      <w:r w:rsidRPr="00300A27">
        <w:rPr>
          <w:spacing w:val="0"/>
          <w:szCs w:val="20"/>
          <w:lang w:val="en-US"/>
        </w:rPr>
        <w:t xml:space="preserve"> According to this survey of </w:t>
      </w:r>
      <w:r w:rsidRPr="00300A27">
        <w:rPr>
          <w:spacing w:val="0"/>
          <w:szCs w:val="20"/>
          <w:lang w:val="en-US" w:eastAsia="es-CR"/>
        </w:rPr>
        <w:t xml:space="preserve">LGBTI persons, 62.7% indicated that they had been victims of violence or discrimination, and </w:t>
      </w:r>
      <w:r w:rsidR="005E772C" w:rsidRPr="00300A27">
        <w:rPr>
          <w:spacing w:val="0"/>
          <w:szCs w:val="20"/>
          <w:lang w:val="en-US" w:eastAsia="es-CR"/>
        </w:rPr>
        <w:t xml:space="preserve">17.7% </w:t>
      </w:r>
      <w:r w:rsidR="00366550" w:rsidRPr="00300A27">
        <w:rPr>
          <w:spacing w:val="0"/>
          <w:szCs w:val="20"/>
          <w:lang w:val="en-US" w:eastAsia="es-CR"/>
        </w:rPr>
        <w:t xml:space="preserve">that they had been </w:t>
      </w:r>
      <w:r w:rsidRPr="00300A27">
        <w:rPr>
          <w:spacing w:val="0"/>
          <w:szCs w:val="20"/>
          <w:lang w:val="en-US" w:eastAsia="es-CR"/>
        </w:rPr>
        <w:t>victims of sexual violence.</w:t>
      </w:r>
      <w:r w:rsidR="005E772C" w:rsidRPr="00300A27">
        <w:rPr>
          <w:rStyle w:val="Refdenotaalpie"/>
          <w:spacing w:val="0"/>
          <w:szCs w:val="20"/>
          <w:lang w:val="en-US" w:eastAsia="es-CR"/>
        </w:rPr>
        <w:footnoteReference w:id="45"/>
      </w:r>
      <w:r w:rsidRPr="00300A27">
        <w:rPr>
          <w:spacing w:val="0"/>
          <w:szCs w:val="20"/>
          <w:lang w:val="en-US" w:eastAsia="es-CR"/>
        </w:rPr>
        <w:t xml:space="preserve"> Only</w:t>
      </w:r>
      <w:r w:rsidR="005E772C" w:rsidRPr="00300A27">
        <w:rPr>
          <w:spacing w:val="0"/>
          <w:szCs w:val="20"/>
          <w:lang w:val="en-US" w:eastAsia="es-CR"/>
        </w:rPr>
        <w:t xml:space="preserve"> 4.4% </w:t>
      </w:r>
      <w:r w:rsidRPr="00300A27">
        <w:rPr>
          <w:spacing w:val="0"/>
          <w:szCs w:val="20"/>
          <w:lang w:val="en-US" w:eastAsia="es-CR"/>
        </w:rPr>
        <w:t>of all those who had been a</w:t>
      </w:r>
      <w:r w:rsidR="007E4CD0" w:rsidRPr="00300A27">
        <w:rPr>
          <w:spacing w:val="0"/>
          <w:szCs w:val="20"/>
          <w:lang w:val="en-US" w:eastAsia="es-CR"/>
        </w:rPr>
        <w:t>ttacked</w:t>
      </w:r>
      <w:r w:rsidRPr="00300A27">
        <w:rPr>
          <w:spacing w:val="0"/>
          <w:szCs w:val="20"/>
          <w:lang w:val="en-US" w:eastAsia="es-CR"/>
        </w:rPr>
        <w:t xml:space="preserve"> or discriminated against </w:t>
      </w:r>
      <w:r w:rsidR="00366550" w:rsidRPr="00300A27">
        <w:rPr>
          <w:spacing w:val="0"/>
          <w:szCs w:val="20"/>
          <w:lang w:val="en-US" w:eastAsia="es-CR"/>
        </w:rPr>
        <w:t xml:space="preserve">had </w:t>
      </w:r>
      <w:r w:rsidRPr="00300A27">
        <w:rPr>
          <w:spacing w:val="0"/>
          <w:szCs w:val="20"/>
          <w:lang w:val="en-US" w:eastAsia="es-CR"/>
        </w:rPr>
        <w:t xml:space="preserve">reported the fact to the authorities and, of these, </w:t>
      </w:r>
      <w:r w:rsidR="005E772C" w:rsidRPr="00300A27">
        <w:rPr>
          <w:rFonts w:cs="Cambria"/>
          <w:spacing w:val="0"/>
          <w:szCs w:val="20"/>
          <w:lang w:val="en-US"/>
        </w:rPr>
        <w:t xml:space="preserve">27.5% </w:t>
      </w:r>
      <w:r w:rsidRPr="00300A27">
        <w:rPr>
          <w:rFonts w:cs="Cambria"/>
          <w:spacing w:val="0"/>
          <w:szCs w:val="20"/>
          <w:lang w:val="en-US"/>
        </w:rPr>
        <w:t>indicated that they had been tr</w:t>
      </w:r>
      <w:r w:rsidR="007E4CD0" w:rsidRPr="00300A27">
        <w:rPr>
          <w:rFonts w:cs="Cambria"/>
          <w:spacing w:val="0"/>
          <w:szCs w:val="20"/>
          <w:lang w:val="en-US"/>
        </w:rPr>
        <w:t xml:space="preserve">eated badly and </w:t>
      </w:r>
      <w:r w:rsidR="005E772C" w:rsidRPr="00300A27">
        <w:rPr>
          <w:rFonts w:cs="Cambria"/>
          <w:spacing w:val="0"/>
          <w:szCs w:val="20"/>
          <w:lang w:val="en-US"/>
        </w:rPr>
        <w:t xml:space="preserve">24.4% </w:t>
      </w:r>
      <w:r w:rsidR="007E4CD0" w:rsidRPr="00300A27">
        <w:rPr>
          <w:rFonts w:cs="Cambria"/>
          <w:spacing w:val="0"/>
          <w:szCs w:val="20"/>
          <w:lang w:val="en-US"/>
        </w:rPr>
        <w:t xml:space="preserve">that they had been treated very badly in the place where they had filed a </w:t>
      </w:r>
      <w:r w:rsidR="00ED7AB1" w:rsidRPr="00300A27">
        <w:rPr>
          <w:lang w:val="en-US"/>
        </w:rPr>
        <w:t>complaint</w:t>
      </w:r>
      <w:r w:rsidR="007E4CD0" w:rsidRPr="00300A27">
        <w:rPr>
          <w:rFonts w:cs="Cambria"/>
          <w:spacing w:val="0"/>
          <w:szCs w:val="20"/>
          <w:lang w:val="en-US"/>
        </w:rPr>
        <w:t>.</w:t>
      </w:r>
      <w:r w:rsidR="005E772C" w:rsidRPr="00300A27">
        <w:rPr>
          <w:rStyle w:val="Refdenotaalpie"/>
          <w:spacing w:val="0"/>
          <w:szCs w:val="20"/>
          <w:lang w:val="en-US" w:eastAsia="es-CR"/>
        </w:rPr>
        <w:footnoteReference w:id="46"/>
      </w:r>
      <w:r w:rsidR="005E772C" w:rsidRPr="00300A27">
        <w:rPr>
          <w:rFonts w:cs="Cambria"/>
          <w:spacing w:val="0"/>
          <w:szCs w:val="20"/>
          <w:lang w:val="en-US"/>
        </w:rPr>
        <w:t xml:space="preserve"> </w:t>
      </w:r>
    </w:p>
    <w:p w14:paraId="5577490F" w14:textId="6B57CD74" w:rsidR="005E772C" w:rsidRPr="00300A27" w:rsidRDefault="007E4CD0" w:rsidP="00B243B6">
      <w:pPr>
        <w:pStyle w:val="PrrafodeSentencia"/>
        <w:numPr>
          <w:ilvl w:val="0"/>
          <w:numId w:val="3"/>
        </w:numPr>
        <w:spacing w:before="120" w:after="120"/>
        <w:ind w:left="0" w:firstLine="0"/>
        <w:rPr>
          <w:rFonts w:cs="Cambria"/>
          <w:spacing w:val="0"/>
          <w:szCs w:val="20"/>
          <w:lang w:val="en-US"/>
        </w:rPr>
      </w:pPr>
      <w:r w:rsidRPr="00300A27">
        <w:rPr>
          <w:rFonts w:cs="Cambria"/>
          <w:spacing w:val="0"/>
          <w:szCs w:val="20"/>
          <w:lang w:val="en-US"/>
        </w:rPr>
        <w:t xml:space="preserve">These statistics reveal that the violence against the LGBTI community in Peru receives very little visibility. Given the structural nature and persistence of this phenomenon, it is pertinent to use </w:t>
      </w:r>
      <w:r w:rsidR="00366550" w:rsidRPr="00300A27">
        <w:rPr>
          <w:rFonts w:cs="Cambria"/>
          <w:spacing w:val="0"/>
          <w:szCs w:val="20"/>
          <w:lang w:val="en-US"/>
        </w:rPr>
        <w:t>subsequent</w:t>
      </w:r>
      <w:r w:rsidRPr="00300A27">
        <w:rPr>
          <w:rFonts w:cs="Cambria"/>
          <w:spacing w:val="0"/>
          <w:szCs w:val="20"/>
          <w:lang w:val="en-US"/>
        </w:rPr>
        <w:t xml:space="preserve"> information to establish the context in which the facts of this case occurred. </w:t>
      </w:r>
    </w:p>
    <w:p w14:paraId="13905D42" w14:textId="210F1986" w:rsidR="005E772C" w:rsidRPr="00300A27" w:rsidRDefault="007E4CD0" w:rsidP="00B243B6">
      <w:pPr>
        <w:pStyle w:val="PrrafodeSentencia"/>
        <w:numPr>
          <w:ilvl w:val="0"/>
          <w:numId w:val="3"/>
        </w:numPr>
        <w:spacing w:before="120" w:after="120"/>
        <w:ind w:left="0" w:firstLine="0"/>
        <w:rPr>
          <w:spacing w:val="0"/>
          <w:szCs w:val="20"/>
          <w:lang w:val="en-US"/>
        </w:rPr>
      </w:pPr>
      <w:r w:rsidRPr="00300A27">
        <w:rPr>
          <w:spacing w:val="0"/>
          <w:szCs w:val="20"/>
          <w:lang w:val="en-US"/>
        </w:rPr>
        <w:t xml:space="preserve">Significant prejudice exists </w:t>
      </w:r>
      <w:r w:rsidR="00C3087E" w:rsidRPr="00300A27">
        <w:rPr>
          <w:spacing w:val="0"/>
          <w:szCs w:val="20"/>
          <w:lang w:val="en-US"/>
        </w:rPr>
        <w:t>against</w:t>
      </w:r>
      <w:r w:rsidRPr="00300A27">
        <w:rPr>
          <w:spacing w:val="0"/>
          <w:szCs w:val="20"/>
          <w:lang w:val="en-US"/>
        </w:rPr>
        <w:t xml:space="preserve"> the LGBTI population i</w:t>
      </w:r>
      <w:r w:rsidR="004A1994" w:rsidRPr="00300A27">
        <w:rPr>
          <w:spacing w:val="0"/>
          <w:szCs w:val="20"/>
          <w:lang w:val="en-US"/>
        </w:rPr>
        <w:t xml:space="preserve">n </w:t>
      </w:r>
      <w:r w:rsidR="005B1C65" w:rsidRPr="00300A27">
        <w:rPr>
          <w:spacing w:val="0"/>
          <w:szCs w:val="20"/>
          <w:lang w:val="en-US"/>
        </w:rPr>
        <w:t>Peru</w:t>
      </w:r>
      <w:r w:rsidRPr="00300A27">
        <w:rPr>
          <w:spacing w:val="0"/>
          <w:szCs w:val="20"/>
          <w:lang w:val="en-US"/>
        </w:rPr>
        <w:t>. The survey conducted by the National Institute of Statistics and Informatics</w:t>
      </w:r>
      <w:r w:rsidR="00DD704C" w:rsidRPr="00300A27">
        <w:rPr>
          <w:spacing w:val="0"/>
          <w:szCs w:val="20"/>
          <w:lang w:val="en-US"/>
        </w:rPr>
        <w:t xml:space="preserve"> </w:t>
      </w:r>
      <w:r w:rsidRPr="00300A27">
        <w:rPr>
          <w:spacing w:val="0"/>
          <w:szCs w:val="20"/>
          <w:lang w:val="en-US"/>
        </w:rPr>
        <w:t>determined that</w:t>
      </w:r>
      <w:r w:rsidR="00DD704C" w:rsidRPr="00300A27">
        <w:rPr>
          <w:spacing w:val="0"/>
          <w:szCs w:val="20"/>
          <w:lang w:val="en-US"/>
        </w:rPr>
        <w:t xml:space="preserve"> “</w:t>
      </w:r>
      <w:r w:rsidR="00DD704C" w:rsidRPr="00300A27">
        <w:rPr>
          <w:szCs w:val="20"/>
          <w:lang w:val="en-US"/>
        </w:rPr>
        <w:t>56</w:t>
      </w:r>
      <w:r w:rsidR="00873267" w:rsidRPr="00300A27">
        <w:rPr>
          <w:szCs w:val="20"/>
          <w:lang w:val="en-US"/>
        </w:rPr>
        <w:t>.</w:t>
      </w:r>
      <w:r w:rsidR="00DD704C" w:rsidRPr="00300A27">
        <w:rPr>
          <w:szCs w:val="20"/>
          <w:lang w:val="en-US"/>
        </w:rPr>
        <w:t xml:space="preserve">5% </w:t>
      </w:r>
      <w:r w:rsidRPr="00300A27">
        <w:rPr>
          <w:szCs w:val="20"/>
          <w:lang w:val="en-US"/>
        </w:rPr>
        <w:t>of</w:t>
      </w:r>
      <w:r w:rsidR="00DD704C" w:rsidRPr="00300A27">
        <w:rPr>
          <w:szCs w:val="20"/>
          <w:lang w:val="en-US"/>
        </w:rPr>
        <w:t xml:space="preserve"> </w:t>
      </w:r>
      <w:r w:rsidRPr="00300A27">
        <w:rPr>
          <w:szCs w:val="20"/>
          <w:lang w:val="en-US"/>
        </w:rPr>
        <w:t>the LGBTI population</w:t>
      </w:r>
      <w:r w:rsidR="00DD704C" w:rsidRPr="00300A27">
        <w:rPr>
          <w:szCs w:val="20"/>
          <w:lang w:val="en-US"/>
        </w:rPr>
        <w:t xml:space="preserve"> </w:t>
      </w:r>
      <w:r w:rsidRPr="00300A27">
        <w:rPr>
          <w:szCs w:val="20"/>
          <w:lang w:val="en-US"/>
        </w:rPr>
        <w:t xml:space="preserve">are afraid to express their sexual orientation and/or gender identity, the main reason </w:t>
      </w:r>
      <w:r w:rsidR="00873267" w:rsidRPr="00300A27">
        <w:rPr>
          <w:szCs w:val="20"/>
          <w:lang w:val="en-US"/>
        </w:rPr>
        <w:t xml:space="preserve">being </w:t>
      </w:r>
      <w:r w:rsidRPr="00300A27">
        <w:rPr>
          <w:szCs w:val="20"/>
          <w:lang w:val="en-US"/>
        </w:rPr>
        <w:t>the fea</w:t>
      </w:r>
      <w:r w:rsidR="00873267" w:rsidRPr="00300A27">
        <w:rPr>
          <w:szCs w:val="20"/>
          <w:lang w:val="en-US"/>
        </w:rPr>
        <w:t>r</w:t>
      </w:r>
      <w:r w:rsidRPr="00300A27">
        <w:rPr>
          <w:szCs w:val="20"/>
          <w:lang w:val="en-US"/>
        </w:rPr>
        <w:t xml:space="preserve"> </w:t>
      </w:r>
      <w:r w:rsidR="00873267" w:rsidRPr="00300A27">
        <w:rPr>
          <w:szCs w:val="20"/>
          <w:lang w:val="en-US"/>
        </w:rPr>
        <w:t>of</w:t>
      </w:r>
      <w:r w:rsidRPr="00300A27">
        <w:rPr>
          <w:szCs w:val="20"/>
          <w:lang w:val="en-US"/>
        </w:rPr>
        <w:t xml:space="preserve"> discriminat</w:t>
      </w:r>
      <w:r w:rsidR="00873267" w:rsidRPr="00300A27">
        <w:rPr>
          <w:szCs w:val="20"/>
          <w:lang w:val="en-US"/>
        </w:rPr>
        <w:t>ion</w:t>
      </w:r>
      <w:r w:rsidRPr="00300A27">
        <w:rPr>
          <w:szCs w:val="20"/>
          <w:lang w:val="en-US"/>
        </w:rPr>
        <w:t xml:space="preserve"> and/or </w:t>
      </w:r>
      <w:r w:rsidR="00873267" w:rsidRPr="00300A27">
        <w:rPr>
          <w:szCs w:val="20"/>
          <w:lang w:val="en-US"/>
        </w:rPr>
        <w:t>aggression</w:t>
      </w:r>
      <w:r w:rsidRPr="00300A27">
        <w:rPr>
          <w:szCs w:val="20"/>
          <w:lang w:val="en-US"/>
        </w:rPr>
        <w:t xml:space="preserve"> </w:t>
      </w:r>
      <w:r w:rsidR="00DD704C" w:rsidRPr="00300A27">
        <w:rPr>
          <w:szCs w:val="20"/>
          <w:lang w:val="en-US"/>
        </w:rPr>
        <w:t>(72%)</w:t>
      </w:r>
      <w:r w:rsidRPr="00300A27">
        <w:rPr>
          <w:szCs w:val="20"/>
          <w:lang w:val="en-US"/>
        </w:rPr>
        <w:t>.</w:t>
      </w:r>
      <w:r w:rsidR="00DD704C" w:rsidRPr="00300A27">
        <w:rPr>
          <w:szCs w:val="20"/>
          <w:lang w:val="en-US"/>
        </w:rPr>
        <w:t>”</w:t>
      </w:r>
      <w:r w:rsidR="00DD704C" w:rsidRPr="00300A27">
        <w:rPr>
          <w:rStyle w:val="Refdenotaalpie"/>
          <w:spacing w:val="0"/>
          <w:szCs w:val="20"/>
          <w:lang w:val="en-US"/>
        </w:rPr>
        <w:footnoteReference w:id="47"/>
      </w:r>
      <w:r w:rsidRPr="00300A27">
        <w:rPr>
          <w:spacing w:val="0"/>
          <w:szCs w:val="20"/>
          <w:lang w:val="en-US"/>
        </w:rPr>
        <w:t xml:space="preserve"> According to information cited by the Peruvian Ombudsman, “</w:t>
      </w:r>
      <w:r w:rsidR="004A1994" w:rsidRPr="00300A27">
        <w:rPr>
          <w:szCs w:val="20"/>
          <w:lang w:val="en-US"/>
        </w:rPr>
        <w:t xml:space="preserve">45% </w:t>
      </w:r>
      <w:r w:rsidRPr="00300A27">
        <w:rPr>
          <w:szCs w:val="20"/>
          <w:lang w:val="en-US"/>
        </w:rPr>
        <w:t>of those</w:t>
      </w:r>
      <w:r w:rsidR="004A1994" w:rsidRPr="00300A27">
        <w:rPr>
          <w:szCs w:val="20"/>
          <w:lang w:val="en-US"/>
        </w:rPr>
        <w:t xml:space="preserve"> [</w:t>
      </w:r>
      <w:r w:rsidRPr="00300A27">
        <w:rPr>
          <w:szCs w:val="20"/>
          <w:lang w:val="en-US"/>
        </w:rPr>
        <w:t xml:space="preserve">surveyed by the </w:t>
      </w:r>
      <w:r w:rsidR="004A1994" w:rsidRPr="00300A27">
        <w:rPr>
          <w:szCs w:val="20"/>
          <w:lang w:val="en-US"/>
        </w:rPr>
        <w:t xml:space="preserve"> </w:t>
      </w:r>
      <w:r w:rsidRPr="00300A27">
        <w:rPr>
          <w:szCs w:val="20"/>
          <w:lang w:val="en-US"/>
        </w:rPr>
        <w:t>Ministry of Justice and Human Rights</w:t>
      </w:r>
      <w:r w:rsidR="00873267" w:rsidRPr="00300A27">
        <w:rPr>
          <w:szCs w:val="20"/>
          <w:lang w:val="en-US"/>
        </w:rPr>
        <w:t xml:space="preserve"> in 2013</w:t>
      </w:r>
      <w:r w:rsidR="004A1994" w:rsidRPr="00300A27">
        <w:rPr>
          <w:szCs w:val="20"/>
          <w:lang w:val="en-US"/>
        </w:rPr>
        <w:t>] conside</w:t>
      </w:r>
      <w:r w:rsidRPr="00300A27">
        <w:rPr>
          <w:szCs w:val="20"/>
          <w:lang w:val="en-US"/>
        </w:rPr>
        <w:t>r</w:t>
      </w:r>
      <w:r w:rsidR="004A1994" w:rsidRPr="00300A27">
        <w:rPr>
          <w:szCs w:val="20"/>
          <w:lang w:val="en-US"/>
        </w:rPr>
        <w:t xml:space="preserve"> </w:t>
      </w:r>
      <w:r w:rsidRPr="00300A27">
        <w:rPr>
          <w:szCs w:val="20"/>
          <w:lang w:val="en-US"/>
        </w:rPr>
        <w:t>that</w:t>
      </w:r>
      <w:r w:rsidR="004A1994" w:rsidRPr="00300A27">
        <w:rPr>
          <w:szCs w:val="20"/>
          <w:lang w:val="en-US"/>
        </w:rPr>
        <w:t xml:space="preserve"> </w:t>
      </w:r>
      <w:r w:rsidRPr="00300A27">
        <w:rPr>
          <w:szCs w:val="20"/>
          <w:lang w:val="en-US"/>
        </w:rPr>
        <w:t>LGBTI people</w:t>
      </w:r>
      <w:r w:rsidR="004A1994" w:rsidRPr="00300A27">
        <w:rPr>
          <w:szCs w:val="20"/>
          <w:lang w:val="en-US"/>
        </w:rPr>
        <w:t xml:space="preserve"> </w:t>
      </w:r>
      <w:r w:rsidRPr="00300A27">
        <w:rPr>
          <w:szCs w:val="20"/>
          <w:lang w:val="en-US"/>
        </w:rPr>
        <w:t xml:space="preserve">should not teach in schools and </w:t>
      </w:r>
      <w:r w:rsidR="004A1994" w:rsidRPr="00300A27">
        <w:rPr>
          <w:szCs w:val="20"/>
          <w:lang w:val="en-US"/>
        </w:rPr>
        <w:t xml:space="preserve">59% </w:t>
      </w:r>
      <w:r w:rsidRPr="00300A27">
        <w:rPr>
          <w:szCs w:val="20"/>
          <w:lang w:val="en-US"/>
        </w:rPr>
        <w:t>that they should not have the right to a civil marriage.</w:t>
      </w:r>
      <w:r w:rsidR="004A1994" w:rsidRPr="00300A27">
        <w:rPr>
          <w:szCs w:val="20"/>
          <w:lang w:val="en-US"/>
        </w:rPr>
        <w:t>”</w:t>
      </w:r>
      <w:r w:rsidR="004A1994" w:rsidRPr="00300A27">
        <w:rPr>
          <w:rStyle w:val="Refdenotaalpie"/>
          <w:szCs w:val="20"/>
          <w:lang w:val="en-US"/>
        </w:rPr>
        <w:footnoteReference w:id="48"/>
      </w:r>
      <w:r w:rsidRPr="00300A27">
        <w:rPr>
          <w:szCs w:val="20"/>
          <w:lang w:val="en-US"/>
        </w:rPr>
        <w:t xml:space="preserve"> According to data from the 2001 World Values Survey, </w:t>
      </w:r>
      <w:r w:rsidR="00764ECF" w:rsidRPr="00300A27">
        <w:rPr>
          <w:szCs w:val="20"/>
          <w:lang w:val="en-US"/>
        </w:rPr>
        <w:t>64</w:t>
      </w:r>
      <w:r w:rsidR="00873267" w:rsidRPr="00300A27">
        <w:rPr>
          <w:szCs w:val="20"/>
          <w:lang w:val="en-US"/>
        </w:rPr>
        <w:t>.</w:t>
      </w:r>
      <w:r w:rsidR="00764ECF" w:rsidRPr="00300A27">
        <w:rPr>
          <w:szCs w:val="20"/>
          <w:lang w:val="en-US"/>
        </w:rPr>
        <w:t xml:space="preserve">4% </w:t>
      </w:r>
      <w:r w:rsidRPr="00300A27">
        <w:rPr>
          <w:szCs w:val="20"/>
          <w:lang w:val="en-US"/>
        </w:rPr>
        <w:t>of those surveyed considered that</w:t>
      </w:r>
      <w:r w:rsidR="00764ECF" w:rsidRPr="00300A27">
        <w:rPr>
          <w:szCs w:val="20"/>
          <w:lang w:val="en-US"/>
        </w:rPr>
        <w:t xml:space="preserve"> “homosexuali</w:t>
      </w:r>
      <w:r w:rsidRPr="00300A27">
        <w:rPr>
          <w:szCs w:val="20"/>
          <w:lang w:val="en-US"/>
        </w:rPr>
        <w:t xml:space="preserve">ty was never justified” and </w:t>
      </w:r>
      <w:r w:rsidR="00764ECF" w:rsidRPr="00300A27">
        <w:rPr>
          <w:szCs w:val="20"/>
          <w:lang w:val="en-US"/>
        </w:rPr>
        <w:t xml:space="preserve"> 49</w:t>
      </w:r>
      <w:r w:rsidR="00873267" w:rsidRPr="00300A27">
        <w:rPr>
          <w:szCs w:val="20"/>
          <w:lang w:val="en-US"/>
        </w:rPr>
        <w:t>.</w:t>
      </w:r>
      <w:r w:rsidR="00764ECF" w:rsidRPr="00300A27">
        <w:rPr>
          <w:szCs w:val="20"/>
          <w:lang w:val="en-US"/>
        </w:rPr>
        <w:t xml:space="preserve">2% </w:t>
      </w:r>
      <w:r w:rsidRPr="00300A27">
        <w:rPr>
          <w:szCs w:val="20"/>
          <w:lang w:val="en-US"/>
        </w:rPr>
        <w:t>indicated that the neighbor they would least like to have was a homosexual neighbor;</w:t>
      </w:r>
      <w:r w:rsidR="00764ECF" w:rsidRPr="00300A27">
        <w:rPr>
          <w:rStyle w:val="Refdenotaalpie"/>
          <w:szCs w:val="20"/>
          <w:lang w:val="en-US"/>
        </w:rPr>
        <w:footnoteReference w:id="49"/>
      </w:r>
      <w:r w:rsidR="00C64A2E" w:rsidRPr="00300A27">
        <w:rPr>
          <w:szCs w:val="20"/>
          <w:lang w:val="en-US"/>
        </w:rPr>
        <w:t xml:space="preserve"> </w:t>
      </w:r>
      <w:r w:rsidRPr="00300A27">
        <w:rPr>
          <w:szCs w:val="20"/>
          <w:lang w:val="en-US"/>
        </w:rPr>
        <w:t>in 2012, these percentages decreased to</w:t>
      </w:r>
      <w:r w:rsidR="00C64A2E" w:rsidRPr="00300A27">
        <w:rPr>
          <w:szCs w:val="20"/>
          <w:lang w:val="en-US"/>
        </w:rPr>
        <w:t xml:space="preserve"> </w:t>
      </w:r>
      <w:r w:rsidR="00764ECF" w:rsidRPr="00300A27">
        <w:rPr>
          <w:szCs w:val="20"/>
          <w:lang w:val="en-US"/>
        </w:rPr>
        <w:t>41.8%</w:t>
      </w:r>
      <w:r w:rsidR="005B1C65" w:rsidRPr="00300A27">
        <w:rPr>
          <w:szCs w:val="20"/>
          <w:lang w:val="en-US"/>
        </w:rPr>
        <w:t xml:space="preserve"> and</w:t>
      </w:r>
      <w:r w:rsidR="00764ECF" w:rsidRPr="00300A27">
        <w:rPr>
          <w:szCs w:val="20"/>
          <w:lang w:val="en-US"/>
        </w:rPr>
        <w:t xml:space="preserve"> 44%</w:t>
      </w:r>
      <w:r w:rsidR="00DD366F" w:rsidRPr="00300A27">
        <w:rPr>
          <w:szCs w:val="20"/>
          <w:lang w:val="en-US"/>
        </w:rPr>
        <w:t>,</w:t>
      </w:r>
      <w:r w:rsidR="00C64A2E" w:rsidRPr="00300A27">
        <w:rPr>
          <w:szCs w:val="20"/>
          <w:lang w:val="en-US"/>
        </w:rPr>
        <w:t xml:space="preserve"> respectiv</w:t>
      </w:r>
      <w:r w:rsidRPr="00300A27">
        <w:rPr>
          <w:szCs w:val="20"/>
          <w:lang w:val="en-US"/>
        </w:rPr>
        <w:t>ely.</w:t>
      </w:r>
      <w:r w:rsidR="00764ECF" w:rsidRPr="00300A27">
        <w:rPr>
          <w:rStyle w:val="Refdenotaalpie"/>
          <w:szCs w:val="20"/>
          <w:lang w:val="en-US"/>
        </w:rPr>
        <w:footnoteReference w:id="50"/>
      </w:r>
      <w:r w:rsidRPr="00300A27">
        <w:rPr>
          <w:szCs w:val="20"/>
          <w:lang w:val="en-US"/>
        </w:rPr>
        <w:t xml:space="preserve"> In this reg</w:t>
      </w:r>
      <w:r w:rsidR="009240E9" w:rsidRPr="00300A27">
        <w:rPr>
          <w:szCs w:val="20"/>
          <w:lang w:val="en-US"/>
        </w:rPr>
        <w:t>a</w:t>
      </w:r>
      <w:r w:rsidRPr="00300A27">
        <w:rPr>
          <w:szCs w:val="20"/>
          <w:lang w:val="en-US"/>
        </w:rPr>
        <w:t xml:space="preserve">rd, local governments in Peru include in their </w:t>
      </w:r>
      <w:r w:rsidR="009240E9" w:rsidRPr="00300A27">
        <w:rPr>
          <w:szCs w:val="20"/>
          <w:lang w:val="en-US"/>
        </w:rPr>
        <w:t>public safety</w:t>
      </w:r>
      <w:r w:rsidRPr="00300A27">
        <w:rPr>
          <w:szCs w:val="20"/>
          <w:lang w:val="en-US"/>
        </w:rPr>
        <w:t xml:space="preserve"> </w:t>
      </w:r>
      <w:r w:rsidR="00873267" w:rsidRPr="00300A27">
        <w:rPr>
          <w:szCs w:val="20"/>
          <w:lang w:val="en-US"/>
        </w:rPr>
        <w:t>plans</w:t>
      </w:r>
      <w:r w:rsidR="009240E9" w:rsidRPr="00300A27">
        <w:rPr>
          <w:szCs w:val="20"/>
          <w:lang w:val="en-US"/>
        </w:rPr>
        <w:t xml:space="preserve"> the “eradication of homosexuals,” which</w:t>
      </w:r>
      <w:r w:rsidRPr="00300A27">
        <w:rPr>
          <w:szCs w:val="20"/>
          <w:lang w:val="en-US"/>
        </w:rPr>
        <w:t xml:space="preserve"> </w:t>
      </w:r>
      <w:r w:rsidR="009240E9" w:rsidRPr="00300A27">
        <w:rPr>
          <w:spacing w:val="0"/>
          <w:szCs w:val="20"/>
          <w:lang w:val="en-US"/>
        </w:rPr>
        <w:t>consist</w:t>
      </w:r>
      <w:r w:rsidR="00873267" w:rsidRPr="00300A27">
        <w:rPr>
          <w:spacing w:val="0"/>
          <w:szCs w:val="20"/>
          <w:lang w:val="en-US"/>
        </w:rPr>
        <w:t>s</w:t>
      </w:r>
      <w:r w:rsidR="009240E9" w:rsidRPr="00300A27">
        <w:rPr>
          <w:spacing w:val="0"/>
          <w:szCs w:val="20"/>
          <w:lang w:val="en-US"/>
        </w:rPr>
        <w:t xml:space="preserve"> in eliminating </w:t>
      </w:r>
      <w:r w:rsidR="00873267" w:rsidRPr="00300A27">
        <w:rPr>
          <w:spacing w:val="0"/>
          <w:szCs w:val="20"/>
          <w:lang w:val="en-US"/>
        </w:rPr>
        <w:t>them</w:t>
      </w:r>
      <w:r w:rsidR="009240E9" w:rsidRPr="00300A27">
        <w:rPr>
          <w:spacing w:val="0"/>
          <w:szCs w:val="20"/>
          <w:lang w:val="en-US"/>
        </w:rPr>
        <w:t xml:space="preserve"> from local territory.</w:t>
      </w:r>
      <w:r w:rsidR="009D3EE5" w:rsidRPr="00300A27">
        <w:rPr>
          <w:rStyle w:val="Refdenotaalpie"/>
          <w:szCs w:val="20"/>
          <w:lang w:val="en-US"/>
        </w:rPr>
        <w:footnoteReference w:id="51"/>
      </w:r>
    </w:p>
    <w:p w14:paraId="14C8DB76" w14:textId="75D3C8F7" w:rsidR="00121FEF" w:rsidRPr="00300A27" w:rsidRDefault="000F36E3" w:rsidP="00B243B6">
      <w:pPr>
        <w:pStyle w:val="PrrafodeSentencia"/>
        <w:numPr>
          <w:ilvl w:val="0"/>
          <w:numId w:val="3"/>
        </w:numPr>
        <w:spacing w:before="120" w:after="120"/>
        <w:ind w:left="0" w:firstLine="0"/>
        <w:rPr>
          <w:spacing w:val="0"/>
          <w:szCs w:val="20"/>
          <w:lang w:val="en-US"/>
        </w:rPr>
      </w:pPr>
      <w:r w:rsidRPr="00300A27">
        <w:rPr>
          <w:spacing w:val="0"/>
          <w:szCs w:val="20"/>
          <w:lang w:val="en-US"/>
        </w:rPr>
        <w:t>Re</w:t>
      </w:r>
      <w:r w:rsidR="00313763" w:rsidRPr="00300A27">
        <w:rPr>
          <w:spacing w:val="0"/>
          <w:szCs w:val="20"/>
          <w:lang w:val="en-US"/>
        </w:rPr>
        <w:t xml:space="preserve">garding acts of </w:t>
      </w:r>
      <w:r w:rsidR="00737D26" w:rsidRPr="00300A27">
        <w:rPr>
          <w:spacing w:val="0"/>
          <w:szCs w:val="20"/>
          <w:lang w:val="en-US"/>
        </w:rPr>
        <w:t>v</w:t>
      </w:r>
      <w:r w:rsidR="00313763" w:rsidRPr="00300A27">
        <w:rPr>
          <w:spacing w:val="0"/>
          <w:szCs w:val="20"/>
          <w:lang w:val="en-US"/>
        </w:rPr>
        <w:t>iolence, in its Concluding observations on the</w:t>
      </w:r>
      <w:r w:rsidR="00873267" w:rsidRPr="00300A27">
        <w:rPr>
          <w:spacing w:val="0"/>
          <w:szCs w:val="20"/>
          <w:lang w:val="en-US"/>
        </w:rPr>
        <w:t xml:space="preserve"> combined fifth and sixth</w:t>
      </w:r>
      <w:r w:rsidR="00313763" w:rsidRPr="00300A27">
        <w:rPr>
          <w:spacing w:val="0"/>
          <w:szCs w:val="20"/>
          <w:lang w:val="en-US"/>
        </w:rPr>
        <w:t xml:space="preserve"> periodic reports of Peru</w:t>
      </w:r>
      <w:r w:rsidR="00873267" w:rsidRPr="00300A27">
        <w:rPr>
          <w:spacing w:val="0"/>
          <w:szCs w:val="20"/>
          <w:lang w:val="en-US"/>
        </w:rPr>
        <w:t>, which</w:t>
      </w:r>
      <w:r w:rsidR="00737D26" w:rsidRPr="00300A27">
        <w:rPr>
          <w:spacing w:val="0"/>
          <w:szCs w:val="20"/>
          <w:lang w:val="en-US"/>
        </w:rPr>
        <w:t xml:space="preserve"> include 2008 among the years reported, the Committee against Torture indicated that</w:t>
      </w:r>
      <w:r w:rsidR="00121FEF" w:rsidRPr="00300A27">
        <w:rPr>
          <w:spacing w:val="0"/>
          <w:szCs w:val="20"/>
          <w:lang w:val="en-US"/>
        </w:rPr>
        <w:t>:</w:t>
      </w:r>
    </w:p>
    <w:p w14:paraId="45B06359" w14:textId="4DCA6229" w:rsidR="007D3BF0" w:rsidRPr="00300A27" w:rsidRDefault="00737D26" w:rsidP="00B243B6">
      <w:pPr>
        <w:pStyle w:val="SingleTxtG"/>
        <w:spacing w:before="120" w:line="240" w:lineRule="auto"/>
        <w:ind w:left="567" w:right="404"/>
        <w:rPr>
          <w:rFonts w:ascii="Verdana" w:hAnsi="Verdana"/>
          <w:sz w:val="18"/>
          <w:szCs w:val="18"/>
          <w:lang w:val="en-US"/>
        </w:rPr>
      </w:pPr>
      <w:r w:rsidRPr="00300A27">
        <w:rPr>
          <w:rFonts w:ascii="Verdana" w:hAnsi="Verdana"/>
          <w:sz w:val="18"/>
          <w:szCs w:val="18"/>
          <w:lang w:val="en-US"/>
        </w:rPr>
        <w:t>The Committee is seriously concerned at reports of harassment and violent attacks, some of which have resulted in deaths, against the</w:t>
      </w:r>
      <w:r w:rsidRPr="00300A27">
        <w:rPr>
          <w:rFonts w:ascii="Verdana" w:hAnsi="Verdana" w:cs="Arial"/>
          <w:color w:val="000000"/>
          <w:sz w:val="18"/>
          <w:szCs w:val="18"/>
          <w:lang w:val="en-US"/>
        </w:rPr>
        <w:t xml:space="preserve"> </w:t>
      </w:r>
      <w:r w:rsidRPr="00300A27">
        <w:rPr>
          <w:rFonts w:ascii="Verdana" w:hAnsi="Verdana"/>
          <w:sz w:val="18"/>
          <w:szCs w:val="18"/>
          <w:lang w:val="en-US"/>
        </w:rPr>
        <w:t>LGBT community by members of the national police, armed forces, municipal security patrols (</w:t>
      </w:r>
      <w:r w:rsidRPr="00300A27">
        <w:rPr>
          <w:rFonts w:ascii="Verdana" w:hAnsi="Verdana"/>
          <w:i/>
          <w:sz w:val="18"/>
          <w:szCs w:val="18"/>
          <w:lang w:val="en-US"/>
        </w:rPr>
        <w:t>serenos</w:t>
      </w:r>
      <w:r w:rsidRPr="00300A27">
        <w:rPr>
          <w:rFonts w:ascii="Verdana" w:hAnsi="Verdana"/>
          <w:sz w:val="18"/>
          <w:szCs w:val="18"/>
          <w:lang w:val="en-US"/>
        </w:rPr>
        <w:t xml:space="preserve">) and prison officials and at arbitrary detention and physical abuse in police stations with denial of fundamental legal safeguards </w:t>
      </w:r>
      <w:r w:rsidR="007D3BF0" w:rsidRPr="00300A27">
        <w:rPr>
          <w:rFonts w:ascii="Verdana" w:hAnsi="Verdana"/>
          <w:sz w:val="18"/>
          <w:szCs w:val="18"/>
          <w:lang w:val="en-US"/>
        </w:rPr>
        <w:t>(arts. 2, 11, 12, 13</w:t>
      </w:r>
      <w:r w:rsidR="005B1C65" w:rsidRPr="00300A27">
        <w:rPr>
          <w:rFonts w:ascii="Verdana" w:hAnsi="Verdana"/>
          <w:sz w:val="18"/>
          <w:szCs w:val="18"/>
          <w:lang w:val="en-US"/>
        </w:rPr>
        <w:t xml:space="preserve"> and </w:t>
      </w:r>
      <w:r w:rsidR="007D3BF0" w:rsidRPr="00300A27">
        <w:rPr>
          <w:rFonts w:ascii="Verdana" w:hAnsi="Verdana"/>
          <w:sz w:val="18"/>
          <w:szCs w:val="18"/>
          <w:lang w:val="en-US"/>
        </w:rPr>
        <w:t>16).</w:t>
      </w:r>
    </w:p>
    <w:p w14:paraId="1B4AE34A" w14:textId="23297C60" w:rsidR="007D3BF0" w:rsidRPr="00300A27" w:rsidRDefault="00737D26" w:rsidP="00B243B6">
      <w:pPr>
        <w:pStyle w:val="SingleTxtG"/>
        <w:spacing w:line="240" w:lineRule="auto"/>
        <w:ind w:left="567" w:right="404"/>
        <w:rPr>
          <w:rFonts w:ascii="Verdana" w:eastAsia="SimSun" w:hAnsi="Verdana"/>
          <w:b/>
          <w:sz w:val="18"/>
          <w:szCs w:val="18"/>
          <w:lang w:val="en-US" w:eastAsia="zh-CN"/>
        </w:rPr>
      </w:pPr>
      <w:r w:rsidRPr="00300A27">
        <w:rPr>
          <w:rFonts w:ascii="Verdana" w:eastAsia="SimSun" w:hAnsi="Verdana"/>
          <w:bCs/>
          <w:sz w:val="18"/>
          <w:szCs w:val="18"/>
          <w:lang w:val="en-US" w:eastAsia="zh-CN"/>
        </w:rPr>
        <w:t xml:space="preserve">The State party should take effective measures to protect the LGBT community from attacks, abuse and arbitrary detention and </w:t>
      </w:r>
      <w:r w:rsidRPr="00300A27">
        <w:rPr>
          <w:rFonts w:ascii="Verdana" w:hAnsi="Verdana"/>
          <w:bCs/>
          <w:sz w:val="18"/>
          <w:szCs w:val="18"/>
          <w:lang w:val="en-US"/>
        </w:rPr>
        <w:t>ensure that all acts of violence are promptly, effectively and impartially investigated and prosecuted, perpetrators brought to justice and victims provided with redress</w:t>
      </w:r>
      <w:r w:rsidRPr="00300A27">
        <w:rPr>
          <w:rFonts w:ascii="Verdana" w:eastAsia="SimSun" w:hAnsi="Verdana"/>
          <w:bCs/>
          <w:sz w:val="18"/>
          <w:szCs w:val="18"/>
          <w:lang w:val="en-US" w:eastAsia="zh-CN"/>
        </w:rPr>
        <w:t>.</w:t>
      </w:r>
      <w:r w:rsidR="00121FEF" w:rsidRPr="00300A27">
        <w:rPr>
          <w:rStyle w:val="Refdenotaalpie"/>
          <w:rFonts w:ascii="Verdana" w:eastAsia="MS Mincho" w:hAnsi="Verdana"/>
          <w:sz w:val="18"/>
          <w:szCs w:val="18"/>
          <w:lang w:val="en-US"/>
        </w:rPr>
        <w:footnoteReference w:id="52"/>
      </w:r>
      <w:r w:rsidR="007D3BF0" w:rsidRPr="00300A27">
        <w:rPr>
          <w:lang w:val="en-US"/>
        </w:rPr>
        <w:t xml:space="preserve"> </w:t>
      </w:r>
    </w:p>
    <w:p w14:paraId="67C86ECF" w14:textId="3296F2AD" w:rsidR="009240E9" w:rsidRPr="00300A27" w:rsidRDefault="009240E9" w:rsidP="00B243B6">
      <w:pPr>
        <w:pStyle w:val="SingleTxtG"/>
        <w:numPr>
          <w:ilvl w:val="0"/>
          <w:numId w:val="3"/>
        </w:numPr>
        <w:tabs>
          <w:tab w:val="left" w:pos="567"/>
        </w:tabs>
        <w:spacing w:before="120" w:line="240" w:lineRule="auto"/>
        <w:ind w:left="0" w:right="48" w:firstLine="0"/>
        <w:rPr>
          <w:rFonts w:ascii="Verdana" w:hAnsi="Verdana"/>
          <w:lang w:val="en-US"/>
        </w:rPr>
      </w:pPr>
      <w:r w:rsidRPr="00300A27">
        <w:rPr>
          <w:rFonts w:ascii="Verdana" w:hAnsi="Verdana"/>
          <w:lang w:val="en-US"/>
        </w:rPr>
        <w:t>In sum</w:t>
      </w:r>
      <w:r w:rsidR="000F36E3" w:rsidRPr="00300A27">
        <w:rPr>
          <w:rFonts w:ascii="Verdana" w:hAnsi="Verdana"/>
          <w:lang w:val="en-US"/>
        </w:rPr>
        <w:t xml:space="preserve">, </w:t>
      </w:r>
      <w:r w:rsidR="005B1C65" w:rsidRPr="00300A27">
        <w:rPr>
          <w:rFonts w:ascii="Verdana" w:hAnsi="Verdana"/>
          <w:lang w:val="en-US"/>
        </w:rPr>
        <w:t>the Court</w:t>
      </w:r>
      <w:r w:rsidR="000F36E3" w:rsidRPr="00300A27">
        <w:rPr>
          <w:rFonts w:ascii="Verdana" w:hAnsi="Verdana"/>
          <w:lang w:val="en-US"/>
        </w:rPr>
        <w:t xml:space="preserve"> co</w:t>
      </w:r>
      <w:r w:rsidR="00C64A2E" w:rsidRPr="00300A27">
        <w:rPr>
          <w:rFonts w:ascii="Verdana" w:hAnsi="Verdana"/>
          <w:lang w:val="en-US"/>
        </w:rPr>
        <w:t>nclu</w:t>
      </w:r>
      <w:r w:rsidRPr="00300A27">
        <w:rPr>
          <w:rFonts w:ascii="Verdana" w:hAnsi="Verdana"/>
          <w:lang w:val="en-US"/>
        </w:rPr>
        <w:t xml:space="preserve">des that strong prejudices against the LGBTI population existed and continue to exist </w:t>
      </w:r>
      <w:r w:rsidR="00873267" w:rsidRPr="00300A27">
        <w:rPr>
          <w:rFonts w:ascii="Verdana" w:hAnsi="Verdana"/>
          <w:lang w:val="en-US"/>
        </w:rPr>
        <w:t xml:space="preserve">in </w:t>
      </w:r>
      <w:r w:rsidRPr="00300A27">
        <w:rPr>
          <w:rFonts w:ascii="Verdana" w:hAnsi="Verdana"/>
          <w:lang w:val="en-US"/>
        </w:rPr>
        <w:t xml:space="preserve">Peruvian society and, in some cases, this results in violence. The Court notes that 62.7% of </w:t>
      </w:r>
      <w:r w:rsidR="007E4CD0" w:rsidRPr="00300A27">
        <w:rPr>
          <w:rFonts w:ascii="Verdana" w:hAnsi="Verdana"/>
          <w:lang w:val="en-US" w:eastAsia="es-CR"/>
        </w:rPr>
        <w:t>LGBTI people</w:t>
      </w:r>
      <w:r w:rsidR="00B83790" w:rsidRPr="00300A27">
        <w:rPr>
          <w:rFonts w:ascii="Verdana" w:hAnsi="Verdana"/>
          <w:lang w:val="en-US" w:eastAsia="es-CR"/>
        </w:rPr>
        <w:t xml:space="preserve"> </w:t>
      </w:r>
      <w:r w:rsidRPr="00300A27">
        <w:rPr>
          <w:rFonts w:ascii="Verdana" w:hAnsi="Verdana"/>
          <w:lang w:val="en-US" w:eastAsia="es-CR"/>
        </w:rPr>
        <w:t xml:space="preserve">surveyed indicated that they had been victims of violence or discrimination, and </w:t>
      </w:r>
      <w:r w:rsidR="00B83790" w:rsidRPr="00300A27">
        <w:rPr>
          <w:rFonts w:ascii="Verdana" w:hAnsi="Verdana"/>
          <w:lang w:val="en-US" w:eastAsia="es-CR"/>
        </w:rPr>
        <w:t xml:space="preserve">17.7% </w:t>
      </w:r>
      <w:r w:rsidRPr="00300A27">
        <w:rPr>
          <w:rFonts w:ascii="Verdana" w:hAnsi="Verdana"/>
          <w:lang w:val="en-US" w:eastAsia="es-CR"/>
        </w:rPr>
        <w:t xml:space="preserve">victims of sexual violence. At times, this violence is committed by </w:t>
      </w:r>
      <w:r w:rsidR="00961E38" w:rsidRPr="00300A27">
        <w:rPr>
          <w:rFonts w:ascii="Verdana" w:hAnsi="Verdana"/>
          <w:lang w:val="en-US" w:eastAsia="es-CR"/>
        </w:rPr>
        <w:t>state agents</w:t>
      </w:r>
      <w:r w:rsidRPr="00300A27">
        <w:rPr>
          <w:rFonts w:ascii="Verdana" w:hAnsi="Verdana"/>
          <w:lang w:val="en-US" w:eastAsia="es-CR"/>
        </w:rPr>
        <w:t>, including members of the national police</w:t>
      </w:r>
      <w:r w:rsidR="000A5FE8" w:rsidRPr="00300A27">
        <w:rPr>
          <w:rFonts w:ascii="Verdana" w:hAnsi="Verdana"/>
          <w:lang w:val="en-US" w:eastAsia="es-CR"/>
        </w:rPr>
        <w:t>,</w:t>
      </w:r>
      <w:r w:rsidRPr="00300A27">
        <w:rPr>
          <w:rFonts w:ascii="Verdana" w:hAnsi="Verdana"/>
          <w:lang w:val="en-US" w:eastAsia="es-CR"/>
        </w:rPr>
        <w:t xml:space="preserve"> and the municipal security service (</w:t>
      </w:r>
      <w:r w:rsidRPr="00300A27">
        <w:rPr>
          <w:rFonts w:ascii="Verdana" w:hAnsi="Verdana"/>
          <w:i/>
          <w:iCs/>
          <w:lang w:val="en-US"/>
        </w:rPr>
        <w:t>serenazgo</w:t>
      </w:r>
      <w:r w:rsidRPr="00300A27">
        <w:rPr>
          <w:rFonts w:ascii="Verdana" w:hAnsi="Verdana"/>
          <w:lang w:val="en-US"/>
        </w:rPr>
        <w:t>), as it is alleged occurred in this case.</w:t>
      </w:r>
    </w:p>
    <w:p w14:paraId="29CE36DB" w14:textId="1FBFB3C0" w:rsidR="00121FEF" w:rsidRPr="00300A27" w:rsidRDefault="009240E9" w:rsidP="00B243B6">
      <w:pPr>
        <w:pStyle w:val="Ttulo2"/>
        <w:numPr>
          <w:ilvl w:val="0"/>
          <w:numId w:val="18"/>
        </w:numPr>
        <w:ind w:left="1134" w:hanging="567"/>
        <w:rPr>
          <w:lang w:val="en-US"/>
        </w:rPr>
      </w:pPr>
      <w:r w:rsidRPr="00300A27">
        <w:rPr>
          <w:lang w:val="en-US"/>
        </w:rPr>
        <w:t>Detention of Azul Rojas Marín and alleged torture</w:t>
      </w:r>
    </w:p>
    <w:p w14:paraId="671B4BF1" w14:textId="28E6785D" w:rsidR="00121FEF" w:rsidRPr="00300A27" w:rsidRDefault="00121FEF" w:rsidP="00B243B6">
      <w:pPr>
        <w:pStyle w:val="PrrafodeSentencia"/>
        <w:numPr>
          <w:ilvl w:val="0"/>
          <w:numId w:val="3"/>
        </w:numPr>
        <w:spacing w:before="120" w:after="120"/>
        <w:ind w:left="0" w:firstLine="0"/>
        <w:rPr>
          <w:rFonts w:eastAsia="MS Mincho" w:cs="Times New Roman"/>
          <w:color w:val="000000"/>
          <w:spacing w:val="0"/>
          <w:lang w:val="en-US" w:eastAsia="es-CR"/>
        </w:rPr>
      </w:pPr>
      <w:r w:rsidRPr="00300A27">
        <w:rPr>
          <w:rFonts w:eastAsia="Times New Roman"/>
          <w:spacing w:val="0"/>
          <w:lang w:val="en-US"/>
        </w:rPr>
        <w:t xml:space="preserve">Azul Rojas Marín </w:t>
      </w:r>
      <w:r w:rsidR="002E0882" w:rsidRPr="00300A27">
        <w:rPr>
          <w:rFonts w:eastAsia="Times New Roman"/>
          <w:spacing w:val="0"/>
          <w:lang w:val="en-US"/>
        </w:rPr>
        <w:t>was born on</w:t>
      </w:r>
      <w:r w:rsidRPr="00300A27">
        <w:rPr>
          <w:rFonts w:eastAsia="Times New Roman"/>
          <w:spacing w:val="0"/>
          <w:lang w:val="en-US"/>
        </w:rPr>
        <w:t xml:space="preserve"> </w:t>
      </w:r>
      <w:r w:rsidR="009B35A1" w:rsidRPr="00300A27">
        <w:rPr>
          <w:rFonts w:eastAsia="Times New Roman"/>
          <w:spacing w:val="0"/>
          <w:lang w:val="en-US"/>
        </w:rPr>
        <w:t>November 30,</w:t>
      </w:r>
      <w:r w:rsidRPr="00300A27">
        <w:rPr>
          <w:rFonts w:eastAsia="Times New Roman"/>
          <w:spacing w:val="0"/>
          <w:lang w:val="en-US"/>
        </w:rPr>
        <w:t xml:space="preserve"> 1981</w:t>
      </w:r>
      <w:r w:rsidR="002E0882" w:rsidRPr="00300A27">
        <w:rPr>
          <w:rFonts w:eastAsia="Times New Roman"/>
          <w:spacing w:val="0"/>
          <w:lang w:val="en-US"/>
        </w:rPr>
        <w:t>.</w:t>
      </w:r>
      <w:r w:rsidRPr="00300A27">
        <w:rPr>
          <w:rStyle w:val="Refdenotaalpie"/>
          <w:spacing w:val="0"/>
          <w:lang w:val="en-US"/>
        </w:rPr>
        <w:footnoteReference w:id="53"/>
      </w:r>
      <w:r w:rsidR="002E0882" w:rsidRPr="00300A27">
        <w:rPr>
          <w:rFonts w:eastAsia="Times New Roman"/>
          <w:spacing w:val="0"/>
          <w:lang w:val="en-US"/>
        </w:rPr>
        <w:t xml:space="preserve"> She rais</w:t>
      </w:r>
      <w:r w:rsidR="00C62EF8" w:rsidRPr="00300A27">
        <w:rPr>
          <w:rFonts w:eastAsia="Times New Roman"/>
          <w:spacing w:val="0"/>
          <w:lang w:val="en-US"/>
        </w:rPr>
        <w:t xml:space="preserve">ed </w:t>
      </w:r>
      <w:r w:rsidR="002E0882" w:rsidRPr="00300A27">
        <w:rPr>
          <w:rFonts w:eastAsia="Times New Roman"/>
          <w:spacing w:val="0"/>
          <w:lang w:val="en-US"/>
        </w:rPr>
        <w:t>pigs</w:t>
      </w:r>
      <w:r w:rsidR="00C62EF8" w:rsidRPr="00300A27">
        <w:rPr>
          <w:rFonts w:eastAsia="Times New Roman"/>
          <w:spacing w:val="0"/>
          <w:lang w:val="en-US"/>
        </w:rPr>
        <w:t xml:space="preserve"> for a living</w:t>
      </w:r>
      <w:r w:rsidR="002E0882" w:rsidRPr="00300A27">
        <w:rPr>
          <w:rFonts w:eastAsia="Times New Roman"/>
          <w:spacing w:val="0"/>
          <w:lang w:val="en-US"/>
        </w:rPr>
        <w:t>.</w:t>
      </w:r>
      <w:r w:rsidRPr="00300A27">
        <w:rPr>
          <w:rStyle w:val="Refdenotaalpie"/>
          <w:spacing w:val="0"/>
          <w:lang w:val="en-US"/>
        </w:rPr>
        <w:footnoteReference w:id="54"/>
      </w:r>
      <w:r w:rsidR="002E0882" w:rsidRPr="00300A27">
        <w:rPr>
          <w:rFonts w:eastAsia="Times New Roman"/>
          <w:spacing w:val="0"/>
          <w:lang w:val="en-US"/>
        </w:rPr>
        <w:t xml:space="preserve"> At the time of her detention </w:t>
      </w:r>
      <w:r w:rsidR="00910D8E" w:rsidRPr="00300A27">
        <w:rPr>
          <w:rFonts w:eastAsia="Times New Roman"/>
          <w:spacing w:val="0"/>
          <w:lang w:val="en-US"/>
        </w:rPr>
        <w:t>on February 25,</w:t>
      </w:r>
      <w:r w:rsidRPr="00300A27">
        <w:rPr>
          <w:rFonts w:eastAsia="Times New Roman"/>
          <w:spacing w:val="0"/>
          <w:lang w:val="en-US"/>
        </w:rPr>
        <w:t xml:space="preserve"> 2008</w:t>
      </w:r>
      <w:r w:rsidR="00232CFA" w:rsidRPr="00300A27">
        <w:rPr>
          <w:rFonts w:eastAsia="Times New Roman"/>
          <w:spacing w:val="0"/>
          <w:lang w:val="en-US"/>
        </w:rPr>
        <w:t>,</w:t>
      </w:r>
      <w:r w:rsidRPr="00300A27">
        <w:rPr>
          <w:rFonts w:eastAsia="Times New Roman"/>
          <w:spacing w:val="0"/>
          <w:lang w:val="en-US"/>
        </w:rPr>
        <w:t xml:space="preserve"> </w:t>
      </w:r>
      <w:r w:rsidR="002E0882" w:rsidRPr="00300A27">
        <w:rPr>
          <w:rFonts w:eastAsia="Times New Roman"/>
          <w:spacing w:val="0"/>
          <w:lang w:val="en-US"/>
        </w:rPr>
        <w:t>she identified as a gay man.</w:t>
      </w:r>
      <w:r w:rsidRPr="00300A27">
        <w:rPr>
          <w:rStyle w:val="Refdenotaalpie"/>
          <w:spacing w:val="0"/>
          <w:lang w:val="en-US"/>
        </w:rPr>
        <w:footnoteReference w:id="55"/>
      </w:r>
      <w:r w:rsidR="002E0882" w:rsidRPr="00300A27">
        <w:rPr>
          <w:spacing w:val="0"/>
          <w:lang w:val="en-US"/>
        </w:rPr>
        <w:t xml:space="preserve"> Currently, she identifies as a woman and uses the name </w:t>
      </w:r>
      <w:r w:rsidR="00D863F6" w:rsidRPr="00300A27">
        <w:rPr>
          <w:spacing w:val="0"/>
          <w:lang w:val="en-US"/>
        </w:rPr>
        <w:t>Azul.</w:t>
      </w:r>
    </w:p>
    <w:p w14:paraId="32B0C3E3" w14:textId="5835FD9D" w:rsidR="002E0882" w:rsidRPr="00300A27" w:rsidRDefault="005B1C65" w:rsidP="00B243B6">
      <w:pPr>
        <w:pStyle w:val="PrrafodeSentencia"/>
        <w:numPr>
          <w:ilvl w:val="0"/>
          <w:numId w:val="3"/>
        </w:numPr>
        <w:spacing w:before="120" w:after="120"/>
        <w:ind w:left="0" w:firstLine="0"/>
        <w:rPr>
          <w:rFonts w:cs="Times New Roman"/>
          <w:color w:val="000000"/>
          <w:spacing w:val="0"/>
          <w:lang w:val="en-US" w:eastAsia="es-CR"/>
        </w:rPr>
      </w:pPr>
      <w:r w:rsidRPr="00300A27">
        <w:rPr>
          <w:spacing w:val="0"/>
          <w:lang w:val="en-US"/>
        </w:rPr>
        <w:t>The Court</w:t>
      </w:r>
      <w:r w:rsidR="00121FEF" w:rsidRPr="00300A27">
        <w:rPr>
          <w:spacing w:val="0"/>
          <w:lang w:val="en-US"/>
        </w:rPr>
        <w:t xml:space="preserve"> </w:t>
      </w:r>
      <w:r w:rsidR="002E0882" w:rsidRPr="00300A27">
        <w:rPr>
          <w:spacing w:val="0"/>
          <w:lang w:val="en-US"/>
        </w:rPr>
        <w:t>notes that the dispute centers on the way in which the</w:t>
      </w:r>
      <w:r w:rsidR="00C62EF8" w:rsidRPr="00300A27">
        <w:rPr>
          <w:spacing w:val="0"/>
          <w:lang w:val="en-US"/>
        </w:rPr>
        <w:t xml:space="preserve"> said</w:t>
      </w:r>
      <w:r w:rsidR="002E0882" w:rsidRPr="00300A27">
        <w:rPr>
          <w:spacing w:val="0"/>
          <w:lang w:val="en-US"/>
        </w:rPr>
        <w:t xml:space="preserve"> detention was carried out</w:t>
      </w:r>
      <w:r w:rsidR="00121FEF" w:rsidRPr="00300A27">
        <w:rPr>
          <w:spacing w:val="0"/>
          <w:lang w:val="en-US"/>
        </w:rPr>
        <w:t>,</w:t>
      </w:r>
      <w:r w:rsidR="002E0882" w:rsidRPr="00300A27">
        <w:rPr>
          <w:spacing w:val="0"/>
          <w:lang w:val="en-US"/>
        </w:rPr>
        <w:t xml:space="preserve"> the reasons for it, and what happened </w:t>
      </w:r>
      <w:r w:rsidR="00C62EF8" w:rsidRPr="00300A27">
        <w:rPr>
          <w:spacing w:val="0"/>
          <w:lang w:val="en-US"/>
        </w:rPr>
        <w:t>at</w:t>
      </w:r>
      <w:r w:rsidR="00910D8E" w:rsidRPr="00300A27">
        <w:rPr>
          <w:spacing w:val="0"/>
          <w:lang w:val="en-US"/>
        </w:rPr>
        <w:t xml:space="preserve"> the Police Station</w:t>
      </w:r>
      <w:r w:rsidR="00C34C4C" w:rsidRPr="00300A27">
        <w:rPr>
          <w:spacing w:val="0"/>
          <w:lang w:val="en-US"/>
        </w:rPr>
        <w:t xml:space="preserve">. </w:t>
      </w:r>
      <w:r w:rsidR="00C62EF8" w:rsidRPr="00300A27">
        <w:rPr>
          <w:spacing w:val="0"/>
          <w:lang w:val="en-US"/>
        </w:rPr>
        <w:t>The</w:t>
      </w:r>
      <w:r w:rsidR="00BA3C7F" w:rsidRPr="00300A27">
        <w:rPr>
          <w:spacing w:val="0"/>
          <w:lang w:val="en-US"/>
        </w:rPr>
        <w:t xml:space="preserve"> representatives</w:t>
      </w:r>
      <w:r w:rsidRPr="00300A27">
        <w:rPr>
          <w:spacing w:val="0"/>
          <w:lang w:val="en-US"/>
        </w:rPr>
        <w:t xml:space="preserve"> and </w:t>
      </w:r>
      <w:r w:rsidR="00C2001D" w:rsidRPr="00300A27">
        <w:rPr>
          <w:spacing w:val="0"/>
          <w:lang w:val="en-US"/>
        </w:rPr>
        <w:t>the Commission</w:t>
      </w:r>
      <w:r w:rsidR="00121FEF" w:rsidRPr="00300A27">
        <w:rPr>
          <w:spacing w:val="0"/>
          <w:lang w:val="en-US"/>
        </w:rPr>
        <w:t xml:space="preserve"> a</w:t>
      </w:r>
      <w:r w:rsidR="00C62EF8" w:rsidRPr="00300A27">
        <w:rPr>
          <w:spacing w:val="0"/>
          <w:lang w:val="en-US"/>
        </w:rPr>
        <w:t>rgue</w:t>
      </w:r>
      <w:r w:rsidR="002E0882" w:rsidRPr="00300A27">
        <w:rPr>
          <w:spacing w:val="0"/>
          <w:lang w:val="en-US"/>
        </w:rPr>
        <w:t xml:space="preserve"> that </w:t>
      </w:r>
      <w:r w:rsidR="00834A1B" w:rsidRPr="00300A27">
        <w:rPr>
          <w:spacing w:val="0"/>
          <w:lang w:val="en-US"/>
        </w:rPr>
        <w:t>the presumed victim</w:t>
      </w:r>
      <w:r w:rsidR="00121FEF" w:rsidRPr="00300A27">
        <w:rPr>
          <w:spacing w:val="0"/>
          <w:lang w:val="en-US"/>
        </w:rPr>
        <w:t xml:space="preserve"> </w:t>
      </w:r>
      <w:r w:rsidR="002E0882" w:rsidRPr="00300A27">
        <w:rPr>
          <w:spacing w:val="0"/>
          <w:lang w:val="en-US"/>
        </w:rPr>
        <w:t xml:space="preserve">was detained by </w:t>
      </w:r>
      <w:r w:rsidR="00961E38" w:rsidRPr="00300A27">
        <w:rPr>
          <w:spacing w:val="0"/>
          <w:lang w:val="en-US"/>
        </w:rPr>
        <w:t>state agents</w:t>
      </w:r>
      <w:r w:rsidR="002E0882" w:rsidRPr="00300A27">
        <w:rPr>
          <w:spacing w:val="0"/>
          <w:lang w:val="en-US"/>
        </w:rPr>
        <w:t xml:space="preserve"> in an unlawful, arbitrary and discriminatory manner. They also allege that she was subjected to serious acts of physical and mental violence, including rape, </w:t>
      </w:r>
      <w:r w:rsidR="00C62EF8" w:rsidRPr="00300A27">
        <w:rPr>
          <w:spacing w:val="0"/>
          <w:lang w:val="en-US"/>
        </w:rPr>
        <w:t>using</w:t>
      </w:r>
      <w:r w:rsidR="002E0882" w:rsidRPr="00300A27">
        <w:rPr>
          <w:spacing w:val="0"/>
          <w:lang w:val="en-US"/>
        </w:rPr>
        <w:t xml:space="preserve"> particular brutality, owing to the identification or perception of Azul as a gay man</w:t>
      </w:r>
      <w:r w:rsidR="00C62EF8" w:rsidRPr="00300A27">
        <w:rPr>
          <w:spacing w:val="0"/>
          <w:lang w:val="en-US"/>
        </w:rPr>
        <w:t xml:space="preserve"> at that time</w:t>
      </w:r>
      <w:r w:rsidR="002E0882" w:rsidRPr="00300A27">
        <w:rPr>
          <w:spacing w:val="0"/>
          <w:lang w:val="en-US"/>
        </w:rPr>
        <w:t xml:space="preserve">. </w:t>
      </w:r>
      <w:r w:rsidR="00C62EF8" w:rsidRPr="00300A27">
        <w:rPr>
          <w:spacing w:val="0"/>
          <w:lang w:val="en-US"/>
        </w:rPr>
        <w:t>Meanwhile</w:t>
      </w:r>
      <w:r w:rsidR="002E0882" w:rsidRPr="00300A27">
        <w:rPr>
          <w:spacing w:val="0"/>
          <w:lang w:val="en-US"/>
        </w:rPr>
        <w:t>, the State bases its defense on the a</w:t>
      </w:r>
      <w:r w:rsidR="00C62EF8" w:rsidRPr="00300A27">
        <w:rPr>
          <w:spacing w:val="0"/>
          <w:lang w:val="en-US"/>
        </w:rPr>
        <w:t>rgument</w:t>
      </w:r>
      <w:r w:rsidR="002E0882" w:rsidRPr="00300A27">
        <w:rPr>
          <w:spacing w:val="0"/>
          <w:lang w:val="en-US"/>
        </w:rPr>
        <w:t xml:space="preserve"> that the presumed victim was detained for identification purposes, which is permitted by Peruvian law. In addition, it </w:t>
      </w:r>
      <w:r w:rsidR="00C62EF8" w:rsidRPr="00300A27">
        <w:rPr>
          <w:spacing w:val="0"/>
          <w:lang w:val="en-US"/>
        </w:rPr>
        <w:t>argued</w:t>
      </w:r>
      <w:r w:rsidR="002E0882" w:rsidRPr="00300A27">
        <w:rPr>
          <w:spacing w:val="0"/>
          <w:lang w:val="en-US"/>
        </w:rPr>
        <w:t xml:space="preserve"> that it is </w:t>
      </w:r>
      <w:r w:rsidR="00C62EF8" w:rsidRPr="00300A27">
        <w:rPr>
          <w:spacing w:val="0"/>
          <w:lang w:val="en-US"/>
        </w:rPr>
        <w:t xml:space="preserve">the prerogative of the </w:t>
      </w:r>
      <w:r w:rsidR="002E0882" w:rsidRPr="00300A27">
        <w:rPr>
          <w:spacing w:val="0"/>
          <w:lang w:val="en-US"/>
        </w:rPr>
        <w:t>State to classify the facts and the prosecutor considered that they did not constitute torture pursuant to the legal definition of that crime at the time of the facts.</w:t>
      </w:r>
    </w:p>
    <w:p w14:paraId="405A1798" w14:textId="2F645749" w:rsidR="006F3369" w:rsidRPr="00300A27" w:rsidRDefault="005B1C65" w:rsidP="00B243B6">
      <w:pPr>
        <w:pStyle w:val="PrrafodeSentencia"/>
        <w:numPr>
          <w:ilvl w:val="0"/>
          <w:numId w:val="3"/>
        </w:numPr>
        <w:spacing w:before="120" w:after="120"/>
        <w:ind w:left="0" w:firstLine="0"/>
        <w:rPr>
          <w:spacing w:val="0"/>
          <w:lang w:val="en-US"/>
        </w:rPr>
      </w:pPr>
      <w:r w:rsidRPr="00300A27">
        <w:rPr>
          <w:spacing w:val="0"/>
          <w:lang w:val="en-US"/>
        </w:rPr>
        <w:t>The Court</w:t>
      </w:r>
      <w:r w:rsidR="006F3369" w:rsidRPr="00300A27">
        <w:rPr>
          <w:spacing w:val="0"/>
          <w:lang w:val="en-US"/>
        </w:rPr>
        <w:t xml:space="preserve"> </w:t>
      </w:r>
      <w:r w:rsidR="002E0882" w:rsidRPr="00300A27">
        <w:rPr>
          <w:spacing w:val="0"/>
          <w:lang w:val="en-US"/>
        </w:rPr>
        <w:t xml:space="preserve">will examine the different versions of what happened below in order to determine which of the alleged violations it considers have been proved </w:t>
      </w:r>
      <w:r w:rsidR="00232CFA" w:rsidRPr="00300A27">
        <w:rPr>
          <w:spacing w:val="0"/>
          <w:lang w:val="en-US"/>
        </w:rPr>
        <w:t>(</w:t>
      </w:r>
      <w:r w:rsidR="00BC0C9D" w:rsidRPr="00300A27">
        <w:rPr>
          <w:i/>
          <w:iCs/>
          <w:spacing w:val="0"/>
          <w:lang w:val="en-US"/>
        </w:rPr>
        <w:t xml:space="preserve">infra </w:t>
      </w:r>
      <w:r w:rsidR="00910D8E" w:rsidRPr="00300A27">
        <w:rPr>
          <w:spacing w:val="0"/>
          <w:lang w:val="en-US"/>
        </w:rPr>
        <w:t>paras.</w:t>
      </w:r>
      <w:r w:rsidR="00232CFA" w:rsidRPr="00300A27">
        <w:rPr>
          <w:spacing w:val="0"/>
          <w:lang w:val="en-US"/>
        </w:rPr>
        <w:t xml:space="preserve"> </w:t>
      </w:r>
      <w:r w:rsidR="00232CFA" w:rsidRPr="00300A27">
        <w:rPr>
          <w:spacing w:val="0"/>
          <w:lang w:val="en-US"/>
        </w:rPr>
        <w:fldChar w:fldCharType="begin"/>
      </w:r>
      <w:r w:rsidR="00232CFA" w:rsidRPr="00300A27">
        <w:rPr>
          <w:spacing w:val="0"/>
          <w:lang w:val="en-US"/>
        </w:rPr>
        <w:instrText xml:space="preserve"> REF _Ref32514367 \r \h </w:instrText>
      </w:r>
      <w:r w:rsidR="001438A1" w:rsidRPr="00300A27">
        <w:rPr>
          <w:spacing w:val="0"/>
          <w:lang w:val="en-US"/>
        </w:rPr>
        <w:instrText xml:space="preserve"> \* MERGEFORMAT </w:instrText>
      </w:r>
      <w:r w:rsidR="00232CFA" w:rsidRPr="00300A27">
        <w:rPr>
          <w:spacing w:val="0"/>
          <w:lang w:val="en-US"/>
        </w:rPr>
      </w:r>
      <w:r w:rsidR="00232CFA" w:rsidRPr="00300A27">
        <w:rPr>
          <w:spacing w:val="0"/>
          <w:lang w:val="en-US"/>
        </w:rPr>
        <w:fldChar w:fldCharType="separate"/>
      </w:r>
      <w:r w:rsidR="00632F77" w:rsidRPr="00300A27">
        <w:rPr>
          <w:spacing w:val="0"/>
          <w:lang w:val="en-US"/>
        </w:rPr>
        <w:t>145</w:t>
      </w:r>
      <w:r w:rsidR="00232CFA" w:rsidRPr="00300A27">
        <w:rPr>
          <w:spacing w:val="0"/>
          <w:lang w:val="en-US"/>
        </w:rPr>
        <w:fldChar w:fldCharType="end"/>
      </w:r>
      <w:r w:rsidR="00232CFA" w:rsidRPr="00300A27">
        <w:rPr>
          <w:spacing w:val="0"/>
          <w:lang w:val="en-US"/>
        </w:rPr>
        <w:t xml:space="preserve"> </w:t>
      </w:r>
      <w:r w:rsidR="002E0882" w:rsidRPr="00300A27">
        <w:rPr>
          <w:spacing w:val="0"/>
          <w:lang w:val="en-US"/>
        </w:rPr>
        <w:t>to</w:t>
      </w:r>
      <w:r w:rsidR="00232CFA" w:rsidRPr="00300A27">
        <w:rPr>
          <w:spacing w:val="0"/>
          <w:lang w:val="en-US"/>
        </w:rPr>
        <w:t xml:space="preserve"> </w:t>
      </w:r>
      <w:r w:rsidR="00232CFA" w:rsidRPr="00300A27">
        <w:rPr>
          <w:spacing w:val="0"/>
          <w:lang w:val="en-US"/>
        </w:rPr>
        <w:fldChar w:fldCharType="begin"/>
      </w:r>
      <w:r w:rsidR="00232CFA" w:rsidRPr="00300A27">
        <w:rPr>
          <w:spacing w:val="0"/>
          <w:lang w:val="en-US"/>
        </w:rPr>
        <w:instrText xml:space="preserve"> REF _Ref36022945 \r \h </w:instrText>
      </w:r>
      <w:r w:rsidR="001438A1" w:rsidRPr="00300A27">
        <w:rPr>
          <w:spacing w:val="0"/>
          <w:lang w:val="en-US"/>
        </w:rPr>
        <w:instrText xml:space="preserve"> \* MERGEFORMAT </w:instrText>
      </w:r>
      <w:r w:rsidR="00232CFA" w:rsidRPr="00300A27">
        <w:rPr>
          <w:spacing w:val="0"/>
          <w:lang w:val="en-US"/>
        </w:rPr>
      </w:r>
      <w:r w:rsidR="00232CFA" w:rsidRPr="00300A27">
        <w:rPr>
          <w:spacing w:val="0"/>
          <w:lang w:val="en-US"/>
        </w:rPr>
        <w:fldChar w:fldCharType="separate"/>
      </w:r>
      <w:r w:rsidR="00632F77" w:rsidRPr="00300A27">
        <w:rPr>
          <w:spacing w:val="0"/>
          <w:lang w:val="en-US"/>
        </w:rPr>
        <w:t>157</w:t>
      </w:r>
      <w:r w:rsidR="00232CFA" w:rsidRPr="00300A27">
        <w:rPr>
          <w:spacing w:val="0"/>
          <w:lang w:val="en-US"/>
        </w:rPr>
        <w:fldChar w:fldCharType="end"/>
      </w:r>
      <w:r w:rsidR="001438A1" w:rsidRPr="00300A27">
        <w:rPr>
          <w:spacing w:val="0"/>
          <w:lang w:val="en-US"/>
        </w:rPr>
        <w:t>).</w:t>
      </w:r>
    </w:p>
    <w:p w14:paraId="38AB7B8D" w14:textId="034F5A1D" w:rsidR="00121FEF" w:rsidRPr="00300A27" w:rsidRDefault="00737D26" w:rsidP="00B243B6">
      <w:pPr>
        <w:pStyle w:val="Ttulo2"/>
        <w:numPr>
          <w:ilvl w:val="0"/>
          <w:numId w:val="18"/>
        </w:numPr>
        <w:ind w:left="1134" w:hanging="567"/>
        <w:rPr>
          <w:lang w:val="en-US"/>
        </w:rPr>
      </w:pPr>
      <w:r w:rsidRPr="00300A27">
        <w:rPr>
          <w:lang w:val="en-US"/>
        </w:rPr>
        <w:t>Investigation of the facts</w:t>
      </w:r>
    </w:p>
    <w:p w14:paraId="407E5F89" w14:textId="4CEBA26D" w:rsidR="004C31F9" w:rsidRPr="00300A27" w:rsidRDefault="002E0882" w:rsidP="00B243B6">
      <w:pPr>
        <w:pStyle w:val="PrrafodeSentencia"/>
        <w:numPr>
          <w:ilvl w:val="0"/>
          <w:numId w:val="3"/>
        </w:numPr>
        <w:ind w:left="0" w:firstLine="0"/>
        <w:rPr>
          <w:spacing w:val="0"/>
          <w:lang w:val="en-US"/>
        </w:rPr>
      </w:pPr>
      <w:r w:rsidRPr="00300A27">
        <w:rPr>
          <w:spacing w:val="0"/>
          <w:lang w:val="en-US"/>
        </w:rPr>
        <w:t>According to</w:t>
      </w:r>
      <w:r w:rsidR="00121FEF" w:rsidRPr="00300A27">
        <w:rPr>
          <w:spacing w:val="0"/>
          <w:lang w:val="en-US"/>
        </w:rPr>
        <w:t xml:space="preserve"> </w:t>
      </w:r>
      <w:r w:rsidR="00834A1B" w:rsidRPr="00300A27">
        <w:rPr>
          <w:spacing w:val="0"/>
          <w:lang w:val="en-US"/>
        </w:rPr>
        <w:t>the presumed victim</w:t>
      </w:r>
      <w:r w:rsidR="00121FEF" w:rsidRPr="00300A27">
        <w:rPr>
          <w:spacing w:val="0"/>
          <w:lang w:val="en-US"/>
        </w:rPr>
        <w:t xml:space="preserve">, </w:t>
      </w:r>
      <w:r w:rsidR="00910D8E" w:rsidRPr="00300A27">
        <w:rPr>
          <w:spacing w:val="0"/>
          <w:lang w:val="en-US"/>
        </w:rPr>
        <w:t>on February 25,</w:t>
      </w:r>
      <w:r w:rsidR="00121FEF" w:rsidRPr="00300A27">
        <w:rPr>
          <w:spacing w:val="0"/>
          <w:lang w:val="en-US"/>
        </w:rPr>
        <w:t xml:space="preserve"> 2008</w:t>
      </w:r>
      <w:r w:rsidRPr="00300A27">
        <w:rPr>
          <w:spacing w:val="0"/>
          <w:lang w:val="en-US"/>
        </w:rPr>
        <w:t xml:space="preserve">, </w:t>
      </w:r>
      <w:r w:rsidR="001438A1" w:rsidRPr="00300A27">
        <w:rPr>
          <w:spacing w:val="0"/>
          <w:lang w:val="en-US"/>
        </w:rPr>
        <w:t xml:space="preserve">she tried to report what had happened </w:t>
      </w:r>
      <w:r w:rsidRPr="00300A27">
        <w:rPr>
          <w:spacing w:val="0"/>
          <w:lang w:val="en-US"/>
        </w:rPr>
        <w:t>at</w:t>
      </w:r>
      <w:r w:rsidR="00121FEF" w:rsidRPr="00300A27">
        <w:rPr>
          <w:spacing w:val="0"/>
          <w:lang w:val="en-US"/>
        </w:rPr>
        <w:t xml:space="preserve"> </w:t>
      </w:r>
      <w:r w:rsidR="00910D8E" w:rsidRPr="00300A27">
        <w:rPr>
          <w:spacing w:val="0"/>
          <w:lang w:val="en-US"/>
        </w:rPr>
        <w:t>the Casa Grande Police Station</w:t>
      </w:r>
      <w:r w:rsidRPr="00300A27">
        <w:rPr>
          <w:spacing w:val="0"/>
          <w:lang w:val="en-US"/>
        </w:rPr>
        <w:t xml:space="preserve">, but her </w:t>
      </w:r>
      <w:r w:rsidR="00ED7AB1" w:rsidRPr="00300A27">
        <w:rPr>
          <w:lang w:val="en-US"/>
        </w:rPr>
        <w:t>complaint</w:t>
      </w:r>
      <w:r w:rsidRPr="00300A27">
        <w:rPr>
          <w:spacing w:val="0"/>
          <w:lang w:val="en-US"/>
        </w:rPr>
        <w:t xml:space="preserve"> was not received.</w:t>
      </w:r>
      <w:r w:rsidR="004C31F9" w:rsidRPr="00300A27">
        <w:rPr>
          <w:rStyle w:val="Refdenotaalpie"/>
          <w:spacing w:val="0"/>
          <w:lang w:val="en-US"/>
        </w:rPr>
        <w:footnoteReference w:id="56"/>
      </w:r>
      <w:r w:rsidRPr="00300A27">
        <w:rPr>
          <w:spacing w:val="0"/>
          <w:lang w:val="en-US"/>
        </w:rPr>
        <w:t xml:space="preserve"> The </w:t>
      </w:r>
      <w:r w:rsidR="00961E38" w:rsidRPr="00300A27">
        <w:rPr>
          <w:spacing w:val="0"/>
          <w:lang w:val="en-US"/>
        </w:rPr>
        <w:t>state agents</w:t>
      </w:r>
      <w:r w:rsidRPr="00300A27">
        <w:rPr>
          <w:spacing w:val="0"/>
          <w:lang w:val="en-US"/>
        </w:rPr>
        <w:t xml:space="preserve"> deny that </w:t>
      </w:r>
      <w:r w:rsidR="00834A1B" w:rsidRPr="00300A27">
        <w:rPr>
          <w:spacing w:val="0"/>
          <w:lang w:val="en-US"/>
        </w:rPr>
        <w:t>the presumed victim</w:t>
      </w:r>
      <w:r w:rsidR="003A0688" w:rsidRPr="00300A27">
        <w:rPr>
          <w:spacing w:val="0"/>
          <w:lang w:val="en-US"/>
        </w:rPr>
        <w:t xml:space="preserve"> </w:t>
      </w:r>
      <w:r w:rsidR="004003ED" w:rsidRPr="00300A27">
        <w:rPr>
          <w:spacing w:val="0"/>
          <w:lang w:val="en-US"/>
        </w:rPr>
        <w:t xml:space="preserve">went to the Police Station to file a </w:t>
      </w:r>
      <w:r w:rsidR="00ED7AB1" w:rsidRPr="00300A27">
        <w:rPr>
          <w:lang w:val="en-US"/>
        </w:rPr>
        <w:t>complaint</w:t>
      </w:r>
      <w:r w:rsidR="004003ED" w:rsidRPr="00300A27">
        <w:rPr>
          <w:spacing w:val="0"/>
          <w:lang w:val="en-US"/>
        </w:rPr>
        <w:t xml:space="preserve"> </w:t>
      </w:r>
      <w:r w:rsidR="00910D8E" w:rsidRPr="00300A27">
        <w:rPr>
          <w:spacing w:val="0"/>
          <w:lang w:val="en-US"/>
        </w:rPr>
        <w:t>on February 25.</w:t>
      </w:r>
      <w:r w:rsidR="004C31F9" w:rsidRPr="00300A27">
        <w:rPr>
          <w:rStyle w:val="Refdenotaalpie"/>
          <w:spacing w:val="0"/>
          <w:lang w:val="en-US"/>
        </w:rPr>
        <w:footnoteReference w:id="57"/>
      </w:r>
      <w:r w:rsidR="00FB1750" w:rsidRPr="00300A27">
        <w:rPr>
          <w:spacing w:val="0"/>
          <w:szCs w:val="20"/>
          <w:lang w:val="en-US"/>
        </w:rPr>
        <w:t xml:space="preserve"> </w:t>
      </w:r>
      <w:r w:rsidR="004003ED" w:rsidRPr="00300A27">
        <w:rPr>
          <w:spacing w:val="0"/>
          <w:szCs w:val="20"/>
          <w:lang w:val="en-US"/>
        </w:rPr>
        <w:t>That same day, she reported the facts to the media.</w:t>
      </w:r>
      <w:r w:rsidR="00FB1750" w:rsidRPr="00300A27">
        <w:rPr>
          <w:rStyle w:val="Refdenotaalpie"/>
          <w:spacing w:val="0"/>
          <w:szCs w:val="20"/>
          <w:lang w:val="en-US"/>
        </w:rPr>
        <w:footnoteReference w:id="58"/>
      </w:r>
    </w:p>
    <w:p w14:paraId="5B0B339D" w14:textId="4A276DED" w:rsidR="00C435CF" w:rsidRPr="00300A27" w:rsidRDefault="00910D8E" w:rsidP="00B243B6">
      <w:pPr>
        <w:pStyle w:val="PrrafodeSentencia"/>
        <w:numPr>
          <w:ilvl w:val="0"/>
          <w:numId w:val="3"/>
        </w:numPr>
        <w:spacing w:before="120" w:after="120"/>
        <w:ind w:left="0" w:firstLine="0"/>
        <w:rPr>
          <w:spacing w:val="0"/>
          <w:lang w:val="en-US"/>
        </w:rPr>
      </w:pPr>
      <w:r w:rsidRPr="00300A27">
        <w:rPr>
          <w:spacing w:val="0"/>
          <w:lang w:val="en-US"/>
        </w:rPr>
        <w:t>On February 27,</w:t>
      </w:r>
      <w:r w:rsidR="00121FEF" w:rsidRPr="00300A27">
        <w:rPr>
          <w:spacing w:val="0"/>
          <w:lang w:val="en-US"/>
        </w:rPr>
        <w:t xml:space="preserve"> 2008, Azul Rojas Marín </w:t>
      </w:r>
      <w:r w:rsidR="004003ED" w:rsidRPr="00300A27">
        <w:rPr>
          <w:spacing w:val="0"/>
          <w:lang w:val="en-US"/>
        </w:rPr>
        <w:t xml:space="preserve">filed a </w:t>
      </w:r>
      <w:r w:rsidR="00ED7AB1" w:rsidRPr="00300A27">
        <w:rPr>
          <w:lang w:val="en-US"/>
        </w:rPr>
        <w:t>complaint</w:t>
      </w:r>
      <w:r w:rsidR="004003ED" w:rsidRPr="00300A27">
        <w:rPr>
          <w:spacing w:val="0"/>
          <w:lang w:val="en-US"/>
        </w:rPr>
        <w:t xml:space="preserve"> with</w:t>
      </w:r>
      <w:r w:rsidRPr="00300A27">
        <w:rPr>
          <w:spacing w:val="0"/>
          <w:lang w:val="en-US"/>
        </w:rPr>
        <w:t xml:space="preserve"> the </w:t>
      </w:r>
      <w:r w:rsidR="001438A1" w:rsidRPr="00300A27">
        <w:rPr>
          <w:spacing w:val="0"/>
          <w:lang w:val="en-US"/>
        </w:rPr>
        <w:t>p</w:t>
      </w:r>
      <w:r w:rsidRPr="00300A27">
        <w:rPr>
          <w:spacing w:val="0"/>
          <w:lang w:val="en-US"/>
        </w:rPr>
        <w:t xml:space="preserve">olice </w:t>
      </w:r>
      <w:r w:rsidR="001438A1" w:rsidRPr="00300A27">
        <w:rPr>
          <w:spacing w:val="0"/>
          <w:lang w:val="en-US"/>
        </w:rPr>
        <w:t>s</w:t>
      </w:r>
      <w:r w:rsidRPr="00300A27">
        <w:rPr>
          <w:spacing w:val="0"/>
          <w:lang w:val="en-US"/>
        </w:rPr>
        <w:t>tation</w:t>
      </w:r>
      <w:r w:rsidR="00121FEF" w:rsidRPr="00300A27">
        <w:rPr>
          <w:spacing w:val="0"/>
          <w:lang w:val="en-US"/>
        </w:rPr>
        <w:t xml:space="preserve"> </w:t>
      </w:r>
      <w:r w:rsidR="009B35A1" w:rsidRPr="00300A27">
        <w:rPr>
          <w:spacing w:val="0"/>
          <w:lang w:val="en-US"/>
        </w:rPr>
        <w:t xml:space="preserve">of the </w:t>
      </w:r>
      <w:r w:rsidR="004003ED" w:rsidRPr="00300A27">
        <w:rPr>
          <w:spacing w:val="0"/>
          <w:lang w:val="en-US"/>
        </w:rPr>
        <w:t xml:space="preserve">Peruvian </w:t>
      </w:r>
      <w:r w:rsidR="009B35A1" w:rsidRPr="00300A27">
        <w:rPr>
          <w:spacing w:val="0"/>
          <w:lang w:val="en-US"/>
        </w:rPr>
        <w:t xml:space="preserve">National Police </w:t>
      </w:r>
      <w:r w:rsidR="004003ED" w:rsidRPr="00300A27">
        <w:rPr>
          <w:spacing w:val="0"/>
          <w:lang w:val="en-US"/>
        </w:rPr>
        <w:t>in Casa Grande</w:t>
      </w:r>
      <w:r w:rsidR="00121FEF" w:rsidRPr="00300A27">
        <w:rPr>
          <w:spacing w:val="0"/>
          <w:lang w:val="en-US"/>
        </w:rPr>
        <w:t xml:space="preserve">, </w:t>
      </w:r>
      <w:r w:rsidR="004003ED" w:rsidRPr="00300A27">
        <w:rPr>
          <w:spacing w:val="0"/>
          <w:lang w:val="en-US"/>
        </w:rPr>
        <w:t xml:space="preserve">describing the acts of violence to which she had been subjected at the time of </w:t>
      </w:r>
      <w:r w:rsidR="001438A1" w:rsidRPr="00300A27">
        <w:rPr>
          <w:spacing w:val="0"/>
          <w:lang w:val="en-US"/>
        </w:rPr>
        <w:t>her</w:t>
      </w:r>
      <w:r w:rsidR="004003ED" w:rsidRPr="00300A27">
        <w:rPr>
          <w:spacing w:val="0"/>
          <w:lang w:val="en-US"/>
        </w:rPr>
        <w:t xml:space="preserve"> detention.</w:t>
      </w:r>
      <w:r w:rsidR="00121FEF" w:rsidRPr="00300A27">
        <w:rPr>
          <w:rStyle w:val="Refdenotaalpie"/>
          <w:spacing w:val="0"/>
          <w:lang w:val="en-US"/>
        </w:rPr>
        <w:footnoteReference w:id="59"/>
      </w:r>
      <w:r w:rsidR="00121FEF" w:rsidRPr="00300A27">
        <w:rPr>
          <w:rFonts w:eastAsia="Times New Roman"/>
          <w:spacing w:val="0"/>
          <w:lang w:val="en-US"/>
        </w:rPr>
        <w:t xml:space="preserve"> </w:t>
      </w:r>
      <w:r w:rsidR="004003ED" w:rsidRPr="00300A27">
        <w:rPr>
          <w:rFonts w:eastAsia="Times New Roman"/>
          <w:spacing w:val="0"/>
          <w:lang w:val="en-US"/>
        </w:rPr>
        <w:t xml:space="preserve">At that time, </w:t>
      </w:r>
      <w:r w:rsidR="00121FEF" w:rsidRPr="00300A27">
        <w:rPr>
          <w:rFonts w:eastAsia="Times New Roman"/>
          <w:spacing w:val="0"/>
          <w:lang w:val="en-US"/>
        </w:rPr>
        <w:t xml:space="preserve">Azul Rojas Marín </w:t>
      </w:r>
      <w:r w:rsidR="004003ED" w:rsidRPr="00300A27">
        <w:rPr>
          <w:rFonts w:eastAsia="Times New Roman"/>
          <w:spacing w:val="0"/>
          <w:lang w:val="en-US"/>
        </w:rPr>
        <w:t xml:space="preserve">identified three agents of the National Police and one agent of the </w:t>
      </w:r>
      <w:r w:rsidR="004003ED" w:rsidRPr="00300A27">
        <w:rPr>
          <w:rFonts w:eastAsia="Times New Roman"/>
          <w:i/>
          <w:iCs/>
          <w:spacing w:val="0"/>
          <w:lang w:val="en-US"/>
        </w:rPr>
        <w:t>serenazgo</w:t>
      </w:r>
      <w:r w:rsidR="004003ED" w:rsidRPr="00300A27">
        <w:rPr>
          <w:rFonts w:eastAsia="Times New Roman"/>
          <w:spacing w:val="0"/>
          <w:lang w:val="en-US"/>
        </w:rPr>
        <w:t xml:space="preserve"> who had attacked her.</w:t>
      </w:r>
      <w:r w:rsidR="00121FEF" w:rsidRPr="00300A27">
        <w:rPr>
          <w:rStyle w:val="Refdenotaalpie"/>
          <w:spacing w:val="0"/>
          <w:lang w:val="en-US"/>
        </w:rPr>
        <w:footnoteReference w:id="60"/>
      </w:r>
      <w:r w:rsidR="00121FEF" w:rsidRPr="00300A27">
        <w:rPr>
          <w:rFonts w:eastAsia="Times New Roman"/>
          <w:spacing w:val="0"/>
          <w:lang w:val="en-US"/>
        </w:rPr>
        <w:t xml:space="preserve"> Azul Rojas Marín </w:t>
      </w:r>
      <w:r w:rsidR="004003ED" w:rsidRPr="00300A27">
        <w:rPr>
          <w:rFonts w:eastAsia="Times New Roman"/>
          <w:spacing w:val="0"/>
          <w:lang w:val="en-US"/>
        </w:rPr>
        <w:t xml:space="preserve">made a second statement about the facts </w:t>
      </w:r>
      <w:r w:rsidRPr="00300A27">
        <w:rPr>
          <w:rFonts w:eastAsia="Times New Roman"/>
          <w:spacing w:val="0"/>
          <w:lang w:val="en-US"/>
        </w:rPr>
        <w:t>on February 28,</w:t>
      </w:r>
      <w:r w:rsidR="00121FEF" w:rsidRPr="00300A27">
        <w:rPr>
          <w:rFonts w:eastAsia="Times New Roman"/>
          <w:spacing w:val="0"/>
          <w:lang w:val="en-US"/>
        </w:rPr>
        <w:t xml:space="preserve"> 2008</w:t>
      </w:r>
      <w:r w:rsidR="00C435CF" w:rsidRPr="00300A27">
        <w:rPr>
          <w:rFonts w:eastAsia="Times New Roman"/>
          <w:spacing w:val="0"/>
          <w:lang w:val="en-US"/>
        </w:rPr>
        <w:t>, ra</w:t>
      </w:r>
      <w:r w:rsidR="00042E24" w:rsidRPr="00300A27">
        <w:rPr>
          <w:rFonts w:eastAsia="Times New Roman"/>
          <w:spacing w:val="0"/>
          <w:lang w:val="en-US"/>
        </w:rPr>
        <w:t>tif</w:t>
      </w:r>
      <w:r w:rsidR="004003ED" w:rsidRPr="00300A27">
        <w:rPr>
          <w:rFonts w:eastAsia="Times New Roman"/>
          <w:spacing w:val="0"/>
          <w:lang w:val="en-US"/>
        </w:rPr>
        <w:t>ying her previous description and adding that she was raped while she was detained.</w:t>
      </w:r>
      <w:r w:rsidR="00121FEF" w:rsidRPr="00300A27">
        <w:rPr>
          <w:rStyle w:val="Refdenotaalpie"/>
          <w:spacing w:val="0"/>
          <w:lang w:val="en-US"/>
        </w:rPr>
        <w:footnoteReference w:id="61"/>
      </w:r>
      <w:r w:rsidR="00121FEF" w:rsidRPr="00300A27">
        <w:rPr>
          <w:rFonts w:eastAsia="Times New Roman"/>
          <w:spacing w:val="0"/>
          <w:lang w:val="en-US"/>
        </w:rPr>
        <w:t xml:space="preserve">  </w:t>
      </w:r>
    </w:p>
    <w:p w14:paraId="5F9793EC" w14:textId="360D508C" w:rsidR="00121FEF" w:rsidRPr="00300A27" w:rsidRDefault="00910D8E" w:rsidP="00B243B6">
      <w:pPr>
        <w:pStyle w:val="PrrafodeSentencia"/>
        <w:numPr>
          <w:ilvl w:val="0"/>
          <w:numId w:val="3"/>
        </w:numPr>
        <w:spacing w:before="120" w:after="120"/>
        <w:ind w:left="0" w:firstLine="0"/>
        <w:rPr>
          <w:spacing w:val="0"/>
          <w:lang w:val="en-US"/>
        </w:rPr>
      </w:pPr>
      <w:r w:rsidRPr="00300A27">
        <w:rPr>
          <w:rFonts w:eastAsia="Times New Roman"/>
          <w:spacing w:val="0"/>
          <w:lang w:val="en-US"/>
        </w:rPr>
        <w:t>On February 29,</w:t>
      </w:r>
      <w:r w:rsidR="00121FEF" w:rsidRPr="00300A27">
        <w:rPr>
          <w:rFonts w:eastAsia="Times New Roman"/>
          <w:spacing w:val="0"/>
          <w:lang w:val="en-US"/>
        </w:rPr>
        <w:t xml:space="preserve"> 2008</w:t>
      </w:r>
      <w:r w:rsidR="004373E8" w:rsidRPr="00300A27">
        <w:rPr>
          <w:rFonts w:eastAsia="Times New Roman"/>
          <w:spacing w:val="0"/>
          <w:lang w:val="en-US"/>
        </w:rPr>
        <w:t>, Ms. Rojas Marín underwent a forensic medical examination and a psychological assessment.</w:t>
      </w:r>
      <w:r w:rsidR="00121FEF" w:rsidRPr="00300A27">
        <w:rPr>
          <w:rStyle w:val="Refdenotaalpie"/>
          <w:spacing w:val="0"/>
          <w:lang w:val="en-US"/>
        </w:rPr>
        <w:footnoteReference w:id="62"/>
      </w:r>
      <w:r w:rsidR="004373E8" w:rsidRPr="00300A27">
        <w:rPr>
          <w:spacing w:val="0"/>
          <w:lang w:val="en-US"/>
        </w:rPr>
        <w:t xml:space="preserve"> The medical examination determined that </w:t>
      </w:r>
      <w:r w:rsidR="00834A1B" w:rsidRPr="00300A27">
        <w:rPr>
          <w:spacing w:val="0"/>
          <w:lang w:val="en-US"/>
        </w:rPr>
        <w:t>the presumed victim</w:t>
      </w:r>
      <w:r w:rsidR="00121FEF" w:rsidRPr="00300A27">
        <w:rPr>
          <w:spacing w:val="0"/>
          <w:lang w:val="en-US"/>
        </w:rPr>
        <w:t xml:space="preserve"> </w:t>
      </w:r>
      <w:r w:rsidR="004373E8" w:rsidRPr="00300A27">
        <w:rPr>
          <w:spacing w:val="0"/>
          <w:lang w:val="en-US"/>
        </w:rPr>
        <w:t>had:</w:t>
      </w:r>
      <w:r w:rsidR="00121FEF" w:rsidRPr="00300A27">
        <w:rPr>
          <w:spacing w:val="0"/>
          <w:lang w:val="en-US"/>
        </w:rPr>
        <w:t xml:space="preserve"> </w:t>
      </w:r>
      <w:r w:rsidRPr="00300A27">
        <w:rPr>
          <w:spacing w:val="0"/>
          <w:lang w:val="en-US"/>
        </w:rPr>
        <w:t>(</w:t>
      </w:r>
      <w:r w:rsidR="00121FEF" w:rsidRPr="00300A27">
        <w:rPr>
          <w:spacing w:val="0"/>
          <w:lang w:val="en-US"/>
        </w:rPr>
        <w:t xml:space="preserve">i) </w:t>
      </w:r>
      <w:r w:rsidR="004373E8" w:rsidRPr="00300A27">
        <w:rPr>
          <w:spacing w:val="0"/>
          <w:lang w:val="en-US"/>
        </w:rPr>
        <w:t xml:space="preserve">recent </w:t>
      </w:r>
      <w:r w:rsidR="00121FEF" w:rsidRPr="00300A27">
        <w:rPr>
          <w:spacing w:val="0"/>
          <w:lang w:val="en-US"/>
        </w:rPr>
        <w:t>extragenital</w:t>
      </w:r>
      <w:r w:rsidR="004373E8" w:rsidRPr="00300A27">
        <w:rPr>
          <w:spacing w:val="0"/>
          <w:lang w:val="en-US"/>
        </w:rPr>
        <w:t xml:space="preserve"> traumatic injuries caused by someone else with a blunt instrument</w:t>
      </w:r>
      <w:r w:rsidR="00121FEF" w:rsidRPr="00300A27">
        <w:rPr>
          <w:spacing w:val="0"/>
          <w:lang w:val="en-US"/>
        </w:rPr>
        <w:t>,</w:t>
      </w:r>
      <w:r w:rsidR="005B1C65" w:rsidRPr="00300A27">
        <w:rPr>
          <w:spacing w:val="0"/>
          <w:lang w:val="en-US"/>
        </w:rPr>
        <w:t xml:space="preserve"> and </w:t>
      </w:r>
      <w:r w:rsidRPr="00300A27">
        <w:rPr>
          <w:spacing w:val="0"/>
          <w:lang w:val="en-US"/>
        </w:rPr>
        <w:t>(</w:t>
      </w:r>
      <w:r w:rsidR="00121FEF" w:rsidRPr="00300A27">
        <w:rPr>
          <w:spacing w:val="0"/>
          <w:lang w:val="en-US"/>
        </w:rPr>
        <w:t xml:space="preserve">ii) </w:t>
      </w:r>
      <w:r w:rsidR="008546E9" w:rsidRPr="00300A27">
        <w:rPr>
          <w:spacing w:val="0"/>
          <w:lang w:val="en-US"/>
        </w:rPr>
        <w:t xml:space="preserve">older anal fissures “with signs of a recent </w:t>
      </w:r>
      <w:r w:rsidR="00483DB4" w:rsidRPr="00300A27">
        <w:rPr>
          <w:spacing w:val="0"/>
          <w:lang w:val="en-US"/>
        </w:rPr>
        <w:t>unnatural sexual act</w:t>
      </w:r>
      <w:r w:rsidR="008546E9" w:rsidRPr="00300A27">
        <w:rPr>
          <w:spacing w:val="0"/>
          <w:lang w:val="en-US"/>
        </w:rPr>
        <w:t>.</w:t>
      </w:r>
      <w:r w:rsidR="00121FEF" w:rsidRPr="00300A27">
        <w:rPr>
          <w:spacing w:val="0"/>
          <w:lang w:val="en-US"/>
        </w:rPr>
        <w:t>”</w:t>
      </w:r>
      <w:r w:rsidR="00121FEF" w:rsidRPr="00300A27">
        <w:rPr>
          <w:rStyle w:val="Refdenotaalpie"/>
          <w:spacing w:val="0"/>
          <w:lang w:val="en-US"/>
        </w:rPr>
        <w:footnoteReference w:id="63"/>
      </w:r>
      <w:r w:rsidR="008546E9" w:rsidRPr="00300A27">
        <w:rPr>
          <w:spacing w:val="0"/>
          <w:lang w:val="en-US"/>
        </w:rPr>
        <w:t xml:space="preserve"> While, the psychological assessment concluded that: (i)</w:t>
      </w:r>
      <w:r w:rsidR="00121FEF" w:rsidRPr="00300A27">
        <w:rPr>
          <w:spacing w:val="0"/>
          <w:lang w:val="en-US"/>
        </w:rPr>
        <w:t xml:space="preserve"> </w:t>
      </w:r>
      <w:r w:rsidR="00834A1B" w:rsidRPr="00300A27">
        <w:rPr>
          <w:spacing w:val="0"/>
          <w:lang w:val="en-US"/>
        </w:rPr>
        <w:t>the presumed victim</w:t>
      </w:r>
      <w:r w:rsidR="00121FEF" w:rsidRPr="00300A27">
        <w:rPr>
          <w:spacing w:val="0"/>
          <w:lang w:val="en-US"/>
        </w:rPr>
        <w:t xml:space="preserve"> requ</w:t>
      </w:r>
      <w:r w:rsidR="008546E9" w:rsidRPr="00300A27">
        <w:rPr>
          <w:spacing w:val="0"/>
          <w:lang w:val="en-US"/>
        </w:rPr>
        <w:t xml:space="preserve">ired psycho-therapeutic support, and </w:t>
      </w:r>
      <w:r w:rsidRPr="00300A27">
        <w:rPr>
          <w:spacing w:val="0"/>
          <w:lang w:val="en-US"/>
        </w:rPr>
        <w:t>(i</w:t>
      </w:r>
      <w:r w:rsidR="00121FEF" w:rsidRPr="00300A27">
        <w:rPr>
          <w:spacing w:val="0"/>
          <w:lang w:val="en-US"/>
        </w:rPr>
        <w:t>i) sug</w:t>
      </w:r>
      <w:r w:rsidR="008546E9" w:rsidRPr="00300A27">
        <w:rPr>
          <w:spacing w:val="0"/>
          <w:lang w:val="en-US"/>
        </w:rPr>
        <w:t>gested that the presumed a</w:t>
      </w:r>
      <w:r w:rsidR="002B7FB5" w:rsidRPr="00300A27">
        <w:rPr>
          <w:spacing w:val="0"/>
          <w:lang w:val="en-US"/>
        </w:rPr>
        <w:t>ggressors</w:t>
      </w:r>
      <w:r w:rsidR="008546E9" w:rsidRPr="00300A27">
        <w:rPr>
          <w:spacing w:val="0"/>
          <w:lang w:val="en-US"/>
        </w:rPr>
        <w:t xml:space="preserve"> should undergo forensic psychological evaluation.</w:t>
      </w:r>
      <w:r w:rsidR="00121FEF" w:rsidRPr="00300A27">
        <w:rPr>
          <w:rStyle w:val="Refdenotaalpie"/>
          <w:spacing w:val="0"/>
          <w:lang w:val="en-US"/>
        </w:rPr>
        <w:footnoteReference w:id="64"/>
      </w:r>
    </w:p>
    <w:p w14:paraId="3C456A71" w14:textId="047CB9EE" w:rsidR="00611CCC" w:rsidRPr="00300A27" w:rsidRDefault="00910D8E" w:rsidP="00B243B6">
      <w:pPr>
        <w:pStyle w:val="PrrafodeSentencia"/>
        <w:numPr>
          <w:ilvl w:val="0"/>
          <w:numId w:val="3"/>
        </w:numPr>
        <w:spacing w:before="120" w:after="120"/>
        <w:ind w:left="0" w:firstLine="0"/>
        <w:rPr>
          <w:rFonts w:eastAsia="Times New Roman"/>
          <w:spacing w:val="0"/>
          <w:lang w:val="en-US"/>
        </w:rPr>
      </w:pPr>
      <w:r w:rsidRPr="00300A27">
        <w:rPr>
          <w:rFonts w:eastAsia="Times New Roman"/>
          <w:spacing w:val="0"/>
          <w:lang w:val="en-US"/>
        </w:rPr>
        <w:t>On March 6,</w:t>
      </w:r>
      <w:r w:rsidR="00121FEF" w:rsidRPr="00300A27">
        <w:rPr>
          <w:rFonts w:eastAsia="Times New Roman"/>
          <w:spacing w:val="0"/>
          <w:lang w:val="en-US"/>
        </w:rPr>
        <w:t xml:space="preserve"> 2008</w:t>
      </w:r>
      <w:r w:rsidR="008546E9" w:rsidRPr="00300A27">
        <w:rPr>
          <w:rFonts w:eastAsia="Times New Roman"/>
          <w:spacing w:val="0"/>
          <w:lang w:val="en-US"/>
        </w:rPr>
        <w:t>,</w:t>
      </w:r>
      <w:r w:rsidR="00121FEF" w:rsidRPr="00300A27">
        <w:rPr>
          <w:rFonts w:eastAsia="Times New Roman"/>
          <w:spacing w:val="0"/>
          <w:lang w:val="en-US"/>
        </w:rPr>
        <w:t xml:space="preserve"> </w:t>
      </w:r>
      <w:r w:rsidR="008546E9" w:rsidRPr="00300A27">
        <w:rPr>
          <w:rFonts w:eastAsia="Times New Roman"/>
          <w:spacing w:val="0"/>
          <w:lang w:val="en-US"/>
        </w:rPr>
        <w:t>Ms. Rojas</w:t>
      </w:r>
      <w:r w:rsidR="00121FEF" w:rsidRPr="00300A27">
        <w:rPr>
          <w:rFonts w:eastAsia="Times New Roman"/>
          <w:spacing w:val="0"/>
          <w:lang w:val="en-US"/>
        </w:rPr>
        <w:t xml:space="preserve"> Marín </w:t>
      </w:r>
      <w:r w:rsidR="008546E9" w:rsidRPr="00300A27">
        <w:rPr>
          <w:rFonts w:eastAsia="Times New Roman"/>
          <w:spacing w:val="0"/>
          <w:lang w:val="en-US"/>
        </w:rPr>
        <w:t>made another statement at</w:t>
      </w:r>
      <w:r w:rsidRPr="00300A27">
        <w:rPr>
          <w:rFonts w:eastAsia="Times New Roman"/>
          <w:spacing w:val="0"/>
          <w:lang w:val="en-US"/>
        </w:rPr>
        <w:t xml:space="preserve"> the </w:t>
      </w:r>
      <w:r w:rsidR="00121FEF" w:rsidRPr="00300A27">
        <w:rPr>
          <w:rFonts w:eastAsia="Times New Roman"/>
          <w:spacing w:val="0"/>
          <w:lang w:val="en-US"/>
        </w:rPr>
        <w:t>Casa Grande</w:t>
      </w:r>
      <w:r w:rsidR="008546E9" w:rsidRPr="00300A27">
        <w:rPr>
          <w:rFonts w:eastAsia="Times New Roman"/>
          <w:spacing w:val="0"/>
          <w:lang w:val="en-US"/>
        </w:rPr>
        <w:t xml:space="preserve"> Police Station.</w:t>
      </w:r>
      <w:r w:rsidR="00121FEF" w:rsidRPr="00300A27">
        <w:rPr>
          <w:rStyle w:val="Refdenotaalpie"/>
          <w:spacing w:val="0"/>
          <w:lang w:val="en-US"/>
        </w:rPr>
        <w:footnoteReference w:id="65"/>
      </w:r>
      <w:r w:rsidR="008546E9" w:rsidRPr="00300A27">
        <w:rPr>
          <w:rFonts w:eastAsia="Times New Roman"/>
          <w:spacing w:val="0"/>
          <w:lang w:val="en-US"/>
        </w:rPr>
        <w:t xml:space="preserve"> On that occasion, she clarified that the complaint filed was for “rape and other violations,” and again described what had happened.</w:t>
      </w:r>
      <w:r w:rsidR="00121FEF" w:rsidRPr="00300A27">
        <w:rPr>
          <w:rStyle w:val="Refdenotaalpie"/>
          <w:spacing w:val="0"/>
          <w:lang w:val="en-US"/>
        </w:rPr>
        <w:footnoteReference w:id="66"/>
      </w:r>
      <w:r w:rsidR="00121FEF" w:rsidRPr="00300A27">
        <w:rPr>
          <w:rFonts w:eastAsia="Times New Roman"/>
          <w:spacing w:val="0"/>
          <w:lang w:val="en-US"/>
        </w:rPr>
        <w:t xml:space="preserve"> </w:t>
      </w:r>
    </w:p>
    <w:p w14:paraId="55D3ACC4" w14:textId="6D45BD0A" w:rsidR="00611CCC" w:rsidRPr="00300A27" w:rsidRDefault="00910D8E" w:rsidP="00B243B6">
      <w:pPr>
        <w:pStyle w:val="PrrafodeSentencia"/>
        <w:numPr>
          <w:ilvl w:val="0"/>
          <w:numId w:val="3"/>
        </w:numPr>
        <w:spacing w:before="120" w:after="120"/>
        <w:ind w:left="0" w:firstLine="0"/>
        <w:rPr>
          <w:rFonts w:eastAsia="Times New Roman"/>
          <w:spacing w:val="0"/>
          <w:lang w:val="en-US"/>
        </w:rPr>
      </w:pPr>
      <w:r w:rsidRPr="00300A27">
        <w:rPr>
          <w:rFonts w:eastAsia="Times New Roman"/>
          <w:spacing w:val="0"/>
          <w:lang w:val="en-US"/>
        </w:rPr>
        <w:t>On March 24,</w:t>
      </w:r>
      <w:r w:rsidR="00121FEF" w:rsidRPr="00300A27">
        <w:rPr>
          <w:rFonts w:eastAsia="Times New Roman"/>
          <w:spacing w:val="0"/>
          <w:lang w:val="en-US"/>
        </w:rPr>
        <w:t xml:space="preserve"> 2008</w:t>
      </w:r>
      <w:r w:rsidR="008546E9" w:rsidRPr="00300A27">
        <w:rPr>
          <w:rFonts w:eastAsia="Times New Roman"/>
          <w:spacing w:val="0"/>
          <w:lang w:val="en-US"/>
        </w:rPr>
        <w:t xml:space="preserve">, the prosecutor decided to open a preliminary investigation against the police agents of the </w:t>
      </w:r>
      <w:r w:rsidRPr="00300A27">
        <w:rPr>
          <w:rFonts w:eastAsia="Times New Roman"/>
          <w:spacing w:val="0"/>
          <w:lang w:val="en-US"/>
        </w:rPr>
        <w:t>Casa Grande Police Station</w:t>
      </w:r>
      <w:r w:rsidR="00121FEF" w:rsidRPr="00300A27">
        <w:rPr>
          <w:rFonts w:eastAsia="Times New Roman"/>
          <w:spacing w:val="0"/>
          <w:lang w:val="en-US"/>
        </w:rPr>
        <w:t xml:space="preserve"> </w:t>
      </w:r>
      <w:r w:rsidR="008546E9" w:rsidRPr="00300A27">
        <w:rPr>
          <w:rFonts w:eastAsia="Times New Roman"/>
          <w:spacing w:val="0"/>
          <w:lang w:val="en-US"/>
        </w:rPr>
        <w:t>for the offense</w:t>
      </w:r>
      <w:r w:rsidR="00121FEF" w:rsidRPr="00300A27">
        <w:rPr>
          <w:rFonts w:eastAsia="Times New Roman"/>
          <w:spacing w:val="0"/>
          <w:lang w:val="en-US"/>
        </w:rPr>
        <w:t xml:space="preserve"> “</w:t>
      </w:r>
      <w:r w:rsidR="008546E9" w:rsidRPr="00300A27">
        <w:rPr>
          <w:rFonts w:eastAsia="Times New Roman"/>
          <w:spacing w:val="0"/>
          <w:lang w:val="en-US"/>
        </w:rPr>
        <w:t xml:space="preserve">against sexual liberty by rape,” against </w:t>
      </w:r>
      <w:r w:rsidR="00096082" w:rsidRPr="00300A27">
        <w:rPr>
          <w:rFonts w:eastAsia="Times New Roman"/>
          <w:spacing w:val="0"/>
          <w:lang w:val="en-US"/>
        </w:rPr>
        <w:t>Azul Rojas Marín</w:t>
      </w:r>
      <w:r w:rsidR="002B7FB5" w:rsidRPr="00300A27">
        <w:rPr>
          <w:rFonts w:eastAsia="Times New Roman"/>
          <w:spacing w:val="0"/>
          <w:lang w:val="en-US"/>
        </w:rPr>
        <w:t>.</w:t>
      </w:r>
      <w:r w:rsidR="00121FEF" w:rsidRPr="00300A27">
        <w:rPr>
          <w:rStyle w:val="Refdenotaalpie"/>
          <w:spacing w:val="0"/>
          <w:lang w:val="en-US"/>
        </w:rPr>
        <w:footnoteReference w:id="67"/>
      </w:r>
    </w:p>
    <w:p w14:paraId="23D5DFB4" w14:textId="2B5A5483" w:rsidR="00611CCC" w:rsidRPr="00300A27" w:rsidRDefault="00611CCC" w:rsidP="00B243B6">
      <w:pPr>
        <w:pStyle w:val="PrrafodeSentencia"/>
        <w:numPr>
          <w:ilvl w:val="0"/>
          <w:numId w:val="3"/>
        </w:numPr>
        <w:spacing w:before="120" w:after="120"/>
        <w:ind w:left="0" w:firstLine="0"/>
        <w:rPr>
          <w:rFonts w:eastAsia="Times New Roman"/>
          <w:spacing w:val="0"/>
          <w:lang w:val="en-US"/>
        </w:rPr>
      </w:pPr>
      <w:r w:rsidRPr="00300A27">
        <w:rPr>
          <w:rFonts w:eastAsia="Times New Roman"/>
          <w:spacing w:val="0"/>
          <w:lang w:val="en-US"/>
        </w:rPr>
        <w:t>On March 31, 2008, the police authorities of the Casa Grande Police Station issued a report indicating that the different complaints made by the presumed victim contained contradictions because she had told the media that, at the Police State</w:t>
      </w:r>
      <w:r w:rsidR="002B7FB5" w:rsidRPr="00300A27">
        <w:rPr>
          <w:rFonts w:eastAsia="Times New Roman"/>
          <w:spacing w:val="0"/>
          <w:lang w:val="en-US"/>
        </w:rPr>
        <w:t>,</w:t>
      </w:r>
      <w:r w:rsidRPr="00300A27">
        <w:rPr>
          <w:rFonts w:eastAsia="Times New Roman"/>
          <w:spacing w:val="0"/>
          <w:lang w:val="en-US"/>
        </w:rPr>
        <w:t xml:space="preserve"> “they took her mobile telephone and wallet, without mentioning a sum of money,” while in the complaint, she described the type of mobile telephone and that the wallet contained 150 soles. In addition, on one occasion, she had stressed that “a police agent tried to forcibly introduce a rubber baton in </w:t>
      </w:r>
      <w:r w:rsidR="002B7FB5" w:rsidRPr="00300A27">
        <w:rPr>
          <w:rFonts w:eastAsia="Times New Roman"/>
          <w:spacing w:val="0"/>
          <w:lang w:val="en-US"/>
        </w:rPr>
        <w:t>the</w:t>
      </w:r>
      <w:r w:rsidRPr="00300A27">
        <w:rPr>
          <w:rFonts w:eastAsia="Times New Roman"/>
          <w:spacing w:val="0"/>
          <w:lang w:val="en-US"/>
        </w:rPr>
        <w:t xml:space="preserve"> anus,”</w:t>
      </w:r>
      <w:r w:rsidRPr="00300A27">
        <w:rPr>
          <w:rStyle w:val="Refdenotaalpie"/>
          <w:spacing w:val="0"/>
          <w:lang w:val="en-US"/>
        </w:rPr>
        <w:footnoteReference w:id="68"/>
      </w:r>
      <w:r w:rsidRPr="00300A27">
        <w:rPr>
          <w:rFonts w:eastAsia="Times New Roman"/>
          <w:spacing w:val="0"/>
          <w:lang w:val="en-US"/>
        </w:rPr>
        <w:t xml:space="preserve"> and in another statement she indicated that one of the police agents “forcibly introduced the rubber baton.”</w:t>
      </w:r>
      <w:r w:rsidRPr="00300A27">
        <w:rPr>
          <w:rStyle w:val="Refdenotaalpie"/>
          <w:spacing w:val="0"/>
          <w:lang w:val="en-US"/>
        </w:rPr>
        <w:footnoteReference w:id="69"/>
      </w:r>
      <w:r w:rsidRPr="00300A27">
        <w:rPr>
          <w:rFonts w:eastAsia="Times New Roman"/>
          <w:spacing w:val="0"/>
          <w:lang w:val="en-US"/>
        </w:rPr>
        <w:t xml:space="preserve"> The report indicated that, from the foregoing, “it is presumed that the complainant […] injured </w:t>
      </w:r>
      <w:r w:rsidR="002B7FB5" w:rsidRPr="00300A27">
        <w:rPr>
          <w:rFonts w:eastAsia="Times New Roman"/>
          <w:spacing w:val="0"/>
          <w:lang w:val="en-US"/>
        </w:rPr>
        <w:t>[</w:t>
      </w:r>
      <w:r w:rsidRPr="00300A27">
        <w:rPr>
          <w:rFonts w:eastAsia="Times New Roman"/>
          <w:spacing w:val="0"/>
          <w:lang w:val="en-US"/>
        </w:rPr>
        <w:t>her</w:t>
      </w:r>
      <w:r w:rsidR="002B7FB5" w:rsidRPr="00300A27">
        <w:rPr>
          <w:rFonts w:eastAsia="Times New Roman"/>
          <w:spacing w:val="0"/>
          <w:lang w:val="en-US"/>
        </w:rPr>
        <w:t>]</w:t>
      </w:r>
      <w:r w:rsidRPr="00300A27">
        <w:rPr>
          <w:rFonts w:eastAsia="Times New Roman"/>
          <w:spacing w:val="0"/>
          <w:lang w:val="en-US"/>
        </w:rPr>
        <w:t xml:space="preserve">self in order to cause anal injuries, merely to </w:t>
      </w:r>
      <w:r w:rsidR="002B7FB5" w:rsidRPr="00300A27">
        <w:rPr>
          <w:rFonts w:eastAsia="Times New Roman"/>
          <w:spacing w:val="0"/>
          <w:lang w:val="en-US"/>
        </w:rPr>
        <w:t>harm</w:t>
      </w:r>
      <w:r w:rsidRPr="00300A27">
        <w:rPr>
          <w:rFonts w:eastAsia="Times New Roman"/>
          <w:spacing w:val="0"/>
          <w:lang w:val="en-US"/>
        </w:rPr>
        <w:t xml:space="preserve"> the police agent who arrested </w:t>
      </w:r>
      <w:r w:rsidR="002B7FB5" w:rsidRPr="00300A27">
        <w:rPr>
          <w:rFonts w:eastAsia="Times New Roman"/>
          <w:spacing w:val="0"/>
          <w:lang w:val="en-US"/>
        </w:rPr>
        <w:t>[</w:t>
      </w:r>
      <w:r w:rsidRPr="00300A27">
        <w:rPr>
          <w:rFonts w:eastAsia="Times New Roman"/>
          <w:spacing w:val="0"/>
          <w:lang w:val="en-US"/>
        </w:rPr>
        <w:t>her</w:t>
      </w:r>
      <w:r w:rsidR="002B7FB5" w:rsidRPr="00300A27">
        <w:rPr>
          <w:rFonts w:eastAsia="Times New Roman"/>
          <w:spacing w:val="0"/>
          <w:lang w:val="en-US"/>
        </w:rPr>
        <w:t>]</w:t>
      </w:r>
      <w:r w:rsidRPr="00300A27">
        <w:rPr>
          <w:rFonts w:eastAsia="Times New Roman"/>
          <w:spacing w:val="0"/>
          <w:lang w:val="en-US"/>
        </w:rPr>
        <w:t xml:space="preserve"> and the police agents who took </w:t>
      </w:r>
      <w:r w:rsidR="002B7FB5" w:rsidRPr="00300A27">
        <w:rPr>
          <w:rFonts w:eastAsia="Times New Roman"/>
          <w:spacing w:val="0"/>
          <w:lang w:val="en-US"/>
        </w:rPr>
        <w:t>[</w:t>
      </w:r>
      <w:r w:rsidRPr="00300A27">
        <w:rPr>
          <w:rFonts w:eastAsia="Times New Roman"/>
          <w:spacing w:val="0"/>
          <w:lang w:val="en-US"/>
        </w:rPr>
        <w:t>her</w:t>
      </w:r>
      <w:r w:rsidR="002B7FB5" w:rsidRPr="00300A27">
        <w:rPr>
          <w:rFonts w:eastAsia="Times New Roman"/>
          <w:spacing w:val="0"/>
          <w:lang w:val="en-US"/>
        </w:rPr>
        <w:t>]</w:t>
      </w:r>
      <w:r w:rsidRPr="00300A27">
        <w:rPr>
          <w:rFonts w:eastAsia="Times New Roman"/>
          <w:spacing w:val="0"/>
          <w:lang w:val="en-US"/>
        </w:rPr>
        <w:t xml:space="preserve"> to task for behaving disrespectfully inside [the] police station where </w:t>
      </w:r>
      <w:r w:rsidR="002B7FB5" w:rsidRPr="00300A27">
        <w:rPr>
          <w:rFonts w:eastAsia="Times New Roman"/>
          <w:spacing w:val="0"/>
          <w:lang w:val="en-US"/>
        </w:rPr>
        <w:t>[</w:t>
      </w:r>
      <w:r w:rsidRPr="00300A27">
        <w:rPr>
          <w:rFonts w:eastAsia="Times New Roman"/>
          <w:spacing w:val="0"/>
          <w:lang w:val="en-US"/>
        </w:rPr>
        <w:t>s</w:t>
      </w:r>
      <w:r w:rsidR="002B7FB5" w:rsidRPr="00300A27">
        <w:rPr>
          <w:rFonts w:eastAsia="Times New Roman"/>
          <w:spacing w:val="0"/>
          <w:lang w:val="en-US"/>
        </w:rPr>
        <w:t>]</w:t>
      </w:r>
      <w:r w:rsidRPr="00300A27">
        <w:rPr>
          <w:rFonts w:eastAsia="Times New Roman"/>
          <w:spacing w:val="0"/>
          <w:lang w:val="en-US"/>
        </w:rPr>
        <w:t>he remained […] [for four] hours.”</w:t>
      </w:r>
      <w:r w:rsidRPr="00300A27">
        <w:rPr>
          <w:rStyle w:val="Refdenotaalpie"/>
          <w:spacing w:val="0"/>
          <w:lang w:val="en-US"/>
        </w:rPr>
        <w:footnoteReference w:id="70"/>
      </w:r>
      <w:r w:rsidRPr="00300A27">
        <w:rPr>
          <w:rFonts w:eastAsia="Times New Roman"/>
          <w:spacing w:val="0"/>
          <w:lang w:val="en-US"/>
        </w:rPr>
        <w:t xml:space="preserve"> They also mentioned that it should be taken into account that one of the agents presumably involved “was in charge of police investigations relating to [Ms. Rojas Marín’s brothers] </w:t>
      </w:r>
      <w:r w:rsidR="008C26F4" w:rsidRPr="00300A27">
        <w:rPr>
          <w:rFonts w:eastAsia="Times New Roman"/>
          <w:spacing w:val="0"/>
          <w:lang w:val="en-US"/>
        </w:rPr>
        <w:t>who were implicated in [a] murder.</w:t>
      </w:r>
      <w:r w:rsidRPr="00300A27">
        <w:rPr>
          <w:rFonts w:eastAsia="Times New Roman"/>
          <w:spacing w:val="0"/>
          <w:lang w:val="en-US"/>
        </w:rPr>
        <w:t>”</w:t>
      </w:r>
      <w:r w:rsidRPr="00300A27">
        <w:rPr>
          <w:rStyle w:val="Refdenotaalpie"/>
          <w:spacing w:val="0"/>
          <w:lang w:val="en-US"/>
        </w:rPr>
        <w:footnoteReference w:id="71"/>
      </w:r>
    </w:p>
    <w:p w14:paraId="5AF3EA86" w14:textId="2040DA3B" w:rsidR="00121FEF" w:rsidRPr="00300A27" w:rsidRDefault="008C26F4" w:rsidP="00B243B6">
      <w:pPr>
        <w:pStyle w:val="PrrafodeSentencia"/>
        <w:numPr>
          <w:ilvl w:val="0"/>
          <w:numId w:val="3"/>
        </w:numPr>
        <w:spacing w:before="120" w:after="120"/>
        <w:ind w:left="0" w:firstLine="0"/>
        <w:rPr>
          <w:rFonts w:eastAsia="Times New Roman" w:cs="Times New Roman (Body CS)"/>
          <w:spacing w:val="0"/>
          <w:lang w:val="en-US"/>
        </w:rPr>
      </w:pPr>
      <w:r w:rsidRPr="00300A27">
        <w:rPr>
          <w:rFonts w:eastAsia="Times New Roman" w:cs="Times New Roman (Body CS)"/>
          <w:spacing w:val="0"/>
          <w:lang w:val="en-US"/>
        </w:rPr>
        <w:t>On April 2,</w:t>
      </w:r>
      <w:r w:rsidR="00121FEF" w:rsidRPr="00300A27">
        <w:rPr>
          <w:rFonts w:eastAsia="Times New Roman" w:cs="Times New Roman (Body CS)"/>
          <w:spacing w:val="0"/>
          <w:lang w:val="en-US"/>
        </w:rPr>
        <w:t xml:space="preserve"> 2008</w:t>
      </w:r>
      <w:r w:rsidRPr="00300A27">
        <w:rPr>
          <w:rFonts w:eastAsia="Times New Roman" w:cs="Times New Roman (Body CS)"/>
          <w:spacing w:val="0"/>
          <w:lang w:val="en-US"/>
        </w:rPr>
        <w:t>, the prosecutor</w:t>
      </w:r>
      <w:r w:rsidR="00121FEF" w:rsidRPr="00300A27">
        <w:rPr>
          <w:rFonts w:eastAsia="Times New Roman" w:cs="Times New Roman (Body CS)"/>
          <w:spacing w:val="0"/>
          <w:lang w:val="en-US"/>
        </w:rPr>
        <w:t xml:space="preserve"> </w:t>
      </w:r>
      <w:r w:rsidRPr="00300A27">
        <w:rPr>
          <w:rFonts w:eastAsia="Times New Roman" w:cs="Times New Roman (Body CS)"/>
          <w:spacing w:val="0"/>
          <w:lang w:val="en-US"/>
        </w:rPr>
        <w:t xml:space="preserve">ordered the </w:t>
      </w:r>
      <w:r w:rsidR="002B7FB5" w:rsidRPr="00300A27">
        <w:rPr>
          <w:rFonts w:eastAsia="Times New Roman" w:cs="Times New Roman (Body CS)"/>
          <w:spacing w:val="0"/>
          <w:lang w:val="en-US"/>
        </w:rPr>
        <w:t>opening</w:t>
      </w:r>
      <w:r w:rsidR="00747F47" w:rsidRPr="00300A27">
        <w:rPr>
          <w:rFonts w:eastAsia="Times New Roman" w:cs="Times New Roman (Body CS)"/>
          <w:spacing w:val="0"/>
          <w:lang w:val="en-US"/>
        </w:rPr>
        <w:t xml:space="preserve"> of the</w:t>
      </w:r>
      <w:r w:rsidR="00121FEF" w:rsidRPr="00300A27">
        <w:rPr>
          <w:rFonts w:eastAsia="Times New Roman" w:cs="Times New Roman (Body CS)"/>
          <w:spacing w:val="0"/>
          <w:lang w:val="en-US"/>
        </w:rPr>
        <w:t xml:space="preserve"> </w:t>
      </w:r>
      <w:r w:rsidR="00967E9D" w:rsidRPr="00300A27">
        <w:rPr>
          <w:rFonts w:eastAsia="Times New Roman" w:cs="Times New Roman (Body CS)"/>
          <w:spacing w:val="0"/>
          <w:lang w:val="en-US"/>
        </w:rPr>
        <w:t>preliminary investigation</w:t>
      </w:r>
      <w:r w:rsidR="00121FEF" w:rsidRPr="00300A27">
        <w:rPr>
          <w:rFonts w:eastAsia="Times New Roman" w:cs="Times New Roman (Body CS)"/>
          <w:spacing w:val="0"/>
          <w:lang w:val="en-US"/>
        </w:rPr>
        <w:t xml:space="preserve"> </w:t>
      </w:r>
      <w:r w:rsidRPr="00300A27">
        <w:rPr>
          <w:rFonts w:eastAsia="Times New Roman" w:cs="Times New Roman (Body CS)"/>
          <w:spacing w:val="0"/>
          <w:lang w:val="en-US"/>
        </w:rPr>
        <w:t>for</w:t>
      </w:r>
      <w:r w:rsidR="00121FEF" w:rsidRPr="00300A27">
        <w:rPr>
          <w:rFonts w:eastAsia="Times New Roman" w:cs="Times New Roman (Body CS)"/>
          <w:spacing w:val="0"/>
          <w:lang w:val="en-US"/>
        </w:rPr>
        <w:t xml:space="preserve"> “</w:t>
      </w:r>
      <w:r w:rsidRPr="00300A27">
        <w:rPr>
          <w:rFonts w:eastAsia="Times New Roman" w:cs="Times New Roman (Body CS)"/>
          <w:spacing w:val="0"/>
          <w:lang w:val="en-US"/>
        </w:rPr>
        <w:t>the offense against sexual liberty by aggravated rape</w:t>
      </w:r>
      <w:r w:rsidR="00121FEF" w:rsidRPr="00300A27">
        <w:rPr>
          <w:rFonts w:eastAsia="Times New Roman" w:cs="Times New Roman (Body CS)"/>
          <w:spacing w:val="0"/>
          <w:lang w:val="en-US"/>
        </w:rPr>
        <w:t>”</w:t>
      </w:r>
      <w:r w:rsidR="005B1C65" w:rsidRPr="00300A27">
        <w:rPr>
          <w:rFonts w:eastAsia="Times New Roman" w:cs="Times New Roman (Body CS)"/>
          <w:spacing w:val="0"/>
          <w:lang w:val="en-US"/>
        </w:rPr>
        <w:t xml:space="preserve"> and </w:t>
      </w:r>
      <w:r w:rsidR="00121FEF" w:rsidRPr="00300A27">
        <w:rPr>
          <w:rFonts w:eastAsia="Times New Roman" w:cs="Times New Roman (Body CS)"/>
          <w:spacing w:val="0"/>
          <w:lang w:val="en-US"/>
        </w:rPr>
        <w:t>abus</w:t>
      </w:r>
      <w:r w:rsidRPr="00300A27">
        <w:rPr>
          <w:rFonts w:eastAsia="Times New Roman" w:cs="Times New Roman (Body CS)"/>
          <w:spacing w:val="0"/>
          <w:lang w:val="en-US"/>
        </w:rPr>
        <w:t xml:space="preserve">e of authority against the three police officers indicated by </w:t>
      </w:r>
      <w:r w:rsidR="00834A1B" w:rsidRPr="00300A27">
        <w:rPr>
          <w:rFonts w:eastAsia="Times New Roman" w:cs="Times New Roman (Body CS)"/>
          <w:spacing w:val="0"/>
          <w:lang w:val="en-US"/>
        </w:rPr>
        <w:t>the presumed victim</w:t>
      </w:r>
      <w:r w:rsidR="00121FEF" w:rsidRPr="00300A27">
        <w:rPr>
          <w:rFonts w:eastAsia="Times New Roman" w:cs="Times New Roman (Body CS)"/>
          <w:spacing w:val="0"/>
          <w:lang w:val="en-US"/>
        </w:rPr>
        <w:t>, consider</w:t>
      </w:r>
      <w:r w:rsidRPr="00300A27">
        <w:rPr>
          <w:rFonts w:eastAsia="Times New Roman" w:cs="Times New Roman (Body CS)"/>
          <w:spacing w:val="0"/>
          <w:lang w:val="en-US"/>
        </w:rPr>
        <w:t>ing that there were “indications that revealed the perpetration of the unlawful acts investigated.</w:t>
      </w:r>
      <w:r w:rsidR="00121FEF" w:rsidRPr="00300A27">
        <w:rPr>
          <w:rFonts w:eastAsia="Times New Roman" w:cs="Times New Roman (Body CS)"/>
          <w:spacing w:val="0"/>
          <w:lang w:val="en-US"/>
        </w:rPr>
        <w:t>”</w:t>
      </w:r>
      <w:r w:rsidR="00121FEF" w:rsidRPr="00300A27">
        <w:rPr>
          <w:rStyle w:val="Refdenotaalpie"/>
          <w:rFonts w:cs="Times New Roman (Body CS)"/>
          <w:spacing w:val="0"/>
          <w:lang w:val="en-US"/>
        </w:rPr>
        <w:footnoteReference w:id="72"/>
      </w:r>
      <w:r w:rsidR="00121FEF" w:rsidRPr="00300A27">
        <w:rPr>
          <w:rFonts w:eastAsia="Times New Roman" w:cs="Times New Roman (Body CS)"/>
          <w:spacing w:val="0"/>
          <w:lang w:val="en-US"/>
        </w:rPr>
        <w:t xml:space="preserve"> </w:t>
      </w:r>
      <w:r w:rsidRPr="00300A27">
        <w:rPr>
          <w:rFonts w:eastAsia="Times New Roman" w:cs="Times New Roman (Body CS)"/>
          <w:spacing w:val="0"/>
          <w:lang w:val="en-US"/>
        </w:rPr>
        <w:t xml:space="preserve">The prosecutor also </w:t>
      </w:r>
      <w:r w:rsidR="00FA24FF" w:rsidRPr="00300A27">
        <w:rPr>
          <w:rFonts w:eastAsia="Times New Roman" w:cs="Times New Roman (Body CS)"/>
          <w:spacing w:val="0"/>
          <w:lang w:val="en-US"/>
        </w:rPr>
        <w:t>ordered that the</w:t>
      </w:r>
      <w:r w:rsidR="002B7FB5" w:rsidRPr="00300A27">
        <w:rPr>
          <w:rFonts w:eastAsia="Times New Roman" w:cs="Times New Roman (Body CS)"/>
          <w:spacing w:val="0"/>
          <w:lang w:val="en-US"/>
        </w:rPr>
        <w:t xml:space="preserve"> Ascope p</w:t>
      </w:r>
      <w:r w:rsidR="00967E9D" w:rsidRPr="00300A27">
        <w:rPr>
          <w:rFonts w:eastAsia="Times New Roman" w:cs="Times New Roman (Body CS)"/>
          <w:spacing w:val="0"/>
          <w:lang w:val="en-US"/>
        </w:rPr>
        <w:t>reliminary investigation</w:t>
      </w:r>
      <w:r w:rsidR="002B7FB5" w:rsidRPr="00300A27">
        <w:rPr>
          <w:rFonts w:eastAsia="Times New Roman" w:cs="Times New Roman (Body CS)"/>
          <w:spacing w:val="0"/>
          <w:lang w:val="en-US"/>
        </w:rPr>
        <w:t xml:space="preserve"> judge</w:t>
      </w:r>
      <w:r w:rsidR="00121FEF" w:rsidRPr="00300A27">
        <w:rPr>
          <w:rFonts w:eastAsia="Times New Roman" w:cs="Times New Roman (Body CS)"/>
          <w:spacing w:val="0"/>
          <w:lang w:val="en-US"/>
        </w:rPr>
        <w:t xml:space="preserve"> </w:t>
      </w:r>
      <w:r w:rsidR="00FA24FF" w:rsidRPr="00300A27">
        <w:rPr>
          <w:rFonts w:eastAsia="Times New Roman" w:cs="Times New Roman (Body CS)"/>
          <w:spacing w:val="0"/>
          <w:lang w:val="en-US"/>
        </w:rPr>
        <w:t xml:space="preserve">be informed of this </w:t>
      </w:r>
      <w:r w:rsidR="00967E9D" w:rsidRPr="00300A27">
        <w:rPr>
          <w:rFonts w:eastAsia="Times New Roman" w:cs="Times New Roman (Body CS)"/>
          <w:spacing w:val="0"/>
          <w:lang w:val="en-US"/>
        </w:rPr>
        <w:t>preliminary investigation</w:t>
      </w:r>
      <w:r w:rsidR="00FA24FF" w:rsidRPr="00300A27">
        <w:rPr>
          <w:rFonts w:eastAsia="Times New Roman" w:cs="Times New Roman (Body CS)"/>
          <w:spacing w:val="0"/>
          <w:lang w:val="en-US"/>
        </w:rPr>
        <w:t>,</w:t>
      </w:r>
      <w:r w:rsidR="00121FEF" w:rsidRPr="00300A27">
        <w:rPr>
          <w:rStyle w:val="Refdenotaalpie"/>
          <w:rFonts w:cs="Times New Roman (Body CS)"/>
          <w:spacing w:val="0"/>
          <w:lang w:val="en-US"/>
        </w:rPr>
        <w:footnoteReference w:id="73"/>
      </w:r>
      <w:r w:rsidR="00FA24FF" w:rsidRPr="00300A27">
        <w:rPr>
          <w:rFonts w:eastAsia="Times New Roman" w:cs="Times New Roman (Body CS)"/>
          <w:spacing w:val="0"/>
          <w:lang w:val="en-US"/>
        </w:rPr>
        <w:t xml:space="preserve"> requesting him to</w:t>
      </w:r>
      <w:r w:rsidR="00747F47" w:rsidRPr="00300A27">
        <w:rPr>
          <w:rFonts w:eastAsia="Times New Roman" w:cs="Times New Roman (Body CS)"/>
          <w:spacing w:val="0"/>
          <w:lang w:val="en-US"/>
        </w:rPr>
        <w:t xml:space="preserve"> </w:t>
      </w:r>
      <w:r w:rsidR="00FA24FF" w:rsidRPr="00300A27">
        <w:rPr>
          <w:rFonts w:eastAsia="Times New Roman" w:cs="Times New Roman (Body CS)"/>
          <w:spacing w:val="0"/>
          <w:lang w:val="en-US"/>
        </w:rPr>
        <w:t>order the preventive detention of the accused.</w:t>
      </w:r>
      <w:r w:rsidR="00121FEF" w:rsidRPr="00300A27">
        <w:rPr>
          <w:rStyle w:val="Refdenotaalpie"/>
          <w:rFonts w:cs="Times New Roman (Body CS)"/>
          <w:spacing w:val="0"/>
          <w:lang w:val="en-US"/>
        </w:rPr>
        <w:footnoteReference w:id="74"/>
      </w:r>
      <w:r w:rsidR="00121FEF" w:rsidRPr="00300A27">
        <w:rPr>
          <w:rFonts w:eastAsia="Times New Roman" w:cs="Times New Roman (Body CS)"/>
          <w:spacing w:val="0"/>
          <w:lang w:val="en-US"/>
        </w:rPr>
        <w:t xml:space="preserve"> </w:t>
      </w:r>
    </w:p>
    <w:p w14:paraId="1D43A2BA" w14:textId="0784B784" w:rsidR="00795276" w:rsidRPr="00300A27" w:rsidRDefault="00747F47" w:rsidP="00B243B6">
      <w:pPr>
        <w:pStyle w:val="PrrafodeSentencia"/>
        <w:numPr>
          <w:ilvl w:val="0"/>
          <w:numId w:val="3"/>
        </w:numPr>
        <w:spacing w:before="120" w:after="120"/>
        <w:ind w:left="0" w:firstLine="0"/>
        <w:rPr>
          <w:spacing w:val="0"/>
          <w:lang w:val="en-US"/>
        </w:rPr>
      </w:pPr>
      <w:r w:rsidRPr="00300A27">
        <w:rPr>
          <w:rFonts w:eastAsia="Times New Roman"/>
          <w:spacing w:val="0"/>
          <w:lang w:val="en-US"/>
        </w:rPr>
        <w:t xml:space="preserve">During the investigation, the following procedures were conducted: a forensic biology </w:t>
      </w:r>
      <w:r w:rsidR="00EA4EB3" w:rsidRPr="00300A27">
        <w:rPr>
          <w:rFonts w:eastAsia="Times New Roman"/>
          <w:spacing w:val="0"/>
          <w:lang w:val="en-US"/>
        </w:rPr>
        <w:t>expertise</w:t>
      </w:r>
      <w:r w:rsidRPr="00300A27">
        <w:rPr>
          <w:rFonts w:eastAsia="Times New Roman"/>
          <w:spacing w:val="0"/>
          <w:lang w:val="en-US"/>
        </w:rPr>
        <w:t xml:space="preserve"> on the clothes that the presumed victim was wearing when she was detained;</w:t>
      </w:r>
      <w:r w:rsidR="00795276" w:rsidRPr="00300A27">
        <w:rPr>
          <w:rStyle w:val="Refdenotaalpie"/>
          <w:spacing w:val="0"/>
          <w:lang w:val="en-US"/>
        </w:rPr>
        <w:footnoteReference w:id="75"/>
      </w:r>
      <w:r w:rsidRPr="00300A27">
        <w:rPr>
          <w:spacing w:val="0"/>
          <w:lang w:val="en-US"/>
        </w:rPr>
        <w:t xml:space="preserve"> an </w:t>
      </w:r>
      <w:r w:rsidR="00EA4EB3" w:rsidRPr="00300A27">
        <w:rPr>
          <w:spacing w:val="0"/>
          <w:lang w:val="en-US"/>
        </w:rPr>
        <w:t>expert assessment</w:t>
      </w:r>
      <w:r w:rsidRPr="00300A27">
        <w:rPr>
          <w:spacing w:val="0"/>
          <w:lang w:val="en-US"/>
        </w:rPr>
        <w:t xml:space="preserve"> o</w:t>
      </w:r>
      <w:r w:rsidR="00EA4EB3" w:rsidRPr="00300A27">
        <w:rPr>
          <w:spacing w:val="0"/>
          <w:lang w:val="en-US"/>
        </w:rPr>
        <w:t>f</w:t>
      </w:r>
      <w:r w:rsidRPr="00300A27">
        <w:rPr>
          <w:spacing w:val="0"/>
          <w:lang w:val="en-US"/>
        </w:rPr>
        <w:t xml:space="preserve"> the police baton presumably used;</w:t>
      </w:r>
      <w:r w:rsidR="00795276" w:rsidRPr="00300A27">
        <w:rPr>
          <w:rStyle w:val="Refdenotaalpie"/>
          <w:spacing w:val="0"/>
          <w:lang w:val="en-US"/>
        </w:rPr>
        <w:footnoteReference w:id="76"/>
      </w:r>
      <w:r w:rsidR="00795276" w:rsidRPr="00300A27">
        <w:rPr>
          <w:spacing w:val="0"/>
          <w:lang w:val="en-US"/>
        </w:rPr>
        <w:t xml:space="preserve"> </w:t>
      </w:r>
      <w:r w:rsidRPr="00300A27">
        <w:rPr>
          <w:spacing w:val="0"/>
          <w:lang w:val="en-US"/>
        </w:rPr>
        <w:t xml:space="preserve">a test to determine </w:t>
      </w:r>
      <w:r w:rsidR="008546E9" w:rsidRPr="00300A27">
        <w:rPr>
          <w:spacing w:val="0"/>
          <w:lang w:val="en-US"/>
        </w:rPr>
        <w:t xml:space="preserve">the </w:t>
      </w:r>
      <w:r w:rsidR="00834A1B" w:rsidRPr="00300A27">
        <w:rPr>
          <w:spacing w:val="0"/>
          <w:lang w:val="en-US"/>
        </w:rPr>
        <w:t>presumed victim</w:t>
      </w:r>
      <w:r w:rsidRPr="00300A27">
        <w:rPr>
          <w:spacing w:val="0"/>
          <w:lang w:val="en-US"/>
        </w:rPr>
        <w:t>’s blood group;</w:t>
      </w:r>
      <w:r w:rsidR="00795276" w:rsidRPr="00300A27">
        <w:rPr>
          <w:rStyle w:val="Refdenotaalpie"/>
          <w:spacing w:val="0"/>
          <w:lang w:val="en-US"/>
        </w:rPr>
        <w:footnoteReference w:id="77"/>
      </w:r>
      <w:r w:rsidRPr="00300A27">
        <w:rPr>
          <w:spacing w:val="0"/>
          <w:lang w:val="en-US"/>
        </w:rPr>
        <w:t xml:space="preserve"> a psychiatric assessment of</w:t>
      </w:r>
      <w:r w:rsidR="00795276" w:rsidRPr="00300A27">
        <w:rPr>
          <w:spacing w:val="0"/>
          <w:lang w:val="en-US"/>
        </w:rPr>
        <w:t xml:space="preserve"> </w:t>
      </w:r>
      <w:r w:rsidR="008546E9" w:rsidRPr="00300A27">
        <w:rPr>
          <w:spacing w:val="0"/>
          <w:lang w:val="en-US"/>
        </w:rPr>
        <w:t>Ms. Rojas</w:t>
      </w:r>
      <w:r w:rsidR="00795276" w:rsidRPr="00300A27">
        <w:rPr>
          <w:spacing w:val="0"/>
          <w:lang w:val="en-US"/>
        </w:rPr>
        <w:t xml:space="preserve"> Marín</w:t>
      </w:r>
      <w:r w:rsidRPr="00300A27">
        <w:rPr>
          <w:spacing w:val="0"/>
          <w:lang w:val="en-US"/>
        </w:rPr>
        <w:t>;</w:t>
      </w:r>
      <w:r w:rsidR="00396C1A" w:rsidRPr="00300A27">
        <w:rPr>
          <w:rStyle w:val="Refdenotaalpie"/>
          <w:spacing w:val="0"/>
          <w:lang w:val="en-US"/>
        </w:rPr>
        <w:footnoteReference w:id="78"/>
      </w:r>
      <w:r w:rsidRPr="00300A27">
        <w:rPr>
          <w:spacing w:val="0"/>
          <w:lang w:val="en-US"/>
        </w:rPr>
        <w:t xml:space="preserve"> a psychiatric assessment of the three agents presumably responsible</w:t>
      </w:r>
      <w:r w:rsidR="00EA4EB3" w:rsidRPr="00300A27">
        <w:rPr>
          <w:spacing w:val="0"/>
          <w:lang w:val="en-US"/>
        </w:rPr>
        <w:t>,</w:t>
      </w:r>
      <w:r w:rsidR="00795276" w:rsidRPr="00300A27">
        <w:rPr>
          <w:rStyle w:val="Refdenotaalpie"/>
          <w:spacing w:val="0"/>
          <w:lang w:val="en-US"/>
        </w:rPr>
        <w:footnoteReference w:id="79"/>
      </w:r>
      <w:r w:rsidRPr="00300A27">
        <w:rPr>
          <w:spacing w:val="0"/>
          <w:lang w:val="en-US"/>
        </w:rPr>
        <w:t xml:space="preserve"> </w:t>
      </w:r>
      <w:r w:rsidR="00EA4EB3" w:rsidRPr="00300A27">
        <w:rPr>
          <w:spacing w:val="0"/>
          <w:lang w:val="en-US"/>
        </w:rPr>
        <w:t xml:space="preserve">and </w:t>
      </w:r>
      <w:r w:rsidRPr="00300A27">
        <w:rPr>
          <w:spacing w:val="0"/>
          <w:lang w:val="en-US"/>
        </w:rPr>
        <w:t>a judicial inspection and reconstruction procedure</w:t>
      </w:r>
      <w:r w:rsidR="00EA4EB3" w:rsidRPr="00300A27">
        <w:rPr>
          <w:spacing w:val="0"/>
          <w:lang w:val="en-US"/>
        </w:rPr>
        <w:t>.</w:t>
      </w:r>
      <w:r w:rsidR="00795276" w:rsidRPr="00300A27">
        <w:rPr>
          <w:rStyle w:val="Refdenotaalpie"/>
          <w:spacing w:val="0"/>
          <w:lang w:val="en-US"/>
        </w:rPr>
        <w:footnoteReference w:id="80"/>
      </w:r>
      <w:r w:rsidR="005B1C65" w:rsidRPr="00300A27">
        <w:rPr>
          <w:spacing w:val="0"/>
          <w:lang w:val="en-US"/>
        </w:rPr>
        <w:t xml:space="preserve"> </w:t>
      </w:r>
      <w:r w:rsidR="00EA4EB3" w:rsidRPr="00300A27">
        <w:rPr>
          <w:spacing w:val="0"/>
          <w:lang w:val="en-US"/>
        </w:rPr>
        <w:t>Also,</w:t>
      </w:r>
      <w:r w:rsidR="005B1C65" w:rsidRPr="00300A27">
        <w:rPr>
          <w:spacing w:val="0"/>
          <w:lang w:val="en-US"/>
        </w:rPr>
        <w:t xml:space="preserve"> </w:t>
      </w:r>
      <w:r w:rsidR="002C1B94" w:rsidRPr="00300A27">
        <w:rPr>
          <w:rFonts w:eastAsia="Times New Roman"/>
          <w:spacing w:val="0"/>
          <w:lang w:val="en-US"/>
        </w:rPr>
        <w:t xml:space="preserve">various statements were received, including from the four </w:t>
      </w:r>
      <w:r w:rsidR="00EA4EB3" w:rsidRPr="00300A27">
        <w:rPr>
          <w:rFonts w:eastAsia="Times New Roman"/>
          <w:spacing w:val="0"/>
          <w:lang w:val="en-US"/>
        </w:rPr>
        <w:t>individuals</w:t>
      </w:r>
      <w:r w:rsidR="002C1B94" w:rsidRPr="00300A27">
        <w:rPr>
          <w:rFonts w:eastAsia="Times New Roman"/>
          <w:spacing w:val="0"/>
          <w:lang w:val="en-US"/>
        </w:rPr>
        <w:t xml:space="preserve"> presumably involved.</w:t>
      </w:r>
      <w:r w:rsidR="00795276" w:rsidRPr="00300A27">
        <w:rPr>
          <w:rStyle w:val="Refdenotaalpie"/>
          <w:spacing w:val="0"/>
          <w:lang w:val="en-US"/>
        </w:rPr>
        <w:footnoteReference w:id="81"/>
      </w:r>
    </w:p>
    <w:p w14:paraId="5A78FC48" w14:textId="1934FD6C" w:rsidR="00121FEF" w:rsidRPr="00300A27" w:rsidRDefault="002C1B94" w:rsidP="00B243B6">
      <w:pPr>
        <w:pStyle w:val="PrrafodeSentencia"/>
        <w:numPr>
          <w:ilvl w:val="0"/>
          <w:numId w:val="3"/>
        </w:numPr>
        <w:spacing w:before="120" w:after="120"/>
        <w:ind w:left="0" w:firstLine="0"/>
        <w:rPr>
          <w:rFonts w:eastAsia="Times New Roman"/>
          <w:spacing w:val="0"/>
          <w:lang w:val="en-US"/>
        </w:rPr>
      </w:pPr>
      <w:r w:rsidRPr="00300A27">
        <w:rPr>
          <w:rFonts w:eastAsia="Times New Roman"/>
          <w:spacing w:val="0"/>
          <w:lang w:val="en-US"/>
        </w:rPr>
        <w:t>On May 5,</w:t>
      </w:r>
      <w:r w:rsidR="00121FEF" w:rsidRPr="00300A27">
        <w:rPr>
          <w:rFonts w:eastAsia="Times New Roman"/>
          <w:spacing w:val="0"/>
          <w:lang w:val="en-US"/>
        </w:rPr>
        <w:t xml:space="preserve"> 2008, </w:t>
      </w:r>
      <w:r w:rsidR="008546E9" w:rsidRPr="00300A27">
        <w:rPr>
          <w:rFonts w:eastAsia="Times New Roman"/>
          <w:spacing w:val="0"/>
          <w:lang w:val="en-US"/>
        </w:rPr>
        <w:t>Ms. Rojas</w:t>
      </w:r>
      <w:r w:rsidR="00121FEF" w:rsidRPr="00300A27">
        <w:rPr>
          <w:rFonts w:eastAsia="Times New Roman"/>
          <w:spacing w:val="0"/>
          <w:lang w:val="en-US"/>
        </w:rPr>
        <w:t xml:space="preserve"> Marín </w:t>
      </w:r>
      <w:r w:rsidRPr="00300A27">
        <w:rPr>
          <w:rFonts w:eastAsia="Times New Roman"/>
          <w:spacing w:val="0"/>
          <w:lang w:val="en-US"/>
        </w:rPr>
        <w:t>requested</w:t>
      </w:r>
      <w:r w:rsidR="00121FEF" w:rsidRPr="00300A27">
        <w:rPr>
          <w:rFonts w:eastAsia="Times New Roman"/>
          <w:spacing w:val="0"/>
          <w:lang w:val="en-US"/>
        </w:rPr>
        <w:t xml:space="preserve"> “</w:t>
      </w:r>
      <w:r w:rsidRPr="00300A27">
        <w:rPr>
          <w:rFonts w:eastAsia="Times New Roman"/>
          <w:spacing w:val="0"/>
          <w:lang w:val="en-US"/>
        </w:rPr>
        <w:t>the expansion of the complaint and of the investigation into the crime of torture” pursuant to a</w:t>
      </w:r>
      <w:r w:rsidR="007071F6" w:rsidRPr="00300A27">
        <w:rPr>
          <w:rFonts w:eastAsia="Times New Roman"/>
          <w:spacing w:val="0"/>
          <w:lang w:val="en-US"/>
        </w:rPr>
        <w:t>rticle</w:t>
      </w:r>
      <w:r w:rsidR="00121FEF" w:rsidRPr="00300A27">
        <w:rPr>
          <w:rFonts w:eastAsia="Times New Roman"/>
          <w:spacing w:val="0"/>
          <w:lang w:val="en-US"/>
        </w:rPr>
        <w:t xml:space="preserve"> 321 </w:t>
      </w:r>
      <w:r w:rsidR="00D75EFA" w:rsidRPr="00300A27">
        <w:rPr>
          <w:rFonts w:eastAsia="Times New Roman"/>
          <w:spacing w:val="0"/>
          <w:lang w:val="en-US"/>
        </w:rPr>
        <w:t xml:space="preserve">of the </w:t>
      </w:r>
      <w:r w:rsidRPr="00300A27">
        <w:rPr>
          <w:rFonts w:eastAsia="Times New Roman"/>
          <w:spacing w:val="0"/>
          <w:lang w:val="en-US"/>
        </w:rPr>
        <w:t xml:space="preserve">Peruvian </w:t>
      </w:r>
      <w:r w:rsidR="00D75EFA" w:rsidRPr="00300A27">
        <w:rPr>
          <w:rFonts w:eastAsia="Times New Roman"/>
          <w:spacing w:val="0"/>
          <w:lang w:val="en-US"/>
        </w:rPr>
        <w:t>Criminal Code</w:t>
      </w:r>
      <w:r w:rsidR="00121FEF" w:rsidRPr="00300A27">
        <w:rPr>
          <w:rFonts w:eastAsia="Times New Roman"/>
          <w:spacing w:val="0"/>
          <w:lang w:val="en-US"/>
        </w:rPr>
        <w:t xml:space="preserve"> </w:t>
      </w:r>
      <w:r w:rsidRPr="00300A27">
        <w:rPr>
          <w:rFonts w:eastAsia="Times New Roman"/>
          <w:spacing w:val="0"/>
          <w:lang w:val="en-US"/>
        </w:rPr>
        <w:t>and “[clarification of the] offense of rape […] in order to define the offense appropriately and avoid future nullifications.” She also requested the “disqualification of the representative of the Public Prosecution Service” because he was a colleague of the Ascope provincial prosecutors who were subject to a disciplinary administrative proceeding</w:t>
      </w:r>
      <w:r w:rsidR="00121FEF" w:rsidRPr="00300A27">
        <w:rPr>
          <w:rFonts w:eastAsia="Times New Roman"/>
          <w:spacing w:val="0"/>
          <w:lang w:val="en-US"/>
        </w:rPr>
        <w:t xml:space="preserve"> (</w:t>
      </w:r>
      <w:r w:rsidR="00BC0C9D" w:rsidRPr="00300A27">
        <w:rPr>
          <w:rFonts w:eastAsia="Times New Roman"/>
          <w:i/>
          <w:spacing w:val="0"/>
          <w:lang w:val="en-US"/>
        </w:rPr>
        <w:t>infra</w:t>
      </w:r>
      <w:r w:rsidR="00121FEF" w:rsidRPr="00300A27">
        <w:rPr>
          <w:rFonts w:eastAsia="Times New Roman"/>
          <w:i/>
          <w:spacing w:val="0"/>
          <w:lang w:val="en-US"/>
        </w:rPr>
        <w:t xml:space="preserve"> </w:t>
      </w:r>
      <w:r w:rsidR="00910D8E" w:rsidRPr="00300A27">
        <w:rPr>
          <w:rFonts w:eastAsia="Times New Roman"/>
          <w:spacing w:val="0"/>
          <w:lang w:val="en-US"/>
        </w:rPr>
        <w:t>paras.</w:t>
      </w:r>
      <w:r w:rsidR="00121FEF" w:rsidRPr="00300A27">
        <w:rPr>
          <w:rFonts w:eastAsia="Times New Roman"/>
          <w:spacing w:val="0"/>
          <w:lang w:val="en-US"/>
        </w:rPr>
        <w:t xml:space="preserve"> </w:t>
      </w:r>
      <w:r w:rsidR="0098046C" w:rsidRPr="00300A27">
        <w:rPr>
          <w:rFonts w:eastAsia="Times New Roman"/>
          <w:spacing w:val="0"/>
          <w:lang w:val="en-US"/>
        </w:rPr>
        <w:fldChar w:fldCharType="begin"/>
      </w:r>
      <w:r w:rsidR="0098046C" w:rsidRPr="00300A27">
        <w:rPr>
          <w:rFonts w:eastAsia="Times New Roman"/>
          <w:spacing w:val="0"/>
          <w:lang w:val="en-US"/>
        </w:rPr>
        <w:instrText xml:space="preserve"> REF _Ref446245847 \r \h </w:instrText>
      </w:r>
      <w:r w:rsidR="00B243B6" w:rsidRPr="00300A27">
        <w:rPr>
          <w:rFonts w:eastAsia="Times New Roman"/>
          <w:spacing w:val="0"/>
          <w:lang w:val="en-US"/>
        </w:rPr>
        <w:instrText xml:space="preserve"> \* MERGEFORMAT </w:instrText>
      </w:r>
      <w:r w:rsidR="0098046C" w:rsidRPr="00300A27">
        <w:rPr>
          <w:rFonts w:eastAsia="Times New Roman"/>
          <w:spacing w:val="0"/>
          <w:lang w:val="en-US"/>
        </w:rPr>
      </w:r>
      <w:r w:rsidR="0098046C" w:rsidRPr="00300A27">
        <w:rPr>
          <w:rFonts w:eastAsia="Times New Roman"/>
          <w:spacing w:val="0"/>
          <w:lang w:val="en-US"/>
        </w:rPr>
        <w:fldChar w:fldCharType="separate"/>
      </w:r>
      <w:r w:rsidR="00632F77" w:rsidRPr="00300A27">
        <w:rPr>
          <w:rFonts w:eastAsia="Times New Roman"/>
          <w:spacing w:val="0"/>
          <w:lang w:val="en-US"/>
        </w:rPr>
        <w:t>68</w:t>
      </w:r>
      <w:r w:rsidR="0098046C" w:rsidRPr="00300A27">
        <w:rPr>
          <w:rFonts w:eastAsia="Times New Roman"/>
          <w:spacing w:val="0"/>
          <w:lang w:val="en-US"/>
        </w:rPr>
        <w:fldChar w:fldCharType="end"/>
      </w:r>
      <w:r w:rsidR="0098046C" w:rsidRPr="00300A27">
        <w:rPr>
          <w:rFonts w:eastAsia="Times New Roman"/>
          <w:spacing w:val="0"/>
          <w:lang w:val="en-US"/>
        </w:rPr>
        <w:t xml:space="preserve"> </w:t>
      </w:r>
      <w:r w:rsidRPr="00300A27">
        <w:rPr>
          <w:rFonts w:eastAsia="Times New Roman"/>
          <w:spacing w:val="0"/>
          <w:lang w:val="en-US"/>
        </w:rPr>
        <w:t>to</w:t>
      </w:r>
      <w:r w:rsidR="0098046C" w:rsidRPr="00300A27">
        <w:rPr>
          <w:rFonts w:eastAsia="Times New Roman"/>
          <w:spacing w:val="0"/>
          <w:lang w:val="en-US"/>
        </w:rPr>
        <w:t xml:space="preserve"> </w:t>
      </w:r>
      <w:r w:rsidR="0098046C" w:rsidRPr="00300A27">
        <w:rPr>
          <w:rFonts w:eastAsia="Times New Roman"/>
          <w:spacing w:val="0"/>
          <w:lang w:val="en-US"/>
        </w:rPr>
        <w:fldChar w:fldCharType="begin"/>
      </w:r>
      <w:r w:rsidR="0098046C" w:rsidRPr="00300A27">
        <w:rPr>
          <w:rFonts w:eastAsia="Times New Roman"/>
          <w:spacing w:val="0"/>
          <w:lang w:val="en-US"/>
        </w:rPr>
        <w:instrText xml:space="preserve"> REF _Ref446245850 \r \h </w:instrText>
      </w:r>
      <w:r w:rsidR="00B243B6" w:rsidRPr="00300A27">
        <w:rPr>
          <w:rFonts w:eastAsia="Times New Roman"/>
          <w:spacing w:val="0"/>
          <w:lang w:val="en-US"/>
        </w:rPr>
        <w:instrText xml:space="preserve"> \* MERGEFORMAT </w:instrText>
      </w:r>
      <w:r w:rsidR="0098046C" w:rsidRPr="00300A27">
        <w:rPr>
          <w:rFonts w:eastAsia="Times New Roman"/>
          <w:spacing w:val="0"/>
          <w:lang w:val="en-US"/>
        </w:rPr>
      </w:r>
      <w:r w:rsidR="0098046C" w:rsidRPr="00300A27">
        <w:rPr>
          <w:rFonts w:eastAsia="Times New Roman"/>
          <w:spacing w:val="0"/>
          <w:lang w:val="en-US"/>
        </w:rPr>
        <w:fldChar w:fldCharType="separate"/>
      </w:r>
      <w:r w:rsidR="00632F77" w:rsidRPr="00300A27">
        <w:rPr>
          <w:rFonts w:eastAsia="Times New Roman"/>
          <w:spacing w:val="0"/>
          <w:lang w:val="en-US"/>
        </w:rPr>
        <w:t>71</w:t>
      </w:r>
      <w:r w:rsidR="0098046C" w:rsidRPr="00300A27">
        <w:rPr>
          <w:rFonts w:eastAsia="Times New Roman"/>
          <w:spacing w:val="0"/>
          <w:lang w:val="en-US"/>
        </w:rPr>
        <w:fldChar w:fldCharType="end"/>
      </w:r>
      <w:r w:rsidR="00121FEF" w:rsidRPr="00300A27">
        <w:rPr>
          <w:rFonts w:eastAsia="Times New Roman"/>
          <w:spacing w:val="0"/>
          <w:lang w:val="en-US"/>
        </w:rPr>
        <w:t>)</w:t>
      </w:r>
      <w:r w:rsidRPr="00300A27">
        <w:rPr>
          <w:rFonts w:eastAsia="Times New Roman"/>
          <w:spacing w:val="0"/>
          <w:lang w:val="en-US"/>
        </w:rPr>
        <w:t>.</w:t>
      </w:r>
      <w:r w:rsidR="00121FEF" w:rsidRPr="00300A27">
        <w:rPr>
          <w:rStyle w:val="Refdenotaalpie"/>
          <w:spacing w:val="0"/>
          <w:lang w:val="en-US"/>
        </w:rPr>
        <w:footnoteReference w:id="82"/>
      </w:r>
    </w:p>
    <w:p w14:paraId="15DE062F" w14:textId="21842EDD" w:rsidR="00121FEF" w:rsidRPr="00300A27" w:rsidRDefault="002C1B94" w:rsidP="00B243B6">
      <w:pPr>
        <w:pStyle w:val="PrrafodeSentencia"/>
        <w:numPr>
          <w:ilvl w:val="0"/>
          <w:numId w:val="3"/>
        </w:numPr>
        <w:spacing w:before="120" w:after="120"/>
        <w:ind w:left="0" w:firstLine="0"/>
        <w:rPr>
          <w:rFonts w:eastAsia="Times New Roman"/>
          <w:spacing w:val="0"/>
          <w:lang w:val="en-US"/>
        </w:rPr>
      </w:pPr>
      <w:r w:rsidRPr="00300A27">
        <w:rPr>
          <w:rFonts w:eastAsia="Times New Roman"/>
          <w:spacing w:val="0"/>
          <w:lang w:val="en-US"/>
        </w:rPr>
        <w:t>On June 16,</w:t>
      </w:r>
      <w:r w:rsidR="00121FEF" w:rsidRPr="00300A27">
        <w:rPr>
          <w:rFonts w:eastAsia="Times New Roman"/>
          <w:spacing w:val="0"/>
          <w:lang w:val="en-US"/>
        </w:rPr>
        <w:t xml:space="preserve"> 2008</w:t>
      </w:r>
      <w:r w:rsidRPr="00300A27">
        <w:rPr>
          <w:rFonts w:eastAsia="Times New Roman"/>
          <w:spacing w:val="0"/>
          <w:lang w:val="en-US"/>
        </w:rPr>
        <w:t>, the prosecutor decided not to expand the</w:t>
      </w:r>
      <w:r w:rsidR="00121FEF" w:rsidRPr="00300A27">
        <w:rPr>
          <w:rFonts w:eastAsia="Times New Roman"/>
          <w:spacing w:val="0"/>
          <w:lang w:val="en-US"/>
        </w:rPr>
        <w:t xml:space="preserve"> </w:t>
      </w:r>
      <w:r w:rsidR="00967E9D" w:rsidRPr="00300A27">
        <w:rPr>
          <w:rFonts w:eastAsia="Times New Roman"/>
          <w:spacing w:val="0"/>
          <w:lang w:val="en-US"/>
        </w:rPr>
        <w:t>preliminary investigation</w:t>
      </w:r>
      <w:r w:rsidR="00121FEF" w:rsidRPr="00300A27">
        <w:rPr>
          <w:rFonts w:eastAsia="Times New Roman"/>
          <w:spacing w:val="0"/>
          <w:lang w:val="en-US"/>
        </w:rPr>
        <w:t xml:space="preserve"> </w:t>
      </w:r>
      <w:r w:rsidRPr="00300A27">
        <w:rPr>
          <w:rFonts w:eastAsia="Times New Roman"/>
          <w:spacing w:val="0"/>
          <w:lang w:val="en-US"/>
        </w:rPr>
        <w:t>to</w:t>
      </w:r>
      <w:r w:rsidR="00EA4EB3" w:rsidRPr="00300A27">
        <w:rPr>
          <w:rFonts w:eastAsia="Times New Roman"/>
          <w:spacing w:val="0"/>
          <w:lang w:val="en-US"/>
        </w:rPr>
        <w:t xml:space="preserve"> include</w:t>
      </w:r>
      <w:r w:rsidRPr="00300A27">
        <w:rPr>
          <w:rFonts w:eastAsia="Times New Roman"/>
          <w:spacing w:val="0"/>
          <w:lang w:val="en-US"/>
        </w:rPr>
        <w:t xml:space="preserve"> the crim</w:t>
      </w:r>
      <w:r w:rsidR="00EA4EB3" w:rsidRPr="00300A27">
        <w:rPr>
          <w:rFonts w:eastAsia="Times New Roman"/>
          <w:spacing w:val="0"/>
          <w:lang w:val="en-US"/>
        </w:rPr>
        <w:t>e</w:t>
      </w:r>
      <w:r w:rsidRPr="00300A27">
        <w:rPr>
          <w:rFonts w:eastAsia="Times New Roman"/>
          <w:spacing w:val="0"/>
          <w:lang w:val="en-US"/>
        </w:rPr>
        <w:t xml:space="preserve"> of torture.</w:t>
      </w:r>
      <w:r w:rsidR="00121FEF" w:rsidRPr="00300A27">
        <w:rPr>
          <w:rStyle w:val="Refdenotaalpie"/>
          <w:spacing w:val="0"/>
          <w:lang w:val="en-US"/>
        </w:rPr>
        <w:footnoteReference w:id="83"/>
      </w:r>
      <w:r w:rsidR="00D06EAA" w:rsidRPr="00300A27">
        <w:rPr>
          <w:rFonts w:eastAsia="Times New Roman"/>
          <w:spacing w:val="0"/>
          <w:lang w:val="en-US"/>
        </w:rPr>
        <w:t xml:space="preserve"> </w:t>
      </w:r>
      <w:r w:rsidR="008546E9" w:rsidRPr="00300A27">
        <w:rPr>
          <w:rFonts w:eastAsia="Times New Roman"/>
          <w:spacing w:val="0"/>
          <w:lang w:val="en-US"/>
        </w:rPr>
        <w:t>Ms. Rojas</w:t>
      </w:r>
      <w:r w:rsidR="00121FEF" w:rsidRPr="00300A27">
        <w:rPr>
          <w:rFonts w:eastAsia="Times New Roman"/>
          <w:spacing w:val="0"/>
          <w:lang w:val="en-US"/>
        </w:rPr>
        <w:t xml:space="preserve"> Marín ap</w:t>
      </w:r>
      <w:r w:rsidRPr="00300A27">
        <w:rPr>
          <w:rFonts w:eastAsia="Times New Roman"/>
          <w:spacing w:val="0"/>
          <w:lang w:val="en-US"/>
        </w:rPr>
        <w:t>pealed th</w:t>
      </w:r>
      <w:r w:rsidR="00EA4EB3" w:rsidRPr="00300A27">
        <w:rPr>
          <w:rFonts w:eastAsia="Times New Roman"/>
          <w:spacing w:val="0"/>
          <w:lang w:val="en-US"/>
        </w:rPr>
        <w:t>is</w:t>
      </w:r>
      <w:r w:rsidRPr="00300A27">
        <w:rPr>
          <w:rFonts w:eastAsia="Times New Roman"/>
          <w:spacing w:val="0"/>
          <w:lang w:val="en-US"/>
        </w:rPr>
        <w:t xml:space="preserve"> refusal.</w:t>
      </w:r>
      <w:r w:rsidR="00121FEF" w:rsidRPr="00300A27">
        <w:rPr>
          <w:rStyle w:val="Refdenotaalpie"/>
          <w:spacing w:val="0"/>
          <w:lang w:val="en-US"/>
        </w:rPr>
        <w:footnoteReference w:id="84"/>
      </w:r>
      <w:r w:rsidR="00121FEF" w:rsidRPr="00300A27">
        <w:rPr>
          <w:rFonts w:eastAsia="Times New Roman"/>
          <w:spacing w:val="0"/>
          <w:lang w:val="en-US"/>
        </w:rPr>
        <w:t xml:space="preserve"> </w:t>
      </w:r>
      <w:r w:rsidR="008C26F4" w:rsidRPr="00300A27">
        <w:rPr>
          <w:rFonts w:eastAsia="Times New Roman"/>
          <w:spacing w:val="0"/>
          <w:lang w:val="en-US"/>
        </w:rPr>
        <w:t>On</w:t>
      </w:r>
      <w:r w:rsidR="00121FEF" w:rsidRPr="00300A27">
        <w:rPr>
          <w:rFonts w:eastAsia="Times New Roman"/>
          <w:spacing w:val="0"/>
          <w:lang w:val="en-US"/>
        </w:rPr>
        <w:t xml:space="preserve"> </w:t>
      </w:r>
      <w:r w:rsidR="00892EDF" w:rsidRPr="00300A27">
        <w:rPr>
          <w:rFonts w:eastAsia="Times New Roman"/>
          <w:spacing w:val="0"/>
          <w:lang w:val="en-US"/>
        </w:rPr>
        <w:t>August 28,</w:t>
      </w:r>
      <w:r w:rsidR="00121FEF" w:rsidRPr="00300A27">
        <w:rPr>
          <w:rFonts w:eastAsia="Times New Roman"/>
          <w:spacing w:val="0"/>
          <w:lang w:val="en-US"/>
        </w:rPr>
        <w:t xml:space="preserve"> 2008</w:t>
      </w:r>
      <w:r w:rsidR="008C26F4" w:rsidRPr="00300A27">
        <w:rPr>
          <w:rFonts w:eastAsia="Times New Roman"/>
          <w:spacing w:val="0"/>
          <w:lang w:val="en-US"/>
        </w:rPr>
        <w:t>, the</w:t>
      </w:r>
      <w:r w:rsidR="00121FEF" w:rsidRPr="00300A27">
        <w:rPr>
          <w:rFonts w:eastAsia="Times New Roman"/>
          <w:spacing w:val="0"/>
          <w:lang w:val="en-US"/>
        </w:rPr>
        <w:t xml:space="preserve"> </w:t>
      </w:r>
      <w:r w:rsidR="00892EDF" w:rsidRPr="00300A27">
        <w:rPr>
          <w:rFonts w:eastAsia="Times New Roman"/>
          <w:spacing w:val="0"/>
          <w:lang w:val="en-US"/>
        </w:rPr>
        <w:t xml:space="preserve">First Superior Criminal Prosecutor </w:t>
      </w:r>
      <w:r w:rsidR="000B2003" w:rsidRPr="00300A27">
        <w:rPr>
          <w:rFonts w:eastAsia="Times New Roman"/>
          <w:spacing w:val="0"/>
          <w:lang w:val="en-US"/>
        </w:rPr>
        <w:t xml:space="preserve">of La Libertad Judicial District </w:t>
      </w:r>
      <w:r w:rsidR="00121FEF" w:rsidRPr="00300A27">
        <w:rPr>
          <w:rFonts w:eastAsia="Times New Roman"/>
          <w:spacing w:val="0"/>
          <w:lang w:val="en-US"/>
        </w:rPr>
        <w:t xml:space="preserve"> declar</w:t>
      </w:r>
      <w:r w:rsidRPr="00300A27">
        <w:rPr>
          <w:rFonts w:eastAsia="Times New Roman"/>
          <w:spacing w:val="0"/>
          <w:lang w:val="en-US"/>
        </w:rPr>
        <w:t xml:space="preserve">ed </w:t>
      </w:r>
      <w:r w:rsidR="00EA4EB3" w:rsidRPr="00300A27">
        <w:rPr>
          <w:rFonts w:eastAsia="Times New Roman"/>
          <w:spacing w:val="0"/>
          <w:lang w:val="en-US"/>
        </w:rPr>
        <w:t>the appeal</w:t>
      </w:r>
      <w:r w:rsidRPr="00300A27">
        <w:rPr>
          <w:rFonts w:eastAsia="Times New Roman"/>
          <w:spacing w:val="0"/>
          <w:lang w:val="en-US"/>
        </w:rPr>
        <w:t xml:space="preserve"> without grounds, indicating that the element of the crime of torture relating to its purpose</w:t>
      </w:r>
      <w:r w:rsidR="00EA4EB3" w:rsidRPr="00300A27">
        <w:rPr>
          <w:rFonts w:eastAsia="Times New Roman"/>
          <w:spacing w:val="0"/>
          <w:lang w:val="en-US"/>
        </w:rPr>
        <w:t xml:space="preserve"> was not present</w:t>
      </w:r>
      <w:r w:rsidRPr="00300A27">
        <w:rPr>
          <w:rFonts w:eastAsia="Times New Roman"/>
          <w:spacing w:val="0"/>
          <w:lang w:val="en-US"/>
        </w:rPr>
        <w:t>.</w:t>
      </w:r>
      <w:r w:rsidR="00D06EAA" w:rsidRPr="00300A27">
        <w:rPr>
          <w:rStyle w:val="Refdenotaalpie"/>
          <w:spacing w:val="0"/>
          <w:szCs w:val="20"/>
          <w:lang w:val="en-US"/>
        </w:rPr>
        <w:footnoteReference w:id="85"/>
      </w:r>
    </w:p>
    <w:p w14:paraId="3B7812B5" w14:textId="1643A792" w:rsidR="00F43D5F" w:rsidRPr="00300A27" w:rsidRDefault="002C1B94" w:rsidP="00B243B6">
      <w:pPr>
        <w:pStyle w:val="PrrafodeSentencia"/>
        <w:numPr>
          <w:ilvl w:val="0"/>
          <w:numId w:val="3"/>
        </w:numPr>
        <w:spacing w:before="120" w:after="120"/>
        <w:ind w:left="0" w:firstLine="0"/>
        <w:rPr>
          <w:rFonts w:eastAsia="Times New Roman"/>
          <w:spacing w:val="0"/>
          <w:lang w:val="en-US"/>
        </w:rPr>
      </w:pPr>
      <w:r w:rsidRPr="00300A27">
        <w:rPr>
          <w:rFonts w:eastAsia="Times New Roman"/>
          <w:spacing w:val="0"/>
          <w:lang w:val="en-US"/>
        </w:rPr>
        <w:t>On October 21,</w:t>
      </w:r>
      <w:r w:rsidR="00121FEF" w:rsidRPr="00300A27">
        <w:rPr>
          <w:rFonts w:eastAsia="Times New Roman"/>
          <w:spacing w:val="0"/>
          <w:lang w:val="en-US"/>
        </w:rPr>
        <w:t xml:space="preserve"> 2008</w:t>
      </w:r>
      <w:r w:rsidRPr="00300A27">
        <w:rPr>
          <w:rFonts w:eastAsia="Times New Roman"/>
          <w:spacing w:val="0"/>
          <w:lang w:val="en-US"/>
        </w:rPr>
        <w:t xml:space="preserve">, the </w:t>
      </w:r>
      <w:r w:rsidR="0079787B" w:rsidRPr="00300A27">
        <w:rPr>
          <w:rFonts w:eastAsia="Times New Roman"/>
          <w:spacing w:val="0"/>
          <w:lang w:val="en-US"/>
        </w:rPr>
        <w:t xml:space="preserve">Second </w:t>
      </w:r>
      <w:r w:rsidR="00EA4EB3" w:rsidRPr="00300A27">
        <w:rPr>
          <w:rFonts w:eastAsia="Times New Roman"/>
          <w:spacing w:val="0"/>
          <w:lang w:val="en-US"/>
        </w:rPr>
        <w:t>Provincial Corporate Criminal</w:t>
      </w:r>
      <w:r w:rsidR="0079787B" w:rsidRPr="00300A27">
        <w:rPr>
          <w:rFonts w:eastAsia="Times New Roman"/>
          <w:spacing w:val="0"/>
          <w:lang w:val="en-US"/>
        </w:rPr>
        <w:t xml:space="preserve"> Prosecution Service</w:t>
      </w:r>
      <w:r w:rsidR="00121FEF" w:rsidRPr="00300A27">
        <w:rPr>
          <w:rFonts w:eastAsia="Times New Roman"/>
          <w:spacing w:val="0"/>
          <w:lang w:val="en-US"/>
        </w:rPr>
        <w:t xml:space="preserve"> requ</w:t>
      </w:r>
      <w:r w:rsidR="004C0629" w:rsidRPr="00300A27">
        <w:rPr>
          <w:rFonts w:eastAsia="Times New Roman"/>
          <w:spacing w:val="0"/>
          <w:lang w:val="en-US"/>
        </w:rPr>
        <w:t xml:space="preserve">ested the dismissal of the proceedings against the three police officers for the offenses of aggravated rape and abuse of authority </w:t>
      </w:r>
      <w:r w:rsidR="00BA3C7F" w:rsidRPr="00300A27">
        <w:rPr>
          <w:rFonts w:eastAsia="Times New Roman"/>
          <w:spacing w:val="0"/>
          <w:lang w:val="en-US"/>
        </w:rPr>
        <w:t>to the detriment of</w:t>
      </w:r>
      <w:r w:rsidR="00121FEF" w:rsidRPr="00300A27">
        <w:rPr>
          <w:rFonts w:eastAsia="Times New Roman"/>
          <w:spacing w:val="0"/>
          <w:lang w:val="en-US"/>
        </w:rPr>
        <w:t xml:space="preserve"> Azul Rojas Marín</w:t>
      </w:r>
      <w:r w:rsidR="004C0629" w:rsidRPr="00300A27">
        <w:rPr>
          <w:rFonts w:eastAsia="Times New Roman"/>
          <w:spacing w:val="0"/>
          <w:lang w:val="en-US"/>
        </w:rPr>
        <w:t>.</w:t>
      </w:r>
      <w:r w:rsidR="00121FEF" w:rsidRPr="00300A27">
        <w:rPr>
          <w:rStyle w:val="Refdenotaalpie"/>
          <w:spacing w:val="0"/>
          <w:lang w:val="en-US"/>
        </w:rPr>
        <w:footnoteReference w:id="86"/>
      </w:r>
      <w:r w:rsidR="00121FEF" w:rsidRPr="00300A27">
        <w:rPr>
          <w:rFonts w:eastAsia="Times New Roman"/>
          <w:spacing w:val="0"/>
          <w:lang w:val="en-US"/>
        </w:rPr>
        <w:t xml:space="preserve"> </w:t>
      </w:r>
    </w:p>
    <w:p w14:paraId="1A6A04BB" w14:textId="5D42F68E" w:rsidR="00493955" w:rsidRPr="00300A27" w:rsidRDefault="009B35A1" w:rsidP="00B243B6">
      <w:pPr>
        <w:pStyle w:val="PrrafodeSentencia"/>
        <w:numPr>
          <w:ilvl w:val="0"/>
          <w:numId w:val="3"/>
        </w:numPr>
        <w:spacing w:before="120" w:after="120"/>
        <w:ind w:left="0" w:firstLine="0"/>
        <w:rPr>
          <w:rFonts w:eastAsia="Times New Roman"/>
          <w:spacing w:val="0"/>
          <w:lang w:val="en-US"/>
        </w:rPr>
      </w:pPr>
      <w:r w:rsidRPr="00300A27">
        <w:rPr>
          <w:rFonts w:eastAsia="Times New Roman"/>
          <w:spacing w:val="0"/>
          <w:lang w:val="en-US"/>
        </w:rPr>
        <w:t>On January</w:t>
      </w:r>
      <w:r w:rsidR="00892EDF" w:rsidRPr="00300A27">
        <w:rPr>
          <w:rFonts w:eastAsia="Times New Roman"/>
          <w:spacing w:val="0"/>
          <w:lang w:val="en-US"/>
        </w:rPr>
        <w:t xml:space="preserve"> 9,</w:t>
      </w:r>
      <w:r w:rsidR="00121FEF" w:rsidRPr="00300A27">
        <w:rPr>
          <w:rFonts w:eastAsia="Times New Roman"/>
          <w:spacing w:val="0"/>
          <w:lang w:val="en-US"/>
        </w:rPr>
        <w:t xml:space="preserve"> 2009</w:t>
      </w:r>
      <w:r w:rsidR="004C0629" w:rsidRPr="00300A27">
        <w:rPr>
          <w:rFonts w:eastAsia="Times New Roman"/>
          <w:spacing w:val="0"/>
          <w:lang w:val="en-US"/>
        </w:rPr>
        <w:t>,</w:t>
      </w:r>
      <w:r w:rsidR="00121FEF" w:rsidRPr="00300A27">
        <w:rPr>
          <w:rFonts w:eastAsia="Times New Roman"/>
          <w:spacing w:val="0"/>
          <w:lang w:val="en-US"/>
        </w:rPr>
        <w:t xml:space="preserve"> </w:t>
      </w:r>
      <w:r w:rsidR="004C0629" w:rsidRPr="00300A27">
        <w:rPr>
          <w:rFonts w:eastAsia="Times New Roman"/>
          <w:spacing w:val="0"/>
          <w:lang w:val="en-US"/>
        </w:rPr>
        <w:t>the</w:t>
      </w:r>
      <w:r w:rsidR="00121FEF" w:rsidRPr="00300A27">
        <w:rPr>
          <w:rFonts w:eastAsia="Times New Roman"/>
          <w:spacing w:val="0"/>
          <w:lang w:val="en-US"/>
        </w:rPr>
        <w:t xml:space="preserve"> </w:t>
      </w:r>
      <w:r w:rsidRPr="00300A27">
        <w:rPr>
          <w:rFonts w:eastAsia="Times New Roman"/>
          <w:spacing w:val="0"/>
          <w:lang w:val="en-US"/>
        </w:rPr>
        <w:t>Ascope First Preliminary Investigation Court</w:t>
      </w:r>
      <w:r w:rsidR="00121FEF" w:rsidRPr="00300A27">
        <w:rPr>
          <w:rFonts w:eastAsia="Times New Roman"/>
          <w:spacing w:val="0"/>
          <w:lang w:val="en-US"/>
        </w:rPr>
        <w:t xml:space="preserve"> “declar</w:t>
      </w:r>
      <w:r w:rsidR="004C0629" w:rsidRPr="00300A27">
        <w:rPr>
          <w:rFonts w:eastAsia="Times New Roman"/>
          <w:spacing w:val="0"/>
          <w:lang w:val="en-US"/>
        </w:rPr>
        <w:t xml:space="preserve">ed the request of the </w:t>
      </w:r>
      <w:r w:rsidR="00892EDF" w:rsidRPr="00300A27">
        <w:rPr>
          <w:rFonts w:eastAsia="Times New Roman"/>
          <w:spacing w:val="0"/>
          <w:lang w:val="en-US"/>
        </w:rPr>
        <w:t>Public Prosecution Service</w:t>
      </w:r>
      <w:r w:rsidR="004C0629" w:rsidRPr="00300A27">
        <w:rPr>
          <w:rFonts w:eastAsia="Times New Roman"/>
          <w:spacing w:val="0"/>
          <w:lang w:val="en-US"/>
        </w:rPr>
        <w:t xml:space="preserve"> was substantiated</w:t>
      </w:r>
      <w:r w:rsidR="00121FEF" w:rsidRPr="00300A27">
        <w:rPr>
          <w:rFonts w:eastAsia="Times New Roman"/>
          <w:spacing w:val="0"/>
          <w:lang w:val="en-US"/>
        </w:rPr>
        <w:t>”</w:t>
      </w:r>
      <w:r w:rsidR="005B1C65" w:rsidRPr="00300A27">
        <w:rPr>
          <w:rFonts w:eastAsia="Times New Roman"/>
          <w:spacing w:val="0"/>
          <w:lang w:val="en-US"/>
        </w:rPr>
        <w:t xml:space="preserve"> and </w:t>
      </w:r>
      <w:r w:rsidR="00121FEF" w:rsidRPr="00300A27">
        <w:rPr>
          <w:rFonts w:eastAsia="Times New Roman"/>
          <w:spacing w:val="0"/>
          <w:lang w:val="en-US"/>
        </w:rPr>
        <w:t>“</w:t>
      </w:r>
      <w:r w:rsidR="004C0629" w:rsidRPr="00300A27">
        <w:rPr>
          <w:rFonts w:eastAsia="Times New Roman"/>
          <w:spacing w:val="0"/>
          <w:lang w:val="en-US"/>
        </w:rPr>
        <w:t>dismissed the proceedings for both offenses against the three accused,” ordering that the case be closed.</w:t>
      </w:r>
      <w:r w:rsidR="00121FEF" w:rsidRPr="00300A27">
        <w:rPr>
          <w:rStyle w:val="Refdenotaalpie"/>
          <w:spacing w:val="0"/>
          <w:lang w:val="en-US"/>
        </w:rPr>
        <w:footnoteReference w:id="87"/>
      </w:r>
      <w:r w:rsidR="004C0629" w:rsidRPr="00300A27">
        <w:rPr>
          <w:rFonts w:eastAsia="Times New Roman"/>
          <w:spacing w:val="0"/>
          <w:lang w:val="en-US"/>
        </w:rPr>
        <w:t xml:space="preserve"> Th</w:t>
      </w:r>
      <w:r w:rsidR="000B2003" w:rsidRPr="00300A27">
        <w:rPr>
          <w:rFonts w:eastAsia="Times New Roman"/>
          <w:spacing w:val="0"/>
          <w:lang w:val="en-US"/>
        </w:rPr>
        <w:t>e c</w:t>
      </w:r>
      <w:r w:rsidR="004C0629" w:rsidRPr="00300A27">
        <w:rPr>
          <w:rFonts w:eastAsia="Times New Roman"/>
          <w:spacing w:val="0"/>
          <w:lang w:val="en-US"/>
        </w:rPr>
        <w:t>ourt indicated that the presumed victim</w:t>
      </w:r>
      <w:r w:rsidR="000B2003" w:rsidRPr="00300A27">
        <w:rPr>
          <w:rFonts w:eastAsia="Times New Roman"/>
          <w:spacing w:val="0"/>
          <w:lang w:val="en-US"/>
        </w:rPr>
        <w:t>’s version</w:t>
      </w:r>
      <w:r w:rsidR="004C0629" w:rsidRPr="00300A27">
        <w:rPr>
          <w:rFonts w:eastAsia="Times New Roman"/>
          <w:spacing w:val="0"/>
          <w:lang w:val="en-US"/>
        </w:rPr>
        <w:t xml:space="preserve"> was not credible because one of the accused </w:t>
      </w:r>
      <w:r w:rsidR="000B2003" w:rsidRPr="00300A27">
        <w:rPr>
          <w:rFonts w:eastAsia="Times New Roman"/>
          <w:spacing w:val="0"/>
          <w:lang w:val="en-US"/>
        </w:rPr>
        <w:t>w</w:t>
      </w:r>
      <w:r w:rsidR="004C0629" w:rsidRPr="00300A27">
        <w:rPr>
          <w:rFonts w:eastAsia="Times New Roman"/>
          <w:spacing w:val="0"/>
          <w:lang w:val="en-US"/>
        </w:rPr>
        <w:t xml:space="preserve">as an important witness in the criminal proceedings underway against one of her brothers. It also indicated that </w:t>
      </w:r>
      <w:r w:rsidR="00AB0D5B" w:rsidRPr="00300A27">
        <w:rPr>
          <w:rFonts w:eastAsia="Times New Roman"/>
          <w:spacing w:val="0"/>
          <w:lang w:val="en-US"/>
        </w:rPr>
        <w:t>the aggrieved party</w:t>
      </w:r>
      <w:r w:rsidR="004C0629" w:rsidRPr="00300A27">
        <w:rPr>
          <w:rFonts w:eastAsia="Times New Roman"/>
          <w:spacing w:val="0"/>
          <w:lang w:val="en-US"/>
        </w:rPr>
        <w:t xml:space="preserve"> had varied her statement about the facts</w:t>
      </w:r>
      <w:r w:rsidR="000B2003" w:rsidRPr="00300A27">
        <w:rPr>
          <w:rFonts w:eastAsia="Times New Roman"/>
          <w:spacing w:val="0"/>
          <w:lang w:val="en-US"/>
        </w:rPr>
        <w:t xml:space="preserve">, and </w:t>
      </w:r>
      <w:r w:rsidR="004C0629" w:rsidRPr="00300A27">
        <w:rPr>
          <w:rFonts w:eastAsia="Times New Roman"/>
          <w:spacing w:val="0"/>
          <w:lang w:val="en-US"/>
        </w:rPr>
        <w:t xml:space="preserve">underscored that </w:t>
      </w:r>
      <w:r w:rsidR="00AB0D5B" w:rsidRPr="00300A27">
        <w:rPr>
          <w:rFonts w:eastAsia="Times New Roman"/>
          <w:spacing w:val="0"/>
          <w:lang w:val="en-US"/>
        </w:rPr>
        <w:t xml:space="preserve">the </w:t>
      </w:r>
      <w:r w:rsidR="000B2003" w:rsidRPr="00300A27">
        <w:rPr>
          <w:rFonts w:eastAsia="Times New Roman"/>
          <w:spacing w:val="0"/>
          <w:lang w:val="en-US"/>
        </w:rPr>
        <w:t>she had</w:t>
      </w:r>
      <w:r w:rsidR="004C0629" w:rsidRPr="00300A27">
        <w:rPr>
          <w:rFonts w:eastAsia="Times New Roman"/>
          <w:spacing w:val="0"/>
          <w:lang w:val="en-US"/>
        </w:rPr>
        <w:t xml:space="preserve"> </w:t>
      </w:r>
      <w:r w:rsidR="000B2003" w:rsidRPr="00300A27">
        <w:rPr>
          <w:rFonts w:eastAsia="Times New Roman"/>
          <w:spacing w:val="0"/>
          <w:lang w:val="en-US"/>
        </w:rPr>
        <w:t>state</w:t>
      </w:r>
      <w:r w:rsidR="004C0629" w:rsidRPr="00300A27">
        <w:rPr>
          <w:rFonts w:eastAsia="Times New Roman"/>
          <w:spacing w:val="0"/>
          <w:lang w:val="en-US"/>
        </w:rPr>
        <w:t xml:space="preserve">d that she had continued </w:t>
      </w:r>
      <w:r w:rsidR="000B2003" w:rsidRPr="00300A27">
        <w:rPr>
          <w:rFonts w:eastAsia="Times New Roman"/>
          <w:spacing w:val="0"/>
          <w:lang w:val="en-US"/>
        </w:rPr>
        <w:t xml:space="preserve">her usual work </w:t>
      </w:r>
      <w:r w:rsidR="004C0629" w:rsidRPr="00300A27">
        <w:rPr>
          <w:rFonts w:eastAsia="Times New Roman"/>
          <w:spacing w:val="0"/>
          <w:lang w:val="en-US"/>
        </w:rPr>
        <w:t xml:space="preserve">on February 25, “activities for which she had to </w:t>
      </w:r>
      <w:r w:rsidR="000B2003" w:rsidRPr="00300A27">
        <w:rPr>
          <w:rFonts w:eastAsia="Times New Roman"/>
          <w:spacing w:val="0"/>
          <w:lang w:val="en-US"/>
        </w:rPr>
        <w:t>employ</w:t>
      </w:r>
      <w:r w:rsidR="004C0629" w:rsidRPr="00300A27">
        <w:rPr>
          <w:rFonts w:eastAsia="Times New Roman"/>
          <w:spacing w:val="0"/>
          <w:lang w:val="en-US"/>
        </w:rPr>
        <w:t xml:space="preserve"> </w:t>
      </w:r>
      <w:r w:rsidR="000B2003" w:rsidRPr="00300A27">
        <w:rPr>
          <w:rFonts w:eastAsia="Times New Roman"/>
          <w:spacing w:val="0"/>
          <w:lang w:val="en-US"/>
        </w:rPr>
        <w:t>significant</w:t>
      </w:r>
      <w:r w:rsidR="004C0629" w:rsidRPr="00300A27">
        <w:rPr>
          <w:rFonts w:eastAsia="Times New Roman"/>
          <w:spacing w:val="0"/>
          <w:lang w:val="en-US"/>
        </w:rPr>
        <w:t xml:space="preserve"> physical force and</w:t>
      </w:r>
      <w:r w:rsidR="000B2003" w:rsidRPr="00300A27">
        <w:rPr>
          <w:rFonts w:eastAsia="Times New Roman"/>
          <w:spacing w:val="0"/>
          <w:lang w:val="en-US"/>
        </w:rPr>
        <w:t xml:space="preserve"> use</w:t>
      </w:r>
      <w:r w:rsidR="004C0629" w:rsidRPr="00300A27">
        <w:rPr>
          <w:rFonts w:eastAsia="Times New Roman"/>
          <w:spacing w:val="0"/>
          <w:lang w:val="en-US"/>
        </w:rPr>
        <w:t xml:space="preserve"> motor-cycle taxis,” </w:t>
      </w:r>
      <w:r w:rsidR="000B2003" w:rsidRPr="00300A27">
        <w:rPr>
          <w:rFonts w:eastAsia="Times New Roman"/>
          <w:spacing w:val="0"/>
          <w:lang w:val="en-US"/>
        </w:rPr>
        <w:t>and</w:t>
      </w:r>
      <w:r w:rsidR="004C0629" w:rsidRPr="00300A27">
        <w:rPr>
          <w:rFonts w:eastAsia="Times New Roman"/>
          <w:spacing w:val="0"/>
          <w:lang w:val="en-US"/>
        </w:rPr>
        <w:t xml:space="preserve"> she could not have done</w:t>
      </w:r>
      <w:r w:rsidR="000B2003" w:rsidRPr="00300A27">
        <w:rPr>
          <w:rFonts w:eastAsia="Times New Roman"/>
          <w:spacing w:val="0"/>
          <w:lang w:val="en-US"/>
        </w:rPr>
        <w:t xml:space="preserve"> this</w:t>
      </w:r>
      <w:r w:rsidR="004C0629" w:rsidRPr="00300A27">
        <w:rPr>
          <w:rFonts w:eastAsia="Times New Roman"/>
          <w:spacing w:val="0"/>
          <w:lang w:val="en-US"/>
        </w:rPr>
        <w:t xml:space="preserve"> </w:t>
      </w:r>
      <w:r w:rsidR="000B2003" w:rsidRPr="00300A27">
        <w:rPr>
          <w:rFonts w:eastAsia="Times New Roman"/>
          <w:spacing w:val="0"/>
          <w:lang w:val="en-US"/>
        </w:rPr>
        <w:t>if she had been as sore as</w:t>
      </w:r>
      <w:r w:rsidR="004C0629" w:rsidRPr="00300A27">
        <w:rPr>
          <w:rFonts w:eastAsia="Times New Roman"/>
          <w:spacing w:val="0"/>
          <w:lang w:val="en-US"/>
        </w:rPr>
        <w:t xml:space="preserve"> she described after the supposed sexual abuse.</w:t>
      </w:r>
      <w:r w:rsidR="00890272" w:rsidRPr="00300A27">
        <w:rPr>
          <w:rStyle w:val="Refdenotaalpie"/>
          <w:color w:val="000000" w:themeColor="text1"/>
          <w:spacing w:val="0"/>
          <w:lang w:val="en-US"/>
        </w:rPr>
        <w:footnoteReference w:id="88"/>
      </w:r>
      <w:r w:rsidR="00890272" w:rsidRPr="00300A27">
        <w:rPr>
          <w:rFonts w:eastAsia="Times New Roman"/>
          <w:color w:val="000000" w:themeColor="text1"/>
          <w:spacing w:val="0"/>
          <w:lang w:val="en-US"/>
        </w:rPr>
        <w:t xml:space="preserve"> </w:t>
      </w:r>
      <w:r w:rsidR="000B0A82" w:rsidRPr="00300A27">
        <w:rPr>
          <w:rFonts w:eastAsia="Times New Roman"/>
          <w:color w:val="000000" w:themeColor="text1"/>
          <w:spacing w:val="0"/>
          <w:lang w:val="en-US"/>
        </w:rPr>
        <w:t>Th</w:t>
      </w:r>
      <w:r w:rsidR="000B2003" w:rsidRPr="00300A27">
        <w:rPr>
          <w:rFonts w:eastAsia="Times New Roman"/>
          <w:color w:val="000000" w:themeColor="text1"/>
          <w:spacing w:val="0"/>
          <w:lang w:val="en-US"/>
        </w:rPr>
        <w:t>e c</w:t>
      </w:r>
      <w:r w:rsidR="000B0A82" w:rsidRPr="00300A27">
        <w:rPr>
          <w:rFonts w:eastAsia="Times New Roman"/>
          <w:color w:val="000000" w:themeColor="text1"/>
          <w:spacing w:val="0"/>
          <w:lang w:val="en-US"/>
        </w:rPr>
        <w:t xml:space="preserve">ourt also indicated that “the facts occurred in the early morning hours </w:t>
      </w:r>
      <w:r w:rsidR="00AB0D5B" w:rsidRPr="00300A27">
        <w:rPr>
          <w:rFonts w:eastAsia="Times New Roman"/>
          <w:color w:val="000000" w:themeColor="text1"/>
          <w:spacing w:val="0"/>
          <w:lang w:val="en-US"/>
        </w:rPr>
        <w:t>of February [25 … and] the forensic medical examination of the aggrieved party and [the examination of the clothing were performed on February 29], in other words almost four days after the events. This lack of immediacy in performing the said expert examinations gives rise to a reasonable doubt that [the injuries found] were caused on the day of the incident and by the accused, and it could be presumed that they occurred after the day of the incident.</w:t>
      </w:r>
      <w:r w:rsidR="0037233A" w:rsidRPr="00300A27">
        <w:rPr>
          <w:rFonts w:eastAsia="Times New Roman"/>
          <w:spacing w:val="0"/>
          <w:lang w:val="en-US"/>
        </w:rPr>
        <w:t>”</w:t>
      </w:r>
      <w:r w:rsidR="00F43D5F" w:rsidRPr="00300A27">
        <w:rPr>
          <w:rStyle w:val="Refdenotaalpie"/>
          <w:spacing w:val="0"/>
          <w:lang w:val="en-US"/>
        </w:rPr>
        <w:footnoteReference w:id="89"/>
      </w:r>
    </w:p>
    <w:p w14:paraId="387A0DE4" w14:textId="23834A33" w:rsidR="00121FEF" w:rsidRPr="00300A27" w:rsidRDefault="00AB0D5B" w:rsidP="00B243B6">
      <w:pPr>
        <w:pStyle w:val="PrrafodeSentencia"/>
        <w:numPr>
          <w:ilvl w:val="0"/>
          <w:numId w:val="3"/>
        </w:numPr>
        <w:spacing w:before="120" w:after="120"/>
        <w:ind w:left="0" w:firstLine="0"/>
        <w:rPr>
          <w:rFonts w:eastAsia="Times New Roman"/>
          <w:spacing w:val="0"/>
          <w:lang w:val="en-US"/>
        </w:rPr>
      </w:pPr>
      <w:r w:rsidRPr="00300A27">
        <w:rPr>
          <w:rFonts w:eastAsia="Times New Roman"/>
          <w:spacing w:val="0"/>
          <w:lang w:val="en-US"/>
        </w:rPr>
        <w:t>On January 22,</w:t>
      </w:r>
      <w:r w:rsidR="00121FEF" w:rsidRPr="00300A27">
        <w:rPr>
          <w:rFonts w:eastAsia="Times New Roman"/>
          <w:spacing w:val="0"/>
          <w:lang w:val="en-US"/>
        </w:rPr>
        <w:t xml:space="preserve"> 2009, </w:t>
      </w:r>
      <w:r w:rsidR="008546E9" w:rsidRPr="00300A27">
        <w:rPr>
          <w:rFonts w:eastAsia="Times New Roman"/>
          <w:spacing w:val="0"/>
          <w:lang w:val="en-US"/>
        </w:rPr>
        <w:t>Ms. Rojas</w:t>
      </w:r>
      <w:r w:rsidR="00121FEF" w:rsidRPr="00300A27">
        <w:rPr>
          <w:rFonts w:eastAsia="Times New Roman"/>
          <w:spacing w:val="0"/>
          <w:lang w:val="en-US"/>
        </w:rPr>
        <w:t xml:space="preserve"> Marín </w:t>
      </w:r>
      <w:r w:rsidRPr="00300A27">
        <w:rPr>
          <w:rFonts w:eastAsia="Times New Roman"/>
          <w:spacing w:val="0"/>
          <w:lang w:val="en-US"/>
        </w:rPr>
        <w:t>filed a remedy of appeal against this decision.</w:t>
      </w:r>
      <w:r w:rsidR="00121FEF" w:rsidRPr="00300A27">
        <w:rPr>
          <w:rStyle w:val="Refdenotaalpie"/>
          <w:spacing w:val="0"/>
          <w:lang w:val="en-US"/>
        </w:rPr>
        <w:footnoteReference w:id="90"/>
      </w:r>
      <w:r w:rsidR="00121FEF" w:rsidRPr="00300A27">
        <w:rPr>
          <w:rFonts w:eastAsia="Times New Roman"/>
          <w:spacing w:val="0"/>
          <w:lang w:val="en-US"/>
        </w:rPr>
        <w:t xml:space="preserve"> </w:t>
      </w:r>
      <w:r w:rsidRPr="00300A27">
        <w:rPr>
          <w:rFonts w:eastAsia="Times New Roman"/>
          <w:spacing w:val="0"/>
          <w:lang w:val="en-US"/>
        </w:rPr>
        <w:t>On January 23,</w:t>
      </w:r>
      <w:r w:rsidR="00121FEF" w:rsidRPr="00300A27">
        <w:rPr>
          <w:rFonts w:eastAsia="Times New Roman"/>
          <w:spacing w:val="0"/>
          <w:lang w:val="en-US"/>
        </w:rPr>
        <w:t xml:space="preserve"> 2009</w:t>
      </w:r>
      <w:r w:rsidRPr="00300A27">
        <w:rPr>
          <w:rFonts w:eastAsia="Times New Roman"/>
          <w:spacing w:val="0"/>
          <w:lang w:val="en-US"/>
        </w:rPr>
        <w:t>, the</w:t>
      </w:r>
      <w:r w:rsidR="00121FEF" w:rsidRPr="00300A27">
        <w:rPr>
          <w:rFonts w:eastAsia="Times New Roman"/>
          <w:spacing w:val="0"/>
          <w:lang w:val="en-US"/>
        </w:rPr>
        <w:t xml:space="preserve"> </w:t>
      </w:r>
      <w:r w:rsidR="009B35A1" w:rsidRPr="00300A27">
        <w:rPr>
          <w:rFonts w:eastAsia="Times New Roman"/>
          <w:spacing w:val="0"/>
          <w:lang w:val="en-US"/>
        </w:rPr>
        <w:t>Ascope First Preliminary Investigation Court</w:t>
      </w:r>
      <w:r w:rsidR="00121FEF" w:rsidRPr="00300A27">
        <w:rPr>
          <w:rFonts w:eastAsia="Times New Roman"/>
          <w:spacing w:val="0"/>
          <w:lang w:val="en-US"/>
        </w:rPr>
        <w:t xml:space="preserve"> </w:t>
      </w:r>
      <w:r w:rsidR="007B7502" w:rsidRPr="00300A27">
        <w:rPr>
          <w:rFonts w:eastAsia="Times New Roman"/>
          <w:spacing w:val="0"/>
          <w:lang w:val="en-US"/>
        </w:rPr>
        <w:t xml:space="preserve">unhesitatingly </w:t>
      </w:r>
      <w:r w:rsidRPr="00300A27">
        <w:rPr>
          <w:rFonts w:eastAsia="Times New Roman"/>
          <w:spacing w:val="0"/>
          <w:lang w:val="en-US"/>
        </w:rPr>
        <w:t xml:space="preserve">declared this inadmissible </w:t>
      </w:r>
      <w:r w:rsidR="007B7502" w:rsidRPr="00300A27">
        <w:rPr>
          <w:rFonts w:eastAsia="Times New Roman"/>
          <w:spacing w:val="0"/>
          <w:lang w:val="en-US"/>
        </w:rPr>
        <w:t>as being time-barred.</w:t>
      </w:r>
      <w:r w:rsidR="00121FEF" w:rsidRPr="00300A27">
        <w:rPr>
          <w:rStyle w:val="Refdenotaalpie"/>
          <w:spacing w:val="0"/>
          <w:lang w:val="en-US"/>
        </w:rPr>
        <w:footnoteReference w:id="91"/>
      </w:r>
    </w:p>
    <w:p w14:paraId="1BC7603A" w14:textId="333BFB94" w:rsidR="00121FEF" w:rsidRPr="00300A27" w:rsidRDefault="007B7502" w:rsidP="00B243B6">
      <w:pPr>
        <w:pStyle w:val="Ttulo2"/>
        <w:numPr>
          <w:ilvl w:val="0"/>
          <w:numId w:val="18"/>
        </w:numPr>
        <w:ind w:left="1134" w:hanging="567"/>
        <w:rPr>
          <w:lang w:val="en-US"/>
        </w:rPr>
      </w:pPr>
      <w:r w:rsidRPr="00300A27">
        <w:rPr>
          <w:lang w:val="en-US"/>
        </w:rPr>
        <w:t>The complaint filed against the Ascope Prosecution Service</w:t>
      </w:r>
      <w:r w:rsidR="00121FEF" w:rsidRPr="00300A27">
        <w:rPr>
          <w:lang w:val="en-US"/>
        </w:rPr>
        <w:t xml:space="preserve"> </w:t>
      </w:r>
    </w:p>
    <w:p w14:paraId="4AC357BA" w14:textId="7BE468DC" w:rsidR="00121FEF" w:rsidRPr="00300A27" w:rsidRDefault="00932C42" w:rsidP="00B243B6">
      <w:pPr>
        <w:pStyle w:val="PrrafodeSentencia"/>
        <w:numPr>
          <w:ilvl w:val="0"/>
          <w:numId w:val="3"/>
        </w:numPr>
        <w:spacing w:before="120" w:after="120"/>
        <w:ind w:left="0" w:firstLine="0"/>
        <w:rPr>
          <w:rFonts w:eastAsia="Times New Roman"/>
          <w:spacing w:val="0"/>
          <w:lang w:val="en-US"/>
        </w:rPr>
      </w:pPr>
      <w:bookmarkStart w:id="66" w:name="_Ref446245847"/>
      <w:r w:rsidRPr="00300A27">
        <w:rPr>
          <w:rFonts w:eastAsia="Times New Roman"/>
          <w:spacing w:val="0"/>
          <w:lang w:val="en-US"/>
        </w:rPr>
        <w:t>In parallel to the i</w:t>
      </w:r>
      <w:r w:rsidR="00737D26" w:rsidRPr="00300A27">
        <w:rPr>
          <w:rFonts w:eastAsia="Times New Roman"/>
          <w:spacing w:val="0"/>
          <w:lang w:val="en-US"/>
        </w:rPr>
        <w:t xml:space="preserve">nvestigation </w:t>
      </w:r>
      <w:r w:rsidR="000B2003" w:rsidRPr="00300A27">
        <w:rPr>
          <w:rFonts w:eastAsia="Times New Roman"/>
          <w:spacing w:val="0"/>
          <w:lang w:val="en-US"/>
        </w:rPr>
        <w:t>process</w:t>
      </w:r>
      <w:r w:rsidR="00121FEF" w:rsidRPr="00300A27">
        <w:rPr>
          <w:rFonts w:eastAsia="Times New Roman"/>
          <w:spacing w:val="0"/>
          <w:lang w:val="en-US"/>
        </w:rPr>
        <w:t xml:space="preserve">, </w:t>
      </w:r>
      <w:r w:rsidR="008546E9" w:rsidRPr="00300A27">
        <w:rPr>
          <w:rFonts w:eastAsia="Times New Roman"/>
          <w:spacing w:val="0"/>
          <w:lang w:val="en-US"/>
        </w:rPr>
        <w:t>Ms. Rojas</w:t>
      </w:r>
      <w:r w:rsidR="00121FEF" w:rsidRPr="00300A27">
        <w:rPr>
          <w:rFonts w:eastAsia="Times New Roman"/>
          <w:spacing w:val="0"/>
          <w:lang w:val="en-US"/>
        </w:rPr>
        <w:t xml:space="preserve"> Marín </w:t>
      </w:r>
      <w:r w:rsidRPr="00300A27">
        <w:rPr>
          <w:rFonts w:eastAsia="Times New Roman"/>
          <w:spacing w:val="0"/>
          <w:lang w:val="en-US"/>
        </w:rPr>
        <w:t xml:space="preserve">filed a complaint </w:t>
      </w:r>
      <w:r w:rsidR="00FE2086" w:rsidRPr="00300A27">
        <w:rPr>
          <w:rFonts w:eastAsia="Times New Roman"/>
          <w:spacing w:val="0"/>
          <w:lang w:val="en-US"/>
        </w:rPr>
        <w:t>with</w:t>
      </w:r>
      <w:r w:rsidR="00121FEF" w:rsidRPr="00300A27">
        <w:rPr>
          <w:rFonts w:eastAsia="Times New Roman"/>
          <w:spacing w:val="0"/>
          <w:lang w:val="en-US"/>
        </w:rPr>
        <w:t xml:space="preserve"> </w:t>
      </w:r>
      <w:r w:rsidRPr="00300A27">
        <w:rPr>
          <w:rFonts w:eastAsia="Times New Roman"/>
          <w:spacing w:val="0"/>
          <w:lang w:val="en-US"/>
        </w:rPr>
        <w:t>the Superior Prosecutor, Head of the Decentralized Office of Internal Control of La Libertad</w:t>
      </w:r>
      <w:r w:rsidR="005B1C65" w:rsidRPr="00300A27">
        <w:rPr>
          <w:rFonts w:eastAsia="Times New Roman"/>
          <w:spacing w:val="0"/>
          <w:lang w:val="en-US"/>
        </w:rPr>
        <w:t xml:space="preserve"> and</w:t>
      </w:r>
      <w:r w:rsidR="00121FEF" w:rsidRPr="00300A27">
        <w:rPr>
          <w:rFonts w:eastAsia="Times New Roman"/>
          <w:spacing w:val="0"/>
          <w:lang w:val="en-US"/>
        </w:rPr>
        <w:t xml:space="preserve"> Santa </w:t>
      </w:r>
      <w:r w:rsidR="00FE2086" w:rsidRPr="00300A27">
        <w:rPr>
          <w:rFonts w:eastAsia="Times New Roman"/>
          <w:spacing w:val="0"/>
          <w:lang w:val="en-US"/>
        </w:rPr>
        <w:t>against the Prosecutor and Deputy Prosecutor of the province of Ascope in charge of the preliminary investigation into the acts of sexual violence perpetrated against her.</w:t>
      </w:r>
      <w:r w:rsidR="00121FEF" w:rsidRPr="00300A27">
        <w:rPr>
          <w:rStyle w:val="Refdenotaalpie"/>
          <w:spacing w:val="0"/>
          <w:lang w:val="en-US"/>
        </w:rPr>
        <w:footnoteReference w:id="92"/>
      </w:r>
      <w:r w:rsidR="00121FEF" w:rsidRPr="00300A27">
        <w:rPr>
          <w:rFonts w:eastAsia="Times New Roman"/>
          <w:spacing w:val="0"/>
          <w:lang w:val="en-US"/>
        </w:rPr>
        <w:t xml:space="preserve"> </w:t>
      </w:r>
      <w:r w:rsidR="008546E9" w:rsidRPr="00300A27">
        <w:rPr>
          <w:rFonts w:eastAsia="Times New Roman"/>
          <w:spacing w:val="0"/>
          <w:lang w:val="en-US"/>
        </w:rPr>
        <w:t>Ms. Rojas</w:t>
      </w:r>
      <w:r w:rsidR="00121FEF" w:rsidRPr="00300A27">
        <w:rPr>
          <w:rFonts w:eastAsia="Times New Roman"/>
          <w:spacing w:val="0"/>
          <w:lang w:val="en-US"/>
        </w:rPr>
        <w:t xml:space="preserve"> Marín al</w:t>
      </w:r>
      <w:r w:rsidR="00FE2086" w:rsidRPr="00300A27">
        <w:rPr>
          <w:rFonts w:eastAsia="Times New Roman"/>
          <w:spacing w:val="0"/>
          <w:lang w:val="en-US"/>
        </w:rPr>
        <w:t xml:space="preserve">leged that the said prosecutors had committed the offenses of </w:t>
      </w:r>
      <w:r w:rsidR="00121FEF" w:rsidRPr="00300A27">
        <w:rPr>
          <w:rFonts w:eastAsia="Times New Roman"/>
          <w:spacing w:val="0"/>
          <w:lang w:val="en-US"/>
        </w:rPr>
        <w:t>“</w:t>
      </w:r>
      <w:r w:rsidR="00FE2086" w:rsidRPr="00300A27">
        <w:rPr>
          <w:rFonts w:eastAsia="Times New Roman"/>
          <w:spacing w:val="0"/>
          <w:lang w:val="en-US"/>
        </w:rPr>
        <w:t>abuse of authority</w:t>
      </w:r>
      <w:r w:rsidR="00121FEF" w:rsidRPr="00300A27">
        <w:rPr>
          <w:rFonts w:eastAsia="Times New Roman"/>
          <w:spacing w:val="0"/>
          <w:lang w:val="en-US"/>
        </w:rPr>
        <w:t>, co</w:t>
      </w:r>
      <w:r w:rsidR="00FE2086" w:rsidRPr="00300A27">
        <w:rPr>
          <w:rFonts w:eastAsia="Times New Roman"/>
          <w:spacing w:val="0"/>
          <w:lang w:val="en-US"/>
        </w:rPr>
        <w:t>ercion</w:t>
      </w:r>
      <w:r w:rsidR="00121FEF" w:rsidRPr="00300A27">
        <w:rPr>
          <w:rFonts w:eastAsia="Times New Roman"/>
          <w:spacing w:val="0"/>
          <w:lang w:val="en-US"/>
        </w:rPr>
        <w:t xml:space="preserve"> [</w:t>
      </w:r>
      <w:r w:rsidR="00FE2086" w:rsidRPr="00300A27">
        <w:rPr>
          <w:rFonts w:eastAsia="Times New Roman"/>
          <w:spacing w:val="0"/>
          <w:lang w:val="en-US"/>
        </w:rPr>
        <w:t>and</w:t>
      </w:r>
      <w:r w:rsidR="00121FEF" w:rsidRPr="00300A27">
        <w:rPr>
          <w:rFonts w:eastAsia="Times New Roman"/>
          <w:spacing w:val="0"/>
          <w:lang w:val="en-US"/>
        </w:rPr>
        <w:t xml:space="preserve">] </w:t>
      </w:r>
      <w:r w:rsidR="00FE2086" w:rsidRPr="00300A27">
        <w:rPr>
          <w:rFonts w:eastAsia="Times New Roman"/>
          <w:spacing w:val="0"/>
          <w:lang w:val="en-US"/>
        </w:rPr>
        <w:t>delay in the administration of justice.</w:t>
      </w:r>
      <w:r w:rsidR="00121FEF" w:rsidRPr="00300A27">
        <w:rPr>
          <w:rFonts w:eastAsia="Times New Roman"/>
          <w:spacing w:val="0"/>
          <w:lang w:val="en-US"/>
        </w:rPr>
        <w:t>”</w:t>
      </w:r>
      <w:r w:rsidR="00121FEF" w:rsidRPr="00300A27">
        <w:rPr>
          <w:rStyle w:val="Refdenotaalpie"/>
          <w:spacing w:val="0"/>
          <w:lang w:val="en-US"/>
        </w:rPr>
        <w:footnoteReference w:id="93"/>
      </w:r>
      <w:r w:rsidR="00FE2086" w:rsidRPr="00300A27">
        <w:rPr>
          <w:rFonts w:eastAsia="Times New Roman"/>
          <w:spacing w:val="0"/>
          <w:lang w:val="en-US"/>
        </w:rPr>
        <w:t xml:space="preserve"> Among other arguments, she alleged that this</w:t>
      </w:r>
      <w:r w:rsidR="000B2003" w:rsidRPr="00300A27">
        <w:rPr>
          <w:rFonts w:eastAsia="Times New Roman"/>
          <w:spacing w:val="0"/>
          <w:lang w:val="en-US"/>
        </w:rPr>
        <w:t xml:space="preserve"> was</w:t>
      </w:r>
      <w:r w:rsidR="00FE2086" w:rsidRPr="00300A27">
        <w:rPr>
          <w:rFonts w:eastAsia="Times New Roman"/>
          <w:spacing w:val="0"/>
          <w:lang w:val="en-US"/>
        </w:rPr>
        <w:t xml:space="preserve"> </w:t>
      </w:r>
      <w:r w:rsidR="00E32433" w:rsidRPr="00300A27">
        <w:rPr>
          <w:rFonts w:eastAsia="Times New Roman"/>
          <w:spacing w:val="0"/>
          <w:lang w:val="en-US"/>
        </w:rPr>
        <w:t>because</w:t>
      </w:r>
      <w:r w:rsidR="00FE2086" w:rsidRPr="00300A27">
        <w:rPr>
          <w:rFonts w:eastAsia="Times New Roman"/>
          <w:spacing w:val="0"/>
          <w:lang w:val="en-US"/>
        </w:rPr>
        <w:t xml:space="preserve"> </w:t>
      </w:r>
      <w:r w:rsidR="00121FEF" w:rsidRPr="00300A27">
        <w:rPr>
          <w:rFonts w:eastAsia="Times New Roman"/>
          <w:spacing w:val="0"/>
          <w:lang w:val="en-US"/>
        </w:rPr>
        <w:t>“</w:t>
      </w:r>
      <w:r w:rsidR="00FE2086" w:rsidRPr="00300A27">
        <w:rPr>
          <w:rFonts w:eastAsia="Times New Roman"/>
          <w:spacing w:val="0"/>
          <w:lang w:val="en-US"/>
        </w:rPr>
        <w:t xml:space="preserve">the Prosecutor […], abusing of her position, prevented the petitioner from undergoing [the] forensic medical examination on </w:t>
      </w:r>
      <w:r w:rsidR="00E32433" w:rsidRPr="00300A27">
        <w:rPr>
          <w:rFonts w:eastAsia="Times New Roman"/>
          <w:spacing w:val="0"/>
          <w:lang w:val="en-US"/>
        </w:rPr>
        <w:t>[February 28, 2008,] by retaining [her] in her office until late […] so that the injuries and the traces of rape would not be noticeable.</w:t>
      </w:r>
      <w:r w:rsidR="00121FEF" w:rsidRPr="00300A27">
        <w:rPr>
          <w:rFonts w:eastAsia="Times New Roman"/>
          <w:spacing w:val="0"/>
          <w:lang w:val="en-US"/>
        </w:rPr>
        <w:t>”</w:t>
      </w:r>
      <w:r w:rsidR="00121FEF" w:rsidRPr="00300A27">
        <w:rPr>
          <w:rStyle w:val="Refdenotaalpie"/>
          <w:spacing w:val="0"/>
          <w:lang w:val="en-US"/>
        </w:rPr>
        <w:footnoteReference w:id="94"/>
      </w:r>
      <w:bookmarkEnd w:id="66"/>
    </w:p>
    <w:p w14:paraId="43095F6D" w14:textId="7CAA8862" w:rsidR="00121FEF" w:rsidRPr="00300A27" w:rsidRDefault="008546E9" w:rsidP="00B243B6">
      <w:pPr>
        <w:pStyle w:val="PrrafodeSentencia"/>
        <w:numPr>
          <w:ilvl w:val="0"/>
          <w:numId w:val="3"/>
        </w:numPr>
        <w:spacing w:before="120" w:after="120"/>
        <w:ind w:left="0" w:firstLine="0"/>
        <w:rPr>
          <w:rFonts w:eastAsia="Times New Roman"/>
          <w:spacing w:val="0"/>
          <w:lang w:val="en-US"/>
        </w:rPr>
      </w:pPr>
      <w:r w:rsidRPr="00300A27">
        <w:rPr>
          <w:rFonts w:eastAsia="Times New Roman"/>
          <w:spacing w:val="0"/>
          <w:lang w:val="en-US"/>
        </w:rPr>
        <w:t>Ms. Rojas</w:t>
      </w:r>
      <w:r w:rsidR="00121FEF" w:rsidRPr="00300A27">
        <w:rPr>
          <w:rFonts w:eastAsia="Times New Roman"/>
          <w:spacing w:val="0"/>
          <w:lang w:val="en-US"/>
        </w:rPr>
        <w:t xml:space="preserve"> Marín </w:t>
      </w:r>
      <w:r w:rsidR="00E32433" w:rsidRPr="00300A27">
        <w:rPr>
          <w:rFonts w:eastAsia="Times New Roman"/>
          <w:spacing w:val="0"/>
          <w:lang w:val="en-US"/>
        </w:rPr>
        <w:t>also stated that, during the “</w:t>
      </w:r>
      <w:r w:rsidR="000B2003" w:rsidRPr="00300A27">
        <w:rPr>
          <w:rFonts w:eastAsia="Times New Roman"/>
          <w:spacing w:val="0"/>
          <w:lang w:val="en-US"/>
        </w:rPr>
        <w:t>s</w:t>
      </w:r>
      <w:r w:rsidR="00E32433" w:rsidRPr="00300A27">
        <w:rPr>
          <w:rFonts w:eastAsia="Times New Roman"/>
          <w:spacing w:val="0"/>
          <w:lang w:val="en-US"/>
        </w:rPr>
        <w:t xml:space="preserve">tatement and identification” procedure, the prosecutor “coerced [her] to minimize the severity of the criminal acts </w:t>
      </w:r>
      <w:r w:rsidR="000B2003" w:rsidRPr="00300A27">
        <w:rPr>
          <w:rFonts w:eastAsia="Times New Roman"/>
          <w:spacing w:val="0"/>
          <w:lang w:val="en-US"/>
        </w:rPr>
        <w:t>committed by</w:t>
      </w:r>
      <w:r w:rsidR="00E32433" w:rsidRPr="00300A27">
        <w:rPr>
          <w:rFonts w:eastAsia="Times New Roman"/>
          <w:spacing w:val="0"/>
          <w:lang w:val="en-US"/>
        </w:rPr>
        <w:t xml:space="preserve"> the accused and […] on several occasions cast doubts on [her] complaint, saying: “I don’t believe anything; you’re probably lying because you are Tuco’s brother.”</w:t>
      </w:r>
      <w:r w:rsidR="00E32433" w:rsidRPr="00300A27">
        <w:rPr>
          <w:rStyle w:val="Refdenotaalpie"/>
          <w:spacing w:val="0"/>
          <w:lang w:val="en-US"/>
        </w:rPr>
        <w:footnoteReference w:id="95"/>
      </w:r>
      <w:r w:rsidR="00E32433" w:rsidRPr="00300A27">
        <w:rPr>
          <w:rFonts w:eastAsia="Times New Roman"/>
          <w:spacing w:val="0"/>
          <w:lang w:val="en-US"/>
        </w:rPr>
        <w:t xml:space="preserve"> Regarding the deputy prosecutor, Ms. Rojas Marín stated that “the prosecutor</w:t>
      </w:r>
      <w:r w:rsidR="000B2003" w:rsidRPr="00300A27">
        <w:rPr>
          <w:rFonts w:eastAsia="Times New Roman"/>
          <w:spacing w:val="0"/>
          <w:lang w:val="en-US"/>
        </w:rPr>
        <w:t>’s words</w:t>
      </w:r>
      <w:r w:rsidR="00E32433" w:rsidRPr="00300A27">
        <w:rPr>
          <w:rFonts w:eastAsia="Times New Roman"/>
          <w:spacing w:val="0"/>
          <w:lang w:val="en-US"/>
        </w:rPr>
        <w:t xml:space="preserve"> [made her] feel humiliated [and] attacked because</w:t>
      </w:r>
      <w:r w:rsidR="000B2003" w:rsidRPr="00300A27">
        <w:rPr>
          <w:rFonts w:eastAsia="Times New Roman"/>
          <w:spacing w:val="0"/>
          <w:lang w:val="en-US"/>
        </w:rPr>
        <w:t xml:space="preserve"> </w:t>
      </w:r>
      <w:r w:rsidR="00E32433" w:rsidRPr="00300A27">
        <w:rPr>
          <w:rFonts w:eastAsia="Times New Roman"/>
          <w:spacing w:val="0"/>
          <w:lang w:val="en-US"/>
        </w:rPr>
        <w:t xml:space="preserve">he </w:t>
      </w:r>
      <w:r w:rsidR="000B2003" w:rsidRPr="00300A27">
        <w:rPr>
          <w:rFonts w:eastAsia="Times New Roman"/>
          <w:spacing w:val="0"/>
          <w:lang w:val="en-US"/>
        </w:rPr>
        <w:t xml:space="preserve">very openly </w:t>
      </w:r>
      <w:r w:rsidR="00E32433" w:rsidRPr="00300A27">
        <w:rPr>
          <w:rFonts w:eastAsia="Times New Roman"/>
          <w:spacing w:val="0"/>
          <w:lang w:val="en-US"/>
        </w:rPr>
        <w:t>cast doubt on [her] words</w:t>
      </w:r>
      <w:r w:rsidR="000B2003" w:rsidRPr="00300A27">
        <w:rPr>
          <w:rFonts w:eastAsia="Times New Roman"/>
          <w:spacing w:val="0"/>
          <w:lang w:val="en-US"/>
        </w:rPr>
        <w:t>,</w:t>
      </w:r>
      <w:r w:rsidR="00E32433" w:rsidRPr="00300A27">
        <w:rPr>
          <w:rFonts w:eastAsia="Times New Roman"/>
          <w:spacing w:val="0"/>
          <w:lang w:val="en-US"/>
        </w:rPr>
        <w:t xml:space="preserve"> as if it w</w:t>
      </w:r>
      <w:r w:rsidR="000B2003" w:rsidRPr="00300A27">
        <w:rPr>
          <w:rFonts w:eastAsia="Times New Roman"/>
          <w:spacing w:val="0"/>
          <w:lang w:val="en-US"/>
        </w:rPr>
        <w:t>ere</w:t>
      </w:r>
      <w:r w:rsidR="00E32433" w:rsidRPr="00300A27">
        <w:rPr>
          <w:rFonts w:eastAsia="Times New Roman"/>
          <w:spacing w:val="0"/>
          <w:lang w:val="en-US"/>
        </w:rPr>
        <w:t xml:space="preserve"> not a serious offense.</w:t>
      </w:r>
      <w:r w:rsidR="00121FEF" w:rsidRPr="00300A27">
        <w:rPr>
          <w:rFonts w:eastAsia="Times New Roman"/>
          <w:spacing w:val="0"/>
          <w:lang w:val="en-US"/>
        </w:rPr>
        <w:t>”</w:t>
      </w:r>
      <w:r w:rsidR="00121FEF" w:rsidRPr="00300A27">
        <w:rPr>
          <w:rStyle w:val="Refdenotaalpie"/>
          <w:spacing w:val="0"/>
          <w:lang w:val="en-US"/>
        </w:rPr>
        <w:footnoteReference w:id="96"/>
      </w:r>
      <w:r w:rsidR="00E32433" w:rsidRPr="00300A27">
        <w:rPr>
          <w:rFonts w:eastAsia="Times New Roman"/>
          <w:spacing w:val="0"/>
          <w:lang w:val="en-US"/>
        </w:rPr>
        <w:t xml:space="preserve"> Also, “when</w:t>
      </w:r>
      <w:r w:rsidR="000B2003" w:rsidRPr="00300A27">
        <w:rPr>
          <w:rFonts w:eastAsia="Times New Roman"/>
          <w:spacing w:val="0"/>
          <w:lang w:val="en-US"/>
        </w:rPr>
        <w:t xml:space="preserve"> </w:t>
      </w:r>
      <w:r w:rsidR="00E32433" w:rsidRPr="00300A27">
        <w:rPr>
          <w:rFonts w:eastAsia="Times New Roman"/>
          <w:spacing w:val="0"/>
          <w:lang w:val="en-US"/>
        </w:rPr>
        <w:t>reclaim</w:t>
      </w:r>
      <w:r w:rsidR="000B2003" w:rsidRPr="00300A27">
        <w:rPr>
          <w:rFonts w:eastAsia="Times New Roman"/>
          <w:spacing w:val="0"/>
          <w:lang w:val="en-US"/>
        </w:rPr>
        <w:t>ing</w:t>
      </w:r>
      <w:r w:rsidR="00E32433" w:rsidRPr="00300A27">
        <w:rPr>
          <w:rFonts w:eastAsia="Times New Roman"/>
          <w:spacing w:val="0"/>
          <w:lang w:val="en-US"/>
        </w:rPr>
        <w:t xml:space="preserve"> the cloth</w:t>
      </w:r>
      <w:r w:rsidR="000B2003" w:rsidRPr="00300A27">
        <w:rPr>
          <w:rFonts w:eastAsia="Times New Roman"/>
          <w:spacing w:val="0"/>
          <w:lang w:val="en-US"/>
        </w:rPr>
        <w:t>ing</w:t>
      </w:r>
      <w:r w:rsidR="00E32433" w:rsidRPr="00300A27">
        <w:rPr>
          <w:rFonts w:eastAsia="Times New Roman"/>
          <w:spacing w:val="0"/>
          <w:lang w:val="en-US"/>
        </w:rPr>
        <w:t xml:space="preserve"> </w:t>
      </w:r>
      <w:r w:rsidR="000B2003" w:rsidRPr="00300A27">
        <w:rPr>
          <w:rFonts w:eastAsia="Times New Roman"/>
          <w:spacing w:val="0"/>
          <w:lang w:val="en-US"/>
        </w:rPr>
        <w:t>[</w:t>
      </w:r>
      <w:r w:rsidR="00E32433" w:rsidRPr="00300A27">
        <w:rPr>
          <w:rFonts w:eastAsia="Times New Roman"/>
          <w:spacing w:val="0"/>
          <w:lang w:val="en-US"/>
        </w:rPr>
        <w:t>she</w:t>
      </w:r>
      <w:r w:rsidR="000B2003" w:rsidRPr="00300A27">
        <w:rPr>
          <w:rFonts w:eastAsia="Times New Roman"/>
          <w:spacing w:val="0"/>
          <w:lang w:val="en-US"/>
        </w:rPr>
        <w:t>]</w:t>
      </w:r>
      <w:r w:rsidR="00E32433" w:rsidRPr="00300A27">
        <w:rPr>
          <w:rFonts w:eastAsia="Times New Roman"/>
          <w:spacing w:val="0"/>
          <w:lang w:val="en-US"/>
        </w:rPr>
        <w:t xml:space="preserve"> was wearing on February 25, [the prosecutor] insinuated that, perhaps the cloth</w:t>
      </w:r>
      <w:r w:rsidR="000B2003" w:rsidRPr="00300A27">
        <w:rPr>
          <w:rFonts w:eastAsia="Times New Roman"/>
          <w:spacing w:val="0"/>
          <w:lang w:val="en-US"/>
        </w:rPr>
        <w:t>es</w:t>
      </w:r>
      <w:r w:rsidR="00E32433" w:rsidRPr="00300A27">
        <w:rPr>
          <w:rFonts w:eastAsia="Times New Roman"/>
          <w:spacing w:val="0"/>
          <w:lang w:val="en-US"/>
        </w:rPr>
        <w:t xml:space="preserve"> w</w:t>
      </w:r>
      <w:r w:rsidR="000B2003" w:rsidRPr="00300A27">
        <w:rPr>
          <w:rFonts w:eastAsia="Times New Roman"/>
          <w:spacing w:val="0"/>
          <w:lang w:val="en-US"/>
        </w:rPr>
        <w:t>ere</w:t>
      </w:r>
      <w:r w:rsidR="00E32433" w:rsidRPr="00300A27">
        <w:rPr>
          <w:rFonts w:eastAsia="Times New Roman"/>
          <w:spacing w:val="0"/>
          <w:lang w:val="en-US"/>
        </w:rPr>
        <w:t xml:space="preserve"> stained with animal’s blood and, therefore, it was necessary to examine them.</w:t>
      </w:r>
      <w:r w:rsidR="00121FEF" w:rsidRPr="00300A27">
        <w:rPr>
          <w:rFonts w:eastAsia="Times New Roman"/>
          <w:spacing w:val="0"/>
          <w:lang w:val="en-US"/>
        </w:rPr>
        <w:t>”</w:t>
      </w:r>
      <w:r w:rsidR="00121FEF" w:rsidRPr="00300A27">
        <w:rPr>
          <w:rStyle w:val="Refdenotaalpie"/>
          <w:spacing w:val="0"/>
          <w:lang w:val="en-US"/>
        </w:rPr>
        <w:footnoteReference w:id="97"/>
      </w:r>
      <w:r w:rsidR="00E32433" w:rsidRPr="00300A27">
        <w:rPr>
          <w:rFonts w:eastAsia="Times New Roman"/>
          <w:spacing w:val="0"/>
          <w:lang w:val="en-US"/>
        </w:rPr>
        <w:t xml:space="preserve"> In addition, on February 29, while the forensic physician was examining her, the prosecutor entered the room</w:t>
      </w:r>
      <w:r w:rsidR="000B2003" w:rsidRPr="00300A27">
        <w:rPr>
          <w:rFonts w:eastAsia="Times New Roman"/>
          <w:spacing w:val="0"/>
          <w:lang w:val="en-US"/>
        </w:rPr>
        <w:t xml:space="preserve">, </w:t>
      </w:r>
      <w:r w:rsidR="00E32433" w:rsidRPr="00300A27">
        <w:rPr>
          <w:rFonts w:eastAsia="Times New Roman"/>
          <w:spacing w:val="0"/>
          <w:lang w:val="en-US"/>
        </w:rPr>
        <w:t xml:space="preserve">violently grabbed her hair and said “perhaps your little friends did this to you while you were playing” and, also, insisted to the physician that, although </w:t>
      </w:r>
      <w:r w:rsidR="000B2003" w:rsidRPr="00300A27">
        <w:rPr>
          <w:rFonts w:eastAsia="Times New Roman"/>
          <w:spacing w:val="0"/>
          <w:lang w:val="en-US"/>
        </w:rPr>
        <w:t>injuries were present</w:t>
      </w:r>
      <w:r w:rsidR="00E32433" w:rsidRPr="00300A27">
        <w:rPr>
          <w:rFonts w:eastAsia="Times New Roman"/>
          <w:spacing w:val="0"/>
          <w:lang w:val="en-US"/>
        </w:rPr>
        <w:t>, they were not the result of rape.</w:t>
      </w:r>
      <w:r w:rsidR="0069678C" w:rsidRPr="00300A27">
        <w:rPr>
          <w:rStyle w:val="Refdenotaalpie"/>
          <w:rFonts w:eastAsia="Times New Roman"/>
          <w:spacing w:val="0"/>
          <w:lang w:val="en-US"/>
        </w:rPr>
        <w:footnoteReference w:id="98"/>
      </w:r>
      <w:r w:rsidR="00E32433" w:rsidRPr="00300A27">
        <w:rPr>
          <w:rFonts w:eastAsia="Times New Roman"/>
          <w:spacing w:val="0"/>
          <w:lang w:val="en-US"/>
        </w:rPr>
        <w:t xml:space="preserve"> Lastly, </w:t>
      </w:r>
      <w:r w:rsidRPr="00300A27">
        <w:rPr>
          <w:rFonts w:eastAsia="Times New Roman"/>
          <w:spacing w:val="0"/>
          <w:lang w:val="en-US"/>
        </w:rPr>
        <w:t>Ms. Rojas</w:t>
      </w:r>
      <w:r w:rsidR="00121FEF" w:rsidRPr="00300A27">
        <w:rPr>
          <w:rFonts w:eastAsia="Times New Roman"/>
          <w:spacing w:val="0"/>
          <w:lang w:val="en-US"/>
        </w:rPr>
        <w:t xml:space="preserve"> Marín </w:t>
      </w:r>
      <w:r w:rsidR="00E32433" w:rsidRPr="00300A27">
        <w:rPr>
          <w:rFonts w:eastAsia="Times New Roman"/>
          <w:spacing w:val="0"/>
          <w:lang w:val="en-US"/>
        </w:rPr>
        <w:t>alleged that the Ascope Prosecution Service had been “violating [her] rights, offending [her], and humiliating [her] by psychological abuse, [and she was harassed by the police agents who</w:t>
      </w:r>
      <w:r w:rsidR="0079787B" w:rsidRPr="00300A27">
        <w:rPr>
          <w:rFonts w:eastAsia="Times New Roman"/>
          <w:spacing w:val="0"/>
          <w:lang w:val="en-US"/>
        </w:rPr>
        <w:t>] offered [her] money […] to abandon the case there and then because,</w:t>
      </w:r>
      <w:r w:rsidR="000B2003" w:rsidRPr="00300A27">
        <w:rPr>
          <w:rFonts w:eastAsia="Times New Roman"/>
          <w:spacing w:val="0"/>
          <w:lang w:val="en-US"/>
        </w:rPr>
        <w:t xml:space="preserve"> otherwise,</w:t>
      </w:r>
      <w:r w:rsidR="0079787B" w:rsidRPr="00300A27">
        <w:rPr>
          <w:rFonts w:eastAsia="Times New Roman"/>
          <w:spacing w:val="0"/>
          <w:lang w:val="en-US"/>
        </w:rPr>
        <w:t xml:space="preserve"> they would kill [her].</w:t>
      </w:r>
      <w:r w:rsidR="00121FEF" w:rsidRPr="00300A27">
        <w:rPr>
          <w:rFonts w:eastAsia="Times New Roman"/>
          <w:spacing w:val="0"/>
          <w:lang w:val="en-US"/>
        </w:rPr>
        <w:t>”</w:t>
      </w:r>
      <w:r w:rsidR="00121FEF" w:rsidRPr="00300A27">
        <w:rPr>
          <w:rStyle w:val="Refdenotaalpie"/>
          <w:spacing w:val="0"/>
          <w:lang w:val="en-US"/>
        </w:rPr>
        <w:footnoteReference w:id="99"/>
      </w:r>
    </w:p>
    <w:p w14:paraId="2A39AC42" w14:textId="2DBEA523" w:rsidR="00B8190F" w:rsidRPr="00300A27" w:rsidRDefault="0079787B" w:rsidP="00B243B6">
      <w:pPr>
        <w:pStyle w:val="PrrafodeSentencia"/>
        <w:numPr>
          <w:ilvl w:val="0"/>
          <w:numId w:val="3"/>
        </w:numPr>
        <w:spacing w:before="120" w:after="120"/>
        <w:ind w:left="0" w:firstLine="0"/>
        <w:rPr>
          <w:rFonts w:eastAsia="Times New Roman"/>
          <w:spacing w:val="0"/>
          <w:lang w:val="en-US"/>
        </w:rPr>
      </w:pPr>
      <w:r w:rsidRPr="00300A27">
        <w:rPr>
          <w:rFonts w:eastAsia="Times New Roman"/>
          <w:spacing w:val="0"/>
          <w:lang w:val="en-US"/>
        </w:rPr>
        <w:t>On April 7,</w:t>
      </w:r>
      <w:r w:rsidR="00121FEF" w:rsidRPr="00300A27">
        <w:rPr>
          <w:rFonts w:eastAsia="Times New Roman"/>
          <w:spacing w:val="0"/>
          <w:lang w:val="en-US"/>
        </w:rPr>
        <w:t xml:space="preserve"> 2008</w:t>
      </w:r>
      <w:r w:rsidRPr="00300A27">
        <w:rPr>
          <w:rFonts w:eastAsia="Times New Roman"/>
          <w:spacing w:val="0"/>
          <w:lang w:val="en-US"/>
        </w:rPr>
        <w:t>,</w:t>
      </w:r>
      <w:r w:rsidR="00121FEF" w:rsidRPr="00300A27">
        <w:rPr>
          <w:rFonts w:eastAsia="Times New Roman"/>
          <w:spacing w:val="0"/>
          <w:lang w:val="en-US"/>
        </w:rPr>
        <w:t xml:space="preserve"> </w:t>
      </w:r>
      <w:r w:rsidRPr="00300A27">
        <w:rPr>
          <w:rFonts w:eastAsia="Times New Roman"/>
          <w:spacing w:val="0"/>
          <w:lang w:val="en-US"/>
        </w:rPr>
        <w:t>a</w:t>
      </w:r>
      <w:r w:rsidR="00121FEF" w:rsidRPr="00300A27">
        <w:rPr>
          <w:rFonts w:eastAsia="Times New Roman"/>
          <w:spacing w:val="0"/>
          <w:lang w:val="en-US"/>
        </w:rPr>
        <w:t xml:space="preserve"> </w:t>
      </w:r>
      <w:r w:rsidRPr="00300A27">
        <w:rPr>
          <w:rFonts w:eastAsia="Times New Roman"/>
          <w:spacing w:val="0"/>
          <w:lang w:val="en-US"/>
        </w:rPr>
        <w:t>preliminary investigation</w:t>
      </w:r>
      <w:r w:rsidR="00121FEF" w:rsidRPr="00300A27">
        <w:rPr>
          <w:rFonts w:eastAsia="Times New Roman"/>
          <w:spacing w:val="0"/>
          <w:lang w:val="en-US"/>
        </w:rPr>
        <w:t xml:space="preserve"> </w:t>
      </w:r>
      <w:r w:rsidRPr="00300A27">
        <w:rPr>
          <w:rFonts w:eastAsia="Times New Roman"/>
          <w:spacing w:val="0"/>
          <w:lang w:val="en-US"/>
        </w:rPr>
        <w:t>was opened against the provincial prosecutor</w:t>
      </w:r>
      <w:r w:rsidR="005B1C65" w:rsidRPr="00300A27">
        <w:rPr>
          <w:rFonts w:eastAsia="Times New Roman"/>
          <w:spacing w:val="0"/>
          <w:lang w:val="en-US"/>
        </w:rPr>
        <w:t xml:space="preserve"> and </w:t>
      </w:r>
      <w:r w:rsidRPr="00300A27">
        <w:rPr>
          <w:rFonts w:eastAsia="Times New Roman"/>
          <w:spacing w:val="0"/>
          <w:lang w:val="en-US"/>
        </w:rPr>
        <w:t>the deputy provincial prosecutor</w:t>
      </w:r>
      <w:r w:rsidR="00121FEF" w:rsidRPr="00300A27">
        <w:rPr>
          <w:rFonts w:eastAsia="Times New Roman"/>
          <w:spacing w:val="0"/>
          <w:lang w:val="en-US"/>
        </w:rPr>
        <w:t xml:space="preserve"> </w:t>
      </w:r>
      <w:r w:rsidRPr="00300A27">
        <w:rPr>
          <w:rFonts w:eastAsia="Times New Roman"/>
          <w:spacing w:val="0"/>
          <w:lang w:val="en-US"/>
        </w:rPr>
        <w:t>of the</w:t>
      </w:r>
      <w:r w:rsidR="00121FEF" w:rsidRPr="00300A27">
        <w:rPr>
          <w:rFonts w:eastAsia="Times New Roman"/>
          <w:spacing w:val="0"/>
          <w:lang w:val="en-US"/>
        </w:rPr>
        <w:t xml:space="preserve"> </w:t>
      </w:r>
      <w:r w:rsidRPr="00300A27">
        <w:rPr>
          <w:rFonts w:eastAsia="Times New Roman"/>
          <w:spacing w:val="0"/>
          <w:lang w:val="en-US"/>
        </w:rPr>
        <w:t>Second</w:t>
      </w:r>
      <w:r w:rsidR="00910D8E" w:rsidRPr="00300A27">
        <w:rPr>
          <w:rFonts w:eastAsia="Times New Roman"/>
          <w:spacing w:val="0"/>
          <w:lang w:val="en-US"/>
        </w:rPr>
        <w:t xml:space="preserve"> </w:t>
      </w:r>
      <w:r w:rsidR="00EA4EB3" w:rsidRPr="00300A27">
        <w:rPr>
          <w:rFonts w:eastAsia="Times New Roman"/>
          <w:spacing w:val="0"/>
          <w:lang w:val="en-US"/>
        </w:rPr>
        <w:t>Provincial Corporate Criminal</w:t>
      </w:r>
      <w:r w:rsidR="00910D8E" w:rsidRPr="00300A27">
        <w:rPr>
          <w:rFonts w:eastAsia="Times New Roman"/>
          <w:spacing w:val="0"/>
          <w:lang w:val="en-US"/>
        </w:rPr>
        <w:t xml:space="preserve"> Prosecut</w:t>
      </w:r>
      <w:r w:rsidRPr="00300A27">
        <w:rPr>
          <w:rFonts w:eastAsia="Times New Roman"/>
          <w:spacing w:val="0"/>
          <w:lang w:val="en-US"/>
        </w:rPr>
        <w:t>ion Service</w:t>
      </w:r>
      <w:r w:rsidR="00910D8E" w:rsidRPr="00300A27">
        <w:rPr>
          <w:rFonts w:eastAsia="Times New Roman"/>
          <w:spacing w:val="0"/>
          <w:lang w:val="en-US"/>
        </w:rPr>
        <w:t xml:space="preserve"> of</w:t>
      </w:r>
      <w:r w:rsidR="00121FEF" w:rsidRPr="00300A27">
        <w:rPr>
          <w:rFonts w:eastAsia="Times New Roman"/>
          <w:spacing w:val="0"/>
          <w:lang w:val="en-US"/>
        </w:rPr>
        <w:t xml:space="preserve"> Ascope </w:t>
      </w:r>
      <w:r w:rsidRPr="00300A27">
        <w:rPr>
          <w:rFonts w:eastAsia="Times New Roman"/>
          <w:spacing w:val="0"/>
          <w:lang w:val="en-US"/>
        </w:rPr>
        <w:t>by the</w:t>
      </w:r>
      <w:r w:rsidR="00121FEF" w:rsidRPr="00300A27">
        <w:rPr>
          <w:rFonts w:eastAsia="Times New Roman"/>
          <w:spacing w:val="0"/>
          <w:lang w:val="en-US"/>
        </w:rPr>
        <w:t xml:space="preserve"> </w:t>
      </w:r>
      <w:r w:rsidR="00932C42" w:rsidRPr="00300A27">
        <w:rPr>
          <w:rFonts w:eastAsia="Times New Roman"/>
          <w:spacing w:val="0"/>
          <w:lang w:val="en-US"/>
        </w:rPr>
        <w:t xml:space="preserve">Superior Prosecutor, Head of the Decentralized Office of Internal Control of La Libertad </w:t>
      </w:r>
      <w:r w:rsidR="005B1C65" w:rsidRPr="00300A27">
        <w:rPr>
          <w:rFonts w:eastAsia="Times New Roman"/>
          <w:spacing w:val="0"/>
          <w:lang w:val="en-US"/>
        </w:rPr>
        <w:t>and</w:t>
      </w:r>
      <w:r w:rsidR="00121FEF" w:rsidRPr="00300A27">
        <w:rPr>
          <w:rFonts w:eastAsia="Times New Roman"/>
          <w:spacing w:val="0"/>
          <w:lang w:val="en-US"/>
        </w:rPr>
        <w:t xml:space="preserve"> Santa</w:t>
      </w:r>
      <w:r w:rsidRPr="00300A27">
        <w:rPr>
          <w:rFonts w:eastAsia="Times New Roman"/>
          <w:spacing w:val="0"/>
          <w:lang w:val="en-US"/>
        </w:rPr>
        <w:t>.</w:t>
      </w:r>
      <w:r w:rsidR="00121FEF" w:rsidRPr="00300A27">
        <w:rPr>
          <w:rStyle w:val="Refdenotaalpie"/>
          <w:spacing w:val="0"/>
          <w:lang w:val="en-US"/>
        </w:rPr>
        <w:footnoteReference w:id="100"/>
      </w:r>
      <w:r w:rsidR="00121FEF" w:rsidRPr="00300A27">
        <w:rPr>
          <w:rFonts w:eastAsia="Times New Roman"/>
          <w:spacing w:val="0"/>
          <w:lang w:val="en-US"/>
        </w:rPr>
        <w:t xml:space="preserve"> </w:t>
      </w:r>
      <w:r w:rsidRPr="00300A27">
        <w:rPr>
          <w:rFonts w:eastAsia="Times New Roman"/>
          <w:spacing w:val="0"/>
          <w:lang w:val="en-US"/>
        </w:rPr>
        <w:t>Both the provincial prosecutor</w:t>
      </w:r>
      <w:r w:rsidR="00121FEF" w:rsidRPr="00300A27">
        <w:rPr>
          <w:rFonts w:eastAsia="Times New Roman"/>
          <w:spacing w:val="0"/>
          <w:lang w:val="en-US"/>
        </w:rPr>
        <w:t xml:space="preserve"> </w:t>
      </w:r>
      <w:r w:rsidRPr="00300A27">
        <w:rPr>
          <w:rFonts w:eastAsia="Times New Roman"/>
          <w:spacing w:val="0"/>
          <w:lang w:val="en-US"/>
        </w:rPr>
        <w:t>and the deputy prosecutor submitted their exculpatory reports in relation to the complaint filed by</w:t>
      </w:r>
      <w:r w:rsidR="00121FEF" w:rsidRPr="00300A27">
        <w:rPr>
          <w:rFonts w:eastAsia="Times New Roman"/>
          <w:spacing w:val="0"/>
          <w:lang w:val="en-US"/>
        </w:rPr>
        <w:t xml:space="preserve"> </w:t>
      </w:r>
      <w:r w:rsidR="008546E9" w:rsidRPr="00300A27">
        <w:rPr>
          <w:rFonts w:eastAsia="Times New Roman"/>
          <w:spacing w:val="0"/>
          <w:lang w:val="en-US"/>
        </w:rPr>
        <w:t>Ms. Rojas</w:t>
      </w:r>
      <w:r w:rsidR="00121FEF" w:rsidRPr="00300A27">
        <w:rPr>
          <w:rFonts w:eastAsia="Times New Roman"/>
          <w:spacing w:val="0"/>
          <w:lang w:val="en-US"/>
        </w:rPr>
        <w:t xml:space="preserve"> Marín</w:t>
      </w:r>
      <w:r w:rsidR="00121FEF" w:rsidRPr="00300A27">
        <w:rPr>
          <w:rStyle w:val="Refdenotaalpie"/>
          <w:spacing w:val="0"/>
          <w:lang w:val="en-US"/>
        </w:rPr>
        <w:footnoteReference w:id="101"/>
      </w:r>
      <w:r w:rsidR="00121FEF" w:rsidRPr="00300A27">
        <w:rPr>
          <w:rFonts w:eastAsia="Times New Roman"/>
          <w:spacing w:val="0"/>
          <w:lang w:val="en-US"/>
        </w:rPr>
        <w:t xml:space="preserve">. </w:t>
      </w:r>
    </w:p>
    <w:p w14:paraId="75977194" w14:textId="1860BD9E" w:rsidR="007704D8" w:rsidRPr="00300A27" w:rsidRDefault="00932C42" w:rsidP="00B243B6">
      <w:pPr>
        <w:pStyle w:val="PrrafodeSentencia"/>
        <w:numPr>
          <w:ilvl w:val="0"/>
          <w:numId w:val="3"/>
        </w:numPr>
        <w:spacing w:before="120" w:after="120"/>
        <w:ind w:left="0" w:firstLine="0"/>
        <w:rPr>
          <w:rFonts w:eastAsia="Times New Roman"/>
          <w:spacing w:val="0"/>
          <w:lang w:val="en-US"/>
        </w:rPr>
      </w:pPr>
      <w:bookmarkStart w:id="67" w:name="_Ref446245850"/>
      <w:r w:rsidRPr="00300A27">
        <w:rPr>
          <w:rFonts w:eastAsia="Times New Roman"/>
          <w:spacing w:val="0"/>
          <w:lang w:val="en-US"/>
        </w:rPr>
        <w:t>The Decentralized Office of Internal Control of La Libertad</w:t>
      </w:r>
      <w:r w:rsidR="005B1C65" w:rsidRPr="00300A27">
        <w:rPr>
          <w:rFonts w:eastAsia="Times New Roman"/>
          <w:spacing w:val="0"/>
          <w:lang w:val="en-US"/>
        </w:rPr>
        <w:t xml:space="preserve"> and </w:t>
      </w:r>
      <w:r w:rsidR="00B8190F" w:rsidRPr="00300A27">
        <w:rPr>
          <w:rFonts w:eastAsia="Times New Roman"/>
          <w:spacing w:val="0"/>
          <w:lang w:val="en-US"/>
        </w:rPr>
        <w:t xml:space="preserve">Santa </w:t>
      </w:r>
      <w:r w:rsidR="0079787B" w:rsidRPr="00300A27">
        <w:rPr>
          <w:rFonts w:eastAsia="Times New Roman"/>
          <w:spacing w:val="0"/>
          <w:lang w:val="en-US"/>
        </w:rPr>
        <w:t xml:space="preserve">found that the complaint filed for the presumed perpetration of the offense of </w:t>
      </w:r>
      <w:r w:rsidR="00FE2086" w:rsidRPr="00300A27">
        <w:rPr>
          <w:rFonts w:eastAsia="Times New Roman"/>
          <w:spacing w:val="0"/>
          <w:lang w:val="en-US"/>
        </w:rPr>
        <w:t>abuse of authority</w:t>
      </w:r>
      <w:r w:rsidR="00B8190F" w:rsidRPr="00300A27">
        <w:rPr>
          <w:rFonts w:eastAsia="Times New Roman"/>
          <w:spacing w:val="0"/>
          <w:lang w:val="en-US"/>
        </w:rPr>
        <w:t xml:space="preserve"> </w:t>
      </w:r>
      <w:r w:rsidR="0079787B" w:rsidRPr="00300A27">
        <w:rPr>
          <w:rFonts w:eastAsia="Times New Roman"/>
          <w:spacing w:val="0"/>
          <w:lang w:val="en-US"/>
        </w:rPr>
        <w:t>should be declared substantiated.</w:t>
      </w:r>
      <w:r w:rsidR="00B8190F" w:rsidRPr="00300A27">
        <w:rPr>
          <w:rStyle w:val="Refdenotaalpie"/>
          <w:rFonts w:eastAsia="Times New Roman"/>
          <w:spacing w:val="0"/>
          <w:lang w:val="en-US"/>
        </w:rPr>
        <w:footnoteReference w:id="102"/>
      </w:r>
      <w:r w:rsidR="00B8190F" w:rsidRPr="00300A27">
        <w:rPr>
          <w:rFonts w:eastAsia="Times New Roman"/>
          <w:spacing w:val="0"/>
          <w:lang w:val="en-US"/>
        </w:rPr>
        <w:t xml:space="preserve"> </w:t>
      </w:r>
      <w:r w:rsidR="0079787B" w:rsidRPr="00300A27">
        <w:rPr>
          <w:rFonts w:eastAsia="Times New Roman"/>
          <w:spacing w:val="0"/>
          <w:lang w:val="en-US"/>
        </w:rPr>
        <w:t>However, on</w:t>
      </w:r>
      <w:r w:rsidR="007704D8" w:rsidRPr="00300A27">
        <w:rPr>
          <w:rFonts w:eastAsia="Times New Roman"/>
          <w:spacing w:val="0"/>
          <w:lang w:val="en-US"/>
        </w:rPr>
        <w:t xml:space="preserve"> </w:t>
      </w:r>
      <w:r w:rsidR="009B35A1" w:rsidRPr="00300A27">
        <w:rPr>
          <w:rFonts w:eastAsia="Times New Roman"/>
          <w:spacing w:val="0"/>
          <w:lang w:val="en-US"/>
        </w:rPr>
        <w:t>November 19,</w:t>
      </w:r>
      <w:r w:rsidR="007704D8" w:rsidRPr="00300A27">
        <w:rPr>
          <w:rFonts w:eastAsia="Times New Roman"/>
          <w:spacing w:val="0"/>
          <w:lang w:val="en-US"/>
        </w:rPr>
        <w:t xml:space="preserve"> 2010</w:t>
      </w:r>
      <w:r w:rsidR="00B552A4" w:rsidRPr="00300A27">
        <w:rPr>
          <w:rFonts w:eastAsia="Times New Roman"/>
          <w:spacing w:val="0"/>
          <w:lang w:val="en-US"/>
        </w:rPr>
        <w:t xml:space="preserve">, </w:t>
      </w:r>
      <w:r w:rsidR="0079787B" w:rsidRPr="00300A27">
        <w:rPr>
          <w:rFonts w:eastAsia="Times New Roman"/>
          <w:spacing w:val="0"/>
          <w:lang w:val="en-US"/>
        </w:rPr>
        <w:t>that is, after the petition</w:t>
      </w:r>
      <w:r w:rsidR="000B2003" w:rsidRPr="00300A27">
        <w:rPr>
          <w:rFonts w:eastAsia="Times New Roman"/>
          <w:spacing w:val="0"/>
          <w:lang w:val="en-US"/>
        </w:rPr>
        <w:t xml:space="preserve"> had been lodged</w:t>
      </w:r>
      <w:r w:rsidR="0079787B" w:rsidRPr="00300A27">
        <w:rPr>
          <w:rFonts w:eastAsia="Times New Roman"/>
          <w:spacing w:val="0"/>
          <w:lang w:val="en-US"/>
        </w:rPr>
        <w:t xml:space="preserve"> in this case, the Prosecutor General</w:t>
      </w:r>
      <w:r w:rsidR="007704D8" w:rsidRPr="00300A27">
        <w:rPr>
          <w:rFonts w:eastAsia="Times New Roman"/>
          <w:spacing w:val="0"/>
          <w:lang w:val="en-US"/>
        </w:rPr>
        <w:t xml:space="preserve"> </w:t>
      </w:r>
      <w:r w:rsidR="005F06DA" w:rsidRPr="00300A27">
        <w:rPr>
          <w:rFonts w:eastAsia="Times New Roman"/>
          <w:spacing w:val="0"/>
          <w:lang w:val="en-US"/>
        </w:rPr>
        <w:t xml:space="preserve">ruled that there were no grounds to decide that a criminal action should be filed against the prosecutor </w:t>
      </w:r>
      <w:r w:rsidR="000B2003" w:rsidRPr="00300A27">
        <w:rPr>
          <w:rFonts w:eastAsia="Times New Roman"/>
          <w:spacing w:val="0"/>
          <w:lang w:val="en-US"/>
        </w:rPr>
        <w:t xml:space="preserve">and the deputy prosecutor </w:t>
      </w:r>
      <w:r w:rsidR="005F06DA" w:rsidRPr="00300A27">
        <w:rPr>
          <w:rFonts w:eastAsia="Times New Roman"/>
          <w:spacing w:val="0"/>
          <w:lang w:val="en-US"/>
        </w:rPr>
        <w:t>of the Second Criminal Provincial Prosecution Service of</w:t>
      </w:r>
      <w:r w:rsidR="007704D8" w:rsidRPr="00300A27">
        <w:rPr>
          <w:rFonts w:eastAsia="Times New Roman"/>
          <w:spacing w:val="0"/>
          <w:lang w:val="en-US"/>
        </w:rPr>
        <w:t xml:space="preserve"> Ascope</w:t>
      </w:r>
      <w:r w:rsidR="005F06DA" w:rsidRPr="00300A27">
        <w:rPr>
          <w:rFonts w:eastAsia="Times New Roman"/>
          <w:spacing w:val="0"/>
          <w:lang w:val="en-US"/>
        </w:rPr>
        <w:t>.</w:t>
      </w:r>
      <w:r w:rsidR="007704D8" w:rsidRPr="00300A27">
        <w:rPr>
          <w:rStyle w:val="Refdenotaalpie"/>
          <w:spacing w:val="0"/>
          <w:lang w:val="en-US"/>
        </w:rPr>
        <w:footnoteReference w:id="103"/>
      </w:r>
      <w:bookmarkEnd w:id="67"/>
      <w:r w:rsidR="007704D8" w:rsidRPr="00300A27">
        <w:rPr>
          <w:rFonts w:eastAsia="Times New Roman"/>
          <w:spacing w:val="0"/>
          <w:lang w:val="en-US"/>
        </w:rPr>
        <w:t xml:space="preserve"> </w:t>
      </w:r>
    </w:p>
    <w:p w14:paraId="5CB9826F" w14:textId="173DCD39" w:rsidR="00296FC3" w:rsidRPr="00300A27" w:rsidRDefault="002959DE" w:rsidP="00B243B6">
      <w:pPr>
        <w:pStyle w:val="Ttulo2"/>
        <w:numPr>
          <w:ilvl w:val="0"/>
          <w:numId w:val="18"/>
        </w:numPr>
        <w:tabs>
          <w:tab w:val="left" w:pos="567"/>
        </w:tabs>
        <w:ind w:left="1134" w:hanging="567"/>
        <w:rPr>
          <w:color w:val="000000"/>
          <w:lang w:val="en-US" w:eastAsia="es-CR"/>
        </w:rPr>
      </w:pPr>
      <w:bookmarkStart w:id="68" w:name="_Toc32394155"/>
      <w:bookmarkStart w:id="69" w:name="_Toc36823469"/>
      <w:r w:rsidRPr="00300A27">
        <w:rPr>
          <w:color w:val="000000"/>
          <w:lang w:val="en-US" w:eastAsia="es-CR"/>
        </w:rPr>
        <w:t xml:space="preserve">The </w:t>
      </w:r>
      <w:r w:rsidR="005F06DA" w:rsidRPr="00300A27">
        <w:rPr>
          <w:color w:val="000000"/>
          <w:lang w:val="en-US" w:eastAsia="es-CR"/>
        </w:rPr>
        <w:t>disciplinary</w:t>
      </w:r>
      <w:r w:rsidRPr="00300A27">
        <w:rPr>
          <w:color w:val="000000"/>
          <w:lang w:val="en-US" w:eastAsia="es-CR"/>
        </w:rPr>
        <w:t xml:space="preserve"> administrative proceeding against the members</w:t>
      </w:r>
      <w:r w:rsidR="00296FC3" w:rsidRPr="00300A27">
        <w:rPr>
          <w:color w:val="000000"/>
          <w:lang w:val="en-US" w:eastAsia="es-CR"/>
        </w:rPr>
        <w:t xml:space="preserve"> </w:t>
      </w:r>
      <w:r w:rsidR="009B35A1" w:rsidRPr="00300A27">
        <w:rPr>
          <w:color w:val="000000"/>
          <w:lang w:val="en-US" w:eastAsia="es-CR"/>
        </w:rPr>
        <w:t xml:space="preserve">of the </w:t>
      </w:r>
      <w:r w:rsidR="005F06DA" w:rsidRPr="00300A27">
        <w:rPr>
          <w:color w:val="000000"/>
          <w:lang w:val="en-US" w:eastAsia="es-CR"/>
        </w:rPr>
        <w:t>Peruvian National Police</w:t>
      </w:r>
      <w:bookmarkEnd w:id="68"/>
      <w:bookmarkEnd w:id="69"/>
    </w:p>
    <w:p w14:paraId="53CDC287" w14:textId="39F5D891" w:rsidR="00296FC3" w:rsidRPr="00300A27" w:rsidRDefault="005F06DA" w:rsidP="00B243B6">
      <w:pPr>
        <w:pStyle w:val="PrrafodeSentencia"/>
        <w:numPr>
          <w:ilvl w:val="0"/>
          <w:numId w:val="3"/>
        </w:numPr>
        <w:spacing w:before="120" w:after="120"/>
        <w:ind w:left="0" w:firstLine="0"/>
        <w:rPr>
          <w:spacing w:val="0"/>
          <w:lang w:val="en-US"/>
        </w:rPr>
      </w:pPr>
      <w:r w:rsidRPr="00300A27">
        <w:rPr>
          <w:spacing w:val="0"/>
          <w:lang w:val="en-US"/>
        </w:rPr>
        <w:t>On March 5,</w:t>
      </w:r>
      <w:r w:rsidR="00296FC3" w:rsidRPr="00300A27">
        <w:rPr>
          <w:spacing w:val="0"/>
          <w:lang w:val="en-US"/>
        </w:rPr>
        <w:t xml:space="preserve"> 2008, </w:t>
      </w:r>
      <w:r w:rsidR="008546E9" w:rsidRPr="00300A27">
        <w:rPr>
          <w:spacing w:val="0"/>
          <w:lang w:val="en-US"/>
        </w:rPr>
        <w:t>Ms. Rojas</w:t>
      </w:r>
      <w:r w:rsidR="00296FC3" w:rsidRPr="00300A27">
        <w:rPr>
          <w:spacing w:val="0"/>
          <w:lang w:val="en-US"/>
        </w:rPr>
        <w:t xml:space="preserve"> Marín </w:t>
      </w:r>
      <w:r w:rsidRPr="00300A27">
        <w:rPr>
          <w:spacing w:val="0"/>
          <w:lang w:val="en-US"/>
        </w:rPr>
        <w:t>filed a complaint with the Trujillo Regional Inspectorate</w:t>
      </w:r>
      <w:r w:rsidR="00296FC3" w:rsidRPr="00300A27">
        <w:rPr>
          <w:spacing w:val="0"/>
          <w:lang w:val="en-US"/>
        </w:rPr>
        <w:t xml:space="preserve"> </w:t>
      </w:r>
      <w:r w:rsidR="009B35A1" w:rsidRPr="00300A27">
        <w:rPr>
          <w:spacing w:val="0"/>
          <w:lang w:val="en-US"/>
        </w:rPr>
        <w:t xml:space="preserve">of the </w:t>
      </w:r>
      <w:r w:rsidRPr="00300A27">
        <w:rPr>
          <w:spacing w:val="0"/>
          <w:lang w:val="en-US"/>
        </w:rPr>
        <w:t>Peruvian National Police</w:t>
      </w:r>
      <w:r w:rsidR="00296FC3" w:rsidRPr="00300A27">
        <w:rPr>
          <w:spacing w:val="0"/>
          <w:lang w:val="en-US"/>
        </w:rPr>
        <w:t xml:space="preserve"> </w:t>
      </w:r>
      <w:r w:rsidRPr="00300A27">
        <w:rPr>
          <w:spacing w:val="0"/>
          <w:lang w:val="en-US"/>
        </w:rPr>
        <w:t>against four agents presumably implicated in the acts of rape and sexual torture against her.</w:t>
      </w:r>
      <w:r w:rsidR="00296FC3" w:rsidRPr="00300A27">
        <w:rPr>
          <w:rStyle w:val="Refdenotaalpie"/>
          <w:spacing w:val="0"/>
          <w:lang w:val="en-US"/>
        </w:rPr>
        <w:footnoteReference w:id="104"/>
      </w:r>
      <w:r w:rsidR="00296FC3" w:rsidRPr="00300A27">
        <w:rPr>
          <w:spacing w:val="0"/>
          <w:lang w:val="en-US"/>
        </w:rPr>
        <w:t xml:space="preserve"> </w:t>
      </w:r>
    </w:p>
    <w:p w14:paraId="17AC93FB" w14:textId="6562B620" w:rsidR="00296FC3" w:rsidRPr="00300A27" w:rsidRDefault="005F06DA" w:rsidP="00B243B6">
      <w:pPr>
        <w:pStyle w:val="PrrafodeSentencia"/>
        <w:numPr>
          <w:ilvl w:val="0"/>
          <w:numId w:val="3"/>
        </w:numPr>
        <w:spacing w:before="120" w:after="120"/>
        <w:ind w:left="0" w:firstLine="0"/>
        <w:rPr>
          <w:spacing w:val="0"/>
          <w:lang w:val="en-US"/>
        </w:rPr>
      </w:pPr>
      <w:r w:rsidRPr="00300A27">
        <w:rPr>
          <w:spacing w:val="0"/>
          <w:lang w:val="en-US"/>
        </w:rPr>
        <w:t>On May 2,</w:t>
      </w:r>
      <w:r w:rsidR="00296FC3" w:rsidRPr="00300A27">
        <w:rPr>
          <w:spacing w:val="0"/>
          <w:lang w:val="en-US"/>
        </w:rPr>
        <w:t xml:space="preserve"> 2008</w:t>
      </w:r>
      <w:r w:rsidRPr="00300A27">
        <w:rPr>
          <w:spacing w:val="0"/>
          <w:lang w:val="en-US"/>
        </w:rPr>
        <w:t>,</w:t>
      </w:r>
      <w:r w:rsidR="00296FC3" w:rsidRPr="00300A27">
        <w:rPr>
          <w:spacing w:val="0"/>
          <w:lang w:val="en-US"/>
        </w:rPr>
        <w:t xml:space="preserve"> </w:t>
      </w:r>
      <w:r w:rsidRPr="00300A27">
        <w:rPr>
          <w:spacing w:val="0"/>
          <w:lang w:val="en-US"/>
        </w:rPr>
        <w:t>the</w:t>
      </w:r>
      <w:r w:rsidR="00296FC3" w:rsidRPr="00300A27">
        <w:rPr>
          <w:spacing w:val="0"/>
          <w:lang w:val="en-US"/>
        </w:rPr>
        <w:t xml:space="preserve"> Pacasmayo</w:t>
      </w:r>
      <w:r w:rsidRPr="00300A27">
        <w:rPr>
          <w:spacing w:val="0"/>
          <w:lang w:val="en-US"/>
        </w:rPr>
        <w:t xml:space="preserve"> Provincial Inspectorate</w:t>
      </w:r>
      <w:r w:rsidR="00296FC3" w:rsidRPr="00300A27">
        <w:rPr>
          <w:spacing w:val="0"/>
          <w:lang w:val="en-US"/>
        </w:rPr>
        <w:t xml:space="preserve"> </w:t>
      </w:r>
      <w:r w:rsidR="009B35A1" w:rsidRPr="00300A27">
        <w:rPr>
          <w:spacing w:val="0"/>
          <w:lang w:val="en-US"/>
        </w:rPr>
        <w:t xml:space="preserve">of the </w:t>
      </w:r>
      <w:r w:rsidRPr="00300A27">
        <w:rPr>
          <w:spacing w:val="0"/>
          <w:lang w:val="en-US"/>
        </w:rPr>
        <w:t>Peruvian National Police</w:t>
      </w:r>
      <w:r w:rsidR="00296FC3" w:rsidRPr="00300A27">
        <w:rPr>
          <w:spacing w:val="0"/>
          <w:lang w:val="en-US"/>
        </w:rPr>
        <w:t xml:space="preserve"> </w:t>
      </w:r>
      <w:r w:rsidRPr="00300A27">
        <w:rPr>
          <w:spacing w:val="0"/>
          <w:lang w:val="en-US"/>
        </w:rPr>
        <w:t>issued a report concluding that: (i) administrative responsibility ha</w:t>
      </w:r>
      <w:r w:rsidR="00E07E73" w:rsidRPr="00300A27">
        <w:rPr>
          <w:spacing w:val="0"/>
          <w:lang w:val="en-US"/>
        </w:rPr>
        <w:t>d</w:t>
      </w:r>
      <w:r w:rsidRPr="00300A27">
        <w:rPr>
          <w:spacing w:val="0"/>
          <w:lang w:val="en-US"/>
        </w:rPr>
        <w:t xml:space="preserve"> not been established because the complainant </w:t>
      </w:r>
      <w:r w:rsidR="00E07E73" w:rsidRPr="00300A27">
        <w:rPr>
          <w:spacing w:val="0"/>
          <w:lang w:val="en-US"/>
        </w:rPr>
        <w:t>had been</w:t>
      </w:r>
      <w:r w:rsidRPr="00300A27">
        <w:rPr>
          <w:spacing w:val="0"/>
          <w:lang w:val="en-US"/>
        </w:rPr>
        <w:t xml:space="preserve"> detained in compliance with the law and with police procedures, taking into account that the presumed victim was not carrying identification documents and that was with two individuals who fled the scene, and (ii) it had not been </w:t>
      </w:r>
      <w:r w:rsidR="00E07E73" w:rsidRPr="00300A27">
        <w:rPr>
          <w:spacing w:val="0"/>
          <w:lang w:val="en-US"/>
        </w:rPr>
        <w:t>determined</w:t>
      </w:r>
      <w:r w:rsidRPr="00300A27">
        <w:rPr>
          <w:spacing w:val="0"/>
          <w:lang w:val="en-US"/>
        </w:rPr>
        <w:t xml:space="preserve"> that the presumed victim had been physically assaulted in the Police Station by the agents who were accused of this, because “the </w:t>
      </w:r>
      <w:r w:rsidR="00E07E73" w:rsidRPr="00300A27">
        <w:rPr>
          <w:spacing w:val="0"/>
          <w:lang w:val="en-US"/>
        </w:rPr>
        <w:t>f</w:t>
      </w:r>
      <w:r w:rsidRPr="00300A27">
        <w:rPr>
          <w:spacing w:val="0"/>
          <w:lang w:val="en-US"/>
        </w:rPr>
        <w:t>orensic medical examination was performed on the complainant four days after the detention [and] it was possible that [s]he had injured [her]self in order to harm the police agents who detained h[er] on [February 25, 2008].</w:t>
      </w:r>
      <w:r w:rsidR="00296FC3" w:rsidRPr="00300A27">
        <w:rPr>
          <w:spacing w:val="0"/>
          <w:lang w:val="en-US"/>
        </w:rPr>
        <w:t>”</w:t>
      </w:r>
      <w:r w:rsidR="00296FC3" w:rsidRPr="00300A27">
        <w:rPr>
          <w:rStyle w:val="Refdenotaalpie"/>
          <w:spacing w:val="0"/>
          <w:lang w:val="en-US"/>
        </w:rPr>
        <w:footnoteReference w:id="105"/>
      </w:r>
    </w:p>
    <w:p w14:paraId="52B5BCFA" w14:textId="079FA70E" w:rsidR="00296FC3" w:rsidRPr="00300A27" w:rsidRDefault="005F06DA" w:rsidP="00B243B6">
      <w:pPr>
        <w:pStyle w:val="PrrafodeSentencia"/>
        <w:numPr>
          <w:ilvl w:val="0"/>
          <w:numId w:val="3"/>
        </w:numPr>
        <w:spacing w:before="120" w:after="120"/>
        <w:ind w:left="0" w:firstLine="0"/>
        <w:rPr>
          <w:spacing w:val="0"/>
          <w:lang w:val="en-US"/>
        </w:rPr>
      </w:pPr>
      <w:r w:rsidRPr="00300A27">
        <w:rPr>
          <w:spacing w:val="0"/>
          <w:lang w:val="en-US"/>
        </w:rPr>
        <w:t>On June 6,</w:t>
      </w:r>
      <w:r w:rsidR="00296FC3" w:rsidRPr="00300A27">
        <w:rPr>
          <w:spacing w:val="0"/>
          <w:lang w:val="en-US"/>
        </w:rPr>
        <w:t xml:space="preserve"> 2008, </w:t>
      </w:r>
      <w:r w:rsidRPr="00300A27">
        <w:rPr>
          <w:spacing w:val="0"/>
          <w:lang w:val="en-US"/>
        </w:rPr>
        <w:t>the</w:t>
      </w:r>
      <w:r w:rsidR="00296FC3" w:rsidRPr="00300A27">
        <w:rPr>
          <w:spacing w:val="0"/>
          <w:lang w:val="en-US"/>
        </w:rPr>
        <w:t xml:space="preserve"> </w:t>
      </w:r>
      <w:r w:rsidR="005B1C65" w:rsidRPr="00300A27">
        <w:rPr>
          <w:spacing w:val="0"/>
          <w:lang w:val="en-US"/>
        </w:rPr>
        <w:t>President</w:t>
      </w:r>
      <w:r w:rsidRPr="00300A27">
        <w:rPr>
          <w:spacing w:val="0"/>
          <w:lang w:val="en-US"/>
        </w:rPr>
        <w:t xml:space="preserve"> of the Second Chamber</w:t>
      </w:r>
      <w:r w:rsidR="008546E9" w:rsidRPr="00300A27">
        <w:rPr>
          <w:spacing w:val="0"/>
          <w:lang w:val="en-US"/>
        </w:rPr>
        <w:t xml:space="preserve"> of the </w:t>
      </w:r>
      <w:r w:rsidRPr="00300A27">
        <w:rPr>
          <w:spacing w:val="0"/>
          <w:lang w:val="en-US"/>
        </w:rPr>
        <w:t xml:space="preserve">Trujillo Disciplinary Administrative </w:t>
      </w:r>
      <w:r w:rsidR="00E07E73" w:rsidRPr="00300A27">
        <w:rPr>
          <w:spacing w:val="0"/>
          <w:lang w:val="en-US"/>
        </w:rPr>
        <w:t>Tribunal</w:t>
      </w:r>
      <w:r w:rsidR="00296FC3" w:rsidRPr="00300A27">
        <w:rPr>
          <w:spacing w:val="0"/>
          <w:lang w:val="en-US"/>
        </w:rPr>
        <w:t xml:space="preserve"> </w:t>
      </w:r>
      <w:r w:rsidRPr="00300A27">
        <w:rPr>
          <w:spacing w:val="0"/>
          <w:lang w:val="en-US"/>
        </w:rPr>
        <w:t xml:space="preserve">issued an order to remove the </w:t>
      </w:r>
      <w:r w:rsidR="00DA7D62" w:rsidRPr="00300A27">
        <w:rPr>
          <w:spacing w:val="0"/>
          <w:lang w:val="en-US"/>
        </w:rPr>
        <w:t>disciplinary administrative case against the accused agents</w:t>
      </w:r>
      <w:r w:rsidRPr="00300A27">
        <w:rPr>
          <w:spacing w:val="0"/>
          <w:lang w:val="en-US"/>
        </w:rPr>
        <w:t xml:space="preserve"> to a higher </w:t>
      </w:r>
      <w:r w:rsidR="00307B3F" w:rsidRPr="00300A27">
        <w:rPr>
          <w:spacing w:val="0"/>
          <w:lang w:val="en-US"/>
        </w:rPr>
        <w:t>authority</w:t>
      </w:r>
      <w:r w:rsidRPr="00300A27">
        <w:rPr>
          <w:spacing w:val="0"/>
          <w:lang w:val="en-US"/>
        </w:rPr>
        <w:t>.</w:t>
      </w:r>
      <w:r w:rsidR="00296FC3" w:rsidRPr="00300A27">
        <w:rPr>
          <w:rStyle w:val="Refdenotaalpie"/>
          <w:spacing w:val="0"/>
          <w:lang w:val="en-US"/>
        </w:rPr>
        <w:footnoteReference w:id="106"/>
      </w:r>
      <w:r w:rsidR="00296FC3" w:rsidRPr="00300A27">
        <w:rPr>
          <w:spacing w:val="0"/>
          <w:lang w:val="en-US"/>
        </w:rPr>
        <w:t xml:space="preserve"> </w:t>
      </w:r>
    </w:p>
    <w:p w14:paraId="211FB6E3" w14:textId="2EC1F561" w:rsidR="00296FC3" w:rsidRPr="00300A27" w:rsidRDefault="005F06DA" w:rsidP="00B243B6">
      <w:pPr>
        <w:pStyle w:val="PrrafodeSentencia"/>
        <w:numPr>
          <w:ilvl w:val="0"/>
          <w:numId w:val="3"/>
        </w:numPr>
        <w:spacing w:before="120" w:after="120"/>
        <w:ind w:left="0" w:firstLine="0"/>
        <w:rPr>
          <w:spacing w:val="0"/>
          <w:lang w:val="en-US"/>
        </w:rPr>
      </w:pPr>
      <w:r w:rsidRPr="00300A27">
        <w:rPr>
          <w:spacing w:val="0"/>
          <w:lang w:val="en-US"/>
        </w:rPr>
        <w:t>On</w:t>
      </w:r>
      <w:r w:rsidR="00296FC3" w:rsidRPr="00300A27">
        <w:rPr>
          <w:spacing w:val="0"/>
          <w:lang w:val="en-US"/>
        </w:rPr>
        <w:t xml:space="preserve"> </w:t>
      </w:r>
      <w:r w:rsidR="009B35A1" w:rsidRPr="00300A27">
        <w:rPr>
          <w:spacing w:val="0"/>
          <w:lang w:val="en-US"/>
        </w:rPr>
        <w:t>September 2,</w:t>
      </w:r>
      <w:r w:rsidR="00296FC3" w:rsidRPr="00300A27">
        <w:rPr>
          <w:spacing w:val="0"/>
          <w:lang w:val="en-US"/>
        </w:rPr>
        <w:t xml:space="preserve"> 2008</w:t>
      </w:r>
      <w:r w:rsidRPr="00300A27">
        <w:rPr>
          <w:spacing w:val="0"/>
          <w:lang w:val="en-US"/>
        </w:rPr>
        <w:t>,</w:t>
      </w:r>
      <w:r w:rsidR="00296FC3" w:rsidRPr="00300A27">
        <w:rPr>
          <w:spacing w:val="0"/>
          <w:lang w:val="en-US"/>
        </w:rPr>
        <w:t xml:space="preserve"> </w:t>
      </w:r>
      <w:r w:rsidR="009B35A1" w:rsidRPr="00300A27">
        <w:rPr>
          <w:spacing w:val="0"/>
          <w:lang w:val="en-US"/>
        </w:rPr>
        <w:t xml:space="preserve">the </w:t>
      </w:r>
      <w:r w:rsidRPr="00300A27">
        <w:rPr>
          <w:spacing w:val="0"/>
          <w:lang w:val="en-US"/>
        </w:rPr>
        <w:t xml:space="preserve">Territorial Disciplinary Administrative </w:t>
      </w:r>
      <w:r w:rsidR="00307B3F" w:rsidRPr="00300A27">
        <w:rPr>
          <w:spacing w:val="0"/>
          <w:lang w:val="en-US"/>
        </w:rPr>
        <w:t>Tribunal</w:t>
      </w:r>
      <w:r w:rsidRPr="00300A27">
        <w:rPr>
          <w:spacing w:val="0"/>
          <w:lang w:val="en-US"/>
        </w:rPr>
        <w:t xml:space="preserve"> decided that “there were no grounds for imposing sanctions on the agents […] as their disciplinary administrative responsibility in the </w:t>
      </w:r>
      <w:r w:rsidR="00707B6F" w:rsidRPr="00300A27">
        <w:rPr>
          <w:spacing w:val="0"/>
          <w:lang w:val="en-US"/>
        </w:rPr>
        <w:t>events</w:t>
      </w:r>
      <w:r w:rsidRPr="00300A27">
        <w:rPr>
          <w:spacing w:val="0"/>
          <w:lang w:val="en-US"/>
        </w:rPr>
        <w:t xml:space="preserve"> reported by [Azul Rojas Marín] had not been established; consequently, the closure of this case is ordered.</w:t>
      </w:r>
      <w:r w:rsidR="00296FC3" w:rsidRPr="00300A27">
        <w:rPr>
          <w:spacing w:val="0"/>
          <w:lang w:val="en-US"/>
        </w:rPr>
        <w:t>”</w:t>
      </w:r>
      <w:r w:rsidR="00296FC3" w:rsidRPr="00300A27">
        <w:rPr>
          <w:rStyle w:val="Refdenotaalpie"/>
          <w:spacing w:val="0"/>
          <w:lang w:val="en-US"/>
        </w:rPr>
        <w:footnoteReference w:id="107"/>
      </w:r>
      <w:r w:rsidR="00296FC3" w:rsidRPr="00300A27">
        <w:rPr>
          <w:spacing w:val="0"/>
          <w:lang w:val="en-US"/>
        </w:rPr>
        <w:t xml:space="preserve"> </w:t>
      </w:r>
      <w:r w:rsidR="009B35A1" w:rsidRPr="00300A27">
        <w:rPr>
          <w:spacing w:val="0"/>
          <w:lang w:val="en-US"/>
        </w:rPr>
        <w:t xml:space="preserve">The </w:t>
      </w:r>
      <w:r w:rsidRPr="00300A27">
        <w:rPr>
          <w:spacing w:val="0"/>
          <w:lang w:val="en-US"/>
        </w:rPr>
        <w:t>Administrative Court</w:t>
      </w:r>
      <w:r w:rsidR="00296FC3" w:rsidRPr="00300A27">
        <w:rPr>
          <w:spacing w:val="0"/>
          <w:lang w:val="en-US"/>
        </w:rPr>
        <w:t xml:space="preserve"> </w:t>
      </w:r>
      <w:r w:rsidRPr="00300A27">
        <w:rPr>
          <w:spacing w:val="0"/>
          <w:lang w:val="en-US"/>
        </w:rPr>
        <w:t>found that it was not possible to verify that</w:t>
      </w:r>
      <w:r w:rsidR="00296FC3" w:rsidRPr="00300A27">
        <w:rPr>
          <w:spacing w:val="0"/>
          <w:lang w:val="en-US"/>
        </w:rPr>
        <w:t xml:space="preserve"> </w:t>
      </w:r>
      <w:r w:rsidR="008546E9" w:rsidRPr="00300A27">
        <w:rPr>
          <w:spacing w:val="0"/>
          <w:lang w:val="en-US"/>
        </w:rPr>
        <w:t>Ms. Rojas</w:t>
      </w:r>
      <w:r w:rsidR="00296FC3" w:rsidRPr="00300A27">
        <w:rPr>
          <w:spacing w:val="0"/>
          <w:lang w:val="en-US"/>
        </w:rPr>
        <w:t xml:space="preserve"> Marín ha</w:t>
      </w:r>
      <w:r w:rsidRPr="00300A27">
        <w:rPr>
          <w:spacing w:val="0"/>
          <w:lang w:val="en-US"/>
        </w:rPr>
        <w:t xml:space="preserve">d </w:t>
      </w:r>
      <w:r w:rsidR="00707B6F" w:rsidRPr="00300A27">
        <w:rPr>
          <w:spacing w:val="0"/>
          <w:lang w:val="en-US"/>
        </w:rPr>
        <w:t>been</w:t>
      </w:r>
      <w:r w:rsidRPr="00300A27">
        <w:rPr>
          <w:spacing w:val="0"/>
          <w:lang w:val="en-US"/>
        </w:rPr>
        <w:t xml:space="preserve"> rape</w:t>
      </w:r>
      <w:r w:rsidR="00707B6F" w:rsidRPr="00300A27">
        <w:rPr>
          <w:spacing w:val="0"/>
          <w:lang w:val="en-US"/>
        </w:rPr>
        <w:t>d</w:t>
      </w:r>
      <w:r w:rsidRPr="00300A27">
        <w:rPr>
          <w:spacing w:val="0"/>
          <w:lang w:val="en-US"/>
        </w:rPr>
        <w:t xml:space="preserve"> or torture</w:t>
      </w:r>
      <w:r w:rsidR="00707B6F" w:rsidRPr="00300A27">
        <w:rPr>
          <w:spacing w:val="0"/>
          <w:lang w:val="en-US"/>
        </w:rPr>
        <w:t>d</w:t>
      </w:r>
      <w:r w:rsidRPr="00300A27">
        <w:rPr>
          <w:spacing w:val="0"/>
          <w:lang w:val="en-US"/>
        </w:rPr>
        <w:t xml:space="preserve">, because the </w:t>
      </w:r>
      <w:r w:rsidR="00707B6F" w:rsidRPr="00300A27">
        <w:rPr>
          <w:spacing w:val="0"/>
          <w:lang w:val="en-US"/>
        </w:rPr>
        <w:t>minor</w:t>
      </w:r>
      <w:r w:rsidRPr="00300A27">
        <w:rPr>
          <w:spacing w:val="0"/>
          <w:lang w:val="en-US"/>
        </w:rPr>
        <w:t xml:space="preserve"> bodily injuries and the older anal fissures were insufficient to prove that they had been caused by the police agents,</w:t>
      </w:r>
      <w:r w:rsidR="00707B6F" w:rsidRPr="00300A27">
        <w:rPr>
          <w:spacing w:val="0"/>
          <w:lang w:val="en-US"/>
        </w:rPr>
        <w:t xml:space="preserve"> and,</w:t>
      </w:r>
      <w:r w:rsidRPr="00300A27">
        <w:rPr>
          <w:spacing w:val="0"/>
          <w:lang w:val="en-US"/>
        </w:rPr>
        <w:t xml:space="preserve"> “in addition to the forensic medical examination being performed [four] days later, it should be taken into account, with regard to the anal fissures, that </w:t>
      </w:r>
      <w:r w:rsidR="00296FC3" w:rsidRPr="00300A27">
        <w:rPr>
          <w:spacing w:val="0"/>
          <w:lang w:val="en-US"/>
        </w:rPr>
        <w:t>[</w:t>
      </w:r>
      <w:r w:rsidR="008546E9" w:rsidRPr="00300A27">
        <w:rPr>
          <w:spacing w:val="0"/>
          <w:lang w:val="en-US"/>
        </w:rPr>
        <w:t>Ms. Rojas</w:t>
      </w:r>
      <w:r w:rsidR="00296FC3" w:rsidRPr="00300A27">
        <w:rPr>
          <w:spacing w:val="0"/>
          <w:lang w:val="en-US"/>
        </w:rPr>
        <w:t xml:space="preserve"> Marín] […] practic</w:t>
      </w:r>
      <w:r w:rsidRPr="00300A27">
        <w:rPr>
          <w:spacing w:val="0"/>
          <w:lang w:val="en-US"/>
        </w:rPr>
        <w:t>es</w:t>
      </w:r>
      <w:r w:rsidR="00483DB4" w:rsidRPr="00300A27">
        <w:rPr>
          <w:spacing w:val="0"/>
          <w:lang w:val="en-US"/>
        </w:rPr>
        <w:t xml:space="preserve"> unnatural sexual relations</w:t>
      </w:r>
      <w:r w:rsidRPr="00300A27">
        <w:rPr>
          <w:spacing w:val="0"/>
          <w:lang w:val="en-US"/>
        </w:rPr>
        <w:t xml:space="preserve"> </w:t>
      </w:r>
      <w:r w:rsidR="00483DB4" w:rsidRPr="00300A27">
        <w:rPr>
          <w:spacing w:val="0"/>
          <w:lang w:val="en-US"/>
        </w:rPr>
        <w:t>since the age of 14 and has sexual relations 3 or 4 times a day.</w:t>
      </w:r>
      <w:r w:rsidR="00296FC3" w:rsidRPr="00300A27">
        <w:rPr>
          <w:spacing w:val="0"/>
          <w:lang w:val="en-US"/>
        </w:rPr>
        <w:t>”</w:t>
      </w:r>
      <w:r w:rsidR="00296FC3" w:rsidRPr="00300A27">
        <w:rPr>
          <w:rStyle w:val="Refdenotaalpie"/>
          <w:spacing w:val="0"/>
          <w:lang w:val="en-US"/>
        </w:rPr>
        <w:footnoteReference w:id="108"/>
      </w:r>
    </w:p>
    <w:p w14:paraId="6B09B016" w14:textId="6105F83B" w:rsidR="00D53435" w:rsidRPr="00300A27" w:rsidRDefault="002959DE" w:rsidP="00B243B6">
      <w:pPr>
        <w:pStyle w:val="Ttulo2"/>
        <w:numPr>
          <w:ilvl w:val="0"/>
          <w:numId w:val="18"/>
        </w:numPr>
        <w:tabs>
          <w:tab w:val="left" w:pos="567"/>
        </w:tabs>
        <w:ind w:left="1134" w:hanging="567"/>
        <w:rPr>
          <w:color w:val="000000"/>
          <w:lang w:val="en-US" w:eastAsia="es-CR"/>
        </w:rPr>
      </w:pPr>
      <w:bookmarkStart w:id="70" w:name="_Toc32394154"/>
      <w:bookmarkStart w:id="71" w:name="_Toc36823470"/>
      <w:r w:rsidRPr="00300A27">
        <w:rPr>
          <w:color w:val="000000"/>
          <w:lang w:val="en-US" w:eastAsia="es-CR"/>
        </w:rPr>
        <w:t>The second investigation into</w:t>
      </w:r>
      <w:r w:rsidR="00737D26" w:rsidRPr="00300A27">
        <w:rPr>
          <w:color w:val="000000"/>
          <w:lang w:val="en-US" w:eastAsia="es-CR"/>
        </w:rPr>
        <w:t xml:space="preserve"> the facts</w:t>
      </w:r>
      <w:bookmarkEnd w:id="70"/>
      <w:bookmarkEnd w:id="71"/>
    </w:p>
    <w:p w14:paraId="6DB5397F" w14:textId="6AE1BB95" w:rsidR="00D53435" w:rsidRPr="00300A27" w:rsidRDefault="00307B3F" w:rsidP="00B243B6">
      <w:pPr>
        <w:pStyle w:val="PrrafodeSentencia"/>
        <w:numPr>
          <w:ilvl w:val="0"/>
          <w:numId w:val="3"/>
        </w:numPr>
        <w:spacing w:before="120" w:after="120"/>
        <w:ind w:left="0" w:firstLine="0"/>
        <w:rPr>
          <w:b/>
          <w:spacing w:val="0"/>
          <w:lang w:val="en-US"/>
        </w:rPr>
      </w:pPr>
      <w:bookmarkStart w:id="72" w:name="_Ref35854696"/>
      <w:r w:rsidRPr="00300A27">
        <w:rPr>
          <w:spacing w:val="0"/>
          <w:lang w:val="en-US"/>
        </w:rPr>
        <w:t>On November 20,</w:t>
      </w:r>
      <w:r w:rsidR="00D53435" w:rsidRPr="00300A27">
        <w:rPr>
          <w:spacing w:val="0"/>
          <w:lang w:val="en-US"/>
        </w:rPr>
        <w:t xml:space="preserve"> 2018</w:t>
      </w:r>
      <w:r w:rsidRPr="00300A27">
        <w:rPr>
          <w:spacing w:val="0"/>
          <w:lang w:val="en-US"/>
        </w:rPr>
        <w:t>,</w:t>
      </w:r>
      <w:r w:rsidR="00D53435" w:rsidRPr="00300A27">
        <w:rPr>
          <w:spacing w:val="0"/>
          <w:lang w:val="en-US"/>
        </w:rPr>
        <w:t xml:space="preserve"> </w:t>
      </w:r>
      <w:r w:rsidR="005F30BF" w:rsidRPr="00300A27">
        <w:rPr>
          <w:spacing w:val="0"/>
          <w:lang w:val="en-US"/>
        </w:rPr>
        <w:t>the Second Supraprovincial Prosecutor</w:t>
      </w:r>
      <w:r w:rsidR="00D53435" w:rsidRPr="00300A27">
        <w:rPr>
          <w:spacing w:val="0"/>
          <w:lang w:val="en-US"/>
        </w:rPr>
        <w:t xml:space="preserve">, </w:t>
      </w:r>
      <w:r w:rsidR="005F30BF" w:rsidRPr="00300A27">
        <w:rPr>
          <w:spacing w:val="0"/>
          <w:lang w:val="en-US"/>
        </w:rPr>
        <w:t>in compliance with the Inter-American Commission</w:t>
      </w:r>
      <w:r w:rsidR="00707B6F" w:rsidRPr="00300A27">
        <w:rPr>
          <w:spacing w:val="0"/>
          <w:lang w:val="en-US"/>
        </w:rPr>
        <w:t xml:space="preserve">’s recommendations </w:t>
      </w:r>
      <w:r w:rsidR="005F30BF" w:rsidRPr="00300A27">
        <w:rPr>
          <w:spacing w:val="0"/>
          <w:lang w:val="en-US"/>
        </w:rPr>
        <w:t xml:space="preserve">in the </w:t>
      </w:r>
      <w:r w:rsidR="00BA3C7F" w:rsidRPr="00300A27">
        <w:rPr>
          <w:spacing w:val="0"/>
          <w:lang w:val="en-US"/>
        </w:rPr>
        <w:t>Merits Report</w:t>
      </w:r>
      <w:r w:rsidR="005F30BF" w:rsidRPr="00300A27">
        <w:rPr>
          <w:spacing w:val="0"/>
          <w:lang w:val="en-US"/>
        </w:rPr>
        <w:t xml:space="preserve"> in this case, “ordered the re-opening of the investigation into those presumably responsible” for the </w:t>
      </w:r>
      <w:r w:rsidR="0013678A" w:rsidRPr="00300A27">
        <w:rPr>
          <w:spacing w:val="0"/>
          <w:lang w:val="en-US"/>
        </w:rPr>
        <w:t>crime of torture</w:t>
      </w:r>
      <w:r w:rsidR="005F30BF" w:rsidRPr="00300A27">
        <w:rPr>
          <w:spacing w:val="0"/>
          <w:lang w:val="en-US"/>
        </w:rPr>
        <w:t xml:space="preserve"> established in article 321 of the Criminal Code perpetrated against </w:t>
      </w:r>
      <w:r w:rsidR="008546E9" w:rsidRPr="00300A27">
        <w:rPr>
          <w:spacing w:val="0"/>
          <w:lang w:val="en-US"/>
        </w:rPr>
        <w:t>Ms. Rojas</w:t>
      </w:r>
      <w:r w:rsidR="00D53435" w:rsidRPr="00300A27">
        <w:rPr>
          <w:spacing w:val="0"/>
          <w:lang w:val="en-US"/>
        </w:rPr>
        <w:t xml:space="preserve"> Marín</w:t>
      </w:r>
      <w:r w:rsidR="005F30BF" w:rsidRPr="00300A27">
        <w:rPr>
          <w:spacing w:val="0"/>
          <w:lang w:val="en-US"/>
        </w:rPr>
        <w:t>.</w:t>
      </w:r>
      <w:r w:rsidR="00D53435" w:rsidRPr="00300A27">
        <w:rPr>
          <w:spacing w:val="0"/>
          <w:vertAlign w:val="superscript"/>
          <w:lang w:val="en-US"/>
        </w:rPr>
        <w:footnoteReference w:id="109"/>
      </w:r>
      <w:r w:rsidR="005F30BF" w:rsidRPr="00300A27">
        <w:rPr>
          <w:spacing w:val="0"/>
          <w:lang w:val="en-US"/>
        </w:rPr>
        <w:t xml:space="preserve"> In this decision, the prosecutor ordered 13 investigative procedures.</w:t>
      </w:r>
      <w:r w:rsidR="00D53435" w:rsidRPr="00300A27">
        <w:rPr>
          <w:spacing w:val="0"/>
          <w:vertAlign w:val="superscript"/>
          <w:lang w:val="en-US"/>
        </w:rPr>
        <w:footnoteReference w:id="110"/>
      </w:r>
      <w:r w:rsidR="00D53435" w:rsidRPr="00300A27">
        <w:rPr>
          <w:spacing w:val="0"/>
          <w:lang w:val="en-US"/>
        </w:rPr>
        <w:t xml:space="preserve"> </w:t>
      </w:r>
      <w:r w:rsidR="005F30BF" w:rsidRPr="00300A27">
        <w:rPr>
          <w:spacing w:val="0"/>
          <w:lang w:val="en-US"/>
        </w:rPr>
        <w:t xml:space="preserve">Subsequently, on December 4, </w:t>
      </w:r>
      <w:r w:rsidR="00D53435" w:rsidRPr="00300A27">
        <w:rPr>
          <w:spacing w:val="0"/>
          <w:lang w:val="en-US"/>
        </w:rPr>
        <w:t xml:space="preserve">2018, </w:t>
      </w:r>
      <w:r w:rsidR="005F30BF" w:rsidRPr="00300A27">
        <w:rPr>
          <w:spacing w:val="0"/>
          <w:lang w:val="en-US"/>
        </w:rPr>
        <w:t xml:space="preserve">the Fifth Superior Prosecutor of La </w:t>
      </w:r>
      <w:r w:rsidR="00D53435" w:rsidRPr="00300A27">
        <w:rPr>
          <w:spacing w:val="0"/>
          <w:lang w:val="en-US"/>
        </w:rPr>
        <w:t xml:space="preserve">Libertad </w:t>
      </w:r>
      <w:r w:rsidR="005F30BF" w:rsidRPr="00300A27">
        <w:rPr>
          <w:spacing w:val="0"/>
          <w:lang w:val="en-US"/>
        </w:rPr>
        <w:t xml:space="preserve">decided “to declare the order dismissing the case to be declared null and void as well as all actions taken since the order to open an investigation and up until the order to close the </w:t>
      </w:r>
      <w:r w:rsidR="00967E9D" w:rsidRPr="00300A27">
        <w:rPr>
          <w:spacing w:val="0"/>
          <w:lang w:val="en-US"/>
        </w:rPr>
        <w:t>preliminary investigation</w:t>
      </w:r>
      <w:r w:rsidR="005F30BF" w:rsidRPr="00300A27">
        <w:rPr>
          <w:spacing w:val="0"/>
          <w:lang w:val="en-US"/>
        </w:rPr>
        <w:t>.</w:t>
      </w:r>
      <w:r w:rsidR="00D53435" w:rsidRPr="00300A27">
        <w:rPr>
          <w:spacing w:val="0"/>
          <w:lang w:val="en-US"/>
        </w:rPr>
        <w:t>”</w:t>
      </w:r>
      <w:r w:rsidR="00D53435" w:rsidRPr="00300A27">
        <w:rPr>
          <w:spacing w:val="0"/>
          <w:vertAlign w:val="superscript"/>
          <w:lang w:val="en-US"/>
        </w:rPr>
        <w:footnoteReference w:id="111"/>
      </w:r>
      <w:bookmarkEnd w:id="72"/>
      <w:r w:rsidR="00D53435" w:rsidRPr="00300A27">
        <w:rPr>
          <w:spacing w:val="0"/>
          <w:lang w:val="en-US"/>
        </w:rPr>
        <w:t xml:space="preserve"> </w:t>
      </w:r>
    </w:p>
    <w:p w14:paraId="5C6BA091" w14:textId="03554147" w:rsidR="00D53435" w:rsidRPr="00300A27" w:rsidRDefault="005F30BF" w:rsidP="00B243B6">
      <w:pPr>
        <w:pStyle w:val="PrrafodeSentencia"/>
        <w:numPr>
          <w:ilvl w:val="0"/>
          <w:numId w:val="3"/>
        </w:numPr>
        <w:spacing w:before="120" w:after="120"/>
        <w:ind w:left="0" w:firstLine="0"/>
        <w:rPr>
          <w:spacing w:val="0"/>
          <w:lang w:val="en-US"/>
        </w:rPr>
      </w:pPr>
      <w:r w:rsidRPr="00300A27">
        <w:rPr>
          <w:rFonts w:eastAsia="Times New Roman"/>
          <w:spacing w:val="0"/>
          <w:lang w:val="en-US"/>
        </w:rPr>
        <w:t>On January 16,</w:t>
      </w:r>
      <w:r w:rsidR="00D53435" w:rsidRPr="00300A27">
        <w:rPr>
          <w:rFonts w:eastAsia="Times New Roman"/>
          <w:spacing w:val="0"/>
          <w:lang w:val="en-US"/>
        </w:rPr>
        <w:t xml:space="preserve"> 2019</w:t>
      </w:r>
      <w:r w:rsidRPr="00300A27">
        <w:rPr>
          <w:rFonts w:eastAsia="Times New Roman"/>
          <w:spacing w:val="0"/>
          <w:lang w:val="en-US"/>
        </w:rPr>
        <w:t>,</w:t>
      </w:r>
      <w:r w:rsidR="00D53435" w:rsidRPr="00300A27">
        <w:rPr>
          <w:rFonts w:eastAsia="Times New Roman"/>
          <w:spacing w:val="0"/>
          <w:lang w:val="en-US"/>
        </w:rPr>
        <w:t xml:space="preserve"> </w:t>
      </w:r>
      <w:r w:rsidR="0079787B" w:rsidRPr="00300A27">
        <w:rPr>
          <w:rFonts w:eastAsia="Times New Roman"/>
          <w:spacing w:val="0"/>
          <w:lang w:val="en-US"/>
        </w:rPr>
        <w:t>the provincial prosecutor</w:t>
      </w:r>
      <w:r w:rsidR="00D53435" w:rsidRPr="00300A27">
        <w:rPr>
          <w:rFonts w:eastAsia="Times New Roman"/>
          <w:spacing w:val="0"/>
          <w:lang w:val="en-US"/>
        </w:rPr>
        <w:t xml:space="preserve"> </w:t>
      </w:r>
      <w:r w:rsidR="00910D8E" w:rsidRPr="00300A27">
        <w:rPr>
          <w:rFonts w:eastAsia="Times New Roman"/>
          <w:spacing w:val="0"/>
          <w:lang w:val="en-US"/>
        </w:rPr>
        <w:t xml:space="preserve">of the </w:t>
      </w:r>
      <w:r w:rsidRPr="00300A27">
        <w:rPr>
          <w:rFonts w:eastAsia="Times New Roman"/>
          <w:spacing w:val="0"/>
          <w:lang w:val="en-US"/>
        </w:rPr>
        <w:t xml:space="preserve">Ascope </w:t>
      </w:r>
      <w:r w:rsidR="00EA4EB3" w:rsidRPr="00300A27">
        <w:rPr>
          <w:rFonts w:eastAsia="Times New Roman"/>
          <w:spacing w:val="0"/>
          <w:lang w:val="en-US"/>
        </w:rPr>
        <w:t>Provincial Corporate Criminal</w:t>
      </w:r>
      <w:r w:rsidR="00910D8E" w:rsidRPr="00300A27">
        <w:rPr>
          <w:rFonts w:eastAsia="Times New Roman"/>
          <w:spacing w:val="0"/>
          <w:lang w:val="en-US"/>
        </w:rPr>
        <w:t xml:space="preserve"> Prosecut</w:t>
      </w:r>
      <w:r w:rsidRPr="00300A27">
        <w:rPr>
          <w:rFonts w:eastAsia="Times New Roman"/>
          <w:spacing w:val="0"/>
          <w:lang w:val="en-US"/>
        </w:rPr>
        <w:t>ion Service</w:t>
      </w:r>
      <w:r w:rsidR="00910D8E" w:rsidRPr="00300A27">
        <w:rPr>
          <w:rFonts w:eastAsia="Times New Roman"/>
          <w:spacing w:val="0"/>
          <w:lang w:val="en-US"/>
        </w:rPr>
        <w:t xml:space="preserve"> </w:t>
      </w:r>
      <w:r w:rsidRPr="00300A27">
        <w:rPr>
          <w:rFonts w:eastAsia="Times New Roman"/>
          <w:spacing w:val="0"/>
          <w:lang w:val="en-US"/>
        </w:rPr>
        <w:t>asked the Ascope</w:t>
      </w:r>
      <w:r w:rsidR="00707B6F" w:rsidRPr="00300A27">
        <w:rPr>
          <w:rFonts w:eastAsia="Times New Roman"/>
          <w:spacing w:val="0"/>
          <w:lang w:val="en-US"/>
        </w:rPr>
        <w:t xml:space="preserve"> judge of preliminary criminal investigations</w:t>
      </w:r>
      <w:r w:rsidRPr="00300A27">
        <w:rPr>
          <w:rFonts w:eastAsia="Times New Roman"/>
          <w:spacing w:val="0"/>
          <w:lang w:val="en-US"/>
        </w:rPr>
        <w:t xml:space="preserve"> to annul</w:t>
      </w:r>
      <w:r w:rsidR="00D53435" w:rsidRPr="00300A27">
        <w:rPr>
          <w:rFonts w:eastAsia="Times New Roman"/>
          <w:spacing w:val="0"/>
          <w:lang w:val="en-US"/>
        </w:rPr>
        <w:t xml:space="preserve"> </w:t>
      </w:r>
      <w:r w:rsidR="007E74BC" w:rsidRPr="00300A27">
        <w:rPr>
          <w:rFonts w:eastAsia="Times New Roman"/>
          <w:spacing w:val="0"/>
          <w:lang w:val="en-US"/>
        </w:rPr>
        <w:t xml:space="preserve">the actions in the proceedings underway against the three police officers for the offenses of rape </w:t>
      </w:r>
      <w:r w:rsidR="005B1C65" w:rsidRPr="00300A27">
        <w:rPr>
          <w:rFonts w:eastAsia="Times New Roman"/>
          <w:spacing w:val="0"/>
          <w:lang w:val="en-US"/>
        </w:rPr>
        <w:t xml:space="preserve">and </w:t>
      </w:r>
      <w:r w:rsidR="00FE2086" w:rsidRPr="00300A27">
        <w:rPr>
          <w:rFonts w:eastAsia="Times New Roman"/>
          <w:spacing w:val="0"/>
          <w:lang w:val="en-US"/>
        </w:rPr>
        <w:t>abuse of authority</w:t>
      </w:r>
      <w:r w:rsidR="00D53435" w:rsidRPr="00300A27">
        <w:rPr>
          <w:rFonts w:eastAsia="Times New Roman"/>
          <w:spacing w:val="0"/>
          <w:lang w:val="en-US"/>
        </w:rPr>
        <w:t xml:space="preserve"> </w:t>
      </w:r>
      <w:r w:rsidR="007E74BC" w:rsidRPr="00300A27">
        <w:rPr>
          <w:rFonts w:eastAsia="Times New Roman"/>
          <w:spacing w:val="0"/>
          <w:lang w:val="en-US"/>
        </w:rPr>
        <w:t>against</w:t>
      </w:r>
      <w:r w:rsidR="00D53435" w:rsidRPr="00300A27">
        <w:rPr>
          <w:rFonts w:eastAsia="Times New Roman"/>
          <w:spacing w:val="0"/>
          <w:lang w:val="en-US"/>
        </w:rPr>
        <w:t xml:space="preserve"> Azul Rojas Marín</w:t>
      </w:r>
      <w:r w:rsidR="007E74BC" w:rsidRPr="00300A27">
        <w:rPr>
          <w:rFonts w:eastAsia="Times New Roman"/>
          <w:spacing w:val="0"/>
          <w:lang w:val="en-US"/>
        </w:rPr>
        <w:t>.</w:t>
      </w:r>
      <w:r w:rsidR="00D53435" w:rsidRPr="00300A27">
        <w:rPr>
          <w:rStyle w:val="Refdenotaalpie"/>
          <w:spacing w:val="0"/>
          <w:lang w:val="en-US"/>
        </w:rPr>
        <w:footnoteReference w:id="112"/>
      </w:r>
      <w:r w:rsidR="00D53435" w:rsidRPr="00300A27">
        <w:rPr>
          <w:rFonts w:eastAsia="Times New Roman"/>
          <w:spacing w:val="0"/>
          <w:lang w:val="en-US"/>
        </w:rPr>
        <w:t xml:space="preserve"> </w:t>
      </w:r>
    </w:p>
    <w:p w14:paraId="27FBB604" w14:textId="3C74FBE4" w:rsidR="00D53435" w:rsidRPr="00300A27" w:rsidRDefault="007E74BC" w:rsidP="00B243B6">
      <w:pPr>
        <w:pStyle w:val="PrrafodeSentencia"/>
        <w:numPr>
          <w:ilvl w:val="0"/>
          <w:numId w:val="3"/>
        </w:numPr>
        <w:spacing w:before="120" w:after="120"/>
        <w:ind w:left="0" w:firstLine="0"/>
        <w:rPr>
          <w:spacing w:val="0"/>
          <w:lang w:val="en-US"/>
        </w:rPr>
      </w:pPr>
      <w:r w:rsidRPr="00300A27">
        <w:rPr>
          <w:spacing w:val="0"/>
          <w:lang w:val="en-US"/>
        </w:rPr>
        <w:t>On August 14,</w:t>
      </w:r>
      <w:r w:rsidR="00D53435" w:rsidRPr="00300A27">
        <w:rPr>
          <w:spacing w:val="0"/>
          <w:lang w:val="en-US"/>
        </w:rPr>
        <w:t xml:space="preserve"> 2019, </w:t>
      </w:r>
      <w:r w:rsidRPr="00300A27">
        <w:rPr>
          <w:lang w:val="en-US"/>
        </w:rPr>
        <w:t xml:space="preserve">the Ascope Preliminary Investigation Court </w:t>
      </w:r>
      <w:r w:rsidR="003D4171" w:rsidRPr="00300A27">
        <w:rPr>
          <w:lang w:val="en-US"/>
        </w:rPr>
        <w:t xml:space="preserve">decided to declare the request for annulment inadmissible, arguing that the case had become </w:t>
      </w:r>
      <w:r w:rsidR="003D4171" w:rsidRPr="00300A27">
        <w:rPr>
          <w:i/>
          <w:iCs/>
          <w:lang w:val="en-US"/>
        </w:rPr>
        <w:t>res judicata</w:t>
      </w:r>
      <w:r w:rsidR="003D4171" w:rsidRPr="00300A27">
        <w:rPr>
          <w:lang w:val="en-US"/>
        </w:rPr>
        <w:t xml:space="preserve"> because, according to Peruvian criminal procedural law it was not possible to file a remedy against the decision ordering the dismissal of proceedings, and</w:t>
      </w:r>
      <w:r w:rsidR="002F6624" w:rsidRPr="00300A27">
        <w:rPr>
          <w:lang w:val="en-US"/>
        </w:rPr>
        <w:t xml:space="preserve"> also</w:t>
      </w:r>
      <w:r w:rsidR="003D4171" w:rsidRPr="00300A27">
        <w:rPr>
          <w:lang w:val="en-US"/>
        </w:rPr>
        <w:t xml:space="preserve"> that the Commission’s recommendations did not have the same binding force as the decisions of the Court.</w:t>
      </w:r>
      <w:r w:rsidR="00F30564" w:rsidRPr="00300A27">
        <w:rPr>
          <w:lang w:val="en-US"/>
        </w:rPr>
        <w:t xml:space="preserve"> In this regard, that court indicated that “since neither </w:t>
      </w:r>
      <w:r w:rsidR="00F30564" w:rsidRPr="00300A27">
        <w:rPr>
          <w:spacing w:val="0"/>
          <w:lang w:val="en-US"/>
        </w:rPr>
        <w:t>the Inter-American Court of Human Rights nor the Peruvian State have issued a final ruling, the annulment shall be declared inadmissible.</w:t>
      </w:r>
      <w:r w:rsidR="00D53435" w:rsidRPr="00300A27">
        <w:rPr>
          <w:spacing w:val="0"/>
          <w:lang w:val="en-US"/>
        </w:rPr>
        <w:t>”</w:t>
      </w:r>
      <w:r w:rsidR="00D53435" w:rsidRPr="00300A27">
        <w:rPr>
          <w:rStyle w:val="Refdenotaalpie"/>
          <w:spacing w:val="0"/>
          <w:lang w:val="en-US"/>
        </w:rPr>
        <w:footnoteReference w:id="113"/>
      </w:r>
    </w:p>
    <w:p w14:paraId="7E827B09" w14:textId="7940587A" w:rsidR="00D53435" w:rsidRPr="00300A27" w:rsidRDefault="007E74BC" w:rsidP="00B243B6">
      <w:pPr>
        <w:pStyle w:val="PrrafodeSentencia"/>
        <w:numPr>
          <w:ilvl w:val="0"/>
          <w:numId w:val="3"/>
        </w:numPr>
        <w:spacing w:before="120" w:after="120"/>
        <w:ind w:left="0" w:firstLine="0"/>
        <w:rPr>
          <w:spacing w:val="0"/>
          <w:lang w:val="en-US"/>
        </w:rPr>
      </w:pPr>
      <w:r w:rsidRPr="00300A27">
        <w:rPr>
          <w:spacing w:val="0"/>
          <w:lang w:val="en-US"/>
        </w:rPr>
        <w:t xml:space="preserve">The </w:t>
      </w:r>
      <w:r w:rsidRPr="00300A27">
        <w:rPr>
          <w:rFonts w:eastAsia="Times New Roman"/>
          <w:lang w:val="en-US"/>
        </w:rPr>
        <w:t xml:space="preserve">Ascope </w:t>
      </w:r>
      <w:r w:rsidR="00EA4EB3" w:rsidRPr="00300A27">
        <w:rPr>
          <w:rFonts w:eastAsia="Times New Roman"/>
          <w:lang w:val="en-US"/>
        </w:rPr>
        <w:t>Provincial Corporate Criminal</w:t>
      </w:r>
      <w:r w:rsidRPr="00300A27">
        <w:rPr>
          <w:rFonts w:eastAsia="Times New Roman"/>
          <w:lang w:val="en-US"/>
        </w:rPr>
        <w:t xml:space="preserve"> Prosecution Service</w:t>
      </w:r>
      <w:r w:rsidR="00D53435" w:rsidRPr="00300A27">
        <w:rPr>
          <w:spacing w:val="0"/>
          <w:lang w:val="en-US"/>
        </w:rPr>
        <w:t xml:space="preserve"> </w:t>
      </w:r>
      <w:r w:rsidR="00F30564" w:rsidRPr="00300A27">
        <w:rPr>
          <w:spacing w:val="0"/>
          <w:lang w:val="en-US"/>
        </w:rPr>
        <w:t xml:space="preserve">filed a remedy of appeal, indicating that the State should make every effort to comply with the Commission’s recommendations and pointing out that the judge had ignored the fact that the Commission had indicated that the State “may not </w:t>
      </w:r>
      <w:r w:rsidR="00F253EF" w:rsidRPr="00300A27">
        <w:rPr>
          <w:spacing w:val="0"/>
          <w:lang w:val="en-US"/>
        </w:rPr>
        <w:t>argue</w:t>
      </w:r>
      <w:r w:rsidR="002F6624" w:rsidRPr="00300A27">
        <w:rPr>
          <w:spacing w:val="0"/>
          <w:lang w:val="en-US"/>
        </w:rPr>
        <w:t xml:space="preserve"> </w:t>
      </w:r>
      <w:r w:rsidR="00F253EF" w:rsidRPr="00300A27">
        <w:rPr>
          <w:spacing w:val="0"/>
          <w:lang w:val="en-US"/>
        </w:rPr>
        <w:t>that</w:t>
      </w:r>
      <w:r w:rsidR="00F30564" w:rsidRPr="00300A27">
        <w:rPr>
          <w:spacing w:val="0"/>
          <w:lang w:val="en-US"/>
        </w:rPr>
        <w:t xml:space="preserve"> the ruling </w:t>
      </w:r>
      <w:r w:rsidR="002F6624" w:rsidRPr="00300A27">
        <w:rPr>
          <w:spacing w:val="0"/>
          <w:lang w:val="en-US"/>
        </w:rPr>
        <w:t>dismissing</w:t>
      </w:r>
      <w:r w:rsidR="00F30564" w:rsidRPr="00300A27">
        <w:rPr>
          <w:spacing w:val="0"/>
          <w:lang w:val="en-US"/>
        </w:rPr>
        <w:t xml:space="preserve"> the case </w:t>
      </w:r>
      <w:r w:rsidR="00F253EF" w:rsidRPr="00300A27">
        <w:rPr>
          <w:spacing w:val="0"/>
          <w:lang w:val="en-US"/>
        </w:rPr>
        <w:t xml:space="preserve">was </w:t>
      </w:r>
      <w:r w:rsidR="002F6624" w:rsidRPr="00300A27">
        <w:rPr>
          <w:spacing w:val="0"/>
          <w:lang w:val="en-US"/>
        </w:rPr>
        <w:t>based on</w:t>
      </w:r>
      <w:r w:rsidR="00F30564" w:rsidRPr="00300A27">
        <w:rPr>
          <w:spacing w:val="0"/>
          <w:lang w:val="en-US"/>
        </w:rPr>
        <w:t xml:space="preserve"> the principle of </w:t>
      </w:r>
      <w:r w:rsidR="00F30564" w:rsidRPr="00300A27">
        <w:rPr>
          <w:i/>
          <w:iCs/>
          <w:spacing w:val="0"/>
          <w:lang w:val="en-US"/>
        </w:rPr>
        <w:t>ne bis in idem, res judicata</w:t>
      </w:r>
      <w:r w:rsidR="00F30564" w:rsidRPr="00300A27">
        <w:rPr>
          <w:spacing w:val="0"/>
          <w:lang w:val="en-US"/>
        </w:rPr>
        <w:t xml:space="preserve"> or the statute of limitations</w:t>
      </w:r>
      <w:r w:rsidR="002F6624" w:rsidRPr="00300A27">
        <w:rPr>
          <w:spacing w:val="0"/>
          <w:lang w:val="en-US"/>
        </w:rPr>
        <w:t xml:space="preserve"> in order</w:t>
      </w:r>
      <w:r w:rsidR="00F30564" w:rsidRPr="00300A27">
        <w:rPr>
          <w:spacing w:val="0"/>
          <w:lang w:val="en-US"/>
        </w:rPr>
        <w:t xml:space="preserve"> to justify its failure to comply with this recommendation.</w:t>
      </w:r>
      <w:r w:rsidR="00D53435" w:rsidRPr="00300A27">
        <w:rPr>
          <w:spacing w:val="0"/>
          <w:lang w:val="en-US"/>
        </w:rPr>
        <w:t>”</w:t>
      </w:r>
      <w:r w:rsidR="00D53435" w:rsidRPr="00300A27">
        <w:rPr>
          <w:rStyle w:val="Refdenotaalpie"/>
          <w:spacing w:val="0"/>
          <w:lang w:val="en-US"/>
        </w:rPr>
        <w:footnoteReference w:id="114"/>
      </w:r>
    </w:p>
    <w:p w14:paraId="482D5F63" w14:textId="446E041D" w:rsidR="00D53435" w:rsidRPr="00300A27" w:rsidRDefault="00F30564" w:rsidP="00B243B6">
      <w:pPr>
        <w:pStyle w:val="PrrafodeSentencia"/>
        <w:numPr>
          <w:ilvl w:val="0"/>
          <w:numId w:val="3"/>
        </w:numPr>
        <w:spacing w:before="120" w:after="120"/>
        <w:ind w:left="0" w:firstLine="0"/>
        <w:rPr>
          <w:spacing w:val="0"/>
          <w:lang w:val="en-US"/>
        </w:rPr>
      </w:pPr>
      <w:bookmarkStart w:id="73" w:name="_Ref35854700"/>
      <w:r w:rsidRPr="00300A27">
        <w:rPr>
          <w:spacing w:val="0"/>
          <w:lang w:val="en-US"/>
        </w:rPr>
        <w:t>On September 3,</w:t>
      </w:r>
      <w:r w:rsidR="00D53435" w:rsidRPr="00300A27">
        <w:rPr>
          <w:spacing w:val="0"/>
          <w:lang w:val="en-US"/>
        </w:rPr>
        <w:t xml:space="preserve"> 2019, </w:t>
      </w:r>
      <w:r w:rsidR="007E74BC" w:rsidRPr="00300A27">
        <w:rPr>
          <w:lang w:val="en-US"/>
        </w:rPr>
        <w:t xml:space="preserve">the Ascope Preliminary Investigation Court </w:t>
      </w:r>
      <w:r w:rsidRPr="00300A27">
        <w:rPr>
          <w:lang w:val="en-US"/>
        </w:rPr>
        <w:t xml:space="preserve">decided to declare the remedy of appeal inadmissible, considering that it did not meet the admissibility </w:t>
      </w:r>
      <w:r w:rsidR="00D53435" w:rsidRPr="00300A27">
        <w:rPr>
          <w:spacing w:val="0"/>
          <w:lang w:val="en-US"/>
        </w:rPr>
        <w:t>re</w:t>
      </w:r>
      <w:r w:rsidRPr="00300A27">
        <w:rPr>
          <w:spacing w:val="0"/>
          <w:lang w:val="en-US"/>
        </w:rPr>
        <w:t>quirements of Peruvian criminal procedural law.</w:t>
      </w:r>
      <w:r w:rsidR="00D53435" w:rsidRPr="00300A27">
        <w:rPr>
          <w:rStyle w:val="Refdenotaalpie"/>
          <w:spacing w:val="0"/>
          <w:lang w:val="en-US"/>
        </w:rPr>
        <w:footnoteReference w:id="115"/>
      </w:r>
      <w:bookmarkEnd w:id="73"/>
      <w:r w:rsidR="00D53435" w:rsidRPr="00300A27">
        <w:rPr>
          <w:spacing w:val="0"/>
          <w:lang w:val="en-US"/>
        </w:rPr>
        <w:t xml:space="preserve"> </w:t>
      </w:r>
    </w:p>
    <w:p w14:paraId="777C1072" w14:textId="2C968890" w:rsidR="00CA38A9" w:rsidRPr="00300A27" w:rsidRDefault="00CA38A9" w:rsidP="00B243B6">
      <w:pPr>
        <w:pStyle w:val="Ttulo1"/>
        <w:rPr>
          <w:lang w:val="en-US"/>
        </w:rPr>
      </w:pPr>
      <w:bookmarkStart w:id="74" w:name="_Toc32394156"/>
      <w:bookmarkStart w:id="75" w:name="_Toc36823471"/>
      <w:r w:rsidRPr="00300A27">
        <w:rPr>
          <w:lang w:val="en-US"/>
        </w:rPr>
        <w:t>VII</w:t>
      </w:r>
      <w:r w:rsidRPr="00300A27">
        <w:rPr>
          <w:lang w:val="en-US"/>
        </w:rPr>
        <w:br/>
      </w:r>
      <w:r w:rsidR="002959DE" w:rsidRPr="00300A27">
        <w:rPr>
          <w:lang w:val="en-US"/>
        </w:rPr>
        <w:t>MERITS</w:t>
      </w:r>
      <w:bookmarkEnd w:id="74"/>
      <w:bookmarkEnd w:id="75"/>
    </w:p>
    <w:p w14:paraId="4A3AF679" w14:textId="6EB9416B" w:rsidR="0050149B" w:rsidRPr="00300A27" w:rsidRDefault="00F30564" w:rsidP="00B243B6">
      <w:pPr>
        <w:pStyle w:val="PrrafodeSentencia"/>
        <w:numPr>
          <w:ilvl w:val="0"/>
          <w:numId w:val="3"/>
        </w:numPr>
        <w:spacing w:before="120" w:after="120"/>
        <w:ind w:left="0" w:firstLine="0"/>
        <w:rPr>
          <w:spacing w:val="0"/>
          <w:lang w:val="en-US"/>
        </w:rPr>
      </w:pPr>
      <w:r w:rsidRPr="00300A27">
        <w:rPr>
          <w:spacing w:val="0"/>
          <w:lang w:val="en-US"/>
        </w:rPr>
        <w:t xml:space="preserve">This case </w:t>
      </w:r>
      <w:r w:rsidR="00C3087E" w:rsidRPr="00300A27">
        <w:rPr>
          <w:spacing w:val="0"/>
          <w:lang w:val="en-US"/>
        </w:rPr>
        <w:t>relates</w:t>
      </w:r>
      <w:r w:rsidRPr="00300A27">
        <w:rPr>
          <w:spacing w:val="0"/>
          <w:lang w:val="en-US"/>
        </w:rPr>
        <w:t xml:space="preserve"> to the alleged unlawful, arbitrary and discriminatory deprivation of liberty of </w:t>
      </w:r>
      <w:r w:rsidR="0050149B" w:rsidRPr="00300A27">
        <w:rPr>
          <w:spacing w:val="0"/>
          <w:lang w:val="en-US"/>
        </w:rPr>
        <w:t xml:space="preserve">Rojas Marín </w:t>
      </w:r>
      <w:r w:rsidR="00910D8E" w:rsidRPr="00300A27">
        <w:rPr>
          <w:spacing w:val="0"/>
          <w:lang w:val="en-US"/>
        </w:rPr>
        <w:t>on February 25,</w:t>
      </w:r>
      <w:r w:rsidR="0050149B" w:rsidRPr="00300A27">
        <w:rPr>
          <w:spacing w:val="0"/>
          <w:lang w:val="en-US"/>
        </w:rPr>
        <w:t xml:space="preserve"> 2008</w:t>
      </w:r>
      <w:r w:rsidRPr="00300A27">
        <w:rPr>
          <w:spacing w:val="0"/>
          <w:lang w:val="en-US"/>
        </w:rPr>
        <w:t xml:space="preserve">, owing to her sexual orientation or gender expression, as well as the alleged rape </w:t>
      </w:r>
      <w:r w:rsidR="005319AF" w:rsidRPr="00300A27">
        <w:rPr>
          <w:spacing w:val="0"/>
          <w:lang w:val="en-US"/>
        </w:rPr>
        <w:t>of which</w:t>
      </w:r>
      <w:r w:rsidRPr="00300A27">
        <w:rPr>
          <w:spacing w:val="0"/>
          <w:lang w:val="en-US"/>
        </w:rPr>
        <w:t xml:space="preserve"> she was a victim while she was detained. The </w:t>
      </w:r>
      <w:r w:rsidR="00C3087E" w:rsidRPr="00300A27">
        <w:rPr>
          <w:spacing w:val="0"/>
          <w:lang w:val="en-US"/>
        </w:rPr>
        <w:t>case</w:t>
      </w:r>
      <w:r w:rsidRPr="00300A27">
        <w:rPr>
          <w:spacing w:val="0"/>
          <w:lang w:val="en-US"/>
        </w:rPr>
        <w:t xml:space="preserve"> is also related to the inadequate investigation of the </w:t>
      </w:r>
      <w:r w:rsidR="005319AF" w:rsidRPr="00300A27">
        <w:rPr>
          <w:spacing w:val="0"/>
          <w:lang w:val="en-US"/>
        </w:rPr>
        <w:t>incident</w:t>
      </w:r>
      <w:r w:rsidRPr="00300A27">
        <w:rPr>
          <w:spacing w:val="0"/>
          <w:lang w:val="en-US"/>
        </w:rPr>
        <w:t xml:space="preserve"> and the violation of the right to personal integrity </w:t>
      </w:r>
      <w:r w:rsidR="005319AF" w:rsidRPr="00300A27">
        <w:rPr>
          <w:spacing w:val="0"/>
          <w:lang w:val="en-US"/>
        </w:rPr>
        <w:t xml:space="preserve">of </w:t>
      </w:r>
      <w:r w:rsidRPr="00300A27">
        <w:rPr>
          <w:spacing w:val="0"/>
          <w:szCs w:val="20"/>
          <w:lang w:val="en-US"/>
        </w:rPr>
        <w:t>Azul Rojas Marín’s mother</w:t>
      </w:r>
      <w:r w:rsidRPr="00300A27">
        <w:rPr>
          <w:spacing w:val="0"/>
          <w:lang w:val="en-US"/>
        </w:rPr>
        <w:t xml:space="preserve">, </w:t>
      </w:r>
      <w:r w:rsidR="0050149B" w:rsidRPr="00300A27">
        <w:rPr>
          <w:spacing w:val="0"/>
          <w:szCs w:val="20"/>
          <w:lang w:val="en-US"/>
        </w:rPr>
        <w:t>Juan</w:t>
      </w:r>
      <w:r w:rsidRPr="00300A27">
        <w:rPr>
          <w:spacing w:val="0"/>
          <w:szCs w:val="20"/>
          <w:lang w:val="en-US"/>
        </w:rPr>
        <w:t>a</w:t>
      </w:r>
      <w:r w:rsidR="0050149B" w:rsidRPr="00300A27">
        <w:rPr>
          <w:spacing w:val="0"/>
          <w:szCs w:val="20"/>
          <w:lang w:val="en-US"/>
        </w:rPr>
        <w:t xml:space="preserve"> Rosa Tanta Marín</w:t>
      </w:r>
      <w:r w:rsidR="005319AF" w:rsidRPr="00300A27">
        <w:rPr>
          <w:spacing w:val="0"/>
          <w:szCs w:val="20"/>
          <w:lang w:val="en-US"/>
        </w:rPr>
        <w:t>, as a result of the said events</w:t>
      </w:r>
      <w:r w:rsidR="0050149B" w:rsidRPr="00300A27">
        <w:rPr>
          <w:spacing w:val="0"/>
          <w:szCs w:val="20"/>
          <w:lang w:val="en-US"/>
        </w:rPr>
        <w:t xml:space="preserve">.  </w:t>
      </w:r>
    </w:p>
    <w:p w14:paraId="6D8FE7F0" w14:textId="31654C7B" w:rsidR="00CA38A9" w:rsidRPr="00300A27" w:rsidRDefault="00F30564" w:rsidP="00B243B6">
      <w:pPr>
        <w:pStyle w:val="PrrafodeSentencia"/>
        <w:numPr>
          <w:ilvl w:val="0"/>
          <w:numId w:val="3"/>
        </w:numPr>
        <w:spacing w:before="120" w:after="120"/>
        <w:ind w:left="0" w:firstLine="0"/>
        <w:rPr>
          <w:b/>
          <w:spacing w:val="0"/>
          <w:lang w:val="en-US"/>
        </w:rPr>
      </w:pPr>
      <w:r w:rsidRPr="00300A27">
        <w:rPr>
          <w:spacing w:val="0"/>
          <w:lang w:val="en-US"/>
        </w:rPr>
        <w:t>On the basis of the a</w:t>
      </w:r>
      <w:r w:rsidR="00FD36FD" w:rsidRPr="00300A27">
        <w:rPr>
          <w:spacing w:val="0"/>
          <w:lang w:val="en-US"/>
        </w:rPr>
        <w:t xml:space="preserve">rguments </w:t>
      </w:r>
      <w:r w:rsidR="005319AF" w:rsidRPr="00300A27">
        <w:rPr>
          <w:spacing w:val="0"/>
          <w:lang w:val="en-US"/>
        </w:rPr>
        <w:t>submitted by</w:t>
      </w:r>
      <w:r w:rsidR="00FD36FD" w:rsidRPr="00300A27">
        <w:rPr>
          <w:spacing w:val="0"/>
          <w:lang w:val="en-US"/>
        </w:rPr>
        <w:t xml:space="preserve"> the </w:t>
      </w:r>
      <w:r w:rsidR="00DE1419" w:rsidRPr="00300A27">
        <w:rPr>
          <w:spacing w:val="0"/>
          <w:lang w:val="en-US"/>
        </w:rPr>
        <w:t xml:space="preserve">parties and the </w:t>
      </w:r>
      <w:r w:rsidR="00C3087E" w:rsidRPr="00300A27">
        <w:rPr>
          <w:spacing w:val="0"/>
          <w:lang w:val="en-US"/>
        </w:rPr>
        <w:t>Commission</w:t>
      </w:r>
      <w:r w:rsidR="00CA38A9" w:rsidRPr="00300A27">
        <w:rPr>
          <w:spacing w:val="0"/>
          <w:lang w:val="en-US"/>
        </w:rPr>
        <w:t xml:space="preserve"> </w:t>
      </w:r>
      <w:r w:rsidRPr="00300A27">
        <w:rPr>
          <w:spacing w:val="0"/>
          <w:lang w:val="en-US"/>
        </w:rPr>
        <w:t xml:space="preserve">in this case, the Court will </w:t>
      </w:r>
      <w:r w:rsidR="005319AF" w:rsidRPr="00300A27">
        <w:rPr>
          <w:spacing w:val="0"/>
          <w:lang w:val="en-US"/>
        </w:rPr>
        <w:t>develop</w:t>
      </w:r>
      <w:r w:rsidRPr="00300A27">
        <w:rPr>
          <w:spacing w:val="0"/>
          <w:lang w:val="en-US"/>
        </w:rPr>
        <w:t xml:space="preserve">: </w:t>
      </w:r>
      <w:r w:rsidR="00F32FEC" w:rsidRPr="00300A27">
        <w:rPr>
          <w:spacing w:val="0"/>
          <w:lang w:val="en-US"/>
        </w:rPr>
        <w:t xml:space="preserve">(1) </w:t>
      </w:r>
      <w:r w:rsidRPr="00300A27">
        <w:rPr>
          <w:spacing w:val="0"/>
          <w:lang w:val="en-US"/>
        </w:rPr>
        <w:t xml:space="preserve">general </w:t>
      </w:r>
      <w:r w:rsidR="009B35A1" w:rsidRPr="00300A27">
        <w:rPr>
          <w:spacing w:val="0"/>
          <w:lang w:val="en-US"/>
        </w:rPr>
        <w:t>considerations</w:t>
      </w:r>
      <w:r w:rsidR="00F32FEC" w:rsidRPr="00300A27">
        <w:rPr>
          <w:spacing w:val="0"/>
          <w:lang w:val="en-US"/>
        </w:rPr>
        <w:t xml:space="preserve"> </w:t>
      </w:r>
      <w:r w:rsidRPr="00300A27">
        <w:rPr>
          <w:spacing w:val="0"/>
          <w:lang w:val="en-US"/>
        </w:rPr>
        <w:t xml:space="preserve">on the right to equality and non-discrimination, and will examine, (2) the right to personal liberty; (3) the right to personal integrity and privacy; (4) </w:t>
      </w:r>
      <w:r w:rsidR="00D939AE" w:rsidRPr="00300A27">
        <w:rPr>
          <w:spacing w:val="0"/>
          <w:lang w:val="en-US"/>
        </w:rPr>
        <w:t>the right to</w:t>
      </w:r>
      <w:r w:rsidR="00D939AE" w:rsidRPr="00300A27">
        <w:rPr>
          <w:b/>
          <w:spacing w:val="0"/>
          <w:lang w:val="en-US"/>
        </w:rPr>
        <w:t xml:space="preserve"> </w:t>
      </w:r>
      <w:r w:rsidR="00D939AE" w:rsidRPr="00300A27">
        <w:rPr>
          <w:spacing w:val="0"/>
          <w:lang w:val="en-US"/>
        </w:rPr>
        <w:t>judicial protection</w:t>
      </w:r>
      <w:r w:rsidR="005B1C65" w:rsidRPr="00300A27">
        <w:rPr>
          <w:spacing w:val="0"/>
          <w:lang w:val="en-US"/>
        </w:rPr>
        <w:t xml:space="preserve"> and </w:t>
      </w:r>
      <w:r w:rsidR="00D939AE" w:rsidRPr="00300A27">
        <w:rPr>
          <w:spacing w:val="0"/>
          <w:lang w:val="en-US"/>
        </w:rPr>
        <w:t>judicial guarantees</w:t>
      </w:r>
      <w:r w:rsidR="00CA38A9" w:rsidRPr="00300A27">
        <w:rPr>
          <w:spacing w:val="0"/>
          <w:lang w:val="en-US"/>
        </w:rPr>
        <w:t>,</w:t>
      </w:r>
      <w:r w:rsidR="005B1C65" w:rsidRPr="00300A27">
        <w:rPr>
          <w:spacing w:val="0"/>
          <w:lang w:val="en-US"/>
        </w:rPr>
        <w:t xml:space="preserve"> and </w:t>
      </w:r>
      <w:r w:rsidR="00CA38A9" w:rsidRPr="00300A27">
        <w:rPr>
          <w:spacing w:val="0"/>
          <w:lang w:val="en-US"/>
        </w:rPr>
        <w:t>(</w:t>
      </w:r>
      <w:r w:rsidR="008E4AA0" w:rsidRPr="00300A27">
        <w:rPr>
          <w:spacing w:val="0"/>
          <w:lang w:val="en-US"/>
        </w:rPr>
        <w:t>5</w:t>
      </w:r>
      <w:r w:rsidR="00CA38A9" w:rsidRPr="00300A27">
        <w:rPr>
          <w:spacing w:val="0"/>
          <w:lang w:val="en-US"/>
        </w:rPr>
        <w:t xml:space="preserve">) </w:t>
      </w:r>
      <w:r w:rsidR="00D939AE" w:rsidRPr="00300A27">
        <w:rPr>
          <w:spacing w:val="0"/>
          <w:lang w:val="en-US"/>
        </w:rPr>
        <w:t>the right to personal integrity</w:t>
      </w:r>
      <w:r w:rsidR="00CA38A9" w:rsidRPr="00300A27">
        <w:rPr>
          <w:spacing w:val="0"/>
          <w:lang w:val="en-US"/>
        </w:rPr>
        <w:t xml:space="preserve"> </w:t>
      </w:r>
      <w:r w:rsidR="00D939AE" w:rsidRPr="00300A27">
        <w:rPr>
          <w:spacing w:val="0"/>
          <w:lang w:val="en-US"/>
        </w:rPr>
        <w:t>of</w:t>
      </w:r>
      <w:r w:rsidR="00CA38A9" w:rsidRPr="00300A27">
        <w:rPr>
          <w:spacing w:val="0"/>
          <w:lang w:val="en-US"/>
        </w:rPr>
        <w:t xml:space="preserve"> </w:t>
      </w:r>
      <w:r w:rsidR="008546E9" w:rsidRPr="00300A27">
        <w:rPr>
          <w:spacing w:val="0"/>
          <w:lang w:val="en-US"/>
        </w:rPr>
        <w:t>Ms. Rojas</w:t>
      </w:r>
      <w:r w:rsidR="00CA38A9" w:rsidRPr="00300A27">
        <w:rPr>
          <w:spacing w:val="0"/>
          <w:lang w:val="en-US"/>
        </w:rPr>
        <w:t xml:space="preserve"> Marín</w:t>
      </w:r>
      <w:r w:rsidR="00D939AE" w:rsidRPr="00300A27">
        <w:rPr>
          <w:spacing w:val="0"/>
          <w:lang w:val="en-US"/>
        </w:rPr>
        <w:t>’s mother</w:t>
      </w:r>
      <w:r w:rsidR="00CA38A9" w:rsidRPr="00300A27">
        <w:rPr>
          <w:spacing w:val="0"/>
          <w:lang w:val="en-US"/>
        </w:rPr>
        <w:t xml:space="preserve">. </w:t>
      </w:r>
    </w:p>
    <w:p w14:paraId="194FDEF3" w14:textId="540F1D09" w:rsidR="00CB4358" w:rsidRPr="00300A27" w:rsidRDefault="008E4AA0" w:rsidP="00B243B6">
      <w:pPr>
        <w:pStyle w:val="Ttulo1"/>
        <w:rPr>
          <w:lang w:val="en-US"/>
        </w:rPr>
      </w:pPr>
      <w:bookmarkStart w:id="76" w:name="_Toc36823472"/>
      <w:r w:rsidRPr="00300A27">
        <w:rPr>
          <w:lang w:val="en-US"/>
        </w:rPr>
        <w:t>VII-1</w:t>
      </w:r>
      <w:r w:rsidRPr="00300A27">
        <w:rPr>
          <w:lang w:val="en-US"/>
        </w:rPr>
        <w:br/>
      </w:r>
      <w:r w:rsidR="002959DE" w:rsidRPr="00300A27">
        <w:rPr>
          <w:lang w:val="en-US"/>
        </w:rPr>
        <w:t xml:space="preserve">GENERAL CONSIDERATIONS ON THE RIGHT TO EQUALITY </w:t>
      </w:r>
      <w:r w:rsidR="002C7D9D" w:rsidRPr="00300A27">
        <w:rPr>
          <w:rStyle w:val="Refdenotaalpie"/>
          <w:lang w:val="en-US"/>
        </w:rPr>
        <w:footnoteReference w:id="116"/>
      </w:r>
      <w:bookmarkEnd w:id="76"/>
      <w:r w:rsidR="00CB4358" w:rsidRPr="00300A27">
        <w:rPr>
          <w:lang w:val="en-US"/>
        </w:rPr>
        <w:t xml:space="preserve"> </w:t>
      </w:r>
    </w:p>
    <w:p w14:paraId="33EAD8CD" w14:textId="59E0C400" w:rsidR="008E4AA0" w:rsidRPr="00300A27" w:rsidRDefault="002959DE" w:rsidP="00B243B6">
      <w:pPr>
        <w:pStyle w:val="Ttulo1"/>
        <w:rPr>
          <w:lang w:val="en-US"/>
        </w:rPr>
      </w:pPr>
      <w:bookmarkStart w:id="77" w:name="_Toc36823473"/>
      <w:r w:rsidRPr="00300A27">
        <w:rPr>
          <w:lang w:val="en-US"/>
        </w:rPr>
        <w:t>AND NON-DISCRIMINATION</w:t>
      </w:r>
      <w:r w:rsidR="002C7D9D" w:rsidRPr="00300A27">
        <w:rPr>
          <w:rStyle w:val="Refdenotaalpie"/>
          <w:lang w:val="en-US"/>
        </w:rPr>
        <w:footnoteReference w:id="117"/>
      </w:r>
      <w:bookmarkEnd w:id="77"/>
    </w:p>
    <w:p w14:paraId="72AC899E" w14:textId="64A5B612" w:rsidR="008E4AA0" w:rsidRPr="00300A27" w:rsidRDefault="00FD36FD" w:rsidP="00B243B6">
      <w:pPr>
        <w:pStyle w:val="Ttulo2"/>
        <w:numPr>
          <w:ilvl w:val="0"/>
          <w:numId w:val="37"/>
        </w:numPr>
        <w:ind w:left="1134" w:hanging="567"/>
        <w:rPr>
          <w:lang w:val="en-US"/>
        </w:rPr>
      </w:pPr>
      <w:bookmarkStart w:id="78" w:name="_Toc36823474"/>
      <w:r w:rsidRPr="00300A27">
        <w:rPr>
          <w:lang w:val="en-US"/>
        </w:rPr>
        <w:t xml:space="preserve">Arguments of the </w:t>
      </w:r>
      <w:r w:rsidR="00DE1419" w:rsidRPr="00300A27">
        <w:rPr>
          <w:lang w:val="en-US"/>
        </w:rPr>
        <w:t xml:space="preserve">parties and of the </w:t>
      </w:r>
      <w:bookmarkEnd w:id="78"/>
      <w:r w:rsidR="00C3087E" w:rsidRPr="00300A27">
        <w:rPr>
          <w:lang w:val="en-US"/>
        </w:rPr>
        <w:t>Commission</w:t>
      </w:r>
    </w:p>
    <w:p w14:paraId="47D7F366" w14:textId="7F001189" w:rsidR="00D939AE" w:rsidRPr="00300A27" w:rsidRDefault="00C2001D" w:rsidP="00B243B6">
      <w:pPr>
        <w:pStyle w:val="PrrafodeSentencia"/>
        <w:numPr>
          <w:ilvl w:val="0"/>
          <w:numId w:val="3"/>
        </w:numPr>
        <w:spacing w:before="120" w:after="120"/>
        <w:ind w:left="0" w:firstLine="0"/>
        <w:rPr>
          <w:rFonts w:cs="Arial"/>
          <w:b/>
          <w:spacing w:val="0"/>
          <w:lang w:val="en-US"/>
        </w:rPr>
      </w:pPr>
      <w:r w:rsidRPr="00300A27">
        <w:rPr>
          <w:rFonts w:eastAsia="Calibri" w:cs="Times New Roman"/>
          <w:bCs/>
          <w:spacing w:val="0"/>
          <w:szCs w:val="20"/>
          <w:lang w:val="en-US"/>
        </w:rPr>
        <w:t xml:space="preserve">The </w:t>
      </w:r>
      <w:r w:rsidRPr="00300A27">
        <w:rPr>
          <w:rFonts w:eastAsia="Calibri" w:cs="Times New Roman"/>
          <w:b/>
          <w:i/>
          <w:iCs/>
          <w:spacing w:val="0"/>
          <w:szCs w:val="20"/>
          <w:lang w:val="en-US"/>
        </w:rPr>
        <w:t>Commission</w:t>
      </w:r>
      <w:r w:rsidR="001F7D87" w:rsidRPr="00300A27">
        <w:rPr>
          <w:rFonts w:eastAsia="Calibri" w:cs="Times New Roman"/>
          <w:bCs/>
          <w:spacing w:val="0"/>
          <w:szCs w:val="20"/>
          <w:lang w:val="en-US"/>
        </w:rPr>
        <w:t xml:space="preserve"> </w:t>
      </w:r>
      <w:r w:rsidR="00D939AE" w:rsidRPr="00300A27">
        <w:rPr>
          <w:rFonts w:eastAsia="Calibri" w:cs="Times New Roman"/>
          <w:bCs/>
          <w:spacing w:val="0"/>
          <w:szCs w:val="20"/>
          <w:lang w:val="en-US"/>
        </w:rPr>
        <w:t xml:space="preserve">argued that what happened to </w:t>
      </w:r>
      <w:r w:rsidR="001F7D87" w:rsidRPr="00300A27">
        <w:rPr>
          <w:rFonts w:eastAsia="Calibri" w:cs="Times New Roman"/>
          <w:bCs/>
          <w:spacing w:val="0"/>
          <w:szCs w:val="20"/>
          <w:lang w:val="en-US"/>
        </w:rPr>
        <w:t>Azul Rojas Marín “</w:t>
      </w:r>
      <w:r w:rsidR="00D939AE" w:rsidRPr="00300A27">
        <w:rPr>
          <w:rFonts w:eastAsia="Calibri" w:cs="Times New Roman"/>
          <w:bCs/>
          <w:spacing w:val="0"/>
          <w:szCs w:val="20"/>
          <w:lang w:val="en-US"/>
        </w:rPr>
        <w:t>should be understood as violence based on prejudice,” “because th</w:t>
      </w:r>
      <w:r w:rsidR="004806C0" w:rsidRPr="00300A27">
        <w:rPr>
          <w:rFonts w:eastAsia="Calibri" w:cs="Times New Roman"/>
          <w:bCs/>
          <w:spacing w:val="0"/>
          <w:szCs w:val="20"/>
          <w:lang w:val="en-US"/>
        </w:rPr>
        <w:t>e</w:t>
      </w:r>
      <w:r w:rsidR="00D939AE" w:rsidRPr="00300A27">
        <w:rPr>
          <w:rFonts w:eastAsia="Calibri" w:cs="Times New Roman"/>
          <w:bCs/>
          <w:spacing w:val="0"/>
          <w:szCs w:val="20"/>
          <w:lang w:val="en-US"/>
        </w:rPr>
        <w:t xml:space="preserve"> violence was associated with the perception of Azul Rojas Marín</w:t>
      </w:r>
      <w:r w:rsidR="004806C0" w:rsidRPr="00300A27">
        <w:rPr>
          <w:rFonts w:eastAsia="Calibri" w:cs="Times New Roman"/>
          <w:bCs/>
          <w:spacing w:val="0"/>
          <w:szCs w:val="20"/>
          <w:lang w:val="en-US"/>
        </w:rPr>
        <w:t xml:space="preserve"> as a gay man</w:t>
      </w:r>
      <w:r w:rsidR="00D939AE" w:rsidRPr="00300A27">
        <w:rPr>
          <w:rFonts w:eastAsia="Calibri" w:cs="Times New Roman"/>
          <w:bCs/>
          <w:spacing w:val="0"/>
          <w:szCs w:val="20"/>
          <w:lang w:val="en-US"/>
        </w:rPr>
        <w:t xml:space="preserve"> at that time.” It indicated that the elements of violence based on prejudice </w:t>
      </w:r>
      <w:r w:rsidR="004806C0" w:rsidRPr="00300A27">
        <w:rPr>
          <w:rFonts w:eastAsia="Calibri" w:cs="Times New Roman"/>
          <w:bCs/>
          <w:spacing w:val="0"/>
          <w:szCs w:val="20"/>
          <w:lang w:val="en-US"/>
        </w:rPr>
        <w:t>could be</w:t>
      </w:r>
      <w:r w:rsidR="00D939AE" w:rsidRPr="00300A27">
        <w:rPr>
          <w:rFonts w:eastAsia="Calibri" w:cs="Times New Roman"/>
          <w:bCs/>
          <w:spacing w:val="0"/>
          <w:szCs w:val="20"/>
          <w:lang w:val="en-US"/>
        </w:rPr>
        <w:t xml:space="preserve"> identified at three key moments: “(i) in the initial detention; (ii) in the acts that took place in the Casa Grande Police Station, and (iii) in the absence of an effective investigation.” </w:t>
      </w:r>
      <w:r w:rsidR="004806C0" w:rsidRPr="00300A27">
        <w:rPr>
          <w:rFonts w:eastAsia="Calibri" w:cs="Times New Roman"/>
          <w:bCs/>
          <w:spacing w:val="0"/>
          <w:szCs w:val="20"/>
          <w:lang w:val="en-US"/>
        </w:rPr>
        <w:t>With regard to</w:t>
      </w:r>
      <w:r w:rsidR="00D939AE" w:rsidRPr="00300A27">
        <w:rPr>
          <w:rFonts w:eastAsia="Calibri" w:cs="Times New Roman"/>
          <w:bCs/>
          <w:spacing w:val="0"/>
          <w:szCs w:val="20"/>
          <w:lang w:val="en-US"/>
        </w:rPr>
        <w:t xml:space="preserve"> the initial moment, the Commission stressed that “there were no objective facts that </w:t>
      </w:r>
      <w:r w:rsidR="004806C0" w:rsidRPr="00300A27">
        <w:rPr>
          <w:rFonts w:eastAsia="Calibri" w:cs="Times New Roman"/>
          <w:bCs/>
          <w:spacing w:val="0"/>
          <w:szCs w:val="20"/>
          <w:lang w:val="en-US"/>
        </w:rPr>
        <w:t xml:space="preserve">justified </w:t>
      </w:r>
      <w:r w:rsidR="00D939AE" w:rsidRPr="00300A27">
        <w:rPr>
          <w:rFonts w:eastAsia="Calibri" w:cs="Times New Roman"/>
          <w:bCs/>
          <w:spacing w:val="0"/>
          <w:szCs w:val="20"/>
          <w:lang w:val="en-US"/>
        </w:rPr>
        <w:t xml:space="preserve">the detention; rather, this was based on subjective perceptions.” </w:t>
      </w:r>
      <w:r w:rsidR="004806C0" w:rsidRPr="00300A27">
        <w:rPr>
          <w:rFonts w:eastAsia="Calibri" w:cs="Times New Roman"/>
          <w:bCs/>
          <w:spacing w:val="0"/>
          <w:szCs w:val="20"/>
          <w:lang w:val="en-US"/>
        </w:rPr>
        <w:t>Regarding</w:t>
      </w:r>
      <w:r w:rsidR="00D939AE" w:rsidRPr="00300A27">
        <w:rPr>
          <w:rFonts w:eastAsia="Calibri" w:cs="Times New Roman"/>
          <w:bCs/>
          <w:spacing w:val="0"/>
          <w:szCs w:val="20"/>
          <w:lang w:val="en-US"/>
        </w:rPr>
        <w:t xml:space="preserve"> the second and third moment, the Commission indicated that “the decision to dismiss the case based on the </w:t>
      </w:r>
      <w:r w:rsidR="004806C0" w:rsidRPr="00300A27">
        <w:rPr>
          <w:rFonts w:eastAsia="Calibri" w:cs="Times New Roman"/>
          <w:bCs/>
          <w:spacing w:val="0"/>
          <w:szCs w:val="20"/>
          <w:lang w:val="en-US"/>
        </w:rPr>
        <w:t>offense</w:t>
      </w:r>
      <w:r w:rsidR="00D939AE" w:rsidRPr="00300A27">
        <w:rPr>
          <w:rFonts w:eastAsia="Calibri" w:cs="Times New Roman"/>
          <w:bCs/>
          <w:spacing w:val="0"/>
          <w:szCs w:val="20"/>
          <w:lang w:val="en-US"/>
        </w:rPr>
        <w:t xml:space="preserve"> of rape and abuse of authority</w:t>
      </w:r>
      <w:r w:rsidR="00CA26C9" w:rsidRPr="00300A27">
        <w:rPr>
          <w:rFonts w:eastAsia="Calibri" w:cs="Times New Roman"/>
          <w:bCs/>
          <w:spacing w:val="0"/>
          <w:szCs w:val="20"/>
          <w:lang w:val="en-US"/>
        </w:rPr>
        <w:t xml:space="preserve"> </w:t>
      </w:r>
      <w:r w:rsidR="004806C0" w:rsidRPr="00300A27">
        <w:rPr>
          <w:rFonts w:eastAsia="Calibri" w:cs="Times New Roman"/>
          <w:bCs/>
          <w:spacing w:val="0"/>
          <w:szCs w:val="20"/>
          <w:lang w:val="en-US"/>
        </w:rPr>
        <w:t xml:space="preserve">contests </w:t>
      </w:r>
      <w:r w:rsidR="00CA26C9" w:rsidRPr="00300A27">
        <w:rPr>
          <w:rFonts w:eastAsia="Calibri" w:cs="Times New Roman"/>
          <w:bCs/>
          <w:spacing w:val="0"/>
          <w:szCs w:val="20"/>
          <w:lang w:val="en-US"/>
        </w:rPr>
        <w:t xml:space="preserve">the occurrence of rape and its attribution to the police agents, based on two </w:t>
      </w:r>
      <w:r w:rsidR="004806C0" w:rsidRPr="00300A27">
        <w:rPr>
          <w:rFonts w:eastAsia="Calibri" w:cs="Times New Roman"/>
          <w:bCs/>
          <w:spacing w:val="0"/>
          <w:szCs w:val="20"/>
          <w:lang w:val="en-US"/>
        </w:rPr>
        <w:t>factors</w:t>
      </w:r>
      <w:r w:rsidR="00CA26C9" w:rsidRPr="00300A27">
        <w:rPr>
          <w:rFonts w:eastAsia="Calibri" w:cs="Times New Roman"/>
          <w:bCs/>
          <w:spacing w:val="0"/>
          <w:szCs w:val="20"/>
          <w:lang w:val="en-US"/>
        </w:rPr>
        <w:t xml:space="preserve"> […]; (i) supposed inconsistencies in the victim’s statements,” and “(ii) the lack of procedural immediacy in the medical examination performed on Azul,” concluding that “the evidence available in the case file reveals that the delay can be directly attributed to the State.”</w:t>
      </w:r>
    </w:p>
    <w:p w14:paraId="450D137D" w14:textId="78EBEB0F" w:rsidR="001F7D87" w:rsidRPr="00300A27" w:rsidRDefault="00BA3C7F" w:rsidP="00B243B6">
      <w:pPr>
        <w:pStyle w:val="PrrafodeSentencia"/>
        <w:numPr>
          <w:ilvl w:val="0"/>
          <w:numId w:val="3"/>
        </w:numPr>
        <w:spacing w:before="120" w:after="120"/>
        <w:ind w:left="0" w:firstLine="0"/>
        <w:rPr>
          <w:spacing w:val="0"/>
          <w:lang w:val="en-US"/>
        </w:rPr>
      </w:pPr>
      <w:r w:rsidRPr="00300A27">
        <w:rPr>
          <w:spacing w:val="0"/>
          <w:lang w:val="en-US"/>
        </w:rPr>
        <w:t xml:space="preserve">The </w:t>
      </w:r>
      <w:r w:rsidRPr="00300A27">
        <w:rPr>
          <w:b/>
          <w:bCs/>
          <w:i/>
          <w:iCs/>
          <w:spacing w:val="0"/>
          <w:lang w:val="en-US"/>
        </w:rPr>
        <w:t>representatives</w:t>
      </w:r>
      <w:r w:rsidR="00396C1A" w:rsidRPr="00300A27">
        <w:rPr>
          <w:spacing w:val="0"/>
          <w:lang w:val="en-US"/>
        </w:rPr>
        <w:t xml:space="preserve"> </w:t>
      </w:r>
      <w:r w:rsidR="00CA26C9" w:rsidRPr="00300A27">
        <w:rPr>
          <w:spacing w:val="0"/>
          <w:lang w:val="en-US"/>
        </w:rPr>
        <w:t>indicated that</w:t>
      </w:r>
      <w:r w:rsidR="00CA38A9" w:rsidRPr="00300A27">
        <w:rPr>
          <w:spacing w:val="0"/>
          <w:lang w:val="en-US"/>
        </w:rPr>
        <w:t xml:space="preserve"> “</w:t>
      </w:r>
      <w:r w:rsidR="00CA26C9" w:rsidRPr="00300A27">
        <w:rPr>
          <w:spacing w:val="0"/>
          <w:lang w:val="en-US"/>
        </w:rPr>
        <w:t>from the circumstances of the aggression</w:t>
      </w:r>
      <w:r w:rsidR="004806C0" w:rsidRPr="00300A27">
        <w:rPr>
          <w:spacing w:val="0"/>
          <w:lang w:val="en-US"/>
        </w:rPr>
        <w:t>s</w:t>
      </w:r>
      <w:r w:rsidR="00CA26C9" w:rsidRPr="00300A27">
        <w:rPr>
          <w:spacing w:val="0"/>
          <w:lang w:val="en-US"/>
        </w:rPr>
        <w:t xml:space="preserve"> suffered by Azul, it can be established that the motive for all of them was the negative prejudice against her sexual orientation and non-normative gender expression.”</w:t>
      </w:r>
      <w:r w:rsidR="00107ECD" w:rsidRPr="00300A27">
        <w:rPr>
          <w:spacing w:val="0"/>
          <w:lang w:val="en-US"/>
        </w:rPr>
        <w:t xml:space="preserve"> In this regard, they stressed: “(i) the characteristics of the detention; (ii) the characteristics of the physical aggression; (iii) the content of the verbal aggression, and (iv) the lack of investigation and the application of gender stereotyp</w:t>
      </w:r>
      <w:r w:rsidR="009F43D6" w:rsidRPr="00300A27">
        <w:rPr>
          <w:spacing w:val="0"/>
          <w:lang w:val="en-US"/>
        </w:rPr>
        <w:t>ing</w:t>
      </w:r>
      <w:r w:rsidR="00107ECD" w:rsidRPr="00300A27">
        <w:rPr>
          <w:spacing w:val="0"/>
          <w:lang w:val="en-US"/>
        </w:rPr>
        <w:t xml:space="preserve"> by several judicial officials.</w:t>
      </w:r>
      <w:r w:rsidR="009F43D6" w:rsidRPr="00300A27">
        <w:rPr>
          <w:spacing w:val="0"/>
          <w:lang w:val="en-US"/>
        </w:rPr>
        <w:t>”</w:t>
      </w:r>
      <w:r w:rsidR="00107ECD" w:rsidRPr="00300A27">
        <w:rPr>
          <w:spacing w:val="0"/>
          <w:lang w:val="en-US"/>
        </w:rPr>
        <w:t xml:space="preserve"> They concluded, </w:t>
      </w:r>
      <w:r w:rsidR="00261971" w:rsidRPr="00300A27">
        <w:rPr>
          <w:spacing w:val="0"/>
          <w:lang w:val="en-US"/>
        </w:rPr>
        <w:t xml:space="preserve">as had the Commission, that Azul was a victim of violence based on prejudice, arguing that “this aggression took place […] in a context </w:t>
      </w:r>
      <w:r w:rsidR="009F43D6" w:rsidRPr="00300A27">
        <w:rPr>
          <w:spacing w:val="0"/>
          <w:lang w:val="en-US"/>
        </w:rPr>
        <w:t>encouraged</w:t>
      </w:r>
      <w:r w:rsidR="00261971" w:rsidRPr="00300A27">
        <w:rPr>
          <w:spacing w:val="0"/>
          <w:lang w:val="en-US"/>
        </w:rPr>
        <w:t xml:space="preserve"> and legitimized because the Peruvian State did not and does not comply with the obligation to adopt domestic legal provisions […] that prevent, punish and eradicate violence based on prejudice […].” It argued that the State had violated the rights to the prohibition of discrimination and to equality before the law recognized in </w:t>
      </w:r>
      <w:r w:rsidR="005B1C65" w:rsidRPr="00300A27">
        <w:rPr>
          <w:spacing w:val="0"/>
          <w:lang w:val="en-US"/>
        </w:rPr>
        <w:t>Articles</w:t>
      </w:r>
      <w:r w:rsidR="00CA38A9" w:rsidRPr="00300A27">
        <w:rPr>
          <w:spacing w:val="0"/>
          <w:lang w:val="en-US"/>
        </w:rPr>
        <w:t xml:space="preserve"> </w:t>
      </w:r>
      <w:r w:rsidRPr="00300A27">
        <w:rPr>
          <w:spacing w:val="0"/>
          <w:lang w:val="en-US"/>
        </w:rPr>
        <w:t>1(1)</w:t>
      </w:r>
      <w:r w:rsidR="005B1C65" w:rsidRPr="00300A27">
        <w:rPr>
          <w:spacing w:val="0"/>
          <w:lang w:val="en-US"/>
        </w:rPr>
        <w:t xml:space="preserve"> and </w:t>
      </w:r>
      <w:r w:rsidR="00CA38A9" w:rsidRPr="00300A27">
        <w:rPr>
          <w:spacing w:val="0"/>
          <w:lang w:val="en-US"/>
        </w:rPr>
        <w:t>24</w:t>
      </w:r>
      <w:r w:rsidR="005B1C65" w:rsidRPr="00300A27">
        <w:rPr>
          <w:spacing w:val="0"/>
          <w:lang w:val="en-US"/>
        </w:rPr>
        <w:t xml:space="preserve"> of the Convention</w:t>
      </w:r>
      <w:r w:rsidR="00CA38A9" w:rsidRPr="00300A27">
        <w:rPr>
          <w:spacing w:val="0"/>
          <w:lang w:val="en-US"/>
        </w:rPr>
        <w:t>, respectiv</w:t>
      </w:r>
      <w:r w:rsidR="00261971" w:rsidRPr="00300A27">
        <w:rPr>
          <w:spacing w:val="0"/>
          <w:lang w:val="en-US"/>
        </w:rPr>
        <w:t>ely</w:t>
      </w:r>
      <w:r w:rsidR="00CA38A9" w:rsidRPr="00300A27">
        <w:rPr>
          <w:spacing w:val="0"/>
          <w:lang w:val="en-US"/>
        </w:rPr>
        <w:t>.</w:t>
      </w:r>
      <w:r w:rsidR="00CA38A9" w:rsidRPr="00300A27">
        <w:rPr>
          <w:b/>
          <w:spacing w:val="0"/>
          <w:lang w:val="en-US"/>
        </w:rPr>
        <w:t xml:space="preserve"> </w:t>
      </w:r>
    </w:p>
    <w:p w14:paraId="1850202C" w14:textId="4CFEB623" w:rsidR="001F7D87" w:rsidRPr="00300A27" w:rsidRDefault="005B1C65" w:rsidP="00B243B6">
      <w:pPr>
        <w:pStyle w:val="PrrafodeSentencia"/>
        <w:numPr>
          <w:ilvl w:val="0"/>
          <w:numId w:val="3"/>
        </w:numPr>
        <w:spacing w:before="120" w:after="120"/>
        <w:ind w:left="0" w:firstLine="0"/>
        <w:rPr>
          <w:rFonts w:cs="Arial"/>
          <w:b/>
          <w:spacing w:val="0"/>
          <w:lang w:val="en-US"/>
        </w:rPr>
      </w:pPr>
      <w:r w:rsidRPr="00300A27">
        <w:rPr>
          <w:rFonts w:eastAsia="Calibri" w:cs="Times New Roman"/>
          <w:spacing w:val="0"/>
          <w:szCs w:val="20"/>
          <w:lang w:val="en-US"/>
        </w:rPr>
        <w:t xml:space="preserve">The </w:t>
      </w:r>
      <w:r w:rsidRPr="00300A27">
        <w:rPr>
          <w:rFonts w:eastAsia="Calibri" w:cs="Times New Roman"/>
          <w:b/>
          <w:bCs/>
          <w:i/>
          <w:iCs/>
          <w:spacing w:val="0"/>
          <w:szCs w:val="20"/>
          <w:lang w:val="en-US"/>
        </w:rPr>
        <w:t>State</w:t>
      </w:r>
      <w:r w:rsidR="001F7D87" w:rsidRPr="00300A27">
        <w:rPr>
          <w:rFonts w:eastAsia="Calibri" w:cs="Times New Roman"/>
          <w:b/>
          <w:bCs/>
          <w:i/>
          <w:iCs/>
          <w:spacing w:val="0"/>
          <w:szCs w:val="20"/>
          <w:lang w:val="en-US"/>
        </w:rPr>
        <w:t xml:space="preserve"> </w:t>
      </w:r>
      <w:r w:rsidR="00874432" w:rsidRPr="00300A27">
        <w:rPr>
          <w:rFonts w:eastAsia="Calibri" w:cs="Times New Roman"/>
          <w:spacing w:val="0"/>
          <w:szCs w:val="20"/>
          <w:lang w:val="en-US"/>
        </w:rPr>
        <w:t>a</w:t>
      </w:r>
      <w:r w:rsidR="00261971" w:rsidRPr="00300A27">
        <w:rPr>
          <w:rFonts w:eastAsia="Calibri" w:cs="Times New Roman"/>
          <w:spacing w:val="0"/>
          <w:szCs w:val="20"/>
          <w:lang w:val="en-US"/>
        </w:rPr>
        <w:t xml:space="preserve">rgued that the reason for </w:t>
      </w:r>
      <w:r w:rsidR="008546E9" w:rsidRPr="00300A27">
        <w:rPr>
          <w:rFonts w:eastAsia="Calibri" w:cs="Times New Roman"/>
          <w:spacing w:val="0"/>
          <w:szCs w:val="20"/>
          <w:lang w:val="en-US"/>
        </w:rPr>
        <w:t>Ms. Rojas</w:t>
      </w:r>
      <w:r w:rsidR="00874432" w:rsidRPr="00300A27">
        <w:rPr>
          <w:rFonts w:eastAsia="Calibri" w:cs="Times New Roman"/>
          <w:spacing w:val="0"/>
          <w:szCs w:val="20"/>
          <w:lang w:val="en-US"/>
        </w:rPr>
        <w:t xml:space="preserve"> Marín</w:t>
      </w:r>
      <w:r w:rsidR="009F43D6" w:rsidRPr="00300A27">
        <w:rPr>
          <w:rFonts w:eastAsia="Calibri" w:cs="Times New Roman"/>
          <w:spacing w:val="0"/>
          <w:szCs w:val="20"/>
          <w:lang w:val="en-US"/>
        </w:rPr>
        <w:t>’s detention</w:t>
      </w:r>
      <w:r w:rsidR="00874432" w:rsidRPr="00300A27">
        <w:rPr>
          <w:rFonts w:eastAsia="Calibri" w:cs="Times New Roman"/>
          <w:spacing w:val="0"/>
          <w:szCs w:val="20"/>
          <w:lang w:val="en-US"/>
        </w:rPr>
        <w:t xml:space="preserve"> “</w:t>
      </w:r>
      <w:r w:rsidR="00261971" w:rsidRPr="00300A27">
        <w:rPr>
          <w:rFonts w:eastAsia="Calibri" w:cs="Times New Roman"/>
          <w:spacing w:val="0"/>
          <w:szCs w:val="20"/>
          <w:lang w:val="en-US"/>
        </w:rPr>
        <w:t xml:space="preserve">was not her condition as a </w:t>
      </w:r>
      <w:r w:rsidR="001F7D87" w:rsidRPr="00300A27">
        <w:rPr>
          <w:rFonts w:eastAsia="Calibri" w:cs="Times New Roman"/>
          <w:spacing w:val="0"/>
          <w:szCs w:val="20"/>
          <w:lang w:val="en-US"/>
        </w:rPr>
        <w:t xml:space="preserve">LGBTI </w:t>
      </w:r>
      <w:r w:rsidR="00261971" w:rsidRPr="00300A27">
        <w:rPr>
          <w:rFonts w:eastAsia="Calibri" w:cs="Times New Roman"/>
          <w:spacing w:val="0"/>
          <w:szCs w:val="20"/>
          <w:lang w:val="en-US"/>
        </w:rPr>
        <w:t>person, but rather that she was in suspicious circumstances, without identity documents, and with the smell of alcohol on her breath.</w:t>
      </w:r>
      <w:r w:rsidR="001F7D87" w:rsidRPr="00300A27">
        <w:rPr>
          <w:rFonts w:eastAsia="Calibri" w:cs="Times New Roman"/>
          <w:spacing w:val="0"/>
          <w:szCs w:val="20"/>
          <w:lang w:val="en-US"/>
        </w:rPr>
        <w:t>”</w:t>
      </w:r>
      <w:r w:rsidR="009C20E1" w:rsidRPr="00300A27">
        <w:rPr>
          <w:rFonts w:eastAsia="Calibri" w:cs="Times New Roman"/>
          <w:spacing w:val="0"/>
          <w:szCs w:val="20"/>
          <w:lang w:val="en-US"/>
        </w:rPr>
        <w:t xml:space="preserve"> </w:t>
      </w:r>
      <w:r w:rsidR="00261971" w:rsidRPr="00300A27">
        <w:rPr>
          <w:rFonts w:eastAsia="Calibri" w:cs="Times New Roman"/>
          <w:spacing w:val="0"/>
          <w:szCs w:val="20"/>
          <w:lang w:val="en-US"/>
        </w:rPr>
        <w:t>Consequently</w:t>
      </w:r>
      <w:r w:rsidR="001F7D87" w:rsidRPr="00300A27">
        <w:rPr>
          <w:rFonts w:eastAsia="Calibri" w:cs="Times New Roman"/>
          <w:spacing w:val="0"/>
          <w:szCs w:val="20"/>
          <w:lang w:val="en-US"/>
        </w:rPr>
        <w:t xml:space="preserve">, </w:t>
      </w:r>
      <w:r w:rsidRPr="00300A27">
        <w:rPr>
          <w:rFonts w:eastAsia="Calibri" w:cs="Times New Roman"/>
          <w:spacing w:val="0"/>
          <w:szCs w:val="20"/>
          <w:lang w:val="en-US"/>
        </w:rPr>
        <w:t>the State</w:t>
      </w:r>
      <w:r w:rsidR="001F7D87" w:rsidRPr="00300A27">
        <w:rPr>
          <w:rFonts w:eastAsia="Calibri" w:cs="Times New Roman"/>
          <w:spacing w:val="0"/>
          <w:szCs w:val="20"/>
          <w:lang w:val="en-US"/>
        </w:rPr>
        <w:t xml:space="preserve"> </w:t>
      </w:r>
      <w:r w:rsidR="00261971" w:rsidRPr="00300A27">
        <w:rPr>
          <w:rFonts w:eastAsia="Calibri" w:cs="Times New Roman"/>
          <w:spacing w:val="0"/>
          <w:szCs w:val="20"/>
          <w:lang w:val="en-US"/>
        </w:rPr>
        <w:t xml:space="preserve">denied </w:t>
      </w:r>
      <w:r w:rsidR="00C2001D" w:rsidRPr="00300A27">
        <w:rPr>
          <w:rFonts w:eastAsia="Calibri" w:cs="Times New Roman"/>
          <w:spacing w:val="0"/>
          <w:szCs w:val="20"/>
          <w:lang w:val="en-US"/>
        </w:rPr>
        <w:t>the Commission</w:t>
      </w:r>
      <w:r w:rsidR="00261971" w:rsidRPr="00300A27">
        <w:rPr>
          <w:rFonts w:eastAsia="Calibri" w:cs="Times New Roman"/>
          <w:spacing w:val="0"/>
          <w:szCs w:val="20"/>
          <w:lang w:val="en-US"/>
        </w:rPr>
        <w:t>’s allegation that “from the momen</w:t>
      </w:r>
      <w:r w:rsidR="009F43D6" w:rsidRPr="00300A27">
        <w:rPr>
          <w:rFonts w:eastAsia="Calibri" w:cs="Times New Roman"/>
          <w:spacing w:val="0"/>
          <w:szCs w:val="20"/>
          <w:lang w:val="en-US"/>
        </w:rPr>
        <w:t>t</w:t>
      </w:r>
      <w:r w:rsidR="00261971" w:rsidRPr="00300A27">
        <w:rPr>
          <w:rFonts w:eastAsia="Calibri" w:cs="Times New Roman"/>
          <w:spacing w:val="0"/>
          <w:szCs w:val="20"/>
          <w:lang w:val="en-US"/>
        </w:rPr>
        <w:t xml:space="preserve"> </w:t>
      </w:r>
      <w:r w:rsidR="001F7D87" w:rsidRPr="00300A27">
        <w:rPr>
          <w:rFonts w:eastAsia="Calibri" w:cs="Times New Roman"/>
          <w:spacing w:val="0"/>
          <w:szCs w:val="20"/>
          <w:lang w:val="en-US"/>
        </w:rPr>
        <w:t xml:space="preserve">Azul Rojas Marín </w:t>
      </w:r>
      <w:r w:rsidR="00261971" w:rsidRPr="00300A27">
        <w:rPr>
          <w:rFonts w:eastAsia="Calibri" w:cs="Times New Roman"/>
          <w:spacing w:val="0"/>
          <w:szCs w:val="20"/>
          <w:lang w:val="en-US"/>
        </w:rPr>
        <w:t>was intercepted by State officials, they used physical violence against her and attacked her verbally with repeated references to her sexual orientation […] thus the police actions […] had been discriminatory.</w:t>
      </w:r>
      <w:r w:rsidR="001F7D87" w:rsidRPr="00300A27">
        <w:rPr>
          <w:rFonts w:eastAsia="Calibri" w:cs="Times New Roman"/>
          <w:spacing w:val="0"/>
          <w:szCs w:val="20"/>
          <w:lang w:val="en-US"/>
        </w:rPr>
        <w:t xml:space="preserve">” </w:t>
      </w:r>
      <w:r w:rsidR="001F7D87" w:rsidRPr="00300A27">
        <w:rPr>
          <w:rFonts w:eastAsia="Calibri" w:cs="Times New Roman"/>
          <w:b/>
          <w:bCs/>
          <w:spacing w:val="0"/>
          <w:szCs w:val="20"/>
          <w:lang w:val="en-US"/>
        </w:rPr>
        <w:t xml:space="preserve"> </w:t>
      </w:r>
    </w:p>
    <w:p w14:paraId="71C2254B" w14:textId="72FF821C" w:rsidR="00296770" w:rsidRPr="00300A27" w:rsidRDefault="009B35A1" w:rsidP="00B243B6">
      <w:pPr>
        <w:pStyle w:val="Ttulo2"/>
        <w:numPr>
          <w:ilvl w:val="0"/>
          <w:numId w:val="37"/>
        </w:numPr>
        <w:ind w:left="1134" w:hanging="567"/>
        <w:rPr>
          <w:lang w:val="en-US" w:eastAsia="es-MX"/>
        </w:rPr>
      </w:pPr>
      <w:bookmarkStart w:id="79" w:name="_Toc36823475"/>
      <w:r w:rsidRPr="00300A27">
        <w:rPr>
          <w:lang w:val="en-US" w:eastAsia="es-MX"/>
        </w:rPr>
        <w:t>Considerations</w:t>
      </w:r>
      <w:r w:rsidR="005B1C65" w:rsidRPr="00300A27">
        <w:rPr>
          <w:lang w:val="en-US" w:eastAsia="es-MX"/>
        </w:rPr>
        <w:t xml:space="preserve"> of the Court</w:t>
      </w:r>
      <w:bookmarkEnd w:id="79"/>
    </w:p>
    <w:p w14:paraId="2062E007" w14:textId="7430A838" w:rsidR="00553F97" w:rsidRPr="00300A27" w:rsidRDefault="005B1C65" w:rsidP="00B243B6">
      <w:pPr>
        <w:pStyle w:val="PrrafodeSentencia"/>
        <w:numPr>
          <w:ilvl w:val="0"/>
          <w:numId w:val="3"/>
        </w:numPr>
        <w:spacing w:before="120" w:after="120"/>
        <w:ind w:left="0" w:firstLine="0"/>
        <w:rPr>
          <w:spacing w:val="0"/>
          <w:szCs w:val="20"/>
          <w:lang w:val="en-US"/>
        </w:rPr>
      </w:pPr>
      <w:bookmarkStart w:id="80" w:name="_Ref532908704"/>
      <w:r w:rsidRPr="00300A27">
        <w:rPr>
          <w:spacing w:val="0"/>
          <w:szCs w:val="20"/>
          <w:lang w:val="en-US"/>
        </w:rPr>
        <w:t>Article</w:t>
      </w:r>
      <w:r w:rsidR="00CA38A9" w:rsidRPr="00300A27">
        <w:rPr>
          <w:spacing w:val="0"/>
          <w:szCs w:val="20"/>
          <w:lang w:val="en-US"/>
        </w:rPr>
        <w:t xml:space="preserve"> </w:t>
      </w:r>
      <w:r w:rsidR="00BA3C7F" w:rsidRPr="00300A27">
        <w:rPr>
          <w:spacing w:val="0"/>
          <w:szCs w:val="20"/>
          <w:lang w:val="en-US"/>
        </w:rPr>
        <w:t>1(1)</w:t>
      </w:r>
      <w:r w:rsidRPr="00300A27">
        <w:rPr>
          <w:spacing w:val="0"/>
          <w:szCs w:val="20"/>
          <w:lang w:val="en-US"/>
        </w:rPr>
        <w:t xml:space="preserve"> of the Convention</w:t>
      </w:r>
      <w:r w:rsidR="00CA38A9" w:rsidRPr="00300A27">
        <w:rPr>
          <w:spacing w:val="0"/>
          <w:szCs w:val="20"/>
          <w:lang w:val="en-US"/>
        </w:rPr>
        <w:t xml:space="preserve"> </w:t>
      </w:r>
      <w:r w:rsidR="00261971" w:rsidRPr="00300A27">
        <w:rPr>
          <w:spacing w:val="0"/>
          <w:szCs w:val="20"/>
          <w:lang w:val="en-US"/>
        </w:rPr>
        <w:t>establishes that</w:t>
      </w:r>
      <w:r w:rsidR="00CA38A9" w:rsidRPr="00300A27">
        <w:rPr>
          <w:spacing w:val="0"/>
          <w:szCs w:val="20"/>
          <w:lang w:val="en-US"/>
        </w:rPr>
        <w:t xml:space="preserve"> “</w:t>
      </w:r>
      <w:r w:rsidR="00570CA7" w:rsidRPr="00300A27">
        <w:rPr>
          <w:spacing w:val="-3"/>
          <w:szCs w:val="20"/>
          <w:lang w:val="en-US"/>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00570CA7" w:rsidRPr="00300A27">
        <w:rPr>
          <w:spacing w:val="0"/>
          <w:szCs w:val="20"/>
          <w:lang w:val="en-US"/>
        </w:rPr>
        <w:t>.</w:t>
      </w:r>
      <w:r w:rsidR="00CA38A9" w:rsidRPr="00300A27">
        <w:rPr>
          <w:spacing w:val="0"/>
          <w:szCs w:val="20"/>
          <w:lang w:val="en-US"/>
        </w:rPr>
        <w:t xml:space="preserve">” </w:t>
      </w:r>
    </w:p>
    <w:p w14:paraId="0BFFB3A4" w14:textId="0774A4AD" w:rsidR="00570CA7" w:rsidRPr="00300A27" w:rsidRDefault="005B1C65" w:rsidP="00B243B6">
      <w:pPr>
        <w:pStyle w:val="PrrafodeSentencia"/>
        <w:numPr>
          <w:ilvl w:val="0"/>
          <w:numId w:val="3"/>
        </w:numPr>
        <w:spacing w:before="120" w:after="120"/>
        <w:ind w:left="0" w:firstLine="0"/>
        <w:rPr>
          <w:spacing w:val="0"/>
          <w:szCs w:val="20"/>
          <w:lang w:val="en-US"/>
        </w:rPr>
      </w:pPr>
      <w:r w:rsidRPr="00300A27">
        <w:rPr>
          <w:lang w:val="en-US"/>
        </w:rPr>
        <w:t>The Court</w:t>
      </w:r>
      <w:r w:rsidR="00FE4F99" w:rsidRPr="00300A27">
        <w:rPr>
          <w:lang w:val="en-US"/>
        </w:rPr>
        <w:t xml:space="preserve"> rec</w:t>
      </w:r>
      <w:r w:rsidR="00570CA7" w:rsidRPr="00300A27">
        <w:rPr>
          <w:lang w:val="en-US"/>
        </w:rPr>
        <w:t>alls that the obligation to respect the human rights recognized in</w:t>
      </w:r>
      <w:r w:rsidR="00FE4F99" w:rsidRPr="00300A27">
        <w:rPr>
          <w:lang w:val="en-US"/>
        </w:rPr>
        <w:t xml:space="preserve"> </w:t>
      </w:r>
      <w:r w:rsidRPr="00300A27">
        <w:rPr>
          <w:lang w:val="en-US"/>
        </w:rPr>
        <w:t>the Convention</w:t>
      </w:r>
      <w:r w:rsidR="00570CA7" w:rsidRPr="00300A27">
        <w:rPr>
          <w:lang w:val="en-US"/>
        </w:rPr>
        <w:t xml:space="preserve"> </w:t>
      </w:r>
      <w:r w:rsidR="009F43D6" w:rsidRPr="00300A27">
        <w:rPr>
          <w:lang w:val="en-US"/>
        </w:rPr>
        <w:t>comprises</w:t>
      </w:r>
      <w:r w:rsidR="00570CA7" w:rsidRPr="00300A27">
        <w:rPr>
          <w:lang w:val="en-US"/>
        </w:rPr>
        <w:t xml:space="preserve"> all those who act in the State’s name, especially if they are acting as </w:t>
      </w:r>
      <w:r w:rsidR="009F43D6" w:rsidRPr="00300A27">
        <w:rPr>
          <w:lang w:val="en-US"/>
        </w:rPr>
        <w:t>s</w:t>
      </w:r>
      <w:r w:rsidR="00570CA7" w:rsidRPr="00300A27">
        <w:rPr>
          <w:lang w:val="en-US"/>
        </w:rPr>
        <w:t xml:space="preserve">tate </w:t>
      </w:r>
      <w:r w:rsidR="009F43D6" w:rsidRPr="00300A27">
        <w:rPr>
          <w:lang w:val="en-US"/>
        </w:rPr>
        <w:t>agent</w:t>
      </w:r>
      <w:r w:rsidR="00570CA7" w:rsidRPr="00300A27">
        <w:rPr>
          <w:lang w:val="en-US"/>
        </w:rPr>
        <w:t>s</w:t>
      </w:r>
      <w:r w:rsidR="009F43D6" w:rsidRPr="00300A27">
        <w:rPr>
          <w:lang w:val="en-US"/>
        </w:rPr>
        <w:t>; therefore,</w:t>
      </w:r>
      <w:r w:rsidR="00570CA7" w:rsidRPr="00300A27">
        <w:rPr>
          <w:lang w:val="en-US"/>
        </w:rPr>
        <w:t xml:space="preserve"> an</w:t>
      </w:r>
      <w:r w:rsidR="009F43D6" w:rsidRPr="00300A27">
        <w:rPr>
          <w:lang w:val="en-US"/>
        </w:rPr>
        <w:t>y</w:t>
      </w:r>
      <w:r w:rsidR="00570CA7" w:rsidRPr="00300A27">
        <w:rPr>
          <w:lang w:val="en-US"/>
        </w:rPr>
        <w:t xml:space="preserve"> eventual violation </w:t>
      </w:r>
      <w:r w:rsidR="009F43D6" w:rsidRPr="00300A27">
        <w:rPr>
          <w:lang w:val="en-US"/>
        </w:rPr>
        <w:t>they commit</w:t>
      </w:r>
      <w:r w:rsidR="00570CA7" w:rsidRPr="00300A27">
        <w:rPr>
          <w:lang w:val="en-US"/>
        </w:rPr>
        <w:t xml:space="preserve"> can be directly attributed to the State. It also notes that the obligation to ensure the free and full exercise of these rights means that the State is responsible for their violation by third parties if it has </w:t>
      </w:r>
      <w:r w:rsidR="009F43D6" w:rsidRPr="00300A27">
        <w:rPr>
          <w:lang w:val="en-US"/>
        </w:rPr>
        <w:t>failed to</w:t>
      </w:r>
      <w:r w:rsidR="00570CA7" w:rsidRPr="00300A27">
        <w:rPr>
          <w:lang w:val="en-US"/>
        </w:rPr>
        <w:t xml:space="preserve"> adopt the measures required to prevent their violation or to make this cease, redressing the harm caused. And, all this with regard to any person who is subject to its jurisdiction for any reason, circumstance or motive.</w:t>
      </w:r>
    </w:p>
    <w:p w14:paraId="73D0F87F" w14:textId="2829928C" w:rsidR="00FE4F99" w:rsidRPr="00300A27" w:rsidRDefault="00570CA7" w:rsidP="00B243B6">
      <w:pPr>
        <w:pStyle w:val="PrrafodeSentencia"/>
        <w:numPr>
          <w:ilvl w:val="0"/>
          <w:numId w:val="3"/>
        </w:numPr>
        <w:spacing w:before="120" w:after="120"/>
        <w:ind w:left="0" w:firstLine="0"/>
        <w:rPr>
          <w:spacing w:val="0"/>
          <w:szCs w:val="20"/>
          <w:lang w:val="en-US"/>
        </w:rPr>
      </w:pPr>
      <w:r w:rsidRPr="00300A27">
        <w:rPr>
          <w:lang w:val="en-US"/>
        </w:rPr>
        <w:t>The</w:t>
      </w:r>
      <w:r w:rsidR="005B1C65" w:rsidRPr="00300A27">
        <w:rPr>
          <w:lang w:val="en-US"/>
        </w:rPr>
        <w:t xml:space="preserve"> Court</w:t>
      </w:r>
      <w:r w:rsidR="00FE3078" w:rsidRPr="00300A27">
        <w:rPr>
          <w:lang w:val="en-US"/>
        </w:rPr>
        <w:t xml:space="preserve"> a</w:t>
      </w:r>
      <w:r w:rsidRPr="00300A27">
        <w:rPr>
          <w:lang w:val="en-US"/>
        </w:rPr>
        <w:t xml:space="preserve">lso notes that real respect for human rights means that their possible violation constitutes, </w:t>
      </w:r>
      <w:r w:rsidRPr="00300A27">
        <w:rPr>
          <w:i/>
          <w:iCs/>
          <w:lang w:val="en-US"/>
        </w:rPr>
        <w:t>per se</w:t>
      </w:r>
      <w:r w:rsidRPr="00300A27">
        <w:rPr>
          <w:lang w:val="en-US"/>
        </w:rPr>
        <w:t>, an internationally wrongful act, whatever the condition of the presumed victim, a circumstance that can never be alleged to justify this. Therefore, the arbitrary detention or the torture of a person, whatsoever their condition, is always contrary to international law and, especially, to international human rights law.</w:t>
      </w:r>
      <w:r w:rsidR="00553F97" w:rsidRPr="00300A27">
        <w:rPr>
          <w:rStyle w:val="Refdenotaalpie"/>
          <w:lang w:val="en-US"/>
        </w:rPr>
        <w:footnoteReference w:id="118"/>
      </w:r>
      <w:r w:rsidR="00BA27F3" w:rsidRPr="00300A27">
        <w:rPr>
          <w:lang w:val="en-US"/>
        </w:rPr>
        <w:t xml:space="preserve"> </w:t>
      </w:r>
    </w:p>
    <w:p w14:paraId="06D76F5D" w14:textId="46AB20F7" w:rsidR="002C7D9D" w:rsidRPr="00300A27" w:rsidRDefault="00570CA7" w:rsidP="00B243B6">
      <w:pPr>
        <w:pStyle w:val="PrrafodeSentencia"/>
        <w:numPr>
          <w:ilvl w:val="0"/>
          <w:numId w:val="3"/>
        </w:numPr>
        <w:spacing w:before="120" w:after="120"/>
        <w:ind w:left="0" w:firstLine="0"/>
        <w:rPr>
          <w:spacing w:val="0"/>
          <w:lang w:val="en-US"/>
        </w:rPr>
      </w:pPr>
      <w:r w:rsidRPr="00300A27">
        <w:rPr>
          <w:spacing w:val="0"/>
          <w:lang w:val="en-US"/>
        </w:rPr>
        <w:t xml:space="preserve">Consequently, based on the </w:t>
      </w:r>
      <w:r w:rsidR="009F43D6" w:rsidRPr="00300A27">
        <w:rPr>
          <w:spacing w:val="0"/>
          <w:lang w:val="en-US"/>
        </w:rPr>
        <w:t>above</w:t>
      </w:r>
      <w:r w:rsidRPr="00300A27">
        <w:rPr>
          <w:spacing w:val="0"/>
          <w:lang w:val="en-US"/>
        </w:rPr>
        <w:t xml:space="preserve"> and owing to the obligation not to discriminate, States are also obliged to adopt positive measures to revert or change discriminatory situations</w:t>
      </w:r>
      <w:r w:rsidR="009F43D6" w:rsidRPr="00300A27">
        <w:rPr>
          <w:spacing w:val="0"/>
          <w:lang w:val="en-US"/>
        </w:rPr>
        <w:t xml:space="preserve"> that exist in their societies which affect a determined group of persons</w:t>
      </w:r>
      <w:r w:rsidR="000C7B0D" w:rsidRPr="00300A27">
        <w:rPr>
          <w:spacing w:val="0"/>
          <w:lang w:val="en-US"/>
        </w:rPr>
        <w:t>. This involves the special duty of protection that State</w:t>
      </w:r>
      <w:r w:rsidR="0032775A" w:rsidRPr="00300A27">
        <w:rPr>
          <w:spacing w:val="0"/>
          <w:lang w:val="en-US"/>
        </w:rPr>
        <w:t>s</w:t>
      </w:r>
      <w:r w:rsidR="000C7B0D" w:rsidRPr="00300A27">
        <w:rPr>
          <w:spacing w:val="0"/>
          <w:lang w:val="en-US"/>
        </w:rPr>
        <w:t xml:space="preserve"> must exercise with regard to the acts and practices of third parties who, with </w:t>
      </w:r>
      <w:r w:rsidR="0032775A" w:rsidRPr="00300A27">
        <w:rPr>
          <w:spacing w:val="0"/>
          <w:lang w:val="en-US"/>
        </w:rPr>
        <w:t>their</w:t>
      </w:r>
      <w:r w:rsidR="000C7B0D" w:rsidRPr="00300A27">
        <w:rPr>
          <w:spacing w:val="0"/>
          <w:lang w:val="en-US"/>
        </w:rPr>
        <w:t xml:space="preserve"> tolerance or acquiescence, create, maintain or promote discriminatory situations.</w:t>
      </w:r>
      <w:r w:rsidR="002C7D9D" w:rsidRPr="00300A27">
        <w:rPr>
          <w:rStyle w:val="Refdenotaalpie"/>
          <w:spacing w:val="0"/>
          <w:szCs w:val="20"/>
          <w:lang w:val="en-US"/>
        </w:rPr>
        <w:footnoteReference w:id="119"/>
      </w:r>
      <w:r w:rsidR="000C7B0D" w:rsidRPr="00300A27">
        <w:rPr>
          <w:spacing w:val="0"/>
          <w:lang w:val="en-US"/>
        </w:rPr>
        <w:t xml:space="preserve"> Thus, discrimination based on one of the categories indicated for illustrative purposes in </w:t>
      </w:r>
      <w:r w:rsidR="005B1C65" w:rsidRPr="00300A27">
        <w:rPr>
          <w:spacing w:val="0"/>
          <w:lang w:val="en-US"/>
        </w:rPr>
        <w:t>Article</w:t>
      </w:r>
      <w:r w:rsidR="005611FB" w:rsidRPr="00300A27">
        <w:rPr>
          <w:spacing w:val="0"/>
          <w:lang w:val="en-US"/>
        </w:rPr>
        <w:t xml:space="preserve"> </w:t>
      </w:r>
      <w:r w:rsidR="00BA3C7F" w:rsidRPr="00300A27">
        <w:rPr>
          <w:spacing w:val="0"/>
          <w:lang w:val="en-US"/>
        </w:rPr>
        <w:t>1(1)</w:t>
      </w:r>
      <w:r w:rsidR="005B1C65" w:rsidRPr="00300A27">
        <w:rPr>
          <w:spacing w:val="0"/>
          <w:lang w:val="en-US"/>
        </w:rPr>
        <w:t xml:space="preserve"> of the Convention</w:t>
      </w:r>
      <w:r w:rsidR="000C7B0D" w:rsidRPr="00300A27">
        <w:rPr>
          <w:spacing w:val="0"/>
          <w:lang w:val="en-US"/>
        </w:rPr>
        <w:t xml:space="preserve"> warrants special or particular consideration because the respective </w:t>
      </w:r>
      <w:r w:rsidR="003E7696" w:rsidRPr="00300A27">
        <w:rPr>
          <w:spacing w:val="0"/>
          <w:lang w:val="en-US"/>
        </w:rPr>
        <w:t>offense</w:t>
      </w:r>
      <w:r w:rsidR="000C7B0D" w:rsidRPr="00300A27">
        <w:rPr>
          <w:spacing w:val="0"/>
          <w:lang w:val="en-US"/>
        </w:rPr>
        <w:t xml:space="preserve"> occurs due to what the presumed victim</w:t>
      </w:r>
      <w:r w:rsidR="0032775A" w:rsidRPr="00300A27">
        <w:rPr>
          <w:spacing w:val="0"/>
          <w:lang w:val="en-US"/>
        </w:rPr>
        <w:t>s</w:t>
      </w:r>
      <w:r w:rsidR="000C7B0D" w:rsidRPr="00300A27">
        <w:rPr>
          <w:spacing w:val="0"/>
          <w:lang w:val="en-US"/>
        </w:rPr>
        <w:t xml:space="preserve"> represent or seem to </w:t>
      </w:r>
      <w:r w:rsidR="0032775A" w:rsidRPr="00300A27">
        <w:rPr>
          <w:spacing w:val="0"/>
          <w:lang w:val="en-US"/>
        </w:rPr>
        <w:t>represent</w:t>
      </w:r>
      <w:r w:rsidR="000C7B0D" w:rsidRPr="00300A27">
        <w:rPr>
          <w:spacing w:val="0"/>
          <w:lang w:val="en-US"/>
        </w:rPr>
        <w:t xml:space="preserve"> and what distinguishes </w:t>
      </w:r>
      <w:r w:rsidR="0032775A" w:rsidRPr="00300A27">
        <w:rPr>
          <w:spacing w:val="0"/>
          <w:lang w:val="en-US"/>
        </w:rPr>
        <w:t>them</w:t>
      </w:r>
      <w:r w:rsidR="000C7B0D" w:rsidRPr="00300A27">
        <w:rPr>
          <w:spacing w:val="0"/>
          <w:lang w:val="en-US"/>
        </w:rPr>
        <w:t xml:space="preserve"> from other people</w:t>
      </w:r>
      <w:r w:rsidR="00B4015E" w:rsidRPr="00300A27">
        <w:rPr>
          <w:spacing w:val="0"/>
          <w:lang w:val="en-US"/>
        </w:rPr>
        <w:t>.</w:t>
      </w:r>
      <w:r w:rsidR="00757355" w:rsidRPr="00300A27">
        <w:rPr>
          <w:spacing w:val="0"/>
          <w:lang w:val="en-US"/>
        </w:rPr>
        <w:t xml:space="preserve"> </w:t>
      </w:r>
      <w:r w:rsidR="005611FB" w:rsidRPr="00300A27">
        <w:rPr>
          <w:spacing w:val="0"/>
          <w:lang w:val="en-US"/>
        </w:rPr>
        <w:t xml:space="preserve"> </w:t>
      </w:r>
    </w:p>
    <w:p w14:paraId="098C6A78" w14:textId="22D264B0" w:rsidR="003E2BAA" w:rsidRPr="00300A27" w:rsidRDefault="005B1C65" w:rsidP="00B243B6">
      <w:pPr>
        <w:pStyle w:val="PrrafodeSentencia"/>
        <w:numPr>
          <w:ilvl w:val="0"/>
          <w:numId w:val="3"/>
        </w:numPr>
        <w:spacing w:before="120" w:after="120"/>
        <w:ind w:left="0" w:firstLine="0"/>
        <w:rPr>
          <w:spacing w:val="0"/>
          <w:szCs w:val="20"/>
          <w:lang w:val="en-US"/>
        </w:rPr>
      </w:pPr>
      <w:r w:rsidRPr="00300A27">
        <w:rPr>
          <w:spacing w:val="0"/>
          <w:szCs w:val="20"/>
          <w:lang w:val="en-US"/>
        </w:rPr>
        <w:t>The Inter-American Court</w:t>
      </w:r>
      <w:r w:rsidR="00717527" w:rsidRPr="00300A27">
        <w:rPr>
          <w:spacing w:val="0"/>
          <w:szCs w:val="20"/>
          <w:lang w:val="en-US"/>
        </w:rPr>
        <w:t xml:space="preserve"> </w:t>
      </w:r>
      <w:r w:rsidR="000C7B0D" w:rsidRPr="00300A27">
        <w:rPr>
          <w:spacing w:val="0"/>
          <w:szCs w:val="20"/>
          <w:lang w:val="en-US"/>
        </w:rPr>
        <w:t>has recognized that</w:t>
      </w:r>
      <w:r w:rsidR="00717527" w:rsidRPr="00300A27">
        <w:rPr>
          <w:spacing w:val="0"/>
          <w:szCs w:val="20"/>
          <w:lang w:val="en-US"/>
        </w:rPr>
        <w:t xml:space="preserve"> </w:t>
      </w:r>
      <w:r w:rsidR="007E4CD0" w:rsidRPr="00300A27">
        <w:rPr>
          <w:spacing w:val="0"/>
          <w:szCs w:val="20"/>
          <w:lang w:val="en-US"/>
        </w:rPr>
        <w:t>LGBTI people</w:t>
      </w:r>
      <w:r w:rsidR="00717527" w:rsidRPr="00300A27">
        <w:rPr>
          <w:spacing w:val="0"/>
          <w:szCs w:val="20"/>
          <w:lang w:val="en-US"/>
        </w:rPr>
        <w:t xml:space="preserve"> </w:t>
      </w:r>
      <w:r w:rsidR="000C7B0D" w:rsidRPr="00300A27">
        <w:rPr>
          <w:lang w:val="en-US"/>
        </w:rPr>
        <w:t>have historically been victims of structural discrimination, stigmatization</w:t>
      </w:r>
      <w:r w:rsidR="00717527" w:rsidRPr="00300A27">
        <w:rPr>
          <w:lang w:val="en-US"/>
        </w:rPr>
        <w:t>,</w:t>
      </w:r>
      <w:r w:rsidR="000C7B0D" w:rsidRPr="00300A27">
        <w:rPr>
          <w:lang w:val="en-US"/>
        </w:rPr>
        <w:t xml:space="preserve"> </w:t>
      </w:r>
      <w:r w:rsidR="0032775A" w:rsidRPr="00300A27">
        <w:rPr>
          <w:lang w:val="en-US"/>
        </w:rPr>
        <w:t xml:space="preserve">and </w:t>
      </w:r>
      <w:r w:rsidR="000C7B0D" w:rsidRPr="00300A27">
        <w:rPr>
          <w:lang w:val="en-US"/>
        </w:rPr>
        <w:t>different forms of violence and violations of their fundamental rights.</w:t>
      </w:r>
      <w:r w:rsidR="00717527" w:rsidRPr="00300A27">
        <w:rPr>
          <w:rStyle w:val="Refdenotaalpie"/>
          <w:lang w:val="en-US"/>
        </w:rPr>
        <w:footnoteReference w:id="120"/>
      </w:r>
      <w:r w:rsidR="000C7B0D" w:rsidRPr="00300A27">
        <w:rPr>
          <w:lang w:val="en-US"/>
        </w:rPr>
        <w:t xml:space="preserve"> In this regard, it has established that the sexual orientation, gender identity or gender expression of a person</w:t>
      </w:r>
      <w:r w:rsidR="00CA38A9" w:rsidRPr="00300A27">
        <w:rPr>
          <w:rStyle w:val="Refdenotaalpie"/>
          <w:spacing w:val="0"/>
          <w:szCs w:val="20"/>
          <w:lang w:val="en-US"/>
        </w:rPr>
        <w:footnoteReference w:id="121"/>
      </w:r>
      <w:r w:rsidR="00CA38A9" w:rsidRPr="00300A27">
        <w:rPr>
          <w:spacing w:val="0"/>
          <w:szCs w:val="20"/>
          <w:lang w:val="en-US"/>
        </w:rPr>
        <w:t xml:space="preserve"> </w:t>
      </w:r>
      <w:r w:rsidR="000C7B0D" w:rsidRPr="00300A27">
        <w:rPr>
          <w:spacing w:val="0"/>
          <w:szCs w:val="20"/>
          <w:lang w:val="en-US"/>
        </w:rPr>
        <w:t>are categories protected by</w:t>
      </w:r>
      <w:r w:rsidR="00CA38A9" w:rsidRPr="00300A27">
        <w:rPr>
          <w:spacing w:val="0"/>
          <w:szCs w:val="20"/>
          <w:lang w:val="en-US"/>
        </w:rPr>
        <w:t xml:space="preserve"> </w:t>
      </w:r>
      <w:r w:rsidRPr="00300A27">
        <w:rPr>
          <w:spacing w:val="0"/>
          <w:szCs w:val="20"/>
          <w:lang w:val="en-US"/>
        </w:rPr>
        <w:t>the Convention</w:t>
      </w:r>
      <w:r w:rsidR="000C7B0D" w:rsidRPr="00300A27">
        <w:rPr>
          <w:spacing w:val="0"/>
          <w:szCs w:val="20"/>
          <w:lang w:val="en-US"/>
        </w:rPr>
        <w:t>.</w:t>
      </w:r>
      <w:r w:rsidR="00CA38A9" w:rsidRPr="00300A27">
        <w:rPr>
          <w:rStyle w:val="Refdenotaalpie"/>
          <w:spacing w:val="0"/>
          <w:szCs w:val="20"/>
          <w:lang w:val="en-US" w:eastAsia="es-ES"/>
        </w:rPr>
        <w:footnoteReference w:id="122"/>
      </w:r>
      <w:r w:rsidR="000C7B0D" w:rsidRPr="00300A27">
        <w:rPr>
          <w:spacing w:val="0"/>
          <w:szCs w:val="20"/>
          <w:lang w:val="en-US"/>
        </w:rPr>
        <w:t xml:space="preserve"> Consequently, the State cannot act against a person based on their sexual orientation, their gender identity and/or their gender expression.</w:t>
      </w:r>
      <w:r w:rsidR="00CA38A9" w:rsidRPr="00300A27">
        <w:rPr>
          <w:rStyle w:val="Refdenotaalpie"/>
          <w:spacing w:val="0"/>
          <w:szCs w:val="20"/>
          <w:lang w:val="en-US"/>
        </w:rPr>
        <w:footnoteReference w:id="123"/>
      </w:r>
      <w:bookmarkEnd w:id="80"/>
    </w:p>
    <w:p w14:paraId="1C129425" w14:textId="4A922517" w:rsidR="00950F94" w:rsidRPr="00300A27" w:rsidRDefault="00200471" w:rsidP="00B243B6">
      <w:pPr>
        <w:pStyle w:val="PrrafodeSentencia"/>
        <w:numPr>
          <w:ilvl w:val="0"/>
          <w:numId w:val="3"/>
        </w:numPr>
        <w:spacing w:before="120" w:after="120"/>
        <w:ind w:left="0" w:firstLine="0"/>
        <w:rPr>
          <w:spacing w:val="0"/>
          <w:szCs w:val="20"/>
          <w:lang w:val="en-US"/>
        </w:rPr>
      </w:pPr>
      <w:r w:rsidRPr="00300A27">
        <w:rPr>
          <w:spacing w:val="0"/>
          <w:lang w:val="en-US"/>
        </w:rPr>
        <w:t xml:space="preserve">Numerous forms of discrimination against </w:t>
      </w:r>
      <w:r w:rsidR="007E4CD0" w:rsidRPr="00300A27">
        <w:rPr>
          <w:spacing w:val="0"/>
          <w:lang w:val="en-US"/>
        </w:rPr>
        <w:t>LGBTI people</w:t>
      </w:r>
      <w:r w:rsidR="003B01D3" w:rsidRPr="00300A27">
        <w:rPr>
          <w:spacing w:val="0"/>
          <w:lang w:val="en-US"/>
        </w:rPr>
        <w:t xml:space="preserve"> </w:t>
      </w:r>
      <w:r w:rsidRPr="00300A27">
        <w:rPr>
          <w:spacing w:val="0"/>
          <w:lang w:val="en-US"/>
        </w:rPr>
        <w:t>are evident in the public and private sphere.</w:t>
      </w:r>
      <w:r w:rsidR="003B01D3" w:rsidRPr="00300A27">
        <w:rPr>
          <w:rStyle w:val="Refdenotaalpie"/>
          <w:spacing w:val="0"/>
          <w:lang w:val="en-US"/>
        </w:rPr>
        <w:footnoteReference w:id="124"/>
      </w:r>
      <w:r w:rsidRPr="00300A27">
        <w:rPr>
          <w:spacing w:val="0"/>
          <w:lang w:val="en-US"/>
        </w:rPr>
        <w:t xml:space="preserve"> In the</w:t>
      </w:r>
      <w:r w:rsidR="005B1C65" w:rsidRPr="00300A27">
        <w:rPr>
          <w:spacing w:val="0"/>
          <w:lang w:val="en-US"/>
        </w:rPr>
        <w:t xml:space="preserve"> Court</w:t>
      </w:r>
      <w:r w:rsidRPr="00300A27">
        <w:rPr>
          <w:spacing w:val="0"/>
          <w:lang w:val="en-US"/>
        </w:rPr>
        <w:t xml:space="preserve">’s opinion one of the most extreme forms of discrimination against </w:t>
      </w:r>
      <w:r w:rsidR="007E4CD0" w:rsidRPr="00300A27">
        <w:rPr>
          <w:spacing w:val="0"/>
          <w:szCs w:val="20"/>
          <w:lang w:val="en-US"/>
        </w:rPr>
        <w:t xml:space="preserve">LGBTI </w:t>
      </w:r>
      <w:r w:rsidR="0045512D" w:rsidRPr="00300A27">
        <w:rPr>
          <w:spacing w:val="0"/>
          <w:szCs w:val="20"/>
          <w:lang w:val="en-US"/>
        </w:rPr>
        <w:t>people</w:t>
      </w:r>
      <w:r w:rsidRPr="00300A27">
        <w:rPr>
          <w:spacing w:val="0"/>
          <w:szCs w:val="20"/>
          <w:lang w:val="en-US"/>
        </w:rPr>
        <w:t xml:space="preserve"> </w:t>
      </w:r>
      <w:r w:rsidR="0045512D" w:rsidRPr="00300A27">
        <w:rPr>
          <w:spacing w:val="0"/>
          <w:szCs w:val="20"/>
          <w:lang w:val="en-US"/>
        </w:rPr>
        <w:t>occurs in violent situations</w:t>
      </w:r>
      <w:r w:rsidRPr="00300A27">
        <w:rPr>
          <w:spacing w:val="0"/>
          <w:szCs w:val="20"/>
          <w:lang w:val="en-US"/>
        </w:rPr>
        <w:t>.</w:t>
      </w:r>
      <w:r w:rsidR="00EF4DC8" w:rsidRPr="00300A27">
        <w:rPr>
          <w:rStyle w:val="Refdenotaalpie"/>
          <w:spacing w:val="0"/>
          <w:szCs w:val="20"/>
          <w:lang w:val="en-US"/>
        </w:rPr>
        <w:footnoteReference w:id="125"/>
      </w:r>
      <w:r w:rsidR="0017333A" w:rsidRPr="00300A27">
        <w:rPr>
          <w:spacing w:val="0"/>
          <w:szCs w:val="20"/>
          <w:lang w:val="en-US"/>
        </w:rPr>
        <w:t xml:space="preserve"> </w:t>
      </w:r>
      <w:r w:rsidRPr="00300A27">
        <w:rPr>
          <w:spacing w:val="0"/>
          <w:szCs w:val="20"/>
          <w:lang w:val="en-US"/>
        </w:rPr>
        <w:t>In</w:t>
      </w:r>
      <w:r w:rsidR="0017333A" w:rsidRPr="00300A27">
        <w:rPr>
          <w:spacing w:val="0"/>
          <w:szCs w:val="20"/>
          <w:lang w:val="en-US"/>
        </w:rPr>
        <w:t xml:space="preserve"> </w:t>
      </w:r>
      <w:r w:rsidR="00BE201F" w:rsidRPr="00300A27">
        <w:rPr>
          <w:spacing w:val="0"/>
          <w:szCs w:val="20"/>
          <w:lang w:val="en-US"/>
        </w:rPr>
        <w:t>Advisory Opinion</w:t>
      </w:r>
      <w:r w:rsidR="0017333A" w:rsidRPr="00300A27">
        <w:rPr>
          <w:spacing w:val="0"/>
          <w:szCs w:val="20"/>
          <w:lang w:val="en-US"/>
        </w:rPr>
        <w:t xml:space="preserve"> </w:t>
      </w:r>
      <w:r w:rsidR="00CB4358" w:rsidRPr="00300A27">
        <w:rPr>
          <w:spacing w:val="0"/>
          <w:szCs w:val="20"/>
          <w:lang w:val="en-US"/>
        </w:rPr>
        <w:t>OC-24/17</w:t>
      </w:r>
      <w:r w:rsidRPr="00300A27">
        <w:rPr>
          <w:spacing w:val="0"/>
          <w:szCs w:val="20"/>
          <w:lang w:val="en-US"/>
        </w:rPr>
        <w:t>,</w:t>
      </w:r>
      <w:r w:rsidR="0017333A" w:rsidRPr="00300A27">
        <w:rPr>
          <w:spacing w:val="0"/>
          <w:szCs w:val="20"/>
          <w:lang w:val="en-US"/>
        </w:rPr>
        <w:t xml:space="preserve"> </w:t>
      </w:r>
      <w:r w:rsidR="005B1C65" w:rsidRPr="00300A27">
        <w:rPr>
          <w:spacing w:val="0"/>
          <w:szCs w:val="20"/>
          <w:lang w:val="en-US"/>
        </w:rPr>
        <w:t>this Court</w:t>
      </w:r>
      <w:r w:rsidR="00F32FEC" w:rsidRPr="00300A27">
        <w:rPr>
          <w:spacing w:val="0"/>
          <w:szCs w:val="20"/>
          <w:lang w:val="en-US"/>
        </w:rPr>
        <w:t xml:space="preserve"> </w:t>
      </w:r>
      <w:r w:rsidRPr="00300A27">
        <w:rPr>
          <w:spacing w:val="0"/>
          <w:szCs w:val="20"/>
          <w:lang w:val="en-US"/>
        </w:rPr>
        <w:t>underlined that</w:t>
      </w:r>
      <w:r w:rsidR="002D26C4" w:rsidRPr="00300A27">
        <w:rPr>
          <w:spacing w:val="0"/>
          <w:szCs w:val="20"/>
          <w:lang w:val="en-US"/>
        </w:rPr>
        <w:t>:</w:t>
      </w:r>
      <w:r w:rsidR="00F32FEC" w:rsidRPr="00300A27">
        <w:rPr>
          <w:spacing w:val="0"/>
          <w:szCs w:val="20"/>
          <w:lang w:val="en-US"/>
        </w:rPr>
        <w:t xml:space="preserve"> </w:t>
      </w:r>
    </w:p>
    <w:p w14:paraId="5DAD0287" w14:textId="440BDF61" w:rsidR="00F32FEC" w:rsidRPr="00300A27" w:rsidRDefault="0045512D" w:rsidP="00B243B6">
      <w:pPr>
        <w:pStyle w:val="Numberedparagraphs"/>
        <w:numPr>
          <w:ilvl w:val="0"/>
          <w:numId w:val="0"/>
        </w:numPr>
        <w:spacing w:before="120" w:after="120"/>
        <w:ind w:left="644" w:right="615"/>
        <w:rPr>
          <w:sz w:val="18"/>
          <w:szCs w:val="18"/>
          <w:lang w:val="en-US"/>
        </w:rPr>
      </w:pPr>
      <w:r w:rsidRPr="00300A27">
        <w:rPr>
          <w:sz w:val="18"/>
          <w:szCs w:val="18"/>
          <w:lang w:val="en-US"/>
        </w:rPr>
        <w:t>[T]he mechanisms for the protection of human rights of the United Nations</w:t>
      </w:r>
      <w:r w:rsidR="00F32FEC" w:rsidRPr="00300A27">
        <w:rPr>
          <w:rStyle w:val="Refdenotaalpie"/>
          <w:sz w:val="18"/>
          <w:szCs w:val="18"/>
          <w:lang w:val="en-US"/>
        </w:rPr>
        <w:footnoteReference w:id="126"/>
      </w:r>
      <w:r w:rsidR="005B1C65" w:rsidRPr="00300A27">
        <w:rPr>
          <w:sz w:val="18"/>
          <w:szCs w:val="18"/>
          <w:lang w:val="en-US"/>
        </w:rPr>
        <w:t xml:space="preserve"> and </w:t>
      </w:r>
      <w:r w:rsidRPr="00300A27">
        <w:rPr>
          <w:sz w:val="18"/>
          <w:szCs w:val="18"/>
          <w:lang w:val="en-US"/>
        </w:rPr>
        <w:t>the inter-American system</w:t>
      </w:r>
      <w:r w:rsidR="00F32FEC" w:rsidRPr="00300A27">
        <w:rPr>
          <w:rStyle w:val="Refdenotaalpie"/>
          <w:sz w:val="18"/>
          <w:szCs w:val="18"/>
          <w:lang w:val="en-US"/>
        </w:rPr>
        <w:footnoteReference w:id="127"/>
      </w:r>
      <w:r w:rsidR="00F32FEC" w:rsidRPr="00300A27">
        <w:rPr>
          <w:sz w:val="18"/>
          <w:szCs w:val="18"/>
          <w:lang w:val="en-US"/>
        </w:rPr>
        <w:t xml:space="preserve"> </w:t>
      </w:r>
      <w:r w:rsidRPr="00300A27">
        <w:rPr>
          <w:sz w:val="18"/>
          <w:szCs w:val="18"/>
          <w:lang w:val="en-US"/>
        </w:rPr>
        <w:t xml:space="preserve">have recorded violent acts against LGBTI persons in many regions based on prejudices. The </w:t>
      </w:r>
      <w:r w:rsidR="0090308C" w:rsidRPr="00300A27">
        <w:rPr>
          <w:sz w:val="18"/>
          <w:szCs w:val="18"/>
          <w:lang w:val="en-US"/>
        </w:rPr>
        <w:t>UN</w:t>
      </w:r>
      <w:r w:rsidRPr="00300A27">
        <w:rPr>
          <w:sz w:val="18"/>
          <w:szCs w:val="18"/>
          <w:lang w:val="en-US"/>
        </w:rPr>
        <w:t xml:space="preserve">HCHR has noted that “such violence </w:t>
      </w:r>
      <w:r w:rsidRPr="00300A27">
        <w:rPr>
          <w:sz w:val="18"/>
          <w:szCs w:val="18"/>
          <w:lang w:val="en-US" w:eastAsia="zh-CN"/>
        </w:rPr>
        <w:t>may be physical (including murder, beatings, kidnapping and sexual assault) or psychological (including threats, coercion and the arbitrary deprivation of liberty, including forced psychiatric incarceration</w:t>
      </w:r>
      <w:r w:rsidR="00F32FEC" w:rsidRPr="00300A27">
        <w:rPr>
          <w:sz w:val="18"/>
          <w:szCs w:val="18"/>
          <w:lang w:val="en-US"/>
        </w:rPr>
        <w:t>)</w:t>
      </w:r>
      <w:r w:rsidRPr="00300A27">
        <w:rPr>
          <w:sz w:val="18"/>
          <w:szCs w:val="18"/>
          <w:lang w:val="en-US"/>
        </w:rPr>
        <w:t>.</w:t>
      </w:r>
      <w:r w:rsidR="00F32FEC" w:rsidRPr="00300A27">
        <w:rPr>
          <w:sz w:val="18"/>
          <w:szCs w:val="18"/>
          <w:lang w:val="en-US"/>
        </w:rPr>
        <w:t>”</w:t>
      </w:r>
      <w:r w:rsidR="00F32FEC" w:rsidRPr="00300A27">
        <w:rPr>
          <w:rStyle w:val="Refdenotaalpie"/>
          <w:sz w:val="18"/>
          <w:szCs w:val="18"/>
          <w:lang w:val="en-US"/>
        </w:rPr>
        <w:footnoteReference w:id="128"/>
      </w:r>
      <w:r w:rsidR="00F32FEC" w:rsidRPr="00300A27">
        <w:rPr>
          <w:sz w:val="18"/>
          <w:szCs w:val="18"/>
          <w:lang w:val="en-US"/>
        </w:rPr>
        <w:t xml:space="preserve"> </w:t>
      </w:r>
    </w:p>
    <w:p w14:paraId="1BC3710A" w14:textId="404C6D5E" w:rsidR="003B01D3" w:rsidRPr="00300A27" w:rsidRDefault="0045512D" w:rsidP="00B243B6">
      <w:pPr>
        <w:pStyle w:val="PrrafodeSentencia"/>
        <w:numPr>
          <w:ilvl w:val="0"/>
          <w:numId w:val="3"/>
        </w:numPr>
        <w:spacing w:before="120" w:after="120"/>
        <w:ind w:left="0" w:firstLine="0"/>
        <w:rPr>
          <w:spacing w:val="0"/>
          <w:lang w:val="en-US"/>
        </w:rPr>
      </w:pPr>
      <w:r w:rsidRPr="00300A27">
        <w:rPr>
          <w:spacing w:val="0"/>
          <w:szCs w:val="20"/>
          <w:lang w:val="en-US"/>
        </w:rPr>
        <w:t>Violence against</w:t>
      </w:r>
      <w:r w:rsidR="00950F94" w:rsidRPr="00300A27">
        <w:rPr>
          <w:spacing w:val="0"/>
          <w:szCs w:val="20"/>
          <w:lang w:val="en-US"/>
        </w:rPr>
        <w:t xml:space="preserve"> </w:t>
      </w:r>
      <w:r w:rsidR="007E4CD0" w:rsidRPr="00300A27">
        <w:rPr>
          <w:spacing w:val="0"/>
          <w:szCs w:val="20"/>
          <w:lang w:val="en-US"/>
        </w:rPr>
        <w:t>LGBTI people</w:t>
      </w:r>
      <w:r w:rsidR="004769F4" w:rsidRPr="00300A27">
        <w:rPr>
          <w:spacing w:val="0"/>
          <w:szCs w:val="20"/>
          <w:lang w:val="en-US"/>
        </w:rPr>
        <w:t xml:space="preserve"> </w:t>
      </w:r>
      <w:r w:rsidRPr="00300A27">
        <w:rPr>
          <w:spacing w:val="0"/>
          <w:szCs w:val="20"/>
          <w:lang w:val="en-US"/>
        </w:rPr>
        <w:t>is based on prejudices</w:t>
      </w:r>
      <w:r w:rsidR="0090308C" w:rsidRPr="00300A27">
        <w:rPr>
          <w:spacing w:val="0"/>
          <w:szCs w:val="20"/>
          <w:lang w:val="en-US"/>
        </w:rPr>
        <w:t>; that is, perceptions that are usually</w:t>
      </w:r>
      <w:r w:rsidRPr="00300A27">
        <w:rPr>
          <w:spacing w:val="0"/>
          <w:szCs w:val="20"/>
          <w:lang w:val="en-US"/>
        </w:rPr>
        <w:t xml:space="preserve"> negative of individuals or situations that are alien or different.</w:t>
      </w:r>
      <w:r w:rsidR="006A7B12" w:rsidRPr="00300A27">
        <w:rPr>
          <w:rStyle w:val="Refdenotaalpie"/>
          <w:rFonts w:eastAsia="Times New Roman" w:cs="Segoe UI"/>
          <w:spacing w:val="0"/>
          <w:szCs w:val="20"/>
          <w:lang w:val="en-US"/>
        </w:rPr>
        <w:footnoteReference w:id="129"/>
      </w:r>
      <w:r w:rsidR="00367FF7" w:rsidRPr="00300A27">
        <w:rPr>
          <w:rFonts w:eastAsia="Times New Roman" w:cs="Segoe UI"/>
          <w:spacing w:val="0"/>
          <w:szCs w:val="20"/>
          <w:lang w:val="en-US"/>
        </w:rPr>
        <w:t xml:space="preserve"> </w:t>
      </w:r>
      <w:r w:rsidRPr="00300A27">
        <w:rPr>
          <w:rFonts w:eastAsia="Times New Roman" w:cs="Segoe UI"/>
          <w:spacing w:val="0"/>
          <w:szCs w:val="20"/>
          <w:lang w:val="en-US"/>
        </w:rPr>
        <w:t>In the case of</w:t>
      </w:r>
      <w:r w:rsidR="003C526F" w:rsidRPr="00300A27">
        <w:rPr>
          <w:rFonts w:eastAsia="Times New Roman" w:cs="Segoe UI"/>
          <w:spacing w:val="0"/>
          <w:szCs w:val="20"/>
          <w:lang w:val="en-US"/>
        </w:rPr>
        <w:t xml:space="preserve"> </w:t>
      </w:r>
      <w:r w:rsidR="007E4CD0" w:rsidRPr="00300A27">
        <w:rPr>
          <w:rFonts w:eastAsia="Times New Roman" w:cs="Segoe UI"/>
          <w:spacing w:val="0"/>
          <w:szCs w:val="20"/>
          <w:lang w:val="en-US"/>
        </w:rPr>
        <w:t>LGBTI people</w:t>
      </w:r>
      <w:r w:rsidR="00367FF7" w:rsidRPr="00300A27">
        <w:rPr>
          <w:rFonts w:eastAsia="Times New Roman" w:cs="Segoe UI"/>
          <w:spacing w:val="0"/>
          <w:szCs w:val="20"/>
          <w:lang w:val="en-US"/>
        </w:rPr>
        <w:t xml:space="preserve"> </w:t>
      </w:r>
      <w:r w:rsidRPr="00300A27">
        <w:rPr>
          <w:rFonts w:eastAsia="Times New Roman" w:cs="Segoe UI"/>
          <w:spacing w:val="0"/>
          <w:szCs w:val="20"/>
          <w:lang w:val="en-US"/>
        </w:rPr>
        <w:t>this refers to prejudices based on sexual orientation and gender expression or identity. This type of violence may be driven by “the desire to punish those seen as defying gender norms.</w:t>
      </w:r>
      <w:r w:rsidR="004769F4" w:rsidRPr="00300A27">
        <w:rPr>
          <w:spacing w:val="0"/>
          <w:lang w:val="en-US"/>
        </w:rPr>
        <w:t>”</w:t>
      </w:r>
      <w:r w:rsidR="004769F4" w:rsidRPr="00300A27">
        <w:rPr>
          <w:rStyle w:val="Refdenotaalpie"/>
          <w:spacing w:val="0"/>
          <w:lang w:val="en-US"/>
        </w:rPr>
        <w:footnoteReference w:id="130"/>
      </w:r>
      <w:r w:rsidRPr="00300A27">
        <w:rPr>
          <w:spacing w:val="0"/>
          <w:lang w:val="en-US"/>
        </w:rPr>
        <w:t xml:space="preserve"> In this regard, the United Nations Independent Expert on</w:t>
      </w:r>
      <w:r w:rsidR="00C51704" w:rsidRPr="00300A27">
        <w:rPr>
          <w:spacing w:val="0"/>
          <w:lang w:val="en-US"/>
        </w:rPr>
        <w:t xml:space="preserve"> </w:t>
      </w:r>
      <w:r w:rsidRPr="00300A27">
        <w:rPr>
          <w:spacing w:val="0"/>
          <w:lang w:val="en-US"/>
        </w:rPr>
        <w:t xml:space="preserve">protection against violence and discrimination based on sexual orientation or gender identity has indicated that: </w:t>
      </w:r>
    </w:p>
    <w:p w14:paraId="1E3233BC" w14:textId="0B955A25" w:rsidR="00C51704" w:rsidRPr="00300A27" w:rsidRDefault="00E566EB" w:rsidP="00B243B6">
      <w:pPr>
        <w:pStyle w:val="PrrafodeSentencia"/>
        <w:numPr>
          <w:ilvl w:val="0"/>
          <w:numId w:val="0"/>
        </w:numPr>
        <w:spacing w:before="120" w:after="120"/>
        <w:ind w:left="567" w:right="615"/>
        <w:rPr>
          <w:rFonts w:eastAsia="Times New Roman"/>
          <w:spacing w:val="0"/>
          <w:sz w:val="18"/>
          <w:szCs w:val="18"/>
          <w:lang w:val="en-US" w:eastAsia="es-ES"/>
        </w:rPr>
      </w:pPr>
      <w:r w:rsidRPr="00300A27">
        <w:rPr>
          <w:rFonts w:cs="Arial"/>
          <w:sz w:val="18"/>
          <w:szCs w:val="18"/>
          <w:lang w:val="en-US"/>
        </w:rPr>
        <w:t xml:space="preserve">At the root of the acts of violence and discrimination [… </w:t>
      </w:r>
      <w:r w:rsidRPr="00300A27">
        <w:rPr>
          <w:spacing w:val="0"/>
          <w:sz w:val="18"/>
          <w:szCs w:val="18"/>
          <w:lang w:val="en-US"/>
        </w:rPr>
        <w:t>based on sexual orientation or gender identity]</w:t>
      </w:r>
      <w:r w:rsidRPr="00300A27">
        <w:rPr>
          <w:rFonts w:cs="Arial"/>
          <w:sz w:val="18"/>
          <w:szCs w:val="18"/>
          <w:lang w:val="en-US"/>
        </w:rPr>
        <w:t xml:space="preserve"> lies the intent to punish based on preconceived notions of what the victim’s sexual orientation or gender identity should be, with a binary understanding of what constitutes a male and a female</w:t>
      </w:r>
      <w:r w:rsidRPr="00300A27">
        <w:rPr>
          <w:rFonts w:eastAsia="Times New Roman"/>
          <w:spacing w:val="0"/>
          <w:sz w:val="18"/>
          <w:szCs w:val="18"/>
          <w:lang w:val="en-US" w:eastAsia="es-ES"/>
        </w:rPr>
        <w:t xml:space="preserve"> </w:t>
      </w:r>
      <w:r w:rsidRPr="00300A27">
        <w:rPr>
          <w:rFonts w:cs="Arial"/>
          <w:sz w:val="18"/>
          <w:szCs w:val="18"/>
          <w:lang w:val="en-US"/>
        </w:rPr>
        <w:t>or the masculine and the feminine, or with stereotypes of gender sexual</w:t>
      </w:r>
      <w:r w:rsidR="0090308C" w:rsidRPr="00300A27">
        <w:rPr>
          <w:rFonts w:cs="Arial"/>
          <w:sz w:val="18"/>
          <w:szCs w:val="18"/>
          <w:lang w:val="en-US"/>
        </w:rPr>
        <w:t>ity</w:t>
      </w:r>
      <w:r w:rsidRPr="00300A27">
        <w:rPr>
          <w:rFonts w:cs="Arial"/>
          <w:sz w:val="18"/>
          <w:szCs w:val="18"/>
          <w:lang w:val="en-US"/>
        </w:rPr>
        <w:t>.</w:t>
      </w:r>
      <w:r w:rsidR="00C51704" w:rsidRPr="00300A27">
        <w:rPr>
          <w:rStyle w:val="Refdenotaalpie"/>
          <w:rFonts w:eastAsia="Times New Roman"/>
          <w:spacing w:val="0"/>
          <w:sz w:val="18"/>
          <w:szCs w:val="18"/>
          <w:lang w:val="en-US" w:eastAsia="es-ES"/>
        </w:rPr>
        <w:footnoteReference w:id="131"/>
      </w:r>
      <w:r w:rsidR="00C51704" w:rsidRPr="00300A27">
        <w:rPr>
          <w:rFonts w:eastAsia="Times New Roman"/>
          <w:spacing w:val="0"/>
          <w:sz w:val="18"/>
          <w:szCs w:val="18"/>
          <w:lang w:val="en-US" w:eastAsia="es-ES"/>
        </w:rPr>
        <w:t xml:space="preserve"> </w:t>
      </w:r>
    </w:p>
    <w:p w14:paraId="7C863AEE" w14:textId="3920B81F" w:rsidR="00C51704" w:rsidRPr="00300A27" w:rsidRDefault="00E566EB" w:rsidP="00B243B6">
      <w:pPr>
        <w:pStyle w:val="PrrafodeSentencia"/>
        <w:numPr>
          <w:ilvl w:val="0"/>
          <w:numId w:val="3"/>
        </w:numPr>
        <w:spacing w:before="120" w:after="120"/>
        <w:ind w:left="0" w:firstLine="0"/>
        <w:rPr>
          <w:spacing w:val="0"/>
          <w:szCs w:val="20"/>
          <w:lang w:val="en-US"/>
        </w:rPr>
      </w:pPr>
      <w:r w:rsidRPr="00300A27">
        <w:rPr>
          <w:rFonts w:eastAsia="Times New Roman"/>
          <w:spacing w:val="0"/>
          <w:szCs w:val="20"/>
          <w:lang w:val="en-US" w:eastAsia="es-ES"/>
        </w:rPr>
        <w:t>Violence against</w:t>
      </w:r>
      <w:r w:rsidR="00F32FEC" w:rsidRPr="00300A27">
        <w:rPr>
          <w:rFonts w:eastAsia="Times New Roman"/>
          <w:spacing w:val="0"/>
          <w:szCs w:val="20"/>
          <w:lang w:val="en-US" w:eastAsia="es-ES"/>
        </w:rPr>
        <w:t xml:space="preserve"> </w:t>
      </w:r>
      <w:r w:rsidR="007E4CD0" w:rsidRPr="00300A27">
        <w:rPr>
          <w:rFonts w:eastAsia="Times New Roman"/>
          <w:spacing w:val="0"/>
          <w:szCs w:val="20"/>
          <w:lang w:val="en-US" w:eastAsia="es-ES"/>
        </w:rPr>
        <w:t>LGBTI people</w:t>
      </w:r>
      <w:r w:rsidR="00F32FEC" w:rsidRPr="00300A27">
        <w:rPr>
          <w:rFonts w:eastAsia="Times New Roman"/>
          <w:spacing w:val="0"/>
          <w:szCs w:val="20"/>
          <w:lang w:val="en-US" w:eastAsia="es-ES"/>
        </w:rPr>
        <w:t xml:space="preserve"> </w:t>
      </w:r>
      <w:r w:rsidRPr="00300A27">
        <w:rPr>
          <w:rFonts w:eastAsia="Times New Roman"/>
          <w:spacing w:val="0"/>
          <w:szCs w:val="20"/>
          <w:lang w:val="en-US" w:eastAsia="es-ES"/>
        </w:rPr>
        <w:t xml:space="preserve">has a symbolic purpose; the victim is chosen in order to communicate a message of exclusion or subordination. On this point, the Court has indicated that </w:t>
      </w:r>
      <w:r w:rsidR="00A40D86" w:rsidRPr="00300A27">
        <w:rPr>
          <w:rFonts w:eastAsia="Times New Roman"/>
          <w:spacing w:val="0"/>
          <w:szCs w:val="20"/>
          <w:lang w:val="en-US" w:eastAsia="es-ES"/>
        </w:rPr>
        <w:t xml:space="preserve">the use of </w:t>
      </w:r>
      <w:r w:rsidRPr="00300A27">
        <w:rPr>
          <w:rFonts w:eastAsia="Times New Roman"/>
          <w:spacing w:val="0"/>
          <w:szCs w:val="20"/>
          <w:lang w:val="en-US" w:eastAsia="es-ES"/>
        </w:rPr>
        <w:t xml:space="preserve">violence for discriminatory reasons has the purpose or effect of preventing or annulling the recognition, enjoyment or exercise of the fundamental human rights and freedoms of the person who is the object of the discrimination, regardless of whether that person identifies </w:t>
      </w:r>
      <w:r w:rsidR="00A40D86" w:rsidRPr="00300A27">
        <w:rPr>
          <w:rFonts w:eastAsia="Times New Roman"/>
          <w:spacing w:val="0"/>
          <w:szCs w:val="20"/>
          <w:lang w:val="en-US" w:eastAsia="es-ES"/>
        </w:rPr>
        <w:t>themself</w:t>
      </w:r>
      <w:r w:rsidRPr="00300A27">
        <w:rPr>
          <w:rFonts w:eastAsia="Times New Roman"/>
          <w:spacing w:val="0"/>
          <w:szCs w:val="20"/>
          <w:lang w:val="en-US" w:eastAsia="es-ES"/>
        </w:rPr>
        <w:t xml:space="preserve"> with a determined category.</w:t>
      </w:r>
      <w:r w:rsidR="00F32FEC" w:rsidRPr="00300A27">
        <w:rPr>
          <w:rStyle w:val="Refdenotaalpie"/>
          <w:spacing w:val="0"/>
          <w:szCs w:val="20"/>
          <w:lang w:val="en-US"/>
        </w:rPr>
        <w:footnoteReference w:id="132"/>
      </w:r>
      <w:r w:rsidRPr="00300A27">
        <w:rPr>
          <w:spacing w:val="0"/>
          <w:szCs w:val="20"/>
          <w:lang w:val="en-US"/>
        </w:rPr>
        <w:t xml:space="preserve"> This violence, fed by hate speech, can result in hate crimes.</w:t>
      </w:r>
      <w:r w:rsidR="003A1940" w:rsidRPr="00300A27">
        <w:rPr>
          <w:rStyle w:val="Refdenotaalpie"/>
          <w:spacing w:val="0"/>
          <w:szCs w:val="20"/>
          <w:lang w:val="en-US"/>
        </w:rPr>
        <w:footnoteReference w:id="133"/>
      </w:r>
    </w:p>
    <w:p w14:paraId="081F0DBA" w14:textId="1D27E406" w:rsidR="00E566EB" w:rsidRPr="00300A27" w:rsidRDefault="005B1C65" w:rsidP="00B243B6">
      <w:pPr>
        <w:pStyle w:val="PrrafodeSentencia"/>
        <w:numPr>
          <w:ilvl w:val="0"/>
          <w:numId w:val="3"/>
        </w:numPr>
        <w:spacing w:before="120" w:after="120"/>
        <w:ind w:left="0" w:firstLine="0"/>
        <w:rPr>
          <w:spacing w:val="0"/>
          <w:lang w:val="en-US"/>
        </w:rPr>
      </w:pPr>
      <w:r w:rsidRPr="00300A27">
        <w:rPr>
          <w:spacing w:val="0"/>
          <w:szCs w:val="20"/>
          <w:lang w:val="en-US"/>
        </w:rPr>
        <w:t>The Court</w:t>
      </w:r>
      <w:r w:rsidR="003E2BAA" w:rsidRPr="00300A27">
        <w:rPr>
          <w:spacing w:val="0"/>
          <w:szCs w:val="20"/>
          <w:lang w:val="en-US"/>
        </w:rPr>
        <w:t xml:space="preserve"> </w:t>
      </w:r>
      <w:r w:rsidR="00E566EB" w:rsidRPr="00300A27">
        <w:rPr>
          <w:spacing w:val="0"/>
          <w:szCs w:val="20"/>
          <w:lang w:val="en-US"/>
        </w:rPr>
        <w:t xml:space="preserve">notes also that, at times, it may be difficult to distinguish between discrimination </w:t>
      </w:r>
      <w:r w:rsidR="00A40D86" w:rsidRPr="00300A27">
        <w:rPr>
          <w:spacing w:val="0"/>
          <w:szCs w:val="20"/>
          <w:lang w:val="en-US"/>
        </w:rPr>
        <w:t>due to</w:t>
      </w:r>
      <w:r w:rsidR="00E566EB" w:rsidRPr="00300A27">
        <w:rPr>
          <w:spacing w:val="0"/>
          <w:szCs w:val="20"/>
          <w:lang w:val="en-US"/>
        </w:rPr>
        <w:t xml:space="preserve"> sexual orientation and discrimination </w:t>
      </w:r>
      <w:r w:rsidR="00A40D86" w:rsidRPr="00300A27">
        <w:rPr>
          <w:spacing w:val="0"/>
          <w:szCs w:val="20"/>
          <w:lang w:val="en-US"/>
        </w:rPr>
        <w:t>due to</w:t>
      </w:r>
      <w:r w:rsidR="00E566EB" w:rsidRPr="00300A27">
        <w:rPr>
          <w:spacing w:val="0"/>
          <w:szCs w:val="20"/>
          <w:lang w:val="en-US"/>
        </w:rPr>
        <w:t xml:space="preserve"> gender expression. Discrimination </w:t>
      </w:r>
      <w:r w:rsidR="00A40D86" w:rsidRPr="00300A27">
        <w:rPr>
          <w:spacing w:val="0"/>
          <w:szCs w:val="20"/>
          <w:lang w:val="en-US"/>
        </w:rPr>
        <w:t>due to</w:t>
      </w:r>
      <w:r w:rsidR="00E566EB" w:rsidRPr="00300A27">
        <w:rPr>
          <w:spacing w:val="0"/>
          <w:szCs w:val="20"/>
          <w:lang w:val="en-US"/>
        </w:rPr>
        <w:t xml:space="preserve"> sexual orientation may </w:t>
      </w:r>
      <w:r w:rsidR="00A40D86" w:rsidRPr="00300A27">
        <w:rPr>
          <w:spacing w:val="0"/>
          <w:szCs w:val="20"/>
          <w:lang w:val="en-US"/>
        </w:rPr>
        <w:t>be based on</w:t>
      </w:r>
      <w:r w:rsidR="00E566EB" w:rsidRPr="00300A27">
        <w:rPr>
          <w:spacing w:val="0"/>
          <w:szCs w:val="20"/>
          <w:lang w:val="en-US"/>
        </w:rPr>
        <w:t xml:space="preserve"> a real or perceive</w:t>
      </w:r>
      <w:r w:rsidR="00A40D86" w:rsidRPr="00300A27">
        <w:rPr>
          <w:spacing w:val="0"/>
          <w:szCs w:val="20"/>
          <w:lang w:val="en-US"/>
        </w:rPr>
        <w:t>d</w:t>
      </w:r>
      <w:r w:rsidR="00E566EB" w:rsidRPr="00300A27">
        <w:rPr>
          <w:spacing w:val="0"/>
          <w:szCs w:val="20"/>
          <w:lang w:val="en-US"/>
        </w:rPr>
        <w:t xml:space="preserve"> sexual orientation, so that it includes cases in which a person is discriminated against owing to the perception that others have of their sexual orientation.</w:t>
      </w:r>
      <w:r w:rsidR="003E2BAA" w:rsidRPr="00300A27">
        <w:rPr>
          <w:rStyle w:val="Refdenotaalpie"/>
          <w:spacing w:val="0"/>
          <w:lang w:val="en-US"/>
        </w:rPr>
        <w:footnoteReference w:id="134"/>
      </w:r>
      <w:r w:rsidR="00E566EB" w:rsidRPr="00300A27">
        <w:rPr>
          <w:spacing w:val="0"/>
          <w:lang w:val="en-US"/>
        </w:rPr>
        <w:t xml:space="preserve"> This perception may be influenced, for example, by clothing, hairstyle, mannerisms or </w:t>
      </w:r>
      <w:r w:rsidR="0014382B" w:rsidRPr="00300A27">
        <w:rPr>
          <w:spacing w:val="0"/>
          <w:lang w:val="en-US"/>
        </w:rPr>
        <w:t xml:space="preserve">behavior that do not correspond to traditional or stereotypical gender standards or </w:t>
      </w:r>
      <w:r w:rsidR="00A40D86" w:rsidRPr="00300A27">
        <w:rPr>
          <w:spacing w:val="0"/>
          <w:lang w:val="en-US"/>
        </w:rPr>
        <w:t xml:space="preserve">that </w:t>
      </w:r>
      <w:r w:rsidR="0014382B" w:rsidRPr="00300A27">
        <w:rPr>
          <w:spacing w:val="0"/>
          <w:lang w:val="en-US"/>
        </w:rPr>
        <w:t>constitute</w:t>
      </w:r>
      <w:r w:rsidR="00A40D86" w:rsidRPr="00300A27">
        <w:rPr>
          <w:spacing w:val="0"/>
          <w:lang w:val="en-US"/>
        </w:rPr>
        <w:t xml:space="preserve"> a</w:t>
      </w:r>
      <w:r w:rsidR="0014382B" w:rsidRPr="00300A27">
        <w:rPr>
          <w:spacing w:val="0"/>
          <w:lang w:val="en-US"/>
        </w:rPr>
        <w:t xml:space="preserve"> non-normative gender expression. In </w:t>
      </w:r>
      <w:r w:rsidR="00EB6A07" w:rsidRPr="00300A27">
        <w:rPr>
          <w:spacing w:val="0"/>
          <w:lang w:val="en-US"/>
        </w:rPr>
        <w:t>this</w:t>
      </w:r>
      <w:r w:rsidR="0014382B" w:rsidRPr="00300A27">
        <w:rPr>
          <w:spacing w:val="0"/>
          <w:lang w:val="en-US"/>
        </w:rPr>
        <w:t xml:space="preserve"> case, </w:t>
      </w:r>
      <w:r w:rsidR="00EB6A07" w:rsidRPr="00300A27">
        <w:rPr>
          <w:spacing w:val="0"/>
          <w:lang w:val="en-US"/>
        </w:rPr>
        <w:t xml:space="preserve">third parties could have associated </w:t>
      </w:r>
      <w:r w:rsidR="0014382B" w:rsidRPr="00300A27">
        <w:rPr>
          <w:spacing w:val="0"/>
          <w:lang w:val="en-US"/>
        </w:rPr>
        <w:t>the presumed victim’s gender expression with a specific sexual orientation.</w:t>
      </w:r>
    </w:p>
    <w:p w14:paraId="14AEDA39" w14:textId="53B022A9" w:rsidR="003B5B53" w:rsidRPr="00300A27" w:rsidRDefault="0014382B" w:rsidP="00B243B6">
      <w:pPr>
        <w:pStyle w:val="PrrafodeSentencia"/>
        <w:numPr>
          <w:ilvl w:val="0"/>
          <w:numId w:val="3"/>
        </w:numPr>
        <w:spacing w:before="120" w:after="240"/>
        <w:ind w:left="0" w:firstLine="0"/>
        <w:rPr>
          <w:spacing w:val="0"/>
          <w:szCs w:val="20"/>
          <w:lang w:val="en-US"/>
        </w:rPr>
      </w:pPr>
      <w:r w:rsidRPr="00300A27">
        <w:rPr>
          <w:spacing w:val="0"/>
          <w:lang w:val="en-US"/>
        </w:rPr>
        <w:t>In th</w:t>
      </w:r>
      <w:r w:rsidR="00EB6A07" w:rsidRPr="00300A27">
        <w:rPr>
          <w:spacing w:val="0"/>
          <w:lang w:val="en-US"/>
        </w:rPr>
        <w:t>e instant</w:t>
      </w:r>
      <w:r w:rsidRPr="00300A27">
        <w:rPr>
          <w:spacing w:val="0"/>
          <w:lang w:val="en-US"/>
        </w:rPr>
        <w:t xml:space="preserve"> case, the arguments concerning discrimination </w:t>
      </w:r>
      <w:r w:rsidR="00EB6A07" w:rsidRPr="00300A27">
        <w:rPr>
          <w:spacing w:val="0"/>
          <w:lang w:val="en-US"/>
        </w:rPr>
        <w:t>crosscut</w:t>
      </w:r>
      <w:r w:rsidRPr="00300A27">
        <w:rPr>
          <w:spacing w:val="0"/>
          <w:lang w:val="en-US"/>
        </w:rPr>
        <w:t xml:space="preserve"> the other alleged violations</w:t>
      </w:r>
      <w:r w:rsidR="00EB6A07" w:rsidRPr="00300A27">
        <w:rPr>
          <w:spacing w:val="0"/>
          <w:lang w:val="en-US"/>
        </w:rPr>
        <w:t>;</w:t>
      </w:r>
      <w:r w:rsidRPr="00300A27">
        <w:rPr>
          <w:spacing w:val="0"/>
          <w:lang w:val="en-US"/>
        </w:rPr>
        <w:t xml:space="preserve"> consequently, the Court will take them into account throughout the judgment.</w:t>
      </w:r>
    </w:p>
    <w:p w14:paraId="7B7776A4" w14:textId="7A149F53" w:rsidR="00CA38A9" w:rsidRPr="00300A27" w:rsidRDefault="00CA38A9" w:rsidP="00B243B6">
      <w:pPr>
        <w:pStyle w:val="Ttulo1"/>
        <w:spacing w:before="120" w:after="120"/>
        <w:rPr>
          <w:lang w:val="en-US"/>
        </w:rPr>
      </w:pPr>
      <w:bookmarkStart w:id="81" w:name="_Toc36823476"/>
      <w:bookmarkStart w:id="82" w:name="_Toc32394157"/>
      <w:r w:rsidRPr="00300A27">
        <w:rPr>
          <w:lang w:val="en-US"/>
        </w:rPr>
        <w:t>VII-</w:t>
      </w:r>
      <w:r w:rsidR="008E4AA0" w:rsidRPr="00300A27">
        <w:rPr>
          <w:lang w:val="en-US"/>
        </w:rPr>
        <w:t>2</w:t>
      </w:r>
      <w:r w:rsidRPr="00300A27">
        <w:rPr>
          <w:lang w:val="en-US"/>
        </w:rPr>
        <w:br/>
      </w:r>
      <w:r w:rsidR="002959DE" w:rsidRPr="00300A27">
        <w:rPr>
          <w:lang w:val="en-US"/>
        </w:rPr>
        <w:t>RIGHT TO PERSONAL LIBERTY</w:t>
      </w:r>
      <w:r w:rsidR="00842954" w:rsidRPr="00300A27">
        <w:rPr>
          <w:rStyle w:val="Refdenotaalpie"/>
          <w:lang w:val="en-US"/>
        </w:rPr>
        <w:footnoteReference w:id="135"/>
      </w:r>
      <w:bookmarkEnd w:id="81"/>
      <w:r w:rsidRPr="00300A27">
        <w:rPr>
          <w:lang w:val="en-US"/>
        </w:rPr>
        <w:t xml:space="preserve"> </w:t>
      </w:r>
      <w:bookmarkEnd w:id="82"/>
    </w:p>
    <w:p w14:paraId="310F7946" w14:textId="76D7B73C" w:rsidR="00CA38A9" w:rsidRPr="00300A27" w:rsidRDefault="00FD36FD" w:rsidP="00B243B6">
      <w:pPr>
        <w:pStyle w:val="Ttulo2"/>
        <w:numPr>
          <w:ilvl w:val="0"/>
          <w:numId w:val="13"/>
        </w:numPr>
        <w:tabs>
          <w:tab w:val="clear" w:pos="1134"/>
          <w:tab w:val="left" w:pos="567"/>
        </w:tabs>
        <w:ind w:left="1134" w:hanging="567"/>
        <w:rPr>
          <w:lang w:val="en-US"/>
        </w:rPr>
      </w:pPr>
      <w:bookmarkStart w:id="83" w:name="_Toc32394158"/>
      <w:bookmarkStart w:id="84" w:name="_Toc36823477"/>
      <w:r w:rsidRPr="00300A27">
        <w:rPr>
          <w:lang w:val="en-US"/>
        </w:rPr>
        <w:t>Arguments of the parties</w:t>
      </w:r>
      <w:r w:rsidR="005B1C65" w:rsidRPr="00300A27">
        <w:rPr>
          <w:lang w:val="en-US"/>
        </w:rPr>
        <w:t xml:space="preserve"> and</w:t>
      </w:r>
      <w:r w:rsidR="007071F6" w:rsidRPr="00300A27">
        <w:rPr>
          <w:lang w:val="en-US"/>
        </w:rPr>
        <w:t xml:space="preserve"> of the </w:t>
      </w:r>
      <w:r w:rsidR="00C2001D" w:rsidRPr="00300A27">
        <w:rPr>
          <w:lang w:val="en-US"/>
        </w:rPr>
        <w:t>Commission</w:t>
      </w:r>
      <w:bookmarkEnd w:id="83"/>
      <w:bookmarkEnd w:id="84"/>
    </w:p>
    <w:p w14:paraId="096A2BA2" w14:textId="0FD38F90" w:rsidR="007A6647" w:rsidRPr="00300A27" w:rsidRDefault="00C2001D" w:rsidP="00B243B6">
      <w:pPr>
        <w:pStyle w:val="PrrafodeSentencia"/>
        <w:numPr>
          <w:ilvl w:val="0"/>
          <w:numId w:val="3"/>
        </w:numPr>
        <w:spacing w:before="120" w:after="120"/>
        <w:ind w:left="0" w:firstLine="0"/>
        <w:rPr>
          <w:spacing w:val="0"/>
          <w:lang w:val="en-US"/>
        </w:rPr>
      </w:pPr>
      <w:r w:rsidRPr="00300A27">
        <w:rPr>
          <w:spacing w:val="0"/>
          <w:lang w:val="en-US"/>
        </w:rPr>
        <w:t xml:space="preserve">The </w:t>
      </w:r>
      <w:r w:rsidRPr="00300A27">
        <w:rPr>
          <w:b/>
          <w:bCs/>
          <w:i/>
          <w:iCs/>
          <w:spacing w:val="0"/>
          <w:lang w:val="en-US"/>
        </w:rPr>
        <w:t>Commission</w:t>
      </w:r>
      <w:r w:rsidR="00976059" w:rsidRPr="00300A27">
        <w:rPr>
          <w:b/>
          <w:i/>
          <w:spacing w:val="0"/>
          <w:lang w:val="en-US"/>
        </w:rPr>
        <w:t xml:space="preserve"> </w:t>
      </w:r>
      <w:r w:rsidR="00976059" w:rsidRPr="00300A27">
        <w:rPr>
          <w:spacing w:val="0"/>
          <w:lang w:val="en-US"/>
        </w:rPr>
        <w:t xml:space="preserve">argued that the deprivation of liberty </w:t>
      </w:r>
      <w:r w:rsidR="008546E9" w:rsidRPr="00300A27">
        <w:rPr>
          <w:spacing w:val="0"/>
          <w:lang w:val="en-US"/>
        </w:rPr>
        <w:t xml:space="preserve">of the </w:t>
      </w:r>
      <w:r w:rsidR="00834A1B" w:rsidRPr="00300A27">
        <w:rPr>
          <w:spacing w:val="0"/>
          <w:lang w:val="en-US"/>
        </w:rPr>
        <w:t>presumed victim</w:t>
      </w:r>
      <w:r w:rsidR="00CA38A9" w:rsidRPr="00300A27">
        <w:rPr>
          <w:spacing w:val="0"/>
          <w:lang w:val="en-US"/>
        </w:rPr>
        <w:t xml:space="preserve"> </w:t>
      </w:r>
      <w:r w:rsidR="00976059" w:rsidRPr="00300A27">
        <w:rPr>
          <w:spacing w:val="0"/>
          <w:lang w:val="en-US"/>
        </w:rPr>
        <w:t>was unlawful because “the police intervention and detention of</w:t>
      </w:r>
      <w:r w:rsidR="00CA38A9" w:rsidRPr="00300A27">
        <w:rPr>
          <w:spacing w:val="0"/>
          <w:lang w:val="en-US"/>
        </w:rPr>
        <w:t xml:space="preserve"> Azul Rojas Marín </w:t>
      </w:r>
      <w:r w:rsidR="00976059" w:rsidRPr="00300A27">
        <w:rPr>
          <w:spacing w:val="0"/>
          <w:lang w:val="en-US"/>
        </w:rPr>
        <w:t>was not recorded in the logbook as required by a</w:t>
      </w:r>
      <w:r w:rsidR="009B35A1" w:rsidRPr="00300A27">
        <w:rPr>
          <w:spacing w:val="0"/>
          <w:lang w:val="en-US"/>
        </w:rPr>
        <w:t>rticle</w:t>
      </w:r>
      <w:r w:rsidR="00CA38A9" w:rsidRPr="00300A27">
        <w:rPr>
          <w:spacing w:val="0"/>
          <w:lang w:val="en-US"/>
        </w:rPr>
        <w:t xml:space="preserve"> 205</w:t>
      </w:r>
      <w:r w:rsidR="00976059" w:rsidRPr="00300A27">
        <w:rPr>
          <w:spacing w:val="0"/>
          <w:lang w:val="en-US"/>
        </w:rPr>
        <w:t xml:space="preserve"> of the Code of Criminal Procedure.</w:t>
      </w:r>
      <w:r w:rsidR="00CA38A9" w:rsidRPr="00300A27">
        <w:rPr>
          <w:spacing w:val="0"/>
          <w:lang w:val="en-US"/>
        </w:rPr>
        <w:t>”</w:t>
      </w:r>
      <w:r w:rsidR="00976059" w:rsidRPr="00300A27">
        <w:rPr>
          <w:spacing w:val="0"/>
          <w:lang w:val="en-US"/>
        </w:rPr>
        <w:t xml:space="preserve"> In addition, </w:t>
      </w:r>
      <w:r w:rsidR="00EB6A07" w:rsidRPr="00300A27">
        <w:rPr>
          <w:spacing w:val="0"/>
          <w:lang w:val="en-US"/>
        </w:rPr>
        <w:t>the Commission</w:t>
      </w:r>
      <w:r w:rsidR="00976059" w:rsidRPr="00300A27">
        <w:rPr>
          <w:spacing w:val="0"/>
          <w:lang w:val="en-US"/>
        </w:rPr>
        <w:t xml:space="preserve"> considered that her retention for identification purposes “was based on subjective perceptions” that bore no relationship to the purposes established in the Code. It added that the police action “was discriminatory” because the </w:t>
      </w:r>
      <w:r w:rsidR="00EB6A07" w:rsidRPr="00300A27">
        <w:rPr>
          <w:spacing w:val="0"/>
          <w:lang w:val="en-US"/>
        </w:rPr>
        <w:t>s</w:t>
      </w:r>
      <w:r w:rsidR="00976059" w:rsidRPr="00300A27">
        <w:rPr>
          <w:spacing w:val="0"/>
          <w:lang w:val="en-US"/>
        </w:rPr>
        <w:t>tat</w:t>
      </w:r>
      <w:r w:rsidR="003E6669" w:rsidRPr="00300A27">
        <w:rPr>
          <w:spacing w:val="0"/>
          <w:lang w:val="en-US"/>
        </w:rPr>
        <w:t>e</w:t>
      </w:r>
      <w:r w:rsidR="00976059" w:rsidRPr="00300A27">
        <w:rPr>
          <w:spacing w:val="0"/>
          <w:lang w:val="en-US"/>
        </w:rPr>
        <w:t xml:space="preserve"> officials “not only used physical force against her, but also attacked </w:t>
      </w:r>
      <w:r w:rsidR="003E6669" w:rsidRPr="00300A27">
        <w:rPr>
          <w:spacing w:val="0"/>
          <w:lang w:val="en-US"/>
        </w:rPr>
        <w:t xml:space="preserve">her verbally with repeated references to her sexual orientation,” so that the detention was also arbitrary. </w:t>
      </w:r>
    </w:p>
    <w:p w14:paraId="66FCEA11" w14:textId="2BA17E70" w:rsidR="007A6647" w:rsidRPr="00300A27" w:rsidRDefault="00BA3C7F" w:rsidP="00B243B6">
      <w:pPr>
        <w:pStyle w:val="PrrafodeSentencia"/>
        <w:numPr>
          <w:ilvl w:val="0"/>
          <w:numId w:val="3"/>
        </w:numPr>
        <w:spacing w:before="120" w:after="120"/>
        <w:ind w:left="0" w:firstLine="0"/>
        <w:rPr>
          <w:spacing w:val="0"/>
          <w:lang w:val="en-US"/>
        </w:rPr>
      </w:pPr>
      <w:r w:rsidRPr="00300A27">
        <w:rPr>
          <w:spacing w:val="0"/>
          <w:lang w:val="en-US"/>
        </w:rPr>
        <w:t xml:space="preserve">The </w:t>
      </w:r>
      <w:r w:rsidRPr="00300A27">
        <w:rPr>
          <w:b/>
          <w:bCs/>
          <w:i/>
          <w:iCs/>
          <w:spacing w:val="0"/>
          <w:lang w:val="en-US"/>
        </w:rPr>
        <w:t>representatives</w:t>
      </w:r>
      <w:r w:rsidR="00CA38A9" w:rsidRPr="00300A27">
        <w:rPr>
          <w:b/>
          <w:i/>
          <w:spacing w:val="0"/>
          <w:lang w:val="en-US"/>
        </w:rPr>
        <w:t xml:space="preserve"> </w:t>
      </w:r>
      <w:r w:rsidR="003E6669" w:rsidRPr="00300A27">
        <w:rPr>
          <w:spacing w:val="0"/>
          <w:lang w:val="en-US"/>
        </w:rPr>
        <w:t>argued that</w:t>
      </w:r>
      <w:r w:rsidR="00CA38A9" w:rsidRPr="00300A27">
        <w:rPr>
          <w:spacing w:val="0"/>
          <w:lang w:val="en-US"/>
        </w:rPr>
        <w:t xml:space="preserve"> Azul Rojas Marín </w:t>
      </w:r>
      <w:r w:rsidR="003E6669" w:rsidRPr="00300A27">
        <w:rPr>
          <w:spacing w:val="0"/>
          <w:lang w:val="en-US"/>
        </w:rPr>
        <w:t>was detained owing to “discrimination based on sexual orientation and non-normative gender expression,” because “the agents who detained and tortured Azul initiated the detention by insulting her and using language that clearly referred to the perceived sexual orientation.” This constituted a discriminatory application of article 205 of the Code of Criminal Procedure. They considered that “there is no evident reason why the agents who detained and tortured Azul were in the area.” They indicated that “the supposed reason for the detention (</w:t>
      </w:r>
      <w:r w:rsidR="00D63E1A" w:rsidRPr="00300A27">
        <w:rPr>
          <w:spacing w:val="0"/>
          <w:lang w:val="en-US"/>
        </w:rPr>
        <w:t xml:space="preserve">an </w:t>
      </w:r>
      <w:r w:rsidR="003E6669" w:rsidRPr="00300A27">
        <w:rPr>
          <w:spacing w:val="0"/>
          <w:lang w:val="en-US"/>
        </w:rPr>
        <w:t xml:space="preserve">identity </w:t>
      </w:r>
      <w:r w:rsidR="00D63E1A" w:rsidRPr="00300A27">
        <w:rPr>
          <w:spacing w:val="0"/>
          <w:lang w:val="en-US"/>
        </w:rPr>
        <w:t>check</w:t>
      </w:r>
      <w:r w:rsidR="003E6669" w:rsidRPr="00300A27">
        <w:rPr>
          <w:spacing w:val="0"/>
          <w:lang w:val="en-US"/>
        </w:rPr>
        <w:t>) was totally unjustified because</w:t>
      </w:r>
      <w:r w:rsidR="00EB6A07" w:rsidRPr="00300A27">
        <w:rPr>
          <w:spacing w:val="0"/>
          <w:lang w:val="en-US"/>
        </w:rPr>
        <w:t>,</w:t>
      </w:r>
      <w:r w:rsidR="003E6669" w:rsidRPr="00300A27">
        <w:rPr>
          <w:spacing w:val="0"/>
          <w:lang w:val="en-US"/>
        </w:rPr>
        <w:t xml:space="preserve"> although it is true that Azul was not carrying her identity document</w:t>
      </w:r>
      <w:r w:rsidR="00DB2C1C" w:rsidRPr="00300A27">
        <w:rPr>
          <w:spacing w:val="0"/>
          <w:lang w:val="en-US"/>
        </w:rPr>
        <w:t xml:space="preserve"> at the time of the detention, at least one of the agents knew her and knew who she was.” They also argued that the detention was unlawful because: (i) it was </w:t>
      </w:r>
      <w:r w:rsidR="00EB6A07" w:rsidRPr="00300A27">
        <w:rPr>
          <w:spacing w:val="0"/>
          <w:lang w:val="en-US"/>
        </w:rPr>
        <w:t>carried out</w:t>
      </w:r>
      <w:r w:rsidR="00DB2C1C" w:rsidRPr="00300A27">
        <w:rPr>
          <w:spacing w:val="0"/>
          <w:lang w:val="en-US"/>
        </w:rPr>
        <w:t xml:space="preserve"> due to calls with complaints by neighbors; (ii) “Azul was not given the possibility of being able to produce her identity document”; (iii) “she was not allowed to contact her family and her detention was not </w:t>
      </w:r>
      <w:r w:rsidR="00EB6A07" w:rsidRPr="00300A27">
        <w:rPr>
          <w:spacing w:val="0"/>
          <w:lang w:val="en-US"/>
        </w:rPr>
        <w:t>recorded in the logbook</w:t>
      </w:r>
      <w:r w:rsidR="00DB2C1C" w:rsidRPr="00300A27">
        <w:rPr>
          <w:spacing w:val="0"/>
          <w:lang w:val="en-US"/>
        </w:rPr>
        <w:t xml:space="preserve"> as required by article 205 [of the Code of Criminal Procedure</w:t>
      </w:r>
      <w:r w:rsidR="00DB2C1C" w:rsidRPr="00300A27">
        <w:rPr>
          <w:lang w:val="en-US"/>
        </w:rPr>
        <w:t>],</w:t>
      </w:r>
      <w:r w:rsidR="00DB2C1C" w:rsidRPr="00300A27">
        <w:rPr>
          <w:spacing w:val="0"/>
          <w:lang w:val="en-US"/>
        </w:rPr>
        <w:t>” and (iv) the intervention lasted more than the four hours permitted by law. They argued that the detention was also arbitrary and that Azul was not advised of the reasons for her detention. They also indicated that “no judicial control was exercise while she was detained, which is also indicative of the fact that her detention was arbitrary.”</w:t>
      </w:r>
    </w:p>
    <w:p w14:paraId="493666B3" w14:textId="052E86A2" w:rsidR="008C2E49" w:rsidRPr="00300A27" w:rsidRDefault="00DB2C1C" w:rsidP="00B243B6">
      <w:pPr>
        <w:pStyle w:val="PrrafodeSentencia"/>
        <w:numPr>
          <w:ilvl w:val="0"/>
          <w:numId w:val="3"/>
        </w:numPr>
        <w:tabs>
          <w:tab w:val="left" w:pos="630"/>
        </w:tabs>
        <w:spacing w:before="120" w:after="120"/>
        <w:ind w:left="0" w:firstLine="0"/>
        <w:rPr>
          <w:lang w:val="en-US"/>
        </w:rPr>
      </w:pPr>
      <w:r w:rsidRPr="00300A27">
        <w:rPr>
          <w:spacing w:val="0"/>
          <w:lang w:val="en-US"/>
        </w:rPr>
        <w:t>Lastly, they considered that a</w:t>
      </w:r>
      <w:r w:rsidR="005B1C65" w:rsidRPr="00300A27">
        <w:rPr>
          <w:spacing w:val="0"/>
          <w:lang w:val="en-US"/>
        </w:rPr>
        <w:t>rticle</w:t>
      </w:r>
      <w:r w:rsidR="00CA38A9" w:rsidRPr="00300A27">
        <w:rPr>
          <w:spacing w:val="0"/>
          <w:lang w:val="en-US"/>
        </w:rPr>
        <w:t xml:space="preserve"> 205</w:t>
      </w:r>
      <w:r w:rsidR="00976059" w:rsidRPr="00300A27">
        <w:rPr>
          <w:spacing w:val="0"/>
          <w:lang w:val="en-US"/>
        </w:rPr>
        <w:t xml:space="preserve"> of the Code of Criminal Procedure</w:t>
      </w:r>
      <w:r w:rsidR="009A76C0" w:rsidRPr="00300A27">
        <w:rPr>
          <w:lang w:val="en-US"/>
        </w:rPr>
        <w:t xml:space="preserve"> </w:t>
      </w:r>
      <w:r w:rsidRPr="00300A27">
        <w:rPr>
          <w:lang w:val="en-US"/>
        </w:rPr>
        <w:t xml:space="preserve">was contrary to </w:t>
      </w:r>
      <w:r w:rsidR="005B1C65" w:rsidRPr="00300A27">
        <w:rPr>
          <w:spacing w:val="0"/>
          <w:lang w:val="en-US"/>
        </w:rPr>
        <w:t>the Convention</w:t>
      </w:r>
      <w:r w:rsidR="00CA38A9" w:rsidRPr="00300A27">
        <w:rPr>
          <w:spacing w:val="0"/>
          <w:lang w:val="en-US"/>
        </w:rPr>
        <w:t xml:space="preserve">. </w:t>
      </w:r>
      <w:r w:rsidRPr="00300A27">
        <w:rPr>
          <w:spacing w:val="0"/>
          <w:lang w:val="en-US"/>
        </w:rPr>
        <w:t>They indicated that:</w:t>
      </w:r>
      <w:r w:rsidR="00CA38A9" w:rsidRPr="00300A27">
        <w:rPr>
          <w:spacing w:val="0"/>
          <w:lang w:val="en-US"/>
        </w:rPr>
        <w:t xml:space="preserve"> </w:t>
      </w:r>
      <w:r w:rsidRPr="00300A27">
        <w:rPr>
          <w:spacing w:val="0"/>
          <w:lang w:val="en-US"/>
        </w:rPr>
        <w:t>(</w:t>
      </w:r>
      <w:r w:rsidR="00CA38A9" w:rsidRPr="00300A27">
        <w:rPr>
          <w:spacing w:val="0"/>
          <w:lang w:val="en-US"/>
        </w:rPr>
        <w:t xml:space="preserve">i) </w:t>
      </w:r>
      <w:r w:rsidRPr="00300A27">
        <w:rPr>
          <w:spacing w:val="0"/>
          <w:lang w:val="en-US"/>
        </w:rPr>
        <w:t>the first paragraph of the</w:t>
      </w:r>
      <w:r w:rsidR="00CA38A9" w:rsidRPr="00300A27">
        <w:rPr>
          <w:spacing w:val="0"/>
          <w:lang w:val="en-US"/>
        </w:rPr>
        <w:t xml:space="preserve"> </w:t>
      </w:r>
      <w:r w:rsidRPr="00300A27">
        <w:rPr>
          <w:spacing w:val="0"/>
          <w:lang w:val="en-US"/>
        </w:rPr>
        <w:t>a</w:t>
      </w:r>
      <w:r w:rsidR="007071F6" w:rsidRPr="00300A27">
        <w:rPr>
          <w:spacing w:val="0"/>
          <w:lang w:val="en-US"/>
        </w:rPr>
        <w:t>rticle</w:t>
      </w:r>
      <w:r w:rsidR="00CA38A9" w:rsidRPr="00300A27">
        <w:rPr>
          <w:spacing w:val="0"/>
          <w:lang w:val="en-US"/>
        </w:rPr>
        <w:t xml:space="preserve"> </w:t>
      </w:r>
      <w:r w:rsidRPr="00300A27">
        <w:rPr>
          <w:spacing w:val="0"/>
          <w:lang w:val="en-US"/>
        </w:rPr>
        <w:t>gives</w:t>
      </w:r>
      <w:r w:rsidR="00CA38A9" w:rsidRPr="00300A27">
        <w:rPr>
          <w:spacing w:val="0"/>
          <w:lang w:val="en-US"/>
        </w:rPr>
        <w:t xml:space="preserve"> “</w:t>
      </w:r>
      <w:r w:rsidRPr="00300A27">
        <w:rPr>
          <w:spacing w:val="0"/>
          <w:lang w:val="en-US"/>
        </w:rPr>
        <w:t xml:space="preserve">broad discretion and can be used subjectively and indiscriminately by the police”; (ii) the third paragraph contradicts the first paragraph because it permits identity checks “even if there is no well-founded reason to believe that the person </w:t>
      </w:r>
      <w:r w:rsidR="0079147C" w:rsidRPr="00300A27">
        <w:rPr>
          <w:spacing w:val="0"/>
          <w:lang w:val="en-US"/>
        </w:rPr>
        <w:t xml:space="preserve">concerned is linked to </w:t>
      </w:r>
      <w:r w:rsidR="003E7696" w:rsidRPr="00300A27">
        <w:rPr>
          <w:spacing w:val="0"/>
          <w:lang w:val="en-US"/>
        </w:rPr>
        <w:t>an offense</w:t>
      </w:r>
      <w:r w:rsidR="0079147C" w:rsidRPr="00300A27">
        <w:rPr>
          <w:spacing w:val="0"/>
          <w:lang w:val="en-US"/>
        </w:rPr>
        <w:t>”; (iii)</w:t>
      </w:r>
      <w:r w:rsidR="00D63E1A" w:rsidRPr="00300A27">
        <w:rPr>
          <w:spacing w:val="0"/>
          <w:lang w:val="en-US"/>
        </w:rPr>
        <w:t xml:space="preserve"> the fourth paragraph “does not authorize the police to accompany the person detained to another place where their identity can be verified,” but merely establishes that the person be taken to a police station’(iv) the article does not establish that “as soon as the person’s identity has been verified, th</w:t>
      </w:r>
      <w:r w:rsidR="00EB6A07" w:rsidRPr="00300A27">
        <w:rPr>
          <w:spacing w:val="0"/>
          <w:lang w:val="en-US"/>
        </w:rPr>
        <w:t>at</w:t>
      </w:r>
      <w:r w:rsidR="00D63E1A" w:rsidRPr="00300A27">
        <w:rPr>
          <w:spacing w:val="0"/>
          <w:lang w:val="en-US"/>
        </w:rPr>
        <w:t xml:space="preserve"> person shall be released, without having to wait until the four hours have elapsed,” and (v) the article should include an “obligation to inform the </w:t>
      </w:r>
      <w:r w:rsidR="00892EDF" w:rsidRPr="00300A27">
        <w:rPr>
          <w:spacing w:val="0"/>
          <w:lang w:val="en-US"/>
        </w:rPr>
        <w:t>Public Prosecution Service</w:t>
      </w:r>
      <w:r w:rsidR="00CA38A9" w:rsidRPr="00300A27">
        <w:rPr>
          <w:spacing w:val="0"/>
          <w:lang w:val="en-US"/>
        </w:rPr>
        <w:t xml:space="preserve">, </w:t>
      </w:r>
      <w:r w:rsidR="00D63E1A" w:rsidRPr="00300A27">
        <w:rPr>
          <w:spacing w:val="0"/>
          <w:lang w:val="en-US"/>
        </w:rPr>
        <w:t>because a police identity check</w:t>
      </w:r>
      <w:r w:rsidR="00CA38A9" w:rsidRPr="00300A27">
        <w:rPr>
          <w:spacing w:val="0"/>
          <w:lang w:val="en-US"/>
        </w:rPr>
        <w:t xml:space="preserve"> </w:t>
      </w:r>
      <w:r w:rsidR="00D63E1A" w:rsidRPr="00300A27">
        <w:rPr>
          <w:spacing w:val="0"/>
          <w:lang w:val="en-US"/>
        </w:rPr>
        <w:t>is supposedly only carried out if, and only if, there are objective and well-founded reasons to connect the person detained to the perpetration of an offense.”</w:t>
      </w:r>
    </w:p>
    <w:p w14:paraId="68D6F82C" w14:textId="69D5374A" w:rsidR="00D63E1A" w:rsidRPr="00300A27" w:rsidRDefault="005B1C65" w:rsidP="00B243B6">
      <w:pPr>
        <w:pStyle w:val="PrrafodeSentencia"/>
        <w:numPr>
          <w:ilvl w:val="0"/>
          <w:numId w:val="3"/>
        </w:numPr>
        <w:spacing w:before="120" w:after="120"/>
        <w:ind w:left="0" w:firstLine="0"/>
        <w:rPr>
          <w:spacing w:val="0"/>
          <w:lang w:val="en-US"/>
        </w:rPr>
      </w:pPr>
      <w:r w:rsidRPr="00300A27">
        <w:rPr>
          <w:lang w:val="en-US"/>
        </w:rPr>
        <w:t xml:space="preserve">The </w:t>
      </w:r>
      <w:r w:rsidRPr="00300A27">
        <w:rPr>
          <w:b/>
          <w:bCs/>
          <w:i/>
          <w:iCs/>
          <w:lang w:val="en-US"/>
        </w:rPr>
        <w:t>State</w:t>
      </w:r>
      <w:r w:rsidR="00CA38A9" w:rsidRPr="00300A27">
        <w:rPr>
          <w:b/>
          <w:i/>
          <w:lang w:val="en-US"/>
        </w:rPr>
        <w:t xml:space="preserve"> </w:t>
      </w:r>
      <w:r w:rsidR="00D63E1A" w:rsidRPr="00300A27">
        <w:rPr>
          <w:lang w:val="en-US"/>
        </w:rPr>
        <w:t xml:space="preserve">argued that the detention </w:t>
      </w:r>
      <w:r w:rsidR="008546E9" w:rsidRPr="00300A27">
        <w:rPr>
          <w:lang w:val="en-US"/>
        </w:rPr>
        <w:t xml:space="preserve">of the </w:t>
      </w:r>
      <w:r w:rsidR="00834A1B" w:rsidRPr="00300A27">
        <w:rPr>
          <w:lang w:val="en-US"/>
        </w:rPr>
        <w:t>presumed victim</w:t>
      </w:r>
      <w:r w:rsidR="00CA38A9" w:rsidRPr="00300A27">
        <w:rPr>
          <w:lang w:val="en-US"/>
        </w:rPr>
        <w:t xml:space="preserve"> </w:t>
      </w:r>
      <w:r w:rsidR="00D63E1A" w:rsidRPr="00300A27">
        <w:rPr>
          <w:lang w:val="en-US"/>
        </w:rPr>
        <w:t xml:space="preserve">was in keeping with the provisions of Peruvian law. It stressed that the police agents and the member of the </w:t>
      </w:r>
      <w:r w:rsidR="00D63E1A" w:rsidRPr="00300A27">
        <w:rPr>
          <w:i/>
          <w:iCs/>
          <w:lang w:val="en-US"/>
        </w:rPr>
        <w:t>serenazgo</w:t>
      </w:r>
      <w:r w:rsidR="00D63E1A" w:rsidRPr="00300A27">
        <w:rPr>
          <w:lang w:val="en-US"/>
        </w:rPr>
        <w:t xml:space="preserve"> service saw a person “lying down in the middle of </w:t>
      </w:r>
      <w:r w:rsidR="00545301" w:rsidRPr="00300A27">
        <w:rPr>
          <w:lang w:val="en-US"/>
        </w:rPr>
        <w:t>Industrial H</w:t>
      </w:r>
      <w:r w:rsidR="00D63E1A" w:rsidRPr="00300A27">
        <w:rPr>
          <w:lang w:val="en-US"/>
        </w:rPr>
        <w:t xml:space="preserve">ighway”; therefore, one of the agents got out of the patrol car and saw that it was Azul Rojas Marín. She was taken to the police station </w:t>
      </w:r>
      <w:r w:rsidR="002521A0" w:rsidRPr="00300A27">
        <w:rPr>
          <w:lang w:val="en-US"/>
        </w:rPr>
        <w:t>“considering that she was acting suspiciously and because she was not carrying her identification document and had alcohol on her breath.” It indicated that following the identification and verification process she was released, and th</w:t>
      </w:r>
      <w:r w:rsidR="00D85019" w:rsidRPr="00300A27">
        <w:rPr>
          <w:lang w:val="en-US"/>
        </w:rPr>
        <w:t xml:space="preserve">at there was </w:t>
      </w:r>
      <w:r w:rsidR="002521A0" w:rsidRPr="00300A27">
        <w:rPr>
          <w:lang w:val="en-US"/>
        </w:rPr>
        <w:t>no reliable evidence to support the fact that she was at the police station until 6 a.m. The State considered that the detention of Azul Rojas Marín was not arbitrary because “a series of elements were present that, when analyzed as a whole, allowed it to be determined that the detention was necessary, reasonable and proportionate.” It argued that, since the detention of Azul Rojas Marín was justified, her right to privacy</w:t>
      </w:r>
      <w:r w:rsidR="00D85019" w:rsidRPr="00300A27">
        <w:rPr>
          <w:lang w:val="en-US"/>
        </w:rPr>
        <w:t xml:space="preserve"> was not violated</w:t>
      </w:r>
      <w:r w:rsidR="002521A0" w:rsidRPr="00300A27">
        <w:rPr>
          <w:lang w:val="en-US"/>
        </w:rPr>
        <w:t xml:space="preserve">. </w:t>
      </w:r>
      <w:r w:rsidR="00D85019" w:rsidRPr="00300A27">
        <w:rPr>
          <w:lang w:val="en-US"/>
        </w:rPr>
        <w:t>The State also</w:t>
      </w:r>
      <w:r w:rsidR="002521A0" w:rsidRPr="00300A27">
        <w:rPr>
          <w:lang w:val="en-US"/>
        </w:rPr>
        <w:t xml:space="preserve"> indicated that </w:t>
      </w:r>
      <w:r w:rsidR="002521A0" w:rsidRPr="00300A27">
        <w:rPr>
          <w:szCs w:val="20"/>
          <w:lang w:val="en-US"/>
        </w:rPr>
        <w:t>article 205 of the Code of Criminal Procedure was in keeping with the Convention</w:t>
      </w:r>
      <w:r w:rsidR="00F02EA5" w:rsidRPr="00300A27">
        <w:rPr>
          <w:szCs w:val="20"/>
          <w:lang w:val="en-US"/>
        </w:rPr>
        <w:t xml:space="preserve">; in this regard, </w:t>
      </w:r>
      <w:r w:rsidR="00D85019" w:rsidRPr="00300A27">
        <w:rPr>
          <w:szCs w:val="20"/>
          <w:lang w:val="en-US"/>
        </w:rPr>
        <w:t>it</w:t>
      </w:r>
      <w:r w:rsidR="00F02EA5" w:rsidRPr="00300A27">
        <w:rPr>
          <w:szCs w:val="20"/>
          <w:lang w:val="en-US"/>
        </w:rPr>
        <w:t xml:space="preserve"> emphasized that </w:t>
      </w:r>
      <w:r w:rsidR="00D85019" w:rsidRPr="00300A27">
        <w:rPr>
          <w:szCs w:val="20"/>
          <w:lang w:val="en-US"/>
        </w:rPr>
        <w:t>the article</w:t>
      </w:r>
      <w:r w:rsidR="00F02EA5" w:rsidRPr="00300A27">
        <w:rPr>
          <w:szCs w:val="20"/>
          <w:lang w:val="en-US"/>
        </w:rPr>
        <w:t xml:space="preserve"> complied with the criteria of reasonableness, appropriateness, necessity and proportionality.</w:t>
      </w:r>
    </w:p>
    <w:p w14:paraId="0CBA252D" w14:textId="50F42CD6" w:rsidR="00CA38A9" w:rsidRPr="00300A27" w:rsidRDefault="009B35A1" w:rsidP="00B243B6">
      <w:pPr>
        <w:pStyle w:val="Ttulo2"/>
        <w:numPr>
          <w:ilvl w:val="0"/>
          <w:numId w:val="13"/>
        </w:numPr>
        <w:tabs>
          <w:tab w:val="clear" w:pos="1134"/>
          <w:tab w:val="left" w:pos="567"/>
        </w:tabs>
        <w:ind w:left="1134" w:hanging="567"/>
        <w:rPr>
          <w:lang w:val="en-US"/>
        </w:rPr>
      </w:pPr>
      <w:bookmarkStart w:id="85" w:name="_Toc32394159"/>
      <w:bookmarkStart w:id="86" w:name="_Toc36823478"/>
      <w:r w:rsidRPr="00300A27">
        <w:rPr>
          <w:lang w:val="en-US"/>
        </w:rPr>
        <w:t>Considerations</w:t>
      </w:r>
      <w:r w:rsidR="005B1C65" w:rsidRPr="00300A27">
        <w:rPr>
          <w:lang w:val="en-US"/>
        </w:rPr>
        <w:t xml:space="preserve"> of the Court</w:t>
      </w:r>
      <w:bookmarkEnd w:id="85"/>
      <w:bookmarkEnd w:id="86"/>
    </w:p>
    <w:p w14:paraId="3BB3D74C" w14:textId="0B5027C2" w:rsidR="007A6647" w:rsidRPr="00300A27" w:rsidRDefault="005B1C65" w:rsidP="00B243B6">
      <w:pPr>
        <w:pStyle w:val="PrrafodeSentencia"/>
        <w:numPr>
          <w:ilvl w:val="0"/>
          <w:numId w:val="3"/>
        </w:numPr>
        <w:spacing w:before="120" w:after="120"/>
        <w:ind w:left="0" w:firstLine="0"/>
        <w:rPr>
          <w:rFonts w:eastAsia="Calibri"/>
          <w:spacing w:val="0"/>
          <w:lang w:val="en-US"/>
        </w:rPr>
      </w:pPr>
      <w:bookmarkStart w:id="87" w:name="_Ref33106089"/>
      <w:r w:rsidRPr="00300A27">
        <w:rPr>
          <w:spacing w:val="0"/>
          <w:lang w:val="en-US"/>
        </w:rPr>
        <w:t>The Court</w:t>
      </w:r>
      <w:r w:rsidR="00CA38A9" w:rsidRPr="00300A27">
        <w:rPr>
          <w:spacing w:val="0"/>
          <w:lang w:val="en-US"/>
        </w:rPr>
        <w:t xml:space="preserve"> ha</w:t>
      </w:r>
      <w:r w:rsidR="00353430" w:rsidRPr="00300A27">
        <w:rPr>
          <w:spacing w:val="0"/>
          <w:lang w:val="en-US"/>
        </w:rPr>
        <w:t xml:space="preserve">s maintained that the essential content </w:t>
      </w:r>
      <w:r w:rsidR="007071F6" w:rsidRPr="00300A27">
        <w:rPr>
          <w:spacing w:val="0"/>
          <w:lang w:val="en-US"/>
        </w:rPr>
        <w:t>of Article</w:t>
      </w:r>
      <w:r w:rsidR="00CA38A9" w:rsidRPr="00300A27">
        <w:rPr>
          <w:spacing w:val="0"/>
          <w:lang w:val="en-US"/>
        </w:rPr>
        <w:t xml:space="preserve"> 7</w:t>
      </w:r>
      <w:r w:rsidRPr="00300A27">
        <w:rPr>
          <w:spacing w:val="0"/>
          <w:lang w:val="en-US"/>
        </w:rPr>
        <w:t xml:space="preserve"> of the American Convention</w:t>
      </w:r>
      <w:r w:rsidR="00CA38A9" w:rsidRPr="00300A27">
        <w:rPr>
          <w:spacing w:val="0"/>
          <w:lang w:val="en-US"/>
        </w:rPr>
        <w:t xml:space="preserve"> </w:t>
      </w:r>
      <w:r w:rsidR="00353430" w:rsidRPr="00300A27">
        <w:rPr>
          <w:spacing w:val="0"/>
          <w:lang w:val="en-US"/>
        </w:rPr>
        <w:t xml:space="preserve">is protection of </w:t>
      </w:r>
      <w:r w:rsidR="00DF199A" w:rsidRPr="00300A27">
        <w:rPr>
          <w:spacing w:val="0"/>
          <w:lang w:val="en-US"/>
        </w:rPr>
        <w:t xml:space="preserve">a person’s </w:t>
      </w:r>
      <w:r w:rsidR="00353430" w:rsidRPr="00300A27">
        <w:rPr>
          <w:spacing w:val="0"/>
          <w:lang w:val="en-US"/>
        </w:rPr>
        <w:t xml:space="preserve">freedom </w:t>
      </w:r>
      <w:r w:rsidR="00DF199A" w:rsidRPr="00300A27">
        <w:rPr>
          <w:spacing w:val="0"/>
          <w:lang w:val="en-US"/>
        </w:rPr>
        <w:t>from</w:t>
      </w:r>
      <w:r w:rsidR="00353430" w:rsidRPr="00300A27">
        <w:rPr>
          <w:spacing w:val="0"/>
          <w:lang w:val="en-US"/>
        </w:rPr>
        <w:t xml:space="preserve"> any arbitrary or unlawful interference by </w:t>
      </w:r>
      <w:r w:rsidRPr="00300A27">
        <w:rPr>
          <w:spacing w:val="0"/>
          <w:lang w:val="en-US"/>
        </w:rPr>
        <w:t>the State</w:t>
      </w:r>
      <w:r w:rsidR="00353430" w:rsidRPr="00300A27">
        <w:rPr>
          <w:spacing w:val="0"/>
          <w:lang w:val="en-US"/>
        </w:rPr>
        <w:t>.</w:t>
      </w:r>
      <w:r w:rsidR="00CA38A9" w:rsidRPr="00300A27">
        <w:rPr>
          <w:rStyle w:val="Refdenotaalpie"/>
          <w:spacing w:val="0"/>
          <w:szCs w:val="20"/>
          <w:lang w:val="en-US"/>
        </w:rPr>
        <w:footnoteReference w:id="136"/>
      </w:r>
      <w:r w:rsidR="00CA38A9" w:rsidRPr="00300A27">
        <w:rPr>
          <w:spacing w:val="0"/>
          <w:lang w:val="en-US"/>
        </w:rPr>
        <w:t xml:space="preserve"> </w:t>
      </w:r>
      <w:r w:rsidR="00353430" w:rsidRPr="00300A27">
        <w:rPr>
          <w:spacing w:val="0"/>
          <w:lang w:val="en-US"/>
        </w:rPr>
        <w:t>This</w:t>
      </w:r>
      <w:r w:rsidR="00CA38A9" w:rsidRPr="00300A27">
        <w:rPr>
          <w:spacing w:val="0"/>
          <w:lang w:val="en-US"/>
        </w:rPr>
        <w:t xml:space="preserve"> </w:t>
      </w:r>
      <w:r w:rsidR="00353430" w:rsidRPr="00300A27">
        <w:rPr>
          <w:spacing w:val="0"/>
          <w:lang w:val="en-US"/>
        </w:rPr>
        <w:t>a</w:t>
      </w:r>
      <w:r w:rsidR="009B35A1" w:rsidRPr="00300A27">
        <w:rPr>
          <w:spacing w:val="0"/>
          <w:lang w:val="en-US"/>
        </w:rPr>
        <w:t>rticle</w:t>
      </w:r>
      <w:r w:rsidR="00CA38A9" w:rsidRPr="00300A27">
        <w:rPr>
          <w:spacing w:val="0"/>
          <w:lang w:val="en-US"/>
        </w:rPr>
        <w:t xml:space="preserve"> </w:t>
      </w:r>
      <w:r w:rsidR="00353430" w:rsidRPr="00300A27">
        <w:rPr>
          <w:spacing w:val="0"/>
          <w:lang w:val="en-US"/>
        </w:rPr>
        <w:t>includes two distinct provisions, one general and the other specific. The general provision is to be found in the first paragraph</w:t>
      </w:r>
      <w:r w:rsidR="00353430" w:rsidRPr="00300A27">
        <w:rPr>
          <w:rFonts w:eastAsia="Calibri"/>
          <w:spacing w:val="0"/>
          <w:lang w:val="en-US"/>
        </w:rPr>
        <w:t>: “[e]</w:t>
      </w:r>
      <w:r w:rsidR="00353430" w:rsidRPr="00300A27">
        <w:rPr>
          <w:spacing w:val="-3"/>
          <w:szCs w:val="20"/>
          <w:lang w:val="en-US"/>
        </w:rPr>
        <w:t>very person has the right to personal liberty and security”; while the specific provision is composed of a series of guarantees that protect the right not to be deprived of liberty unlawfully</w:t>
      </w:r>
      <w:r w:rsidR="00CA38A9" w:rsidRPr="00300A27">
        <w:rPr>
          <w:rFonts w:eastAsia="Calibri"/>
          <w:spacing w:val="0"/>
          <w:lang w:val="en-US"/>
        </w:rPr>
        <w:t xml:space="preserve"> (</w:t>
      </w:r>
      <w:r w:rsidR="009B35A1" w:rsidRPr="00300A27">
        <w:rPr>
          <w:rFonts w:eastAsia="Calibri"/>
          <w:spacing w:val="0"/>
          <w:lang w:val="en-US"/>
        </w:rPr>
        <w:t>Article</w:t>
      </w:r>
      <w:r w:rsidR="00CA38A9" w:rsidRPr="00300A27">
        <w:rPr>
          <w:rFonts w:eastAsia="Calibri"/>
          <w:spacing w:val="0"/>
          <w:lang w:val="en-US"/>
        </w:rPr>
        <w:t xml:space="preserve"> </w:t>
      </w:r>
      <w:r w:rsidR="00BA3C7F" w:rsidRPr="00300A27">
        <w:rPr>
          <w:rFonts w:eastAsia="Calibri"/>
          <w:spacing w:val="0"/>
          <w:lang w:val="en-US"/>
        </w:rPr>
        <w:t>7(2)</w:t>
      </w:r>
      <w:r w:rsidR="00CA38A9" w:rsidRPr="00300A27">
        <w:rPr>
          <w:rFonts w:eastAsia="Calibri"/>
          <w:spacing w:val="0"/>
          <w:lang w:val="en-US"/>
        </w:rPr>
        <w:t>) o</w:t>
      </w:r>
      <w:r w:rsidR="00353430" w:rsidRPr="00300A27">
        <w:rPr>
          <w:rFonts w:eastAsia="Calibri"/>
          <w:spacing w:val="0"/>
          <w:lang w:val="en-US"/>
        </w:rPr>
        <w:t>r</w:t>
      </w:r>
      <w:r w:rsidR="00CA38A9" w:rsidRPr="00300A27">
        <w:rPr>
          <w:rFonts w:eastAsia="Calibri"/>
          <w:spacing w:val="0"/>
          <w:lang w:val="en-US"/>
        </w:rPr>
        <w:t xml:space="preserve"> arbitrari</w:t>
      </w:r>
      <w:r w:rsidR="00353430" w:rsidRPr="00300A27">
        <w:rPr>
          <w:rFonts w:eastAsia="Calibri"/>
          <w:spacing w:val="0"/>
          <w:lang w:val="en-US"/>
        </w:rPr>
        <w:t>ly</w:t>
      </w:r>
      <w:r w:rsidR="00CA38A9" w:rsidRPr="00300A27">
        <w:rPr>
          <w:rFonts w:eastAsia="Calibri"/>
          <w:spacing w:val="0"/>
          <w:lang w:val="en-US"/>
        </w:rPr>
        <w:t xml:space="preserve"> (</w:t>
      </w:r>
      <w:r w:rsidR="009B35A1" w:rsidRPr="00300A27">
        <w:rPr>
          <w:rFonts w:eastAsia="Calibri"/>
          <w:spacing w:val="0"/>
          <w:lang w:val="en-US"/>
        </w:rPr>
        <w:t>Article</w:t>
      </w:r>
      <w:r w:rsidR="00CA38A9" w:rsidRPr="00300A27">
        <w:rPr>
          <w:rFonts w:eastAsia="Calibri"/>
          <w:spacing w:val="0"/>
          <w:lang w:val="en-US"/>
        </w:rPr>
        <w:t xml:space="preserve"> </w:t>
      </w:r>
      <w:r w:rsidR="00BA3C7F" w:rsidRPr="00300A27">
        <w:rPr>
          <w:rFonts w:eastAsia="Calibri"/>
          <w:spacing w:val="0"/>
          <w:lang w:val="en-US"/>
        </w:rPr>
        <w:t>7(3)</w:t>
      </w:r>
      <w:r w:rsidR="00CA38A9" w:rsidRPr="00300A27">
        <w:rPr>
          <w:rFonts w:eastAsia="Calibri"/>
          <w:spacing w:val="0"/>
          <w:lang w:val="en-US"/>
        </w:rPr>
        <w:t xml:space="preserve">), </w:t>
      </w:r>
      <w:r w:rsidR="00353430" w:rsidRPr="00300A27">
        <w:rPr>
          <w:rFonts w:eastAsia="Calibri"/>
          <w:spacing w:val="0"/>
          <w:lang w:val="en-US"/>
        </w:rPr>
        <w:t xml:space="preserve">to be informed of the reasons for the detention and the charges against </w:t>
      </w:r>
      <w:r w:rsidR="00DF199A" w:rsidRPr="00300A27">
        <w:rPr>
          <w:rFonts w:eastAsia="Calibri"/>
          <w:spacing w:val="0"/>
          <w:lang w:val="en-US"/>
        </w:rPr>
        <w:t>him</w:t>
      </w:r>
      <w:r w:rsidR="00353430" w:rsidRPr="00300A27">
        <w:rPr>
          <w:rFonts w:eastAsia="Calibri"/>
          <w:spacing w:val="0"/>
          <w:lang w:val="en-US"/>
        </w:rPr>
        <w:t xml:space="preserve"> </w:t>
      </w:r>
      <w:r w:rsidR="00CA38A9" w:rsidRPr="00300A27">
        <w:rPr>
          <w:rFonts w:eastAsia="Calibri"/>
          <w:spacing w:val="0"/>
          <w:lang w:val="en-US"/>
        </w:rPr>
        <w:t>(</w:t>
      </w:r>
      <w:r w:rsidR="009B35A1" w:rsidRPr="00300A27">
        <w:rPr>
          <w:rFonts w:eastAsia="Calibri"/>
          <w:spacing w:val="0"/>
          <w:lang w:val="en-US"/>
        </w:rPr>
        <w:t>Article</w:t>
      </w:r>
      <w:r w:rsidR="00CA38A9" w:rsidRPr="00300A27">
        <w:rPr>
          <w:rFonts w:eastAsia="Calibri"/>
          <w:spacing w:val="0"/>
          <w:lang w:val="en-US"/>
        </w:rPr>
        <w:t xml:space="preserve"> 7</w:t>
      </w:r>
      <w:r w:rsidR="00353430" w:rsidRPr="00300A27">
        <w:rPr>
          <w:rFonts w:eastAsia="Calibri"/>
          <w:spacing w:val="0"/>
          <w:lang w:val="en-US"/>
        </w:rPr>
        <w:t>(</w:t>
      </w:r>
      <w:r w:rsidR="00CA38A9" w:rsidRPr="00300A27">
        <w:rPr>
          <w:rFonts w:eastAsia="Calibri"/>
          <w:spacing w:val="0"/>
          <w:lang w:val="en-US"/>
        </w:rPr>
        <w:t>4</w:t>
      </w:r>
      <w:r w:rsidR="00353430" w:rsidRPr="00300A27">
        <w:rPr>
          <w:rFonts w:eastAsia="Calibri"/>
          <w:spacing w:val="0"/>
          <w:lang w:val="en-US"/>
        </w:rPr>
        <w:t>)</w:t>
      </w:r>
      <w:r w:rsidR="00CA38A9" w:rsidRPr="00300A27">
        <w:rPr>
          <w:rFonts w:eastAsia="Calibri"/>
          <w:spacing w:val="0"/>
          <w:lang w:val="en-US"/>
        </w:rPr>
        <w:t xml:space="preserve">), </w:t>
      </w:r>
      <w:r w:rsidR="00353430" w:rsidRPr="00300A27">
        <w:rPr>
          <w:rFonts w:eastAsia="Calibri"/>
          <w:spacing w:val="0"/>
          <w:lang w:val="en-US"/>
        </w:rPr>
        <w:t xml:space="preserve">to judicial control of the deprivation of liberty and the reasonable time of the preventive detention </w:t>
      </w:r>
      <w:r w:rsidR="00CA38A9" w:rsidRPr="00300A27">
        <w:rPr>
          <w:rFonts w:eastAsia="Calibri"/>
          <w:spacing w:val="0"/>
          <w:lang w:val="en-US"/>
        </w:rPr>
        <w:t>(</w:t>
      </w:r>
      <w:r w:rsidR="009B35A1" w:rsidRPr="00300A27">
        <w:rPr>
          <w:rFonts w:eastAsia="Calibri"/>
          <w:spacing w:val="0"/>
          <w:lang w:val="en-US"/>
        </w:rPr>
        <w:t>Article</w:t>
      </w:r>
      <w:r w:rsidR="00CA38A9" w:rsidRPr="00300A27">
        <w:rPr>
          <w:rFonts w:eastAsia="Calibri"/>
          <w:spacing w:val="0"/>
          <w:lang w:val="en-US"/>
        </w:rPr>
        <w:t xml:space="preserve"> 7</w:t>
      </w:r>
      <w:r w:rsidR="00353430" w:rsidRPr="00300A27">
        <w:rPr>
          <w:rFonts w:eastAsia="Calibri"/>
          <w:spacing w:val="0"/>
          <w:lang w:val="en-US"/>
        </w:rPr>
        <w:t>(</w:t>
      </w:r>
      <w:r w:rsidR="00CA38A9" w:rsidRPr="00300A27">
        <w:rPr>
          <w:rFonts w:eastAsia="Calibri"/>
          <w:spacing w:val="0"/>
          <w:lang w:val="en-US"/>
        </w:rPr>
        <w:t>5</w:t>
      </w:r>
      <w:r w:rsidR="00353430" w:rsidRPr="00300A27">
        <w:rPr>
          <w:rFonts w:eastAsia="Calibri"/>
          <w:spacing w:val="0"/>
          <w:lang w:val="en-US"/>
        </w:rPr>
        <w:t>)</w:t>
      </w:r>
      <w:r w:rsidR="00CA38A9" w:rsidRPr="00300A27">
        <w:rPr>
          <w:rFonts w:eastAsia="Calibri"/>
          <w:spacing w:val="0"/>
          <w:lang w:val="en-US"/>
        </w:rPr>
        <w:t xml:space="preserve">), </w:t>
      </w:r>
      <w:r w:rsidR="00353430" w:rsidRPr="00300A27">
        <w:rPr>
          <w:rFonts w:eastAsia="Calibri"/>
          <w:spacing w:val="0"/>
          <w:lang w:val="en-US"/>
        </w:rPr>
        <w:t>to contest the l</w:t>
      </w:r>
      <w:r w:rsidR="002959DE" w:rsidRPr="00300A27">
        <w:rPr>
          <w:rFonts w:eastAsia="Calibri"/>
          <w:spacing w:val="0"/>
          <w:lang w:val="en-US"/>
        </w:rPr>
        <w:t>awfulness of the detention</w:t>
      </w:r>
      <w:r w:rsidR="00CA38A9" w:rsidRPr="00300A27">
        <w:rPr>
          <w:rFonts w:eastAsia="Calibri"/>
          <w:spacing w:val="0"/>
          <w:lang w:val="en-US"/>
        </w:rPr>
        <w:t xml:space="preserve"> (</w:t>
      </w:r>
      <w:r w:rsidR="009B35A1" w:rsidRPr="00300A27">
        <w:rPr>
          <w:rFonts w:eastAsia="Calibri"/>
          <w:spacing w:val="0"/>
          <w:lang w:val="en-US"/>
        </w:rPr>
        <w:t>Article</w:t>
      </w:r>
      <w:r w:rsidR="00CA38A9" w:rsidRPr="00300A27">
        <w:rPr>
          <w:rFonts w:eastAsia="Calibri"/>
          <w:spacing w:val="0"/>
          <w:lang w:val="en-US"/>
        </w:rPr>
        <w:t xml:space="preserve"> 7</w:t>
      </w:r>
      <w:r w:rsidR="00353430" w:rsidRPr="00300A27">
        <w:rPr>
          <w:rFonts w:eastAsia="Calibri"/>
          <w:spacing w:val="0"/>
          <w:lang w:val="en-US"/>
        </w:rPr>
        <w:t>(</w:t>
      </w:r>
      <w:r w:rsidR="00CA38A9" w:rsidRPr="00300A27">
        <w:rPr>
          <w:rFonts w:eastAsia="Calibri"/>
          <w:spacing w:val="0"/>
          <w:lang w:val="en-US"/>
        </w:rPr>
        <w:t>6</w:t>
      </w:r>
      <w:r w:rsidR="00353430" w:rsidRPr="00300A27">
        <w:rPr>
          <w:rFonts w:eastAsia="Calibri"/>
          <w:spacing w:val="0"/>
          <w:lang w:val="en-US"/>
        </w:rPr>
        <w:t>)</w:t>
      </w:r>
      <w:r w:rsidR="00CA38A9" w:rsidRPr="00300A27">
        <w:rPr>
          <w:rFonts w:eastAsia="Calibri"/>
          <w:spacing w:val="0"/>
          <w:lang w:val="en-US"/>
        </w:rPr>
        <w:t>)</w:t>
      </w:r>
      <w:r w:rsidRPr="00300A27">
        <w:rPr>
          <w:rFonts w:eastAsia="Calibri"/>
          <w:spacing w:val="0"/>
          <w:lang w:val="en-US"/>
        </w:rPr>
        <w:t xml:space="preserve"> and </w:t>
      </w:r>
      <w:r w:rsidR="00353430" w:rsidRPr="00300A27">
        <w:rPr>
          <w:rFonts w:eastAsia="Calibri"/>
          <w:spacing w:val="0"/>
          <w:lang w:val="en-US"/>
        </w:rPr>
        <w:t>not to be detained for debt</w:t>
      </w:r>
      <w:r w:rsidR="00CA38A9" w:rsidRPr="00300A27">
        <w:rPr>
          <w:rFonts w:eastAsia="Calibri"/>
          <w:spacing w:val="0"/>
          <w:lang w:val="en-US"/>
        </w:rPr>
        <w:t xml:space="preserve"> (</w:t>
      </w:r>
      <w:r w:rsidR="009B35A1" w:rsidRPr="00300A27">
        <w:rPr>
          <w:rFonts w:eastAsia="Calibri"/>
          <w:spacing w:val="0"/>
          <w:lang w:val="en-US"/>
        </w:rPr>
        <w:t>Article</w:t>
      </w:r>
      <w:r w:rsidR="00CA38A9" w:rsidRPr="00300A27">
        <w:rPr>
          <w:rFonts w:eastAsia="Calibri"/>
          <w:spacing w:val="0"/>
          <w:lang w:val="en-US"/>
        </w:rPr>
        <w:t xml:space="preserve"> 7</w:t>
      </w:r>
      <w:r w:rsidR="00353430" w:rsidRPr="00300A27">
        <w:rPr>
          <w:rFonts w:eastAsia="Calibri"/>
          <w:spacing w:val="0"/>
          <w:lang w:val="en-US"/>
        </w:rPr>
        <w:t>(</w:t>
      </w:r>
      <w:r w:rsidR="00CA38A9" w:rsidRPr="00300A27">
        <w:rPr>
          <w:rFonts w:eastAsia="Calibri"/>
          <w:spacing w:val="0"/>
          <w:lang w:val="en-US"/>
        </w:rPr>
        <w:t>7</w:t>
      </w:r>
      <w:r w:rsidR="00353430" w:rsidRPr="00300A27">
        <w:rPr>
          <w:rFonts w:eastAsia="Calibri"/>
          <w:spacing w:val="0"/>
          <w:lang w:val="en-US"/>
        </w:rPr>
        <w:t>)</w:t>
      </w:r>
      <w:r w:rsidR="00CA38A9" w:rsidRPr="00300A27">
        <w:rPr>
          <w:rFonts w:eastAsia="Calibri"/>
          <w:spacing w:val="0"/>
          <w:lang w:val="en-US"/>
        </w:rPr>
        <w:t xml:space="preserve">). </w:t>
      </w:r>
      <w:r w:rsidR="00353430" w:rsidRPr="00300A27">
        <w:rPr>
          <w:rFonts w:eastAsia="Calibri"/>
          <w:spacing w:val="0"/>
          <w:lang w:val="en-US"/>
        </w:rPr>
        <w:t xml:space="preserve">Any violation of paragraphs 2 to </w:t>
      </w:r>
      <w:r w:rsidR="00CA38A9" w:rsidRPr="00300A27">
        <w:rPr>
          <w:rFonts w:eastAsia="Calibri"/>
          <w:spacing w:val="0"/>
          <w:lang w:val="en-US"/>
        </w:rPr>
        <w:t xml:space="preserve">7 </w:t>
      </w:r>
      <w:r w:rsidR="007071F6" w:rsidRPr="00300A27">
        <w:rPr>
          <w:rFonts w:eastAsia="Calibri"/>
          <w:spacing w:val="0"/>
          <w:lang w:val="en-US"/>
        </w:rPr>
        <w:t>of Article</w:t>
      </w:r>
      <w:r w:rsidR="00CA38A9" w:rsidRPr="00300A27">
        <w:rPr>
          <w:rFonts w:eastAsia="Calibri"/>
          <w:spacing w:val="0"/>
          <w:lang w:val="en-US"/>
        </w:rPr>
        <w:t xml:space="preserve"> 7</w:t>
      </w:r>
      <w:r w:rsidRPr="00300A27">
        <w:rPr>
          <w:rFonts w:eastAsia="Calibri"/>
          <w:spacing w:val="0"/>
          <w:lang w:val="en-US"/>
        </w:rPr>
        <w:t xml:space="preserve"> of the Convention</w:t>
      </w:r>
      <w:r w:rsidR="00CA38A9" w:rsidRPr="00300A27">
        <w:rPr>
          <w:rFonts w:eastAsia="Calibri"/>
          <w:spacing w:val="0"/>
          <w:lang w:val="en-US"/>
        </w:rPr>
        <w:t xml:space="preserve"> </w:t>
      </w:r>
      <w:r w:rsidR="00353430" w:rsidRPr="00300A27">
        <w:rPr>
          <w:rFonts w:eastAsia="Calibri"/>
          <w:spacing w:val="0"/>
          <w:lang w:val="en-US"/>
        </w:rPr>
        <w:t xml:space="preserve">necessarily results in the violation </w:t>
      </w:r>
      <w:r w:rsidR="007071F6" w:rsidRPr="00300A27">
        <w:rPr>
          <w:rFonts w:eastAsia="Calibri"/>
          <w:spacing w:val="0"/>
          <w:lang w:val="en-US"/>
        </w:rPr>
        <w:t>of Article</w:t>
      </w:r>
      <w:r w:rsidR="00CA38A9" w:rsidRPr="00300A27">
        <w:rPr>
          <w:rFonts w:eastAsia="Calibri"/>
          <w:spacing w:val="0"/>
          <w:lang w:val="en-US"/>
        </w:rPr>
        <w:t xml:space="preserve"> </w:t>
      </w:r>
      <w:r w:rsidR="00BA3C7F" w:rsidRPr="00300A27">
        <w:rPr>
          <w:rFonts w:eastAsia="Calibri"/>
          <w:spacing w:val="0"/>
          <w:lang w:val="en-US"/>
        </w:rPr>
        <w:t>7(1)</w:t>
      </w:r>
      <w:r w:rsidR="00CA38A9" w:rsidRPr="00300A27">
        <w:rPr>
          <w:rFonts w:eastAsia="Calibri"/>
          <w:spacing w:val="0"/>
          <w:lang w:val="en-US"/>
        </w:rPr>
        <w:t xml:space="preserve"> </w:t>
      </w:r>
      <w:r w:rsidR="00353430" w:rsidRPr="00300A27">
        <w:rPr>
          <w:rFonts w:eastAsia="Calibri"/>
          <w:spacing w:val="0"/>
          <w:lang w:val="en-US"/>
        </w:rPr>
        <w:t>thereof.</w:t>
      </w:r>
      <w:r w:rsidR="00CA38A9" w:rsidRPr="00300A27">
        <w:rPr>
          <w:rFonts w:eastAsia="Calibri"/>
          <w:spacing w:val="0"/>
          <w:vertAlign w:val="superscript"/>
          <w:lang w:val="en-US"/>
        </w:rPr>
        <w:footnoteReference w:id="137"/>
      </w:r>
      <w:bookmarkEnd w:id="87"/>
      <w:r w:rsidR="00CA38A9" w:rsidRPr="00300A27">
        <w:rPr>
          <w:rFonts w:eastAsia="Calibri"/>
          <w:spacing w:val="0"/>
          <w:lang w:val="en-US"/>
        </w:rPr>
        <w:t xml:space="preserve"> </w:t>
      </w:r>
    </w:p>
    <w:p w14:paraId="5D858747" w14:textId="4B815C5B" w:rsidR="00CA38A9" w:rsidRPr="00300A27" w:rsidRDefault="00353430" w:rsidP="00B243B6">
      <w:pPr>
        <w:pStyle w:val="PrrafodeSentencia"/>
        <w:numPr>
          <w:ilvl w:val="0"/>
          <w:numId w:val="3"/>
        </w:numPr>
        <w:spacing w:before="120" w:after="120"/>
        <w:ind w:left="0" w:firstLine="0"/>
        <w:rPr>
          <w:spacing w:val="0"/>
          <w:lang w:val="en-US"/>
        </w:rPr>
      </w:pPr>
      <w:r w:rsidRPr="00300A27">
        <w:rPr>
          <w:spacing w:val="0"/>
          <w:szCs w:val="20"/>
          <w:lang w:val="en-US"/>
        </w:rPr>
        <w:t>Bearing in mind the factual dispute that exists, the Court finds it necessary: (1) to determine the facts and, then, based on the arguments submitted, it will analyze: (2) the l</w:t>
      </w:r>
      <w:r w:rsidR="002959DE" w:rsidRPr="00300A27">
        <w:rPr>
          <w:spacing w:val="0"/>
          <w:szCs w:val="20"/>
          <w:lang w:val="en-US"/>
        </w:rPr>
        <w:t>awfulness of the detention</w:t>
      </w:r>
      <w:r w:rsidR="00A71322" w:rsidRPr="00300A27">
        <w:rPr>
          <w:spacing w:val="0"/>
          <w:szCs w:val="20"/>
          <w:lang w:val="en-US"/>
        </w:rPr>
        <w:t xml:space="preserve">; </w:t>
      </w:r>
      <w:r w:rsidRPr="00300A27">
        <w:rPr>
          <w:spacing w:val="0"/>
          <w:szCs w:val="20"/>
          <w:lang w:val="en-US"/>
        </w:rPr>
        <w:t>(</w:t>
      </w:r>
      <w:r w:rsidR="00A71322" w:rsidRPr="00300A27">
        <w:rPr>
          <w:spacing w:val="0"/>
          <w:szCs w:val="20"/>
          <w:lang w:val="en-US"/>
        </w:rPr>
        <w:t xml:space="preserve">3) </w:t>
      </w:r>
      <w:r w:rsidRPr="00300A27">
        <w:rPr>
          <w:spacing w:val="0"/>
          <w:szCs w:val="20"/>
          <w:lang w:val="en-US"/>
        </w:rPr>
        <w:t>the</w:t>
      </w:r>
      <w:r w:rsidR="00A71322" w:rsidRPr="00300A27">
        <w:rPr>
          <w:spacing w:val="0"/>
          <w:szCs w:val="20"/>
          <w:lang w:val="en-US"/>
        </w:rPr>
        <w:t xml:space="preserve"> </w:t>
      </w:r>
      <w:r w:rsidRPr="00300A27">
        <w:rPr>
          <w:spacing w:val="0"/>
          <w:szCs w:val="20"/>
          <w:lang w:val="en-US"/>
        </w:rPr>
        <w:t>a</w:t>
      </w:r>
      <w:r w:rsidR="002959DE" w:rsidRPr="00300A27">
        <w:rPr>
          <w:spacing w:val="0"/>
          <w:szCs w:val="20"/>
          <w:lang w:val="en-US"/>
        </w:rPr>
        <w:t>rbitrary nature of the detention</w:t>
      </w:r>
      <w:r w:rsidR="005B1C65" w:rsidRPr="00300A27">
        <w:rPr>
          <w:spacing w:val="0"/>
          <w:szCs w:val="20"/>
          <w:lang w:val="en-US"/>
        </w:rPr>
        <w:t xml:space="preserve"> and </w:t>
      </w:r>
      <w:r w:rsidR="00D939AE" w:rsidRPr="00300A27">
        <w:rPr>
          <w:spacing w:val="0"/>
          <w:szCs w:val="20"/>
          <w:lang w:val="en-US"/>
        </w:rPr>
        <w:t>the right to</w:t>
      </w:r>
      <w:r w:rsidRPr="00300A27">
        <w:rPr>
          <w:spacing w:val="0"/>
          <w:szCs w:val="20"/>
          <w:lang w:val="en-US"/>
        </w:rPr>
        <w:t xml:space="preserve"> equality,</w:t>
      </w:r>
      <w:r w:rsidR="00A71322" w:rsidRPr="00300A27">
        <w:rPr>
          <w:spacing w:val="0"/>
          <w:szCs w:val="20"/>
          <w:lang w:val="en-US"/>
        </w:rPr>
        <w:t xml:space="preserve"> </w:t>
      </w:r>
      <w:r w:rsidR="005B1C65" w:rsidRPr="00300A27">
        <w:rPr>
          <w:spacing w:val="0"/>
          <w:szCs w:val="20"/>
          <w:lang w:val="en-US"/>
        </w:rPr>
        <w:t xml:space="preserve">and </w:t>
      </w:r>
      <w:r w:rsidRPr="00300A27">
        <w:rPr>
          <w:spacing w:val="0"/>
          <w:szCs w:val="20"/>
          <w:lang w:val="en-US"/>
        </w:rPr>
        <w:t>(</w:t>
      </w:r>
      <w:r w:rsidR="00A71322" w:rsidRPr="00300A27">
        <w:rPr>
          <w:spacing w:val="0"/>
          <w:szCs w:val="20"/>
          <w:lang w:val="en-US"/>
        </w:rPr>
        <w:t xml:space="preserve">4) </w:t>
      </w:r>
      <w:r w:rsidRPr="00300A27">
        <w:rPr>
          <w:spacing w:val="0"/>
          <w:szCs w:val="20"/>
          <w:lang w:val="en-US"/>
        </w:rPr>
        <w:t>n</w:t>
      </w:r>
      <w:r w:rsidR="002959DE" w:rsidRPr="00300A27">
        <w:rPr>
          <w:spacing w:val="0"/>
          <w:szCs w:val="20"/>
          <w:lang w:val="en-US"/>
        </w:rPr>
        <w:t>otification of the reasons for the detention</w:t>
      </w:r>
      <w:r w:rsidR="00A71322" w:rsidRPr="00300A27">
        <w:rPr>
          <w:spacing w:val="0"/>
          <w:szCs w:val="20"/>
          <w:lang w:val="en-US"/>
        </w:rPr>
        <w:t>.</w:t>
      </w:r>
    </w:p>
    <w:p w14:paraId="250EA54F" w14:textId="0C14DA4E" w:rsidR="00842954" w:rsidRPr="00300A27" w:rsidRDefault="00842954" w:rsidP="00B243B6">
      <w:pPr>
        <w:pStyle w:val="Ttulo3"/>
        <w:tabs>
          <w:tab w:val="left" w:pos="2268"/>
        </w:tabs>
        <w:ind w:left="1701" w:hanging="567"/>
        <w:rPr>
          <w:lang w:val="en-US"/>
        </w:rPr>
      </w:pPr>
      <w:bookmarkStart w:id="88" w:name="_Toc36823479"/>
      <w:bookmarkStart w:id="89" w:name="_Toc32394160"/>
      <w:r w:rsidRPr="00300A27">
        <w:rPr>
          <w:lang w:val="en-US"/>
        </w:rPr>
        <w:t>B.1</w:t>
      </w:r>
      <w:r w:rsidRPr="00300A27">
        <w:rPr>
          <w:lang w:val="en-US"/>
        </w:rPr>
        <w:tab/>
      </w:r>
      <w:r w:rsidR="002959DE" w:rsidRPr="00300A27">
        <w:rPr>
          <w:lang w:val="en-US"/>
        </w:rPr>
        <w:t>Determination of the facts</w:t>
      </w:r>
      <w:bookmarkEnd w:id="88"/>
    </w:p>
    <w:p w14:paraId="57215BE0" w14:textId="7D4C1A20" w:rsidR="007A6647" w:rsidRPr="00300A27" w:rsidRDefault="00637945" w:rsidP="00B243B6">
      <w:pPr>
        <w:pStyle w:val="PrrafodeSentencia"/>
        <w:numPr>
          <w:ilvl w:val="0"/>
          <w:numId w:val="3"/>
        </w:numPr>
        <w:spacing w:before="120" w:after="120"/>
        <w:ind w:left="0" w:firstLine="0"/>
        <w:rPr>
          <w:spacing w:val="0"/>
          <w:lang w:val="en-US"/>
        </w:rPr>
      </w:pPr>
      <w:r w:rsidRPr="00300A27">
        <w:rPr>
          <w:spacing w:val="0"/>
          <w:lang w:val="en-US"/>
        </w:rPr>
        <w:t xml:space="preserve">In this case </w:t>
      </w:r>
      <w:r w:rsidR="00DB52A2" w:rsidRPr="00300A27">
        <w:rPr>
          <w:spacing w:val="0"/>
          <w:lang w:val="en-US"/>
        </w:rPr>
        <w:t xml:space="preserve">the circumstances of the detention are disputed. To determine what transpired, the Court will take into account the official records of the police action, the statements of the </w:t>
      </w:r>
      <w:r w:rsidR="00961E38" w:rsidRPr="00300A27">
        <w:rPr>
          <w:spacing w:val="0"/>
          <w:lang w:val="en-US"/>
        </w:rPr>
        <w:t>state agents</w:t>
      </w:r>
      <w:r w:rsidR="00DB52A2" w:rsidRPr="00300A27">
        <w:rPr>
          <w:spacing w:val="0"/>
          <w:lang w:val="en-US"/>
        </w:rPr>
        <w:t xml:space="preserve"> who took part in the detention, and the statements </w:t>
      </w:r>
      <w:r w:rsidR="008546E9" w:rsidRPr="00300A27">
        <w:rPr>
          <w:spacing w:val="0"/>
          <w:lang w:val="en-US"/>
        </w:rPr>
        <w:t xml:space="preserve">of the </w:t>
      </w:r>
      <w:r w:rsidR="00834A1B" w:rsidRPr="00300A27">
        <w:rPr>
          <w:spacing w:val="0"/>
          <w:lang w:val="en-US"/>
        </w:rPr>
        <w:t>presumed victim</w:t>
      </w:r>
      <w:r w:rsidR="0019128B" w:rsidRPr="00300A27">
        <w:rPr>
          <w:spacing w:val="0"/>
          <w:lang w:val="en-US"/>
        </w:rPr>
        <w:t xml:space="preserve">. </w:t>
      </w:r>
    </w:p>
    <w:p w14:paraId="74B552BF" w14:textId="310D862E" w:rsidR="003B7078" w:rsidRPr="00300A27" w:rsidRDefault="00DB52A2" w:rsidP="00B243B6">
      <w:pPr>
        <w:pStyle w:val="PrrafodeSentencia"/>
        <w:numPr>
          <w:ilvl w:val="0"/>
          <w:numId w:val="3"/>
        </w:numPr>
        <w:spacing w:before="120" w:after="120"/>
        <w:ind w:left="0" w:firstLine="0"/>
        <w:rPr>
          <w:spacing w:val="0"/>
          <w:lang w:val="en-US"/>
        </w:rPr>
      </w:pPr>
      <w:r w:rsidRPr="00300A27">
        <w:rPr>
          <w:spacing w:val="0"/>
          <w:lang w:val="en-US"/>
        </w:rPr>
        <w:t xml:space="preserve">The initial </w:t>
      </w:r>
      <w:r w:rsidR="00AB4F5A" w:rsidRPr="00300A27">
        <w:rPr>
          <w:spacing w:val="0"/>
          <w:lang w:val="en-US"/>
        </w:rPr>
        <w:t xml:space="preserve"> </w:t>
      </w:r>
      <w:r w:rsidRPr="00300A27">
        <w:rPr>
          <w:spacing w:val="0"/>
          <w:lang w:val="en-US"/>
        </w:rPr>
        <w:t>detention</w:t>
      </w:r>
      <w:r w:rsidR="008546E9" w:rsidRPr="00300A27">
        <w:rPr>
          <w:spacing w:val="0"/>
          <w:lang w:val="en-US"/>
        </w:rPr>
        <w:t xml:space="preserve"> of the </w:t>
      </w:r>
      <w:r w:rsidR="00834A1B" w:rsidRPr="00300A27">
        <w:rPr>
          <w:spacing w:val="0"/>
          <w:lang w:val="en-US"/>
        </w:rPr>
        <w:t>presumed victim</w:t>
      </w:r>
      <w:r w:rsidR="00AB4F5A" w:rsidRPr="00300A27">
        <w:rPr>
          <w:spacing w:val="0"/>
          <w:lang w:val="en-US"/>
        </w:rPr>
        <w:t xml:space="preserve"> </w:t>
      </w:r>
      <w:r w:rsidRPr="00300A27">
        <w:rPr>
          <w:spacing w:val="0"/>
          <w:lang w:val="en-US"/>
        </w:rPr>
        <w:t xml:space="preserve">was documented in the police report. This established that, </w:t>
      </w:r>
      <w:r w:rsidR="00910D8E" w:rsidRPr="00300A27">
        <w:rPr>
          <w:spacing w:val="0"/>
          <w:lang w:val="en-US"/>
        </w:rPr>
        <w:t>on February 25,</w:t>
      </w:r>
      <w:r w:rsidR="00A71322" w:rsidRPr="00300A27">
        <w:rPr>
          <w:spacing w:val="0"/>
          <w:lang w:val="en-US"/>
        </w:rPr>
        <w:t xml:space="preserve"> 2008</w:t>
      </w:r>
      <w:r w:rsidRPr="00300A27">
        <w:rPr>
          <w:spacing w:val="0"/>
          <w:lang w:val="en-US"/>
        </w:rPr>
        <w:t>, agents</w:t>
      </w:r>
      <w:r w:rsidR="008546E9" w:rsidRPr="00300A27">
        <w:rPr>
          <w:spacing w:val="0"/>
          <w:lang w:val="en-US"/>
        </w:rPr>
        <w:t xml:space="preserve"> of the </w:t>
      </w:r>
      <w:r w:rsidR="00910D8E" w:rsidRPr="00300A27">
        <w:rPr>
          <w:spacing w:val="0"/>
          <w:lang w:val="en-US"/>
        </w:rPr>
        <w:t>Casa Grande Police Station</w:t>
      </w:r>
      <w:r w:rsidR="00AC31A7" w:rsidRPr="00300A27">
        <w:rPr>
          <w:spacing w:val="0"/>
          <w:lang w:val="en-US"/>
        </w:rPr>
        <w:t xml:space="preserve"> </w:t>
      </w:r>
      <w:r w:rsidR="009B35A1" w:rsidRPr="00300A27">
        <w:rPr>
          <w:spacing w:val="0"/>
          <w:lang w:val="en-US"/>
        </w:rPr>
        <w:t xml:space="preserve">of the </w:t>
      </w:r>
      <w:r w:rsidR="005F06DA" w:rsidRPr="00300A27">
        <w:rPr>
          <w:spacing w:val="0"/>
          <w:lang w:val="en-US"/>
        </w:rPr>
        <w:t>Peruvian National Police</w:t>
      </w:r>
      <w:r w:rsidR="00AC31A7" w:rsidRPr="00300A27">
        <w:rPr>
          <w:spacing w:val="0"/>
          <w:lang w:val="en-US"/>
        </w:rPr>
        <w:t xml:space="preserve">, </w:t>
      </w:r>
      <w:r w:rsidRPr="00300A27">
        <w:rPr>
          <w:spacing w:val="0"/>
          <w:lang w:val="en-US"/>
        </w:rPr>
        <w:t xml:space="preserve">together with </w:t>
      </w:r>
      <w:r w:rsidRPr="00300A27">
        <w:rPr>
          <w:i/>
          <w:iCs/>
          <w:spacing w:val="0"/>
          <w:lang w:val="en-US"/>
        </w:rPr>
        <w:t>serenazgo</w:t>
      </w:r>
      <w:r w:rsidRPr="00300A27">
        <w:rPr>
          <w:spacing w:val="0"/>
          <w:lang w:val="en-US"/>
        </w:rPr>
        <w:t xml:space="preserve"> agents went to the “Miguel Grau” housing estate, located in the Casa Grande district, because the neighbors had reported the presence of “three unknown </w:t>
      </w:r>
      <w:r w:rsidR="00A205F0" w:rsidRPr="00300A27">
        <w:rPr>
          <w:spacing w:val="0"/>
          <w:lang w:val="en-US"/>
        </w:rPr>
        <w:t xml:space="preserve">subjects </w:t>
      </w:r>
      <w:r w:rsidRPr="00300A27">
        <w:rPr>
          <w:spacing w:val="0"/>
          <w:lang w:val="en-US"/>
        </w:rPr>
        <w:t>in the road.” When the police arrived, “one</w:t>
      </w:r>
      <w:r w:rsidR="00A205F0" w:rsidRPr="00300A27">
        <w:rPr>
          <w:spacing w:val="0"/>
          <w:lang w:val="en-US"/>
        </w:rPr>
        <w:t xml:space="preserve"> subject […] tried to escape with two others.” The police report establishe</w:t>
      </w:r>
      <w:r w:rsidR="00DF199A" w:rsidRPr="00300A27">
        <w:rPr>
          <w:spacing w:val="0"/>
          <w:lang w:val="en-US"/>
        </w:rPr>
        <w:t>d</w:t>
      </w:r>
      <w:r w:rsidR="00A205F0" w:rsidRPr="00300A27">
        <w:rPr>
          <w:spacing w:val="0"/>
          <w:lang w:val="en-US"/>
        </w:rPr>
        <w:t xml:space="preserve"> that the agents “[were able to detain] one of them, who had alcohol on </w:t>
      </w:r>
      <w:r w:rsidR="00DF199A" w:rsidRPr="00300A27">
        <w:rPr>
          <w:spacing w:val="0"/>
          <w:lang w:val="en-US"/>
        </w:rPr>
        <w:t>[her]</w:t>
      </w:r>
      <w:r w:rsidR="00A205F0" w:rsidRPr="00300A27">
        <w:rPr>
          <w:spacing w:val="0"/>
          <w:lang w:val="en-US"/>
        </w:rPr>
        <w:t xml:space="preserve"> breath and […] was presumably in an advanced stage of inebriation. [… when asked for] identification, [s]he said [s]he was called</w:t>
      </w:r>
      <w:r w:rsidR="00AC31A7" w:rsidRPr="00300A27">
        <w:rPr>
          <w:spacing w:val="0"/>
          <w:lang w:val="en-US"/>
        </w:rPr>
        <w:t xml:space="preserve"> [Azul] Rojas Marín[,</w:t>
      </w:r>
      <w:r w:rsidR="00AB4F5A" w:rsidRPr="00300A27">
        <w:rPr>
          <w:spacing w:val="0"/>
          <w:lang w:val="en-US"/>
        </w:rPr>
        <w:t xml:space="preserve"> </w:t>
      </w:r>
      <w:r w:rsidR="00A205F0" w:rsidRPr="00300A27">
        <w:rPr>
          <w:spacing w:val="0"/>
          <w:lang w:val="en-US"/>
        </w:rPr>
        <w:t>and</w:t>
      </w:r>
      <w:r w:rsidR="00AC31A7" w:rsidRPr="00300A27">
        <w:rPr>
          <w:spacing w:val="0"/>
          <w:lang w:val="en-US"/>
        </w:rPr>
        <w:t>] indic</w:t>
      </w:r>
      <w:r w:rsidR="00A205F0" w:rsidRPr="00300A27">
        <w:rPr>
          <w:spacing w:val="0"/>
          <w:lang w:val="en-US"/>
        </w:rPr>
        <w:t>ated that [s]he was</w:t>
      </w:r>
      <w:r w:rsidR="00AC31A7" w:rsidRPr="00300A27">
        <w:rPr>
          <w:spacing w:val="0"/>
          <w:lang w:val="en-US"/>
        </w:rPr>
        <w:t xml:space="preserve"> </w:t>
      </w:r>
      <w:r w:rsidR="00A205F0" w:rsidRPr="00300A27">
        <w:rPr>
          <w:spacing w:val="0"/>
          <w:lang w:val="en-US"/>
        </w:rPr>
        <w:t>not carrying any kind of document</w:t>
      </w:r>
      <w:r w:rsidR="00DF199A" w:rsidRPr="00300A27">
        <w:rPr>
          <w:spacing w:val="0"/>
          <w:lang w:val="en-US"/>
        </w:rPr>
        <w:t>”</w:t>
      </w:r>
      <w:r w:rsidR="00A205F0" w:rsidRPr="00300A27">
        <w:rPr>
          <w:spacing w:val="0"/>
          <w:lang w:val="en-US"/>
        </w:rPr>
        <w:t>; therefore</w:t>
      </w:r>
      <w:r w:rsidR="00DF199A" w:rsidRPr="00300A27">
        <w:rPr>
          <w:spacing w:val="0"/>
          <w:lang w:val="en-US"/>
        </w:rPr>
        <w:t>,</w:t>
      </w:r>
      <w:r w:rsidR="00A205F0" w:rsidRPr="00300A27">
        <w:rPr>
          <w:spacing w:val="0"/>
          <w:lang w:val="en-US"/>
        </w:rPr>
        <w:t xml:space="preserve"> the agents proceeded to search her without finding any evidence.</w:t>
      </w:r>
      <w:r w:rsidR="00AC31A7" w:rsidRPr="00300A27">
        <w:rPr>
          <w:rStyle w:val="Refdenotaalpie"/>
          <w:spacing w:val="0"/>
          <w:lang w:val="en-US"/>
        </w:rPr>
        <w:footnoteReference w:id="138"/>
      </w:r>
      <w:r w:rsidR="00AC31A7" w:rsidRPr="00300A27">
        <w:rPr>
          <w:spacing w:val="0"/>
          <w:lang w:val="en-US"/>
        </w:rPr>
        <w:t xml:space="preserve"> </w:t>
      </w:r>
      <w:r w:rsidR="00A205F0" w:rsidRPr="00300A27">
        <w:rPr>
          <w:spacing w:val="0"/>
          <w:lang w:val="en-US"/>
        </w:rPr>
        <w:t xml:space="preserve">The report establishes that </w:t>
      </w:r>
      <w:r w:rsidR="00834A1B" w:rsidRPr="00300A27">
        <w:rPr>
          <w:spacing w:val="0"/>
          <w:lang w:val="en-US"/>
        </w:rPr>
        <w:t>the presumed victim</w:t>
      </w:r>
      <w:r w:rsidR="00AC31A7" w:rsidRPr="00300A27">
        <w:rPr>
          <w:spacing w:val="0"/>
          <w:lang w:val="en-US"/>
        </w:rPr>
        <w:t xml:space="preserve"> </w:t>
      </w:r>
      <w:r w:rsidR="00A205F0" w:rsidRPr="00300A27">
        <w:rPr>
          <w:spacing w:val="0"/>
          <w:lang w:val="en-US"/>
        </w:rPr>
        <w:t xml:space="preserve">refused to sign the report and was taken to </w:t>
      </w:r>
      <w:r w:rsidR="00910D8E" w:rsidRPr="00300A27">
        <w:rPr>
          <w:spacing w:val="0"/>
          <w:lang w:val="en-US"/>
        </w:rPr>
        <w:t>the Casa Grande Police Station</w:t>
      </w:r>
      <w:r w:rsidR="00AC31A7" w:rsidRPr="00300A27">
        <w:rPr>
          <w:spacing w:val="0"/>
          <w:lang w:val="en-US"/>
        </w:rPr>
        <w:t xml:space="preserve"> </w:t>
      </w:r>
      <w:r w:rsidR="00A205F0" w:rsidRPr="00300A27">
        <w:rPr>
          <w:spacing w:val="0"/>
          <w:lang w:val="en-US"/>
        </w:rPr>
        <w:t xml:space="preserve">for the respective identification, taking in account that she had been detained “undocumented, in suspicious circumstances, and in a place </w:t>
      </w:r>
      <w:r w:rsidR="0013737E" w:rsidRPr="00300A27">
        <w:rPr>
          <w:spacing w:val="0"/>
          <w:lang w:val="en-US"/>
        </w:rPr>
        <w:t xml:space="preserve">frequented by </w:t>
      </w:r>
      <w:r w:rsidR="006E4786" w:rsidRPr="00300A27">
        <w:rPr>
          <w:spacing w:val="0"/>
          <w:lang w:val="en-US"/>
        </w:rPr>
        <w:t>miscreants</w:t>
      </w:r>
      <w:r w:rsidR="00C81CB0" w:rsidRPr="00300A27">
        <w:rPr>
          <w:spacing w:val="0"/>
          <w:lang w:val="en-US"/>
        </w:rPr>
        <w:t>.</w:t>
      </w:r>
      <w:r w:rsidR="00AC31A7" w:rsidRPr="00300A27">
        <w:rPr>
          <w:spacing w:val="0"/>
          <w:lang w:val="en-US"/>
        </w:rPr>
        <w:t>”</w:t>
      </w:r>
      <w:r w:rsidR="00AC31A7" w:rsidRPr="00300A27">
        <w:rPr>
          <w:rStyle w:val="Refdenotaalpie"/>
          <w:spacing w:val="0"/>
          <w:lang w:val="en-US"/>
        </w:rPr>
        <w:footnoteReference w:id="139"/>
      </w:r>
      <w:r w:rsidR="00AC31A7" w:rsidRPr="00300A27">
        <w:rPr>
          <w:spacing w:val="0"/>
          <w:lang w:val="en-US"/>
        </w:rPr>
        <w:t xml:space="preserve"> </w:t>
      </w:r>
    </w:p>
    <w:p w14:paraId="60DEBA33" w14:textId="009C77D5" w:rsidR="00AC31A7" w:rsidRPr="00300A27" w:rsidRDefault="006E4786" w:rsidP="00B243B6">
      <w:pPr>
        <w:pStyle w:val="PrrafodeSentencia"/>
        <w:numPr>
          <w:ilvl w:val="0"/>
          <w:numId w:val="3"/>
        </w:numPr>
        <w:spacing w:before="120" w:after="120"/>
        <w:ind w:left="0" w:firstLine="0"/>
        <w:rPr>
          <w:spacing w:val="0"/>
          <w:lang w:val="en-US"/>
        </w:rPr>
      </w:pPr>
      <w:r w:rsidRPr="00300A27">
        <w:rPr>
          <w:spacing w:val="0"/>
          <w:lang w:val="en-US"/>
        </w:rPr>
        <w:t>Since</w:t>
      </w:r>
      <w:r w:rsidR="00C81CB0" w:rsidRPr="00300A27">
        <w:rPr>
          <w:spacing w:val="0"/>
          <w:lang w:val="en-US"/>
        </w:rPr>
        <w:t xml:space="preserve"> the detention of </w:t>
      </w:r>
      <w:r w:rsidR="008546E9" w:rsidRPr="00300A27">
        <w:rPr>
          <w:spacing w:val="0"/>
          <w:lang w:val="en-US"/>
        </w:rPr>
        <w:t>Ms. Rojas</w:t>
      </w:r>
      <w:r w:rsidR="003B7078" w:rsidRPr="00300A27">
        <w:rPr>
          <w:spacing w:val="0"/>
          <w:lang w:val="en-US"/>
        </w:rPr>
        <w:t xml:space="preserve"> Marín </w:t>
      </w:r>
      <w:r w:rsidR="00910D8E" w:rsidRPr="00300A27">
        <w:rPr>
          <w:spacing w:val="0"/>
          <w:lang w:val="en-US"/>
        </w:rPr>
        <w:t xml:space="preserve">in the </w:t>
      </w:r>
      <w:r w:rsidR="00D939AE" w:rsidRPr="00300A27">
        <w:rPr>
          <w:spacing w:val="0"/>
          <w:lang w:val="en-US"/>
        </w:rPr>
        <w:t>Casa Grande Police Station</w:t>
      </w:r>
      <w:r w:rsidR="003B7078" w:rsidRPr="00300A27">
        <w:rPr>
          <w:spacing w:val="0"/>
          <w:lang w:val="en-US"/>
        </w:rPr>
        <w:t xml:space="preserve"> </w:t>
      </w:r>
      <w:r w:rsidR="00C81CB0" w:rsidRPr="00300A27">
        <w:rPr>
          <w:spacing w:val="0"/>
          <w:lang w:val="en-US"/>
        </w:rPr>
        <w:t xml:space="preserve">was not recorded, there is no direct evidence to prove </w:t>
      </w:r>
      <w:r w:rsidRPr="00300A27">
        <w:rPr>
          <w:spacing w:val="0"/>
          <w:lang w:val="en-US"/>
        </w:rPr>
        <w:t>its</w:t>
      </w:r>
      <w:r w:rsidR="00C81CB0" w:rsidRPr="00300A27">
        <w:rPr>
          <w:spacing w:val="0"/>
          <w:lang w:val="en-US"/>
        </w:rPr>
        <w:t xml:space="preserve"> duration or the reasons for </w:t>
      </w:r>
      <w:r w:rsidRPr="00300A27">
        <w:rPr>
          <w:spacing w:val="0"/>
          <w:lang w:val="en-US"/>
        </w:rPr>
        <w:t>it.</w:t>
      </w:r>
      <w:r w:rsidR="003B7078" w:rsidRPr="00300A27">
        <w:rPr>
          <w:spacing w:val="0"/>
          <w:lang w:val="en-US"/>
        </w:rPr>
        <w:t xml:space="preserve"> </w:t>
      </w:r>
    </w:p>
    <w:p w14:paraId="3231DCB1" w14:textId="5803C8C5" w:rsidR="00C82BA4" w:rsidRPr="00300A27" w:rsidRDefault="00545301" w:rsidP="00B243B6">
      <w:pPr>
        <w:pStyle w:val="PrrafodeSentencia"/>
        <w:numPr>
          <w:ilvl w:val="0"/>
          <w:numId w:val="3"/>
        </w:numPr>
        <w:spacing w:before="120" w:after="120"/>
        <w:ind w:left="0" w:firstLine="0"/>
        <w:rPr>
          <w:spacing w:val="0"/>
          <w:szCs w:val="20"/>
          <w:lang w:val="en-US"/>
        </w:rPr>
      </w:pPr>
      <w:r w:rsidRPr="00300A27">
        <w:rPr>
          <w:spacing w:val="0"/>
          <w:lang w:val="en-US"/>
        </w:rPr>
        <w:t>A</w:t>
      </w:r>
      <w:r w:rsidR="00C81CB0" w:rsidRPr="00300A27">
        <w:rPr>
          <w:spacing w:val="0"/>
          <w:lang w:val="en-US"/>
        </w:rPr>
        <w:t xml:space="preserve"> police agent who took part in the </w:t>
      </w:r>
      <w:r w:rsidR="006E4786" w:rsidRPr="00300A27">
        <w:rPr>
          <w:spacing w:val="0"/>
          <w:lang w:val="en-US"/>
        </w:rPr>
        <w:t xml:space="preserve">initial </w:t>
      </w:r>
      <w:r w:rsidR="00C81CB0" w:rsidRPr="00300A27">
        <w:rPr>
          <w:spacing w:val="0"/>
          <w:lang w:val="en-US"/>
        </w:rPr>
        <w:t>detention indicated that when the</w:t>
      </w:r>
      <w:r w:rsidR="006E4786" w:rsidRPr="00300A27">
        <w:rPr>
          <w:spacing w:val="0"/>
          <w:lang w:val="en-US"/>
        </w:rPr>
        <w:t>y</w:t>
      </w:r>
      <w:r w:rsidR="00C81CB0" w:rsidRPr="00300A27">
        <w:rPr>
          <w:spacing w:val="0"/>
          <w:lang w:val="en-US"/>
        </w:rPr>
        <w:t xml:space="preserve"> arrived</w:t>
      </w:r>
      <w:r w:rsidR="006E4786" w:rsidRPr="00300A27">
        <w:rPr>
          <w:spacing w:val="0"/>
          <w:lang w:val="en-US"/>
        </w:rPr>
        <w:t xml:space="preserve"> on the scene</w:t>
      </w:r>
      <w:r w:rsidR="00C81CB0" w:rsidRPr="00300A27">
        <w:rPr>
          <w:spacing w:val="0"/>
          <w:lang w:val="en-US"/>
        </w:rPr>
        <w:t xml:space="preserve">, two people </w:t>
      </w:r>
      <w:r w:rsidR="006E4786" w:rsidRPr="00300A27">
        <w:rPr>
          <w:spacing w:val="0"/>
          <w:lang w:val="en-US"/>
        </w:rPr>
        <w:t xml:space="preserve">fled </w:t>
      </w:r>
      <w:r w:rsidR="005B1C65" w:rsidRPr="00300A27">
        <w:rPr>
          <w:spacing w:val="0"/>
          <w:szCs w:val="20"/>
          <w:lang w:val="en-US"/>
        </w:rPr>
        <w:t xml:space="preserve">and </w:t>
      </w:r>
      <w:r w:rsidR="00834A1B" w:rsidRPr="00300A27">
        <w:rPr>
          <w:spacing w:val="0"/>
          <w:szCs w:val="20"/>
          <w:lang w:val="en-US"/>
        </w:rPr>
        <w:t>the presumed victim</w:t>
      </w:r>
      <w:r w:rsidR="00AC31A7" w:rsidRPr="00300A27">
        <w:rPr>
          <w:spacing w:val="0"/>
          <w:szCs w:val="20"/>
          <w:lang w:val="en-US"/>
        </w:rPr>
        <w:t xml:space="preserve"> </w:t>
      </w:r>
      <w:r w:rsidR="00C81CB0" w:rsidRPr="00300A27">
        <w:rPr>
          <w:spacing w:val="0"/>
          <w:szCs w:val="20"/>
          <w:lang w:val="en-US"/>
        </w:rPr>
        <w:t>threw herself on the ground.</w:t>
      </w:r>
      <w:r w:rsidR="00AC31A7" w:rsidRPr="00300A27">
        <w:rPr>
          <w:rStyle w:val="Refdenotaalpie"/>
          <w:spacing w:val="0"/>
          <w:szCs w:val="20"/>
          <w:lang w:val="en-US"/>
        </w:rPr>
        <w:footnoteReference w:id="140"/>
      </w:r>
      <w:r w:rsidRPr="00300A27">
        <w:rPr>
          <w:spacing w:val="0"/>
          <w:szCs w:val="20"/>
          <w:lang w:val="en-US"/>
        </w:rPr>
        <w:t xml:space="preserve"> In addition, three </w:t>
      </w:r>
      <w:r w:rsidR="00AC31A7" w:rsidRPr="00300A27">
        <w:rPr>
          <w:i/>
          <w:iCs/>
          <w:spacing w:val="0"/>
          <w:szCs w:val="20"/>
          <w:lang w:val="en-US"/>
        </w:rPr>
        <w:t>serenazgo</w:t>
      </w:r>
      <w:r w:rsidR="00AC31A7" w:rsidRPr="00300A27">
        <w:rPr>
          <w:spacing w:val="0"/>
          <w:szCs w:val="20"/>
          <w:lang w:val="en-US"/>
        </w:rPr>
        <w:t xml:space="preserve"> </w:t>
      </w:r>
      <w:r w:rsidRPr="00300A27">
        <w:rPr>
          <w:spacing w:val="0"/>
          <w:szCs w:val="20"/>
          <w:lang w:val="en-US"/>
        </w:rPr>
        <w:t xml:space="preserve">agents who took part in the detention indicated that it took place because they were patrolling the area and “noticed someone lying down in the center of the Casa Grande-Industrial </w:t>
      </w:r>
      <w:r w:rsidR="006E4786" w:rsidRPr="00300A27">
        <w:rPr>
          <w:spacing w:val="0"/>
          <w:szCs w:val="20"/>
          <w:lang w:val="en-US"/>
        </w:rPr>
        <w:t>H</w:t>
      </w:r>
      <w:r w:rsidRPr="00300A27">
        <w:rPr>
          <w:spacing w:val="0"/>
          <w:szCs w:val="20"/>
          <w:lang w:val="en-US"/>
        </w:rPr>
        <w:t>ighway.</w:t>
      </w:r>
      <w:r w:rsidR="00AC31A7" w:rsidRPr="00300A27">
        <w:rPr>
          <w:spacing w:val="0"/>
          <w:szCs w:val="20"/>
          <w:lang w:val="en-US"/>
        </w:rPr>
        <w:t>”</w:t>
      </w:r>
      <w:r w:rsidR="00AC31A7" w:rsidRPr="00300A27">
        <w:rPr>
          <w:rStyle w:val="Refdenotaalpie"/>
          <w:spacing w:val="0"/>
          <w:szCs w:val="20"/>
          <w:lang w:val="en-US"/>
        </w:rPr>
        <w:footnoteReference w:id="141"/>
      </w:r>
      <w:r w:rsidRPr="00300A27">
        <w:rPr>
          <w:spacing w:val="0"/>
          <w:szCs w:val="20"/>
          <w:lang w:val="en-US"/>
        </w:rPr>
        <w:t xml:space="preserve"> They also indicated that</w:t>
      </w:r>
      <w:r w:rsidR="008913D4" w:rsidRPr="00300A27">
        <w:rPr>
          <w:spacing w:val="0"/>
          <w:szCs w:val="20"/>
          <w:lang w:val="en-US"/>
        </w:rPr>
        <w:t xml:space="preserve"> </w:t>
      </w:r>
      <w:r w:rsidR="00834A1B" w:rsidRPr="00300A27">
        <w:rPr>
          <w:spacing w:val="0"/>
          <w:szCs w:val="20"/>
          <w:lang w:val="en-US"/>
        </w:rPr>
        <w:t>the presumed victim</w:t>
      </w:r>
      <w:r w:rsidR="00EF6D43" w:rsidRPr="00300A27">
        <w:rPr>
          <w:spacing w:val="0"/>
          <w:szCs w:val="20"/>
          <w:lang w:val="en-US"/>
        </w:rPr>
        <w:t xml:space="preserve"> </w:t>
      </w:r>
      <w:r w:rsidRPr="00300A27">
        <w:rPr>
          <w:spacing w:val="0"/>
          <w:szCs w:val="20"/>
          <w:lang w:val="en-US"/>
        </w:rPr>
        <w:t>threatened to report them.</w:t>
      </w:r>
      <w:r w:rsidR="00EF6D43" w:rsidRPr="00300A27">
        <w:rPr>
          <w:rStyle w:val="Refdenotaalpie"/>
          <w:spacing w:val="0"/>
          <w:szCs w:val="20"/>
          <w:lang w:val="en-US"/>
        </w:rPr>
        <w:footnoteReference w:id="142"/>
      </w:r>
      <w:r w:rsidR="00AC31A7" w:rsidRPr="00300A27">
        <w:rPr>
          <w:spacing w:val="0"/>
          <w:szCs w:val="20"/>
          <w:lang w:val="en-US"/>
        </w:rPr>
        <w:t xml:space="preserve"> </w:t>
      </w:r>
      <w:r w:rsidR="00886008" w:rsidRPr="00300A27">
        <w:rPr>
          <w:spacing w:val="0"/>
          <w:szCs w:val="20"/>
          <w:lang w:val="en-US"/>
        </w:rPr>
        <w:t>T</w:t>
      </w:r>
      <w:r w:rsidRPr="00300A27">
        <w:rPr>
          <w:spacing w:val="0"/>
          <w:szCs w:val="20"/>
          <w:lang w:val="en-US"/>
        </w:rPr>
        <w:t>hree agents indicated that, when she had been taken to the police station,</w:t>
      </w:r>
      <w:r w:rsidR="00886008" w:rsidRPr="00300A27">
        <w:rPr>
          <w:spacing w:val="0"/>
          <w:szCs w:val="20"/>
          <w:lang w:val="en-US"/>
        </w:rPr>
        <w:t xml:space="preserve"> </w:t>
      </w:r>
      <w:r w:rsidR="00834A1B" w:rsidRPr="00300A27">
        <w:rPr>
          <w:spacing w:val="0"/>
          <w:szCs w:val="20"/>
          <w:lang w:val="en-US"/>
        </w:rPr>
        <w:t>the presumed victim</w:t>
      </w:r>
      <w:r w:rsidR="00AB4F5A" w:rsidRPr="00300A27">
        <w:rPr>
          <w:spacing w:val="0"/>
          <w:szCs w:val="20"/>
          <w:lang w:val="en-US"/>
        </w:rPr>
        <w:t xml:space="preserve"> </w:t>
      </w:r>
      <w:r w:rsidRPr="00300A27">
        <w:rPr>
          <w:spacing w:val="0"/>
          <w:szCs w:val="20"/>
          <w:lang w:val="en-US"/>
        </w:rPr>
        <w:t xml:space="preserve">remained there for about </w:t>
      </w:r>
      <w:r w:rsidR="006E4786" w:rsidRPr="00300A27">
        <w:rPr>
          <w:spacing w:val="0"/>
          <w:szCs w:val="20"/>
          <w:lang w:val="en-US"/>
        </w:rPr>
        <w:t>an</w:t>
      </w:r>
      <w:r w:rsidRPr="00300A27">
        <w:rPr>
          <w:spacing w:val="0"/>
          <w:szCs w:val="20"/>
          <w:lang w:val="en-US"/>
        </w:rPr>
        <w:t xml:space="preserve"> hour.</w:t>
      </w:r>
      <w:r w:rsidR="00363646" w:rsidRPr="00300A27">
        <w:rPr>
          <w:rStyle w:val="Refdenotaalpie"/>
          <w:spacing w:val="0"/>
          <w:szCs w:val="20"/>
          <w:lang w:val="en-US"/>
        </w:rPr>
        <w:footnoteReference w:id="143"/>
      </w:r>
      <w:r w:rsidR="00363646" w:rsidRPr="00300A27">
        <w:rPr>
          <w:spacing w:val="0"/>
          <w:szCs w:val="20"/>
          <w:lang w:val="en-US"/>
        </w:rPr>
        <w:t xml:space="preserve"> </w:t>
      </w:r>
    </w:p>
    <w:p w14:paraId="43F920D0" w14:textId="6648CB6D" w:rsidR="00241853" w:rsidRPr="00300A27" w:rsidRDefault="00545301" w:rsidP="00B243B6">
      <w:pPr>
        <w:pStyle w:val="PrrafodeSentencia"/>
        <w:numPr>
          <w:ilvl w:val="0"/>
          <w:numId w:val="3"/>
        </w:numPr>
        <w:spacing w:before="120" w:after="120"/>
        <w:ind w:left="0" w:firstLine="0"/>
        <w:rPr>
          <w:spacing w:val="0"/>
          <w:szCs w:val="20"/>
          <w:lang w:val="en-US"/>
        </w:rPr>
      </w:pPr>
      <w:r w:rsidRPr="00300A27">
        <w:rPr>
          <w:spacing w:val="0"/>
          <w:szCs w:val="20"/>
          <w:lang w:val="en-US"/>
        </w:rPr>
        <w:t>The</w:t>
      </w:r>
      <w:r w:rsidR="00834A1B" w:rsidRPr="00300A27">
        <w:rPr>
          <w:spacing w:val="0"/>
          <w:szCs w:val="20"/>
          <w:lang w:val="en-US"/>
        </w:rPr>
        <w:t xml:space="preserve"> presumed victim</w:t>
      </w:r>
      <w:r w:rsidR="003B7078" w:rsidRPr="00300A27">
        <w:rPr>
          <w:spacing w:val="0"/>
          <w:szCs w:val="20"/>
          <w:lang w:val="en-US"/>
        </w:rPr>
        <w:t xml:space="preserve"> </w:t>
      </w:r>
      <w:r w:rsidR="006E4786" w:rsidRPr="00300A27">
        <w:rPr>
          <w:spacing w:val="0"/>
          <w:szCs w:val="20"/>
          <w:lang w:val="en-US"/>
        </w:rPr>
        <w:t>indicated</w:t>
      </w:r>
      <w:r w:rsidRPr="00300A27">
        <w:rPr>
          <w:spacing w:val="0"/>
          <w:szCs w:val="20"/>
          <w:lang w:val="en-US"/>
        </w:rPr>
        <w:t xml:space="preserve"> that the events described in the report </w:t>
      </w:r>
      <w:r w:rsidR="006E4786" w:rsidRPr="00300A27">
        <w:rPr>
          <w:spacing w:val="0"/>
          <w:szCs w:val="20"/>
          <w:lang w:val="en-US"/>
        </w:rPr>
        <w:t>we</w:t>
      </w:r>
      <w:r w:rsidRPr="00300A27">
        <w:rPr>
          <w:spacing w:val="0"/>
          <w:szCs w:val="20"/>
          <w:lang w:val="en-US"/>
        </w:rPr>
        <w:t>re false.</w:t>
      </w:r>
      <w:r w:rsidR="00241853" w:rsidRPr="00300A27">
        <w:rPr>
          <w:rStyle w:val="Refdenotaalpie"/>
          <w:spacing w:val="0"/>
          <w:lang w:val="en-US"/>
        </w:rPr>
        <w:footnoteReference w:id="144"/>
      </w:r>
      <w:r w:rsidR="00241853" w:rsidRPr="00300A27">
        <w:rPr>
          <w:spacing w:val="0"/>
          <w:szCs w:val="20"/>
          <w:lang w:val="en-US"/>
        </w:rPr>
        <w:t xml:space="preserve"> </w:t>
      </w:r>
      <w:r w:rsidRPr="00300A27">
        <w:rPr>
          <w:spacing w:val="0"/>
          <w:szCs w:val="20"/>
          <w:lang w:val="en-US"/>
        </w:rPr>
        <w:t xml:space="preserve">Moreover, she has consistently stated that, on </w:t>
      </w:r>
      <w:r w:rsidR="00910D8E" w:rsidRPr="00300A27">
        <w:rPr>
          <w:spacing w:val="0"/>
          <w:szCs w:val="20"/>
          <w:lang w:val="en-US"/>
        </w:rPr>
        <w:t>February 25,</w:t>
      </w:r>
      <w:r w:rsidR="00FF5D10" w:rsidRPr="00300A27">
        <w:rPr>
          <w:spacing w:val="0"/>
          <w:szCs w:val="20"/>
          <w:lang w:val="en-US"/>
        </w:rPr>
        <w:t xml:space="preserve"> 2008</w:t>
      </w:r>
      <w:r w:rsidRPr="00300A27">
        <w:rPr>
          <w:spacing w:val="0"/>
          <w:szCs w:val="20"/>
          <w:lang w:val="en-US"/>
        </w:rPr>
        <w:t xml:space="preserve">, at the time of the detention, she was walking home alone at </w:t>
      </w:r>
      <w:r w:rsidR="00C70DB5" w:rsidRPr="00300A27">
        <w:rPr>
          <w:spacing w:val="0"/>
          <w:szCs w:val="20"/>
          <w:lang w:val="en-US"/>
        </w:rPr>
        <w:t>00:30 ho</w:t>
      </w:r>
      <w:r w:rsidRPr="00300A27">
        <w:rPr>
          <w:spacing w:val="0"/>
          <w:szCs w:val="20"/>
          <w:lang w:val="en-US"/>
        </w:rPr>
        <w:t xml:space="preserve">urs when a police </w:t>
      </w:r>
      <w:r w:rsidR="00A90E2D" w:rsidRPr="00300A27">
        <w:rPr>
          <w:spacing w:val="0"/>
          <w:szCs w:val="20"/>
          <w:lang w:val="en-US"/>
        </w:rPr>
        <w:t>vehicle</w:t>
      </w:r>
      <w:r w:rsidRPr="00300A27">
        <w:rPr>
          <w:spacing w:val="0"/>
          <w:szCs w:val="20"/>
          <w:lang w:val="en-US"/>
        </w:rPr>
        <w:t xml:space="preserve"> approached her and the agents said: “</w:t>
      </w:r>
      <w:r w:rsidRPr="00300A27">
        <w:rPr>
          <w:i/>
          <w:iCs/>
          <w:spacing w:val="0"/>
          <w:szCs w:val="20"/>
          <w:lang w:val="en-US"/>
        </w:rPr>
        <w:t>Luchito</w:t>
      </w:r>
      <w:r w:rsidRPr="00300A27">
        <w:rPr>
          <w:spacing w:val="0"/>
          <w:szCs w:val="20"/>
          <w:lang w:val="en-US"/>
        </w:rPr>
        <w:t xml:space="preserve">, where are you going?” and </w:t>
      </w:r>
      <w:r w:rsidR="00A90E2D" w:rsidRPr="00300A27">
        <w:rPr>
          <w:spacing w:val="0"/>
          <w:szCs w:val="20"/>
          <w:lang w:val="en-US"/>
        </w:rPr>
        <w:t>[Ms. Rojas Marín] answered that [she was on her way] home […]</w:t>
      </w:r>
      <w:r w:rsidR="006E4786" w:rsidRPr="00300A27">
        <w:rPr>
          <w:spacing w:val="0"/>
          <w:szCs w:val="20"/>
          <w:lang w:val="en-US"/>
        </w:rPr>
        <w:t>; then</w:t>
      </w:r>
      <w:r w:rsidR="00A90E2D" w:rsidRPr="00300A27">
        <w:rPr>
          <w:spacing w:val="0"/>
          <w:szCs w:val="20"/>
          <w:lang w:val="en-US"/>
        </w:rPr>
        <w:t xml:space="preserve"> the </w:t>
      </w:r>
      <w:r w:rsidR="00A90E2D" w:rsidRPr="00300A27">
        <w:rPr>
          <w:i/>
          <w:iCs/>
          <w:spacing w:val="0"/>
          <w:szCs w:val="20"/>
          <w:lang w:val="en-US"/>
        </w:rPr>
        <w:t>serenazgo</w:t>
      </w:r>
      <w:r w:rsidR="00A90E2D" w:rsidRPr="00300A27">
        <w:rPr>
          <w:spacing w:val="0"/>
          <w:szCs w:val="20"/>
          <w:lang w:val="en-US"/>
        </w:rPr>
        <w:t xml:space="preserve"> said: “So late! Be careful because it’s very late.</w:t>
      </w:r>
      <w:r w:rsidR="00C82BA4" w:rsidRPr="00300A27">
        <w:rPr>
          <w:spacing w:val="0"/>
          <w:szCs w:val="20"/>
          <w:lang w:val="en-US"/>
        </w:rPr>
        <w:t>”</w:t>
      </w:r>
      <w:r w:rsidR="00C82BA4" w:rsidRPr="00300A27">
        <w:rPr>
          <w:rStyle w:val="Refdenotaalpie"/>
          <w:rFonts w:eastAsia="Times New Roman"/>
          <w:spacing w:val="0"/>
          <w:szCs w:val="20"/>
          <w:lang w:val="en-US"/>
        </w:rPr>
        <w:footnoteReference w:id="145"/>
      </w:r>
      <w:r w:rsidR="00A90E2D" w:rsidRPr="00300A27">
        <w:rPr>
          <w:spacing w:val="0"/>
          <w:szCs w:val="20"/>
          <w:lang w:val="en-US"/>
        </w:rPr>
        <w:t xml:space="preserve"> Twenty minutes later the vehicle approached her again, they hit her with a police baton, they made her get into the police vehicle and they shouted at her three times</w:t>
      </w:r>
      <w:r w:rsidR="00C82BA4" w:rsidRPr="00300A27">
        <w:rPr>
          <w:spacing w:val="0"/>
          <w:szCs w:val="20"/>
          <w:lang w:val="en-US"/>
        </w:rPr>
        <w:t xml:space="preserve"> “</w:t>
      </w:r>
      <w:r w:rsidR="00C82BA4" w:rsidRPr="00300A27">
        <w:rPr>
          <w:i/>
          <w:iCs/>
          <w:spacing w:val="0"/>
          <w:szCs w:val="20"/>
          <w:lang w:val="en-US"/>
        </w:rPr>
        <w:t>cabro concha de tu madre</w:t>
      </w:r>
      <w:r w:rsidR="00C82BA4" w:rsidRPr="00300A27">
        <w:rPr>
          <w:spacing w:val="0"/>
          <w:szCs w:val="20"/>
          <w:lang w:val="en-US"/>
        </w:rPr>
        <w:t>”</w:t>
      </w:r>
      <w:r w:rsidR="0039599A">
        <w:rPr>
          <w:spacing w:val="0"/>
          <w:szCs w:val="20"/>
          <w:lang w:val="en-US"/>
        </w:rPr>
        <w:t xml:space="preserve"> </w:t>
      </w:r>
      <w:r w:rsidR="0039599A">
        <w:rPr>
          <w:szCs w:val="20"/>
          <w:lang w:val="en-US"/>
        </w:rPr>
        <w:t>[queer, motherfucker].</w:t>
      </w:r>
      <w:r w:rsidR="00C82BA4" w:rsidRPr="00300A27">
        <w:rPr>
          <w:rStyle w:val="Refdenotaalpie"/>
          <w:spacing w:val="0"/>
          <w:szCs w:val="20"/>
          <w:lang w:val="en-US"/>
        </w:rPr>
        <w:footnoteReference w:id="146"/>
      </w:r>
      <w:r w:rsidR="00A90E2D" w:rsidRPr="00300A27">
        <w:rPr>
          <w:spacing w:val="0"/>
          <w:szCs w:val="20"/>
          <w:lang w:val="en-US"/>
        </w:rPr>
        <w:t xml:space="preserve"> While they were making her get into the police vehicle, </w:t>
      </w:r>
      <w:r w:rsidR="008546E9" w:rsidRPr="00300A27">
        <w:rPr>
          <w:spacing w:val="0"/>
          <w:szCs w:val="20"/>
          <w:lang w:val="en-US"/>
        </w:rPr>
        <w:t>Ms. Rojas</w:t>
      </w:r>
      <w:r w:rsidR="00C82BA4" w:rsidRPr="00300A27">
        <w:rPr>
          <w:spacing w:val="0"/>
          <w:szCs w:val="20"/>
          <w:lang w:val="en-US"/>
        </w:rPr>
        <w:t xml:space="preserve"> Marín </w:t>
      </w:r>
      <w:r w:rsidR="00A90E2D" w:rsidRPr="00300A27">
        <w:rPr>
          <w:spacing w:val="0"/>
          <w:szCs w:val="20"/>
          <w:lang w:val="en-US"/>
        </w:rPr>
        <w:t>asked why they were detaining her and the State agent did not answer her.</w:t>
      </w:r>
      <w:r w:rsidR="00FD61C7" w:rsidRPr="00300A27">
        <w:rPr>
          <w:rStyle w:val="Refdenotaalpie"/>
          <w:spacing w:val="0"/>
          <w:szCs w:val="20"/>
          <w:lang w:val="en-US"/>
        </w:rPr>
        <w:footnoteReference w:id="147"/>
      </w:r>
      <w:r w:rsidR="00FD61C7" w:rsidRPr="00300A27">
        <w:rPr>
          <w:spacing w:val="0"/>
          <w:szCs w:val="20"/>
          <w:lang w:val="en-US"/>
        </w:rPr>
        <w:t xml:space="preserve"> </w:t>
      </w:r>
      <w:r w:rsidR="00A90E2D" w:rsidRPr="00300A27">
        <w:rPr>
          <w:spacing w:val="0"/>
          <w:szCs w:val="20"/>
          <w:lang w:val="en-US"/>
        </w:rPr>
        <w:t>She was taken to</w:t>
      </w:r>
      <w:r w:rsidR="00FD61C7" w:rsidRPr="00300A27">
        <w:rPr>
          <w:spacing w:val="0"/>
          <w:szCs w:val="20"/>
          <w:lang w:val="en-US"/>
        </w:rPr>
        <w:t xml:space="preserve"> </w:t>
      </w:r>
      <w:r w:rsidR="00910D8E" w:rsidRPr="00300A27">
        <w:rPr>
          <w:spacing w:val="0"/>
          <w:szCs w:val="20"/>
          <w:lang w:val="en-US"/>
        </w:rPr>
        <w:t>the Casa Grande Police Station</w:t>
      </w:r>
      <w:r w:rsidR="00A90E2D" w:rsidRPr="00300A27">
        <w:rPr>
          <w:spacing w:val="0"/>
          <w:szCs w:val="20"/>
          <w:lang w:val="en-US"/>
        </w:rPr>
        <w:t xml:space="preserve"> where </w:t>
      </w:r>
      <w:r w:rsidR="00961E38" w:rsidRPr="00300A27">
        <w:rPr>
          <w:spacing w:val="0"/>
          <w:szCs w:val="20"/>
          <w:lang w:val="en-US"/>
        </w:rPr>
        <w:t>state agents</w:t>
      </w:r>
      <w:r w:rsidR="00A90E2D" w:rsidRPr="00300A27">
        <w:rPr>
          <w:spacing w:val="0"/>
          <w:szCs w:val="20"/>
          <w:lang w:val="en-US"/>
        </w:rPr>
        <w:t xml:space="preserve"> forcibly undressed her, hit her, raped her with a police baton and subjected her to other mistreatment and insults concerning her sexual orientation </w:t>
      </w:r>
      <w:r w:rsidR="00FD61C7" w:rsidRPr="00300A27">
        <w:rPr>
          <w:spacing w:val="0"/>
          <w:szCs w:val="20"/>
          <w:lang w:val="en-US"/>
        </w:rPr>
        <w:t>(</w:t>
      </w:r>
      <w:r w:rsidR="00BC0C9D" w:rsidRPr="00300A27">
        <w:rPr>
          <w:i/>
          <w:spacing w:val="0"/>
          <w:szCs w:val="20"/>
          <w:lang w:val="en-US"/>
        </w:rPr>
        <w:t>infra</w:t>
      </w:r>
      <w:r w:rsidR="00FD61C7" w:rsidRPr="00300A27">
        <w:rPr>
          <w:i/>
          <w:spacing w:val="0"/>
          <w:szCs w:val="20"/>
          <w:lang w:val="en-US"/>
        </w:rPr>
        <w:t xml:space="preserve"> </w:t>
      </w:r>
      <w:r w:rsidR="00910D8E" w:rsidRPr="00300A27">
        <w:rPr>
          <w:spacing w:val="0"/>
          <w:szCs w:val="20"/>
          <w:lang w:val="en-US"/>
        </w:rPr>
        <w:t>para.</w:t>
      </w:r>
      <w:r w:rsidR="00403AE6" w:rsidRPr="00300A27">
        <w:rPr>
          <w:spacing w:val="0"/>
          <w:szCs w:val="20"/>
          <w:lang w:val="en-US"/>
        </w:rPr>
        <w:t xml:space="preserve"> </w:t>
      </w:r>
      <w:r w:rsidR="00403AE6" w:rsidRPr="00300A27">
        <w:rPr>
          <w:spacing w:val="0"/>
          <w:szCs w:val="20"/>
          <w:lang w:val="en-US"/>
        </w:rPr>
        <w:fldChar w:fldCharType="begin"/>
      </w:r>
      <w:r w:rsidR="00403AE6" w:rsidRPr="00300A27">
        <w:rPr>
          <w:spacing w:val="0"/>
          <w:szCs w:val="20"/>
          <w:lang w:val="en-US"/>
        </w:rPr>
        <w:instrText xml:space="preserve"> REF _Ref36022945 \r \h </w:instrText>
      </w:r>
      <w:r w:rsidR="00B243B6" w:rsidRPr="00300A27">
        <w:rPr>
          <w:spacing w:val="0"/>
          <w:szCs w:val="20"/>
          <w:lang w:val="en-US"/>
        </w:rPr>
        <w:instrText xml:space="preserve"> \* MERGEFORMAT </w:instrText>
      </w:r>
      <w:r w:rsidR="00403AE6" w:rsidRPr="00300A27">
        <w:rPr>
          <w:spacing w:val="0"/>
          <w:szCs w:val="20"/>
          <w:lang w:val="en-US"/>
        </w:rPr>
      </w:r>
      <w:r w:rsidR="00403AE6" w:rsidRPr="00300A27">
        <w:rPr>
          <w:spacing w:val="0"/>
          <w:szCs w:val="20"/>
          <w:lang w:val="en-US"/>
        </w:rPr>
        <w:fldChar w:fldCharType="separate"/>
      </w:r>
      <w:r w:rsidR="00632F77" w:rsidRPr="00300A27">
        <w:rPr>
          <w:spacing w:val="0"/>
          <w:szCs w:val="20"/>
          <w:lang w:val="en-US"/>
        </w:rPr>
        <w:t>157</w:t>
      </w:r>
      <w:r w:rsidR="00403AE6" w:rsidRPr="00300A27">
        <w:rPr>
          <w:spacing w:val="0"/>
          <w:szCs w:val="20"/>
          <w:lang w:val="en-US"/>
        </w:rPr>
        <w:fldChar w:fldCharType="end"/>
      </w:r>
      <w:r w:rsidR="00FD61C7" w:rsidRPr="00300A27">
        <w:rPr>
          <w:spacing w:val="0"/>
          <w:szCs w:val="20"/>
          <w:lang w:val="en-US"/>
        </w:rPr>
        <w:t xml:space="preserve">). </w:t>
      </w:r>
      <w:r w:rsidR="00834A1B" w:rsidRPr="00300A27">
        <w:rPr>
          <w:spacing w:val="0"/>
          <w:szCs w:val="20"/>
          <w:lang w:val="en-US"/>
        </w:rPr>
        <w:t>The presumed victim</w:t>
      </w:r>
      <w:r w:rsidR="00B561B2" w:rsidRPr="00300A27">
        <w:rPr>
          <w:spacing w:val="0"/>
          <w:szCs w:val="20"/>
          <w:lang w:val="en-US"/>
        </w:rPr>
        <w:t xml:space="preserve"> indic</w:t>
      </w:r>
      <w:r w:rsidR="00A90E2D" w:rsidRPr="00300A27">
        <w:rPr>
          <w:spacing w:val="0"/>
          <w:szCs w:val="20"/>
          <w:lang w:val="en-US"/>
        </w:rPr>
        <w:t>ated that she remained</w:t>
      </w:r>
      <w:r w:rsidR="00B561B2" w:rsidRPr="00300A27">
        <w:rPr>
          <w:spacing w:val="0"/>
          <w:szCs w:val="20"/>
          <w:lang w:val="en-US"/>
        </w:rPr>
        <w:t xml:space="preserve"> </w:t>
      </w:r>
      <w:r w:rsidR="00910D8E" w:rsidRPr="00300A27">
        <w:rPr>
          <w:spacing w:val="0"/>
          <w:szCs w:val="20"/>
          <w:lang w:val="en-US"/>
        </w:rPr>
        <w:t>in the Police Station</w:t>
      </w:r>
      <w:r w:rsidR="00B561B2" w:rsidRPr="00300A27">
        <w:rPr>
          <w:spacing w:val="0"/>
          <w:szCs w:val="20"/>
          <w:lang w:val="en-US"/>
        </w:rPr>
        <w:t xml:space="preserve"> </w:t>
      </w:r>
      <w:r w:rsidR="00A90E2D" w:rsidRPr="00300A27">
        <w:rPr>
          <w:spacing w:val="0"/>
          <w:szCs w:val="20"/>
          <w:lang w:val="en-US"/>
        </w:rPr>
        <w:t>until 6 a.m., that is, around five hours.</w:t>
      </w:r>
      <w:r w:rsidR="00B561B2" w:rsidRPr="00300A27">
        <w:rPr>
          <w:rStyle w:val="Refdenotaalpie"/>
          <w:spacing w:val="0"/>
          <w:szCs w:val="20"/>
          <w:lang w:val="en-US"/>
        </w:rPr>
        <w:footnoteReference w:id="148"/>
      </w:r>
    </w:p>
    <w:p w14:paraId="273E840D" w14:textId="47772BFB" w:rsidR="00F400D2" w:rsidRPr="00300A27" w:rsidRDefault="00A90E2D" w:rsidP="00B243B6">
      <w:pPr>
        <w:pStyle w:val="PrrafodeSentencia"/>
        <w:numPr>
          <w:ilvl w:val="0"/>
          <w:numId w:val="3"/>
        </w:numPr>
        <w:spacing w:before="120" w:after="120"/>
        <w:ind w:left="0" w:firstLine="0"/>
        <w:rPr>
          <w:spacing w:val="0"/>
          <w:szCs w:val="20"/>
          <w:lang w:val="en-US"/>
        </w:rPr>
      </w:pPr>
      <w:r w:rsidRPr="00300A27">
        <w:rPr>
          <w:spacing w:val="0"/>
          <w:szCs w:val="20"/>
          <w:lang w:val="en-US"/>
        </w:rPr>
        <w:t>First</w:t>
      </w:r>
      <w:r w:rsidR="00AE7542" w:rsidRPr="00300A27">
        <w:rPr>
          <w:spacing w:val="0"/>
          <w:szCs w:val="20"/>
          <w:lang w:val="en-US"/>
        </w:rPr>
        <w:t>,</w:t>
      </w:r>
      <w:r w:rsidR="00FD61C7" w:rsidRPr="00300A27">
        <w:rPr>
          <w:spacing w:val="0"/>
          <w:szCs w:val="20"/>
          <w:lang w:val="en-US"/>
        </w:rPr>
        <w:t xml:space="preserve"> </w:t>
      </w:r>
      <w:r w:rsidR="005B1C65" w:rsidRPr="00300A27">
        <w:rPr>
          <w:spacing w:val="0"/>
          <w:szCs w:val="20"/>
          <w:lang w:val="en-US"/>
        </w:rPr>
        <w:t>the Court</w:t>
      </w:r>
      <w:r w:rsidR="00FD61C7" w:rsidRPr="00300A27">
        <w:rPr>
          <w:spacing w:val="0"/>
          <w:szCs w:val="20"/>
          <w:lang w:val="en-US"/>
        </w:rPr>
        <w:t xml:space="preserve"> </w:t>
      </w:r>
      <w:r w:rsidRPr="00300A27">
        <w:rPr>
          <w:spacing w:val="0"/>
          <w:szCs w:val="20"/>
          <w:lang w:val="en-US"/>
        </w:rPr>
        <w:t>notes that there are inconsistencies between the</w:t>
      </w:r>
      <w:r w:rsidR="00FD61C7" w:rsidRPr="00300A27">
        <w:rPr>
          <w:spacing w:val="0"/>
          <w:szCs w:val="20"/>
          <w:lang w:val="en-US"/>
        </w:rPr>
        <w:t xml:space="preserve"> </w:t>
      </w:r>
      <w:r w:rsidRPr="00300A27">
        <w:rPr>
          <w:spacing w:val="0"/>
          <w:szCs w:val="20"/>
          <w:lang w:val="en-US"/>
        </w:rPr>
        <w:t>p</w:t>
      </w:r>
      <w:r w:rsidR="00C81CB0" w:rsidRPr="00300A27">
        <w:rPr>
          <w:spacing w:val="0"/>
          <w:szCs w:val="20"/>
          <w:lang w:val="en-US"/>
        </w:rPr>
        <w:t>olice report</w:t>
      </w:r>
      <w:r w:rsidR="005B1C65" w:rsidRPr="00300A27">
        <w:rPr>
          <w:spacing w:val="0"/>
          <w:szCs w:val="20"/>
          <w:lang w:val="en-US"/>
        </w:rPr>
        <w:t xml:space="preserve"> and </w:t>
      </w:r>
      <w:r w:rsidRPr="00300A27">
        <w:rPr>
          <w:spacing w:val="0"/>
          <w:szCs w:val="20"/>
          <w:lang w:val="en-US"/>
        </w:rPr>
        <w:t xml:space="preserve">the statements of the </w:t>
      </w:r>
      <w:r w:rsidR="00961E38" w:rsidRPr="00300A27">
        <w:rPr>
          <w:spacing w:val="0"/>
          <w:szCs w:val="20"/>
          <w:lang w:val="en-US"/>
        </w:rPr>
        <w:t>state agents</w:t>
      </w:r>
      <w:r w:rsidRPr="00300A27">
        <w:rPr>
          <w:spacing w:val="0"/>
          <w:szCs w:val="20"/>
          <w:lang w:val="en-US"/>
        </w:rPr>
        <w:t xml:space="preserve"> as to whether</w:t>
      </w:r>
      <w:r w:rsidR="00FD61C7" w:rsidRPr="00300A27">
        <w:rPr>
          <w:spacing w:val="0"/>
          <w:szCs w:val="20"/>
          <w:lang w:val="en-US"/>
        </w:rPr>
        <w:t xml:space="preserve"> </w:t>
      </w:r>
      <w:r w:rsidR="00834A1B" w:rsidRPr="00300A27">
        <w:rPr>
          <w:spacing w:val="0"/>
          <w:szCs w:val="20"/>
          <w:lang w:val="en-US"/>
        </w:rPr>
        <w:t>the presumed victim</w:t>
      </w:r>
      <w:r w:rsidR="00FD61C7" w:rsidRPr="00300A27">
        <w:rPr>
          <w:spacing w:val="0"/>
          <w:szCs w:val="20"/>
          <w:lang w:val="en-US"/>
        </w:rPr>
        <w:t xml:space="preserve"> </w:t>
      </w:r>
      <w:r w:rsidRPr="00300A27">
        <w:rPr>
          <w:spacing w:val="0"/>
          <w:szCs w:val="20"/>
          <w:lang w:val="en-US"/>
        </w:rPr>
        <w:t>was alone or with two other individuals, or whether or not</w:t>
      </w:r>
      <w:r w:rsidR="00FD61C7" w:rsidRPr="00300A27">
        <w:rPr>
          <w:spacing w:val="0"/>
          <w:szCs w:val="20"/>
          <w:lang w:val="en-US"/>
        </w:rPr>
        <w:t xml:space="preserve"> </w:t>
      </w:r>
      <w:r w:rsidR="00834A1B" w:rsidRPr="00300A27">
        <w:rPr>
          <w:spacing w:val="0"/>
          <w:szCs w:val="20"/>
          <w:lang w:val="en-US"/>
        </w:rPr>
        <w:t>the presumed victim</w:t>
      </w:r>
      <w:r w:rsidR="00FD61C7" w:rsidRPr="00300A27">
        <w:rPr>
          <w:spacing w:val="0"/>
          <w:szCs w:val="20"/>
          <w:lang w:val="en-US"/>
        </w:rPr>
        <w:t xml:space="preserve"> </w:t>
      </w:r>
      <w:r w:rsidRPr="00300A27">
        <w:rPr>
          <w:spacing w:val="0"/>
          <w:szCs w:val="20"/>
          <w:lang w:val="en-US"/>
        </w:rPr>
        <w:t xml:space="preserve">had tried to flee when the </w:t>
      </w:r>
      <w:r w:rsidR="00961E38" w:rsidRPr="00300A27">
        <w:rPr>
          <w:spacing w:val="0"/>
          <w:szCs w:val="20"/>
          <w:lang w:val="en-US"/>
        </w:rPr>
        <w:t>state agents</w:t>
      </w:r>
      <w:r w:rsidRPr="00300A27">
        <w:rPr>
          <w:spacing w:val="0"/>
          <w:szCs w:val="20"/>
          <w:lang w:val="en-US"/>
        </w:rPr>
        <w:t xml:space="preserve"> approached. There is no other evidence, including additional information on the </w:t>
      </w:r>
      <w:r w:rsidR="00436DAB" w:rsidRPr="00300A27">
        <w:rPr>
          <w:spacing w:val="0"/>
          <w:szCs w:val="20"/>
          <w:lang w:val="en-US"/>
        </w:rPr>
        <w:t>teleph</w:t>
      </w:r>
      <w:r w:rsidRPr="00300A27">
        <w:rPr>
          <w:spacing w:val="0"/>
          <w:szCs w:val="20"/>
          <w:lang w:val="en-US"/>
        </w:rPr>
        <w:t xml:space="preserve">one call from the neighbors </w:t>
      </w:r>
      <w:r w:rsidR="00436DAB" w:rsidRPr="00300A27">
        <w:rPr>
          <w:spacing w:val="0"/>
          <w:szCs w:val="20"/>
          <w:lang w:val="en-US"/>
        </w:rPr>
        <w:t>noting the presence of suspicious individuals or a record of the detention that the State was obliged to prepare</w:t>
      </w:r>
      <w:r w:rsidR="00FD61C7" w:rsidRPr="00300A27">
        <w:rPr>
          <w:spacing w:val="0"/>
          <w:szCs w:val="20"/>
          <w:lang w:val="en-US"/>
        </w:rPr>
        <w:t xml:space="preserve"> </w:t>
      </w:r>
      <w:r w:rsidR="0000017E" w:rsidRPr="00300A27">
        <w:rPr>
          <w:spacing w:val="0"/>
          <w:szCs w:val="20"/>
          <w:lang w:val="en-US"/>
        </w:rPr>
        <w:t>(</w:t>
      </w:r>
      <w:r w:rsidR="00BC0C9D" w:rsidRPr="00300A27">
        <w:rPr>
          <w:i/>
          <w:spacing w:val="0"/>
          <w:szCs w:val="20"/>
          <w:lang w:val="en-US"/>
        </w:rPr>
        <w:t xml:space="preserve">infra </w:t>
      </w:r>
      <w:r w:rsidR="00910D8E" w:rsidRPr="00300A27">
        <w:rPr>
          <w:spacing w:val="0"/>
          <w:szCs w:val="20"/>
          <w:lang w:val="en-US"/>
        </w:rPr>
        <w:t>para.</w:t>
      </w:r>
      <w:r w:rsidR="00241853" w:rsidRPr="00300A27">
        <w:rPr>
          <w:spacing w:val="0"/>
          <w:szCs w:val="20"/>
          <w:lang w:val="en-US"/>
        </w:rPr>
        <w:t xml:space="preserve"> </w:t>
      </w:r>
      <w:r w:rsidR="00403AE6" w:rsidRPr="00300A27">
        <w:rPr>
          <w:spacing w:val="0"/>
          <w:szCs w:val="20"/>
          <w:lang w:val="en-US"/>
        </w:rPr>
        <w:fldChar w:fldCharType="begin"/>
      </w:r>
      <w:r w:rsidR="00403AE6" w:rsidRPr="00300A27">
        <w:rPr>
          <w:spacing w:val="0"/>
          <w:szCs w:val="20"/>
          <w:lang w:val="en-US"/>
        </w:rPr>
        <w:instrText xml:space="preserve"> REF _Ref36023036 \r \h </w:instrText>
      </w:r>
      <w:r w:rsidR="00B243B6" w:rsidRPr="00300A27">
        <w:rPr>
          <w:spacing w:val="0"/>
          <w:szCs w:val="20"/>
          <w:lang w:val="en-US"/>
        </w:rPr>
        <w:instrText xml:space="preserve"> \* MERGEFORMAT </w:instrText>
      </w:r>
      <w:r w:rsidR="00403AE6" w:rsidRPr="00300A27">
        <w:rPr>
          <w:spacing w:val="0"/>
          <w:szCs w:val="20"/>
          <w:lang w:val="en-US"/>
        </w:rPr>
      </w:r>
      <w:r w:rsidR="00403AE6" w:rsidRPr="00300A27">
        <w:rPr>
          <w:spacing w:val="0"/>
          <w:szCs w:val="20"/>
          <w:lang w:val="en-US"/>
        </w:rPr>
        <w:fldChar w:fldCharType="separate"/>
      </w:r>
      <w:r w:rsidR="00632F77" w:rsidRPr="00300A27">
        <w:rPr>
          <w:spacing w:val="0"/>
          <w:szCs w:val="20"/>
          <w:lang w:val="en-US"/>
        </w:rPr>
        <w:t>119</w:t>
      </w:r>
      <w:r w:rsidR="00403AE6" w:rsidRPr="00300A27">
        <w:rPr>
          <w:spacing w:val="0"/>
          <w:szCs w:val="20"/>
          <w:lang w:val="en-US"/>
        </w:rPr>
        <w:fldChar w:fldCharType="end"/>
      </w:r>
      <w:r w:rsidR="00241853" w:rsidRPr="00300A27">
        <w:rPr>
          <w:spacing w:val="0"/>
          <w:szCs w:val="20"/>
          <w:lang w:val="en-US"/>
        </w:rPr>
        <w:t xml:space="preserve">), </w:t>
      </w:r>
      <w:r w:rsidR="00436DAB" w:rsidRPr="00300A27">
        <w:rPr>
          <w:spacing w:val="0"/>
          <w:szCs w:val="20"/>
          <w:lang w:val="en-US"/>
        </w:rPr>
        <w:t xml:space="preserve">which would corroborate the version presented by the </w:t>
      </w:r>
      <w:r w:rsidR="00961E38" w:rsidRPr="00300A27">
        <w:rPr>
          <w:spacing w:val="0"/>
          <w:szCs w:val="20"/>
          <w:lang w:val="en-US"/>
        </w:rPr>
        <w:t>state agents</w:t>
      </w:r>
      <w:r w:rsidR="00436DAB" w:rsidRPr="00300A27">
        <w:rPr>
          <w:spacing w:val="0"/>
          <w:szCs w:val="20"/>
          <w:lang w:val="en-US"/>
        </w:rPr>
        <w:t xml:space="preserve">. On the other hand, the statements </w:t>
      </w:r>
      <w:r w:rsidR="008546E9" w:rsidRPr="00300A27">
        <w:rPr>
          <w:spacing w:val="0"/>
          <w:szCs w:val="20"/>
          <w:lang w:val="en-US"/>
        </w:rPr>
        <w:t xml:space="preserve">of the </w:t>
      </w:r>
      <w:r w:rsidR="00834A1B" w:rsidRPr="00300A27">
        <w:rPr>
          <w:spacing w:val="0"/>
          <w:szCs w:val="20"/>
          <w:lang w:val="en-US"/>
        </w:rPr>
        <w:t>presumed victim</w:t>
      </w:r>
      <w:r w:rsidR="00241853" w:rsidRPr="00300A27">
        <w:rPr>
          <w:spacing w:val="0"/>
          <w:szCs w:val="20"/>
          <w:lang w:val="en-US"/>
        </w:rPr>
        <w:t xml:space="preserve"> ha</w:t>
      </w:r>
      <w:r w:rsidR="00436DAB" w:rsidRPr="00300A27">
        <w:rPr>
          <w:spacing w:val="0"/>
          <w:szCs w:val="20"/>
          <w:lang w:val="en-US"/>
        </w:rPr>
        <w:t>ve been consistent as regards what happened. Her version on the circumstances of the detention is also in keeping with the acts of torture that took place at</w:t>
      </w:r>
      <w:r w:rsidR="00910D8E" w:rsidRPr="00300A27">
        <w:rPr>
          <w:spacing w:val="0"/>
          <w:szCs w:val="20"/>
          <w:lang w:val="en-US"/>
        </w:rPr>
        <w:t xml:space="preserve"> the </w:t>
      </w:r>
      <w:r w:rsidR="00D939AE" w:rsidRPr="00300A27">
        <w:rPr>
          <w:spacing w:val="0"/>
          <w:szCs w:val="20"/>
          <w:lang w:val="en-US"/>
        </w:rPr>
        <w:t>Casa Grande Police Station</w:t>
      </w:r>
      <w:r w:rsidR="00241853" w:rsidRPr="00300A27">
        <w:rPr>
          <w:spacing w:val="0"/>
          <w:szCs w:val="20"/>
          <w:lang w:val="en-US"/>
        </w:rPr>
        <w:t xml:space="preserve"> </w:t>
      </w:r>
      <w:r w:rsidR="00436DAB" w:rsidRPr="00300A27">
        <w:rPr>
          <w:spacing w:val="0"/>
          <w:szCs w:val="20"/>
          <w:lang w:val="en-US"/>
        </w:rPr>
        <w:t>which are analyzed and admitted as proven in the chapter on</w:t>
      </w:r>
      <w:r w:rsidR="00AC173E" w:rsidRPr="00300A27">
        <w:rPr>
          <w:spacing w:val="0"/>
          <w:szCs w:val="20"/>
          <w:lang w:val="en-US"/>
        </w:rPr>
        <w:t xml:space="preserve"> </w:t>
      </w:r>
      <w:r w:rsidR="00D939AE" w:rsidRPr="00300A27">
        <w:rPr>
          <w:spacing w:val="0"/>
          <w:szCs w:val="20"/>
          <w:lang w:val="en-US"/>
        </w:rPr>
        <w:t>the right to personal integrity</w:t>
      </w:r>
      <w:r w:rsidR="00241853" w:rsidRPr="00300A27">
        <w:rPr>
          <w:spacing w:val="0"/>
          <w:szCs w:val="20"/>
          <w:lang w:val="en-US"/>
        </w:rPr>
        <w:t xml:space="preserve"> (</w:t>
      </w:r>
      <w:r w:rsidR="00BC0C9D" w:rsidRPr="00300A27">
        <w:rPr>
          <w:i/>
          <w:spacing w:val="0"/>
          <w:szCs w:val="20"/>
          <w:lang w:val="en-US"/>
        </w:rPr>
        <w:t>infra</w:t>
      </w:r>
      <w:r w:rsidR="00241853" w:rsidRPr="00300A27">
        <w:rPr>
          <w:i/>
          <w:spacing w:val="0"/>
          <w:szCs w:val="20"/>
          <w:lang w:val="en-US"/>
        </w:rPr>
        <w:t xml:space="preserve"> </w:t>
      </w:r>
      <w:r w:rsidR="00910D8E" w:rsidRPr="00300A27">
        <w:rPr>
          <w:spacing w:val="0"/>
          <w:szCs w:val="20"/>
          <w:lang w:val="en-US"/>
        </w:rPr>
        <w:t>paras.</w:t>
      </w:r>
      <w:r w:rsidR="00241853" w:rsidRPr="00300A27">
        <w:rPr>
          <w:spacing w:val="0"/>
          <w:szCs w:val="20"/>
          <w:lang w:val="en-US"/>
        </w:rPr>
        <w:t xml:space="preserve"> </w:t>
      </w:r>
      <w:r w:rsidR="00403AE6" w:rsidRPr="00300A27">
        <w:rPr>
          <w:spacing w:val="0"/>
          <w:szCs w:val="20"/>
          <w:lang w:val="en-US"/>
        </w:rPr>
        <w:fldChar w:fldCharType="begin"/>
      </w:r>
      <w:r w:rsidR="00403AE6" w:rsidRPr="00300A27">
        <w:rPr>
          <w:spacing w:val="0"/>
          <w:szCs w:val="20"/>
          <w:lang w:val="en-US"/>
        </w:rPr>
        <w:instrText xml:space="preserve"> REF _Ref32514367 \r \h </w:instrText>
      </w:r>
      <w:r w:rsidR="00B243B6" w:rsidRPr="00300A27">
        <w:rPr>
          <w:spacing w:val="0"/>
          <w:szCs w:val="20"/>
          <w:lang w:val="en-US"/>
        </w:rPr>
        <w:instrText xml:space="preserve"> \* MERGEFORMAT </w:instrText>
      </w:r>
      <w:r w:rsidR="00403AE6" w:rsidRPr="00300A27">
        <w:rPr>
          <w:spacing w:val="0"/>
          <w:szCs w:val="20"/>
          <w:lang w:val="en-US"/>
        </w:rPr>
      </w:r>
      <w:r w:rsidR="00403AE6" w:rsidRPr="00300A27">
        <w:rPr>
          <w:spacing w:val="0"/>
          <w:szCs w:val="20"/>
          <w:lang w:val="en-US"/>
        </w:rPr>
        <w:fldChar w:fldCharType="separate"/>
      </w:r>
      <w:r w:rsidR="00632F77" w:rsidRPr="00300A27">
        <w:rPr>
          <w:spacing w:val="0"/>
          <w:szCs w:val="20"/>
          <w:lang w:val="en-US"/>
        </w:rPr>
        <w:t>145</w:t>
      </w:r>
      <w:r w:rsidR="00403AE6" w:rsidRPr="00300A27">
        <w:rPr>
          <w:spacing w:val="0"/>
          <w:szCs w:val="20"/>
          <w:lang w:val="en-US"/>
        </w:rPr>
        <w:fldChar w:fldCharType="end"/>
      </w:r>
      <w:r w:rsidR="00403AE6" w:rsidRPr="00300A27">
        <w:rPr>
          <w:spacing w:val="0"/>
          <w:szCs w:val="20"/>
          <w:lang w:val="en-US"/>
        </w:rPr>
        <w:t xml:space="preserve"> </w:t>
      </w:r>
      <w:r w:rsidR="00436DAB" w:rsidRPr="00300A27">
        <w:rPr>
          <w:spacing w:val="0"/>
          <w:szCs w:val="20"/>
          <w:lang w:val="en-US"/>
        </w:rPr>
        <w:t xml:space="preserve">to </w:t>
      </w:r>
      <w:r w:rsidR="00403AE6" w:rsidRPr="00300A27">
        <w:rPr>
          <w:spacing w:val="0"/>
          <w:szCs w:val="20"/>
          <w:lang w:val="en-US"/>
        </w:rPr>
        <w:fldChar w:fldCharType="begin"/>
      </w:r>
      <w:r w:rsidR="00403AE6" w:rsidRPr="00300A27">
        <w:rPr>
          <w:spacing w:val="0"/>
          <w:szCs w:val="20"/>
          <w:lang w:val="en-US"/>
        </w:rPr>
        <w:instrText xml:space="preserve"> REF _Ref446690810 \r \h </w:instrText>
      </w:r>
      <w:r w:rsidR="00B243B6" w:rsidRPr="00300A27">
        <w:rPr>
          <w:spacing w:val="0"/>
          <w:szCs w:val="20"/>
          <w:lang w:val="en-US"/>
        </w:rPr>
        <w:instrText xml:space="preserve"> \* MERGEFORMAT </w:instrText>
      </w:r>
      <w:r w:rsidR="00403AE6" w:rsidRPr="00300A27">
        <w:rPr>
          <w:spacing w:val="0"/>
          <w:szCs w:val="20"/>
          <w:lang w:val="en-US"/>
        </w:rPr>
      </w:r>
      <w:r w:rsidR="00403AE6" w:rsidRPr="00300A27">
        <w:rPr>
          <w:spacing w:val="0"/>
          <w:szCs w:val="20"/>
          <w:lang w:val="en-US"/>
        </w:rPr>
        <w:fldChar w:fldCharType="separate"/>
      </w:r>
      <w:r w:rsidR="00632F77" w:rsidRPr="00300A27">
        <w:rPr>
          <w:spacing w:val="0"/>
          <w:szCs w:val="20"/>
          <w:lang w:val="en-US"/>
        </w:rPr>
        <w:t>165</w:t>
      </w:r>
      <w:r w:rsidR="00403AE6" w:rsidRPr="00300A27">
        <w:rPr>
          <w:spacing w:val="0"/>
          <w:szCs w:val="20"/>
          <w:lang w:val="en-US"/>
        </w:rPr>
        <w:fldChar w:fldCharType="end"/>
      </w:r>
      <w:r w:rsidR="00241853" w:rsidRPr="00300A27">
        <w:rPr>
          <w:spacing w:val="0"/>
          <w:szCs w:val="20"/>
          <w:lang w:val="en-US"/>
        </w:rPr>
        <w:t>)</w:t>
      </w:r>
      <w:r w:rsidR="00357C1B" w:rsidRPr="00300A27">
        <w:rPr>
          <w:spacing w:val="0"/>
          <w:szCs w:val="20"/>
          <w:lang w:val="en-US"/>
        </w:rPr>
        <w:t>.</w:t>
      </w:r>
    </w:p>
    <w:p w14:paraId="7A71222C" w14:textId="1C169383" w:rsidR="00F50D20" w:rsidRPr="00300A27" w:rsidRDefault="009D2001" w:rsidP="00B243B6">
      <w:pPr>
        <w:pStyle w:val="PrrafodeSentencia"/>
        <w:numPr>
          <w:ilvl w:val="0"/>
          <w:numId w:val="3"/>
        </w:numPr>
        <w:spacing w:before="120" w:after="120"/>
        <w:ind w:left="0" w:firstLine="0"/>
        <w:rPr>
          <w:spacing w:val="0"/>
          <w:szCs w:val="20"/>
          <w:lang w:val="en-US"/>
        </w:rPr>
      </w:pPr>
      <w:r w:rsidRPr="00300A27">
        <w:rPr>
          <w:spacing w:val="0"/>
          <w:szCs w:val="20"/>
          <w:lang w:val="en-US"/>
        </w:rPr>
        <w:t xml:space="preserve">Based on the foregoing, the Court finds it proved that, </w:t>
      </w:r>
      <w:r w:rsidR="00910D8E" w:rsidRPr="00300A27">
        <w:rPr>
          <w:spacing w:val="0"/>
          <w:szCs w:val="20"/>
          <w:lang w:val="en-US"/>
        </w:rPr>
        <w:t>on February 25,</w:t>
      </w:r>
      <w:r w:rsidR="00241853" w:rsidRPr="00300A27">
        <w:rPr>
          <w:spacing w:val="0"/>
          <w:szCs w:val="20"/>
          <w:lang w:val="en-US"/>
        </w:rPr>
        <w:t xml:space="preserve"> 2008</w:t>
      </w:r>
      <w:r w:rsidRPr="00300A27">
        <w:rPr>
          <w:spacing w:val="0"/>
          <w:szCs w:val="20"/>
          <w:lang w:val="en-US"/>
        </w:rPr>
        <w:t>, at</w:t>
      </w:r>
      <w:r w:rsidR="00A81825" w:rsidRPr="00300A27">
        <w:rPr>
          <w:spacing w:val="0"/>
          <w:szCs w:val="20"/>
          <w:lang w:val="en-US"/>
        </w:rPr>
        <w:t xml:space="preserve"> </w:t>
      </w:r>
      <w:r w:rsidR="00C70DB5" w:rsidRPr="00300A27">
        <w:rPr>
          <w:spacing w:val="0"/>
          <w:szCs w:val="20"/>
          <w:lang w:val="en-US"/>
        </w:rPr>
        <w:t>00:30 ho</w:t>
      </w:r>
      <w:r w:rsidRPr="00300A27">
        <w:rPr>
          <w:spacing w:val="0"/>
          <w:szCs w:val="20"/>
          <w:lang w:val="en-US"/>
        </w:rPr>
        <w:t>urs,</w:t>
      </w:r>
      <w:r w:rsidR="00241853" w:rsidRPr="00300A27">
        <w:rPr>
          <w:spacing w:val="0"/>
          <w:szCs w:val="20"/>
          <w:lang w:val="en-US"/>
        </w:rPr>
        <w:t xml:space="preserve"> </w:t>
      </w:r>
      <w:r w:rsidR="008546E9" w:rsidRPr="00300A27">
        <w:rPr>
          <w:spacing w:val="0"/>
          <w:szCs w:val="20"/>
          <w:lang w:val="en-US"/>
        </w:rPr>
        <w:t>Ms. Rojas</w:t>
      </w:r>
      <w:r w:rsidR="00A81825" w:rsidRPr="00300A27">
        <w:rPr>
          <w:spacing w:val="0"/>
          <w:szCs w:val="20"/>
          <w:lang w:val="en-US"/>
        </w:rPr>
        <w:t xml:space="preserve"> Marín </w:t>
      </w:r>
      <w:r w:rsidRPr="00300A27">
        <w:rPr>
          <w:spacing w:val="0"/>
          <w:szCs w:val="20"/>
          <w:lang w:val="en-US"/>
        </w:rPr>
        <w:t xml:space="preserve">was walking home alone when a police vehicle approached her, a </w:t>
      </w:r>
      <w:r w:rsidR="006A7C71" w:rsidRPr="00300A27">
        <w:rPr>
          <w:spacing w:val="0"/>
          <w:szCs w:val="20"/>
          <w:lang w:val="en-US"/>
        </w:rPr>
        <w:t>s</w:t>
      </w:r>
      <w:r w:rsidRPr="00300A27">
        <w:rPr>
          <w:spacing w:val="0"/>
          <w:szCs w:val="20"/>
          <w:lang w:val="en-US"/>
        </w:rPr>
        <w:t>tate agent asked her where she was going and said to her: “So late! Be careful because it’s very late.” Twenty minutes later the vehicle returned, they hit her, they made her get into the police vehicle and they shouted at her three times “</w:t>
      </w:r>
      <w:r w:rsidRPr="00300A27">
        <w:rPr>
          <w:i/>
          <w:iCs/>
          <w:spacing w:val="0"/>
          <w:szCs w:val="20"/>
          <w:lang w:val="en-US"/>
        </w:rPr>
        <w:t>cabro concha de tu madre</w:t>
      </w:r>
      <w:r w:rsidR="00F50D20" w:rsidRPr="00300A27">
        <w:rPr>
          <w:i/>
          <w:iCs/>
          <w:spacing w:val="0"/>
          <w:szCs w:val="20"/>
          <w:lang w:val="en-US"/>
        </w:rPr>
        <w:t>.”</w:t>
      </w:r>
      <w:r w:rsidR="00F50D20" w:rsidRPr="00300A27">
        <w:rPr>
          <w:spacing w:val="0"/>
          <w:szCs w:val="20"/>
          <w:lang w:val="en-US"/>
        </w:rPr>
        <w:t xml:space="preserve"> While they were making her get into the police vehicle, Ms. Rojas Marín asked why they were detaining her and the </w:t>
      </w:r>
      <w:r w:rsidR="006A7C71" w:rsidRPr="00300A27">
        <w:rPr>
          <w:spacing w:val="0"/>
          <w:szCs w:val="20"/>
          <w:lang w:val="en-US"/>
        </w:rPr>
        <w:t>s</w:t>
      </w:r>
      <w:r w:rsidR="00F50D20" w:rsidRPr="00300A27">
        <w:rPr>
          <w:spacing w:val="0"/>
          <w:szCs w:val="20"/>
          <w:lang w:val="en-US"/>
        </w:rPr>
        <w:t xml:space="preserve">tate agent did not answer her. </w:t>
      </w:r>
      <w:r w:rsidR="00834A1B" w:rsidRPr="00300A27">
        <w:rPr>
          <w:spacing w:val="0"/>
          <w:szCs w:val="20"/>
          <w:lang w:val="en-US"/>
        </w:rPr>
        <w:t>The presumed victim</w:t>
      </w:r>
      <w:r w:rsidR="00D157BA" w:rsidRPr="00300A27">
        <w:rPr>
          <w:spacing w:val="0"/>
          <w:szCs w:val="20"/>
          <w:lang w:val="en-US"/>
        </w:rPr>
        <w:t xml:space="preserve"> </w:t>
      </w:r>
      <w:r w:rsidR="00F50D20" w:rsidRPr="00300A27">
        <w:rPr>
          <w:spacing w:val="0"/>
          <w:szCs w:val="20"/>
          <w:lang w:val="en-US"/>
        </w:rPr>
        <w:t>was taken to</w:t>
      </w:r>
      <w:r w:rsidR="00D157BA" w:rsidRPr="00300A27">
        <w:rPr>
          <w:spacing w:val="0"/>
          <w:szCs w:val="20"/>
          <w:lang w:val="en-US"/>
        </w:rPr>
        <w:t xml:space="preserve"> </w:t>
      </w:r>
      <w:r w:rsidR="00910D8E" w:rsidRPr="00300A27">
        <w:rPr>
          <w:spacing w:val="0"/>
          <w:szCs w:val="20"/>
          <w:lang w:val="en-US"/>
        </w:rPr>
        <w:t>the Casa Grande Police Station</w:t>
      </w:r>
      <w:r w:rsidR="00F50D20" w:rsidRPr="00300A27">
        <w:rPr>
          <w:spacing w:val="0"/>
          <w:szCs w:val="20"/>
          <w:lang w:val="en-US"/>
        </w:rPr>
        <w:t xml:space="preserve"> where she remain until 6 a.m.; that is, around five hours. In the case of facts that were not mentioned by the presumed victim but included in the police report, this will be used as evidence.</w:t>
      </w:r>
    </w:p>
    <w:p w14:paraId="07512CA3" w14:textId="16776DAC" w:rsidR="00266439" w:rsidRPr="00300A27" w:rsidRDefault="00F50D20" w:rsidP="00B243B6">
      <w:pPr>
        <w:pStyle w:val="PrrafodeSentencia"/>
        <w:numPr>
          <w:ilvl w:val="0"/>
          <w:numId w:val="3"/>
        </w:numPr>
        <w:spacing w:before="120" w:after="120"/>
        <w:ind w:left="0" w:firstLine="0"/>
        <w:rPr>
          <w:spacing w:val="0"/>
          <w:lang w:val="en-US"/>
        </w:rPr>
      </w:pPr>
      <w:r w:rsidRPr="00300A27">
        <w:rPr>
          <w:rStyle w:val="PrrafodeSentenciaChar"/>
          <w:spacing w:val="0"/>
          <w:lang w:val="en-US"/>
        </w:rPr>
        <w:t xml:space="preserve">The Court considers that, from the time the </w:t>
      </w:r>
      <w:r w:rsidR="00961E38" w:rsidRPr="00300A27">
        <w:rPr>
          <w:rStyle w:val="PrrafodeSentenciaChar"/>
          <w:spacing w:val="0"/>
          <w:lang w:val="en-US"/>
        </w:rPr>
        <w:t>state agents</w:t>
      </w:r>
      <w:r w:rsidRPr="00300A27">
        <w:rPr>
          <w:rStyle w:val="PrrafodeSentenciaChar"/>
          <w:spacing w:val="0"/>
          <w:lang w:val="en-US"/>
        </w:rPr>
        <w:t xml:space="preserve"> detained </w:t>
      </w:r>
      <w:r w:rsidR="008546E9" w:rsidRPr="00300A27">
        <w:rPr>
          <w:rStyle w:val="PrrafodeSentenciaChar"/>
          <w:spacing w:val="0"/>
          <w:lang w:val="en-US"/>
        </w:rPr>
        <w:t>Ms. Rojas</w:t>
      </w:r>
      <w:r w:rsidR="00266439" w:rsidRPr="00300A27">
        <w:rPr>
          <w:rStyle w:val="PrrafodeSentenciaChar"/>
          <w:spacing w:val="0"/>
          <w:lang w:val="en-US"/>
        </w:rPr>
        <w:t xml:space="preserve"> Marín </w:t>
      </w:r>
      <w:r w:rsidRPr="00300A27">
        <w:rPr>
          <w:rStyle w:val="PrrafodeSentenciaChar"/>
          <w:spacing w:val="0"/>
          <w:lang w:val="en-US"/>
        </w:rPr>
        <w:t>until she left the police station, she was deprived of her personal liberty.</w:t>
      </w:r>
      <w:r w:rsidR="00266439" w:rsidRPr="00300A27">
        <w:rPr>
          <w:rStyle w:val="Refdenotaalpie"/>
          <w:spacing w:val="0"/>
          <w:szCs w:val="20"/>
          <w:lang w:val="en-US"/>
        </w:rPr>
        <w:footnoteReference w:id="149"/>
      </w:r>
      <w:r w:rsidRPr="00300A27">
        <w:rPr>
          <w:spacing w:val="0"/>
          <w:szCs w:val="20"/>
          <w:lang w:val="en-US"/>
        </w:rPr>
        <w:t xml:space="preserve"> </w:t>
      </w:r>
      <w:r w:rsidR="00266439" w:rsidRPr="00300A27">
        <w:rPr>
          <w:spacing w:val="0"/>
          <w:szCs w:val="20"/>
          <w:lang w:val="en-US"/>
        </w:rPr>
        <w:t xml:space="preserve"> </w:t>
      </w:r>
      <w:r w:rsidRPr="00300A27">
        <w:rPr>
          <w:spacing w:val="0"/>
          <w:szCs w:val="20"/>
          <w:lang w:val="en-US"/>
        </w:rPr>
        <w:t>Therefore, it will now analyze wheth</w:t>
      </w:r>
      <w:r w:rsidR="00157580" w:rsidRPr="00300A27">
        <w:rPr>
          <w:spacing w:val="0"/>
          <w:szCs w:val="20"/>
          <w:lang w:val="en-US"/>
        </w:rPr>
        <w:t>e</w:t>
      </w:r>
      <w:r w:rsidRPr="00300A27">
        <w:rPr>
          <w:spacing w:val="0"/>
          <w:szCs w:val="20"/>
          <w:lang w:val="en-US"/>
        </w:rPr>
        <w:t xml:space="preserve">r this deprivation of liberty was in keeping with </w:t>
      </w:r>
      <w:r w:rsidR="005B1C65" w:rsidRPr="00300A27">
        <w:rPr>
          <w:spacing w:val="0"/>
          <w:szCs w:val="20"/>
          <w:lang w:val="en-US"/>
        </w:rPr>
        <w:t>the Convention</w:t>
      </w:r>
      <w:r w:rsidR="00266439" w:rsidRPr="00300A27">
        <w:rPr>
          <w:spacing w:val="0"/>
          <w:szCs w:val="20"/>
          <w:lang w:val="en-US"/>
        </w:rPr>
        <w:t>.</w:t>
      </w:r>
    </w:p>
    <w:p w14:paraId="66A383E9" w14:textId="6C72247B" w:rsidR="00CA38A9" w:rsidRPr="00300A27" w:rsidRDefault="00CA38A9" w:rsidP="00B243B6">
      <w:pPr>
        <w:pStyle w:val="Ttulo3"/>
        <w:tabs>
          <w:tab w:val="left" w:pos="2268"/>
        </w:tabs>
        <w:ind w:left="1701" w:hanging="567"/>
        <w:rPr>
          <w:lang w:val="en-US"/>
        </w:rPr>
      </w:pPr>
      <w:bookmarkStart w:id="90" w:name="_Toc36823480"/>
      <w:r w:rsidRPr="00300A27">
        <w:rPr>
          <w:lang w:val="en-US"/>
        </w:rPr>
        <w:t>B.</w:t>
      </w:r>
      <w:r w:rsidR="00842954" w:rsidRPr="00300A27">
        <w:rPr>
          <w:lang w:val="en-US"/>
        </w:rPr>
        <w:t>2</w:t>
      </w:r>
      <w:r w:rsidRPr="00300A27">
        <w:rPr>
          <w:lang w:val="en-US"/>
        </w:rPr>
        <w:t xml:space="preserve"> </w:t>
      </w:r>
      <w:r w:rsidR="00C27D69" w:rsidRPr="00300A27">
        <w:rPr>
          <w:lang w:val="en-US"/>
        </w:rPr>
        <w:tab/>
      </w:r>
      <w:r w:rsidR="002959DE" w:rsidRPr="00300A27">
        <w:rPr>
          <w:lang w:val="en-US"/>
        </w:rPr>
        <w:t>Lawfulness of the detention</w:t>
      </w:r>
      <w:bookmarkEnd w:id="89"/>
      <w:bookmarkEnd w:id="90"/>
    </w:p>
    <w:p w14:paraId="2A0868AC" w14:textId="44386909" w:rsidR="00CA38A9" w:rsidRPr="00300A27" w:rsidRDefault="005B1C65" w:rsidP="00B243B6">
      <w:pPr>
        <w:pStyle w:val="PrrafodeSentencia"/>
        <w:numPr>
          <w:ilvl w:val="0"/>
          <w:numId w:val="3"/>
        </w:numPr>
        <w:spacing w:before="120" w:after="120"/>
        <w:ind w:left="0" w:firstLine="0"/>
        <w:rPr>
          <w:spacing w:val="0"/>
          <w:lang w:val="en-US"/>
        </w:rPr>
      </w:pPr>
      <w:r w:rsidRPr="00300A27">
        <w:rPr>
          <w:spacing w:val="0"/>
          <w:lang w:val="en-US"/>
        </w:rPr>
        <w:t>The Court</w:t>
      </w:r>
      <w:r w:rsidR="00CA38A9" w:rsidRPr="00300A27">
        <w:rPr>
          <w:spacing w:val="0"/>
          <w:lang w:val="en-US"/>
        </w:rPr>
        <w:t xml:space="preserve"> ha</w:t>
      </w:r>
      <w:r w:rsidR="007A6647" w:rsidRPr="00300A27">
        <w:rPr>
          <w:spacing w:val="0"/>
          <w:lang w:val="en-US"/>
        </w:rPr>
        <w:t xml:space="preserve">s indicated that the restriction </w:t>
      </w:r>
      <w:r w:rsidR="00157580" w:rsidRPr="00300A27">
        <w:rPr>
          <w:spacing w:val="0"/>
          <w:lang w:val="en-US"/>
        </w:rPr>
        <w:t xml:space="preserve">of the </w:t>
      </w:r>
      <w:r w:rsidR="00D939AE" w:rsidRPr="00300A27">
        <w:rPr>
          <w:spacing w:val="0"/>
          <w:lang w:val="en-US"/>
        </w:rPr>
        <w:t>right to</w:t>
      </w:r>
      <w:r w:rsidR="00CA38A9" w:rsidRPr="00300A27">
        <w:rPr>
          <w:spacing w:val="0"/>
          <w:lang w:val="en-US"/>
        </w:rPr>
        <w:t xml:space="preserve"> </w:t>
      </w:r>
      <w:r w:rsidR="007A6647" w:rsidRPr="00300A27">
        <w:rPr>
          <w:spacing w:val="0"/>
          <w:lang w:val="en-US"/>
        </w:rPr>
        <w:t>personal liberty is only permissible “for the reasons and under the conditions established beforehand by the Constitution […] or by a law established pursuant thereto” (substantive aspect), and also strictly adhering to the procedures objectively defined in them (formal aspect).</w:t>
      </w:r>
      <w:r w:rsidR="007A6647" w:rsidRPr="00300A27">
        <w:rPr>
          <w:rStyle w:val="Refdenotaalpie"/>
          <w:rFonts w:cs="Arial"/>
          <w:spacing w:val="0"/>
          <w:szCs w:val="20"/>
          <w:lang w:val="en-US"/>
        </w:rPr>
        <w:footnoteReference w:id="150"/>
      </w:r>
      <w:r w:rsidR="007A6647" w:rsidRPr="00300A27">
        <w:rPr>
          <w:spacing w:val="0"/>
          <w:lang w:val="en-US"/>
        </w:rPr>
        <w:t xml:space="preserve"> This is because the Convention itself refers to the domestic law of the State concerned</w:t>
      </w:r>
      <w:r w:rsidR="00093B35" w:rsidRPr="00300A27">
        <w:rPr>
          <w:spacing w:val="0"/>
          <w:lang w:val="en-US"/>
        </w:rPr>
        <w:t xml:space="preserve">. However, </w:t>
      </w:r>
      <w:r w:rsidR="00B243B6" w:rsidRPr="00300A27">
        <w:rPr>
          <w:spacing w:val="0"/>
          <w:lang w:val="en-US"/>
        </w:rPr>
        <w:t xml:space="preserve">irrespective of this referral, </w:t>
      </w:r>
      <w:r w:rsidR="00093B35" w:rsidRPr="00300A27">
        <w:rPr>
          <w:spacing w:val="0"/>
          <w:lang w:val="en-US"/>
        </w:rPr>
        <w:t xml:space="preserve">the Court </w:t>
      </w:r>
      <w:r w:rsidR="00B243B6" w:rsidRPr="00300A27">
        <w:rPr>
          <w:spacing w:val="0"/>
          <w:lang w:val="en-US"/>
        </w:rPr>
        <w:t>is able to</w:t>
      </w:r>
      <w:r w:rsidR="00093B35" w:rsidRPr="00300A27">
        <w:rPr>
          <w:spacing w:val="0"/>
          <w:lang w:val="en-US"/>
        </w:rPr>
        <w:t xml:space="preserve"> rule</w:t>
      </w:r>
      <w:r w:rsidR="00B243B6" w:rsidRPr="00300A27">
        <w:rPr>
          <w:spacing w:val="0"/>
          <w:lang w:val="en-US"/>
        </w:rPr>
        <w:t xml:space="preserve"> in this regard</w:t>
      </w:r>
      <w:r w:rsidR="00093B35" w:rsidRPr="00300A27">
        <w:rPr>
          <w:spacing w:val="0"/>
          <w:lang w:val="en-US"/>
        </w:rPr>
        <w:t>,</w:t>
      </w:r>
      <w:r w:rsidR="00093B35" w:rsidRPr="00300A27">
        <w:rPr>
          <w:rStyle w:val="Refdenotaalpie"/>
          <w:spacing w:val="0"/>
          <w:lang w:val="en-US"/>
        </w:rPr>
        <w:footnoteReference w:id="151"/>
      </w:r>
      <w:r w:rsidR="00093B35" w:rsidRPr="00300A27">
        <w:rPr>
          <w:spacing w:val="0"/>
          <w:lang w:val="en-US"/>
        </w:rPr>
        <w:t xml:space="preserve"> precisely because </w:t>
      </w:r>
      <w:r w:rsidR="008C2E49" w:rsidRPr="00300A27">
        <w:rPr>
          <w:spacing w:val="0"/>
          <w:lang w:val="en-US"/>
        </w:rPr>
        <w:t>it must rule in accordance with the Convention and not according to the said domestic law. Thus the Court is not carrying out a control of constitutionality or even of legality, but rather of conventionality.</w:t>
      </w:r>
    </w:p>
    <w:p w14:paraId="1FA45EF6" w14:textId="05B3BB72" w:rsidR="00CA38A9" w:rsidRPr="00300A27" w:rsidRDefault="008C2E49" w:rsidP="00B243B6">
      <w:pPr>
        <w:pStyle w:val="PrrafodeSentencia"/>
        <w:numPr>
          <w:ilvl w:val="0"/>
          <w:numId w:val="3"/>
        </w:numPr>
        <w:spacing w:before="120" w:after="120"/>
        <w:ind w:left="0" w:firstLine="0"/>
        <w:rPr>
          <w:rFonts w:eastAsia="Times New Roman"/>
          <w:spacing w:val="0"/>
          <w:lang w:val="en-US" w:eastAsia="es-ES"/>
        </w:rPr>
      </w:pPr>
      <w:r w:rsidRPr="00300A27">
        <w:rPr>
          <w:spacing w:val="0"/>
          <w:lang w:val="en-US"/>
        </w:rPr>
        <w:t>This is precisely what happens regarding</w:t>
      </w:r>
      <w:r w:rsidR="00020FFF" w:rsidRPr="00300A27">
        <w:rPr>
          <w:spacing w:val="0"/>
          <w:lang w:val="en-US"/>
        </w:rPr>
        <w:t xml:space="preserve"> </w:t>
      </w:r>
      <w:r w:rsidR="005B1C65" w:rsidRPr="00300A27">
        <w:rPr>
          <w:spacing w:val="0"/>
          <w:lang w:val="en-US"/>
        </w:rPr>
        <w:t>Article</w:t>
      </w:r>
      <w:r w:rsidR="00CA38A9" w:rsidRPr="00300A27">
        <w:rPr>
          <w:spacing w:val="0"/>
          <w:lang w:val="en-US"/>
        </w:rPr>
        <w:t xml:space="preserve"> </w:t>
      </w:r>
      <w:r w:rsidR="00BA3C7F" w:rsidRPr="00300A27">
        <w:rPr>
          <w:spacing w:val="0"/>
          <w:lang w:val="en-US"/>
        </w:rPr>
        <w:t>7(2)</w:t>
      </w:r>
      <w:r w:rsidR="005B1C65" w:rsidRPr="00300A27">
        <w:rPr>
          <w:spacing w:val="0"/>
          <w:lang w:val="en-US"/>
        </w:rPr>
        <w:t xml:space="preserve"> of the American Convention</w:t>
      </w:r>
      <w:r w:rsidR="00020FFF" w:rsidRPr="00300A27">
        <w:rPr>
          <w:spacing w:val="0"/>
          <w:lang w:val="en-US"/>
        </w:rPr>
        <w:t xml:space="preserve">, </w:t>
      </w:r>
      <w:r w:rsidRPr="00300A27">
        <w:rPr>
          <w:spacing w:val="0"/>
          <w:lang w:val="en-US"/>
        </w:rPr>
        <w:t>which establishes that “[n]</w:t>
      </w:r>
      <w:r w:rsidRPr="00300A27">
        <w:rPr>
          <w:spacing w:val="-3"/>
          <w:szCs w:val="20"/>
          <w:lang w:val="en-US"/>
        </w:rPr>
        <w:t xml:space="preserve">o one shall be deprived of his physical liberty except for the reasons and under the conditions established beforehand by the </w:t>
      </w:r>
      <w:r w:rsidR="0047531B" w:rsidRPr="00300A27">
        <w:rPr>
          <w:spacing w:val="-3"/>
          <w:szCs w:val="20"/>
          <w:lang w:val="en-US"/>
        </w:rPr>
        <w:t>C</w:t>
      </w:r>
      <w:r w:rsidRPr="00300A27">
        <w:rPr>
          <w:spacing w:val="-3"/>
          <w:szCs w:val="20"/>
          <w:lang w:val="en-US"/>
        </w:rPr>
        <w:t>onstitution of the State Party concerned or by a law established pursuant thereto.</w:t>
      </w:r>
      <w:r w:rsidR="00CA38A9" w:rsidRPr="00300A27">
        <w:rPr>
          <w:spacing w:val="0"/>
          <w:lang w:val="en-US"/>
        </w:rPr>
        <w:t>”</w:t>
      </w:r>
      <w:r w:rsidRPr="00300A27">
        <w:rPr>
          <w:spacing w:val="0"/>
          <w:lang w:val="en-US"/>
        </w:rPr>
        <w:t xml:space="preserve"> Thus, </w:t>
      </w:r>
      <w:r w:rsidR="00093B35" w:rsidRPr="00300A27">
        <w:rPr>
          <w:spacing w:val="0"/>
          <w:lang w:val="en-US"/>
        </w:rPr>
        <w:t xml:space="preserve">with </w:t>
      </w:r>
      <w:r w:rsidRPr="00300A27">
        <w:rPr>
          <w:spacing w:val="0"/>
          <w:lang w:val="en-US"/>
        </w:rPr>
        <w:t>regard</w:t>
      </w:r>
      <w:r w:rsidR="00093B35" w:rsidRPr="00300A27">
        <w:rPr>
          <w:spacing w:val="0"/>
          <w:lang w:val="en-US"/>
        </w:rPr>
        <w:t xml:space="preserve"> to</w:t>
      </w:r>
      <w:r w:rsidRPr="00300A27">
        <w:rPr>
          <w:spacing w:val="0"/>
          <w:lang w:val="en-US"/>
        </w:rPr>
        <w:t xml:space="preserve"> the requirement </w:t>
      </w:r>
      <w:r w:rsidR="00093B35" w:rsidRPr="00300A27">
        <w:rPr>
          <w:spacing w:val="0"/>
          <w:lang w:val="en-US"/>
        </w:rPr>
        <w:t>that a detention must be</w:t>
      </w:r>
      <w:r w:rsidRPr="00300A27">
        <w:rPr>
          <w:spacing w:val="0"/>
          <w:lang w:val="en-US"/>
        </w:rPr>
        <w:t xml:space="preserve"> l</w:t>
      </w:r>
      <w:r w:rsidR="002959DE" w:rsidRPr="00300A27">
        <w:rPr>
          <w:spacing w:val="0"/>
          <w:lang w:val="en-US"/>
        </w:rPr>
        <w:t>awful</w:t>
      </w:r>
      <w:r w:rsidR="00CA38A9" w:rsidRPr="00300A27">
        <w:rPr>
          <w:spacing w:val="0"/>
          <w:lang w:val="en-US"/>
        </w:rPr>
        <w:t xml:space="preserve">, </w:t>
      </w:r>
      <w:r w:rsidR="009B35A1" w:rsidRPr="00300A27">
        <w:rPr>
          <w:spacing w:val="0"/>
          <w:lang w:val="en-US"/>
        </w:rPr>
        <w:t>the Court</w:t>
      </w:r>
      <w:r w:rsidR="00CA38A9" w:rsidRPr="00300A27">
        <w:rPr>
          <w:spacing w:val="0"/>
          <w:lang w:val="en-US"/>
        </w:rPr>
        <w:t xml:space="preserve"> ha</w:t>
      </w:r>
      <w:r w:rsidRPr="00300A27">
        <w:rPr>
          <w:spacing w:val="0"/>
          <w:lang w:val="en-US"/>
        </w:rPr>
        <w:t>s indicated that</w:t>
      </w:r>
      <w:r w:rsidR="0047531B" w:rsidRPr="00300A27">
        <w:rPr>
          <w:spacing w:val="0"/>
          <w:lang w:val="en-US"/>
        </w:rPr>
        <w:t xml:space="preserve">, </w:t>
      </w:r>
      <w:r w:rsidR="00093B35" w:rsidRPr="00300A27">
        <w:rPr>
          <w:spacing w:val="0"/>
          <w:lang w:val="en-US"/>
        </w:rPr>
        <w:t>since the Convention refers to</w:t>
      </w:r>
      <w:r w:rsidR="0047531B" w:rsidRPr="00300A27">
        <w:rPr>
          <w:spacing w:val="0"/>
          <w:lang w:val="en-US"/>
        </w:rPr>
        <w:t xml:space="preserve"> the Constitution and laws established “pursuant thereto,” </w:t>
      </w:r>
      <w:r w:rsidR="00093B35" w:rsidRPr="00300A27">
        <w:rPr>
          <w:spacing w:val="0"/>
          <w:lang w:val="en-US"/>
        </w:rPr>
        <w:t xml:space="preserve">the </w:t>
      </w:r>
      <w:r w:rsidR="0047531B" w:rsidRPr="00300A27">
        <w:rPr>
          <w:spacing w:val="0"/>
          <w:lang w:val="en-US"/>
        </w:rPr>
        <w:t>examination of compliance with</w:t>
      </w:r>
      <w:r w:rsidR="00093B35" w:rsidRPr="00300A27">
        <w:rPr>
          <w:spacing w:val="0"/>
          <w:lang w:val="en-US"/>
        </w:rPr>
        <w:t xml:space="preserve"> the said</w:t>
      </w:r>
      <w:r w:rsidR="00CA38A9" w:rsidRPr="00300A27">
        <w:rPr>
          <w:spacing w:val="0"/>
          <w:lang w:val="en-US"/>
        </w:rPr>
        <w:t xml:space="preserve"> </w:t>
      </w:r>
      <w:r w:rsidR="007071F6" w:rsidRPr="00300A27">
        <w:rPr>
          <w:spacing w:val="0"/>
          <w:lang w:val="en-US"/>
        </w:rPr>
        <w:t>Article</w:t>
      </w:r>
      <w:r w:rsidR="00CA38A9" w:rsidRPr="00300A27">
        <w:rPr>
          <w:spacing w:val="0"/>
          <w:lang w:val="en-US"/>
        </w:rPr>
        <w:t xml:space="preserve"> </w:t>
      </w:r>
      <w:r w:rsidR="00BA3C7F" w:rsidRPr="00300A27">
        <w:rPr>
          <w:spacing w:val="0"/>
          <w:lang w:val="en-US"/>
        </w:rPr>
        <w:t>7(2)</w:t>
      </w:r>
      <w:r w:rsidR="005B1C65" w:rsidRPr="00300A27">
        <w:rPr>
          <w:spacing w:val="0"/>
          <w:lang w:val="en-US"/>
        </w:rPr>
        <w:t xml:space="preserve"> </w:t>
      </w:r>
      <w:r w:rsidR="0047531B" w:rsidRPr="00300A27">
        <w:rPr>
          <w:spacing w:val="0"/>
          <w:lang w:val="en-US"/>
        </w:rPr>
        <w:t>entails the analysis of compliance with the requirements established as specifically as possible and “beforehand” in these laws in relation to the “reasons” and “conditions” for deprivation of physical liberty. If domestic law – both the substantive and formal aspects – is not complied with when depriving a person of their liberty, this deprivation will be unlawful and contrary to</w:t>
      </w:r>
      <w:r w:rsidR="00CA38A9" w:rsidRPr="00300A27">
        <w:rPr>
          <w:spacing w:val="0"/>
          <w:lang w:val="en-US"/>
        </w:rPr>
        <w:t xml:space="preserve"> </w:t>
      </w:r>
      <w:r w:rsidR="005B1C65" w:rsidRPr="00300A27">
        <w:rPr>
          <w:spacing w:val="0"/>
          <w:lang w:val="en-US"/>
        </w:rPr>
        <w:t>the American Convention</w:t>
      </w:r>
      <w:r w:rsidR="00CA38A9" w:rsidRPr="00300A27">
        <w:rPr>
          <w:spacing w:val="0"/>
          <w:lang w:val="en-US"/>
        </w:rPr>
        <w:t xml:space="preserve">, </w:t>
      </w:r>
      <w:r w:rsidR="0047531B" w:rsidRPr="00300A27">
        <w:rPr>
          <w:spacing w:val="0"/>
          <w:lang w:val="en-US"/>
        </w:rPr>
        <w:t>in light</w:t>
      </w:r>
      <w:r w:rsidR="00CA38A9" w:rsidRPr="00300A27">
        <w:rPr>
          <w:rFonts w:eastAsia="Times New Roman"/>
          <w:spacing w:val="0"/>
          <w:lang w:val="en-US" w:eastAsia="es-ES"/>
        </w:rPr>
        <w:t xml:space="preserve"> </w:t>
      </w:r>
      <w:r w:rsidR="007071F6" w:rsidRPr="00300A27">
        <w:rPr>
          <w:rFonts w:eastAsia="Times New Roman"/>
          <w:spacing w:val="0"/>
          <w:lang w:val="en-US" w:eastAsia="es-ES"/>
        </w:rPr>
        <w:t>of Article</w:t>
      </w:r>
      <w:r w:rsidR="00CA38A9" w:rsidRPr="00300A27">
        <w:rPr>
          <w:rFonts w:eastAsia="Times New Roman"/>
          <w:spacing w:val="0"/>
          <w:lang w:val="en-US" w:eastAsia="es-ES"/>
        </w:rPr>
        <w:t xml:space="preserve"> </w:t>
      </w:r>
      <w:r w:rsidR="00BA3C7F" w:rsidRPr="00300A27">
        <w:rPr>
          <w:rFonts w:eastAsia="Times New Roman"/>
          <w:spacing w:val="0"/>
          <w:lang w:val="en-US" w:eastAsia="es-ES"/>
        </w:rPr>
        <w:t>7(2)</w:t>
      </w:r>
      <w:r w:rsidR="0047531B" w:rsidRPr="00300A27">
        <w:rPr>
          <w:rFonts w:eastAsia="Times New Roman"/>
          <w:spacing w:val="0"/>
          <w:lang w:val="en-US" w:eastAsia="es-ES"/>
        </w:rPr>
        <w:t>.</w:t>
      </w:r>
      <w:r w:rsidR="00CA38A9" w:rsidRPr="00300A27">
        <w:rPr>
          <w:rStyle w:val="Refdenotaalpie"/>
          <w:rFonts w:eastAsia="Times New Roman"/>
          <w:spacing w:val="0"/>
          <w:szCs w:val="20"/>
          <w:lang w:val="en-US" w:eastAsia="es-ES"/>
        </w:rPr>
        <w:footnoteReference w:id="152"/>
      </w:r>
    </w:p>
    <w:p w14:paraId="0B5E5D7D" w14:textId="24F15CF3" w:rsidR="003341E2" w:rsidRPr="00300A27" w:rsidRDefault="0047531B" w:rsidP="00B243B6">
      <w:pPr>
        <w:pStyle w:val="PrrafodeSentencia"/>
        <w:numPr>
          <w:ilvl w:val="0"/>
          <w:numId w:val="3"/>
        </w:numPr>
        <w:spacing w:before="120" w:after="120"/>
        <w:ind w:left="0" w:firstLine="0"/>
        <w:rPr>
          <w:spacing w:val="0"/>
          <w:lang w:val="en-US"/>
        </w:rPr>
      </w:pPr>
      <w:r w:rsidRPr="00300A27">
        <w:rPr>
          <w:spacing w:val="0"/>
          <w:lang w:val="en-US"/>
        </w:rPr>
        <w:t xml:space="preserve">The Peruvian Constitution establishes that “no form of restriction of personal liberty is permitted unless in the cases established by law,” and also that “[n]o one may be detained unless this is with a reasoned written order of a judge or by the police authorities </w:t>
      </w:r>
      <w:r w:rsidRPr="00300A27">
        <w:rPr>
          <w:i/>
          <w:iCs/>
          <w:spacing w:val="0"/>
          <w:lang w:val="en-US"/>
        </w:rPr>
        <w:t>in flagrante delicto</w:t>
      </w:r>
      <w:r w:rsidRPr="00300A27">
        <w:rPr>
          <w:spacing w:val="0"/>
          <w:lang w:val="en-US"/>
        </w:rPr>
        <w:t>.</w:t>
      </w:r>
      <w:r w:rsidR="003341E2" w:rsidRPr="00300A27">
        <w:rPr>
          <w:spacing w:val="0"/>
          <w:lang w:val="en-US"/>
        </w:rPr>
        <w:t>”</w:t>
      </w:r>
      <w:r w:rsidR="003341E2" w:rsidRPr="00300A27">
        <w:rPr>
          <w:rStyle w:val="Refdenotaalpie"/>
          <w:spacing w:val="0"/>
          <w:lang w:val="en-US"/>
        </w:rPr>
        <w:footnoteReference w:id="153"/>
      </w:r>
      <w:r w:rsidR="003341E2" w:rsidRPr="00300A27">
        <w:rPr>
          <w:spacing w:val="0"/>
          <w:lang w:val="en-US"/>
        </w:rPr>
        <w:t xml:space="preserve"> </w:t>
      </w:r>
    </w:p>
    <w:p w14:paraId="7FDBB9FD" w14:textId="54704688" w:rsidR="00CA38A9" w:rsidRPr="00300A27" w:rsidRDefault="0047531B" w:rsidP="00B243B6">
      <w:pPr>
        <w:pStyle w:val="PrrafodeSentencia"/>
        <w:numPr>
          <w:ilvl w:val="0"/>
          <w:numId w:val="3"/>
        </w:numPr>
        <w:spacing w:before="120" w:after="120"/>
        <w:ind w:left="0" w:firstLine="0"/>
        <w:rPr>
          <w:rFonts w:eastAsia="Times New Roman"/>
          <w:spacing w:val="0"/>
          <w:szCs w:val="20"/>
          <w:lang w:val="en-US" w:eastAsia="es-ES"/>
        </w:rPr>
      </w:pPr>
      <w:bookmarkStart w:id="91" w:name="_Ref446690467"/>
      <w:r w:rsidRPr="00300A27">
        <w:rPr>
          <w:spacing w:val="0"/>
          <w:lang w:val="en-US"/>
        </w:rPr>
        <w:t>Meanwhile</w:t>
      </w:r>
      <w:r w:rsidR="003341E2" w:rsidRPr="00300A27">
        <w:rPr>
          <w:spacing w:val="0"/>
          <w:lang w:val="en-US"/>
        </w:rPr>
        <w:t xml:space="preserve">, </w:t>
      </w:r>
      <w:r w:rsidRPr="00300A27">
        <w:rPr>
          <w:spacing w:val="0"/>
          <w:lang w:val="en-US"/>
        </w:rPr>
        <w:t>a</w:t>
      </w:r>
      <w:r w:rsidR="005B1C65" w:rsidRPr="00300A27">
        <w:rPr>
          <w:spacing w:val="0"/>
          <w:lang w:val="en-US"/>
        </w:rPr>
        <w:t>rticle</w:t>
      </w:r>
      <w:r w:rsidR="00CA38A9" w:rsidRPr="00300A27">
        <w:rPr>
          <w:spacing w:val="0"/>
          <w:lang w:val="en-US"/>
        </w:rPr>
        <w:t xml:space="preserve"> 205</w:t>
      </w:r>
      <w:r w:rsidR="00976059" w:rsidRPr="00300A27">
        <w:rPr>
          <w:spacing w:val="0"/>
          <w:lang w:val="en-US"/>
        </w:rPr>
        <w:t xml:space="preserve"> of the Code of Criminal Procedure</w:t>
      </w:r>
      <w:r w:rsidR="009A76C0" w:rsidRPr="00300A27">
        <w:rPr>
          <w:lang w:val="en-US"/>
        </w:rPr>
        <w:t xml:space="preserve"> </w:t>
      </w:r>
      <w:r w:rsidRPr="00300A27">
        <w:rPr>
          <w:spacing w:val="0"/>
          <w:lang w:val="en-US"/>
        </w:rPr>
        <w:t>on police</w:t>
      </w:r>
      <w:r w:rsidR="00CA38A9" w:rsidRPr="00300A27">
        <w:rPr>
          <w:spacing w:val="0"/>
          <w:lang w:val="en-US"/>
        </w:rPr>
        <w:t xml:space="preserve"> </w:t>
      </w:r>
      <w:r w:rsidR="00D63E1A" w:rsidRPr="00300A27">
        <w:rPr>
          <w:spacing w:val="0"/>
          <w:lang w:val="en-US"/>
        </w:rPr>
        <w:t>identity check</w:t>
      </w:r>
      <w:r w:rsidRPr="00300A27">
        <w:rPr>
          <w:spacing w:val="0"/>
          <w:lang w:val="en-US"/>
        </w:rPr>
        <w:t>s establishes:</w:t>
      </w:r>
      <w:bookmarkEnd w:id="91"/>
    </w:p>
    <w:p w14:paraId="38B59377" w14:textId="474EA664" w:rsidR="0047531B" w:rsidRPr="00300A27" w:rsidRDefault="00CA38A9" w:rsidP="00B243B6">
      <w:pPr>
        <w:spacing w:before="120" w:after="120"/>
        <w:ind w:left="567" w:right="714"/>
        <w:jc w:val="both"/>
        <w:rPr>
          <w:sz w:val="18"/>
          <w:szCs w:val="18"/>
        </w:rPr>
      </w:pPr>
      <w:r w:rsidRPr="00300A27">
        <w:rPr>
          <w:sz w:val="18"/>
          <w:szCs w:val="18"/>
        </w:rPr>
        <w:t xml:space="preserve">1. </w:t>
      </w:r>
      <w:r w:rsidR="0047531B" w:rsidRPr="00300A27">
        <w:rPr>
          <w:sz w:val="18"/>
          <w:szCs w:val="18"/>
        </w:rPr>
        <w:t xml:space="preserve">The </w:t>
      </w:r>
      <w:r w:rsidR="0010028A" w:rsidRPr="00300A27">
        <w:rPr>
          <w:sz w:val="18"/>
          <w:szCs w:val="18"/>
        </w:rPr>
        <w:t>p</w:t>
      </w:r>
      <w:r w:rsidR="0047531B" w:rsidRPr="00300A27">
        <w:rPr>
          <w:sz w:val="18"/>
          <w:szCs w:val="18"/>
        </w:rPr>
        <w:t xml:space="preserve">olice, in the context of their functions, without the need for an order by the prosecutor or the judge, may request </w:t>
      </w:r>
      <w:r w:rsidR="00431832" w:rsidRPr="00300A27">
        <w:rPr>
          <w:sz w:val="18"/>
          <w:szCs w:val="18"/>
        </w:rPr>
        <w:t xml:space="preserve">anyone to identify themselves and make the necessary verification on the street or in the place where the request is made, when they consider this necessary to prevent an offense or to obtain useful information in the investigation of </w:t>
      </w:r>
      <w:r w:rsidR="003E7696" w:rsidRPr="00300A27">
        <w:rPr>
          <w:sz w:val="18"/>
          <w:szCs w:val="18"/>
        </w:rPr>
        <w:t>an offense</w:t>
      </w:r>
      <w:r w:rsidR="00431832" w:rsidRPr="00300A27">
        <w:rPr>
          <w:sz w:val="18"/>
          <w:szCs w:val="18"/>
        </w:rPr>
        <w:t xml:space="preserve">. The person concerned has the right to require the </w:t>
      </w:r>
      <w:r w:rsidR="0010028A" w:rsidRPr="00300A27">
        <w:rPr>
          <w:sz w:val="18"/>
          <w:szCs w:val="18"/>
        </w:rPr>
        <w:t>p</w:t>
      </w:r>
      <w:r w:rsidR="00431832" w:rsidRPr="00300A27">
        <w:rPr>
          <w:sz w:val="18"/>
          <w:szCs w:val="18"/>
        </w:rPr>
        <w:t>olice to provide proof of their identity and the unit to which they are attached.</w:t>
      </w:r>
    </w:p>
    <w:p w14:paraId="2A09F3E1" w14:textId="2F521662" w:rsidR="00CA38A9" w:rsidRPr="00300A27" w:rsidRDefault="00CA38A9" w:rsidP="00B243B6">
      <w:pPr>
        <w:spacing w:before="120" w:after="120"/>
        <w:ind w:left="567" w:right="714"/>
        <w:jc w:val="both"/>
        <w:rPr>
          <w:sz w:val="18"/>
          <w:szCs w:val="18"/>
        </w:rPr>
      </w:pPr>
      <w:r w:rsidRPr="00300A27">
        <w:rPr>
          <w:sz w:val="18"/>
          <w:szCs w:val="18"/>
        </w:rPr>
        <w:t xml:space="preserve">2. </w:t>
      </w:r>
      <w:r w:rsidR="00431832" w:rsidRPr="00300A27">
        <w:rPr>
          <w:sz w:val="18"/>
          <w:szCs w:val="18"/>
        </w:rPr>
        <w:t xml:space="preserve">The identification </w:t>
      </w:r>
      <w:r w:rsidR="00035520" w:rsidRPr="00300A27">
        <w:rPr>
          <w:sz w:val="18"/>
          <w:szCs w:val="18"/>
        </w:rPr>
        <w:t>sha</w:t>
      </w:r>
      <w:r w:rsidR="00431832" w:rsidRPr="00300A27">
        <w:rPr>
          <w:sz w:val="18"/>
          <w:szCs w:val="18"/>
        </w:rPr>
        <w:t xml:space="preserve">ll be carried out in the place where the person is by means of the corresponding identity document. The person concerned shall be provided with the necessary facilities to find it and show it. If, at this time, it is verified that the document is in order, the document </w:t>
      </w:r>
      <w:r w:rsidR="00035520" w:rsidRPr="00300A27">
        <w:rPr>
          <w:sz w:val="18"/>
          <w:szCs w:val="18"/>
        </w:rPr>
        <w:t>sha</w:t>
      </w:r>
      <w:r w:rsidR="00431832" w:rsidRPr="00300A27">
        <w:rPr>
          <w:sz w:val="18"/>
          <w:szCs w:val="18"/>
        </w:rPr>
        <w:t>ll be returned and the person concerned authorized to continue on his way.</w:t>
      </w:r>
    </w:p>
    <w:p w14:paraId="5ADDB655" w14:textId="327F95C1" w:rsidR="00CA38A9" w:rsidRPr="00300A27" w:rsidRDefault="00CA38A9" w:rsidP="00B243B6">
      <w:pPr>
        <w:spacing w:before="120" w:after="120"/>
        <w:ind w:left="567" w:right="714"/>
        <w:jc w:val="both"/>
        <w:rPr>
          <w:sz w:val="18"/>
          <w:szCs w:val="18"/>
        </w:rPr>
      </w:pPr>
      <w:r w:rsidRPr="00300A27">
        <w:rPr>
          <w:sz w:val="18"/>
          <w:szCs w:val="18"/>
        </w:rPr>
        <w:t xml:space="preserve">3. </w:t>
      </w:r>
      <w:r w:rsidR="00431832" w:rsidRPr="00300A27">
        <w:rPr>
          <w:sz w:val="18"/>
          <w:szCs w:val="18"/>
        </w:rPr>
        <w:t xml:space="preserve">If there are well-founded grounds to consider that the person concerned may be </w:t>
      </w:r>
      <w:r w:rsidR="002610BF" w:rsidRPr="00300A27">
        <w:rPr>
          <w:sz w:val="18"/>
          <w:szCs w:val="18"/>
        </w:rPr>
        <w:t>linked</w:t>
      </w:r>
      <w:r w:rsidR="00431832" w:rsidRPr="00300A27">
        <w:rPr>
          <w:sz w:val="18"/>
          <w:szCs w:val="18"/>
        </w:rPr>
        <w:t xml:space="preserve"> to the perpetration of </w:t>
      </w:r>
      <w:r w:rsidR="003E7696" w:rsidRPr="00300A27">
        <w:rPr>
          <w:sz w:val="18"/>
          <w:szCs w:val="18"/>
        </w:rPr>
        <w:t>an offense</w:t>
      </w:r>
      <w:r w:rsidR="00431832" w:rsidRPr="00300A27">
        <w:rPr>
          <w:sz w:val="18"/>
          <w:szCs w:val="18"/>
        </w:rPr>
        <w:t xml:space="preserve"> the </w:t>
      </w:r>
      <w:r w:rsidR="0010028A" w:rsidRPr="00300A27">
        <w:rPr>
          <w:sz w:val="18"/>
          <w:szCs w:val="18"/>
        </w:rPr>
        <w:t>p</w:t>
      </w:r>
      <w:r w:rsidR="00431832" w:rsidRPr="00300A27">
        <w:rPr>
          <w:sz w:val="18"/>
          <w:szCs w:val="18"/>
        </w:rPr>
        <w:t xml:space="preserve">olice may search his clothing, bags or vehicle. If the result is positive, a record shall be made of this specific procedure indicating what was found, </w:t>
      </w:r>
      <w:r w:rsidR="002610BF" w:rsidRPr="00300A27">
        <w:rPr>
          <w:sz w:val="18"/>
          <w:szCs w:val="18"/>
        </w:rPr>
        <w:t>informing</w:t>
      </w:r>
      <w:r w:rsidR="00431832" w:rsidRPr="00300A27">
        <w:rPr>
          <w:sz w:val="18"/>
          <w:szCs w:val="18"/>
        </w:rPr>
        <w:t xml:space="preserve"> the Public Prosecution Service immediately.</w:t>
      </w:r>
    </w:p>
    <w:p w14:paraId="3ADA474F" w14:textId="22F4B43B" w:rsidR="002610BF" w:rsidRPr="00300A27" w:rsidRDefault="00CA38A9" w:rsidP="00B243B6">
      <w:pPr>
        <w:spacing w:before="120" w:after="120"/>
        <w:ind w:left="567" w:right="714"/>
        <w:jc w:val="both"/>
        <w:rPr>
          <w:sz w:val="18"/>
          <w:szCs w:val="18"/>
        </w:rPr>
      </w:pPr>
      <w:r w:rsidRPr="00300A27">
        <w:rPr>
          <w:sz w:val="18"/>
          <w:szCs w:val="18"/>
        </w:rPr>
        <w:t xml:space="preserve">4. </w:t>
      </w:r>
      <w:r w:rsidR="002610BF" w:rsidRPr="00300A27">
        <w:rPr>
          <w:sz w:val="18"/>
          <w:szCs w:val="18"/>
        </w:rPr>
        <w:t>If the person concerned is unable to show the identity document, based on the seriousness of the act investigated or the sphere of the police operation, this person shall be taken to the nearest police station exclusively in order to identify him. His fingerprints may be taken and verif</w:t>
      </w:r>
      <w:r w:rsidR="00035520" w:rsidRPr="00300A27">
        <w:rPr>
          <w:sz w:val="18"/>
          <w:szCs w:val="18"/>
        </w:rPr>
        <w:t>ication made of</w:t>
      </w:r>
      <w:r w:rsidR="002610BF" w:rsidRPr="00300A27">
        <w:rPr>
          <w:sz w:val="18"/>
          <w:szCs w:val="18"/>
        </w:rPr>
        <w:t xml:space="preserve"> whether there is any outstanding warrant against him. This procedure, calculated from the moment the police intervene, may not exceed four hours, following which the person </w:t>
      </w:r>
      <w:r w:rsidR="00035520" w:rsidRPr="00300A27">
        <w:rPr>
          <w:sz w:val="18"/>
          <w:szCs w:val="18"/>
        </w:rPr>
        <w:t>sha</w:t>
      </w:r>
      <w:r w:rsidR="002610BF" w:rsidRPr="00300A27">
        <w:rPr>
          <w:sz w:val="18"/>
          <w:szCs w:val="18"/>
        </w:rPr>
        <w:t xml:space="preserve">ll be allowed to leave. In </w:t>
      </w:r>
      <w:r w:rsidR="00035520" w:rsidRPr="00300A27">
        <w:rPr>
          <w:sz w:val="18"/>
          <w:szCs w:val="18"/>
        </w:rPr>
        <w:t>such</w:t>
      </w:r>
      <w:r w:rsidR="002610BF" w:rsidRPr="00300A27">
        <w:rPr>
          <w:sz w:val="18"/>
          <w:szCs w:val="18"/>
        </w:rPr>
        <w:t xml:space="preserve"> cases, the person concerned may not be placed in a holding cell or a </w:t>
      </w:r>
      <w:r w:rsidR="00035520" w:rsidRPr="00300A27">
        <w:rPr>
          <w:sz w:val="18"/>
          <w:szCs w:val="18"/>
        </w:rPr>
        <w:t xml:space="preserve">regular </w:t>
      </w:r>
      <w:r w:rsidR="002610BF" w:rsidRPr="00300A27">
        <w:rPr>
          <w:sz w:val="18"/>
          <w:szCs w:val="18"/>
        </w:rPr>
        <w:t xml:space="preserve">cell or </w:t>
      </w:r>
      <w:r w:rsidR="00035520" w:rsidRPr="00300A27">
        <w:rPr>
          <w:sz w:val="18"/>
          <w:szCs w:val="18"/>
        </w:rPr>
        <w:t>held</w:t>
      </w:r>
      <w:r w:rsidR="002610BF" w:rsidRPr="00300A27">
        <w:rPr>
          <w:sz w:val="18"/>
          <w:szCs w:val="18"/>
        </w:rPr>
        <w:t xml:space="preserve"> in contact with detainees, and shall have the </w:t>
      </w:r>
      <w:r w:rsidR="00035520" w:rsidRPr="00300A27">
        <w:rPr>
          <w:sz w:val="18"/>
          <w:szCs w:val="18"/>
        </w:rPr>
        <w:t>r</w:t>
      </w:r>
      <w:r w:rsidR="002610BF" w:rsidRPr="00300A27">
        <w:rPr>
          <w:sz w:val="18"/>
          <w:szCs w:val="18"/>
        </w:rPr>
        <w:t xml:space="preserve">ight to communicate with a family member or with the person he indicates. In such cases, the </w:t>
      </w:r>
      <w:r w:rsidR="0010028A" w:rsidRPr="00300A27">
        <w:rPr>
          <w:sz w:val="18"/>
          <w:szCs w:val="18"/>
        </w:rPr>
        <w:t>p</w:t>
      </w:r>
      <w:r w:rsidR="002610BF" w:rsidRPr="00300A27">
        <w:rPr>
          <w:sz w:val="18"/>
          <w:szCs w:val="18"/>
        </w:rPr>
        <w:t xml:space="preserve">olice shall keep a </w:t>
      </w:r>
      <w:r w:rsidR="0010028A" w:rsidRPr="00300A27">
        <w:rPr>
          <w:sz w:val="18"/>
          <w:szCs w:val="18"/>
        </w:rPr>
        <w:t>l</w:t>
      </w:r>
      <w:r w:rsidR="002610BF" w:rsidRPr="00300A27">
        <w:rPr>
          <w:sz w:val="18"/>
          <w:szCs w:val="18"/>
        </w:rPr>
        <w:t xml:space="preserve">ogbook in which they record the identification procedures </w:t>
      </w:r>
      <w:r w:rsidR="00035520" w:rsidRPr="00300A27">
        <w:rPr>
          <w:sz w:val="18"/>
          <w:szCs w:val="18"/>
        </w:rPr>
        <w:t>conducted</w:t>
      </w:r>
      <w:r w:rsidR="002610BF" w:rsidRPr="00300A27">
        <w:rPr>
          <w:sz w:val="18"/>
          <w:szCs w:val="18"/>
        </w:rPr>
        <w:t xml:space="preserve">, as well as the reasons for </w:t>
      </w:r>
      <w:r w:rsidR="00035520" w:rsidRPr="00300A27">
        <w:rPr>
          <w:sz w:val="18"/>
          <w:szCs w:val="18"/>
        </w:rPr>
        <w:t xml:space="preserve">the procedures </w:t>
      </w:r>
      <w:r w:rsidR="002610BF" w:rsidRPr="00300A27">
        <w:rPr>
          <w:sz w:val="18"/>
          <w:szCs w:val="18"/>
        </w:rPr>
        <w:t>and the</w:t>
      </w:r>
      <w:r w:rsidR="00035520" w:rsidRPr="00300A27">
        <w:rPr>
          <w:sz w:val="18"/>
          <w:szCs w:val="18"/>
        </w:rPr>
        <w:t>ir</w:t>
      </w:r>
      <w:r w:rsidR="002610BF" w:rsidRPr="00300A27">
        <w:rPr>
          <w:sz w:val="18"/>
          <w:szCs w:val="18"/>
        </w:rPr>
        <w:t xml:space="preserve"> duration.</w:t>
      </w:r>
    </w:p>
    <w:p w14:paraId="06A8D28B" w14:textId="72D2AEC0" w:rsidR="00CA38A9" w:rsidRPr="00300A27" w:rsidRDefault="003341E2" w:rsidP="00B243B6">
      <w:pPr>
        <w:spacing w:before="120" w:after="120"/>
        <w:ind w:left="567" w:right="714"/>
        <w:jc w:val="both"/>
        <w:rPr>
          <w:sz w:val="18"/>
          <w:szCs w:val="18"/>
        </w:rPr>
      </w:pPr>
      <w:r w:rsidRPr="00300A27">
        <w:rPr>
          <w:sz w:val="18"/>
          <w:szCs w:val="18"/>
        </w:rPr>
        <w:t xml:space="preserve">5. </w:t>
      </w:r>
      <w:r w:rsidR="002610BF" w:rsidRPr="00300A27">
        <w:rPr>
          <w:sz w:val="18"/>
          <w:szCs w:val="18"/>
        </w:rPr>
        <w:t xml:space="preserve">Whenever necessary, </w:t>
      </w:r>
      <w:r w:rsidR="00035520" w:rsidRPr="00300A27">
        <w:rPr>
          <w:sz w:val="18"/>
          <w:szCs w:val="18"/>
        </w:rPr>
        <w:t>for</w:t>
      </w:r>
      <w:r w:rsidR="002610BF" w:rsidRPr="00300A27">
        <w:rPr>
          <w:sz w:val="18"/>
          <w:szCs w:val="18"/>
        </w:rPr>
        <w:t xml:space="preserve"> the purposes of a trial or of identification, the accused may be photographed, even though his fingerprints may have been taken, and even against his will – in which case the explicit order of the Public Prosecution Service is required – and </w:t>
      </w:r>
      <w:r w:rsidR="00035520" w:rsidRPr="00300A27">
        <w:rPr>
          <w:sz w:val="18"/>
          <w:szCs w:val="18"/>
        </w:rPr>
        <w:t xml:space="preserve">his measurements taken as well as similar </w:t>
      </w:r>
      <w:r w:rsidR="0010028A" w:rsidRPr="00300A27">
        <w:rPr>
          <w:sz w:val="18"/>
          <w:szCs w:val="18"/>
        </w:rPr>
        <w:t>actions</w:t>
      </w:r>
      <w:r w:rsidR="00035520" w:rsidRPr="00300A27">
        <w:rPr>
          <w:sz w:val="18"/>
          <w:szCs w:val="18"/>
        </w:rPr>
        <w:t>. A record shall be made of this.</w:t>
      </w:r>
      <w:r w:rsidR="00A01B7B" w:rsidRPr="00300A27">
        <w:rPr>
          <w:rStyle w:val="Refdenotaalpie"/>
          <w:sz w:val="18"/>
          <w:szCs w:val="18"/>
        </w:rPr>
        <w:footnoteReference w:id="154"/>
      </w:r>
      <w:r w:rsidRPr="00300A27">
        <w:rPr>
          <w:sz w:val="18"/>
          <w:szCs w:val="18"/>
        </w:rPr>
        <w:t xml:space="preserve"> </w:t>
      </w:r>
      <w:r w:rsidRPr="00300A27">
        <w:rPr>
          <w:b/>
          <w:sz w:val="18"/>
          <w:szCs w:val="18"/>
        </w:rPr>
        <w:t xml:space="preserve"> </w:t>
      </w:r>
    </w:p>
    <w:p w14:paraId="16788988" w14:textId="186542FE" w:rsidR="00F400D2" w:rsidRPr="00300A27" w:rsidRDefault="005B1C65" w:rsidP="00B243B6">
      <w:pPr>
        <w:pStyle w:val="PrrafodeSentencia"/>
        <w:numPr>
          <w:ilvl w:val="0"/>
          <w:numId w:val="3"/>
        </w:numPr>
        <w:spacing w:before="120" w:after="120"/>
        <w:ind w:left="0" w:firstLine="0"/>
        <w:rPr>
          <w:spacing w:val="0"/>
          <w:szCs w:val="20"/>
          <w:lang w:val="en-US"/>
        </w:rPr>
      </w:pPr>
      <w:bookmarkStart w:id="92" w:name="_Ref33012534"/>
      <w:r w:rsidRPr="00300A27">
        <w:rPr>
          <w:spacing w:val="0"/>
          <w:szCs w:val="20"/>
          <w:lang w:val="en-US"/>
        </w:rPr>
        <w:t>This Court</w:t>
      </w:r>
      <w:r w:rsidR="00CA38A9" w:rsidRPr="00300A27">
        <w:rPr>
          <w:spacing w:val="0"/>
          <w:szCs w:val="20"/>
          <w:lang w:val="en-US"/>
        </w:rPr>
        <w:t xml:space="preserve"> </w:t>
      </w:r>
      <w:r w:rsidR="000C2B4A" w:rsidRPr="00300A27">
        <w:rPr>
          <w:spacing w:val="0"/>
          <w:szCs w:val="20"/>
          <w:lang w:val="en-US"/>
        </w:rPr>
        <w:t xml:space="preserve">notes that the law regulates different situations, from the </w:t>
      </w:r>
      <w:r w:rsidR="0010028A" w:rsidRPr="00300A27">
        <w:rPr>
          <w:spacing w:val="0"/>
          <w:szCs w:val="20"/>
          <w:lang w:val="en-US"/>
        </w:rPr>
        <w:t>temporary</w:t>
      </w:r>
      <w:r w:rsidR="000C2B4A" w:rsidRPr="00300A27">
        <w:rPr>
          <w:spacing w:val="0"/>
          <w:szCs w:val="20"/>
          <w:lang w:val="en-US"/>
        </w:rPr>
        <w:t xml:space="preserve"> restriction of </w:t>
      </w:r>
      <w:r w:rsidR="007A6647" w:rsidRPr="00300A27">
        <w:rPr>
          <w:spacing w:val="0"/>
          <w:szCs w:val="20"/>
          <w:lang w:val="en-US"/>
        </w:rPr>
        <w:t>personal liberty</w:t>
      </w:r>
      <w:r w:rsidR="000C2B4A" w:rsidRPr="00300A27">
        <w:rPr>
          <w:spacing w:val="0"/>
          <w:szCs w:val="20"/>
          <w:lang w:val="en-US"/>
        </w:rPr>
        <w:t xml:space="preserve"> involved by a request for identification to the deprivation of liberty entailed by being taken to a police station. Whether the police request identification or take someone to the police station </w:t>
      </w:r>
      <w:r w:rsidR="00332067" w:rsidRPr="00300A27">
        <w:rPr>
          <w:spacing w:val="0"/>
          <w:szCs w:val="20"/>
          <w:lang w:val="en-US"/>
        </w:rPr>
        <w:t>depend</w:t>
      </w:r>
      <w:r w:rsidR="000C2B4A" w:rsidRPr="00300A27">
        <w:rPr>
          <w:spacing w:val="0"/>
          <w:szCs w:val="20"/>
          <w:lang w:val="en-US"/>
        </w:rPr>
        <w:t xml:space="preserve">s on compliance with slightly different circumstances that are interrelated. To request the identification document requires this measure to be considered necessary “to prevent </w:t>
      </w:r>
      <w:r w:rsidR="000C2B4A" w:rsidRPr="00300A27">
        <w:rPr>
          <w:szCs w:val="20"/>
          <w:lang w:val="en-US"/>
        </w:rPr>
        <w:t xml:space="preserve">an offense or to obtain useful information in the investigation of </w:t>
      </w:r>
      <w:r w:rsidR="003E7696" w:rsidRPr="00300A27">
        <w:rPr>
          <w:szCs w:val="20"/>
          <w:lang w:val="en-US"/>
        </w:rPr>
        <w:t>an offense</w:t>
      </w:r>
      <w:r w:rsidR="000C2B4A" w:rsidRPr="00300A27">
        <w:rPr>
          <w:szCs w:val="20"/>
          <w:lang w:val="en-US"/>
        </w:rPr>
        <w:t>,</w:t>
      </w:r>
      <w:r w:rsidR="00332067" w:rsidRPr="00300A27">
        <w:rPr>
          <w:spacing w:val="0"/>
          <w:szCs w:val="20"/>
          <w:lang w:val="en-US"/>
        </w:rPr>
        <w:t xml:space="preserve">” </w:t>
      </w:r>
      <w:r w:rsidR="00D622EB" w:rsidRPr="00300A27">
        <w:rPr>
          <w:spacing w:val="0"/>
          <w:szCs w:val="20"/>
          <w:lang w:val="en-US"/>
        </w:rPr>
        <w:t>while taking them to a police station means that the person has been provided with “</w:t>
      </w:r>
      <w:r w:rsidR="00D622EB" w:rsidRPr="00300A27">
        <w:rPr>
          <w:szCs w:val="20"/>
          <w:lang w:val="en-US"/>
        </w:rPr>
        <w:t xml:space="preserve">the necessary facilities to find and show” the identify document; and depends on “the seriousness of the act investigated or the sphere of the police operation.” The State indicated that providing the necessary facilities to find and show the identity document </w:t>
      </w:r>
      <w:r w:rsidR="0010028A" w:rsidRPr="00300A27">
        <w:rPr>
          <w:szCs w:val="20"/>
          <w:lang w:val="en-US"/>
        </w:rPr>
        <w:t>meant</w:t>
      </w:r>
      <w:r w:rsidR="00D622EB" w:rsidRPr="00300A27">
        <w:rPr>
          <w:szCs w:val="20"/>
          <w:lang w:val="en-US"/>
        </w:rPr>
        <w:t xml:space="preserve"> that “[t]he Police must provide the person concerned with facilities to find and show the document, </w:t>
      </w:r>
      <w:r w:rsidR="0010028A" w:rsidRPr="00300A27">
        <w:rPr>
          <w:szCs w:val="20"/>
          <w:lang w:val="en-US"/>
        </w:rPr>
        <w:t>and these</w:t>
      </w:r>
      <w:r w:rsidR="00D622EB" w:rsidRPr="00300A27">
        <w:rPr>
          <w:szCs w:val="20"/>
          <w:lang w:val="en-US"/>
        </w:rPr>
        <w:t xml:space="preserve"> include telephone calls, the use of electronic means or going to the place where the documents are, if possible.” In addition, article 205 establishes that the search of the clothing is only possible “if there are well-founded grounds to consider that the person concerned may be linked to the perpetration of </w:t>
      </w:r>
      <w:r w:rsidR="003E7696" w:rsidRPr="00300A27">
        <w:rPr>
          <w:szCs w:val="20"/>
          <w:lang w:val="en-US"/>
        </w:rPr>
        <w:t>an offense</w:t>
      </w:r>
      <w:r w:rsidR="00D622EB" w:rsidRPr="00300A27">
        <w:rPr>
          <w:szCs w:val="20"/>
          <w:lang w:val="en-US"/>
        </w:rPr>
        <w:t xml:space="preserve">.” In this case, the presumed victim was asked for her identification, her clothes were searched and then she was taken to the police station; therefore, in order to determine the </w:t>
      </w:r>
      <w:r w:rsidR="00D622EB" w:rsidRPr="00300A27">
        <w:rPr>
          <w:spacing w:val="0"/>
          <w:szCs w:val="20"/>
          <w:lang w:val="en-US"/>
        </w:rPr>
        <w:t xml:space="preserve">lawfulness of the detention the Court must analyze whether the different actions of the State authorities were in keeping with the provisions of </w:t>
      </w:r>
      <w:bookmarkEnd w:id="92"/>
      <w:r w:rsidR="00D622EB" w:rsidRPr="00300A27">
        <w:rPr>
          <w:spacing w:val="0"/>
          <w:szCs w:val="20"/>
          <w:lang w:val="en-US"/>
        </w:rPr>
        <w:t>a</w:t>
      </w:r>
      <w:r w:rsidR="007071F6" w:rsidRPr="00300A27">
        <w:rPr>
          <w:spacing w:val="0"/>
          <w:szCs w:val="20"/>
          <w:lang w:val="en-US"/>
        </w:rPr>
        <w:t>rticle</w:t>
      </w:r>
      <w:r w:rsidR="005F4566" w:rsidRPr="00300A27">
        <w:rPr>
          <w:spacing w:val="0"/>
          <w:szCs w:val="20"/>
          <w:lang w:val="en-US"/>
        </w:rPr>
        <w:t xml:space="preserve"> 205</w:t>
      </w:r>
      <w:r w:rsidR="00976059" w:rsidRPr="00300A27">
        <w:rPr>
          <w:spacing w:val="0"/>
          <w:szCs w:val="20"/>
          <w:lang w:val="en-US"/>
        </w:rPr>
        <w:t xml:space="preserve"> of the Code of Criminal Procedure</w:t>
      </w:r>
      <w:r w:rsidR="005F4566" w:rsidRPr="00300A27">
        <w:rPr>
          <w:spacing w:val="0"/>
          <w:szCs w:val="20"/>
          <w:lang w:val="en-US"/>
        </w:rPr>
        <w:t>.</w:t>
      </w:r>
      <w:bookmarkStart w:id="93" w:name="_Ref33007967"/>
    </w:p>
    <w:p w14:paraId="118B7DCA" w14:textId="1591A5C2" w:rsidR="00A936B3" w:rsidRPr="00300A27" w:rsidRDefault="00D622EB" w:rsidP="00B243B6">
      <w:pPr>
        <w:pStyle w:val="PrrafodeSentencia"/>
        <w:numPr>
          <w:ilvl w:val="0"/>
          <w:numId w:val="3"/>
        </w:numPr>
        <w:spacing w:before="120" w:after="120"/>
        <w:ind w:left="0" w:firstLine="0"/>
        <w:rPr>
          <w:spacing w:val="0"/>
          <w:szCs w:val="20"/>
          <w:lang w:val="en-US"/>
        </w:rPr>
      </w:pPr>
      <w:bookmarkStart w:id="94" w:name="_Ref446690429"/>
      <w:r w:rsidRPr="00300A27">
        <w:rPr>
          <w:spacing w:val="0"/>
          <w:szCs w:val="20"/>
          <w:lang w:val="en-US"/>
        </w:rPr>
        <w:t xml:space="preserve">First, </w:t>
      </w:r>
      <w:r w:rsidR="00E15CD6" w:rsidRPr="00300A27">
        <w:rPr>
          <w:spacing w:val="0"/>
          <w:szCs w:val="20"/>
          <w:lang w:val="en-US"/>
        </w:rPr>
        <w:t>the police may</w:t>
      </w:r>
      <w:r w:rsidRPr="00300A27">
        <w:rPr>
          <w:spacing w:val="0"/>
          <w:szCs w:val="20"/>
          <w:lang w:val="en-US"/>
        </w:rPr>
        <w:t xml:space="preserve"> ask someone for their identification documents when </w:t>
      </w:r>
      <w:r w:rsidR="00E15CD6" w:rsidRPr="00300A27">
        <w:rPr>
          <w:spacing w:val="0"/>
          <w:szCs w:val="20"/>
          <w:lang w:val="en-US"/>
        </w:rPr>
        <w:t>they</w:t>
      </w:r>
      <w:r w:rsidRPr="00300A27">
        <w:rPr>
          <w:spacing w:val="0"/>
          <w:szCs w:val="20"/>
          <w:lang w:val="en-US"/>
        </w:rPr>
        <w:t xml:space="preserve"> “consider this necessary to prevent </w:t>
      </w:r>
      <w:r w:rsidRPr="00300A27">
        <w:rPr>
          <w:szCs w:val="20"/>
          <w:lang w:val="en-US"/>
        </w:rPr>
        <w:t xml:space="preserve">an offense or to obtain useful information in the investigation of </w:t>
      </w:r>
      <w:r w:rsidR="003E7696" w:rsidRPr="00300A27">
        <w:rPr>
          <w:szCs w:val="20"/>
          <w:lang w:val="en-US"/>
        </w:rPr>
        <w:t>an offense</w:t>
      </w:r>
      <w:r w:rsidRPr="00300A27">
        <w:rPr>
          <w:szCs w:val="20"/>
          <w:lang w:val="en-US"/>
        </w:rPr>
        <w:t>.</w:t>
      </w:r>
      <w:r w:rsidRPr="00300A27">
        <w:rPr>
          <w:spacing w:val="0"/>
          <w:szCs w:val="20"/>
          <w:lang w:val="en-US"/>
        </w:rPr>
        <w:t xml:space="preserve">” </w:t>
      </w:r>
      <w:r w:rsidRPr="00300A27">
        <w:rPr>
          <w:spacing w:val="0"/>
          <w:lang w:val="en-US"/>
        </w:rPr>
        <w:t>Ms. Rojas</w:t>
      </w:r>
      <w:r w:rsidRPr="00300A27">
        <w:rPr>
          <w:spacing w:val="0"/>
          <w:szCs w:val="20"/>
          <w:lang w:val="en-US"/>
        </w:rPr>
        <w:t xml:space="preserve"> Marín was walking home alone when she was approached by </w:t>
      </w:r>
      <w:r w:rsidR="00961E38" w:rsidRPr="00300A27">
        <w:rPr>
          <w:spacing w:val="0"/>
          <w:szCs w:val="20"/>
          <w:lang w:val="en-US"/>
        </w:rPr>
        <w:t>state agents</w:t>
      </w:r>
      <w:r w:rsidR="00A44A54" w:rsidRPr="00300A27">
        <w:rPr>
          <w:spacing w:val="0"/>
          <w:szCs w:val="20"/>
          <w:lang w:val="en-US"/>
        </w:rPr>
        <w:t xml:space="preserve">. It has not been proved that it was necessary to ask for her identification document in order to prevent an offense or to </w:t>
      </w:r>
      <w:r w:rsidR="00A44A54" w:rsidRPr="00300A27">
        <w:rPr>
          <w:szCs w:val="20"/>
          <w:lang w:val="en-US"/>
        </w:rPr>
        <w:t xml:space="preserve">obtain useful information in the investigation of </w:t>
      </w:r>
      <w:r w:rsidR="003E7696" w:rsidRPr="00300A27">
        <w:rPr>
          <w:szCs w:val="20"/>
          <w:lang w:val="en-US"/>
        </w:rPr>
        <w:t>an offense</w:t>
      </w:r>
      <w:r w:rsidR="00A44A54" w:rsidRPr="00300A27">
        <w:rPr>
          <w:spacing w:val="0"/>
          <w:szCs w:val="20"/>
          <w:lang w:val="en-US"/>
        </w:rPr>
        <w:t>. Also, once it was determined that the presumed victim was not carrying her identity document, she was not provided with the necessary facilities to find it and show it.</w:t>
      </w:r>
      <w:r w:rsidR="00A936B3" w:rsidRPr="00300A27">
        <w:rPr>
          <w:rStyle w:val="Refdenotaalpie"/>
          <w:spacing w:val="0"/>
          <w:szCs w:val="20"/>
          <w:lang w:val="en-US"/>
        </w:rPr>
        <w:footnoteReference w:id="155"/>
      </w:r>
      <w:r w:rsidR="00A936B3" w:rsidRPr="00300A27">
        <w:rPr>
          <w:spacing w:val="0"/>
          <w:szCs w:val="20"/>
          <w:lang w:val="en-US"/>
        </w:rPr>
        <w:t xml:space="preserve"> </w:t>
      </w:r>
      <w:r w:rsidR="00A44A54" w:rsidRPr="00300A27">
        <w:rPr>
          <w:spacing w:val="0"/>
          <w:szCs w:val="20"/>
          <w:lang w:val="en-US"/>
        </w:rPr>
        <w:t xml:space="preserve">Both facts are contrary to domestic law. </w:t>
      </w:r>
      <w:bookmarkEnd w:id="93"/>
      <w:bookmarkEnd w:id="94"/>
    </w:p>
    <w:p w14:paraId="70CC8A0F" w14:textId="7C31FAE3" w:rsidR="00CA38A9" w:rsidRPr="00300A27" w:rsidRDefault="00A44A54" w:rsidP="00B243B6">
      <w:pPr>
        <w:pStyle w:val="PrrafodeSentencia"/>
        <w:numPr>
          <w:ilvl w:val="0"/>
          <w:numId w:val="3"/>
        </w:numPr>
        <w:spacing w:before="120" w:after="120"/>
        <w:ind w:left="0" w:firstLine="0"/>
        <w:rPr>
          <w:spacing w:val="0"/>
          <w:szCs w:val="20"/>
          <w:lang w:val="en-US"/>
        </w:rPr>
      </w:pPr>
      <w:r w:rsidRPr="00300A27">
        <w:rPr>
          <w:spacing w:val="0"/>
          <w:szCs w:val="20"/>
          <w:lang w:val="en-US"/>
        </w:rPr>
        <w:t>Second</w:t>
      </w:r>
      <w:r w:rsidR="00E86074" w:rsidRPr="00300A27">
        <w:rPr>
          <w:spacing w:val="0"/>
          <w:szCs w:val="20"/>
          <w:lang w:val="en-US"/>
        </w:rPr>
        <w:t xml:space="preserve">, </w:t>
      </w:r>
      <w:r w:rsidRPr="00300A27">
        <w:rPr>
          <w:spacing w:val="0"/>
          <w:szCs w:val="20"/>
          <w:lang w:val="en-US"/>
        </w:rPr>
        <w:t>the search of a person’s clothing is admissible “</w:t>
      </w:r>
      <w:r w:rsidRPr="00300A27">
        <w:rPr>
          <w:szCs w:val="20"/>
          <w:lang w:val="en-US"/>
        </w:rPr>
        <w:t xml:space="preserve">if there are well-founded grounds to consider that the person concerned may be linked to the perpetration of </w:t>
      </w:r>
      <w:r w:rsidR="003E7696" w:rsidRPr="00300A27">
        <w:rPr>
          <w:szCs w:val="20"/>
          <w:lang w:val="en-US"/>
        </w:rPr>
        <w:t>an offense</w:t>
      </w:r>
      <w:r w:rsidRPr="00300A27">
        <w:rPr>
          <w:szCs w:val="20"/>
          <w:lang w:val="en-US"/>
        </w:rPr>
        <w:t>.” According to the police report, in this case, the search was conducted because the presumed victim did not have her identity document, “had alcohol on [her] breath and […] presumably was in an advanced state of inebriation.</w:t>
      </w:r>
      <w:r w:rsidR="00CA38A9" w:rsidRPr="00300A27">
        <w:rPr>
          <w:spacing w:val="0"/>
          <w:lang w:val="en-US"/>
        </w:rPr>
        <w:t>”</w:t>
      </w:r>
      <w:r w:rsidR="00CA38A9" w:rsidRPr="00300A27">
        <w:rPr>
          <w:spacing w:val="0"/>
          <w:vertAlign w:val="superscript"/>
          <w:lang w:val="en-US"/>
        </w:rPr>
        <w:footnoteReference w:id="156"/>
      </w:r>
      <w:r w:rsidRPr="00300A27">
        <w:rPr>
          <w:spacing w:val="0"/>
          <w:lang w:val="en-US"/>
        </w:rPr>
        <w:t xml:space="preserve"> In this regard,</w:t>
      </w:r>
      <w:r w:rsidR="00CA38A9" w:rsidRPr="00300A27">
        <w:rPr>
          <w:spacing w:val="0"/>
          <w:lang w:val="en-US"/>
        </w:rPr>
        <w:t xml:space="preserve"> </w:t>
      </w:r>
      <w:r w:rsidR="009E607D" w:rsidRPr="00300A27">
        <w:rPr>
          <w:spacing w:val="0"/>
          <w:lang w:val="en-US"/>
        </w:rPr>
        <w:t>expert witness</w:t>
      </w:r>
      <w:r w:rsidR="00CA38A9" w:rsidRPr="00300A27">
        <w:rPr>
          <w:spacing w:val="0"/>
          <w:lang w:val="en-US"/>
        </w:rPr>
        <w:t xml:space="preserve"> Luis Alberto Naldos Blanco, </w:t>
      </w:r>
      <w:r w:rsidRPr="00300A27">
        <w:rPr>
          <w:spacing w:val="0"/>
          <w:lang w:val="en-US"/>
        </w:rPr>
        <w:t>offered by</w:t>
      </w:r>
      <w:r w:rsidR="00CA38A9" w:rsidRPr="00300A27">
        <w:rPr>
          <w:spacing w:val="0"/>
          <w:lang w:val="en-US"/>
        </w:rPr>
        <w:t xml:space="preserve"> </w:t>
      </w:r>
      <w:r w:rsidR="005B1C65" w:rsidRPr="00300A27">
        <w:rPr>
          <w:spacing w:val="0"/>
          <w:lang w:val="en-US"/>
        </w:rPr>
        <w:t>the State</w:t>
      </w:r>
      <w:r w:rsidR="00CA38A9" w:rsidRPr="00300A27">
        <w:rPr>
          <w:spacing w:val="0"/>
          <w:lang w:val="en-US"/>
        </w:rPr>
        <w:t>, i</w:t>
      </w:r>
      <w:r w:rsidRPr="00300A27">
        <w:rPr>
          <w:spacing w:val="0"/>
          <w:lang w:val="en-US"/>
        </w:rPr>
        <w:t>ndicated that</w:t>
      </w:r>
      <w:r w:rsidR="00CA38A9" w:rsidRPr="00300A27">
        <w:rPr>
          <w:spacing w:val="0"/>
          <w:lang w:val="en-US"/>
        </w:rPr>
        <w:t>:</w:t>
      </w:r>
    </w:p>
    <w:p w14:paraId="50CEFE9D" w14:textId="57E77E33" w:rsidR="00A44A54" w:rsidRPr="00300A27" w:rsidRDefault="00A44A54" w:rsidP="00B243B6">
      <w:pPr>
        <w:autoSpaceDE w:val="0"/>
        <w:autoSpaceDN w:val="0"/>
        <w:adjustRightInd w:val="0"/>
        <w:ind w:left="567" w:right="758"/>
        <w:jc w:val="both"/>
        <w:rPr>
          <w:sz w:val="18"/>
          <w:szCs w:val="18"/>
        </w:rPr>
      </w:pPr>
      <w:r w:rsidRPr="00300A27">
        <w:rPr>
          <w:sz w:val="18"/>
          <w:szCs w:val="18"/>
        </w:rPr>
        <w:t>It is evident that the mere fact of being inebriated – without the intervention of acts against persons, public order or public or private property – does not justify a presumption of the perpetration of a</w:t>
      </w:r>
      <w:r w:rsidR="003E7696" w:rsidRPr="00300A27">
        <w:rPr>
          <w:sz w:val="18"/>
          <w:szCs w:val="18"/>
        </w:rPr>
        <w:t xml:space="preserve">n offense </w:t>
      </w:r>
      <w:r w:rsidRPr="00300A27">
        <w:rPr>
          <w:sz w:val="18"/>
          <w:szCs w:val="18"/>
        </w:rPr>
        <w:t>and, especially, a police arrest. […]</w:t>
      </w:r>
    </w:p>
    <w:p w14:paraId="3A256531" w14:textId="241496D4" w:rsidR="00CA38A9" w:rsidRPr="00300A27" w:rsidRDefault="00A44A54" w:rsidP="00B243B6">
      <w:pPr>
        <w:autoSpaceDE w:val="0"/>
        <w:autoSpaceDN w:val="0"/>
        <w:adjustRightInd w:val="0"/>
        <w:spacing w:before="120" w:after="120"/>
        <w:ind w:left="567" w:right="758"/>
        <w:jc w:val="both"/>
        <w:rPr>
          <w:sz w:val="18"/>
          <w:szCs w:val="18"/>
        </w:rPr>
      </w:pPr>
      <w:r w:rsidRPr="00300A27">
        <w:rPr>
          <w:sz w:val="18"/>
          <w:szCs w:val="18"/>
        </w:rPr>
        <w:t xml:space="preserve">In the case of the detention of </w:t>
      </w:r>
      <w:r w:rsidR="00CA38A9" w:rsidRPr="00300A27">
        <w:rPr>
          <w:sz w:val="18"/>
          <w:szCs w:val="18"/>
        </w:rPr>
        <w:t xml:space="preserve">Azul Rojas Marín </w:t>
      </w:r>
      <w:r w:rsidRPr="00300A27">
        <w:rPr>
          <w:sz w:val="18"/>
          <w:szCs w:val="18"/>
        </w:rPr>
        <w:t xml:space="preserve">there is no objective element that would clearly establish the existence of well-founded </w:t>
      </w:r>
      <w:r w:rsidR="00E15CD6" w:rsidRPr="00300A27">
        <w:rPr>
          <w:sz w:val="18"/>
          <w:szCs w:val="18"/>
        </w:rPr>
        <w:t>grounds</w:t>
      </w:r>
      <w:r w:rsidRPr="00300A27">
        <w:rPr>
          <w:sz w:val="18"/>
          <w:szCs w:val="18"/>
        </w:rPr>
        <w:t xml:space="preserve"> for conducting a personal search, or </w:t>
      </w:r>
      <w:r w:rsidR="00E15CD6" w:rsidRPr="00300A27">
        <w:rPr>
          <w:sz w:val="18"/>
          <w:szCs w:val="18"/>
        </w:rPr>
        <w:t xml:space="preserve">of </w:t>
      </w:r>
      <w:r w:rsidRPr="00300A27">
        <w:rPr>
          <w:sz w:val="18"/>
          <w:szCs w:val="18"/>
        </w:rPr>
        <w:t>compliance with the</w:t>
      </w:r>
      <w:r w:rsidR="00E15CD6" w:rsidRPr="00300A27">
        <w:rPr>
          <w:sz w:val="18"/>
          <w:szCs w:val="18"/>
        </w:rPr>
        <w:t xml:space="preserve"> established</w:t>
      </w:r>
      <w:r w:rsidRPr="00300A27">
        <w:rPr>
          <w:sz w:val="18"/>
          <w:szCs w:val="18"/>
        </w:rPr>
        <w:t xml:space="preserve"> legal procedure to conduct this. Consequently, it can be affirmed that the personal search of Azul Rojas Marín was not conducted in accordance with the provisions </w:t>
      </w:r>
      <w:r w:rsidR="007071F6" w:rsidRPr="00300A27">
        <w:rPr>
          <w:sz w:val="18"/>
          <w:szCs w:val="18"/>
        </w:rPr>
        <w:t xml:space="preserve">of </w:t>
      </w:r>
      <w:r w:rsidR="00E15CD6" w:rsidRPr="00300A27">
        <w:rPr>
          <w:sz w:val="18"/>
          <w:szCs w:val="18"/>
        </w:rPr>
        <w:t>a</w:t>
      </w:r>
      <w:r w:rsidR="007071F6" w:rsidRPr="00300A27">
        <w:rPr>
          <w:sz w:val="18"/>
          <w:szCs w:val="18"/>
        </w:rPr>
        <w:t>rticle</w:t>
      </w:r>
      <w:r w:rsidR="00CA38A9" w:rsidRPr="00300A27">
        <w:rPr>
          <w:sz w:val="18"/>
          <w:szCs w:val="18"/>
        </w:rPr>
        <w:t xml:space="preserve"> 205</w:t>
      </w:r>
      <w:r w:rsidRPr="00300A27">
        <w:rPr>
          <w:sz w:val="18"/>
          <w:szCs w:val="18"/>
        </w:rPr>
        <w:t>.</w:t>
      </w:r>
      <w:r w:rsidR="00CA38A9" w:rsidRPr="00300A27">
        <w:rPr>
          <w:rStyle w:val="Refdenotaalpie"/>
          <w:sz w:val="18"/>
          <w:szCs w:val="18"/>
        </w:rPr>
        <w:footnoteReference w:id="157"/>
      </w:r>
    </w:p>
    <w:p w14:paraId="35F619F4" w14:textId="1E36DA28" w:rsidR="003E7696" w:rsidRPr="00300A27" w:rsidRDefault="005B1C65" w:rsidP="00B243B6">
      <w:pPr>
        <w:pStyle w:val="PrrafodeSentencia"/>
        <w:numPr>
          <w:ilvl w:val="0"/>
          <w:numId w:val="3"/>
        </w:numPr>
        <w:spacing w:before="120" w:after="120"/>
        <w:ind w:left="0" w:firstLine="0"/>
        <w:rPr>
          <w:spacing w:val="0"/>
          <w:lang w:val="en-US"/>
        </w:rPr>
      </w:pPr>
      <w:r w:rsidRPr="00300A27">
        <w:rPr>
          <w:spacing w:val="0"/>
          <w:lang w:val="en-US"/>
        </w:rPr>
        <w:t>The Court</w:t>
      </w:r>
      <w:r w:rsidR="00CA38A9" w:rsidRPr="00300A27">
        <w:rPr>
          <w:spacing w:val="0"/>
          <w:lang w:val="en-US"/>
        </w:rPr>
        <w:t xml:space="preserve"> consider</w:t>
      </w:r>
      <w:r w:rsidR="00A44A54" w:rsidRPr="00300A27">
        <w:rPr>
          <w:spacing w:val="0"/>
          <w:lang w:val="en-US"/>
        </w:rPr>
        <w:t xml:space="preserve">s that the personal search of </w:t>
      </w:r>
      <w:r w:rsidR="008546E9" w:rsidRPr="00300A27">
        <w:rPr>
          <w:spacing w:val="0"/>
          <w:lang w:val="en-US"/>
        </w:rPr>
        <w:t>Ms. Rojas</w:t>
      </w:r>
      <w:r w:rsidR="00CA38A9" w:rsidRPr="00300A27">
        <w:rPr>
          <w:spacing w:val="0"/>
          <w:lang w:val="en-US"/>
        </w:rPr>
        <w:t xml:space="preserve"> Marín </w:t>
      </w:r>
      <w:r w:rsidR="00A44A54" w:rsidRPr="00300A27">
        <w:rPr>
          <w:spacing w:val="0"/>
          <w:lang w:val="en-US"/>
        </w:rPr>
        <w:t xml:space="preserve">was not conducted in accordance with domestic law, because it has not been proved that there </w:t>
      </w:r>
      <w:r w:rsidR="00E15CD6" w:rsidRPr="00300A27">
        <w:rPr>
          <w:spacing w:val="0"/>
          <w:lang w:val="en-US"/>
        </w:rPr>
        <w:t>were</w:t>
      </w:r>
      <w:r w:rsidR="00A44A54" w:rsidRPr="00300A27">
        <w:rPr>
          <w:spacing w:val="0"/>
          <w:lang w:val="en-US"/>
        </w:rPr>
        <w:t xml:space="preserve"> well-founded </w:t>
      </w:r>
      <w:r w:rsidR="00E15CD6" w:rsidRPr="00300A27">
        <w:rPr>
          <w:spacing w:val="0"/>
          <w:lang w:val="en-US"/>
        </w:rPr>
        <w:t>grounds</w:t>
      </w:r>
      <w:r w:rsidR="00A44A54" w:rsidRPr="00300A27">
        <w:rPr>
          <w:spacing w:val="0"/>
          <w:lang w:val="en-US"/>
        </w:rPr>
        <w:t xml:space="preserve"> </w:t>
      </w:r>
      <w:r w:rsidR="003E7696" w:rsidRPr="00300A27">
        <w:rPr>
          <w:spacing w:val="0"/>
          <w:lang w:val="en-US"/>
        </w:rPr>
        <w:t>linking her to the perpetration of an offense.</w:t>
      </w:r>
    </w:p>
    <w:p w14:paraId="37054599" w14:textId="41DF1F17" w:rsidR="00CA38A9" w:rsidRPr="00300A27" w:rsidRDefault="003E7696" w:rsidP="00B243B6">
      <w:pPr>
        <w:pStyle w:val="PrrafodeSentencia"/>
        <w:numPr>
          <w:ilvl w:val="0"/>
          <w:numId w:val="3"/>
        </w:numPr>
        <w:spacing w:before="120" w:after="120"/>
        <w:ind w:left="0" w:firstLine="0"/>
        <w:rPr>
          <w:szCs w:val="20"/>
          <w:lang w:val="en-US"/>
        </w:rPr>
      </w:pPr>
      <w:r w:rsidRPr="00300A27">
        <w:rPr>
          <w:spacing w:val="0"/>
          <w:szCs w:val="20"/>
          <w:lang w:val="en-US"/>
        </w:rPr>
        <w:t xml:space="preserve">Third, regarding </w:t>
      </w:r>
      <w:r w:rsidR="00E15CD6" w:rsidRPr="00300A27">
        <w:rPr>
          <w:spacing w:val="0"/>
          <w:szCs w:val="20"/>
          <w:lang w:val="en-US"/>
        </w:rPr>
        <w:t>the fact that she was taken</w:t>
      </w:r>
      <w:r w:rsidRPr="00300A27">
        <w:rPr>
          <w:spacing w:val="0"/>
          <w:szCs w:val="20"/>
          <w:lang w:val="en-US"/>
        </w:rPr>
        <w:t xml:space="preserve"> to the police station, the law establishes that the person concerned may be taken to the nearest police station exclusively </w:t>
      </w:r>
      <w:r w:rsidR="00E15CD6" w:rsidRPr="00300A27">
        <w:rPr>
          <w:spacing w:val="0"/>
          <w:szCs w:val="20"/>
          <w:lang w:val="en-US"/>
        </w:rPr>
        <w:t>for identification purposes</w:t>
      </w:r>
      <w:r w:rsidRPr="00300A27">
        <w:rPr>
          <w:spacing w:val="0"/>
          <w:szCs w:val="20"/>
          <w:lang w:val="en-US"/>
        </w:rPr>
        <w:t xml:space="preserve">, “[i]f </w:t>
      </w:r>
      <w:r w:rsidRPr="00300A27">
        <w:rPr>
          <w:szCs w:val="20"/>
          <w:lang w:val="en-US"/>
        </w:rPr>
        <w:t xml:space="preserve">the person concerned is unable to show the identity document, [and] based on the seriousness of the act investigated or the sphere of the police operation.”  It has already been determined that </w:t>
      </w:r>
      <w:r w:rsidR="008546E9" w:rsidRPr="00300A27">
        <w:rPr>
          <w:spacing w:val="0"/>
          <w:szCs w:val="20"/>
          <w:lang w:val="en-US"/>
        </w:rPr>
        <w:t>Ms. Rojas</w:t>
      </w:r>
      <w:r w:rsidR="006A6F03" w:rsidRPr="00300A27">
        <w:rPr>
          <w:spacing w:val="0"/>
          <w:szCs w:val="20"/>
          <w:lang w:val="en-US"/>
        </w:rPr>
        <w:t xml:space="preserve"> Marín</w:t>
      </w:r>
      <w:r w:rsidRPr="00300A27">
        <w:rPr>
          <w:spacing w:val="0"/>
          <w:szCs w:val="20"/>
          <w:lang w:val="en-US"/>
        </w:rPr>
        <w:t xml:space="preserve"> was not provided with the necessary facilities to find and show her identity document</w:t>
      </w:r>
      <w:r w:rsidR="006A6F03" w:rsidRPr="00300A27">
        <w:rPr>
          <w:spacing w:val="0"/>
          <w:szCs w:val="20"/>
          <w:lang w:val="en-US"/>
        </w:rPr>
        <w:t xml:space="preserve"> </w:t>
      </w:r>
      <w:r w:rsidR="00A87050" w:rsidRPr="00300A27">
        <w:rPr>
          <w:spacing w:val="0"/>
          <w:szCs w:val="20"/>
          <w:lang w:val="en-US"/>
        </w:rPr>
        <w:t>(</w:t>
      </w:r>
      <w:r w:rsidR="00A87050" w:rsidRPr="00300A27">
        <w:rPr>
          <w:i/>
          <w:spacing w:val="0"/>
          <w:szCs w:val="20"/>
          <w:lang w:val="en-US"/>
        </w:rPr>
        <w:t xml:space="preserve">supra </w:t>
      </w:r>
      <w:r w:rsidR="00910D8E" w:rsidRPr="00300A27">
        <w:rPr>
          <w:spacing w:val="0"/>
          <w:szCs w:val="20"/>
          <w:lang w:val="en-US"/>
        </w:rPr>
        <w:t>para.</w:t>
      </w:r>
      <w:r w:rsidR="00B01359" w:rsidRPr="00300A27">
        <w:rPr>
          <w:spacing w:val="0"/>
          <w:szCs w:val="20"/>
          <w:lang w:val="en-US"/>
        </w:rPr>
        <w:t xml:space="preserve"> </w:t>
      </w:r>
      <w:r w:rsidR="00B01359" w:rsidRPr="00300A27">
        <w:rPr>
          <w:spacing w:val="0"/>
          <w:szCs w:val="20"/>
          <w:lang w:val="en-US"/>
        </w:rPr>
        <w:fldChar w:fldCharType="begin"/>
      </w:r>
      <w:r w:rsidR="00B01359" w:rsidRPr="00300A27">
        <w:rPr>
          <w:spacing w:val="0"/>
          <w:szCs w:val="20"/>
          <w:lang w:val="en-US"/>
        </w:rPr>
        <w:instrText xml:space="preserve"> REF _Ref446690429 \r \h </w:instrText>
      </w:r>
      <w:r w:rsidR="00B243B6" w:rsidRPr="00300A27">
        <w:rPr>
          <w:spacing w:val="0"/>
          <w:szCs w:val="20"/>
          <w:lang w:val="en-US"/>
        </w:rPr>
        <w:instrText xml:space="preserve"> \* MERGEFORMAT </w:instrText>
      </w:r>
      <w:r w:rsidR="00B01359" w:rsidRPr="00300A27">
        <w:rPr>
          <w:spacing w:val="0"/>
          <w:szCs w:val="20"/>
          <w:lang w:val="en-US"/>
        </w:rPr>
      </w:r>
      <w:r w:rsidR="00B01359" w:rsidRPr="00300A27">
        <w:rPr>
          <w:spacing w:val="0"/>
          <w:szCs w:val="20"/>
          <w:lang w:val="en-US"/>
        </w:rPr>
        <w:fldChar w:fldCharType="separate"/>
      </w:r>
      <w:r w:rsidR="00632F77" w:rsidRPr="00300A27">
        <w:rPr>
          <w:spacing w:val="0"/>
          <w:szCs w:val="20"/>
          <w:lang w:val="en-US"/>
        </w:rPr>
        <w:t>115</w:t>
      </w:r>
      <w:r w:rsidR="00B01359" w:rsidRPr="00300A27">
        <w:rPr>
          <w:spacing w:val="0"/>
          <w:szCs w:val="20"/>
          <w:lang w:val="en-US"/>
        </w:rPr>
        <w:fldChar w:fldCharType="end"/>
      </w:r>
      <w:r w:rsidR="00A87050" w:rsidRPr="00300A27">
        <w:rPr>
          <w:spacing w:val="0"/>
          <w:szCs w:val="20"/>
          <w:lang w:val="en-US"/>
        </w:rPr>
        <w:t xml:space="preserve">), </w:t>
      </w:r>
      <w:r w:rsidRPr="00300A27">
        <w:rPr>
          <w:spacing w:val="0"/>
          <w:szCs w:val="20"/>
          <w:lang w:val="en-US"/>
        </w:rPr>
        <w:t xml:space="preserve">so that it has not been proved that it was not possible for her to show </w:t>
      </w:r>
      <w:r w:rsidR="00C84831" w:rsidRPr="00300A27">
        <w:rPr>
          <w:spacing w:val="0"/>
          <w:szCs w:val="20"/>
          <w:lang w:val="en-US"/>
        </w:rPr>
        <w:t>her</w:t>
      </w:r>
      <w:r w:rsidRPr="00300A27">
        <w:rPr>
          <w:spacing w:val="0"/>
          <w:szCs w:val="20"/>
          <w:lang w:val="en-US"/>
        </w:rPr>
        <w:t xml:space="preserve"> identity document. In addition, the police report establishes that </w:t>
      </w:r>
      <w:r w:rsidR="00834A1B" w:rsidRPr="00300A27">
        <w:rPr>
          <w:spacing w:val="0"/>
          <w:lang w:val="en-US"/>
        </w:rPr>
        <w:t>the presumed victim</w:t>
      </w:r>
      <w:r w:rsidR="00CA38A9" w:rsidRPr="00300A27">
        <w:rPr>
          <w:spacing w:val="0"/>
          <w:lang w:val="en-US"/>
        </w:rPr>
        <w:t xml:space="preserve"> </w:t>
      </w:r>
      <w:r w:rsidRPr="00300A27">
        <w:rPr>
          <w:spacing w:val="0"/>
          <w:lang w:val="en-US"/>
        </w:rPr>
        <w:t xml:space="preserve">was taken to the police station for </w:t>
      </w:r>
      <w:r w:rsidR="00C84831" w:rsidRPr="00300A27">
        <w:rPr>
          <w:spacing w:val="0"/>
          <w:lang w:val="en-US"/>
        </w:rPr>
        <w:t xml:space="preserve">the respective identification because she was “undocumented, in suspicious circumstances, and in a place </w:t>
      </w:r>
      <w:r w:rsidR="0013737E" w:rsidRPr="00300A27">
        <w:rPr>
          <w:spacing w:val="0"/>
          <w:lang w:val="en-US"/>
        </w:rPr>
        <w:t xml:space="preserve">frequented by </w:t>
      </w:r>
      <w:r w:rsidR="00E15CD6" w:rsidRPr="00300A27">
        <w:rPr>
          <w:spacing w:val="0"/>
          <w:lang w:val="en-US"/>
        </w:rPr>
        <w:t>miscreants</w:t>
      </w:r>
      <w:r w:rsidR="00C84831" w:rsidRPr="00300A27">
        <w:rPr>
          <w:spacing w:val="0"/>
          <w:lang w:val="en-US"/>
        </w:rPr>
        <w:t>.</w:t>
      </w:r>
      <w:r w:rsidR="00CA38A9" w:rsidRPr="00300A27">
        <w:rPr>
          <w:spacing w:val="0"/>
          <w:lang w:val="en-US"/>
        </w:rPr>
        <w:t>”</w:t>
      </w:r>
      <w:r w:rsidR="00CA38A9" w:rsidRPr="00300A27">
        <w:rPr>
          <w:rStyle w:val="Refdenotaalpie"/>
          <w:spacing w:val="0"/>
          <w:lang w:val="en-US"/>
        </w:rPr>
        <w:footnoteReference w:id="158"/>
      </w:r>
      <w:r w:rsidR="00891DD6" w:rsidRPr="00300A27">
        <w:rPr>
          <w:spacing w:val="0"/>
          <w:lang w:val="en-US"/>
        </w:rPr>
        <w:t xml:space="preserve"> </w:t>
      </w:r>
      <w:r w:rsidR="00C84831" w:rsidRPr="00300A27">
        <w:rPr>
          <w:spacing w:val="0"/>
          <w:lang w:val="en-US"/>
        </w:rPr>
        <w:t>The</w:t>
      </w:r>
      <w:r w:rsidR="00891DD6" w:rsidRPr="00300A27">
        <w:rPr>
          <w:spacing w:val="0"/>
          <w:lang w:val="en-US"/>
        </w:rPr>
        <w:t xml:space="preserve"> </w:t>
      </w:r>
      <w:r w:rsidR="00C84831" w:rsidRPr="00300A27">
        <w:rPr>
          <w:spacing w:val="0"/>
          <w:lang w:val="en-US"/>
        </w:rPr>
        <w:t>p</w:t>
      </w:r>
      <w:r w:rsidR="00C81CB0" w:rsidRPr="00300A27">
        <w:rPr>
          <w:spacing w:val="0"/>
          <w:lang w:val="en-US"/>
        </w:rPr>
        <w:t>olice report</w:t>
      </w:r>
      <w:r w:rsidR="00C84831" w:rsidRPr="00300A27">
        <w:rPr>
          <w:spacing w:val="0"/>
          <w:lang w:val="en-US"/>
        </w:rPr>
        <w:t xml:space="preserve"> makes no mention of the investigation of an offense or that a police operation was being </w:t>
      </w:r>
      <w:r w:rsidR="00E15CD6" w:rsidRPr="00300A27">
        <w:rPr>
          <w:spacing w:val="0"/>
          <w:lang w:val="en-US"/>
        </w:rPr>
        <w:t>conducted</w:t>
      </w:r>
      <w:r w:rsidR="00C84831" w:rsidRPr="00300A27">
        <w:rPr>
          <w:spacing w:val="0"/>
          <w:lang w:val="en-US"/>
        </w:rPr>
        <w:t xml:space="preserve">. Consequently, the State has not proved compliance with the legal assumptions for taking </w:t>
      </w:r>
      <w:r w:rsidR="008546E9" w:rsidRPr="00300A27">
        <w:rPr>
          <w:spacing w:val="0"/>
          <w:lang w:val="en-US"/>
        </w:rPr>
        <w:t xml:space="preserve">the </w:t>
      </w:r>
      <w:r w:rsidR="00834A1B" w:rsidRPr="00300A27">
        <w:rPr>
          <w:spacing w:val="0"/>
          <w:lang w:val="en-US"/>
        </w:rPr>
        <w:t>presumed victim</w:t>
      </w:r>
      <w:r w:rsidR="00891DD6" w:rsidRPr="00300A27">
        <w:rPr>
          <w:spacing w:val="0"/>
          <w:lang w:val="en-US"/>
        </w:rPr>
        <w:t xml:space="preserve"> </w:t>
      </w:r>
      <w:r w:rsidR="00C84831" w:rsidRPr="00300A27">
        <w:rPr>
          <w:spacing w:val="0"/>
          <w:lang w:val="en-US"/>
        </w:rPr>
        <w:t>to a police station.</w:t>
      </w:r>
    </w:p>
    <w:p w14:paraId="566A6A8D" w14:textId="27B88634" w:rsidR="00CA38A9" w:rsidRPr="00300A27" w:rsidRDefault="00C84831" w:rsidP="00B243B6">
      <w:pPr>
        <w:pStyle w:val="PrrafodeSentencia"/>
        <w:numPr>
          <w:ilvl w:val="0"/>
          <w:numId w:val="3"/>
        </w:numPr>
        <w:spacing w:before="120" w:after="120"/>
        <w:ind w:left="0" w:firstLine="0"/>
        <w:rPr>
          <w:spacing w:val="0"/>
          <w:szCs w:val="20"/>
          <w:lang w:val="en-US"/>
        </w:rPr>
      </w:pPr>
      <w:bookmarkStart w:id="95" w:name="_Ref36023036"/>
      <w:r w:rsidRPr="00300A27">
        <w:rPr>
          <w:spacing w:val="0"/>
          <w:szCs w:val="20"/>
          <w:lang w:val="en-US"/>
        </w:rPr>
        <w:t>Fourth, the law requires that: (i) the “procedure,</w:t>
      </w:r>
      <w:r w:rsidRPr="00300A27">
        <w:rPr>
          <w:szCs w:val="20"/>
          <w:lang w:val="en-US"/>
        </w:rPr>
        <w:t xml:space="preserve"> calculated from the moment the police intervene, may not exceed four hours”; (ii) the person concerned must be guaranteed “the right to communicate with a family member or with the person he indicates,” and (iii) “[i]n such cases, the Police shall keep a </w:t>
      </w:r>
      <w:r w:rsidR="00E15CD6" w:rsidRPr="00300A27">
        <w:rPr>
          <w:szCs w:val="20"/>
          <w:lang w:val="en-US"/>
        </w:rPr>
        <w:t>l</w:t>
      </w:r>
      <w:r w:rsidRPr="00300A27">
        <w:rPr>
          <w:szCs w:val="20"/>
          <w:lang w:val="en-US"/>
        </w:rPr>
        <w:t>ogbook in which they record the identification procedures conducted, as well as the reasons for the procedures and their duration</w:t>
      </w:r>
      <w:r w:rsidR="00BC472A" w:rsidRPr="00300A27">
        <w:rPr>
          <w:spacing w:val="0"/>
          <w:lang w:val="en-US"/>
        </w:rPr>
        <w:t xml:space="preserve"> (</w:t>
      </w:r>
      <w:r w:rsidR="00BC472A" w:rsidRPr="00300A27">
        <w:rPr>
          <w:i/>
          <w:spacing w:val="0"/>
          <w:lang w:val="en-US"/>
        </w:rPr>
        <w:t xml:space="preserve">supra </w:t>
      </w:r>
      <w:r w:rsidR="00910D8E" w:rsidRPr="00300A27">
        <w:rPr>
          <w:spacing w:val="0"/>
          <w:lang w:val="en-US"/>
        </w:rPr>
        <w:t>para.</w:t>
      </w:r>
      <w:r w:rsidR="00B01359" w:rsidRPr="00300A27">
        <w:rPr>
          <w:spacing w:val="0"/>
          <w:lang w:val="en-US"/>
        </w:rPr>
        <w:t xml:space="preserve"> </w:t>
      </w:r>
      <w:r w:rsidR="00B01359" w:rsidRPr="00300A27">
        <w:rPr>
          <w:spacing w:val="0"/>
          <w:lang w:val="en-US"/>
        </w:rPr>
        <w:fldChar w:fldCharType="begin"/>
      </w:r>
      <w:r w:rsidR="00B01359" w:rsidRPr="00300A27">
        <w:rPr>
          <w:spacing w:val="0"/>
          <w:lang w:val="en-US"/>
        </w:rPr>
        <w:instrText xml:space="preserve"> REF _Ref446690467 \r \h </w:instrText>
      </w:r>
      <w:r w:rsidR="00B243B6" w:rsidRPr="00300A27">
        <w:rPr>
          <w:spacing w:val="0"/>
          <w:lang w:val="en-US"/>
        </w:rPr>
        <w:instrText xml:space="preserve"> \* MERGEFORMAT </w:instrText>
      </w:r>
      <w:r w:rsidR="00B01359" w:rsidRPr="00300A27">
        <w:rPr>
          <w:spacing w:val="0"/>
          <w:lang w:val="en-US"/>
        </w:rPr>
      </w:r>
      <w:r w:rsidR="00B01359" w:rsidRPr="00300A27">
        <w:rPr>
          <w:spacing w:val="0"/>
          <w:lang w:val="en-US"/>
        </w:rPr>
        <w:fldChar w:fldCharType="separate"/>
      </w:r>
      <w:r w:rsidR="00632F77" w:rsidRPr="00300A27">
        <w:rPr>
          <w:spacing w:val="0"/>
          <w:lang w:val="en-US"/>
        </w:rPr>
        <w:t>113</w:t>
      </w:r>
      <w:r w:rsidR="00B01359" w:rsidRPr="00300A27">
        <w:rPr>
          <w:spacing w:val="0"/>
          <w:lang w:val="en-US"/>
        </w:rPr>
        <w:fldChar w:fldCharType="end"/>
      </w:r>
      <w:r w:rsidR="00BC472A" w:rsidRPr="00300A27">
        <w:rPr>
          <w:spacing w:val="0"/>
          <w:lang w:val="en-US"/>
        </w:rPr>
        <w:t>)</w:t>
      </w:r>
      <w:r w:rsidR="00CA38A9" w:rsidRPr="00300A27">
        <w:rPr>
          <w:spacing w:val="0"/>
          <w:lang w:val="en-US"/>
        </w:rPr>
        <w:t xml:space="preserve">. </w:t>
      </w:r>
      <w:r w:rsidRPr="00300A27">
        <w:rPr>
          <w:spacing w:val="0"/>
          <w:lang w:val="en-US"/>
        </w:rPr>
        <w:t xml:space="preserve">In this regard, the Court notes that </w:t>
      </w:r>
      <w:r w:rsidR="00834A1B" w:rsidRPr="00300A27">
        <w:rPr>
          <w:spacing w:val="0"/>
          <w:lang w:val="en-US"/>
        </w:rPr>
        <w:t>the presumed victim</w:t>
      </w:r>
      <w:r w:rsidR="00A87050" w:rsidRPr="00300A27">
        <w:rPr>
          <w:spacing w:val="0"/>
          <w:lang w:val="en-US"/>
        </w:rPr>
        <w:t xml:space="preserve"> </w:t>
      </w:r>
      <w:r w:rsidRPr="00300A27">
        <w:rPr>
          <w:spacing w:val="0"/>
          <w:lang w:val="en-US"/>
        </w:rPr>
        <w:t xml:space="preserve">was detained for at least five hours which exceeds the permitted time. In addition, there is no dispute that the procedure to identify </w:t>
      </w:r>
      <w:r w:rsidR="008546E9" w:rsidRPr="00300A27">
        <w:rPr>
          <w:spacing w:val="0"/>
          <w:lang w:val="en-US"/>
        </w:rPr>
        <w:t>Ms. Rojas</w:t>
      </w:r>
      <w:r w:rsidR="00CA38A9" w:rsidRPr="00300A27">
        <w:rPr>
          <w:spacing w:val="0"/>
          <w:lang w:val="en-US"/>
        </w:rPr>
        <w:t xml:space="preserve"> Marín </w:t>
      </w:r>
      <w:r w:rsidRPr="00300A27">
        <w:rPr>
          <w:spacing w:val="0"/>
          <w:lang w:val="en-US"/>
        </w:rPr>
        <w:t>was not recorded</w:t>
      </w:r>
      <w:r w:rsidR="00CA38A9" w:rsidRPr="00300A27">
        <w:rPr>
          <w:spacing w:val="0"/>
          <w:lang w:val="en-US"/>
        </w:rPr>
        <w:t>.</w:t>
      </w:r>
      <w:bookmarkEnd w:id="95"/>
      <w:r w:rsidR="00CA38A9" w:rsidRPr="00300A27">
        <w:rPr>
          <w:spacing w:val="0"/>
          <w:lang w:val="en-US"/>
        </w:rPr>
        <w:t xml:space="preserve"> </w:t>
      </w:r>
    </w:p>
    <w:p w14:paraId="711787E9" w14:textId="5549018F" w:rsidR="00C84831" w:rsidRPr="00300A27" w:rsidRDefault="00A87050" w:rsidP="00B243B6">
      <w:pPr>
        <w:pStyle w:val="PrrafodeSentencia"/>
        <w:numPr>
          <w:ilvl w:val="0"/>
          <w:numId w:val="3"/>
        </w:numPr>
        <w:spacing w:before="120" w:after="120"/>
        <w:ind w:left="0" w:firstLine="0"/>
        <w:rPr>
          <w:spacing w:val="0"/>
          <w:lang w:val="en-US"/>
        </w:rPr>
      </w:pPr>
      <w:r w:rsidRPr="00300A27">
        <w:rPr>
          <w:spacing w:val="0"/>
          <w:lang w:val="en-US"/>
        </w:rPr>
        <w:t>R</w:t>
      </w:r>
      <w:r w:rsidR="00C84831" w:rsidRPr="00300A27">
        <w:rPr>
          <w:spacing w:val="0"/>
          <w:lang w:val="en-US"/>
        </w:rPr>
        <w:t xml:space="preserve">egarding the possibility for </w:t>
      </w:r>
      <w:r w:rsidR="008546E9" w:rsidRPr="00300A27">
        <w:rPr>
          <w:spacing w:val="0"/>
          <w:lang w:val="en-US"/>
        </w:rPr>
        <w:t>Ms. Rojas</w:t>
      </w:r>
      <w:r w:rsidR="00CA38A9" w:rsidRPr="00300A27">
        <w:rPr>
          <w:spacing w:val="0"/>
          <w:lang w:val="en-US"/>
        </w:rPr>
        <w:t xml:space="preserve"> Marín</w:t>
      </w:r>
      <w:r w:rsidR="00C84831" w:rsidRPr="00300A27">
        <w:rPr>
          <w:spacing w:val="0"/>
          <w:lang w:val="en-US"/>
        </w:rPr>
        <w:t xml:space="preserve"> to contact a family member or a person of her choice, the Court notes that it is the State that has the burden of proving that Ms. Rojas Marín was advised of this right. In this case, the State has not alleged that it complied with this obligation. Also, Ms. Rojas Marín’s statements do not show that she was advised that she could contact someone. Taking into account that it corresponded to the State to prove that, in this case, it had complied with the legal obligation to notify Ms. Rojas Marín of her right to contact a family member or friend, the Court considers that it failed to comply with this obligation.</w:t>
      </w:r>
    </w:p>
    <w:p w14:paraId="01CBA966" w14:textId="0C1A2FE6" w:rsidR="00A87050" w:rsidRPr="00300A27" w:rsidRDefault="00A874A2" w:rsidP="00B243B6">
      <w:pPr>
        <w:pStyle w:val="PrrafodeSentencia"/>
        <w:numPr>
          <w:ilvl w:val="0"/>
          <w:numId w:val="3"/>
        </w:numPr>
        <w:spacing w:before="120" w:after="120"/>
        <w:ind w:left="0" w:firstLine="0"/>
        <w:rPr>
          <w:spacing w:val="0"/>
          <w:lang w:val="en-US"/>
        </w:rPr>
      </w:pPr>
      <w:r w:rsidRPr="00300A27">
        <w:rPr>
          <w:spacing w:val="0"/>
          <w:lang w:val="en-US"/>
        </w:rPr>
        <w:t xml:space="preserve">Based on the foregoing, the Court find that the deprivation of liberty of Ms. Rojas Marín did not comply with the requirements established in its own domestic law, so that it constituted a violation of </w:t>
      </w:r>
      <w:r w:rsidR="00901050" w:rsidRPr="00300A27">
        <w:rPr>
          <w:spacing w:val="0"/>
          <w:lang w:val="en-US"/>
        </w:rPr>
        <w:t>Article</w:t>
      </w:r>
      <w:r w:rsidR="00CA38A9" w:rsidRPr="00300A27">
        <w:rPr>
          <w:spacing w:val="0"/>
          <w:lang w:val="en-US"/>
        </w:rPr>
        <w:t xml:space="preserve"> </w:t>
      </w:r>
      <w:r w:rsidR="00BA3C7F" w:rsidRPr="00300A27">
        <w:rPr>
          <w:spacing w:val="0"/>
          <w:lang w:val="en-US"/>
        </w:rPr>
        <w:t>7(2)</w:t>
      </w:r>
      <w:r w:rsidR="005B1C65" w:rsidRPr="00300A27">
        <w:rPr>
          <w:spacing w:val="0"/>
          <w:lang w:val="en-US"/>
        </w:rPr>
        <w:t xml:space="preserve"> of the Convention</w:t>
      </w:r>
      <w:r w:rsidR="007445F3" w:rsidRPr="00300A27">
        <w:rPr>
          <w:spacing w:val="0"/>
          <w:lang w:val="en-US"/>
        </w:rPr>
        <w:t xml:space="preserve">, </w:t>
      </w:r>
      <w:r w:rsidR="00BA3C7F" w:rsidRPr="00300A27">
        <w:rPr>
          <w:spacing w:val="0"/>
          <w:lang w:val="en-US"/>
        </w:rPr>
        <w:t>to the detriment of</w:t>
      </w:r>
      <w:r w:rsidR="007445F3" w:rsidRPr="00300A27">
        <w:rPr>
          <w:spacing w:val="0"/>
          <w:lang w:val="en-US"/>
        </w:rPr>
        <w:t xml:space="preserve"> Azul Rojas Marín.</w:t>
      </w:r>
    </w:p>
    <w:p w14:paraId="59776731" w14:textId="4E06CF09" w:rsidR="00A87050" w:rsidRPr="00300A27" w:rsidRDefault="00A874A2" w:rsidP="00B243B6">
      <w:pPr>
        <w:pStyle w:val="Prrafodelista"/>
        <w:numPr>
          <w:ilvl w:val="0"/>
          <w:numId w:val="3"/>
        </w:numPr>
        <w:tabs>
          <w:tab w:val="left" w:pos="567"/>
        </w:tabs>
        <w:spacing w:before="120" w:after="120"/>
        <w:ind w:left="0" w:firstLine="0"/>
        <w:contextualSpacing w:val="0"/>
        <w:jc w:val="both"/>
        <w:rPr>
          <w:lang w:eastAsia="es-MX"/>
        </w:rPr>
      </w:pPr>
      <w:r w:rsidRPr="00300A27">
        <w:rPr>
          <w:lang w:eastAsia="es-MX"/>
        </w:rPr>
        <w:t>In addition</w:t>
      </w:r>
      <w:r w:rsidR="00A87050" w:rsidRPr="00300A27">
        <w:rPr>
          <w:lang w:eastAsia="es-MX"/>
        </w:rPr>
        <w:t xml:space="preserve">, </w:t>
      </w:r>
      <w:r w:rsidR="005B1C65" w:rsidRPr="00300A27">
        <w:rPr>
          <w:lang w:eastAsia="es-MX"/>
        </w:rPr>
        <w:t>th</w:t>
      </w:r>
      <w:r w:rsidRPr="00300A27">
        <w:rPr>
          <w:lang w:eastAsia="es-MX"/>
        </w:rPr>
        <w:t>e</w:t>
      </w:r>
      <w:r w:rsidR="005B1C65" w:rsidRPr="00300A27">
        <w:rPr>
          <w:lang w:eastAsia="es-MX"/>
        </w:rPr>
        <w:t xml:space="preserve"> Court</w:t>
      </w:r>
      <w:r w:rsidR="00A87050" w:rsidRPr="00300A27">
        <w:rPr>
          <w:lang w:eastAsia="es-MX"/>
        </w:rPr>
        <w:t xml:space="preserve"> </w:t>
      </w:r>
      <w:r w:rsidRPr="00300A27">
        <w:rPr>
          <w:lang w:eastAsia="es-MX"/>
        </w:rPr>
        <w:t xml:space="preserve">notes that, since there was no reason to take </w:t>
      </w:r>
      <w:r w:rsidR="00834A1B" w:rsidRPr="00300A27">
        <w:rPr>
          <w:lang w:eastAsia="es-MX"/>
        </w:rPr>
        <w:t>the presumed victim</w:t>
      </w:r>
      <w:r w:rsidR="00A87050" w:rsidRPr="00300A27">
        <w:rPr>
          <w:lang w:eastAsia="es-MX"/>
        </w:rPr>
        <w:t xml:space="preserve"> </w:t>
      </w:r>
      <w:r w:rsidRPr="00300A27">
        <w:rPr>
          <w:lang w:eastAsia="es-MX"/>
        </w:rPr>
        <w:t xml:space="preserve">to the police station, it does not find it necessary to analyze the alleged violation </w:t>
      </w:r>
      <w:r w:rsidR="007071F6" w:rsidRPr="00300A27">
        <w:rPr>
          <w:lang w:eastAsia="es-MX"/>
        </w:rPr>
        <w:t>of Article</w:t>
      </w:r>
      <w:r w:rsidR="00A87050" w:rsidRPr="00300A27">
        <w:rPr>
          <w:lang w:eastAsia="es-MX"/>
        </w:rPr>
        <w:t xml:space="preserve"> 7</w:t>
      </w:r>
      <w:r w:rsidRPr="00300A27">
        <w:rPr>
          <w:lang w:eastAsia="es-MX"/>
        </w:rPr>
        <w:t>(</w:t>
      </w:r>
      <w:r w:rsidR="00A87050" w:rsidRPr="00300A27">
        <w:rPr>
          <w:lang w:eastAsia="es-MX"/>
        </w:rPr>
        <w:t>5</w:t>
      </w:r>
      <w:r w:rsidRPr="00300A27">
        <w:rPr>
          <w:lang w:eastAsia="es-MX"/>
        </w:rPr>
        <w:t>)</w:t>
      </w:r>
      <w:r w:rsidR="005B1C65" w:rsidRPr="00300A27">
        <w:rPr>
          <w:lang w:eastAsia="es-MX"/>
        </w:rPr>
        <w:t xml:space="preserve"> of the Convention</w:t>
      </w:r>
      <w:r w:rsidR="00A87050" w:rsidRPr="00300A27">
        <w:rPr>
          <w:lang w:eastAsia="es-MX"/>
        </w:rPr>
        <w:t>.</w:t>
      </w:r>
    </w:p>
    <w:p w14:paraId="6C83108B" w14:textId="0DDC000E" w:rsidR="00CA38A9" w:rsidRPr="00300A27" w:rsidRDefault="00CA38A9" w:rsidP="00B243B6">
      <w:pPr>
        <w:pStyle w:val="Ttulo3"/>
        <w:ind w:left="1701" w:hanging="567"/>
        <w:rPr>
          <w:lang w:val="en-US"/>
        </w:rPr>
      </w:pPr>
      <w:bookmarkStart w:id="96" w:name="_Toc36823481"/>
      <w:bookmarkStart w:id="97" w:name="_Toc32394161"/>
      <w:r w:rsidRPr="00300A27">
        <w:rPr>
          <w:lang w:val="en-US"/>
        </w:rPr>
        <w:t>B.</w:t>
      </w:r>
      <w:r w:rsidR="00892612" w:rsidRPr="00300A27">
        <w:rPr>
          <w:lang w:val="en-US"/>
        </w:rPr>
        <w:t>3</w:t>
      </w:r>
      <w:r w:rsidRPr="00300A27">
        <w:rPr>
          <w:lang w:val="en-US"/>
        </w:rPr>
        <w:t xml:space="preserve"> </w:t>
      </w:r>
      <w:r w:rsidR="00177396" w:rsidRPr="00300A27">
        <w:rPr>
          <w:lang w:val="en-US"/>
        </w:rPr>
        <w:tab/>
      </w:r>
      <w:r w:rsidR="002959DE" w:rsidRPr="00300A27">
        <w:rPr>
          <w:lang w:val="en-US"/>
        </w:rPr>
        <w:t>Arbitrary nature of the detention</w:t>
      </w:r>
      <w:bookmarkEnd w:id="96"/>
      <w:r w:rsidRPr="00300A27">
        <w:rPr>
          <w:lang w:val="en-US"/>
        </w:rPr>
        <w:t xml:space="preserve"> </w:t>
      </w:r>
      <w:bookmarkEnd w:id="97"/>
    </w:p>
    <w:p w14:paraId="7B1E92B6" w14:textId="56989E14" w:rsidR="00CA38A9" w:rsidRPr="00300A27" w:rsidRDefault="006D7A56" w:rsidP="00B243B6">
      <w:pPr>
        <w:pStyle w:val="PrrafodeSentencia"/>
        <w:numPr>
          <w:ilvl w:val="0"/>
          <w:numId w:val="3"/>
        </w:numPr>
        <w:spacing w:before="120" w:after="120"/>
        <w:ind w:left="0" w:firstLine="0"/>
        <w:rPr>
          <w:spacing w:val="0"/>
          <w:lang w:val="en-US"/>
        </w:rPr>
      </w:pPr>
      <w:r w:rsidRPr="00300A27">
        <w:rPr>
          <w:spacing w:val="0"/>
          <w:lang w:val="en-US"/>
        </w:rPr>
        <w:t xml:space="preserve">Even though </w:t>
      </w:r>
      <w:r w:rsidR="005B1C65" w:rsidRPr="00300A27">
        <w:rPr>
          <w:spacing w:val="0"/>
          <w:lang w:val="en-US"/>
        </w:rPr>
        <w:t>the Court</w:t>
      </w:r>
      <w:r w:rsidR="00CA38A9" w:rsidRPr="00300A27">
        <w:rPr>
          <w:spacing w:val="0"/>
          <w:lang w:val="en-US"/>
        </w:rPr>
        <w:t xml:space="preserve"> </w:t>
      </w:r>
      <w:r w:rsidRPr="00300A27">
        <w:rPr>
          <w:spacing w:val="0"/>
          <w:lang w:val="en-US"/>
        </w:rPr>
        <w:t>has already considered that the</w:t>
      </w:r>
      <w:r w:rsidR="00CA38A9" w:rsidRPr="00300A27">
        <w:rPr>
          <w:spacing w:val="0"/>
          <w:lang w:val="en-US"/>
        </w:rPr>
        <w:t xml:space="preserve"> </w:t>
      </w:r>
      <w:r w:rsidR="0013737E" w:rsidRPr="00300A27">
        <w:rPr>
          <w:spacing w:val="0"/>
          <w:lang w:val="en-US"/>
        </w:rPr>
        <w:t>deprivation of liberty</w:t>
      </w:r>
      <w:r w:rsidR="00CA38A9" w:rsidRPr="00300A27">
        <w:rPr>
          <w:spacing w:val="0"/>
          <w:lang w:val="en-US"/>
        </w:rPr>
        <w:t xml:space="preserve"> </w:t>
      </w:r>
      <w:r w:rsidR="0013737E" w:rsidRPr="00300A27">
        <w:rPr>
          <w:spacing w:val="0"/>
          <w:lang w:val="en-US"/>
        </w:rPr>
        <w:t>of</w:t>
      </w:r>
      <w:r w:rsidR="00CA38A9" w:rsidRPr="00300A27">
        <w:rPr>
          <w:spacing w:val="0"/>
          <w:lang w:val="en-US"/>
        </w:rPr>
        <w:t xml:space="preserve"> </w:t>
      </w:r>
      <w:r w:rsidR="008546E9" w:rsidRPr="00300A27">
        <w:rPr>
          <w:spacing w:val="0"/>
          <w:lang w:val="en-US"/>
        </w:rPr>
        <w:t>Ms. Rojas</w:t>
      </w:r>
      <w:r w:rsidR="00CA38A9" w:rsidRPr="00300A27">
        <w:rPr>
          <w:spacing w:val="0"/>
          <w:lang w:val="en-US"/>
        </w:rPr>
        <w:t xml:space="preserve"> Marín </w:t>
      </w:r>
      <w:r w:rsidR="0013737E" w:rsidRPr="00300A27">
        <w:rPr>
          <w:spacing w:val="0"/>
          <w:lang w:val="en-US"/>
        </w:rPr>
        <w:t>was unlawful, in this case it considers it necessary to examine its alleged</w:t>
      </w:r>
      <w:r w:rsidR="007749CE" w:rsidRPr="00300A27">
        <w:rPr>
          <w:spacing w:val="0"/>
          <w:lang w:val="en-US"/>
        </w:rPr>
        <w:t>ly</w:t>
      </w:r>
      <w:r w:rsidR="0013737E" w:rsidRPr="00300A27">
        <w:rPr>
          <w:spacing w:val="0"/>
          <w:lang w:val="en-US"/>
        </w:rPr>
        <w:t xml:space="preserve"> arbitrary nature.</w:t>
      </w:r>
    </w:p>
    <w:p w14:paraId="3B2ED225" w14:textId="55EFF0F0" w:rsidR="005F4566" w:rsidRPr="00300A27" w:rsidRDefault="005B1C65" w:rsidP="00B243B6">
      <w:pPr>
        <w:pStyle w:val="PrrafodeSentencia"/>
        <w:numPr>
          <w:ilvl w:val="0"/>
          <w:numId w:val="3"/>
        </w:numPr>
        <w:spacing w:before="120" w:after="120"/>
        <w:ind w:left="0" w:firstLine="0"/>
        <w:rPr>
          <w:rFonts w:cs="Arial"/>
          <w:spacing w:val="0"/>
          <w:szCs w:val="20"/>
          <w:lang w:val="en-US"/>
        </w:rPr>
      </w:pPr>
      <w:r w:rsidRPr="00300A27">
        <w:rPr>
          <w:rFonts w:cs="Arial"/>
          <w:spacing w:val="0"/>
          <w:lang w:val="en-US"/>
        </w:rPr>
        <w:t>The State</w:t>
      </w:r>
      <w:r w:rsidR="005F4566" w:rsidRPr="00300A27">
        <w:rPr>
          <w:rFonts w:cs="Arial"/>
          <w:spacing w:val="0"/>
          <w:lang w:val="en-US"/>
        </w:rPr>
        <w:t xml:space="preserve"> a</w:t>
      </w:r>
      <w:r w:rsidR="0013737E" w:rsidRPr="00300A27">
        <w:rPr>
          <w:rFonts w:cs="Arial"/>
          <w:spacing w:val="0"/>
          <w:lang w:val="en-US"/>
        </w:rPr>
        <w:t xml:space="preserve">rgued that </w:t>
      </w:r>
      <w:r w:rsidR="008546E9" w:rsidRPr="00300A27">
        <w:rPr>
          <w:rFonts w:cs="Arial"/>
          <w:spacing w:val="0"/>
          <w:lang w:val="en-US"/>
        </w:rPr>
        <w:t>Ms. Rojas</w:t>
      </w:r>
      <w:r w:rsidR="005F4566" w:rsidRPr="00300A27">
        <w:rPr>
          <w:rFonts w:cs="Arial"/>
          <w:spacing w:val="0"/>
          <w:lang w:val="en-US"/>
        </w:rPr>
        <w:t xml:space="preserve"> Marín </w:t>
      </w:r>
      <w:r w:rsidR="0013737E" w:rsidRPr="00300A27">
        <w:rPr>
          <w:rFonts w:cs="Arial"/>
          <w:spacing w:val="0"/>
          <w:lang w:val="en-US"/>
        </w:rPr>
        <w:t>was detained for identification purposes and, according to the p</w:t>
      </w:r>
      <w:r w:rsidR="00C81CB0" w:rsidRPr="00300A27">
        <w:rPr>
          <w:rFonts w:cs="Arial"/>
          <w:spacing w:val="0"/>
          <w:lang w:val="en-US"/>
        </w:rPr>
        <w:t>olice report</w:t>
      </w:r>
      <w:r w:rsidR="007445F3" w:rsidRPr="00300A27">
        <w:rPr>
          <w:rFonts w:cs="Arial"/>
          <w:spacing w:val="0"/>
          <w:lang w:val="en-US"/>
        </w:rPr>
        <w:t>,</w:t>
      </w:r>
      <w:r w:rsidR="005F4948" w:rsidRPr="00300A27">
        <w:rPr>
          <w:rFonts w:cs="Arial"/>
          <w:spacing w:val="0"/>
          <w:lang w:val="en-US"/>
        </w:rPr>
        <w:t xml:space="preserve"> </w:t>
      </w:r>
      <w:r w:rsidR="0013737E" w:rsidRPr="00300A27">
        <w:rPr>
          <w:rFonts w:cs="Arial"/>
          <w:spacing w:val="0"/>
          <w:lang w:val="en-US"/>
        </w:rPr>
        <w:t xml:space="preserve">she was taken to the police station because she was </w:t>
      </w:r>
      <w:r w:rsidR="0013737E" w:rsidRPr="00300A27">
        <w:rPr>
          <w:spacing w:val="0"/>
          <w:lang w:val="en-US"/>
        </w:rPr>
        <w:t xml:space="preserve">“undocumented, in suspicious circumstances, and in a place frequented by </w:t>
      </w:r>
      <w:r w:rsidR="00E15CD6" w:rsidRPr="00300A27">
        <w:rPr>
          <w:spacing w:val="0"/>
          <w:lang w:val="en-US"/>
        </w:rPr>
        <w:t>miscreants</w:t>
      </w:r>
      <w:r w:rsidR="0013737E" w:rsidRPr="00300A27">
        <w:rPr>
          <w:spacing w:val="0"/>
          <w:lang w:val="en-US"/>
        </w:rPr>
        <w:t>.”</w:t>
      </w:r>
      <w:r w:rsidR="005F4948" w:rsidRPr="00300A27">
        <w:rPr>
          <w:rFonts w:cs="Arial"/>
          <w:spacing w:val="0"/>
          <w:lang w:val="en-US"/>
        </w:rPr>
        <w:t xml:space="preserve"> </w:t>
      </w:r>
      <w:r w:rsidRPr="00300A27">
        <w:rPr>
          <w:rFonts w:cs="Arial"/>
          <w:spacing w:val="0"/>
          <w:lang w:val="en-US"/>
        </w:rPr>
        <w:t>The Court</w:t>
      </w:r>
      <w:r w:rsidR="005F4566" w:rsidRPr="00300A27">
        <w:rPr>
          <w:rFonts w:cs="Arial"/>
          <w:spacing w:val="0"/>
          <w:szCs w:val="20"/>
          <w:lang w:val="en-US"/>
        </w:rPr>
        <w:t xml:space="preserve"> </w:t>
      </w:r>
      <w:r w:rsidR="0013737E" w:rsidRPr="00300A27">
        <w:rPr>
          <w:rFonts w:cs="Arial"/>
          <w:spacing w:val="0"/>
          <w:szCs w:val="20"/>
          <w:lang w:val="en-US"/>
        </w:rPr>
        <w:t xml:space="preserve">has already determined that, during the </w:t>
      </w:r>
      <w:r w:rsidR="00D63E1A" w:rsidRPr="00300A27">
        <w:rPr>
          <w:rFonts w:cs="Arial"/>
          <w:spacing w:val="0"/>
          <w:szCs w:val="20"/>
          <w:lang w:val="en-US"/>
        </w:rPr>
        <w:t>identity check</w:t>
      </w:r>
      <w:r w:rsidR="008546E9" w:rsidRPr="00300A27">
        <w:rPr>
          <w:rFonts w:cs="Arial"/>
          <w:spacing w:val="0"/>
          <w:szCs w:val="20"/>
          <w:lang w:val="en-US"/>
        </w:rPr>
        <w:t xml:space="preserve"> of the </w:t>
      </w:r>
      <w:r w:rsidR="00834A1B" w:rsidRPr="00300A27">
        <w:rPr>
          <w:rFonts w:cs="Arial"/>
          <w:spacing w:val="0"/>
          <w:szCs w:val="20"/>
          <w:lang w:val="en-US"/>
        </w:rPr>
        <w:t>presumed victim</w:t>
      </w:r>
      <w:r w:rsidR="0013737E" w:rsidRPr="00300A27">
        <w:rPr>
          <w:rFonts w:cs="Arial"/>
          <w:spacing w:val="0"/>
          <w:szCs w:val="20"/>
          <w:lang w:val="en-US"/>
        </w:rPr>
        <w:t xml:space="preserve">, the legal requirements were not met as regards the possible relationship of the person concerned to an offense. In addition, </w:t>
      </w:r>
      <w:r w:rsidR="007749CE" w:rsidRPr="00300A27">
        <w:rPr>
          <w:spacing w:val="0"/>
          <w:szCs w:val="20"/>
          <w:lang w:val="en-US"/>
        </w:rPr>
        <w:t xml:space="preserve">at the time of the events, </w:t>
      </w:r>
      <w:r w:rsidR="0013737E" w:rsidRPr="00300A27">
        <w:rPr>
          <w:rFonts w:cs="Arial"/>
          <w:spacing w:val="0"/>
          <w:szCs w:val="20"/>
          <w:lang w:val="en-US"/>
        </w:rPr>
        <w:t xml:space="preserve">one of the </w:t>
      </w:r>
      <w:r w:rsidR="0013737E" w:rsidRPr="00300A27">
        <w:rPr>
          <w:rFonts w:cs="Arial"/>
          <w:i/>
          <w:iCs/>
          <w:spacing w:val="0"/>
          <w:szCs w:val="20"/>
          <w:lang w:val="en-US"/>
        </w:rPr>
        <w:t>serenazgo</w:t>
      </w:r>
      <w:r w:rsidR="0013737E" w:rsidRPr="00300A27">
        <w:rPr>
          <w:rFonts w:cs="Arial"/>
          <w:spacing w:val="0"/>
          <w:szCs w:val="20"/>
          <w:lang w:val="en-US"/>
        </w:rPr>
        <w:t xml:space="preserve"> agents nicknamed </w:t>
      </w:r>
      <w:r w:rsidR="005F4566" w:rsidRPr="00300A27">
        <w:rPr>
          <w:i/>
          <w:iCs/>
          <w:spacing w:val="0"/>
          <w:szCs w:val="20"/>
          <w:lang w:val="en-US"/>
        </w:rPr>
        <w:t xml:space="preserve">Chimbotano </w:t>
      </w:r>
      <w:r w:rsidR="0013737E" w:rsidRPr="00300A27">
        <w:rPr>
          <w:spacing w:val="0"/>
          <w:szCs w:val="20"/>
          <w:lang w:val="en-US"/>
        </w:rPr>
        <w:t xml:space="preserve">knew </w:t>
      </w:r>
      <w:r w:rsidR="00834A1B" w:rsidRPr="00300A27">
        <w:rPr>
          <w:spacing w:val="0"/>
          <w:szCs w:val="20"/>
          <w:lang w:val="en-US"/>
        </w:rPr>
        <w:t>the presumed victim</w:t>
      </w:r>
      <w:r w:rsidR="000428AA" w:rsidRPr="00300A27">
        <w:rPr>
          <w:spacing w:val="0"/>
          <w:szCs w:val="20"/>
          <w:lang w:val="en-US"/>
        </w:rPr>
        <w:t>.</w:t>
      </w:r>
      <w:r w:rsidR="005F4566" w:rsidRPr="00300A27">
        <w:rPr>
          <w:rStyle w:val="Refdenotaalpie"/>
          <w:rFonts w:eastAsia="Times New Roman"/>
          <w:spacing w:val="0"/>
          <w:szCs w:val="20"/>
          <w:lang w:val="en-US"/>
        </w:rPr>
        <w:footnoteReference w:id="159"/>
      </w:r>
      <w:r w:rsidR="000428AA" w:rsidRPr="00300A27">
        <w:rPr>
          <w:spacing w:val="0"/>
          <w:szCs w:val="20"/>
          <w:lang w:val="en-US"/>
        </w:rPr>
        <w:t xml:space="preserve"> Therefore, it has not been proved that the</w:t>
      </w:r>
      <w:r w:rsidR="005F4566" w:rsidRPr="00300A27">
        <w:rPr>
          <w:spacing w:val="0"/>
          <w:szCs w:val="20"/>
          <w:lang w:val="en-US"/>
        </w:rPr>
        <w:t xml:space="preserve"> </w:t>
      </w:r>
      <w:r w:rsidR="00D63E1A" w:rsidRPr="00300A27">
        <w:rPr>
          <w:spacing w:val="0"/>
          <w:szCs w:val="20"/>
          <w:lang w:val="en-US"/>
        </w:rPr>
        <w:t>identity check</w:t>
      </w:r>
      <w:r w:rsidR="005F4566" w:rsidRPr="00300A27">
        <w:rPr>
          <w:spacing w:val="0"/>
          <w:szCs w:val="20"/>
          <w:lang w:val="en-US"/>
        </w:rPr>
        <w:t xml:space="preserve"> </w:t>
      </w:r>
      <w:r w:rsidR="000428AA" w:rsidRPr="00300A27">
        <w:rPr>
          <w:spacing w:val="0"/>
          <w:szCs w:val="20"/>
          <w:lang w:val="en-US"/>
        </w:rPr>
        <w:t xml:space="preserve">and the resulting detention were necessary, or what the grounds were for the measures taken in the case of </w:t>
      </w:r>
      <w:r w:rsidR="00834A1B" w:rsidRPr="00300A27">
        <w:rPr>
          <w:rFonts w:cs="Arial"/>
          <w:spacing w:val="0"/>
          <w:szCs w:val="20"/>
          <w:lang w:val="en-US"/>
        </w:rPr>
        <w:t>the presumed victim</w:t>
      </w:r>
      <w:r w:rsidR="005F4566" w:rsidRPr="00300A27">
        <w:rPr>
          <w:rFonts w:cs="Arial"/>
          <w:spacing w:val="0"/>
          <w:szCs w:val="20"/>
          <w:lang w:val="en-US"/>
        </w:rPr>
        <w:t>.</w:t>
      </w:r>
    </w:p>
    <w:p w14:paraId="28B96432" w14:textId="5914CC87" w:rsidR="00CA38A9" w:rsidRPr="00300A27" w:rsidRDefault="000428AA" w:rsidP="00B243B6">
      <w:pPr>
        <w:pStyle w:val="PrrafodeSentencia"/>
        <w:numPr>
          <w:ilvl w:val="0"/>
          <w:numId w:val="3"/>
        </w:numPr>
        <w:spacing w:before="120" w:after="120"/>
        <w:ind w:left="0" w:firstLine="0"/>
        <w:rPr>
          <w:spacing w:val="0"/>
          <w:szCs w:val="20"/>
          <w:lang w:val="en-US"/>
        </w:rPr>
      </w:pPr>
      <w:r w:rsidRPr="00300A27">
        <w:rPr>
          <w:rFonts w:cs="Arial"/>
          <w:spacing w:val="0"/>
          <w:szCs w:val="20"/>
          <w:lang w:val="en-US"/>
        </w:rPr>
        <w:t xml:space="preserve">Furthermore, twenty minutes before the presumed victim was detained, a police vehicle </w:t>
      </w:r>
      <w:r w:rsidRPr="00300A27">
        <w:rPr>
          <w:spacing w:val="0"/>
          <w:szCs w:val="20"/>
          <w:lang w:val="en-US"/>
        </w:rPr>
        <w:t>approached her and the agents said: “</w:t>
      </w:r>
      <w:r w:rsidRPr="00300A27">
        <w:rPr>
          <w:i/>
          <w:iCs/>
          <w:spacing w:val="0"/>
          <w:szCs w:val="20"/>
          <w:lang w:val="en-US"/>
        </w:rPr>
        <w:t>Luchito</w:t>
      </w:r>
      <w:r w:rsidRPr="00300A27">
        <w:rPr>
          <w:spacing w:val="0"/>
          <w:szCs w:val="20"/>
          <w:lang w:val="en-US"/>
        </w:rPr>
        <w:t xml:space="preserve">, where are you going?” and [Ms. Rojas Marín] answered that [she was on her way] home […], </w:t>
      </w:r>
      <w:r w:rsidR="00FF4981" w:rsidRPr="00300A27">
        <w:rPr>
          <w:spacing w:val="0"/>
          <w:szCs w:val="20"/>
          <w:lang w:val="en-US"/>
        </w:rPr>
        <w:t xml:space="preserve">so </w:t>
      </w:r>
      <w:r w:rsidRPr="00300A27">
        <w:rPr>
          <w:spacing w:val="0"/>
          <w:szCs w:val="20"/>
          <w:lang w:val="en-US"/>
        </w:rPr>
        <w:t xml:space="preserve">the </w:t>
      </w:r>
      <w:r w:rsidRPr="00300A27">
        <w:rPr>
          <w:i/>
          <w:iCs/>
          <w:spacing w:val="0"/>
          <w:szCs w:val="20"/>
          <w:lang w:val="en-US"/>
        </w:rPr>
        <w:t>serenazgo</w:t>
      </w:r>
      <w:r w:rsidRPr="00300A27">
        <w:rPr>
          <w:spacing w:val="0"/>
          <w:szCs w:val="20"/>
          <w:lang w:val="en-US"/>
        </w:rPr>
        <w:t xml:space="preserve"> said: “So late! Be careful because it’s very late</w:t>
      </w:r>
      <w:r w:rsidRPr="00300A27">
        <w:rPr>
          <w:rFonts w:cs="Arial"/>
          <w:spacing w:val="0"/>
          <w:szCs w:val="20"/>
          <w:lang w:val="en-US"/>
        </w:rPr>
        <w:t>.</w:t>
      </w:r>
      <w:r w:rsidR="00CA38A9" w:rsidRPr="00300A27">
        <w:rPr>
          <w:spacing w:val="0"/>
          <w:szCs w:val="20"/>
          <w:lang w:val="en-US"/>
        </w:rPr>
        <w:t>”</w:t>
      </w:r>
      <w:r w:rsidR="00CA38A9" w:rsidRPr="00300A27">
        <w:rPr>
          <w:rStyle w:val="Refdenotaalpie"/>
          <w:rFonts w:eastAsia="Times New Roman"/>
          <w:spacing w:val="0"/>
          <w:szCs w:val="20"/>
          <w:lang w:val="en-US"/>
        </w:rPr>
        <w:footnoteReference w:id="160"/>
      </w:r>
      <w:r w:rsidR="00CA38A9" w:rsidRPr="00300A27">
        <w:rPr>
          <w:spacing w:val="0"/>
          <w:szCs w:val="20"/>
          <w:lang w:val="en-US"/>
        </w:rPr>
        <w:t xml:space="preserve"> </w:t>
      </w:r>
      <w:r w:rsidR="005B1C65" w:rsidRPr="00300A27">
        <w:rPr>
          <w:spacing w:val="0"/>
          <w:szCs w:val="20"/>
          <w:lang w:val="en-US"/>
        </w:rPr>
        <w:t>The Court</w:t>
      </w:r>
      <w:r w:rsidR="00CA38A9" w:rsidRPr="00300A27">
        <w:rPr>
          <w:spacing w:val="0"/>
          <w:szCs w:val="20"/>
          <w:lang w:val="en-US"/>
        </w:rPr>
        <w:t xml:space="preserve"> </w:t>
      </w:r>
      <w:r w:rsidRPr="00300A27">
        <w:rPr>
          <w:spacing w:val="0"/>
          <w:szCs w:val="20"/>
          <w:lang w:val="en-US"/>
        </w:rPr>
        <w:t xml:space="preserve">notes that it was entirely possible to interpret this comment as a possible threat and a demonstration of authority by the </w:t>
      </w:r>
      <w:r w:rsidR="00961E38" w:rsidRPr="00300A27">
        <w:rPr>
          <w:spacing w:val="0"/>
          <w:szCs w:val="20"/>
          <w:lang w:val="en-US"/>
        </w:rPr>
        <w:t>state agents</w:t>
      </w:r>
      <w:r w:rsidRPr="00300A27">
        <w:rPr>
          <w:spacing w:val="0"/>
          <w:szCs w:val="20"/>
          <w:lang w:val="en-US"/>
        </w:rPr>
        <w:t xml:space="preserve"> and it is probable that this is how the presumed victim interpreted it.</w:t>
      </w:r>
    </w:p>
    <w:p w14:paraId="6B459B5E" w14:textId="6D01525A" w:rsidR="00CA38A9" w:rsidRPr="00300A27" w:rsidRDefault="000428AA" w:rsidP="00B243B6">
      <w:pPr>
        <w:pStyle w:val="PrrafodeSentencia"/>
        <w:numPr>
          <w:ilvl w:val="0"/>
          <w:numId w:val="3"/>
        </w:numPr>
        <w:spacing w:before="120" w:after="120"/>
        <w:ind w:left="0" w:firstLine="0"/>
        <w:rPr>
          <w:spacing w:val="0"/>
          <w:sz w:val="18"/>
          <w:szCs w:val="18"/>
          <w:lang w:val="en-US"/>
        </w:rPr>
      </w:pPr>
      <w:r w:rsidRPr="00300A27">
        <w:rPr>
          <w:spacing w:val="0"/>
          <w:szCs w:val="20"/>
          <w:lang w:val="en-US"/>
        </w:rPr>
        <w:t xml:space="preserve">At the time of the detention, a police agent shouted out at her on three occasions, </w:t>
      </w:r>
      <w:r w:rsidR="00CA38A9" w:rsidRPr="00300A27">
        <w:rPr>
          <w:spacing w:val="0"/>
          <w:szCs w:val="20"/>
          <w:lang w:val="en-US"/>
        </w:rPr>
        <w:t>“</w:t>
      </w:r>
      <w:r w:rsidR="00CA38A9" w:rsidRPr="00300A27">
        <w:rPr>
          <w:i/>
          <w:iCs/>
          <w:spacing w:val="0"/>
          <w:szCs w:val="20"/>
          <w:lang w:val="en-US"/>
        </w:rPr>
        <w:t>cabro concha de tu madre</w:t>
      </w:r>
      <w:r w:rsidRPr="00300A27">
        <w:rPr>
          <w:spacing w:val="0"/>
          <w:szCs w:val="20"/>
          <w:lang w:val="en-US"/>
        </w:rPr>
        <w:t>.</w:t>
      </w:r>
      <w:r w:rsidR="00CA38A9" w:rsidRPr="00300A27">
        <w:rPr>
          <w:spacing w:val="0"/>
          <w:szCs w:val="20"/>
          <w:lang w:val="en-US"/>
        </w:rPr>
        <w:t>”</w:t>
      </w:r>
      <w:r w:rsidR="00CA38A9" w:rsidRPr="00300A27">
        <w:rPr>
          <w:rStyle w:val="Refdenotaalpie"/>
          <w:spacing w:val="0"/>
          <w:szCs w:val="20"/>
          <w:lang w:val="en-US"/>
        </w:rPr>
        <w:footnoteReference w:id="161"/>
      </w:r>
      <w:r w:rsidRPr="00300A27">
        <w:rPr>
          <w:spacing w:val="0"/>
          <w:szCs w:val="20"/>
          <w:lang w:val="en-US"/>
        </w:rPr>
        <w:t xml:space="preserve"> Also, while they were making her get into the police vehicle</w:t>
      </w:r>
      <w:r w:rsidR="00CA38A9" w:rsidRPr="00300A27">
        <w:rPr>
          <w:spacing w:val="0"/>
          <w:szCs w:val="20"/>
          <w:lang w:val="en-US"/>
        </w:rPr>
        <w:t xml:space="preserve">, </w:t>
      </w:r>
      <w:r w:rsidR="008546E9" w:rsidRPr="00300A27">
        <w:rPr>
          <w:spacing w:val="0"/>
          <w:szCs w:val="20"/>
          <w:lang w:val="en-US"/>
        </w:rPr>
        <w:t>Ms. Rojas</w:t>
      </w:r>
      <w:r w:rsidR="00CA38A9" w:rsidRPr="00300A27">
        <w:rPr>
          <w:spacing w:val="0"/>
          <w:szCs w:val="20"/>
          <w:lang w:val="en-US"/>
        </w:rPr>
        <w:t xml:space="preserve"> Marín </w:t>
      </w:r>
      <w:r w:rsidRPr="00300A27">
        <w:rPr>
          <w:spacing w:val="0"/>
          <w:szCs w:val="20"/>
          <w:lang w:val="en-US"/>
        </w:rPr>
        <w:t xml:space="preserve">asked why she was being detained and the answered “get in, </w:t>
      </w:r>
      <w:r w:rsidR="00CA38A9" w:rsidRPr="00300A27">
        <w:rPr>
          <w:i/>
          <w:iCs/>
          <w:spacing w:val="0"/>
          <w:szCs w:val="20"/>
          <w:lang w:val="en-US"/>
        </w:rPr>
        <w:t>cabro concha de tu madre</w:t>
      </w:r>
      <w:r w:rsidRPr="00300A27">
        <w:rPr>
          <w:spacing w:val="0"/>
          <w:szCs w:val="20"/>
          <w:lang w:val="en-US"/>
        </w:rPr>
        <w:t>.</w:t>
      </w:r>
      <w:r w:rsidR="001364B1" w:rsidRPr="00300A27">
        <w:rPr>
          <w:spacing w:val="0"/>
          <w:szCs w:val="20"/>
          <w:lang w:val="en-US"/>
        </w:rPr>
        <w:t>”</w:t>
      </w:r>
      <w:r w:rsidR="00CA38A9" w:rsidRPr="00300A27">
        <w:rPr>
          <w:rStyle w:val="Refdenotaalpie"/>
          <w:rFonts w:eastAsia="Times New Roman"/>
          <w:spacing w:val="0"/>
          <w:szCs w:val="20"/>
          <w:lang w:val="en-US"/>
        </w:rPr>
        <w:footnoteReference w:id="162"/>
      </w:r>
      <w:r w:rsidRPr="00300A27">
        <w:rPr>
          <w:spacing w:val="0"/>
          <w:szCs w:val="20"/>
          <w:lang w:val="en-US"/>
        </w:rPr>
        <w:t xml:space="preserve"> This type of insult and the derogatory terms that clearly referred to her sexual orientation or non-normative gender expression continued while she was detained</w:t>
      </w:r>
      <w:r w:rsidR="00CA38A9" w:rsidRPr="00300A27">
        <w:rPr>
          <w:spacing w:val="0"/>
          <w:szCs w:val="20"/>
          <w:lang w:val="en-US"/>
        </w:rPr>
        <w:t xml:space="preserve"> (</w:t>
      </w:r>
      <w:r w:rsidR="00BC0C9D" w:rsidRPr="00300A27">
        <w:rPr>
          <w:i/>
          <w:spacing w:val="0"/>
          <w:szCs w:val="20"/>
          <w:lang w:val="en-US"/>
        </w:rPr>
        <w:t>infra</w:t>
      </w:r>
      <w:r w:rsidR="00CA38A9" w:rsidRPr="00300A27">
        <w:rPr>
          <w:i/>
          <w:spacing w:val="0"/>
          <w:szCs w:val="20"/>
          <w:lang w:val="en-US"/>
        </w:rPr>
        <w:t xml:space="preserve"> </w:t>
      </w:r>
      <w:r w:rsidR="00910D8E" w:rsidRPr="00300A27">
        <w:rPr>
          <w:spacing w:val="0"/>
          <w:szCs w:val="20"/>
          <w:lang w:val="en-US"/>
        </w:rPr>
        <w:t>para.</w:t>
      </w:r>
      <w:r w:rsidR="00CA38A9" w:rsidRPr="00300A27">
        <w:rPr>
          <w:spacing w:val="0"/>
          <w:szCs w:val="20"/>
          <w:lang w:val="en-US"/>
        </w:rPr>
        <w:t xml:space="preserve"> </w:t>
      </w:r>
      <w:r w:rsidR="00403AE6" w:rsidRPr="00300A27">
        <w:rPr>
          <w:spacing w:val="0"/>
          <w:szCs w:val="20"/>
          <w:lang w:val="en-US"/>
        </w:rPr>
        <w:fldChar w:fldCharType="begin"/>
      </w:r>
      <w:r w:rsidR="00403AE6" w:rsidRPr="00300A27">
        <w:rPr>
          <w:spacing w:val="0"/>
          <w:szCs w:val="20"/>
          <w:lang w:val="en-US"/>
        </w:rPr>
        <w:instrText xml:space="preserve"> REF _Ref36022945 \r \h </w:instrText>
      </w:r>
      <w:r w:rsidR="00B243B6" w:rsidRPr="00300A27">
        <w:rPr>
          <w:spacing w:val="0"/>
          <w:szCs w:val="20"/>
          <w:lang w:val="en-US"/>
        </w:rPr>
        <w:instrText xml:space="preserve"> \* MERGEFORMAT </w:instrText>
      </w:r>
      <w:r w:rsidR="00403AE6" w:rsidRPr="00300A27">
        <w:rPr>
          <w:spacing w:val="0"/>
          <w:szCs w:val="20"/>
          <w:lang w:val="en-US"/>
        </w:rPr>
      </w:r>
      <w:r w:rsidR="00403AE6" w:rsidRPr="00300A27">
        <w:rPr>
          <w:spacing w:val="0"/>
          <w:szCs w:val="20"/>
          <w:lang w:val="en-US"/>
        </w:rPr>
        <w:fldChar w:fldCharType="separate"/>
      </w:r>
      <w:r w:rsidR="00632F77" w:rsidRPr="00300A27">
        <w:rPr>
          <w:spacing w:val="0"/>
          <w:szCs w:val="20"/>
          <w:lang w:val="en-US"/>
        </w:rPr>
        <w:t>157</w:t>
      </w:r>
      <w:r w:rsidR="00403AE6" w:rsidRPr="00300A27">
        <w:rPr>
          <w:spacing w:val="0"/>
          <w:szCs w:val="20"/>
          <w:lang w:val="en-US"/>
        </w:rPr>
        <w:fldChar w:fldCharType="end"/>
      </w:r>
      <w:r w:rsidR="00CA38A9" w:rsidRPr="00300A27">
        <w:rPr>
          <w:spacing w:val="0"/>
          <w:szCs w:val="20"/>
          <w:lang w:val="en-US"/>
        </w:rPr>
        <w:t>)</w:t>
      </w:r>
      <w:r w:rsidRPr="00300A27">
        <w:rPr>
          <w:spacing w:val="0"/>
          <w:szCs w:val="20"/>
          <w:lang w:val="en-US"/>
        </w:rPr>
        <w:t>.</w:t>
      </w:r>
      <w:r w:rsidR="00F86663" w:rsidRPr="00300A27">
        <w:rPr>
          <w:rStyle w:val="Refdenotaalpie"/>
          <w:spacing w:val="0"/>
          <w:szCs w:val="20"/>
          <w:lang w:val="en-US"/>
        </w:rPr>
        <w:footnoteReference w:id="163"/>
      </w:r>
      <w:r w:rsidR="00CA38A9" w:rsidRPr="00300A27">
        <w:rPr>
          <w:spacing w:val="0"/>
          <w:szCs w:val="20"/>
          <w:lang w:val="en-US"/>
        </w:rPr>
        <w:t xml:space="preserve"> </w:t>
      </w:r>
    </w:p>
    <w:p w14:paraId="5A4F2014" w14:textId="59F1F794" w:rsidR="004B054C" w:rsidRPr="00300A27" w:rsidRDefault="000428AA" w:rsidP="00B243B6">
      <w:pPr>
        <w:pStyle w:val="PrrafodeSentencia"/>
        <w:numPr>
          <w:ilvl w:val="0"/>
          <w:numId w:val="3"/>
        </w:numPr>
        <w:spacing w:before="120" w:after="120"/>
        <w:ind w:left="0" w:firstLine="0"/>
        <w:rPr>
          <w:spacing w:val="0"/>
          <w:szCs w:val="20"/>
          <w:lang w:val="en-US"/>
        </w:rPr>
      </w:pPr>
      <w:r w:rsidRPr="00300A27">
        <w:rPr>
          <w:spacing w:val="0"/>
          <w:szCs w:val="20"/>
          <w:lang w:val="en-US"/>
        </w:rPr>
        <w:t>T</w:t>
      </w:r>
      <w:r w:rsidRPr="00300A27">
        <w:rPr>
          <w:lang w:val="en-US"/>
        </w:rPr>
        <w:t>he Working Group on Arbitrary Detention</w:t>
      </w:r>
      <w:r w:rsidRPr="00300A27">
        <w:rPr>
          <w:spacing w:val="0"/>
          <w:szCs w:val="20"/>
          <w:lang w:val="en-US"/>
        </w:rPr>
        <w:t xml:space="preserve"> has </w:t>
      </w:r>
      <w:r w:rsidR="00EA1DE8" w:rsidRPr="00300A27">
        <w:rPr>
          <w:spacing w:val="0"/>
          <w:szCs w:val="20"/>
          <w:lang w:val="en-US"/>
        </w:rPr>
        <w:t>indicated that deprivation of liberty is for discriminatory reasons “when it is apparent that persons have been deprived of their liberty specifically on the basis of their own or perceived distinguishing characteristics or because of their real or suspected membership of a distinct (and often minority) group.” The Working Group considered that one of the factors to take into account to determine the existence of discriminatory grounds was whether “the authorities have made statements to, or conducted themselves towards, the detained person in a manner that indicates a discriminatory attitude.</w:t>
      </w:r>
      <w:r w:rsidR="00CA38A9" w:rsidRPr="00300A27">
        <w:rPr>
          <w:spacing w:val="0"/>
          <w:szCs w:val="20"/>
          <w:lang w:val="en-US"/>
        </w:rPr>
        <w:t>”</w:t>
      </w:r>
      <w:r w:rsidR="00CA38A9" w:rsidRPr="00300A27">
        <w:rPr>
          <w:rStyle w:val="Refdenotaalpie"/>
          <w:spacing w:val="0"/>
          <w:szCs w:val="20"/>
          <w:lang w:val="en-US"/>
        </w:rPr>
        <w:footnoteReference w:id="164"/>
      </w:r>
      <w:r w:rsidR="004B054C" w:rsidRPr="00300A27">
        <w:rPr>
          <w:spacing w:val="0"/>
          <w:szCs w:val="20"/>
          <w:lang w:val="en-US"/>
        </w:rPr>
        <w:t xml:space="preserve"> </w:t>
      </w:r>
      <w:r w:rsidR="00EA1DE8" w:rsidRPr="00300A27">
        <w:rPr>
          <w:spacing w:val="0"/>
          <w:szCs w:val="20"/>
          <w:lang w:val="en-US"/>
        </w:rPr>
        <w:t>In addition, expert witness</w:t>
      </w:r>
      <w:r w:rsidR="004B054C" w:rsidRPr="00300A27">
        <w:rPr>
          <w:spacing w:val="0"/>
          <w:szCs w:val="20"/>
          <w:lang w:val="en-US"/>
        </w:rPr>
        <w:t xml:space="preserve"> María Mercedes Gómez </w:t>
      </w:r>
      <w:r w:rsidR="00EA1DE8" w:rsidRPr="00300A27">
        <w:rPr>
          <w:spacing w:val="0"/>
          <w:szCs w:val="20"/>
          <w:lang w:val="en-US"/>
        </w:rPr>
        <w:t>indicated that</w:t>
      </w:r>
      <w:r w:rsidR="004B054C" w:rsidRPr="00300A27">
        <w:rPr>
          <w:spacing w:val="0"/>
          <w:szCs w:val="20"/>
          <w:lang w:val="en-US"/>
        </w:rPr>
        <w:t xml:space="preserve"> “</w:t>
      </w:r>
      <w:r w:rsidR="00EA1DE8" w:rsidRPr="00300A27">
        <w:rPr>
          <w:spacing w:val="0"/>
          <w:szCs w:val="20"/>
          <w:lang w:val="en-US"/>
        </w:rPr>
        <w:t>one of the essential elements [to establish that a person was detai</w:t>
      </w:r>
      <w:r w:rsidR="00FF4981" w:rsidRPr="00300A27">
        <w:rPr>
          <w:spacing w:val="0"/>
          <w:szCs w:val="20"/>
          <w:lang w:val="en-US"/>
        </w:rPr>
        <w:t>n</w:t>
      </w:r>
      <w:r w:rsidR="00EA1DE8" w:rsidRPr="00300A27">
        <w:rPr>
          <w:spacing w:val="0"/>
          <w:szCs w:val="20"/>
          <w:lang w:val="en-US"/>
        </w:rPr>
        <w:t xml:space="preserve">ed </w:t>
      </w:r>
      <w:r w:rsidR="00FF4981" w:rsidRPr="00300A27">
        <w:rPr>
          <w:spacing w:val="0"/>
          <w:szCs w:val="20"/>
          <w:lang w:val="en-US"/>
        </w:rPr>
        <w:t xml:space="preserve">based on </w:t>
      </w:r>
      <w:r w:rsidR="00EA1DE8" w:rsidRPr="00300A27">
        <w:rPr>
          <w:spacing w:val="0"/>
          <w:szCs w:val="20"/>
          <w:lang w:val="en-US"/>
        </w:rPr>
        <w:t xml:space="preserve">prejudice] is that it is not possible to identify any other apparent grounds than the perception of the victim; in other words, there is no </w:t>
      </w:r>
      <w:r w:rsidR="008F2DFF" w:rsidRPr="00300A27">
        <w:rPr>
          <w:spacing w:val="0"/>
          <w:szCs w:val="20"/>
          <w:lang w:val="en-US"/>
        </w:rPr>
        <w:t>practical</w:t>
      </w:r>
      <w:r w:rsidR="00EA1DE8" w:rsidRPr="00300A27">
        <w:rPr>
          <w:spacing w:val="0"/>
          <w:szCs w:val="20"/>
          <w:lang w:val="en-US"/>
        </w:rPr>
        <w:t xml:space="preserve"> purpose for the detention. [And also] the expressions that were used.</w:t>
      </w:r>
      <w:r w:rsidR="004B054C" w:rsidRPr="00300A27">
        <w:rPr>
          <w:spacing w:val="0"/>
          <w:szCs w:val="20"/>
          <w:lang w:val="en-US"/>
        </w:rPr>
        <w:t>”</w:t>
      </w:r>
      <w:r w:rsidR="004B054C" w:rsidRPr="00300A27">
        <w:rPr>
          <w:rStyle w:val="Refdenotaalpie"/>
          <w:spacing w:val="0"/>
          <w:szCs w:val="20"/>
          <w:lang w:val="en-US"/>
        </w:rPr>
        <w:footnoteReference w:id="165"/>
      </w:r>
      <w:r w:rsidR="004B054C" w:rsidRPr="00300A27">
        <w:rPr>
          <w:spacing w:val="0"/>
          <w:szCs w:val="20"/>
          <w:lang w:val="en-US"/>
        </w:rPr>
        <w:t xml:space="preserve"> </w:t>
      </w:r>
    </w:p>
    <w:p w14:paraId="518FD29B" w14:textId="4F948120" w:rsidR="00CA38A9" w:rsidRPr="00300A27" w:rsidRDefault="00EA1DE8" w:rsidP="00B243B6">
      <w:pPr>
        <w:pStyle w:val="PrrafodeSentencia"/>
        <w:numPr>
          <w:ilvl w:val="0"/>
          <w:numId w:val="3"/>
        </w:numPr>
        <w:spacing w:before="120" w:after="120"/>
        <w:ind w:left="0" w:firstLine="0"/>
        <w:rPr>
          <w:spacing w:val="0"/>
          <w:szCs w:val="20"/>
          <w:lang w:val="en-US"/>
        </w:rPr>
      </w:pPr>
      <w:r w:rsidRPr="00300A27">
        <w:rPr>
          <w:spacing w:val="0"/>
          <w:szCs w:val="20"/>
          <w:lang w:val="en-US"/>
        </w:rPr>
        <w:t>In the absence of legal grounds for subjecting</w:t>
      </w:r>
      <w:r w:rsidR="00CA38A9" w:rsidRPr="00300A27">
        <w:rPr>
          <w:spacing w:val="0"/>
          <w:szCs w:val="20"/>
          <w:lang w:val="en-US"/>
        </w:rPr>
        <w:t xml:space="preserve"> </w:t>
      </w:r>
      <w:r w:rsidR="00834A1B" w:rsidRPr="00300A27">
        <w:rPr>
          <w:spacing w:val="0"/>
          <w:szCs w:val="20"/>
          <w:lang w:val="en-US"/>
        </w:rPr>
        <w:t>the presumed victim</w:t>
      </w:r>
      <w:r w:rsidR="00CA38A9" w:rsidRPr="00300A27">
        <w:rPr>
          <w:spacing w:val="0"/>
          <w:szCs w:val="20"/>
          <w:lang w:val="en-US"/>
        </w:rPr>
        <w:t xml:space="preserve"> </w:t>
      </w:r>
      <w:r w:rsidRPr="00300A27">
        <w:rPr>
          <w:spacing w:val="0"/>
          <w:szCs w:val="20"/>
          <w:lang w:val="en-US"/>
        </w:rPr>
        <w:t>to an</w:t>
      </w:r>
      <w:r w:rsidR="00CA38A9" w:rsidRPr="00300A27">
        <w:rPr>
          <w:spacing w:val="0"/>
          <w:szCs w:val="20"/>
          <w:lang w:val="en-US"/>
        </w:rPr>
        <w:t xml:space="preserve"> </w:t>
      </w:r>
      <w:r w:rsidR="00D63E1A" w:rsidRPr="00300A27">
        <w:rPr>
          <w:spacing w:val="0"/>
          <w:szCs w:val="20"/>
          <w:lang w:val="en-US"/>
        </w:rPr>
        <w:t>identity check</w:t>
      </w:r>
      <w:r w:rsidR="005B1C65" w:rsidRPr="00300A27">
        <w:rPr>
          <w:spacing w:val="0"/>
          <w:szCs w:val="20"/>
          <w:lang w:val="en-US"/>
        </w:rPr>
        <w:t xml:space="preserve"> and </w:t>
      </w:r>
      <w:r w:rsidRPr="00300A27">
        <w:rPr>
          <w:spacing w:val="0"/>
          <w:szCs w:val="20"/>
          <w:lang w:val="en-US"/>
        </w:rPr>
        <w:t xml:space="preserve">with the existence of elements that point towards discriminatory treatment based on sexual orientation or non-normative gender expression, the Court must presume that the detention of </w:t>
      </w:r>
      <w:r w:rsidR="008546E9" w:rsidRPr="00300A27">
        <w:rPr>
          <w:spacing w:val="0"/>
          <w:szCs w:val="20"/>
          <w:lang w:val="en-US"/>
        </w:rPr>
        <w:t>Ms. Rojas</w:t>
      </w:r>
      <w:r w:rsidR="00CA38A9" w:rsidRPr="00300A27">
        <w:rPr>
          <w:spacing w:val="0"/>
          <w:szCs w:val="20"/>
          <w:lang w:val="en-US"/>
        </w:rPr>
        <w:t xml:space="preserve"> Marín </w:t>
      </w:r>
      <w:r w:rsidRPr="00300A27">
        <w:rPr>
          <w:spacing w:val="0"/>
          <w:szCs w:val="20"/>
          <w:lang w:val="en-US"/>
        </w:rPr>
        <w:t>was carried out for discriminatory reasons.</w:t>
      </w:r>
      <w:r w:rsidR="00625A74" w:rsidRPr="00300A27">
        <w:rPr>
          <w:spacing w:val="0"/>
          <w:szCs w:val="20"/>
          <w:lang w:val="en-US"/>
        </w:rPr>
        <w:t xml:space="preserve"> </w:t>
      </w:r>
    </w:p>
    <w:p w14:paraId="480C3A3A" w14:textId="3D9BF2E1" w:rsidR="00550A96" w:rsidRPr="00300A27" w:rsidRDefault="005B1C65" w:rsidP="00B243B6">
      <w:pPr>
        <w:pStyle w:val="PrrafodeSentencia"/>
        <w:numPr>
          <w:ilvl w:val="0"/>
          <w:numId w:val="3"/>
        </w:numPr>
        <w:spacing w:before="120" w:after="120"/>
        <w:ind w:left="0" w:firstLine="0"/>
        <w:rPr>
          <w:spacing w:val="0"/>
          <w:szCs w:val="20"/>
          <w:lang w:val="en-US"/>
        </w:rPr>
      </w:pPr>
      <w:r w:rsidRPr="00300A27">
        <w:rPr>
          <w:rFonts w:cs="Arial"/>
          <w:spacing w:val="0"/>
          <w:szCs w:val="20"/>
          <w:lang w:val="en-US"/>
        </w:rPr>
        <w:t>This Court</w:t>
      </w:r>
      <w:r w:rsidR="00550A96" w:rsidRPr="00300A27">
        <w:rPr>
          <w:spacing w:val="0"/>
          <w:szCs w:val="20"/>
          <w:lang w:val="en-US"/>
        </w:rPr>
        <w:t xml:space="preserve"> ha</w:t>
      </w:r>
      <w:r w:rsidR="0006490A" w:rsidRPr="00300A27">
        <w:rPr>
          <w:spacing w:val="0"/>
          <w:szCs w:val="20"/>
          <w:lang w:val="en-US"/>
        </w:rPr>
        <w:t xml:space="preserve">s indicated that detentions for discriminatory </w:t>
      </w:r>
      <w:r w:rsidR="00CF4DBC" w:rsidRPr="00300A27">
        <w:rPr>
          <w:spacing w:val="0"/>
          <w:szCs w:val="20"/>
          <w:lang w:val="en-US"/>
        </w:rPr>
        <w:t>motives</w:t>
      </w:r>
      <w:r w:rsidR="0006490A" w:rsidRPr="00300A27">
        <w:rPr>
          <w:spacing w:val="0"/>
          <w:szCs w:val="20"/>
          <w:lang w:val="en-US"/>
        </w:rPr>
        <w:t xml:space="preserve"> are manifestly unreasonable and, therefore, arbitrary.</w:t>
      </w:r>
      <w:r w:rsidR="00550A96" w:rsidRPr="00300A27">
        <w:rPr>
          <w:rStyle w:val="Refdenotaalpie"/>
          <w:spacing w:val="0"/>
          <w:szCs w:val="20"/>
          <w:lang w:val="en-US"/>
        </w:rPr>
        <w:footnoteReference w:id="166"/>
      </w:r>
      <w:r w:rsidR="0006490A" w:rsidRPr="00300A27">
        <w:rPr>
          <w:spacing w:val="0"/>
          <w:szCs w:val="20"/>
          <w:lang w:val="en-US"/>
        </w:rPr>
        <w:t xml:space="preserve"> Since the deprivation of liberty was discriminatory, it is not necessary to examine its purpose, necessity and proportionality to determine that it was arbitrary. </w:t>
      </w:r>
    </w:p>
    <w:p w14:paraId="38A3A38F" w14:textId="3D62CAA9" w:rsidR="00CA38A9" w:rsidRPr="00300A27" w:rsidRDefault="0006490A" w:rsidP="00B243B6">
      <w:pPr>
        <w:pStyle w:val="PrrafodeSentencia"/>
        <w:numPr>
          <w:ilvl w:val="0"/>
          <w:numId w:val="3"/>
        </w:numPr>
        <w:spacing w:before="120" w:after="120"/>
        <w:ind w:left="0" w:firstLine="0"/>
        <w:rPr>
          <w:rFonts w:cs="Arial"/>
          <w:spacing w:val="0"/>
          <w:lang w:val="en-US"/>
        </w:rPr>
      </w:pPr>
      <w:r w:rsidRPr="00300A27">
        <w:rPr>
          <w:rFonts w:cs="Arial"/>
          <w:spacing w:val="0"/>
          <w:lang w:val="en-US"/>
        </w:rPr>
        <w:t xml:space="preserve">Based on the preceding considerations, the Court finds that </w:t>
      </w:r>
      <w:r w:rsidR="005B1C65" w:rsidRPr="00300A27">
        <w:rPr>
          <w:rFonts w:cs="Arial"/>
          <w:spacing w:val="0"/>
          <w:lang w:val="en-US"/>
        </w:rPr>
        <w:t>the State</w:t>
      </w:r>
      <w:r w:rsidR="00CA38A9" w:rsidRPr="00300A27">
        <w:rPr>
          <w:rFonts w:cs="Arial"/>
          <w:spacing w:val="0"/>
          <w:lang w:val="en-US"/>
        </w:rPr>
        <w:t xml:space="preserve"> viol</w:t>
      </w:r>
      <w:r w:rsidRPr="00300A27">
        <w:rPr>
          <w:rFonts w:cs="Arial"/>
          <w:spacing w:val="0"/>
          <w:lang w:val="en-US"/>
        </w:rPr>
        <w:t>ated</w:t>
      </w:r>
      <w:r w:rsidR="00CA38A9" w:rsidRPr="00300A27">
        <w:rPr>
          <w:rFonts w:cs="Arial"/>
          <w:spacing w:val="0"/>
          <w:lang w:val="en-US"/>
        </w:rPr>
        <w:t xml:space="preserve"> </w:t>
      </w:r>
      <w:r w:rsidR="005B1C65" w:rsidRPr="00300A27">
        <w:rPr>
          <w:rFonts w:cs="Arial"/>
          <w:spacing w:val="0"/>
          <w:lang w:val="en-US"/>
        </w:rPr>
        <w:t>Article</w:t>
      </w:r>
      <w:r w:rsidR="00CA38A9" w:rsidRPr="00300A27">
        <w:rPr>
          <w:rFonts w:cs="Arial"/>
          <w:spacing w:val="0"/>
          <w:lang w:val="en-US"/>
        </w:rPr>
        <w:t xml:space="preserve"> </w:t>
      </w:r>
      <w:r w:rsidR="00BA3C7F" w:rsidRPr="00300A27">
        <w:rPr>
          <w:rFonts w:cs="Arial"/>
          <w:spacing w:val="0"/>
          <w:lang w:val="en-US"/>
        </w:rPr>
        <w:t>7(3)</w:t>
      </w:r>
      <w:r w:rsidR="005B1C65" w:rsidRPr="00300A27">
        <w:rPr>
          <w:rFonts w:cs="Arial"/>
          <w:spacing w:val="0"/>
          <w:lang w:val="en-US"/>
        </w:rPr>
        <w:t xml:space="preserve"> of the Convention</w:t>
      </w:r>
      <w:r w:rsidR="00CA38A9" w:rsidRPr="00300A27">
        <w:rPr>
          <w:rFonts w:cs="Arial"/>
          <w:spacing w:val="0"/>
          <w:lang w:val="en-US"/>
        </w:rPr>
        <w:t xml:space="preserve">, </w:t>
      </w:r>
      <w:r w:rsidRPr="00300A27">
        <w:rPr>
          <w:rFonts w:cs="Arial"/>
          <w:spacing w:val="0"/>
          <w:lang w:val="en-US"/>
        </w:rPr>
        <w:t xml:space="preserve">in relation to the obligation to respect rights without discrimination, </w:t>
      </w:r>
      <w:r w:rsidR="00BA3C7F" w:rsidRPr="00300A27">
        <w:rPr>
          <w:spacing w:val="0"/>
          <w:lang w:val="en-US"/>
        </w:rPr>
        <w:t>to the detriment of</w:t>
      </w:r>
      <w:r w:rsidR="007445F3" w:rsidRPr="00300A27">
        <w:rPr>
          <w:spacing w:val="0"/>
          <w:lang w:val="en-US"/>
        </w:rPr>
        <w:t xml:space="preserve"> Azul Rojas Marín</w:t>
      </w:r>
      <w:r w:rsidR="007445F3" w:rsidRPr="00300A27">
        <w:rPr>
          <w:rFonts w:cs="Arial"/>
          <w:spacing w:val="0"/>
          <w:lang w:val="en-US"/>
        </w:rPr>
        <w:t>.</w:t>
      </w:r>
    </w:p>
    <w:p w14:paraId="389511F9" w14:textId="40E5AF7A" w:rsidR="00CA38A9" w:rsidRPr="00300A27" w:rsidRDefault="00CA38A9" w:rsidP="00B243B6">
      <w:pPr>
        <w:pStyle w:val="Ttulo3"/>
        <w:rPr>
          <w:lang w:val="en-US"/>
        </w:rPr>
      </w:pPr>
      <w:bookmarkStart w:id="98" w:name="_Toc32394163"/>
      <w:bookmarkStart w:id="99" w:name="_Toc36823482"/>
      <w:r w:rsidRPr="00300A27">
        <w:rPr>
          <w:lang w:val="en-US"/>
        </w:rPr>
        <w:t xml:space="preserve">B.4 </w:t>
      </w:r>
      <w:r w:rsidRPr="00300A27">
        <w:rPr>
          <w:lang w:val="en-US"/>
        </w:rPr>
        <w:tab/>
      </w:r>
      <w:r w:rsidR="002959DE" w:rsidRPr="00300A27">
        <w:rPr>
          <w:lang w:val="en-US"/>
        </w:rPr>
        <w:t>Notification of the reasons for the detention</w:t>
      </w:r>
      <w:bookmarkEnd w:id="98"/>
      <w:bookmarkEnd w:id="99"/>
    </w:p>
    <w:p w14:paraId="1A000E1E" w14:textId="4D11B36A" w:rsidR="00177692" w:rsidRPr="00300A27" w:rsidRDefault="005B1C65" w:rsidP="00B243B6">
      <w:pPr>
        <w:pStyle w:val="PrrafodeSentencia"/>
        <w:numPr>
          <w:ilvl w:val="0"/>
          <w:numId w:val="3"/>
        </w:numPr>
        <w:spacing w:before="120" w:after="120"/>
        <w:ind w:left="0" w:firstLine="0"/>
        <w:rPr>
          <w:spacing w:val="0"/>
          <w:lang w:val="en-US"/>
        </w:rPr>
      </w:pPr>
      <w:r w:rsidRPr="00300A27">
        <w:rPr>
          <w:spacing w:val="0"/>
          <w:lang w:val="en-US"/>
        </w:rPr>
        <w:t>Article</w:t>
      </w:r>
      <w:r w:rsidR="00CA38A9" w:rsidRPr="00300A27">
        <w:rPr>
          <w:spacing w:val="0"/>
          <w:lang w:val="en-US"/>
        </w:rPr>
        <w:t xml:space="preserve"> </w:t>
      </w:r>
      <w:r w:rsidR="0006490A" w:rsidRPr="00300A27">
        <w:rPr>
          <w:spacing w:val="0"/>
          <w:lang w:val="en-US"/>
        </w:rPr>
        <w:t>7(4)</w:t>
      </w:r>
      <w:r w:rsidRPr="00300A27">
        <w:rPr>
          <w:spacing w:val="0"/>
          <w:lang w:val="en-US"/>
        </w:rPr>
        <w:t xml:space="preserve"> of the American Convention</w:t>
      </w:r>
      <w:r w:rsidR="0006490A" w:rsidRPr="00300A27">
        <w:rPr>
          <w:spacing w:val="0"/>
          <w:lang w:val="en-US"/>
        </w:rPr>
        <w:t xml:space="preserve"> refers to two guarantees for the person w</w:t>
      </w:r>
      <w:r w:rsidR="00CF4DBC" w:rsidRPr="00300A27">
        <w:rPr>
          <w:spacing w:val="0"/>
          <w:lang w:val="en-US"/>
        </w:rPr>
        <w:t>h</w:t>
      </w:r>
      <w:r w:rsidR="0006490A" w:rsidRPr="00300A27">
        <w:rPr>
          <w:spacing w:val="0"/>
          <w:lang w:val="en-US"/>
        </w:rPr>
        <w:t>o is being detained: (i) oral or written notice of the reasons for the detention, and (ii) written notification of the charges.</w:t>
      </w:r>
      <w:r w:rsidR="00CA38A9" w:rsidRPr="00300A27">
        <w:rPr>
          <w:rStyle w:val="Refdenotaalpie"/>
          <w:spacing w:val="0"/>
          <w:szCs w:val="20"/>
          <w:lang w:val="en-US"/>
        </w:rPr>
        <w:footnoteReference w:id="167"/>
      </w:r>
      <w:r w:rsidR="0006490A" w:rsidRPr="00300A27">
        <w:rPr>
          <w:spacing w:val="0"/>
          <w:lang w:val="en-US"/>
        </w:rPr>
        <w:t xml:space="preserve"> Information on the “grounds and reasons” for the detention must be provided “when this occurs,” and this constitutes a mechanism to avoid unlawful or arbitrary detentions at the very moment of the deprivation of liberty and, also, guarantees the person’s right of defense.</w:t>
      </w:r>
      <w:r w:rsidR="00CA38A9" w:rsidRPr="00300A27">
        <w:rPr>
          <w:rStyle w:val="Refdenotaalpie"/>
          <w:spacing w:val="0"/>
          <w:szCs w:val="20"/>
          <w:lang w:val="en-US"/>
        </w:rPr>
        <w:footnoteReference w:id="168"/>
      </w:r>
      <w:r w:rsidR="0006490A" w:rsidRPr="00300A27">
        <w:rPr>
          <w:spacing w:val="0"/>
          <w:lang w:val="en-US"/>
        </w:rPr>
        <w:t xml:space="preserve"> The Court has also indicated that the agent who carries out the detention must provide information in a simple, </w:t>
      </w:r>
      <w:r w:rsidR="00CF4DBC" w:rsidRPr="00300A27">
        <w:rPr>
          <w:spacing w:val="0"/>
          <w:lang w:val="en-US"/>
        </w:rPr>
        <w:t>non-technical</w:t>
      </w:r>
      <w:r w:rsidR="0006490A" w:rsidRPr="00300A27">
        <w:rPr>
          <w:spacing w:val="0"/>
          <w:lang w:val="en-US"/>
        </w:rPr>
        <w:t xml:space="preserve"> </w:t>
      </w:r>
      <w:r w:rsidR="00260A35" w:rsidRPr="00300A27">
        <w:rPr>
          <w:spacing w:val="0"/>
          <w:lang w:val="en-US"/>
        </w:rPr>
        <w:t>manner o</w:t>
      </w:r>
      <w:r w:rsidR="00CF4DBC" w:rsidRPr="00300A27">
        <w:rPr>
          <w:spacing w:val="0"/>
          <w:lang w:val="en-US"/>
        </w:rPr>
        <w:t>n</w:t>
      </w:r>
      <w:r w:rsidR="00260A35" w:rsidRPr="00300A27">
        <w:rPr>
          <w:spacing w:val="0"/>
          <w:lang w:val="en-US"/>
        </w:rPr>
        <w:t xml:space="preserve"> the essential facts and </w:t>
      </w:r>
      <w:r w:rsidR="00CF4DBC" w:rsidRPr="00300A27">
        <w:rPr>
          <w:spacing w:val="0"/>
          <w:lang w:val="en-US"/>
        </w:rPr>
        <w:t xml:space="preserve">the </w:t>
      </w:r>
      <w:r w:rsidR="00260A35" w:rsidRPr="00300A27">
        <w:rPr>
          <w:spacing w:val="0"/>
          <w:lang w:val="en-US"/>
        </w:rPr>
        <w:t xml:space="preserve">legal </w:t>
      </w:r>
      <w:r w:rsidR="00CF4DBC" w:rsidRPr="00300A27">
        <w:rPr>
          <w:spacing w:val="0"/>
          <w:lang w:val="en-US"/>
        </w:rPr>
        <w:t>grounds</w:t>
      </w:r>
      <w:r w:rsidR="00260A35" w:rsidRPr="00300A27">
        <w:rPr>
          <w:spacing w:val="0"/>
          <w:lang w:val="en-US"/>
        </w:rPr>
        <w:t xml:space="preserve"> for the detention, and that Article 7(4) of the Convention is not complied with if only the legal </w:t>
      </w:r>
      <w:r w:rsidR="00CF4DBC" w:rsidRPr="00300A27">
        <w:rPr>
          <w:spacing w:val="0"/>
          <w:lang w:val="en-US"/>
        </w:rPr>
        <w:t>grounds are</w:t>
      </w:r>
      <w:r w:rsidR="00260A35" w:rsidRPr="00300A27">
        <w:rPr>
          <w:spacing w:val="0"/>
          <w:lang w:val="en-US"/>
        </w:rPr>
        <w:t xml:space="preserve"> mentioned.</w:t>
      </w:r>
      <w:r w:rsidR="00CA38A9" w:rsidRPr="00300A27">
        <w:rPr>
          <w:rStyle w:val="Refdenotaalpie"/>
          <w:spacing w:val="0"/>
          <w:szCs w:val="20"/>
          <w:lang w:val="en-US"/>
        </w:rPr>
        <w:footnoteReference w:id="169"/>
      </w:r>
      <w:r w:rsidR="00CA38A9" w:rsidRPr="00300A27">
        <w:rPr>
          <w:spacing w:val="0"/>
          <w:lang w:val="en-US"/>
        </w:rPr>
        <w:t xml:space="preserve"> </w:t>
      </w:r>
      <w:r w:rsidRPr="00300A27">
        <w:rPr>
          <w:spacing w:val="0"/>
          <w:szCs w:val="20"/>
          <w:lang w:val="en-US"/>
        </w:rPr>
        <w:t>The State</w:t>
      </w:r>
      <w:r w:rsidR="00F04D80" w:rsidRPr="00300A27">
        <w:rPr>
          <w:spacing w:val="0"/>
          <w:szCs w:val="20"/>
          <w:lang w:val="en-US"/>
        </w:rPr>
        <w:t xml:space="preserve"> </w:t>
      </w:r>
      <w:r w:rsidR="00260A35" w:rsidRPr="00300A27">
        <w:rPr>
          <w:spacing w:val="0"/>
          <w:szCs w:val="20"/>
          <w:lang w:val="en-US"/>
        </w:rPr>
        <w:t xml:space="preserve">has not alleged that this obligation was met. The Court considers proved that, when she was being made to get into the official vehicle, </w:t>
      </w:r>
      <w:r w:rsidR="008546E9" w:rsidRPr="00300A27">
        <w:rPr>
          <w:spacing w:val="0"/>
          <w:szCs w:val="20"/>
          <w:lang w:val="en-US"/>
        </w:rPr>
        <w:t>Ms. Rojas</w:t>
      </w:r>
      <w:r w:rsidR="00F04D80" w:rsidRPr="00300A27">
        <w:rPr>
          <w:spacing w:val="0"/>
          <w:szCs w:val="20"/>
          <w:lang w:val="en-US"/>
        </w:rPr>
        <w:t xml:space="preserve"> Marín </w:t>
      </w:r>
      <w:r w:rsidR="00260A35" w:rsidRPr="00300A27">
        <w:rPr>
          <w:spacing w:val="0"/>
          <w:szCs w:val="20"/>
          <w:lang w:val="en-US"/>
        </w:rPr>
        <w:t xml:space="preserve">asked why she was being detained and the </w:t>
      </w:r>
      <w:r w:rsidR="00CF4DBC" w:rsidRPr="00300A27">
        <w:rPr>
          <w:spacing w:val="0"/>
          <w:szCs w:val="20"/>
          <w:lang w:val="en-US"/>
        </w:rPr>
        <w:t>s</w:t>
      </w:r>
      <w:r w:rsidR="00260A35" w:rsidRPr="00300A27">
        <w:rPr>
          <w:spacing w:val="0"/>
          <w:szCs w:val="20"/>
          <w:lang w:val="en-US"/>
        </w:rPr>
        <w:t>tate agent did not answer telling her the reasons for the detention.</w:t>
      </w:r>
    </w:p>
    <w:p w14:paraId="198C201E" w14:textId="5B647108" w:rsidR="00CA38A9" w:rsidRPr="00300A27" w:rsidRDefault="00260A35" w:rsidP="00B243B6">
      <w:pPr>
        <w:pStyle w:val="PrrafodeSentencia"/>
        <w:numPr>
          <w:ilvl w:val="0"/>
          <w:numId w:val="3"/>
        </w:numPr>
        <w:spacing w:before="120" w:after="120"/>
        <w:ind w:left="0" w:firstLine="0"/>
        <w:rPr>
          <w:spacing w:val="0"/>
          <w:lang w:val="en-US"/>
        </w:rPr>
      </w:pPr>
      <w:r w:rsidRPr="00300A27">
        <w:rPr>
          <w:spacing w:val="0"/>
          <w:lang w:val="en-US"/>
        </w:rPr>
        <w:t>Therefore</w:t>
      </w:r>
      <w:r w:rsidR="00F04D80" w:rsidRPr="00300A27">
        <w:rPr>
          <w:spacing w:val="0"/>
          <w:lang w:val="en-US"/>
        </w:rPr>
        <w:t>,</w:t>
      </w:r>
      <w:r w:rsidR="00CA38A9" w:rsidRPr="00300A27">
        <w:rPr>
          <w:spacing w:val="0"/>
          <w:szCs w:val="20"/>
          <w:lang w:val="en-US"/>
        </w:rPr>
        <w:t xml:space="preserve"> </w:t>
      </w:r>
      <w:r w:rsidR="005B1C65" w:rsidRPr="00300A27">
        <w:rPr>
          <w:spacing w:val="0"/>
          <w:szCs w:val="20"/>
          <w:lang w:val="en-US"/>
        </w:rPr>
        <w:t>the Court</w:t>
      </w:r>
      <w:r w:rsidR="00CA38A9" w:rsidRPr="00300A27">
        <w:rPr>
          <w:spacing w:val="0"/>
          <w:szCs w:val="20"/>
          <w:lang w:val="en-US"/>
        </w:rPr>
        <w:t xml:space="preserve"> </w:t>
      </w:r>
      <w:r w:rsidRPr="00300A27">
        <w:rPr>
          <w:spacing w:val="0"/>
          <w:szCs w:val="20"/>
          <w:lang w:val="en-US"/>
        </w:rPr>
        <w:t>considers that</w:t>
      </w:r>
      <w:r w:rsidR="00CA38A9" w:rsidRPr="00300A27">
        <w:rPr>
          <w:spacing w:val="0"/>
          <w:szCs w:val="20"/>
          <w:lang w:val="en-US"/>
        </w:rPr>
        <w:t xml:space="preserve"> </w:t>
      </w:r>
      <w:r w:rsidR="005B1C65" w:rsidRPr="00300A27">
        <w:rPr>
          <w:rFonts w:cs="Arial"/>
          <w:spacing w:val="0"/>
          <w:szCs w:val="20"/>
          <w:lang w:val="en-US"/>
        </w:rPr>
        <w:t>the State</w:t>
      </w:r>
      <w:r w:rsidR="00CA38A9" w:rsidRPr="00300A27">
        <w:rPr>
          <w:rFonts w:cs="Arial"/>
          <w:spacing w:val="0"/>
          <w:szCs w:val="20"/>
          <w:lang w:val="en-US"/>
        </w:rPr>
        <w:t xml:space="preserve"> v</w:t>
      </w:r>
      <w:r w:rsidRPr="00300A27">
        <w:rPr>
          <w:rFonts w:cs="Arial"/>
          <w:spacing w:val="0"/>
          <w:szCs w:val="20"/>
          <w:lang w:val="en-US"/>
        </w:rPr>
        <w:t>iolated</w:t>
      </w:r>
      <w:r w:rsidR="00CA38A9" w:rsidRPr="00300A27">
        <w:rPr>
          <w:rFonts w:cs="Arial"/>
          <w:spacing w:val="0"/>
          <w:szCs w:val="20"/>
          <w:lang w:val="en-US"/>
        </w:rPr>
        <w:t xml:space="preserve"> </w:t>
      </w:r>
      <w:r w:rsidR="005B1C65" w:rsidRPr="00300A27">
        <w:rPr>
          <w:rFonts w:cs="Arial"/>
          <w:spacing w:val="0"/>
          <w:szCs w:val="20"/>
          <w:lang w:val="en-US"/>
        </w:rPr>
        <w:t>Article</w:t>
      </w:r>
      <w:r w:rsidR="00CA38A9" w:rsidRPr="00300A27">
        <w:rPr>
          <w:rFonts w:cs="Arial"/>
          <w:spacing w:val="0"/>
          <w:szCs w:val="20"/>
          <w:lang w:val="en-US"/>
        </w:rPr>
        <w:t xml:space="preserve"> </w:t>
      </w:r>
      <w:r w:rsidR="0006490A" w:rsidRPr="00300A27">
        <w:rPr>
          <w:rFonts w:cs="Arial"/>
          <w:spacing w:val="0"/>
          <w:szCs w:val="20"/>
          <w:lang w:val="en-US"/>
        </w:rPr>
        <w:t>7(4)</w:t>
      </w:r>
      <w:r w:rsidR="005B1C65" w:rsidRPr="00300A27">
        <w:rPr>
          <w:rFonts w:cs="Arial"/>
          <w:spacing w:val="0"/>
          <w:szCs w:val="20"/>
          <w:lang w:val="en-US"/>
        </w:rPr>
        <w:t xml:space="preserve"> of the Convention</w:t>
      </w:r>
      <w:r w:rsidR="00CA38A9" w:rsidRPr="00300A27">
        <w:rPr>
          <w:rFonts w:cs="Arial"/>
          <w:spacing w:val="0"/>
          <w:szCs w:val="20"/>
          <w:lang w:val="en-US"/>
        </w:rPr>
        <w:t xml:space="preserve">, </w:t>
      </w:r>
      <w:r w:rsidRPr="00300A27">
        <w:rPr>
          <w:rFonts w:cs="Arial"/>
          <w:spacing w:val="0"/>
          <w:szCs w:val="20"/>
          <w:lang w:val="en-US"/>
        </w:rPr>
        <w:t xml:space="preserve">in relation to </w:t>
      </w:r>
      <w:r w:rsidR="005B1C65" w:rsidRPr="00300A27">
        <w:rPr>
          <w:rFonts w:cs="Arial"/>
          <w:spacing w:val="0"/>
          <w:szCs w:val="20"/>
          <w:lang w:val="en-US"/>
        </w:rPr>
        <w:t>Article</w:t>
      </w:r>
      <w:r w:rsidR="00CA38A9" w:rsidRPr="00300A27">
        <w:rPr>
          <w:rFonts w:cs="Arial"/>
          <w:spacing w:val="0"/>
          <w:szCs w:val="20"/>
          <w:lang w:val="en-US"/>
        </w:rPr>
        <w:t xml:space="preserve"> </w:t>
      </w:r>
      <w:r w:rsidR="00BA3C7F" w:rsidRPr="00300A27">
        <w:rPr>
          <w:rFonts w:cs="Arial"/>
          <w:spacing w:val="0"/>
          <w:szCs w:val="20"/>
          <w:lang w:val="en-US"/>
        </w:rPr>
        <w:t>1(1)</w:t>
      </w:r>
      <w:r w:rsidR="00CA38A9" w:rsidRPr="00300A27">
        <w:rPr>
          <w:rFonts w:cs="Arial"/>
          <w:spacing w:val="0"/>
          <w:szCs w:val="20"/>
          <w:lang w:val="en-US"/>
        </w:rPr>
        <w:t xml:space="preserve"> </w:t>
      </w:r>
      <w:r w:rsidRPr="00300A27">
        <w:rPr>
          <w:rFonts w:cs="Arial"/>
          <w:spacing w:val="0"/>
          <w:szCs w:val="20"/>
          <w:lang w:val="en-US"/>
        </w:rPr>
        <w:t>of this instrument</w:t>
      </w:r>
      <w:r w:rsidR="007445F3" w:rsidRPr="00300A27">
        <w:rPr>
          <w:spacing w:val="0"/>
          <w:lang w:val="en-US"/>
        </w:rPr>
        <w:t xml:space="preserve">, </w:t>
      </w:r>
      <w:r w:rsidR="00BA3C7F" w:rsidRPr="00300A27">
        <w:rPr>
          <w:spacing w:val="0"/>
          <w:lang w:val="en-US"/>
        </w:rPr>
        <w:t>to the detriment of</w:t>
      </w:r>
      <w:r w:rsidR="007445F3" w:rsidRPr="00300A27">
        <w:rPr>
          <w:spacing w:val="0"/>
          <w:lang w:val="en-US"/>
        </w:rPr>
        <w:t xml:space="preserve"> Azul Rojas Marín</w:t>
      </w:r>
      <w:r w:rsidR="007445F3" w:rsidRPr="00300A27">
        <w:rPr>
          <w:rFonts w:cs="Arial"/>
          <w:spacing w:val="0"/>
          <w:szCs w:val="20"/>
          <w:lang w:val="en-US"/>
        </w:rPr>
        <w:t>.</w:t>
      </w:r>
    </w:p>
    <w:p w14:paraId="35D8E400" w14:textId="413DD90E" w:rsidR="00D41F3C" w:rsidRPr="00300A27" w:rsidRDefault="00D41F3C" w:rsidP="00B243B6">
      <w:pPr>
        <w:pStyle w:val="Ttulo3"/>
        <w:rPr>
          <w:lang w:val="en-US" w:eastAsia="es-MX"/>
        </w:rPr>
      </w:pPr>
      <w:bookmarkStart w:id="100" w:name="_Toc36823483"/>
      <w:r w:rsidRPr="00300A27">
        <w:rPr>
          <w:lang w:val="en-US" w:eastAsia="es-MX"/>
        </w:rPr>
        <w:t>B.</w:t>
      </w:r>
      <w:r w:rsidR="00A5356B" w:rsidRPr="00300A27">
        <w:rPr>
          <w:lang w:val="en-US" w:eastAsia="es-MX"/>
        </w:rPr>
        <w:t>5</w:t>
      </w:r>
      <w:r w:rsidRPr="00300A27">
        <w:rPr>
          <w:lang w:val="en-US" w:eastAsia="es-MX"/>
        </w:rPr>
        <w:t xml:space="preserve"> </w:t>
      </w:r>
      <w:r w:rsidR="00C972DA" w:rsidRPr="00300A27">
        <w:rPr>
          <w:lang w:val="en-US" w:eastAsia="es-MX"/>
        </w:rPr>
        <w:tab/>
      </w:r>
      <w:r w:rsidR="00260A35" w:rsidRPr="00300A27">
        <w:rPr>
          <w:lang w:val="en-US" w:eastAsia="es-MX"/>
        </w:rPr>
        <w:t>Conclusion</w:t>
      </w:r>
      <w:bookmarkEnd w:id="100"/>
    </w:p>
    <w:p w14:paraId="5DAFDE0E" w14:textId="2E6BF1B0" w:rsidR="00177692" w:rsidRPr="00300A27" w:rsidRDefault="00260A35" w:rsidP="00B243B6">
      <w:pPr>
        <w:pStyle w:val="PrrafodeSentencia"/>
        <w:numPr>
          <w:ilvl w:val="0"/>
          <w:numId w:val="3"/>
        </w:numPr>
        <w:spacing w:before="120" w:after="120"/>
        <w:ind w:left="0" w:firstLine="0"/>
        <w:rPr>
          <w:rFonts w:ascii="Arial" w:hAnsi="Arial" w:cs="Arial"/>
          <w:color w:val="000000"/>
          <w:spacing w:val="0"/>
          <w:shd w:val="clear" w:color="auto" w:fill="FFFFFF"/>
          <w:lang w:val="en-US"/>
        </w:rPr>
      </w:pPr>
      <w:bookmarkStart w:id="101" w:name="_Ref33106093"/>
      <w:r w:rsidRPr="00300A27">
        <w:rPr>
          <w:spacing w:val="0"/>
          <w:lang w:val="en-US"/>
        </w:rPr>
        <w:t>Based on the preceding</w:t>
      </w:r>
      <w:r w:rsidR="00CA38A9" w:rsidRPr="00300A27">
        <w:rPr>
          <w:spacing w:val="0"/>
          <w:lang w:val="en-US"/>
        </w:rPr>
        <w:t xml:space="preserve"> </w:t>
      </w:r>
      <w:r w:rsidR="009B35A1" w:rsidRPr="00300A27">
        <w:rPr>
          <w:spacing w:val="0"/>
          <w:lang w:val="en-US"/>
        </w:rPr>
        <w:t>considerations</w:t>
      </w:r>
      <w:r w:rsidR="00CA38A9" w:rsidRPr="00300A27">
        <w:rPr>
          <w:spacing w:val="0"/>
          <w:lang w:val="en-US"/>
        </w:rPr>
        <w:t xml:space="preserve">, </w:t>
      </w:r>
      <w:r w:rsidR="005B1C65" w:rsidRPr="00300A27">
        <w:rPr>
          <w:spacing w:val="0"/>
          <w:lang w:val="en-US"/>
        </w:rPr>
        <w:t>the Court</w:t>
      </w:r>
      <w:r w:rsidR="00CA38A9" w:rsidRPr="00300A27">
        <w:rPr>
          <w:spacing w:val="0"/>
          <w:lang w:val="en-US"/>
        </w:rPr>
        <w:t xml:space="preserve"> conclu</w:t>
      </w:r>
      <w:r w:rsidRPr="00300A27">
        <w:rPr>
          <w:spacing w:val="0"/>
          <w:lang w:val="en-US"/>
        </w:rPr>
        <w:t xml:space="preserve">des that the initial detention of </w:t>
      </w:r>
      <w:r w:rsidR="008546E9" w:rsidRPr="00300A27">
        <w:rPr>
          <w:spacing w:val="0"/>
          <w:lang w:val="en-US"/>
        </w:rPr>
        <w:t>Ms. Rojas</w:t>
      </w:r>
      <w:r w:rsidR="00CA38A9" w:rsidRPr="00300A27">
        <w:rPr>
          <w:spacing w:val="0"/>
          <w:lang w:val="en-US"/>
        </w:rPr>
        <w:t xml:space="preserve"> Marín </w:t>
      </w:r>
      <w:r w:rsidRPr="00300A27">
        <w:rPr>
          <w:spacing w:val="0"/>
          <w:lang w:val="en-US"/>
        </w:rPr>
        <w:t>was unlawful because it was carried out with</w:t>
      </w:r>
      <w:r w:rsidR="00CF4DBC" w:rsidRPr="00300A27">
        <w:rPr>
          <w:spacing w:val="0"/>
          <w:lang w:val="en-US"/>
        </w:rPr>
        <w:t>out</w:t>
      </w:r>
      <w:r w:rsidRPr="00300A27">
        <w:rPr>
          <w:spacing w:val="0"/>
          <w:lang w:val="en-US"/>
        </w:rPr>
        <w:t xml:space="preserve"> </w:t>
      </w:r>
      <w:r w:rsidR="00CF4DBC" w:rsidRPr="00300A27">
        <w:rPr>
          <w:spacing w:val="0"/>
          <w:lang w:val="en-US"/>
        </w:rPr>
        <w:t>abiding by</w:t>
      </w:r>
      <w:r w:rsidRPr="00300A27">
        <w:rPr>
          <w:spacing w:val="0"/>
          <w:lang w:val="en-US"/>
        </w:rPr>
        <w:t xml:space="preserve"> the </w:t>
      </w:r>
      <w:r w:rsidR="00CF4DBC" w:rsidRPr="00300A27">
        <w:rPr>
          <w:spacing w:val="0"/>
          <w:lang w:val="en-US"/>
        </w:rPr>
        <w:t xml:space="preserve">causes </w:t>
      </w:r>
      <w:r w:rsidRPr="00300A27">
        <w:rPr>
          <w:spacing w:val="0"/>
          <w:lang w:val="en-US"/>
        </w:rPr>
        <w:t xml:space="preserve">and procedures established in domestic law, including the failure to record the detention. In addition, the detention was  arbitrary because it was carried out on discriminatory grounds. The Court has also concluded that </w:t>
      </w:r>
      <w:r w:rsidR="008546E9" w:rsidRPr="00300A27">
        <w:rPr>
          <w:spacing w:val="0"/>
          <w:lang w:val="en-US"/>
        </w:rPr>
        <w:t>Ms. Rojas</w:t>
      </w:r>
      <w:r w:rsidR="00CA38A9" w:rsidRPr="00300A27">
        <w:rPr>
          <w:spacing w:val="0"/>
          <w:lang w:val="en-US"/>
        </w:rPr>
        <w:t xml:space="preserve"> Marín </w:t>
      </w:r>
      <w:r w:rsidRPr="00300A27">
        <w:rPr>
          <w:spacing w:val="0"/>
          <w:lang w:val="en-US"/>
        </w:rPr>
        <w:t xml:space="preserve">was not advised of the reasons for her detention. </w:t>
      </w:r>
    </w:p>
    <w:p w14:paraId="4DDA3A07" w14:textId="427DA442" w:rsidR="00CA38A9" w:rsidRPr="00300A27" w:rsidRDefault="00260A35" w:rsidP="00B243B6">
      <w:pPr>
        <w:pStyle w:val="PrrafodeSentencia"/>
        <w:numPr>
          <w:ilvl w:val="0"/>
          <w:numId w:val="3"/>
        </w:numPr>
        <w:spacing w:before="120" w:after="120"/>
        <w:ind w:left="0" w:firstLine="0"/>
        <w:rPr>
          <w:rFonts w:ascii="Arial" w:hAnsi="Arial" w:cs="Arial"/>
          <w:color w:val="000000"/>
          <w:spacing w:val="0"/>
          <w:shd w:val="clear" w:color="auto" w:fill="FFFFFF"/>
          <w:lang w:val="en-US"/>
        </w:rPr>
      </w:pPr>
      <w:bookmarkStart w:id="102" w:name="_Ref446681907"/>
      <w:r w:rsidRPr="00300A27">
        <w:rPr>
          <w:spacing w:val="0"/>
          <w:lang w:val="en-US"/>
        </w:rPr>
        <w:t>Consequently</w:t>
      </w:r>
      <w:r w:rsidR="00CA38A9" w:rsidRPr="00300A27">
        <w:rPr>
          <w:spacing w:val="0"/>
          <w:lang w:val="en-US"/>
        </w:rPr>
        <w:t xml:space="preserve">, </w:t>
      </w:r>
      <w:r w:rsidRPr="00300A27">
        <w:rPr>
          <w:spacing w:val="0"/>
          <w:lang w:val="en-US"/>
        </w:rPr>
        <w:t xml:space="preserve">due to actions of its agents acting </w:t>
      </w:r>
      <w:r w:rsidR="00CF4DBC" w:rsidRPr="00300A27">
        <w:rPr>
          <w:spacing w:val="0"/>
          <w:lang w:val="en-US"/>
        </w:rPr>
        <w:t>in this capacity</w:t>
      </w:r>
      <w:r w:rsidRPr="00300A27">
        <w:rPr>
          <w:spacing w:val="0"/>
          <w:lang w:val="en-US"/>
        </w:rPr>
        <w:t>,</w:t>
      </w:r>
      <w:r w:rsidR="00CF4DBC" w:rsidRPr="00300A27">
        <w:rPr>
          <w:spacing w:val="0"/>
          <w:lang w:val="en-US"/>
        </w:rPr>
        <w:t xml:space="preserve"> the State violated</w:t>
      </w:r>
      <w:r w:rsidRPr="00300A27">
        <w:rPr>
          <w:spacing w:val="0"/>
          <w:lang w:val="en-US"/>
        </w:rPr>
        <w:t xml:space="preserve"> the rights recognized in</w:t>
      </w:r>
      <w:r w:rsidR="00CA38A9" w:rsidRPr="00300A27">
        <w:rPr>
          <w:spacing w:val="0"/>
          <w:lang w:val="en-US"/>
        </w:rPr>
        <w:t xml:space="preserve"> </w:t>
      </w:r>
      <w:r w:rsidR="005B1C65" w:rsidRPr="00300A27">
        <w:rPr>
          <w:spacing w:val="0"/>
          <w:lang w:val="en-US"/>
        </w:rPr>
        <w:t>Articles</w:t>
      </w:r>
      <w:r w:rsidR="00CA38A9" w:rsidRPr="00300A27">
        <w:rPr>
          <w:spacing w:val="0"/>
          <w:lang w:val="en-US"/>
        </w:rPr>
        <w:t xml:space="preserve"> </w:t>
      </w:r>
      <w:r w:rsidR="00BA3C7F" w:rsidRPr="00300A27">
        <w:rPr>
          <w:spacing w:val="0"/>
          <w:lang w:val="en-US"/>
        </w:rPr>
        <w:t>7(1)</w:t>
      </w:r>
      <w:r w:rsidR="00CA38A9" w:rsidRPr="00300A27">
        <w:rPr>
          <w:spacing w:val="0"/>
          <w:lang w:val="en-US"/>
        </w:rPr>
        <w:t xml:space="preserve">, </w:t>
      </w:r>
      <w:r w:rsidR="00BA3C7F" w:rsidRPr="00300A27">
        <w:rPr>
          <w:spacing w:val="0"/>
          <w:lang w:val="en-US"/>
        </w:rPr>
        <w:t>7(2)</w:t>
      </w:r>
      <w:r w:rsidR="00CA38A9" w:rsidRPr="00300A27">
        <w:rPr>
          <w:spacing w:val="0"/>
          <w:lang w:val="en-US"/>
        </w:rPr>
        <w:t xml:space="preserve">, </w:t>
      </w:r>
      <w:r w:rsidR="00BA3C7F" w:rsidRPr="00300A27">
        <w:rPr>
          <w:spacing w:val="0"/>
          <w:lang w:val="en-US"/>
        </w:rPr>
        <w:t>7(3)</w:t>
      </w:r>
      <w:r w:rsidR="005B1C65" w:rsidRPr="00300A27">
        <w:rPr>
          <w:spacing w:val="0"/>
          <w:lang w:val="en-US"/>
        </w:rPr>
        <w:t xml:space="preserve"> and </w:t>
      </w:r>
      <w:r w:rsidR="0006490A" w:rsidRPr="00300A27">
        <w:rPr>
          <w:spacing w:val="0"/>
          <w:lang w:val="en-US"/>
        </w:rPr>
        <w:t>7(4)</w:t>
      </w:r>
      <w:r w:rsidR="005B1C65" w:rsidRPr="00300A27">
        <w:rPr>
          <w:spacing w:val="0"/>
          <w:lang w:val="en-US"/>
        </w:rPr>
        <w:t xml:space="preserve"> of the Convention</w:t>
      </w:r>
      <w:r w:rsidR="00CA38A9" w:rsidRPr="00300A27">
        <w:rPr>
          <w:spacing w:val="0"/>
          <w:lang w:val="en-US"/>
        </w:rPr>
        <w:t xml:space="preserve">, </w:t>
      </w:r>
      <w:r w:rsidRPr="00300A27">
        <w:rPr>
          <w:spacing w:val="0"/>
          <w:lang w:val="en-US"/>
        </w:rPr>
        <w:t xml:space="preserve">in relation to the obligation to respect these rights without discrimination established in </w:t>
      </w:r>
      <w:r w:rsidR="005B1C65" w:rsidRPr="00300A27">
        <w:rPr>
          <w:spacing w:val="0"/>
          <w:lang w:val="en-US"/>
        </w:rPr>
        <w:t>Article</w:t>
      </w:r>
      <w:r w:rsidR="00B33EFF" w:rsidRPr="00300A27">
        <w:rPr>
          <w:spacing w:val="0"/>
          <w:lang w:val="en-US"/>
        </w:rPr>
        <w:t xml:space="preserve"> </w:t>
      </w:r>
      <w:r w:rsidR="00BA3C7F" w:rsidRPr="00300A27">
        <w:rPr>
          <w:spacing w:val="0"/>
          <w:lang w:val="en-US"/>
        </w:rPr>
        <w:t>1(1)</w:t>
      </w:r>
      <w:r w:rsidR="00B33EFF" w:rsidRPr="00300A27">
        <w:rPr>
          <w:spacing w:val="0"/>
          <w:lang w:val="en-US"/>
        </w:rPr>
        <w:t xml:space="preserve"> </w:t>
      </w:r>
      <w:r w:rsidR="00BA3C7F" w:rsidRPr="00300A27">
        <w:rPr>
          <w:spacing w:val="0"/>
          <w:lang w:val="en-US"/>
        </w:rPr>
        <w:t>of this instrument</w:t>
      </w:r>
      <w:r w:rsidR="00CA38A9" w:rsidRPr="00300A27">
        <w:rPr>
          <w:spacing w:val="0"/>
          <w:lang w:val="en-US"/>
        </w:rPr>
        <w:t xml:space="preserve">, </w:t>
      </w:r>
      <w:r w:rsidR="00BA3C7F" w:rsidRPr="00300A27">
        <w:rPr>
          <w:spacing w:val="0"/>
          <w:lang w:val="en-US"/>
        </w:rPr>
        <w:t>to the detriment of</w:t>
      </w:r>
      <w:r w:rsidR="00CA38A9" w:rsidRPr="00300A27">
        <w:rPr>
          <w:spacing w:val="0"/>
          <w:lang w:val="en-US"/>
        </w:rPr>
        <w:t xml:space="preserve"> Azul Rojas Marín.</w:t>
      </w:r>
      <w:bookmarkEnd w:id="101"/>
      <w:bookmarkEnd w:id="102"/>
    </w:p>
    <w:p w14:paraId="072C6116" w14:textId="1769AB85" w:rsidR="00180C5D" w:rsidRPr="00300A27" w:rsidRDefault="00260A35" w:rsidP="00B243B6">
      <w:pPr>
        <w:pStyle w:val="PrrafodeSentencia"/>
        <w:numPr>
          <w:ilvl w:val="0"/>
          <w:numId w:val="3"/>
        </w:numPr>
        <w:spacing w:before="120" w:after="120"/>
        <w:ind w:left="0" w:firstLine="0"/>
        <w:rPr>
          <w:spacing w:val="0"/>
          <w:szCs w:val="20"/>
          <w:lang w:val="en-US"/>
        </w:rPr>
      </w:pPr>
      <w:bookmarkStart w:id="103" w:name="_Ref33106259"/>
      <w:r w:rsidRPr="00300A27">
        <w:rPr>
          <w:spacing w:val="0"/>
          <w:szCs w:val="20"/>
          <w:lang w:val="en-US"/>
        </w:rPr>
        <w:t xml:space="preserve">In addition, regarding the alleged violation </w:t>
      </w:r>
      <w:r w:rsidR="007071F6" w:rsidRPr="00300A27">
        <w:rPr>
          <w:spacing w:val="0"/>
          <w:szCs w:val="20"/>
          <w:lang w:val="en-US"/>
        </w:rPr>
        <w:t>of Article</w:t>
      </w:r>
      <w:r w:rsidR="007F431E" w:rsidRPr="00300A27">
        <w:rPr>
          <w:spacing w:val="0"/>
          <w:szCs w:val="20"/>
          <w:lang w:val="en-US"/>
        </w:rPr>
        <w:t xml:space="preserve"> 2</w:t>
      </w:r>
      <w:r w:rsidR="00180C5D" w:rsidRPr="00300A27">
        <w:rPr>
          <w:spacing w:val="0"/>
          <w:szCs w:val="20"/>
          <w:lang w:val="en-US"/>
        </w:rPr>
        <w:t xml:space="preserve"> </w:t>
      </w:r>
      <w:r w:rsidRPr="00300A27">
        <w:rPr>
          <w:spacing w:val="0"/>
          <w:szCs w:val="20"/>
          <w:lang w:val="en-US"/>
        </w:rPr>
        <w:t xml:space="preserve">owing to the alleged </w:t>
      </w:r>
      <w:r w:rsidR="00FC0822" w:rsidRPr="00300A27">
        <w:rPr>
          <w:spacing w:val="0"/>
          <w:szCs w:val="20"/>
          <w:lang w:val="en-US"/>
        </w:rPr>
        <w:t xml:space="preserve">non-conformity with the Convention of article 205 of the Code of Criminal Procedure, </w:t>
      </w:r>
      <w:r w:rsidR="005B1C65" w:rsidRPr="00300A27">
        <w:rPr>
          <w:spacing w:val="0"/>
          <w:szCs w:val="20"/>
          <w:lang w:val="en-US"/>
        </w:rPr>
        <w:t>the Court</w:t>
      </w:r>
      <w:r w:rsidR="00CA38A9" w:rsidRPr="00300A27">
        <w:rPr>
          <w:spacing w:val="0"/>
          <w:szCs w:val="20"/>
          <w:lang w:val="en-US"/>
        </w:rPr>
        <w:t xml:space="preserve"> </w:t>
      </w:r>
      <w:r w:rsidR="00FC0822" w:rsidRPr="00300A27">
        <w:rPr>
          <w:spacing w:val="0"/>
          <w:szCs w:val="20"/>
          <w:lang w:val="en-US"/>
        </w:rPr>
        <w:t xml:space="preserve">notes that the proven facts reveal that the officials failed to comply with this provision. Consequently, a ruling on the conventionality of this would constitute a theoretical ruling, </w:t>
      </w:r>
      <w:r w:rsidR="00CF4DBC" w:rsidRPr="00300A27">
        <w:rPr>
          <w:spacing w:val="0"/>
          <w:szCs w:val="20"/>
          <w:lang w:val="en-US"/>
        </w:rPr>
        <w:t>and</w:t>
      </w:r>
      <w:r w:rsidR="00FC0822" w:rsidRPr="00300A27">
        <w:rPr>
          <w:spacing w:val="0"/>
          <w:szCs w:val="20"/>
          <w:lang w:val="en-US"/>
        </w:rPr>
        <w:t xml:space="preserve"> it is not incumbent on this Court to make</w:t>
      </w:r>
      <w:r w:rsidR="00CF4DBC" w:rsidRPr="00300A27">
        <w:rPr>
          <w:spacing w:val="0"/>
          <w:szCs w:val="20"/>
          <w:lang w:val="en-US"/>
        </w:rPr>
        <w:t xml:space="preserve"> this type of ruling</w:t>
      </w:r>
      <w:r w:rsidR="00FC0822" w:rsidRPr="00300A27">
        <w:rPr>
          <w:spacing w:val="0"/>
          <w:szCs w:val="20"/>
          <w:lang w:val="en-US"/>
        </w:rPr>
        <w:t xml:space="preserve"> in a contentious case.</w:t>
      </w:r>
      <w:r w:rsidR="007A19E5" w:rsidRPr="00300A27">
        <w:rPr>
          <w:rStyle w:val="Refdenotaalpie"/>
          <w:spacing w:val="0"/>
          <w:szCs w:val="20"/>
          <w:lang w:val="en-US"/>
        </w:rPr>
        <w:footnoteReference w:id="170"/>
      </w:r>
      <w:r w:rsidR="00FC0822" w:rsidRPr="00300A27">
        <w:rPr>
          <w:spacing w:val="0"/>
          <w:szCs w:val="20"/>
          <w:lang w:val="en-US"/>
        </w:rPr>
        <w:t xml:space="preserve"> Based on all the above, the Court does not find it necessary to rule on the alleged violation</w:t>
      </w:r>
      <w:r w:rsidR="00270AE3" w:rsidRPr="00300A27">
        <w:rPr>
          <w:spacing w:val="0"/>
          <w:szCs w:val="20"/>
          <w:lang w:val="en-US"/>
        </w:rPr>
        <w:t xml:space="preserve"> </w:t>
      </w:r>
      <w:r w:rsidR="007071F6" w:rsidRPr="00300A27">
        <w:rPr>
          <w:spacing w:val="0"/>
          <w:szCs w:val="20"/>
          <w:lang w:val="en-US"/>
        </w:rPr>
        <w:t>of Article</w:t>
      </w:r>
      <w:r w:rsidR="00270AE3" w:rsidRPr="00300A27">
        <w:rPr>
          <w:spacing w:val="0"/>
          <w:szCs w:val="20"/>
          <w:lang w:val="en-US"/>
        </w:rPr>
        <w:t xml:space="preserve"> 2</w:t>
      </w:r>
      <w:r w:rsidR="005B1C65" w:rsidRPr="00300A27">
        <w:rPr>
          <w:spacing w:val="0"/>
          <w:szCs w:val="20"/>
          <w:lang w:val="en-US"/>
        </w:rPr>
        <w:t xml:space="preserve"> of the Convention</w:t>
      </w:r>
      <w:r w:rsidR="00270AE3" w:rsidRPr="00300A27">
        <w:rPr>
          <w:spacing w:val="0"/>
          <w:szCs w:val="20"/>
          <w:lang w:val="en-US"/>
        </w:rPr>
        <w:t xml:space="preserve">. </w:t>
      </w:r>
      <w:r w:rsidR="00FC0822" w:rsidRPr="00300A27">
        <w:rPr>
          <w:spacing w:val="0"/>
          <w:szCs w:val="20"/>
          <w:lang w:val="en-US"/>
        </w:rPr>
        <w:t xml:space="preserve">However, the Court notes that it would be desirable to adapt this article to the actual technology </w:t>
      </w:r>
      <w:r w:rsidR="00CF4DBC" w:rsidRPr="00300A27">
        <w:rPr>
          <w:spacing w:val="0"/>
          <w:szCs w:val="20"/>
          <w:lang w:val="en-US"/>
        </w:rPr>
        <w:t xml:space="preserve">for </w:t>
      </w:r>
      <w:r w:rsidR="00FC0822" w:rsidRPr="00300A27">
        <w:rPr>
          <w:spacing w:val="0"/>
          <w:szCs w:val="20"/>
          <w:lang w:val="en-US"/>
        </w:rPr>
        <w:t xml:space="preserve">identification and verification of </w:t>
      </w:r>
      <w:r w:rsidR="00CF4DBC" w:rsidRPr="00300A27">
        <w:rPr>
          <w:spacing w:val="0"/>
          <w:szCs w:val="20"/>
          <w:lang w:val="en-US"/>
        </w:rPr>
        <w:t>arrest warrant records.</w:t>
      </w:r>
    </w:p>
    <w:p w14:paraId="04817A72" w14:textId="60048377" w:rsidR="00785348" w:rsidRPr="00300A27" w:rsidRDefault="00785348" w:rsidP="00B243B6">
      <w:pPr>
        <w:pStyle w:val="Ttulo1"/>
        <w:rPr>
          <w:lang w:val="en-US"/>
        </w:rPr>
      </w:pPr>
      <w:bookmarkStart w:id="104" w:name="_Toc32394166"/>
      <w:bookmarkStart w:id="105" w:name="_Toc36823484"/>
      <w:bookmarkEnd w:id="103"/>
      <w:r w:rsidRPr="00300A27">
        <w:rPr>
          <w:lang w:val="en-US"/>
        </w:rPr>
        <w:t>VII-</w:t>
      </w:r>
      <w:r w:rsidR="008E4AA0" w:rsidRPr="00300A27">
        <w:rPr>
          <w:lang w:val="en-US"/>
        </w:rPr>
        <w:t>3</w:t>
      </w:r>
      <w:r w:rsidRPr="00300A27">
        <w:rPr>
          <w:lang w:val="en-US"/>
        </w:rPr>
        <w:br/>
      </w:r>
      <w:r w:rsidR="002959DE" w:rsidRPr="00300A27">
        <w:rPr>
          <w:lang w:val="en-US"/>
        </w:rPr>
        <w:t>RIGHTS TO PERSONAL INTEGRITY AND TO PRIVACY</w:t>
      </w:r>
      <w:bookmarkEnd w:id="104"/>
      <w:r w:rsidR="00F770C1" w:rsidRPr="00300A27">
        <w:rPr>
          <w:rStyle w:val="Refdenotaalpie"/>
          <w:lang w:val="en-US"/>
        </w:rPr>
        <w:footnoteReference w:id="171"/>
      </w:r>
      <w:bookmarkEnd w:id="105"/>
    </w:p>
    <w:p w14:paraId="764326BA" w14:textId="35C4396F" w:rsidR="00785348" w:rsidRPr="00300A27" w:rsidRDefault="00FD36FD" w:rsidP="00B243B6">
      <w:pPr>
        <w:pStyle w:val="Ttulo2"/>
        <w:numPr>
          <w:ilvl w:val="0"/>
          <w:numId w:val="15"/>
        </w:numPr>
        <w:tabs>
          <w:tab w:val="clear" w:pos="1134"/>
          <w:tab w:val="left" w:pos="567"/>
        </w:tabs>
        <w:ind w:left="1134" w:hanging="567"/>
        <w:rPr>
          <w:lang w:val="en-US"/>
        </w:rPr>
      </w:pPr>
      <w:bookmarkStart w:id="106" w:name="_Toc32394167"/>
      <w:bookmarkStart w:id="107" w:name="_Toc36823485"/>
      <w:r w:rsidRPr="00300A27">
        <w:rPr>
          <w:lang w:val="en-US"/>
        </w:rPr>
        <w:t>Arguments of the parties</w:t>
      </w:r>
      <w:r w:rsidR="005B1C65" w:rsidRPr="00300A27">
        <w:rPr>
          <w:lang w:val="en-US"/>
        </w:rPr>
        <w:t xml:space="preserve"> and</w:t>
      </w:r>
      <w:r w:rsidR="007071F6" w:rsidRPr="00300A27">
        <w:rPr>
          <w:lang w:val="en-US"/>
        </w:rPr>
        <w:t xml:space="preserve"> of the </w:t>
      </w:r>
      <w:r w:rsidR="00C2001D" w:rsidRPr="00300A27">
        <w:rPr>
          <w:lang w:val="en-US"/>
        </w:rPr>
        <w:t>Commission</w:t>
      </w:r>
      <w:bookmarkEnd w:id="106"/>
      <w:bookmarkEnd w:id="107"/>
    </w:p>
    <w:p w14:paraId="63969A6D" w14:textId="50E2B957" w:rsidR="00CC6548" w:rsidRPr="00300A27" w:rsidRDefault="00C2001D" w:rsidP="00B243B6">
      <w:pPr>
        <w:pStyle w:val="PrrafodeSentencia"/>
        <w:numPr>
          <w:ilvl w:val="0"/>
          <w:numId w:val="3"/>
        </w:numPr>
        <w:spacing w:before="120" w:after="120"/>
        <w:ind w:left="0" w:firstLine="0"/>
        <w:rPr>
          <w:spacing w:val="0"/>
          <w:lang w:val="en-US"/>
        </w:rPr>
      </w:pPr>
      <w:r w:rsidRPr="00300A27">
        <w:rPr>
          <w:spacing w:val="0"/>
          <w:lang w:val="en-US"/>
        </w:rPr>
        <w:t xml:space="preserve">The </w:t>
      </w:r>
      <w:r w:rsidRPr="00300A27">
        <w:rPr>
          <w:b/>
          <w:bCs/>
          <w:i/>
          <w:iCs/>
          <w:spacing w:val="0"/>
          <w:lang w:val="en-US"/>
        </w:rPr>
        <w:t>Commission</w:t>
      </w:r>
      <w:r w:rsidR="00785348" w:rsidRPr="00300A27">
        <w:rPr>
          <w:spacing w:val="0"/>
          <w:lang w:val="en-US"/>
        </w:rPr>
        <w:t xml:space="preserve"> </w:t>
      </w:r>
      <w:r w:rsidR="00CC6548" w:rsidRPr="00300A27">
        <w:rPr>
          <w:spacing w:val="0"/>
          <w:lang w:val="en-US"/>
        </w:rPr>
        <w:t>argue</w:t>
      </w:r>
      <w:r w:rsidR="0013678A" w:rsidRPr="00300A27">
        <w:rPr>
          <w:spacing w:val="0"/>
          <w:lang w:val="en-US"/>
        </w:rPr>
        <w:t>d</w:t>
      </w:r>
      <w:r w:rsidR="00CC6548" w:rsidRPr="00300A27">
        <w:rPr>
          <w:spacing w:val="0"/>
          <w:lang w:val="en-US"/>
        </w:rPr>
        <w:t xml:space="preserve"> that</w:t>
      </w:r>
      <w:r w:rsidR="00785348" w:rsidRPr="00300A27">
        <w:rPr>
          <w:spacing w:val="0"/>
          <w:lang w:val="en-US"/>
        </w:rPr>
        <w:t xml:space="preserve"> “</w:t>
      </w:r>
      <w:r w:rsidR="00CC6548" w:rsidRPr="00300A27">
        <w:rPr>
          <w:spacing w:val="0"/>
          <w:lang w:val="en-US"/>
        </w:rPr>
        <w:t xml:space="preserve">the existence of serious acts of physical and psychological violence […] against </w:t>
      </w:r>
      <w:r w:rsidR="00785348" w:rsidRPr="00300A27">
        <w:rPr>
          <w:spacing w:val="0"/>
          <w:lang w:val="en-US"/>
        </w:rPr>
        <w:t>Azul Rojas Marín</w:t>
      </w:r>
      <w:r w:rsidR="00CC6548" w:rsidRPr="00300A27">
        <w:rPr>
          <w:spacing w:val="0"/>
          <w:lang w:val="en-US"/>
        </w:rPr>
        <w:t xml:space="preserve"> was proved</w:t>
      </w:r>
      <w:r w:rsidR="00785348" w:rsidRPr="00300A27">
        <w:rPr>
          <w:spacing w:val="0"/>
          <w:lang w:val="en-US"/>
        </w:rPr>
        <w:t xml:space="preserve">” </w:t>
      </w:r>
      <w:r w:rsidR="00CC6548" w:rsidRPr="00300A27">
        <w:rPr>
          <w:spacing w:val="0"/>
          <w:lang w:val="en-US"/>
        </w:rPr>
        <w:t>for three reasons</w:t>
      </w:r>
      <w:r w:rsidR="00785348" w:rsidRPr="00300A27">
        <w:rPr>
          <w:spacing w:val="0"/>
          <w:lang w:val="en-US"/>
        </w:rPr>
        <w:t>: (i) Azul Rojas Marín “ha</w:t>
      </w:r>
      <w:r w:rsidR="00CC6548" w:rsidRPr="00300A27">
        <w:rPr>
          <w:spacing w:val="0"/>
          <w:lang w:val="en-US"/>
        </w:rPr>
        <w:t xml:space="preserve">s made consistent statements” about the </w:t>
      </w:r>
      <w:r w:rsidR="0013678A" w:rsidRPr="00300A27">
        <w:rPr>
          <w:spacing w:val="0"/>
          <w:lang w:val="en-US"/>
        </w:rPr>
        <w:t>events</w:t>
      </w:r>
      <w:r w:rsidR="00CC6548" w:rsidRPr="00300A27">
        <w:rPr>
          <w:spacing w:val="0"/>
          <w:lang w:val="en-US"/>
        </w:rPr>
        <w:t xml:space="preserve"> that occurred during her detention. “The fact that</w:t>
      </w:r>
      <w:r w:rsidR="0013678A" w:rsidRPr="00300A27">
        <w:rPr>
          <w:spacing w:val="0"/>
          <w:lang w:val="en-US"/>
        </w:rPr>
        <w:t>,</w:t>
      </w:r>
      <w:r w:rsidR="00CC6548" w:rsidRPr="00300A27">
        <w:rPr>
          <w:spacing w:val="0"/>
          <w:lang w:val="en-US"/>
        </w:rPr>
        <w:t xml:space="preserve"> in her first statement</w:t>
      </w:r>
      <w:r w:rsidR="0013678A" w:rsidRPr="00300A27">
        <w:rPr>
          <w:spacing w:val="0"/>
          <w:lang w:val="en-US"/>
        </w:rPr>
        <w:t>,</w:t>
      </w:r>
      <w:r w:rsidR="00CC6548" w:rsidRPr="00300A27">
        <w:rPr>
          <w:spacing w:val="0"/>
          <w:lang w:val="en-US"/>
        </w:rPr>
        <w:t xml:space="preserve"> Azul Rojas Marín described some forms of sexual abuse and then supplemented her description” did not refute the credibility of her version of the facts; (ii) despite the deficiencies in the forensic medical examination, the report documented physical injuries “compatible with some of the </w:t>
      </w:r>
      <w:r w:rsidR="0013678A" w:rsidRPr="00300A27">
        <w:rPr>
          <w:spacing w:val="0"/>
          <w:lang w:val="en-US"/>
        </w:rPr>
        <w:t>acts</w:t>
      </w:r>
      <w:r w:rsidR="00CC6548" w:rsidRPr="00300A27">
        <w:rPr>
          <w:spacing w:val="0"/>
          <w:lang w:val="en-US"/>
        </w:rPr>
        <w:t xml:space="preserve"> that she reported,” and (iii) having already established that “the deprivation of liberty of Azul Rojas Marín was unlawful, arbitrary and discriminatory,” the State created the situation of risk for her personal safety. It also considered that the elements required to consider the said acts as torture were present. </w:t>
      </w:r>
    </w:p>
    <w:p w14:paraId="4EF0589D" w14:textId="35EF692D" w:rsidR="00785348" w:rsidRPr="00300A27" w:rsidRDefault="00BA3C7F" w:rsidP="00B243B6">
      <w:pPr>
        <w:pStyle w:val="PrrafodeSentencia"/>
        <w:numPr>
          <w:ilvl w:val="0"/>
          <w:numId w:val="3"/>
        </w:numPr>
        <w:spacing w:before="120" w:after="120"/>
        <w:ind w:left="0" w:firstLine="0"/>
        <w:rPr>
          <w:spacing w:val="0"/>
          <w:szCs w:val="20"/>
          <w:lang w:val="en-US"/>
        </w:rPr>
      </w:pPr>
      <w:r w:rsidRPr="00300A27">
        <w:rPr>
          <w:spacing w:val="0"/>
          <w:szCs w:val="20"/>
          <w:lang w:val="en-US"/>
        </w:rPr>
        <w:t xml:space="preserve">The </w:t>
      </w:r>
      <w:r w:rsidRPr="00300A27">
        <w:rPr>
          <w:b/>
          <w:bCs/>
          <w:i/>
          <w:iCs/>
          <w:spacing w:val="0"/>
          <w:szCs w:val="20"/>
          <w:lang w:val="en-US"/>
        </w:rPr>
        <w:t>representatives</w:t>
      </w:r>
      <w:r w:rsidR="00785348" w:rsidRPr="00300A27">
        <w:rPr>
          <w:b/>
          <w:i/>
          <w:spacing w:val="0"/>
          <w:szCs w:val="20"/>
          <w:lang w:val="en-US"/>
        </w:rPr>
        <w:t xml:space="preserve"> </w:t>
      </w:r>
      <w:r w:rsidR="00CC6548" w:rsidRPr="00300A27">
        <w:rPr>
          <w:spacing w:val="0"/>
          <w:szCs w:val="20"/>
          <w:lang w:val="en-US"/>
        </w:rPr>
        <w:t>argued that</w:t>
      </w:r>
      <w:r w:rsidR="00785348" w:rsidRPr="00300A27">
        <w:rPr>
          <w:spacing w:val="0"/>
          <w:szCs w:val="20"/>
          <w:lang w:val="en-US"/>
        </w:rPr>
        <w:t xml:space="preserve"> “</w:t>
      </w:r>
      <w:r w:rsidR="00CC6548" w:rsidRPr="00300A27">
        <w:rPr>
          <w:spacing w:val="0"/>
          <w:szCs w:val="20"/>
          <w:lang w:val="en-US"/>
        </w:rPr>
        <w:t>discrimination on the basis of sexual orientation</w:t>
      </w:r>
      <w:r w:rsidR="005B1C65" w:rsidRPr="00300A27">
        <w:rPr>
          <w:spacing w:val="0"/>
          <w:szCs w:val="20"/>
          <w:lang w:val="en-US"/>
        </w:rPr>
        <w:t xml:space="preserve"> and </w:t>
      </w:r>
      <w:r w:rsidR="00CC6548" w:rsidRPr="00300A27">
        <w:rPr>
          <w:spacing w:val="0"/>
          <w:szCs w:val="20"/>
          <w:lang w:val="en-US"/>
        </w:rPr>
        <w:t>gender expression</w:t>
      </w:r>
      <w:r w:rsidR="00785348" w:rsidRPr="00300A27">
        <w:rPr>
          <w:spacing w:val="0"/>
          <w:szCs w:val="20"/>
          <w:lang w:val="en-US"/>
        </w:rPr>
        <w:t xml:space="preserve"> </w:t>
      </w:r>
      <w:r w:rsidR="00CC6548" w:rsidRPr="00300A27">
        <w:rPr>
          <w:spacing w:val="0"/>
          <w:szCs w:val="20"/>
          <w:lang w:val="en-US"/>
        </w:rPr>
        <w:t xml:space="preserve">was the reason for the sexual violence and [rape] of Azul, which signified a form of violation of her sexual liberty due, above all, to this prejudice.” They indicated that it was “fully proved that Azul Rojas Marín was a victim of sexual violence, including rape, by agents of the Peruvian State.” They characterized the acts as torture “in view of the severity of the violence suffered by Azul.” Regarding the intentionality of the acts, they argued that “the acts committed by the </w:t>
      </w:r>
      <w:r w:rsidR="00CC6548" w:rsidRPr="00300A27">
        <w:rPr>
          <w:i/>
          <w:iCs/>
          <w:spacing w:val="0"/>
          <w:szCs w:val="20"/>
          <w:lang w:val="en-US"/>
        </w:rPr>
        <w:t>serenazgo</w:t>
      </w:r>
      <w:r w:rsidR="00CC6548" w:rsidRPr="00300A27">
        <w:rPr>
          <w:spacing w:val="0"/>
          <w:szCs w:val="20"/>
          <w:lang w:val="en-US"/>
        </w:rPr>
        <w:t xml:space="preserve"> agents and the police were deliberate, intentional and calculated.” With regard to the severity, they indicated that “severe physical and mental suffering is inherent in rape.” Regarding the purpose, they considered that “the torture and inhuman treatment to which Azul was subjected sought to humiliate and punish her owing to her sexual orientation.</w:t>
      </w:r>
      <w:r w:rsidR="00785348" w:rsidRPr="00300A27">
        <w:rPr>
          <w:spacing w:val="0"/>
          <w:szCs w:val="20"/>
          <w:lang w:val="en-US"/>
        </w:rPr>
        <w:t xml:space="preserve">” </w:t>
      </w:r>
      <w:r w:rsidR="00CC6548" w:rsidRPr="00300A27">
        <w:rPr>
          <w:spacing w:val="0"/>
          <w:szCs w:val="20"/>
          <w:lang w:val="en-US"/>
        </w:rPr>
        <w:t>They argued that an additional motive “had been to obtain information from the victim concerning the whereabouts of her brother.” In addition to constituting acts of torture, they considered that “all the forms of violence suffered by Azul (that is, the rape, the other forms of physical violence and the verbal aggression) involved a form of arbitrary an</w:t>
      </w:r>
      <w:r w:rsidR="0013678A" w:rsidRPr="00300A27">
        <w:rPr>
          <w:spacing w:val="0"/>
          <w:szCs w:val="20"/>
          <w:lang w:val="en-US"/>
        </w:rPr>
        <w:t>d</w:t>
      </w:r>
      <w:r w:rsidR="00CC6548" w:rsidRPr="00300A27">
        <w:rPr>
          <w:spacing w:val="0"/>
          <w:szCs w:val="20"/>
          <w:lang w:val="en-US"/>
        </w:rPr>
        <w:t xml:space="preserve"> abusive interference in her privacy.” Lastly, they indicated that “the lack of due diligence in the investigation by the system of justice” in this case “constitute[d] cruel, inhuman or degrading treatment according to</w:t>
      </w:r>
      <w:r w:rsidR="00785348" w:rsidRPr="00300A27">
        <w:rPr>
          <w:spacing w:val="0"/>
          <w:szCs w:val="20"/>
          <w:lang w:val="en-US"/>
        </w:rPr>
        <w:t xml:space="preserve"> </w:t>
      </w:r>
      <w:r w:rsidR="005B1C65" w:rsidRPr="00300A27">
        <w:rPr>
          <w:spacing w:val="0"/>
          <w:szCs w:val="20"/>
          <w:lang w:val="en-US"/>
        </w:rPr>
        <w:t>the American Convention</w:t>
      </w:r>
      <w:r w:rsidR="00CC6548" w:rsidRPr="00300A27">
        <w:rPr>
          <w:spacing w:val="0"/>
          <w:szCs w:val="20"/>
          <w:lang w:val="en-US"/>
        </w:rPr>
        <w:t>.</w:t>
      </w:r>
      <w:r w:rsidR="00AD5FF3" w:rsidRPr="00300A27">
        <w:rPr>
          <w:spacing w:val="0"/>
          <w:szCs w:val="20"/>
          <w:lang w:val="en-US"/>
        </w:rPr>
        <w:t>”</w:t>
      </w:r>
      <w:r w:rsidR="00785348" w:rsidRPr="00300A27">
        <w:rPr>
          <w:spacing w:val="0"/>
          <w:szCs w:val="20"/>
          <w:lang w:val="en-US"/>
        </w:rPr>
        <w:t xml:space="preserve"> </w:t>
      </w:r>
    </w:p>
    <w:p w14:paraId="724D778D" w14:textId="5EF8564E" w:rsidR="004B30A3" w:rsidRPr="00300A27" w:rsidRDefault="005B1C65" w:rsidP="00B243B6">
      <w:pPr>
        <w:pStyle w:val="PrrafodeSentencia"/>
        <w:numPr>
          <w:ilvl w:val="0"/>
          <w:numId w:val="3"/>
        </w:numPr>
        <w:spacing w:before="120" w:after="120"/>
        <w:ind w:left="0" w:firstLine="0"/>
        <w:rPr>
          <w:rFonts w:eastAsiaTheme="minorHAnsi" w:cs="Arial"/>
          <w:spacing w:val="0"/>
          <w:szCs w:val="20"/>
          <w:lang w:val="en-US"/>
        </w:rPr>
      </w:pPr>
      <w:r w:rsidRPr="00300A27">
        <w:rPr>
          <w:spacing w:val="0"/>
          <w:szCs w:val="20"/>
          <w:lang w:val="en-US"/>
        </w:rPr>
        <w:t xml:space="preserve">The </w:t>
      </w:r>
      <w:r w:rsidRPr="00300A27">
        <w:rPr>
          <w:b/>
          <w:bCs/>
          <w:i/>
          <w:iCs/>
          <w:spacing w:val="0"/>
          <w:szCs w:val="20"/>
          <w:lang w:val="en-US"/>
        </w:rPr>
        <w:t>State</w:t>
      </w:r>
      <w:r w:rsidR="00785348" w:rsidRPr="00300A27">
        <w:rPr>
          <w:spacing w:val="0"/>
          <w:szCs w:val="20"/>
          <w:lang w:val="en-US"/>
        </w:rPr>
        <w:t xml:space="preserve"> a</w:t>
      </w:r>
      <w:r w:rsidR="00CC6548" w:rsidRPr="00300A27">
        <w:rPr>
          <w:spacing w:val="0"/>
          <w:szCs w:val="20"/>
          <w:lang w:val="en-US"/>
        </w:rPr>
        <w:t>rgued that “the legal c</w:t>
      </w:r>
      <w:r w:rsidR="00E36950" w:rsidRPr="00300A27">
        <w:rPr>
          <w:spacing w:val="0"/>
          <w:szCs w:val="20"/>
          <w:lang w:val="en-US"/>
        </w:rPr>
        <w:t>lassificat</w:t>
      </w:r>
      <w:r w:rsidR="00CC6548" w:rsidRPr="00300A27">
        <w:rPr>
          <w:spacing w:val="0"/>
          <w:szCs w:val="20"/>
          <w:lang w:val="en-US"/>
        </w:rPr>
        <w:t>ion of the facts correspon</w:t>
      </w:r>
      <w:r w:rsidR="004B30A3" w:rsidRPr="00300A27">
        <w:rPr>
          <w:spacing w:val="0"/>
          <w:szCs w:val="20"/>
          <w:lang w:val="en-US"/>
        </w:rPr>
        <w:t>d</w:t>
      </w:r>
      <w:r w:rsidR="00CC6548" w:rsidRPr="00300A27">
        <w:rPr>
          <w:spacing w:val="0"/>
          <w:szCs w:val="20"/>
          <w:lang w:val="en-US"/>
        </w:rPr>
        <w:t xml:space="preserve">s to the domestic authorities.” </w:t>
      </w:r>
      <w:r w:rsidR="004B30A3" w:rsidRPr="00300A27">
        <w:rPr>
          <w:spacing w:val="0"/>
          <w:szCs w:val="20"/>
          <w:lang w:val="en-US"/>
        </w:rPr>
        <w:t xml:space="preserve">Nevertheless, it indicated that to constitute the </w:t>
      </w:r>
      <w:r w:rsidR="0013678A" w:rsidRPr="00300A27">
        <w:rPr>
          <w:spacing w:val="0"/>
          <w:szCs w:val="20"/>
          <w:lang w:val="en-US"/>
        </w:rPr>
        <w:t>crime</w:t>
      </w:r>
      <w:r w:rsidR="004B30A3" w:rsidRPr="00300A27">
        <w:rPr>
          <w:spacing w:val="0"/>
          <w:szCs w:val="20"/>
          <w:lang w:val="en-US"/>
        </w:rPr>
        <w:t xml:space="preserve"> of torture, a special intentionality must exist, which had not been proved in this case. It also indicated that “it cannot be affirmed that the legal definition of torture – as it was regulated at the time of the facts – had a decisive impact on the different decisions of the prosecution service that decided not to expand the investigation to include the </w:t>
      </w:r>
      <w:r w:rsidR="0013678A" w:rsidRPr="00300A27">
        <w:rPr>
          <w:spacing w:val="0"/>
          <w:szCs w:val="20"/>
          <w:lang w:val="en-US"/>
        </w:rPr>
        <w:t>crime</w:t>
      </w:r>
      <w:r w:rsidR="004B30A3" w:rsidRPr="00300A27">
        <w:rPr>
          <w:spacing w:val="0"/>
          <w:szCs w:val="20"/>
          <w:lang w:val="en-US"/>
        </w:rPr>
        <w:t xml:space="preserve"> of torture. On this basis, the State considered that it was not appropriate to declare that the legal definition of torture be amended.” It also clarified that the legal definition of torture had been amended in 2017.</w:t>
      </w:r>
    </w:p>
    <w:p w14:paraId="72B3EB23" w14:textId="60FFCE11" w:rsidR="00785348" w:rsidRPr="00300A27" w:rsidRDefault="009B35A1" w:rsidP="00B243B6">
      <w:pPr>
        <w:pStyle w:val="Ttulo2"/>
        <w:numPr>
          <w:ilvl w:val="0"/>
          <w:numId w:val="32"/>
        </w:numPr>
        <w:ind w:left="1134" w:hanging="567"/>
        <w:rPr>
          <w:lang w:val="en-US" w:eastAsia="es-MX"/>
        </w:rPr>
      </w:pPr>
      <w:bookmarkStart w:id="108" w:name="_Toc32394168"/>
      <w:bookmarkStart w:id="109" w:name="_Toc36823486"/>
      <w:r w:rsidRPr="00300A27">
        <w:rPr>
          <w:lang w:val="en-US" w:eastAsia="es-MX"/>
        </w:rPr>
        <w:t>Considerations</w:t>
      </w:r>
      <w:r w:rsidR="005B1C65" w:rsidRPr="00300A27">
        <w:rPr>
          <w:lang w:val="en-US" w:eastAsia="es-MX"/>
        </w:rPr>
        <w:t xml:space="preserve"> of the Court</w:t>
      </w:r>
      <w:bookmarkEnd w:id="108"/>
      <w:bookmarkEnd w:id="109"/>
    </w:p>
    <w:p w14:paraId="7B50955F" w14:textId="65F91253" w:rsidR="00785348" w:rsidRPr="00300A27" w:rsidRDefault="005B1C65" w:rsidP="00B243B6">
      <w:pPr>
        <w:pStyle w:val="PrrafodeSentencia"/>
        <w:numPr>
          <w:ilvl w:val="0"/>
          <w:numId w:val="3"/>
        </w:numPr>
        <w:spacing w:before="120" w:after="120"/>
        <w:ind w:left="0" w:firstLine="0"/>
        <w:rPr>
          <w:spacing w:val="0"/>
          <w:lang w:val="en-US"/>
        </w:rPr>
      </w:pPr>
      <w:bookmarkStart w:id="110" w:name="_Ref33106369"/>
      <w:bookmarkStart w:id="111" w:name="_Ref532987162"/>
      <w:r w:rsidRPr="00300A27">
        <w:rPr>
          <w:rFonts w:eastAsia="Calibri"/>
          <w:spacing w:val="0"/>
          <w:lang w:val="en-US"/>
        </w:rPr>
        <w:t>Article</w:t>
      </w:r>
      <w:r w:rsidR="00785348" w:rsidRPr="00300A27">
        <w:rPr>
          <w:spacing w:val="0"/>
          <w:lang w:val="en-US"/>
        </w:rPr>
        <w:t xml:space="preserve"> </w:t>
      </w:r>
      <w:r w:rsidR="00BA3C7F" w:rsidRPr="00300A27">
        <w:rPr>
          <w:spacing w:val="0"/>
          <w:lang w:val="en-US"/>
        </w:rPr>
        <w:t>5(1)</w:t>
      </w:r>
      <w:r w:rsidRPr="00300A27">
        <w:rPr>
          <w:spacing w:val="0"/>
          <w:lang w:val="en-US"/>
        </w:rPr>
        <w:t xml:space="preserve"> of the Convention</w:t>
      </w:r>
      <w:r w:rsidR="00785348" w:rsidRPr="00300A27">
        <w:rPr>
          <w:spacing w:val="0"/>
          <w:lang w:val="en-US"/>
        </w:rPr>
        <w:t xml:space="preserve"> </w:t>
      </w:r>
      <w:r w:rsidR="004B30A3" w:rsidRPr="00300A27">
        <w:rPr>
          <w:spacing w:val="0"/>
          <w:lang w:val="en-US"/>
        </w:rPr>
        <w:t>establishes</w:t>
      </w:r>
      <w:r w:rsidR="0013678A" w:rsidRPr="00300A27">
        <w:rPr>
          <w:spacing w:val="0"/>
          <w:lang w:val="en-US"/>
        </w:rPr>
        <w:t xml:space="preserve"> </w:t>
      </w:r>
      <w:r w:rsidR="00D939AE" w:rsidRPr="00300A27">
        <w:rPr>
          <w:spacing w:val="0"/>
          <w:lang w:val="en-US"/>
        </w:rPr>
        <w:t>the right to personal integrity</w:t>
      </w:r>
      <w:r w:rsidR="00785348" w:rsidRPr="00300A27">
        <w:rPr>
          <w:spacing w:val="0"/>
          <w:lang w:val="en-US"/>
        </w:rPr>
        <w:t>,</w:t>
      </w:r>
      <w:r w:rsidR="004B30A3" w:rsidRPr="00300A27">
        <w:rPr>
          <w:spacing w:val="0"/>
          <w:lang w:val="en-US"/>
        </w:rPr>
        <w:t xml:space="preserve"> both physical and also mental and moral</w:t>
      </w:r>
      <w:r w:rsidR="0013678A" w:rsidRPr="00300A27">
        <w:rPr>
          <w:spacing w:val="0"/>
          <w:lang w:val="en-US"/>
        </w:rPr>
        <w:t>, in general terms</w:t>
      </w:r>
      <w:r w:rsidR="004B30A3" w:rsidRPr="00300A27">
        <w:rPr>
          <w:spacing w:val="0"/>
          <w:lang w:val="en-US"/>
        </w:rPr>
        <w:t xml:space="preserve">. While </w:t>
      </w:r>
      <w:r w:rsidRPr="00300A27">
        <w:rPr>
          <w:spacing w:val="0"/>
          <w:lang w:val="en-US"/>
        </w:rPr>
        <w:t>Article</w:t>
      </w:r>
      <w:r w:rsidR="00785348" w:rsidRPr="00300A27">
        <w:rPr>
          <w:spacing w:val="0"/>
          <w:lang w:val="en-US"/>
        </w:rPr>
        <w:t xml:space="preserve"> </w:t>
      </w:r>
      <w:r w:rsidR="00BA3C7F" w:rsidRPr="00300A27">
        <w:rPr>
          <w:spacing w:val="0"/>
          <w:lang w:val="en-US"/>
        </w:rPr>
        <w:t>5(2)</w:t>
      </w:r>
      <w:r w:rsidR="00785348" w:rsidRPr="00300A27">
        <w:rPr>
          <w:spacing w:val="0"/>
          <w:lang w:val="en-US"/>
        </w:rPr>
        <w:t xml:space="preserve"> establ</w:t>
      </w:r>
      <w:r w:rsidR="004B30A3" w:rsidRPr="00300A27">
        <w:rPr>
          <w:spacing w:val="0"/>
          <w:lang w:val="en-US"/>
        </w:rPr>
        <w:t xml:space="preserve">ishes, more specifically, the absolute prohibition to subject someone to torture or to cruel, inhuman or degrading treatment or punishment, and also the right of all persons deprived of their liberty to be treated with respect for the inherent dignity of the human person. The Court understands that any violation </w:t>
      </w:r>
      <w:r w:rsidR="007071F6" w:rsidRPr="00300A27">
        <w:rPr>
          <w:spacing w:val="0"/>
          <w:lang w:val="en-US"/>
        </w:rPr>
        <w:t>of Article</w:t>
      </w:r>
      <w:r w:rsidR="00785348" w:rsidRPr="00300A27">
        <w:rPr>
          <w:spacing w:val="0"/>
          <w:lang w:val="en-US"/>
        </w:rPr>
        <w:t xml:space="preserve"> </w:t>
      </w:r>
      <w:r w:rsidR="00BA3C7F" w:rsidRPr="00300A27">
        <w:rPr>
          <w:spacing w:val="0"/>
          <w:lang w:val="en-US"/>
        </w:rPr>
        <w:t>5(2)</w:t>
      </w:r>
      <w:r w:rsidRPr="00300A27">
        <w:rPr>
          <w:spacing w:val="0"/>
          <w:lang w:val="en-US"/>
        </w:rPr>
        <w:t xml:space="preserve"> of the American Convention</w:t>
      </w:r>
      <w:r w:rsidR="00785348" w:rsidRPr="00300A27">
        <w:rPr>
          <w:spacing w:val="0"/>
          <w:lang w:val="en-US"/>
        </w:rPr>
        <w:t xml:space="preserve"> </w:t>
      </w:r>
      <w:r w:rsidR="004B30A3" w:rsidRPr="00300A27">
        <w:rPr>
          <w:spacing w:val="0"/>
          <w:lang w:val="en-US"/>
        </w:rPr>
        <w:t>necessarily entails the</w:t>
      </w:r>
      <w:r w:rsidR="00785348" w:rsidRPr="00300A27">
        <w:rPr>
          <w:spacing w:val="0"/>
          <w:lang w:val="en-US"/>
        </w:rPr>
        <w:t xml:space="preserve"> viola</w:t>
      </w:r>
      <w:r w:rsidR="004B30A3" w:rsidRPr="00300A27">
        <w:rPr>
          <w:spacing w:val="0"/>
          <w:lang w:val="en-US"/>
        </w:rPr>
        <w:t>tion</w:t>
      </w:r>
      <w:r w:rsidR="00785348" w:rsidRPr="00300A27">
        <w:rPr>
          <w:spacing w:val="0"/>
          <w:lang w:val="en-US"/>
        </w:rPr>
        <w:t xml:space="preserve"> </w:t>
      </w:r>
      <w:r w:rsidR="007071F6" w:rsidRPr="00300A27">
        <w:rPr>
          <w:spacing w:val="0"/>
          <w:lang w:val="en-US"/>
        </w:rPr>
        <w:t>of Article</w:t>
      </w:r>
      <w:r w:rsidR="00785348" w:rsidRPr="00300A27">
        <w:rPr>
          <w:spacing w:val="0"/>
          <w:lang w:val="en-US"/>
        </w:rPr>
        <w:t xml:space="preserve"> </w:t>
      </w:r>
      <w:r w:rsidR="00BA3C7F" w:rsidRPr="00300A27">
        <w:rPr>
          <w:spacing w:val="0"/>
          <w:lang w:val="en-US"/>
        </w:rPr>
        <w:t>5(1)</w:t>
      </w:r>
      <w:r w:rsidR="00785348" w:rsidRPr="00300A27">
        <w:rPr>
          <w:spacing w:val="0"/>
          <w:lang w:val="en-US"/>
        </w:rPr>
        <w:t xml:space="preserve"> </w:t>
      </w:r>
      <w:r w:rsidR="004B30A3" w:rsidRPr="00300A27">
        <w:rPr>
          <w:spacing w:val="0"/>
          <w:lang w:val="en-US"/>
        </w:rPr>
        <w:t>of this instrument.</w:t>
      </w:r>
      <w:r w:rsidR="00785348" w:rsidRPr="00300A27">
        <w:rPr>
          <w:spacing w:val="0"/>
          <w:vertAlign w:val="superscript"/>
          <w:lang w:val="en-US" w:bidi="en-US"/>
        </w:rPr>
        <w:footnoteReference w:id="172"/>
      </w:r>
      <w:bookmarkEnd w:id="110"/>
      <w:r w:rsidR="00785348" w:rsidRPr="00300A27">
        <w:rPr>
          <w:spacing w:val="0"/>
          <w:lang w:val="en-US"/>
        </w:rPr>
        <w:t xml:space="preserve"> </w:t>
      </w:r>
      <w:bookmarkEnd w:id="111"/>
    </w:p>
    <w:p w14:paraId="5D7F60DC" w14:textId="7690724D" w:rsidR="00785348" w:rsidRPr="00300A27" w:rsidRDefault="005B1C65" w:rsidP="00B243B6">
      <w:pPr>
        <w:pStyle w:val="PrrafodeSentencia"/>
        <w:numPr>
          <w:ilvl w:val="0"/>
          <w:numId w:val="3"/>
        </w:numPr>
        <w:spacing w:before="120" w:after="120"/>
        <w:ind w:left="0" w:firstLine="0"/>
        <w:rPr>
          <w:spacing w:val="0"/>
          <w:lang w:val="en-US"/>
        </w:rPr>
      </w:pPr>
      <w:r w:rsidRPr="00300A27">
        <w:rPr>
          <w:spacing w:val="0"/>
          <w:lang w:val="en-US"/>
        </w:rPr>
        <w:t>The Court</w:t>
      </w:r>
      <w:r w:rsidR="00785348" w:rsidRPr="00300A27">
        <w:rPr>
          <w:spacing w:val="0"/>
          <w:lang w:val="en-US"/>
        </w:rPr>
        <w:t xml:space="preserve"> ha</w:t>
      </w:r>
      <w:r w:rsidR="004B30A3" w:rsidRPr="00300A27">
        <w:rPr>
          <w:spacing w:val="0"/>
          <w:lang w:val="en-US"/>
        </w:rPr>
        <w:t>s established that torture and cruel, inhuman or degrading treatment or punishment are absolutely and strictly prohibited by international human rights law. This prohibition is absolute and non-derogable, even in the most difficult circumstances, such as war, threat of war, actions to combat terrorism and any other crimes, state of siege</w:t>
      </w:r>
      <w:r w:rsidR="009A3114" w:rsidRPr="00300A27">
        <w:rPr>
          <w:spacing w:val="0"/>
          <w:lang w:val="en-US"/>
        </w:rPr>
        <w:t xml:space="preserve"> or emergency, internal conflict or unrest, suspension of constitutional guarantees, internal political instability or other public emergencies or catastrophes,</w:t>
      </w:r>
      <w:r w:rsidR="00785348" w:rsidRPr="00300A27">
        <w:rPr>
          <w:spacing w:val="0"/>
          <w:vertAlign w:val="superscript"/>
          <w:lang w:val="en-US"/>
        </w:rPr>
        <w:footnoteReference w:id="173"/>
      </w:r>
      <w:r w:rsidRPr="00300A27">
        <w:rPr>
          <w:spacing w:val="0"/>
          <w:lang w:val="en-US"/>
        </w:rPr>
        <w:t xml:space="preserve"> and </w:t>
      </w:r>
      <w:r w:rsidR="009A3114" w:rsidRPr="00300A27">
        <w:rPr>
          <w:spacing w:val="0"/>
          <w:lang w:val="en-US"/>
        </w:rPr>
        <w:t xml:space="preserve">now belongs to the domain of international </w:t>
      </w:r>
      <w:r w:rsidR="009A3114" w:rsidRPr="00300A27">
        <w:rPr>
          <w:i/>
          <w:spacing w:val="0"/>
          <w:lang w:val="en-US"/>
        </w:rPr>
        <w:t>j</w:t>
      </w:r>
      <w:r w:rsidR="00785348" w:rsidRPr="00300A27">
        <w:rPr>
          <w:i/>
          <w:spacing w:val="0"/>
          <w:lang w:val="en-US"/>
        </w:rPr>
        <w:t>us cogens</w:t>
      </w:r>
      <w:r w:rsidR="009A3114" w:rsidRPr="00300A27">
        <w:rPr>
          <w:spacing w:val="0"/>
          <w:lang w:val="en-US"/>
        </w:rPr>
        <w:t>.</w:t>
      </w:r>
      <w:r w:rsidR="00785348" w:rsidRPr="00300A27">
        <w:rPr>
          <w:spacing w:val="0"/>
          <w:vertAlign w:val="superscript"/>
          <w:lang w:val="en-US"/>
        </w:rPr>
        <w:footnoteReference w:id="174"/>
      </w:r>
      <w:r w:rsidR="00785348" w:rsidRPr="00300A27">
        <w:rPr>
          <w:spacing w:val="0"/>
          <w:lang w:val="en-US"/>
        </w:rPr>
        <w:t xml:space="preserve"> </w:t>
      </w:r>
      <w:r w:rsidR="009A3114" w:rsidRPr="00300A27">
        <w:rPr>
          <w:spacing w:val="0"/>
          <w:lang w:val="en-US"/>
        </w:rPr>
        <w:t>Both universal</w:t>
      </w:r>
      <w:r w:rsidR="00785348" w:rsidRPr="00300A27">
        <w:rPr>
          <w:spacing w:val="0"/>
          <w:vertAlign w:val="superscript"/>
          <w:lang w:val="en-US"/>
        </w:rPr>
        <w:footnoteReference w:id="175"/>
      </w:r>
      <w:r w:rsidRPr="00300A27">
        <w:rPr>
          <w:spacing w:val="0"/>
          <w:lang w:val="en-US"/>
        </w:rPr>
        <w:t xml:space="preserve"> and </w:t>
      </w:r>
      <w:r w:rsidR="00785348" w:rsidRPr="00300A27">
        <w:rPr>
          <w:spacing w:val="0"/>
          <w:lang w:val="en-US"/>
        </w:rPr>
        <w:t>regional</w:t>
      </w:r>
      <w:r w:rsidR="00785348" w:rsidRPr="00300A27">
        <w:rPr>
          <w:spacing w:val="0"/>
          <w:vertAlign w:val="superscript"/>
          <w:lang w:val="en-US"/>
        </w:rPr>
        <w:footnoteReference w:id="176"/>
      </w:r>
      <w:r w:rsidR="009A3114" w:rsidRPr="00300A27">
        <w:rPr>
          <w:spacing w:val="0"/>
          <w:lang w:val="en-US"/>
        </w:rPr>
        <w:t xml:space="preserve"> treaties establish this prohibition and the non-derogable right not to be subjected to any form of torture.</w:t>
      </w:r>
      <w:r w:rsidR="00785348" w:rsidRPr="00300A27">
        <w:rPr>
          <w:spacing w:val="0"/>
          <w:lang w:val="en-US"/>
        </w:rPr>
        <w:t xml:space="preserve"> </w:t>
      </w:r>
    </w:p>
    <w:p w14:paraId="7AB3C1CB" w14:textId="558C7F4D" w:rsidR="00785348" w:rsidRPr="00300A27" w:rsidRDefault="009A3114" w:rsidP="00B243B6">
      <w:pPr>
        <w:pStyle w:val="PrrafodeSentencia"/>
        <w:numPr>
          <w:ilvl w:val="0"/>
          <w:numId w:val="3"/>
        </w:numPr>
        <w:spacing w:before="120" w:after="120"/>
        <w:ind w:left="0" w:firstLine="0"/>
        <w:rPr>
          <w:spacing w:val="0"/>
          <w:lang w:val="en-US"/>
        </w:rPr>
      </w:pPr>
      <w:r w:rsidRPr="00300A27">
        <w:rPr>
          <w:spacing w:val="0"/>
          <w:lang w:val="en-US"/>
        </w:rPr>
        <w:t xml:space="preserve">Furthermore, in cases involving any form of sexual violence, </w:t>
      </w:r>
      <w:r w:rsidR="008444A5" w:rsidRPr="00300A27">
        <w:rPr>
          <w:spacing w:val="0"/>
          <w:lang w:val="en-US"/>
        </w:rPr>
        <w:t>the Court has</w:t>
      </w:r>
      <w:r w:rsidRPr="00300A27">
        <w:rPr>
          <w:spacing w:val="0"/>
          <w:lang w:val="en-US"/>
        </w:rPr>
        <w:t xml:space="preserve"> indicated that violations of </w:t>
      </w:r>
      <w:r w:rsidR="00D939AE" w:rsidRPr="00300A27">
        <w:rPr>
          <w:spacing w:val="0"/>
          <w:lang w:val="en-US"/>
        </w:rPr>
        <w:t>personal integrity</w:t>
      </w:r>
      <w:r w:rsidR="00785348" w:rsidRPr="00300A27">
        <w:rPr>
          <w:spacing w:val="0"/>
          <w:lang w:val="en-US"/>
        </w:rPr>
        <w:t xml:space="preserve"> </w:t>
      </w:r>
      <w:r w:rsidRPr="00300A27">
        <w:rPr>
          <w:spacing w:val="0"/>
          <w:lang w:val="en-US"/>
        </w:rPr>
        <w:t xml:space="preserve">entail a violation of a person’s privacy, protected by </w:t>
      </w:r>
      <w:r w:rsidR="005B1C65" w:rsidRPr="00300A27">
        <w:rPr>
          <w:spacing w:val="0"/>
          <w:lang w:val="en-US"/>
        </w:rPr>
        <w:t>Article</w:t>
      </w:r>
      <w:r w:rsidR="00785348" w:rsidRPr="00300A27">
        <w:rPr>
          <w:spacing w:val="0"/>
          <w:lang w:val="en-US"/>
        </w:rPr>
        <w:t xml:space="preserve"> 11</w:t>
      </w:r>
      <w:r w:rsidR="005B1C65" w:rsidRPr="00300A27">
        <w:rPr>
          <w:spacing w:val="0"/>
          <w:lang w:val="en-US"/>
        </w:rPr>
        <w:t xml:space="preserve"> of the Convention</w:t>
      </w:r>
      <w:r w:rsidR="00785348" w:rsidRPr="00300A27">
        <w:rPr>
          <w:spacing w:val="0"/>
          <w:lang w:val="en-US"/>
        </w:rPr>
        <w:t xml:space="preserve">, </w:t>
      </w:r>
      <w:r w:rsidRPr="00300A27">
        <w:rPr>
          <w:spacing w:val="0"/>
          <w:lang w:val="en-US"/>
        </w:rPr>
        <w:t>which encompasses their sexual life or sexuality.</w:t>
      </w:r>
      <w:r w:rsidR="00785348" w:rsidRPr="00300A27">
        <w:rPr>
          <w:rStyle w:val="Refdenotaalpie"/>
          <w:rFonts w:eastAsia="Times New Roman"/>
          <w:spacing w:val="0"/>
          <w:lang w:val="en-US" w:eastAsia="es-ES"/>
        </w:rPr>
        <w:footnoteReference w:id="177"/>
      </w:r>
      <w:r w:rsidRPr="00300A27">
        <w:rPr>
          <w:spacing w:val="0"/>
          <w:lang w:val="en-US"/>
        </w:rPr>
        <w:t xml:space="preserve"> Sexual violence violates essential values and aspects of a person’s private life, supposes interference in their sexual life, and annuls their right to take decisions freely about who they wish to have sexual relations with, causing them to lose complete control over their most personal and intimate decisions and over basic bodily functions.</w:t>
      </w:r>
      <w:r w:rsidR="00785348" w:rsidRPr="00300A27">
        <w:rPr>
          <w:rStyle w:val="Refdenotaalpie"/>
          <w:spacing w:val="0"/>
          <w:lang w:val="en-US"/>
        </w:rPr>
        <w:footnoteReference w:id="178"/>
      </w:r>
    </w:p>
    <w:p w14:paraId="5D1E7BD6" w14:textId="15A97710" w:rsidR="00785348" w:rsidRPr="00300A27" w:rsidRDefault="008444A5" w:rsidP="00B243B6">
      <w:pPr>
        <w:pStyle w:val="PrrafodeSentencia"/>
        <w:numPr>
          <w:ilvl w:val="0"/>
          <w:numId w:val="3"/>
        </w:numPr>
        <w:spacing w:before="120" w:after="120"/>
        <w:ind w:left="0" w:firstLine="0"/>
        <w:rPr>
          <w:spacing w:val="0"/>
          <w:lang w:val="en-US"/>
        </w:rPr>
      </w:pPr>
      <w:r w:rsidRPr="00300A27">
        <w:rPr>
          <w:spacing w:val="0"/>
          <w:lang w:val="en-US"/>
        </w:rPr>
        <w:t>It has also considered that rape is any act of vaginal or anal penetration without the victim’s consent using parts of the aggressor’s body or objects, as well as oral penetration by the male organ.</w:t>
      </w:r>
      <w:r w:rsidR="00785348" w:rsidRPr="00300A27">
        <w:rPr>
          <w:rStyle w:val="Refdenotaalpie"/>
          <w:rFonts w:eastAsia="Times New Roman"/>
          <w:spacing w:val="0"/>
          <w:lang w:val="en-US" w:eastAsia="es-ES"/>
        </w:rPr>
        <w:footnoteReference w:id="179"/>
      </w:r>
      <w:r w:rsidR="00785348" w:rsidRPr="00300A27">
        <w:rPr>
          <w:spacing w:val="0"/>
          <w:lang w:val="en-US"/>
        </w:rPr>
        <w:t xml:space="preserve"> </w:t>
      </w:r>
    </w:p>
    <w:p w14:paraId="5AB460A7" w14:textId="3B82D6E1" w:rsidR="00795FD4" w:rsidRPr="00300A27" w:rsidRDefault="008444A5" w:rsidP="00B243B6">
      <w:pPr>
        <w:pStyle w:val="Prrafodelista"/>
        <w:numPr>
          <w:ilvl w:val="0"/>
          <w:numId w:val="3"/>
        </w:numPr>
        <w:tabs>
          <w:tab w:val="left" w:pos="567"/>
        </w:tabs>
        <w:ind w:left="0" w:firstLine="0"/>
        <w:jc w:val="both"/>
        <w:rPr>
          <w:rFonts w:ascii="Times New Roman" w:eastAsia="Times New Roman" w:hAnsi="Times New Roman"/>
          <w:szCs w:val="20"/>
        </w:rPr>
      </w:pPr>
      <w:r w:rsidRPr="00300A27">
        <w:rPr>
          <w:rFonts w:eastAsia="Times New Roman"/>
          <w:szCs w:val="20"/>
        </w:rPr>
        <w:t>Additionally, the Court notes that, in this case,</w:t>
      </w:r>
      <w:r w:rsidR="00575494" w:rsidRPr="00300A27">
        <w:rPr>
          <w:rFonts w:eastAsia="Times New Roman"/>
          <w:szCs w:val="20"/>
        </w:rPr>
        <w:t xml:space="preserve"> the general obligations derived from Articles 5 and 11 of the American Convention are reinforced by the specific obligations derived from</w:t>
      </w:r>
      <w:r w:rsidR="00575494" w:rsidRPr="00300A27">
        <w:rPr>
          <w:rFonts w:ascii="Times New Roman" w:eastAsia="Times New Roman" w:hAnsi="Times New Roman"/>
          <w:szCs w:val="20"/>
        </w:rPr>
        <w:t xml:space="preserve"> </w:t>
      </w:r>
      <w:r w:rsidR="005B1C65" w:rsidRPr="00300A27">
        <w:rPr>
          <w:rFonts w:eastAsia="Times New Roman"/>
          <w:szCs w:val="20"/>
        </w:rPr>
        <w:t xml:space="preserve">the </w:t>
      </w:r>
      <w:r w:rsidR="00F816B4" w:rsidRPr="00300A27">
        <w:rPr>
          <w:rFonts w:eastAsia="Times New Roman"/>
          <w:szCs w:val="20"/>
        </w:rPr>
        <w:t>Inter-American Convention to Prevent and Punish Torture</w:t>
      </w:r>
      <w:r w:rsidR="00DF0ECA" w:rsidRPr="00300A27">
        <w:rPr>
          <w:rFonts w:eastAsia="Times New Roman"/>
          <w:szCs w:val="20"/>
        </w:rPr>
        <w:t xml:space="preserve">. </w:t>
      </w:r>
      <w:r w:rsidR="009B35A1" w:rsidRPr="00300A27">
        <w:rPr>
          <w:rFonts w:eastAsia="Times New Roman"/>
          <w:szCs w:val="20"/>
        </w:rPr>
        <w:t>Article</w:t>
      </w:r>
      <w:r w:rsidR="00DF0ECA" w:rsidRPr="00300A27">
        <w:rPr>
          <w:rFonts w:eastAsia="Times New Roman"/>
          <w:szCs w:val="20"/>
        </w:rPr>
        <w:t>s 1</w:t>
      </w:r>
      <w:r w:rsidR="005B1C65" w:rsidRPr="00300A27">
        <w:rPr>
          <w:rFonts w:eastAsia="Times New Roman"/>
          <w:szCs w:val="20"/>
        </w:rPr>
        <w:t xml:space="preserve"> and </w:t>
      </w:r>
      <w:r w:rsidR="00DF0ECA" w:rsidRPr="00300A27">
        <w:rPr>
          <w:rFonts w:eastAsia="Times New Roman"/>
          <w:szCs w:val="20"/>
        </w:rPr>
        <w:t xml:space="preserve">6 </w:t>
      </w:r>
      <w:r w:rsidR="00575494" w:rsidRPr="00300A27">
        <w:rPr>
          <w:rFonts w:eastAsia="Times New Roman"/>
          <w:szCs w:val="20"/>
        </w:rPr>
        <w:t>of this inter-American convention reinforce the absolute prohibition of torture and the obligation of the States to prevent and to punish any act of torture or attempt to commit torture and other cruel, inhuman or degrading treatment within their jurisdiction</w:t>
      </w:r>
      <w:r w:rsidR="00795FD4" w:rsidRPr="00300A27">
        <w:rPr>
          <w:rFonts w:eastAsia="Times New Roman"/>
          <w:szCs w:val="20"/>
        </w:rPr>
        <w:t>.</w:t>
      </w:r>
    </w:p>
    <w:p w14:paraId="75819A94" w14:textId="2B4B7F7B" w:rsidR="00785348" w:rsidRPr="00300A27" w:rsidRDefault="00575494" w:rsidP="00B243B6">
      <w:pPr>
        <w:pStyle w:val="PrrafodeSentencia"/>
        <w:numPr>
          <w:ilvl w:val="0"/>
          <w:numId w:val="3"/>
        </w:numPr>
        <w:spacing w:before="120" w:after="120"/>
        <w:ind w:left="0" w:firstLine="0"/>
        <w:rPr>
          <w:spacing w:val="0"/>
          <w:lang w:val="en-US"/>
        </w:rPr>
      </w:pPr>
      <w:r w:rsidRPr="00300A27">
        <w:rPr>
          <w:spacing w:val="0"/>
          <w:lang w:val="en-US"/>
        </w:rPr>
        <w:t xml:space="preserve">In this case, the dispute centers on what happened to </w:t>
      </w:r>
      <w:r w:rsidR="00834A1B" w:rsidRPr="00300A27">
        <w:rPr>
          <w:spacing w:val="0"/>
          <w:lang w:val="en-US"/>
        </w:rPr>
        <w:t>the presumed victim</w:t>
      </w:r>
      <w:r w:rsidR="00785348" w:rsidRPr="00300A27">
        <w:rPr>
          <w:spacing w:val="0"/>
          <w:lang w:val="en-US"/>
        </w:rPr>
        <w:t xml:space="preserve"> </w:t>
      </w:r>
      <w:r w:rsidRPr="00300A27">
        <w:rPr>
          <w:spacing w:val="0"/>
          <w:lang w:val="en-US"/>
        </w:rPr>
        <w:t xml:space="preserve">while she was detained. In order to analyze what happed to </w:t>
      </w:r>
      <w:r w:rsidR="00834A1B" w:rsidRPr="00300A27">
        <w:rPr>
          <w:spacing w:val="0"/>
          <w:lang w:val="en-US"/>
        </w:rPr>
        <w:t>the presumed victim</w:t>
      </w:r>
      <w:r w:rsidR="00785348" w:rsidRPr="00300A27">
        <w:rPr>
          <w:spacing w:val="0"/>
          <w:lang w:val="en-US"/>
        </w:rPr>
        <w:t xml:space="preserve">, </w:t>
      </w:r>
      <w:r w:rsidR="005B1C65" w:rsidRPr="00300A27">
        <w:rPr>
          <w:spacing w:val="0"/>
          <w:lang w:val="en-US"/>
        </w:rPr>
        <w:t>the Court</w:t>
      </w:r>
      <w:r w:rsidRPr="00300A27">
        <w:rPr>
          <w:spacing w:val="0"/>
          <w:lang w:val="en-US"/>
        </w:rPr>
        <w:t xml:space="preserve"> will take into account the different </w:t>
      </w:r>
      <w:r w:rsidR="006B0992" w:rsidRPr="00300A27">
        <w:rPr>
          <w:spacing w:val="0"/>
          <w:lang w:val="en-US"/>
        </w:rPr>
        <w:t>evidence</w:t>
      </w:r>
      <w:r w:rsidRPr="00300A27">
        <w:rPr>
          <w:spacing w:val="0"/>
          <w:lang w:val="en-US"/>
        </w:rPr>
        <w:t xml:space="preserve"> that help</w:t>
      </w:r>
      <w:r w:rsidR="006B0992" w:rsidRPr="00300A27">
        <w:rPr>
          <w:spacing w:val="0"/>
          <w:lang w:val="en-US"/>
        </w:rPr>
        <w:t>s</w:t>
      </w:r>
      <w:r w:rsidRPr="00300A27">
        <w:rPr>
          <w:spacing w:val="0"/>
          <w:lang w:val="en-US"/>
        </w:rPr>
        <w:t xml:space="preserve"> determine what happened, and will examine</w:t>
      </w:r>
      <w:r w:rsidR="006B0992" w:rsidRPr="00300A27">
        <w:rPr>
          <w:spacing w:val="0"/>
          <w:lang w:val="en-US"/>
        </w:rPr>
        <w:t xml:space="preserve"> them</w:t>
      </w:r>
      <w:r w:rsidRPr="00300A27">
        <w:rPr>
          <w:spacing w:val="0"/>
          <w:lang w:val="en-US"/>
        </w:rPr>
        <w:t xml:space="preserve"> in the following order</w:t>
      </w:r>
      <w:r w:rsidR="00785348" w:rsidRPr="00300A27">
        <w:rPr>
          <w:spacing w:val="0"/>
          <w:lang w:val="en-US"/>
        </w:rPr>
        <w:t xml:space="preserve">: B.1) </w:t>
      </w:r>
      <w:r w:rsidR="002959DE" w:rsidRPr="00300A27">
        <w:rPr>
          <w:spacing w:val="0"/>
          <w:lang w:val="en-US"/>
        </w:rPr>
        <w:t>the statements made by</w:t>
      </w:r>
      <w:r w:rsidR="00785348" w:rsidRPr="00300A27">
        <w:rPr>
          <w:spacing w:val="0"/>
          <w:lang w:val="en-US"/>
        </w:rPr>
        <w:t xml:space="preserve"> </w:t>
      </w:r>
      <w:r w:rsidR="00DF0ECA" w:rsidRPr="00300A27">
        <w:rPr>
          <w:spacing w:val="0"/>
          <w:lang w:val="en-US"/>
        </w:rPr>
        <w:t xml:space="preserve">Azul </w:t>
      </w:r>
      <w:r w:rsidR="00785348" w:rsidRPr="00300A27">
        <w:rPr>
          <w:spacing w:val="0"/>
          <w:lang w:val="en-US"/>
        </w:rPr>
        <w:t xml:space="preserve">Rojas Marín; B.2) </w:t>
      </w:r>
      <w:r w:rsidRPr="00300A27">
        <w:rPr>
          <w:spacing w:val="0"/>
          <w:lang w:val="en-US"/>
        </w:rPr>
        <w:t>the</w:t>
      </w:r>
      <w:r w:rsidR="00785348" w:rsidRPr="00300A27">
        <w:rPr>
          <w:spacing w:val="0"/>
          <w:lang w:val="en-US"/>
        </w:rPr>
        <w:t xml:space="preserve"> </w:t>
      </w:r>
      <w:r w:rsidRPr="00300A27">
        <w:rPr>
          <w:spacing w:val="0"/>
          <w:lang w:val="en-US"/>
        </w:rPr>
        <w:t>f</w:t>
      </w:r>
      <w:r w:rsidR="002959DE" w:rsidRPr="00300A27">
        <w:rPr>
          <w:spacing w:val="0"/>
          <w:lang w:val="en-US"/>
        </w:rPr>
        <w:t>orensic medical examination</w:t>
      </w:r>
      <w:r w:rsidR="00785348" w:rsidRPr="00300A27">
        <w:rPr>
          <w:spacing w:val="0"/>
          <w:lang w:val="en-US"/>
        </w:rPr>
        <w:t>,</w:t>
      </w:r>
      <w:r w:rsidR="005B1C65" w:rsidRPr="00300A27">
        <w:rPr>
          <w:spacing w:val="0"/>
          <w:lang w:val="en-US"/>
        </w:rPr>
        <w:t xml:space="preserve"> and </w:t>
      </w:r>
      <w:r w:rsidR="00785348" w:rsidRPr="00300A27">
        <w:rPr>
          <w:spacing w:val="0"/>
          <w:lang w:val="en-US"/>
        </w:rPr>
        <w:t xml:space="preserve">B.3) </w:t>
      </w:r>
      <w:r w:rsidRPr="00300A27">
        <w:rPr>
          <w:spacing w:val="0"/>
          <w:lang w:val="en-US"/>
        </w:rPr>
        <w:t>the expert appraisal of the presumed victim’s clothing</w:t>
      </w:r>
      <w:r w:rsidR="00785348" w:rsidRPr="00300A27">
        <w:rPr>
          <w:spacing w:val="0"/>
          <w:lang w:val="en-US"/>
        </w:rPr>
        <w:t xml:space="preserve">. </w:t>
      </w:r>
      <w:r w:rsidRPr="00300A27">
        <w:rPr>
          <w:spacing w:val="0"/>
          <w:lang w:val="en-US"/>
        </w:rPr>
        <w:t xml:space="preserve">Then, the Court will determine </w:t>
      </w:r>
      <w:r w:rsidR="00785348" w:rsidRPr="00300A27">
        <w:rPr>
          <w:spacing w:val="0"/>
          <w:lang w:val="en-US"/>
        </w:rPr>
        <w:t xml:space="preserve">B.4) </w:t>
      </w:r>
      <w:r w:rsidRPr="00300A27">
        <w:rPr>
          <w:spacing w:val="0"/>
          <w:lang w:val="en-US"/>
        </w:rPr>
        <w:t xml:space="preserve">the ill-treatment that occurred, </w:t>
      </w:r>
      <w:r w:rsidR="005B1C65" w:rsidRPr="00300A27">
        <w:rPr>
          <w:spacing w:val="0"/>
          <w:lang w:val="en-US"/>
        </w:rPr>
        <w:t xml:space="preserve">and </w:t>
      </w:r>
      <w:r w:rsidR="00785348" w:rsidRPr="00300A27">
        <w:rPr>
          <w:spacing w:val="0"/>
          <w:lang w:val="en-US"/>
        </w:rPr>
        <w:t xml:space="preserve">B.5) </w:t>
      </w:r>
      <w:r w:rsidR="00961E38" w:rsidRPr="00300A27">
        <w:rPr>
          <w:spacing w:val="0"/>
          <w:lang w:val="en-US"/>
        </w:rPr>
        <w:t>the legal classification.</w:t>
      </w:r>
    </w:p>
    <w:p w14:paraId="081417CE" w14:textId="27DE3016" w:rsidR="00785348" w:rsidRPr="00300A27" w:rsidRDefault="00785348" w:rsidP="00B243B6">
      <w:pPr>
        <w:pStyle w:val="Ttulo3"/>
        <w:rPr>
          <w:lang w:val="en-US"/>
        </w:rPr>
      </w:pPr>
      <w:bookmarkStart w:id="112" w:name="_Toc32394169"/>
      <w:bookmarkStart w:id="113" w:name="_Toc36823487"/>
      <w:r w:rsidRPr="00300A27">
        <w:rPr>
          <w:lang w:val="en-US"/>
        </w:rPr>
        <w:t xml:space="preserve">B.1 </w:t>
      </w:r>
      <w:r w:rsidRPr="00300A27">
        <w:rPr>
          <w:lang w:val="en-US"/>
        </w:rPr>
        <w:tab/>
      </w:r>
      <w:r w:rsidR="002959DE" w:rsidRPr="00300A27">
        <w:rPr>
          <w:lang w:val="en-US"/>
        </w:rPr>
        <w:t>The statements made by</w:t>
      </w:r>
      <w:r w:rsidRPr="00300A27">
        <w:rPr>
          <w:lang w:val="en-US"/>
        </w:rPr>
        <w:t xml:space="preserve"> </w:t>
      </w:r>
      <w:r w:rsidR="00453AF7" w:rsidRPr="00300A27">
        <w:rPr>
          <w:lang w:val="en-US"/>
        </w:rPr>
        <w:t xml:space="preserve">Azul </w:t>
      </w:r>
      <w:r w:rsidRPr="00300A27">
        <w:rPr>
          <w:lang w:val="en-US"/>
        </w:rPr>
        <w:t>Rojas Marín</w:t>
      </w:r>
      <w:bookmarkEnd w:id="112"/>
      <w:bookmarkEnd w:id="113"/>
    </w:p>
    <w:p w14:paraId="05E1ED04" w14:textId="65B09657" w:rsidR="00785348" w:rsidRPr="00300A27" w:rsidRDefault="00176109" w:rsidP="00B243B6">
      <w:pPr>
        <w:pStyle w:val="PrrafodeSentencia"/>
        <w:numPr>
          <w:ilvl w:val="0"/>
          <w:numId w:val="3"/>
        </w:numPr>
        <w:ind w:left="0" w:firstLine="0"/>
        <w:rPr>
          <w:spacing w:val="0"/>
          <w:lang w:val="en-US"/>
        </w:rPr>
      </w:pPr>
      <w:bookmarkStart w:id="114" w:name="_Ref32514367"/>
      <w:r w:rsidRPr="00300A27">
        <w:rPr>
          <w:spacing w:val="0"/>
          <w:lang w:val="en-US"/>
        </w:rPr>
        <w:t>Th</w:t>
      </w:r>
      <w:r w:rsidR="006B0992" w:rsidRPr="00300A27">
        <w:rPr>
          <w:spacing w:val="0"/>
          <w:lang w:val="en-US"/>
        </w:rPr>
        <w:t>e</w:t>
      </w:r>
      <w:r w:rsidRPr="00300A27">
        <w:rPr>
          <w:spacing w:val="0"/>
          <w:lang w:val="en-US"/>
        </w:rPr>
        <w:t xml:space="preserve"> file i</w:t>
      </w:r>
      <w:r w:rsidR="00785348" w:rsidRPr="00300A27">
        <w:rPr>
          <w:spacing w:val="0"/>
          <w:lang w:val="en-US"/>
        </w:rPr>
        <w:t xml:space="preserve">n </w:t>
      </w:r>
      <w:r w:rsidRPr="00300A27">
        <w:rPr>
          <w:spacing w:val="0"/>
          <w:lang w:val="en-US"/>
        </w:rPr>
        <w:t xml:space="preserve">this case reveals that </w:t>
      </w:r>
      <w:r w:rsidR="00834A1B" w:rsidRPr="00300A27">
        <w:rPr>
          <w:spacing w:val="0"/>
          <w:lang w:val="en-US"/>
        </w:rPr>
        <w:t>the presumed victim</w:t>
      </w:r>
      <w:r w:rsidR="00785348" w:rsidRPr="00300A27">
        <w:rPr>
          <w:spacing w:val="0"/>
          <w:lang w:val="en-US"/>
        </w:rPr>
        <w:t xml:space="preserve"> </w:t>
      </w:r>
      <w:r w:rsidRPr="00300A27">
        <w:rPr>
          <w:spacing w:val="0"/>
          <w:lang w:val="en-US"/>
        </w:rPr>
        <w:t xml:space="preserve">filed a verbal complaint about the facts with the police </w:t>
      </w:r>
      <w:r w:rsidR="00910D8E" w:rsidRPr="00300A27">
        <w:rPr>
          <w:spacing w:val="0"/>
          <w:lang w:val="en-US"/>
        </w:rPr>
        <w:t>on February 27,</w:t>
      </w:r>
      <w:r w:rsidR="00785348" w:rsidRPr="00300A27">
        <w:rPr>
          <w:spacing w:val="0"/>
          <w:lang w:val="en-US"/>
        </w:rPr>
        <w:t xml:space="preserve"> 2008</w:t>
      </w:r>
      <w:r w:rsidRPr="00300A27">
        <w:rPr>
          <w:spacing w:val="0"/>
          <w:lang w:val="en-US"/>
        </w:rPr>
        <w:t>, at 4 p.m.</w:t>
      </w:r>
      <w:r w:rsidR="00CF0A2B" w:rsidRPr="00300A27">
        <w:rPr>
          <w:spacing w:val="0"/>
          <w:lang w:val="en-US"/>
        </w:rPr>
        <w:t>;</w:t>
      </w:r>
      <w:r w:rsidR="00785348" w:rsidRPr="00300A27">
        <w:rPr>
          <w:rStyle w:val="Refdenotaalpie"/>
          <w:spacing w:val="0"/>
          <w:lang w:val="en-US"/>
        </w:rPr>
        <w:footnoteReference w:id="180"/>
      </w:r>
      <w:r w:rsidR="00785348" w:rsidRPr="00300A27">
        <w:rPr>
          <w:spacing w:val="0"/>
          <w:lang w:val="en-US"/>
        </w:rPr>
        <w:t xml:space="preserve"> a </w:t>
      </w:r>
      <w:r w:rsidRPr="00300A27">
        <w:rPr>
          <w:spacing w:val="0"/>
          <w:lang w:val="en-US"/>
        </w:rPr>
        <w:t>s</w:t>
      </w:r>
      <w:r w:rsidR="00910D8E" w:rsidRPr="00300A27">
        <w:rPr>
          <w:spacing w:val="0"/>
          <w:lang w:val="en-US"/>
        </w:rPr>
        <w:t xml:space="preserve">tatement </w:t>
      </w:r>
      <w:r w:rsidRPr="00300A27">
        <w:rPr>
          <w:spacing w:val="0"/>
          <w:lang w:val="en-US"/>
        </w:rPr>
        <w:t>o</w:t>
      </w:r>
      <w:r w:rsidR="00CF0A2B" w:rsidRPr="00300A27">
        <w:rPr>
          <w:spacing w:val="0"/>
          <w:lang w:val="en-US"/>
        </w:rPr>
        <w:t>f</w:t>
      </w:r>
      <w:r w:rsidRPr="00300A27">
        <w:rPr>
          <w:spacing w:val="0"/>
          <w:lang w:val="en-US"/>
        </w:rPr>
        <w:t xml:space="preserve"> the facts</w:t>
      </w:r>
      <w:r w:rsidR="00785348" w:rsidRPr="00300A27">
        <w:rPr>
          <w:spacing w:val="0"/>
          <w:lang w:val="en-US"/>
        </w:rPr>
        <w:t xml:space="preserve"> </w:t>
      </w:r>
      <w:r w:rsidR="00910D8E" w:rsidRPr="00300A27">
        <w:rPr>
          <w:spacing w:val="0"/>
          <w:lang w:val="en-US"/>
        </w:rPr>
        <w:t>on February 28,</w:t>
      </w:r>
      <w:r w:rsidR="00785348" w:rsidRPr="00300A27">
        <w:rPr>
          <w:spacing w:val="0"/>
          <w:lang w:val="en-US"/>
        </w:rPr>
        <w:t xml:space="preserve"> 2008</w:t>
      </w:r>
      <w:r w:rsidRPr="00300A27">
        <w:rPr>
          <w:spacing w:val="0"/>
          <w:lang w:val="en-US"/>
        </w:rPr>
        <w:t>;</w:t>
      </w:r>
      <w:r w:rsidR="00785348" w:rsidRPr="00300A27">
        <w:rPr>
          <w:rStyle w:val="Refdenotaalpie"/>
          <w:spacing w:val="0"/>
          <w:lang w:val="en-US"/>
        </w:rPr>
        <w:footnoteReference w:id="181"/>
      </w:r>
      <w:r w:rsidR="00785348" w:rsidRPr="00300A27">
        <w:rPr>
          <w:spacing w:val="0"/>
          <w:lang w:val="en-US"/>
        </w:rPr>
        <w:t xml:space="preserve"> </w:t>
      </w:r>
      <w:r w:rsidRPr="00300A27">
        <w:rPr>
          <w:spacing w:val="0"/>
          <w:lang w:val="en-US"/>
        </w:rPr>
        <w:t xml:space="preserve">the expansion of the statement </w:t>
      </w:r>
      <w:r w:rsidR="00910D8E" w:rsidRPr="00300A27">
        <w:rPr>
          <w:spacing w:val="0"/>
          <w:lang w:val="en-US"/>
        </w:rPr>
        <w:t>on March 6,</w:t>
      </w:r>
      <w:r w:rsidR="00785348" w:rsidRPr="00300A27">
        <w:rPr>
          <w:spacing w:val="0"/>
          <w:lang w:val="en-US"/>
        </w:rPr>
        <w:t xml:space="preserve"> 2008</w:t>
      </w:r>
      <w:r w:rsidRPr="00300A27">
        <w:rPr>
          <w:spacing w:val="0"/>
          <w:lang w:val="en-US"/>
        </w:rPr>
        <w:t>;</w:t>
      </w:r>
      <w:r w:rsidR="00785348" w:rsidRPr="00300A27">
        <w:rPr>
          <w:rStyle w:val="Refdenotaalpie"/>
          <w:spacing w:val="0"/>
          <w:lang w:val="en-US"/>
        </w:rPr>
        <w:footnoteReference w:id="182"/>
      </w:r>
      <w:r w:rsidRPr="00300A27">
        <w:rPr>
          <w:spacing w:val="0"/>
          <w:lang w:val="en-US"/>
        </w:rPr>
        <w:t xml:space="preserve"> the statement made during the judicial inspection and reconstruction procedure,</w:t>
      </w:r>
      <w:r w:rsidR="007D07DD" w:rsidRPr="00300A27">
        <w:rPr>
          <w:rStyle w:val="Refdenotaalpie"/>
          <w:spacing w:val="0"/>
          <w:lang w:val="en-US"/>
        </w:rPr>
        <w:footnoteReference w:id="183"/>
      </w:r>
      <w:r w:rsidR="005B1C65" w:rsidRPr="00300A27">
        <w:rPr>
          <w:spacing w:val="0"/>
          <w:lang w:val="en-US"/>
        </w:rPr>
        <w:t xml:space="preserve"> and </w:t>
      </w:r>
      <w:r w:rsidRPr="00300A27">
        <w:rPr>
          <w:spacing w:val="0"/>
          <w:lang w:val="en-US"/>
        </w:rPr>
        <w:t xml:space="preserve">a statement at a hearing held during the procedure before </w:t>
      </w:r>
      <w:r w:rsidR="00C2001D" w:rsidRPr="00300A27">
        <w:rPr>
          <w:spacing w:val="0"/>
          <w:lang w:val="en-US"/>
        </w:rPr>
        <w:t>the Inter-American Commission</w:t>
      </w:r>
      <w:r w:rsidR="007D07DD" w:rsidRPr="00300A27">
        <w:rPr>
          <w:spacing w:val="0"/>
          <w:lang w:val="en-US"/>
        </w:rPr>
        <w:t xml:space="preserve"> </w:t>
      </w:r>
      <w:r w:rsidR="00436DAB" w:rsidRPr="00300A27">
        <w:rPr>
          <w:spacing w:val="0"/>
          <w:lang w:val="en-US"/>
        </w:rPr>
        <w:t>on December 1,</w:t>
      </w:r>
      <w:r w:rsidR="000A1D2A" w:rsidRPr="00300A27">
        <w:rPr>
          <w:spacing w:val="0"/>
          <w:lang w:val="en-US"/>
        </w:rPr>
        <w:t xml:space="preserve"> 2016</w:t>
      </w:r>
      <w:r w:rsidRPr="00300A27">
        <w:rPr>
          <w:spacing w:val="0"/>
          <w:lang w:val="en-US"/>
        </w:rPr>
        <w:t>.</w:t>
      </w:r>
      <w:r w:rsidR="00785348" w:rsidRPr="00300A27">
        <w:rPr>
          <w:rStyle w:val="Refdenotaalpie"/>
          <w:spacing w:val="0"/>
          <w:lang w:val="en-US"/>
        </w:rPr>
        <w:footnoteReference w:id="184"/>
      </w:r>
      <w:r w:rsidRPr="00300A27">
        <w:rPr>
          <w:spacing w:val="0"/>
          <w:lang w:val="en-US"/>
        </w:rPr>
        <w:t xml:space="preserve"> The analysis of these statements</w:t>
      </w:r>
      <w:r w:rsidR="00CF0A2B" w:rsidRPr="00300A27">
        <w:rPr>
          <w:spacing w:val="0"/>
          <w:lang w:val="en-US"/>
        </w:rPr>
        <w:t xml:space="preserve"> reveals that,</w:t>
      </w:r>
      <w:r w:rsidRPr="00300A27">
        <w:rPr>
          <w:spacing w:val="0"/>
          <w:lang w:val="en-US"/>
        </w:rPr>
        <w:t xml:space="preserve"> in general, </w:t>
      </w:r>
      <w:r w:rsidR="008546E9" w:rsidRPr="00300A27">
        <w:rPr>
          <w:spacing w:val="0"/>
          <w:lang w:val="en-US"/>
        </w:rPr>
        <w:t>Ms. Rojas</w:t>
      </w:r>
      <w:r w:rsidR="00785348" w:rsidRPr="00300A27">
        <w:rPr>
          <w:spacing w:val="0"/>
          <w:lang w:val="en-US"/>
        </w:rPr>
        <w:t xml:space="preserve"> Marín </w:t>
      </w:r>
      <w:r w:rsidRPr="00300A27">
        <w:rPr>
          <w:spacing w:val="0"/>
          <w:lang w:val="en-US"/>
        </w:rPr>
        <w:t xml:space="preserve">indicated on at least three occasions that the </w:t>
      </w:r>
      <w:r w:rsidR="00961E38" w:rsidRPr="00300A27">
        <w:rPr>
          <w:spacing w:val="0"/>
          <w:lang w:val="en-US"/>
        </w:rPr>
        <w:t>state agents</w:t>
      </w:r>
      <w:r w:rsidRPr="00300A27">
        <w:rPr>
          <w:spacing w:val="0"/>
          <w:lang w:val="en-US"/>
        </w:rPr>
        <w:t xml:space="preserve"> hit her with a baton to make her get into the police vehicle</w:t>
      </w:r>
      <w:r w:rsidR="00785348" w:rsidRPr="00300A27">
        <w:rPr>
          <w:rStyle w:val="Refdenotaalpie"/>
          <w:spacing w:val="0"/>
          <w:lang w:val="en-US"/>
        </w:rPr>
        <w:footnoteReference w:id="185"/>
      </w:r>
      <w:r w:rsidR="005B1C65" w:rsidRPr="00300A27">
        <w:rPr>
          <w:spacing w:val="0"/>
          <w:lang w:val="en-US"/>
        </w:rPr>
        <w:t xml:space="preserve"> and</w:t>
      </w:r>
      <w:r w:rsidRPr="00300A27">
        <w:rPr>
          <w:spacing w:val="0"/>
          <w:lang w:val="en-US"/>
        </w:rPr>
        <w:t>, on arriving at the police station, three police agents shut her in a room where: (i) she was forcibly undressed;</w:t>
      </w:r>
      <w:r w:rsidR="00785348" w:rsidRPr="00300A27">
        <w:rPr>
          <w:rStyle w:val="Refdenotaalpie"/>
          <w:rFonts w:eastAsia="Times New Roman"/>
          <w:spacing w:val="0"/>
          <w:lang w:val="en-US"/>
        </w:rPr>
        <w:footnoteReference w:id="186"/>
      </w:r>
      <w:r w:rsidR="00785348" w:rsidRPr="00300A27">
        <w:rPr>
          <w:spacing w:val="0"/>
          <w:lang w:val="en-US"/>
        </w:rPr>
        <w:t xml:space="preserve"> </w:t>
      </w:r>
      <w:r w:rsidRPr="00300A27">
        <w:rPr>
          <w:spacing w:val="0"/>
          <w:lang w:val="en-US"/>
        </w:rPr>
        <w:t>(</w:t>
      </w:r>
      <w:r w:rsidR="00785348" w:rsidRPr="00300A27">
        <w:rPr>
          <w:spacing w:val="0"/>
          <w:lang w:val="en-US"/>
        </w:rPr>
        <w:t xml:space="preserve">ii) </w:t>
      </w:r>
      <w:r w:rsidRPr="00300A27">
        <w:rPr>
          <w:spacing w:val="0"/>
          <w:lang w:val="en-US"/>
        </w:rPr>
        <w:t>asked about the whereabouts of her brother;</w:t>
      </w:r>
      <w:r w:rsidR="00785348" w:rsidRPr="00300A27">
        <w:rPr>
          <w:rStyle w:val="Refdenotaalpie"/>
          <w:spacing w:val="0"/>
          <w:lang w:val="en-US"/>
        </w:rPr>
        <w:footnoteReference w:id="187"/>
      </w:r>
      <w:r w:rsidR="00785348" w:rsidRPr="00300A27">
        <w:rPr>
          <w:spacing w:val="0"/>
          <w:lang w:val="en-US"/>
        </w:rPr>
        <w:t xml:space="preserve"> </w:t>
      </w:r>
      <w:r w:rsidRPr="00300A27">
        <w:rPr>
          <w:spacing w:val="0"/>
          <w:lang w:val="en-US"/>
        </w:rPr>
        <w:t>(</w:t>
      </w:r>
      <w:r w:rsidR="00785348" w:rsidRPr="00300A27">
        <w:rPr>
          <w:spacing w:val="0"/>
          <w:lang w:val="en-US"/>
        </w:rPr>
        <w:t xml:space="preserve">iii) </w:t>
      </w:r>
      <w:r w:rsidRPr="00300A27">
        <w:rPr>
          <w:spacing w:val="0"/>
          <w:lang w:val="en-US"/>
        </w:rPr>
        <w:t>slapped;</w:t>
      </w:r>
      <w:r w:rsidR="00785348" w:rsidRPr="00300A27">
        <w:rPr>
          <w:rStyle w:val="Refdenotaalpie"/>
          <w:rFonts w:eastAsia="Times New Roman"/>
          <w:spacing w:val="0"/>
          <w:lang w:val="en-US"/>
        </w:rPr>
        <w:footnoteReference w:id="188"/>
      </w:r>
      <w:r w:rsidR="00785348" w:rsidRPr="00300A27">
        <w:rPr>
          <w:spacing w:val="0"/>
          <w:lang w:val="en-US"/>
        </w:rPr>
        <w:t xml:space="preserve"> </w:t>
      </w:r>
      <w:r w:rsidRPr="00300A27">
        <w:rPr>
          <w:spacing w:val="0"/>
          <w:lang w:val="en-US"/>
        </w:rPr>
        <w:t>(</w:t>
      </w:r>
      <w:r w:rsidR="00785348" w:rsidRPr="00300A27">
        <w:rPr>
          <w:spacing w:val="0"/>
          <w:lang w:val="en-US"/>
        </w:rPr>
        <w:t xml:space="preserve">iv) </w:t>
      </w:r>
      <w:r w:rsidRPr="00300A27">
        <w:rPr>
          <w:spacing w:val="0"/>
          <w:lang w:val="en-US"/>
        </w:rPr>
        <w:t xml:space="preserve">comments were made about her </w:t>
      </w:r>
      <w:r w:rsidR="00CC6548" w:rsidRPr="00300A27">
        <w:rPr>
          <w:spacing w:val="0"/>
          <w:lang w:val="en-US"/>
        </w:rPr>
        <w:t>sexual orientation</w:t>
      </w:r>
      <w:r w:rsidRPr="00300A27">
        <w:rPr>
          <w:spacing w:val="0"/>
          <w:lang w:val="en-US"/>
        </w:rPr>
        <w:t>,</w:t>
      </w:r>
      <w:r w:rsidR="00785348" w:rsidRPr="00300A27">
        <w:rPr>
          <w:rStyle w:val="Refdenotaalpie"/>
          <w:rFonts w:eastAsia="Times New Roman"/>
          <w:spacing w:val="0"/>
          <w:lang w:val="en-US"/>
        </w:rPr>
        <w:footnoteReference w:id="189"/>
      </w:r>
      <w:r w:rsidR="005B1C65" w:rsidRPr="00300A27">
        <w:rPr>
          <w:spacing w:val="0"/>
          <w:lang w:val="en-US"/>
        </w:rPr>
        <w:t xml:space="preserve"> and </w:t>
      </w:r>
      <w:r w:rsidRPr="00300A27">
        <w:rPr>
          <w:spacing w:val="0"/>
          <w:lang w:val="en-US"/>
        </w:rPr>
        <w:t>(</w:t>
      </w:r>
      <w:r w:rsidR="00785348" w:rsidRPr="00300A27">
        <w:rPr>
          <w:spacing w:val="0"/>
          <w:lang w:val="en-US"/>
        </w:rPr>
        <w:t xml:space="preserve">vi) </w:t>
      </w:r>
      <w:r w:rsidRPr="00300A27">
        <w:rPr>
          <w:spacing w:val="0"/>
          <w:lang w:val="en-US"/>
        </w:rPr>
        <w:t>the police baton was twice introduced into her anus.</w:t>
      </w:r>
      <w:r w:rsidR="00785348" w:rsidRPr="00300A27">
        <w:rPr>
          <w:rStyle w:val="Refdenotaalpie"/>
          <w:spacing w:val="0"/>
          <w:lang w:val="en-US"/>
        </w:rPr>
        <w:footnoteReference w:id="190"/>
      </w:r>
      <w:bookmarkEnd w:id="114"/>
    </w:p>
    <w:p w14:paraId="474E6840" w14:textId="115E1F5F" w:rsidR="00785348" w:rsidRPr="00300A27" w:rsidRDefault="004E7D4C" w:rsidP="00B243B6">
      <w:pPr>
        <w:pStyle w:val="PrrafodeSentencia"/>
        <w:numPr>
          <w:ilvl w:val="0"/>
          <w:numId w:val="3"/>
        </w:numPr>
        <w:spacing w:before="120" w:after="120"/>
        <w:ind w:left="0" w:firstLine="0"/>
        <w:rPr>
          <w:spacing w:val="0"/>
          <w:szCs w:val="20"/>
          <w:lang w:val="en-US"/>
        </w:rPr>
      </w:pPr>
      <w:r w:rsidRPr="00300A27">
        <w:rPr>
          <w:spacing w:val="0"/>
          <w:lang w:val="en-US"/>
        </w:rPr>
        <w:t>First, the Court finds it evident that rape is a particular type of aggression that, in general, is characterized by occurring in the absence of people other than the victim and the aggressor or aggressors. Given the nature of this type of violence, the existence of graphic or documentary evidence cannot be expected and, therefore, the victim’s statement constitutes fundamental evidence of the fact.</w:t>
      </w:r>
      <w:r w:rsidR="00785348" w:rsidRPr="00300A27">
        <w:rPr>
          <w:rStyle w:val="Refdenotaalpie"/>
          <w:spacing w:val="0"/>
          <w:lang w:val="en-US"/>
        </w:rPr>
        <w:footnoteReference w:id="191"/>
      </w:r>
      <w:r w:rsidR="00785348" w:rsidRPr="00300A27">
        <w:rPr>
          <w:spacing w:val="0"/>
          <w:szCs w:val="20"/>
          <w:lang w:val="en-US"/>
        </w:rPr>
        <w:t xml:space="preserve"> </w:t>
      </w:r>
    </w:p>
    <w:p w14:paraId="26024920" w14:textId="0652452F" w:rsidR="00785348" w:rsidRPr="00300A27" w:rsidRDefault="005B1C65" w:rsidP="00B243B6">
      <w:pPr>
        <w:pStyle w:val="PrrafodeSentencia"/>
        <w:numPr>
          <w:ilvl w:val="0"/>
          <w:numId w:val="3"/>
        </w:numPr>
        <w:spacing w:before="120" w:after="120"/>
        <w:ind w:left="0" w:firstLine="0"/>
        <w:rPr>
          <w:spacing w:val="0"/>
          <w:lang w:val="en-US"/>
        </w:rPr>
      </w:pPr>
      <w:r w:rsidRPr="00300A27">
        <w:rPr>
          <w:spacing w:val="0"/>
          <w:lang w:val="en-US"/>
        </w:rPr>
        <w:t>The Court</w:t>
      </w:r>
      <w:r w:rsidR="00785348" w:rsidRPr="00300A27">
        <w:rPr>
          <w:spacing w:val="0"/>
          <w:lang w:val="en-US"/>
        </w:rPr>
        <w:t xml:space="preserve"> </w:t>
      </w:r>
      <w:r w:rsidR="004E7D4C" w:rsidRPr="00300A27">
        <w:rPr>
          <w:spacing w:val="0"/>
          <w:lang w:val="en-US"/>
        </w:rPr>
        <w:t>notes that</w:t>
      </w:r>
      <w:r w:rsidR="00785348" w:rsidRPr="00300A27">
        <w:rPr>
          <w:spacing w:val="0"/>
          <w:lang w:val="en-US"/>
        </w:rPr>
        <w:t xml:space="preserve"> </w:t>
      </w:r>
      <w:r w:rsidR="00834A1B" w:rsidRPr="00300A27">
        <w:rPr>
          <w:spacing w:val="0"/>
          <w:lang w:val="en-US"/>
        </w:rPr>
        <w:t>the presumed victim</w:t>
      </w:r>
      <w:r w:rsidR="00785348" w:rsidRPr="00300A27">
        <w:rPr>
          <w:spacing w:val="0"/>
          <w:lang w:val="en-US"/>
        </w:rPr>
        <w:t xml:space="preserve"> </w:t>
      </w:r>
      <w:r w:rsidR="004E7D4C" w:rsidRPr="00300A27">
        <w:rPr>
          <w:spacing w:val="0"/>
          <w:lang w:val="en-US"/>
        </w:rPr>
        <w:t>did not mention the rape when reporting the facts to the press. Also, in the first complaint filed before the police, she indicated that “a police agent tried to put the baton [in her] anus, and as he was unable to do so, he pushed [her] against the wall.”</w:t>
      </w:r>
      <w:r w:rsidR="00785348" w:rsidRPr="00300A27">
        <w:rPr>
          <w:spacing w:val="0"/>
          <w:lang w:val="en-US"/>
        </w:rPr>
        <w:t xml:space="preserve"> </w:t>
      </w:r>
    </w:p>
    <w:p w14:paraId="40BC1D5A" w14:textId="4B5BBCED" w:rsidR="00785348" w:rsidRPr="00300A27" w:rsidRDefault="005B1C65" w:rsidP="00B243B6">
      <w:pPr>
        <w:pStyle w:val="PrrafodeSentencia"/>
        <w:numPr>
          <w:ilvl w:val="0"/>
          <w:numId w:val="3"/>
        </w:numPr>
        <w:spacing w:before="120" w:after="120"/>
        <w:ind w:left="0" w:firstLine="0"/>
        <w:rPr>
          <w:spacing w:val="0"/>
          <w:lang w:val="en-US"/>
        </w:rPr>
      </w:pPr>
      <w:r w:rsidRPr="00300A27">
        <w:rPr>
          <w:spacing w:val="0"/>
          <w:lang w:val="en-US"/>
        </w:rPr>
        <w:t>This Court</w:t>
      </w:r>
      <w:r w:rsidR="00785348" w:rsidRPr="00300A27">
        <w:rPr>
          <w:spacing w:val="0"/>
          <w:lang w:val="en-US"/>
        </w:rPr>
        <w:t xml:space="preserve"> ha</w:t>
      </w:r>
      <w:r w:rsidR="00467FD3" w:rsidRPr="00300A27">
        <w:rPr>
          <w:spacing w:val="0"/>
          <w:lang w:val="en-US"/>
        </w:rPr>
        <w:t>s indicated that the mention of some of the alleged ill-treatment only in some of the statements does not mean that they are false or that the facts described are untrue.</w:t>
      </w:r>
      <w:r w:rsidR="00785348" w:rsidRPr="00300A27">
        <w:rPr>
          <w:rStyle w:val="Refdenotaalpie"/>
          <w:spacing w:val="0"/>
          <w:lang w:val="en-US"/>
        </w:rPr>
        <w:footnoteReference w:id="192"/>
      </w:r>
      <w:r w:rsidR="00785348" w:rsidRPr="00300A27">
        <w:rPr>
          <w:spacing w:val="0"/>
          <w:lang w:val="en-US"/>
        </w:rPr>
        <w:t xml:space="preserve"> </w:t>
      </w:r>
      <w:r w:rsidR="00467FD3" w:rsidRPr="00300A27">
        <w:rPr>
          <w:spacing w:val="0"/>
          <w:lang w:val="en-US"/>
        </w:rPr>
        <w:t>The</w:t>
      </w:r>
      <w:r w:rsidRPr="00300A27">
        <w:rPr>
          <w:spacing w:val="0"/>
          <w:lang w:val="en-US"/>
        </w:rPr>
        <w:t xml:space="preserve"> Court</w:t>
      </w:r>
      <w:r w:rsidR="00785348" w:rsidRPr="00300A27">
        <w:rPr>
          <w:spacing w:val="0"/>
          <w:lang w:val="en-US"/>
        </w:rPr>
        <w:t xml:space="preserve"> t</w:t>
      </w:r>
      <w:r w:rsidR="00467FD3" w:rsidRPr="00300A27">
        <w:rPr>
          <w:spacing w:val="0"/>
          <w:lang w:val="en-US"/>
        </w:rPr>
        <w:t>akes into account that the facts described by</w:t>
      </w:r>
      <w:r w:rsidR="0006374B" w:rsidRPr="00300A27">
        <w:rPr>
          <w:spacing w:val="0"/>
          <w:lang w:val="en-US"/>
        </w:rPr>
        <w:t xml:space="preserve"> </w:t>
      </w:r>
      <w:r w:rsidR="008546E9" w:rsidRPr="00300A27">
        <w:rPr>
          <w:spacing w:val="0"/>
          <w:lang w:val="en-US"/>
        </w:rPr>
        <w:t>Ms. Rojas</w:t>
      </w:r>
      <w:r w:rsidR="0006374B" w:rsidRPr="00300A27">
        <w:rPr>
          <w:spacing w:val="0"/>
          <w:lang w:val="en-US"/>
        </w:rPr>
        <w:t xml:space="preserve"> Marín</w:t>
      </w:r>
      <w:r w:rsidR="00785348" w:rsidRPr="00300A27">
        <w:rPr>
          <w:spacing w:val="0"/>
          <w:lang w:val="en-US"/>
        </w:rPr>
        <w:t xml:space="preserve"> </w:t>
      </w:r>
      <w:r w:rsidR="00467FD3" w:rsidRPr="00300A27">
        <w:rPr>
          <w:spacing w:val="0"/>
          <w:lang w:val="en-US"/>
        </w:rPr>
        <w:t>refer to a traumatic event that she suffered, the impact of which could lead to a certain lack of precision when recalling them.</w:t>
      </w:r>
      <w:r w:rsidR="00785348" w:rsidRPr="00300A27">
        <w:rPr>
          <w:rStyle w:val="Refdenotaalpie"/>
          <w:spacing w:val="0"/>
          <w:lang w:val="en-US"/>
        </w:rPr>
        <w:footnoteReference w:id="193"/>
      </w:r>
      <w:r w:rsidR="00467FD3" w:rsidRPr="00300A27">
        <w:rPr>
          <w:spacing w:val="0"/>
          <w:lang w:val="en-US"/>
        </w:rPr>
        <w:t xml:space="preserve"> Also, when analyzing the said statements, it must be taken into account that sexual aggression corresponds to a type of offense that, frequently, the victim does not report owing to the stigma that this report usually entails.</w:t>
      </w:r>
      <w:r w:rsidR="00785348" w:rsidRPr="00300A27">
        <w:rPr>
          <w:rStyle w:val="Refdenotaalpie"/>
          <w:spacing w:val="0"/>
          <w:lang w:val="en-US"/>
        </w:rPr>
        <w:footnoteReference w:id="194"/>
      </w:r>
      <w:r w:rsidR="00467FD3" w:rsidRPr="00300A27">
        <w:rPr>
          <w:spacing w:val="0"/>
          <w:szCs w:val="20"/>
          <w:lang w:val="en-US"/>
        </w:rPr>
        <w:t xml:space="preserve"> Thus, it is reasonable that</w:t>
      </w:r>
      <w:r w:rsidR="00785348" w:rsidRPr="00300A27">
        <w:rPr>
          <w:spacing w:val="0"/>
          <w:szCs w:val="20"/>
          <w:lang w:val="en-US"/>
        </w:rPr>
        <w:t xml:space="preserve"> </w:t>
      </w:r>
      <w:r w:rsidR="008546E9" w:rsidRPr="00300A27">
        <w:rPr>
          <w:spacing w:val="0"/>
          <w:szCs w:val="20"/>
          <w:lang w:val="en-US"/>
        </w:rPr>
        <w:t>Ms. Rojas</w:t>
      </w:r>
      <w:r w:rsidR="00785348" w:rsidRPr="00300A27">
        <w:rPr>
          <w:spacing w:val="0"/>
          <w:szCs w:val="20"/>
          <w:lang w:val="en-US"/>
        </w:rPr>
        <w:t xml:space="preserve"> Marín </w:t>
      </w:r>
      <w:r w:rsidR="00467FD3" w:rsidRPr="00300A27">
        <w:rPr>
          <w:spacing w:val="0"/>
          <w:szCs w:val="20"/>
          <w:lang w:val="en-US"/>
        </w:rPr>
        <w:t>did not mention the rape in the report made in the media or in the first oral complaint made at the police station.</w:t>
      </w:r>
    </w:p>
    <w:p w14:paraId="0BBEDF8A" w14:textId="5802EF39" w:rsidR="00785348" w:rsidRPr="00300A27" w:rsidRDefault="00467FD3" w:rsidP="00B243B6">
      <w:pPr>
        <w:pStyle w:val="PrrafodeSentencia"/>
        <w:numPr>
          <w:ilvl w:val="0"/>
          <w:numId w:val="3"/>
        </w:numPr>
        <w:spacing w:before="120" w:after="120"/>
        <w:ind w:left="0" w:firstLine="0"/>
        <w:rPr>
          <w:spacing w:val="0"/>
          <w:lang w:val="en-US"/>
        </w:rPr>
      </w:pPr>
      <w:r w:rsidRPr="00300A27">
        <w:rPr>
          <w:spacing w:val="0"/>
          <w:lang w:val="en-US"/>
        </w:rPr>
        <w:t>I</w:t>
      </w:r>
      <w:r w:rsidR="00785348" w:rsidRPr="00300A27">
        <w:rPr>
          <w:spacing w:val="0"/>
          <w:lang w:val="en-US"/>
        </w:rPr>
        <w:t xml:space="preserve">n sum, </w:t>
      </w:r>
      <w:r w:rsidR="005B1C65" w:rsidRPr="00300A27">
        <w:rPr>
          <w:spacing w:val="0"/>
          <w:lang w:val="en-US"/>
        </w:rPr>
        <w:t>the Court</w:t>
      </w:r>
      <w:r w:rsidR="00785348" w:rsidRPr="00300A27">
        <w:rPr>
          <w:spacing w:val="0"/>
          <w:lang w:val="en-US"/>
        </w:rPr>
        <w:t xml:space="preserve"> consider</w:t>
      </w:r>
      <w:r w:rsidRPr="00300A27">
        <w:rPr>
          <w:spacing w:val="0"/>
          <w:lang w:val="en-US"/>
        </w:rPr>
        <w:t>s that, aside from some details, the different statements made by</w:t>
      </w:r>
      <w:r w:rsidR="00785348" w:rsidRPr="00300A27">
        <w:rPr>
          <w:spacing w:val="0"/>
          <w:lang w:val="en-US"/>
        </w:rPr>
        <w:t xml:space="preserve"> </w:t>
      </w:r>
      <w:r w:rsidR="008546E9" w:rsidRPr="00300A27">
        <w:rPr>
          <w:spacing w:val="0"/>
          <w:lang w:val="en-US"/>
        </w:rPr>
        <w:t>Ms. Rojas</w:t>
      </w:r>
      <w:r w:rsidR="00785348" w:rsidRPr="00300A27">
        <w:rPr>
          <w:spacing w:val="0"/>
          <w:lang w:val="en-US"/>
        </w:rPr>
        <w:t xml:space="preserve"> Marín </w:t>
      </w:r>
      <w:r w:rsidRPr="00300A27">
        <w:rPr>
          <w:spacing w:val="0"/>
          <w:lang w:val="en-US"/>
        </w:rPr>
        <w:t>before the domestic authorities are consistent, which reinforces their plausibility.</w:t>
      </w:r>
    </w:p>
    <w:p w14:paraId="34925C71" w14:textId="25AF3A09" w:rsidR="00785348" w:rsidRPr="00300A27" w:rsidRDefault="00785348" w:rsidP="00B243B6">
      <w:pPr>
        <w:pStyle w:val="Ttulo3"/>
        <w:rPr>
          <w:lang w:val="en-US"/>
        </w:rPr>
      </w:pPr>
      <w:bookmarkStart w:id="119" w:name="_Toc32394170"/>
      <w:bookmarkStart w:id="120" w:name="_Toc36823488"/>
      <w:r w:rsidRPr="00300A27">
        <w:rPr>
          <w:lang w:val="en-US"/>
        </w:rPr>
        <w:t xml:space="preserve">B.2 </w:t>
      </w:r>
      <w:r w:rsidRPr="00300A27">
        <w:rPr>
          <w:lang w:val="en-US"/>
        </w:rPr>
        <w:tab/>
      </w:r>
      <w:r w:rsidR="002959DE" w:rsidRPr="00300A27">
        <w:rPr>
          <w:lang w:val="en-US"/>
        </w:rPr>
        <w:t xml:space="preserve">Forensic </w:t>
      </w:r>
      <w:r w:rsidR="00467FD3" w:rsidRPr="00300A27">
        <w:rPr>
          <w:lang w:val="en-US"/>
        </w:rPr>
        <w:t xml:space="preserve">medical </w:t>
      </w:r>
      <w:r w:rsidR="002959DE" w:rsidRPr="00300A27">
        <w:rPr>
          <w:lang w:val="en-US"/>
        </w:rPr>
        <w:t>examination</w:t>
      </w:r>
      <w:bookmarkEnd w:id="119"/>
      <w:bookmarkEnd w:id="120"/>
    </w:p>
    <w:p w14:paraId="416F9C17" w14:textId="67A4CEA6" w:rsidR="00467FD3" w:rsidRPr="00300A27" w:rsidRDefault="00910D8E" w:rsidP="00B243B6">
      <w:pPr>
        <w:pStyle w:val="PrrafodeSentencia"/>
        <w:numPr>
          <w:ilvl w:val="0"/>
          <w:numId w:val="3"/>
        </w:numPr>
        <w:spacing w:before="120" w:after="120"/>
        <w:ind w:left="0" w:firstLine="0"/>
        <w:rPr>
          <w:spacing w:val="0"/>
          <w:szCs w:val="20"/>
          <w:lang w:val="en-US"/>
        </w:rPr>
      </w:pPr>
      <w:r w:rsidRPr="00300A27">
        <w:rPr>
          <w:spacing w:val="0"/>
          <w:szCs w:val="20"/>
          <w:lang w:val="en-US"/>
        </w:rPr>
        <w:t>On February 29,</w:t>
      </w:r>
      <w:r w:rsidR="00785348" w:rsidRPr="00300A27">
        <w:rPr>
          <w:spacing w:val="0"/>
          <w:szCs w:val="20"/>
          <w:lang w:val="en-US"/>
        </w:rPr>
        <w:t xml:space="preserve"> 2008</w:t>
      </w:r>
      <w:r w:rsidR="00467FD3" w:rsidRPr="00300A27">
        <w:rPr>
          <w:spacing w:val="0"/>
          <w:szCs w:val="20"/>
          <w:lang w:val="en-US"/>
        </w:rPr>
        <w:t>, at</w:t>
      </w:r>
      <w:r w:rsidR="00785348" w:rsidRPr="00300A27">
        <w:rPr>
          <w:spacing w:val="0"/>
          <w:szCs w:val="20"/>
          <w:lang w:val="en-US"/>
        </w:rPr>
        <w:t xml:space="preserve"> 12:30</w:t>
      </w:r>
      <w:r w:rsidR="00467FD3" w:rsidRPr="00300A27">
        <w:rPr>
          <w:spacing w:val="0"/>
          <w:szCs w:val="20"/>
          <w:lang w:val="en-US"/>
        </w:rPr>
        <w:t xml:space="preserve"> p.m.,</w:t>
      </w:r>
      <w:r w:rsidR="00785348" w:rsidRPr="00300A27">
        <w:rPr>
          <w:spacing w:val="0"/>
          <w:szCs w:val="20"/>
          <w:lang w:val="en-US"/>
        </w:rPr>
        <w:t xml:space="preserve"> </w:t>
      </w:r>
      <w:r w:rsidR="00467FD3" w:rsidRPr="00300A27">
        <w:rPr>
          <w:spacing w:val="0"/>
          <w:szCs w:val="20"/>
          <w:lang w:val="en-US"/>
        </w:rPr>
        <w:t>the f</w:t>
      </w:r>
      <w:r w:rsidR="002959DE" w:rsidRPr="00300A27">
        <w:rPr>
          <w:spacing w:val="0"/>
          <w:szCs w:val="20"/>
          <w:lang w:val="en-US"/>
        </w:rPr>
        <w:t xml:space="preserve">orensic </w:t>
      </w:r>
      <w:r w:rsidR="00467FD3" w:rsidRPr="00300A27">
        <w:rPr>
          <w:spacing w:val="0"/>
          <w:szCs w:val="20"/>
          <w:lang w:val="en-US"/>
        </w:rPr>
        <w:t xml:space="preserve">medical </w:t>
      </w:r>
      <w:r w:rsidR="002959DE" w:rsidRPr="00300A27">
        <w:rPr>
          <w:spacing w:val="0"/>
          <w:szCs w:val="20"/>
          <w:lang w:val="en-US"/>
        </w:rPr>
        <w:t>examination</w:t>
      </w:r>
      <w:r w:rsidR="00785348" w:rsidRPr="00300A27">
        <w:rPr>
          <w:spacing w:val="0"/>
          <w:szCs w:val="20"/>
          <w:lang w:val="en-US"/>
        </w:rPr>
        <w:t xml:space="preserve"> </w:t>
      </w:r>
      <w:r w:rsidR="00467FD3" w:rsidRPr="00300A27">
        <w:rPr>
          <w:spacing w:val="0"/>
          <w:szCs w:val="20"/>
          <w:lang w:val="en-US"/>
        </w:rPr>
        <w:t xml:space="preserve">requested by the prosecutor was performed. The report indicated that </w:t>
      </w:r>
      <w:r w:rsidR="00834A1B" w:rsidRPr="00300A27">
        <w:rPr>
          <w:spacing w:val="0"/>
          <w:szCs w:val="20"/>
          <w:lang w:val="en-US"/>
        </w:rPr>
        <w:t>the presumed victim</w:t>
      </w:r>
      <w:r w:rsidR="00785348" w:rsidRPr="00300A27">
        <w:rPr>
          <w:spacing w:val="0"/>
          <w:szCs w:val="20"/>
          <w:lang w:val="en-US"/>
        </w:rPr>
        <w:t xml:space="preserve"> “</w:t>
      </w:r>
      <w:r w:rsidR="00467FD3" w:rsidRPr="00300A27">
        <w:rPr>
          <w:spacing w:val="0"/>
          <w:szCs w:val="20"/>
          <w:lang w:val="en-US"/>
        </w:rPr>
        <w:t xml:space="preserve">walks with slight difficulty owing to the pain, sits down slowly and then seeks an antalgic position.” </w:t>
      </w:r>
      <w:r w:rsidR="00A1610A" w:rsidRPr="00300A27">
        <w:rPr>
          <w:spacing w:val="0"/>
          <w:szCs w:val="20"/>
          <w:lang w:val="en-US"/>
        </w:rPr>
        <w:t>It describes swelling on the head, an injury to the lip and bruising on the arms. It also indicates:</w:t>
      </w:r>
    </w:p>
    <w:p w14:paraId="5975A146" w14:textId="57EDFA87" w:rsidR="00785348" w:rsidRPr="00300A27" w:rsidRDefault="00785348" w:rsidP="00B243B6">
      <w:pPr>
        <w:spacing w:before="120" w:after="120"/>
        <w:ind w:left="567" w:right="616"/>
        <w:jc w:val="both"/>
        <w:rPr>
          <w:sz w:val="18"/>
          <w:szCs w:val="18"/>
          <w:lang w:eastAsia="es-MX"/>
        </w:rPr>
      </w:pPr>
      <w:r w:rsidRPr="00300A27">
        <w:rPr>
          <w:sz w:val="18"/>
          <w:szCs w:val="18"/>
          <w:lang w:eastAsia="es-MX"/>
        </w:rPr>
        <w:t>An</w:t>
      </w:r>
      <w:r w:rsidR="00A1610A" w:rsidRPr="00300A27">
        <w:rPr>
          <w:sz w:val="18"/>
          <w:szCs w:val="18"/>
          <w:lang w:eastAsia="es-MX"/>
        </w:rPr>
        <w:t>us</w:t>
      </w:r>
      <w:r w:rsidRPr="00300A27">
        <w:rPr>
          <w:sz w:val="18"/>
          <w:szCs w:val="18"/>
          <w:lang w:eastAsia="es-MX"/>
        </w:rPr>
        <w:t xml:space="preserve">: </w:t>
      </w:r>
      <w:r w:rsidR="00A1610A" w:rsidRPr="00300A27">
        <w:rPr>
          <w:sz w:val="18"/>
          <w:szCs w:val="18"/>
          <w:lang w:eastAsia="es-MX"/>
        </w:rPr>
        <w:t>folds present, presence of recent upper perianal fissure of +3 x 0.5 cm and recent inferior perianal fissure of +2 x 0.2 cm, painful to the touch. Presence of recent anal fissures [… and] presence of earlier anal fissures</w:t>
      </w:r>
      <w:r w:rsidRPr="00300A27">
        <w:rPr>
          <w:sz w:val="18"/>
          <w:szCs w:val="18"/>
          <w:lang w:eastAsia="es-MX"/>
        </w:rPr>
        <w:t>.</w:t>
      </w:r>
    </w:p>
    <w:p w14:paraId="1B8BF27B" w14:textId="128317C6" w:rsidR="006C7EEC" w:rsidRPr="00300A27" w:rsidRDefault="00A1610A" w:rsidP="00B243B6">
      <w:pPr>
        <w:pStyle w:val="PrrafodeSentencia"/>
        <w:numPr>
          <w:ilvl w:val="0"/>
          <w:numId w:val="3"/>
        </w:numPr>
        <w:spacing w:before="120" w:after="120"/>
        <w:ind w:left="0" w:firstLine="0"/>
        <w:rPr>
          <w:spacing w:val="0"/>
          <w:szCs w:val="20"/>
          <w:lang w:val="en-US"/>
        </w:rPr>
      </w:pPr>
      <w:bookmarkStart w:id="121" w:name="_Ref446324847"/>
      <w:r w:rsidRPr="00300A27">
        <w:rPr>
          <w:spacing w:val="0"/>
          <w:lang w:val="en-US"/>
        </w:rPr>
        <w:t xml:space="preserve">The report concluded that </w:t>
      </w:r>
      <w:r w:rsidR="008546E9" w:rsidRPr="00300A27">
        <w:rPr>
          <w:spacing w:val="0"/>
          <w:lang w:val="en-US"/>
        </w:rPr>
        <w:t>Ms. Rojas</w:t>
      </w:r>
      <w:r w:rsidR="006642AF" w:rsidRPr="00300A27">
        <w:rPr>
          <w:spacing w:val="0"/>
          <w:lang w:val="en-US"/>
        </w:rPr>
        <w:t xml:space="preserve"> Marín </w:t>
      </w:r>
      <w:r w:rsidRPr="00300A27">
        <w:rPr>
          <w:spacing w:val="0"/>
          <w:lang w:val="en-US"/>
        </w:rPr>
        <w:t>had</w:t>
      </w:r>
      <w:r w:rsidR="00785348" w:rsidRPr="00300A27">
        <w:rPr>
          <w:spacing w:val="0"/>
          <w:lang w:val="en-US"/>
        </w:rPr>
        <w:t>: “</w:t>
      </w:r>
      <w:r w:rsidRPr="00300A27">
        <w:rPr>
          <w:spacing w:val="0"/>
          <w:lang w:val="en-US"/>
        </w:rPr>
        <w:t>(</w:t>
      </w:r>
      <w:r w:rsidR="00785348" w:rsidRPr="00300A27">
        <w:rPr>
          <w:spacing w:val="0"/>
          <w:lang w:val="en-US"/>
        </w:rPr>
        <w:t>1)</w:t>
      </w:r>
      <w:r w:rsidRPr="00300A27">
        <w:rPr>
          <w:spacing w:val="0"/>
          <w:lang w:val="en-US"/>
        </w:rPr>
        <w:t xml:space="preserve"> recent</w:t>
      </w:r>
      <w:r w:rsidR="00785348" w:rsidRPr="00300A27">
        <w:rPr>
          <w:spacing w:val="0"/>
          <w:lang w:val="en-US"/>
        </w:rPr>
        <w:t xml:space="preserve"> </w:t>
      </w:r>
      <w:r w:rsidRPr="00300A27">
        <w:rPr>
          <w:spacing w:val="0"/>
          <w:lang w:val="en-US"/>
        </w:rPr>
        <w:t>extragenital traumatic injuries caused by someone else with a blunt instrument; (2) no recent para-genital traumatic injuries, and (3) anus: old anal fissures</w:t>
      </w:r>
      <w:r w:rsidR="00361837" w:rsidRPr="00300A27">
        <w:rPr>
          <w:spacing w:val="0"/>
          <w:lang w:val="en-US"/>
        </w:rPr>
        <w:t xml:space="preserve"> with signs of a recent unnatural act.” The report indicates that she required 8 disability days.</w:t>
      </w:r>
      <w:r w:rsidR="00785348" w:rsidRPr="00300A27">
        <w:rPr>
          <w:rStyle w:val="Refdenotaalpie"/>
          <w:spacing w:val="0"/>
          <w:szCs w:val="20"/>
          <w:lang w:val="en-US"/>
        </w:rPr>
        <w:footnoteReference w:id="195"/>
      </w:r>
      <w:r w:rsidR="00361837" w:rsidRPr="00300A27">
        <w:rPr>
          <w:spacing w:val="0"/>
          <w:szCs w:val="20"/>
          <w:lang w:val="en-US"/>
        </w:rPr>
        <w:t xml:space="preserve"> In a medical expertise to ratify those findings, the forensic physical indicated that the injuries described in the forensic medical certificate “cannot prove that […] they were caused by a police baton, but owing to the form, this is probable.</w:t>
      </w:r>
      <w:r w:rsidR="00A01B7B" w:rsidRPr="00300A27">
        <w:rPr>
          <w:rFonts w:cs="Arial"/>
          <w:spacing w:val="0"/>
          <w:szCs w:val="20"/>
          <w:lang w:val="en-US"/>
        </w:rPr>
        <w:t>”</w:t>
      </w:r>
      <w:r w:rsidR="00682D59" w:rsidRPr="00300A27">
        <w:rPr>
          <w:rStyle w:val="Refdenotaalpie"/>
          <w:spacing w:val="0"/>
          <w:lang w:val="en-US"/>
        </w:rPr>
        <w:footnoteReference w:id="196"/>
      </w:r>
      <w:bookmarkEnd w:id="121"/>
      <w:r w:rsidR="00891AD4" w:rsidRPr="00300A27">
        <w:rPr>
          <w:rFonts w:cs="Arial"/>
          <w:spacing w:val="0"/>
          <w:szCs w:val="20"/>
          <w:lang w:val="en-US"/>
        </w:rPr>
        <w:t xml:space="preserve"> </w:t>
      </w:r>
    </w:p>
    <w:p w14:paraId="442E8B9D" w14:textId="5FB0EBC0" w:rsidR="00682D59" w:rsidRPr="00300A27" w:rsidRDefault="00361837" w:rsidP="00B243B6">
      <w:pPr>
        <w:pStyle w:val="PrrafodeSentencia"/>
        <w:numPr>
          <w:ilvl w:val="0"/>
          <w:numId w:val="3"/>
        </w:numPr>
        <w:spacing w:before="120" w:after="120"/>
        <w:ind w:left="0" w:firstLine="0"/>
        <w:rPr>
          <w:spacing w:val="0"/>
          <w:szCs w:val="20"/>
          <w:lang w:val="en-US"/>
        </w:rPr>
      </w:pPr>
      <w:r w:rsidRPr="00300A27">
        <w:rPr>
          <w:rFonts w:cs="Arial"/>
          <w:spacing w:val="0"/>
          <w:szCs w:val="20"/>
          <w:lang w:val="en-US"/>
        </w:rPr>
        <w:t>In the course of the investigations conducted in 2019, the forensic physician indicated in a ratification procedure that, to determine whether the injuries were compatible with the attempt of forcible penetration of the rectum with a police baton, he would have to see the police baton and know the measurements of the said object.</w:t>
      </w:r>
      <w:r w:rsidRPr="00300A27">
        <w:rPr>
          <w:rStyle w:val="Refdenotaalpie"/>
          <w:rFonts w:cs="Arial"/>
          <w:spacing w:val="0"/>
          <w:szCs w:val="20"/>
          <w:lang w:val="en-US"/>
        </w:rPr>
        <w:footnoteReference w:id="197"/>
      </w:r>
      <w:r w:rsidRPr="00300A27">
        <w:rPr>
          <w:rFonts w:cs="Arial"/>
          <w:spacing w:val="0"/>
          <w:szCs w:val="20"/>
          <w:lang w:val="en-US"/>
        </w:rPr>
        <w:t xml:space="preserve"> Additionally, a forensic medical certificate issued on November 4, 2019, indicated that “[i]n a recent examination performed of the person evaluated, old injuries were found that are consistent with the act described (in other words, scars in the anal region located in the same place as indicated in the initial forensic medical certificate</w:t>
      </w:r>
      <w:r w:rsidR="00891AD4" w:rsidRPr="00300A27">
        <w:rPr>
          <w:rFonts w:cs="Arial"/>
          <w:spacing w:val="0"/>
          <w:szCs w:val="20"/>
          <w:lang w:val="en-US"/>
        </w:rPr>
        <w:t xml:space="preserve"> […])</w:t>
      </w:r>
      <w:r w:rsidRPr="00300A27">
        <w:rPr>
          <w:rFonts w:cs="Arial"/>
          <w:spacing w:val="0"/>
          <w:szCs w:val="20"/>
          <w:lang w:val="en-US"/>
        </w:rPr>
        <w:t>.</w:t>
      </w:r>
      <w:r w:rsidR="00891AD4" w:rsidRPr="00300A27">
        <w:rPr>
          <w:rFonts w:cs="Arial"/>
          <w:spacing w:val="0"/>
          <w:szCs w:val="20"/>
          <w:lang w:val="en-US"/>
        </w:rPr>
        <w:t>”</w:t>
      </w:r>
      <w:r w:rsidRPr="00300A27">
        <w:rPr>
          <w:rFonts w:cs="Arial"/>
          <w:spacing w:val="0"/>
          <w:szCs w:val="20"/>
          <w:lang w:val="en-US"/>
        </w:rPr>
        <w:t xml:space="preserve"> In this regard, the report indicated that “the description of the facts made by</w:t>
      </w:r>
      <w:r w:rsidR="00891AD4" w:rsidRPr="00300A27">
        <w:rPr>
          <w:rFonts w:cs="Arial"/>
          <w:spacing w:val="0"/>
          <w:szCs w:val="20"/>
          <w:lang w:val="en-US"/>
        </w:rPr>
        <w:t xml:space="preserve"> </w:t>
      </w:r>
      <w:r w:rsidR="00834A1B" w:rsidRPr="00300A27">
        <w:rPr>
          <w:rFonts w:cs="Arial"/>
          <w:spacing w:val="0"/>
          <w:szCs w:val="20"/>
          <w:lang w:val="en-US"/>
        </w:rPr>
        <w:t>the presumed victim</w:t>
      </w:r>
      <w:r w:rsidR="00891AD4" w:rsidRPr="00300A27">
        <w:rPr>
          <w:rFonts w:cs="Arial"/>
          <w:spacing w:val="0"/>
          <w:szCs w:val="20"/>
          <w:lang w:val="en-US"/>
        </w:rPr>
        <w:t>, as</w:t>
      </w:r>
      <w:r w:rsidRPr="00300A27">
        <w:rPr>
          <w:rFonts w:cs="Arial"/>
          <w:spacing w:val="0"/>
          <w:szCs w:val="20"/>
          <w:lang w:val="en-US"/>
        </w:rPr>
        <w:t xml:space="preserve"> well as the injuries produced are those that are generally found with this type of act.</w:t>
      </w:r>
      <w:r w:rsidR="00891AD4" w:rsidRPr="00300A27">
        <w:rPr>
          <w:rFonts w:cs="Arial"/>
          <w:spacing w:val="0"/>
          <w:szCs w:val="20"/>
          <w:lang w:val="en-US"/>
        </w:rPr>
        <w:t>”</w:t>
      </w:r>
      <w:r w:rsidR="00891AD4" w:rsidRPr="00300A27">
        <w:rPr>
          <w:rStyle w:val="Refdenotaalpie"/>
          <w:rFonts w:cs="Arial"/>
          <w:spacing w:val="0"/>
          <w:szCs w:val="20"/>
          <w:lang w:val="en-US"/>
        </w:rPr>
        <w:footnoteReference w:id="198"/>
      </w:r>
    </w:p>
    <w:p w14:paraId="215782D7" w14:textId="3143016B" w:rsidR="00785348" w:rsidRPr="00300A27" w:rsidRDefault="00361837" w:rsidP="00B243B6">
      <w:pPr>
        <w:pStyle w:val="PrrafodeSentencia"/>
        <w:numPr>
          <w:ilvl w:val="0"/>
          <w:numId w:val="3"/>
        </w:numPr>
        <w:spacing w:before="120" w:after="120"/>
        <w:ind w:left="0" w:firstLine="0"/>
        <w:rPr>
          <w:spacing w:val="0"/>
          <w:szCs w:val="20"/>
          <w:lang w:val="en-US"/>
        </w:rPr>
      </w:pPr>
      <w:r w:rsidRPr="00300A27">
        <w:rPr>
          <w:spacing w:val="0"/>
          <w:lang w:val="en-US"/>
        </w:rPr>
        <w:t xml:space="preserve">It should be pointed out that the absence of physical signs does not mean that ill-treatment did not occur, because </w:t>
      </w:r>
      <w:r w:rsidR="00A70643" w:rsidRPr="00300A27">
        <w:rPr>
          <w:spacing w:val="0"/>
          <w:lang w:val="en-US"/>
        </w:rPr>
        <w:t xml:space="preserve">it is frequent that </w:t>
      </w:r>
      <w:r w:rsidR="009253B4" w:rsidRPr="00300A27">
        <w:rPr>
          <w:spacing w:val="0"/>
          <w:lang w:val="en-US"/>
        </w:rPr>
        <w:t>such</w:t>
      </w:r>
      <w:r w:rsidR="00A70643" w:rsidRPr="00300A27">
        <w:rPr>
          <w:spacing w:val="0"/>
          <w:lang w:val="en-US"/>
        </w:rPr>
        <w:t xml:space="preserve"> acts of violence against an individual do not leave permanent traces or scars.</w:t>
      </w:r>
      <w:r w:rsidR="00785348" w:rsidRPr="00300A27">
        <w:rPr>
          <w:rStyle w:val="Refdenotaalpie"/>
          <w:spacing w:val="0"/>
          <w:szCs w:val="20"/>
          <w:lang w:val="en-US"/>
        </w:rPr>
        <w:footnoteReference w:id="199"/>
      </w:r>
      <w:r w:rsidR="00A70643" w:rsidRPr="00300A27">
        <w:rPr>
          <w:spacing w:val="0"/>
          <w:szCs w:val="20"/>
          <w:lang w:val="en-US"/>
        </w:rPr>
        <w:t xml:space="preserve"> </w:t>
      </w:r>
      <w:r w:rsidR="009253B4" w:rsidRPr="00300A27">
        <w:rPr>
          <w:spacing w:val="0"/>
          <w:szCs w:val="20"/>
          <w:lang w:val="en-US"/>
        </w:rPr>
        <w:t>Th</w:t>
      </w:r>
      <w:r w:rsidR="00A70643" w:rsidRPr="00300A27">
        <w:rPr>
          <w:spacing w:val="0"/>
          <w:szCs w:val="20"/>
          <w:lang w:val="en-US"/>
        </w:rPr>
        <w:t>e same is true for cases of sexual violence and rape in which the occurrence is not necessarily reflected in marks or scars during a medical examination  because not all cases of sexual violence and/or rape cause physical injuries or diseases that can be verified by a medical examination.</w:t>
      </w:r>
      <w:r w:rsidR="00785348" w:rsidRPr="00300A27">
        <w:rPr>
          <w:rStyle w:val="Refdenotaalpie"/>
          <w:spacing w:val="0"/>
          <w:szCs w:val="20"/>
          <w:lang w:val="en-US"/>
        </w:rPr>
        <w:footnoteReference w:id="200"/>
      </w:r>
    </w:p>
    <w:p w14:paraId="051EC4D6" w14:textId="6120928C" w:rsidR="00A70643" w:rsidRPr="00300A27" w:rsidRDefault="00A70643" w:rsidP="00B243B6">
      <w:pPr>
        <w:pStyle w:val="PrrafodeSentencia"/>
        <w:numPr>
          <w:ilvl w:val="0"/>
          <w:numId w:val="3"/>
        </w:numPr>
        <w:ind w:left="0" w:firstLine="0"/>
        <w:rPr>
          <w:spacing w:val="0"/>
          <w:lang w:val="en-US"/>
        </w:rPr>
      </w:pPr>
      <w:r w:rsidRPr="00300A27">
        <w:rPr>
          <w:spacing w:val="0"/>
          <w:lang w:val="en-US"/>
        </w:rPr>
        <w:t>Even though several of the alleged abuses did not leave physical traces, the Court notes that the injuries found in the extragenital and genital areas are consistent with the presumed victim’s assertion that she was hit several times during her detention and that they introduced the police baton in her anus.</w:t>
      </w:r>
    </w:p>
    <w:p w14:paraId="6D13CAA4" w14:textId="0F78F9A8" w:rsidR="00785348" w:rsidRPr="00300A27" w:rsidRDefault="00785348" w:rsidP="00B243B6">
      <w:pPr>
        <w:pStyle w:val="Ttulo3"/>
        <w:rPr>
          <w:lang w:val="en-US" w:eastAsia="es-MX"/>
        </w:rPr>
      </w:pPr>
      <w:bookmarkStart w:id="122" w:name="_Toc32394171"/>
      <w:bookmarkStart w:id="123" w:name="_Toc36823489"/>
      <w:r w:rsidRPr="00300A27">
        <w:rPr>
          <w:lang w:val="en-US"/>
        </w:rPr>
        <w:t xml:space="preserve">B.3 </w:t>
      </w:r>
      <w:r w:rsidRPr="00300A27">
        <w:rPr>
          <w:lang w:val="en-US"/>
        </w:rPr>
        <w:tab/>
      </w:r>
      <w:r w:rsidR="00A70643" w:rsidRPr="00300A27">
        <w:rPr>
          <w:lang w:val="en-US"/>
        </w:rPr>
        <w:t xml:space="preserve">Expert appraisal of </w:t>
      </w:r>
      <w:r w:rsidR="008546E9" w:rsidRPr="00300A27">
        <w:rPr>
          <w:lang w:val="en-US"/>
        </w:rPr>
        <w:t xml:space="preserve">the </w:t>
      </w:r>
      <w:r w:rsidR="00834A1B" w:rsidRPr="00300A27">
        <w:rPr>
          <w:lang w:val="en-US"/>
        </w:rPr>
        <w:t>presumed victim</w:t>
      </w:r>
      <w:bookmarkEnd w:id="122"/>
      <w:bookmarkEnd w:id="123"/>
      <w:r w:rsidR="00A70643" w:rsidRPr="00300A27">
        <w:rPr>
          <w:lang w:val="en-US"/>
        </w:rPr>
        <w:t>’s clothing</w:t>
      </w:r>
    </w:p>
    <w:p w14:paraId="01ADD2A6" w14:textId="4DFE432D" w:rsidR="00785348" w:rsidRPr="00300A27" w:rsidRDefault="007F3C16" w:rsidP="00B243B6">
      <w:pPr>
        <w:pStyle w:val="PrrafodeSentencia"/>
        <w:numPr>
          <w:ilvl w:val="0"/>
          <w:numId w:val="3"/>
        </w:numPr>
        <w:spacing w:before="120" w:after="120"/>
        <w:ind w:left="0" w:firstLine="0"/>
        <w:rPr>
          <w:spacing w:val="0"/>
          <w:szCs w:val="20"/>
          <w:lang w:val="en-US"/>
        </w:rPr>
      </w:pPr>
      <w:r w:rsidRPr="00300A27">
        <w:rPr>
          <w:spacing w:val="0"/>
          <w:szCs w:val="20"/>
          <w:lang w:val="en-US"/>
        </w:rPr>
        <w:t>In the course of the investigation, the clothing that</w:t>
      </w:r>
      <w:r w:rsidR="00785348" w:rsidRPr="00300A27">
        <w:rPr>
          <w:spacing w:val="0"/>
          <w:szCs w:val="20"/>
          <w:lang w:val="en-US"/>
        </w:rPr>
        <w:t xml:space="preserve"> </w:t>
      </w:r>
      <w:r w:rsidR="00834A1B" w:rsidRPr="00300A27">
        <w:rPr>
          <w:spacing w:val="0"/>
          <w:szCs w:val="20"/>
          <w:lang w:val="en-US"/>
        </w:rPr>
        <w:t>the presumed victim</w:t>
      </w:r>
      <w:r w:rsidR="00785348" w:rsidRPr="00300A27">
        <w:rPr>
          <w:spacing w:val="0"/>
          <w:szCs w:val="20"/>
          <w:lang w:val="en-US"/>
        </w:rPr>
        <w:t xml:space="preserve"> </w:t>
      </w:r>
      <w:r w:rsidRPr="00300A27">
        <w:rPr>
          <w:spacing w:val="0"/>
          <w:szCs w:val="20"/>
          <w:lang w:val="en-US"/>
        </w:rPr>
        <w:t xml:space="preserve">was </w:t>
      </w:r>
      <w:r w:rsidR="009253B4" w:rsidRPr="00300A27">
        <w:rPr>
          <w:spacing w:val="0"/>
          <w:szCs w:val="20"/>
          <w:lang w:val="en-US"/>
        </w:rPr>
        <w:t>weari</w:t>
      </w:r>
      <w:r w:rsidRPr="00300A27">
        <w:rPr>
          <w:spacing w:val="0"/>
          <w:szCs w:val="20"/>
          <w:lang w:val="en-US"/>
        </w:rPr>
        <w:t>ng on the day of the incident was examined. The expert report indicated that, on the “outside back of [the trousers], at the level of the pockets, brownish contact stains can be observed. On the central part of the inside reddish-brown stains</w:t>
      </w:r>
      <w:r w:rsidR="009253B4" w:rsidRPr="00300A27">
        <w:rPr>
          <w:spacing w:val="0"/>
          <w:szCs w:val="20"/>
          <w:lang w:val="en-US"/>
        </w:rPr>
        <w:t xml:space="preserve"> are</w:t>
      </w:r>
      <w:r w:rsidRPr="00300A27">
        <w:rPr>
          <w:spacing w:val="0"/>
          <w:szCs w:val="20"/>
          <w:lang w:val="en-US"/>
        </w:rPr>
        <w:t xml:space="preserve"> impregnated.” The analysis of the latter determined that this was type “O”</w:t>
      </w:r>
      <w:r w:rsidR="000825A3" w:rsidRPr="00300A27">
        <w:rPr>
          <w:rStyle w:val="Refdenotaalpie"/>
          <w:spacing w:val="0"/>
          <w:szCs w:val="20"/>
          <w:lang w:val="en-US"/>
        </w:rPr>
        <w:footnoteReference w:id="201"/>
      </w:r>
      <w:r w:rsidRPr="00300A27">
        <w:rPr>
          <w:spacing w:val="0"/>
          <w:szCs w:val="20"/>
          <w:lang w:val="en-US"/>
        </w:rPr>
        <w:t xml:space="preserve"> human blood, which coincides with the presumed victim’s blood type.</w:t>
      </w:r>
      <w:r w:rsidR="00785348" w:rsidRPr="00300A27">
        <w:rPr>
          <w:rStyle w:val="Refdenotaalpie"/>
          <w:spacing w:val="0"/>
          <w:szCs w:val="20"/>
          <w:lang w:val="en-US"/>
        </w:rPr>
        <w:footnoteReference w:id="202"/>
      </w:r>
      <w:r w:rsidR="00642D2D" w:rsidRPr="00300A27">
        <w:rPr>
          <w:spacing w:val="0"/>
          <w:szCs w:val="20"/>
          <w:lang w:val="en-US"/>
        </w:rPr>
        <w:t xml:space="preserve"> </w:t>
      </w:r>
    </w:p>
    <w:p w14:paraId="0476E4E7" w14:textId="60A7A59D" w:rsidR="00785348" w:rsidRPr="00300A27" w:rsidRDefault="007F3C16" w:rsidP="00B243B6">
      <w:pPr>
        <w:pStyle w:val="PrrafodeSentencia"/>
        <w:numPr>
          <w:ilvl w:val="0"/>
          <w:numId w:val="3"/>
        </w:numPr>
        <w:spacing w:before="120" w:after="120"/>
        <w:ind w:left="0" w:firstLine="0"/>
        <w:rPr>
          <w:spacing w:val="0"/>
          <w:lang w:val="en-US"/>
        </w:rPr>
      </w:pPr>
      <w:r w:rsidRPr="00300A27">
        <w:rPr>
          <w:spacing w:val="0"/>
          <w:lang w:val="en-US"/>
        </w:rPr>
        <w:t xml:space="preserve">The correspondence between the blood type of the blood found on the back of the presumed victim’s trousers and the blood type of the </w:t>
      </w:r>
      <w:r w:rsidR="00834A1B" w:rsidRPr="00300A27">
        <w:rPr>
          <w:spacing w:val="0"/>
          <w:lang w:val="en-US"/>
        </w:rPr>
        <w:t>presumed victim</w:t>
      </w:r>
      <w:r w:rsidR="00CC29BB" w:rsidRPr="00300A27">
        <w:rPr>
          <w:spacing w:val="0"/>
          <w:lang w:val="en-US"/>
        </w:rPr>
        <w:t xml:space="preserve"> </w:t>
      </w:r>
      <w:r w:rsidRPr="00300A27">
        <w:rPr>
          <w:spacing w:val="0"/>
          <w:lang w:val="en-US"/>
        </w:rPr>
        <w:t>is additional evidence t</w:t>
      </w:r>
      <w:r w:rsidR="00AA2682" w:rsidRPr="00300A27">
        <w:rPr>
          <w:spacing w:val="0"/>
          <w:lang w:val="en-US"/>
        </w:rPr>
        <w:t>o</w:t>
      </w:r>
      <w:r w:rsidRPr="00300A27">
        <w:rPr>
          <w:spacing w:val="0"/>
          <w:lang w:val="en-US"/>
        </w:rPr>
        <w:t xml:space="preserve"> </w:t>
      </w:r>
      <w:r w:rsidR="00AA2682" w:rsidRPr="00300A27">
        <w:rPr>
          <w:spacing w:val="0"/>
          <w:lang w:val="en-US"/>
        </w:rPr>
        <w:t>support</w:t>
      </w:r>
      <w:r w:rsidRPr="00300A27">
        <w:rPr>
          <w:spacing w:val="0"/>
          <w:lang w:val="en-US"/>
        </w:rPr>
        <w:t xml:space="preserve"> the statements made by </w:t>
      </w:r>
      <w:r w:rsidR="008546E9" w:rsidRPr="00300A27">
        <w:rPr>
          <w:spacing w:val="0"/>
          <w:lang w:val="en-US"/>
        </w:rPr>
        <w:t>Ms. Rojas</w:t>
      </w:r>
      <w:r w:rsidR="00785348" w:rsidRPr="00300A27">
        <w:rPr>
          <w:spacing w:val="0"/>
          <w:lang w:val="en-US"/>
        </w:rPr>
        <w:t xml:space="preserve"> Marín.  </w:t>
      </w:r>
    </w:p>
    <w:p w14:paraId="6038270B" w14:textId="510A0D5F" w:rsidR="00785348" w:rsidRPr="00300A27" w:rsidRDefault="00785348" w:rsidP="00B243B6">
      <w:pPr>
        <w:pStyle w:val="Ttulo3"/>
        <w:rPr>
          <w:lang w:val="en-US"/>
        </w:rPr>
      </w:pPr>
      <w:bookmarkStart w:id="124" w:name="_Toc32394172"/>
      <w:bookmarkStart w:id="125" w:name="_Toc36823490"/>
      <w:r w:rsidRPr="00300A27">
        <w:rPr>
          <w:lang w:val="en-US"/>
        </w:rPr>
        <w:t xml:space="preserve">B.4 </w:t>
      </w:r>
      <w:r w:rsidRPr="00300A27">
        <w:rPr>
          <w:lang w:val="en-US"/>
        </w:rPr>
        <w:tab/>
        <w:t>Determina</w:t>
      </w:r>
      <w:bookmarkEnd w:id="124"/>
      <w:bookmarkEnd w:id="125"/>
      <w:r w:rsidR="00961E38" w:rsidRPr="00300A27">
        <w:rPr>
          <w:lang w:val="en-US"/>
        </w:rPr>
        <w:t>tion of the ill-treatment that occurred</w:t>
      </w:r>
    </w:p>
    <w:p w14:paraId="7DC04169" w14:textId="7F022544" w:rsidR="00961E38" w:rsidRPr="00300A27" w:rsidRDefault="00961E38" w:rsidP="00B243B6">
      <w:pPr>
        <w:pStyle w:val="PrrafodeSentencia"/>
        <w:numPr>
          <w:ilvl w:val="0"/>
          <w:numId w:val="3"/>
        </w:numPr>
        <w:ind w:left="0" w:firstLine="0"/>
        <w:rPr>
          <w:spacing w:val="0"/>
          <w:lang w:val="en-US"/>
        </w:rPr>
      </w:pPr>
      <w:bookmarkStart w:id="126" w:name="_Ref36022945"/>
      <w:r w:rsidRPr="00300A27">
        <w:rPr>
          <w:spacing w:val="0"/>
          <w:lang w:val="en-US"/>
        </w:rPr>
        <w:t xml:space="preserve">Based on all the preceding considerations, the Court finds that it has been sufficiently proved that, during her detention, </w:t>
      </w:r>
      <w:r w:rsidR="008546E9" w:rsidRPr="00300A27">
        <w:rPr>
          <w:spacing w:val="0"/>
          <w:lang w:val="en-US"/>
        </w:rPr>
        <w:t>Ms. Rojas</w:t>
      </w:r>
      <w:r w:rsidR="00785348" w:rsidRPr="00300A27">
        <w:rPr>
          <w:spacing w:val="0"/>
          <w:lang w:val="en-US"/>
        </w:rPr>
        <w:t xml:space="preserve"> Marín </w:t>
      </w:r>
      <w:r w:rsidRPr="00300A27">
        <w:rPr>
          <w:spacing w:val="0"/>
          <w:lang w:val="en-US"/>
        </w:rPr>
        <w:t xml:space="preserve">was forcibly undressed, hit on several occasions, the state agents made derogatory comments </w:t>
      </w:r>
      <w:r w:rsidR="009253B4" w:rsidRPr="00300A27">
        <w:rPr>
          <w:spacing w:val="0"/>
          <w:lang w:val="en-US"/>
        </w:rPr>
        <w:t>about</w:t>
      </w:r>
      <w:r w:rsidRPr="00300A27">
        <w:rPr>
          <w:spacing w:val="0"/>
          <w:lang w:val="en-US"/>
        </w:rPr>
        <w:t xml:space="preserve"> her sexual orientation, and she was the victim of rape because a police baton was introduced into her anus twice. This determination is based on: (1) the statements made by Ms. Rojas Marín; (2) the medical examinations performed on Ms. Rojas Marín, and (3) the expert report on the presumed victim’s clothing. In addition, the Court recalls that the detention of Ms. Rojas Marín was carried out without meeting the legal requirements, including the obligation to record the detention, and that this detention was carried out for discriminatory purposes</w:t>
      </w:r>
      <w:r w:rsidR="00785348" w:rsidRPr="00300A27">
        <w:rPr>
          <w:spacing w:val="0"/>
          <w:lang w:val="en-US"/>
        </w:rPr>
        <w:t xml:space="preserve"> (</w:t>
      </w:r>
      <w:r w:rsidR="00785348" w:rsidRPr="00300A27">
        <w:rPr>
          <w:i/>
          <w:iCs/>
          <w:spacing w:val="0"/>
          <w:lang w:val="en-US"/>
        </w:rPr>
        <w:t>supra</w:t>
      </w:r>
      <w:r w:rsidR="00785348" w:rsidRPr="00300A27">
        <w:rPr>
          <w:spacing w:val="0"/>
          <w:lang w:val="en-US"/>
        </w:rPr>
        <w:t xml:space="preserve"> </w:t>
      </w:r>
      <w:r w:rsidR="00910D8E" w:rsidRPr="00300A27">
        <w:rPr>
          <w:spacing w:val="0"/>
          <w:lang w:val="en-US"/>
        </w:rPr>
        <w:t>paras.</w:t>
      </w:r>
      <w:r w:rsidR="00785348" w:rsidRPr="00300A27">
        <w:rPr>
          <w:spacing w:val="0"/>
          <w:lang w:val="en-US"/>
        </w:rPr>
        <w:t xml:space="preserve"> </w:t>
      </w:r>
      <w:r w:rsidR="00403AE6" w:rsidRPr="00300A27">
        <w:rPr>
          <w:spacing w:val="0"/>
          <w:lang w:val="en-US"/>
        </w:rPr>
        <w:fldChar w:fldCharType="begin"/>
      </w:r>
      <w:r w:rsidR="00403AE6" w:rsidRPr="00300A27">
        <w:rPr>
          <w:spacing w:val="0"/>
          <w:lang w:val="en-US"/>
        </w:rPr>
        <w:instrText xml:space="preserve"> REF _Ref33106089 \r \h </w:instrText>
      </w:r>
      <w:r w:rsidR="00B243B6" w:rsidRPr="00300A27">
        <w:rPr>
          <w:spacing w:val="0"/>
          <w:lang w:val="en-US"/>
        </w:rPr>
        <w:instrText xml:space="preserve"> \* MERGEFORMAT </w:instrText>
      </w:r>
      <w:r w:rsidR="00403AE6" w:rsidRPr="00300A27">
        <w:rPr>
          <w:spacing w:val="0"/>
          <w:lang w:val="en-US"/>
        </w:rPr>
      </w:r>
      <w:r w:rsidR="00403AE6" w:rsidRPr="00300A27">
        <w:rPr>
          <w:spacing w:val="0"/>
          <w:lang w:val="en-US"/>
        </w:rPr>
        <w:fldChar w:fldCharType="separate"/>
      </w:r>
      <w:r w:rsidR="00632F77" w:rsidRPr="00300A27">
        <w:rPr>
          <w:spacing w:val="0"/>
          <w:lang w:val="en-US"/>
        </w:rPr>
        <w:t>100</w:t>
      </w:r>
      <w:r w:rsidR="00403AE6" w:rsidRPr="00300A27">
        <w:rPr>
          <w:spacing w:val="0"/>
          <w:lang w:val="en-US"/>
        </w:rPr>
        <w:fldChar w:fldCharType="end"/>
      </w:r>
      <w:r w:rsidR="00403AE6" w:rsidRPr="00300A27">
        <w:rPr>
          <w:spacing w:val="0"/>
          <w:lang w:val="en-US"/>
        </w:rPr>
        <w:t xml:space="preserve"> </w:t>
      </w:r>
      <w:r w:rsidRPr="00300A27">
        <w:rPr>
          <w:spacing w:val="0"/>
          <w:lang w:val="en-US"/>
        </w:rPr>
        <w:t>to</w:t>
      </w:r>
      <w:r w:rsidR="00403AE6" w:rsidRPr="00300A27">
        <w:rPr>
          <w:spacing w:val="0"/>
          <w:lang w:val="en-US"/>
        </w:rPr>
        <w:t xml:space="preserve"> </w:t>
      </w:r>
      <w:r w:rsidR="00403AE6" w:rsidRPr="00300A27">
        <w:rPr>
          <w:spacing w:val="0"/>
          <w:lang w:val="en-US"/>
        </w:rPr>
        <w:fldChar w:fldCharType="begin"/>
      </w:r>
      <w:r w:rsidR="00403AE6" w:rsidRPr="00300A27">
        <w:rPr>
          <w:spacing w:val="0"/>
          <w:lang w:val="en-US"/>
        </w:rPr>
        <w:instrText xml:space="preserve"> REF _Ref446681907 \r \h </w:instrText>
      </w:r>
      <w:r w:rsidR="00B243B6" w:rsidRPr="00300A27">
        <w:rPr>
          <w:spacing w:val="0"/>
          <w:lang w:val="en-US"/>
        </w:rPr>
        <w:instrText xml:space="preserve"> \* MERGEFORMAT </w:instrText>
      </w:r>
      <w:r w:rsidR="00403AE6" w:rsidRPr="00300A27">
        <w:rPr>
          <w:spacing w:val="0"/>
          <w:lang w:val="en-US"/>
        </w:rPr>
      </w:r>
      <w:r w:rsidR="00403AE6" w:rsidRPr="00300A27">
        <w:rPr>
          <w:spacing w:val="0"/>
          <w:lang w:val="en-US"/>
        </w:rPr>
        <w:fldChar w:fldCharType="separate"/>
      </w:r>
      <w:r w:rsidR="00632F77" w:rsidRPr="00300A27">
        <w:rPr>
          <w:spacing w:val="0"/>
          <w:lang w:val="en-US"/>
        </w:rPr>
        <w:t>134</w:t>
      </w:r>
      <w:r w:rsidR="00403AE6" w:rsidRPr="00300A27">
        <w:rPr>
          <w:spacing w:val="0"/>
          <w:lang w:val="en-US"/>
        </w:rPr>
        <w:fldChar w:fldCharType="end"/>
      </w:r>
      <w:r w:rsidR="00785348" w:rsidRPr="00300A27">
        <w:rPr>
          <w:spacing w:val="0"/>
          <w:lang w:val="en-US"/>
        </w:rPr>
        <w:t xml:space="preserve">). </w:t>
      </w:r>
      <w:r w:rsidRPr="00300A27">
        <w:rPr>
          <w:spacing w:val="0"/>
          <w:lang w:val="en-US"/>
        </w:rPr>
        <w:t>The conditions in which the detention was carried out support the conclusion</w:t>
      </w:r>
      <w:r w:rsidR="0098752F" w:rsidRPr="00300A27">
        <w:rPr>
          <w:spacing w:val="0"/>
          <w:lang w:val="en-US"/>
        </w:rPr>
        <w:t xml:space="preserve"> that the ill-treatment alleged by the presumed victim occurred.</w:t>
      </w:r>
    </w:p>
    <w:p w14:paraId="325FB00E" w14:textId="19AB8368" w:rsidR="00785348" w:rsidRPr="00300A27" w:rsidRDefault="00785348" w:rsidP="00B243B6">
      <w:pPr>
        <w:pStyle w:val="Ttulo3"/>
        <w:rPr>
          <w:color w:val="FF0000"/>
          <w:lang w:val="en-US"/>
        </w:rPr>
      </w:pPr>
      <w:bookmarkStart w:id="127" w:name="_Toc32394173"/>
      <w:bookmarkStart w:id="128" w:name="_Toc36823491"/>
      <w:bookmarkEnd w:id="126"/>
      <w:r w:rsidRPr="00300A27">
        <w:rPr>
          <w:lang w:val="en-US"/>
        </w:rPr>
        <w:t xml:space="preserve">B.5 </w:t>
      </w:r>
      <w:r w:rsidRPr="00300A27">
        <w:rPr>
          <w:lang w:val="en-US"/>
        </w:rPr>
        <w:tab/>
      </w:r>
      <w:bookmarkEnd w:id="127"/>
      <w:bookmarkEnd w:id="128"/>
      <w:r w:rsidR="00961E38" w:rsidRPr="00300A27">
        <w:rPr>
          <w:lang w:val="en-US"/>
        </w:rPr>
        <w:t>Legal classification</w:t>
      </w:r>
    </w:p>
    <w:p w14:paraId="1BF1DE48" w14:textId="3AECE13D" w:rsidR="00785348" w:rsidRPr="00300A27" w:rsidRDefault="009B35A1" w:rsidP="00B243B6">
      <w:pPr>
        <w:pStyle w:val="PrrafodeSentencia"/>
        <w:numPr>
          <w:ilvl w:val="0"/>
          <w:numId w:val="3"/>
        </w:numPr>
        <w:spacing w:before="120" w:after="120"/>
        <w:ind w:left="0" w:firstLine="0"/>
        <w:rPr>
          <w:spacing w:val="0"/>
          <w:lang w:val="en-US"/>
        </w:rPr>
      </w:pPr>
      <w:r w:rsidRPr="00300A27">
        <w:rPr>
          <w:spacing w:val="0"/>
          <w:lang w:val="en-US"/>
        </w:rPr>
        <w:t>The Court</w:t>
      </w:r>
      <w:r w:rsidR="00785348" w:rsidRPr="00300A27">
        <w:rPr>
          <w:spacing w:val="0"/>
          <w:lang w:val="en-US"/>
        </w:rPr>
        <w:t xml:space="preserve"> ha</w:t>
      </w:r>
      <w:r w:rsidR="0098752F" w:rsidRPr="00300A27">
        <w:rPr>
          <w:spacing w:val="0"/>
          <w:lang w:val="en-US"/>
        </w:rPr>
        <w:t>s indicated that any use of force that is not strictly necessary owing to the conduct of the person detained constitutes an attack on human dignity in violation</w:t>
      </w:r>
      <w:r w:rsidR="00785348" w:rsidRPr="00300A27">
        <w:rPr>
          <w:spacing w:val="0"/>
          <w:lang w:val="en-US"/>
        </w:rPr>
        <w:t xml:space="preserve"> </w:t>
      </w:r>
      <w:r w:rsidR="007071F6" w:rsidRPr="00300A27">
        <w:rPr>
          <w:spacing w:val="0"/>
          <w:lang w:val="en-US"/>
        </w:rPr>
        <w:t>of Article</w:t>
      </w:r>
      <w:r w:rsidR="00785348" w:rsidRPr="00300A27">
        <w:rPr>
          <w:spacing w:val="0"/>
          <w:lang w:val="en-US"/>
        </w:rPr>
        <w:t xml:space="preserve"> 5</w:t>
      </w:r>
      <w:r w:rsidR="005B1C65" w:rsidRPr="00300A27">
        <w:rPr>
          <w:spacing w:val="0"/>
          <w:lang w:val="en-US"/>
        </w:rPr>
        <w:t xml:space="preserve"> of the American Convention</w:t>
      </w:r>
      <w:r w:rsidR="0098752F" w:rsidRPr="00300A27">
        <w:rPr>
          <w:spacing w:val="0"/>
          <w:lang w:val="en-US"/>
        </w:rPr>
        <w:t>.</w:t>
      </w:r>
      <w:r w:rsidR="00785348" w:rsidRPr="00300A27">
        <w:rPr>
          <w:rStyle w:val="Refdenotaalpie"/>
          <w:spacing w:val="0"/>
          <w:lang w:val="en-US"/>
        </w:rPr>
        <w:footnoteReference w:id="203"/>
      </w:r>
      <w:r w:rsidR="00785348" w:rsidRPr="00300A27">
        <w:rPr>
          <w:spacing w:val="0"/>
          <w:lang w:val="en-US"/>
        </w:rPr>
        <w:t xml:space="preserve"> </w:t>
      </w:r>
      <w:r w:rsidR="0098752F" w:rsidRPr="00300A27">
        <w:rPr>
          <w:spacing w:val="0"/>
          <w:lang w:val="en-US"/>
        </w:rPr>
        <w:t>In the instant case</w:t>
      </w:r>
      <w:r w:rsidR="00785348" w:rsidRPr="00300A27">
        <w:rPr>
          <w:spacing w:val="0"/>
          <w:lang w:val="en-US"/>
        </w:rPr>
        <w:t xml:space="preserve">, </w:t>
      </w:r>
      <w:r w:rsidR="005B1C65" w:rsidRPr="00300A27">
        <w:rPr>
          <w:spacing w:val="0"/>
          <w:lang w:val="en-US"/>
        </w:rPr>
        <w:t>the State</w:t>
      </w:r>
      <w:r w:rsidR="00785348" w:rsidRPr="00300A27">
        <w:rPr>
          <w:spacing w:val="0"/>
          <w:lang w:val="en-US"/>
        </w:rPr>
        <w:t xml:space="preserve"> </w:t>
      </w:r>
      <w:r w:rsidR="0098752F" w:rsidRPr="00300A27">
        <w:rPr>
          <w:spacing w:val="0"/>
          <w:lang w:val="en-US"/>
        </w:rPr>
        <w:t xml:space="preserve">has not shown that the force used at the time of the detention was necessary. In addition, the rape of which </w:t>
      </w:r>
      <w:r w:rsidR="008546E9" w:rsidRPr="00300A27">
        <w:rPr>
          <w:spacing w:val="0"/>
          <w:lang w:val="en-US"/>
        </w:rPr>
        <w:t>Ms. Rojas</w:t>
      </w:r>
      <w:r w:rsidR="00785348" w:rsidRPr="00300A27">
        <w:rPr>
          <w:spacing w:val="0"/>
          <w:lang w:val="en-US"/>
        </w:rPr>
        <w:t xml:space="preserve"> Marín </w:t>
      </w:r>
      <w:r w:rsidR="0098752F" w:rsidRPr="00300A27">
        <w:rPr>
          <w:spacing w:val="0"/>
          <w:lang w:val="en-US"/>
        </w:rPr>
        <w:t>was a victim also constituted a violation of her right to</w:t>
      </w:r>
      <w:r w:rsidR="00785348" w:rsidRPr="00300A27">
        <w:rPr>
          <w:spacing w:val="0"/>
          <w:lang w:val="en-US"/>
        </w:rPr>
        <w:t xml:space="preserve"> </w:t>
      </w:r>
      <w:r w:rsidR="00D939AE" w:rsidRPr="00300A27">
        <w:rPr>
          <w:spacing w:val="0"/>
          <w:lang w:val="en-US"/>
        </w:rPr>
        <w:t>personal integrity</w:t>
      </w:r>
      <w:r w:rsidR="00785348" w:rsidRPr="00300A27">
        <w:rPr>
          <w:spacing w:val="0"/>
          <w:lang w:val="en-US"/>
        </w:rPr>
        <w:t>.</w:t>
      </w:r>
    </w:p>
    <w:p w14:paraId="28E937CA" w14:textId="4A896DC1" w:rsidR="00785348" w:rsidRPr="00300A27" w:rsidRDefault="00BA3C7F" w:rsidP="00B243B6">
      <w:pPr>
        <w:pStyle w:val="PrrafodeSentencia"/>
        <w:numPr>
          <w:ilvl w:val="0"/>
          <w:numId w:val="3"/>
        </w:numPr>
        <w:spacing w:before="120" w:after="120"/>
        <w:ind w:left="0" w:firstLine="0"/>
        <w:rPr>
          <w:spacing w:val="0"/>
          <w:lang w:val="en-US"/>
        </w:rPr>
      </w:pPr>
      <w:r w:rsidRPr="00300A27">
        <w:rPr>
          <w:spacing w:val="0"/>
          <w:lang w:val="en-US"/>
        </w:rPr>
        <w:t>The violation</w:t>
      </w:r>
      <w:r w:rsidR="00932C42" w:rsidRPr="00300A27">
        <w:rPr>
          <w:spacing w:val="0"/>
          <w:lang w:val="en-US"/>
        </w:rPr>
        <w:t xml:space="preserve"> of the </w:t>
      </w:r>
      <w:r w:rsidR="0098752F" w:rsidRPr="00300A27">
        <w:rPr>
          <w:spacing w:val="0"/>
          <w:lang w:val="en-US"/>
        </w:rPr>
        <w:t>right to physical and mental integrity has different connotations of degree and ranges from torture to other types of abuse or cruel, inhuman or degrading treatment, the physical and mental aftereffects of which vary in intensity based on factors that are exogenous and endogenous to the individual (such as, duration of the treatment, age, sex, health, context, and vulnerability) that must be analyzed in each specific situation.</w:t>
      </w:r>
      <w:r w:rsidR="00785348" w:rsidRPr="00300A27">
        <w:rPr>
          <w:iCs/>
          <w:spacing w:val="0"/>
          <w:vertAlign w:val="superscript"/>
          <w:lang w:val="en-US"/>
        </w:rPr>
        <w:footnoteReference w:id="204"/>
      </w:r>
      <w:r w:rsidR="00785348" w:rsidRPr="00300A27">
        <w:rPr>
          <w:spacing w:val="0"/>
          <w:lang w:val="en-US"/>
        </w:rPr>
        <w:t xml:space="preserve"> </w:t>
      </w:r>
    </w:p>
    <w:p w14:paraId="160E0CBD" w14:textId="625E8031" w:rsidR="00785348" w:rsidRPr="00300A27" w:rsidRDefault="005B1C65" w:rsidP="00B243B6">
      <w:pPr>
        <w:pStyle w:val="PrrafodeSentencia"/>
        <w:numPr>
          <w:ilvl w:val="0"/>
          <w:numId w:val="3"/>
        </w:numPr>
        <w:spacing w:before="120" w:after="120"/>
        <w:ind w:left="0" w:firstLine="0"/>
        <w:rPr>
          <w:spacing w:val="0"/>
          <w:lang w:val="en-US"/>
        </w:rPr>
      </w:pPr>
      <w:bookmarkStart w:id="129" w:name="_Ref35855410"/>
      <w:r w:rsidRPr="00300A27">
        <w:rPr>
          <w:bCs/>
          <w:spacing w:val="0"/>
          <w:lang w:val="en-US"/>
        </w:rPr>
        <w:t>The Court</w:t>
      </w:r>
      <w:r w:rsidR="00785348" w:rsidRPr="00300A27">
        <w:rPr>
          <w:bCs/>
          <w:spacing w:val="0"/>
          <w:lang w:val="en-US"/>
        </w:rPr>
        <w:t xml:space="preserve"> ha</w:t>
      </w:r>
      <w:r w:rsidR="0098752F" w:rsidRPr="00300A27">
        <w:rPr>
          <w:bCs/>
          <w:spacing w:val="0"/>
          <w:lang w:val="en-US"/>
        </w:rPr>
        <w:t xml:space="preserve">s understood that, in light </w:t>
      </w:r>
      <w:r w:rsidR="007071F6" w:rsidRPr="00300A27">
        <w:rPr>
          <w:spacing w:val="0"/>
          <w:lang w:val="en-US"/>
        </w:rPr>
        <w:t>of Article</w:t>
      </w:r>
      <w:r w:rsidR="00785348" w:rsidRPr="00300A27">
        <w:rPr>
          <w:spacing w:val="0"/>
          <w:lang w:val="en-US"/>
        </w:rPr>
        <w:t xml:space="preserve"> </w:t>
      </w:r>
      <w:r w:rsidR="00BA3C7F" w:rsidRPr="00300A27">
        <w:rPr>
          <w:spacing w:val="0"/>
          <w:lang w:val="en-US"/>
        </w:rPr>
        <w:t>5(2)</w:t>
      </w:r>
      <w:r w:rsidRPr="00300A27">
        <w:rPr>
          <w:spacing w:val="0"/>
          <w:lang w:val="en-US"/>
        </w:rPr>
        <w:t xml:space="preserve"> of the Convention</w:t>
      </w:r>
      <w:r w:rsidR="0098752F" w:rsidRPr="00300A27">
        <w:rPr>
          <w:spacing w:val="0"/>
          <w:lang w:val="en-US"/>
        </w:rPr>
        <w:t>,</w:t>
      </w:r>
      <w:r w:rsidR="00785348" w:rsidRPr="00300A27">
        <w:rPr>
          <w:spacing w:val="0"/>
          <w:lang w:val="en-US"/>
        </w:rPr>
        <w:t xml:space="preserve"> “tortur</w:t>
      </w:r>
      <w:r w:rsidR="0098752F" w:rsidRPr="00300A27">
        <w:rPr>
          <w:spacing w:val="0"/>
          <w:lang w:val="en-US"/>
        </w:rPr>
        <w:t>e</w:t>
      </w:r>
      <w:r w:rsidR="00785348" w:rsidRPr="00300A27">
        <w:rPr>
          <w:spacing w:val="0"/>
          <w:lang w:val="en-US"/>
        </w:rPr>
        <w:t>”</w:t>
      </w:r>
      <w:r w:rsidR="0098752F" w:rsidRPr="00300A27">
        <w:rPr>
          <w:spacing w:val="0"/>
          <w:lang w:val="en-US"/>
        </w:rPr>
        <w:t xml:space="preserve"> is any act of abuse that: (i) is intentional; (ii) causes severe physical or mental suffering, and (iii) is committed with any objective or purpose.</w:t>
      </w:r>
      <w:r w:rsidR="00785348" w:rsidRPr="00300A27">
        <w:rPr>
          <w:rStyle w:val="Refdenotaalpie"/>
          <w:rFonts w:eastAsia="Times New Roman"/>
          <w:spacing w:val="0"/>
          <w:lang w:val="en-US" w:eastAsia="es-ES"/>
        </w:rPr>
        <w:footnoteReference w:id="205"/>
      </w:r>
      <w:r w:rsidR="0098752F" w:rsidRPr="00300A27">
        <w:rPr>
          <w:spacing w:val="0"/>
          <w:lang w:val="en-US"/>
        </w:rPr>
        <w:t xml:space="preserve"> The </w:t>
      </w:r>
      <w:r w:rsidR="009B35A1" w:rsidRPr="00300A27">
        <w:rPr>
          <w:spacing w:val="0"/>
          <w:lang w:val="en-US"/>
        </w:rPr>
        <w:t>Court</w:t>
      </w:r>
      <w:r w:rsidR="00785348" w:rsidRPr="00300A27">
        <w:rPr>
          <w:spacing w:val="0"/>
          <w:lang w:val="en-US"/>
        </w:rPr>
        <w:t xml:space="preserve"> ha</w:t>
      </w:r>
      <w:r w:rsidR="0098752F" w:rsidRPr="00300A27">
        <w:rPr>
          <w:spacing w:val="0"/>
          <w:lang w:val="en-US"/>
        </w:rPr>
        <w:t>s also recognized that threats and the real danger of subjecting a person to serious physical injuries produces, in certain circumstances, moral anguish of such intensity that it may be considered “psychological torture</w:t>
      </w:r>
      <w:r w:rsidR="009E325C" w:rsidRPr="00300A27">
        <w:rPr>
          <w:spacing w:val="0"/>
          <w:lang w:val="en-US"/>
        </w:rPr>
        <w:t>.”</w:t>
      </w:r>
      <w:r w:rsidR="00785348" w:rsidRPr="00300A27">
        <w:rPr>
          <w:rStyle w:val="Refdenotaalpie"/>
          <w:rFonts w:eastAsia="Times New Roman"/>
          <w:spacing w:val="0"/>
          <w:lang w:val="en-US" w:eastAsia="es-ES"/>
        </w:rPr>
        <w:footnoteReference w:id="206"/>
      </w:r>
      <w:r w:rsidR="009E325C" w:rsidRPr="00300A27">
        <w:rPr>
          <w:spacing w:val="0"/>
          <w:lang w:val="en-US"/>
        </w:rPr>
        <w:t xml:space="preserve"> Similarly, the Court has reiterated that rape and other forms of sexual violence may constitute cruel, inhuman or degrading treatment and even acts of torture if the elements of the definition are met.</w:t>
      </w:r>
      <w:r w:rsidR="00785348" w:rsidRPr="00300A27">
        <w:rPr>
          <w:rStyle w:val="Refdenotaalpie"/>
          <w:rFonts w:eastAsia="Times New Roman"/>
          <w:spacing w:val="0"/>
          <w:lang w:val="en-US" w:eastAsia="es-ES"/>
        </w:rPr>
        <w:footnoteReference w:id="207"/>
      </w:r>
      <w:r w:rsidR="009E325C" w:rsidRPr="00300A27">
        <w:rPr>
          <w:spacing w:val="0"/>
          <w:lang w:val="en-US"/>
        </w:rPr>
        <w:t xml:space="preserve"> To classify a rape as torture, it is necessary to examine the intentionality, the severity of the suffering, and the purpose of the act, taking into consideration the specific circumstances of each case.</w:t>
      </w:r>
      <w:r w:rsidR="00785348" w:rsidRPr="00300A27">
        <w:rPr>
          <w:rStyle w:val="Refdenotaalpie"/>
          <w:rFonts w:eastAsia="Times New Roman"/>
          <w:spacing w:val="0"/>
          <w:lang w:val="en-US" w:eastAsia="es-ES"/>
        </w:rPr>
        <w:footnoteReference w:id="208"/>
      </w:r>
      <w:r w:rsidR="009E325C" w:rsidRPr="00300A27">
        <w:rPr>
          <w:spacing w:val="0"/>
          <w:lang w:val="en-US"/>
        </w:rPr>
        <w:t xml:space="preserve"> The Court will now examine whether </w:t>
      </w:r>
      <w:r w:rsidR="009253B4" w:rsidRPr="00300A27">
        <w:rPr>
          <w:spacing w:val="0"/>
          <w:lang w:val="en-US"/>
        </w:rPr>
        <w:t xml:space="preserve">these elements were present in </w:t>
      </w:r>
      <w:r w:rsidR="009E325C" w:rsidRPr="00300A27">
        <w:rPr>
          <w:spacing w:val="0"/>
          <w:lang w:val="en-US"/>
        </w:rPr>
        <w:t xml:space="preserve">the abuse of which </w:t>
      </w:r>
      <w:bookmarkEnd w:id="129"/>
      <w:r w:rsidR="00286E30" w:rsidRPr="00300A27">
        <w:rPr>
          <w:spacing w:val="0"/>
          <w:lang w:val="en-US"/>
        </w:rPr>
        <w:t xml:space="preserve">Azul Rojas Marín </w:t>
      </w:r>
      <w:r w:rsidR="009E325C" w:rsidRPr="00300A27">
        <w:rPr>
          <w:spacing w:val="0"/>
          <w:lang w:val="en-US"/>
        </w:rPr>
        <w:t>was a victim.</w:t>
      </w:r>
    </w:p>
    <w:p w14:paraId="5E638F1E" w14:textId="5870DE18" w:rsidR="009E325C" w:rsidRPr="00300A27" w:rsidRDefault="009E325C" w:rsidP="00B243B6">
      <w:pPr>
        <w:pStyle w:val="PrrafodeSentencia"/>
        <w:numPr>
          <w:ilvl w:val="0"/>
          <w:numId w:val="3"/>
        </w:numPr>
        <w:spacing w:before="120" w:after="120"/>
        <w:ind w:left="0" w:firstLine="0"/>
        <w:rPr>
          <w:bCs/>
          <w:spacing w:val="0"/>
          <w:szCs w:val="20"/>
          <w:lang w:val="en-US"/>
        </w:rPr>
      </w:pPr>
      <w:r w:rsidRPr="00300A27">
        <w:rPr>
          <w:spacing w:val="0"/>
          <w:lang w:val="en-US"/>
        </w:rPr>
        <w:t>Regarding the existence of an intentional act, the evidence in the case file proves that the abuse was inflicted on the presumed victim deliberately. Indeed, the statements reveal that the state agents hit Ms. Rojas Marín intentionally on several occasions and raped her by introducing the police baton in her anus.</w:t>
      </w:r>
    </w:p>
    <w:p w14:paraId="3447C44F" w14:textId="504D9C1B" w:rsidR="00785348" w:rsidRPr="00300A27" w:rsidRDefault="009E325C" w:rsidP="00B243B6">
      <w:pPr>
        <w:pStyle w:val="PrrafodeSentencia"/>
        <w:numPr>
          <w:ilvl w:val="0"/>
          <w:numId w:val="3"/>
        </w:numPr>
        <w:spacing w:before="120" w:after="120"/>
        <w:ind w:left="0" w:firstLine="0"/>
        <w:rPr>
          <w:bCs/>
          <w:spacing w:val="0"/>
          <w:szCs w:val="20"/>
          <w:lang w:val="en-US"/>
        </w:rPr>
      </w:pPr>
      <w:r w:rsidRPr="00300A27">
        <w:rPr>
          <w:spacing w:val="0"/>
          <w:lang w:val="en-US"/>
        </w:rPr>
        <w:t xml:space="preserve">Based on the evidence provided, the Court finds that the severity of the abuse suffered by the presumed victim has been proved. The Court has established that rape is an extremely traumatic experience that has severe consequences and causes great physical and psychological </w:t>
      </w:r>
      <w:r w:rsidR="009253B4" w:rsidRPr="00300A27">
        <w:rPr>
          <w:spacing w:val="0"/>
          <w:lang w:val="en-US"/>
        </w:rPr>
        <w:t>harm</w:t>
      </w:r>
      <w:r w:rsidRPr="00300A27">
        <w:rPr>
          <w:spacing w:val="0"/>
          <w:lang w:val="en-US"/>
        </w:rPr>
        <w:t>, leaving the victim “physically and emotionally humiliated.</w:t>
      </w:r>
      <w:r w:rsidR="00785348" w:rsidRPr="00300A27">
        <w:rPr>
          <w:spacing w:val="0"/>
          <w:szCs w:val="20"/>
          <w:lang w:val="en-US"/>
        </w:rPr>
        <w:t>”</w:t>
      </w:r>
      <w:r w:rsidR="00785348" w:rsidRPr="00300A27">
        <w:rPr>
          <w:rStyle w:val="Refdenotaalpie"/>
          <w:spacing w:val="0"/>
          <w:szCs w:val="20"/>
          <w:lang w:val="en-US"/>
        </w:rPr>
        <w:footnoteReference w:id="209"/>
      </w:r>
      <w:r w:rsidRPr="00300A27">
        <w:rPr>
          <w:spacing w:val="0"/>
          <w:szCs w:val="20"/>
          <w:lang w:val="en-US"/>
        </w:rPr>
        <w:t xml:space="preserve"> On this point, the </w:t>
      </w:r>
      <w:r w:rsidR="00785348" w:rsidRPr="00300A27">
        <w:rPr>
          <w:spacing w:val="0"/>
          <w:szCs w:val="20"/>
          <w:lang w:val="en-US"/>
        </w:rPr>
        <w:t xml:space="preserve"> </w:t>
      </w:r>
      <w:r w:rsidRPr="00300A27">
        <w:rPr>
          <w:spacing w:val="0"/>
          <w:szCs w:val="20"/>
          <w:lang w:val="en-US"/>
        </w:rPr>
        <w:t>f</w:t>
      </w:r>
      <w:r w:rsidR="002959DE" w:rsidRPr="00300A27">
        <w:rPr>
          <w:spacing w:val="0"/>
          <w:szCs w:val="20"/>
          <w:lang w:val="en-US"/>
        </w:rPr>
        <w:t xml:space="preserve">orensic </w:t>
      </w:r>
      <w:r w:rsidR="00467FD3" w:rsidRPr="00300A27">
        <w:rPr>
          <w:spacing w:val="0"/>
          <w:szCs w:val="20"/>
          <w:lang w:val="en-US"/>
        </w:rPr>
        <w:t xml:space="preserve">medical </w:t>
      </w:r>
      <w:r w:rsidR="002959DE" w:rsidRPr="00300A27">
        <w:rPr>
          <w:spacing w:val="0"/>
          <w:szCs w:val="20"/>
          <w:lang w:val="en-US"/>
        </w:rPr>
        <w:t>examination</w:t>
      </w:r>
      <w:r w:rsidR="00785348" w:rsidRPr="00300A27">
        <w:rPr>
          <w:spacing w:val="0"/>
          <w:szCs w:val="20"/>
          <w:lang w:val="en-US"/>
        </w:rPr>
        <w:t xml:space="preserve"> </w:t>
      </w:r>
      <w:r w:rsidRPr="00300A27">
        <w:rPr>
          <w:spacing w:val="0"/>
          <w:szCs w:val="20"/>
          <w:lang w:val="en-US"/>
        </w:rPr>
        <w:t xml:space="preserve">ratified the presence of extragenital and anal injuries </w:t>
      </w:r>
      <w:r w:rsidR="00785348" w:rsidRPr="00300A27">
        <w:rPr>
          <w:spacing w:val="0"/>
          <w:szCs w:val="20"/>
          <w:lang w:val="en-US"/>
        </w:rPr>
        <w:t>(</w:t>
      </w:r>
      <w:r w:rsidR="004438EA" w:rsidRPr="00300A27">
        <w:rPr>
          <w:i/>
          <w:spacing w:val="0"/>
          <w:szCs w:val="20"/>
          <w:lang w:val="en-US"/>
        </w:rPr>
        <w:t xml:space="preserve">supra </w:t>
      </w:r>
      <w:r w:rsidR="00910D8E" w:rsidRPr="00300A27">
        <w:rPr>
          <w:spacing w:val="0"/>
          <w:szCs w:val="20"/>
          <w:lang w:val="en-US"/>
        </w:rPr>
        <w:t>para.</w:t>
      </w:r>
      <w:r w:rsidR="004438EA" w:rsidRPr="00300A27">
        <w:rPr>
          <w:spacing w:val="0"/>
          <w:szCs w:val="20"/>
          <w:lang w:val="en-US"/>
        </w:rPr>
        <w:t xml:space="preserve"> </w:t>
      </w:r>
      <w:r w:rsidR="004438EA" w:rsidRPr="00300A27">
        <w:rPr>
          <w:spacing w:val="0"/>
          <w:szCs w:val="20"/>
          <w:lang w:val="en-US"/>
        </w:rPr>
        <w:fldChar w:fldCharType="begin"/>
      </w:r>
      <w:r w:rsidR="004438EA" w:rsidRPr="00300A27">
        <w:rPr>
          <w:spacing w:val="0"/>
          <w:szCs w:val="20"/>
          <w:lang w:val="en-US"/>
        </w:rPr>
        <w:instrText xml:space="preserve"> REF _Ref446324847 \r \h </w:instrText>
      </w:r>
      <w:r w:rsidR="00B243B6" w:rsidRPr="00300A27">
        <w:rPr>
          <w:spacing w:val="0"/>
          <w:szCs w:val="20"/>
          <w:lang w:val="en-US"/>
        </w:rPr>
        <w:instrText xml:space="preserve"> \* MERGEFORMAT </w:instrText>
      </w:r>
      <w:r w:rsidR="004438EA" w:rsidRPr="00300A27">
        <w:rPr>
          <w:spacing w:val="0"/>
          <w:szCs w:val="20"/>
          <w:lang w:val="en-US"/>
        </w:rPr>
      </w:r>
      <w:r w:rsidR="004438EA" w:rsidRPr="00300A27">
        <w:rPr>
          <w:spacing w:val="0"/>
          <w:szCs w:val="20"/>
          <w:lang w:val="en-US"/>
        </w:rPr>
        <w:fldChar w:fldCharType="separate"/>
      </w:r>
      <w:r w:rsidR="00632F77" w:rsidRPr="00300A27">
        <w:rPr>
          <w:spacing w:val="0"/>
          <w:szCs w:val="20"/>
          <w:lang w:val="en-US"/>
        </w:rPr>
        <w:t>151</w:t>
      </w:r>
      <w:r w:rsidR="004438EA" w:rsidRPr="00300A27">
        <w:rPr>
          <w:spacing w:val="0"/>
          <w:szCs w:val="20"/>
          <w:lang w:val="en-US"/>
        </w:rPr>
        <w:fldChar w:fldCharType="end"/>
      </w:r>
      <w:r w:rsidR="00785348" w:rsidRPr="00300A27">
        <w:rPr>
          <w:spacing w:val="0"/>
          <w:szCs w:val="20"/>
          <w:lang w:val="en-US"/>
        </w:rPr>
        <w:t>),</w:t>
      </w:r>
      <w:r w:rsidR="005B1C65" w:rsidRPr="00300A27">
        <w:rPr>
          <w:spacing w:val="0"/>
          <w:szCs w:val="20"/>
          <w:lang w:val="en-US"/>
        </w:rPr>
        <w:t xml:space="preserve"> and</w:t>
      </w:r>
      <w:r w:rsidRPr="00300A27">
        <w:rPr>
          <w:spacing w:val="0"/>
          <w:szCs w:val="20"/>
          <w:lang w:val="en-US"/>
        </w:rPr>
        <w:t xml:space="preserve"> the blood found on the back of the presumed victim’s trousers</w:t>
      </w:r>
      <w:r w:rsidR="00417940" w:rsidRPr="00300A27">
        <w:rPr>
          <w:spacing w:val="0"/>
          <w:szCs w:val="20"/>
          <w:lang w:val="en-US"/>
        </w:rPr>
        <w:t xml:space="preserve"> reveals that, possibly following the rape, when putting the trousers back on, the bleeding continued. Also</w:t>
      </w:r>
      <w:r w:rsidR="006542F3" w:rsidRPr="00300A27">
        <w:rPr>
          <w:spacing w:val="0"/>
          <w:szCs w:val="20"/>
          <w:lang w:val="en-US"/>
        </w:rPr>
        <w:t>,</w:t>
      </w:r>
      <w:r w:rsidR="00785348" w:rsidRPr="00300A27">
        <w:rPr>
          <w:bCs/>
          <w:spacing w:val="0"/>
          <w:szCs w:val="20"/>
          <w:lang w:val="en-US"/>
        </w:rPr>
        <w:t xml:space="preserve"> </w:t>
      </w:r>
      <w:r w:rsidR="008546E9" w:rsidRPr="00300A27">
        <w:rPr>
          <w:spacing w:val="0"/>
          <w:szCs w:val="20"/>
          <w:lang w:val="en-US"/>
        </w:rPr>
        <w:t>Ms. Rojas</w:t>
      </w:r>
      <w:r w:rsidR="00785348" w:rsidRPr="00300A27">
        <w:rPr>
          <w:spacing w:val="0"/>
          <w:szCs w:val="20"/>
          <w:lang w:val="en-US"/>
        </w:rPr>
        <w:t xml:space="preserve"> Marín indic</w:t>
      </w:r>
      <w:r w:rsidR="00417940" w:rsidRPr="00300A27">
        <w:rPr>
          <w:spacing w:val="0"/>
          <w:szCs w:val="20"/>
          <w:lang w:val="en-US"/>
        </w:rPr>
        <w:t>ated that the “first four days the pain was most intense, she was even afraid to defecate because it hurt.</w:t>
      </w:r>
      <w:r w:rsidR="00785348" w:rsidRPr="00300A27">
        <w:rPr>
          <w:bCs/>
          <w:spacing w:val="0"/>
          <w:szCs w:val="20"/>
          <w:lang w:val="en-US"/>
        </w:rPr>
        <w:t>”</w:t>
      </w:r>
      <w:r w:rsidR="00785348" w:rsidRPr="00300A27">
        <w:rPr>
          <w:rStyle w:val="Refdenotaalpie"/>
          <w:bCs/>
          <w:spacing w:val="0"/>
          <w:szCs w:val="20"/>
          <w:lang w:val="en-US"/>
        </w:rPr>
        <w:footnoteReference w:id="210"/>
      </w:r>
      <w:r w:rsidR="00417940" w:rsidRPr="00300A27">
        <w:rPr>
          <w:bCs/>
          <w:spacing w:val="0"/>
          <w:szCs w:val="20"/>
          <w:lang w:val="en-US"/>
        </w:rPr>
        <w:t xml:space="preserve"> She also indicated that “it hurt her to sit down, she felt pressure, she had to find a comfortable position.</w:t>
      </w:r>
      <w:r w:rsidR="00785348" w:rsidRPr="00300A27">
        <w:rPr>
          <w:bCs/>
          <w:spacing w:val="0"/>
          <w:szCs w:val="20"/>
          <w:lang w:val="en-US"/>
        </w:rPr>
        <w:t>”</w:t>
      </w:r>
      <w:r w:rsidR="00785348" w:rsidRPr="00300A27">
        <w:rPr>
          <w:rStyle w:val="Refdenotaalpie"/>
          <w:bCs/>
          <w:spacing w:val="0"/>
          <w:szCs w:val="20"/>
          <w:lang w:val="en-US"/>
        </w:rPr>
        <w:footnoteReference w:id="211"/>
      </w:r>
      <w:r w:rsidR="00785348" w:rsidRPr="00300A27">
        <w:rPr>
          <w:bCs/>
          <w:spacing w:val="0"/>
          <w:szCs w:val="20"/>
          <w:lang w:val="en-US"/>
        </w:rPr>
        <w:t>.</w:t>
      </w:r>
    </w:p>
    <w:p w14:paraId="5D9E91CC" w14:textId="36199E0E" w:rsidR="002D0FDE" w:rsidRPr="00300A27" w:rsidRDefault="00417940" w:rsidP="00B243B6">
      <w:pPr>
        <w:pStyle w:val="PrrafodeSentencia"/>
        <w:numPr>
          <w:ilvl w:val="0"/>
          <w:numId w:val="3"/>
        </w:numPr>
        <w:spacing w:before="120" w:after="120"/>
        <w:ind w:left="0" w:firstLine="0"/>
        <w:rPr>
          <w:spacing w:val="0"/>
          <w:lang w:val="en-US"/>
        </w:rPr>
      </w:pPr>
      <w:r w:rsidRPr="00300A27">
        <w:rPr>
          <w:spacing w:val="0"/>
          <w:lang w:val="en-US"/>
        </w:rPr>
        <w:t xml:space="preserve">Lastly, regarding the purpose, the Court has considered, in general, that rape, like torture, seeks, among other objectives, to intimidate, degrade, humiliate, punish or control the person </w:t>
      </w:r>
      <w:r w:rsidR="008D505E" w:rsidRPr="00300A27">
        <w:rPr>
          <w:spacing w:val="0"/>
          <w:lang w:val="en-US"/>
        </w:rPr>
        <w:t>subjected to it</w:t>
      </w:r>
      <w:r w:rsidRPr="00300A27">
        <w:rPr>
          <w:spacing w:val="0"/>
          <w:lang w:val="en-US"/>
        </w:rPr>
        <w:t>.</w:t>
      </w:r>
      <w:r w:rsidR="00785348" w:rsidRPr="00300A27">
        <w:rPr>
          <w:rStyle w:val="Refdenotaalpie"/>
          <w:spacing w:val="0"/>
          <w:szCs w:val="20"/>
          <w:lang w:val="en-US"/>
        </w:rPr>
        <w:footnoteReference w:id="212"/>
      </w:r>
      <w:r w:rsidR="00785348" w:rsidRPr="00300A27">
        <w:rPr>
          <w:spacing w:val="0"/>
          <w:szCs w:val="20"/>
          <w:lang w:val="en-US"/>
        </w:rPr>
        <w:t xml:space="preserve"> </w:t>
      </w:r>
      <w:r w:rsidR="00BA3C7F" w:rsidRPr="00300A27">
        <w:rPr>
          <w:spacing w:val="0"/>
          <w:lang w:val="en-US"/>
        </w:rPr>
        <w:t>The representatives</w:t>
      </w:r>
      <w:r w:rsidR="00785348" w:rsidRPr="00300A27">
        <w:rPr>
          <w:spacing w:val="0"/>
          <w:lang w:val="en-US"/>
        </w:rPr>
        <w:t xml:space="preserve"> a</w:t>
      </w:r>
      <w:r w:rsidRPr="00300A27">
        <w:rPr>
          <w:spacing w:val="0"/>
          <w:lang w:val="en-US"/>
        </w:rPr>
        <w:t xml:space="preserve">rgued that the abuse was inflicted for discriminatory purposes. In this regard, </w:t>
      </w:r>
      <w:r w:rsidR="009E607D" w:rsidRPr="00300A27">
        <w:rPr>
          <w:spacing w:val="0"/>
          <w:lang w:val="en-US"/>
        </w:rPr>
        <w:t>expert witness</w:t>
      </w:r>
      <w:r w:rsidR="00785348" w:rsidRPr="00300A27">
        <w:rPr>
          <w:spacing w:val="0"/>
          <w:lang w:val="en-US"/>
        </w:rPr>
        <w:t xml:space="preserve"> Juan Méndez </w:t>
      </w:r>
      <w:r w:rsidR="00785348" w:rsidRPr="00300A27">
        <w:rPr>
          <w:spacing w:val="0"/>
          <w:szCs w:val="20"/>
          <w:lang w:val="en-US"/>
        </w:rPr>
        <w:t>indic</w:t>
      </w:r>
      <w:r w:rsidRPr="00300A27">
        <w:rPr>
          <w:spacing w:val="0"/>
          <w:szCs w:val="20"/>
          <w:lang w:val="en-US"/>
        </w:rPr>
        <w:t>ated that “to determine whether a case of torture has been motivated by prejudice against LGBTI people,” the following indicators can be used: “the method and characteristics of the violence inspired by discrimination. For example, in cases of LGBTI people, anal rape or the use of other forms of sexual violence</w:t>
      </w:r>
      <w:r w:rsidR="009A2AE0" w:rsidRPr="00300A27">
        <w:rPr>
          <w:spacing w:val="0"/>
          <w:szCs w:val="20"/>
          <w:lang w:val="en-US"/>
        </w:rPr>
        <w:t>”; “discriminatory insults, comments or gestures by the perpetrators during the perpetration of the conduct or in its immediate context, referring to the sexual orientation or gender identity of the victim” or “the absence of other reasons.</w:t>
      </w:r>
      <w:r w:rsidR="00785348" w:rsidRPr="00300A27">
        <w:rPr>
          <w:rFonts w:eastAsiaTheme="minorHAnsi"/>
          <w:spacing w:val="0"/>
          <w:szCs w:val="20"/>
          <w:lang w:val="en-US"/>
        </w:rPr>
        <w:t>”</w:t>
      </w:r>
      <w:r w:rsidR="00785348" w:rsidRPr="00300A27">
        <w:rPr>
          <w:rStyle w:val="Refdenotaalpie"/>
          <w:rFonts w:eastAsiaTheme="minorHAnsi"/>
          <w:spacing w:val="0"/>
          <w:szCs w:val="20"/>
          <w:lang w:val="en-US"/>
        </w:rPr>
        <w:footnoteReference w:id="213"/>
      </w:r>
      <w:r w:rsidR="009A2AE0" w:rsidRPr="00300A27">
        <w:rPr>
          <w:rFonts w:eastAsiaTheme="minorHAnsi"/>
          <w:spacing w:val="0"/>
          <w:szCs w:val="20"/>
          <w:lang w:val="en-US"/>
        </w:rPr>
        <w:t xml:space="preserve"> In this case, one of the aggressions suffered by </w:t>
      </w:r>
      <w:r w:rsidR="00834A1B" w:rsidRPr="00300A27">
        <w:rPr>
          <w:rFonts w:eastAsiaTheme="minorHAnsi"/>
          <w:spacing w:val="0"/>
          <w:szCs w:val="20"/>
          <w:lang w:val="en-US"/>
        </w:rPr>
        <w:t>the presumed victim</w:t>
      </w:r>
      <w:r w:rsidR="009A2AE0" w:rsidRPr="00300A27">
        <w:rPr>
          <w:rFonts w:eastAsiaTheme="minorHAnsi"/>
          <w:spacing w:val="0"/>
          <w:szCs w:val="20"/>
          <w:lang w:val="en-US"/>
        </w:rPr>
        <w:t xml:space="preserve"> was anal rape. On this point, expert witness </w:t>
      </w:r>
      <w:r w:rsidR="00785348" w:rsidRPr="00300A27">
        <w:rPr>
          <w:rFonts w:eastAsiaTheme="minorHAnsi"/>
          <w:spacing w:val="0"/>
          <w:szCs w:val="20"/>
          <w:lang w:val="en-US"/>
        </w:rPr>
        <w:t xml:space="preserve"> </w:t>
      </w:r>
      <w:r w:rsidR="002D0FDE" w:rsidRPr="00300A27">
        <w:rPr>
          <w:rFonts w:eastAsiaTheme="minorHAnsi"/>
          <w:spacing w:val="0"/>
          <w:szCs w:val="20"/>
          <w:lang w:val="en-US"/>
        </w:rPr>
        <w:t>María Mercedes Gómez indic</w:t>
      </w:r>
      <w:r w:rsidR="009A2AE0" w:rsidRPr="00300A27">
        <w:rPr>
          <w:rFonts w:eastAsiaTheme="minorHAnsi"/>
          <w:spacing w:val="0"/>
          <w:szCs w:val="20"/>
          <w:lang w:val="en-US"/>
        </w:rPr>
        <w:t>ated that rape carried out using “an instrument that symbolically represents authority [such as] the police baton, […] sends the symbolic message […] of restoring a masculinity that is threatened by the perception of the victim as not complying with the established order of masculinity.</w:t>
      </w:r>
      <w:r w:rsidR="00314E29" w:rsidRPr="00300A27">
        <w:rPr>
          <w:spacing w:val="0"/>
          <w:szCs w:val="20"/>
          <w:lang w:val="en-US"/>
        </w:rPr>
        <w:t>”</w:t>
      </w:r>
      <w:r w:rsidR="002D0FDE" w:rsidRPr="00300A27">
        <w:rPr>
          <w:rStyle w:val="Refdenotaalpie"/>
          <w:spacing w:val="0"/>
          <w:szCs w:val="20"/>
          <w:lang w:val="en-US"/>
        </w:rPr>
        <w:footnoteReference w:id="214"/>
      </w:r>
    </w:p>
    <w:p w14:paraId="60ED37D0" w14:textId="2A63C062" w:rsidR="00785348" w:rsidRPr="00300A27" w:rsidRDefault="009A2AE0" w:rsidP="00B243B6">
      <w:pPr>
        <w:pStyle w:val="PrrafodeSentencia"/>
        <w:numPr>
          <w:ilvl w:val="0"/>
          <w:numId w:val="3"/>
        </w:numPr>
        <w:spacing w:before="120" w:after="120"/>
        <w:ind w:left="0" w:firstLine="0"/>
        <w:rPr>
          <w:rFonts w:eastAsiaTheme="minorHAnsi"/>
          <w:spacing w:val="0"/>
          <w:szCs w:val="20"/>
          <w:lang w:val="en-US"/>
        </w:rPr>
      </w:pPr>
      <w:r w:rsidRPr="00300A27">
        <w:rPr>
          <w:rFonts w:eastAsiaTheme="minorHAnsi"/>
          <w:spacing w:val="0"/>
          <w:szCs w:val="20"/>
          <w:lang w:val="en-US"/>
        </w:rPr>
        <w:t>In addition, the violence use by the state agents against</w:t>
      </w:r>
      <w:r w:rsidR="00785348" w:rsidRPr="00300A27">
        <w:rPr>
          <w:rFonts w:eastAsiaTheme="minorHAnsi"/>
          <w:spacing w:val="0"/>
          <w:szCs w:val="20"/>
          <w:lang w:val="en-US"/>
        </w:rPr>
        <w:t xml:space="preserve"> </w:t>
      </w:r>
      <w:r w:rsidR="008546E9" w:rsidRPr="00300A27">
        <w:rPr>
          <w:rFonts w:eastAsiaTheme="minorHAnsi"/>
          <w:spacing w:val="0"/>
          <w:szCs w:val="20"/>
          <w:lang w:val="en-US"/>
        </w:rPr>
        <w:t>Ms. Rojas</w:t>
      </w:r>
      <w:r w:rsidR="00785348" w:rsidRPr="00300A27">
        <w:rPr>
          <w:rFonts w:eastAsiaTheme="minorHAnsi"/>
          <w:spacing w:val="0"/>
          <w:szCs w:val="20"/>
          <w:lang w:val="en-US"/>
        </w:rPr>
        <w:t xml:space="preserve"> Marín inclu</w:t>
      </w:r>
      <w:r w:rsidRPr="00300A27">
        <w:rPr>
          <w:rFonts w:eastAsiaTheme="minorHAnsi"/>
          <w:spacing w:val="0"/>
          <w:szCs w:val="20"/>
          <w:lang w:val="en-US"/>
        </w:rPr>
        <w:t>ded stereotypical insults and threats of rape. Thus, the Court notes that on several occasions the agents said</w:t>
      </w:r>
      <w:r w:rsidR="00785348" w:rsidRPr="00300A27">
        <w:rPr>
          <w:rFonts w:eastAsiaTheme="minorHAnsi"/>
          <w:spacing w:val="0"/>
          <w:szCs w:val="20"/>
          <w:lang w:val="en-US"/>
        </w:rPr>
        <w:t xml:space="preserve"> “</w:t>
      </w:r>
      <w:r w:rsidR="00785348" w:rsidRPr="00300A27">
        <w:rPr>
          <w:rFonts w:eastAsiaTheme="minorHAnsi"/>
          <w:i/>
          <w:iCs/>
          <w:spacing w:val="0"/>
          <w:szCs w:val="20"/>
          <w:lang w:val="en-US"/>
        </w:rPr>
        <w:t>cabro</w:t>
      </w:r>
      <w:r w:rsidR="00785348" w:rsidRPr="00300A27">
        <w:rPr>
          <w:rFonts w:eastAsiaTheme="minorHAnsi"/>
          <w:spacing w:val="0"/>
          <w:szCs w:val="20"/>
          <w:lang w:val="en-US"/>
        </w:rPr>
        <w:t>”, “</w:t>
      </w:r>
      <w:r w:rsidR="00785348" w:rsidRPr="00300A27">
        <w:rPr>
          <w:rFonts w:eastAsiaTheme="minorHAnsi"/>
          <w:i/>
          <w:iCs/>
          <w:spacing w:val="0"/>
          <w:szCs w:val="20"/>
          <w:lang w:val="en-US"/>
        </w:rPr>
        <w:t>concha de tu madre”,</w:t>
      </w:r>
      <w:r w:rsidR="00785348" w:rsidRPr="00300A27">
        <w:rPr>
          <w:rFonts w:eastAsiaTheme="minorHAnsi"/>
          <w:spacing w:val="0"/>
          <w:szCs w:val="20"/>
          <w:lang w:val="en-US"/>
        </w:rPr>
        <w:t xml:space="preserve"> “</w:t>
      </w:r>
      <w:r w:rsidR="00785348" w:rsidRPr="00300A27">
        <w:rPr>
          <w:rFonts w:eastAsiaTheme="minorHAnsi"/>
          <w:i/>
          <w:iCs/>
          <w:spacing w:val="0"/>
          <w:szCs w:val="20"/>
          <w:lang w:val="en-US"/>
        </w:rPr>
        <w:t>te gusta la pinga</w:t>
      </w:r>
      <w:r w:rsidR="00785348" w:rsidRPr="00300A27">
        <w:rPr>
          <w:rFonts w:eastAsiaTheme="minorHAnsi"/>
          <w:spacing w:val="0"/>
          <w:szCs w:val="20"/>
          <w:lang w:val="en-US"/>
        </w:rPr>
        <w:t>”</w:t>
      </w:r>
      <w:r w:rsidR="0039599A">
        <w:rPr>
          <w:rFonts w:eastAsiaTheme="minorHAnsi"/>
          <w:spacing w:val="0"/>
          <w:szCs w:val="20"/>
          <w:lang w:val="en-US"/>
        </w:rPr>
        <w:t xml:space="preserve"> [you like cock]</w:t>
      </w:r>
      <w:r w:rsidR="00785348" w:rsidRPr="00300A27">
        <w:rPr>
          <w:rFonts w:eastAsiaTheme="minorHAnsi"/>
          <w:spacing w:val="0"/>
          <w:szCs w:val="20"/>
          <w:lang w:val="en-US"/>
        </w:rPr>
        <w:t>, “</w:t>
      </w:r>
      <w:r w:rsidR="00785348" w:rsidRPr="00300A27">
        <w:rPr>
          <w:rFonts w:eastAsiaTheme="minorHAnsi"/>
          <w:i/>
          <w:iCs/>
          <w:spacing w:val="0"/>
          <w:szCs w:val="20"/>
          <w:lang w:val="en-US"/>
        </w:rPr>
        <w:t>maricón de mierda</w:t>
      </w:r>
      <w:r w:rsidR="008D505E" w:rsidRPr="00300A27">
        <w:rPr>
          <w:rFonts w:eastAsiaTheme="minorHAnsi"/>
          <w:i/>
          <w:iCs/>
          <w:spacing w:val="0"/>
          <w:szCs w:val="20"/>
          <w:lang w:val="en-US"/>
        </w:rPr>
        <w:t>,</w:t>
      </w:r>
      <w:r w:rsidR="00785348" w:rsidRPr="00300A27">
        <w:rPr>
          <w:rFonts w:eastAsiaTheme="minorHAnsi"/>
          <w:spacing w:val="0"/>
          <w:szCs w:val="20"/>
          <w:lang w:val="en-US"/>
        </w:rPr>
        <w:t>”</w:t>
      </w:r>
      <w:r w:rsidR="0072586B">
        <w:rPr>
          <w:rFonts w:eastAsiaTheme="minorHAnsi"/>
          <w:spacing w:val="0"/>
          <w:szCs w:val="20"/>
          <w:lang w:val="en-US"/>
        </w:rPr>
        <w:t xml:space="preserve"> [fucking fag] </w:t>
      </w:r>
      <w:r w:rsidR="005B1C65" w:rsidRPr="00300A27">
        <w:rPr>
          <w:rFonts w:eastAsiaTheme="minorHAnsi"/>
          <w:spacing w:val="0"/>
          <w:szCs w:val="20"/>
          <w:lang w:val="en-US"/>
        </w:rPr>
        <w:t xml:space="preserve"> and </w:t>
      </w:r>
      <w:r w:rsidR="00785348" w:rsidRPr="00300A27">
        <w:rPr>
          <w:rFonts w:eastAsiaTheme="minorHAnsi"/>
          <w:spacing w:val="0"/>
          <w:szCs w:val="20"/>
          <w:lang w:val="en-US"/>
        </w:rPr>
        <w:t>“</w:t>
      </w:r>
      <w:r w:rsidRPr="00300A27">
        <w:rPr>
          <w:lang w:val="en-US"/>
        </w:rPr>
        <w:t>they should have put you in a cell so that everyone could fuck you</w:t>
      </w:r>
      <w:r w:rsidRPr="00300A27">
        <w:rPr>
          <w:rFonts w:eastAsiaTheme="minorHAnsi"/>
          <w:spacing w:val="0"/>
          <w:szCs w:val="20"/>
          <w:lang w:val="en-US"/>
        </w:rPr>
        <w:t>.</w:t>
      </w:r>
      <w:r w:rsidR="00785348" w:rsidRPr="00300A27">
        <w:rPr>
          <w:rFonts w:eastAsiaTheme="minorHAnsi"/>
          <w:spacing w:val="0"/>
          <w:szCs w:val="20"/>
          <w:lang w:val="en-US"/>
        </w:rPr>
        <w:t>”</w:t>
      </w:r>
      <w:r w:rsidR="00785348" w:rsidRPr="00300A27">
        <w:rPr>
          <w:rStyle w:val="Refdenotaalpie"/>
          <w:rFonts w:eastAsiaTheme="minorHAnsi"/>
          <w:spacing w:val="0"/>
          <w:szCs w:val="20"/>
          <w:lang w:val="en-US"/>
        </w:rPr>
        <w:footnoteReference w:id="215"/>
      </w:r>
      <w:r w:rsidR="00785348" w:rsidRPr="00300A27">
        <w:rPr>
          <w:rFonts w:eastAsiaTheme="minorHAnsi"/>
          <w:spacing w:val="0"/>
          <w:szCs w:val="20"/>
          <w:lang w:val="en-US"/>
        </w:rPr>
        <w:t xml:space="preserve"> </w:t>
      </w:r>
      <w:r w:rsidR="005B1C65" w:rsidRPr="00300A27">
        <w:rPr>
          <w:rFonts w:eastAsiaTheme="minorHAnsi"/>
          <w:spacing w:val="0"/>
          <w:szCs w:val="20"/>
          <w:lang w:val="en-US"/>
        </w:rPr>
        <w:t>Th</w:t>
      </w:r>
      <w:r w:rsidRPr="00300A27">
        <w:rPr>
          <w:rFonts w:eastAsiaTheme="minorHAnsi"/>
          <w:spacing w:val="0"/>
          <w:szCs w:val="20"/>
          <w:lang w:val="en-US"/>
        </w:rPr>
        <w:t>e</w:t>
      </w:r>
      <w:r w:rsidR="005B1C65" w:rsidRPr="00300A27">
        <w:rPr>
          <w:rFonts w:eastAsiaTheme="minorHAnsi"/>
          <w:spacing w:val="0"/>
          <w:szCs w:val="20"/>
          <w:lang w:val="en-US"/>
        </w:rPr>
        <w:t xml:space="preserve"> Court</w:t>
      </w:r>
      <w:r w:rsidR="00785348" w:rsidRPr="00300A27">
        <w:rPr>
          <w:rFonts w:eastAsiaTheme="minorHAnsi"/>
          <w:spacing w:val="0"/>
          <w:szCs w:val="20"/>
          <w:lang w:val="en-US"/>
        </w:rPr>
        <w:t xml:space="preserve"> consider</w:t>
      </w:r>
      <w:r w:rsidRPr="00300A27">
        <w:rPr>
          <w:rFonts w:eastAsiaTheme="minorHAnsi"/>
          <w:spacing w:val="0"/>
          <w:szCs w:val="20"/>
          <w:lang w:val="en-US"/>
        </w:rPr>
        <w:t xml:space="preserve">s that the anal rape and the comments relating to </w:t>
      </w:r>
      <w:r w:rsidR="00CC6548" w:rsidRPr="00300A27">
        <w:rPr>
          <w:rFonts w:eastAsiaTheme="minorHAnsi"/>
          <w:spacing w:val="0"/>
          <w:szCs w:val="20"/>
          <w:lang w:val="en-US"/>
        </w:rPr>
        <w:t>sexual orientation</w:t>
      </w:r>
      <w:r w:rsidRPr="00300A27">
        <w:rPr>
          <w:rFonts w:eastAsiaTheme="minorHAnsi"/>
          <w:spacing w:val="0"/>
          <w:szCs w:val="20"/>
          <w:lang w:val="en-US"/>
        </w:rPr>
        <w:t xml:space="preserve"> also reveal a discriminatory purpose, so that this was an act of violence based on prejudice.</w:t>
      </w:r>
    </w:p>
    <w:p w14:paraId="2441D620" w14:textId="49A28BA4" w:rsidR="009A2AE0" w:rsidRPr="00300A27" w:rsidRDefault="00785348" w:rsidP="00B243B6">
      <w:pPr>
        <w:pStyle w:val="PrrafodeSentencia"/>
        <w:numPr>
          <w:ilvl w:val="0"/>
          <w:numId w:val="3"/>
        </w:numPr>
        <w:spacing w:before="120" w:after="120"/>
        <w:ind w:left="0" w:firstLine="0"/>
        <w:rPr>
          <w:spacing w:val="0"/>
          <w:lang w:val="en-US"/>
        </w:rPr>
      </w:pPr>
      <w:r w:rsidRPr="00300A27">
        <w:rPr>
          <w:rFonts w:eastAsiaTheme="minorHAnsi"/>
          <w:spacing w:val="0"/>
          <w:szCs w:val="20"/>
          <w:lang w:val="en-US"/>
        </w:rPr>
        <w:t xml:space="preserve"> </w:t>
      </w:r>
      <w:bookmarkStart w:id="130" w:name="_Ref446690810"/>
      <w:bookmarkStart w:id="131" w:name="_Ref33106374"/>
      <w:r w:rsidR="009A2AE0" w:rsidRPr="00300A27">
        <w:rPr>
          <w:spacing w:val="0"/>
          <w:lang w:val="en-US"/>
        </w:rPr>
        <w:t>Furthermore</w:t>
      </w:r>
      <w:r w:rsidR="00DD17E7" w:rsidRPr="00300A27">
        <w:rPr>
          <w:spacing w:val="0"/>
          <w:lang w:val="en-US"/>
        </w:rPr>
        <w:t xml:space="preserve">, </w:t>
      </w:r>
      <w:r w:rsidR="005B1C65" w:rsidRPr="00300A27">
        <w:rPr>
          <w:spacing w:val="0"/>
          <w:lang w:val="en-US"/>
        </w:rPr>
        <w:t>the Court</w:t>
      </w:r>
      <w:r w:rsidR="00DD17E7" w:rsidRPr="00300A27">
        <w:rPr>
          <w:spacing w:val="0"/>
          <w:lang w:val="en-US"/>
        </w:rPr>
        <w:t xml:space="preserve"> </w:t>
      </w:r>
      <w:r w:rsidR="009A2AE0" w:rsidRPr="00300A27">
        <w:rPr>
          <w:spacing w:val="0"/>
          <w:lang w:val="en-US"/>
        </w:rPr>
        <w:t xml:space="preserve">notes that the case can be considered a “hate crime” because it is clear that the </w:t>
      </w:r>
      <w:r w:rsidR="008645F4" w:rsidRPr="00300A27">
        <w:rPr>
          <w:spacing w:val="0"/>
          <w:lang w:val="en-US"/>
        </w:rPr>
        <w:t>aggression against the victim was based on her sexual orientation; in other words, this crime not only damaged the rights of Azul Rojas Marín, but was also a message to the whole LGBTI community, a threat to the freedom and dignity of this entire social group.</w:t>
      </w:r>
    </w:p>
    <w:p w14:paraId="6C5CB461" w14:textId="5AF839BF" w:rsidR="00CC29BB" w:rsidRPr="00300A27" w:rsidRDefault="008645F4" w:rsidP="00B243B6">
      <w:pPr>
        <w:pStyle w:val="PrrafodeSentencia"/>
        <w:numPr>
          <w:ilvl w:val="0"/>
          <w:numId w:val="3"/>
        </w:numPr>
        <w:spacing w:before="120" w:after="120"/>
        <w:ind w:left="0" w:firstLine="0"/>
        <w:rPr>
          <w:spacing w:val="0"/>
          <w:lang w:val="en-US"/>
        </w:rPr>
      </w:pPr>
      <w:r w:rsidRPr="00300A27">
        <w:rPr>
          <w:spacing w:val="0"/>
          <w:lang w:val="en-US"/>
        </w:rPr>
        <w:t xml:space="preserve">Based on the foregoing, the Court concludes that the series of abuses and aggressions suffered by </w:t>
      </w:r>
      <w:r w:rsidR="00785348" w:rsidRPr="00300A27">
        <w:rPr>
          <w:spacing w:val="0"/>
          <w:lang w:val="en-US"/>
        </w:rPr>
        <w:t>Azul Rojas Marín, inclu</w:t>
      </w:r>
      <w:r w:rsidRPr="00300A27">
        <w:rPr>
          <w:spacing w:val="0"/>
          <w:lang w:val="en-US"/>
        </w:rPr>
        <w:t xml:space="preserve">ding the rape, constituted an act of torture by state agents. </w:t>
      </w:r>
      <w:bookmarkEnd w:id="130"/>
    </w:p>
    <w:p w14:paraId="38104156" w14:textId="7600DDDC" w:rsidR="00121FEF" w:rsidRPr="00300A27" w:rsidRDefault="008645F4" w:rsidP="00B243B6">
      <w:pPr>
        <w:pStyle w:val="PrrafodeSentencia"/>
        <w:numPr>
          <w:ilvl w:val="0"/>
          <w:numId w:val="3"/>
        </w:numPr>
        <w:spacing w:before="120" w:after="120"/>
        <w:ind w:left="0" w:firstLine="0"/>
        <w:rPr>
          <w:spacing w:val="0"/>
          <w:lang w:val="en-US"/>
        </w:rPr>
      </w:pPr>
      <w:bookmarkStart w:id="132" w:name="_Ref446681961"/>
      <w:r w:rsidRPr="00300A27">
        <w:rPr>
          <w:spacing w:val="0"/>
          <w:lang w:val="en-US"/>
        </w:rPr>
        <w:t>Consequently</w:t>
      </w:r>
      <w:r w:rsidR="00785348" w:rsidRPr="00300A27">
        <w:rPr>
          <w:spacing w:val="0"/>
          <w:lang w:val="en-US"/>
        </w:rPr>
        <w:t xml:space="preserve">, </w:t>
      </w:r>
      <w:r w:rsidR="005B1C65" w:rsidRPr="00300A27">
        <w:rPr>
          <w:spacing w:val="0"/>
          <w:lang w:val="en-US"/>
        </w:rPr>
        <w:t>the State</w:t>
      </w:r>
      <w:r w:rsidR="00785348" w:rsidRPr="00300A27">
        <w:rPr>
          <w:spacing w:val="0"/>
          <w:lang w:val="en-US"/>
        </w:rPr>
        <w:t xml:space="preserve"> </w:t>
      </w:r>
      <w:r w:rsidRPr="00300A27">
        <w:rPr>
          <w:spacing w:val="0"/>
          <w:lang w:val="en-US"/>
        </w:rPr>
        <w:t>violated the rights to</w:t>
      </w:r>
      <w:r w:rsidR="00785348" w:rsidRPr="00300A27">
        <w:rPr>
          <w:spacing w:val="0"/>
          <w:lang w:val="en-US"/>
        </w:rPr>
        <w:t xml:space="preserve"> </w:t>
      </w:r>
      <w:r w:rsidR="00D939AE" w:rsidRPr="00300A27">
        <w:rPr>
          <w:spacing w:val="0"/>
          <w:lang w:val="en-US"/>
        </w:rPr>
        <w:t>personal integrity</w:t>
      </w:r>
      <w:r w:rsidR="00785348" w:rsidRPr="00300A27">
        <w:rPr>
          <w:spacing w:val="0"/>
          <w:lang w:val="en-US"/>
        </w:rPr>
        <w:t xml:space="preserve">, </w:t>
      </w:r>
      <w:r w:rsidRPr="00300A27">
        <w:rPr>
          <w:spacing w:val="0"/>
          <w:lang w:val="en-US"/>
        </w:rPr>
        <w:t>privacy</w:t>
      </w:r>
      <w:r w:rsidR="0090195F" w:rsidRPr="00300A27">
        <w:rPr>
          <w:spacing w:val="0"/>
          <w:lang w:val="en-US"/>
        </w:rPr>
        <w:t>,</w:t>
      </w:r>
      <w:r w:rsidR="005B1C65" w:rsidRPr="00300A27">
        <w:rPr>
          <w:spacing w:val="0"/>
          <w:lang w:val="en-US"/>
        </w:rPr>
        <w:t xml:space="preserve"> and</w:t>
      </w:r>
      <w:r w:rsidRPr="00300A27">
        <w:rPr>
          <w:spacing w:val="0"/>
          <w:lang w:val="en-US"/>
        </w:rPr>
        <w:t xml:space="preserve"> not to be subjected to torture established in </w:t>
      </w:r>
      <w:r w:rsidR="005B1C65" w:rsidRPr="00300A27">
        <w:rPr>
          <w:spacing w:val="0"/>
          <w:lang w:val="en-US"/>
        </w:rPr>
        <w:t>Articles</w:t>
      </w:r>
      <w:r w:rsidR="00785348" w:rsidRPr="00300A27">
        <w:rPr>
          <w:spacing w:val="0"/>
          <w:lang w:val="en-US"/>
        </w:rPr>
        <w:t xml:space="preserve"> </w:t>
      </w:r>
      <w:r w:rsidR="00BA3C7F" w:rsidRPr="00300A27">
        <w:rPr>
          <w:spacing w:val="0"/>
          <w:lang w:val="en-US"/>
        </w:rPr>
        <w:t>5(1)</w:t>
      </w:r>
      <w:r w:rsidR="00785348" w:rsidRPr="00300A27">
        <w:rPr>
          <w:spacing w:val="0"/>
          <w:lang w:val="en-US"/>
        </w:rPr>
        <w:t xml:space="preserve">, </w:t>
      </w:r>
      <w:r w:rsidR="00BA3C7F" w:rsidRPr="00300A27">
        <w:rPr>
          <w:spacing w:val="0"/>
          <w:lang w:val="en-US"/>
        </w:rPr>
        <w:t>5(2)</w:t>
      </w:r>
      <w:r w:rsidR="005B1C65" w:rsidRPr="00300A27">
        <w:rPr>
          <w:spacing w:val="0"/>
          <w:lang w:val="en-US"/>
        </w:rPr>
        <w:t xml:space="preserve"> and </w:t>
      </w:r>
      <w:r w:rsidR="00785348" w:rsidRPr="00300A27">
        <w:rPr>
          <w:spacing w:val="0"/>
          <w:lang w:val="en-US"/>
        </w:rPr>
        <w:t>11</w:t>
      </w:r>
      <w:r w:rsidR="005B1C65" w:rsidRPr="00300A27">
        <w:rPr>
          <w:spacing w:val="0"/>
          <w:lang w:val="en-US"/>
        </w:rPr>
        <w:t xml:space="preserve"> of the Convention</w:t>
      </w:r>
      <w:r w:rsidR="00785348" w:rsidRPr="00300A27">
        <w:rPr>
          <w:spacing w:val="0"/>
          <w:lang w:val="en-US"/>
        </w:rPr>
        <w:t xml:space="preserve">, </w:t>
      </w:r>
      <w:r w:rsidR="005B46A0" w:rsidRPr="00300A27">
        <w:rPr>
          <w:spacing w:val="0"/>
          <w:lang w:val="en-US"/>
        </w:rPr>
        <w:t>in relation to the obligations to respect and to ensure these rights without discrimination</w:t>
      </w:r>
      <w:r w:rsidR="00785348" w:rsidRPr="00300A27">
        <w:rPr>
          <w:spacing w:val="0"/>
          <w:lang w:val="en-US"/>
        </w:rPr>
        <w:t xml:space="preserve">, </w:t>
      </w:r>
      <w:r w:rsidR="005B46A0" w:rsidRPr="00300A27">
        <w:rPr>
          <w:spacing w:val="0"/>
          <w:lang w:val="en-US"/>
        </w:rPr>
        <w:t>established in</w:t>
      </w:r>
      <w:r w:rsidR="00785348" w:rsidRPr="00300A27">
        <w:rPr>
          <w:spacing w:val="0"/>
          <w:lang w:val="en-US"/>
        </w:rPr>
        <w:t xml:space="preserve"> </w:t>
      </w:r>
      <w:r w:rsidR="005B1C65" w:rsidRPr="00300A27">
        <w:rPr>
          <w:spacing w:val="0"/>
          <w:lang w:val="en-US"/>
        </w:rPr>
        <w:t>Article</w:t>
      </w:r>
      <w:r w:rsidR="00785348" w:rsidRPr="00300A27">
        <w:rPr>
          <w:spacing w:val="0"/>
          <w:lang w:val="en-US"/>
        </w:rPr>
        <w:t xml:space="preserve"> </w:t>
      </w:r>
      <w:r w:rsidR="00BA3C7F" w:rsidRPr="00300A27">
        <w:rPr>
          <w:spacing w:val="0"/>
          <w:lang w:val="en-US"/>
        </w:rPr>
        <w:t>1(1)</w:t>
      </w:r>
      <w:r w:rsidR="00785348" w:rsidRPr="00300A27">
        <w:rPr>
          <w:spacing w:val="0"/>
          <w:lang w:val="en-US"/>
        </w:rPr>
        <w:t xml:space="preserve"> </w:t>
      </w:r>
      <w:r w:rsidR="00BA3C7F" w:rsidRPr="00300A27">
        <w:rPr>
          <w:spacing w:val="0"/>
          <w:lang w:val="en-US"/>
        </w:rPr>
        <w:t>of this instrument</w:t>
      </w:r>
      <w:r w:rsidR="005B1C65" w:rsidRPr="00300A27">
        <w:rPr>
          <w:spacing w:val="0"/>
          <w:lang w:val="en-US"/>
        </w:rPr>
        <w:t xml:space="preserve"> and Articles</w:t>
      </w:r>
      <w:r w:rsidR="00785348" w:rsidRPr="00300A27">
        <w:rPr>
          <w:spacing w:val="0"/>
          <w:lang w:val="en-US"/>
        </w:rPr>
        <w:t xml:space="preserve"> 1</w:t>
      </w:r>
      <w:r w:rsidR="005B1C65" w:rsidRPr="00300A27">
        <w:rPr>
          <w:spacing w:val="0"/>
          <w:lang w:val="en-US"/>
        </w:rPr>
        <w:t xml:space="preserve"> and </w:t>
      </w:r>
      <w:r w:rsidR="00785348" w:rsidRPr="00300A27">
        <w:rPr>
          <w:spacing w:val="0"/>
          <w:lang w:val="en-US"/>
        </w:rPr>
        <w:t>6</w:t>
      </w:r>
      <w:r w:rsidR="005B1C65" w:rsidRPr="00300A27">
        <w:rPr>
          <w:spacing w:val="0"/>
          <w:lang w:val="en-US"/>
        </w:rPr>
        <w:t xml:space="preserve"> of the </w:t>
      </w:r>
      <w:bookmarkEnd w:id="131"/>
      <w:bookmarkEnd w:id="132"/>
      <w:r w:rsidR="00F816B4" w:rsidRPr="00300A27">
        <w:rPr>
          <w:spacing w:val="0"/>
          <w:lang w:val="en-US"/>
        </w:rPr>
        <w:t>Inter-American Convention to Prevent and Punish Torture</w:t>
      </w:r>
      <w:r w:rsidR="008B65DA" w:rsidRPr="00300A27">
        <w:rPr>
          <w:spacing w:val="0"/>
          <w:lang w:val="en-US"/>
        </w:rPr>
        <w:t>.</w:t>
      </w:r>
    </w:p>
    <w:p w14:paraId="5159D860" w14:textId="0E5DA3A1" w:rsidR="00EE6121" w:rsidRPr="00300A27" w:rsidRDefault="00EE6121" w:rsidP="00B243B6">
      <w:pPr>
        <w:pStyle w:val="Ttulo1"/>
        <w:rPr>
          <w:lang w:val="en-US"/>
        </w:rPr>
      </w:pPr>
      <w:bookmarkStart w:id="133" w:name="_Toc32394174"/>
      <w:bookmarkStart w:id="134" w:name="_Toc36823492"/>
      <w:r w:rsidRPr="00300A27">
        <w:rPr>
          <w:lang w:val="en-US"/>
        </w:rPr>
        <w:t>VII-</w:t>
      </w:r>
      <w:r w:rsidR="008E4AA0" w:rsidRPr="00300A27">
        <w:rPr>
          <w:lang w:val="en-US"/>
        </w:rPr>
        <w:t>4</w:t>
      </w:r>
      <w:r w:rsidRPr="00300A27">
        <w:rPr>
          <w:lang w:val="en-US"/>
        </w:rPr>
        <w:br/>
      </w:r>
      <w:r w:rsidR="002959DE" w:rsidRPr="00300A27">
        <w:rPr>
          <w:lang w:val="en-US"/>
        </w:rPr>
        <w:t>RIGHTS TO JUDICIAL GUARANTEES AND JUDICIAL PROTECTION</w:t>
      </w:r>
      <w:bookmarkEnd w:id="133"/>
      <w:r w:rsidR="00F770C1" w:rsidRPr="00300A27">
        <w:rPr>
          <w:rStyle w:val="Refdenotaalpie"/>
          <w:lang w:val="en-US"/>
        </w:rPr>
        <w:footnoteReference w:id="216"/>
      </w:r>
      <w:bookmarkEnd w:id="134"/>
    </w:p>
    <w:p w14:paraId="5F177A8F" w14:textId="1338484E" w:rsidR="003A1662" w:rsidRPr="00300A27" w:rsidRDefault="00FD36FD" w:rsidP="00B243B6">
      <w:pPr>
        <w:pStyle w:val="Ttulo2"/>
        <w:numPr>
          <w:ilvl w:val="0"/>
          <w:numId w:val="21"/>
        </w:numPr>
        <w:tabs>
          <w:tab w:val="clear" w:pos="1134"/>
          <w:tab w:val="left" w:pos="567"/>
          <w:tab w:val="left" w:pos="1276"/>
        </w:tabs>
        <w:ind w:left="1134" w:hanging="567"/>
        <w:rPr>
          <w:lang w:val="en-US"/>
        </w:rPr>
      </w:pPr>
      <w:bookmarkStart w:id="135" w:name="_Toc32394175"/>
      <w:bookmarkStart w:id="136" w:name="_Toc36823493"/>
      <w:r w:rsidRPr="00300A27">
        <w:rPr>
          <w:lang w:val="en-US"/>
        </w:rPr>
        <w:t>Arguments of the parties</w:t>
      </w:r>
      <w:r w:rsidR="005B1C65" w:rsidRPr="00300A27">
        <w:rPr>
          <w:lang w:val="en-US"/>
        </w:rPr>
        <w:t xml:space="preserve"> and</w:t>
      </w:r>
      <w:r w:rsidR="007071F6" w:rsidRPr="00300A27">
        <w:rPr>
          <w:lang w:val="en-US"/>
        </w:rPr>
        <w:t xml:space="preserve"> of the </w:t>
      </w:r>
      <w:r w:rsidR="00C2001D" w:rsidRPr="00300A27">
        <w:rPr>
          <w:lang w:val="en-US"/>
        </w:rPr>
        <w:t>Commission</w:t>
      </w:r>
      <w:bookmarkEnd w:id="135"/>
      <w:bookmarkEnd w:id="136"/>
    </w:p>
    <w:p w14:paraId="1E8C0686" w14:textId="7E19B83B" w:rsidR="006749C4" w:rsidRPr="00300A27" w:rsidRDefault="00C2001D" w:rsidP="00B243B6">
      <w:pPr>
        <w:pStyle w:val="PrrafodeSentencia"/>
        <w:numPr>
          <w:ilvl w:val="0"/>
          <w:numId w:val="3"/>
        </w:numPr>
        <w:spacing w:before="120" w:after="120"/>
        <w:ind w:left="0" w:firstLine="0"/>
        <w:rPr>
          <w:spacing w:val="0"/>
          <w:lang w:val="en-US"/>
        </w:rPr>
      </w:pPr>
      <w:r w:rsidRPr="00300A27">
        <w:rPr>
          <w:spacing w:val="0"/>
          <w:lang w:val="en-US"/>
        </w:rPr>
        <w:t xml:space="preserve">The </w:t>
      </w:r>
      <w:r w:rsidRPr="00300A27">
        <w:rPr>
          <w:b/>
          <w:bCs/>
          <w:i/>
          <w:iCs/>
          <w:spacing w:val="0"/>
          <w:lang w:val="en-US"/>
        </w:rPr>
        <w:t>Commission</w:t>
      </w:r>
      <w:r w:rsidR="003A1662" w:rsidRPr="00300A27">
        <w:rPr>
          <w:spacing w:val="0"/>
          <w:lang w:val="en-US"/>
        </w:rPr>
        <w:t xml:space="preserve"> a</w:t>
      </w:r>
      <w:r w:rsidR="006749C4" w:rsidRPr="00300A27">
        <w:rPr>
          <w:spacing w:val="0"/>
          <w:lang w:val="en-US"/>
        </w:rPr>
        <w:t xml:space="preserve">rgued that the investigation and the criminal proceedings </w:t>
      </w:r>
      <w:r w:rsidR="005172C2" w:rsidRPr="00300A27">
        <w:rPr>
          <w:spacing w:val="0"/>
          <w:lang w:val="en-US"/>
        </w:rPr>
        <w:t>conducted</w:t>
      </w:r>
      <w:r w:rsidR="006749C4" w:rsidRPr="00300A27">
        <w:rPr>
          <w:spacing w:val="0"/>
          <w:lang w:val="en-US"/>
        </w:rPr>
        <w:t xml:space="preserve"> in the domestic sphere “contravened the obligation</w:t>
      </w:r>
      <w:r w:rsidR="005172C2" w:rsidRPr="00300A27">
        <w:rPr>
          <w:spacing w:val="0"/>
          <w:lang w:val="en-US"/>
        </w:rPr>
        <w:t>s</w:t>
      </w:r>
      <w:r w:rsidR="006749C4" w:rsidRPr="00300A27">
        <w:rPr>
          <w:spacing w:val="0"/>
          <w:lang w:val="en-US"/>
        </w:rPr>
        <w:t xml:space="preserve"> to protect and </w:t>
      </w:r>
      <w:r w:rsidR="005172C2" w:rsidRPr="00300A27">
        <w:rPr>
          <w:spacing w:val="0"/>
          <w:lang w:val="en-US"/>
        </w:rPr>
        <w:t xml:space="preserve">to provide </w:t>
      </w:r>
      <w:r w:rsidR="006749C4" w:rsidRPr="00300A27">
        <w:rPr>
          <w:spacing w:val="0"/>
          <w:lang w:val="en-US"/>
        </w:rPr>
        <w:t>care for a victim who reports sexual violence, with the aggravating factor of the prejudice that exists with regard to LGBTI people.” It indicated that “initial</w:t>
      </w:r>
      <w:r w:rsidR="005172C2" w:rsidRPr="00300A27">
        <w:rPr>
          <w:spacing w:val="0"/>
          <w:lang w:val="en-US"/>
        </w:rPr>
        <w:t>ly, there was a</w:t>
      </w:r>
      <w:r w:rsidR="006749C4" w:rsidRPr="00300A27">
        <w:rPr>
          <w:spacing w:val="0"/>
          <w:lang w:val="en-US"/>
        </w:rPr>
        <w:t xml:space="preserve"> delay in providing the appropriate means to obtain evidence to clarify what happened,” and that “in this type of case, a delay […] may be </w:t>
      </w:r>
      <w:r w:rsidR="005172C2" w:rsidRPr="00300A27">
        <w:rPr>
          <w:spacing w:val="0"/>
          <w:lang w:val="en-US"/>
        </w:rPr>
        <w:t>significant</w:t>
      </w:r>
      <w:r w:rsidR="006749C4" w:rsidRPr="00300A27">
        <w:rPr>
          <w:spacing w:val="0"/>
          <w:lang w:val="en-US"/>
        </w:rPr>
        <w:t xml:space="preserve">.” It considered that the information provided by Azul Rojas Marín “should have </w:t>
      </w:r>
      <w:r w:rsidR="005172C2" w:rsidRPr="00300A27">
        <w:rPr>
          <w:spacing w:val="0"/>
          <w:lang w:val="en-US"/>
        </w:rPr>
        <w:t>been</w:t>
      </w:r>
      <w:r w:rsidR="006749C4" w:rsidRPr="00300A27">
        <w:rPr>
          <w:spacing w:val="0"/>
          <w:lang w:val="en-US"/>
        </w:rPr>
        <w:t xml:space="preserve"> sufficient evidence for the State to activate its reinforced duty” to investigate possible acts of violence based on prejudice, and this did not occur. It stressed that the authorities performed a [forensic medical] examination without providing the victim with any kind of “counseling or support.” It observed that the forensic medical examination “made a superficial assessment” without “verifying, in the greatest possible detail, the specific aggressions that she described having suffered”</w:t>
      </w:r>
      <w:r w:rsidR="00EE0710" w:rsidRPr="00300A27">
        <w:rPr>
          <w:spacing w:val="0"/>
          <w:lang w:val="en-US"/>
        </w:rPr>
        <w:t xml:space="preserve"> and indicated that this examination</w:t>
      </w:r>
      <w:r w:rsidR="005172C2" w:rsidRPr="00300A27">
        <w:rPr>
          <w:spacing w:val="0"/>
          <w:lang w:val="en-US"/>
        </w:rPr>
        <w:t xml:space="preserve"> report</w:t>
      </w:r>
      <w:r w:rsidR="00EE0710" w:rsidRPr="00300A27">
        <w:rPr>
          <w:spacing w:val="0"/>
          <w:lang w:val="en-US"/>
        </w:rPr>
        <w:t xml:space="preserve"> included “irrelevant statements about Azul Rojas Marín’s private life and</w:t>
      </w:r>
      <w:r w:rsidR="005172C2" w:rsidRPr="00300A27">
        <w:rPr>
          <w:spacing w:val="0"/>
          <w:lang w:val="en-US"/>
        </w:rPr>
        <w:t xml:space="preserve"> </w:t>
      </w:r>
      <w:r w:rsidR="00EE0710" w:rsidRPr="00300A27">
        <w:rPr>
          <w:spacing w:val="0"/>
          <w:lang w:val="en-US"/>
        </w:rPr>
        <w:t>negative gender stereotyp</w:t>
      </w:r>
      <w:r w:rsidR="005172C2" w:rsidRPr="00300A27">
        <w:rPr>
          <w:spacing w:val="0"/>
          <w:lang w:val="en-US"/>
        </w:rPr>
        <w:t>ing</w:t>
      </w:r>
      <w:r w:rsidR="00EE0710" w:rsidRPr="00300A27">
        <w:rPr>
          <w:spacing w:val="0"/>
          <w:lang w:val="en-US"/>
        </w:rPr>
        <w:t>”</w:t>
      </w:r>
      <w:r w:rsidR="005172C2" w:rsidRPr="00300A27">
        <w:rPr>
          <w:spacing w:val="0"/>
          <w:lang w:val="en-US"/>
        </w:rPr>
        <w:t>;</w:t>
      </w:r>
      <w:r w:rsidR="00EE0710" w:rsidRPr="00300A27">
        <w:rPr>
          <w:spacing w:val="0"/>
          <w:lang w:val="en-US"/>
        </w:rPr>
        <w:t xml:space="preserve"> a</w:t>
      </w:r>
      <w:r w:rsidR="005172C2" w:rsidRPr="00300A27">
        <w:rPr>
          <w:spacing w:val="0"/>
          <w:lang w:val="en-US"/>
        </w:rPr>
        <w:t>lso,</w:t>
      </w:r>
      <w:r w:rsidR="00EE0710" w:rsidRPr="00300A27">
        <w:rPr>
          <w:spacing w:val="0"/>
          <w:lang w:val="en-US"/>
        </w:rPr>
        <w:t xml:space="preserve"> that the psychological </w:t>
      </w:r>
      <w:r w:rsidR="0029573F" w:rsidRPr="00300A27">
        <w:rPr>
          <w:spacing w:val="0"/>
          <w:lang w:val="en-US"/>
        </w:rPr>
        <w:t>assessment</w:t>
      </w:r>
      <w:r w:rsidR="00EE0710" w:rsidRPr="00300A27">
        <w:rPr>
          <w:spacing w:val="0"/>
          <w:lang w:val="en-US"/>
        </w:rPr>
        <w:t xml:space="preserve"> discredited “the victim and […] her credibility,” constituting “an additional form of revictimization.” Lastly, </w:t>
      </w:r>
      <w:r w:rsidR="005172C2" w:rsidRPr="00300A27">
        <w:rPr>
          <w:spacing w:val="0"/>
          <w:lang w:val="en-US"/>
        </w:rPr>
        <w:t>the Commission</w:t>
      </w:r>
      <w:r w:rsidR="00EE0710" w:rsidRPr="00300A27">
        <w:rPr>
          <w:spacing w:val="0"/>
          <w:lang w:val="en-US"/>
        </w:rPr>
        <w:t xml:space="preserve"> considered that, the Ascope Prosecutor</w:t>
      </w:r>
      <w:r w:rsidR="005172C2" w:rsidRPr="00300A27">
        <w:rPr>
          <w:spacing w:val="0"/>
          <w:lang w:val="en-US"/>
        </w:rPr>
        <w:t>’s decisions</w:t>
      </w:r>
      <w:r w:rsidR="00EE0710" w:rsidRPr="00300A27">
        <w:rPr>
          <w:spacing w:val="0"/>
          <w:lang w:val="en-US"/>
        </w:rPr>
        <w:t xml:space="preserve"> not “to expand the investigation to include the </w:t>
      </w:r>
      <w:r w:rsidR="0013678A" w:rsidRPr="00300A27">
        <w:rPr>
          <w:spacing w:val="0"/>
          <w:lang w:val="en-US"/>
        </w:rPr>
        <w:t>crime of torture</w:t>
      </w:r>
      <w:r w:rsidR="00EE0710" w:rsidRPr="00300A27">
        <w:rPr>
          <w:spacing w:val="0"/>
          <w:lang w:val="en-US"/>
        </w:rPr>
        <w:t xml:space="preserve">” and to dismiss the case “used an </w:t>
      </w:r>
      <w:r w:rsidR="005172C2" w:rsidRPr="00300A27">
        <w:rPr>
          <w:spacing w:val="0"/>
          <w:lang w:val="en-US"/>
        </w:rPr>
        <w:t xml:space="preserve">analysis </w:t>
      </w:r>
      <w:r w:rsidR="00EE0710" w:rsidRPr="00300A27">
        <w:rPr>
          <w:spacing w:val="0"/>
          <w:lang w:val="en-US"/>
        </w:rPr>
        <w:t xml:space="preserve">methodology based on comparing the statements of the victim </w:t>
      </w:r>
      <w:r w:rsidR="00676747" w:rsidRPr="00300A27">
        <w:rPr>
          <w:spacing w:val="0"/>
          <w:lang w:val="en-US"/>
        </w:rPr>
        <w:t>with</w:t>
      </w:r>
      <w:r w:rsidR="00EE0710" w:rsidRPr="00300A27">
        <w:rPr>
          <w:spacing w:val="0"/>
          <w:lang w:val="en-US"/>
        </w:rPr>
        <w:t xml:space="preserve"> those of the agents involved, and </w:t>
      </w:r>
      <w:r w:rsidR="005172C2" w:rsidRPr="00300A27">
        <w:rPr>
          <w:spacing w:val="0"/>
          <w:lang w:val="en-US"/>
        </w:rPr>
        <w:t>failed to</w:t>
      </w:r>
      <w:r w:rsidR="00EE0710" w:rsidRPr="00300A27">
        <w:rPr>
          <w:spacing w:val="0"/>
          <w:lang w:val="en-US"/>
        </w:rPr>
        <w:t xml:space="preserve"> make a comprehensive analysis.” </w:t>
      </w:r>
    </w:p>
    <w:p w14:paraId="1A5B5327" w14:textId="3600AF30" w:rsidR="00EE0710" w:rsidRPr="00300A27" w:rsidRDefault="00BA3C7F" w:rsidP="00B243B6">
      <w:pPr>
        <w:pStyle w:val="PrrafodeSentencia"/>
        <w:numPr>
          <w:ilvl w:val="0"/>
          <w:numId w:val="3"/>
        </w:numPr>
        <w:spacing w:before="120" w:after="120"/>
        <w:ind w:left="0" w:firstLine="0"/>
        <w:rPr>
          <w:spacing w:val="0"/>
          <w:szCs w:val="20"/>
          <w:lang w:val="en-US"/>
        </w:rPr>
      </w:pPr>
      <w:r w:rsidRPr="00300A27">
        <w:rPr>
          <w:spacing w:val="0"/>
          <w:szCs w:val="20"/>
          <w:lang w:val="en-US"/>
        </w:rPr>
        <w:t>The</w:t>
      </w:r>
      <w:r w:rsidRPr="00300A27">
        <w:rPr>
          <w:b/>
          <w:bCs/>
          <w:i/>
          <w:iCs/>
          <w:spacing w:val="0"/>
          <w:szCs w:val="20"/>
          <w:lang w:val="en-US"/>
        </w:rPr>
        <w:t xml:space="preserve"> representatives</w:t>
      </w:r>
      <w:r w:rsidR="003A1662" w:rsidRPr="00300A27">
        <w:rPr>
          <w:b/>
          <w:i/>
          <w:spacing w:val="0"/>
          <w:szCs w:val="20"/>
          <w:lang w:val="en-US"/>
        </w:rPr>
        <w:t xml:space="preserve"> </w:t>
      </w:r>
      <w:r w:rsidR="00EE0710" w:rsidRPr="00300A27">
        <w:rPr>
          <w:spacing w:val="0"/>
          <w:szCs w:val="20"/>
          <w:lang w:val="en-US"/>
        </w:rPr>
        <w:t>argued that there were “numerous acts and omissions of State officials in the investigation of the unlawful detention, sexual violence and torture.” They indicated that Azul “went to file a complaint with the Casa Grande Police Station, where the acts took place</w:t>
      </w:r>
      <w:r w:rsidR="005166D1" w:rsidRPr="00300A27">
        <w:rPr>
          <w:spacing w:val="0"/>
          <w:szCs w:val="20"/>
          <w:lang w:val="en-US"/>
        </w:rPr>
        <w:t>,</w:t>
      </w:r>
      <w:r w:rsidR="00EE0710" w:rsidRPr="00300A27">
        <w:rPr>
          <w:spacing w:val="0"/>
          <w:szCs w:val="20"/>
          <w:lang w:val="en-US"/>
        </w:rPr>
        <w:t xml:space="preserve"> the day after her release,” and they refused to receive the complaint because “the police agents alleged that their chief was not there at that time.” They added that the prosecutor “failed to order a forensic medical examination for the offense of rape immediately, or</w:t>
      </w:r>
      <w:r w:rsidR="005166D1" w:rsidRPr="00300A27">
        <w:rPr>
          <w:spacing w:val="0"/>
          <w:szCs w:val="20"/>
          <w:lang w:val="en-US"/>
        </w:rPr>
        <w:t xml:space="preserve"> to</w:t>
      </w:r>
      <w:r w:rsidR="00EE0710" w:rsidRPr="00300A27">
        <w:rPr>
          <w:spacing w:val="0"/>
          <w:szCs w:val="20"/>
          <w:lang w:val="en-US"/>
        </w:rPr>
        <w:t xml:space="preserve"> require the custody of key evidence, such as the clothes that Azul was wearing on the day of the incident.” The argued that “the forensic medical examination was not performed by appropriate personnel, trained in cases of torture,” and</w:t>
      </w:r>
      <w:r w:rsidR="00EE09F7" w:rsidRPr="00300A27">
        <w:rPr>
          <w:spacing w:val="0"/>
          <w:szCs w:val="20"/>
          <w:lang w:val="en-US"/>
        </w:rPr>
        <w:t xml:space="preserve"> that Azul received no medical or psychological care from the State. They indicated that “the procedure </w:t>
      </w:r>
      <w:r w:rsidR="005166D1" w:rsidRPr="00300A27">
        <w:rPr>
          <w:spacing w:val="0"/>
          <w:szCs w:val="20"/>
          <w:lang w:val="en-US"/>
        </w:rPr>
        <w:t>to</w:t>
      </w:r>
      <w:r w:rsidR="00EE09F7" w:rsidRPr="00300A27">
        <w:rPr>
          <w:spacing w:val="0"/>
          <w:szCs w:val="20"/>
          <w:lang w:val="en-US"/>
        </w:rPr>
        <w:t xml:space="preserve"> obtain her statement […] was not carried out privately and respecting the victim.” </w:t>
      </w:r>
    </w:p>
    <w:p w14:paraId="7DE88DDE" w14:textId="29B66D96" w:rsidR="003A1662" w:rsidRPr="00300A27" w:rsidRDefault="00EE09F7" w:rsidP="00B243B6">
      <w:pPr>
        <w:pStyle w:val="PrrafodeSentencia"/>
        <w:numPr>
          <w:ilvl w:val="0"/>
          <w:numId w:val="3"/>
        </w:numPr>
        <w:spacing w:before="120" w:after="120"/>
        <w:ind w:left="0" w:firstLine="0"/>
        <w:rPr>
          <w:spacing w:val="0"/>
          <w:szCs w:val="20"/>
          <w:lang w:val="en-US"/>
        </w:rPr>
      </w:pPr>
      <w:r w:rsidRPr="00300A27">
        <w:rPr>
          <w:spacing w:val="0"/>
          <w:szCs w:val="20"/>
          <w:lang w:val="en-US"/>
        </w:rPr>
        <w:t xml:space="preserve">They also argued that </w:t>
      </w:r>
      <w:r w:rsidR="003A1662" w:rsidRPr="00300A27">
        <w:rPr>
          <w:spacing w:val="0"/>
          <w:szCs w:val="20"/>
          <w:lang w:val="en-US"/>
        </w:rPr>
        <w:t>“</w:t>
      </w:r>
      <w:r w:rsidR="005166D1" w:rsidRPr="00300A27">
        <w:rPr>
          <w:spacing w:val="0"/>
          <w:szCs w:val="20"/>
          <w:lang w:val="en-US"/>
        </w:rPr>
        <w:t>the</w:t>
      </w:r>
      <w:r w:rsidR="003A1662" w:rsidRPr="00300A27">
        <w:rPr>
          <w:spacing w:val="0"/>
          <w:szCs w:val="20"/>
          <w:lang w:val="en-US"/>
        </w:rPr>
        <w:t xml:space="preserve"> </w:t>
      </w:r>
      <w:r w:rsidR="0079787B" w:rsidRPr="00300A27">
        <w:rPr>
          <w:spacing w:val="0"/>
          <w:szCs w:val="20"/>
          <w:lang w:val="en-US"/>
        </w:rPr>
        <w:t>preliminary investigation</w:t>
      </w:r>
      <w:r w:rsidR="003A1662" w:rsidRPr="00300A27">
        <w:rPr>
          <w:spacing w:val="0"/>
          <w:szCs w:val="20"/>
          <w:lang w:val="en-US"/>
        </w:rPr>
        <w:t xml:space="preserve"> </w:t>
      </w:r>
      <w:r w:rsidRPr="00300A27">
        <w:rPr>
          <w:spacing w:val="0"/>
          <w:szCs w:val="20"/>
          <w:lang w:val="en-US"/>
        </w:rPr>
        <w:t xml:space="preserve">was fraught with irregularities, </w:t>
      </w:r>
      <w:r w:rsidR="005166D1" w:rsidRPr="00300A27">
        <w:rPr>
          <w:spacing w:val="0"/>
          <w:szCs w:val="20"/>
          <w:lang w:val="en-US"/>
        </w:rPr>
        <w:t>deficiencie</w:t>
      </w:r>
      <w:r w:rsidRPr="00300A27">
        <w:rPr>
          <w:spacing w:val="0"/>
          <w:szCs w:val="20"/>
          <w:lang w:val="en-US"/>
        </w:rPr>
        <w:t>s and gaps.” Therefore, “it was clear that the judicial authorities and the Public Prosecution Service acted in a discriminatory way</w:t>
      </w:r>
      <w:r w:rsidR="005166D1" w:rsidRPr="00300A27">
        <w:rPr>
          <w:spacing w:val="0"/>
          <w:szCs w:val="20"/>
          <w:lang w:val="en-US"/>
        </w:rPr>
        <w:t>,</w:t>
      </w:r>
      <w:r w:rsidRPr="00300A27">
        <w:rPr>
          <w:spacing w:val="0"/>
          <w:szCs w:val="20"/>
          <w:lang w:val="en-US"/>
        </w:rPr>
        <w:t xml:space="preserve"> appl</w:t>
      </w:r>
      <w:r w:rsidR="005166D1" w:rsidRPr="00300A27">
        <w:rPr>
          <w:spacing w:val="0"/>
          <w:szCs w:val="20"/>
          <w:lang w:val="en-US"/>
        </w:rPr>
        <w:t>ying</w:t>
      </w:r>
      <w:r w:rsidRPr="00300A27">
        <w:rPr>
          <w:spacing w:val="0"/>
          <w:szCs w:val="20"/>
          <w:lang w:val="en-US"/>
        </w:rPr>
        <w:t xml:space="preserve"> stereotypes. </w:t>
      </w:r>
      <w:r w:rsidR="00BA3C7F" w:rsidRPr="00300A27">
        <w:rPr>
          <w:spacing w:val="0"/>
          <w:szCs w:val="20"/>
          <w:lang w:val="en-US"/>
        </w:rPr>
        <w:t>The representatives</w:t>
      </w:r>
      <w:r w:rsidR="003A1662" w:rsidRPr="00300A27">
        <w:rPr>
          <w:spacing w:val="0"/>
          <w:szCs w:val="20"/>
          <w:lang w:val="en-US"/>
        </w:rPr>
        <w:t xml:space="preserve"> consider</w:t>
      </w:r>
      <w:r w:rsidRPr="00300A27">
        <w:rPr>
          <w:spacing w:val="0"/>
          <w:szCs w:val="20"/>
          <w:lang w:val="en-US"/>
        </w:rPr>
        <w:t xml:space="preserve">ed that the lack of an adequate investigation was discriminatory because “the prosecution’s file does not show that any procedures were conducted to clarify whether the facts” were related to the </w:t>
      </w:r>
      <w:r w:rsidR="003A1662" w:rsidRPr="00300A27">
        <w:rPr>
          <w:spacing w:val="0"/>
          <w:szCs w:val="20"/>
          <w:lang w:val="en-US"/>
        </w:rPr>
        <w:t>“</w:t>
      </w:r>
      <w:r w:rsidR="00CC6548" w:rsidRPr="00300A27">
        <w:rPr>
          <w:spacing w:val="0"/>
          <w:szCs w:val="20"/>
          <w:lang w:val="en-US"/>
        </w:rPr>
        <w:t>sexual orientation</w:t>
      </w:r>
      <w:r w:rsidR="005B1C65" w:rsidRPr="00300A27">
        <w:rPr>
          <w:spacing w:val="0"/>
          <w:szCs w:val="20"/>
          <w:lang w:val="en-US"/>
        </w:rPr>
        <w:t xml:space="preserve"> and </w:t>
      </w:r>
      <w:r w:rsidRPr="00300A27">
        <w:rPr>
          <w:spacing w:val="0"/>
          <w:szCs w:val="20"/>
          <w:lang w:val="en-US"/>
        </w:rPr>
        <w:t xml:space="preserve">non-normative </w:t>
      </w:r>
      <w:r w:rsidR="00CC6548" w:rsidRPr="00300A27">
        <w:rPr>
          <w:spacing w:val="0"/>
          <w:szCs w:val="20"/>
          <w:lang w:val="en-US"/>
        </w:rPr>
        <w:t>gender expression</w:t>
      </w:r>
      <w:r w:rsidR="003A1662" w:rsidRPr="00300A27">
        <w:rPr>
          <w:spacing w:val="0"/>
          <w:szCs w:val="20"/>
          <w:lang w:val="en-US"/>
        </w:rPr>
        <w:t xml:space="preserve">” </w:t>
      </w:r>
      <w:r w:rsidRPr="00300A27">
        <w:rPr>
          <w:spacing w:val="0"/>
          <w:szCs w:val="20"/>
          <w:lang w:val="en-US"/>
        </w:rPr>
        <w:t>of</w:t>
      </w:r>
      <w:r w:rsidR="003A1662" w:rsidRPr="00300A27">
        <w:rPr>
          <w:spacing w:val="0"/>
          <w:szCs w:val="20"/>
          <w:lang w:val="en-US"/>
        </w:rPr>
        <w:t xml:space="preserve"> Azul Rojas Marín </w:t>
      </w:r>
      <w:r w:rsidRPr="00300A27">
        <w:rPr>
          <w:spacing w:val="0"/>
          <w:szCs w:val="20"/>
          <w:lang w:val="en-US"/>
        </w:rPr>
        <w:t>even though</w:t>
      </w:r>
      <w:r w:rsidR="003A1662" w:rsidRPr="00300A27">
        <w:rPr>
          <w:spacing w:val="0"/>
          <w:szCs w:val="20"/>
          <w:lang w:val="en-US"/>
        </w:rPr>
        <w:t xml:space="preserve"> “</w:t>
      </w:r>
      <w:r w:rsidRPr="00300A27">
        <w:rPr>
          <w:spacing w:val="0"/>
          <w:szCs w:val="20"/>
          <w:lang w:val="en-US"/>
        </w:rPr>
        <w:t xml:space="preserve">these elements were mentioned from the start of the investigation.” They indicated that “in this case, </w:t>
      </w:r>
      <w:r w:rsidR="003A1662" w:rsidRPr="00300A27">
        <w:rPr>
          <w:spacing w:val="0"/>
          <w:szCs w:val="20"/>
          <w:lang w:val="en-US"/>
        </w:rPr>
        <w:t xml:space="preserve">Azul Rojas Marín </w:t>
      </w:r>
      <w:r w:rsidRPr="00300A27">
        <w:rPr>
          <w:spacing w:val="0"/>
          <w:szCs w:val="20"/>
          <w:lang w:val="en-US"/>
        </w:rPr>
        <w:t xml:space="preserve">faced discrimination and prejudices based on her </w:t>
      </w:r>
      <w:r w:rsidR="00CC6548" w:rsidRPr="00300A27">
        <w:rPr>
          <w:spacing w:val="0"/>
          <w:szCs w:val="20"/>
          <w:lang w:val="en-US"/>
        </w:rPr>
        <w:t>sexual orientation</w:t>
      </w:r>
      <w:r w:rsidR="005B1C65" w:rsidRPr="00300A27">
        <w:rPr>
          <w:spacing w:val="0"/>
          <w:szCs w:val="20"/>
          <w:lang w:val="en-US"/>
        </w:rPr>
        <w:t xml:space="preserve"> and </w:t>
      </w:r>
      <w:r w:rsidRPr="00300A27">
        <w:rPr>
          <w:spacing w:val="0"/>
          <w:szCs w:val="20"/>
          <w:lang w:val="en-US"/>
        </w:rPr>
        <w:t xml:space="preserve">non-normative gender expression from the start of the investigation, reflected in the minimization of the facts, the discrediting of her statements, the disparaging references, and other actions by the agents of justice.” They considered that “her complaint was not handled by an impartial prosecutor owing to the presence of negative stereotypes about </w:t>
      </w:r>
      <w:r w:rsidR="003A1662" w:rsidRPr="00300A27">
        <w:rPr>
          <w:spacing w:val="0"/>
          <w:szCs w:val="20"/>
          <w:lang w:val="en-US"/>
        </w:rPr>
        <w:t>Azul</w:t>
      </w:r>
      <w:r w:rsidRPr="00300A27">
        <w:rPr>
          <w:spacing w:val="0"/>
          <w:szCs w:val="20"/>
          <w:lang w:val="en-US"/>
        </w:rPr>
        <w:t>.</w:t>
      </w:r>
      <w:r w:rsidR="003A1662" w:rsidRPr="00300A27">
        <w:rPr>
          <w:spacing w:val="0"/>
          <w:szCs w:val="20"/>
          <w:lang w:val="en-US"/>
        </w:rPr>
        <w:t xml:space="preserve">” </w:t>
      </w:r>
    </w:p>
    <w:p w14:paraId="5D977036" w14:textId="5C25B7EE" w:rsidR="003A1662" w:rsidRPr="00300A27" w:rsidRDefault="00EE09F7" w:rsidP="00B243B6">
      <w:pPr>
        <w:pStyle w:val="PrrafodeSentencia"/>
        <w:numPr>
          <w:ilvl w:val="0"/>
          <w:numId w:val="3"/>
        </w:numPr>
        <w:spacing w:before="120" w:after="120"/>
        <w:ind w:left="0" w:firstLine="0"/>
        <w:rPr>
          <w:spacing w:val="0"/>
          <w:lang w:val="en-US"/>
        </w:rPr>
      </w:pPr>
      <w:r w:rsidRPr="00300A27">
        <w:rPr>
          <w:spacing w:val="0"/>
          <w:szCs w:val="20"/>
          <w:lang w:val="en-US"/>
        </w:rPr>
        <w:t xml:space="preserve">In addition, they argued that the definition of torture in the Peruvian </w:t>
      </w:r>
      <w:r w:rsidR="00D75EFA" w:rsidRPr="00300A27">
        <w:rPr>
          <w:spacing w:val="0"/>
          <w:szCs w:val="20"/>
          <w:lang w:val="en-US"/>
        </w:rPr>
        <w:t>Criminal Code</w:t>
      </w:r>
      <w:r w:rsidR="003A1662" w:rsidRPr="00300A27">
        <w:rPr>
          <w:spacing w:val="0"/>
          <w:szCs w:val="20"/>
          <w:lang w:val="en-US"/>
        </w:rPr>
        <w:t xml:space="preserve"> </w:t>
      </w:r>
      <w:r w:rsidRPr="00300A27">
        <w:rPr>
          <w:spacing w:val="0"/>
          <w:szCs w:val="20"/>
          <w:lang w:val="en-US"/>
        </w:rPr>
        <w:t xml:space="preserve">does not comply “with international standards” and that this was “not only a violation of Peru’s international obligations, but also a violation of the rights to a remedy and to reparation of every victim of </w:t>
      </w:r>
      <w:r w:rsidR="003A1662" w:rsidRPr="00300A27">
        <w:rPr>
          <w:spacing w:val="0"/>
          <w:szCs w:val="20"/>
          <w:lang w:val="en-US"/>
        </w:rPr>
        <w:t>tortur</w:t>
      </w:r>
      <w:r w:rsidRPr="00300A27">
        <w:rPr>
          <w:spacing w:val="0"/>
          <w:szCs w:val="20"/>
          <w:lang w:val="en-US"/>
        </w:rPr>
        <w:t>e.</w:t>
      </w:r>
      <w:r w:rsidR="003A1662" w:rsidRPr="00300A27">
        <w:rPr>
          <w:spacing w:val="0"/>
          <w:szCs w:val="20"/>
          <w:lang w:val="en-US"/>
        </w:rPr>
        <w:t>”</w:t>
      </w:r>
      <w:r w:rsidRPr="00300A27">
        <w:rPr>
          <w:spacing w:val="0"/>
          <w:szCs w:val="20"/>
          <w:lang w:val="en-US"/>
        </w:rPr>
        <w:t xml:space="preserve"> They added that “the lack of d</w:t>
      </w:r>
      <w:r w:rsidR="00CD6F00" w:rsidRPr="00300A27">
        <w:rPr>
          <w:spacing w:val="0"/>
          <w:szCs w:val="20"/>
          <w:lang w:val="en-US"/>
        </w:rPr>
        <w:t>ue diligence in the investigation</w:t>
      </w:r>
      <w:r w:rsidR="003A1662" w:rsidRPr="00300A27">
        <w:rPr>
          <w:spacing w:val="0"/>
          <w:szCs w:val="20"/>
          <w:lang w:val="en-US"/>
        </w:rPr>
        <w:t xml:space="preserve"> […]</w:t>
      </w:r>
      <w:r w:rsidR="005B1C65" w:rsidRPr="00300A27">
        <w:rPr>
          <w:spacing w:val="0"/>
          <w:szCs w:val="20"/>
          <w:lang w:val="en-US"/>
        </w:rPr>
        <w:t xml:space="preserve"> and </w:t>
      </w:r>
      <w:r w:rsidRPr="00300A27">
        <w:rPr>
          <w:spacing w:val="0"/>
          <w:szCs w:val="20"/>
          <w:lang w:val="en-US"/>
        </w:rPr>
        <w:t xml:space="preserve">the discriminatory and offensive treatment to which she was subjected by different members of the system of justice owing to her </w:t>
      </w:r>
      <w:r w:rsidR="00CC6548" w:rsidRPr="00300A27">
        <w:rPr>
          <w:spacing w:val="0"/>
          <w:szCs w:val="20"/>
          <w:lang w:val="en-US"/>
        </w:rPr>
        <w:t>sexual orientation</w:t>
      </w:r>
      <w:r w:rsidR="003A1662" w:rsidRPr="00300A27">
        <w:rPr>
          <w:spacing w:val="0"/>
          <w:szCs w:val="20"/>
          <w:lang w:val="en-US"/>
        </w:rPr>
        <w:t>, constitu</w:t>
      </w:r>
      <w:r w:rsidRPr="00300A27">
        <w:rPr>
          <w:spacing w:val="0"/>
          <w:szCs w:val="20"/>
          <w:lang w:val="en-US"/>
        </w:rPr>
        <w:t>te</w:t>
      </w:r>
      <w:r w:rsidR="005166D1" w:rsidRPr="00300A27">
        <w:rPr>
          <w:spacing w:val="0"/>
          <w:szCs w:val="20"/>
          <w:lang w:val="en-US"/>
        </w:rPr>
        <w:t>d</w:t>
      </w:r>
      <w:r w:rsidRPr="00300A27">
        <w:rPr>
          <w:spacing w:val="0"/>
          <w:szCs w:val="20"/>
          <w:lang w:val="en-US"/>
        </w:rPr>
        <w:t xml:space="preserve"> cruel, inhuman or degrading treatment.</w:t>
      </w:r>
      <w:r w:rsidR="003A1662" w:rsidRPr="00300A27">
        <w:rPr>
          <w:spacing w:val="0"/>
          <w:szCs w:val="20"/>
          <w:lang w:val="en-US"/>
        </w:rPr>
        <w:t>”</w:t>
      </w:r>
      <w:r w:rsidRPr="00300A27">
        <w:rPr>
          <w:spacing w:val="0"/>
          <w:szCs w:val="20"/>
          <w:lang w:val="en-US"/>
        </w:rPr>
        <w:t xml:space="preserve"> Furthermore, owing to the “inadequacy of the criminal definition [of torture], this was not investigated in </w:t>
      </w:r>
      <w:r w:rsidR="005166D1" w:rsidRPr="00300A27">
        <w:rPr>
          <w:spacing w:val="0"/>
          <w:szCs w:val="20"/>
          <w:lang w:val="en-US"/>
        </w:rPr>
        <w:t>this</w:t>
      </w:r>
      <w:r w:rsidRPr="00300A27">
        <w:rPr>
          <w:spacing w:val="0"/>
          <w:szCs w:val="20"/>
          <w:lang w:val="en-US"/>
        </w:rPr>
        <w:t xml:space="preserve"> case.</w:t>
      </w:r>
      <w:r w:rsidR="003A1662" w:rsidRPr="00300A27">
        <w:rPr>
          <w:spacing w:val="0"/>
          <w:szCs w:val="20"/>
          <w:lang w:val="en-US"/>
        </w:rPr>
        <w:t xml:space="preserve">” </w:t>
      </w:r>
      <w:r w:rsidRPr="00300A27">
        <w:rPr>
          <w:spacing w:val="0"/>
          <w:szCs w:val="20"/>
          <w:lang w:val="en-US"/>
        </w:rPr>
        <w:t>I</w:t>
      </w:r>
      <w:r w:rsidR="003A1662" w:rsidRPr="00300A27">
        <w:rPr>
          <w:spacing w:val="0"/>
          <w:szCs w:val="20"/>
          <w:lang w:val="en-US"/>
        </w:rPr>
        <w:t>n particular</w:t>
      </w:r>
      <w:r w:rsidRPr="00300A27">
        <w:rPr>
          <w:spacing w:val="0"/>
          <w:szCs w:val="20"/>
          <w:lang w:val="en-US"/>
        </w:rPr>
        <w:t>, they emphasize</w:t>
      </w:r>
      <w:r w:rsidR="005166D1" w:rsidRPr="00300A27">
        <w:rPr>
          <w:spacing w:val="0"/>
          <w:szCs w:val="20"/>
          <w:lang w:val="en-US"/>
        </w:rPr>
        <w:t>d</w:t>
      </w:r>
      <w:r w:rsidRPr="00300A27">
        <w:rPr>
          <w:spacing w:val="0"/>
          <w:szCs w:val="20"/>
          <w:lang w:val="en-US"/>
        </w:rPr>
        <w:t xml:space="preserve"> that the definition of torture “does not include the </w:t>
      </w:r>
      <w:r w:rsidR="005166D1" w:rsidRPr="00300A27">
        <w:rPr>
          <w:spacing w:val="0"/>
          <w:szCs w:val="20"/>
          <w:lang w:val="en-US"/>
        </w:rPr>
        <w:t>circumstance</w:t>
      </w:r>
      <w:r w:rsidRPr="00300A27">
        <w:rPr>
          <w:spacing w:val="0"/>
          <w:szCs w:val="20"/>
          <w:lang w:val="en-US"/>
        </w:rPr>
        <w:t xml:space="preserve"> that the act is committed in order to discriminate against the victim.”</w:t>
      </w:r>
    </w:p>
    <w:p w14:paraId="15B8BD7B" w14:textId="7D63F18A" w:rsidR="003A1662" w:rsidRPr="00300A27" w:rsidRDefault="005B1C65" w:rsidP="00B243B6">
      <w:pPr>
        <w:pStyle w:val="PrrafodeSentencia"/>
        <w:numPr>
          <w:ilvl w:val="0"/>
          <w:numId w:val="3"/>
        </w:numPr>
        <w:spacing w:before="120" w:after="120"/>
        <w:ind w:left="0" w:firstLine="0"/>
        <w:rPr>
          <w:spacing w:val="0"/>
          <w:lang w:val="en-US"/>
        </w:rPr>
      </w:pPr>
      <w:r w:rsidRPr="00300A27">
        <w:rPr>
          <w:spacing w:val="0"/>
          <w:szCs w:val="20"/>
          <w:lang w:val="en-US"/>
        </w:rPr>
        <w:t>The</w:t>
      </w:r>
      <w:r w:rsidRPr="00300A27">
        <w:rPr>
          <w:b/>
          <w:bCs/>
          <w:i/>
          <w:iCs/>
          <w:spacing w:val="0"/>
          <w:szCs w:val="20"/>
          <w:lang w:val="en-US"/>
        </w:rPr>
        <w:t xml:space="preserve"> State</w:t>
      </w:r>
      <w:r w:rsidR="003A1662" w:rsidRPr="00300A27">
        <w:rPr>
          <w:spacing w:val="0"/>
          <w:szCs w:val="20"/>
          <w:lang w:val="en-US"/>
        </w:rPr>
        <w:t xml:space="preserve"> consider</w:t>
      </w:r>
      <w:r w:rsidR="00EE09F7" w:rsidRPr="00300A27">
        <w:rPr>
          <w:spacing w:val="0"/>
          <w:szCs w:val="20"/>
          <w:lang w:val="en-US"/>
        </w:rPr>
        <w:t>ed</w:t>
      </w:r>
      <w:r w:rsidR="003A1662" w:rsidRPr="00300A27">
        <w:rPr>
          <w:spacing w:val="0"/>
          <w:szCs w:val="20"/>
          <w:lang w:val="en-US"/>
        </w:rPr>
        <w:t xml:space="preserve"> </w:t>
      </w:r>
      <w:r w:rsidR="00EE09F7" w:rsidRPr="00300A27">
        <w:rPr>
          <w:spacing w:val="0"/>
          <w:szCs w:val="20"/>
          <w:lang w:val="en-US"/>
        </w:rPr>
        <w:t>that,</w:t>
      </w:r>
      <w:r w:rsidR="003A1662" w:rsidRPr="00300A27">
        <w:rPr>
          <w:spacing w:val="0"/>
          <w:szCs w:val="20"/>
          <w:lang w:val="en-US"/>
        </w:rPr>
        <w:t xml:space="preserve"> “</w:t>
      </w:r>
      <w:r w:rsidR="00EE09F7" w:rsidRPr="00300A27">
        <w:rPr>
          <w:spacing w:val="0"/>
          <w:szCs w:val="20"/>
          <w:lang w:val="en-US"/>
        </w:rPr>
        <w:t xml:space="preserve">during the criminal proceedings, </w:t>
      </w:r>
      <w:r w:rsidR="003A1662" w:rsidRPr="00300A27">
        <w:rPr>
          <w:spacing w:val="0"/>
          <w:szCs w:val="20"/>
          <w:lang w:val="en-US"/>
        </w:rPr>
        <w:t xml:space="preserve">Azul Rojas Marín </w:t>
      </w:r>
      <w:r w:rsidR="00120E88" w:rsidRPr="00300A27">
        <w:rPr>
          <w:spacing w:val="0"/>
          <w:szCs w:val="20"/>
          <w:lang w:val="en-US"/>
        </w:rPr>
        <w:t>[…]</w:t>
      </w:r>
      <w:r w:rsidR="003A1662" w:rsidRPr="00300A27">
        <w:rPr>
          <w:spacing w:val="0"/>
          <w:szCs w:val="20"/>
          <w:lang w:val="en-US"/>
        </w:rPr>
        <w:t xml:space="preserve"> </w:t>
      </w:r>
      <w:r w:rsidR="00EE09F7" w:rsidRPr="00300A27">
        <w:rPr>
          <w:spacing w:val="0"/>
          <w:szCs w:val="20"/>
          <w:lang w:val="en-US"/>
        </w:rPr>
        <w:t xml:space="preserve">was </w:t>
      </w:r>
      <w:r w:rsidR="00B22985" w:rsidRPr="00300A27">
        <w:rPr>
          <w:spacing w:val="0"/>
          <w:szCs w:val="20"/>
          <w:lang w:val="en-US"/>
        </w:rPr>
        <w:t>h</w:t>
      </w:r>
      <w:r w:rsidR="00EE09F7" w:rsidRPr="00300A27">
        <w:rPr>
          <w:spacing w:val="0"/>
          <w:szCs w:val="20"/>
          <w:lang w:val="en-US"/>
        </w:rPr>
        <w:t xml:space="preserve">eard with the due guarantees and within a reasonable time by a competent and independent </w:t>
      </w:r>
      <w:r w:rsidR="00B22985" w:rsidRPr="00300A27">
        <w:rPr>
          <w:spacing w:val="0"/>
          <w:szCs w:val="20"/>
          <w:lang w:val="en-US"/>
        </w:rPr>
        <w:t xml:space="preserve">court, previously established by law” and had access to “simple, prompt and effective remedies.” It indicated that it was false that </w:t>
      </w:r>
      <w:r w:rsidR="00B22985" w:rsidRPr="00300A27">
        <w:rPr>
          <w:spacing w:val="0"/>
          <w:lang w:val="en-US"/>
        </w:rPr>
        <w:t xml:space="preserve">Azul Rojas Marín had gone to the Casa Grande Police Station to file a criminal complaint on February 25 and 26, 2008. It underlined that “there </w:t>
      </w:r>
      <w:r w:rsidR="005166D1" w:rsidRPr="00300A27">
        <w:rPr>
          <w:spacing w:val="0"/>
          <w:lang w:val="en-US"/>
        </w:rPr>
        <w:t>is</w:t>
      </w:r>
      <w:r w:rsidR="00B22985" w:rsidRPr="00300A27">
        <w:rPr>
          <w:spacing w:val="0"/>
          <w:lang w:val="en-US"/>
        </w:rPr>
        <w:t xml:space="preserve"> no reason to conclude that the rules established by the Convention and the case law of the Inter-American Court </w:t>
      </w:r>
      <w:r w:rsidR="005166D1" w:rsidRPr="00300A27">
        <w:rPr>
          <w:spacing w:val="0"/>
          <w:lang w:val="en-US"/>
        </w:rPr>
        <w:t>make it necessary</w:t>
      </w:r>
      <w:r w:rsidR="00B22985" w:rsidRPr="00300A27">
        <w:rPr>
          <w:spacing w:val="0"/>
          <w:lang w:val="en-US"/>
        </w:rPr>
        <w:t xml:space="preserve"> to </w:t>
      </w:r>
      <w:r w:rsidR="005166D1" w:rsidRPr="00300A27">
        <w:rPr>
          <w:spacing w:val="0"/>
          <w:lang w:val="en-US"/>
        </w:rPr>
        <w:t>invalidate</w:t>
      </w:r>
      <w:r w:rsidR="00B22985" w:rsidRPr="00300A27">
        <w:rPr>
          <w:spacing w:val="0"/>
          <w:lang w:val="en-US"/>
        </w:rPr>
        <w:t xml:space="preserve"> all the evidence obtained by the police in certain c</w:t>
      </w:r>
      <w:r w:rsidR="005166D1" w:rsidRPr="00300A27">
        <w:rPr>
          <w:spacing w:val="0"/>
          <w:lang w:val="en-US"/>
        </w:rPr>
        <w:t>ircumstance</w:t>
      </w:r>
      <w:r w:rsidR="00B22985" w:rsidRPr="00300A27">
        <w:rPr>
          <w:spacing w:val="0"/>
          <w:lang w:val="en-US"/>
        </w:rPr>
        <w:t xml:space="preserve">s.” The State also provided information on the second </w:t>
      </w:r>
      <w:r w:rsidR="00B22985" w:rsidRPr="00300A27">
        <w:rPr>
          <w:spacing w:val="0"/>
          <w:szCs w:val="20"/>
          <w:lang w:val="en-US"/>
        </w:rPr>
        <w:t>i</w:t>
      </w:r>
      <w:r w:rsidR="00737D26" w:rsidRPr="00300A27">
        <w:rPr>
          <w:spacing w:val="0"/>
          <w:szCs w:val="20"/>
          <w:lang w:val="en-US"/>
        </w:rPr>
        <w:t>nvestigation of the facts</w:t>
      </w:r>
      <w:r w:rsidR="00C30379" w:rsidRPr="00300A27">
        <w:rPr>
          <w:spacing w:val="0"/>
          <w:szCs w:val="20"/>
          <w:lang w:val="en-US"/>
        </w:rPr>
        <w:t xml:space="preserve"> </w:t>
      </w:r>
      <w:r w:rsidR="00B22985" w:rsidRPr="00300A27">
        <w:rPr>
          <w:spacing w:val="0"/>
          <w:szCs w:val="20"/>
          <w:lang w:val="en-US"/>
        </w:rPr>
        <w:t xml:space="preserve">that the Second Supraprovincial Prosecutor ordered on November 20, </w:t>
      </w:r>
      <w:r w:rsidR="00C30379" w:rsidRPr="00300A27">
        <w:rPr>
          <w:spacing w:val="0"/>
          <w:szCs w:val="20"/>
          <w:lang w:val="en-US"/>
        </w:rPr>
        <w:t xml:space="preserve">2018. </w:t>
      </w:r>
    </w:p>
    <w:p w14:paraId="6B49E6CE" w14:textId="46AB8AE7" w:rsidR="003A1662" w:rsidRPr="00300A27" w:rsidRDefault="009B35A1" w:rsidP="00B243B6">
      <w:pPr>
        <w:pStyle w:val="Ttulo2"/>
        <w:numPr>
          <w:ilvl w:val="0"/>
          <w:numId w:val="21"/>
        </w:numPr>
        <w:tabs>
          <w:tab w:val="clear" w:pos="1134"/>
          <w:tab w:val="left" w:pos="567"/>
        </w:tabs>
        <w:ind w:left="1134" w:hanging="567"/>
        <w:rPr>
          <w:lang w:val="en-US"/>
        </w:rPr>
      </w:pPr>
      <w:bookmarkStart w:id="137" w:name="_Toc32394176"/>
      <w:bookmarkStart w:id="138" w:name="_Toc36823494"/>
      <w:r w:rsidRPr="00300A27">
        <w:rPr>
          <w:lang w:val="en-US"/>
        </w:rPr>
        <w:t>Considerations</w:t>
      </w:r>
      <w:r w:rsidR="005B1C65" w:rsidRPr="00300A27">
        <w:rPr>
          <w:lang w:val="en-US"/>
        </w:rPr>
        <w:t xml:space="preserve"> of the Court</w:t>
      </w:r>
      <w:bookmarkEnd w:id="137"/>
      <w:bookmarkEnd w:id="138"/>
    </w:p>
    <w:p w14:paraId="0D2865D9" w14:textId="288B785E" w:rsidR="003A1662" w:rsidRPr="00300A27" w:rsidRDefault="005B1C65" w:rsidP="00B243B6">
      <w:pPr>
        <w:pStyle w:val="PrrafodeSentencia"/>
        <w:numPr>
          <w:ilvl w:val="0"/>
          <w:numId w:val="3"/>
        </w:numPr>
        <w:spacing w:before="120" w:after="120"/>
        <w:ind w:left="0" w:firstLine="0"/>
        <w:rPr>
          <w:spacing w:val="0"/>
          <w:lang w:val="en-US"/>
        </w:rPr>
      </w:pPr>
      <w:r w:rsidRPr="00300A27">
        <w:rPr>
          <w:spacing w:val="0"/>
          <w:lang w:val="en-US"/>
        </w:rPr>
        <w:t>The Court</w:t>
      </w:r>
      <w:r w:rsidR="003A1662" w:rsidRPr="00300A27">
        <w:rPr>
          <w:spacing w:val="0"/>
          <w:lang w:val="en-US"/>
        </w:rPr>
        <w:t xml:space="preserve"> ha</w:t>
      </w:r>
      <w:r w:rsidR="00B22985" w:rsidRPr="00300A27">
        <w:rPr>
          <w:spacing w:val="0"/>
          <w:lang w:val="en-US"/>
        </w:rPr>
        <w:t>s established that, pursuant to</w:t>
      </w:r>
      <w:r w:rsidR="003A1662" w:rsidRPr="00300A27">
        <w:rPr>
          <w:spacing w:val="0"/>
          <w:lang w:val="en-US"/>
        </w:rPr>
        <w:t xml:space="preserve"> </w:t>
      </w:r>
      <w:r w:rsidRPr="00300A27">
        <w:rPr>
          <w:spacing w:val="0"/>
          <w:lang w:val="en-US"/>
        </w:rPr>
        <w:t>the American Convention</w:t>
      </w:r>
      <w:r w:rsidR="003A1662" w:rsidRPr="00300A27">
        <w:rPr>
          <w:spacing w:val="0"/>
          <w:lang w:val="en-US"/>
        </w:rPr>
        <w:t xml:space="preserve">, </w:t>
      </w:r>
      <w:r w:rsidR="0083239E" w:rsidRPr="00300A27">
        <w:rPr>
          <w:spacing w:val="0"/>
          <w:lang w:val="en-US"/>
        </w:rPr>
        <w:t xml:space="preserve">the </w:t>
      </w:r>
      <w:r w:rsidR="00B22985" w:rsidRPr="00300A27">
        <w:rPr>
          <w:spacing w:val="0"/>
          <w:lang w:val="en-US"/>
        </w:rPr>
        <w:t xml:space="preserve">States Parties are obliged to provide effective judicial remedies to the victims of human rights violations </w:t>
      </w:r>
      <w:r w:rsidR="003A1662" w:rsidRPr="00300A27">
        <w:rPr>
          <w:spacing w:val="0"/>
          <w:lang w:val="en-US"/>
        </w:rPr>
        <w:t xml:space="preserve"> (</w:t>
      </w:r>
      <w:r w:rsidR="009B35A1" w:rsidRPr="00300A27">
        <w:rPr>
          <w:spacing w:val="0"/>
          <w:szCs w:val="20"/>
          <w:lang w:val="en-US"/>
        </w:rPr>
        <w:t>Article</w:t>
      </w:r>
      <w:r w:rsidR="003A1662" w:rsidRPr="00300A27">
        <w:rPr>
          <w:spacing w:val="0"/>
          <w:szCs w:val="20"/>
          <w:lang w:val="en-US"/>
        </w:rPr>
        <w:t xml:space="preserve"> 25), </w:t>
      </w:r>
      <w:r w:rsidR="00B22985" w:rsidRPr="00300A27">
        <w:rPr>
          <w:spacing w:val="0"/>
          <w:szCs w:val="20"/>
          <w:lang w:val="en-US"/>
        </w:rPr>
        <w:t xml:space="preserve">and these remedies must be substantiated in keeping with the rules of due process of law </w:t>
      </w:r>
      <w:r w:rsidR="003A1662" w:rsidRPr="00300A27">
        <w:rPr>
          <w:spacing w:val="0"/>
          <w:szCs w:val="20"/>
          <w:lang w:val="en-US"/>
        </w:rPr>
        <w:t>(</w:t>
      </w:r>
      <w:r w:rsidR="009B35A1" w:rsidRPr="00300A27">
        <w:rPr>
          <w:spacing w:val="0"/>
          <w:szCs w:val="20"/>
          <w:lang w:val="en-US"/>
        </w:rPr>
        <w:t>Article</w:t>
      </w:r>
      <w:r w:rsidR="003A1662" w:rsidRPr="00300A27">
        <w:rPr>
          <w:spacing w:val="0"/>
          <w:szCs w:val="20"/>
          <w:lang w:val="en-US"/>
        </w:rPr>
        <w:t xml:space="preserve"> </w:t>
      </w:r>
      <w:r w:rsidR="00BA3C7F" w:rsidRPr="00300A27">
        <w:rPr>
          <w:spacing w:val="0"/>
          <w:szCs w:val="20"/>
          <w:lang w:val="en-US"/>
        </w:rPr>
        <w:t>8(1)</w:t>
      </w:r>
      <w:r w:rsidR="003A1662" w:rsidRPr="00300A27">
        <w:rPr>
          <w:spacing w:val="0"/>
          <w:szCs w:val="20"/>
          <w:lang w:val="en-US"/>
        </w:rPr>
        <w:t xml:space="preserve">), </w:t>
      </w:r>
      <w:r w:rsidR="00B22985" w:rsidRPr="00300A27">
        <w:rPr>
          <w:spacing w:val="0"/>
          <w:szCs w:val="20"/>
          <w:lang w:val="en-US"/>
        </w:rPr>
        <w:t xml:space="preserve">all of this within the general obligation of the States to ensure the free and full exercise of the rights recognized in </w:t>
      </w:r>
      <w:r w:rsidRPr="00300A27">
        <w:rPr>
          <w:spacing w:val="0"/>
          <w:szCs w:val="20"/>
          <w:lang w:val="en-US"/>
        </w:rPr>
        <w:t>the Convention</w:t>
      </w:r>
      <w:r w:rsidR="003A1662" w:rsidRPr="00300A27">
        <w:rPr>
          <w:spacing w:val="0"/>
          <w:szCs w:val="20"/>
          <w:lang w:val="en-US"/>
        </w:rPr>
        <w:t xml:space="preserve"> </w:t>
      </w:r>
      <w:r w:rsidR="00B22985" w:rsidRPr="00300A27">
        <w:rPr>
          <w:spacing w:val="0"/>
          <w:szCs w:val="20"/>
          <w:lang w:val="en-US"/>
        </w:rPr>
        <w:t xml:space="preserve">to all persons subject to their jurisdiction </w:t>
      </w:r>
      <w:r w:rsidR="003A1662" w:rsidRPr="00300A27">
        <w:rPr>
          <w:spacing w:val="0"/>
          <w:szCs w:val="20"/>
          <w:lang w:val="en-US"/>
        </w:rPr>
        <w:t>(</w:t>
      </w:r>
      <w:r w:rsidR="009B35A1" w:rsidRPr="00300A27">
        <w:rPr>
          <w:spacing w:val="0"/>
          <w:szCs w:val="20"/>
          <w:lang w:val="en-US"/>
        </w:rPr>
        <w:t>Article</w:t>
      </w:r>
      <w:r w:rsidR="003A1662" w:rsidRPr="00300A27">
        <w:rPr>
          <w:spacing w:val="0"/>
          <w:szCs w:val="20"/>
          <w:lang w:val="en-US"/>
        </w:rPr>
        <w:t xml:space="preserve"> </w:t>
      </w:r>
      <w:r w:rsidR="00BA3C7F" w:rsidRPr="00300A27">
        <w:rPr>
          <w:spacing w:val="0"/>
          <w:szCs w:val="20"/>
          <w:lang w:val="en-US"/>
        </w:rPr>
        <w:t>1(1)</w:t>
      </w:r>
      <w:r w:rsidR="003A1662" w:rsidRPr="00300A27">
        <w:rPr>
          <w:spacing w:val="0"/>
          <w:szCs w:val="20"/>
          <w:lang w:val="en-US"/>
        </w:rPr>
        <w:t>)</w:t>
      </w:r>
      <w:r w:rsidR="00DC34A7" w:rsidRPr="00300A27">
        <w:rPr>
          <w:spacing w:val="0"/>
          <w:szCs w:val="20"/>
          <w:lang w:val="en-US"/>
        </w:rPr>
        <w:t>.</w:t>
      </w:r>
      <w:r w:rsidR="003A1662" w:rsidRPr="00300A27">
        <w:rPr>
          <w:rStyle w:val="Refdenotaalpie"/>
          <w:spacing w:val="0"/>
          <w:lang w:val="en-US"/>
        </w:rPr>
        <w:footnoteReference w:id="217"/>
      </w:r>
      <w:r w:rsidR="00DC34A7" w:rsidRPr="00300A27">
        <w:rPr>
          <w:spacing w:val="0"/>
          <w:szCs w:val="20"/>
          <w:lang w:val="en-US"/>
        </w:rPr>
        <w:t xml:space="preserve"> It has also indicated that the right of access to justice must ensure, within a reasonable time, the right of the presumed victims o</w:t>
      </w:r>
      <w:r w:rsidR="0083239E" w:rsidRPr="00300A27">
        <w:rPr>
          <w:spacing w:val="0"/>
          <w:szCs w:val="20"/>
          <w:lang w:val="en-US"/>
        </w:rPr>
        <w:t>r</w:t>
      </w:r>
      <w:r w:rsidR="00DC34A7" w:rsidRPr="00300A27">
        <w:rPr>
          <w:spacing w:val="0"/>
          <w:szCs w:val="20"/>
          <w:lang w:val="en-US"/>
        </w:rPr>
        <w:t xml:space="preserve"> their family members that everything necessary is done to </w:t>
      </w:r>
      <w:r w:rsidR="0083239E" w:rsidRPr="00300A27">
        <w:rPr>
          <w:spacing w:val="0"/>
          <w:szCs w:val="20"/>
          <w:lang w:val="en-US"/>
        </w:rPr>
        <w:t>discover</w:t>
      </w:r>
      <w:r w:rsidR="00DC34A7" w:rsidRPr="00300A27">
        <w:rPr>
          <w:spacing w:val="0"/>
          <w:szCs w:val="20"/>
          <w:lang w:val="en-US"/>
        </w:rPr>
        <w:t xml:space="preserve"> the truth about what happened and to investigate, prosecute and punish, as appropriate, those found responsible.</w:t>
      </w:r>
      <w:r w:rsidR="003A1662" w:rsidRPr="00300A27">
        <w:rPr>
          <w:rStyle w:val="Refdenotaalpie"/>
          <w:spacing w:val="0"/>
          <w:lang w:val="en-US"/>
        </w:rPr>
        <w:footnoteReference w:id="218"/>
      </w:r>
    </w:p>
    <w:p w14:paraId="61D7F6CB" w14:textId="52446735" w:rsidR="003A1662" w:rsidRPr="00300A27" w:rsidRDefault="00DC34A7" w:rsidP="00B243B6">
      <w:pPr>
        <w:pStyle w:val="PrrafodeSentencia"/>
        <w:numPr>
          <w:ilvl w:val="0"/>
          <w:numId w:val="3"/>
        </w:numPr>
        <w:spacing w:before="120" w:after="120"/>
        <w:ind w:left="0" w:firstLine="0"/>
        <w:rPr>
          <w:spacing w:val="0"/>
          <w:lang w:val="en-US"/>
        </w:rPr>
      </w:pPr>
      <w:r w:rsidRPr="00300A27">
        <w:rPr>
          <w:spacing w:val="0"/>
          <w:lang w:val="en-US"/>
        </w:rPr>
        <w:t xml:space="preserve">The Court has also indicated that </w:t>
      </w:r>
      <w:r w:rsidR="005B1C65" w:rsidRPr="00300A27">
        <w:rPr>
          <w:spacing w:val="0"/>
          <w:lang w:val="en-US"/>
        </w:rPr>
        <w:t>Article</w:t>
      </w:r>
      <w:r w:rsidR="003A1662" w:rsidRPr="00300A27">
        <w:rPr>
          <w:spacing w:val="0"/>
          <w:lang w:val="en-US"/>
        </w:rPr>
        <w:t xml:space="preserve"> 8</w:t>
      </w:r>
      <w:r w:rsidR="005B1C65" w:rsidRPr="00300A27">
        <w:rPr>
          <w:spacing w:val="0"/>
          <w:lang w:val="en-US"/>
        </w:rPr>
        <w:t xml:space="preserve"> of the </w:t>
      </w:r>
      <w:r w:rsidR="00F816B4" w:rsidRPr="00300A27">
        <w:rPr>
          <w:spacing w:val="0"/>
          <w:lang w:val="en-US"/>
        </w:rPr>
        <w:t>Inter-American Convention to Prevent and Punish Torture</w:t>
      </w:r>
      <w:r w:rsidR="003A1662" w:rsidRPr="00300A27">
        <w:rPr>
          <w:spacing w:val="0"/>
          <w:lang w:val="en-US"/>
        </w:rPr>
        <w:t xml:space="preserve"> </w:t>
      </w:r>
      <w:r w:rsidRPr="00300A27">
        <w:rPr>
          <w:spacing w:val="0"/>
          <w:lang w:val="en-US"/>
        </w:rPr>
        <w:t>clearly establishes that, “</w:t>
      </w:r>
      <w:r w:rsidRPr="00300A27">
        <w:rPr>
          <w:rFonts w:cs="Tahoma"/>
          <w:spacing w:val="0"/>
          <w:szCs w:val="20"/>
          <w:lang w:val="en-US"/>
        </w:rPr>
        <w:t xml:space="preserve">if there is an accusation or well-grounded reason to believe that an act of torture has been committed within their jurisdiction, the States Parties shall guarantee that their respective authorities will proceed, </w:t>
      </w:r>
      <w:r w:rsidRPr="00300A27">
        <w:rPr>
          <w:rFonts w:cs="Tahoma"/>
          <w:i/>
          <w:iCs/>
          <w:spacing w:val="0"/>
          <w:szCs w:val="20"/>
          <w:lang w:val="en-US"/>
        </w:rPr>
        <w:t>ex officio</w:t>
      </w:r>
      <w:r w:rsidRPr="00300A27">
        <w:rPr>
          <w:rFonts w:cs="Tahoma"/>
          <w:spacing w:val="0"/>
          <w:szCs w:val="20"/>
          <w:lang w:val="en-US"/>
        </w:rPr>
        <w:t>, and immediately to conduct an investigation into the case and to initiate, whenever appropriate, the corresponding criminal proceedings.”</w:t>
      </w:r>
      <w:r w:rsidR="003A1662" w:rsidRPr="00300A27">
        <w:rPr>
          <w:rStyle w:val="Refdenotaalpie"/>
          <w:spacing w:val="0"/>
          <w:lang w:val="en-US"/>
        </w:rPr>
        <w:footnoteReference w:id="219"/>
      </w:r>
    </w:p>
    <w:p w14:paraId="3523B618" w14:textId="02F8B11A" w:rsidR="003A1662" w:rsidRPr="00300A27" w:rsidRDefault="003A1662" w:rsidP="00B243B6">
      <w:pPr>
        <w:pStyle w:val="PrrafodeSentencia"/>
        <w:numPr>
          <w:ilvl w:val="0"/>
          <w:numId w:val="3"/>
        </w:numPr>
        <w:spacing w:before="120" w:after="120"/>
        <w:ind w:left="0" w:firstLine="0"/>
        <w:rPr>
          <w:spacing w:val="0"/>
          <w:lang w:val="en-US"/>
        </w:rPr>
      </w:pPr>
      <w:r w:rsidRPr="00300A27">
        <w:rPr>
          <w:spacing w:val="0"/>
          <w:lang w:val="en-US"/>
        </w:rPr>
        <w:t>T</w:t>
      </w:r>
      <w:r w:rsidR="00DC34A7" w:rsidRPr="00300A27">
        <w:rPr>
          <w:spacing w:val="0"/>
          <w:lang w:val="en-US"/>
        </w:rPr>
        <w:t>aking into account the a</w:t>
      </w:r>
      <w:r w:rsidR="00FD36FD" w:rsidRPr="00300A27">
        <w:rPr>
          <w:spacing w:val="0"/>
          <w:lang w:val="en-US"/>
        </w:rPr>
        <w:t xml:space="preserve">rguments of the </w:t>
      </w:r>
      <w:r w:rsidR="00DE1419" w:rsidRPr="00300A27">
        <w:rPr>
          <w:spacing w:val="0"/>
          <w:lang w:val="en-US"/>
        </w:rPr>
        <w:t xml:space="preserve">parties and of the </w:t>
      </w:r>
      <w:r w:rsidR="00C3087E" w:rsidRPr="00300A27">
        <w:rPr>
          <w:spacing w:val="0"/>
          <w:lang w:val="en-US"/>
        </w:rPr>
        <w:t>Commission</w:t>
      </w:r>
      <w:r w:rsidRPr="00300A27">
        <w:rPr>
          <w:spacing w:val="0"/>
          <w:lang w:val="en-US"/>
        </w:rPr>
        <w:t xml:space="preserve">, </w:t>
      </w:r>
      <w:r w:rsidR="005B1C65" w:rsidRPr="00300A27">
        <w:rPr>
          <w:spacing w:val="0"/>
          <w:lang w:val="en-US"/>
        </w:rPr>
        <w:t>the Court</w:t>
      </w:r>
      <w:r w:rsidRPr="00300A27">
        <w:rPr>
          <w:spacing w:val="0"/>
          <w:lang w:val="en-US"/>
        </w:rPr>
        <w:t xml:space="preserve"> </w:t>
      </w:r>
      <w:r w:rsidR="00DC34A7" w:rsidRPr="00300A27">
        <w:rPr>
          <w:spacing w:val="0"/>
          <w:lang w:val="en-US"/>
        </w:rPr>
        <w:t>will proceed to examine</w:t>
      </w:r>
      <w:r w:rsidRPr="00300A27">
        <w:rPr>
          <w:spacing w:val="0"/>
          <w:lang w:val="en-US"/>
        </w:rPr>
        <w:t xml:space="preserve">: </w:t>
      </w:r>
      <w:r w:rsidR="00DC34A7" w:rsidRPr="00300A27">
        <w:rPr>
          <w:spacing w:val="0"/>
          <w:lang w:val="en-US"/>
        </w:rPr>
        <w:t>(</w:t>
      </w:r>
      <w:r w:rsidRPr="00300A27">
        <w:rPr>
          <w:spacing w:val="0"/>
          <w:lang w:val="en-US"/>
        </w:rPr>
        <w:t xml:space="preserve">1) </w:t>
      </w:r>
      <w:r w:rsidR="00DC34A7" w:rsidRPr="00300A27">
        <w:rPr>
          <w:spacing w:val="0"/>
          <w:lang w:val="en-US"/>
        </w:rPr>
        <w:t>the</w:t>
      </w:r>
      <w:r w:rsidRPr="00300A27">
        <w:rPr>
          <w:spacing w:val="0"/>
          <w:lang w:val="en-US"/>
        </w:rPr>
        <w:t xml:space="preserve"> </w:t>
      </w:r>
      <w:r w:rsidR="00DC34A7" w:rsidRPr="00300A27">
        <w:rPr>
          <w:spacing w:val="0"/>
          <w:lang w:val="en-US"/>
        </w:rPr>
        <w:t>o</w:t>
      </w:r>
      <w:r w:rsidR="00CD6F00" w:rsidRPr="00300A27">
        <w:rPr>
          <w:spacing w:val="0"/>
          <w:lang w:val="en-US"/>
        </w:rPr>
        <w:t>bligation to receive the complaint</w:t>
      </w:r>
      <w:r w:rsidRPr="00300A27">
        <w:rPr>
          <w:spacing w:val="0"/>
          <w:lang w:val="en-US"/>
        </w:rPr>
        <w:t xml:space="preserve">; </w:t>
      </w:r>
      <w:r w:rsidR="00DC34A7" w:rsidRPr="00300A27">
        <w:rPr>
          <w:spacing w:val="0"/>
          <w:lang w:val="en-US"/>
        </w:rPr>
        <w:t>(</w:t>
      </w:r>
      <w:r w:rsidRPr="00300A27">
        <w:rPr>
          <w:spacing w:val="0"/>
          <w:lang w:val="en-US"/>
        </w:rPr>
        <w:t xml:space="preserve">2) </w:t>
      </w:r>
      <w:r w:rsidR="00DC34A7" w:rsidRPr="00300A27">
        <w:rPr>
          <w:spacing w:val="0"/>
          <w:lang w:val="en-US"/>
        </w:rPr>
        <w:t>the d</w:t>
      </w:r>
      <w:r w:rsidR="00CD6F00" w:rsidRPr="00300A27">
        <w:rPr>
          <w:spacing w:val="0"/>
          <w:lang w:val="en-US"/>
        </w:rPr>
        <w:t>ue diligence in the investigation</w:t>
      </w:r>
      <w:r w:rsidRPr="00300A27">
        <w:rPr>
          <w:spacing w:val="0"/>
          <w:lang w:val="en-US"/>
        </w:rPr>
        <w:t xml:space="preserve">; </w:t>
      </w:r>
      <w:r w:rsidR="00DC34A7" w:rsidRPr="00300A27">
        <w:rPr>
          <w:spacing w:val="0"/>
          <w:lang w:val="en-US"/>
        </w:rPr>
        <w:t>(</w:t>
      </w:r>
      <w:r w:rsidRPr="00300A27">
        <w:rPr>
          <w:spacing w:val="0"/>
          <w:lang w:val="en-US"/>
        </w:rPr>
        <w:t xml:space="preserve">3) </w:t>
      </w:r>
      <w:r w:rsidR="00DC34A7" w:rsidRPr="00300A27">
        <w:rPr>
          <w:spacing w:val="0"/>
          <w:lang w:val="en-US"/>
        </w:rPr>
        <w:t xml:space="preserve">the failure to investigate torture, </w:t>
      </w:r>
      <w:r w:rsidR="005B1C65" w:rsidRPr="00300A27">
        <w:rPr>
          <w:spacing w:val="0"/>
          <w:lang w:val="en-US"/>
        </w:rPr>
        <w:t xml:space="preserve">and </w:t>
      </w:r>
      <w:r w:rsidR="00DC34A7" w:rsidRPr="00300A27">
        <w:rPr>
          <w:spacing w:val="0"/>
          <w:lang w:val="en-US"/>
        </w:rPr>
        <w:t>(</w:t>
      </w:r>
      <w:r w:rsidRPr="00300A27">
        <w:rPr>
          <w:spacing w:val="0"/>
          <w:lang w:val="en-US"/>
        </w:rPr>
        <w:t>4)</w:t>
      </w:r>
      <w:r w:rsidR="003273DB" w:rsidRPr="00300A27">
        <w:rPr>
          <w:spacing w:val="0"/>
          <w:lang w:val="en-US"/>
        </w:rPr>
        <w:t xml:space="preserve"> </w:t>
      </w:r>
      <w:r w:rsidR="00DC34A7" w:rsidRPr="00300A27">
        <w:rPr>
          <w:spacing w:val="0"/>
          <w:lang w:val="en-US"/>
        </w:rPr>
        <w:t>t</w:t>
      </w:r>
      <w:r w:rsidR="00CD6F00" w:rsidRPr="00300A27">
        <w:rPr>
          <w:spacing w:val="0"/>
          <w:lang w:val="en-US"/>
        </w:rPr>
        <w:t>he dismissal decision</w:t>
      </w:r>
      <w:r w:rsidR="003273DB" w:rsidRPr="00300A27">
        <w:rPr>
          <w:spacing w:val="0"/>
          <w:lang w:val="en-US"/>
        </w:rPr>
        <w:t>.</w:t>
      </w:r>
    </w:p>
    <w:p w14:paraId="360D8339" w14:textId="6200AA62" w:rsidR="003A1662" w:rsidRPr="00300A27" w:rsidRDefault="003A1662" w:rsidP="00B243B6">
      <w:pPr>
        <w:pStyle w:val="Ttulo3"/>
        <w:rPr>
          <w:lang w:val="en-US"/>
        </w:rPr>
      </w:pPr>
      <w:bookmarkStart w:id="139" w:name="_Toc32394177"/>
      <w:bookmarkStart w:id="140" w:name="_Toc36823495"/>
      <w:r w:rsidRPr="00300A27">
        <w:rPr>
          <w:lang w:val="en-US"/>
        </w:rPr>
        <w:t>B.1</w:t>
      </w:r>
      <w:r w:rsidRPr="00300A27">
        <w:rPr>
          <w:lang w:val="en-US"/>
        </w:rPr>
        <w:tab/>
      </w:r>
      <w:r w:rsidR="00CD6F00" w:rsidRPr="00300A27">
        <w:rPr>
          <w:lang w:val="en-US"/>
        </w:rPr>
        <w:t>Obligation to receive the complaint</w:t>
      </w:r>
      <w:bookmarkEnd w:id="139"/>
      <w:bookmarkEnd w:id="140"/>
    </w:p>
    <w:p w14:paraId="07A80802" w14:textId="200277A4" w:rsidR="009924B5" w:rsidRPr="00300A27" w:rsidRDefault="005B1C65" w:rsidP="00B243B6">
      <w:pPr>
        <w:pStyle w:val="PrrafodeSentencia"/>
        <w:numPr>
          <w:ilvl w:val="0"/>
          <w:numId w:val="3"/>
        </w:numPr>
        <w:spacing w:before="120" w:after="120"/>
        <w:ind w:left="0" w:firstLine="0"/>
        <w:rPr>
          <w:lang w:val="en-US"/>
        </w:rPr>
      </w:pPr>
      <w:r w:rsidRPr="00300A27">
        <w:rPr>
          <w:lang w:val="en-US"/>
        </w:rPr>
        <w:t>The Court</w:t>
      </w:r>
      <w:r w:rsidR="00462E5F" w:rsidRPr="00300A27">
        <w:rPr>
          <w:lang w:val="en-US"/>
        </w:rPr>
        <w:t xml:space="preserve"> </w:t>
      </w:r>
      <w:r w:rsidR="00DC34A7" w:rsidRPr="00300A27">
        <w:rPr>
          <w:lang w:val="en-US"/>
        </w:rPr>
        <w:t>finds it essential that police and jurisdictional agencies offer accessible mechanisms for filing complaints and that these are well publicized.</w:t>
      </w:r>
      <w:r w:rsidR="00462E5F" w:rsidRPr="00300A27">
        <w:rPr>
          <w:rStyle w:val="Refdenotaalpie"/>
          <w:lang w:val="en-US"/>
        </w:rPr>
        <w:footnoteReference w:id="220"/>
      </w:r>
      <w:r w:rsidR="00462E5F" w:rsidRPr="00300A27">
        <w:rPr>
          <w:lang w:val="en-US"/>
        </w:rPr>
        <w:t xml:space="preserve"> </w:t>
      </w:r>
      <w:r w:rsidR="00DC34A7" w:rsidRPr="00300A27">
        <w:rPr>
          <w:lang w:val="en-US"/>
        </w:rPr>
        <w:t>In this case</w:t>
      </w:r>
      <w:r w:rsidR="00462E5F" w:rsidRPr="00300A27">
        <w:rPr>
          <w:lang w:val="en-US"/>
        </w:rPr>
        <w:t xml:space="preserve">, </w:t>
      </w:r>
      <w:r w:rsidR="00834A1B" w:rsidRPr="00300A27">
        <w:rPr>
          <w:szCs w:val="20"/>
          <w:lang w:val="en-US"/>
        </w:rPr>
        <w:t>the presumed victim</w:t>
      </w:r>
      <w:r w:rsidR="003A1662" w:rsidRPr="00300A27">
        <w:rPr>
          <w:szCs w:val="20"/>
          <w:lang w:val="en-US"/>
        </w:rPr>
        <w:t xml:space="preserve"> ha</w:t>
      </w:r>
      <w:r w:rsidR="00DC34A7" w:rsidRPr="00300A27">
        <w:rPr>
          <w:szCs w:val="20"/>
          <w:lang w:val="en-US"/>
        </w:rPr>
        <w:t xml:space="preserve">s stated that, </w:t>
      </w:r>
      <w:r w:rsidR="00910D8E" w:rsidRPr="00300A27">
        <w:rPr>
          <w:szCs w:val="20"/>
          <w:lang w:val="en-US"/>
        </w:rPr>
        <w:t>on February 25,</w:t>
      </w:r>
      <w:r w:rsidR="003A1662" w:rsidRPr="00300A27">
        <w:rPr>
          <w:szCs w:val="20"/>
          <w:lang w:val="en-US"/>
        </w:rPr>
        <w:t xml:space="preserve"> 2008</w:t>
      </w:r>
      <w:r w:rsidR="00DC34A7" w:rsidRPr="00300A27">
        <w:rPr>
          <w:szCs w:val="20"/>
          <w:lang w:val="en-US"/>
        </w:rPr>
        <w:t>, she went to</w:t>
      </w:r>
      <w:r w:rsidR="00910D8E" w:rsidRPr="00300A27">
        <w:rPr>
          <w:szCs w:val="20"/>
          <w:lang w:val="en-US"/>
        </w:rPr>
        <w:t xml:space="preserve"> the Police Station</w:t>
      </w:r>
      <w:r w:rsidR="003A1662" w:rsidRPr="00300A27">
        <w:rPr>
          <w:szCs w:val="20"/>
          <w:lang w:val="en-US"/>
        </w:rPr>
        <w:t xml:space="preserve"> </w:t>
      </w:r>
      <w:r w:rsidR="00DC34A7" w:rsidRPr="00300A27">
        <w:rPr>
          <w:szCs w:val="20"/>
          <w:lang w:val="en-US"/>
        </w:rPr>
        <w:t>to report the facts, but her complaint was not received.</w:t>
      </w:r>
      <w:r w:rsidR="003A1662" w:rsidRPr="00300A27">
        <w:rPr>
          <w:rStyle w:val="Refdenotaalpie"/>
          <w:lang w:val="en-US"/>
        </w:rPr>
        <w:footnoteReference w:id="221"/>
      </w:r>
      <w:r w:rsidR="003A1662" w:rsidRPr="00300A27">
        <w:rPr>
          <w:szCs w:val="20"/>
          <w:lang w:val="en-US"/>
        </w:rPr>
        <w:t xml:space="preserve"> </w:t>
      </w:r>
      <w:r w:rsidR="009924B5" w:rsidRPr="00300A27">
        <w:rPr>
          <w:szCs w:val="20"/>
          <w:lang w:val="en-US"/>
        </w:rPr>
        <w:t>Meanwhile, three state agents denied that</w:t>
      </w:r>
      <w:r w:rsidR="003A1662" w:rsidRPr="00300A27">
        <w:rPr>
          <w:szCs w:val="20"/>
          <w:lang w:val="en-US"/>
        </w:rPr>
        <w:t xml:space="preserve"> </w:t>
      </w:r>
      <w:r w:rsidR="00834A1B" w:rsidRPr="00300A27">
        <w:rPr>
          <w:szCs w:val="20"/>
          <w:lang w:val="en-US"/>
        </w:rPr>
        <w:t>the presumed victim</w:t>
      </w:r>
      <w:r w:rsidR="003A1662" w:rsidRPr="00300A27">
        <w:rPr>
          <w:szCs w:val="20"/>
          <w:lang w:val="en-US"/>
        </w:rPr>
        <w:t xml:space="preserve"> </w:t>
      </w:r>
      <w:r w:rsidR="009924B5" w:rsidRPr="00300A27">
        <w:rPr>
          <w:szCs w:val="20"/>
          <w:lang w:val="en-US"/>
        </w:rPr>
        <w:t>had come forward to file a complaint on</w:t>
      </w:r>
      <w:r w:rsidR="003A1662" w:rsidRPr="00300A27">
        <w:rPr>
          <w:szCs w:val="20"/>
          <w:lang w:val="en-US"/>
        </w:rPr>
        <w:t xml:space="preserve"> </w:t>
      </w:r>
      <w:r w:rsidR="009B35A1" w:rsidRPr="00300A27">
        <w:rPr>
          <w:szCs w:val="20"/>
          <w:lang w:val="en-US"/>
        </w:rPr>
        <w:t xml:space="preserve">February </w:t>
      </w:r>
      <w:r w:rsidR="009924B5" w:rsidRPr="00300A27">
        <w:rPr>
          <w:szCs w:val="20"/>
          <w:lang w:val="en-US"/>
        </w:rPr>
        <w:t xml:space="preserve">25 or </w:t>
      </w:r>
      <w:r w:rsidR="009B35A1" w:rsidRPr="00300A27">
        <w:rPr>
          <w:szCs w:val="20"/>
          <w:lang w:val="en-US"/>
        </w:rPr>
        <w:t>26,</w:t>
      </w:r>
      <w:r w:rsidR="003A1662" w:rsidRPr="00300A27">
        <w:rPr>
          <w:szCs w:val="20"/>
          <w:lang w:val="en-US"/>
        </w:rPr>
        <w:t xml:space="preserve"> 2008</w:t>
      </w:r>
      <w:r w:rsidR="009924B5" w:rsidRPr="00300A27">
        <w:rPr>
          <w:szCs w:val="20"/>
          <w:lang w:val="en-US"/>
        </w:rPr>
        <w:t>.</w:t>
      </w:r>
      <w:r w:rsidR="003A1662" w:rsidRPr="00300A27">
        <w:rPr>
          <w:rStyle w:val="Refdenotaalpie"/>
          <w:lang w:val="en-US"/>
        </w:rPr>
        <w:footnoteReference w:id="222"/>
      </w:r>
      <w:r w:rsidR="009924B5" w:rsidRPr="00300A27">
        <w:rPr>
          <w:szCs w:val="20"/>
          <w:lang w:val="en-US"/>
        </w:rPr>
        <w:t xml:space="preserve"> On this point, it is </w:t>
      </w:r>
      <w:r w:rsidR="003A1662" w:rsidRPr="00300A27">
        <w:rPr>
          <w:szCs w:val="20"/>
          <w:lang w:val="en-US"/>
        </w:rPr>
        <w:t xml:space="preserve"> </w:t>
      </w:r>
      <w:r w:rsidR="00BA3C7F" w:rsidRPr="00300A27">
        <w:rPr>
          <w:szCs w:val="20"/>
          <w:lang w:val="en-US"/>
        </w:rPr>
        <w:t>the representatives</w:t>
      </w:r>
      <w:r w:rsidR="00462E5F" w:rsidRPr="00300A27">
        <w:rPr>
          <w:szCs w:val="20"/>
          <w:lang w:val="en-US"/>
        </w:rPr>
        <w:t xml:space="preserve"> </w:t>
      </w:r>
      <w:r w:rsidR="009924B5" w:rsidRPr="00300A27">
        <w:rPr>
          <w:szCs w:val="20"/>
          <w:lang w:val="en-US"/>
        </w:rPr>
        <w:t xml:space="preserve">who must prove to the Court that </w:t>
      </w:r>
      <w:r w:rsidR="00834A1B" w:rsidRPr="00300A27">
        <w:rPr>
          <w:szCs w:val="20"/>
          <w:lang w:val="en-US"/>
        </w:rPr>
        <w:t>the presumed victim</w:t>
      </w:r>
      <w:r w:rsidR="009924B5" w:rsidRPr="00300A27">
        <w:rPr>
          <w:szCs w:val="20"/>
          <w:lang w:val="en-US"/>
        </w:rPr>
        <w:t xml:space="preserve"> went to file a complaint on February 25, which they could have done, for example, by presenting statements by persons who were with the presumed victim that day. Consequently, the Court considers that it has no evidence to conclude that the presumed victim went to the police station to report the facts before February 27, 2008.</w:t>
      </w:r>
    </w:p>
    <w:p w14:paraId="503268AE" w14:textId="773D5F3E" w:rsidR="00177692" w:rsidRPr="00300A27" w:rsidRDefault="009924B5" w:rsidP="00B243B6">
      <w:pPr>
        <w:pStyle w:val="PrrafodeSentencia"/>
        <w:numPr>
          <w:ilvl w:val="0"/>
          <w:numId w:val="3"/>
        </w:numPr>
        <w:spacing w:before="120" w:after="120"/>
        <w:ind w:left="0" w:firstLine="0"/>
        <w:rPr>
          <w:lang w:val="en-US"/>
        </w:rPr>
      </w:pPr>
      <w:r w:rsidRPr="00300A27">
        <w:rPr>
          <w:szCs w:val="20"/>
          <w:lang w:val="en-US"/>
        </w:rPr>
        <w:t>Therefore</w:t>
      </w:r>
      <w:r w:rsidR="00642D2D" w:rsidRPr="00300A27">
        <w:rPr>
          <w:szCs w:val="20"/>
          <w:lang w:val="en-US"/>
        </w:rPr>
        <w:t xml:space="preserve">, </w:t>
      </w:r>
      <w:r w:rsidR="005B1C65" w:rsidRPr="00300A27">
        <w:rPr>
          <w:szCs w:val="20"/>
          <w:lang w:val="en-US"/>
        </w:rPr>
        <w:t>the State</w:t>
      </w:r>
      <w:r w:rsidR="00642D2D" w:rsidRPr="00300A27">
        <w:rPr>
          <w:szCs w:val="20"/>
          <w:lang w:val="en-US"/>
        </w:rPr>
        <w:t xml:space="preserve"> </w:t>
      </w:r>
      <w:r w:rsidRPr="00300A27">
        <w:rPr>
          <w:szCs w:val="20"/>
          <w:lang w:val="en-US"/>
        </w:rPr>
        <w:t>did not violate</w:t>
      </w:r>
      <w:r w:rsidR="00642D2D" w:rsidRPr="00300A27">
        <w:rPr>
          <w:szCs w:val="20"/>
          <w:lang w:val="en-US"/>
        </w:rPr>
        <w:t xml:space="preserve"> </w:t>
      </w:r>
      <w:r w:rsidR="005B1C65" w:rsidRPr="00300A27">
        <w:rPr>
          <w:szCs w:val="20"/>
          <w:lang w:val="en-US"/>
        </w:rPr>
        <w:t>Articles</w:t>
      </w:r>
      <w:r w:rsidR="00642D2D" w:rsidRPr="00300A27">
        <w:rPr>
          <w:szCs w:val="20"/>
          <w:lang w:val="en-US"/>
        </w:rPr>
        <w:t xml:space="preserve"> </w:t>
      </w:r>
      <w:r w:rsidR="00BA3C7F" w:rsidRPr="00300A27">
        <w:rPr>
          <w:szCs w:val="20"/>
          <w:lang w:val="en-US"/>
        </w:rPr>
        <w:t>8(1)</w:t>
      </w:r>
      <w:r w:rsidR="005B1C65" w:rsidRPr="00300A27">
        <w:rPr>
          <w:szCs w:val="20"/>
          <w:lang w:val="en-US"/>
        </w:rPr>
        <w:t xml:space="preserve"> and </w:t>
      </w:r>
      <w:r w:rsidR="00642D2D" w:rsidRPr="00300A27">
        <w:rPr>
          <w:szCs w:val="20"/>
          <w:lang w:val="en-US"/>
        </w:rPr>
        <w:t>25</w:t>
      </w:r>
      <w:r w:rsidR="005B1C65" w:rsidRPr="00300A27">
        <w:rPr>
          <w:szCs w:val="20"/>
          <w:lang w:val="en-US"/>
        </w:rPr>
        <w:t xml:space="preserve"> of the Convention</w:t>
      </w:r>
      <w:r w:rsidR="00642D2D" w:rsidRPr="00300A27">
        <w:rPr>
          <w:szCs w:val="20"/>
          <w:lang w:val="en-US"/>
        </w:rPr>
        <w:t xml:space="preserve"> </w:t>
      </w:r>
      <w:r w:rsidRPr="00300A27">
        <w:rPr>
          <w:szCs w:val="20"/>
          <w:lang w:val="en-US"/>
        </w:rPr>
        <w:t>based on the above</w:t>
      </w:r>
      <w:r w:rsidR="00642D2D" w:rsidRPr="00300A27">
        <w:rPr>
          <w:szCs w:val="20"/>
          <w:lang w:val="en-US"/>
        </w:rPr>
        <w:t>.</w:t>
      </w:r>
      <w:bookmarkStart w:id="141" w:name="_Toc32394178"/>
      <w:r w:rsidR="00FB0EC3" w:rsidRPr="00300A27">
        <w:rPr>
          <w:lang w:val="en-US"/>
        </w:rPr>
        <w:tab/>
      </w:r>
    </w:p>
    <w:p w14:paraId="5C1B1CC3" w14:textId="62608E62" w:rsidR="003A1662" w:rsidRPr="00300A27" w:rsidRDefault="00177692" w:rsidP="00B243B6">
      <w:pPr>
        <w:pStyle w:val="Ttulo3"/>
        <w:rPr>
          <w:lang w:val="en-US"/>
        </w:rPr>
      </w:pPr>
      <w:bookmarkStart w:id="142" w:name="_Toc36823496"/>
      <w:r w:rsidRPr="00300A27">
        <w:rPr>
          <w:lang w:val="en-US"/>
        </w:rPr>
        <w:t xml:space="preserve">B.2 </w:t>
      </w:r>
      <w:r w:rsidR="00CD6F00" w:rsidRPr="00300A27">
        <w:rPr>
          <w:lang w:val="en-US"/>
        </w:rPr>
        <w:t>Due diligence in the investigation</w:t>
      </w:r>
      <w:bookmarkEnd w:id="141"/>
      <w:bookmarkEnd w:id="142"/>
    </w:p>
    <w:p w14:paraId="632064C8" w14:textId="0D1E4E59" w:rsidR="00A41461" w:rsidRPr="00300A27" w:rsidRDefault="005B1C65" w:rsidP="00B243B6">
      <w:pPr>
        <w:pStyle w:val="PrrafodeSentencia"/>
        <w:numPr>
          <w:ilvl w:val="0"/>
          <w:numId w:val="3"/>
        </w:numPr>
        <w:spacing w:before="120" w:after="120"/>
        <w:ind w:left="0" w:firstLine="0"/>
        <w:rPr>
          <w:spacing w:val="0"/>
          <w:szCs w:val="20"/>
          <w:u w:val="single"/>
          <w:lang w:val="en-US"/>
        </w:rPr>
      </w:pPr>
      <w:bookmarkStart w:id="143" w:name="_Ref33106524"/>
      <w:r w:rsidRPr="00300A27">
        <w:rPr>
          <w:spacing w:val="0"/>
          <w:szCs w:val="20"/>
          <w:lang w:val="en-US"/>
        </w:rPr>
        <w:t>The Court</w:t>
      </w:r>
      <w:r w:rsidR="003A1662" w:rsidRPr="00300A27">
        <w:rPr>
          <w:spacing w:val="0"/>
          <w:szCs w:val="20"/>
          <w:lang w:val="en-US"/>
        </w:rPr>
        <w:t xml:space="preserve"> ha</w:t>
      </w:r>
      <w:r w:rsidR="00A41461" w:rsidRPr="00300A27">
        <w:rPr>
          <w:spacing w:val="0"/>
          <w:szCs w:val="20"/>
          <w:lang w:val="en-US"/>
        </w:rPr>
        <w:t>s indicated that the obligation to investigate established in</w:t>
      </w:r>
      <w:r w:rsidR="003A1662" w:rsidRPr="00300A27">
        <w:rPr>
          <w:spacing w:val="0"/>
          <w:szCs w:val="20"/>
          <w:lang w:val="en-US"/>
        </w:rPr>
        <w:t xml:space="preserve"> </w:t>
      </w:r>
      <w:r w:rsidRPr="00300A27">
        <w:rPr>
          <w:spacing w:val="0"/>
          <w:szCs w:val="20"/>
          <w:lang w:val="en-US"/>
        </w:rPr>
        <w:t>the American Convention</w:t>
      </w:r>
      <w:r w:rsidR="003A1662" w:rsidRPr="00300A27">
        <w:rPr>
          <w:spacing w:val="0"/>
          <w:szCs w:val="20"/>
          <w:lang w:val="en-US"/>
        </w:rPr>
        <w:t xml:space="preserve"> </w:t>
      </w:r>
      <w:r w:rsidR="00A41461" w:rsidRPr="00300A27">
        <w:rPr>
          <w:spacing w:val="0"/>
          <w:szCs w:val="20"/>
          <w:lang w:val="en-US"/>
        </w:rPr>
        <w:t xml:space="preserve">is reinforce by the provisions of </w:t>
      </w:r>
      <w:r w:rsidRPr="00300A27">
        <w:rPr>
          <w:spacing w:val="0"/>
          <w:szCs w:val="20"/>
          <w:lang w:val="en-US"/>
        </w:rPr>
        <w:t>Articles</w:t>
      </w:r>
      <w:r w:rsidR="003A1662" w:rsidRPr="00300A27">
        <w:rPr>
          <w:spacing w:val="0"/>
          <w:szCs w:val="20"/>
          <w:lang w:val="en-US"/>
        </w:rPr>
        <w:t xml:space="preserve"> 1, 6</w:t>
      </w:r>
      <w:r w:rsidRPr="00300A27">
        <w:rPr>
          <w:spacing w:val="0"/>
          <w:szCs w:val="20"/>
          <w:lang w:val="en-US"/>
        </w:rPr>
        <w:t xml:space="preserve"> and </w:t>
      </w:r>
      <w:r w:rsidR="003A1662" w:rsidRPr="00300A27">
        <w:rPr>
          <w:spacing w:val="0"/>
          <w:szCs w:val="20"/>
          <w:lang w:val="en-US"/>
        </w:rPr>
        <w:t>8</w:t>
      </w:r>
      <w:r w:rsidRPr="00300A27">
        <w:rPr>
          <w:spacing w:val="0"/>
          <w:szCs w:val="20"/>
          <w:lang w:val="en-US"/>
        </w:rPr>
        <w:t xml:space="preserve"> of the </w:t>
      </w:r>
      <w:r w:rsidR="00F816B4" w:rsidRPr="00300A27">
        <w:rPr>
          <w:spacing w:val="0"/>
          <w:szCs w:val="20"/>
          <w:lang w:val="en-US"/>
        </w:rPr>
        <w:t>Inter-American Convention to Prevent and Punish Torture</w:t>
      </w:r>
      <w:r w:rsidR="003A1662" w:rsidRPr="00300A27">
        <w:rPr>
          <w:spacing w:val="0"/>
          <w:szCs w:val="20"/>
          <w:lang w:val="en-US"/>
        </w:rPr>
        <w:t xml:space="preserve"> </w:t>
      </w:r>
      <w:r w:rsidR="0083239E" w:rsidRPr="00300A27">
        <w:rPr>
          <w:spacing w:val="0"/>
          <w:szCs w:val="20"/>
          <w:lang w:val="en-US"/>
        </w:rPr>
        <w:t>which</w:t>
      </w:r>
      <w:r w:rsidR="00A41461" w:rsidRPr="00300A27">
        <w:rPr>
          <w:spacing w:val="0"/>
          <w:szCs w:val="20"/>
          <w:lang w:val="en-US"/>
        </w:rPr>
        <w:t xml:space="preserve"> oblige</w:t>
      </w:r>
      <w:r w:rsidR="00BA3C7F" w:rsidRPr="00300A27">
        <w:rPr>
          <w:spacing w:val="0"/>
          <w:szCs w:val="20"/>
          <w:lang w:val="en-US"/>
        </w:rPr>
        <w:t xml:space="preserve"> the State</w:t>
      </w:r>
      <w:r w:rsidR="0083239E" w:rsidRPr="00300A27">
        <w:rPr>
          <w:spacing w:val="0"/>
          <w:szCs w:val="20"/>
          <w:lang w:val="en-US"/>
        </w:rPr>
        <w:t>s</w:t>
      </w:r>
      <w:r w:rsidR="003A1662" w:rsidRPr="00300A27">
        <w:rPr>
          <w:spacing w:val="0"/>
          <w:szCs w:val="20"/>
          <w:lang w:val="en-US"/>
        </w:rPr>
        <w:t xml:space="preserve"> </w:t>
      </w:r>
      <w:r w:rsidR="00A41461" w:rsidRPr="00300A27">
        <w:rPr>
          <w:spacing w:val="0"/>
          <w:szCs w:val="20"/>
          <w:lang w:val="en-US"/>
        </w:rPr>
        <w:t>to “</w:t>
      </w:r>
      <w:r w:rsidR="00A41461" w:rsidRPr="00300A27">
        <w:rPr>
          <w:rFonts w:cs="Tahoma"/>
          <w:szCs w:val="20"/>
          <w:lang w:val="en-US"/>
        </w:rPr>
        <w:t>take effective measures to prevent and punish torture within their jurisdiction,” and also “to prevent and punish other cruel, inhuman or degrading treatment or punishment.”</w:t>
      </w:r>
    </w:p>
    <w:bookmarkEnd w:id="143"/>
    <w:p w14:paraId="6EA4887A" w14:textId="02F592EA" w:rsidR="00680176" w:rsidRPr="00300A27" w:rsidRDefault="005B1C65" w:rsidP="00B243B6">
      <w:pPr>
        <w:pStyle w:val="PrrafodeSentencia"/>
        <w:numPr>
          <w:ilvl w:val="0"/>
          <w:numId w:val="3"/>
        </w:numPr>
        <w:spacing w:before="120" w:after="120"/>
        <w:ind w:left="0" w:firstLine="0"/>
        <w:rPr>
          <w:spacing w:val="0"/>
          <w:lang w:val="en-US"/>
        </w:rPr>
      </w:pPr>
      <w:r w:rsidRPr="00300A27">
        <w:rPr>
          <w:spacing w:val="0"/>
          <w:szCs w:val="20"/>
          <w:lang w:val="en-US"/>
        </w:rPr>
        <w:t>The Court</w:t>
      </w:r>
      <w:r w:rsidR="00751BE9" w:rsidRPr="00300A27">
        <w:rPr>
          <w:spacing w:val="0"/>
          <w:szCs w:val="20"/>
          <w:lang w:val="en-US"/>
        </w:rPr>
        <w:t xml:space="preserve"> ha</w:t>
      </w:r>
      <w:r w:rsidR="00A41461" w:rsidRPr="00300A27">
        <w:rPr>
          <w:spacing w:val="0"/>
          <w:szCs w:val="20"/>
          <w:lang w:val="en-US"/>
        </w:rPr>
        <w:t>s developed specific standards</w:t>
      </w:r>
      <w:r w:rsidR="0083239E" w:rsidRPr="00300A27">
        <w:rPr>
          <w:spacing w:val="0"/>
          <w:szCs w:val="20"/>
          <w:lang w:val="en-US"/>
        </w:rPr>
        <w:t xml:space="preserve"> </w:t>
      </w:r>
      <w:r w:rsidR="00A41461" w:rsidRPr="00300A27">
        <w:rPr>
          <w:spacing w:val="0"/>
          <w:szCs w:val="20"/>
          <w:lang w:val="en-US"/>
        </w:rPr>
        <w:t>on how to investigate sexual violence in cases in which the victims have been women. These standards are based above all on the provisions of the Istanbul Protocol and the World Health Organization’s Guidelines for medico-legal care for victims of sexual violence</w:t>
      </w:r>
      <w:r w:rsidR="00A41461" w:rsidRPr="00300A27">
        <w:rPr>
          <w:spacing w:val="0"/>
          <w:lang w:val="en-US"/>
        </w:rPr>
        <w:t>,</w:t>
      </w:r>
      <w:r w:rsidR="00680176" w:rsidRPr="00300A27">
        <w:rPr>
          <w:rStyle w:val="Refdenotaalpie"/>
          <w:rFonts w:eastAsia="Times New Roman"/>
          <w:spacing w:val="0"/>
          <w:lang w:val="en-US" w:eastAsia="es-ES"/>
        </w:rPr>
        <w:footnoteReference w:id="223"/>
      </w:r>
      <w:r w:rsidR="00A41461" w:rsidRPr="00300A27">
        <w:rPr>
          <w:spacing w:val="0"/>
          <w:lang w:val="en-US"/>
        </w:rPr>
        <w:t xml:space="preserve"> which </w:t>
      </w:r>
      <w:r w:rsidR="0083239E" w:rsidRPr="00300A27">
        <w:rPr>
          <w:spacing w:val="0"/>
          <w:lang w:val="en-US"/>
        </w:rPr>
        <w:t>describe</w:t>
      </w:r>
      <w:r w:rsidR="00A41461" w:rsidRPr="00300A27">
        <w:rPr>
          <w:spacing w:val="0"/>
          <w:lang w:val="en-US"/>
        </w:rPr>
        <w:t xml:space="preserve"> measures that should be taken in cases of sexual violence, regardless of whether the victims are men or women. Therefore, these same standards are applicable in this case</w:t>
      </w:r>
      <w:r w:rsidR="00680176" w:rsidRPr="00300A27">
        <w:rPr>
          <w:spacing w:val="0"/>
          <w:lang w:val="en-US"/>
        </w:rPr>
        <w:t xml:space="preserve">. </w:t>
      </w:r>
    </w:p>
    <w:p w14:paraId="1CFB9F14" w14:textId="11E41AA6" w:rsidR="00751BE9" w:rsidRPr="00300A27" w:rsidRDefault="005B1C65" w:rsidP="00B243B6">
      <w:pPr>
        <w:pStyle w:val="PrrafodeSentencia"/>
        <w:numPr>
          <w:ilvl w:val="0"/>
          <w:numId w:val="3"/>
        </w:numPr>
        <w:spacing w:before="120" w:after="120"/>
        <w:ind w:left="0" w:firstLine="0"/>
        <w:rPr>
          <w:spacing w:val="0"/>
          <w:lang w:val="en-US"/>
        </w:rPr>
      </w:pPr>
      <w:r w:rsidRPr="00300A27">
        <w:rPr>
          <w:spacing w:val="0"/>
          <w:szCs w:val="20"/>
          <w:lang w:val="en-US"/>
        </w:rPr>
        <w:t>This Court</w:t>
      </w:r>
      <w:r w:rsidR="00680176" w:rsidRPr="00300A27">
        <w:rPr>
          <w:spacing w:val="0"/>
          <w:szCs w:val="20"/>
          <w:lang w:val="en-US"/>
        </w:rPr>
        <w:t xml:space="preserve"> ha</w:t>
      </w:r>
      <w:r w:rsidR="00A41461" w:rsidRPr="00300A27">
        <w:rPr>
          <w:spacing w:val="0"/>
          <w:szCs w:val="20"/>
          <w:lang w:val="en-US"/>
        </w:rPr>
        <w:t>s s</w:t>
      </w:r>
      <w:r w:rsidR="0083239E" w:rsidRPr="00300A27">
        <w:rPr>
          <w:spacing w:val="0"/>
          <w:szCs w:val="20"/>
          <w:lang w:val="en-US"/>
        </w:rPr>
        <w:t>tipulated</w:t>
      </w:r>
      <w:r w:rsidR="00A41461" w:rsidRPr="00300A27">
        <w:rPr>
          <w:spacing w:val="0"/>
          <w:szCs w:val="20"/>
          <w:lang w:val="en-US"/>
        </w:rPr>
        <w:t xml:space="preserve"> that</w:t>
      </w:r>
      <w:r w:rsidR="008F60D2" w:rsidRPr="00300A27">
        <w:rPr>
          <w:spacing w:val="0"/>
          <w:szCs w:val="20"/>
          <w:lang w:val="en-US"/>
        </w:rPr>
        <w:t>, in</w:t>
      </w:r>
      <w:r w:rsidR="00A41461" w:rsidRPr="00300A27">
        <w:rPr>
          <w:spacing w:val="0"/>
          <w:szCs w:val="20"/>
          <w:lang w:val="en-US"/>
        </w:rPr>
        <w:t xml:space="preserve"> a criminal investigation into sexual violence</w:t>
      </w:r>
      <w:r w:rsidR="008F60D2" w:rsidRPr="00300A27">
        <w:rPr>
          <w:spacing w:val="0"/>
          <w:szCs w:val="20"/>
          <w:lang w:val="en-US"/>
        </w:rPr>
        <w:t xml:space="preserve">, it is necessary </w:t>
      </w:r>
      <w:r w:rsidR="00A41461" w:rsidRPr="00300A27">
        <w:rPr>
          <w:spacing w:val="0"/>
          <w:szCs w:val="20"/>
          <w:lang w:val="en-US"/>
        </w:rPr>
        <w:t xml:space="preserve">that: (i) </w:t>
      </w:r>
      <w:r w:rsidR="006632E2" w:rsidRPr="00300A27">
        <w:rPr>
          <w:spacing w:val="0"/>
          <w:szCs w:val="20"/>
          <w:lang w:val="en-US"/>
        </w:rPr>
        <w:t xml:space="preserve">the victim’s statement is taken in </w:t>
      </w:r>
      <w:r w:rsidR="008F60D2" w:rsidRPr="00300A27">
        <w:rPr>
          <w:spacing w:val="0"/>
          <w:szCs w:val="20"/>
          <w:lang w:val="en-US"/>
        </w:rPr>
        <w:t xml:space="preserve">a safe and </w:t>
      </w:r>
      <w:r w:rsidR="006632E2" w:rsidRPr="00300A27">
        <w:rPr>
          <w:spacing w:val="0"/>
          <w:szCs w:val="20"/>
          <w:lang w:val="en-US"/>
        </w:rPr>
        <w:t xml:space="preserve">comfortable </w:t>
      </w:r>
      <w:r w:rsidR="008F60D2" w:rsidRPr="00300A27">
        <w:rPr>
          <w:spacing w:val="0"/>
          <w:szCs w:val="20"/>
          <w:lang w:val="en-US"/>
        </w:rPr>
        <w:t xml:space="preserve">environment that offers </w:t>
      </w:r>
      <w:r w:rsidR="006632E2" w:rsidRPr="00300A27">
        <w:rPr>
          <w:spacing w:val="0"/>
          <w:szCs w:val="20"/>
          <w:lang w:val="en-US"/>
        </w:rPr>
        <w:t xml:space="preserve">privacy and </w:t>
      </w:r>
      <w:r w:rsidR="008F60D2" w:rsidRPr="00300A27">
        <w:rPr>
          <w:spacing w:val="0"/>
          <w:szCs w:val="20"/>
          <w:lang w:val="en-US"/>
        </w:rPr>
        <w:t>inspires confidence</w:t>
      </w:r>
      <w:r w:rsidR="006632E2" w:rsidRPr="00300A27">
        <w:rPr>
          <w:spacing w:val="0"/>
          <w:szCs w:val="20"/>
          <w:lang w:val="en-US"/>
        </w:rPr>
        <w:t xml:space="preserve">; (ii) the victim’s statement is recorded to avoid or limit the need to repeat it; (iii) </w:t>
      </w:r>
      <w:r w:rsidR="008F60D2" w:rsidRPr="00300A27">
        <w:rPr>
          <w:spacing w:val="0"/>
          <w:szCs w:val="20"/>
          <w:lang w:val="en-US"/>
        </w:rPr>
        <w:t xml:space="preserve">the victim is provided with </w:t>
      </w:r>
      <w:r w:rsidR="006632E2" w:rsidRPr="00300A27">
        <w:rPr>
          <w:spacing w:val="0"/>
          <w:szCs w:val="20"/>
          <w:lang w:val="en-US"/>
        </w:rPr>
        <w:t>medical</w:t>
      </w:r>
      <w:r w:rsidR="008F60D2" w:rsidRPr="00300A27">
        <w:rPr>
          <w:spacing w:val="0"/>
          <w:szCs w:val="20"/>
          <w:lang w:val="en-US"/>
        </w:rPr>
        <w:t>,</w:t>
      </w:r>
      <w:r w:rsidR="002A37EC" w:rsidRPr="00300A27">
        <w:rPr>
          <w:spacing w:val="0"/>
          <w:szCs w:val="20"/>
          <w:lang w:val="en-US"/>
        </w:rPr>
        <w:t xml:space="preserve"> </w:t>
      </w:r>
      <w:r w:rsidR="006632E2" w:rsidRPr="00300A27">
        <w:rPr>
          <w:spacing w:val="0"/>
          <w:szCs w:val="20"/>
          <w:lang w:val="en-US"/>
        </w:rPr>
        <w:t xml:space="preserve">psychological </w:t>
      </w:r>
      <w:r w:rsidR="008F60D2" w:rsidRPr="00300A27">
        <w:rPr>
          <w:spacing w:val="0"/>
          <w:szCs w:val="20"/>
          <w:lang w:val="en-US"/>
        </w:rPr>
        <w:t xml:space="preserve">and hygienic </w:t>
      </w:r>
      <w:r w:rsidR="006632E2" w:rsidRPr="00300A27">
        <w:rPr>
          <w:spacing w:val="0"/>
          <w:szCs w:val="20"/>
          <w:lang w:val="en-US"/>
        </w:rPr>
        <w:t>care, both on an emergency basis and continuously if required</w:t>
      </w:r>
      <w:r w:rsidR="008F60D2" w:rsidRPr="00300A27">
        <w:rPr>
          <w:spacing w:val="0"/>
          <w:szCs w:val="20"/>
          <w:lang w:val="en-US"/>
        </w:rPr>
        <w:t xml:space="preserve">, under a </w:t>
      </w:r>
      <w:r w:rsidR="006632E2" w:rsidRPr="00300A27">
        <w:rPr>
          <w:spacing w:val="0"/>
          <w:szCs w:val="20"/>
          <w:lang w:val="en-US"/>
        </w:rPr>
        <w:t xml:space="preserve">care protocol aimed at reducing the consequences of the </w:t>
      </w:r>
      <w:r w:rsidR="008F60D2" w:rsidRPr="00300A27">
        <w:rPr>
          <w:spacing w:val="0"/>
          <w:szCs w:val="20"/>
          <w:lang w:val="en-US"/>
        </w:rPr>
        <w:t>rape</w:t>
      </w:r>
      <w:r w:rsidR="006632E2" w:rsidRPr="00300A27">
        <w:rPr>
          <w:spacing w:val="0"/>
          <w:szCs w:val="20"/>
          <w:lang w:val="en-US"/>
        </w:rPr>
        <w:t xml:space="preserve">; (iv) a complete and detailed medical and psychological examination is </w:t>
      </w:r>
      <w:r w:rsidR="008F60D2" w:rsidRPr="00300A27">
        <w:rPr>
          <w:spacing w:val="0"/>
          <w:szCs w:val="20"/>
          <w:lang w:val="en-US"/>
        </w:rPr>
        <w:t>performed immediately</w:t>
      </w:r>
      <w:r w:rsidR="006632E2" w:rsidRPr="00300A27">
        <w:rPr>
          <w:spacing w:val="0"/>
          <w:szCs w:val="20"/>
          <w:lang w:val="en-US"/>
        </w:rPr>
        <w:t xml:space="preserve"> by appropriate trained personnel, if possible of the sex </w:t>
      </w:r>
      <w:r w:rsidR="008F60D2" w:rsidRPr="00300A27">
        <w:rPr>
          <w:spacing w:val="0"/>
          <w:szCs w:val="20"/>
          <w:lang w:val="en-US"/>
        </w:rPr>
        <w:t>preferred</w:t>
      </w:r>
      <w:r w:rsidR="006632E2" w:rsidRPr="00300A27">
        <w:rPr>
          <w:spacing w:val="0"/>
          <w:szCs w:val="20"/>
          <w:lang w:val="en-US"/>
        </w:rPr>
        <w:t xml:space="preserve"> by the victim, advising</w:t>
      </w:r>
      <w:r w:rsidR="002A37EC" w:rsidRPr="00300A27">
        <w:rPr>
          <w:spacing w:val="0"/>
          <w:szCs w:val="20"/>
          <w:lang w:val="en-US"/>
        </w:rPr>
        <w:t xml:space="preserve"> the victim</w:t>
      </w:r>
      <w:r w:rsidR="006632E2" w:rsidRPr="00300A27">
        <w:rPr>
          <w:spacing w:val="0"/>
          <w:szCs w:val="20"/>
          <w:lang w:val="en-US"/>
        </w:rPr>
        <w:t xml:space="preserve"> that they may be accompanied by </w:t>
      </w:r>
      <w:r w:rsidR="008F60D2" w:rsidRPr="00300A27">
        <w:rPr>
          <w:spacing w:val="0"/>
          <w:szCs w:val="20"/>
          <w:lang w:val="en-US"/>
        </w:rPr>
        <w:t xml:space="preserve">a person of confidence </w:t>
      </w:r>
      <w:r w:rsidR="006632E2" w:rsidRPr="00300A27">
        <w:rPr>
          <w:spacing w:val="0"/>
          <w:szCs w:val="20"/>
          <w:lang w:val="en-US"/>
        </w:rPr>
        <w:t>if they so wish; (v) the investigative measures are coordinated and documented and the evidence</w:t>
      </w:r>
      <w:r w:rsidR="008F60D2" w:rsidRPr="00300A27">
        <w:rPr>
          <w:spacing w:val="0"/>
          <w:szCs w:val="20"/>
          <w:lang w:val="en-US"/>
        </w:rPr>
        <w:t xml:space="preserve"> is</w:t>
      </w:r>
      <w:r w:rsidR="006632E2" w:rsidRPr="00300A27">
        <w:rPr>
          <w:spacing w:val="0"/>
          <w:szCs w:val="20"/>
          <w:lang w:val="en-US"/>
        </w:rPr>
        <w:t xml:space="preserve"> </w:t>
      </w:r>
      <w:r w:rsidR="008F60D2" w:rsidRPr="00300A27">
        <w:rPr>
          <w:spacing w:val="0"/>
          <w:szCs w:val="20"/>
          <w:lang w:val="en-US"/>
        </w:rPr>
        <w:t>handled</w:t>
      </w:r>
      <w:r w:rsidR="006632E2" w:rsidRPr="00300A27">
        <w:rPr>
          <w:spacing w:val="0"/>
          <w:szCs w:val="20"/>
          <w:lang w:val="en-US"/>
        </w:rPr>
        <w:t xml:space="preserve"> diligently, </w:t>
      </w:r>
      <w:r w:rsidR="000D0DB5" w:rsidRPr="00300A27">
        <w:rPr>
          <w:spacing w:val="0"/>
          <w:lang w:val="en-US"/>
        </w:rPr>
        <w:t>t</w:t>
      </w:r>
      <w:r w:rsidR="006632E2" w:rsidRPr="00300A27">
        <w:rPr>
          <w:spacing w:val="0"/>
          <w:szCs w:val="20"/>
          <w:lang w:val="en-US"/>
        </w:rPr>
        <w:t>aking sufficient s</w:t>
      </w:r>
      <w:r w:rsidR="000D0DB5" w:rsidRPr="00300A27">
        <w:rPr>
          <w:spacing w:val="0"/>
          <w:szCs w:val="20"/>
          <w:lang w:val="en-US"/>
        </w:rPr>
        <w:t>a</w:t>
      </w:r>
      <w:r w:rsidR="006632E2" w:rsidRPr="00300A27">
        <w:rPr>
          <w:spacing w:val="0"/>
          <w:szCs w:val="20"/>
          <w:lang w:val="en-US"/>
        </w:rPr>
        <w:t xml:space="preserve">mples, </w:t>
      </w:r>
      <w:r w:rsidR="008F60D2" w:rsidRPr="00300A27">
        <w:rPr>
          <w:spacing w:val="0"/>
          <w:szCs w:val="20"/>
          <w:lang w:val="en-US"/>
        </w:rPr>
        <w:t>performing</w:t>
      </w:r>
      <w:r w:rsidR="006632E2" w:rsidRPr="00300A27">
        <w:rPr>
          <w:spacing w:val="0"/>
          <w:szCs w:val="20"/>
          <w:lang w:val="en-US"/>
        </w:rPr>
        <w:t xml:space="preserve"> tests to determine the </w:t>
      </w:r>
      <w:r w:rsidR="002A37EC" w:rsidRPr="00300A27">
        <w:rPr>
          <w:spacing w:val="0"/>
          <w:szCs w:val="20"/>
          <w:lang w:val="en-US"/>
        </w:rPr>
        <w:t xml:space="preserve">possible </w:t>
      </w:r>
      <w:r w:rsidR="00DC0A5F" w:rsidRPr="00300A27">
        <w:rPr>
          <w:spacing w:val="0"/>
          <w:szCs w:val="20"/>
          <w:lang w:val="en-US"/>
        </w:rPr>
        <w:t>perpetrator</w:t>
      </w:r>
      <w:r w:rsidR="006632E2" w:rsidRPr="00300A27">
        <w:rPr>
          <w:spacing w:val="0"/>
          <w:szCs w:val="20"/>
          <w:lang w:val="en-US"/>
        </w:rPr>
        <w:t xml:space="preserve"> of the ac</w:t>
      </w:r>
      <w:r w:rsidR="00DC0A5F" w:rsidRPr="00300A27">
        <w:rPr>
          <w:spacing w:val="0"/>
          <w:szCs w:val="20"/>
          <w:lang w:val="en-US"/>
        </w:rPr>
        <w:t xml:space="preserve">t, </w:t>
      </w:r>
      <w:r w:rsidR="000D0DB5" w:rsidRPr="00300A27">
        <w:rPr>
          <w:spacing w:val="0"/>
          <w:szCs w:val="20"/>
          <w:lang w:val="en-US"/>
        </w:rPr>
        <w:t xml:space="preserve">securing other evidence such as the victim’s clothing, investigating the scene of the </w:t>
      </w:r>
      <w:r w:rsidR="00DC0A5F" w:rsidRPr="00300A27">
        <w:rPr>
          <w:spacing w:val="0"/>
          <w:szCs w:val="20"/>
          <w:lang w:val="en-US"/>
        </w:rPr>
        <w:t>incident</w:t>
      </w:r>
      <w:r w:rsidR="002A084C" w:rsidRPr="00300A27">
        <w:rPr>
          <w:spacing w:val="0"/>
          <w:szCs w:val="20"/>
          <w:lang w:val="en-US"/>
        </w:rPr>
        <w:t xml:space="preserve"> immediately</w:t>
      </w:r>
      <w:r w:rsidR="00DC0A5F" w:rsidRPr="00300A27">
        <w:rPr>
          <w:spacing w:val="0"/>
          <w:szCs w:val="20"/>
          <w:lang w:val="en-US"/>
        </w:rPr>
        <w:t>,</w:t>
      </w:r>
      <w:r w:rsidR="000D0DB5" w:rsidRPr="00300A27">
        <w:rPr>
          <w:spacing w:val="0"/>
          <w:szCs w:val="20"/>
          <w:lang w:val="en-US"/>
        </w:rPr>
        <w:t xml:space="preserve"> and guaranteeing the proper chain of custody, and</w:t>
      </w:r>
      <w:r w:rsidR="00751BE9" w:rsidRPr="00300A27">
        <w:rPr>
          <w:spacing w:val="0"/>
          <w:szCs w:val="20"/>
          <w:lang w:val="en-US"/>
        </w:rPr>
        <w:t xml:space="preserve"> </w:t>
      </w:r>
      <w:r w:rsidR="000D0DB5" w:rsidRPr="00300A27">
        <w:rPr>
          <w:spacing w:val="0"/>
          <w:szCs w:val="20"/>
          <w:lang w:val="en-US"/>
        </w:rPr>
        <w:t>(</w:t>
      </w:r>
      <w:r w:rsidR="00751BE9" w:rsidRPr="00300A27">
        <w:rPr>
          <w:spacing w:val="0"/>
          <w:szCs w:val="20"/>
          <w:lang w:val="en-US"/>
        </w:rPr>
        <w:t>v</w:t>
      </w:r>
      <w:r w:rsidR="000D0DB5" w:rsidRPr="00300A27">
        <w:rPr>
          <w:spacing w:val="0"/>
          <w:szCs w:val="20"/>
          <w:lang w:val="en-US"/>
        </w:rPr>
        <w:t>i</w:t>
      </w:r>
      <w:r w:rsidR="00751BE9" w:rsidRPr="00300A27">
        <w:rPr>
          <w:spacing w:val="0"/>
          <w:szCs w:val="20"/>
          <w:lang w:val="en-US"/>
        </w:rPr>
        <w:t xml:space="preserve">) </w:t>
      </w:r>
      <w:r w:rsidR="000D0DB5" w:rsidRPr="00300A27">
        <w:rPr>
          <w:spacing w:val="0"/>
          <w:szCs w:val="20"/>
          <w:lang w:val="en-US"/>
        </w:rPr>
        <w:t>the victim is provided with access to free legal assistance at all stages of the proceedings.</w:t>
      </w:r>
      <w:r w:rsidR="00751BE9" w:rsidRPr="00300A27">
        <w:rPr>
          <w:rStyle w:val="Refdenotaalpie"/>
          <w:rFonts w:eastAsia="Times New Roman"/>
          <w:spacing w:val="0"/>
          <w:lang w:val="en-US" w:eastAsia="es-ES"/>
        </w:rPr>
        <w:footnoteReference w:id="224"/>
      </w:r>
      <w:r w:rsidR="00751BE9" w:rsidRPr="00300A27">
        <w:rPr>
          <w:spacing w:val="0"/>
          <w:lang w:val="en-US"/>
        </w:rPr>
        <w:t xml:space="preserve"> </w:t>
      </w:r>
    </w:p>
    <w:p w14:paraId="00AA8E80" w14:textId="4DAFEDC3" w:rsidR="003A1662" w:rsidRPr="00300A27" w:rsidRDefault="000D0DB5" w:rsidP="00B243B6">
      <w:pPr>
        <w:pStyle w:val="PrrafodeSentencia"/>
        <w:numPr>
          <w:ilvl w:val="0"/>
          <w:numId w:val="3"/>
        </w:numPr>
        <w:ind w:left="0" w:firstLine="0"/>
        <w:rPr>
          <w:spacing w:val="0"/>
          <w:lang w:val="en-US"/>
        </w:rPr>
      </w:pPr>
      <w:r w:rsidRPr="00300A27">
        <w:rPr>
          <w:spacing w:val="0"/>
          <w:lang w:val="en-US"/>
        </w:rPr>
        <w:t xml:space="preserve">Taking the </w:t>
      </w:r>
      <w:r w:rsidR="00DC0A5F" w:rsidRPr="00300A27">
        <w:rPr>
          <w:spacing w:val="0"/>
          <w:lang w:val="en-US"/>
        </w:rPr>
        <w:t>above</w:t>
      </w:r>
      <w:r w:rsidRPr="00300A27">
        <w:rPr>
          <w:spacing w:val="0"/>
          <w:lang w:val="en-US"/>
        </w:rPr>
        <w:t xml:space="preserve"> into account</w:t>
      </w:r>
      <w:r w:rsidR="003A1662" w:rsidRPr="00300A27">
        <w:rPr>
          <w:spacing w:val="0"/>
          <w:lang w:val="en-US"/>
        </w:rPr>
        <w:t xml:space="preserve">, </w:t>
      </w:r>
      <w:r w:rsidR="005B1C65" w:rsidRPr="00300A27">
        <w:rPr>
          <w:spacing w:val="0"/>
          <w:lang w:val="en-US"/>
        </w:rPr>
        <w:t>the Court</w:t>
      </w:r>
      <w:r w:rsidR="003A1662" w:rsidRPr="00300A27">
        <w:rPr>
          <w:spacing w:val="0"/>
          <w:lang w:val="en-US"/>
        </w:rPr>
        <w:t xml:space="preserve"> </w:t>
      </w:r>
      <w:r w:rsidRPr="00300A27">
        <w:rPr>
          <w:spacing w:val="0"/>
          <w:lang w:val="en-US"/>
        </w:rPr>
        <w:t>will now examine</w:t>
      </w:r>
      <w:r w:rsidR="003A1662" w:rsidRPr="00300A27">
        <w:rPr>
          <w:spacing w:val="0"/>
          <w:lang w:val="en-US"/>
        </w:rPr>
        <w:t xml:space="preserve">: (a) </w:t>
      </w:r>
      <w:r w:rsidR="002959DE" w:rsidRPr="00300A27">
        <w:rPr>
          <w:spacing w:val="0"/>
          <w:lang w:val="en-US"/>
        </w:rPr>
        <w:t>the statements made by</w:t>
      </w:r>
      <w:r w:rsidR="00D3177C" w:rsidRPr="00300A27">
        <w:rPr>
          <w:spacing w:val="0"/>
          <w:lang w:val="en-US"/>
        </w:rPr>
        <w:t xml:space="preserve"> </w:t>
      </w:r>
      <w:r w:rsidR="001327B1" w:rsidRPr="00300A27">
        <w:rPr>
          <w:spacing w:val="0"/>
          <w:lang w:val="en-US"/>
        </w:rPr>
        <w:t xml:space="preserve">Azul </w:t>
      </w:r>
      <w:r w:rsidR="00D3177C" w:rsidRPr="00300A27">
        <w:rPr>
          <w:spacing w:val="0"/>
          <w:lang w:val="en-US"/>
        </w:rPr>
        <w:t>Rojas Marí</w:t>
      </w:r>
      <w:r w:rsidR="00A36E2B" w:rsidRPr="00300A27">
        <w:rPr>
          <w:spacing w:val="0"/>
          <w:lang w:val="en-US"/>
        </w:rPr>
        <w:t>n;</w:t>
      </w:r>
      <w:r w:rsidR="00751BE9" w:rsidRPr="00300A27">
        <w:rPr>
          <w:spacing w:val="0"/>
          <w:lang w:val="en-US"/>
        </w:rPr>
        <w:t xml:space="preserve"> (b) </w:t>
      </w:r>
      <w:r w:rsidRPr="00300A27">
        <w:rPr>
          <w:spacing w:val="0"/>
          <w:lang w:val="en-US"/>
        </w:rPr>
        <w:t>the medical examination that was performed; (c) the omissions in the collection of evidence and in the investigation of possible discriminatory motives; (d) the use of discriminatory stereotyp</w:t>
      </w:r>
      <w:r w:rsidR="00DC0A5F" w:rsidRPr="00300A27">
        <w:rPr>
          <w:spacing w:val="0"/>
          <w:lang w:val="en-US"/>
        </w:rPr>
        <w:t>ing</w:t>
      </w:r>
      <w:r w:rsidRPr="00300A27">
        <w:rPr>
          <w:spacing w:val="0"/>
          <w:lang w:val="en-US"/>
        </w:rPr>
        <w:t xml:space="preserve"> during the investigation, and</w:t>
      </w:r>
      <w:r w:rsidR="005B1C65" w:rsidRPr="00300A27">
        <w:rPr>
          <w:spacing w:val="0"/>
          <w:lang w:val="en-US"/>
        </w:rPr>
        <w:t xml:space="preserve"> </w:t>
      </w:r>
      <w:r w:rsidR="00BC472A" w:rsidRPr="00300A27">
        <w:rPr>
          <w:spacing w:val="0"/>
          <w:lang w:val="en-US"/>
        </w:rPr>
        <w:t xml:space="preserve">(e) </w:t>
      </w:r>
      <w:r w:rsidRPr="00300A27">
        <w:rPr>
          <w:spacing w:val="0"/>
          <w:lang w:val="en-US"/>
        </w:rPr>
        <w:t xml:space="preserve">the conclusion </w:t>
      </w:r>
      <w:r w:rsidR="00DC0A5F" w:rsidRPr="00300A27">
        <w:rPr>
          <w:spacing w:val="0"/>
          <w:lang w:val="en-US"/>
        </w:rPr>
        <w:t>concerning</w:t>
      </w:r>
      <w:r w:rsidRPr="00300A27">
        <w:rPr>
          <w:spacing w:val="0"/>
          <w:lang w:val="en-US"/>
        </w:rPr>
        <w:t xml:space="preserve"> due diligence.</w:t>
      </w:r>
      <w:r w:rsidR="00BC472A" w:rsidRPr="00300A27">
        <w:rPr>
          <w:spacing w:val="0"/>
          <w:lang w:val="en-US"/>
        </w:rPr>
        <w:t xml:space="preserve"> </w:t>
      </w:r>
    </w:p>
    <w:p w14:paraId="2A2965B2" w14:textId="4CEA3164" w:rsidR="003A1662" w:rsidRPr="00300A27" w:rsidRDefault="003A1662" w:rsidP="00B243B6">
      <w:pPr>
        <w:pStyle w:val="Ttulo4"/>
        <w:rPr>
          <w:lang w:val="en-US"/>
        </w:rPr>
      </w:pPr>
      <w:r w:rsidRPr="00300A27">
        <w:rPr>
          <w:lang w:val="en-US"/>
        </w:rPr>
        <w:t xml:space="preserve">B.2.a </w:t>
      </w:r>
      <w:r w:rsidR="002959DE" w:rsidRPr="00300A27">
        <w:rPr>
          <w:lang w:val="en-US"/>
        </w:rPr>
        <w:t>The statements made by</w:t>
      </w:r>
      <w:r w:rsidR="00D3177C" w:rsidRPr="00300A27">
        <w:rPr>
          <w:lang w:val="en-US"/>
        </w:rPr>
        <w:t xml:space="preserve"> </w:t>
      </w:r>
      <w:r w:rsidR="00453AF7" w:rsidRPr="00300A27">
        <w:rPr>
          <w:lang w:val="en-US"/>
        </w:rPr>
        <w:t xml:space="preserve">Azul </w:t>
      </w:r>
      <w:r w:rsidR="00D3177C" w:rsidRPr="00300A27">
        <w:rPr>
          <w:lang w:val="en-US"/>
        </w:rPr>
        <w:t>Rojas Marín</w:t>
      </w:r>
      <w:r w:rsidR="00751BE9" w:rsidRPr="00300A27">
        <w:rPr>
          <w:lang w:val="en-US"/>
        </w:rPr>
        <w:t xml:space="preserve"> </w:t>
      </w:r>
    </w:p>
    <w:p w14:paraId="3DE6D4F6" w14:textId="40A5D9B6" w:rsidR="005C4293" w:rsidRPr="00300A27" w:rsidRDefault="00A60118" w:rsidP="00B243B6">
      <w:pPr>
        <w:pStyle w:val="PrrafodeSentencia"/>
        <w:numPr>
          <w:ilvl w:val="0"/>
          <w:numId w:val="3"/>
        </w:numPr>
        <w:spacing w:before="120" w:after="120"/>
        <w:ind w:left="0" w:firstLine="0"/>
        <w:rPr>
          <w:spacing w:val="0"/>
          <w:lang w:val="en-US"/>
        </w:rPr>
      </w:pPr>
      <w:r w:rsidRPr="00300A27">
        <w:rPr>
          <w:spacing w:val="0"/>
          <w:lang w:val="en-US"/>
        </w:rPr>
        <w:t xml:space="preserve">In interviews with someone who </w:t>
      </w:r>
      <w:r w:rsidR="00DC0A5F" w:rsidRPr="00300A27">
        <w:rPr>
          <w:spacing w:val="0"/>
          <w:lang w:val="en-US"/>
        </w:rPr>
        <w:t>states</w:t>
      </w:r>
      <w:r w:rsidRPr="00300A27">
        <w:rPr>
          <w:spacing w:val="0"/>
          <w:lang w:val="en-US"/>
        </w:rPr>
        <w:t xml:space="preserve"> that they have been subjected to acts of torture: (i) the</w:t>
      </w:r>
      <w:r w:rsidR="00DC0A5F" w:rsidRPr="00300A27">
        <w:rPr>
          <w:spacing w:val="0"/>
          <w:lang w:val="en-US"/>
        </w:rPr>
        <w:t xml:space="preserve"> person</w:t>
      </w:r>
      <w:r w:rsidRPr="00300A27">
        <w:rPr>
          <w:spacing w:val="0"/>
          <w:lang w:val="en-US"/>
        </w:rPr>
        <w:t xml:space="preserve"> should be allowed to describe </w:t>
      </w:r>
      <w:r w:rsidR="00DC0A5F" w:rsidRPr="00300A27">
        <w:rPr>
          <w:spacing w:val="0"/>
          <w:lang w:val="en-US"/>
        </w:rPr>
        <w:t>freely w</w:t>
      </w:r>
      <w:r w:rsidRPr="00300A27">
        <w:rPr>
          <w:spacing w:val="0"/>
          <w:lang w:val="en-US"/>
        </w:rPr>
        <w:t xml:space="preserve">hat they consider relevant; (ii) no one should be required to </w:t>
      </w:r>
      <w:r w:rsidR="00DC0A5F" w:rsidRPr="00300A27">
        <w:rPr>
          <w:spacing w:val="0"/>
          <w:lang w:val="en-US"/>
        </w:rPr>
        <w:t>talk about</w:t>
      </w:r>
      <w:r w:rsidRPr="00300A27">
        <w:rPr>
          <w:spacing w:val="0"/>
          <w:lang w:val="en-US"/>
        </w:rPr>
        <w:t xml:space="preserve"> any form of torture if they feel uncomfortable doing so; (iii) during the interview, </w:t>
      </w:r>
      <w:r w:rsidR="008F60D2" w:rsidRPr="00300A27">
        <w:rPr>
          <w:spacing w:val="0"/>
          <w:lang w:val="en-US"/>
        </w:rPr>
        <w:t>t</w:t>
      </w:r>
      <w:r w:rsidR="00DC0A5F" w:rsidRPr="00300A27">
        <w:rPr>
          <w:spacing w:val="0"/>
          <w:lang w:val="en-US"/>
        </w:rPr>
        <w:t xml:space="preserve">he presumed victim’s pre-arrest psycho-social history should be documented; and also a summary of the facts relating to the time and circumstances of the initial detention, the place and conditions of detention while in State custody, and the methods of ill-treatment and torture presumably suffered, and </w:t>
      </w:r>
      <w:r w:rsidRPr="00300A27">
        <w:rPr>
          <w:spacing w:val="0"/>
          <w:lang w:val="en-US"/>
        </w:rPr>
        <w:t>(iv) the detailed statement should be recorded and transcribed.</w:t>
      </w:r>
      <w:r w:rsidR="003A1662" w:rsidRPr="00300A27">
        <w:rPr>
          <w:rStyle w:val="Refdenotaalpie"/>
          <w:rFonts w:eastAsia="Times New Roman"/>
          <w:spacing w:val="0"/>
          <w:lang w:val="en-US" w:eastAsia="es-ES"/>
        </w:rPr>
        <w:footnoteReference w:id="225"/>
      </w:r>
      <w:r w:rsidRPr="00300A27">
        <w:rPr>
          <w:spacing w:val="0"/>
          <w:lang w:val="en-US"/>
        </w:rPr>
        <w:t xml:space="preserve"> In addition, the interview with a presumed victim of acts o</w:t>
      </w:r>
      <w:r w:rsidR="00DC0A5F" w:rsidRPr="00300A27">
        <w:rPr>
          <w:spacing w:val="0"/>
          <w:lang w:val="en-US"/>
        </w:rPr>
        <w:t>f</w:t>
      </w:r>
      <w:r w:rsidRPr="00300A27">
        <w:rPr>
          <w:spacing w:val="0"/>
          <w:lang w:val="en-US"/>
        </w:rPr>
        <w:t xml:space="preserve"> sexual violence or rape </w:t>
      </w:r>
      <w:r w:rsidR="00403130" w:rsidRPr="00300A27">
        <w:rPr>
          <w:spacing w:val="0"/>
          <w:lang w:val="en-US"/>
        </w:rPr>
        <w:t>should</w:t>
      </w:r>
      <w:r w:rsidRPr="00300A27">
        <w:rPr>
          <w:spacing w:val="0"/>
          <w:lang w:val="en-US"/>
        </w:rPr>
        <w:t xml:space="preserve"> be conducted in </w:t>
      </w:r>
      <w:r w:rsidR="00DC0A5F" w:rsidRPr="00300A27">
        <w:rPr>
          <w:spacing w:val="0"/>
          <w:lang w:val="en-US"/>
        </w:rPr>
        <w:t xml:space="preserve">a </w:t>
      </w:r>
      <w:r w:rsidRPr="00300A27">
        <w:rPr>
          <w:spacing w:val="0"/>
          <w:lang w:val="en-US"/>
        </w:rPr>
        <w:t>comfortable and safe</w:t>
      </w:r>
      <w:r w:rsidR="00DC0A5F" w:rsidRPr="00300A27">
        <w:rPr>
          <w:spacing w:val="0"/>
          <w:lang w:val="en-US"/>
        </w:rPr>
        <w:t xml:space="preserve"> environment</w:t>
      </w:r>
      <w:r w:rsidRPr="00300A27">
        <w:rPr>
          <w:spacing w:val="0"/>
          <w:lang w:val="en-US"/>
        </w:rPr>
        <w:t xml:space="preserve"> that </w:t>
      </w:r>
      <w:r w:rsidR="00403130" w:rsidRPr="00300A27">
        <w:rPr>
          <w:spacing w:val="0"/>
          <w:lang w:val="en-US"/>
        </w:rPr>
        <w:t>offers</w:t>
      </w:r>
      <w:r w:rsidRPr="00300A27">
        <w:rPr>
          <w:spacing w:val="0"/>
          <w:lang w:val="en-US"/>
        </w:rPr>
        <w:t xml:space="preserve"> privacy a</w:t>
      </w:r>
      <w:r w:rsidR="00403130" w:rsidRPr="00300A27">
        <w:rPr>
          <w:spacing w:val="0"/>
          <w:lang w:val="en-US"/>
        </w:rPr>
        <w:t>n</w:t>
      </w:r>
      <w:r w:rsidRPr="00300A27">
        <w:rPr>
          <w:spacing w:val="0"/>
          <w:lang w:val="en-US"/>
        </w:rPr>
        <w:t>d</w:t>
      </w:r>
      <w:r w:rsidR="00403130" w:rsidRPr="00300A27">
        <w:rPr>
          <w:spacing w:val="0"/>
          <w:lang w:val="en-US"/>
        </w:rPr>
        <w:t xml:space="preserve"> inspires confidence</w:t>
      </w:r>
      <w:r w:rsidR="008F60D2" w:rsidRPr="00300A27">
        <w:rPr>
          <w:spacing w:val="0"/>
          <w:lang w:val="en-US"/>
        </w:rPr>
        <w:t xml:space="preserve"> </w:t>
      </w:r>
      <w:r w:rsidRPr="00300A27">
        <w:rPr>
          <w:spacing w:val="0"/>
          <w:lang w:val="en-US"/>
        </w:rPr>
        <w:t xml:space="preserve">and </w:t>
      </w:r>
      <w:r w:rsidR="00403130" w:rsidRPr="00300A27">
        <w:rPr>
          <w:spacing w:val="0"/>
          <w:lang w:val="en-US"/>
        </w:rPr>
        <w:t>should</w:t>
      </w:r>
      <w:r w:rsidRPr="00300A27">
        <w:rPr>
          <w:spacing w:val="0"/>
          <w:lang w:val="en-US"/>
        </w:rPr>
        <w:t xml:space="preserve"> be recorded to avoid the need to repeat it.</w:t>
      </w:r>
      <w:r w:rsidR="003A1662" w:rsidRPr="00300A27">
        <w:rPr>
          <w:rStyle w:val="Refdenotaalpie"/>
          <w:rFonts w:eastAsia="Times New Roman"/>
          <w:spacing w:val="0"/>
          <w:lang w:val="en-US" w:eastAsia="es-ES"/>
        </w:rPr>
        <w:footnoteReference w:id="226"/>
      </w:r>
    </w:p>
    <w:p w14:paraId="79AD7CCE" w14:textId="7AB8F140" w:rsidR="001555A8" w:rsidRPr="00300A27" w:rsidRDefault="00A60118" w:rsidP="00B243B6">
      <w:pPr>
        <w:pStyle w:val="PrrafodeSentencia"/>
        <w:numPr>
          <w:ilvl w:val="0"/>
          <w:numId w:val="3"/>
        </w:numPr>
        <w:spacing w:before="120" w:after="120"/>
        <w:ind w:left="0" w:firstLine="0"/>
        <w:rPr>
          <w:color w:val="0070C0"/>
          <w:spacing w:val="0"/>
          <w:szCs w:val="20"/>
          <w:lang w:val="en-US"/>
        </w:rPr>
      </w:pPr>
      <w:r w:rsidRPr="00300A27">
        <w:rPr>
          <w:spacing w:val="0"/>
          <w:szCs w:val="20"/>
          <w:lang w:val="en-US"/>
        </w:rPr>
        <w:t xml:space="preserve">In this case, </w:t>
      </w:r>
      <w:r w:rsidR="00834A1B" w:rsidRPr="00300A27">
        <w:rPr>
          <w:spacing w:val="0"/>
          <w:szCs w:val="20"/>
          <w:lang w:val="en-US"/>
        </w:rPr>
        <w:t>the presumed victim</w:t>
      </w:r>
      <w:r w:rsidR="005C4293" w:rsidRPr="00300A27">
        <w:rPr>
          <w:spacing w:val="0"/>
          <w:szCs w:val="20"/>
          <w:lang w:val="en-US"/>
        </w:rPr>
        <w:t xml:space="preserve"> </w:t>
      </w:r>
      <w:r w:rsidRPr="00300A27">
        <w:rPr>
          <w:spacing w:val="0"/>
          <w:szCs w:val="20"/>
          <w:lang w:val="en-US"/>
        </w:rPr>
        <w:t>had to make a statement about the rape on three occasions,</w:t>
      </w:r>
      <w:r w:rsidR="005C4293" w:rsidRPr="00300A27">
        <w:rPr>
          <w:rStyle w:val="Refdenotaalpie"/>
          <w:spacing w:val="0"/>
          <w:szCs w:val="20"/>
          <w:lang w:val="en-US"/>
        </w:rPr>
        <w:footnoteReference w:id="227"/>
      </w:r>
      <w:r w:rsidRPr="00300A27">
        <w:rPr>
          <w:spacing w:val="0"/>
          <w:szCs w:val="20"/>
          <w:lang w:val="en-US"/>
        </w:rPr>
        <w:t xml:space="preserve"> in addition to describing the facts during </w:t>
      </w:r>
      <w:r w:rsidR="008F60D2" w:rsidRPr="00300A27">
        <w:rPr>
          <w:spacing w:val="0"/>
          <w:szCs w:val="20"/>
          <w:lang w:val="en-US"/>
        </w:rPr>
        <w:t xml:space="preserve">the </w:t>
      </w:r>
      <w:r w:rsidRPr="00300A27">
        <w:rPr>
          <w:spacing w:val="0"/>
          <w:szCs w:val="20"/>
          <w:lang w:val="en-US"/>
        </w:rPr>
        <w:t>medical examination,</w:t>
      </w:r>
      <w:r w:rsidR="005C4293" w:rsidRPr="00300A27">
        <w:rPr>
          <w:rStyle w:val="Refdenotaalpie"/>
          <w:spacing w:val="0"/>
          <w:lang w:val="en-US"/>
        </w:rPr>
        <w:footnoteReference w:id="228"/>
      </w:r>
      <w:r w:rsidRPr="00300A27">
        <w:rPr>
          <w:spacing w:val="0"/>
          <w:szCs w:val="20"/>
          <w:lang w:val="en-US"/>
        </w:rPr>
        <w:t xml:space="preserve"> the psychological</w:t>
      </w:r>
      <w:r w:rsidR="0029573F" w:rsidRPr="00300A27">
        <w:rPr>
          <w:spacing w:val="0"/>
          <w:szCs w:val="20"/>
          <w:lang w:val="en-US"/>
        </w:rPr>
        <w:t xml:space="preserve"> assessment</w:t>
      </w:r>
      <w:r w:rsidRPr="00300A27">
        <w:rPr>
          <w:spacing w:val="0"/>
          <w:szCs w:val="20"/>
          <w:lang w:val="en-US"/>
        </w:rPr>
        <w:t>,</w:t>
      </w:r>
      <w:r w:rsidR="005C4293" w:rsidRPr="00300A27">
        <w:rPr>
          <w:rStyle w:val="Refdenotaalpie"/>
          <w:spacing w:val="0"/>
          <w:lang w:val="en-US"/>
        </w:rPr>
        <w:footnoteReference w:id="229"/>
      </w:r>
      <w:r w:rsidR="005B1C65" w:rsidRPr="00300A27">
        <w:rPr>
          <w:spacing w:val="0"/>
          <w:szCs w:val="20"/>
          <w:lang w:val="en-US"/>
        </w:rPr>
        <w:t xml:space="preserve"> and </w:t>
      </w:r>
      <w:r w:rsidRPr="00300A27">
        <w:rPr>
          <w:spacing w:val="0"/>
          <w:szCs w:val="20"/>
          <w:lang w:val="en-US"/>
        </w:rPr>
        <w:t>the psychiatric evaluation.</w:t>
      </w:r>
      <w:r w:rsidR="005C4293" w:rsidRPr="00300A27">
        <w:rPr>
          <w:rStyle w:val="Refdenotaalpie"/>
          <w:spacing w:val="0"/>
          <w:lang w:val="en-US"/>
        </w:rPr>
        <w:footnoteReference w:id="230"/>
      </w:r>
      <w:r w:rsidRPr="00300A27">
        <w:rPr>
          <w:spacing w:val="0"/>
          <w:szCs w:val="20"/>
          <w:lang w:val="en-US"/>
        </w:rPr>
        <w:t xml:space="preserve"> There is no evidence that the State took steps to limit the repetition of the statement</w:t>
      </w:r>
      <w:r w:rsidR="00BB2604" w:rsidRPr="00300A27">
        <w:rPr>
          <w:spacing w:val="0"/>
          <w:szCs w:val="20"/>
          <w:lang w:val="en-US"/>
        </w:rPr>
        <w:t>.</w:t>
      </w:r>
    </w:p>
    <w:p w14:paraId="6B8E0FAE" w14:textId="31BF4C31" w:rsidR="002129D0" w:rsidRPr="00300A27" w:rsidRDefault="00BB2604" w:rsidP="00B243B6">
      <w:pPr>
        <w:pStyle w:val="PrrafodeSentencia"/>
        <w:numPr>
          <w:ilvl w:val="0"/>
          <w:numId w:val="3"/>
        </w:numPr>
        <w:spacing w:before="120" w:after="120"/>
        <w:ind w:left="0" w:firstLine="0"/>
        <w:rPr>
          <w:color w:val="0070C0"/>
          <w:spacing w:val="0"/>
          <w:szCs w:val="20"/>
          <w:lang w:val="en-US"/>
        </w:rPr>
      </w:pPr>
      <w:r w:rsidRPr="00300A27">
        <w:rPr>
          <w:spacing w:val="0"/>
          <w:szCs w:val="20"/>
          <w:lang w:val="en-US"/>
        </w:rPr>
        <w:t xml:space="preserve">Furthermore, the transcripts of the statements in the case file reveal that </w:t>
      </w:r>
      <w:r w:rsidR="008546E9" w:rsidRPr="00300A27">
        <w:rPr>
          <w:spacing w:val="0"/>
          <w:szCs w:val="20"/>
          <w:lang w:val="en-US"/>
        </w:rPr>
        <w:t>Ms. Rojas</w:t>
      </w:r>
      <w:r w:rsidR="002129D0" w:rsidRPr="00300A27">
        <w:rPr>
          <w:spacing w:val="0"/>
          <w:szCs w:val="20"/>
          <w:lang w:val="en-US"/>
        </w:rPr>
        <w:t xml:space="preserve"> Marín </w:t>
      </w:r>
      <w:r w:rsidRPr="00300A27">
        <w:rPr>
          <w:spacing w:val="0"/>
          <w:szCs w:val="20"/>
          <w:lang w:val="en-US"/>
        </w:rPr>
        <w:t xml:space="preserve">was questioned without any effort being made to make her feel comfortable and free to </w:t>
      </w:r>
      <w:r w:rsidR="008F60D2" w:rsidRPr="00300A27">
        <w:rPr>
          <w:spacing w:val="0"/>
          <w:szCs w:val="20"/>
          <w:lang w:val="en-US"/>
        </w:rPr>
        <w:t>describe</w:t>
      </w:r>
      <w:r w:rsidRPr="00300A27">
        <w:rPr>
          <w:spacing w:val="0"/>
          <w:szCs w:val="20"/>
          <w:lang w:val="en-US"/>
        </w:rPr>
        <w:t xml:space="preserve"> what she considered relevant. To the contrary, </w:t>
      </w:r>
      <w:r w:rsidR="008F60D2" w:rsidRPr="00300A27">
        <w:rPr>
          <w:spacing w:val="0"/>
          <w:szCs w:val="20"/>
          <w:lang w:val="en-US"/>
        </w:rPr>
        <w:t xml:space="preserve">the way in which </w:t>
      </w:r>
      <w:r w:rsidRPr="00300A27">
        <w:rPr>
          <w:spacing w:val="0"/>
          <w:szCs w:val="20"/>
          <w:lang w:val="en-US"/>
        </w:rPr>
        <w:t>she was questioned appear</w:t>
      </w:r>
      <w:r w:rsidR="008F60D2" w:rsidRPr="00300A27">
        <w:rPr>
          <w:spacing w:val="0"/>
          <w:szCs w:val="20"/>
          <w:lang w:val="en-US"/>
        </w:rPr>
        <w:t>s</w:t>
      </w:r>
      <w:r w:rsidRPr="00300A27">
        <w:rPr>
          <w:spacing w:val="0"/>
          <w:szCs w:val="20"/>
          <w:lang w:val="en-US"/>
        </w:rPr>
        <w:t xml:space="preserve"> to show that, from the moment she began to </w:t>
      </w:r>
      <w:r w:rsidR="002A084C" w:rsidRPr="00300A27">
        <w:rPr>
          <w:spacing w:val="0"/>
          <w:szCs w:val="20"/>
          <w:lang w:val="en-US"/>
        </w:rPr>
        <w:t>make</w:t>
      </w:r>
      <w:r w:rsidRPr="00300A27">
        <w:rPr>
          <w:spacing w:val="0"/>
          <w:szCs w:val="20"/>
          <w:lang w:val="en-US"/>
        </w:rPr>
        <w:t xml:space="preserve"> her statement, the participating officials were expressing doubts about the truth of what she was saying. For example, on </w:t>
      </w:r>
      <w:r w:rsidR="00910D8E" w:rsidRPr="00300A27">
        <w:rPr>
          <w:spacing w:val="0"/>
          <w:szCs w:val="20"/>
          <w:lang w:val="en-US"/>
        </w:rPr>
        <w:t>March 6,</w:t>
      </w:r>
      <w:r w:rsidR="00B816E2" w:rsidRPr="00300A27">
        <w:rPr>
          <w:spacing w:val="0"/>
          <w:szCs w:val="20"/>
          <w:lang w:val="en-US"/>
        </w:rPr>
        <w:t xml:space="preserve"> 2008</w:t>
      </w:r>
      <w:r w:rsidRPr="00300A27">
        <w:rPr>
          <w:spacing w:val="0"/>
          <w:szCs w:val="20"/>
          <w:lang w:val="en-US"/>
        </w:rPr>
        <w:t>,</w:t>
      </w:r>
      <w:r w:rsidR="00B816E2" w:rsidRPr="00300A27">
        <w:rPr>
          <w:spacing w:val="0"/>
          <w:szCs w:val="20"/>
          <w:lang w:val="en-US"/>
        </w:rPr>
        <w:t xml:space="preserve"> </w:t>
      </w:r>
      <w:r w:rsidR="00834A1B" w:rsidRPr="00300A27">
        <w:rPr>
          <w:spacing w:val="0"/>
          <w:szCs w:val="20"/>
          <w:lang w:val="en-US"/>
        </w:rPr>
        <w:t>the presumed victim</w:t>
      </w:r>
      <w:r w:rsidRPr="00300A27">
        <w:rPr>
          <w:spacing w:val="0"/>
          <w:szCs w:val="20"/>
          <w:lang w:val="en-US"/>
        </w:rPr>
        <w:t xml:space="preserve"> was asked</w:t>
      </w:r>
      <w:r w:rsidR="00B816E2" w:rsidRPr="00300A27">
        <w:rPr>
          <w:spacing w:val="0"/>
          <w:szCs w:val="20"/>
          <w:lang w:val="en-US"/>
        </w:rPr>
        <w:t>:</w:t>
      </w:r>
    </w:p>
    <w:p w14:paraId="630E98FF" w14:textId="79A47640" w:rsidR="00B816E2" w:rsidRPr="00300A27" w:rsidRDefault="00BB2604" w:rsidP="00B243B6">
      <w:pPr>
        <w:ind w:left="567" w:right="571"/>
        <w:jc w:val="both"/>
        <w:rPr>
          <w:sz w:val="18"/>
          <w:szCs w:val="18"/>
        </w:rPr>
      </w:pPr>
      <w:r w:rsidRPr="00300A27">
        <w:rPr>
          <w:sz w:val="18"/>
          <w:szCs w:val="18"/>
        </w:rPr>
        <w:t>Whether on February 28, 2008, when your initial statement was received, your anus was still hurting when you sat down, because your statement took around three and a half hours and you remained seated all that time without revealing any problem and you were even sitting with your legs crossed</w:t>
      </w:r>
      <w:r w:rsidR="00B816E2" w:rsidRPr="00300A27">
        <w:rPr>
          <w:sz w:val="18"/>
          <w:szCs w:val="18"/>
        </w:rPr>
        <w:t>?</w:t>
      </w:r>
      <w:r w:rsidR="00B816E2" w:rsidRPr="00300A27">
        <w:rPr>
          <w:rStyle w:val="Refdenotaalpie"/>
          <w:sz w:val="18"/>
          <w:szCs w:val="18"/>
        </w:rPr>
        <w:footnoteReference w:id="231"/>
      </w:r>
    </w:p>
    <w:p w14:paraId="18AE4833" w14:textId="41AF8192" w:rsidR="00A056E3" w:rsidRPr="00300A27" w:rsidRDefault="002129D0" w:rsidP="00B243B6">
      <w:pPr>
        <w:pStyle w:val="PrrafodeSentencia"/>
        <w:numPr>
          <w:ilvl w:val="0"/>
          <w:numId w:val="3"/>
        </w:numPr>
        <w:spacing w:before="120" w:after="120"/>
        <w:ind w:left="0" w:firstLine="0"/>
        <w:rPr>
          <w:spacing w:val="0"/>
          <w:szCs w:val="20"/>
          <w:lang w:val="en-US"/>
        </w:rPr>
      </w:pPr>
      <w:r w:rsidRPr="00300A27">
        <w:rPr>
          <w:color w:val="0070C0"/>
          <w:spacing w:val="0"/>
          <w:szCs w:val="20"/>
          <w:lang w:val="en-US"/>
        </w:rPr>
        <w:t xml:space="preserve"> </w:t>
      </w:r>
      <w:r w:rsidR="00395996" w:rsidRPr="00300A27">
        <w:rPr>
          <w:spacing w:val="0"/>
          <w:szCs w:val="20"/>
          <w:lang w:val="en-US"/>
        </w:rPr>
        <w:t>Similarly, in that same statement, when she had already freely narrated the details of the rape, she was asked “</w:t>
      </w:r>
      <w:r w:rsidR="002A084C" w:rsidRPr="00300A27">
        <w:rPr>
          <w:spacing w:val="0"/>
          <w:szCs w:val="20"/>
          <w:lang w:val="en-US"/>
        </w:rPr>
        <w:t>if</w:t>
      </w:r>
      <w:r w:rsidR="00395996" w:rsidRPr="00300A27">
        <w:rPr>
          <w:spacing w:val="0"/>
          <w:szCs w:val="20"/>
          <w:lang w:val="en-US"/>
        </w:rPr>
        <w:t xml:space="preserve"> you can specify whether the rubber baton used by the police was introduced into your rectum or </w:t>
      </w:r>
      <w:r w:rsidR="002A084C" w:rsidRPr="00300A27">
        <w:rPr>
          <w:spacing w:val="0"/>
          <w:szCs w:val="20"/>
          <w:lang w:val="en-US"/>
        </w:rPr>
        <w:t xml:space="preserve">was </w:t>
      </w:r>
      <w:r w:rsidR="00395996" w:rsidRPr="00300A27">
        <w:rPr>
          <w:spacing w:val="0"/>
          <w:szCs w:val="20"/>
          <w:lang w:val="en-US"/>
        </w:rPr>
        <w:t>ther</w:t>
      </w:r>
      <w:r w:rsidR="002A084C" w:rsidRPr="00300A27">
        <w:rPr>
          <w:spacing w:val="0"/>
          <w:szCs w:val="20"/>
          <w:lang w:val="en-US"/>
        </w:rPr>
        <w:t>e</w:t>
      </w:r>
      <w:r w:rsidR="00395996" w:rsidRPr="00300A27">
        <w:rPr>
          <w:spacing w:val="0"/>
          <w:szCs w:val="20"/>
          <w:lang w:val="en-US"/>
        </w:rPr>
        <w:t xml:space="preserve"> merely an attempt to introduce it</w:t>
      </w:r>
      <w:r w:rsidR="00A056E3" w:rsidRPr="00300A27">
        <w:rPr>
          <w:spacing w:val="0"/>
          <w:szCs w:val="20"/>
          <w:lang w:val="en-US"/>
        </w:rPr>
        <w:t>?</w:t>
      </w:r>
      <w:r w:rsidR="00D53C74" w:rsidRPr="00300A27">
        <w:rPr>
          <w:rStyle w:val="Refdenotaalpie"/>
          <w:spacing w:val="0"/>
          <w:lang w:val="en-US"/>
        </w:rPr>
        <w:t>”</w:t>
      </w:r>
      <w:r w:rsidR="00A056E3" w:rsidRPr="00300A27">
        <w:rPr>
          <w:rStyle w:val="Refdenotaalpie"/>
          <w:spacing w:val="0"/>
          <w:lang w:val="en-US"/>
        </w:rPr>
        <w:footnoteReference w:id="232"/>
      </w:r>
      <w:r w:rsidR="00A056E3" w:rsidRPr="00300A27">
        <w:rPr>
          <w:spacing w:val="0"/>
          <w:szCs w:val="20"/>
          <w:lang w:val="en-US"/>
        </w:rPr>
        <w:t xml:space="preserve"> </w:t>
      </w:r>
    </w:p>
    <w:p w14:paraId="27E9F944" w14:textId="478C4CCD" w:rsidR="00E96883" w:rsidRPr="00300A27" w:rsidRDefault="00395996" w:rsidP="00B243B6">
      <w:pPr>
        <w:pStyle w:val="PrrafodeSentencia"/>
        <w:numPr>
          <w:ilvl w:val="0"/>
          <w:numId w:val="3"/>
        </w:numPr>
        <w:spacing w:before="120" w:after="120"/>
        <w:ind w:left="0" w:firstLine="0"/>
        <w:rPr>
          <w:spacing w:val="0"/>
          <w:szCs w:val="20"/>
          <w:lang w:val="en-US"/>
        </w:rPr>
      </w:pPr>
      <w:r w:rsidRPr="00300A27">
        <w:rPr>
          <w:spacing w:val="0"/>
          <w:szCs w:val="20"/>
          <w:lang w:val="en-US"/>
        </w:rPr>
        <w:t>In addition, the judicial authorities carried out a judicial inspection and reconstruction procedure where the presumed victim again had to describe what had happened, but this time in front of those presumably responsible and in the place where the acts occurred.</w:t>
      </w:r>
      <w:r w:rsidR="001555A8" w:rsidRPr="00300A27">
        <w:rPr>
          <w:rStyle w:val="Refdenotaalpie"/>
          <w:spacing w:val="0"/>
          <w:szCs w:val="20"/>
          <w:lang w:val="en-US"/>
        </w:rPr>
        <w:footnoteReference w:id="233"/>
      </w:r>
      <w:r w:rsidR="001C35E3" w:rsidRPr="00300A27">
        <w:rPr>
          <w:spacing w:val="0"/>
          <w:szCs w:val="20"/>
          <w:lang w:val="en-US"/>
        </w:rPr>
        <w:t xml:space="preserve"> D</w:t>
      </w:r>
      <w:r w:rsidR="00E96883" w:rsidRPr="00300A27">
        <w:rPr>
          <w:spacing w:val="0"/>
          <w:szCs w:val="20"/>
          <w:lang w:val="en-US"/>
        </w:rPr>
        <w:t>ur</w:t>
      </w:r>
      <w:r w:rsidRPr="00300A27">
        <w:rPr>
          <w:spacing w:val="0"/>
          <w:szCs w:val="20"/>
          <w:lang w:val="en-US"/>
        </w:rPr>
        <w:t xml:space="preserve">ing this procedure, several police agents, judicial officials and the lawyer of one of the accused laughed from time to time when listening to </w:t>
      </w:r>
      <w:r w:rsidR="008546E9" w:rsidRPr="00300A27">
        <w:rPr>
          <w:spacing w:val="0"/>
          <w:szCs w:val="20"/>
          <w:lang w:val="en-US"/>
        </w:rPr>
        <w:t>Ms. Rojas</w:t>
      </w:r>
      <w:r w:rsidR="00E96883" w:rsidRPr="00300A27">
        <w:rPr>
          <w:spacing w:val="0"/>
          <w:szCs w:val="20"/>
          <w:lang w:val="en-US"/>
        </w:rPr>
        <w:t xml:space="preserve"> Marín</w:t>
      </w:r>
      <w:r w:rsidRPr="00300A27">
        <w:rPr>
          <w:spacing w:val="0"/>
          <w:szCs w:val="20"/>
          <w:lang w:val="en-US"/>
        </w:rPr>
        <w:t>’s statement.</w:t>
      </w:r>
      <w:r w:rsidR="00E96883" w:rsidRPr="00300A27">
        <w:rPr>
          <w:rStyle w:val="Refdenotaalpie"/>
          <w:spacing w:val="0"/>
          <w:szCs w:val="20"/>
          <w:lang w:val="en-US"/>
        </w:rPr>
        <w:footnoteReference w:id="234"/>
      </w:r>
      <w:r w:rsidR="001C35E3" w:rsidRPr="00300A27">
        <w:rPr>
          <w:spacing w:val="0"/>
          <w:szCs w:val="20"/>
          <w:lang w:val="en-US"/>
        </w:rPr>
        <w:t xml:space="preserve"> A</w:t>
      </w:r>
      <w:r w:rsidRPr="00300A27">
        <w:rPr>
          <w:spacing w:val="0"/>
          <w:szCs w:val="20"/>
          <w:lang w:val="en-US"/>
        </w:rPr>
        <w:t xml:space="preserve">lso, the lawyer of one of the accused constantly interrupted Ms. Rojas Marín’s statement mockingly, and once asking her to scream as she had screamed on the night of </w:t>
      </w:r>
      <w:r w:rsidR="00910D8E" w:rsidRPr="00300A27">
        <w:rPr>
          <w:spacing w:val="0"/>
          <w:szCs w:val="20"/>
          <w:lang w:val="en-US"/>
        </w:rPr>
        <w:t>February 25,</w:t>
      </w:r>
      <w:r w:rsidR="00E96883" w:rsidRPr="00300A27">
        <w:rPr>
          <w:spacing w:val="0"/>
          <w:szCs w:val="20"/>
          <w:lang w:val="en-US"/>
        </w:rPr>
        <w:t xml:space="preserve"> 2008</w:t>
      </w:r>
      <w:r w:rsidR="002A084C" w:rsidRPr="00300A27">
        <w:rPr>
          <w:spacing w:val="0"/>
          <w:szCs w:val="20"/>
          <w:lang w:val="en-US"/>
        </w:rPr>
        <w:t>;</w:t>
      </w:r>
      <w:r w:rsidR="00E96883" w:rsidRPr="00300A27">
        <w:rPr>
          <w:rStyle w:val="Refdenotaalpie"/>
          <w:spacing w:val="0"/>
          <w:szCs w:val="20"/>
          <w:lang w:val="en-US"/>
        </w:rPr>
        <w:footnoteReference w:id="235"/>
      </w:r>
      <w:r w:rsidR="005B1C65" w:rsidRPr="00300A27">
        <w:rPr>
          <w:spacing w:val="0"/>
          <w:szCs w:val="20"/>
          <w:lang w:val="en-US"/>
        </w:rPr>
        <w:t xml:space="preserve"> a</w:t>
      </w:r>
      <w:r w:rsidR="002A084C" w:rsidRPr="00300A27">
        <w:rPr>
          <w:spacing w:val="0"/>
          <w:szCs w:val="20"/>
          <w:lang w:val="en-US"/>
        </w:rPr>
        <w:t>lso</w:t>
      </w:r>
      <w:r w:rsidRPr="00300A27">
        <w:rPr>
          <w:spacing w:val="0"/>
          <w:szCs w:val="20"/>
          <w:lang w:val="en-US"/>
        </w:rPr>
        <w:t xml:space="preserve">, at another time, he asked </w:t>
      </w:r>
      <w:r w:rsidR="00834A1B" w:rsidRPr="00300A27">
        <w:rPr>
          <w:spacing w:val="0"/>
          <w:szCs w:val="20"/>
          <w:lang w:val="en-US"/>
        </w:rPr>
        <w:t>the presumed victim</w:t>
      </w:r>
      <w:r w:rsidR="00E96883" w:rsidRPr="00300A27">
        <w:rPr>
          <w:spacing w:val="0"/>
          <w:szCs w:val="20"/>
          <w:lang w:val="en-US"/>
        </w:rPr>
        <w:t xml:space="preserve"> </w:t>
      </w:r>
      <w:r w:rsidRPr="00300A27">
        <w:rPr>
          <w:spacing w:val="0"/>
          <w:szCs w:val="20"/>
          <w:lang w:val="en-US"/>
        </w:rPr>
        <w:t>whether</w:t>
      </w:r>
      <w:r w:rsidR="00E96883" w:rsidRPr="00300A27">
        <w:rPr>
          <w:spacing w:val="0"/>
          <w:szCs w:val="20"/>
          <w:lang w:val="en-US"/>
        </w:rPr>
        <w:t xml:space="preserve"> “</w:t>
      </w:r>
      <w:r w:rsidRPr="00300A27">
        <w:rPr>
          <w:spacing w:val="0"/>
          <w:szCs w:val="20"/>
          <w:lang w:val="en-US"/>
        </w:rPr>
        <w:t>at the time the baton was introduced in the rectum [she] could determine</w:t>
      </w:r>
      <w:r w:rsidR="00F52BB9" w:rsidRPr="00300A27">
        <w:rPr>
          <w:spacing w:val="0"/>
          <w:szCs w:val="20"/>
          <w:lang w:val="en-US"/>
        </w:rPr>
        <w:t xml:space="preserve"> the depth of this penetration.</w:t>
      </w:r>
      <w:r w:rsidR="00E96883" w:rsidRPr="00300A27">
        <w:rPr>
          <w:spacing w:val="0"/>
          <w:szCs w:val="20"/>
          <w:lang w:val="en-US"/>
        </w:rPr>
        <w:t>”</w:t>
      </w:r>
      <w:r w:rsidR="00E96883" w:rsidRPr="00300A27">
        <w:rPr>
          <w:rStyle w:val="Refdenotaalpie"/>
          <w:spacing w:val="0"/>
          <w:szCs w:val="20"/>
          <w:lang w:val="en-US"/>
        </w:rPr>
        <w:footnoteReference w:id="236"/>
      </w:r>
      <w:r w:rsidR="00F52BB9" w:rsidRPr="00300A27">
        <w:rPr>
          <w:spacing w:val="0"/>
          <w:szCs w:val="20"/>
          <w:lang w:val="en-US"/>
        </w:rPr>
        <w:t xml:space="preserve"> Moreover, </w:t>
      </w:r>
      <w:r w:rsidR="004113AF" w:rsidRPr="00300A27">
        <w:rPr>
          <w:spacing w:val="0"/>
          <w:szCs w:val="20"/>
          <w:lang w:val="en-US"/>
        </w:rPr>
        <w:t xml:space="preserve">during most of the </w:t>
      </w:r>
      <w:r w:rsidR="00F52BB9" w:rsidRPr="00300A27">
        <w:rPr>
          <w:spacing w:val="0"/>
          <w:szCs w:val="20"/>
          <w:lang w:val="en-US"/>
        </w:rPr>
        <w:t>interrogation, this lawyer was holding a rubber baton</w:t>
      </w:r>
      <w:r w:rsidR="004113AF" w:rsidRPr="00300A27">
        <w:rPr>
          <w:spacing w:val="0"/>
          <w:szCs w:val="20"/>
          <w:lang w:val="en-US"/>
        </w:rPr>
        <w:t xml:space="preserve">, which he </w:t>
      </w:r>
      <w:r w:rsidR="00F52BB9" w:rsidRPr="00300A27">
        <w:rPr>
          <w:spacing w:val="0"/>
          <w:szCs w:val="20"/>
          <w:lang w:val="en-US"/>
        </w:rPr>
        <w:t>repeatedly hit against the palm of his other hand.</w:t>
      </w:r>
      <w:r w:rsidR="00E96883" w:rsidRPr="00300A27">
        <w:rPr>
          <w:rStyle w:val="Refdenotaalpie"/>
          <w:spacing w:val="0"/>
          <w:szCs w:val="20"/>
          <w:lang w:val="en-US"/>
        </w:rPr>
        <w:footnoteReference w:id="237"/>
      </w:r>
      <w:r w:rsidR="00E96883" w:rsidRPr="00300A27">
        <w:rPr>
          <w:spacing w:val="0"/>
          <w:szCs w:val="20"/>
          <w:lang w:val="en-US"/>
        </w:rPr>
        <w:t xml:space="preserve"> </w:t>
      </w:r>
      <w:r w:rsidR="005B1C65" w:rsidRPr="00300A27">
        <w:rPr>
          <w:spacing w:val="0"/>
          <w:szCs w:val="20"/>
          <w:lang w:val="en-US"/>
        </w:rPr>
        <w:t>The Court</w:t>
      </w:r>
      <w:r w:rsidR="001C35E3" w:rsidRPr="00300A27">
        <w:rPr>
          <w:spacing w:val="0"/>
          <w:szCs w:val="20"/>
          <w:lang w:val="en-US"/>
        </w:rPr>
        <w:t xml:space="preserve"> </w:t>
      </w:r>
      <w:r w:rsidR="00F52BB9" w:rsidRPr="00300A27">
        <w:rPr>
          <w:spacing w:val="0"/>
          <w:szCs w:val="20"/>
          <w:lang w:val="en-US"/>
        </w:rPr>
        <w:t xml:space="preserve">notes that the judge in charge of the procedure never </w:t>
      </w:r>
      <w:r w:rsidR="004113AF" w:rsidRPr="00300A27">
        <w:rPr>
          <w:spacing w:val="0"/>
          <w:szCs w:val="20"/>
          <w:lang w:val="en-US"/>
        </w:rPr>
        <w:t>prohibited</w:t>
      </w:r>
      <w:r w:rsidR="00F52BB9" w:rsidRPr="00300A27">
        <w:rPr>
          <w:spacing w:val="0"/>
          <w:szCs w:val="20"/>
          <w:lang w:val="en-US"/>
        </w:rPr>
        <w:t xml:space="preserve"> this conduct.</w:t>
      </w:r>
    </w:p>
    <w:p w14:paraId="4ED58BC6" w14:textId="3B2FB3DC" w:rsidR="00751BE9" w:rsidRPr="00300A27" w:rsidRDefault="00E91899" w:rsidP="00B243B6">
      <w:pPr>
        <w:pStyle w:val="Ttulo4"/>
        <w:rPr>
          <w:lang w:val="en-US" w:eastAsia="es-MX"/>
        </w:rPr>
      </w:pPr>
      <w:r w:rsidRPr="00300A27">
        <w:rPr>
          <w:lang w:val="en-US" w:eastAsia="es-MX"/>
        </w:rPr>
        <w:t xml:space="preserve">B.2.b </w:t>
      </w:r>
      <w:r w:rsidR="00F555D8" w:rsidRPr="00300A27">
        <w:rPr>
          <w:lang w:val="en-US" w:eastAsia="es-MX"/>
        </w:rPr>
        <w:t>The medical examination that was performed</w:t>
      </w:r>
    </w:p>
    <w:p w14:paraId="40121030" w14:textId="234D78A7" w:rsidR="003A1662" w:rsidRPr="00300A27" w:rsidRDefault="00032511" w:rsidP="00B243B6">
      <w:pPr>
        <w:pStyle w:val="PrrafodeSentencia"/>
        <w:numPr>
          <w:ilvl w:val="0"/>
          <w:numId w:val="3"/>
        </w:numPr>
        <w:spacing w:before="120" w:after="120"/>
        <w:ind w:left="0" w:firstLine="0"/>
        <w:rPr>
          <w:spacing w:val="0"/>
          <w:szCs w:val="20"/>
          <w:lang w:val="en-US"/>
        </w:rPr>
      </w:pPr>
      <w:bookmarkStart w:id="144" w:name="_Ref35856520"/>
      <w:r w:rsidRPr="00300A27">
        <w:rPr>
          <w:spacing w:val="0"/>
          <w:lang w:val="en-US"/>
        </w:rPr>
        <w:t>I</w:t>
      </w:r>
      <w:r w:rsidR="003A1662" w:rsidRPr="00300A27">
        <w:rPr>
          <w:spacing w:val="0"/>
          <w:lang w:val="en-US"/>
        </w:rPr>
        <w:t>n cas</w:t>
      </w:r>
      <w:r w:rsidRPr="00300A27">
        <w:rPr>
          <w:spacing w:val="0"/>
          <w:lang w:val="en-US"/>
        </w:rPr>
        <w:t>e</w:t>
      </w:r>
      <w:r w:rsidR="003A1662" w:rsidRPr="00300A27">
        <w:rPr>
          <w:spacing w:val="0"/>
          <w:lang w:val="en-US"/>
        </w:rPr>
        <w:t>s</w:t>
      </w:r>
      <w:r w:rsidRPr="00300A27">
        <w:rPr>
          <w:spacing w:val="0"/>
          <w:lang w:val="en-US"/>
        </w:rPr>
        <w:t xml:space="preserve"> in which there are indications of torture, the medical examinations performed on </w:t>
      </w:r>
      <w:r w:rsidR="00834A1B" w:rsidRPr="00300A27">
        <w:rPr>
          <w:spacing w:val="0"/>
          <w:szCs w:val="20"/>
          <w:lang w:val="en-US"/>
        </w:rPr>
        <w:t>the presumed victim</w:t>
      </w:r>
      <w:r w:rsidR="003A1662" w:rsidRPr="00300A27">
        <w:rPr>
          <w:spacing w:val="0"/>
          <w:szCs w:val="20"/>
          <w:lang w:val="en-US"/>
        </w:rPr>
        <w:t xml:space="preserve"> </w:t>
      </w:r>
      <w:r w:rsidRPr="00300A27">
        <w:rPr>
          <w:spacing w:val="0"/>
          <w:szCs w:val="20"/>
          <w:lang w:val="en-US"/>
        </w:rPr>
        <w:t xml:space="preserve">should be conducted with prior informed consent, </w:t>
      </w:r>
      <w:r w:rsidR="004113AF" w:rsidRPr="00300A27">
        <w:rPr>
          <w:spacing w:val="0"/>
          <w:szCs w:val="20"/>
          <w:lang w:val="en-US"/>
        </w:rPr>
        <w:t xml:space="preserve">and </w:t>
      </w:r>
      <w:r w:rsidRPr="00300A27">
        <w:rPr>
          <w:spacing w:val="0"/>
          <w:szCs w:val="20"/>
          <w:lang w:val="en-US"/>
        </w:rPr>
        <w:t xml:space="preserve">without the presence of </w:t>
      </w:r>
      <w:r w:rsidR="004113AF" w:rsidRPr="00300A27">
        <w:rPr>
          <w:spacing w:val="0"/>
          <w:szCs w:val="20"/>
          <w:lang w:val="en-US"/>
        </w:rPr>
        <w:t>law enforcement</w:t>
      </w:r>
      <w:r w:rsidRPr="00300A27">
        <w:rPr>
          <w:spacing w:val="0"/>
          <w:szCs w:val="20"/>
          <w:lang w:val="en-US"/>
        </w:rPr>
        <w:t xml:space="preserve"> or other state agents.</w:t>
      </w:r>
      <w:r w:rsidR="003A1662" w:rsidRPr="00300A27">
        <w:rPr>
          <w:rStyle w:val="Refdenotaalpie"/>
          <w:spacing w:val="0"/>
          <w:lang w:val="en-US"/>
        </w:rPr>
        <w:footnoteReference w:id="238"/>
      </w:r>
      <w:r w:rsidRPr="00300A27">
        <w:rPr>
          <w:spacing w:val="0"/>
          <w:szCs w:val="20"/>
          <w:lang w:val="en-US"/>
        </w:rPr>
        <w:t xml:space="preserve"> Also, on becoming aware of acts of rape, a complete and detailed medical and psychological examination </w:t>
      </w:r>
      <w:r w:rsidR="004113AF" w:rsidRPr="00300A27">
        <w:rPr>
          <w:spacing w:val="0"/>
          <w:szCs w:val="20"/>
          <w:lang w:val="en-US"/>
        </w:rPr>
        <w:t xml:space="preserve">should </w:t>
      </w:r>
      <w:r w:rsidRPr="00300A27">
        <w:rPr>
          <w:spacing w:val="0"/>
          <w:szCs w:val="20"/>
          <w:lang w:val="en-US"/>
        </w:rPr>
        <w:t xml:space="preserve">be </w:t>
      </w:r>
      <w:r w:rsidR="004113AF" w:rsidRPr="00300A27">
        <w:rPr>
          <w:spacing w:val="0"/>
          <w:szCs w:val="20"/>
          <w:lang w:val="en-US"/>
        </w:rPr>
        <w:t>performed</w:t>
      </w:r>
      <w:r w:rsidRPr="00300A27">
        <w:rPr>
          <w:spacing w:val="0"/>
          <w:szCs w:val="20"/>
          <w:lang w:val="en-US"/>
        </w:rPr>
        <w:t xml:space="preserve"> by appropriate trained personnel, </w:t>
      </w:r>
      <w:r w:rsidR="004113AF" w:rsidRPr="00300A27">
        <w:rPr>
          <w:spacing w:val="0"/>
          <w:szCs w:val="20"/>
          <w:lang w:val="en-US"/>
        </w:rPr>
        <w:t xml:space="preserve">if possible of the sex preferred by the victim, advising the victim that they may be accompanied by a person of confidence if they so </w:t>
      </w:r>
      <w:r w:rsidRPr="00300A27">
        <w:rPr>
          <w:spacing w:val="0"/>
          <w:szCs w:val="20"/>
          <w:lang w:val="en-US"/>
        </w:rPr>
        <w:t>wish.</w:t>
      </w:r>
      <w:r w:rsidR="003A1662" w:rsidRPr="00300A27">
        <w:rPr>
          <w:rStyle w:val="Refdenotaalpie"/>
          <w:spacing w:val="0"/>
          <w:szCs w:val="20"/>
          <w:lang w:val="en-US"/>
        </w:rPr>
        <w:footnoteReference w:id="239"/>
      </w:r>
      <w:bookmarkStart w:id="145" w:name="_Ref532915486"/>
      <w:r w:rsidRPr="00300A27">
        <w:rPr>
          <w:spacing w:val="0"/>
          <w:szCs w:val="20"/>
          <w:lang w:val="en-US"/>
        </w:rPr>
        <w:t xml:space="preserve"> This examination </w:t>
      </w:r>
      <w:r w:rsidR="0017265E" w:rsidRPr="00300A27">
        <w:rPr>
          <w:spacing w:val="0"/>
          <w:szCs w:val="20"/>
          <w:lang w:val="en-US"/>
        </w:rPr>
        <w:t>should</w:t>
      </w:r>
      <w:r w:rsidRPr="00300A27">
        <w:rPr>
          <w:spacing w:val="0"/>
          <w:szCs w:val="20"/>
          <w:lang w:val="en-US"/>
        </w:rPr>
        <w:t xml:space="preserve"> be </w:t>
      </w:r>
      <w:r w:rsidR="0017265E" w:rsidRPr="00300A27">
        <w:rPr>
          <w:spacing w:val="0"/>
          <w:szCs w:val="20"/>
          <w:lang w:val="en-US"/>
        </w:rPr>
        <w:t>performed</w:t>
      </w:r>
      <w:r w:rsidRPr="00300A27">
        <w:rPr>
          <w:spacing w:val="0"/>
          <w:szCs w:val="20"/>
          <w:lang w:val="en-US"/>
        </w:rPr>
        <w:t xml:space="preserve"> in </w:t>
      </w:r>
      <w:r w:rsidR="0017265E" w:rsidRPr="00300A27">
        <w:rPr>
          <w:spacing w:val="0"/>
          <w:szCs w:val="20"/>
          <w:lang w:val="en-US"/>
        </w:rPr>
        <w:t>accordance</w:t>
      </w:r>
      <w:r w:rsidRPr="00300A27">
        <w:rPr>
          <w:spacing w:val="0"/>
          <w:szCs w:val="20"/>
          <w:lang w:val="en-US"/>
        </w:rPr>
        <w:t xml:space="preserve"> with protocols specifically addressed at documenting evidence in cases of sexual violence.</w:t>
      </w:r>
      <w:r w:rsidR="001D67E3" w:rsidRPr="00300A27">
        <w:rPr>
          <w:rStyle w:val="Refdenotaalpie"/>
          <w:spacing w:val="0"/>
          <w:szCs w:val="20"/>
          <w:lang w:val="en-US"/>
        </w:rPr>
        <w:footnoteReference w:id="240"/>
      </w:r>
      <w:bookmarkEnd w:id="144"/>
    </w:p>
    <w:p w14:paraId="1003D5E3" w14:textId="32129CA6" w:rsidR="003A1662" w:rsidRPr="00300A27" w:rsidRDefault="00B72461" w:rsidP="00B243B6">
      <w:pPr>
        <w:pStyle w:val="PrrafodeSentencia"/>
        <w:numPr>
          <w:ilvl w:val="0"/>
          <w:numId w:val="3"/>
        </w:numPr>
        <w:spacing w:before="120" w:after="120"/>
        <w:ind w:left="0" w:firstLine="0"/>
        <w:rPr>
          <w:spacing w:val="0"/>
          <w:szCs w:val="20"/>
          <w:lang w:val="en-US"/>
        </w:rPr>
      </w:pPr>
      <w:r w:rsidRPr="00300A27">
        <w:rPr>
          <w:spacing w:val="0"/>
          <w:szCs w:val="20"/>
          <w:lang w:val="en-US"/>
        </w:rPr>
        <w:t>In this case</w:t>
      </w:r>
      <w:r w:rsidR="003A1662" w:rsidRPr="00300A27">
        <w:rPr>
          <w:spacing w:val="0"/>
          <w:szCs w:val="20"/>
          <w:lang w:val="en-US"/>
        </w:rPr>
        <w:t xml:space="preserve">, </w:t>
      </w:r>
      <w:r w:rsidR="00910D8E" w:rsidRPr="00300A27">
        <w:rPr>
          <w:spacing w:val="0"/>
          <w:szCs w:val="20"/>
          <w:lang w:val="en-US"/>
        </w:rPr>
        <w:t>on February 27,</w:t>
      </w:r>
      <w:r w:rsidR="00E9318E" w:rsidRPr="00300A27">
        <w:rPr>
          <w:spacing w:val="0"/>
          <w:szCs w:val="20"/>
          <w:lang w:val="en-US"/>
        </w:rPr>
        <w:t xml:space="preserve"> 2008</w:t>
      </w:r>
      <w:r w:rsidRPr="00300A27">
        <w:rPr>
          <w:spacing w:val="0"/>
          <w:szCs w:val="20"/>
          <w:lang w:val="en-US"/>
        </w:rPr>
        <w:t xml:space="preserve">, at 2 p.m., </w:t>
      </w:r>
      <w:r w:rsidR="00834A1B" w:rsidRPr="00300A27">
        <w:rPr>
          <w:spacing w:val="0"/>
          <w:szCs w:val="20"/>
          <w:lang w:val="en-US"/>
        </w:rPr>
        <w:t>the presumed victim</w:t>
      </w:r>
      <w:r w:rsidR="003A1662" w:rsidRPr="00300A27">
        <w:rPr>
          <w:spacing w:val="0"/>
          <w:szCs w:val="20"/>
          <w:lang w:val="en-US"/>
        </w:rPr>
        <w:t xml:space="preserve"> </w:t>
      </w:r>
      <w:r w:rsidRPr="00300A27">
        <w:rPr>
          <w:spacing w:val="0"/>
          <w:szCs w:val="20"/>
          <w:lang w:val="en-US"/>
        </w:rPr>
        <w:t xml:space="preserve">reported the detention, </w:t>
      </w:r>
      <w:r w:rsidR="0017265E" w:rsidRPr="00300A27">
        <w:rPr>
          <w:spacing w:val="0"/>
          <w:szCs w:val="20"/>
          <w:lang w:val="en-US"/>
        </w:rPr>
        <w:t xml:space="preserve">the </w:t>
      </w:r>
      <w:r w:rsidRPr="00300A27">
        <w:rPr>
          <w:spacing w:val="0"/>
          <w:szCs w:val="20"/>
          <w:lang w:val="en-US"/>
        </w:rPr>
        <w:t xml:space="preserve">forced nudity, </w:t>
      </w:r>
      <w:r w:rsidR="0017265E" w:rsidRPr="00300A27">
        <w:rPr>
          <w:spacing w:val="0"/>
          <w:szCs w:val="20"/>
          <w:lang w:val="en-US"/>
        </w:rPr>
        <w:t xml:space="preserve">the </w:t>
      </w:r>
      <w:r w:rsidRPr="00300A27">
        <w:rPr>
          <w:spacing w:val="0"/>
          <w:szCs w:val="20"/>
          <w:lang w:val="en-US"/>
        </w:rPr>
        <w:t xml:space="preserve">comments on her </w:t>
      </w:r>
      <w:r w:rsidR="00CC6548" w:rsidRPr="00300A27">
        <w:rPr>
          <w:spacing w:val="0"/>
          <w:szCs w:val="20"/>
          <w:lang w:val="en-US"/>
        </w:rPr>
        <w:t>sexual orientation</w:t>
      </w:r>
      <w:r w:rsidR="003A1662" w:rsidRPr="00300A27">
        <w:rPr>
          <w:spacing w:val="0"/>
          <w:szCs w:val="20"/>
          <w:lang w:val="en-US"/>
        </w:rPr>
        <w:t xml:space="preserve">, </w:t>
      </w:r>
      <w:r w:rsidRPr="00300A27">
        <w:rPr>
          <w:spacing w:val="0"/>
          <w:szCs w:val="20"/>
          <w:lang w:val="en-US"/>
        </w:rPr>
        <w:t>the beatings she received while detained, and that the agents had tried to introduce a police baton in her anus.</w:t>
      </w:r>
      <w:r w:rsidR="003A1662" w:rsidRPr="00300A27">
        <w:rPr>
          <w:rStyle w:val="Refdenotaalpie"/>
          <w:spacing w:val="0"/>
          <w:szCs w:val="20"/>
          <w:lang w:val="en-US"/>
        </w:rPr>
        <w:footnoteReference w:id="241"/>
      </w:r>
      <w:r w:rsidRPr="00300A27">
        <w:rPr>
          <w:spacing w:val="0"/>
          <w:szCs w:val="20"/>
          <w:lang w:val="en-US"/>
        </w:rPr>
        <w:t xml:space="preserve"> The obligation to perform a</w:t>
      </w:r>
      <w:r w:rsidR="003A1662" w:rsidRPr="00300A27">
        <w:rPr>
          <w:spacing w:val="0"/>
          <w:szCs w:val="20"/>
          <w:lang w:val="en-US"/>
        </w:rPr>
        <w:t xml:space="preserve"> </w:t>
      </w:r>
      <w:r w:rsidRPr="00300A27">
        <w:rPr>
          <w:spacing w:val="0"/>
          <w:szCs w:val="20"/>
          <w:lang w:val="en-US"/>
        </w:rPr>
        <w:t>f</w:t>
      </w:r>
      <w:r w:rsidR="002959DE" w:rsidRPr="00300A27">
        <w:rPr>
          <w:spacing w:val="0"/>
          <w:szCs w:val="20"/>
          <w:lang w:val="en-US"/>
        </w:rPr>
        <w:t xml:space="preserve">orensic </w:t>
      </w:r>
      <w:r w:rsidR="00467FD3" w:rsidRPr="00300A27">
        <w:rPr>
          <w:spacing w:val="0"/>
          <w:szCs w:val="20"/>
          <w:lang w:val="en-US"/>
        </w:rPr>
        <w:t xml:space="preserve">medical </w:t>
      </w:r>
      <w:r w:rsidR="002959DE" w:rsidRPr="00300A27">
        <w:rPr>
          <w:spacing w:val="0"/>
          <w:szCs w:val="20"/>
          <w:lang w:val="en-US"/>
        </w:rPr>
        <w:t>examination</w:t>
      </w:r>
      <w:r w:rsidR="003A1662" w:rsidRPr="00300A27">
        <w:rPr>
          <w:spacing w:val="0"/>
          <w:szCs w:val="20"/>
          <w:lang w:val="en-US"/>
        </w:rPr>
        <w:t xml:space="preserve"> </w:t>
      </w:r>
      <w:r w:rsidRPr="00300A27">
        <w:rPr>
          <w:spacing w:val="0"/>
          <w:szCs w:val="20"/>
          <w:lang w:val="en-US"/>
        </w:rPr>
        <w:t xml:space="preserve">immediately arose as a result of this first </w:t>
      </w:r>
      <w:r w:rsidR="00910D8E" w:rsidRPr="00300A27">
        <w:rPr>
          <w:spacing w:val="0"/>
          <w:szCs w:val="20"/>
          <w:lang w:val="en-US"/>
        </w:rPr>
        <w:t>statement by</w:t>
      </w:r>
      <w:r w:rsidR="003A1662" w:rsidRPr="00300A27">
        <w:rPr>
          <w:spacing w:val="0"/>
          <w:szCs w:val="20"/>
          <w:lang w:val="en-US"/>
        </w:rPr>
        <w:t xml:space="preserve"> </w:t>
      </w:r>
      <w:r w:rsidR="00834A1B" w:rsidRPr="00300A27">
        <w:rPr>
          <w:spacing w:val="0"/>
          <w:szCs w:val="20"/>
          <w:lang w:val="en-US"/>
        </w:rPr>
        <w:t>the presumed victim</w:t>
      </w:r>
      <w:r w:rsidR="003A1662" w:rsidRPr="00300A27">
        <w:rPr>
          <w:spacing w:val="0"/>
          <w:szCs w:val="20"/>
          <w:lang w:val="en-US"/>
        </w:rPr>
        <w:t xml:space="preserve"> </w:t>
      </w:r>
      <w:r w:rsidRPr="00300A27">
        <w:rPr>
          <w:spacing w:val="0"/>
          <w:szCs w:val="20"/>
          <w:lang w:val="en-US"/>
        </w:rPr>
        <w:t xml:space="preserve">on February 27, at 2 p.m., where she had already </w:t>
      </w:r>
      <w:r w:rsidR="00C3087E" w:rsidRPr="00300A27">
        <w:rPr>
          <w:spacing w:val="0"/>
          <w:szCs w:val="20"/>
          <w:lang w:val="en-US"/>
        </w:rPr>
        <w:t>reported</w:t>
      </w:r>
      <w:r w:rsidRPr="00300A27">
        <w:rPr>
          <w:spacing w:val="0"/>
          <w:szCs w:val="20"/>
          <w:lang w:val="en-US"/>
        </w:rPr>
        <w:t xml:space="preserve"> ill-treatment and sexual violence. T</w:t>
      </w:r>
      <w:r w:rsidR="00834A1B" w:rsidRPr="00300A27">
        <w:rPr>
          <w:spacing w:val="0"/>
          <w:szCs w:val="20"/>
          <w:lang w:val="en-US"/>
        </w:rPr>
        <w:t>he presumed victim</w:t>
      </w:r>
      <w:r w:rsidR="0092093E" w:rsidRPr="00300A27">
        <w:rPr>
          <w:spacing w:val="0"/>
          <w:szCs w:val="20"/>
          <w:lang w:val="en-US"/>
        </w:rPr>
        <w:t xml:space="preserve"> </w:t>
      </w:r>
      <w:r w:rsidRPr="00300A27">
        <w:rPr>
          <w:spacing w:val="0"/>
          <w:szCs w:val="20"/>
          <w:lang w:val="en-US"/>
        </w:rPr>
        <w:t>reported the rape for the first time in her statement of February 28, 2008.</w:t>
      </w:r>
      <w:r w:rsidR="0092093E" w:rsidRPr="00300A27">
        <w:rPr>
          <w:rStyle w:val="Refdenotaalpie"/>
          <w:spacing w:val="0"/>
          <w:szCs w:val="20"/>
          <w:lang w:val="en-US"/>
        </w:rPr>
        <w:footnoteReference w:id="242"/>
      </w:r>
      <w:r w:rsidRPr="00300A27">
        <w:rPr>
          <w:spacing w:val="0"/>
          <w:szCs w:val="20"/>
          <w:lang w:val="en-US"/>
        </w:rPr>
        <w:t xml:space="preserve"> The medical examination was </w:t>
      </w:r>
      <w:r w:rsidR="0017265E" w:rsidRPr="00300A27">
        <w:rPr>
          <w:spacing w:val="0"/>
          <w:szCs w:val="20"/>
          <w:lang w:val="en-US"/>
        </w:rPr>
        <w:t>performed</w:t>
      </w:r>
      <w:r w:rsidR="0092093E" w:rsidRPr="00300A27">
        <w:rPr>
          <w:spacing w:val="0"/>
          <w:szCs w:val="20"/>
          <w:lang w:val="en-US"/>
        </w:rPr>
        <w:t xml:space="preserve"> </w:t>
      </w:r>
      <w:r w:rsidR="00910D8E" w:rsidRPr="00300A27">
        <w:rPr>
          <w:rFonts w:eastAsia="Times New Roman"/>
          <w:spacing w:val="0"/>
          <w:szCs w:val="20"/>
          <w:lang w:val="en-US"/>
        </w:rPr>
        <w:t>on February 29,</w:t>
      </w:r>
      <w:r w:rsidR="003A1662" w:rsidRPr="00300A27">
        <w:rPr>
          <w:spacing w:val="0"/>
          <w:szCs w:val="20"/>
          <w:lang w:val="en-US"/>
        </w:rPr>
        <w:t xml:space="preserve"> 2008 </w:t>
      </w:r>
      <w:r w:rsidRPr="00300A27">
        <w:rPr>
          <w:spacing w:val="0"/>
          <w:szCs w:val="20"/>
          <w:lang w:val="en-US"/>
        </w:rPr>
        <w:t>at</w:t>
      </w:r>
      <w:r w:rsidR="003A1662" w:rsidRPr="00300A27">
        <w:rPr>
          <w:spacing w:val="0"/>
          <w:szCs w:val="20"/>
          <w:lang w:val="en-US"/>
        </w:rPr>
        <w:t xml:space="preserve"> 12:30 </w:t>
      </w:r>
      <w:r w:rsidRPr="00300A27">
        <w:rPr>
          <w:spacing w:val="0"/>
          <w:szCs w:val="20"/>
          <w:lang w:val="en-US"/>
        </w:rPr>
        <w:t>p.m.</w:t>
      </w:r>
      <w:r w:rsidR="003A1662" w:rsidRPr="00300A27">
        <w:rPr>
          <w:rStyle w:val="Refdenotaalpie"/>
          <w:spacing w:val="0"/>
          <w:szCs w:val="20"/>
          <w:lang w:val="en-US"/>
        </w:rPr>
        <w:footnoteReference w:id="243"/>
      </w:r>
    </w:p>
    <w:p w14:paraId="636FB50F" w14:textId="798E370A" w:rsidR="005F7E8B" w:rsidRPr="00300A27" w:rsidRDefault="00B72461" w:rsidP="00B243B6">
      <w:pPr>
        <w:pStyle w:val="PrrafodeSentencia"/>
        <w:numPr>
          <w:ilvl w:val="0"/>
          <w:numId w:val="3"/>
        </w:numPr>
        <w:spacing w:before="120" w:after="120"/>
        <w:ind w:left="0" w:firstLine="0"/>
        <w:rPr>
          <w:spacing w:val="0"/>
          <w:szCs w:val="20"/>
          <w:lang w:val="en-US"/>
        </w:rPr>
      </w:pPr>
      <w:r w:rsidRPr="00300A27">
        <w:rPr>
          <w:rFonts w:eastAsia="Times New Roman"/>
          <w:spacing w:val="0"/>
          <w:szCs w:val="20"/>
          <w:lang w:val="en-US"/>
        </w:rPr>
        <w:t>The case file contains contradictory evidence on the reasons for this delay. On the one hand, according to the presumed victim, she had gone to the police station o</w:t>
      </w:r>
      <w:r w:rsidR="0017265E" w:rsidRPr="00300A27">
        <w:rPr>
          <w:rFonts w:eastAsia="Times New Roman"/>
          <w:spacing w:val="0"/>
          <w:szCs w:val="20"/>
          <w:lang w:val="en-US"/>
        </w:rPr>
        <w:t>n</w:t>
      </w:r>
      <w:r w:rsidRPr="00300A27">
        <w:rPr>
          <w:rFonts w:eastAsia="Times New Roman"/>
          <w:spacing w:val="0"/>
          <w:szCs w:val="20"/>
          <w:lang w:val="en-US"/>
        </w:rPr>
        <w:t xml:space="preserve"> February 27 a</w:t>
      </w:r>
      <w:r w:rsidR="0017265E" w:rsidRPr="00300A27">
        <w:rPr>
          <w:rFonts w:eastAsia="Times New Roman"/>
          <w:spacing w:val="0"/>
          <w:szCs w:val="20"/>
          <w:lang w:val="en-US"/>
        </w:rPr>
        <w:t>t</w:t>
      </w:r>
      <w:r w:rsidRPr="00300A27">
        <w:rPr>
          <w:rFonts w:eastAsia="Times New Roman"/>
          <w:spacing w:val="0"/>
          <w:szCs w:val="20"/>
          <w:lang w:val="en-US"/>
        </w:rPr>
        <w:t xml:space="preserve"> 3 p.m. and on February 28 at 4 p.m. and, on both days, owing to delays by the prosecution service it had been impossible to carry out the medical examination.</w:t>
      </w:r>
      <w:r w:rsidR="0016321D" w:rsidRPr="00300A27">
        <w:rPr>
          <w:rStyle w:val="Refdenotaalpie"/>
          <w:rFonts w:eastAsia="Times New Roman"/>
          <w:spacing w:val="0"/>
          <w:szCs w:val="20"/>
          <w:lang w:val="en-US"/>
        </w:rPr>
        <w:footnoteReference w:id="244"/>
      </w:r>
      <w:r w:rsidRPr="00300A27">
        <w:rPr>
          <w:rFonts w:eastAsia="Times New Roman"/>
          <w:spacing w:val="0"/>
          <w:szCs w:val="20"/>
          <w:lang w:val="en-US"/>
        </w:rPr>
        <w:t xml:space="preserve"> On the other hand, </w:t>
      </w:r>
      <w:r w:rsidR="0016321D" w:rsidRPr="00300A27">
        <w:rPr>
          <w:rFonts w:eastAsia="Times New Roman"/>
          <w:spacing w:val="0"/>
          <w:szCs w:val="20"/>
          <w:lang w:val="en-US"/>
        </w:rPr>
        <w:t xml:space="preserve"> </w:t>
      </w:r>
      <w:r w:rsidR="00834A1B" w:rsidRPr="00300A27">
        <w:rPr>
          <w:spacing w:val="0"/>
          <w:szCs w:val="20"/>
          <w:lang w:val="en-US"/>
        </w:rPr>
        <w:t>the presumed victim</w:t>
      </w:r>
      <w:r w:rsidRPr="00300A27">
        <w:rPr>
          <w:spacing w:val="0"/>
          <w:szCs w:val="20"/>
          <w:lang w:val="en-US"/>
        </w:rPr>
        <w:t>’s statement of</w:t>
      </w:r>
      <w:r w:rsidR="009605A0" w:rsidRPr="00300A27">
        <w:rPr>
          <w:spacing w:val="0"/>
          <w:szCs w:val="20"/>
          <w:lang w:val="en-US"/>
        </w:rPr>
        <w:t xml:space="preserve"> </w:t>
      </w:r>
      <w:r w:rsidRPr="00300A27">
        <w:rPr>
          <w:spacing w:val="0"/>
          <w:szCs w:val="20"/>
          <w:lang w:val="en-US"/>
        </w:rPr>
        <w:t xml:space="preserve">February 28 reveals that, up until that time she had not </w:t>
      </w:r>
      <w:r w:rsidR="009061F2" w:rsidRPr="00300A27">
        <w:rPr>
          <w:spacing w:val="0"/>
          <w:szCs w:val="20"/>
          <w:lang w:val="en-US"/>
        </w:rPr>
        <w:t>gone to be examined</w:t>
      </w:r>
      <w:r w:rsidRPr="00300A27">
        <w:rPr>
          <w:spacing w:val="0"/>
          <w:szCs w:val="20"/>
          <w:lang w:val="en-US"/>
        </w:rPr>
        <w:t>.</w:t>
      </w:r>
      <w:r w:rsidR="003A1662" w:rsidRPr="00300A27">
        <w:rPr>
          <w:rStyle w:val="Refdenotaalpie"/>
          <w:spacing w:val="0"/>
          <w:szCs w:val="20"/>
          <w:lang w:val="en-US"/>
        </w:rPr>
        <w:footnoteReference w:id="245"/>
      </w:r>
      <w:r w:rsidRPr="00300A27">
        <w:rPr>
          <w:spacing w:val="0"/>
          <w:szCs w:val="20"/>
          <w:lang w:val="en-US"/>
        </w:rPr>
        <w:t xml:space="preserve"> In addition, the prosecutor in charge of the case indicated that the </w:t>
      </w:r>
      <w:r w:rsidR="00910D8E" w:rsidRPr="00300A27">
        <w:rPr>
          <w:rFonts w:eastAsia="Times New Roman"/>
          <w:spacing w:val="0"/>
          <w:szCs w:val="20"/>
          <w:lang w:val="en-US"/>
        </w:rPr>
        <w:t xml:space="preserve">statement </w:t>
      </w:r>
      <w:r w:rsidRPr="00300A27">
        <w:rPr>
          <w:rFonts w:eastAsia="Times New Roman"/>
          <w:spacing w:val="0"/>
          <w:szCs w:val="20"/>
          <w:lang w:val="en-US"/>
        </w:rPr>
        <w:t>made on</w:t>
      </w:r>
      <w:r w:rsidR="00DF4B1F" w:rsidRPr="00300A27">
        <w:rPr>
          <w:rFonts w:eastAsia="Times New Roman"/>
          <w:spacing w:val="0"/>
          <w:szCs w:val="20"/>
          <w:lang w:val="en-US"/>
        </w:rPr>
        <w:t xml:space="preserve"> </w:t>
      </w:r>
      <w:r w:rsidRPr="00300A27">
        <w:rPr>
          <w:rFonts w:eastAsia="Times New Roman"/>
          <w:spacing w:val="0"/>
          <w:szCs w:val="20"/>
          <w:lang w:val="en-US"/>
        </w:rPr>
        <w:t>February 28 was very detailed so that it was not possible to carry out the medical examination that day. Therefore, he ordered “that a detailed medical examination be conducted</w:t>
      </w:r>
      <w:r w:rsidR="00CF454C" w:rsidRPr="00300A27">
        <w:rPr>
          <w:rFonts w:eastAsia="Times New Roman"/>
          <w:spacing w:val="0"/>
          <w:szCs w:val="20"/>
          <w:lang w:val="en-US"/>
        </w:rPr>
        <w:t xml:space="preserve"> </w:t>
      </w:r>
      <w:r w:rsidRPr="00300A27">
        <w:rPr>
          <w:rFonts w:eastAsia="Times New Roman"/>
          <w:spacing w:val="0"/>
          <w:szCs w:val="20"/>
          <w:lang w:val="en-US"/>
        </w:rPr>
        <w:t>the following day at 7 a.m.</w:t>
      </w:r>
      <w:r w:rsidR="00CF454C" w:rsidRPr="00300A27">
        <w:rPr>
          <w:spacing w:val="0"/>
          <w:szCs w:val="20"/>
          <w:lang w:val="en-US"/>
        </w:rPr>
        <w:t>”</w:t>
      </w:r>
      <w:r w:rsidRPr="00300A27">
        <w:rPr>
          <w:spacing w:val="0"/>
          <w:szCs w:val="20"/>
          <w:lang w:val="en-US"/>
        </w:rPr>
        <w:t xml:space="preserve"> According to the prosecutor,</w:t>
      </w:r>
      <w:r w:rsidR="00CF454C" w:rsidRPr="00300A27">
        <w:rPr>
          <w:spacing w:val="0"/>
          <w:szCs w:val="20"/>
          <w:lang w:val="en-US"/>
        </w:rPr>
        <w:t xml:space="preserve"> </w:t>
      </w:r>
      <w:r w:rsidR="00834A1B" w:rsidRPr="00300A27">
        <w:rPr>
          <w:spacing w:val="0"/>
          <w:szCs w:val="20"/>
          <w:lang w:val="en-US"/>
        </w:rPr>
        <w:t>the presumed victim</w:t>
      </w:r>
      <w:r w:rsidR="00CF454C" w:rsidRPr="00300A27">
        <w:rPr>
          <w:spacing w:val="0"/>
          <w:szCs w:val="20"/>
          <w:lang w:val="en-US"/>
        </w:rPr>
        <w:t xml:space="preserve"> </w:t>
      </w:r>
      <w:r w:rsidRPr="00300A27">
        <w:rPr>
          <w:spacing w:val="0"/>
          <w:szCs w:val="20"/>
          <w:lang w:val="en-US"/>
        </w:rPr>
        <w:t>came “to the prosecution offices after 11 a.m.</w:t>
      </w:r>
      <w:r w:rsidR="00CF454C" w:rsidRPr="00300A27">
        <w:rPr>
          <w:spacing w:val="0"/>
          <w:szCs w:val="20"/>
          <w:lang w:val="en-US"/>
        </w:rPr>
        <w:t>”</w:t>
      </w:r>
      <w:r w:rsidR="00CF454C" w:rsidRPr="00300A27">
        <w:rPr>
          <w:rStyle w:val="Refdenotaalpie"/>
          <w:spacing w:val="0"/>
          <w:szCs w:val="20"/>
          <w:lang w:val="en-US"/>
        </w:rPr>
        <w:footnoteReference w:id="246"/>
      </w:r>
      <w:r w:rsidR="00E26709" w:rsidRPr="00300A27">
        <w:rPr>
          <w:spacing w:val="0"/>
          <w:szCs w:val="20"/>
          <w:lang w:val="en-US"/>
        </w:rPr>
        <w:t xml:space="preserve"> </w:t>
      </w:r>
    </w:p>
    <w:p w14:paraId="3AEA5A7E" w14:textId="55A4DAD4" w:rsidR="003A1662" w:rsidRPr="00300A27" w:rsidRDefault="00E52ABB" w:rsidP="00B243B6">
      <w:pPr>
        <w:pStyle w:val="PrrafodeSentencia"/>
        <w:numPr>
          <w:ilvl w:val="0"/>
          <w:numId w:val="3"/>
        </w:numPr>
        <w:spacing w:before="120" w:after="120"/>
        <w:ind w:left="0" w:firstLine="0"/>
        <w:rPr>
          <w:spacing w:val="0"/>
          <w:szCs w:val="20"/>
          <w:lang w:val="en-US"/>
        </w:rPr>
      </w:pPr>
      <w:bookmarkStart w:id="146" w:name="_Ref446690923"/>
      <w:r w:rsidRPr="00300A27">
        <w:rPr>
          <w:spacing w:val="0"/>
          <w:szCs w:val="20"/>
          <w:lang w:val="en-US"/>
        </w:rPr>
        <w:t xml:space="preserve">This Court has indicated that, in order to ensure the best preservation of evidence, the gynecological and anal examination, if </w:t>
      </w:r>
      <w:r w:rsidR="00E31834" w:rsidRPr="00300A27">
        <w:rPr>
          <w:spacing w:val="0"/>
          <w:szCs w:val="20"/>
          <w:lang w:val="en-US"/>
        </w:rPr>
        <w:t>this</w:t>
      </w:r>
      <w:r w:rsidRPr="00300A27">
        <w:rPr>
          <w:spacing w:val="0"/>
          <w:szCs w:val="20"/>
          <w:lang w:val="en-US"/>
        </w:rPr>
        <w:t xml:space="preserve"> is considered appropriate, </w:t>
      </w:r>
      <w:r w:rsidR="00E31834" w:rsidRPr="00300A27">
        <w:rPr>
          <w:spacing w:val="0"/>
          <w:szCs w:val="20"/>
          <w:lang w:val="en-US"/>
        </w:rPr>
        <w:t xml:space="preserve">should be performed </w:t>
      </w:r>
      <w:r w:rsidRPr="00300A27">
        <w:rPr>
          <w:spacing w:val="0"/>
          <w:szCs w:val="20"/>
          <w:lang w:val="en-US"/>
        </w:rPr>
        <w:t xml:space="preserve">during the first 72 hours after the reported incident based on a specific protocol </w:t>
      </w:r>
      <w:r w:rsidR="00E31834" w:rsidRPr="00300A27">
        <w:rPr>
          <w:spacing w:val="0"/>
          <w:szCs w:val="20"/>
          <w:lang w:val="en-US"/>
        </w:rPr>
        <w:t>concerning</w:t>
      </w:r>
      <w:r w:rsidRPr="00300A27">
        <w:rPr>
          <w:spacing w:val="0"/>
          <w:szCs w:val="20"/>
          <w:lang w:val="en-US"/>
        </w:rPr>
        <w:t xml:space="preserve"> care for victims of sexual violence.</w:t>
      </w:r>
      <w:r w:rsidR="003A1662" w:rsidRPr="00300A27">
        <w:rPr>
          <w:rStyle w:val="Refdenotaalpie"/>
          <w:spacing w:val="0"/>
          <w:szCs w:val="20"/>
          <w:lang w:val="en-US"/>
        </w:rPr>
        <w:footnoteReference w:id="247"/>
      </w:r>
      <w:r w:rsidRPr="00300A27">
        <w:rPr>
          <w:spacing w:val="0"/>
          <w:szCs w:val="20"/>
          <w:lang w:val="en-US"/>
        </w:rPr>
        <w:t xml:space="preserve"> Considering the time that had passed since the incident occurred, the State should have taken all possible steps to ensure that the examination was performed immediately, or at least before this 72-hour period had elapsed, and this did not happen in this case, even considering the delays that could be attributed to </w:t>
      </w:r>
      <w:r w:rsidR="00834A1B" w:rsidRPr="00300A27">
        <w:rPr>
          <w:spacing w:val="0"/>
          <w:szCs w:val="20"/>
          <w:lang w:val="en-US"/>
        </w:rPr>
        <w:t>the presumed victim</w:t>
      </w:r>
      <w:r w:rsidR="003A1662" w:rsidRPr="00300A27">
        <w:rPr>
          <w:spacing w:val="0"/>
          <w:szCs w:val="20"/>
          <w:lang w:val="en-US"/>
        </w:rPr>
        <w:t>.</w:t>
      </w:r>
      <w:bookmarkEnd w:id="146"/>
      <w:r w:rsidR="003A1662" w:rsidRPr="00300A27">
        <w:rPr>
          <w:spacing w:val="0"/>
          <w:szCs w:val="20"/>
          <w:lang w:val="en-US"/>
        </w:rPr>
        <w:t xml:space="preserve"> </w:t>
      </w:r>
    </w:p>
    <w:p w14:paraId="37C881E7" w14:textId="4D67C492" w:rsidR="00164124" w:rsidRPr="00300A27" w:rsidRDefault="00E52ABB" w:rsidP="00B243B6">
      <w:pPr>
        <w:pStyle w:val="PrrafodeSentencia"/>
        <w:numPr>
          <w:ilvl w:val="0"/>
          <w:numId w:val="3"/>
        </w:numPr>
        <w:spacing w:before="120" w:after="120"/>
        <w:ind w:left="0" w:firstLine="0"/>
        <w:rPr>
          <w:spacing w:val="0"/>
          <w:lang w:val="en-US"/>
        </w:rPr>
      </w:pPr>
      <w:r w:rsidRPr="00300A27">
        <w:rPr>
          <w:spacing w:val="0"/>
          <w:lang w:val="en-US"/>
        </w:rPr>
        <w:t xml:space="preserve">In addition, the Court notes that, the report of the medical examination did not </w:t>
      </w:r>
      <w:r w:rsidR="00E31834" w:rsidRPr="00300A27">
        <w:rPr>
          <w:spacing w:val="0"/>
          <w:lang w:val="en-US"/>
        </w:rPr>
        <w:t>include</w:t>
      </w:r>
      <w:r w:rsidRPr="00300A27">
        <w:rPr>
          <w:spacing w:val="0"/>
          <w:lang w:val="en-US"/>
        </w:rPr>
        <w:t xml:space="preserve"> an interpretation of the probable relationship between the physical symptoms and the aggressions to which the presumed victim referred. In particular, </w:t>
      </w:r>
      <w:r w:rsidR="00E31834" w:rsidRPr="00300A27">
        <w:rPr>
          <w:spacing w:val="0"/>
          <w:lang w:val="en-US"/>
        </w:rPr>
        <w:t>the Court</w:t>
      </w:r>
      <w:r w:rsidRPr="00300A27">
        <w:rPr>
          <w:spacing w:val="0"/>
          <w:lang w:val="en-US"/>
        </w:rPr>
        <w:t xml:space="preserve"> notes that the examination found recent injuries in the anus and observed that the presumed victim indicated that she had </w:t>
      </w:r>
      <w:r w:rsidR="00E31834" w:rsidRPr="00300A27">
        <w:rPr>
          <w:spacing w:val="0"/>
          <w:lang w:val="en-US"/>
        </w:rPr>
        <w:t>suffered some bleeding</w:t>
      </w:r>
      <w:r w:rsidRPr="00300A27">
        <w:rPr>
          <w:spacing w:val="0"/>
          <w:lang w:val="en-US"/>
        </w:rPr>
        <w:t>. However, the respective conclusion is extremely vague. Indeed, the conclusion indicates: “Anus: old anal fissures with signs of a recent unnatural act.</w:t>
      </w:r>
      <w:r w:rsidR="006A18EA" w:rsidRPr="00300A27">
        <w:rPr>
          <w:spacing w:val="0"/>
          <w:szCs w:val="20"/>
          <w:lang w:val="en-US"/>
        </w:rPr>
        <w:t>”</w:t>
      </w:r>
      <w:r w:rsidR="00BC5803" w:rsidRPr="00300A27">
        <w:rPr>
          <w:rStyle w:val="Refdenotaalpie"/>
          <w:spacing w:val="0"/>
          <w:szCs w:val="20"/>
          <w:lang w:val="en-US"/>
        </w:rPr>
        <w:footnoteReference w:id="248"/>
      </w:r>
      <w:r w:rsidR="000448D8" w:rsidRPr="00300A27">
        <w:rPr>
          <w:spacing w:val="0"/>
          <w:szCs w:val="20"/>
          <w:lang w:val="en-US"/>
        </w:rPr>
        <w:t xml:space="preserve"> There is no analysis of whether </w:t>
      </w:r>
      <w:r w:rsidR="00E31834" w:rsidRPr="00300A27">
        <w:rPr>
          <w:spacing w:val="0"/>
          <w:szCs w:val="20"/>
          <w:lang w:val="en-US"/>
        </w:rPr>
        <w:t xml:space="preserve">or not </w:t>
      </w:r>
      <w:r w:rsidR="000448D8" w:rsidRPr="00300A27">
        <w:rPr>
          <w:spacing w:val="0"/>
          <w:szCs w:val="20"/>
          <w:lang w:val="en-US"/>
        </w:rPr>
        <w:t>the injuries are compatible with an anal rape with a rubber baton. Also, there is no analysis of whether or not the signs of a recent sexual act reveal that it could have been caused by the use of force, or the amount of force that would have been need</w:t>
      </w:r>
      <w:r w:rsidR="00E31834" w:rsidRPr="00300A27">
        <w:rPr>
          <w:spacing w:val="0"/>
          <w:szCs w:val="20"/>
          <w:lang w:val="en-US"/>
        </w:rPr>
        <w:t>ed</w:t>
      </w:r>
      <w:r w:rsidR="000448D8" w:rsidRPr="00300A27">
        <w:rPr>
          <w:spacing w:val="0"/>
          <w:szCs w:val="20"/>
          <w:lang w:val="en-US"/>
        </w:rPr>
        <w:t xml:space="preserve"> to cause that type of injur</w:t>
      </w:r>
      <w:r w:rsidR="00E31834" w:rsidRPr="00300A27">
        <w:rPr>
          <w:spacing w:val="0"/>
          <w:szCs w:val="20"/>
          <w:lang w:val="en-US"/>
        </w:rPr>
        <w:t>y</w:t>
      </w:r>
      <w:r w:rsidR="000448D8" w:rsidRPr="00300A27">
        <w:rPr>
          <w:spacing w:val="0"/>
          <w:szCs w:val="20"/>
          <w:lang w:val="en-US"/>
        </w:rPr>
        <w:t>. On this point, the World Health Organization has indicated that</w:t>
      </w:r>
      <w:r w:rsidR="004B3239" w:rsidRPr="00300A27">
        <w:rPr>
          <w:spacing w:val="0"/>
          <w:szCs w:val="20"/>
          <w:lang w:val="en-US"/>
        </w:rPr>
        <w:t xml:space="preserve"> “anal and rectal</w:t>
      </w:r>
      <w:r w:rsidR="000448D8" w:rsidRPr="00300A27">
        <w:rPr>
          <w:spacing w:val="0"/>
          <w:szCs w:val="20"/>
          <w:lang w:val="en-US"/>
        </w:rPr>
        <w:t xml:space="preserve"> injuries are </w:t>
      </w:r>
      <w:r w:rsidR="004B3239" w:rsidRPr="00300A27">
        <w:rPr>
          <w:spacing w:val="0"/>
          <w:szCs w:val="20"/>
          <w:lang w:val="en-US"/>
        </w:rPr>
        <w:t>seldom seen after</w:t>
      </w:r>
      <w:r w:rsidR="000448D8" w:rsidRPr="00300A27">
        <w:rPr>
          <w:spacing w:val="0"/>
          <w:szCs w:val="20"/>
          <w:lang w:val="en-US"/>
        </w:rPr>
        <w:t xml:space="preserve"> consensual penetration</w:t>
      </w:r>
      <w:r w:rsidR="004B3239" w:rsidRPr="00300A27">
        <w:rPr>
          <w:spacing w:val="0"/>
          <w:szCs w:val="20"/>
          <w:lang w:val="en-US"/>
        </w:rPr>
        <w:t>.”</w:t>
      </w:r>
      <w:r w:rsidR="00E118CD" w:rsidRPr="00300A27">
        <w:rPr>
          <w:rStyle w:val="Refdenotaalpie"/>
          <w:spacing w:val="0"/>
          <w:szCs w:val="20"/>
          <w:lang w:val="en-US"/>
        </w:rPr>
        <w:footnoteReference w:id="249"/>
      </w:r>
      <w:r w:rsidR="00E118CD" w:rsidRPr="00300A27">
        <w:rPr>
          <w:spacing w:val="0"/>
          <w:szCs w:val="20"/>
          <w:lang w:val="en-US"/>
        </w:rPr>
        <w:t xml:space="preserve"> </w:t>
      </w:r>
      <w:r w:rsidR="000448D8" w:rsidRPr="00300A27">
        <w:rPr>
          <w:spacing w:val="0"/>
          <w:szCs w:val="20"/>
          <w:lang w:val="en-US"/>
        </w:rPr>
        <w:t>The</w:t>
      </w:r>
      <w:r w:rsidR="005B1C65" w:rsidRPr="00300A27">
        <w:rPr>
          <w:spacing w:val="0"/>
          <w:lang w:val="en-US"/>
        </w:rPr>
        <w:t xml:space="preserve"> Court</w:t>
      </w:r>
      <w:r w:rsidR="00996BA1" w:rsidRPr="00300A27">
        <w:rPr>
          <w:spacing w:val="0"/>
          <w:lang w:val="en-US"/>
        </w:rPr>
        <w:t xml:space="preserve"> a</w:t>
      </w:r>
      <w:r w:rsidR="000448D8" w:rsidRPr="00300A27">
        <w:rPr>
          <w:spacing w:val="0"/>
          <w:lang w:val="en-US"/>
        </w:rPr>
        <w:t>lso notes that there is no evidence that the forensic physician was provided with a police baton and/or information on its dimensions that would have allowed him to examine the compatibility of the alleged acts with the injuries found.</w:t>
      </w:r>
      <w:r w:rsidR="00996BA1" w:rsidRPr="00300A27">
        <w:rPr>
          <w:rStyle w:val="Refdenotaalpie"/>
          <w:rFonts w:cs="Arial"/>
          <w:spacing w:val="0"/>
          <w:szCs w:val="20"/>
          <w:lang w:val="en-US"/>
        </w:rPr>
        <w:footnoteReference w:id="250"/>
      </w:r>
    </w:p>
    <w:p w14:paraId="7DC31A2E" w14:textId="5A8DAB10" w:rsidR="002376C4" w:rsidRPr="00300A27" w:rsidRDefault="000448D8" w:rsidP="00B243B6">
      <w:pPr>
        <w:pStyle w:val="PrrafodeSentencia"/>
        <w:numPr>
          <w:ilvl w:val="0"/>
          <w:numId w:val="3"/>
        </w:numPr>
        <w:spacing w:before="120" w:after="120"/>
        <w:ind w:left="0" w:firstLine="0"/>
        <w:rPr>
          <w:rFonts w:cs="Arial"/>
          <w:spacing w:val="0"/>
          <w:szCs w:val="20"/>
          <w:lang w:val="en-US"/>
        </w:rPr>
      </w:pPr>
      <w:r w:rsidRPr="00300A27">
        <w:rPr>
          <w:spacing w:val="0"/>
          <w:szCs w:val="20"/>
          <w:lang w:val="en-US"/>
        </w:rPr>
        <w:t>These shortcomings were partially rectified on April 22, 2008, by a</w:t>
      </w:r>
      <w:r w:rsidR="004B3239" w:rsidRPr="00300A27">
        <w:rPr>
          <w:spacing w:val="0"/>
          <w:szCs w:val="20"/>
          <w:lang w:val="en-US"/>
        </w:rPr>
        <w:t xml:space="preserve"> medical</w:t>
      </w:r>
      <w:r w:rsidRPr="00300A27">
        <w:rPr>
          <w:spacing w:val="0"/>
          <w:szCs w:val="20"/>
          <w:lang w:val="en-US"/>
        </w:rPr>
        <w:t xml:space="preserve"> ratification </w:t>
      </w:r>
      <w:r w:rsidR="00EF7F5A" w:rsidRPr="00300A27">
        <w:rPr>
          <w:spacing w:val="0"/>
          <w:szCs w:val="20"/>
          <w:lang w:val="en-US"/>
        </w:rPr>
        <w:t>procedure</w:t>
      </w:r>
      <w:r w:rsidRPr="00300A27">
        <w:rPr>
          <w:spacing w:val="0"/>
          <w:szCs w:val="20"/>
          <w:lang w:val="en-US"/>
        </w:rPr>
        <w:t xml:space="preserve"> in which the forensic physician indicated that he “could not affirm that [the injuries] were caused by a regulatory police baton, but owing to the form, it is probable.</w:t>
      </w:r>
      <w:r w:rsidR="00996BA1" w:rsidRPr="00300A27">
        <w:rPr>
          <w:rFonts w:cs="Arial"/>
          <w:spacing w:val="0"/>
          <w:szCs w:val="20"/>
          <w:lang w:val="en-US"/>
        </w:rPr>
        <w:t>”</w:t>
      </w:r>
      <w:r w:rsidR="00996BA1" w:rsidRPr="00300A27">
        <w:rPr>
          <w:rStyle w:val="Refdenotaalpie"/>
          <w:spacing w:val="0"/>
          <w:lang w:val="en-US"/>
        </w:rPr>
        <w:footnoteReference w:id="251"/>
      </w:r>
      <w:r w:rsidR="00996BA1" w:rsidRPr="00300A27">
        <w:rPr>
          <w:rFonts w:cs="Arial"/>
          <w:spacing w:val="0"/>
          <w:szCs w:val="20"/>
          <w:lang w:val="en-US"/>
        </w:rPr>
        <w:t xml:space="preserve"> </w:t>
      </w:r>
      <w:r w:rsidRPr="00300A27">
        <w:rPr>
          <w:rFonts w:cs="Arial"/>
          <w:spacing w:val="0"/>
          <w:szCs w:val="20"/>
          <w:lang w:val="en-US"/>
        </w:rPr>
        <w:t>However,</w:t>
      </w:r>
      <w:r w:rsidR="00996BA1" w:rsidRPr="00300A27">
        <w:rPr>
          <w:rFonts w:cs="Arial"/>
          <w:spacing w:val="0"/>
          <w:szCs w:val="20"/>
          <w:lang w:val="en-US"/>
        </w:rPr>
        <w:t xml:space="preserve"> </w:t>
      </w:r>
      <w:r w:rsidR="005B1C65" w:rsidRPr="00300A27">
        <w:rPr>
          <w:rFonts w:cs="Arial"/>
          <w:spacing w:val="0"/>
          <w:szCs w:val="20"/>
          <w:lang w:val="en-US"/>
        </w:rPr>
        <w:t>the Court</w:t>
      </w:r>
      <w:r w:rsidR="00996BA1" w:rsidRPr="00300A27">
        <w:rPr>
          <w:rFonts w:cs="Arial"/>
          <w:spacing w:val="0"/>
          <w:szCs w:val="20"/>
          <w:lang w:val="en-US"/>
        </w:rPr>
        <w:t xml:space="preserve"> </w:t>
      </w:r>
      <w:r w:rsidRPr="00300A27">
        <w:rPr>
          <w:rFonts w:cs="Arial"/>
          <w:spacing w:val="0"/>
          <w:szCs w:val="20"/>
          <w:lang w:val="en-US"/>
        </w:rPr>
        <w:t>not</w:t>
      </w:r>
      <w:r w:rsidR="004B3239" w:rsidRPr="00300A27">
        <w:rPr>
          <w:rFonts w:cs="Arial"/>
          <w:spacing w:val="0"/>
          <w:szCs w:val="20"/>
          <w:lang w:val="en-US"/>
        </w:rPr>
        <w:t>e</w:t>
      </w:r>
      <w:r w:rsidRPr="00300A27">
        <w:rPr>
          <w:rFonts w:cs="Arial"/>
          <w:spacing w:val="0"/>
          <w:szCs w:val="20"/>
          <w:lang w:val="en-US"/>
        </w:rPr>
        <w:t xml:space="preserve">s that these additional </w:t>
      </w:r>
      <w:r w:rsidR="009B35A1" w:rsidRPr="00300A27">
        <w:rPr>
          <w:rFonts w:cs="Arial"/>
          <w:spacing w:val="0"/>
          <w:szCs w:val="20"/>
          <w:lang w:val="en-US"/>
        </w:rPr>
        <w:t>considerations</w:t>
      </w:r>
      <w:r w:rsidR="00996BA1" w:rsidRPr="00300A27">
        <w:rPr>
          <w:rFonts w:cs="Arial"/>
          <w:spacing w:val="0"/>
          <w:szCs w:val="20"/>
          <w:lang w:val="en-US"/>
        </w:rPr>
        <w:t xml:space="preserve"> </w:t>
      </w:r>
      <w:r w:rsidRPr="00300A27">
        <w:rPr>
          <w:rFonts w:cs="Arial"/>
          <w:spacing w:val="0"/>
          <w:szCs w:val="20"/>
          <w:lang w:val="en-US"/>
        </w:rPr>
        <w:t>were not taken into account in the request to dismiss the case or in the</w:t>
      </w:r>
      <w:r w:rsidR="00CD6F00" w:rsidRPr="00300A27">
        <w:rPr>
          <w:rFonts w:cs="Arial"/>
          <w:spacing w:val="0"/>
          <w:szCs w:val="20"/>
          <w:lang w:val="en-US"/>
        </w:rPr>
        <w:t xml:space="preserve"> dismissal decision</w:t>
      </w:r>
      <w:r w:rsidRPr="00300A27">
        <w:rPr>
          <w:rFonts w:cs="Arial"/>
          <w:spacing w:val="0"/>
          <w:szCs w:val="20"/>
          <w:lang w:val="en-US"/>
        </w:rPr>
        <w:t>.</w:t>
      </w:r>
      <w:r w:rsidR="00996BA1" w:rsidRPr="00300A27">
        <w:rPr>
          <w:rStyle w:val="Refdenotaalpie"/>
          <w:rFonts w:cs="Arial"/>
          <w:spacing w:val="0"/>
          <w:szCs w:val="20"/>
          <w:lang w:val="en-US"/>
        </w:rPr>
        <w:footnoteReference w:id="252"/>
      </w:r>
    </w:p>
    <w:p w14:paraId="615B5D4C" w14:textId="62F39A2D" w:rsidR="00B83CE7" w:rsidRPr="00300A27" w:rsidRDefault="005B1C65" w:rsidP="00B243B6">
      <w:pPr>
        <w:pStyle w:val="PrrafodeSentencia"/>
        <w:numPr>
          <w:ilvl w:val="0"/>
          <w:numId w:val="3"/>
        </w:numPr>
        <w:spacing w:before="120" w:after="120"/>
        <w:ind w:left="0" w:firstLine="0"/>
        <w:rPr>
          <w:spacing w:val="0"/>
          <w:lang w:val="en-US"/>
        </w:rPr>
      </w:pPr>
      <w:bookmarkStart w:id="147" w:name="_Ref35856525"/>
      <w:r w:rsidRPr="00300A27">
        <w:rPr>
          <w:spacing w:val="0"/>
          <w:lang w:val="en-US"/>
        </w:rPr>
        <w:t>This Court</w:t>
      </w:r>
      <w:r w:rsidR="000448D8" w:rsidRPr="00300A27">
        <w:rPr>
          <w:spacing w:val="0"/>
          <w:lang w:val="en-US"/>
        </w:rPr>
        <w:t xml:space="preserve"> also notes that there is no record that Azul Rojas Marín was told that the medical examination could be performed by someone of the sex she preferred. Also, </w:t>
      </w:r>
      <w:r w:rsidR="00BE1016" w:rsidRPr="00300A27">
        <w:rPr>
          <w:spacing w:val="0"/>
          <w:lang w:val="en-US"/>
        </w:rPr>
        <w:t xml:space="preserve">the deputy prosecutor was present </w:t>
      </w:r>
      <w:r w:rsidR="000448D8" w:rsidRPr="00300A27">
        <w:rPr>
          <w:spacing w:val="0"/>
          <w:lang w:val="en-US"/>
        </w:rPr>
        <w:t>during the examination</w:t>
      </w:r>
      <w:r w:rsidR="00BE1016" w:rsidRPr="00300A27">
        <w:rPr>
          <w:spacing w:val="0"/>
          <w:lang w:val="en-US"/>
        </w:rPr>
        <w:t>,</w:t>
      </w:r>
      <w:r w:rsidR="00DF4B1F" w:rsidRPr="00300A27">
        <w:rPr>
          <w:rStyle w:val="Refdenotaalpie"/>
          <w:spacing w:val="0"/>
          <w:lang w:val="en-US"/>
        </w:rPr>
        <w:footnoteReference w:id="253"/>
      </w:r>
      <w:r w:rsidR="00BE1016" w:rsidRPr="00300A27">
        <w:rPr>
          <w:spacing w:val="0"/>
          <w:lang w:val="en-US"/>
        </w:rPr>
        <w:t xml:space="preserve"> with no record that</w:t>
      </w:r>
      <w:r w:rsidR="00FB4A9B" w:rsidRPr="00300A27">
        <w:rPr>
          <w:spacing w:val="0"/>
          <w:lang w:val="en-US"/>
        </w:rPr>
        <w:t xml:space="preserve"> </w:t>
      </w:r>
      <w:r w:rsidR="00834A1B" w:rsidRPr="00300A27">
        <w:rPr>
          <w:spacing w:val="0"/>
          <w:lang w:val="en-US"/>
        </w:rPr>
        <w:t>the presumed victim</w:t>
      </w:r>
      <w:r w:rsidR="003A1662" w:rsidRPr="00300A27">
        <w:rPr>
          <w:spacing w:val="0"/>
          <w:lang w:val="en-US"/>
        </w:rPr>
        <w:t xml:space="preserve"> </w:t>
      </w:r>
      <w:r w:rsidR="00BE1016" w:rsidRPr="00300A27">
        <w:rPr>
          <w:spacing w:val="0"/>
          <w:lang w:val="en-US"/>
        </w:rPr>
        <w:t>had consented to this.</w:t>
      </w:r>
      <w:r w:rsidR="003A1662" w:rsidRPr="00300A27">
        <w:rPr>
          <w:rStyle w:val="Refdenotaalpie"/>
          <w:spacing w:val="0"/>
          <w:lang w:val="en-US"/>
        </w:rPr>
        <w:footnoteReference w:id="254"/>
      </w:r>
      <w:bookmarkEnd w:id="147"/>
      <w:r w:rsidR="003A1662" w:rsidRPr="00300A27">
        <w:rPr>
          <w:spacing w:val="0"/>
          <w:lang w:val="en-US"/>
        </w:rPr>
        <w:t xml:space="preserve"> </w:t>
      </w:r>
      <w:r w:rsidR="00FB4A9B" w:rsidRPr="00300A27">
        <w:rPr>
          <w:spacing w:val="0"/>
          <w:lang w:val="en-US"/>
        </w:rPr>
        <w:t xml:space="preserve"> </w:t>
      </w:r>
    </w:p>
    <w:p w14:paraId="29CE116B" w14:textId="5A51392C" w:rsidR="00D55903" w:rsidRPr="00300A27" w:rsidRDefault="00B524CE" w:rsidP="00B243B6">
      <w:pPr>
        <w:pStyle w:val="Ttulo4"/>
        <w:rPr>
          <w:lang w:val="en-US"/>
        </w:rPr>
      </w:pPr>
      <w:r w:rsidRPr="00300A27">
        <w:rPr>
          <w:lang w:val="en-US"/>
        </w:rPr>
        <w:t>B.2.</w:t>
      </w:r>
      <w:r w:rsidR="00BC472A" w:rsidRPr="00300A27">
        <w:rPr>
          <w:lang w:val="en-US"/>
        </w:rPr>
        <w:t>c</w:t>
      </w:r>
      <w:r w:rsidRPr="00300A27">
        <w:rPr>
          <w:lang w:val="en-US"/>
        </w:rPr>
        <w:t xml:space="preserve"> </w:t>
      </w:r>
      <w:r w:rsidR="00344961" w:rsidRPr="00300A27">
        <w:rPr>
          <w:lang w:val="en-US"/>
        </w:rPr>
        <w:t>Omissions in obtaining evidence and in the investigation of possible discriminatory motives</w:t>
      </w:r>
    </w:p>
    <w:bookmarkEnd w:id="145"/>
    <w:p w14:paraId="27B3EF04" w14:textId="15EE2737" w:rsidR="00D76EAF" w:rsidRPr="00300A27" w:rsidRDefault="000520DB" w:rsidP="00B243B6">
      <w:pPr>
        <w:pStyle w:val="PrrafodeSentencia"/>
        <w:numPr>
          <w:ilvl w:val="0"/>
          <w:numId w:val="3"/>
        </w:numPr>
        <w:spacing w:before="120" w:after="120"/>
        <w:ind w:left="0" w:firstLine="0"/>
        <w:rPr>
          <w:spacing w:val="0"/>
          <w:lang w:val="en-US"/>
        </w:rPr>
      </w:pPr>
      <w:r w:rsidRPr="00300A27">
        <w:rPr>
          <w:spacing w:val="0"/>
          <w:lang w:val="en-US"/>
        </w:rPr>
        <w:t>To</w:t>
      </w:r>
      <w:r w:rsidR="00DD6F3A" w:rsidRPr="00300A27">
        <w:rPr>
          <w:spacing w:val="0"/>
          <w:lang w:val="en-US"/>
        </w:rPr>
        <w:t xml:space="preserve"> guarantee the effectiveness of </w:t>
      </w:r>
      <w:r w:rsidRPr="00300A27">
        <w:rPr>
          <w:spacing w:val="0"/>
          <w:lang w:val="en-US"/>
        </w:rPr>
        <w:t>investigations into</w:t>
      </w:r>
      <w:r w:rsidR="00DD6F3A" w:rsidRPr="00300A27">
        <w:rPr>
          <w:spacing w:val="0"/>
          <w:lang w:val="en-US"/>
        </w:rPr>
        <w:t xml:space="preserve"> human rights violations, it is necessary to avoid omissions in obtaining evidence and in following up on logical lines of investigation.</w:t>
      </w:r>
      <w:r w:rsidR="00D76EAF" w:rsidRPr="00300A27">
        <w:rPr>
          <w:rStyle w:val="Refdenotaalpie"/>
          <w:spacing w:val="0"/>
          <w:lang w:val="en-US"/>
        </w:rPr>
        <w:footnoteReference w:id="255"/>
      </w:r>
      <w:r w:rsidR="00D06597" w:rsidRPr="00300A27">
        <w:rPr>
          <w:spacing w:val="0"/>
          <w:lang w:val="en-US"/>
        </w:rPr>
        <w:t xml:space="preserve"> </w:t>
      </w:r>
      <w:r w:rsidR="005B1C65" w:rsidRPr="00300A27">
        <w:rPr>
          <w:spacing w:val="0"/>
          <w:szCs w:val="20"/>
          <w:lang w:val="en-US"/>
        </w:rPr>
        <w:t>The Court</w:t>
      </w:r>
      <w:r w:rsidR="00B912D6" w:rsidRPr="00300A27">
        <w:rPr>
          <w:rFonts w:eastAsiaTheme="minorHAnsi"/>
          <w:spacing w:val="0"/>
          <w:szCs w:val="20"/>
          <w:lang w:val="en-US"/>
        </w:rPr>
        <w:t xml:space="preserve"> ha</w:t>
      </w:r>
      <w:r w:rsidR="00DD6F3A" w:rsidRPr="00300A27">
        <w:rPr>
          <w:rFonts w:eastAsiaTheme="minorHAnsi"/>
          <w:spacing w:val="0"/>
          <w:szCs w:val="20"/>
          <w:lang w:val="en-US"/>
        </w:rPr>
        <w:t xml:space="preserve">s indicated the guidelines that must be observed in criminal investigations into human rights violations and these may include: recovering and preserving probative elements in order to aid any potential criminal investigation of those responsible; identifying possible witnesses and obtaining their statements, and determining the cause, </w:t>
      </w:r>
      <w:r w:rsidRPr="00300A27">
        <w:rPr>
          <w:rFonts w:eastAsiaTheme="minorHAnsi"/>
          <w:spacing w:val="0"/>
          <w:szCs w:val="20"/>
          <w:lang w:val="en-US"/>
        </w:rPr>
        <w:t>manner</w:t>
      </w:r>
      <w:r w:rsidR="00DD6F3A" w:rsidRPr="00300A27">
        <w:rPr>
          <w:rFonts w:eastAsiaTheme="minorHAnsi"/>
          <w:spacing w:val="0"/>
          <w:szCs w:val="20"/>
          <w:lang w:val="en-US"/>
        </w:rPr>
        <w:t xml:space="preserve">, place and </w:t>
      </w:r>
      <w:r w:rsidRPr="00300A27">
        <w:rPr>
          <w:rFonts w:eastAsiaTheme="minorHAnsi"/>
          <w:spacing w:val="0"/>
          <w:szCs w:val="20"/>
          <w:lang w:val="en-US"/>
        </w:rPr>
        <w:t>time</w:t>
      </w:r>
      <w:r w:rsidR="00DD6F3A" w:rsidRPr="00300A27">
        <w:rPr>
          <w:rFonts w:eastAsiaTheme="minorHAnsi"/>
          <w:spacing w:val="0"/>
          <w:szCs w:val="20"/>
          <w:lang w:val="en-US"/>
        </w:rPr>
        <w:t xml:space="preserve"> of the act investigated. It is also necessary to conduct a thorough investigation of the scene of the crime, </w:t>
      </w:r>
      <w:r w:rsidRPr="00300A27">
        <w:rPr>
          <w:rFonts w:eastAsiaTheme="minorHAnsi"/>
          <w:spacing w:val="0"/>
          <w:szCs w:val="20"/>
          <w:lang w:val="en-US"/>
        </w:rPr>
        <w:t xml:space="preserve">and </w:t>
      </w:r>
      <w:r w:rsidR="00DD6F3A" w:rsidRPr="00300A27">
        <w:rPr>
          <w:rFonts w:eastAsiaTheme="minorHAnsi"/>
          <w:spacing w:val="0"/>
          <w:szCs w:val="20"/>
          <w:lang w:val="en-US"/>
        </w:rPr>
        <w:t>ensure that rigorous analyses are conducted by competent professionals using the most appropriate procedures,</w:t>
      </w:r>
      <w:r w:rsidR="00B912D6" w:rsidRPr="00300A27">
        <w:rPr>
          <w:rStyle w:val="Refdenotaalpie"/>
          <w:rFonts w:eastAsiaTheme="minorHAnsi"/>
          <w:spacing w:val="0"/>
          <w:szCs w:val="20"/>
          <w:lang w:val="en-US"/>
        </w:rPr>
        <w:footnoteReference w:id="256"/>
      </w:r>
      <w:r w:rsidR="00DD6F3A" w:rsidRPr="00300A27">
        <w:rPr>
          <w:rFonts w:eastAsiaTheme="minorHAnsi"/>
          <w:spacing w:val="0"/>
          <w:szCs w:val="20"/>
          <w:lang w:val="en-US"/>
        </w:rPr>
        <w:t xml:space="preserve"> and this involves guaranteeing the proper chain of custody</w:t>
      </w:r>
      <w:r w:rsidR="00B912D6" w:rsidRPr="00300A27">
        <w:rPr>
          <w:rFonts w:eastAsiaTheme="minorHAnsi"/>
          <w:spacing w:val="0"/>
          <w:szCs w:val="20"/>
          <w:lang w:val="en-US"/>
        </w:rPr>
        <w:t>.</w:t>
      </w:r>
      <w:r w:rsidR="00D76EAF" w:rsidRPr="00300A27">
        <w:rPr>
          <w:spacing w:val="0"/>
          <w:lang w:val="en-US"/>
        </w:rPr>
        <w:t xml:space="preserve"> </w:t>
      </w:r>
    </w:p>
    <w:p w14:paraId="028BA4EB" w14:textId="21971D50" w:rsidR="00D55903" w:rsidRPr="00300A27" w:rsidRDefault="006D7B0B" w:rsidP="00B243B6">
      <w:pPr>
        <w:pStyle w:val="PrrafodeSentencia"/>
        <w:numPr>
          <w:ilvl w:val="0"/>
          <w:numId w:val="3"/>
        </w:numPr>
        <w:spacing w:before="120" w:after="120"/>
        <w:ind w:left="0" w:firstLine="0"/>
        <w:rPr>
          <w:spacing w:val="0"/>
          <w:lang w:val="en-US"/>
        </w:rPr>
      </w:pPr>
      <w:bookmarkStart w:id="148" w:name="_Ref446690926"/>
      <w:r w:rsidRPr="00300A27">
        <w:rPr>
          <w:spacing w:val="0"/>
          <w:lang w:val="en-US"/>
        </w:rPr>
        <w:t>In th</w:t>
      </w:r>
      <w:r w:rsidR="000520DB" w:rsidRPr="00300A27">
        <w:rPr>
          <w:spacing w:val="0"/>
          <w:lang w:val="en-US"/>
        </w:rPr>
        <w:t>e instant</w:t>
      </w:r>
      <w:r w:rsidRPr="00300A27">
        <w:rPr>
          <w:spacing w:val="0"/>
          <w:lang w:val="en-US"/>
        </w:rPr>
        <w:t xml:space="preserve"> case, the Court notes that evidence was not secured in the areas where the presumed victim said she had been in </w:t>
      </w:r>
      <w:r w:rsidR="008546E9" w:rsidRPr="00300A27">
        <w:rPr>
          <w:spacing w:val="0"/>
          <w:lang w:val="en-US"/>
        </w:rPr>
        <w:t xml:space="preserve">the </w:t>
      </w:r>
      <w:r w:rsidR="00910D8E" w:rsidRPr="00300A27">
        <w:rPr>
          <w:spacing w:val="0"/>
          <w:lang w:val="en-US"/>
        </w:rPr>
        <w:t>Casa Grande Police Station</w:t>
      </w:r>
      <w:r w:rsidR="000520DB" w:rsidRPr="00300A27">
        <w:rPr>
          <w:spacing w:val="0"/>
          <w:lang w:val="en-US"/>
        </w:rPr>
        <w:t>; n</w:t>
      </w:r>
      <w:r w:rsidRPr="00300A27">
        <w:rPr>
          <w:spacing w:val="0"/>
          <w:lang w:val="en-US"/>
        </w:rPr>
        <w:t>or was the immediate custody required of key evidence</w:t>
      </w:r>
      <w:r w:rsidR="000520DB" w:rsidRPr="00300A27">
        <w:rPr>
          <w:spacing w:val="0"/>
          <w:lang w:val="en-US"/>
        </w:rPr>
        <w:t>,</w:t>
      </w:r>
      <w:r w:rsidRPr="00300A27">
        <w:rPr>
          <w:spacing w:val="0"/>
          <w:lang w:val="en-US"/>
        </w:rPr>
        <w:t xml:space="preserve"> including the clothing that </w:t>
      </w:r>
      <w:r w:rsidR="008546E9" w:rsidRPr="00300A27">
        <w:rPr>
          <w:spacing w:val="0"/>
          <w:lang w:val="en-US"/>
        </w:rPr>
        <w:t>Ms. Rojas</w:t>
      </w:r>
      <w:r w:rsidR="00D76EAF" w:rsidRPr="00300A27">
        <w:rPr>
          <w:spacing w:val="0"/>
          <w:lang w:val="en-US"/>
        </w:rPr>
        <w:t xml:space="preserve"> Marín</w:t>
      </w:r>
      <w:r w:rsidRPr="00300A27">
        <w:rPr>
          <w:spacing w:val="0"/>
          <w:lang w:val="en-US"/>
        </w:rPr>
        <w:t xml:space="preserve"> was wearing at the time</w:t>
      </w:r>
      <w:r w:rsidR="000520DB" w:rsidRPr="00300A27">
        <w:rPr>
          <w:spacing w:val="0"/>
          <w:lang w:val="en-US"/>
        </w:rPr>
        <w:t xml:space="preserve"> and</w:t>
      </w:r>
      <w:r w:rsidRPr="00300A27">
        <w:rPr>
          <w:spacing w:val="0"/>
          <w:lang w:val="en-US"/>
        </w:rPr>
        <w:t xml:space="preserve"> the rubber baton involved in the incident. Even though</w:t>
      </w:r>
      <w:r w:rsidR="000520DB" w:rsidRPr="00300A27">
        <w:rPr>
          <w:spacing w:val="0"/>
          <w:lang w:val="en-US"/>
        </w:rPr>
        <w:t xml:space="preserve"> both items </w:t>
      </w:r>
      <w:r w:rsidRPr="00300A27">
        <w:rPr>
          <w:spacing w:val="0"/>
          <w:lang w:val="en-US"/>
        </w:rPr>
        <w:t xml:space="preserve">underwent biological testing, they were </w:t>
      </w:r>
      <w:r w:rsidR="00AB1722" w:rsidRPr="00300A27">
        <w:rPr>
          <w:spacing w:val="0"/>
          <w:lang w:val="en-US"/>
        </w:rPr>
        <w:t xml:space="preserve">only </w:t>
      </w:r>
      <w:r w:rsidRPr="00300A27">
        <w:rPr>
          <w:spacing w:val="0"/>
          <w:lang w:val="en-US"/>
        </w:rPr>
        <w:t xml:space="preserve">handed in </w:t>
      </w:r>
      <w:r w:rsidR="00910D8E" w:rsidRPr="00300A27">
        <w:rPr>
          <w:spacing w:val="0"/>
          <w:lang w:val="en-US"/>
        </w:rPr>
        <w:t>on February 29,</w:t>
      </w:r>
      <w:r w:rsidR="00A327D7" w:rsidRPr="00300A27">
        <w:rPr>
          <w:spacing w:val="0"/>
          <w:lang w:val="en-US"/>
        </w:rPr>
        <w:t xml:space="preserve"> 2008</w:t>
      </w:r>
      <w:r w:rsidRPr="00300A27">
        <w:rPr>
          <w:spacing w:val="0"/>
          <w:lang w:val="en-US"/>
        </w:rPr>
        <w:t>,</w:t>
      </w:r>
      <w:r w:rsidR="00E91AAC" w:rsidRPr="00300A27">
        <w:rPr>
          <w:rStyle w:val="Refdenotaalpie"/>
          <w:spacing w:val="0"/>
          <w:lang w:val="en-US"/>
        </w:rPr>
        <w:footnoteReference w:id="257"/>
      </w:r>
      <w:r w:rsidRPr="00300A27">
        <w:rPr>
          <w:spacing w:val="0"/>
          <w:lang w:val="en-US"/>
        </w:rPr>
        <w:t xml:space="preserve"> so that there is no certainty that evidence was preserved on them. </w:t>
      </w:r>
      <w:bookmarkEnd w:id="148"/>
    </w:p>
    <w:p w14:paraId="4A62D25C" w14:textId="08C05DB3" w:rsidR="00E01655" w:rsidRPr="00300A27" w:rsidRDefault="006D7B0B" w:rsidP="00B243B6">
      <w:pPr>
        <w:pStyle w:val="PrrafodeSentencia"/>
        <w:numPr>
          <w:ilvl w:val="0"/>
          <w:numId w:val="3"/>
        </w:numPr>
        <w:spacing w:before="120" w:after="120"/>
        <w:ind w:left="0" w:firstLine="0"/>
        <w:rPr>
          <w:spacing w:val="0"/>
          <w:lang w:val="en-US"/>
        </w:rPr>
      </w:pPr>
      <w:r w:rsidRPr="00300A27">
        <w:rPr>
          <w:spacing w:val="0"/>
          <w:lang w:val="en-US"/>
        </w:rPr>
        <w:t>The</w:t>
      </w:r>
      <w:r w:rsidR="005B1C65" w:rsidRPr="00300A27">
        <w:rPr>
          <w:spacing w:val="0"/>
          <w:lang w:val="en-US"/>
        </w:rPr>
        <w:t xml:space="preserve"> Court</w:t>
      </w:r>
      <w:r w:rsidR="007F7CE5" w:rsidRPr="00300A27">
        <w:rPr>
          <w:spacing w:val="0"/>
          <w:lang w:val="en-US"/>
        </w:rPr>
        <w:t xml:space="preserve"> </w:t>
      </w:r>
      <w:r w:rsidRPr="00300A27">
        <w:rPr>
          <w:spacing w:val="0"/>
          <w:lang w:val="en-US"/>
        </w:rPr>
        <w:t>also considers that when violent acts, such as torture, are investigated, the State authorities have the obligation to take all reasonable measures to discover whether there are possible discriminatory motives.</w:t>
      </w:r>
      <w:r w:rsidR="007F7CE5" w:rsidRPr="00300A27">
        <w:rPr>
          <w:rStyle w:val="Refdenotaalpie"/>
          <w:spacing w:val="0"/>
          <w:lang w:val="en-US"/>
        </w:rPr>
        <w:footnoteReference w:id="258"/>
      </w:r>
      <w:r w:rsidRPr="00300A27">
        <w:rPr>
          <w:spacing w:val="0"/>
          <w:lang w:val="en-US"/>
        </w:rPr>
        <w:t xml:space="preserve"> This obligation means that when there are specific indications or suspicions of violence based on discrimination, the State must do everything reasonable</w:t>
      </w:r>
      <w:r w:rsidR="000520DB" w:rsidRPr="00300A27">
        <w:rPr>
          <w:spacing w:val="0"/>
          <w:lang w:val="en-US"/>
        </w:rPr>
        <w:t>,</w:t>
      </w:r>
      <w:r w:rsidRPr="00300A27">
        <w:rPr>
          <w:spacing w:val="0"/>
          <w:lang w:val="en-US"/>
        </w:rPr>
        <w:t xml:space="preserve"> according to the circumstances</w:t>
      </w:r>
      <w:r w:rsidR="000520DB" w:rsidRPr="00300A27">
        <w:rPr>
          <w:spacing w:val="0"/>
          <w:lang w:val="en-US"/>
        </w:rPr>
        <w:t>,</w:t>
      </w:r>
      <w:r w:rsidRPr="00300A27">
        <w:rPr>
          <w:spacing w:val="0"/>
          <w:lang w:val="en-US"/>
        </w:rPr>
        <w:t xml:space="preserve"> to collect and secure the evidence, use all practical means to discover the truth, and issue fully reasoned, impartial and objective decisions, without omitting suspicious facts that could indicate violence</w:t>
      </w:r>
      <w:r w:rsidR="000520DB" w:rsidRPr="00300A27">
        <w:rPr>
          <w:spacing w:val="0"/>
          <w:lang w:val="en-US"/>
        </w:rPr>
        <w:t xml:space="preserve"> based on</w:t>
      </w:r>
      <w:r w:rsidRPr="00300A27">
        <w:rPr>
          <w:spacing w:val="0"/>
          <w:lang w:val="en-US"/>
        </w:rPr>
        <w:t xml:space="preserve"> discrimination.</w:t>
      </w:r>
      <w:r w:rsidR="005804B2" w:rsidRPr="00300A27">
        <w:rPr>
          <w:rStyle w:val="Refdenotaalpie"/>
          <w:spacing w:val="0"/>
          <w:lang w:val="en-US"/>
        </w:rPr>
        <w:footnoteReference w:id="259"/>
      </w:r>
      <w:r w:rsidRPr="00300A27">
        <w:rPr>
          <w:spacing w:val="0"/>
          <w:lang w:val="en-US"/>
        </w:rPr>
        <w:t xml:space="preserve"> The authorities’ failure to investigate possible discriminatory motives may, in itself, constitute a form of discrimination, contrary to the prohibition established in</w:t>
      </w:r>
      <w:r w:rsidR="005804B2" w:rsidRPr="00300A27">
        <w:rPr>
          <w:spacing w:val="0"/>
          <w:lang w:val="en-US"/>
        </w:rPr>
        <w:t xml:space="preserve"> </w:t>
      </w:r>
      <w:r w:rsidR="005B1C65" w:rsidRPr="00300A27">
        <w:rPr>
          <w:spacing w:val="0"/>
          <w:lang w:val="en-US"/>
        </w:rPr>
        <w:t>Article</w:t>
      </w:r>
      <w:r w:rsidR="005804B2" w:rsidRPr="00300A27">
        <w:rPr>
          <w:spacing w:val="0"/>
          <w:lang w:val="en-US"/>
        </w:rPr>
        <w:t xml:space="preserve"> </w:t>
      </w:r>
      <w:r w:rsidR="00BA3C7F" w:rsidRPr="00300A27">
        <w:rPr>
          <w:spacing w:val="0"/>
          <w:lang w:val="en-US"/>
        </w:rPr>
        <w:t>1(1)</w:t>
      </w:r>
      <w:r w:rsidR="005B1C65" w:rsidRPr="00300A27">
        <w:rPr>
          <w:spacing w:val="0"/>
          <w:lang w:val="en-US"/>
        </w:rPr>
        <w:t xml:space="preserve"> of the Convention</w:t>
      </w:r>
      <w:r w:rsidRPr="00300A27">
        <w:rPr>
          <w:spacing w:val="0"/>
          <w:lang w:val="en-US"/>
        </w:rPr>
        <w:t>.</w:t>
      </w:r>
      <w:r w:rsidR="005804B2" w:rsidRPr="00300A27">
        <w:rPr>
          <w:rStyle w:val="Refdenotaalpie"/>
          <w:spacing w:val="0"/>
          <w:lang w:val="en-US"/>
        </w:rPr>
        <w:footnoteReference w:id="260"/>
      </w:r>
    </w:p>
    <w:p w14:paraId="3C7B4323" w14:textId="7B6A5D60" w:rsidR="00547188" w:rsidRPr="00300A27" w:rsidRDefault="00FD7B81" w:rsidP="00B243B6">
      <w:pPr>
        <w:pStyle w:val="PrrafodeSentencia"/>
        <w:numPr>
          <w:ilvl w:val="0"/>
          <w:numId w:val="3"/>
        </w:numPr>
        <w:spacing w:before="120" w:after="120"/>
        <w:ind w:left="0" w:firstLine="0"/>
        <w:rPr>
          <w:spacing w:val="0"/>
          <w:lang w:val="en-US"/>
        </w:rPr>
      </w:pPr>
      <w:r w:rsidRPr="00300A27">
        <w:rPr>
          <w:spacing w:val="0"/>
          <w:lang w:val="en-US"/>
        </w:rPr>
        <w:t xml:space="preserve">In addition, the Court notes that, during the investigation, the </w:t>
      </w:r>
      <w:r w:rsidR="00892EDF" w:rsidRPr="00300A27">
        <w:rPr>
          <w:spacing w:val="0"/>
          <w:lang w:val="en-US"/>
        </w:rPr>
        <w:t>Public Prosecution Service</w:t>
      </w:r>
      <w:r w:rsidR="00BB11F5" w:rsidRPr="00300A27">
        <w:rPr>
          <w:spacing w:val="0"/>
          <w:lang w:val="en-US"/>
        </w:rPr>
        <w:t xml:space="preserve"> </w:t>
      </w:r>
      <w:r w:rsidRPr="00300A27">
        <w:rPr>
          <w:spacing w:val="0"/>
          <w:lang w:val="en-US"/>
        </w:rPr>
        <w:t xml:space="preserve">never examined the possibility of whether the detention and subsequent torture </w:t>
      </w:r>
      <w:r w:rsidR="008546E9" w:rsidRPr="00300A27">
        <w:rPr>
          <w:spacing w:val="0"/>
          <w:lang w:val="en-US"/>
        </w:rPr>
        <w:t xml:space="preserve">of the </w:t>
      </w:r>
      <w:r w:rsidR="00834A1B" w:rsidRPr="00300A27">
        <w:rPr>
          <w:spacing w:val="0"/>
          <w:lang w:val="en-US"/>
        </w:rPr>
        <w:t>presumed victim</w:t>
      </w:r>
      <w:r w:rsidR="00680176" w:rsidRPr="00300A27">
        <w:rPr>
          <w:spacing w:val="0"/>
          <w:lang w:val="en-US"/>
        </w:rPr>
        <w:t xml:space="preserve"> </w:t>
      </w:r>
      <w:r w:rsidRPr="00300A27">
        <w:rPr>
          <w:spacing w:val="0"/>
          <w:lang w:val="en-US"/>
        </w:rPr>
        <w:t xml:space="preserve">were motivated by </w:t>
      </w:r>
      <w:r w:rsidR="008546E9" w:rsidRPr="00300A27">
        <w:rPr>
          <w:spacing w:val="0"/>
          <w:lang w:val="en-US"/>
        </w:rPr>
        <w:t>Ms. Rojas</w:t>
      </w:r>
      <w:r w:rsidR="00BB11F5" w:rsidRPr="00300A27">
        <w:rPr>
          <w:spacing w:val="0"/>
          <w:lang w:val="en-US"/>
        </w:rPr>
        <w:t xml:space="preserve"> Marín</w:t>
      </w:r>
      <w:r w:rsidR="00714459" w:rsidRPr="00300A27">
        <w:rPr>
          <w:spacing w:val="0"/>
          <w:lang w:val="en-US"/>
        </w:rPr>
        <w:t>’s sexual orientation or gender expression</w:t>
      </w:r>
      <w:r w:rsidR="00BB11F5" w:rsidRPr="00300A27">
        <w:rPr>
          <w:spacing w:val="0"/>
          <w:lang w:val="en-US"/>
        </w:rPr>
        <w:t>.</w:t>
      </w:r>
      <w:r w:rsidRPr="00300A27">
        <w:rPr>
          <w:spacing w:val="0"/>
          <w:lang w:val="en-US"/>
        </w:rPr>
        <w:t xml:space="preserve"> The authorities did not conduct any investigative action in relation to the derogatory comments that</w:t>
      </w:r>
      <w:r w:rsidR="00BB11F5" w:rsidRPr="00300A27">
        <w:rPr>
          <w:spacing w:val="0"/>
          <w:lang w:val="en-US"/>
        </w:rPr>
        <w:t xml:space="preserve"> </w:t>
      </w:r>
      <w:r w:rsidR="008546E9" w:rsidRPr="00300A27">
        <w:rPr>
          <w:spacing w:val="0"/>
          <w:lang w:val="en-US"/>
        </w:rPr>
        <w:t>Ms. Rojas</w:t>
      </w:r>
      <w:r w:rsidR="00BB11F5" w:rsidRPr="00300A27">
        <w:rPr>
          <w:spacing w:val="0"/>
          <w:lang w:val="en-US"/>
        </w:rPr>
        <w:t xml:space="preserve"> Marín </w:t>
      </w:r>
      <w:r w:rsidRPr="00300A27">
        <w:rPr>
          <w:spacing w:val="0"/>
          <w:lang w:val="en-US"/>
        </w:rPr>
        <w:t xml:space="preserve">stated she had received </w:t>
      </w:r>
      <w:r w:rsidR="00714459" w:rsidRPr="00300A27">
        <w:rPr>
          <w:spacing w:val="0"/>
          <w:lang w:val="en-US"/>
        </w:rPr>
        <w:t>concerning</w:t>
      </w:r>
      <w:r w:rsidRPr="00300A27">
        <w:rPr>
          <w:spacing w:val="0"/>
          <w:lang w:val="en-US"/>
        </w:rPr>
        <w:t xml:space="preserve"> her sexual orientation. Also, </w:t>
      </w:r>
      <w:r w:rsidR="00714459" w:rsidRPr="00300A27">
        <w:rPr>
          <w:spacing w:val="0"/>
          <w:lang w:val="en-US"/>
        </w:rPr>
        <w:t>during</w:t>
      </w:r>
      <w:r w:rsidRPr="00300A27">
        <w:rPr>
          <w:spacing w:val="0"/>
          <w:lang w:val="en-US"/>
        </w:rPr>
        <w:t xml:space="preserve"> one of the psychiatric assessment, one of those possibly responsible made homophobic comments</w:t>
      </w:r>
      <w:r w:rsidR="00BB11F5" w:rsidRPr="00300A27">
        <w:rPr>
          <w:rStyle w:val="Refdenotaalpie"/>
          <w:rFonts w:eastAsiaTheme="minorHAnsi" w:cs="Cambria"/>
          <w:spacing w:val="0"/>
          <w:szCs w:val="20"/>
          <w:lang w:val="en-US"/>
        </w:rPr>
        <w:footnoteReference w:id="261"/>
      </w:r>
      <w:r w:rsidR="005B1C65" w:rsidRPr="00300A27">
        <w:rPr>
          <w:spacing w:val="0"/>
          <w:szCs w:val="20"/>
          <w:lang w:val="en-US"/>
        </w:rPr>
        <w:t xml:space="preserve"> </w:t>
      </w:r>
      <w:r w:rsidRPr="00300A27">
        <w:rPr>
          <w:spacing w:val="0"/>
          <w:szCs w:val="20"/>
          <w:lang w:val="en-US"/>
        </w:rPr>
        <w:t>which were not followed up on.</w:t>
      </w:r>
    </w:p>
    <w:p w14:paraId="0ED6E99D" w14:textId="40F1C821" w:rsidR="00D3177C" w:rsidRPr="00300A27" w:rsidRDefault="00D3177C" w:rsidP="00B243B6">
      <w:pPr>
        <w:pStyle w:val="Ttulo4"/>
        <w:rPr>
          <w:lang w:val="en-US"/>
        </w:rPr>
      </w:pPr>
      <w:r w:rsidRPr="00300A27">
        <w:rPr>
          <w:lang w:val="en-US"/>
        </w:rPr>
        <w:t>B.2.d U</w:t>
      </w:r>
      <w:r w:rsidR="003A3A79" w:rsidRPr="00300A27">
        <w:rPr>
          <w:lang w:val="en-US"/>
        </w:rPr>
        <w:t>se of discriminatory stereotyp</w:t>
      </w:r>
      <w:r w:rsidR="00714459" w:rsidRPr="00300A27">
        <w:rPr>
          <w:lang w:val="en-US"/>
        </w:rPr>
        <w:t>ing</w:t>
      </w:r>
      <w:r w:rsidR="003A3A79" w:rsidRPr="00300A27">
        <w:rPr>
          <w:lang w:val="en-US"/>
        </w:rPr>
        <w:t xml:space="preserve"> during the investigation</w:t>
      </w:r>
    </w:p>
    <w:p w14:paraId="65CCE521" w14:textId="5A7FFAC6" w:rsidR="00D3177C" w:rsidRPr="00300A27" w:rsidRDefault="005B1C65" w:rsidP="00B243B6">
      <w:pPr>
        <w:widowControl w:val="0"/>
        <w:numPr>
          <w:ilvl w:val="0"/>
          <w:numId w:val="3"/>
        </w:numPr>
        <w:tabs>
          <w:tab w:val="left" w:pos="567"/>
        </w:tabs>
        <w:adjustRightInd w:val="0"/>
        <w:spacing w:before="120" w:after="120"/>
        <w:ind w:left="0" w:firstLine="0"/>
        <w:jc w:val="both"/>
        <w:textAlignment w:val="baseline"/>
        <w:rPr>
          <w:rFonts w:eastAsia="Calibri"/>
          <w:szCs w:val="20"/>
          <w:lang w:eastAsia="es-MX"/>
        </w:rPr>
      </w:pPr>
      <w:bookmarkStart w:id="149" w:name="_Ref35856538"/>
      <w:r w:rsidRPr="00300A27">
        <w:rPr>
          <w:rFonts w:eastAsia="Batang"/>
          <w:szCs w:val="20"/>
          <w:lang w:eastAsia="es-MX"/>
        </w:rPr>
        <w:t>The Court</w:t>
      </w:r>
      <w:r w:rsidR="00D3177C" w:rsidRPr="00300A27">
        <w:rPr>
          <w:rFonts w:eastAsia="Batang"/>
          <w:szCs w:val="20"/>
          <w:lang w:eastAsia="es-MX"/>
        </w:rPr>
        <w:t xml:space="preserve"> rec</w:t>
      </w:r>
      <w:r w:rsidR="003A3A79" w:rsidRPr="00300A27">
        <w:rPr>
          <w:rFonts w:eastAsia="Batang"/>
          <w:szCs w:val="20"/>
          <w:lang w:eastAsia="es-MX"/>
        </w:rPr>
        <w:t>alls that stereotyp</w:t>
      </w:r>
      <w:r w:rsidR="00714459" w:rsidRPr="00300A27">
        <w:rPr>
          <w:rFonts w:eastAsia="Batang"/>
          <w:szCs w:val="20"/>
          <w:lang w:eastAsia="es-MX"/>
        </w:rPr>
        <w:t>ing</w:t>
      </w:r>
      <w:r w:rsidR="003A3A79" w:rsidRPr="00300A27">
        <w:rPr>
          <w:rFonts w:eastAsia="Batang"/>
          <w:szCs w:val="20"/>
          <w:lang w:eastAsia="es-MX"/>
        </w:rPr>
        <w:t xml:space="preserve"> based on </w:t>
      </w:r>
      <w:r w:rsidR="00CC6548" w:rsidRPr="00300A27">
        <w:rPr>
          <w:rFonts w:eastAsia="Batang"/>
          <w:szCs w:val="20"/>
          <w:lang w:eastAsia="es-MX"/>
        </w:rPr>
        <w:t>sexual orientation</w:t>
      </w:r>
      <w:r w:rsidR="00D3177C" w:rsidRPr="00300A27">
        <w:rPr>
          <w:rFonts w:eastAsia="Batang"/>
          <w:szCs w:val="20"/>
          <w:lang w:eastAsia="es-MX"/>
        </w:rPr>
        <w:t xml:space="preserve"> </w:t>
      </w:r>
      <w:r w:rsidR="003A3A79" w:rsidRPr="00300A27">
        <w:rPr>
          <w:rFonts w:eastAsia="Batang"/>
          <w:szCs w:val="20"/>
          <w:lang w:eastAsia="es-MX"/>
        </w:rPr>
        <w:t>refers to a preconception of attributes, conducts or characteristics possessed by a person based on their</w:t>
      </w:r>
      <w:r w:rsidR="00D3177C" w:rsidRPr="00300A27">
        <w:t xml:space="preserve"> </w:t>
      </w:r>
      <w:r w:rsidR="00CC6548" w:rsidRPr="00300A27">
        <w:t>sexual orientation</w:t>
      </w:r>
      <w:r w:rsidR="003A3A79" w:rsidRPr="00300A27">
        <w:t>,</w:t>
      </w:r>
      <w:r w:rsidR="00D3177C" w:rsidRPr="00300A27">
        <w:rPr>
          <w:rStyle w:val="Refdenotaalpie"/>
        </w:rPr>
        <w:footnoteReference w:id="262"/>
      </w:r>
      <w:r w:rsidR="003A3A79" w:rsidRPr="00300A27">
        <w:t xml:space="preserve"> in this case in particular, </w:t>
      </w:r>
      <w:r w:rsidR="00714459" w:rsidRPr="00300A27">
        <w:t>by</w:t>
      </w:r>
      <w:r w:rsidR="003A3A79" w:rsidRPr="00300A27">
        <w:t xml:space="preserve"> homosexual men or </w:t>
      </w:r>
      <w:r w:rsidR="00714459" w:rsidRPr="00300A27">
        <w:t xml:space="preserve">men </w:t>
      </w:r>
      <w:r w:rsidR="003A3A79" w:rsidRPr="00300A27">
        <w:t>perceived as such.</w:t>
      </w:r>
      <w:bookmarkEnd w:id="149"/>
    </w:p>
    <w:p w14:paraId="56988E39" w14:textId="1AA92D53" w:rsidR="00D06597" w:rsidRPr="00300A27" w:rsidRDefault="003A3A79" w:rsidP="00B243B6">
      <w:pPr>
        <w:widowControl w:val="0"/>
        <w:numPr>
          <w:ilvl w:val="0"/>
          <w:numId w:val="3"/>
        </w:numPr>
        <w:tabs>
          <w:tab w:val="left" w:pos="567"/>
        </w:tabs>
        <w:adjustRightInd w:val="0"/>
        <w:spacing w:before="120" w:after="120"/>
        <w:ind w:left="0" w:firstLine="0"/>
        <w:jc w:val="both"/>
        <w:textAlignment w:val="baseline"/>
        <w:rPr>
          <w:rFonts w:eastAsia="Calibri"/>
          <w:szCs w:val="20"/>
          <w:lang w:eastAsia="es-MX"/>
        </w:rPr>
      </w:pPr>
      <w:r w:rsidRPr="00300A27">
        <w:rPr>
          <w:rFonts w:eastAsia="Calibri"/>
          <w:szCs w:val="20"/>
        </w:rPr>
        <w:t>I</w:t>
      </w:r>
      <w:r w:rsidR="00D06597" w:rsidRPr="00300A27">
        <w:rPr>
          <w:rFonts w:eastAsia="Calibri"/>
          <w:szCs w:val="20"/>
        </w:rPr>
        <w:t xml:space="preserve">n particular, </w:t>
      </w:r>
      <w:r w:rsidR="005B1C65" w:rsidRPr="00300A27">
        <w:rPr>
          <w:rFonts w:eastAsia="Calibri"/>
          <w:szCs w:val="20"/>
        </w:rPr>
        <w:t>the Court</w:t>
      </w:r>
      <w:r w:rsidR="00D06597" w:rsidRPr="00300A27">
        <w:rPr>
          <w:szCs w:val="20"/>
        </w:rPr>
        <w:t xml:space="preserve"> ha</w:t>
      </w:r>
      <w:r w:rsidRPr="00300A27">
        <w:rPr>
          <w:szCs w:val="20"/>
        </w:rPr>
        <w:t>s recognized that person</w:t>
      </w:r>
      <w:r w:rsidR="00714459" w:rsidRPr="00300A27">
        <w:rPr>
          <w:szCs w:val="20"/>
        </w:rPr>
        <w:t>al</w:t>
      </w:r>
      <w:r w:rsidRPr="00300A27">
        <w:rPr>
          <w:szCs w:val="20"/>
        </w:rPr>
        <w:t xml:space="preserve"> prejudices and gender stereotypes affect the objectivity of State officials responsible for investigating complaints, influencing their perception</w:t>
      </w:r>
      <w:r w:rsidR="00714459" w:rsidRPr="00300A27">
        <w:rPr>
          <w:szCs w:val="20"/>
        </w:rPr>
        <w:t>s when</w:t>
      </w:r>
      <w:r w:rsidRPr="00300A27">
        <w:rPr>
          <w:szCs w:val="20"/>
        </w:rPr>
        <w:t xml:space="preserve"> determin</w:t>
      </w:r>
      <w:r w:rsidR="00714459" w:rsidRPr="00300A27">
        <w:rPr>
          <w:szCs w:val="20"/>
        </w:rPr>
        <w:t>ing</w:t>
      </w:r>
      <w:r w:rsidRPr="00300A27">
        <w:rPr>
          <w:szCs w:val="20"/>
        </w:rPr>
        <w:t xml:space="preserve"> whether or not an act of violence occurred, </w:t>
      </w:r>
      <w:r w:rsidR="00714459" w:rsidRPr="00300A27">
        <w:rPr>
          <w:szCs w:val="20"/>
        </w:rPr>
        <w:t>and</w:t>
      </w:r>
      <w:r w:rsidRPr="00300A27">
        <w:rPr>
          <w:szCs w:val="20"/>
        </w:rPr>
        <w:t xml:space="preserve"> their evaluation of the credibility of witness</w:t>
      </w:r>
      <w:r w:rsidR="00714459" w:rsidRPr="00300A27">
        <w:rPr>
          <w:szCs w:val="20"/>
        </w:rPr>
        <w:t>es</w:t>
      </w:r>
      <w:r w:rsidRPr="00300A27">
        <w:rPr>
          <w:szCs w:val="20"/>
        </w:rPr>
        <w:t xml:space="preserve"> and of the victims themselves. “</w:t>
      </w:r>
      <w:r w:rsidR="00714459" w:rsidRPr="00300A27">
        <w:rPr>
          <w:szCs w:val="20"/>
        </w:rPr>
        <w:t>S</w:t>
      </w:r>
      <w:r w:rsidRPr="00300A27">
        <w:rPr>
          <w:szCs w:val="20"/>
        </w:rPr>
        <w:t>tereotyping distorts perceptions and results in decisions based on preconceived beliefs and myths rather than relevant facts,” “which can, in turn, lead to miscarriage of justice, including the revictimization of complainants.”</w:t>
      </w:r>
      <w:r w:rsidR="00D06597" w:rsidRPr="00300A27">
        <w:rPr>
          <w:rFonts w:eastAsia="Calibri" w:cs="Cambria"/>
          <w:szCs w:val="20"/>
          <w:vertAlign w:val="superscript"/>
        </w:rPr>
        <w:footnoteReference w:id="263"/>
      </w:r>
      <w:r w:rsidR="00D06597" w:rsidRPr="00300A27">
        <w:rPr>
          <w:rFonts w:eastAsia="Calibri"/>
          <w:szCs w:val="20"/>
        </w:rPr>
        <w:t xml:space="preserve"> </w:t>
      </w:r>
      <w:r w:rsidR="005B1C65" w:rsidRPr="00300A27">
        <w:rPr>
          <w:rFonts w:eastAsia="Calibri"/>
          <w:szCs w:val="20"/>
        </w:rPr>
        <w:t>The Court</w:t>
      </w:r>
      <w:r w:rsidR="00D06597" w:rsidRPr="00300A27">
        <w:rPr>
          <w:rFonts w:eastAsia="Calibri"/>
          <w:szCs w:val="20"/>
        </w:rPr>
        <w:t xml:space="preserve"> consider</w:t>
      </w:r>
      <w:r w:rsidRPr="00300A27">
        <w:rPr>
          <w:rFonts w:eastAsia="Calibri"/>
          <w:szCs w:val="20"/>
        </w:rPr>
        <w:t xml:space="preserve">s that the same may occur in cases of stereotyping based on </w:t>
      </w:r>
      <w:r w:rsidR="00CC6548" w:rsidRPr="00300A27">
        <w:rPr>
          <w:rFonts w:eastAsia="Calibri"/>
          <w:szCs w:val="20"/>
        </w:rPr>
        <w:t>sexual orientation</w:t>
      </w:r>
      <w:r w:rsidR="00D06597" w:rsidRPr="00300A27">
        <w:rPr>
          <w:rStyle w:val="Refdenotaalpie"/>
          <w:rFonts w:eastAsia="Calibri"/>
          <w:szCs w:val="20"/>
        </w:rPr>
        <w:footnoteReference w:id="264"/>
      </w:r>
      <w:r w:rsidR="00D06597" w:rsidRPr="00300A27">
        <w:rPr>
          <w:rFonts w:eastAsia="Calibri"/>
          <w:szCs w:val="20"/>
        </w:rPr>
        <w:t xml:space="preserve">. </w:t>
      </w:r>
    </w:p>
    <w:p w14:paraId="2511C788" w14:textId="0A95A9E6" w:rsidR="00D3177C" w:rsidRPr="00300A27" w:rsidRDefault="003A3A79" w:rsidP="00B243B6">
      <w:pPr>
        <w:widowControl w:val="0"/>
        <w:numPr>
          <w:ilvl w:val="0"/>
          <w:numId w:val="3"/>
        </w:numPr>
        <w:tabs>
          <w:tab w:val="left" w:pos="567"/>
        </w:tabs>
        <w:adjustRightInd w:val="0"/>
        <w:spacing w:before="120" w:after="120"/>
        <w:ind w:left="0" w:firstLine="0"/>
        <w:jc w:val="both"/>
        <w:textAlignment w:val="baseline"/>
        <w:rPr>
          <w:rFonts w:eastAsia="Calibri"/>
          <w:szCs w:val="20"/>
          <w:lang w:eastAsia="es-MX"/>
        </w:rPr>
      </w:pPr>
      <w:r w:rsidRPr="00300A27">
        <w:rPr>
          <w:rFonts w:eastAsia="Batang" w:cs="Arial"/>
          <w:szCs w:val="20"/>
          <w:lang w:eastAsia="es-MX"/>
        </w:rPr>
        <w:t>In this case, the Court notes that, during the i</w:t>
      </w:r>
      <w:r w:rsidR="00737D26" w:rsidRPr="00300A27">
        <w:rPr>
          <w:rFonts w:eastAsia="Batang" w:cs="Arial"/>
          <w:szCs w:val="20"/>
          <w:lang w:eastAsia="es-MX"/>
        </w:rPr>
        <w:t>nvestigation of the facts</w:t>
      </w:r>
      <w:r w:rsidR="00D3177C" w:rsidRPr="00300A27">
        <w:rPr>
          <w:rFonts w:eastAsia="Batang" w:cs="Arial"/>
          <w:szCs w:val="20"/>
          <w:lang w:eastAsia="es-MX"/>
        </w:rPr>
        <w:t>,</w:t>
      </w:r>
      <w:r w:rsidRPr="00300A27">
        <w:rPr>
          <w:rFonts w:eastAsia="Batang" w:cs="Arial"/>
          <w:szCs w:val="20"/>
          <w:lang w:eastAsia="es-MX"/>
        </w:rPr>
        <w:t xml:space="preserve"> the prosecutor allegedly said</w:t>
      </w:r>
      <w:r w:rsidR="00E3353D" w:rsidRPr="00300A27">
        <w:rPr>
          <w:rFonts w:eastAsia="Batang" w:cs="Arial"/>
          <w:szCs w:val="20"/>
          <w:lang w:eastAsia="es-MX"/>
        </w:rPr>
        <w:t xml:space="preserve"> to</w:t>
      </w:r>
      <w:r w:rsidRPr="00300A27">
        <w:rPr>
          <w:rFonts w:eastAsia="Batang" w:cs="Arial"/>
          <w:szCs w:val="20"/>
          <w:lang w:eastAsia="es-MX"/>
        </w:rPr>
        <w:t xml:space="preserve"> </w:t>
      </w:r>
      <w:r w:rsidR="00834A1B" w:rsidRPr="00300A27">
        <w:t>the presumed victim</w:t>
      </w:r>
      <w:r w:rsidRPr="00300A27">
        <w:t>:</w:t>
      </w:r>
      <w:r w:rsidR="00D3177C" w:rsidRPr="00300A27">
        <w:t xml:space="preserve"> “</w:t>
      </w:r>
      <w:r w:rsidRPr="00300A27">
        <w:t>but if you’re a homosexual, how am I going to believe you.</w:t>
      </w:r>
      <w:r w:rsidR="00D3177C" w:rsidRPr="00300A27">
        <w:t>”</w:t>
      </w:r>
      <w:r w:rsidR="00D3177C" w:rsidRPr="00300A27">
        <w:rPr>
          <w:rStyle w:val="Refdenotaalpie"/>
        </w:rPr>
        <w:footnoteReference w:id="265"/>
      </w:r>
      <w:r w:rsidRPr="00300A27">
        <w:t xml:space="preserve"> Also, during the investigation conducted in this case, </w:t>
      </w:r>
      <w:r w:rsidR="00E3353D" w:rsidRPr="00300A27">
        <w:t>remarks</w:t>
      </w:r>
      <w:r w:rsidRPr="00300A27">
        <w:t xml:space="preserve"> were made </w:t>
      </w:r>
      <w:r w:rsidR="00E3353D" w:rsidRPr="00300A27">
        <w:t>with regard to</w:t>
      </w:r>
      <w:r w:rsidRPr="00300A27">
        <w:t xml:space="preserve"> the previous sexual conduct </w:t>
      </w:r>
      <w:r w:rsidR="008546E9" w:rsidRPr="00300A27">
        <w:t xml:space="preserve">of the </w:t>
      </w:r>
      <w:r w:rsidR="00834A1B" w:rsidRPr="00300A27">
        <w:t>presumed victim</w:t>
      </w:r>
      <w:r w:rsidR="008B385E" w:rsidRPr="00300A27">
        <w:t>.</w:t>
      </w:r>
    </w:p>
    <w:p w14:paraId="3708E99A" w14:textId="6251B820" w:rsidR="00851A0A" w:rsidRPr="00300A27" w:rsidRDefault="00B32149" w:rsidP="00B243B6">
      <w:pPr>
        <w:pStyle w:val="PrrafodeSentencia"/>
        <w:numPr>
          <w:ilvl w:val="0"/>
          <w:numId w:val="3"/>
        </w:numPr>
        <w:spacing w:before="120" w:after="120"/>
        <w:ind w:left="0" w:firstLine="0"/>
        <w:rPr>
          <w:spacing w:val="0"/>
          <w:lang w:val="en-US"/>
        </w:rPr>
      </w:pPr>
      <w:r w:rsidRPr="00300A27">
        <w:rPr>
          <w:spacing w:val="0"/>
          <w:lang w:val="en-US"/>
        </w:rPr>
        <w:t>The report of the</w:t>
      </w:r>
      <w:r w:rsidR="00D3177C" w:rsidRPr="00300A27">
        <w:rPr>
          <w:spacing w:val="0"/>
          <w:lang w:val="en-US"/>
        </w:rPr>
        <w:t xml:space="preserve"> </w:t>
      </w:r>
      <w:r w:rsidRPr="00300A27">
        <w:rPr>
          <w:spacing w:val="0"/>
          <w:lang w:val="en-US"/>
        </w:rPr>
        <w:t>f</w:t>
      </w:r>
      <w:r w:rsidR="002959DE" w:rsidRPr="00300A27">
        <w:rPr>
          <w:spacing w:val="0"/>
          <w:lang w:val="en-US"/>
        </w:rPr>
        <w:t xml:space="preserve">orensic </w:t>
      </w:r>
      <w:r w:rsidR="00467FD3" w:rsidRPr="00300A27">
        <w:rPr>
          <w:spacing w:val="0"/>
          <w:lang w:val="en-US"/>
        </w:rPr>
        <w:t xml:space="preserve">medical </w:t>
      </w:r>
      <w:r w:rsidR="002959DE" w:rsidRPr="00300A27">
        <w:rPr>
          <w:spacing w:val="0"/>
          <w:lang w:val="en-US"/>
        </w:rPr>
        <w:t>examination</w:t>
      </w:r>
      <w:r w:rsidR="00D3177C" w:rsidRPr="00300A27">
        <w:rPr>
          <w:spacing w:val="0"/>
          <w:lang w:val="en-US"/>
        </w:rPr>
        <w:t xml:space="preserve"> </w:t>
      </w:r>
      <w:r w:rsidRPr="00300A27">
        <w:rPr>
          <w:spacing w:val="0"/>
          <w:lang w:val="en-US"/>
        </w:rPr>
        <w:t xml:space="preserve">included unnecessary information on the frequency with which </w:t>
      </w:r>
      <w:r w:rsidR="00834A1B" w:rsidRPr="00300A27">
        <w:rPr>
          <w:spacing w:val="0"/>
          <w:lang w:val="en-US"/>
        </w:rPr>
        <w:t>the presumed victim</w:t>
      </w:r>
      <w:r w:rsidR="00D3177C" w:rsidRPr="00300A27">
        <w:rPr>
          <w:spacing w:val="0"/>
          <w:lang w:val="en-US"/>
        </w:rPr>
        <w:t xml:space="preserve"> </w:t>
      </w:r>
      <w:r w:rsidRPr="00300A27">
        <w:rPr>
          <w:spacing w:val="0"/>
          <w:lang w:val="en-US"/>
        </w:rPr>
        <w:t>had sexual relations and the age at which she became sexually active.</w:t>
      </w:r>
      <w:r w:rsidR="00D3177C" w:rsidRPr="00300A27">
        <w:rPr>
          <w:rStyle w:val="Refdenotaalpie"/>
          <w:spacing w:val="0"/>
          <w:szCs w:val="20"/>
          <w:lang w:val="en-US"/>
        </w:rPr>
        <w:footnoteReference w:id="266"/>
      </w:r>
      <w:r w:rsidR="00221310" w:rsidRPr="00300A27">
        <w:rPr>
          <w:spacing w:val="0"/>
          <w:lang w:val="en-US"/>
        </w:rPr>
        <w:t xml:space="preserve"> A</w:t>
      </w:r>
      <w:r w:rsidR="00D02C4B" w:rsidRPr="00300A27">
        <w:rPr>
          <w:spacing w:val="0"/>
          <w:lang w:val="en-US"/>
        </w:rPr>
        <w:t>lso, during the psychiatric assessment</w:t>
      </w:r>
      <w:r w:rsidR="00E3353D" w:rsidRPr="00300A27">
        <w:rPr>
          <w:spacing w:val="0"/>
          <w:lang w:val="en-US"/>
        </w:rPr>
        <w:t>,</w:t>
      </w:r>
      <w:r w:rsidR="00D02C4B" w:rsidRPr="00300A27">
        <w:rPr>
          <w:spacing w:val="0"/>
          <w:lang w:val="en-US"/>
        </w:rPr>
        <w:t xml:space="preserve"> the presumed victim was asked whether she masturbated, the frequency with which she</w:t>
      </w:r>
      <w:r w:rsidR="00221310" w:rsidRPr="00300A27">
        <w:rPr>
          <w:spacing w:val="0"/>
          <w:lang w:val="en-US"/>
        </w:rPr>
        <w:t xml:space="preserve"> </w:t>
      </w:r>
      <w:r w:rsidR="00D02C4B" w:rsidRPr="00300A27">
        <w:rPr>
          <w:spacing w:val="0"/>
          <w:lang w:val="en-US"/>
        </w:rPr>
        <w:t>had sexual relations, at what age she had become sexually active, the number of sexual partners she had had, whether she practiced oral sex, whether she watched pornography, whether she had frequented brothels, whether she had had sexual contact with animals</w:t>
      </w:r>
      <w:r w:rsidR="00E3353D" w:rsidRPr="00300A27">
        <w:rPr>
          <w:spacing w:val="0"/>
          <w:lang w:val="en-US"/>
        </w:rPr>
        <w:t>,</w:t>
      </w:r>
      <w:r w:rsidR="00D02C4B" w:rsidRPr="00300A27">
        <w:rPr>
          <w:spacing w:val="0"/>
          <w:lang w:val="en-US"/>
        </w:rPr>
        <w:t xml:space="preserve"> and whether she had had sexual relations with minors.</w:t>
      </w:r>
      <w:r w:rsidR="00221310" w:rsidRPr="00300A27">
        <w:rPr>
          <w:rStyle w:val="Refdenotaalpie"/>
          <w:spacing w:val="0"/>
          <w:lang w:val="en-US"/>
        </w:rPr>
        <w:footnoteReference w:id="267"/>
      </w:r>
      <w:r w:rsidR="00221310" w:rsidRPr="00300A27">
        <w:rPr>
          <w:spacing w:val="0"/>
          <w:lang w:val="en-US"/>
        </w:rPr>
        <w:t xml:space="preserve"> </w:t>
      </w:r>
    </w:p>
    <w:p w14:paraId="570BCBFB" w14:textId="5E099A68" w:rsidR="00D02C4B" w:rsidRPr="00300A27" w:rsidRDefault="005B1C65" w:rsidP="00B243B6">
      <w:pPr>
        <w:pStyle w:val="PrrafodeSentencia"/>
        <w:numPr>
          <w:ilvl w:val="0"/>
          <w:numId w:val="3"/>
        </w:numPr>
        <w:spacing w:before="120" w:after="120"/>
        <w:ind w:left="0" w:firstLine="0"/>
        <w:rPr>
          <w:spacing w:val="0"/>
          <w:szCs w:val="20"/>
          <w:lang w:val="en-US"/>
        </w:rPr>
      </w:pPr>
      <w:r w:rsidRPr="00300A27">
        <w:rPr>
          <w:spacing w:val="0"/>
          <w:lang w:val="en-US"/>
        </w:rPr>
        <w:t>This Court</w:t>
      </w:r>
      <w:r w:rsidR="008A35C6" w:rsidRPr="00300A27">
        <w:rPr>
          <w:spacing w:val="0"/>
          <w:lang w:val="en-US"/>
        </w:rPr>
        <w:t xml:space="preserve"> </w:t>
      </w:r>
      <w:r w:rsidR="00D02C4B" w:rsidRPr="00300A27">
        <w:rPr>
          <w:spacing w:val="0"/>
          <w:lang w:val="en-US"/>
        </w:rPr>
        <w:t>notes that opening lines of investigation into the previous social or sexual behavior of victims in cases of gender</w:t>
      </w:r>
      <w:r w:rsidR="00E3353D" w:rsidRPr="00300A27">
        <w:rPr>
          <w:spacing w:val="0"/>
          <w:lang w:val="en-US"/>
        </w:rPr>
        <w:t>-based</w:t>
      </w:r>
      <w:r w:rsidR="00D02C4B" w:rsidRPr="00300A27">
        <w:rPr>
          <w:spacing w:val="0"/>
          <w:lang w:val="en-US"/>
        </w:rPr>
        <w:t xml:space="preserve"> violence is merely the expression of policies or attitudes based on gender stereotypes.</w:t>
      </w:r>
      <w:r w:rsidR="008B385E" w:rsidRPr="00300A27">
        <w:rPr>
          <w:rStyle w:val="Refdenotaalpie"/>
          <w:spacing w:val="0"/>
          <w:lang w:val="en-US"/>
        </w:rPr>
        <w:footnoteReference w:id="268"/>
      </w:r>
      <w:r w:rsidR="00D02C4B" w:rsidRPr="00300A27">
        <w:rPr>
          <w:spacing w:val="0"/>
          <w:lang w:val="en-US"/>
        </w:rPr>
        <w:t xml:space="preserve"> There is no reason why this is</w:t>
      </w:r>
      <w:r w:rsidR="00E3353D" w:rsidRPr="00300A27">
        <w:rPr>
          <w:spacing w:val="0"/>
          <w:lang w:val="en-US"/>
        </w:rPr>
        <w:t xml:space="preserve"> not</w:t>
      </w:r>
      <w:r w:rsidR="00D02C4B" w:rsidRPr="00300A27">
        <w:rPr>
          <w:spacing w:val="0"/>
          <w:lang w:val="en-US"/>
        </w:rPr>
        <w:t xml:space="preserve"> applicable in cases of sexual violence against LGBTI people, or those perceived as such. In this regard, the Court considers that questions</w:t>
      </w:r>
      <w:r w:rsidR="00E3353D" w:rsidRPr="00300A27">
        <w:rPr>
          <w:spacing w:val="0"/>
          <w:lang w:val="en-US"/>
        </w:rPr>
        <w:t xml:space="preserve"> regarding </w:t>
      </w:r>
      <w:r w:rsidR="00D02C4B" w:rsidRPr="00300A27">
        <w:rPr>
          <w:spacing w:val="0"/>
          <w:lang w:val="en-US"/>
        </w:rPr>
        <w:t xml:space="preserve">the presumed victim’s sexual life are unnecessary </w:t>
      </w:r>
      <w:r w:rsidR="00E3353D" w:rsidRPr="00300A27">
        <w:rPr>
          <w:spacing w:val="0"/>
          <w:lang w:val="en-US"/>
        </w:rPr>
        <w:t>as well as</w:t>
      </w:r>
      <w:r w:rsidR="00D02C4B" w:rsidRPr="00300A27">
        <w:rPr>
          <w:spacing w:val="0"/>
          <w:lang w:val="en-US"/>
        </w:rPr>
        <w:t xml:space="preserve"> </w:t>
      </w:r>
      <w:r w:rsidR="00E41BBD" w:rsidRPr="00300A27">
        <w:rPr>
          <w:spacing w:val="0"/>
          <w:lang w:val="en-US"/>
        </w:rPr>
        <w:t>revictimiz</w:t>
      </w:r>
      <w:r w:rsidR="00E3353D" w:rsidRPr="00300A27">
        <w:rPr>
          <w:spacing w:val="0"/>
          <w:lang w:val="en-US"/>
        </w:rPr>
        <w:t>ing</w:t>
      </w:r>
      <w:r w:rsidR="00E41BBD" w:rsidRPr="00300A27">
        <w:rPr>
          <w:spacing w:val="0"/>
          <w:lang w:val="en-US"/>
        </w:rPr>
        <w:t>.</w:t>
      </w:r>
    </w:p>
    <w:p w14:paraId="3FA6C95B" w14:textId="74518248" w:rsidR="008B385E" w:rsidRPr="00300A27" w:rsidRDefault="00E41BBD" w:rsidP="00B243B6">
      <w:pPr>
        <w:pStyle w:val="Prrafodelista"/>
        <w:numPr>
          <w:ilvl w:val="0"/>
          <w:numId w:val="3"/>
        </w:numPr>
        <w:tabs>
          <w:tab w:val="left" w:pos="567"/>
        </w:tabs>
        <w:spacing w:before="120" w:after="120"/>
        <w:ind w:left="0" w:firstLine="0"/>
        <w:contextualSpacing w:val="0"/>
        <w:jc w:val="both"/>
        <w:rPr>
          <w:szCs w:val="20"/>
          <w:lang w:eastAsia="es-MX"/>
        </w:rPr>
      </w:pPr>
      <w:r w:rsidRPr="00300A27">
        <w:rPr>
          <w:szCs w:val="20"/>
          <w:lang w:eastAsia="es-MX"/>
        </w:rPr>
        <w:t>In addition, it should be noted that</w:t>
      </w:r>
      <w:r w:rsidR="00E3353D" w:rsidRPr="00300A27">
        <w:rPr>
          <w:szCs w:val="20"/>
          <w:lang w:eastAsia="es-MX"/>
        </w:rPr>
        <w:t>,</w:t>
      </w:r>
      <w:r w:rsidRPr="00300A27">
        <w:rPr>
          <w:szCs w:val="20"/>
          <w:lang w:eastAsia="es-MX"/>
        </w:rPr>
        <w:t xml:space="preserve"> during the</w:t>
      </w:r>
      <w:r w:rsidR="00851A0A" w:rsidRPr="00300A27">
        <w:rPr>
          <w:szCs w:val="20"/>
          <w:lang w:eastAsia="es-MX"/>
        </w:rPr>
        <w:t xml:space="preserve"> </w:t>
      </w:r>
      <w:r w:rsidRPr="00300A27">
        <w:rPr>
          <w:szCs w:val="20"/>
          <w:lang w:eastAsia="es-MX"/>
        </w:rPr>
        <w:t>f</w:t>
      </w:r>
      <w:r w:rsidR="002959DE" w:rsidRPr="00300A27">
        <w:rPr>
          <w:szCs w:val="20"/>
          <w:lang w:eastAsia="es-MX"/>
        </w:rPr>
        <w:t xml:space="preserve">orensic </w:t>
      </w:r>
      <w:r w:rsidR="00467FD3" w:rsidRPr="00300A27">
        <w:rPr>
          <w:szCs w:val="20"/>
          <w:lang w:eastAsia="es-MX"/>
        </w:rPr>
        <w:t xml:space="preserve">medical </w:t>
      </w:r>
      <w:r w:rsidR="002959DE" w:rsidRPr="00300A27">
        <w:rPr>
          <w:szCs w:val="20"/>
          <w:lang w:eastAsia="es-MX"/>
        </w:rPr>
        <w:t>examination</w:t>
      </w:r>
      <w:r w:rsidR="0097461C" w:rsidRPr="00300A27">
        <w:rPr>
          <w:szCs w:val="20"/>
        </w:rPr>
        <w:t>,</w:t>
      </w:r>
      <w:r w:rsidR="008B385E" w:rsidRPr="00300A27">
        <w:rPr>
          <w:szCs w:val="20"/>
        </w:rPr>
        <w:t xml:space="preserve"> </w:t>
      </w:r>
      <w:r w:rsidR="00E3353D" w:rsidRPr="00300A27">
        <w:rPr>
          <w:szCs w:val="20"/>
        </w:rPr>
        <w:t>during</w:t>
      </w:r>
      <w:r w:rsidRPr="00300A27">
        <w:rPr>
          <w:szCs w:val="20"/>
        </w:rPr>
        <w:t xml:space="preserve"> the interrogations, and in the decision </w:t>
      </w:r>
      <w:r w:rsidR="008546E9" w:rsidRPr="00300A27">
        <w:rPr>
          <w:szCs w:val="20"/>
        </w:rPr>
        <w:t xml:space="preserve">of the </w:t>
      </w:r>
      <w:r w:rsidR="005F06DA" w:rsidRPr="00300A27">
        <w:rPr>
          <w:szCs w:val="20"/>
        </w:rPr>
        <w:t>Administrative Court</w:t>
      </w:r>
      <w:r w:rsidRPr="00300A27">
        <w:rPr>
          <w:szCs w:val="20"/>
        </w:rPr>
        <w:t>, the expression “unnatural” is used  to refer to anal penetration.</w:t>
      </w:r>
      <w:r w:rsidR="008B385E" w:rsidRPr="00300A27">
        <w:rPr>
          <w:rStyle w:val="Refdenotaalpie"/>
          <w:szCs w:val="20"/>
        </w:rPr>
        <w:footnoteReference w:id="269"/>
      </w:r>
      <w:r w:rsidRPr="00300A27">
        <w:rPr>
          <w:szCs w:val="20"/>
        </w:rPr>
        <w:t xml:space="preserve"> The use of this term stigmatizes those who perform this type of sexual act, branding them as “abnormal” because they do not conform to heteronormative social rules.</w:t>
      </w:r>
      <w:r w:rsidR="0097461C" w:rsidRPr="00300A27">
        <w:rPr>
          <w:rStyle w:val="Refdenotaalpie"/>
          <w:szCs w:val="20"/>
        </w:rPr>
        <w:footnoteReference w:id="270"/>
      </w:r>
      <w:r w:rsidR="00105A52" w:rsidRPr="00300A27">
        <w:rPr>
          <w:szCs w:val="20"/>
        </w:rPr>
        <w:t xml:space="preserve"> </w:t>
      </w:r>
    </w:p>
    <w:p w14:paraId="4ECF52E3" w14:textId="6E3EB513" w:rsidR="005F1C26" w:rsidRPr="00300A27" w:rsidRDefault="009B35A1" w:rsidP="00B243B6">
      <w:pPr>
        <w:pStyle w:val="Prrafodelista"/>
        <w:numPr>
          <w:ilvl w:val="0"/>
          <w:numId w:val="3"/>
        </w:numPr>
        <w:spacing w:before="120" w:after="120"/>
        <w:ind w:left="0" w:firstLine="0"/>
        <w:contextualSpacing w:val="0"/>
        <w:jc w:val="both"/>
        <w:rPr>
          <w:szCs w:val="20"/>
          <w:lang w:eastAsia="es-MX"/>
        </w:rPr>
      </w:pPr>
      <w:bookmarkStart w:id="150" w:name="_Ref35856369"/>
      <w:r w:rsidRPr="00300A27">
        <w:t>The Court</w:t>
      </w:r>
      <w:r w:rsidR="001278C9" w:rsidRPr="00300A27">
        <w:t xml:space="preserve"> consider</w:t>
      </w:r>
      <w:r w:rsidR="00E41BBD" w:rsidRPr="00300A27">
        <w:t>s that th</w:t>
      </w:r>
      <w:r w:rsidR="00E3353D" w:rsidRPr="00300A27">
        <w:t>ese</w:t>
      </w:r>
      <w:r w:rsidR="00E41BBD" w:rsidRPr="00300A27">
        <w:t xml:space="preserve"> type</w:t>
      </w:r>
      <w:r w:rsidR="00E3353D" w:rsidRPr="00300A27">
        <w:t>s</w:t>
      </w:r>
      <w:r w:rsidR="00E41BBD" w:rsidRPr="00300A27">
        <w:t xml:space="preserve"> of inquiries and the terms used in the investigation constitute stereotyping. Even though these stereotypes were not explicitly used in the decisions </w:t>
      </w:r>
      <w:r w:rsidR="00E3353D" w:rsidRPr="00300A27">
        <w:t xml:space="preserve">relating </w:t>
      </w:r>
      <w:r w:rsidR="00E41BBD" w:rsidRPr="00300A27">
        <w:t>to</w:t>
      </w:r>
      <w:r w:rsidR="00E3353D" w:rsidRPr="00300A27">
        <w:t xml:space="preserve"> the</w:t>
      </w:r>
      <w:r w:rsidR="00E41BBD" w:rsidRPr="00300A27">
        <w:t xml:space="preserve"> dismiss</w:t>
      </w:r>
      <w:r w:rsidR="00E3353D" w:rsidRPr="00300A27">
        <w:t>al of</w:t>
      </w:r>
      <w:r w:rsidR="00E41BBD" w:rsidRPr="00300A27">
        <w:t xml:space="preserve"> the criminal investigation, their use reveals that the complaints filed by the presumed victim were not being considered objectively. Also, </w:t>
      </w:r>
      <w:r w:rsidR="00E41BBD" w:rsidRPr="00300A27">
        <w:rPr>
          <w:szCs w:val="20"/>
          <w:lang w:eastAsia="es-MX"/>
        </w:rPr>
        <w:t xml:space="preserve">during </w:t>
      </w:r>
      <w:r w:rsidR="00157580" w:rsidRPr="00300A27">
        <w:t xml:space="preserve">the </w:t>
      </w:r>
      <w:r w:rsidR="005F06DA" w:rsidRPr="00300A27">
        <w:t>disciplinary</w:t>
      </w:r>
      <w:r w:rsidR="002959DE" w:rsidRPr="00300A27">
        <w:t xml:space="preserve"> administrative proceeding against the members</w:t>
      </w:r>
      <w:r w:rsidR="005F1C26" w:rsidRPr="00300A27">
        <w:t xml:space="preserve"> </w:t>
      </w:r>
      <w:r w:rsidRPr="00300A27">
        <w:t xml:space="preserve">of the </w:t>
      </w:r>
      <w:r w:rsidR="005F06DA" w:rsidRPr="00300A27">
        <w:t>Peruvian National Police</w:t>
      </w:r>
      <w:r w:rsidR="005677EF" w:rsidRPr="00300A27">
        <w:t xml:space="preserve">, </w:t>
      </w:r>
      <w:r w:rsidR="00E41BBD" w:rsidRPr="00300A27">
        <w:t xml:space="preserve">one of the arguments used to consider that the facts had not been proved was that </w:t>
      </w:r>
      <w:r w:rsidR="008546E9" w:rsidRPr="00300A27">
        <w:t>Ms. Rojas</w:t>
      </w:r>
      <w:r w:rsidR="00256BB4" w:rsidRPr="00300A27">
        <w:t xml:space="preserve"> Marín</w:t>
      </w:r>
      <w:r w:rsidR="005F1C26" w:rsidRPr="00300A27">
        <w:t xml:space="preserve"> </w:t>
      </w:r>
      <w:r w:rsidR="00256BB4" w:rsidRPr="00300A27">
        <w:t>“</w:t>
      </w:r>
      <w:r w:rsidR="00E41BBD" w:rsidRPr="00300A27">
        <w:t>has been p</w:t>
      </w:r>
      <w:r w:rsidR="00E3353D" w:rsidRPr="00300A27">
        <w:t>racticing</w:t>
      </w:r>
      <w:r w:rsidR="00E41BBD" w:rsidRPr="00300A27">
        <w:t xml:space="preserve"> unnatural relations since the age of 14 and has sexual relations 3 or 4 times a day.</w:t>
      </w:r>
      <w:r w:rsidR="005F1C26" w:rsidRPr="00300A27">
        <w:t>”</w:t>
      </w:r>
      <w:r w:rsidR="005F1C26" w:rsidRPr="00300A27">
        <w:rPr>
          <w:rStyle w:val="Refdenotaalpie"/>
        </w:rPr>
        <w:footnoteReference w:id="271"/>
      </w:r>
      <w:bookmarkEnd w:id="150"/>
    </w:p>
    <w:p w14:paraId="08B66F72" w14:textId="1F2A5E94" w:rsidR="00D76EAF" w:rsidRPr="00300A27" w:rsidRDefault="00D76EAF" w:rsidP="00B243B6">
      <w:pPr>
        <w:pStyle w:val="Ttulo4"/>
        <w:rPr>
          <w:lang w:val="en-US" w:eastAsia="es-MX"/>
        </w:rPr>
      </w:pPr>
      <w:r w:rsidRPr="00300A27">
        <w:rPr>
          <w:lang w:val="en-US"/>
        </w:rPr>
        <w:t>B.2.</w:t>
      </w:r>
      <w:r w:rsidR="00BC472A" w:rsidRPr="00300A27">
        <w:rPr>
          <w:lang w:val="en-US"/>
        </w:rPr>
        <w:t>e</w:t>
      </w:r>
      <w:r w:rsidRPr="00300A27">
        <w:rPr>
          <w:lang w:val="en-US"/>
        </w:rPr>
        <w:t xml:space="preserve"> </w:t>
      </w:r>
      <w:r w:rsidR="00260A35" w:rsidRPr="00300A27">
        <w:rPr>
          <w:lang w:val="en-US"/>
        </w:rPr>
        <w:t>Conclusion</w:t>
      </w:r>
      <w:r w:rsidRPr="00300A27">
        <w:rPr>
          <w:lang w:val="en-US"/>
        </w:rPr>
        <w:t xml:space="preserve"> </w:t>
      </w:r>
      <w:r w:rsidR="00EE00B5" w:rsidRPr="00300A27">
        <w:rPr>
          <w:lang w:val="en-US"/>
        </w:rPr>
        <w:t>concerning</w:t>
      </w:r>
      <w:r w:rsidR="00E41BBD" w:rsidRPr="00300A27">
        <w:rPr>
          <w:lang w:val="en-US"/>
        </w:rPr>
        <w:t xml:space="preserve"> due diligence</w:t>
      </w:r>
    </w:p>
    <w:p w14:paraId="050374E5" w14:textId="2ED7AAFC" w:rsidR="001D4352" w:rsidRPr="00300A27" w:rsidRDefault="00E41BBD" w:rsidP="00B243B6">
      <w:pPr>
        <w:pStyle w:val="Prrafodelista"/>
        <w:numPr>
          <w:ilvl w:val="0"/>
          <w:numId w:val="3"/>
        </w:numPr>
        <w:spacing w:before="120" w:after="120"/>
        <w:ind w:left="0" w:firstLine="0"/>
        <w:contextualSpacing w:val="0"/>
        <w:jc w:val="both"/>
        <w:rPr>
          <w:rFonts w:eastAsia="Times New Roman"/>
          <w:szCs w:val="20"/>
        </w:rPr>
      </w:pPr>
      <w:bookmarkStart w:id="151" w:name="_Ref35856347"/>
      <w:r w:rsidRPr="00300A27">
        <w:rPr>
          <w:rFonts w:eastAsia="Times New Roman"/>
          <w:szCs w:val="20"/>
        </w:rPr>
        <w:t xml:space="preserve">Based on the foregoing considerations, the Court concludes that the State failed to act with due diligence to investigate the sexual torture </w:t>
      </w:r>
      <w:r w:rsidR="008546E9" w:rsidRPr="00300A27">
        <w:rPr>
          <w:rFonts w:eastAsia="Times New Roman"/>
          <w:szCs w:val="20"/>
        </w:rPr>
        <w:t xml:space="preserve">of the </w:t>
      </w:r>
      <w:r w:rsidR="00834A1B" w:rsidRPr="00300A27">
        <w:rPr>
          <w:rFonts w:eastAsia="Times New Roman"/>
          <w:szCs w:val="20"/>
        </w:rPr>
        <w:t>presumed victim</w:t>
      </w:r>
      <w:r w:rsidR="001D4352" w:rsidRPr="00300A27">
        <w:rPr>
          <w:rFonts w:eastAsia="Times New Roman"/>
          <w:szCs w:val="20"/>
        </w:rPr>
        <w:t>.</w:t>
      </w:r>
      <w:r w:rsidRPr="00300A27">
        <w:rPr>
          <w:rFonts w:eastAsia="Times New Roman"/>
          <w:szCs w:val="20"/>
        </w:rPr>
        <w:t xml:space="preserve"> The circumstances that surround the different statements made by</w:t>
      </w:r>
      <w:r w:rsidR="001D4352" w:rsidRPr="00300A27">
        <w:rPr>
          <w:rFonts w:eastAsia="Times New Roman"/>
          <w:szCs w:val="20"/>
        </w:rPr>
        <w:t xml:space="preserve"> </w:t>
      </w:r>
      <w:r w:rsidR="008546E9" w:rsidRPr="00300A27">
        <w:rPr>
          <w:rFonts w:eastAsia="Times New Roman"/>
          <w:szCs w:val="20"/>
        </w:rPr>
        <w:t>Ms. Rojas</w:t>
      </w:r>
      <w:r w:rsidR="001D4352" w:rsidRPr="00300A27">
        <w:rPr>
          <w:rFonts w:eastAsia="Times New Roman"/>
          <w:szCs w:val="20"/>
        </w:rPr>
        <w:t xml:space="preserve"> Marín, especial</w:t>
      </w:r>
      <w:r w:rsidRPr="00300A27">
        <w:rPr>
          <w:rFonts w:eastAsia="Times New Roman"/>
          <w:szCs w:val="20"/>
        </w:rPr>
        <w:t xml:space="preserve">ly </w:t>
      </w:r>
      <w:r w:rsidR="00301FF0" w:rsidRPr="00300A27">
        <w:rPr>
          <w:rFonts w:eastAsia="Times New Roman"/>
          <w:szCs w:val="20"/>
        </w:rPr>
        <w:t xml:space="preserve">the judicial inspection and reconstruction procedure, constituted acts of revictimization. In addition, the medical examination was performed </w:t>
      </w:r>
      <w:r w:rsidR="00EE00B5" w:rsidRPr="00300A27">
        <w:rPr>
          <w:rFonts w:eastAsia="Times New Roman"/>
          <w:szCs w:val="20"/>
        </w:rPr>
        <w:t>more than</w:t>
      </w:r>
      <w:r w:rsidR="00301FF0" w:rsidRPr="00300A27">
        <w:rPr>
          <w:rFonts w:eastAsia="Times New Roman"/>
          <w:szCs w:val="20"/>
        </w:rPr>
        <w:t xml:space="preserve"> 72 hours</w:t>
      </w:r>
      <w:r w:rsidR="00EE00B5" w:rsidRPr="00300A27">
        <w:rPr>
          <w:rFonts w:eastAsia="Times New Roman"/>
          <w:szCs w:val="20"/>
        </w:rPr>
        <w:t xml:space="preserve"> after the event</w:t>
      </w:r>
      <w:r w:rsidR="00301FF0" w:rsidRPr="00300A27">
        <w:rPr>
          <w:rFonts w:eastAsia="Times New Roman"/>
          <w:szCs w:val="20"/>
        </w:rPr>
        <w:t xml:space="preserve"> and the report did not include an interpretation of the probable relationship </w:t>
      </w:r>
      <w:r w:rsidR="00EE00B5" w:rsidRPr="00300A27">
        <w:rPr>
          <w:rFonts w:eastAsia="Times New Roman"/>
          <w:szCs w:val="20"/>
        </w:rPr>
        <w:t>between</w:t>
      </w:r>
      <w:r w:rsidR="00301FF0" w:rsidRPr="00300A27">
        <w:rPr>
          <w:rFonts w:eastAsia="Times New Roman"/>
          <w:szCs w:val="20"/>
        </w:rPr>
        <w:t xml:space="preserve"> the physical symptoms and the aggressions narrated by the </w:t>
      </w:r>
      <w:r w:rsidR="00834A1B" w:rsidRPr="00300A27">
        <w:rPr>
          <w:rFonts w:eastAsia="Times New Roman"/>
          <w:szCs w:val="20"/>
        </w:rPr>
        <w:t>presumed victim</w:t>
      </w:r>
      <w:r w:rsidR="00C94D49" w:rsidRPr="00300A27">
        <w:rPr>
          <w:rFonts w:eastAsia="Times New Roman"/>
          <w:szCs w:val="20"/>
        </w:rPr>
        <w:t>.</w:t>
      </w:r>
      <w:r w:rsidR="001D4352" w:rsidRPr="00300A27">
        <w:rPr>
          <w:rFonts w:eastAsia="Times New Roman"/>
          <w:szCs w:val="20"/>
        </w:rPr>
        <w:t xml:space="preserve"> A</w:t>
      </w:r>
      <w:r w:rsidR="00301FF0" w:rsidRPr="00300A27">
        <w:rPr>
          <w:rFonts w:eastAsia="Times New Roman"/>
          <w:szCs w:val="20"/>
        </w:rPr>
        <w:t>dded to this, there was a failure to collect evidence</w:t>
      </w:r>
      <w:r w:rsidR="00EE00B5" w:rsidRPr="00300A27">
        <w:rPr>
          <w:rFonts w:eastAsia="Times New Roman"/>
          <w:szCs w:val="20"/>
        </w:rPr>
        <w:t>,</w:t>
      </w:r>
      <w:r w:rsidR="00301FF0" w:rsidRPr="00300A27">
        <w:rPr>
          <w:rFonts w:eastAsia="Times New Roman"/>
          <w:szCs w:val="20"/>
        </w:rPr>
        <w:t xml:space="preserve"> and the presumed victim’s clothing and the police baton possibly used were not secured immediately to  submit them to an expert appraisal</w:t>
      </w:r>
      <w:r w:rsidR="001D4352" w:rsidRPr="00300A27">
        <w:rPr>
          <w:rFonts w:eastAsia="Times New Roman"/>
          <w:szCs w:val="20"/>
        </w:rPr>
        <w:t xml:space="preserve">. </w:t>
      </w:r>
      <w:r w:rsidR="00301FF0" w:rsidRPr="00300A27">
        <w:rPr>
          <w:rFonts w:eastAsia="Times New Roman"/>
          <w:szCs w:val="20"/>
        </w:rPr>
        <w:t>Furthermore, the investigation did not examine discrimination based on</w:t>
      </w:r>
      <w:r w:rsidR="001D4352" w:rsidRPr="00300A27">
        <w:rPr>
          <w:rFonts w:eastAsia="Times New Roman"/>
          <w:szCs w:val="20"/>
        </w:rPr>
        <w:t xml:space="preserve"> </w:t>
      </w:r>
      <w:r w:rsidR="00CC6548" w:rsidRPr="00300A27">
        <w:rPr>
          <w:rFonts w:eastAsia="Times New Roman"/>
          <w:szCs w:val="20"/>
        </w:rPr>
        <w:t>sexual orientation</w:t>
      </w:r>
      <w:r w:rsidR="001D4352" w:rsidRPr="00300A27">
        <w:rPr>
          <w:rFonts w:eastAsia="Times New Roman"/>
          <w:szCs w:val="20"/>
        </w:rPr>
        <w:t xml:space="preserve"> o</w:t>
      </w:r>
      <w:r w:rsidR="00301FF0" w:rsidRPr="00300A27">
        <w:rPr>
          <w:rFonts w:eastAsia="Times New Roman"/>
          <w:szCs w:val="20"/>
        </w:rPr>
        <w:t>r</w:t>
      </w:r>
      <w:r w:rsidR="001D4352" w:rsidRPr="00300A27">
        <w:rPr>
          <w:rFonts w:eastAsia="Times New Roman"/>
          <w:szCs w:val="20"/>
        </w:rPr>
        <w:t xml:space="preserve"> </w:t>
      </w:r>
      <w:r w:rsidR="00CC6548" w:rsidRPr="00300A27">
        <w:rPr>
          <w:rFonts w:eastAsia="Times New Roman"/>
          <w:szCs w:val="20"/>
        </w:rPr>
        <w:t>gender expression</w:t>
      </w:r>
      <w:r w:rsidR="001D4352" w:rsidRPr="00300A27">
        <w:rPr>
          <w:rFonts w:eastAsia="Times New Roman"/>
          <w:szCs w:val="20"/>
        </w:rPr>
        <w:t xml:space="preserve"> </w:t>
      </w:r>
      <w:r w:rsidR="00301FF0" w:rsidRPr="00300A27">
        <w:rPr>
          <w:rFonts w:eastAsia="Times New Roman"/>
          <w:szCs w:val="20"/>
        </w:rPr>
        <w:t>as a</w:t>
      </w:r>
      <w:r w:rsidR="001D4352" w:rsidRPr="00300A27">
        <w:rPr>
          <w:rFonts w:eastAsia="Times New Roman"/>
          <w:szCs w:val="20"/>
        </w:rPr>
        <w:t xml:space="preserve"> po</w:t>
      </w:r>
      <w:r w:rsidR="00301FF0" w:rsidRPr="00300A27">
        <w:rPr>
          <w:rFonts w:eastAsia="Times New Roman"/>
          <w:szCs w:val="20"/>
        </w:rPr>
        <w:t>s</w:t>
      </w:r>
      <w:r w:rsidR="001D4352" w:rsidRPr="00300A27">
        <w:rPr>
          <w:rFonts w:eastAsia="Times New Roman"/>
          <w:szCs w:val="20"/>
        </w:rPr>
        <w:t>sible motiv</w:t>
      </w:r>
      <w:r w:rsidR="00301FF0" w:rsidRPr="00300A27">
        <w:rPr>
          <w:rFonts w:eastAsia="Times New Roman"/>
          <w:szCs w:val="20"/>
        </w:rPr>
        <w:t>e for torture. Lastly, during the investigation</w:t>
      </w:r>
      <w:r w:rsidR="00EE00B5" w:rsidRPr="00300A27">
        <w:rPr>
          <w:rFonts w:eastAsia="Times New Roman"/>
          <w:szCs w:val="20"/>
        </w:rPr>
        <w:t>,</w:t>
      </w:r>
      <w:r w:rsidR="00301FF0" w:rsidRPr="00300A27">
        <w:rPr>
          <w:rFonts w:eastAsia="Times New Roman"/>
          <w:szCs w:val="20"/>
        </w:rPr>
        <w:t xml:space="preserve"> various state agents used discriminatory stereotyping that prevented an objective examination of the facts.</w:t>
      </w:r>
      <w:bookmarkEnd w:id="151"/>
    </w:p>
    <w:p w14:paraId="4C236336" w14:textId="5D035B13" w:rsidR="0023153E" w:rsidRPr="00300A27" w:rsidRDefault="005637C1" w:rsidP="00B243B6">
      <w:pPr>
        <w:pStyle w:val="Ttulo3"/>
        <w:rPr>
          <w:lang w:val="en-US"/>
        </w:rPr>
      </w:pPr>
      <w:bookmarkStart w:id="152" w:name="_Toc32394179"/>
      <w:bookmarkStart w:id="153" w:name="_Toc36823497"/>
      <w:r w:rsidRPr="00300A27">
        <w:rPr>
          <w:lang w:val="en-US"/>
        </w:rPr>
        <w:t>B.</w:t>
      </w:r>
      <w:r w:rsidR="003273DB" w:rsidRPr="00300A27">
        <w:rPr>
          <w:lang w:val="en-US"/>
        </w:rPr>
        <w:t>3</w:t>
      </w:r>
      <w:r w:rsidRPr="00300A27">
        <w:rPr>
          <w:lang w:val="en-US"/>
        </w:rPr>
        <w:t xml:space="preserve"> </w:t>
      </w:r>
      <w:r w:rsidR="00CD6F00" w:rsidRPr="00300A27">
        <w:rPr>
          <w:lang w:val="en-US"/>
        </w:rPr>
        <w:t xml:space="preserve">The absence of an investigation into the </w:t>
      </w:r>
      <w:r w:rsidR="0013678A" w:rsidRPr="00300A27">
        <w:rPr>
          <w:lang w:val="en-US"/>
        </w:rPr>
        <w:t>crime of torture</w:t>
      </w:r>
      <w:bookmarkEnd w:id="152"/>
      <w:bookmarkEnd w:id="153"/>
    </w:p>
    <w:p w14:paraId="5DF8AC47" w14:textId="1FAED7C2" w:rsidR="00B36E39" w:rsidRPr="00300A27" w:rsidRDefault="005B1C65" w:rsidP="00B243B6">
      <w:pPr>
        <w:pStyle w:val="PrrafodeSentencia"/>
        <w:numPr>
          <w:ilvl w:val="0"/>
          <w:numId w:val="3"/>
        </w:numPr>
        <w:spacing w:before="120" w:after="120"/>
        <w:ind w:left="0" w:firstLine="0"/>
        <w:rPr>
          <w:rFonts w:eastAsia="Times New Roman"/>
          <w:spacing w:val="0"/>
          <w:lang w:val="en-US"/>
        </w:rPr>
      </w:pPr>
      <w:r w:rsidRPr="00300A27">
        <w:rPr>
          <w:rFonts w:eastAsia="Times New Roman"/>
          <w:spacing w:val="0"/>
          <w:lang w:val="en-US"/>
        </w:rPr>
        <w:t>This Court</w:t>
      </w:r>
      <w:r w:rsidR="00C9239B" w:rsidRPr="00300A27">
        <w:rPr>
          <w:rFonts w:eastAsia="Times New Roman"/>
          <w:spacing w:val="0"/>
          <w:lang w:val="en-US"/>
        </w:rPr>
        <w:t xml:space="preserve"> </w:t>
      </w:r>
      <w:r w:rsidR="00C541FB" w:rsidRPr="00300A27">
        <w:rPr>
          <w:rFonts w:eastAsia="Times New Roman"/>
          <w:spacing w:val="0"/>
          <w:lang w:val="en-US"/>
        </w:rPr>
        <w:t xml:space="preserve">has established the ill-treatment to which </w:t>
      </w:r>
      <w:r w:rsidR="00834A1B" w:rsidRPr="00300A27">
        <w:rPr>
          <w:rFonts w:eastAsia="Times New Roman"/>
          <w:spacing w:val="0"/>
          <w:lang w:val="en-US"/>
        </w:rPr>
        <w:t>the presumed victim</w:t>
      </w:r>
      <w:r w:rsidR="00C9239B" w:rsidRPr="00300A27">
        <w:rPr>
          <w:rFonts w:eastAsia="Times New Roman"/>
          <w:spacing w:val="0"/>
          <w:lang w:val="en-US"/>
        </w:rPr>
        <w:t xml:space="preserve"> </w:t>
      </w:r>
      <w:r w:rsidR="00C541FB" w:rsidRPr="00300A27">
        <w:rPr>
          <w:rFonts w:eastAsia="Times New Roman"/>
          <w:spacing w:val="0"/>
          <w:lang w:val="en-US"/>
        </w:rPr>
        <w:t xml:space="preserve">was subjected constituted torture </w:t>
      </w:r>
      <w:r w:rsidR="00C9239B" w:rsidRPr="00300A27">
        <w:rPr>
          <w:rFonts w:eastAsia="Times New Roman"/>
          <w:spacing w:val="0"/>
          <w:lang w:val="en-US"/>
        </w:rPr>
        <w:t>(</w:t>
      </w:r>
      <w:r w:rsidR="00C9239B" w:rsidRPr="00300A27">
        <w:rPr>
          <w:rFonts w:eastAsia="Times New Roman"/>
          <w:i/>
          <w:spacing w:val="0"/>
          <w:lang w:val="en-US"/>
        </w:rPr>
        <w:t xml:space="preserve">supra </w:t>
      </w:r>
      <w:r w:rsidR="00910D8E" w:rsidRPr="00300A27">
        <w:rPr>
          <w:rFonts w:eastAsia="Times New Roman"/>
          <w:spacing w:val="0"/>
          <w:lang w:val="en-US"/>
        </w:rPr>
        <w:t>para.</w:t>
      </w:r>
      <w:r w:rsidR="00C9239B" w:rsidRPr="00300A27">
        <w:rPr>
          <w:rFonts w:eastAsia="Times New Roman"/>
          <w:spacing w:val="0"/>
          <w:lang w:val="en-US"/>
        </w:rPr>
        <w:t xml:space="preserve"> </w:t>
      </w:r>
      <w:r w:rsidR="00BF214E" w:rsidRPr="00300A27">
        <w:rPr>
          <w:rFonts w:eastAsia="Times New Roman"/>
          <w:spacing w:val="0"/>
          <w:lang w:val="en-US"/>
        </w:rPr>
        <w:fldChar w:fldCharType="begin"/>
      </w:r>
      <w:r w:rsidR="00BF214E" w:rsidRPr="00300A27">
        <w:rPr>
          <w:rFonts w:eastAsia="Times New Roman"/>
          <w:spacing w:val="0"/>
          <w:lang w:val="en-US"/>
        </w:rPr>
        <w:instrText xml:space="preserve"> REF _Ref446690810 \r \h </w:instrText>
      </w:r>
      <w:r w:rsidR="00B243B6" w:rsidRPr="00300A27">
        <w:rPr>
          <w:rFonts w:eastAsia="Times New Roman"/>
          <w:spacing w:val="0"/>
          <w:lang w:val="en-US"/>
        </w:rPr>
        <w:instrText xml:space="preserve"> \* MERGEFORMAT </w:instrText>
      </w:r>
      <w:r w:rsidR="00BF214E" w:rsidRPr="00300A27">
        <w:rPr>
          <w:rFonts w:eastAsia="Times New Roman"/>
          <w:spacing w:val="0"/>
          <w:lang w:val="en-US"/>
        </w:rPr>
      </w:r>
      <w:r w:rsidR="00BF214E" w:rsidRPr="00300A27">
        <w:rPr>
          <w:rFonts w:eastAsia="Times New Roman"/>
          <w:spacing w:val="0"/>
          <w:lang w:val="en-US"/>
        </w:rPr>
        <w:fldChar w:fldCharType="separate"/>
      </w:r>
      <w:r w:rsidR="00632F77" w:rsidRPr="00300A27">
        <w:rPr>
          <w:rFonts w:eastAsia="Times New Roman"/>
          <w:spacing w:val="0"/>
          <w:lang w:val="en-US"/>
        </w:rPr>
        <w:t>165</w:t>
      </w:r>
      <w:r w:rsidR="00BF214E" w:rsidRPr="00300A27">
        <w:rPr>
          <w:rFonts w:eastAsia="Times New Roman"/>
          <w:spacing w:val="0"/>
          <w:lang w:val="en-US"/>
        </w:rPr>
        <w:fldChar w:fldCharType="end"/>
      </w:r>
      <w:r w:rsidR="00C9239B" w:rsidRPr="00300A27">
        <w:rPr>
          <w:rFonts w:eastAsia="Times New Roman"/>
          <w:spacing w:val="0"/>
          <w:lang w:val="en-US"/>
        </w:rPr>
        <w:t xml:space="preserve">). </w:t>
      </w:r>
      <w:r w:rsidR="00C541FB" w:rsidRPr="00300A27">
        <w:rPr>
          <w:rFonts w:eastAsia="Times New Roman"/>
          <w:spacing w:val="0"/>
          <w:lang w:val="en-US"/>
        </w:rPr>
        <w:t xml:space="preserve">The criminal investigation was conducted </w:t>
      </w:r>
      <w:r w:rsidR="00EE00B5" w:rsidRPr="00300A27">
        <w:rPr>
          <w:rFonts w:eastAsia="Times New Roman"/>
          <w:spacing w:val="0"/>
          <w:lang w:val="en-US"/>
        </w:rPr>
        <w:t>based on</w:t>
      </w:r>
      <w:r w:rsidR="00C541FB" w:rsidRPr="00300A27">
        <w:rPr>
          <w:rFonts w:eastAsia="Times New Roman"/>
          <w:spacing w:val="0"/>
          <w:lang w:val="en-US"/>
        </w:rPr>
        <w:t xml:space="preserve"> the offenses of aggravated rape </w:t>
      </w:r>
      <w:r w:rsidRPr="00300A27">
        <w:rPr>
          <w:rFonts w:eastAsia="Times New Roman"/>
          <w:spacing w:val="0"/>
          <w:lang w:val="en-US"/>
        </w:rPr>
        <w:t xml:space="preserve">and </w:t>
      </w:r>
      <w:r w:rsidR="00FE2086" w:rsidRPr="00300A27">
        <w:rPr>
          <w:rFonts w:eastAsia="Times New Roman"/>
          <w:spacing w:val="0"/>
          <w:lang w:val="en-US"/>
        </w:rPr>
        <w:t>abuse of authority</w:t>
      </w:r>
      <w:r w:rsidR="00C541FB" w:rsidRPr="00300A27">
        <w:rPr>
          <w:rFonts w:eastAsia="Times New Roman"/>
          <w:spacing w:val="0"/>
          <w:lang w:val="en-US"/>
        </w:rPr>
        <w:t>.</w:t>
      </w:r>
      <w:r w:rsidR="00010421" w:rsidRPr="00300A27">
        <w:rPr>
          <w:rStyle w:val="Refdenotaalpie"/>
          <w:spacing w:val="0"/>
          <w:lang w:val="en-US"/>
        </w:rPr>
        <w:footnoteReference w:id="272"/>
      </w:r>
      <w:r w:rsidR="00BC2C7C" w:rsidRPr="00300A27">
        <w:rPr>
          <w:rFonts w:eastAsia="Times New Roman"/>
          <w:spacing w:val="0"/>
          <w:lang w:val="en-US"/>
        </w:rPr>
        <w:t xml:space="preserve"> </w:t>
      </w:r>
      <w:r w:rsidR="00834A1B" w:rsidRPr="00300A27">
        <w:rPr>
          <w:rFonts w:eastAsia="Times New Roman"/>
          <w:spacing w:val="0"/>
          <w:lang w:val="en-US"/>
        </w:rPr>
        <w:t>The presumed victim</w:t>
      </w:r>
      <w:r w:rsidR="0050474E" w:rsidRPr="00300A27">
        <w:rPr>
          <w:rFonts w:eastAsia="Times New Roman"/>
          <w:spacing w:val="0"/>
          <w:lang w:val="en-US"/>
        </w:rPr>
        <w:t xml:space="preserve"> </w:t>
      </w:r>
      <w:r w:rsidR="00C541FB" w:rsidRPr="00300A27">
        <w:rPr>
          <w:rFonts w:eastAsia="Times New Roman"/>
          <w:spacing w:val="0"/>
          <w:lang w:val="en-US"/>
        </w:rPr>
        <w:t xml:space="preserve">requested that the investigation be expanded to include the </w:t>
      </w:r>
      <w:r w:rsidR="0013678A" w:rsidRPr="00300A27">
        <w:rPr>
          <w:rFonts w:eastAsia="Times New Roman"/>
          <w:spacing w:val="0"/>
          <w:lang w:val="en-US"/>
        </w:rPr>
        <w:t>crime of torture</w:t>
      </w:r>
      <w:r w:rsidR="00C541FB" w:rsidRPr="00300A27">
        <w:rPr>
          <w:rFonts w:eastAsia="Times New Roman"/>
          <w:spacing w:val="0"/>
          <w:lang w:val="en-US"/>
        </w:rPr>
        <w:t>.</w:t>
      </w:r>
      <w:r w:rsidR="00BC2C7C" w:rsidRPr="00300A27">
        <w:rPr>
          <w:rStyle w:val="Refdenotaalpie"/>
          <w:rFonts w:eastAsia="Times New Roman"/>
          <w:spacing w:val="0"/>
          <w:lang w:val="en-US"/>
        </w:rPr>
        <w:footnoteReference w:id="273"/>
      </w:r>
      <w:r w:rsidR="00C541FB" w:rsidRPr="00300A27">
        <w:rPr>
          <w:rFonts w:eastAsia="Times New Roman"/>
          <w:spacing w:val="0"/>
          <w:lang w:val="en-US"/>
        </w:rPr>
        <w:t xml:space="preserve"> The prosecutor decided not to expand the investigation, indicating that the legal definition of the </w:t>
      </w:r>
      <w:r w:rsidR="0013678A" w:rsidRPr="00300A27">
        <w:rPr>
          <w:rFonts w:eastAsia="Times New Roman"/>
          <w:spacing w:val="0"/>
          <w:lang w:val="en-US"/>
        </w:rPr>
        <w:t>crime of torture</w:t>
      </w:r>
      <w:r w:rsidR="00C541FB" w:rsidRPr="00300A27">
        <w:rPr>
          <w:rFonts w:eastAsia="Times New Roman"/>
          <w:spacing w:val="0"/>
          <w:lang w:val="en-US"/>
        </w:rPr>
        <w:t xml:space="preserve"> “required the intention </w:t>
      </w:r>
      <w:r w:rsidR="00EE00B5" w:rsidRPr="00300A27">
        <w:rPr>
          <w:rFonts w:eastAsia="Times New Roman"/>
          <w:spacing w:val="0"/>
          <w:lang w:val="en-US"/>
        </w:rPr>
        <w:t>that</w:t>
      </w:r>
      <w:r w:rsidR="00C541FB" w:rsidRPr="00300A27">
        <w:rPr>
          <w:rFonts w:eastAsia="Times New Roman"/>
          <w:spacing w:val="0"/>
          <w:lang w:val="en-US"/>
        </w:rPr>
        <w:t xml:space="preserve"> the criminal conduct produce a result.” He noted that </w:t>
      </w:r>
      <w:r w:rsidR="00834A1B" w:rsidRPr="00300A27">
        <w:rPr>
          <w:spacing w:val="0"/>
          <w:lang w:val="en-US"/>
        </w:rPr>
        <w:t>the presumed victim</w:t>
      </w:r>
      <w:r w:rsidR="00B36E39" w:rsidRPr="00300A27">
        <w:rPr>
          <w:spacing w:val="0"/>
          <w:lang w:val="en-US"/>
        </w:rPr>
        <w:t>:</w:t>
      </w:r>
    </w:p>
    <w:p w14:paraId="31E52135" w14:textId="43DB5F20" w:rsidR="00BC2C7C" w:rsidRPr="00300A27" w:rsidRDefault="00B36E39" w:rsidP="00EE00B5">
      <w:pPr>
        <w:pStyle w:val="PrrafodeSentencia"/>
        <w:numPr>
          <w:ilvl w:val="0"/>
          <w:numId w:val="0"/>
        </w:numPr>
        <w:spacing w:before="120" w:after="120"/>
        <w:ind w:left="567" w:right="584"/>
        <w:rPr>
          <w:spacing w:val="0"/>
          <w:sz w:val="18"/>
          <w:szCs w:val="18"/>
          <w:lang w:val="en-US"/>
        </w:rPr>
      </w:pPr>
      <w:r w:rsidRPr="00300A27">
        <w:rPr>
          <w:spacing w:val="0"/>
          <w:sz w:val="18"/>
          <w:szCs w:val="18"/>
          <w:lang w:val="en-US"/>
        </w:rPr>
        <w:t>[</w:t>
      </w:r>
      <w:r w:rsidR="00C541FB" w:rsidRPr="00300A27">
        <w:rPr>
          <w:spacing w:val="0"/>
          <w:sz w:val="18"/>
          <w:szCs w:val="18"/>
          <w:lang w:val="en-US"/>
        </w:rPr>
        <w:t>N</w:t>
      </w:r>
      <w:r w:rsidRPr="00300A27">
        <w:rPr>
          <w:spacing w:val="0"/>
          <w:sz w:val="18"/>
          <w:szCs w:val="18"/>
          <w:lang w:val="en-US"/>
        </w:rPr>
        <w:t>]</w:t>
      </w:r>
      <w:r w:rsidR="00C541FB" w:rsidRPr="00300A27">
        <w:rPr>
          <w:spacing w:val="0"/>
          <w:sz w:val="18"/>
          <w:szCs w:val="18"/>
          <w:lang w:val="en-US"/>
        </w:rPr>
        <w:t>ever mentioned that the police agents obliged [her] to provide information on the whereabouts of [her] brother, alias “</w:t>
      </w:r>
      <w:r w:rsidR="00C541FB" w:rsidRPr="00300A27">
        <w:rPr>
          <w:i/>
          <w:iCs/>
          <w:spacing w:val="0"/>
          <w:sz w:val="18"/>
          <w:szCs w:val="18"/>
          <w:lang w:val="en-US"/>
        </w:rPr>
        <w:t>Tuco</w:t>
      </w:r>
      <w:r w:rsidR="00C541FB" w:rsidRPr="00300A27">
        <w:rPr>
          <w:spacing w:val="0"/>
          <w:sz w:val="18"/>
          <w:szCs w:val="18"/>
          <w:lang w:val="en-US"/>
        </w:rPr>
        <w:t xml:space="preserve">”; therefore, since the </w:t>
      </w:r>
      <w:r w:rsidR="00EE00B5" w:rsidRPr="00300A27">
        <w:rPr>
          <w:spacing w:val="0"/>
          <w:sz w:val="18"/>
          <w:szCs w:val="18"/>
          <w:lang w:val="en-US"/>
        </w:rPr>
        <w:t xml:space="preserve">additional </w:t>
      </w:r>
      <w:r w:rsidR="00C541FB" w:rsidRPr="00300A27">
        <w:rPr>
          <w:spacing w:val="0"/>
          <w:sz w:val="18"/>
          <w:szCs w:val="18"/>
          <w:lang w:val="en-US"/>
        </w:rPr>
        <w:t xml:space="preserve">third subjective element of the legal definition of the </w:t>
      </w:r>
      <w:r w:rsidR="0013678A" w:rsidRPr="00300A27">
        <w:rPr>
          <w:spacing w:val="0"/>
          <w:sz w:val="18"/>
          <w:szCs w:val="18"/>
          <w:lang w:val="en-US"/>
        </w:rPr>
        <w:t>crime of torture</w:t>
      </w:r>
      <w:r w:rsidR="00C541FB" w:rsidRPr="00300A27">
        <w:rPr>
          <w:spacing w:val="0"/>
          <w:sz w:val="18"/>
          <w:szCs w:val="18"/>
          <w:lang w:val="en-US"/>
        </w:rPr>
        <w:t xml:space="preserve"> (to obtain from the victim or a third party a confession or information) was not present</w:t>
      </w:r>
      <w:r w:rsidR="00311CF3" w:rsidRPr="00300A27">
        <w:rPr>
          <w:spacing w:val="0"/>
          <w:sz w:val="18"/>
          <w:szCs w:val="18"/>
          <w:lang w:val="en-US"/>
        </w:rPr>
        <w:t>,</w:t>
      </w:r>
      <w:r w:rsidR="00C541FB" w:rsidRPr="00300A27">
        <w:rPr>
          <w:spacing w:val="0"/>
          <w:sz w:val="18"/>
          <w:szCs w:val="18"/>
          <w:lang w:val="en-US"/>
        </w:rPr>
        <w:t xml:space="preserve"> the conduct of the defendants</w:t>
      </w:r>
      <w:r w:rsidR="00311CF3" w:rsidRPr="00300A27">
        <w:rPr>
          <w:spacing w:val="0"/>
          <w:sz w:val="18"/>
          <w:szCs w:val="18"/>
          <w:lang w:val="en-US"/>
        </w:rPr>
        <w:t xml:space="preserve"> did not fall within</w:t>
      </w:r>
      <w:r w:rsidR="00C541FB" w:rsidRPr="00300A27">
        <w:rPr>
          <w:spacing w:val="0"/>
          <w:sz w:val="18"/>
          <w:szCs w:val="18"/>
          <w:lang w:val="en-US"/>
        </w:rPr>
        <w:t xml:space="preserve"> the </w:t>
      </w:r>
      <w:r w:rsidR="00311CF3" w:rsidRPr="00300A27">
        <w:rPr>
          <w:spacing w:val="0"/>
          <w:sz w:val="18"/>
          <w:szCs w:val="18"/>
          <w:lang w:val="en-US"/>
        </w:rPr>
        <w:t>definition</w:t>
      </w:r>
      <w:r w:rsidR="00C541FB" w:rsidRPr="00300A27">
        <w:rPr>
          <w:spacing w:val="0"/>
          <w:sz w:val="18"/>
          <w:szCs w:val="18"/>
          <w:lang w:val="en-US"/>
        </w:rPr>
        <w:t xml:space="preserve"> of the aforementioned wrongful act.</w:t>
      </w:r>
      <w:r w:rsidR="009A2275" w:rsidRPr="00300A27">
        <w:rPr>
          <w:rStyle w:val="Refdenotaalpie"/>
          <w:spacing w:val="0"/>
          <w:sz w:val="18"/>
          <w:szCs w:val="18"/>
          <w:lang w:val="en-US"/>
        </w:rPr>
        <w:footnoteReference w:id="274"/>
      </w:r>
    </w:p>
    <w:p w14:paraId="0C680576" w14:textId="27BAB716" w:rsidR="00177692" w:rsidRPr="00300A27" w:rsidRDefault="00311CF3" w:rsidP="00B243B6">
      <w:pPr>
        <w:pStyle w:val="PrrafodeSentencia"/>
        <w:numPr>
          <w:ilvl w:val="0"/>
          <w:numId w:val="3"/>
        </w:numPr>
        <w:spacing w:before="120" w:after="120"/>
        <w:ind w:left="0" w:firstLine="0"/>
        <w:rPr>
          <w:rFonts w:eastAsia="Times New Roman"/>
          <w:spacing w:val="0"/>
          <w:lang w:val="en-US"/>
        </w:rPr>
      </w:pPr>
      <w:r w:rsidRPr="00300A27">
        <w:rPr>
          <w:rFonts w:eastAsia="Times New Roman"/>
          <w:spacing w:val="0"/>
          <w:lang w:val="en-US"/>
        </w:rPr>
        <w:t xml:space="preserve">This decision was based on the legal definition of the offense in force at the time, which restricted the possible purposes of </w:t>
      </w:r>
      <w:r w:rsidR="00280B29" w:rsidRPr="00300A27">
        <w:rPr>
          <w:rFonts w:eastAsia="Times New Roman"/>
          <w:spacing w:val="0"/>
          <w:lang w:val="en-US"/>
        </w:rPr>
        <w:t>tortur</w:t>
      </w:r>
      <w:r w:rsidRPr="00300A27">
        <w:rPr>
          <w:rFonts w:eastAsia="Times New Roman"/>
          <w:spacing w:val="0"/>
          <w:lang w:val="en-US"/>
        </w:rPr>
        <w:t>e.</w:t>
      </w:r>
      <w:r w:rsidR="00280B29" w:rsidRPr="00300A27">
        <w:rPr>
          <w:rStyle w:val="Refdenotaalpie"/>
          <w:rFonts w:eastAsia="Times New Roman"/>
          <w:spacing w:val="0"/>
          <w:lang w:val="en-US"/>
        </w:rPr>
        <w:footnoteReference w:id="275"/>
      </w:r>
      <w:r w:rsidRPr="00300A27">
        <w:rPr>
          <w:rFonts w:eastAsia="Times New Roman"/>
          <w:spacing w:val="0"/>
          <w:lang w:val="en-US"/>
        </w:rPr>
        <w:t xml:space="preserve"> The Court recalls that, according to its case law, torture can be committed with any objective or purpose </w:t>
      </w:r>
      <w:r w:rsidR="00280B29" w:rsidRPr="00300A27">
        <w:rPr>
          <w:spacing w:val="0"/>
          <w:lang w:val="en-US"/>
        </w:rPr>
        <w:t>(</w:t>
      </w:r>
      <w:r w:rsidR="00280B29" w:rsidRPr="00300A27">
        <w:rPr>
          <w:i/>
          <w:spacing w:val="0"/>
          <w:lang w:val="en-US"/>
        </w:rPr>
        <w:t xml:space="preserve">supra </w:t>
      </w:r>
      <w:r w:rsidR="00910D8E" w:rsidRPr="00300A27">
        <w:rPr>
          <w:spacing w:val="0"/>
          <w:lang w:val="en-US"/>
        </w:rPr>
        <w:t>para.</w:t>
      </w:r>
      <w:r w:rsidR="00BF214E" w:rsidRPr="00300A27">
        <w:rPr>
          <w:spacing w:val="0"/>
          <w:lang w:val="en-US"/>
        </w:rPr>
        <w:t xml:space="preserve"> </w:t>
      </w:r>
      <w:r w:rsidR="00BF214E" w:rsidRPr="00300A27">
        <w:rPr>
          <w:spacing w:val="0"/>
          <w:lang w:val="en-US"/>
        </w:rPr>
        <w:fldChar w:fldCharType="begin"/>
      </w:r>
      <w:r w:rsidR="00BF214E" w:rsidRPr="00300A27">
        <w:rPr>
          <w:spacing w:val="0"/>
          <w:lang w:val="en-US"/>
        </w:rPr>
        <w:instrText xml:space="preserve"> REF _Ref35855410 \r \h </w:instrText>
      </w:r>
      <w:r w:rsidR="00B243B6" w:rsidRPr="00300A27">
        <w:rPr>
          <w:spacing w:val="0"/>
          <w:lang w:val="en-US"/>
        </w:rPr>
        <w:instrText xml:space="preserve"> \* MERGEFORMAT </w:instrText>
      </w:r>
      <w:r w:rsidR="00BF214E" w:rsidRPr="00300A27">
        <w:rPr>
          <w:spacing w:val="0"/>
          <w:lang w:val="en-US"/>
        </w:rPr>
      </w:r>
      <w:r w:rsidR="00BF214E" w:rsidRPr="00300A27">
        <w:rPr>
          <w:spacing w:val="0"/>
          <w:lang w:val="en-US"/>
        </w:rPr>
        <w:fldChar w:fldCharType="separate"/>
      </w:r>
      <w:r w:rsidR="00632F77" w:rsidRPr="00300A27">
        <w:rPr>
          <w:spacing w:val="0"/>
          <w:lang w:val="en-US"/>
        </w:rPr>
        <w:t>160</w:t>
      </w:r>
      <w:r w:rsidR="00BF214E" w:rsidRPr="00300A27">
        <w:rPr>
          <w:spacing w:val="0"/>
          <w:lang w:val="en-US"/>
        </w:rPr>
        <w:fldChar w:fldCharType="end"/>
      </w:r>
      <w:r w:rsidR="00280B29" w:rsidRPr="00300A27">
        <w:rPr>
          <w:spacing w:val="0"/>
          <w:lang w:val="en-US"/>
        </w:rPr>
        <w:t>)</w:t>
      </w:r>
      <w:r w:rsidR="00D55522" w:rsidRPr="00300A27">
        <w:rPr>
          <w:spacing w:val="0"/>
          <w:lang w:val="en-US"/>
        </w:rPr>
        <w:t>, inclu</w:t>
      </w:r>
      <w:r w:rsidRPr="00300A27">
        <w:rPr>
          <w:spacing w:val="0"/>
          <w:lang w:val="en-US"/>
        </w:rPr>
        <w:t>ding for discriminatory purposes. The definition of torture in</w:t>
      </w:r>
      <w:r w:rsidR="00126948" w:rsidRPr="00300A27">
        <w:rPr>
          <w:rFonts w:eastAsia="Times New Roman"/>
          <w:spacing w:val="0"/>
          <w:lang w:val="en-US"/>
        </w:rPr>
        <w:t xml:space="preserve"> </w:t>
      </w:r>
      <w:r w:rsidR="005B1C65" w:rsidRPr="00300A27">
        <w:rPr>
          <w:rFonts w:eastAsia="Times New Roman"/>
          <w:spacing w:val="0"/>
          <w:lang w:val="en-US"/>
        </w:rPr>
        <w:t>Article</w:t>
      </w:r>
      <w:r w:rsidR="00280B29" w:rsidRPr="00300A27">
        <w:rPr>
          <w:rFonts w:eastAsia="Times New Roman"/>
          <w:spacing w:val="0"/>
          <w:lang w:val="en-US"/>
        </w:rPr>
        <w:t xml:space="preserve"> 2</w:t>
      </w:r>
      <w:r w:rsidR="005B1C65" w:rsidRPr="00300A27">
        <w:rPr>
          <w:rFonts w:eastAsia="Times New Roman"/>
          <w:spacing w:val="0"/>
          <w:lang w:val="en-US"/>
        </w:rPr>
        <w:t xml:space="preserve"> of the </w:t>
      </w:r>
      <w:r w:rsidR="00F816B4" w:rsidRPr="00300A27">
        <w:rPr>
          <w:rFonts w:eastAsia="Times New Roman"/>
          <w:spacing w:val="0"/>
          <w:lang w:val="en-US"/>
        </w:rPr>
        <w:t>Inter-American Convention to Prevent and Punish Torture</w:t>
      </w:r>
      <w:r w:rsidR="0005572F" w:rsidRPr="00300A27">
        <w:rPr>
          <w:rFonts w:eastAsia="Times New Roman"/>
          <w:spacing w:val="0"/>
          <w:lang w:val="en-US"/>
        </w:rPr>
        <w:t xml:space="preserve"> establ</w:t>
      </w:r>
      <w:r w:rsidRPr="00300A27">
        <w:rPr>
          <w:rFonts w:eastAsia="Times New Roman"/>
          <w:spacing w:val="0"/>
          <w:lang w:val="en-US"/>
        </w:rPr>
        <w:t xml:space="preserve">ishes several objectives or purposes, but adds </w:t>
      </w:r>
      <w:r w:rsidR="0005572F" w:rsidRPr="00300A27">
        <w:rPr>
          <w:rFonts w:eastAsia="Times New Roman"/>
          <w:spacing w:val="0"/>
          <w:lang w:val="en-US"/>
        </w:rPr>
        <w:t>“o</w:t>
      </w:r>
      <w:r w:rsidRPr="00300A27">
        <w:rPr>
          <w:rFonts w:eastAsia="Times New Roman"/>
          <w:spacing w:val="0"/>
          <w:lang w:val="en-US"/>
        </w:rPr>
        <w:t>r for any other purpose.”</w:t>
      </w:r>
      <w:r w:rsidR="0005572F" w:rsidRPr="00300A27">
        <w:rPr>
          <w:rFonts w:eastAsia="Times New Roman"/>
          <w:spacing w:val="0"/>
          <w:lang w:val="en-US"/>
        </w:rPr>
        <w:t xml:space="preserve"> </w:t>
      </w:r>
      <w:r w:rsidRPr="00300A27">
        <w:rPr>
          <w:rFonts w:eastAsia="Times New Roman"/>
          <w:spacing w:val="0"/>
          <w:lang w:val="en-US"/>
        </w:rPr>
        <w:t xml:space="preserve">The Court considers that, in this case, the </w:t>
      </w:r>
      <w:r w:rsidR="00C84A27" w:rsidRPr="00300A27">
        <w:rPr>
          <w:rFonts w:eastAsia="Times New Roman"/>
          <w:spacing w:val="0"/>
          <w:lang w:val="en-US"/>
        </w:rPr>
        <w:t>inadequate</w:t>
      </w:r>
      <w:r w:rsidRPr="00300A27">
        <w:rPr>
          <w:rFonts w:eastAsia="Times New Roman"/>
          <w:spacing w:val="0"/>
          <w:lang w:val="en-US"/>
        </w:rPr>
        <w:t xml:space="preserve"> legal definition of torture</w:t>
      </w:r>
      <w:r w:rsidR="00666D1B" w:rsidRPr="00300A27">
        <w:rPr>
          <w:rStyle w:val="Refdenotaalpie"/>
          <w:rFonts w:eastAsiaTheme="minorHAnsi"/>
          <w:spacing w:val="0"/>
          <w:szCs w:val="20"/>
          <w:lang w:val="en-US"/>
        </w:rPr>
        <w:footnoteReference w:id="276"/>
      </w:r>
      <w:r w:rsidR="006D1C9D" w:rsidRPr="00300A27">
        <w:rPr>
          <w:rFonts w:eastAsiaTheme="minorHAnsi"/>
          <w:spacing w:val="0"/>
          <w:szCs w:val="20"/>
          <w:lang w:val="en-US"/>
        </w:rPr>
        <w:t xml:space="preserve"> </w:t>
      </w:r>
      <w:r w:rsidRPr="00300A27">
        <w:rPr>
          <w:rFonts w:eastAsiaTheme="minorHAnsi"/>
          <w:spacing w:val="0"/>
          <w:szCs w:val="20"/>
          <w:lang w:val="en-US"/>
        </w:rPr>
        <w:t xml:space="preserve">prevented the expansion of the investigation into the ill-treatment inflicted on </w:t>
      </w:r>
      <w:r w:rsidR="008546E9" w:rsidRPr="00300A27">
        <w:rPr>
          <w:spacing w:val="0"/>
          <w:lang w:val="en-US"/>
        </w:rPr>
        <w:t>Ms. Rojas</w:t>
      </w:r>
      <w:r w:rsidR="000A3649" w:rsidRPr="00300A27">
        <w:rPr>
          <w:spacing w:val="0"/>
          <w:lang w:val="en-US"/>
        </w:rPr>
        <w:t xml:space="preserve"> Marín. </w:t>
      </w:r>
    </w:p>
    <w:p w14:paraId="49168266" w14:textId="7ECE6F90" w:rsidR="0023153E" w:rsidRPr="00300A27" w:rsidRDefault="00311CF3" w:rsidP="00B243B6">
      <w:pPr>
        <w:pStyle w:val="PrrafodeSentencia"/>
        <w:numPr>
          <w:ilvl w:val="0"/>
          <w:numId w:val="3"/>
        </w:numPr>
        <w:spacing w:before="120" w:after="120"/>
        <w:ind w:left="0" w:firstLine="0"/>
        <w:rPr>
          <w:rFonts w:eastAsia="Times New Roman"/>
          <w:spacing w:val="0"/>
          <w:lang w:val="en-US"/>
        </w:rPr>
      </w:pPr>
      <w:r w:rsidRPr="00300A27">
        <w:rPr>
          <w:spacing w:val="0"/>
          <w:lang w:val="en-US"/>
        </w:rPr>
        <w:t xml:space="preserve">Therefore, this decision violated </w:t>
      </w:r>
      <w:r w:rsidR="005B1C65" w:rsidRPr="00300A27">
        <w:rPr>
          <w:spacing w:val="0"/>
          <w:lang w:val="en-US"/>
        </w:rPr>
        <w:t>Articles</w:t>
      </w:r>
      <w:r w:rsidR="006D1C9D" w:rsidRPr="00300A27">
        <w:rPr>
          <w:spacing w:val="0"/>
          <w:lang w:val="en-US"/>
        </w:rPr>
        <w:t xml:space="preserve"> </w:t>
      </w:r>
      <w:r w:rsidR="00BA3C7F" w:rsidRPr="00300A27">
        <w:rPr>
          <w:spacing w:val="0"/>
          <w:lang w:val="en-US"/>
        </w:rPr>
        <w:t>8(1)</w:t>
      </w:r>
      <w:r w:rsidR="005B1C65" w:rsidRPr="00300A27">
        <w:rPr>
          <w:spacing w:val="0"/>
          <w:lang w:val="en-US"/>
        </w:rPr>
        <w:t xml:space="preserve"> and </w:t>
      </w:r>
      <w:r w:rsidR="006D1C9D" w:rsidRPr="00300A27">
        <w:rPr>
          <w:spacing w:val="0"/>
          <w:lang w:val="en-US"/>
        </w:rPr>
        <w:t>2</w:t>
      </w:r>
      <w:r w:rsidR="00BA3C7F" w:rsidRPr="00300A27">
        <w:rPr>
          <w:spacing w:val="0"/>
          <w:lang w:val="en-US"/>
        </w:rPr>
        <w:t>5(1)</w:t>
      </w:r>
      <w:r w:rsidR="005B1C65" w:rsidRPr="00300A27">
        <w:rPr>
          <w:spacing w:val="0"/>
          <w:lang w:val="en-US"/>
        </w:rPr>
        <w:t xml:space="preserve"> of the American Convention on Human Rights</w:t>
      </w:r>
      <w:r w:rsidR="006D1C9D" w:rsidRPr="00300A27">
        <w:rPr>
          <w:spacing w:val="0"/>
          <w:lang w:val="en-US"/>
        </w:rPr>
        <w:t xml:space="preserve">, </w:t>
      </w:r>
      <w:r w:rsidRPr="00300A27">
        <w:rPr>
          <w:spacing w:val="0"/>
          <w:lang w:val="en-US"/>
        </w:rPr>
        <w:t xml:space="preserve">in relation to the general obligations contained in </w:t>
      </w:r>
      <w:r w:rsidR="005B1C65" w:rsidRPr="00300A27">
        <w:rPr>
          <w:spacing w:val="0"/>
          <w:lang w:val="en-US"/>
        </w:rPr>
        <w:t>Articles</w:t>
      </w:r>
      <w:r w:rsidR="006D1C9D" w:rsidRPr="00300A27">
        <w:rPr>
          <w:spacing w:val="0"/>
          <w:lang w:val="en-US"/>
        </w:rPr>
        <w:t xml:space="preserve"> </w:t>
      </w:r>
      <w:r w:rsidR="00BA3C7F" w:rsidRPr="00300A27">
        <w:rPr>
          <w:spacing w:val="0"/>
          <w:lang w:val="en-US"/>
        </w:rPr>
        <w:t>1(1)</w:t>
      </w:r>
      <w:r w:rsidR="005B1C65" w:rsidRPr="00300A27">
        <w:rPr>
          <w:spacing w:val="0"/>
          <w:lang w:val="en-US"/>
        </w:rPr>
        <w:t xml:space="preserve"> and </w:t>
      </w:r>
      <w:r w:rsidR="006D1C9D" w:rsidRPr="00300A27">
        <w:rPr>
          <w:spacing w:val="0"/>
          <w:lang w:val="en-US"/>
        </w:rPr>
        <w:t xml:space="preserve">2 </w:t>
      </w:r>
      <w:r w:rsidRPr="00300A27">
        <w:rPr>
          <w:spacing w:val="0"/>
          <w:lang w:val="en-US"/>
        </w:rPr>
        <w:t xml:space="preserve">of this instrument, and </w:t>
      </w:r>
      <w:r w:rsidR="005B1C65" w:rsidRPr="00300A27">
        <w:rPr>
          <w:spacing w:val="0"/>
          <w:lang w:val="en-US"/>
        </w:rPr>
        <w:t>Articles</w:t>
      </w:r>
      <w:r w:rsidR="006D1C9D" w:rsidRPr="00300A27">
        <w:rPr>
          <w:spacing w:val="0"/>
          <w:lang w:val="en-US"/>
        </w:rPr>
        <w:t xml:space="preserve"> 1, 6</w:t>
      </w:r>
      <w:r w:rsidR="005B1C65" w:rsidRPr="00300A27">
        <w:rPr>
          <w:spacing w:val="0"/>
          <w:lang w:val="en-US"/>
        </w:rPr>
        <w:t xml:space="preserve"> and </w:t>
      </w:r>
      <w:r w:rsidR="006D1C9D" w:rsidRPr="00300A27">
        <w:rPr>
          <w:spacing w:val="0"/>
          <w:lang w:val="en-US"/>
        </w:rPr>
        <w:t>8</w:t>
      </w:r>
      <w:r w:rsidR="005B1C65" w:rsidRPr="00300A27">
        <w:rPr>
          <w:spacing w:val="0"/>
          <w:lang w:val="en-US"/>
        </w:rPr>
        <w:t xml:space="preserve"> of the </w:t>
      </w:r>
      <w:r w:rsidR="00F816B4" w:rsidRPr="00300A27">
        <w:rPr>
          <w:spacing w:val="0"/>
          <w:lang w:val="en-US"/>
        </w:rPr>
        <w:t>Inter-American Convention to Prevent and Punish Torture</w:t>
      </w:r>
      <w:r w:rsidR="006D1C9D" w:rsidRPr="00300A27">
        <w:rPr>
          <w:spacing w:val="0"/>
          <w:lang w:val="en-US"/>
        </w:rPr>
        <w:t>.</w:t>
      </w:r>
    </w:p>
    <w:p w14:paraId="7FC40806" w14:textId="7907D88D" w:rsidR="003273DB" w:rsidRPr="00300A27" w:rsidRDefault="003273DB" w:rsidP="00B243B6">
      <w:pPr>
        <w:pStyle w:val="Ttulo3"/>
        <w:rPr>
          <w:lang w:val="en-US"/>
        </w:rPr>
      </w:pPr>
      <w:bookmarkStart w:id="154" w:name="_Toc36823498"/>
      <w:bookmarkStart w:id="155" w:name="_Toc32394180"/>
      <w:r w:rsidRPr="00300A27">
        <w:rPr>
          <w:lang w:val="en-US"/>
        </w:rPr>
        <w:t>B.4</w:t>
      </w:r>
      <w:r w:rsidRPr="00300A27">
        <w:rPr>
          <w:lang w:val="en-US"/>
        </w:rPr>
        <w:tab/>
      </w:r>
      <w:r w:rsidR="00CD6F00" w:rsidRPr="00300A27">
        <w:rPr>
          <w:lang w:val="en-US"/>
        </w:rPr>
        <w:t>The dismissal decision</w:t>
      </w:r>
      <w:bookmarkEnd w:id="154"/>
    </w:p>
    <w:p w14:paraId="401AE5B0" w14:textId="6524C6D8" w:rsidR="00D06597" w:rsidRPr="00300A27" w:rsidRDefault="009B35A1" w:rsidP="00B243B6">
      <w:pPr>
        <w:pStyle w:val="PrrafodeSentencia"/>
        <w:numPr>
          <w:ilvl w:val="0"/>
          <w:numId w:val="3"/>
        </w:numPr>
        <w:spacing w:before="120" w:after="120"/>
        <w:ind w:left="0" w:firstLine="0"/>
        <w:rPr>
          <w:rFonts w:eastAsia="Times New Roman"/>
          <w:spacing w:val="0"/>
          <w:lang w:val="en-US"/>
        </w:rPr>
      </w:pPr>
      <w:r w:rsidRPr="00300A27">
        <w:rPr>
          <w:spacing w:val="0"/>
          <w:lang w:val="en-US"/>
        </w:rPr>
        <w:t>On January</w:t>
      </w:r>
      <w:r w:rsidR="00892EDF" w:rsidRPr="00300A27">
        <w:rPr>
          <w:rFonts w:eastAsia="Times New Roman"/>
          <w:spacing w:val="0"/>
          <w:lang w:val="en-US"/>
        </w:rPr>
        <w:t xml:space="preserve"> 9,</w:t>
      </w:r>
      <w:r w:rsidR="00D06597" w:rsidRPr="00300A27">
        <w:rPr>
          <w:rFonts w:eastAsia="Times New Roman"/>
          <w:spacing w:val="0"/>
          <w:lang w:val="en-US"/>
        </w:rPr>
        <w:t xml:space="preserve"> 2009</w:t>
      </w:r>
      <w:r w:rsidR="001219C7" w:rsidRPr="00300A27">
        <w:rPr>
          <w:rFonts w:eastAsia="Times New Roman"/>
          <w:spacing w:val="0"/>
          <w:lang w:val="en-US"/>
        </w:rPr>
        <w:t>, the</w:t>
      </w:r>
      <w:r w:rsidR="00D06597" w:rsidRPr="00300A27">
        <w:rPr>
          <w:rFonts w:eastAsia="Times New Roman"/>
          <w:spacing w:val="0"/>
          <w:lang w:val="en-US"/>
        </w:rPr>
        <w:t xml:space="preserve"> </w:t>
      </w:r>
      <w:r w:rsidRPr="00300A27">
        <w:rPr>
          <w:rFonts w:eastAsia="Times New Roman"/>
          <w:spacing w:val="0"/>
          <w:lang w:val="en-US"/>
        </w:rPr>
        <w:t>Ascope First Preliminary Investigation Court</w:t>
      </w:r>
      <w:r w:rsidR="00D06597" w:rsidRPr="00300A27">
        <w:rPr>
          <w:rFonts w:eastAsia="Times New Roman"/>
          <w:spacing w:val="0"/>
          <w:lang w:val="en-US"/>
        </w:rPr>
        <w:t xml:space="preserve"> declar</w:t>
      </w:r>
      <w:r w:rsidR="001219C7" w:rsidRPr="00300A27">
        <w:rPr>
          <w:rFonts w:eastAsia="Times New Roman"/>
          <w:spacing w:val="0"/>
          <w:lang w:val="en-US"/>
        </w:rPr>
        <w:t>ed that the request of the</w:t>
      </w:r>
      <w:r w:rsidR="00C84A27" w:rsidRPr="00300A27">
        <w:rPr>
          <w:rFonts w:eastAsia="Times New Roman"/>
          <w:spacing w:val="0"/>
          <w:lang w:val="en-US"/>
        </w:rPr>
        <w:t xml:space="preserve"> Public Prosecution Service was</w:t>
      </w:r>
      <w:r w:rsidR="001219C7" w:rsidRPr="00300A27">
        <w:rPr>
          <w:rFonts w:eastAsia="Times New Roman"/>
          <w:spacing w:val="0"/>
          <w:lang w:val="en-US"/>
        </w:rPr>
        <w:t xml:space="preserve"> well-founded and dismissed the proceedings for both offenses and against all three accused, ordering that the case be closed.</w:t>
      </w:r>
      <w:r w:rsidR="00D06597" w:rsidRPr="00300A27">
        <w:rPr>
          <w:rStyle w:val="Refdenotaalpie"/>
          <w:spacing w:val="0"/>
          <w:lang w:val="en-US"/>
        </w:rPr>
        <w:footnoteReference w:id="277"/>
      </w:r>
      <w:r w:rsidR="001219C7" w:rsidRPr="00300A27">
        <w:rPr>
          <w:rFonts w:eastAsia="Times New Roman"/>
          <w:spacing w:val="0"/>
          <w:lang w:val="en-US"/>
        </w:rPr>
        <w:t xml:space="preserve"> The </w:t>
      </w:r>
      <w:r w:rsidR="003B5CBF" w:rsidRPr="00300A27">
        <w:rPr>
          <w:rFonts w:eastAsia="Times New Roman"/>
          <w:spacing w:val="0"/>
          <w:lang w:val="en-US"/>
        </w:rPr>
        <w:t>judge</w:t>
      </w:r>
      <w:r w:rsidR="001219C7" w:rsidRPr="00300A27">
        <w:rPr>
          <w:rFonts w:eastAsia="Times New Roman"/>
          <w:spacing w:val="0"/>
          <w:lang w:val="en-US"/>
        </w:rPr>
        <w:t xml:space="preserve"> based </w:t>
      </w:r>
      <w:r w:rsidR="003B5CBF" w:rsidRPr="00300A27">
        <w:rPr>
          <w:rFonts w:eastAsia="Times New Roman"/>
          <w:spacing w:val="0"/>
          <w:lang w:val="en-US"/>
        </w:rPr>
        <w:t>his</w:t>
      </w:r>
      <w:r w:rsidR="001219C7" w:rsidRPr="00300A27">
        <w:rPr>
          <w:rFonts w:eastAsia="Times New Roman"/>
          <w:spacing w:val="0"/>
          <w:lang w:val="en-US"/>
        </w:rPr>
        <w:t xml:space="preserve"> decision</w:t>
      </w:r>
      <w:r w:rsidR="003B5CBF" w:rsidRPr="00300A27">
        <w:rPr>
          <w:rFonts w:eastAsia="Times New Roman"/>
          <w:spacing w:val="0"/>
          <w:lang w:val="en-US"/>
        </w:rPr>
        <w:t xml:space="preserve"> on the following: (i) the statements of the presumed victim were not valid evidence because they lacked credibility and plausibility; (ii) the lack of immediacy of the medical examination and the expert appraisals that were performed, and (iii) the consistent and categorical rejection by the accused of the charges of rape and abuse of authority.</w:t>
      </w:r>
      <w:r w:rsidR="00D06597" w:rsidRPr="00300A27">
        <w:rPr>
          <w:rStyle w:val="Refdenotaalpie"/>
          <w:spacing w:val="0"/>
          <w:lang w:val="en-US"/>
        </w:rPr>
        <w:footnoteReference w:id="278"/>
      </w:r>
    </w:p>
    <w:p w14:paraId="3F78900D" w14:textId="2F30B11E" w:rsidR="00FA271A" w:rsidRPr="00300A27" w:rsidRDefault="003B5CBF" w:rsidP="00B243B6">
      <w:pPr>
        <w:pStyle w:val="PrrafodeSentencia"/>
        <w:numPr>
          <w:ilvl w:val="0"/>
          <w:numId w:val="3"/>
        </w:numPr>
        <w:spacing w:before="120" w:after="120"/>
        <w:ind w:left="0" w:firstLine="0"/>
        <w:rPr>
          <w:rFonts w:eastAsia="Times New Roman"/>
          <w:spacing w:val="0"/>
          <w:lang w:val="en-US"/>
        </w:rPr>
      </w:pPr>
      <w:r w:rsidRPr="00300A27">
        <w:rPr>
          <w:rFonts w:eastAsia="Times New Roman"/>
          <w:spacing w:val="0"/>
          <w:lang w:val="en-US"/>
        </w:rPr>
        <w:t>The judge indicated that the presumed victim’s version of the events was not credible because one of the accused was an important witness in the criminal proceedings underway against one of her brothers.</w:t>
      </w:r>
      <w:r w:rsidR="002D6FE4" w:rsidRPr="00300A27">
        <w:rPr>
          <w:rStyle w:val="Refdenotaalpie"/>
          <w:spacing w:val="0"/>
          <w:lang w:val="en-US"/>
        </w:rPr>
        <w:footnoteReference w:id="279"/>
      </w:r>
      <w:r w:rsidR="003273DB" w:rsidRPr="00300A27">
        <w:rPr>
          <w:rFonts w:eastAsia="Times New Roman"/>
          <w:spacing w:val="0"/>
          <w:lang w:val="en-US"/>
        </w:rPr>
        <w:t xml:space="preserve"> </w:t>
      </w:r>
    </w:p>
    <w:p w14:paraId="1C0C1282" w14:textId="76A92217" w:rsidR="006E45D4" w:rsidRPr="00300A27" w:rsidRDefault="005B1C65" w:rsidP="00B243B6">
      <w:pPr>
        <w:pStyle w:val="PrrafodeSentencia"/>
        <w:numPr>
          <w:ilvl w:val="0"/>
          <w:numId w:val="3"/>
        </w:numPr>
        <w:spacing w:before="120" w:after="120"/>
        <w:ind w:left="0" w:firstLine="0"/>
        <w:rPr>
          <w:rFonts w:eastAsia="Times New Roman"/>
          <w:spacing w:val="0"/>
          <w:lang w:val="en-US"/>
        </w:rPr>
      </w:pPr>
      <w:r w:rsidRPr="00300A27">
        <w:rPr>
          <w:rFonts w:eastAsia="Times New Roman"/>
          <w:spacing w:val="0"/>
          <w:lang w:val="en-US"/>
        </w:rPr>
        <w:t>This Court</w:t>
      </w:r>
      <w:r w:rsidR="00194173" w:rsidRPr="00300A27">
        <w:rPr>
          <w:rFonts w:eastAsia="Times New Roman"/>
          <w:spacing w:val="0"/>
          <w:lang w:val="en-US"/>
        </w:rPr>
        <w:t xml:space="preserve"> observ</w:t>
      </w:r>
      <w:r w:rsidR="003B5CBF" w:rsidRPr="00300A27">
        <w:rPr>
          <w:rFonts w:eastAsia="Times New Roman"/>
          <w:spacing w:val="0"/>
          <w:lang w:val="en-US"/>
        </w:rPr>
        <w:t xml:space="preserve">es that this consideration reveals that the complaint of rape was automatically considered false on the basis of the procedural situation of the presumed victim’s brother. This was a discretionary and discriminatory criterion that presumed the bad faith of </w:t>
      </w:r>
      <w:r w:rsidR="008546E9" w:rsidRPr="00300A27">
        <w:rPr>
          <w:rFonts w:eastAsia="Times New Roman"/>
          <w:spacing w:val="0"/>
          <w:lang w:val="en-US"/>
        </w:rPr>
        <w:t>Ms. Rojas</w:t>
      </w:r>
      <w:r w:rsidR="006E45D4" w:rsidRPr="00300A27">
        <w:rPr>
          <w:rFonts w:eastAsia="Times New Roman"/>
          <w:spacing w:val="0"/>
          <w:lang w:val="en-US"/>
        </w:rPr>
        <w:t xml:space="preserve"> Marín </w:t>
      </w:r>
      <w:r w:rsidR="003B5CBF" w:rsidRPr="00300A27">
        <w:rPr>
          <w:rFonts w:eastAsia="Times New Roman"/>
          <w:spacing w:val="0"/>
          <w:lang w:val="en-US"/>
        </w:rPr>
        <w:t>when filing the complaint</w:t>
      </w:r>
      <w:r w:rsidR="006E45D4" w:rsidRPr="00300A27">
        <w:rPr>
          <w:rFonts w:eastAsia="Times New Roman"/>
          <w:spacing w:val="0"/>
          <w:lang w:val="en-US"/>
        </w:rPr>
        <w:t xml:space="preserve">. </w:t>
      </w:r>
    </w:p>
    <w:p w14:paraId="2F5D55B1" w14:textId="399E3965" w:rsidR="00FA271A" w:rsidRPr="00300A27" w:rsidRDefault="00CD6F00" w:rsidP="00B243B6">
      <w:pPr>
        <w:pStyle w:val="PrrafodeSentencia"/>
        <w:numPr>
          <w:ilvl w:val="0"/>
          <w:numId w:val="3"/>
        </w:numPr>
        <w:spacing w:before="120" w:after="120"/>
        <w:ind w:left="0" w:firstLine="0"/>
        <w:rPr>
          <w:rFonts w:eastAsia="Times New Roman"/>
          <w:spacing w:val="0"/>
          <w:lang w:val="en-US"/>
        </w:rPr>
      </w:pPr>
      <w:r w:rsidRPr="00300A27">
        <w:rPr>
          <w:rFonts w:eastAsia="Times New Roman"/>
          <w:spacing w:val="0"/>
          <w:lang w:val="en-US"/>
        </w:rPr>
        <w:t>The dismissal decision</w:t>
      </w:r>
      <w:r w:rsidR="003B5CBF" w:rsidRPr="00300A27">
        <w:rPr>
          <w:rFonts w:eastAsia="Times New Roman"/>
          <w:spacing w:val="0"/>
          <w:lang w:val="en-US"/>
        </w:rPr>
        <w:t xml:space="preserve"> also emphasized that “the aggrieved party has not been consistent in her statement regarding the facts.” Among the alleged incongruencies, the judge included the fact that: </w:t>
      </w:r>
    </w:p>
    <w:p w14:paraId="708A5206" w14:textId="6F0836A0" w:rsidR="00FA271A" w:rsidRPr="00300A27" w:rsidRDefault="003B5CBF" w:rsidP="00B243B6">
      <w:pPr>
        <w:pStyle w:val="PrrafodeSentencia"/>
        <w:numPr>
          <w:ilvl w:val="0"/>
          <w:numId w:val="0"/>
        </w:numPr>
        <w:spacing w:before="120" w:after="120"/>
        <w:ind w:left="567" w:right="615"/>
        <w:rPr>
          <w:rFonts w:eastAsia="Times New Roman"/>
          <w:spacing w:val="0"/>
          <w:sz w:val="18"/>
          <w:szCs w:val="18"/>
          <w:lang w:val="en-US"/>
        </w:rPr>
      </w:pPr>
      <w:r w:rsidRPr="00300A27">
        <w:rPr>
          <w:rFonts w:eastAsia="Times New Roman"/>
          <w:spacing w:val="0"/>
          <w:sz w:val="18"/>
          <w:szCs w:val="18"/>
          <w:lang w:val="en-US"/>
        </w:rPr>
        <w:t xml:space="preserve">In </w:t>
      </w:r>
      <w:r w:rsidR="00F029CE" w:rsidRPr="00300A27">
        <w:rPr>
          <w:rFonts w:eastAsia="Times New Roman"/>
          <w:spacing w:val="0"/>
          <w:sz w:val="18"/>
          <w:szCs w:val="18"/>
          <w:lang w:val="en-US"/>
        </w:rPr>
        <w:t xml:space="preserve">[her] complaint in the printed, spoken and televised media, [she] never mentioned that [she] had been subjected to rape, a fact that only recently arose in her version of the events when answering [a question] by the representative of the </w:t>
      </w:r>
      <w:r w:rsidR="00892EDF" w:rsidRPr="00300A27">
        <w:rPr>
          <w:rFonts w:eastAsia="Times New Roman"/>
          <w:spacing w:val="0"/>
          <w:sz w:val="18"/>
          <w:szCs w:val="18"/>
          <w:lang w:val="en-US"/>
        </w:rPr>
        <w:t>Public Prosecution Service</w:t>
      </w:r>
      <w:r w:rsidR="002D6FE4" w:rsidRPr="00300A27">
        <w:rPr>
          <w:rFonts w:eastAsia="Times New Roman"/>
          <w:spacing w:val="0"/>
          <w:sz w:val="18"/>
          <w:szCs w:val="18"/>
          <w:lang w:val="en-US"/>
        </w:rPr>
        <w:t xml:space="preserve"> [</w:t>
      </w:r>
      <w:r w:rsidR="00F029CE" w:rsidRPr="00300A27">
        <w:rPr>
          <w:rFonts w:eastAsia="Times New Roman"/>
          <w:spacing w:val="0"/>
          <w:sz w:val="18"/>
          <w:szCs w:val="18"/>
          <w:lang w:val="en-US"/>
        </w:rPr>
        <w:t>in the</w:t>
      </w:r>
      <w:r w:rsidR="002D6FE4" w:rsidRPr="00300A27">
        <w:rPr>
          <w:rFonts w:eastAsia="Times New Roman"/>
          <w:spacing w:val="0"/>
          <w:sz w:val="18"/>
          <w:szCs w:val="18"/>
          <w:lang w:val="en-US"/>
        </w:rPr>
        <w:t xml:space="preserve"> </w:t>
      </w:r>
      <w:r w:rsidR="00910D8E" w:rsidRPr="00300A27">
        <w:rPr>
          <w:rFonts w:eastAsia="Times New Roman"/>
          <w:spacing w:val="0"/>
          <w:sz w:val="18"/>
          <w:szCs w:val="18"/>
          <w:lang w:val="en-US"/>
        </w:rPr>
        <w:t xml:space="preserve">statement </w:t>
      </w:r>
      <w:r w:rsidR="00F029CE" w:rsidRPr="00300A27">
        <w:rPr>
          <w:rFonts w:eastAsia="Times New Roman"/>
          <w:spacing w:val="0"/>
          <w:sz w:val="18"/>
          <w:szCs w:val="18"/>
          <w:lang w:val="en-US"/>
        </w:rPr>
        <w:t>of</w:t>
      </w:r>
      <w:r w:rsidR="002D6FE4" w:rsidRPr="00300A27">
        <w:rPr>
          <w:rFonts w:eastAsia="Times New Roman"/>
          <w:spacing w:val="0"/>
          <w:sz w:val="18"/>
          <w:szCs w:val="18"/>
          <w:lang w:val="en-US"/>
        </w:rPr>
        <w:t xml:space="preserve"> </w:t>
      </w:r>
      <w:r w:rsidR="00B72461" w:rsidRPr="00300A27">
        <w:rPr>
          <w:rFonts w:eastAsia="Times New Roman"/>
          <w:spacing w:val="0"/>
          <w:sz w:val="18"/>
          <w:szCs w:val="18"/>
          <w:lang w:val="en-US"/>
        </w:rPr>
        <w:t>February 28</w:t>
      </w:r>
      <w:r w:rsidR="002D6FE4" w:rsidRPr="00300A27">
        <w:rPr>
          <w:rFonts w:eastAsia="Times New Roman"/>
          <w:spacing w:val="0"/>
          <w:sz w:val="18"/>
          <w:szCs w:val="18"/>
          <w:lang w:val="en-US"/>
        </w:rPr>
        <w:t>]</w:t>
      </w:r>
      <w:r w:rsidR="00F029CE" w:rsidRPr="00300A27">
        <w:rPr>
          <w:rFonts w:eastAsia="Times New Roman"/>
          <w:spacing w:val="0"/>
          <w:sz w:val="18"/>
          <w:szCs w:val="18"/>
          <w:lang w:val="en-US"/>
        </w:rPr>
        <w:t>; therefore, her words lacked spontaneity, uniformity and consistency in this regard.</w:t>
      </w:r>
      <w:r w:rsidR="00FA271A" w:rsidRPr="00300A27">
        <w:rPr>
          <w:rStyle w:val="Refdenotaalpie"/>
          <w:spacing w:val="0"/>
          <w:sz w:val="18"/>
          <w:szCs w:val="18"/>
          <w:lang w:val="en-US"/>
        </w:rPr>
        <w:footnoteReference w:id="280"/>
      </w:r>
    </w:p>
    <w:p w14:paraId="26D95909" w14:textId="232D573E" w:rsidR="00FA271A" w:rsidRPr="00300A27" w:rsidRDefault="005B1C65" w:rsidP="00B243B6">
      <w:pPr>
        <w:pStyle w:val="Prrafodelista"/>
        <w:widowControl w:val="0"/>
        <w:numPr>
          <w:ilvl w:val="0"/>
          <w:numId w:val="3"/>
        </w:numPr>
        <w:tabs>
          <w:tab w:val="left" w:pos="567"/>
        </w:tabs>
        <w:adjustRightInd w:val="0"/>
        <w:spacing w:before="120" w:after="120"/>
        <w:ind w:left="0" w:firstLine="0"/>
        <w:contextualSpacing w:val="0"/>
        <w:jc w:val="both"/>
        <w:textAlignment w:val="baseline"/>
        <w:rPr>
          <w:color w:val="FF0000"/>
        </w:rPr>
      </w:pPr>
      <w:r w:rsidRPr="00300A27">
        <w:t>This Court</w:t>
      </w:r>
      <w:r w:rsidR="00FA271A" w:rsidRPr="00300A27">
        <w:t xml:space="preserve"> rec</w:t>
      </w:r>
      <w:r w:rsidR="00F029CE" w:rsidRPr="00300A27">
        <w:t>alls that the mention of some of the ill-treatment only in some statements does not mean that the</w:t>
      </w:r>
      <w:r w:rsidR="00C84A27" w:rsidRPr="00300A27">
        <w:t>se</w:t>
      </w:r>
      <w:r w:rsidR="00F029CE" w:rsidRPr="00300A27">
        <w:t xml:space="preserve"> are false or that the facts narrated are not true.</w:t>
      </w:r>
      <w:r w:rsidR="00FA271A" w:rsidRPr="00300A27">
        <w:rPr>
          <w:rStyle w:val="Refdenotaalpie"/>
        </w:rPr>
        <w:footnoteReference w:id="281"/>
      </w:r>
      <w:r w:rsidR="00FA271A" w:rsidRPr="00300A27">
        <w:t xml:space="preserve"> </w:t>
      </w:r>
      <w:r w:rsidR="00F029CE" w:rsidRPr="00300A27">
        <w:t xml:space="preserve">Also, when examining the said statements, it should be taken into account that sexual aggressions are a type of offense that victims do not usually report owing to the stigma that a complaint of this type </w:t>
      </w:r>
      <w:r w:rsidR="00C84A27" w:rsidRPr="00300A27">
        <w:t>may</w:t>
      </w:r>
      <w:r w:rsidR="00F029CE" w:rsidRPr="00300A27">
        <w:t xml:space="preserve"> involve.</w:t>
      </w:r>
      <w:r w:rsidR="00FA271A" w:rsidRPr="00300A27">
        <w:rPr>
          <w:rStyle w:val="Refdenotaalpie"/>
        </w:rPr>
        <w:footnoteReference w:id="282"/>
      </w:r>
      <w:r w:rsidR="00F029CE" w:rsidRPr="00300A27">
        <w:rPr>
          <w:szCs w:val="20"/>
        </w:rPr>
        <w:t xml:space="preserve"> Thus, the Court notes that is it unreasonable to expect that </w:t>
      </w:r>
      <w:r w:rsidR="00834A1B" w:rsidRPr="00300A27">
        <w:rPr>
          <w:szCs w:val="20"/>
        </w:rPr>
        <w:t>the presumed victim</w:t>
      </w:r>
      <w:r w:rsidR="00FA271A" w:rsidRPr="00300A27">
        <w:rPr>
          <w:szCs w:val="20"/>
        </w:rPr>
        <w:t xml:space="preserve"> </w:t>
      </w:r>
      <w:r w:rsidR="00F029CE" w:rsidRPr="00300A27">
        <w:rPr>
          <w:szCs w:val="20"/>
        </w:rPr>
        <w:t xml:space="preserve">would report </w:t>
      </w:r>
      <w:r w:rsidR="00C84A27" w:rsidRPr="00300A27">
        <w:rPr>
          <w:szCs w:val="20"/>
        </w:rPr>
        <w:t>such</w:t>
      </w:r>
      <w:r w:rsidR="00F029CE" w:rsidRPr="00300A27">
        <w:rPr>
          <w:szCs w:val="20"/>
        </w:rPr>
        <w:t xml:space="preserve"> facts in the media and in all the statements she made on what occurred</w:t>
      </w:r>
      <w:r w:rsidR="00FA271A" w:rsidRPr="00300A27">
        <w:rPr>
          <w:szCs w:val="20"/>
        </w:rPr>
        <w:t xml:space="preserve">. </w:t>
      </w:r>
    </w:p>
    <w:p w14:paraId="38C348B8" w14:textId="47F08337" w:rsidR="00581C6E" w:rsidRPr="00300A27" w:rsidRDefault="00F029CE" w:rsidP="00B243B6">
      <w:pPr>
        <w:pStyle w:val="Prrafodelista"/>
        <w:widowControl w:val="0"/>
        <w:numPr>
          <w:ilvl w:val="0"/>
          <w:numId w:val="3"/>
        </w:numPr>
        <w:tabs>
          <w:tab w:val="left" w:pos="567"/>
        </w:tabs>
        <w:adjustRightInd w:val="0"/>
        <w:spacing w:before="120" w:after="120"/>
        <w:ind w:left="0" w:firstLine="0"/>
        <w:contextualSpacing w:val="0"/>
        <w:jc w:val="both"/>
        <w:textAlignment w:val="baseline"/>
        <w:rPr>
          <w:color w:val="FF0000"/>
        </w:rPr>
      </w:pPr>
      <w:r w:rsidRPr="00300A27">
        <w:rPr>
          <w:rFonts w:eastAsia="Times New Roman"/>
        </w:rPr>
        <w:t xml:space="preserve">The judge also considered it incongruent that </w:t>
      </w:r>
      <w:r w:rsidR="00834A1B" w:rsidRPr="00300A27">
        <w:rPr>
          <w:rFonts w:eastAsia="Times New Roman"/>
        </w:rPr>
        <w:t>the presumed victim</w:t>
      </w:r>
      <w:r w:rsidRPr="00300A27">
        <w:rPr>
          <w:rFonts w:eastAsia="Times New Roman"/>
        </w:rPr>
        <w:t>,</w:t>
      </w:r>
      <w:r w:rsidR="00A27F04" w:rsidRPr="00300A27">
        <w:rPr>
          <w:rFonts w:eastAsia="Times New Roman"/>
        </w:rPr>
        <w:t xml:space="preserve"> “</w:t>
      </w:r>
      <w:r w:rsidRPr="00300A27">
        <w:rPr>
          <w:rFonts w:eastAsia="Times New Roman"/>
        </w:rPr>
        <w:t>on February 25, after resting and having lunch, resume</w:t>
      </w:r>
      <w:r w:rsidR="00AC279E" w:rsidRPr="00300A27">
        <w:rPr>
          <w:rFonts w:eastAsia="Times New Roman"/>
        </w:rPr>
        <w:t>d</w:t>
      </w:r>
      <w:r w:rsidRPr="00300A27">
        <w:rPr>
          <w:rFonts w:eastAsia="Times New Roman"/>
        </w:rPr>
        <w:t xml:space="preserve"> </w:t>
      </w:r>
      <w:r w:rsidR="00AC279E" w:rsidRPr="00300A27">
        <w:rPr>
          <w:rFonts w:eastAsia="Times New Roman"/>
        </w:rPr>
        <w:t>[</w:t>
      </w:r>
      <w:r w:rsidRPr="00300A27">
        <w:rPr>
          <w:rFonts w:eastAsia="Times New Roman"/>
        </w:rPr>
        <w:t>her</w:t>
      </w:r>
      <w:r w:rsidR="00AC279E" w:rsidRPr="00300A27">
        <w:rPr>
          <w:rFonts w:eastAsia="Times New Roman"/>
        </w:rPr>
        <w:t>]</w:t>
      </w:r>
      <w:r w:rsidRPr="00300A27">
        <w:rPr>
          <w:rFonts w:eastAsia="Times New Roman"/>
        </w:rPr>
        <w:t xml:space="preserve"> usual work (feed</w:t>
      </w:r>
      <w:r w:rsidR="00AC279E" w:rsidRPr="00300A27">
        <w:rPr>
          <w:rFonts w:eastAsia="Times New Roman"/>
        </w:rPr>
        <w:t>ing</w:t>
      </w:r>
      <w:r w:rsidRPr="00300A27">
        <w:rPr>
          <w:rFonts w:eastAsia="Times New Roman"/>
        </w:rPr>
        <w:t xml:space="preserve"> the pigs, clean</w:t>
      </w:r>
      <w:r w:rsidR="00AC279E" w:rsidRPr="00300A27">
        <w:rPr>
          <w:rFonts w:eastAsia="Times New Roman"/>
        </w:rPr>
        <w:t>ing</w:t>
      </w:r>
      <w:r w:rsidRPr="00300A27">
        <w:rPr>
          <w:rFonts w:eastAsia="Times New Roman"/>
        </w:rPr>
        <w:t xml:space="preserve"> out the pigsties, visit</w:t>
      </w:r>
      <w:r w:rsidR="00AC279E" w:rsidRPr="00300A27">
        <w:rPr>
          <w:rFonts w:eastAsia="Times New Roman"/>
        </w:rPr>
        <w:t>ing</w:t>
      </w:r>
      <w:r w:rsidRPr="00300A27">
        <w:rPr>
          <w:rFonts w:eastAsia="Times New Roman"/>
        </w:rPr>
        <w:t xml:space="preserve"> friends</w:t>
      </w:r>
      <w:r w:rsidR="00AC279E" w:rsidRPr="00300A27">
        <w:rPr>
          <w:rFonts w:eastAsia="Times New Roman"/>
        </w:rPr>
        <w:t>, the media), activities which required considerable physical energy and using motorcycle taxis to move around, as [she herself] states; and [she] would have been unable to do this in the painful condition that [she] described following the supposed sexual abuse.</w:t>
      </w:r>
      <w:r w:rsidR="00D55522" w:rsidRPr="00300A27">
        <w:rPr>
          <w:rFonts w:eastAsia="Times New Roman"/>
        </w:rPr>
        <w:t>”</w:t>
      </w:r>
      <w:r w:rsidR="002D6FE4" w:rsidRPr="00300A27">
        <w:rPr>
          <w:rStyle w:val="Refdenotaalpie"/>
        </w:rPr>
        <w:footnoteReference w:id="283"/>
      </w:r>
    </w:p>
    <w:p w14:paraId="460227DA" w14:textId="6487A73E" w:rsidR="00FA271A" w:rsidRPr="00300A27" w:rsidRDefault="00B832E1" w:rsidP="00B243B6">
      <w:pPr>
        <w:pStyle w:val="PrrafodeSentencia"/>
        <w:numPr>
          <w:ilvl w:val="0"/>
          <w:numId w:val="3"/>
        </w:numPr>
        <w:spacing w:before="120" w:after="120"/>
        <w:ind w:left="0" w:firstLine="0"/>
        <w:rPr>
          <w:rFonts w:eastAsia="Times New Roman"/>
          <w:spacing w:val="0"/>
          <w:lang w:val="en-US"/>
        </w:rPr>
      </w:pPr>
      <w:r w:rsidRPr="00300A27">
        <w:rPr>
          <w:rFonts w:eastAsia="Times New Roman"/>
          <w:spacing w:val="0"/>
          <w:lang w:val="en-US"/>
        </w:rPr>
        <w:t>The Court notes that the f</w:t>
      </w:r>
      <w:r w:rsidR="002959DE" w:rsidRPr="00300A27">
        <w:rPr>
          <w:rFonts w:eastAsia="Times New Roman"/>
          <w:spacing w:val="0"/>
          <w:lang w:val="en-US"/>
        </w:rPr>
        <w:t xml:space="preserve">orensic </w:t>
      </w:r>
      <w:r w:rsidR="00467FD3" w:rsidRPr="00300A27">
        <w:rPr>
          <w:rFonts w:eastAsia="Times New Roman"/>
          <w:spacing w:val="0"/>
          <w:lang w:val="en-US"/>
        </w:rPr>
        <w:t xml:space="preserve">medical </w:t>
      </w:r>
      <w:r w:rsidR="002959DE" w:rsidRPr="00300A27">
        <w:rPr>
          <w:rFonts w:eastAsia="Times New Roman"/>
          <w:spacing w:val="0"/>
          <w:lang w:val="en-US"/>
        </w:rPr>
        <w:t>examination</w:t>
      </w:r>
      <w:r w:rsidR="00FA271A" w:rsidRPr="00300A27">
        <w:rPr>
          <w:rFonts w:eastAsia="Times New Roman"/>
          <w:spacing w:val="0"/>
          <w:lang w:val="en-US"/>
        </w:rPr>
        <w:t xml:space="preserve"> </w:t>
      </w:r>
      <w:r w:rsidRPr="00300A27">
        <w:rPr>
          <w:rFonts w:eastAsia="Times New Roman"/>
          <w:spacing w:val="0"/>
          <w:lang w:val="en-US"/>
        </w:rPr>
        <w:t>conducted by</w:t>
      </w:r>
      <w:r w:rsidR="00FA271A" w:rsidRPr="00300A27">
        <w:rPr>
          <w:rFonts w:eastAsia="Times New Roman"/>
          <w:spacing w:val="0"/>
          <w:lang w:val="en-US"/>
        </w:rPr>
        <w:t xml:space="preserve"> </w:t>
      </w:r>
      <w:r w:rsidR="005B1C65" w:rsidRPr="00300A27">
        <w:rPr>
          <w:rFonts w:eastAsia="Times New Roman"/>
          <w:spacing w:val="0"/>
          <w:lang w:val="en-US"/>
        </w:rPr>
        <w:t>the State</w:t>
      </w:r>
      <w:r w:rsidR="00FA271A" w:rsidRPr="00300A27">
        <w:rPr>
          <w:rFonts w:eastAsia="Times New Roman"/>
          <w:spacing w:val="0"/>
          <w:lang w:val="en-US"/>
        </w:rPr>
        <w:t xml:space="preserve"> establ</w:t>
      </w:r>
      <w:r w:rsidRPr="00300A27">
        <w:rPr>
          <w:rFonts w:eastAsia="Times New Roman"/>
          <w:spacing w:val="0"/>
          <w:lang w:val="en-US"/>
        </w:rPr>
        <w:t xml:space="preserve">ished that </w:t>
      </w:r>
      <w:r w:rsidR="00834A1B" w:rsidRPr="00300A27">
        <w:rPr>
          <w:rFonts w:eastAsia="Times New Roman"/>
          <w:spacing w:val="0"/>
          <w:lang w:val="en-US"/>
        </w:rPr>
        <w:t>the presumed victim</w:t>
      </w:r>
      <w:r w:rsidR="00FA271A" w:rsidRPr="00300A27">
        <w:rPr>
          <w:rFonts w:eastAsia="Times New Roman"/>
          <w:spacing w:val="0"/>
          <w:lang w:val="en-US"/>
        </w:rPr>
        <w:t xml:space="preserve"> requ</w:t>
      </w:r>
      <w:r w:rsidRPr="00300A27">
        <w:rPr>
          <w:rFonts w:eastAsia="Times New Roman"/>
          <w:spacing w:val="0"/>
          <w:lang w:val="en-US"/>
        </w:rPr>
        <w:t>ired 8 disability days,</w:t>
      </w:r>
      <w:r w:rsidR="00FA271A" w:rsidRPr="00300A27">
        <w:rPr>
          <w:rStyle w:val="Refdenotaalpie"/>
          <w:spacing w:val="0"/>
          <w:szCs w:val="20"/>
          <w:lang w:val="en-US"/>
        </w:rPr>
        <w:footnoteReference w:id="284"/>
      </w:r>
      <w:r w:rsidRPr="00300A27">
        <w:rPr>
          <w:rFonts w:eastAsia="Times New Roman"/>
          <w:spacing w:val="0"/>
          <w:lang w:val="en-US"/>
        </w:rPr>
        <w:t xml:space="preserve"> so that there can be no doubt that</w:t>
      </w:r>
      <w:r w:rsidR="00FA271A" w:rsidRPr="00300A27">
        <w:rPr>
          <w:rFonts w:eastAsia="Times New Roman"/>
          <w:spacing w:val="0"/>
          <w:lang w:val="en-US"/>
        </w:rPr>
        <w:t xml:space="preserve"> </w:t>
      </w:r>
      <w:r w:rsidR="008546E9" w:rsidRPr="00300A27">
        <w:rPr>
          <w:rFonts w:eastAsia="Times New Roman"/>
          <w:spacing w:val="0"/>
          <w:lang w:val="en-US"/>
        </w:rPr>
        <w:t>Ms. Rojas</w:t>
      </w:r>
      <w:r w:rsidRPr="00300A27">
        <w:rPr>
          <w:rFonts w:eastAsia="Times New Roman"/>
          <w:spacing w:val="0"/>
          <w:lang w:val="en-US"/>
        </w:rPr>
        <w:t xml:space="preserve"> </w:t>
      </w:r>
      <w:r w:rsidR="00C84A27" w:rsidRPr="00300A27">
        <w:rPr>
          <w:rFonts w:eastAsia="Times New Roman"/>
          <w:spacing w:val="0"/>
          <w:lang w:val="en-US"/>
        </w:rPr>
        <w:t>experienced</w:t>
      </w:r>
      <w:r w:rsidRPr="00300A27">
        <w:rPr>
          <w:rFonts w:eastAsia="Times New Roman"/>
          <w:spacing w:val="0"/>
          <w:lang w:val="en-US"/>
        </w:rPr>
        <w:t xml:space="preserve"> physical consequences from the ill-treatment for several days</w:t>
      </w:r>
      <w:r w:rsidR="00FA271A" w:rsidRPr="00300A27">
        <w:rPr>
          <w:rFonts w:eastAsia="Times New Roman"/>
          <w:spacing w:val="0"/>
          <w:lang w:val="en-US"/>
        </w:rPr>
        <w:t xml:space="preserve">. </w:t>
      </w:r>
      <w:r w:rsidRPr="00300A27">
        <w:rPr>
          <w:rFonts w:eastAsia="Times New Roman"/>
          <w:spacing w:val="0"/>
          <w:lang w:val="en-US"/>
        </w:rPr>
        <w:t>The</w:t>
      </w:r>
      <w:r w:rsidR="00FA271A" w:rsidRPr="00300A27">
        <w:rPr>
          <w:rFonts w:eastAsia="Times New Roman"/>
          <w:spacing w:val="0"/>
          <w:lang w:val="en-US"/>
        </w:rPr>
        <w:t xml:space="preserve"> </w:t>
      </w:r>
      <w:r w:rsidR="009B35A1" w:rsidRPr="00300A27">
        <w:rPr>
          <w:rFonts w:eastAsia="Times New Roman"/>
          <w:spacing w:val="0"/>
          <w:lang w:val="en-US"/>
        </w:rPr>
        <w:t>considerations</w:t>
      </w:r>
      <w:r w:rsidR="00FA271A" w:rsidRPr="00300A27">
        <w:rPr>
          <w:rFonts w:eastAsia="Times New Roman"/>
          <w:spacing w:val="0"/>
          <w:lang w:val="en-US"/>
        </w:rPr>
        <w:t xml:space="preserve"> </w:t>
      </w:r>
      <w:r w:rsidRPr="00300A27">
        <w:rPr>
          <w:rFonts w:eastAsia="Times New Roman"/>
          <w:spacing w:val="0"/>
          <w:lang w:val="en-US"/>
        </w:rPr>
        <w:t xml:space="preserve">concerning the activities carried out by </w:t>
      </w:r>
      <w:r w:rsidR="008546E9" w:rsidRPr="00300A27">
        <w:rPr>
          <w:rFonts w:eastAsia="Times New Roman"/>
          <w:spacing w:val="0"/>
          <w:lang w:val="en-US"/>
        </w:rPr>
        <w:t>Ms. Rojas</w:t>
      </w:r>
      <w:r w:rsidR="00FA271A" w:rsidRPr="00300A27">
        <w:rPr>
          <w:rFonts w:eastAsia="Times New Roman"/>
          <w:spacing w:val="0"/>
          <w:lang w:val="en-US"/>
        </w:rPr>
        <w:t xml:space="preserve"> Marín </w:t>
      </w:r>
      <w:r w:rsidRPr="00300A27">
        <w:rPr>
          <w:rFonts w:eastAsia="Times New Roman"/>
          <w:spacing w:val="0"/>
          <w:lang w:val="en-US"/>
        </w:rPr>
        <w:t xml:space="preserve">represent a preconception </w:t>
      </w:r>
      <w:r w:rsidR="00ED6588" w:rsidRPr="00300A27">
        <w:rPr>
          <w:rFonts w:eastAsia="Times New Roman"/>
          <w:spacing w:val="0"/>
          <w:lang w:val="en-US"/>
        </w:rPr>
        <w:t>b</w:t>
      </w:r>
      <w:r w:rsidRPr="00300A27">
        <w:rPr>
          <w:rFonts w:eastAsia="Times New Roman"/>
          <w:spacing w:val="0"/>
          <w:lang w:val="en-US"/>
        </w:rPr>
        <w:t xml:space="preserve">y the authorities of how a </w:t>
      </w:r>
      <w:r w:rsidR="00ED6588" w:rsidRPr="00300A27">
        <w:rPr>
          <w:rFonts w:eastAsia="Times New Roman"/>
          <w:spacing w:val="0"/>
          <w:lang w:val="en-US"/>
        </w:rPr>
        <w:t>rape victim should act.</w:t>
      </w:r>
    </w:p>
    <w:p w14:paraId="480773A7" w14:textId="77FADA6A" w:rsidR="002D6FE4" w:rsidRPr="00300A27" w:rsidRDefault="00ED6588" w:rsidP="00B243B6">
      <w:pPr>
        <w:pStyle w:val="PrrafodeSentencia"/>
        <w:numPr>
          <w:ilvl w:val="0"/>
          <w:numId w:val="3"/>
        </w:numPr>
        <w:spacing w:before="120" w:after="120"/>
        <w:ind w:left="0" w:firstLine="0"/>
        <w:rPr>
          <w:rFonts w:eastAsia="Times New Roman"/>
          <w:spacing w:val="0"/>
          <w:lang w:val="en-US"/>
        </w:rPr>
      </w:pPr>
      <w:r w:rsidRPr="00300A27">
        <w:rPr>
          <w:rFonts w:eastAsia="Times New Roman"/>
          <w:spacing w:val="0"/>
          <w:lang w:val="en-US"/>
        </w:rPr>
        <w:t xml:space="preserve">The judge also indicated that “the facts took place in the early morning hours of February 25 [… and] the forensic medical examination of [the presumed victim] and [the examination of the clothing were carried out on February 29], that is, almost four days after the </w:t>
      </w:r>
      <w:r w:rsidR="00C84A27" w:rsidRPr="00300A27">
        <w:rPr>
          <w:rFonts w:eastAsia="Times New Roman"/>
          <w:spacing w:val="0"/>
          <w:lang w:val="en-US"/>
        </w:rPr>
        <w:t>inciden</w:t>
      </w:r>
      <w:r w:rsidRPr="00300A27">
        <w:rPr>
          <w:rFonts w:eastAsia="Times New Roman"/>
          <w:spacing w:val="0"/>
          <w:lang w:val="en-US"/>
        </w:rPr>
        <w:t>t. This lack of immediacy in the implementation of the said expert appraisals raises a reasonable doubt that [the injuries found] were caused on the day of the event and by the accused, and it could be presumed that they may have been produced after the day of the event.</w:t>
      </w:r>
      <w:r w:rsidR="009B0B9E" w:rsidRPr="00300A27">
        <w:rPr>
          <w:rFonts w:eastAsia="Times New Roman"/>
          <w:spacing w:val="0"/>
          <w:lang w:val="en-US"/>
        </w:rPr>
        <w:t>”</w:t>
      </w:r>
      <w:r w:rsidR="003273DB" w:rsidRPr="00300A27">
        <w:rPr>
          <w:rStyle w:val="Refdenotaalpie"/>
          <w:spacing w:val="0"/>
          <w:lang w:val="en-US"/>
        </w:rPr>
        <w:footnoteReference w:id="285"/>
      </w:r>
    </w:p>
    <w:p w14:paraId="3DB84FCC" w14:textId="71D6C0BF" w:rsidR="00FA271A" w:rsidRPr="00300A27" w:rsidRDefault="005B1C65" w:rsidP="00B243B6">
      <w:pPr>
        <w:pStyle w:val="Prrafodelista"/>
        <w:numPr>
          <w:ilvl w:val="0"/>
          <w:numId w:val="3"/>
        </w:numPr>
        <w:tabs>
          <w:tab w:val="left" w:pos="567"/>
        </w:tabs>
        <w:spacing w:before="120" w:after="120"/>
        <w:ind w:left="0" w:firstLine="0"/>
        <w:contextualSpacing w:val="0"/>
        <w:jc w:val="both"/>
      </w:pPr>
      <w:r w:rsidRPr="00300A27">
        <w:t>The Court</w:t>
      </w:r>
      <w:r w:rsidR="00E01655" w:rsidRPr="00300A27">
        <w:t xml:space="preserve"> ha</w:t>
      </w:r>
      <w:r w:rsidR="00ED6588" w:rsidRPr="00300A27">
        <w:t xml:space="preserve">s indicated that the failure to </w:t>
      </w:r>
      <w:r w:rsidR="008714B6" w:rsidRPr="00300A27">
        <w:t>perform</w:t>
      </w:r>
      <w:r w:rsidR="00ED6588" w:rsidRPr="00300A27">
        <w:t xml:space="preserve"> a medical examination of a person who is in the State’s custody, or </w:t>
      </w:r>
      <w:r w:rsidR="008714B6" w:rsidRPr="00300A27">
        <w:t>implementing this</w:t>
      </w:r>
      <w:r w:rsidR="00ED6588" w:rsidRPr="00300A27">
        <w:t xml:space="preserve"> without complying with the applicable standards, cannot be used to question the truth </w:t>
      </w:r>
      <w:r w:rsidR="008546E9" w:rsidRPr="00300A27">
        <w:t xml:space="preserve">of the </w:t>
      </w:r>
      <w:r w:rsidR="00834A1B" w:rsidRPr="00300A27">
        <w:t>presumed victim</w:t>
      </w:r>
      <w:r w:rsidR="00ED6588" w:rsidRPr="00300A27">
        <w:t>’s allegations of ill-treatment.</w:t>
      </w:r>
      <w:r w:rsidR="00E01655" w:rsidRPr="00300A27">
        <w:rPr>
          <w:rStyle w:val="Refdenotaalpie"/>
        </w:rPr>
        <w:footnoteReference w:id="286"/>
      </w:r>
      <w:r w:rsidR="00E01655" w:rsidRPr="00300A27">
        <w:t xml:space="preserve"> </w:t>
      </w:r>
      <w:r w:rsidRPr="00300A27">
        <w:t>Th</w:t>
      </w:r>
      <w:r w:rsidR="00ED6588" w:rsidRPr="00300A27">
        <w:t>e</w:t>
      </w:r>
      <w:r w:rsidRPr="00300A27">
        <w:t xml:space="preserve"> Court</w:t>
      </w:r>
      <w:r w:rsidR="009B0B9E" w:rsidRPr="00300A27">
        <w:t xml:space="preserve"> </w:t>
      </w:r>
      <w:r w:rsidR="00ED6588" w:rsidRPr="00300A27">
        <w:t xml:space="preserve">has already concluded that the delayed medical examination and </w:t>
      </w:r>
      <w:r w:rsidR="008714B6" w:rsidRPr="00300A27">
        <w:t xml:space="preserve">the </w:t>
      </w:r>
      <w:r w:rsidR="00ED6588" w:rsidRPr="00300A27">
        <w:t xml:space="preserve">failure to secure the presumed victim’s clothing immediately can be attributed </w:t>
      </w:r>
      <w:r w:rsidR="00BA3C7F" w:rsidRPr="00300A27">
        <w:t>to the State</w:t>
      </w:r>
      <w:r w:rsidR="009B0B9E" w:rsidRPr="00300A27">
        <w:t xml:space="preserve"> (</w:t>
      </w:r>
      <w:r w:rsidR="009B0B9E" w:rsidRPr="00300A27">
        <w:rPr>
          <w:i/>
        </w:rPr>
        <w:t xml:space="preserve">supra </w:t>
      </w:r>
      <w:r w:rsidR="00910D8E" w:rsidRPr="00300A27">
        <w:t>paras.</w:t>
      </w:r>
      <w:r w:rsidR="009B0B9E" w:rsidRPr="00300A27">
        <w:t xml:space="preserve"> </w:t>
      </w:r>
      <w:r w:rsidR="00BF214E" w:rsidRPr="00300A27">
        <w:fldChar w:fldCharType="begin"/>
      </w:r>
      <w:r w:rsidR="00BF214E" w:rsidRPr="00300A27">
        <w:instrText xml:space="preserve"> REF _Ref446690923 \r \h </w:instrText>
      </w:r>
      <w:r w:rsidR="00B243B6" w:rsidRPr="00300A27">
        <w:instrText xml:space="preserve"> \* MERGEFORMAT </w:instrText>
      </w:r>
      <w:r w:rsidR="00BF214E" w:rsidRPr="00300A27">
        <w:fldChar w:fldCharType="separate"/>
      </w:r>
      <w:r w:rsidR="00632F77" w:rsidRPr="00300A27">
        <w:t>190</w:t>
      </w:r>
      <w:r w:rsidR="00BF214E" w:rsidRPr="00300A27">
        <w:fldChar w:fldCharType="end"/>
      </w:r>
      <w:r w:rsidRPr="00300A27">
        <w:t xml:space="preserve"> and </w:t>
      </w:r>
      <w:r w:rsidR="00BF214E" w:rsidRPr="00300A27">
        <w:fldChar w:fldCharType="begin"/>
      </w:r>
      <w:r w:rsidR="00BF214E" w:rsidRPr="00300A27">
        <w:instrText xml:space="preserve"> REF _Ref446690926 \r \h </w:instrText>
      </w:r>
      <w:r w:rsidR="00B243B6" w:rsidRPr="00300A27">
        <w:instrText xml:space="preserve"> \* MERGEFORMAT </w:instrText>
      </w:r>
      <w:r w:rsidR="00BF214E" w:rsidRPr="00300A27">
        <w:fldChar w:fldCharType="separate"/>
      </w:r>
      <w:r w:rsidR="00632F77" w:rsidRPr="00300A27">
        <w:t>195</w:t>
      </w:r>
      <w:r w:rsidR="00BF214E" w:rsidRPr="00300A27">
        <w:fldChar w:fldCharType="end"/>
      </w:r>
      <w:r w:rsidR="009B0B9E" w:rsidRPr="00300A27">
        <w:t xml:space="preserve">). </w:t>
      </w:r>
      <w:r w:rsidR="00ED6588" w:rsidRPr="00300A27">
        <w:t xml:space="preserve">In this regard, the State authorities gave excessive importance to the possibility that the physical evidence was not related to the alleged rape, which was particularly serious taking into account that the injuries found during the medical examination, their ratification, and the evidence found on the presumed victim’s clothing are congruent with the occurrence of the rape of </w:t>
      </w:r>
      <w:r w:rsidR="008546E9" w:rsidRPr="00300A27">
        <w:t>Ms. Rojas</w:t>
      </w:r>
      <w:r w:rsidR="00264C7D" w:rsidRPr="00300A27">
        <w:t xml:space="preserve"> Marín</w:t>
      </w:r>
      <w:r w:rsidR="002C7CF4" w:rsidRPr="00300A27">
        <w:t xml:space="preserve"> </w:t>
      </w:r>
      <w:r w:rsidR="00ED6588" w:rsidRPr="00300A27">
        <w:t>with a police baton.</w:t>
      </w:r>
      <w:r w:rsidR="00FA271A" w:rsidRPr="00300A27">
        <w:rPr>
          <w:rFonts w:cs="Arial"/>
          <w:szCs w:val="20"/>
        </w:rPr>
        <w:t xml:space="preserve"> </w:t>
      </w:r>
    </w:p>
    <w:p w14:paraId="0DBA6FC5" w14:textId="62882E26" w:rsidR="00ED6588" w:rsidRPr="00300A27" w:rsidRDefault="00ED6588" w:rsidP="00B243B6">
      <w:pPr>
        <w:pStyle w:val="Prrafodelista"/>
        <w:numPr>
          <w:ilvl w:val="0"/>
          <w:numId w:val="3"/>
        </w:numPr>
        <w:tabs>
          <w:tab w:val="left" w:pos="567"/>
        </w:tabs>
        <w:spacing w:before="120" w:after="120"/>
        <w:ind w:left="0" w:firstLine="0"/>
        <w:contextualSpacing w:val="0"/>
        <w:jc w:val="both"/>
      </w:pPr>
      <w:r w:rsidRPr="00300A27">
        <w:rPr>
          <w:rFonts w:cs="Arial"/>
          <w:szCs w:val="20"/>
        </w:rPr>
        <w:t xml:space="preserve">In sum, the judicial authorities failed to take into account the particularities of </w:t>
      </w:r>
      <w:r w:rsidR="0065403C" w:rsidRPr="00300A27">
        <w:rPr>
          <w:rFonts w:cs="Arial"/>
          <w:szCs w:val="20"/>
        </w:rPr>
        <w:t>the investigation of torture and rape, unduly discrediting the presumed victim’s statements, failing to accord the necessary importance to the expert appraisals that were carried out, and assuming that the presumed victim’s injuries were self-inflicted.</w:t>
      </w:r>
    </w:p>
    <w:p w14:paraId="03F8EFB0" w14:textId="52528B52" w:rsidR="0023153E" w:rsidRPr="00300A27" w:rsidRDefault="0023153E" w:rsidP="00B243B6">
      <w:pPr>
        <w:pStyle w:val="Ttulo3"/>
        <w:rPr>
          <w:lang w:val="en-US"/>
        </w:rPr>
      </w:pPr>
      <w:bookmarkStart w:id="156" w:name="_Toc36823499"/>
      <w:r w:rsidRPr="00300A27">
        <w:rPr>
          <w:lang w:val="en-US"/>
        </w:rPr>
        <w:t>B.</w:t>
      </w:r>
      <w:r w:rsidR="005637C1" w:rsidRPr="00300A27">
        <w:rPr>
          <w:lang w:val="en-US"/>
        </w:rPr>
        <w:t>5</w:t>
      </w:r>
      <w:r w:rsidRPr="00300A27">
        <w:rPr>
          <w:lang w:val="en-US"/>
        </w:rPr>
        <w:t xml:space="preserve"> </w:t>
      </w:r>
      <w:r w:rsidR="00260A35" w:rsidRPr="00300A27">
        <w:rPr>
          <w:lang w:val="en-US"/>
        </w:rPr>
        <w:t>Conclusion</w:t>
      </w:r>
      <w:bookmarkEnd w:id="155"/>
      <w:bookmarkEnd w:id="156"/>
    </w:p>
    <w:p w14:paraId="750434F7" w14:textId="2429AF21" w:rsidR="00381823" w:rsidRPr="00300A27" w:rsidRDefault="0065403C" w:rsidP="00B243B6">
      <w:pPr>
        <w:pStyle w:val="PrrafodeSentencia"/>
        <w:numPr>
          <w:ilvl w:val="0"/>
          <w:numId w:val="3"/>
        </w:numPr>
        <w:ind w:left="0" w:firstLine="0"/>
        <w:rPr>
          <w:spacing w:val="0"/>
          <w:lang w:val="en-US"/>
        </w:rPr>
      </w:pPr>
      <w:bookmarkStart w:id="157" w:name="_Ref33106528"/>
      <w:r w:rsidRPr="00300A27">
        <w:rPr>
          <w:spacing w:val="0"/>
          <w:lang w:val="en-US"/>
        </w:rPr>
        <w:t xml:space="preserve">Based on the above, the Court concludes that the State violated the rights to </w:t>
      </w:r>
      <w:r w:rsidR="00D939AE" w:rsidRPr="00300A27">
        <w:rPr>
          <w:spacing w:val="0"/>
          <w:lang w:val="en-US"/>
        </w:rPr>
        <w:t>judicial guarantees</w:t>
      </w:r>
      <w:r w:rsidR="005B1C65" w:rsidRPr="00300A27">
        <w:rPr>
          <w:spacing w:val="0"/>
          <w:lang w:val="en-US"/>
        </w:rPr>
        <w:t xml:space="preserve"> and</w:t>
      </w:r>
      <w:r w:rsidR="006D1C9D" w:rsidRPr="00300A27">
        <w:rPr>
          <w:spacing w:val="0"/>
          <w:lang w:val="en-US"/>
        </w:rPr>
        <w:t xml:space="preserve"> </w:t>
      </w:r>
      <w:r w:rsidR="00D939AE" w:rsidRPr="00300A27">
        <w:rPr>
          <w:spacing w:val="0"/>
          <w:lang w:val="en-US"/>
        </w:rPr>
        <w:t>judicial protection</w:t>
      </w:r>
      <w:r w:rsidR="006D1C9D" w:rsidRPr="00300A27">
        <w:rPr>
          <w:spacing w:val="0"/>
          <w:lang w:val="en-US"/>
        </w:rPr>
        <w:t xml:space="preserve">, </w:t>
      </w:r>
      <w:r w:rsidRPr="00300A27">
        <w:rPr>
          <w:spacing w:val="0"/>
          <w:lang w:val="en-US"/>
        </w:rPr>
        <w:t>recognized in</w:t>
      </w:r>
      <w:r w:rsidR="006D1C9D" w:rsidRPr="00300A27">
        <w:rPr>
          <w:spacing w:val="0"/>
          <w:lang w:val="en-US"/>
        </w:rPr>
        <w:t xml:space="preserve"> </w:t>
      </w:r>
      <w:r w:rsidR="005B1C65" w:rsidRPr="00300A27">
        <w:rPr>
          <w:spacing w:val="0"/>
          <w:lang w:val="en-US"/>
        </w:rPr>
        <w:t>Articles</w:t>
      </w:r>
      <w:r w:rsidR="006D1C9D" w:rsidRPr="00300A27">
        <w:rPr>
          <w:spacing w:val="0"/>
          <w:lang w:val="en-US"/>
        </w:rPr>
        <w:t xml:space="preserve"> </w:t>
      </w:r>
      <w:r w:rsidR="00BA3C7F" w:rsidRPr="00300A27">
        <w:rPr>
          <w:spacing w:val="0"/>
          <w:lang w:val="en-US"/>
        </w:rPr>
        <w:t>8(1)</w:t>
      </w:r>
      <w:r w:rsidR="005B1C65" w:rsidRPr="00300A27">
        <w:rPr>
          <w:spacing w:val="0"/>
          <w:lang w:val="en-US"/>
        </w:rPr>
        <w:t xml:space="preserve"> and </w:t>
      </w:r>
      <w:r w:rsidR="006D1C9D" w:rsidRPr="00300A27">
        <w:rPr>
          <w:spacing w:val="0"/>
          <w:lang w:val="en-US"/>
        </w:rPr>
        <w:t>2</w:t>
      </w:r>
      <w:r w:rsidR="00BA3C7F" w:rsidRPr="00300A27">
        <w:rPr>
          <w:spacing w:val="0"/>
          <w:lang w:val="en-US"/>
        </w:rPr>
        <w:t>5(1)</w:t>
      </w:r>
      <w:r w:rsidR="005B1C65" w:rsidRPr="00300A27">
        <w:rPr>
          <w:spacing w:val="0"/>
          <w:lang w:val="en-US"/>
        </w:rPr>
        <w:t xml:space="preserve"> of the American Convention on Human Rights</w:t>
      </w:r>
      <w:r w:rsidR="006D1C9D" w:rsidRPr="00300A27">
        <w:rPr>
          <w:spacing w:val="0"/>
          <w:lang w:val="en-US"/>
        </w:rPr>
        <w:t xml:space="preserve">, </w:t>
      </w:r>
      <w:r w:rsidR="005B46A0" w:rsidRPr="00300A27">
        <w:rPr>
          <w:spacing w:val="0"/>
          <w:lang w:val="en-US"/>
        </w:rPr>
        <w:t>in relation to the obligations to respect and to ensure these rights without discrimination</w:t>
      </w:r>
      <w:bookmarkEnd w:id="157"/>
      <w:r w:rsidR="005B1C65" w:rsidRPr="00300A27">
        <w:rPr>
          <w:spacing w:val="0"/>
          <w:lang w:val="en-US"/>
        </w:rPr>
        <w:t xml:space="preserve"> and </w:t>
      </w:r>
      <w:r w:rsidRPr="00300A27">
        <w:rPr>
          <w:spacing w:val="0"/>
          <w:lang w:val="en-US"/>
        </w:rPr>
        <w:t xml:space="preserve">to adopt domestic legal provisions, </w:t>
      </w:r>
      <w:r w:rsidR="005B46A0" w:rsidRPr="00300A27">
        <w:rPr>
          <w:spacing w:val="0"/>
          <w:lang w:val="en-US"/>
        </w:rPr>
        <w:t>established in</w:t>
      </w:r>
      <w:r w:rsidR="00D55522" w:rsidRPr="00300A27">
        <w:rPr>
          <w:spacing w:val="0"/>
          <w:lang w:val="en-US"/>
        </w:rPr>
        <w:t xml:space="preserve"> </w:t>
      </w:r>
      <w:r w:rsidR="005B1C65" w:rsidRPr="00300A27">
        <w:rPr>
          <w:spacing w:val="0"/>
          <w:lang w:val="en-US"/>
        </w:rPr>
        <w:t>Articles</w:t>
      </w:r>
      <w:r w:rsidR="00D55522" w:rsidRPr="00300A27">
        <w:rPr>
          <w:spacing w:val="0"/>
          <w:lang w:val="en-US"/>
        </w:rPr>
        <w:t xml:space="preserve"> </w:t>
      </w:r>
      <w:r w:rsidR="00BA3C7F" w:rsidRPr="00300A27">
        <w:rPr>
          <w:spacing w:val="0"/>
          <w:lang w:val="en-US"/>
        </w:rPr>
        <w:t>1(1)</w:t>
      </w:r>
      <w:r w:rsidR="005B1C65" w:rsidRPr="00300A27">
        <w:rPr>
          <w:spacing w:val="0"/>
          <w:lang w:val="en-US"/>
        </w:rPr>
        <w:t xml:space="preserve"> and </w:t>
      </w:r>
      <w:r w:rsidR="00D55522" w:rsidRPr="00300A27">
        <w:rPr>
          <w:spacing w:val="0"/>
          <w:lang w:val="en-US"/>
        </w:rPr>
        <w:t xml:space="preserve">2 </w:t>
      </w:r>
      <w:r w:rsidRPr="00300A27">
        <w:rPr>
          <w:spacing w:val="0"/>
          <w:lang w:val="en-US"/>
        </w:rPr>
        <w:t>of this instrument</w:t>
      </w:r>
      <w:r w:rsidR="00D55522" w:rsidRPr="00300A27">
        <w:rPr>
          <w:spacing w:val="0"/>
          <w:lang w:val="en-US"/>
        </w:rPr>
        <w:t>,</w:t>
      </w:r>
      <w:r w:rsidR="005B1C65" w:rsidRPr="00300A27">
        <w:rPr>
          <w:spacing w:val="0"/>
          <w:lang w:val="en-US"/>
        </w:rPr>
        <w:t xml:space="preserve"> and</w:t>
      </w:r>
      <w:r w:rsidR="008714B6" w:rsidRPr="00300A27">
        <w:rPr>
          <w:spacing w:val="0"/>
          <w:lang w:val="en-US"/>
        </w:rPr>
        <w:t xml:space="preserve"> to</w:t>
      </w:r>
      <w:r w:rsidR="00D55522" w:rsidRPr="00300A27">
        <w:rPr>
          <w:spacing w:val="0"/>
          <w:lang w:val="en-US"/>
        </w:rPr>
        <w:t xml:space="preserve"> </w:t>
      </w:r>
      <w:r w:rsidR="005B1C65" w:rsidRPr="00300A27">
        <w:rPr>
          <w:spacing w:val="0"/>
          <w:lang w:val="en-US"/>
        </w:rPr>
        <w:t>Articles</w:t>
      </w:r>
      <w:r w:rsidR="00D55522" w:rsidRPr="00300A27">
        <w:rPr>
          <w:spacing w:val="0"/>
          <w:lang w:val="en-US"/>
        </w:rPr>
        <w:t xml:space="preserve"> 1, 6</w:t>
      </w:r>
      <w:r w:rsidR="005B1C65" w:rsidRPr="00300A27">
        <w:rPr>
          <w:spacing w:val="0"/>
          <w:lang w:val="en-US"/>
        </w:rPr>
        <w:t xml:space="preserve"> and </w:t>
      </w:r>
      <w:r w:rsidR="00D55522" w:rsidRPr="00300A27">
        <w:rPr>
          <w:spacing w:val="0"/>
          <w:lang w:val="en-US"/>
        </w:rPr>
        <w:t>8</w:t>
      </w:r>
      <w:r w:rsidR="005B1C65" w:rsidRPr="00300A27">
        <w:rPr>
          <w:spacing w:val="0"/>
          <w:lang w:val="en-US"/>
        </w:rPr>
        <w:t xml:space="preserve"> of the </w:t>
      </w:r>
      <w:r w:rsidR="00F816B4" w:rsidRPr="00300A27">
        <w:rPr>
          <w:spacing w:val="0"/>
          <w:lang w:val="en-US"/>
        </w:rPr>
        <w:t>Inter-American Convention to Prevent and Punish Torture</w:t>
      </w:r>
      <w:r w:rsidR="00D55522" w:rsidRPr="00300A27">
        <w:rPr>
          <w:spacing w:val="0"/>
          <w:lang w:val="en-US"/>
        </w:rPr>
        <w:t xml:space="preserve">, </w:t>
      </w:r>
      <w:r w:rsidR="00BA3C7F" w:rsidRPr="00300A27">
        <w:rPr>
          <w:spacing w:val="0"/>
          <w:lang w:val="en-US"/>
        </w:rPr>
        <w:t>to the detriment of</w:t>
      </w:r>
      <w:r w:rsidR="00D55522" w:rsidRPr="00300A27">
        <w:rPr>
          <w:spacing w:val="0"/>
          <w:lang w:val="en-US"/>
        </w:rPr>
        <w:t xml:space="preserve"> Azul Rojas Marín.</w:t>
      </w:r>
    </w:p>
    <w:p w14:paraId="1C0BDDCC" w14:textId="2B9A079A" w:rsidR="00EE6121" w:rsidRPr="00300A27" w:rsidRDefault="00EE6121" w:rsidP="00B243B6">
      <w:pPr>
        <w:pStyle w:val="Ttulo1"/>
        <w:rPr>
          <w:lang w:val="en-US"/>
        </w:rPr>
      </w:pPr>
      <w:bookmarkStart w:id="158" w:name="_Toc32394181"/>
      <w:bookmarkStart w:id="159" w:name="_Toc36823500"/>
      <w:r w:rsidRPr="00300A27">
        <w:rPr>
          <w:lang w:val="en-US"/>
        </w:rPr>
        <w:t>VII-</w:t>
      </w:r>
      <w:r w:rsidR="00296770" w:rsidRPr="00300A27">
        <w:rPr>
          <w:lang w:val="en-US"/>
        </w:rPr>
        <w:t>5</w:t>
      </w:r>
      <w:r w:rsidRPr="00300A27">
        <w:rPr>
          <w:lang w:val="en-US"/>
        </w:rPr>
        <w:br/>
      </w:r>
      <w:r w:rsidR="002959DE" w:rsidRPr="00300A27">
        <w:rPr>
          <w:lang w:val="en-US"/>
        </w:rPr>
        <w:t>RIGHT TO PERSONAL INTEGRITY OF AZUL ROJAS MARÍN’S MOTHER</w:t>
      </w:r>
      <w:bookmarkEnd w:id="158"/>
      <w:r w:rsidR="00124537" w:rsidRPr="00300A27">
        <w:rPr>
          <w:rStyle w:val="Refdenotaalpie"/>
          <w:lang w:val="en-US"/>
        </w:rPr>
        <w:footnoteReference w:id="287"/>
      </w:r>
      <w:bookmarkEnd w:id="159"/>
    </w:p>
    <w:p w14:paraId="0E48AB70" w14:textId="0DE42D51" w:rsidR="00EE6121" w:rsidRPr="00300A27" w:rsidRDefault="00FD36FD" w:rsidP="00B243B6">
      <w:pPr>
        <w:pStyle w:val="PrrafodeSentencia"/>
        <w:numPr>
          <w:ilvl w:val="0"/>
          <w:numId w:val="16"/>
        </w:numPr>
        <w:spacing w:before="240" w:after="240"/>
        <w:ind w:left="1134" w:hanging="567"/>
        <w:rPr>
          <w:b/>
          <w:i/>
          <w:spacing w:val="0"/>
          <w:szCs w:val="20"/>
          <w:lang w:val="en-US"/>
        </w:rPr>
      </w:pPr>
      <w:r w:rsidRPr="00300A27">
        <w:rPr>
          <w:b/>
          <w:i/>
          <w:spacing w:val="0"/>
          <w:szCs w:val="20"/>
          <w:lang w:val="en-US"/>
        </w:rPr>
        <w:t>Arguments of the parties</w:t>
      </w:r>
      <w:r w:rsidR="005B1C65" w:rsidRPr="00300A27">
        <w:rPr>
          <w:b/>
          <w:i/>
          <w:spacing w:val="0"/>
          <w:szCs w:val="20"/>
          <w:lang w:val="en-US"/>
        </w:rPr>
        <w:t xml:space="preserve"> and</w:t>
      </w:r>
      <w:r w:rsidR="007071F6" w:rsidRPr="00300A27">
        <w:rPr>
          <w:b/>
          <w:i/>
          <w:spacing w:val="0"/>
          <w:szCs w:val="20"/>
          <w:lang w:val="en-US"/>
        </w:rPr>
        <w:t xml:space="preserve"> of the </w:t>
      </w:r>
      <w:r w:rsidR="00C2001D" w:rsidRPr="00300A27">
        <w:rPr>
          <w:b/>
          <w:i/>
          <w:spacing w:val="0"/>
          <w:szCs w:val="20"/>
          <w:lang w:val="en-US"/>
        </w:rPr>
        <w:t>Commission</w:t>
      </w:r>
    </w:p>
    <w:p w14:paraId="14E59060" w14:textId="4E386759" w:rsidR="00EE6121" w:rsidRPr="00300A27" w:rsidRDefault="00C2001D" w:rsidP="00B243B6">
      <w:pPr>
        <w:pStyle w:val="PrrafodeSentencia"/>
        <w:numPr>
          <w:ilvl w:val="0"/>
          <w:numId w:val="3"/>
        </w:numPr>
        <w:spacing w:before="120" w:after="120"/>
        <w:ind w:left="0" w:firstLine="0"/>
        <w:rPr>
          <w:b/>
          <w:spacing w:val="0"/>
          <w:szCs w:val="20"/>
          <w:lang w:val="en-US"/>
        </w:rPr>
      </w:pPr>
      <w:r w:rsidRPr="00300A27">
        <w:rPr>
          <w:spacing w:val="0"/>
          <w:szCs w:val="20"/>
          <w:lang w:val="en-US"/>
        </w:rPr>
        <w:t xml:space="preserve">The </w:t>
      </w:r>
      <w:r w:rsidRPr="00300A27">
        <w:rPr>
          <w:b/>
          <w:bCs/>
          <w:i/>
          <w:iCs/>
          <w:spacing w:val="0"/>
          <w:szCs w:val="20"/>
          <w:lang w:val="en-US"/>
        </w:rPr>
        <w:t>Commission</w:t>
      </w:r>
      <w:r w:rsidR="00EE6121" w:rsidRPr="00300A27">
        <w:rPr>
          <w:b/>
          <w:i/>
          <w:spacing w:val="0"/>
          <w:szCs w:val="20"/>
          <w:lang w:val="en-US"/>
        </w:rPr>
        <w:t xml:space="preserve"> </w:t>
      </w:r>
      <w:r w:rsidR="00EE6121" w:rsidRPr="00300A27">
        <w:rPr>
          <w:spacing w:val="0"/>
          <w:szCs w:val="20"/>
          <w:lang w:val="en-US"/>
        </w:rPr>
        <w:t>consider</w:t>
      </w:r>
      <w:r w:rsidR="0065403C" w:rsidRPr="00300A27">
        <w:rPr>
          <w:spacing w:val="0"/>
          <w:szCs w:val="20"/>
          <w:lang w:val="en-US"/>
        </w:rPr>
        <w:t>ed it</w:t>
      </w:r>
      <w:r w:rsidR="00EE6121" w:rsidRPr="00300A27">
        <w:rPr>
          <w:spacing w:val="0"/>
          <w:szCs w:val="20"/>
          <w:lang w:val="en-US"/>
        </w:rPr>
        <w:t xml:space="preserve"> “r</w:t>
      </w:r>
      <w:r w:rsidR="0065403C" w:rsidRPr="00300A27">
        <w:rPr>
          <w:spacing w:val="0"/>
          <w:szCs w:val="20"/>
          <w:lang w:val="en-US"/>
        </w:rPr>
        <w:t>easonable to establish that the seriousness of the events that occurred, added to the absence of a prompt and adequate judicial response, had effects that went beyond the direct victim</w:t>
      </w:r>
      <w:r w:rsidR="00EE6121" w:rsidRPr="00300A27">
        <w:rPr>
          <w:spacing w:val="0"/>
          <w:szCs w:val="20"/>
          <w:lang w:val="en-US"/>
        </w:rPr>
        <w:t>,”</w:t>
      </w:r>
      <w:r w:rsidR="0065403C" w:rsidRPr="00300A27">
        <w:rPr>
          <w:spacing w:val="0"/>
          <w:szCs w:val="20"/>
          <w:lang w:val="en-US"/>
        </w:rPr>
        <w:t xml:space="preserve"> and included </w:t>
      </w:r>
      <w:r w:rsidR="008546E9" w:rsidRPr="00300A27">
        <w:rPr>
          <w:spacing w:val="0"/>
          <w:szCs w:val="20"/>
          <w:lang w:val="en-US"/>
        </w:rPr>
        <w:t>Ms. Rojas</w:t>
      </w:r>
      <w:r w:rsidR="00EE6121" w:rsidRPr="00300A27">
        <w:rPr>
          <w:spacing w:val="0"/>
          <w:szCs w:val="20"/>
          <w:lang w:val="en-US"/>
        </w:rPr>
        <w:t xml:space="preserve"> Marín</w:t>
      </w:r>
      <w:r w:rsidR="0065403C" w:rsidRPr="00300A27">
        <w:rPr>
          <w:spacing w:val="0"/>
          <w:szCs w:val="20"/>
          <w:lang w:val="en-US"/>
        </w:rPr>
        <w:t>’s mother</w:t>
      </w:r>
      <w:r w:rsidR="00EE6121" w:rsidRPr="00300A27">
        <w:rPr>
          <w:spacing w:val="0"/>
          <w:szCs w:val="20"/>
          <w:lang w:val="en-US"/>
        </w:rPr>
        <w:t xml:space="preserve">. </w:t>
      </w:r>
      <w:r w:rsidR="00BA3C7F" w:rsidRPr="00300A27">
        <w:rPr>
          <w:spacing w:val="0"/>
          <w:szCs w:val="20"/>
          <w:lang w:val="en-US"/>
        </w:rPr>
        <w:t xml:space="preserve">The </w:t>
      </w:r>
      <w:r w:rsidR="00BA3C7F" w:rsidRPr="00300A27">
        <w:rPr>
          <w:b/>
          <w:bCs/>
          <w:i/>
          <w:iCs/>
          <w:spacing w:val="0"/>
          <w:szCs w:val="20"/>
          <w:lang w:val="en-US"/>
        </w:rPr>
        <w:t>representatives</w:t>
      </w:r>
      <w:r w:rsidR="00EE6121" w:rsidRPr="00300A27">
        <w:rPr>
          <w:spacing w:val="0"/>
          <w:szCs w:val="20"/>
          <w:lang w:val="en-US"/>
        </w:rPr>
        <w:t xml:space="preserve"> a</w:t>
      </w:r>
      <w:r w:rsidR="0065403C" w:rsidRPr="00300A27">
        <w:rPr>
          <w:spacing w:val="0"/>
          <w:szCs w:val="20"/>
          <w:lang w:val="en-US"/>
        </w:rPr>
        <w:t>rgued that</w:t>
      </w:r>
      <w:r w:rsidR="00EE6121" w:rsidRPr="00300A27">
        <w:rPr>
          <w:spacing w:val="0"/>
          <w:szCs w:val="20"/>
          <w:lang w:val="en-US"/>
        </w:rPr>
        <w:t xml:space="preserve"> “</w:t>
      </w:r>
      <w:r w:rsidR="0065403C" w:rsidRPr="00300A27">
        <w:rPr>
          <w:spacing w:val="0"/>
          <w:szCs w:val="20"/>
          <w:lang w:val="en-US"/>
        </w:rPr>
        <w:t xml:space="preserve">the serious violations suffered by </w:t>
      </w:r>
      <w:r w:rsidR="00EE6121" w:rsidRPr="00300A27">
        <w:rPr>
          <w:spacing w:val="0"/>
          <w:szCs w:val="20"/>
          <w:lang w:val="en-US"/>
        </w:rPr>
        <w:t>Azul Rojas Marín caus</w:t>
      </w:r>
      <w:r w:rsidR="0065403C" w:rsidRPr="00300A27">
        <w:rPr>
          <w:spacing w:val="0"/>
          <w:szCs w:val="20"/>
          <w:lang w:val="en-US"/>
        </w:rPr>
        <w:t xml:space="preserve">ed profound suffering to her mother,” </w:t>
      </w:r>
      <w:r w:rsidR="00EE6121" w:rsidRPr="00300A27">
        <w:rPr>
          <w:spacing w:val="0"/>
          <w:szCs w:val="20"/>
          <w:lang w:val="en-US"/>
        </w:rPr>
        <w:t xml:space="preserve">Juana Rosa Tanta Marín. </w:t>
      </w:r>
      <w:r w:rsidR="0065403C" w:rsidRPr="00300A27">
        <w:rPr>
          <w:spacing w:val="0"/>
          <w:szCs w:val="20"/>
          <w:lang w:val="en-US"/>
        </w:rPr>
        <w:t>The</w:t>
      </w:r>
      <w:r w:rsidR="008714B6" w:rsidRPr="00300A27">
        <w:rPr>
          <w:spacing w:val="0"/>
          <w:szCs w:val="20"/>
          <w:lang w:val="en-US"/>
        </w:rPr>
        <w:t>y</w:t>
      </w:r>
      <w:r w:rsidR="0065403C" w:rsidRPr="00300A27">
        <w:rPr>
          <w:spacing w:val="0"/>
          <w:szCs w:val="20"/>
          <w:lang w:val="en-US"/>
        </w:rPr>
        <w:t xml:space="preserve"> indicated that, in addition to being direc</w:t>
      </w:r>
      <w:r w:rsidR="008714B6" w:rsidRPr="00300A27">
        <w:rPr>
          <w:spacing w:val="0"/>
          <w:szCs w:val="20"/>
          <w:lang w:val="en-US"/>
        </w:rPr>
        <w:t>tly related</w:t>
      </w:r>
      <w:r w:rsidR="0065403C" w:rsidRPr="00300A27">
        <w:rPr>
          <w:spacing w:val="0"/>
          <w:szCs w:val="20"/>
          <w:lang w:val="en-US"/>
        </w:rPr>
        <w:t>, “she and Azul had a very close relationship.” The</w:t>
      </w:r>
      <w:r w:rsidR="008714B6" w:rsidRPr="00300A27">
        <w:rPr>
          <w:spacing w:val="0"/>
          <w:szCs w:val="20"/>
          <w:lang w:val="en-US"/>
        </w:rPr>
        <w:t>y</w:t>
      </w:r>
      <w:r w:rsidR="0065403C" w:rsidRPr="00300A27">
        <w:rPr>
          <w:spacing w:val="0"/>
          <w:szCs w:val="20"/>
          <w:lang w:val="en-US"/>
        </w:rPr>
        <w:t xml:space="preserve"> also indicated that the failure of the Peruvian authorities to respond to the complaints filed by Ms. Rojas Marín, the lack of sens</w:t>
      </w:r>
      <w:r w:rsidR="008714B6" w:rsidRPr="00300A27">
        <w:rPr>
          <w:spacing w:val="0"/>
          <w:szCs w:val="20"/>
          <w:lang w:val="en-US"/>
        </w:rPr>
        <w:t>itivi</w:t>
      </w:r>
      <w:r w:rsidR="0065403C" w:rsidRPr="00300A27">
        <w:rPr>
          <w:spacing w:val="0"/>
          <w:szCs w:val="20"/>
          <w:lang w:val="en-US"/>
        </w:rPr>
        <w:t xml:space="preserve">ty and the indifference </w:t>
      </w:r>
      <w:r w:rsidR="00074C5F" w:rsidRPr="00300A27">
        <w:rPr>
          <w:spacing w:val="0"/>
          <w:szCs w:val="20"/>
          <w:lang w:val="en-US"/>
        </w:rPr>
        <w:t>they revealed, and the failure to investigate, prosecute and punish those responsible for the violations adequately caused great anguish to Mrs. Tanta Marín, who died on May 12, 2017, without knowing that it was possible to obtain justice in her daughter’s case</w:t>
      </w:r>
      <w:r w:rsidR="00EE6121" w:rsidRPr="00300A27">
        <w:rPr>
          <w:spacing w:val="0"/>
          <w:szCs w:val="20"/>
          <w:lang w:val="en-US"/>
        </w:rPr>
        <w:t xml:space="preserve">. </w:t>
      </w:r>
      <w:r w:rsidR="005B1C65" w:rsidRPr="00300A27">
        <w:rPr>
          <w:spacing w:val="0"/>
          <w:szCs w:val="20"/>
          <w:lang w:val="en-US"/>
        </w:rPr>
        <w:t xml:space="preserve">The </w:t>
      </w:r>
      <w:r w:rsidR="005B1C65" w:rsidRPr="00300A27">
        <w:rPr>
          <w:b/>
          <w:bCs/>
          <w:i/>
          <w:iCs/>
          <w:spacing w:val="0"/>
          <w:szCs w:val="20"/>
          <w:lang w:val="en-US"/>
        </w:rPr>
        <w:t>State</w:t>
      </w:r>
      <w:r w:rsidR="00EE6121" w:rsidRPr="00300A27">
        <w:rPr>
          <w:spacing w:val="0"/>
          <w:szCs w:val="20"/>
          <w:lang w:val="en-US"/>
        </w:rPr>
        <w:t xml:space="preserve"> indic</w:t>
      </w:r>
      <w:r w:rsidR="00074C5F" w:rsidRPr="00300A27">
        <w:rPr>
          <w:spacing w:val="0"/>
          <w:szCs w:val="20"/>
          <w:lang w:val="en-US"/>
        </w:rPr>
        <w:t>ated that, although a</w:t>
      </w:r>
      <w:r w:rsidR="000A5FE8" w:rsidRPr="00300A27">
        <w:rPr>
          <w:spacing w:val="0"/>
          <w:szCs w:val="20"/>
          <w:lang w:val="en-US"/>
        </w:rPr>
        <w:t xml:space="preserve"> presumption</w:t>
      </w:r>
      <w:r w:rsidR="00074C5F" w:rsidRPr="00300A27">
        <w:rPr>
          <w:spacing w:val="0"/>
          <w:szCs w:val="20"/>
          <w:lang w:val="en-US"/>
        </w:rPr>
        <w:t xml:space="preserve"> </w:t>
      </w:r>
      <w:r w:rsidR="00EE6121" w:rsidRPr="00300A27">
        <w:rPr>
          <w:i/>
          <w:spacing w:val="0"/>
          <w:szCs w:val="20"/>
          <w:lang w:val="en-US"/>
        </w:rPr>
        <w:t>iuris tantum</w:t>
      </w:r>
      <w:r w:rsidR="00EE6121" w:rsidRPr="00300A27">
        <w:rPr>
          <w:spacing w:val="0"/>
          <w:szCs w:val="20"/>
          <w:lang w:val="en-US"/>
        </w:rPr>
        <w:t xml:space="preserve"> </w:t>
      </w:r>
      <w:r w:rsidR="00074C5F" w:rsidRPr="00300A27">
        <w:rPr>
          <w:spacing w:val="0"/>
          <w:szCs w:val="20"/>
          <w:lang w:val="en-US"/>
        </w:rPr>
        <w:t xml:space="preserve">is applicable to the next of kin of victims of torture, “the investigation into the </w:t>
      </w:r>
      <w:r w:rsidR="0013678A" w:rsidRPr="00300A27">
        <w:rPr>
          <w:spacing w:val="0"/>
          <w:szCs w:val="20"/>
          <w:lang w:val="en-US"/>
        </w:rPr>
        <w:t>crime of torture</w:t>
      </w:r>
      <w:r w:rsidR="00074C5F" w:rsidRPr="00300A27">
        <w:rPr>
          <w:spacing w:val="0"/>
          <w:szCs w:val="20"/>
          <w:lang w:val="en-US"/>
        </w:rPr>
        <w:t xml:space="preserve"> is underway,” so that a final judicial decision</w:t>
      </w:r>
      <w:r w:rsidR="008714B6" w:rsidRPr="00300A27">
        <w:rPr>
          <w:spacing w:val="0"/>
          <w:szCs w:val="20"/>
          <w:lang w:val="en-US"/>
        </w:rPr>
        <w:t xml:space="preserve"> was needed</w:t>
      </w:r>
      <w:r w:rsidR="00074C5F" w:rsidRPr="00300A27">
        <w:rPr>
          <w:spacing w:val="0"/>
          <w:szCs w:val="20"/>
          <w:lang w:val="en-US"/>
        </w:rPr>
        <w:t xml:space="preserve"> </w:t>
      </w:r>
      <w:r w:rsidR="008714B6" w:rsidRPr="00300A27">
        <w:rPr>
          <w:spacing w:val="0"/>
          <w:szCs w:val="20"/>
          <w:lang w:val="en-US"/>
        </w:rPr>
        <w:t>in order</w:t>
      </w:r>
      <w:r w:rsidR="00074C5F" w:rsidRPr="00300A27">
        <w:rPr>
          <w:spacing w:val="0"/>
          <w:szCs w:val="20"/>
          <w:lang w:val="en-US"/>
        </w:rPr>
        <w:t xml:space="preserve"> to apply this presumption.</w:t>
      </w:r>
      <w:bookmarkStart w:id="160" w:name="_Toc495658692"/>
      <w:bookmarkStart w:id="161" w:name="_Toc514172660"/>
      <w:bookmarkStart w:id="162" w:name="_Toc530132498"/>
    </w:p>
    <w:p w14:paraId="45E07E8D" w14:textId="692BA3FF" w:rsidR="00EE6121" w:rsidRPr="00300A27" w:rsidRDefault="00EE6121" w:rsidP="00B243B6">
      <w:pPr>
        <w:pStyle w:val="Ttulo2"/>
        <w:numPr>
          <w:ilvl w:val="0"/>
          <w:numId w:val="0"/>
        </w:numPr>
        <w:ind w:left="1134" w:hanging="567"/>
        <w:rPr>
          <w:lang w:val="en-US"/>
        </w:rPr>
      </w:pPr>
      <w:bookmarkStart w:id="163" w:name="_Toc32394182"/>
      <w:bookmarkStart w:id="164" w:name="_Toc36823501"/>
      <w:r w:rsidRPr="00300A27">
        <w:rPr>
          <w:lang w:val="en-US"/>
        </w:rPr>
        <w:t>B.</w:t>
      </w:r>
      <w:r w:rsidRPr="00300A27">
        <w:rPr>
          <w:lang w:val="en-US"/>
        </w:rPr>
        <w:tab/>
      </w:r>
      <w:r w:rsidR="009B35A1" w:rsidRPr="00300A27">
        <w:rPr>
          <w:lang w:val="en-US"/>
        </w:rPr>
        <w:t>Considerations</w:t>
      </w:r>
      <w:r w:rsidR="005B1C65" w:rsidRPr="00300A27">
        <w:rPr>
          <w:lang w:val="en-US"/>
        </w:rPr>
        <w:t xml:space="preserve"> of the Court</w:t>
      </w:r>
      <w:bookmarkEnd w:id="163"/>
      <w:bookmarkEnd w:id="164"/>
    </w:p>
    <w:p w14:paraId="1A088DE0" w14:textId="652750C1" w:rsidR="00EE6121" w:rsidRPr="00300A27" w:rsidRDefault="005B1C65" w:rsidP="00B243B6">
      <w:pPr>
        <w:pStyle w:val="PrrafodeSentencia"/>
        <w:numPr>
          <w:ilvl w:val="0"/>
          <w:numId w:val="3"/>
        </w:numPr>
        <w:spacing w:before="120" w:after="120"/>
        <w:ind w:left="0" w:firstLine="0"/>
        <w:rPr>
          <w:rFonts w:eastAsiaTheme="minorHAnsi"/>
          <w:spacing w:val="0"/>
          <w:szCs w:val="20"/>
          <w:lang w:val="en-US" w:eastAsia="en-US"/>
        </w:rPr>
      </w:pPr>
      <w:bookmarkStart w:id="165" w:name="_Ref462932771"/>
      <w:bookmarkStart w:id="166" w:name="_Ref35857170"/>
      <w:bookmarkEnd w:id="160"/>
      <w:bookmarkEnd w:id="161"/>
      <w:bookmarkEnd w:id="162"/>
      <w:r w:rsidRPr="00300A27">
        <w:rPr>
          <w:spacing w:val="0"/>
          <w:lang w:val="en-US"/>
        </w:rPr>
        <w:t>The Court</w:t>
      </w:r>
      <w:r w:rsidR="00EE6121" w:rsidRPr="00300A27">
        <w:rPr>
          <w:spacing w:val="0"/>
          <w:lang w:val="en-US"/>
        </w:rPr>
        <w:t xml:space="preserve"> ha</w:t>
      </w:r>
      <w:r w:rsidR="00074C5F" w:rsidRPr="00300A27">
        <w:rPr>
          <w:spacing w:val="0"/>
          <w:lang w:val="en-US"/>
        </w:rPr>
        <w:t>s considered that, in cases of serious human rights violations, such as forced disappearance,</w:t>
      </w:r>
      <w:r w:rsidR="00EE6121" w:rsidRPr="00300A27">
        <w:rPr>
          <w:rStyle w:val="Refdenotaalpie"/>
          <w:rFonts w:eastAsia="Calibri"/>
          <w:spacing w:val="0"/>
          <w:szCs w:val="20"/>
          <w:lang w:val="en-US"/>
        </w:rPr>
        <w:footnoteReference w:id="288"/>
      </w:r>
      <w:r w:rsidR="00074C5F" w:rsidRPr="00300A27">
        <w:rPr>
          <w:spacing w:val="0"/>
          <w:szCs w:val="20"/>
          <w:lang w:val="en-US"/>
        </w:rPr>
        <w:t xml:space="preserve"> extrajudicial execution,</w:t>
      </w:r>
      <w:r w:rsidR="00EE6121" w:rsidRPr="00300A27">
        <w:rPr>
          <w:rStyle w:val="Refdenotaalpie"/>
          <w:rFonts w:eastAsia="Calibri"/>
          <w:spacing w:val="0"/>
          <w:szCs w:val="20"/>
          <w:lang w:val="en-US"/>
        </w:rPr>
        <w:footnoteReference w:id="289"/>
      </w:r>
      <w:r w:rsidR="00EE6121" w:rsidRPr="00300A27">
        <w:rPr>
          <w:spacing w:val="0"/>
          <w:szCs w:val="20"/>
          <w:lang w:val="en-US"/>
        </w:rPr>
        <w:t xml:space="preserve"> </w:t>
      </w:r>
      <w:r w:rsidR="00074C5F" w:rsidRPr="00300A27">
        <w:rPr>
          <w:spacing w:val="0"/>
          <w:szCs w:val="20"/>
          <w:lang w:val="en-US"/>
        </w:rPr>
        <w:t>rape</w:t>
      </w:r>
      <w:r w:rsidRPr="00300A27">
        <w:rPr>
          <w:spacing w:val="0"/>
          <w:szCs w:val="20"/>
          <w:lang w:val="en-US"/>
        </w:rPr>
        <w:t xml:space="preserve"> and </w:t>
      </w:r>
      <w:r w:rsidR="00EE6121" w:rsidRPr="00300A27">
        <w:rPr>
          <w:spacing w:val="0"/>
          <w:szCs w:val="20"/>
          <w:lang w:val="en-US"/>
        </w:rPr>
        <w:t>tortur</w:t>
      </w:r>
      <w:r w:rsidR="00074C5F" w:rsidRPr="00300A27">
        <w:rPr>
          <w:spacing w:val="0"/>
          <w:szCs w:val="20"/>
          <w:lang w:val="en-US"/>
        </w:rPr>
        <w:t>e,</w:t>
      </w:r>
      <w:r w:rsidR="00EE6121" w:rsidRPr="00300A27">
        <w:rPr>
          <w:rStyle w:val="Refdenotaalpie"/>
          <w:spacing w:val="0"/>
          <w:szCs w:val="20"/>
          <w:lang w:val="en-US"/>
        </w:rPr>
        <w:footnoteReference w:id="290"/>
      </w:r>
      <w:r w:rsidR="00EE6121" w:rsidRPr="00300A27">
        <w:rPr>
          <w:spacing w:val="0"/>
          <w:szCs w:val="20"/>
          <w:lang w:val="en-US"/>
        </w:rPr>
        <w:t xml:space="preserve"> </w:t>
      </w:r>
      <w:r w:rsidR="00074C5F" w:rsidRPr="00300A27">
        <w:rPr>
          <w:spacing w:val="0"/>
          <w:szCs w:val="20"/>
          <w:lang w:val="en-US"/>
        </w:rPr>
        <w:t>a</w:t>
      </w:r>
      <w:r w:rsidR="00EE6121" w:rsidRPr="00300A27">
        <w:rPr>
          <w:spacing w:val="0"/>
          <w:szCs w:val="20"/>
          <w:lang w:val="en-US"/>
        </w:rPr>
        <w:t xml:space="preserve"> </w:t>
      </w:r>
      <w:r w:rsidR="00EE6121" w:rsidRPr="00300A27">
        <w:rPr>
          <w:i/>
          <w:spacing w:val="0"/>
          <w:lang w:val="en-US"/>
        </w:rPr>
        <w:t>iuris tantum</w:t>
      </w:r>
      <w:r w:rsidR="00EE6121" w:rsidRPr="00300A27">
        <w:rPr>
          <w:spacing w:val="0"/>
          <w:lang w:val="en-US"/>
        </w:rPr>
        <w:t xml:space="preserve"> </w:t>
      </w:r>
      <w:r w:rsidR="00074C5F" w:rsidRPr="00300A27">
        <w:rPr>
          <w:spacing w:val="0"/>
          <w:lang w:val="en-US"/>
        </w:rPr>
        <w:t xml:space="preserve">presumption is applicable with regard to the violation of the right to </w:t>
      </w:r>
      <w:r w:rsidR="00D939AE" w:rsidRPr="00300A27">
        <w:rPr>
          <w:spacing w:val="0"/>
          <w:lang w:val="en-US"/>
        </w:rPr>
        <w:t>personal integrity</w:t>
      </w:r>
      <w:r w:rsidR="00EE6121" w:rsidRPr="00300A27">
        <w:rPr>
          <w:spacing w:val="0"/>
          <w:lang w:val="en-US"/>
        </w:rPr>
        <w:t xml:space="preserve"> </w:t>
      </w:r>
      <w:r w:rsidR="00074C5F" w:rsidRPr="00300A27">
        <w:rPr>
          <w:spacing w:val="0"/>
          <w:lang w:val="en-US"/>
        </w:rPr>
        <w:t xml:space="preserve">of mothers and fathers, daughters and sons, spouses and permanent companions, </w:t>
      </w:r>
      <w:r w:rsidR="001975F6" w:rsidRPr="00300A27">
        <w:rPr>
          <w:spacing w:val="0"/>
          <w:lang w:val="en-US"/>
        </w:rPr>
        <w:t>and also</w:t>
      </w:r>
      <w:r w:rsidR="00074C5F" w:rsidRPr="00300A27">
        <w:rPr>
          <w:spacing w:val="0"/>
          <w:lang w:val="en-US"/>
        </w:rPr>
        <w:t xml:space="preserve"> the siblings </w:t>
      </w:r>
      <w:r w:rsidR="007071F6" w:rsidRPr="00300A27">
        <w:rPr>
          <w:spacing w:val="0"/>
          <w:lang w:val="en-US"/>
        </w:rPr>
        <w:t xml:space="preserve">of the </w:t>
      </w:r>
      <w:r w:rsidR="00BA3C7F" w:rsidRPr="00300A27">
        <w:rPr>
          <w:spacing w:val="0"/>
          <w:lang w:val="en-US"/>
        </w:rPr>
        <w:t>presumed victims</w:t>
      </w:r>
      <w:r w:rsidR="00074C5F" w:rsidRPr="00300A27">
        <w:rPr>
          <w:spacing w:val="0"/>
          <w:lang w:val="en-US"/>
        </w:rPr>
        <w:t>.</w:t>
      </w:r>
      <w:r w:rsidR="00EE6121" w:rsidRPr="00300A27">
        <w:rPr>
          <w:rStyle w:val="Refdenotaalpie"/>
          <w:spacing w:val="0"/>
          <w:lang w:val="en-US"/>
        </w:rPr>
        <w:footnoteReference w:id="291"/>
      </w:r>
      <w:bookmarkEnd w:id="165"/>
      <w:r w:rsidR="00074C5F" w:rsidRPr="00300A27">
        <w:rPr>
          <w:spacing w:val="0"/>
          <w:lang w:val="en-US"/>
        </w:rPr>
        <w:t xml:space="preserve"> In this case</w:t>
      </w:r>
      <w:r w:rsidR="00CE184D" w:rsidRPr="00300A27">
        <w:rPr>
          <w:rFonts w:eastAsiaTheme="minorHAnsi"/>
          <w:spacing w:val="0"/>
          <w:szCs w:val="20"/>
          <w:lang w:val="en-US" w:eastAsia="en-US"/>
        </w:rPr>
        <w:t>,</w:t>
      </w:r>
      <w:r w:rsidR="00EE6121" w:rsidRPr="00300A27">
        <w:rPr>
          <w:rFonts w:eastAsiaTheme="minorHAnsi"/>
          <w:spacing w:val="0"/>
          <w:szCs w:val="20"/>
          <w:lang w:val="en-US" w:eastAsia="en-US"/>
        </w:rPr>
        <w:t xml:space="preserve"> </w:t>
      </w:r>
      <w:r w:rsidRPr="00300A27">
        <w:rPr>
          <w:rFonts w:eastAsiaTheme="minorHAnsi"/>
          <w:spacing w:val="0"/>
          <w:szCs w:val="20"/>
          <w:lang w:val="en-US" w:eastAsia="en-US"/>
        </w:rPr>
        <w:t>the Court</w:t>
      </w:r>
      <w:r w:rsidR="00EE6121" w:rsidRPr="00300A27">
        <w:rPr>
          <w:rFonts w:eastAsiaTheme="minorHAnsi"/>
          <w:spacing w:val="0"/>
          <w:szCs w:val="20"/>
          <w:lang w:val="en-US" w:eastAsia="en-US"/>
        </w:rPr>
        <w:t xml:space="preserve"> </w:t>
      </w:r>
      <w:r w:rsidR="00074C5F" w:rsidRPr="00300A27">
        <w:rPr>
          <w:rFonts w:eastAsiaTheme="minorHAnsi"/>
          <w:spacing w:val="0"/>
          <w:szCs w:val="20"/>
          <w:lang w:val="en-US" w:eastAsia="en-US"/>
        </w:rPr>
        <w:t>ha</w:t>
      </w:r>
      <w:r w:rsidR="001975F6" w:rsidRPr="00300A27">
        <w:rPr>
          <w:rFonts w:eastAsiaTheme="minorHAnsi"/>
          <w:spacing w:val="0"/>
          <w:szCs w:val="20"/>
          <w:lang w:val="en-US" w:eastAsia="en-US"/>
        </w:rPr>
        <w:t>s</w:t>
      </w:r>
      <w:r w:rsidR="00074C5F" w:rsidRPr="00300A27">
        <w:rPr>
          <w:rFonts w:eastAsiaTheme="minorHAnsi"/>
          <w:spacing w:val="0"/>
          <w:szCs w:val="20"/>
          <w:lang w:val="en-US" w:eastAsia="en-US"/>
        </w:rPr>
        <w:t xml:space="preserve"> concluded that what happened to </w:t>
      </w:r>
      <w:r w:rsidR="008546E9" w:rsidRPr="00300A27">
        <w:rPr>
          <w:rFonts w:eastAsiaTheme="minorHAnsi"/>
          <w:spacing w:val="0"/>
          <w:szCs w:val="20"/>
          <w:lang w:val="en-US" w:eastAsia="en-US"/>
        </w:rPr>
        <w:t>Ms. Rojas</w:t>
      </w:r>
      <w:r w:rsidR="00EE6121" w:rsidRPr="00300A27">
        <w:rPr>
          <w:rFonts w:eastAsiaTheme="minorHAnsi"/>
          <w:spacing w:val="0"/>
          <w:szCs w:val="20"/>
          <w:lang w:val="en-US" w:eastAsia="en-US"/>
        </w:rPr>
        <w:t xml:space="preserve"> Marín constitu</w:t>
      </w:r>
      <w:r w:rsidR="00074C5F" w:rsidRPr="00300A27">
        <w:rPr>
          <w:rFonts w:eastAsiaTheme="minorHAnsi"/>
          <w:spacing w:val="0"/>
          <w:szCs w:val="20"/>
          <w:lang w:val="en-US" w:eastAsia="en-US"/>
        </w:rPr>
        <w:t xml:space="preserve">ted rape and torture </w:t>
      </w:r>
      <w:r w:rsidR="00EE6121" w:rsidRPr="00300A27">
        <w:rPr>
          <w:rFonts w:eastAsiaTheme="minorHAnsi"/>
          <w:spacing w:val="0"/>
          <w:szCs w:val="20"/>
          <w:lang w:val="en-US" w:eastAsia="en-US"/>
        </w:rPr>
        <w:t>(</w:t>
      </w:r>
      <w:r w:rsidR="00EE6121" w:rsidRPr="00300A27">
        <w:rPr>
          <w:rFonts w:eastAsiaTheme="minorHAnsi"/>
          <w:i/>
          <w:spacing w:val="0"/>
          <w:szCs w:val="20"/>
          <w:lang w:val="en-US" w:eastAsia="en-US"/>
        </w:rPr>
        <w:t xml:space="preserve">supra </w:t>
      </w:r>
      <w:r w:rsidR="00910D8E" w:rsidRPr="00300A27">
        <w:rPr>
          <w:rFonts w:eastAsiaTheme="minorHAnsi"/>
          <w:spacing w:val="0"/>
          <w:szCs w:val="20"/>
          <w:lang w:val="en-US" w:eastAsia="en-US"/>
        </w:rPr>
        <w:t>para.</w:t>
      </w:r>
      <w:r w:rsidR="00F96BD4" w:rsidRPr="00300A27">
        <w:rPr>
          <w:rFonts w:eastAsiaTheme="minorHAnsi"/>
          <w:spacing w:val="0"/>
          <w:szCs w:val="20"/>
          <w:lang w:val="en-US" w:eastAsia="en-US"/>
        </w:rPr>
        <w:t xml:space="preserve"> </w:t>
      </w:r>
      <w:r w:rsidR="00F96BD4" w:rsidRPr="00300A27">
        <w:rPr>
          <w:rFonts w:eastAsiaTheme="minorHAnsi"/>
          <w:spacing w:val="0"/>
          <w:szCs w:val="20"/>
          <w:lang w:val="en-US" w:eastAsia="en-US"/>
        </w:rPr>
        <w:fldChar w:fldCharType="begin"/>
      </w:r>
      <w:r w:rsidR="00F96BD4" w:rsidRPr="00300A27">
        <w:rPr>
          <w:rFonts w:eastAsiaTheme="minorHAnsi"/>
          <w:spacing w:val="0"/>
          <w:szCs w:val="20"/>
          <w:lang w:val="en-US" w:eastAsia="en-US"/>
        </w:rPr>
        <w:instrText xml:space="preserve"> REF _Ref446690810 \r \h </w:instrText>
      </w:r>
      <w:r w:rsidR="00B243B6" w:rsidRPr="00300A27">
        <w:rPr>
          <w:rFonts w:eastAsiaTheme="minorHAnsi"/>
          <w:spacing w:val="0"/>
          <w:szCs w:val="20"/>
          <w:lang w:val="en-US" w:eastAsia="en-US"/>
        </w:rPr>
        <w:instrText xml:space="preserve"> \* MERGEFORMAT </w:instrText>
      </w:r>
      <w:r w:rsidR="00F96BD4" w:rsidRPr="00300A27">
        <w:rPr>
          <w:rFonts w:eastAsiaTheme="minorHAnsi"/>
          <w:spacing w:val="0"/>
          <w:szCs w:val="20"/>
          <w:lang w:val="en-US" w:eastAsia="en-US"/>
        </w:rPr>
      </w:r>
      <w:r w:rsidR="00F96BD4" w:rsidRPr="00300A27">
        <w:rPr>
          <w:rFonts w:eastAsiaTheme="minorHAnsi"/>
          <w:spacing w:val="0"/>
          <w:szCs w:val="20"/>
          <w:lang w:val="en-US" w:eastAsia="en-US"/>
        </w:rPr>
        <w:fldChar w:fldCharType="separate"/>
      </w:r>
      <w:r w:rsidR="00632F77" w:rsidRPr="00300A27">
        <w:rPr>
          <w:rFonts w:eastAsiaTheme="minorHAnsi"/>
          <w:spacing w:val="0"/>
          <w:szCs w:val="20"/>
          <w:lang w:val="en-US" w:eastAsia="en-US"/>
        </w:rPr>
        <w:t>165</w:t>
      </w:r>
      <w:r w:rsidR="00F96BD4" w:rsidRPr="00300A27">
        <w:rPr>
          <w:rFonts w:eastAsiaTheme="minorHAnsi"/>
          <w:spacing w:val="0"/>
          <w:szCs w:val="20"/>
          <w:lang w:val="en-US" w:eastAsia="en-US"/>
        </w:rPr>
        <w:fldChar w:fldCharType="end"/>
      </w:r>
      <w:r w:rsidR="00EE6121" w:rsidRPr="00300A27">
        <w:rPr>
          <w:rFonts w:eastAsiaTheme="minorHAnsi"/>
          <w:spacing w:val="0"/>
          <w:szCs w:val="20"/>
          <w:lang w:val="en-US" w:eastAsia="en-US"/>
        </w:rPr>
        <w:t>)</w:t>
      </w:r>
      <w:r w:rsidRPr="00300A27">
        <w:rPr>
          <w:rFonts w:eastAsiaTheme="minorHAnsi"/>
          <w:spacing w:val="0"/>
          <w:szCs w:val="20"/>
          <w:lang w:val="en-US" w:eastAsia="en-US"/>
        </w:rPr>
        <w:t xml:space="preserve"> and the State</w:t>
      </w:r>
      <w:r w:rsidR="00EE6121" w:rsidRPr="00300A27">
        <w:rPr>
          <w:rFonts w:eastAsiaTheme="minorHAnsi"/>
          <w:spacing w:val="0"/>
          <w:szCs w:val="20"/>
          <w:lang w:val="en-US" w:eastAsia="en-US"/>
        </w:rPr>
        <w:t xml:space="preserve"> </w:t>
      </w:r>
      <w:r w:rsidR="00074C5F" w:rsidRPr="00300A27">
        <w:rPr>
          <w:rFonts w:eastAsiaTheme="minorHAnsi"/>
          <w:spacing w:val="0"/>
          <w:szCs w:val="20"/>
          <w:lang w:val="en-US" w:eastAsia="en-US"/>
        </w:rPr>
        <w:t xml:space="preserve">has not disproved the presumption of the violation of the right to </w:t>
      </w:r>
      <w:r w:rsidR="00D939AE" w:rsidRPr="00300A27">
        <w:rPr>
          <w:rFonts w:eastAsiaTheme="minorHAnsi"/>
          <w:spacing w:val="0"/>
          <w:szCs w:val="20"/>
          <w:lang w:val="en-US" w:eastAsia="en-US"/>
        </w:rPr>
        <w:t>personal integrity</w:t>
      </w:r>
      <w:r w:rsidR="00EE6121" w:rsidRPr="00300A27">
        <w:rPr>
          <w:rFonts w:eastAsiaTheme="minorHAnsi"/>
          <w:spacing w:val="0"/>
          <w:szCs w:val="20"/>
          <w:lang w:val="en-US" w:eastAsia="en-US"/>
        </w:rPr>
        <w:t xml:space="preserve"> </w:t>
      </w:r>
      <w:r w:rsidR="00074C5F" w:rsidRPr="00300A27">
        <w:rPr>
          <w:rFonts w:eastAsiaTheme="minorHAnsi"/>
          <w:spacing w:val="0"/>
          <w:szCs w:val="20"/>
          <w:lang w:val="en-US" w:eastAsia="en-US"/>
        </w:rPr>
        <w:t>of Mrs.</w:t>
      </w:r>
      <w:r w:rsidR="00EE6121" w:rsidRPr="00300A27">
        <w:rPr>
          <w:rFonts w:eastAsiaTheme="minorHAnsi"/>
          <w:spacing w:val="0"/>
          <w:szCs w:val="20"/>
          <w:lang w:val="en-US" w:eastAsia="en-US"/>
        </w:rPr>
        <w:t xml:space="preserve"> Tanta Marín.</w:t>
      </w:r>
      <w:bookmarkEnd w:id="166"/>
    </w:p>
    <w:p w14:paraId="1C8B8A1A" w14:textId="1F51CF6F" w:rsidR="00EE6121" w:rsidRPr="00300A27" w:rsidRDefault="00E54EBC" w:rsidP="00B243B6">
      <w:pPr>
        <w:pStyle w:val="PrrafodeSentencia"/>
        <w:numPr>
          <w:ilvl w:val="0"/>
          <w:numId w:val="3"/>
        </w:numPr>
        <w:spacing w:before="120" w:after="120"/>
        <w:ind w:left="0" w:firstLine="0"/>
        <w:rPr>
          <w:rFonts w:eastAsiaTheme="minorHAnsi"/>
          <w:spacing w:val="0"/>
          <w:szCs w:val="20"/>
          <w:lang w:val="en-US" w:eastAsia="en-US"/>
        </w:rPr>
      </w:pPr>
      <w:bookmarkStart w:id="167" w:name="_Ref33106754"/>
      <w:r w:rsidRPr="00300A27">
        <w:rPr>
          <w:rFonts w:eastAsiaTheme="minorHAnsi"/>
          <w:spacing w:val="0"/>
          <w:szCs w:val="20"/>
          <w:lang w:val="en-US" w:eastAsia="en-US"/>
        </w:rPr>
        <w:t>The evidence provided to the Court reveals that</w:t>
      </w:r>
      <w:r w:rsidR="00EE6121" w:rsidRPr="00300A27">
        <w:rPr>
          <w:spacing w:val="0"/>
          <w:szCs w:val="20"/>
          <w:lang w:val="en-US"/>
        </w:rPr>
        <w:t xml:space="preserve"> </w:t>
      </w:r>
      <w:r w:rsidRPr="00300A27">
        <w:rPr>
          <w:spacing w:val="0"/>
          <w:szCs w:val="20"/>
          <w:lang w:val="en-US"/>
        </w:rPr>
        <w:t xml:space="preserve">the personal integrity of </w:t>
      </w:r>
      <w:r w:rsidR="00EE6121" w:rsidRPr="00300A27">
        <w:rPr>
          <w:spacing w:val="0"/>
          <w:szCs w:val="20"/>
          <w:lang w:val="en-US"/>
        </w:rPr>
        <w:t>Juan</w:t>
      </w:r>
      <w:r w:rsidRPr="00300A27">
        <w:rPr>
          <w:spacing w:val="0"/>
          <w:szCs w:val="20"/>
          <w:lang w:val="en-US"/>
        </w:rPr>
        <w:t>a</w:t>
      </w:r>
      <w:r w:rsidR="00EE6121" w:rsidRPr="00300A27">
        <w:rPr>
          <w:spacing w:val="0"/>
          <w:szCs w:val="20"/>
          <w:lang w:val="en-US"/>
        </w:rPr>
        <w:t xml:space="preserve"> Rosa Tanta Marín </w:t>
      </w:r>
      <w:r w:rsidRPr="00300A27">
        <w:rPr>
          <w:spacing w:val="0"/>
          <w:szCs w:val="20"/>
          <w:lang w:val="en-US"/>
        </w:rPr>
        <w:t>was significantly affected by the sexual torture of</w:t>
      </w:r>
      <w:r w:rsidR="00EE6121" w:rsidRPr="00300A27">
        <w:rPr>
          <w:spacing w:val="0"/>
          <w:szCs w:val="20"/>
          <w:lang w:val="en-US"/>
        </w:rPr>
        <w:t xml:space="preserve"> </w:t>
      </w:r>
      <w:r w:rsidR="009A0077" w:rsidRPr="00300A27">
        <w:rPr>
          <w:spacing w:val="0"/>
          <w:szCs w:val="20"/>
          <w:lang w:val="en-US"/>
        </w:rPr>
        <w:t>Azul</w:t>
      </w:r>
      <w:r w:rsidR="00EE6121" w:rsidRPr="00300A27">
        <w:rPr>
          <w:spacing w:val="0"/>
          <w:szCs w:val="20"/>
          <w:lang w:val="en-US"/>
        </w:rPr>
        <w:t xml:space="preserve"> Rojas Marín, </w:t>
      </w:r>
      <w:r w:rsidRPr="00300A27">
        <w:rPr>
          <w:spacing w:val="0"/>
          <w:szCs w:val="20"/>
          <w:lang w:val="en-US"/>
        </w:rPr>
        <w:t>and the failure to investigate this. According to the psychological appraisal, Mrs. Tanta Marín “had</w:t>
      </w:r>
      <w:r w:rsidR="00964033" w:rsidRPr="00300A27">
        <w:rPr>
          <w:spacing w:val="0"/>
          <w:szCs w:val="20"/>
          <w:lang w:val="en-US"/>
        </w:rPr>
        <w:t xml:space="preserve"> major</w:t>
      </w:r>
      <w:r w:rsidRPr="00300A27">
        <w:rPr>
          <w:spacing w:val="0"/>
          <w:szCs w:val="20"/>
          <w:lang w:val="en-US"/>
        </w:rPr>
        <w:t xml:space="preserve"> chronic depression that had serious effects on her physical health and constituted a risk to her life.</w:t>
      </w:r>
      <w:r w:rsidR="00EE6121" w:rsidRPr="00300A27">
        <w:rPr>
          <w:spacing w:val="0"/>
          <w:szCs w:val="20"/>
          <w:lang w:val="en-US"/>
        </w:rPr>
        <w:t>”</w:t>
      </w:r>
      <w:r w:rsidR="00EE6121" w:rsidRPr="00300A27">
        <w:rPr>
          <w:rStyle w:val="Refdenotaalpie"/>
          <w:spacing w:val="0"/>
          <w:szCs w:val="20"/>
          <w:lang w:val="en-US"/>
        </w:rPr>
        <w:footnoteReference w:id="292"/>
      </w:r>
      <w:r w:rsidRPr="00300A27">
        <w:rPr>
          <w:spacing w:val="0"/>
          <w:szCs w:val="20"/>
          <w:lang w:val="en-US"/>
        </w:rPr>
        <w:t xml:space="preserve"> The report indicates that “given the particular nature of the relationship that Juana had with her [daughter], the traumatic incident had a devastating impact on her psyche, </w:t>
      </w:r>
      <w:r w:rsidR="001975F6" w:rsidRPr="00300A27">
        <w:rPr>
          <w:spacing w:val="0"/>
          <w:szCs w:val="20"/>
          <w:lang w:val="en-US"/>
        </w:rPr>
        <w:t>clearly</w:t>
      </w:r>
      <w:r w:rsidRPr="00300A27">
        <w:rPr>
          <w:spacing w:val="0"/>
          <w:szCs w:val="20"/>
          <w:lang w:val="en-US"/>
        </w:rPr>
        <w:t xml:space="preserve"> </w:t>
      </w:r>
      <w:r w:rsidR="001975F6" w:rsidRPr="00300A27">
        <w:rPr>
          <w:spacing w:val="0"/>
          <w:szCs w:val="20"/>
          <w:lang w:val="en-US"/>
        </w:rPr>
        <w:t>destroying</w:t>
      </w:r>
      <w:r w:rsidRPr="00300A27">
        <w:rPr>
          <w:spacing w:val="0"/>
          <w:szCs w:val="20"/>
          <w:lang w:val="en-US"/>
        </w:rPr>
        <w:t xml:space="preserve"> one of her emotional supports in life.</w:t>
      </w:r>
      <w:r w:rsidR="00EE6121" w:rsidRPr="00300A27">
        <w:rPr>
          <w:spacing w:val="0"/>
          <w:szCs w:val="20"/>
          <w:lang w:val="en-US"/>
        </w:rPr>
        <w:t>”</w:t>
      </w:r>
      <w:r w:rsidR="00EE6121" w:rsidRPr="00300A27">
        <w:rPr>
          <w:rStyle w:val="Refdenotaalpie"/>
          <w:spacing w:val="0"/>
          <w:szCs w:val="20"/>
          <w:lang w:val="en-US"/>
        </w:rPr>
        <w:footnoteReference w:id="293"/>
      </w:r>
      <w:bookmarkEnd w:id="167"/>
      <w:r w:rsidR="00EE6121" w:rsidRPr="00300A27">
        <w:rPr>
          <w:spacing w:val="0"/>
          <w:szCs w:val="20"/>
          <w:lang w:val="en-US"/>
        </w:rPr>
        <w:t xml:space="preserve"> </w:t>
      </w:r>
    </w:p>
    <w:p w14:paraId="2134CBAE" w14:textId="00C97C1F" w:rsidR="003A1662" w:rsidRPr="00300A27" w:rsidRDefault="00E54EBC" w:rsidP="00B243B6">
      <w:pPr>
        <w:pStyle w:val="PrrafodeSentencia"/>
        <w:numPr>
          <w:ilvl w:val="0"/>
          <w:numId w:val="3"/>
        </w:numPr>
        <w:spacing w:before="120" w:after="120"/>
        <w:ind w:left="0" w:firstLine="0"/>
        <w:rPr>
          <w:spacing w:val="0"/>
          <w:szCs w:val="20"/>
          <w:lang w:val="en-US"/>
        </w:rPr>
      </w:pPr>
      <w:bookmarkStart w:id="168" w:name="_Ref33106756"/>
      <w:r w:rsidRPr="00300A27">
        <w:rPr>
          <w:spacing w:val="0"/>
          <w:szCs w:val="20"/>
          <w:lang w:val="en-US"/>
        </w:rPr>
        <w:t xml:space="preserve">Based on the above, the Court finds that the </w:t>
      </w:r>
      <w:r w:rsidR="005B1C65" w:rsidRPr="00300A27">
        <w:rPr>
          <w:spacing w:val="0"/>
          <w:szCs w:val="20"/>
          <w:lang w:val="en-US"/>
        </w:rPr>
        <w:t>State</w:t>
      </w:r>
      <w:r w:rsidR="00EE6121" w:rsidRPr="00300A27">
        <w:rPr>
          <w:spacing w:val="0"/>
          <w:szCs w:val="20"/>
          <w:lang w:val="en-US"/>
        </w:rPr>
        <w:t xml:space="preserve"> </w:t>
      </w:r>
      <w:r w:rsidR="005B46A0" w:rsidRPr="00300A27">
        <w:rPr>
          <w:spacing w:val="0"/>
          <w:szCs w:val="20"/>
          <w:lang w:val="en-US"/>
        </w:rPr>
        <w:t>is responsible for</w:t>
      </w:r>
      <w:r w:rsidR="00EE6121" w:rsidRPr="00300A27">
        <w:rPr>
          <w:spacing w:val="0"/>
          <w:szCs w:val="20"/>
          <w:lang w:val="en-US"/>
        </w:rPr>
        <w:t xml:space="preserve"> </w:t>
      </w:r>
      <w:r w:rsidR="00BA3C7F" w:rsidRPr="00300A27">
        <w:rPr>
          <w:spacing w:val="0"/>
          <w:szCs w:val="20"/>
          <w:lang w:val="en-US"/>
        </w:rPr>
        <w:t>the violation</w:t>
      </w:r>
      <w:r w:rsidR="00932C42" w:rsidRPr="00300A27">
        <w:rPr>
          <w:spacing w:val="0"/>
          <w:szCs w:val="20"/>
          <w:lang w:val="en-US"/>
        </w:rPr>
        <w:t xml:space="preserve"> of the </w:t>
      </w:r>
      <w:r w:rsidRPr="00300A27">
        <w:rPr>
          <w:spacing w:val="0"/>
          <w:szCs w:val="20"/>
          <w:lang w:val="en-US"/>
        </w:rPr>
        <w:t>right to</w:t>
      </w:r>
      <w:r w:rsidR="00EE6121" w:rsidRPr="00300A27">
        <w:rPr>
          <w:spacing w:val="0"/>
          <w:szCs w:val="20"/>
          <w:lang w:val="en-US"/>
        </w:rPr>
        <w:t xml:space="preserve"> </w:t>
      </w:r>
      <w:r w:rsidR="00D939AE" w:rsidRPr="00300A27">
        <w:rPr>
          <w:spacing w:val="0"/>
          <w:szCs w:val="20"/>
          <w:lang w:val="en-US"/>
        </w:rPr>
        <w:t>personal integrity</w:t>
      </w:r>
      <w:r w:rsidRPr="00300A27">
        <w:rPr>
          <w:spacing w:val="0"/>
          <w:szCs w:val="20"/>
          <w:lang w:val="en-US"/>
        </w:rPr>
        <w:t xml:space="preserve"> recognized in </w:t>
      </w:r>
      <w:r w:rsidR="005B1C65" w:rsidRPr="00300A27">
        <w:rPr>
          <w:spacing w:val="0"/>
          <w:szCs w:val="20"/>
          <w:lang w:val="en-US"/>
        </w:rPr>
        <w:t>Article</w:t>
      </w:r>
      <w:r w:rsidR="00EE6121" w:rsidRPr="00300A27">
        <w:rPr>
          <w:spacing w:val="0"/>
          <w:szCs w:val="20"/>
          <w:lang w:val="en-US"/>
        </w:rPr>
        <w:t xml:space="preserve"> </w:t>
      </w:r>
      <w:r w:rsidR="00BA3C7F" w:rsidRPr="00300A27">
        <w:rPr>
          <w:spacing w:val="0"/>
          <w:szCs w:val="20"/>
          <w:lang w:val="en-US"/>
        </w:rPr>
        <w:t>5(1)</w:t>
      </w:r>
      <w:r w:rsidR="005B1C65" w:rsidRPr="00300A27">
        <w:rPr>
          <w:spacing w:val="0"/>
          <w:szCs w:val="20"/>
          <w:lang w:val="en-US"/>
        </w:rPr>
        <w:t xml:space="preserve"> of the Convention</w:t>
      </w:r>
      <w:r w:rsidR="00EE6121" w:rsidRPr="00300A27">
        <w:rPr>
          <w:spacing w:val="0"/>
          <w:szCs w:val="20"/>
          <w:lang w:val="en-US"/>
        </w:rPr>
        <w:t xml:space="preserve">, </w:t>
      </w:r>
      <w:r w:rsidRPr="00300A27">
        <w:rPr>
          <w:spacing w:val="0"/>
          <w:szCs w:val="20"/>
          <w:lang w:val="en-US"/>
        </w:rPr>
        <w:t>in relation to</w:t>
      </w:r>
      <w:r w:rsidR="00EE6121" w:rsidRPr="00300A27">
        <w:rPr>
          <w:spacing w:val="0"/>
          <w:szCs w:val="20"/>
          <w:lang w:val="en-US"/>
        </w:rPr>
        <w:t xml:space="preserve"> </w:t>
      </w:r>
      <w:r w:rsidR="005B1C65" w:rsidRPr="00300A27">
        <w:rPr>
          <w:spacing w:val="0"/>
          <w:szCs w:val="20"/>
          <w:lang w:val="en-US"/>
        </w:rPr>
        <w:t>Article</w:t>
      </w:r>
      <w:r w:rsidR="00EE6121" w:rsidRPr="00300A27">
        <w:rPr>
          <w:spacing w:val="0"/>
          <w:szCs w:val="20"/>
          <w:lang w:val="en-US"/>
        </w:rPr>
        <w:t xml:space="preserve"> </w:t>
      </w:r>
      <w:r w:rsidR="00BA3C7F" w:rsidRPr="00300A27">
        <w:rPr>
          <w:spacing w:val="0"/>
          <w:szCs w:val="20"/>
          <w:lang w:val="en-US"/>
        </w:rPr>
        <w:t>1(1)</w:t>
      </w:r>
      <w:r w:rsidR="00EE6121" w:rsidRPr="00300A27">
        <w:rPr>
          <w:spacing w:val="0"/>
          <w:szCs w:val="20"/>
          <w:lang w:val="en-US"/>
        </w:rPr>
        <w:t xml:space="preserve"> </w:t>
      </w:r>
      <w:r w:rsidRPr="00300A27">
        <w:rPr>
          <w:spacing w:val="0"/>
          <w:szCs w:val="20"/>
          <w:lang w:val="en-US"/>
        </w:rPr>
        <w:t>of this instrument,</w:t>
      </w:r>
      <w:r w:rsidR="00EE6121" w:rsidRPr="00300A27">
        <w:rPr>
          <w:spacing w:val="0"/>
          <w:szCs w:val="20"/>
          <w:lang w:val="en-US"/>
        </w:rPr>
        <w:t xml:space="preserve"> </w:t>
      </w:r>
      <w:r w:rsidR="00BA3C7F" w:rsidRPr="00300A27">
        <w:rPr>
          <w:spacing w:val="0"/>
          <w:szCs w:val="20"/>
          <w:lang w:val="en-US"/>
        </w:rPr>
        <w:t>to the detriment of</w:t>
      </w:r>
      <w:r w:rsidR="00EE6121" w:rsidRPr="00300A27">
        <w:rPr>
          <w:spacing w:val="0"/>
          <w:szCs w:val="20"/>
          <w:lang w:val="en-US"/>
        </w:rPr>
        <w:t xml:space="preserve"> Juana Rosa Tanta Marín.</w:t>
      </w:r>
      <w:bookmarkEnd w:id="168"/>
    </w:p>
    <w:p w14:paraId="0E9E1F17" w14:textId="77A3FD19" w:rsidR="00852D2F" w:rsidRPr="00300A27" w:rsidRDefault="00852D2F" w:rsidP="00B243B6">
      <w:pPr>
        <w:pStyle w:val="Ttulo1"/>
        <w:rPr>
          <w:b w:val="0"/>
          <w:lang w:val="en-US"/>
        </w:rPr>
      </w:pPr>
      <w:bookmarkStart w:id="169" w:name="_Toc192586"/>
      <w:bookmarkStart w:id="170" w:name="_Toc32394183"/>
      <w:bookmarkStart w:id="171" w:name="_Toc36823502"/>
      <w:bookmarkStart w:id="172" w:name="_Ref431643901"/>
      <w:r w:rsidRPr="00300A27">
        <w:rPr>
          <w:rStyle w:val="Ttulo1Car"/>
          <w:b/>
          <w:lang w:val="en-US"/>
        </w:rPr>
        <w:t>VII</w:t>
      </w:r>
      <w:bookmarkStart w:id="173" w:name="_Toc514063464"/>
      <w:bookmarkStart w:id="174" w:name="_Toc512961873"/>
      <w:bookmarkStart w:id="175" w:name="_Toc512499056"/>
      <w:bookmarkStart w:id="176" w:name="_Toc504661265"/>
      <w:bookmarkStart w:id="177" w:name="_Toc504656637"/>
      <w:bookmarkStart w:id="178" w:name="_Toc503594905"/>
      <w:bookmarkStart w:id="179" w:name="_Toc502891614"/>
      <w:bookmarkStart w:id="180" w:name="_Toc502023070"/>
      <w:bookmarkStart w:id="181" w:name="_Toc499146734"/>
      <w:r w:rsidRPr="00300A27">
        <w:rPr>
          <w:rStyle w:val="Ttulo1Car"/>
          <w:b/>
          <w:lang w:val="en-US"/>
        </w:rPr>
        <w:t>I</w:t>
      </w:r>
      <w:r w:rsidRPr="00300A27">
        <w:rPr>
          <w:rStyle w:val="Ttulo1Car"/>
          <w:b/>
          <w:lang w:val="en-US"/>
        </w:rPr>
        <w:br/>
      </w:r>
      <w:bookmarkEnd w:id="169"/>
      <w:bookmarkEnd w:id="173"/>
      <w:bookmarkEnd w:id="174"/>
      <w:bookmarkEnd w:id="175"/>
      <w:bookmarkEnd w:id="176"/>
      <w:bookmarkEnd w:id="177"/>
      <w:bookmarkEnd w:id="178"/>
      <w:bookmarkEnd w:id="179"/>
      <w:bookmarkEnd w:id="180"/>
      <w:bookmarkEnd w:id="181"/>
      <w:r w:rsidR="002959DE" w:rsidRPr="00300A27">
        <w:rPr>
          <w:rStyle w:val="Ttulo1Car"/>
          <w:b/>
          <w:lang w:val="en-US"/>
        </w:rPr>
        <w:t>REPARATIONS</w:t>
      </w:r>
      <w:bookmarkEnd w:id="170"/>
      <w:bookmarkEnd w:id="171"/>
    </w:p>
    <w:p w14:paraId="631B7844" w14:textId="150536CF" w:rsidR="00852D2F" w:rsidRPr="00300A27" w:rsidRDefault="001413C8" w:rsidP="00B243B6">
      <w:pPr>
        <w:pStyle w:val="PrrafodeSentencia"/>
        <w:numPr>
          <w:ilvl w:val="0"/>
          <w:numId w:val="3"/>
        </w:numPr>
        <w:tabs>
          <w:tab w:val="clear" w:pos="567"/>
          <w:tab w:val="left" w:pos="426"/>
        </w:tabs>
        <w:spacing w:before="120" w:after="120"/>
        <w:ind w:left="0" w:firstLine="0"/>
        <w:rPr>
          <w:spacing w:val="0"/>
          <w:lang w:val="en-US"/>
        </w:rPr>
      </w:pPr>
      <w:r w:rsidRPr="00300A27">
        <w:rPr>
          <w:spacing w:val="0"/>
          <w:lang w:val="en-US"/>
        </w:rPr>
        <w:t>Based on</w:t>
      </w:r>
      <w:r w:rsidR="00852D2F" w:rsidRPr="00300A27">
        <w:rPr>
          <w:spacing w:val="0"/>
          <w:lang w:val="en-US"/>
        </w:rPr>
        <w:t xml:space="preserve"> </w:t>
      </w:r>
      <w:r w:rsidR="005B1C65" w:rsidRPr="00300A27">
        <w:rPr>
          <w:spacing w:val="0"/>
          <w:lang w:val="en-US"/>
        </w:rPr>
        <w:t>Article</w:t>
      </w:r>
      <w:r w:rsidR="00852D2F" w:rsidRPr="00300A27">
        <w:rPr>
          <w:spacing w:val="0"/>
          <w:lang w:val="en-US"/>
        </w:rPr>
        <w:t xml:space="preserve"> 63</w:t>
      </w:r>
      <w:r w:rsidRPr="00300A27">
        <w:rPr>
          <w:spacing w:val="0"/>
          <w:lang w:val="en-US"/>
        </w:rPr>
        <w:t>(</w:t>
      </w:r>
      <w:r w:rsidR="00852D2F" w:rsidRPr="00300A27">
        <w:rPr>
          <w:spacing w:val="0"/>
          <w:lang w:val="en-US"/>
        </w:rPr>
        <w:t>1</w:t>
      </w:r>
      <w:r w:rsidRPr="00300A27">
        <w:rPr>
          <w:spacing w:val="0"/>
          <w:lang w:val="en-US"/>
        </w:rPr>
        <w:t>)</w:t>
      </w:r>
      <w:r w:rsidR="005B1C65" w:rsidRPr="00300A27">
        <w:rPr>
          <w:spacing w:val="0"/>
          <w:lang w:val="en-US"/>
        </w:rPr>
        <w:t xml:space="preserve"> of the American Convention</w:t>
      </w:r>
      <w:r w:rsidR="00852D2F" w:rsidRPr="00300A27">
        <w:rPr>
          <w:spacing w:val="0"/>
          <w:lang w:val="en-US"/>
        </w:rPr>
        <w:t xml:space="preserve">, </w:t>
      </w:r>
      <w:r w:rsidR="005B1C65" w:rsidRPr="00300A27">
        <w:rPr>
          <w:spacing w:val="0"/>
          <w:lang w:val="en-US"/>
        </w:rPr>
        <w:t>the Court</w:t>
      </w:r>
      <w:r w:rsidR="00852D2F" w:rsidRPr="00300A27">
        <w:rPr>
          <w:spacing w:val="0"/>
          <w:lang w:val="en-US"/>
        </w:rPr>
        <w:t xml:space="preserve"> ha</w:t>
      </w:r>
      <w:r w:rsidRPr="00300A27">
        <w:rPr>
          <w:spacing w:val="0"/>
          <w:lang w:val="en-US"/>
        </w:rPr>
        <w:t>s indicated that any violation of an international obligation that has caused harm entails the duty to repair it adequately and that this provision reflects a customary norm that constitutes one of the fundamental principles of contemporary international law on State responsibility.</w:t>
      </w:r>
      <w:r w:rsidR="00852D2F" w:rsidRPr="00300A27">
        <w:rPr>
          <w:rStyle w:val="Refdenotaalpie"/>
          <w:spacing w:val="0"/>
          <w:szCs w:val="20"/>
          <w:lang w:val="en-US"/>
        </w:rPr>
        <w:footnoteReference w:id="294"/>
      </w:r>
      <w:r w:rsidRPr="00300A27">
        <w:rPr>
          <w:spacing w:val="0"/>
          <w:lang w:val="en-US"/>
        </w:rPr>
        <w:t xml:space="preserve"> The Court has also established that reparations must have a causal nexus </w:t>
      </w:r>
      <w:r w:rsidR="004D4687" w:rsidRPr="00300A27">
        <w:rPr>
          <w:spacing w:val="0"/>
          <w:lang w:val="en-US"/>
        </w:rPr>
        <w:t>with</w:t>
      </w:r>
      <w:r w:rsidR="00300337" w:rsidRPr="00300A27">
        <w:rPr>
          <w:spacing w:val="0"/>
          <w:lang w:val="en-US"/>
        </w:rPr>
        <w:t xml:space="preserve"> </w:t>
      </w:r>
      <w:r w:rsidRPr="00300A27">
        <w:rPr>
          <w:spacing w:val="0"/>
          <w:lang w:val="en-US"/>
        </w:rPr>
        <w:t>the facts of the case, the violations that have been declared, the harm proved, and the measures requested to redress the respective harm. Therefore, the Court must examine the concurrence of these elements to rule appropriately and in keeping with law.</w:t>
      </w:r>
      <w:r w:rsidR="00852D2F" w:rsidRPr="00300A27">
        <w:rPr>
          <w:spacing w:val="0"/>
          <w:vertAlign w:val="superscript"/>
          <w:lang w:val="en-US"/>
        </w:rPr>
        <w:footnoteReference w:id="295"/>
      </w:r>
    </w:p>
    <w:p w14:paraId="2FE1AA69" w14:textId="3D679E2B" w:rsidR="00852D2F" w:rsidRPr="00300A27" w:rsidRDefault="001413C8" w:rsidP="00B243B6">
      <w:pPr>
        <w:pStyle w:val="PrrafodeSentencia"/>
        <w:numPr>
          <w:ilvl w:val="0"/>
          <w:numId w:val="3"/>
        </w:numPr>
        <w:tabs>
          <w:tab w:val="left" w:pos="0"/>
        </w:tabs>
        <w:spacing w:before="120" w:after="120"/>
        <w:ind w:left="0" w:firstLine="0"/>
        <w:rPr>
          <w:spacing w:val="0"/>
          <w:szCs w:val="20"/>
          <w:lang w:val="en-US"/>
        </w:rPr>
      </w:pPr>
      <w:r w:rsidRPr="00300A27">
        <w:rPr>
          <w:spacing w:val="0"/>
          <w:lang w:val="en-US"/>
        </w:rPr>
        <w:t>Consequently</w:t>
      </w:r>
      <w:r w:rsidR="00852D2F" w:rsidRPr="00300A27">
        <w:rPr>
          <w:spacing w:val="0"/>
          <w:lang w:val="en-US"/>
        </w:rPr>
        <w:t xml:space="preserve">, </w:t>
      </w:r>
      <w:r w:rsidR="00E52117" w:rsidRPr="00300A27">
        <w:rPr>
          <w:spacing w:val="0"/>
          <w:lang w:val="en-US"/>
        </w:rPr>
        <w:t>notwithstanding any form of reparation that may subsequently be agreed between the State and the victim</w:t>
      </w:r>
      <w:r w:rsidR="001975F6" w:rsidRPr="00300A27">
        <w:rPr>
          <w:spacing w:val="0"/>
          <w:lang w:val="en-US"/>
        </w:rPr>
        <w:t>,</w:t>
      </w:r>
      <w:r w:rsidR="00E52117" w:rsidRPr="00300A27">
        <w:rPr>
          <w:spacing w:val="0"/>
          <w:lang w:val="en-US"/>
        </w:rPr>
        <w:t xml:space="preserve"> and based on the foregoing considerations on the merits and the violation</w:t>
      </w:r>
      <w:r w:rsidR="001975F6" w:rsidRPr="00300A27">
        <w:rPr>
          <w:spacing w:val="0"/>
          <w:lang w:val="en-US"/>
        </w:rPr>
        <w:t>s</w:t>
      </w:r>
      <w:r w:rsidR="00E52117" w:rsidRPr="00300A27">
        <w:rPr>
          <w:spacing w:val="0"/>
          <w:lang w:val="en-US"/>
        </w:rPr>
        <w:t xml:space="preserve"> of the Convention declared in this judgment, the Court will proceed to examine the claims presented by </w:t>
      </w:r>
      <w:r w:rsidR="00C2001D" w:rsidRPr="00300A27">
        <w:rPr>
          <w:spacing w:val="0"/>
          <w:lang w:val="en-US"/>
        </w:rPr>
        <w:t>the Commission</w:t>
      </w:r>
      <w:r w:rsidR="005B1C65" w:rsidRPr="00300A27">
        <w:rPr>
          <w:spacing w:val="0"/>
          <w:lang w:val="en-US"/>
        </w:rPr>
        <w:t xml:space="preserve"> and </w:t>
      </w:r>
      <w:r w:rsidR="00BA3C7F" w:rsidRPr="00300A27">
        <w:rPr>
          <w:spacing w:val="0"/>
          <w:lang w:val="en-US"/>
        </w:rPr>
        <w:t>the</w:t>
      </w:r>
      <w:r w:rsidR="00E52117" w:rsidRPr="00300A27">
        <w:rPr>
          <w:spacing w:val="0"/>
          <w:lang w:val="en-US"/>
        </w:rPr>
        <w:t xml:space="preserve"> victims’</w:t>
      </w:r>
      <w:r w:rsidR="00BA3C7F" w:rsidRPr="00300A27">
        <w:rPr>
          <w:spacing w:val="0"/>
          <w:lang w:val="en-US"/>
        </w:rPr>
        <w:t xml:space="preserve"> representatives</w:t>
      </w:r>
      <w:r w:rsidR="00E52117" w:rsidRPr="00300A27">
        <w:rPr>
          <w:spacing w:val="0"/>
          <w:lang w:val="en-US"/>
        </w:rPr>
        <w:t>, together with the</w:t>
      </w:r>
      <w:r w:rsidR="001975F6" w:rsidRPr="00300A27">
        <w:rPr>
          <w:spacing w:val="0"/>
          <w:lang w:val="en-US"/>
        </w:rPr>
        <w:t xml:space="preserve"> corresponding observations of the</w:t>
      </w:r>
      <w:r w:rsidR="00E52117" w:rsidRPr="00300A27">
        <w:rPr>
          <w:spacing w:val="0"/>
          <w:lang w:val="en-US"/>
        </w:rPr>
        <w:t xml:space="preserve"> State</w:t>
      </w:r>
      <w:r w:rsidR="001975F6" w:rsidRPr="00300A27">
        <w:rPr>
          <w:spacing w:val="0"/>
          <w:lang w:val="en-US"/>
        </w:rPr>
        <w:t xml:space="preserve">, </w:t>
      </w:r>
      <w:r w:rsidR="00E52117" w:rsidRPr="00300A27">
        <w:rPr>
          <w:spacing w:val="0"/>
          <w:lang w:val="en-US"/>
        </w:rPr>
        <w:t>in light of the criteria established in its case law on the nature and scope of the obligation to make reparation, in order to establish measures to redress the harm caused.</w:t>
      </w:r>
      <w:r w:rsidR="00852D2F" w:rsidRPr="00300A27">
        <w:rPr>
          <w:rStyle w:val="Refdenotaalpie"/>
          <w:bCs/>
          <w:spacing w:val="0"/>
          <w:szCs w:val="20"/>
          <w:lang w:val="en-US"/>
        </w:rPr>
        <w:footnoteReference w:id="296"/>
      </w:r>
      <w:bookmarkStart w:id="182" w:name="_Toc375560978"/>
      <w:bookmarkStart w:id="183" w:name="_Toc499146735"/>
      <w:bookmarkStart w:id="184" w:name="_Toc480194724"/>
      <w:bookmarkStart w:id="185" w:name="_Toc430339025"/>
      <w:bookmarkStart w:id="186" w:name="_Toc426108479"/>
    </w:p>
    <w:p w14:paraId="7F535296" w14:textId="52B2FC91" w:rsidR="00852D2F" w:rsidRPr="00300A27" w:rsidRDefault="002959DE" w:rsidP="00B243B6">
      <w:pPr>
        <w:pStyle w:val="Ttulo2"/>
        <w:numPr>
          <w:ilvl w:val="0"/>
          <w:numId w:val="27"/>
        </w:numPr>
        <w:ind w:left="1134" w:hanging="567"/>
        <w:rPr>
          <w:szCs w:val="20"/>
          <w:lang w:val="en-US" w:eastAsia="es-ES"/>
        </w:rPr>
      </w:pPr>
      <w:r w:rsidRPr="00300A27">
        <w:rPr>
          <w:lang w:val="en-US"/>
        </w:rPr>
        <w:t>Injured party</w:t>
      </w:r>
      <w:bookmarkStart w:id="187" w:name="_Ref469938768"/>
      <w:bookmarkEnd w:id="182"/>
      <w:bookmarkEnd w:id="183"/>
      <w:bookmarkEnd w:id="184"/>
      <w:bookmarkEnd w:id="185"/>
      <w:bookmarkEnd w:id="186"/>
    </w:p>
    <w:p w14:paraId="3A943988" w14:textId="4CEC0308" w:rsidR="00852D2F" w:rsidRPr="00300A27" w:rsidRDefault="005B1C65" w:rsidP="00B243B6">
      <w:pPr>
        <w:pStyle w:val="PrrafodeSentencia"/>
        <w:numPr>
          <w:ilvl w:val="0"/>
          <w:numId w:val="3"/>
        </w:numPr>
        <w:tabs>
          <w:tab w:val="left" w:pos="0"/>
        </w:tabs>
        <w:spacing w:before="120" w:after="120"/>
        <w:ind w:left="0" w:firstLine="0"/>
        <w:rPr>
          <w:spacing w:val="0"/>
          <w:szCs w:val="20"/>
          <w:lang w:val="en-US"/>
        </w:rPr>
      </w:pPr>
      <w:r w:rsidRPr="00300A27">
        <w:rPr>
          <w:spacing w:val="0"/>
          <w:szCs w:val="20"/>
          <w:lang w:val="en-US"/>
        </w:rPr>
        <w:t>Th</w:t>
      </w:r>
      <w:r w:rsidR="001975F6" w:rsidRPr="00300A27">
        <w:rPr>
          <w:spacing w:val="0"/>
          <w:szCs w:val="20"/>
          <w:lang w:val="en-US"/>
        </w:rPr>
        <w:t>e</w:t>
      </w:r>
      <w:r w:rsidRPr="00300A27">
        <w:rPr>
          <w:spacing w:val="0"/>
          <w:szCs w:val="20"/>
          <w:lang w:val="en-US"/>
        </w:rPr>
        <w:t xml:space="preserve"> Court</w:t>
      </w:r>
      <w:r w:rsidR="00852D2F" w:rsidRPr="00300A27">
        <w:rPr>
          <w:spacing w:val="0"/>
          <w:szCs w:val="20"/>
          <w:lang w:val="en-US"/>
        </w:rPr>
        <w:t xml:space="preserve"> consider</w:t>
      </w:r>
      <w:r w:rsidR="00E52117" w:rsidRPr="00300A27">
        <w:rPr>
          <w:spacing w:val="0"/>
          <w:szCs w:val="20"/>
          <w:lang w:val="en-US"/>
        </w:rPr>
        <w:t xml:space="preserve">s that, pursuant to </w:t>
      </w:r>
      <w:r w:rsidR="007071F6" w:rsidRPr="00300A27">
        <w:rPr>
          <w:spacing w:val="0"/>
          <w:szCs w:val="20"/>
          <w:lang w:val="en-US"/>
        </w:rPr>
        <w:t>Article</w:t>
      </w:r>
      <w:r w:rsidR="00852D2F" w:rsidRPr="00300A27">
        <w:rPr>
          <w:spacing w:val="0"/>
          <w:szCs w:val="20"/>
          <w:lang w:val="en-US"/>
        </w:rPr>
        <w:t xml:space="preserve"> 63</w:t>
      </w:r>
      <w:r w:rsidR="00E52117" w:rsidRPr="00300A27">
        <w:rPr>
          <w:spacing w:val="0"/>
          <w:szCs w:val="20"/>
          <w:lang w:val="en-US"/>
        </w:rPr>
        <w:t>(</w:t>
      </w:r>
      <w:r w:rsidR="00852D2F" w:rsidRPr="00300A27">
        <w:rPr>
          <w:spacing w:val="0"/>
          <w:szCs w:val="20"/>
          <w:lang w:val="en-US"/>
        </w:rPr>
        <w:t>1</w:t>
      </w:r>
      <w:r w:rsidR="00E52117" w:rsidRPr="00300A27">
        <w:rPr>
          <w:spacing w:val="0"/>
          <w:szCs w:val="20"/>
          <w:lang w:val="en-US"/>
        </w:rPr>
        <w:t>)</w:t>
      </w:r>
      <w:r w:rsidRPr="00300A27">
        <w:rPr>
          <w:spacing w:val="0"/>
          <w:szCs w:val="20"/>
          <w:lang w:val="en-US"/>
        </w:rPr>
        <w:t xml:space="preserve"> of the Convention</w:t>
      </w:r>
      <w:r w:rsidR="00852D2F" w:rsidRPr="00300A27">
        <w:rPr>
          <w:spacing w:val="0"/>
          <w:szCs w:val="20"/>
          <w:lang w:val="en-US"/>
        </w:rPr>
        <w:t xml:space="preserve">, </w:t>
      </w:r>
      <w:r w:rsidR="00E52117" w:rsidRPr="00300A27">
        <w:rPr>
          <w:spacing w:val="0"/>
          <w:szCs w:val="20"/>
          <w:lang w:val="en-US"/>
        </w:rPr>
        <w:t xml:space="preserve">the injured party is anyone who has been declared a victim of </w:t>
      </w:r>
      <w:r w:rsidR="007071F6" w:rsidRPr="00300A27">
        <w:rPr>
          <w:spacing w:val="0"/>
          <w:szCs w:val="20"/>
          <w:lang w:val="en-US"/>
        </w:rPr>
        <w:t xml:space="preserve">the </w:t>
      </w:r>
      <w:r w:rsidR="00BA3C7F" w:rsidRPr="00300A27">
        <w:rPr>
          <w:spacing w:val="0"/>
          <w:szCs w:val="20"/>
          <w:lang w:val="en-US"/>
        </w:rPr>
        <w:t>violation of</w:t>
      </w:r>
      <w:r w:rsidR="00852D2F" w:rsidRPr="00300A27">
        <w:rPr>
          <w:spacing w:val="0"/>
          <w:szCs w:val="20"/>
          <w:lang w:val="en-US"/>
        </w:rPr>
        <w:t xml:space="preserve"> a</w:t>
      </w:r>
      <w:r w:rsidR="00E52117" w:rsidRPr="00300A27">
        <w:rPr>
          <w:spacing w:val="0"/>
          <w:szCs w:val="20"/>
          <w:lang w:val="en-US"/>
        </w:rPr>
        <w:t xml:space="preserve">ny right recognized in this instrument. Therefore, the Court considers that </w:t>
      </w:r>
      <w:r w:rsidR="00852D2F" w:rsidRPr="00300A27">
        <w:rPr>
          <w:spacing w:val="0"/>
          <w:szCs w:val="20"/>
          <w:lang w:val="en-US"/>
        </w:rPr>
        <w:t>Azul Rojas Marín</w:t>
      </w:r>
      <w:r w:rsidRPr="00300A27">
        <w:rPr>
          <w:spacing w:val="0"/>
          <w:szCs w:val="20"/>
          <w:lang w:val="en-US"/>
        </w:rPr>
        <w:t xml:space="preserve"> and </w:t>
      </w:r>
      <w:r w:rsidR="00852D2F" w:rsidRPr="00300A27">
        <w:rPr>
          <w:spacing w:val="0"/>
          <w:szCs w:val="20"/>
          <w:lang w:val="en-US"/>
        </w:rPr>
        <w:t>Juana Rosa Tanta Marín</w:t>
      </w:r>
      <w:r w:rsidR="00E52117" w:rsidRPr="00300A27">
        <w:rPr>
          <w:spacing w:val="0"/>
          <w:szCs w:val="20"/>
          <w:lang w:val="en-US"/>
        </w:rPr>
        <w:t xml:space="preserve"> are the “injured parties” and</w:t>
      </w:r>
      <w:r w:rsidR="001975F6" w:rsidRPr="00300A27">
        <w:rPr>
          <w:spacing w:val="0"/>
          <w:szCs w:val="20"/>
          <w:lang w:val="en-US"/>
        </w:rPr>
        <w:t>,</w:t>
      </w:r>
      <w:r w:rsidR="00E52117" w:rsidRPr="00300A27">
        <w:rPr>
          <w:spacing w:val="0"/>
          <w:szCs w:val="20"/>
          <w:lang w:val="en-US"/>
        </w:rPr>
        <w:t xml:space="preserve"> as victims of the violations declared in Chapter</w:t>
      </w:r>
      <w:r w:rsidR="00852D2F" w:rsidRPr="00300A27">
        <w:rPr>
          <w:spacing w:val="0"/>
          <w:szCs w:val="20"/>
          <w:lang w:val="en-US"/>
        </w:rPr>
        <w:t xml:space="preserve"> VII</w:t>
      </w:r>
      <w:r w:rsidR="0033694D" w:rsidRPr="00300A27">
        <w:rPr>
          <w:spacing w:val="0"/>
          <w:szCs w:val="20"/>
          <w:lang w:val="en-US"/>
        </w:rPr>
        <w:t xml:space="preserve">, </w:t>
      </w:r>
      <w:r w:rsidR="00E52117" w:rsidRPr="00300A27">
        <w:rPr>
          <w:spacing w:val="0"/>
          <w:szCs w:val="20"/>
          <w:lang w:val="en-US"/>
        </w:rPr>
        <w:t xml:space="preserve">they will be considered beneficiaries of the reparations </w:t>
      </w:r>
      <w:r w:rsidR="001975F6" w:rsidRPr="00300A27">
        <w:rPr>
          <w:spacing w:val="0"/>
          <w:szCs w:val="20"/>
          <w:lang w:val="en-US"/>
        </w:rPr>
        <w:t>ordered by</w:t>
      </w:r>
      <w:r w:rsidR="00E52117" w:rsidRPr="00300A27">
        <w:rPr>
          <w:spacing w:val="0"/>
          <w:szCs w:val="20"/>
          <w:lang w:val="en-US"/>
        </w:rPr>
        <w:t xml:space="preserve"> the Court.</w:t>
      </w:r>
      <w:bookmarkEnd w:id="187"/>
    </w:p>
    <w:p w14:paraId="636FE5C1" w14:textId="19E7132B" w:rsidR="00852D2F" w:rsidRPr="00300A27" w:rsidRDefault="002959DE" w:rsidP="00B243B6">
      <w:pPr>
        <w:pStyle w:val="Ttulo2"/>
        <w:numPr>
          <w:ilvl w:val="0"/>
          <w:numId w:val="27"/>
        </w:numPr>
        <w:ind w:left="1134" w:hanging="567"/>
        <w:rPr>
          <w:lang w:val="en-US" w:eastAsia="es-ES"/>
        </w:rPr>
      </w:pPr>
      <w:bookmarkStart w:id="188" w:name="_Toc192588"/>
      <w:r w:rsidRPr="00300A27">
        <w:rPr>
          <w:lang w:val="en-US"/>
        </w:rPr>
        <w:t>Obligation to investigate</w:t>
      </w:r>
    </w:p>
    <w:p w14:paraId="56CE04AA" w14:textId="2DC5534F" w:rsidR="00852D2F" w:rsidRPr="00300A27" w:rsidRDefault="00C2001D" w:rsidP="00B243B6">
      <w:pPr>
        <w:pStyle w:val="PrrafodeSentencia"/>
        <w:numPr>
          <w:ilvl w:val="0"/>
          <w:numId w:val="3"/>
        </w:numPr>
        <w:spacing w:before="120" w:after="120"/>
        <w:ind w:left="0" w:firstLine="0"/>
        <w:rPr>
          <w:spacing w:val="0"/>
          <w:lang w:val="en-US"/>
        </w:rPr>
      </w:pPr>
      <w:r w:rsidRPr="00300A27">
        <w:rPr>
          <w:spacing w:val="0"/>
          <w:lang w:val="en-US"/>
        </w:rPr>
        <w:t xml:space="preserve">The </w:t>
      </w:r>
      <w:r w:rsidRPr="00300A27">
        <w:rPr>
          <w:b/>
          <w:bCs/>
          <w:i/>
          <w:iCs/>
          <w:spacing w:val="0"/>
          <w:lang w:val="en-US"/>
        </w:rPr>
        <w:t>Commission</w:t>
      </w:r>
      <w:r w:rsidR="00852D2F" w:rsidRPr="00300A27">
        <w:rPr>
          <w:spacing w:val="0"/>
          <w:lang w:val="en-US"/>
        </w:rPr>
        <w:t xml:space="preserve"> </w:t>
      </w:r>
      <w:r w:rsidR="00E52117" w:rsidRPr="00300A27">
        <w:rPr>
          <w:spacing w:val="0"/>
          <w:lang w:val="en-US"/>
        </w:rPr>
        <w:t>asked that the State investigate effectively, with due diligence and within a reasonable time, the rape suffered by Azul Rojas Marín, classifying it as torture. It also indicated that “taking into account the severity of the violations declared a</w:t>
      </w:r>
      <w:r w:rsidR="002167A7" w:rsidRPr="00300A27">
        <w:rPr>
          <w:spacing w:val="0"/>
          <w:lang w:val="en-US"/>
        </w:rPr>
        <w:t>s well as</w:t>
      </w:r>
      <w:r w:rsidR="00E52117" w:rsidRPr="00300A27">
        <w:rPr>
          <w:spacing w:val="0"/>
          <w:lang w:val="en-US"/>
        </w:rPr>
        <w:t xml:space="preserve"> inter-American standards in this regard, the Commission underscores that the State may not </w:t>
      </w:r>
      <w:r w:rsidR="002167A7" w:rsidRPr="00300A27">
        <w:rPr>
          <w:spacing w:val="0"/>
          <w:lang w:val="en-US"/>
        </w:rPr>
        <w:t>argue that</w:t>
      </w:r>
      <w:r w:rsidR="00E52117" w:rsidRPr="00300A27">
        <w:rPr>
          <w:spacing w:val="0"/>
          <w:lang w:val="en-US"/>
        </w:rPr>
        <w:t xml:space="preserve"> the dismissal decision that was delivered </w:t>
      </w:r>
      <w:r w:rsidR="002167A7" w:rsidRPr="00300A27">
        <w:rPr>
          <w:spacing w:val="0"/>
          <w:lang w:val="en-US"/>
        </w:rPr>
        <w:t>is governed by</w:t>
      </w:r>
      <w:r w:rsidR="00E52117" w:rsidRPr="00300A27">
        <w:rPr>
          <w:spacing w:val="0"/>
          <w:lang w:val="en-US"/>
        </w:rPr>
        <w:t xml:space="preserve"> </w:t>
      </w:r>
      <w:r w:rsidR="00E52117" w:rsidRPr="00300A27">
        <w:rPr>
          <w:i/>
          <w:spacing w:val="0"/>
          <w:lang w:val="en-US"/>
        </w:rPr>
        <w:t>ne bis in idem</w:t>
      </w:r>
      <w:r w:rsidR="00E52117" w:rsidRPr="00300A27">
        <w:rPr>
          <w:spacing w:val="0"/>
          <w:lang w:val="en-US"/>
        </w:rPr>
        <w:t xml:space="preserve">, </w:t>
      </w:r>
      <w:r w:rsidR="00E52117" w:rsidRPr="00300A27">
        <w:rPr>
          <w:i/>
          <w:iCs/>
          <w:spacing w:val="0"/>
          <w:lang w:val="en-US"/>
        </w:rPr>
        <w:t>res judicata</w:t>
      </w:r>
      <w:r w:rsidR="00E52117" w:rsidRPr="00300A27">
        <w:rPr>
          <w:spacing w:val="0"/>
          <w:lang w:val="en-US"/>
        </w:rPr>
        <w:t xml:space="preserve"> or the statute of limitations to justify failing to comply with this recommendation.” </w:t>
      </w:r>
      <w:r w:rsidR="00BA3C7F" w:rsidRPr="00300A27">
        <w:rPr>
          <w:spacing w:val="0"/>
          <w:lang w:val="en-US"/>
        </w:rPr>
        <w:t xml:space="preserve">The </w:t>
      </w:r>
      <w:r w:rsidR="00BA3C7F" w:rsidRPr="00300A27">
        <w:rPr>
          <w:b/>
          <w:bCs/>
          <w:i/>
          <w:iCs/>
          <w:spacing w:val="0"/>
          <w:lang w:val="en-US"/>
        </w:rPr>
        <w:t>representatives</w:t>
      </w:r>
      <w:r w:rsidR="00852D2F" w:rsidRPr="00300A27">
        <w:rPr>
          <w:b/>
          <w:i/>
          <w:spacing w:val="0"/>
          <w:lang w:val="en-US"/>
        </w:rPr>
        <w:t xml:space="preserve"> </w:t>
      </w:r>
      <w:r w:rsidR="00E52117" w:rsidRPr="00300A27">
        <w:rPr>
          <w:spacing w:val="0"/>
          <w:lang w:val="en-US"/>
        </w:rPr>
        <w:t>agreed with</w:t>
      </w:r>
      <w:r w:rsidR="00852D2F" w:rsidRPr="00300A27">
        <w:rPr>
          <w:spacing w:val="0"/>
          <w:lang w:val="en-US"/>
        </w:rPr>
        <w:t xml:space="preserve"> </w:t>
      </w:r>
      <w:r w:rsidRPr="00300A27">
        <w:rPr>
          <w:spacing w:val="0"/>
          <w:lang w:val="en-US"/>
        </w:rPr>
        <w:t>the Commission</w:t>
      </w:r>
      <w:r w:rsidR="005B1C65" w:rsidRPr="00300A27">
        <w:rPr>
          <w:spacing w:val="0"/>
          <w:lang w:val="en-US"/>
        </w:rPr>
        <w:t xml:space="preserve"> and </w:t>
      </w:r>
      <w:r w:rsidR="00E52117" w:rsidRPr="00300A27">
        <w:rPr>
          <w:spacing w:val="0"/>
          <w:lang w:val="en-US"/>
        </w:rPr>
        <w:t>asked that the investigations be conducted in an independent, diligent and effective manner</w:t>
      </w:r>
      <w:r w:rsidR="00B44BB9" w:rsidRPr="00300A27">
        <w:rPr>
          <w:spacing w:val="0"/>
          <w:lang w:val="en-US"/>
        </w:rPr>
        <w:t xml:space="preserve">. Also, that they be assigned to State organs trained in the investigation of cases of victims who have survived torture and cruel, inhuman or degrading treatment, </w:t>
      </w:r>
      <w:r w:rsidR="002167A7" w:rsidRPr="00300A27">
        <w:rPr>
          <w:spacing w:val="0"/>
          <w:lang w:val="en-US"/>
        </w:rPr>
        <w:t>and with</w:t>
      </w:r>
      <w:r w:rsidR="00B44BB9" w:rsidRPr="00300A27">
        <w:rPr>
          <w:spacing w:val="0"/>
          <w:lang w:val="en-US"/>
        </w:rPr>
        <w:t xml:space="preserve"> experience in the investigation of cases of </w:t>
      </w:r>
      <w:r w:rsidR="00CD6F00" w:rsidRPr="00300A27">
        <w:rPr>
          <w:spacing w:val="0"/>
          <w:szCs w:val="20"/>
          <w:lang w:val="en-US"/>
        </w:rPr>
        <w:t>violence against LGBTI people</w:t>
      </w:r>
      <w:r w:rsidR="0033694D" w:rsidRPr="00300A27">
        <w:rPr>
          <w:spacing w:val="0"/>
          <w:szCs w:val="20"/>
          <w:lang w:val="en-US"/>
        </w:rPr>
        <w:t xml:space="preserve">. </w:t>
      </w:r>
      <w:r w:rsidR="00B44BB9" w:rsidRPr="00300A27">
        <w:rPr>
          <w:spacing w:val="0"/>
          <w:szCs w:val="20"/>
          <w:lang w:val="en-US"/>
        </w:rPr>
        <w:t>To this end, the relevant international standards for this type of investigation should be applied</w:t>
      </w:r>
      <w:r w:rsidR="002167A7" w:rsidRPr="00300A27">
        <w:rPr>
          <w:spacing w:val="0"/>
          <w:szCs w:val="20"/>
          <w:lang w:val="en-US"/>
        </w:rPr>
        <w:t>,</w:t>
      </w:r>
      <w:r w:rsidR="00B44BB9" w:rsidRPr="00300A27">
        <w:rPr>
          <w:spacing w:val="0"/>
          <w:szCs w:val="20"/>
          <w:lang w:val="en-US"/>
        </w:rPr>
        <w:t xml:space="preserve"> such as those defined in the Istanbul Protocol.</w:t>
      </w:r>
      <w:r w:rsidR="00852D2F" w:rsidRPr="00300A27">
        <w:rPr>
          <w:spacing w:val="0"/>
          <w:szCs w:val="20"/>
          <w:lang w:val="en-US"/>
        </w:rPr>
        <w:t xml:space="preserve"> </w:t>
      </w:r>
      <w:r w:rsidR="005B1C65" w:rsidRPr="00300A27">
        <w:rPr>
          <w:spacing w:val="0"/>
          <w:szCs w:val="20"/>
          <w:lang w:val="en-US"/>
        </w:rPr>
        <w:t xml:space="preserve">The </w:t>
      </w:r>
      <w:r w:rsidR="005B1C65" w:rsidRPr="00300A27">
        <w:rPr>
          <w:b/>
          <w:bCs/>
          <w:i/>
          <w:iCs/>
          <w:spacing w:val="0"/>
          <w:szCs w:val="20"/>
          <w:lang w:val="en-US"/>
        </w:rPr>
        <w:t>State</w:t>
      </w:r>
      <w:r w:rsidR="00852D2F" w:rsidRPr="00300A27">
        <w:rPr>
          <w:spacing w:val="0"/>
          <w:szCs w:val="20"/>
          <w:lang w:val="en-US"/>
        </w:rPr>
        <w:t xml:space="preserve"> a</w:t>
      </w:r>
      <w:r w:rsidR="00B44BB9" w:rsidRPr="00300A27">
        <w:rPr>
          <w:spacing w:val="0"/>
          <w:szCs w:val="20"/>
          <w:lang w:val="en-US"/>
        </w:rPr>
        <w:t xml:space="preserve">rgued that it had already </w:t>
      </w:r>
      <w:r w:rsidR="002167A7" w:rsidRPr="00300A27">
        <w:rPr>
          <w:spacing w:val="0"/>
          <w:szCs w:val="20"/>
          <w:lang w:val="en-US"/>
        </w:rPr>
        <w:t>ordered,</w:t>
      </w:r>
      <w:r w:rsidR="00B44BB9" w:rsidRPr="00300A27">
        <w:rPr>
          <w:spacing w:val="0"/>
          <w:szCs w:val="20"/>
          <w:lang w:val="en-US"/>
        </w:rPr>
        <w:t xml:space="preserve"> as a measure of reparation</w:t>
      </w:r>
      <w:r w:rsidR="002167A7" w:rsidRPr="00300A27">
        <w:rPr>
          <w:spacing w:val="0"/>
          <w:szCs w:val="20"/>
          <w:lang w:val="en-US"/>
        </w:rPr>
        <w:t>,</w:t>
      </w:r>
      <w:r w:rsidR="00B44BB9" w:rsidRPr="00300A27">
        <w:rPr>
          <w:spacing w:val="0"/>
          <w:szCs w:val="20"/>
          <w:lang w:val="en-US"/>
        </w:rPr>
        <w:t xml:space="preserve"> the opening of a new investigation into the </w:t>
      </w:r>
      <w:r w:rsidR="0013678A" w:rsidRPr="00300A27">
        <w:rPr>
          <w:spacing w:val="0"/>
          <w:szCs w:val="20"/>
          <w:lang w:val="en-US"/>
        </w:rPr>
        <w:t>crime of torture</w:t>
      </w:r>
      <w:r w:rsidR="00852D2F" w:rsidRPr="00300A27">
        <w:rPr>
          <w:spacing w:val="0"/>
          <w:szCs w:val="20"/>
          <w:lang w:val="en-US"/>
        </w:rPr>
        <w:t xml:space="preserve"> </w:t>
      </w:r>
      <w:r w:rsidR="00B44BB9" w:rsidRPr="00300A27">
        <w:rPr>
          <w:spacing w:val="0"/>
          <w:szCs w:val="20"/>
          <w:lang w:val="en-US"/>
        </w:rPr>
        <w:t>committed against</w:t>
      </w:r>
      <w:r w:rsidR="00852D2F" w:rsidRPr="00300A27">
        <w:rPr>
          <w:spacing w:val="0"/>
          <w:szCs w:val="20"/>
          <w:lang w:val="en-US"/>
        </w:rPr>
        <w:t xml:space="preserve"> Azul Rojas Marín. </w:t>
      </w:r>
      <w:bookmarkEnd w:id="188"/>
      <w:r w:rsidR="00B44BB9" w:rsidRPr="00300A27">
        <w:rPr>
          <w:spacing w:val="0"/>
          <w:szCs w:val="20"/>
          <w:lang w:val="en-US"/>
        </w:rPr>
        <w:t xml:space="preserve">Regarding the administrative investigations, the State argued that this measure of reparation had already been complied with in the context of the proceeding processed by the Internal Control Office of the </w:t>
      </w:r>
      <w:r w:rsidR="00892EDF" w:rsidRPr="00300A27">
        <w:rPr>
          <w:spacing w:val="0"/>
          <w:szCs w:val="20"/>
          <w:lang w:val="en-US"/>
        </w:rPr>
        <w:t>Public Prosecution Service</w:t>
      </w:r>
      <w:r w:rsidR="00852D2F" w:rsidRPr="00300A27">
        <w:rPr>
          <w:spacing w:val="0"/>
          <w:szCs w:val="20"/>
          <w:lang w:val="en-US"/>
        </w:rPr>
        <w:t xml:space="preserve">. </w:t>
      </w:r>
    </w:p>
    <w:p w14:paraId="3895C8A6" w14:textId="106743DE" w:rsidR="00852D2F" w:rsidRPr="00300A27" w:rsidRDefault="005B1C65" w:rsidP="00B243B6">
      <w:pPr>
        <w:pStyle w:val="PrrafodeSentencia"/>
        <w:numPr>
          <w:ilvl w:val="0"/>
          <w:numId w:val="3"/>
        </w:numPr>
        <w:spacing w:before="120" w:after="120"/>
        <w:ind w:left="0" w:firstLine="0"/>
        <w:rPr>
          <w:spacing w:val="0"/>
          <w:lang w:val="en-US"/>
        </w:rPr>
      </w:pPr>
      <w:bookmarkStart w:id="189" w:name="_Ref33109383"/>
      <w:r w:rsidRPr="00300A27">
        <w:rPr>
          <w:spacing w:val="0"/>
          <w:lang w:val="en-US"/>
        </w:rPr>
        <w:t>The Court</w:t>
      </w:r>
      <w:r w:rsidR="00852D2F" w:rsidRPr="00300A27">
        <w:rPr>
          <w:spacing w:val="0"/>
          <w:lang w:val="en-US"/>
        </w:rPr>
        <w:t xml:space="preserve"> </w:t>
      </w:r>
      <w:r w:rsidR="00B44BB9" w:rsidRPr="00300A27">
        <w:rPr>
          <w:spacing w:val="0"/>
          <w:lang w:val="en-US"/>
        </w:rPr>
        <w:t>assesses positively the progress made to date by the State in order to clarify the facts. However, it notes that, in the context of the second i</w:t>
      </w:r>
      <w:r w:rsidR="00737D26" w:rsidRPr="00300A27">
        <w:rPr>
          <w:spacing w:val="0"/>
          <w:lang w:val="en-US"/>
        </w:rPr>
        <w:t xml:space="preserve">nvestigation </w:t>
      </w:r>
      <w:r w:rsidR="00B44BB9" w:rsidRPr="00300A27">
        <w:rPr>
          <w:spacing w:val="0"/>
          <w:lang w:val="en-US"/>
        </w:rPr>
        <w:t>into</w:t>
      </w:r>
      <w:r w:rsidR="00737D26" w:rsidRPr="00300A27">
        <w:rPr>
          <w:spacing w:val="0"/>
          <w:lang w:val="en-US"/>
        </w:rPr>
        <w:t xml:space="preserve"> the facts</w:t>
      </w:r>
      <w:r w:rsidR="002167A7" w:rsidRPr="00300A27">
        <w:rPr>
          <w:spacing w:val="0"/>
          <w:lang w:val="en-US"/>
        </w:rPr>
        <w:t>,</w:t>
      </w:r>
      <w:r w:rsidR="008056F4" w:rsidRPr="00300A27">
        <w:rPr>
          <w:spacing w:val="0"/>
          <w:lang w:val="en-US"/>
        </w:rPr>
        <w:t xml:space="preserve"> </w:t>
      </w:r>
      <w:r w:rsidR="00B44BB9" w:rsidRPr="00300A27">
        <w:rPr>
          <w:spacing w:val="0"/>
          <w:lang w:val="en-US"/>
        </w:rPr>
        <w:t xml:space="preserve">the proceedings against the three police officers for the offenses of rape </w:t>
      </w:r>
      <w:r w:rsidRPr="00300A27">
        <w:rPr>
          <w:rFonts w:eastAsia="Times New Roman"/>
          <w:spacing w:val="0"/>
          <w:lang w:val="en-US"/>
        </w:rPr>
        <w:t xml:space="preserve">and </w:t>
      </w:r>
      <w:r w:rsidR="00FE2086" w:rsidRPr="00300A27">
        <w:rPr>
          <w:rFonts w:eastAsia="Times New Roman"/>
          <w:spacing w:val="0"/>
          <w:lang w:val="en-US"/>
        </w:rPr>
        <w:t>abuse of authority</w:t>
      </w:r>
      <w:r w:rsidR="00852D2F" w:rsidRPr="00300A27">
        <w:rPr>
          <w:rFonts w:eastAsia="Times New Roman"/>
          <w:spacing w:val="0"/>
          <w:lang w:val="en-US"/>
        </w:rPr>
        <w:t xml:space="preserve"> </w:t>
      </w:r>
      <w:r w:rsidR="00B44BB9" w:rsidRPr="00300A27">
        <w:rPr>
          <w:rFonts w:eastAsia="Times New Roman"/>
          <w:spacing w:val="0"/>
          <w:lang w:val="en-US"/>
        </w:rPr>
        <w:t>against</w:t>
      </w:r>
      <w:r w:rsidR="00852D2F" w:rsidRPr="00300A27">
        <w:rPr>
          <w:rFonts w:eastAsia="Times New Roman"/>
          <w:spacing w:val="0"/>
          <w:lang w:val="en-US"/>
        </w:rPr>
        <w:t xml:space="preserve"> Azul Rojas Marín</w:t>
      </w:r>
      <w:r w:rsidR="00B44BB9" w:rsidRPr="00300A27">
        <w:rPr>
          <w:rFonts w:eastAsia="Times New Roman"/>
          <w:spacing w:val="0"/>
          <w:lang w:val="en-US"/>
        </w:rPr>
        <w:t xml:space="preserve"> had not </w:t>
      </w:r>
      <w:r w:rsidR="002167A7" w:rsidRPr="00300A27">
        <w:rPr>
          <w:rFonts w:eastAsia="Times New Roman"/>
          <w:spacing w:val="0"/>
          <w:lang w:val="en-US"/>
        </w:rPr>
        <w:t xml:space="preserve">been </w:t>
      </w:r>
      <w:r w:rsidR="00B44BB9" w:rsidRPr="00300A27">
        <w:rPr>
          <w:rFonts w:eastAsia="Times New Roman"/>
          <w:spacing w:val="0"/>
          <w:lang w:val="en-US"/>
        </w:rPr>
        <w:t>declared</w:t>
      </w:r>
      <w:r w:rsidR="002167A7" w:rsidRPr="00300A27">
        <w:rPr>
          <w:rFonts w:eastAsia="Times New Roman"/>
          <w:spacing w:val="0"/>
          <w:lang w:val="en-US"/>
        </w:rPr>
        <w:t xml:space="preserve"> null and void</w:t>
      </w:r>
      <w:r w:rsidR="00852D2F" w:rsidRPr="00300A27">
        <w:rPr>
          <w:rFonts w:eastAsia="Times New Roman"/>
          <w:spacing w:val="0"/>
          <w:lang w:val="en-US"/>
        </w:rPr>
        <w:t xml:space="preserve"> (</w:t>
      </w:r>
      <w:r w:rsidR="00852D2F" w:rsidRPr="00300A27">
        <w:rPr>
          <w:rFonts w:eastAsia="Times New Roman"/>
          <w:i/>
          <w:spacing w:val="0"/>
          <w:lang w:val="en-US"/>
        </w:rPr>
        <w:t xml:space="preserve">supra </w:t>
      </w:r>
      <w:r w:rsidR="00910D8E" w:rsidRPr="00300A27">
        <w:rPr>
          <w:rFonts w:eastAsia="Times New Roman"/>
          <w:spacing w:val="0"/>
          <w:lang w:val="en-US"/>
        </w:rPr>
        <w:t>paras.</w:t>
      </w:r>
      <w:r w:rsidR="00852D2F" w:rsidRPr="00300A27">
        <w:rPr>
          <w:rFonts w:eastAsia="Times New Roman"/>
          <w:spacing w:val="0"/>
          <w:lang w:val="en-US"/>
        </w:rPr>
        <w:t xml:space="preserve"> </w:t>
      </w:r>
      <w:r w:rsidR="0010408A" w:rsidRPr="00300A27">
        <w:rPr>
          <w:rFonts w:eastAsia="Times New Roman"/>
          <w:spacing w:val="0"/>
          <w:lang w:val="en-US"/>
        </w:rPr>
        <w:fldChar w:fldCharType="begin"/>
      </w:r>
      <w:r w:rsidR="0010408A" w:rsidRPr="00300A27">
        <w:rPr>
          <w:rFonts w:eastAsia="Times New Roman"/>
          <w:spacing w:val="0"/>
          <w:lang w:val="en-US"/>
        </w:rPr>
        <w:instrText xml:space="preserve"> REF _Ref35854696 \r \h </w:instrText>
      </w:r>
      <w:r w:rsidR="00B243B6" w:rsidRPr="00300A27">
        <w:rPr>
          <w:rFonts w:eastAsia="Times New Roman"/>
          <w:spacing w:val="0"/>
          <w:lang w:val="en-US"/>
        </w:rPr>
        <w:instrText xml:space="preserve"> \* MERGEFORMAT </w:instrText>
      </w:r>
      <w:r w:rsidR="0010408A" w:rsidRPr="00300A27">
        <w:rPr>
          <w:rFonts w:eastAsia="Times New Roman"/>
          <w:spacing w:val="0"/>
          <w:lang w:val="en-US"/>
        </w:rPr>
      </w:r>
      <w:r w:rsidR="0010408A" w:rsidRPr="00300A27">
        <w:rPr>
          <w:rFonts w:eastAsia="Times New Roman"/>
          <w:spacing w:val="0"/>
          <w:lang w:val="en-US"/>
        </w:rPr>
        <w:fldChar w:fldCharType="separate"/>
      </w:r>
      <w:r w:rsidR="00632F77" w:rsidRPr="00300A27">
        <w:rPr>
          <w:rFonts w:eastAsia="Times New Roman"/>
          <w:spacing w:val="0"/>
          <w:lang w:val="en-US"/>
        </w:rPr>
        <w:t>76</w:t>
      </w:r>
      <w:r w:rsidR="0010408A" w:rsidRPr="00300A27">
        <w:rPr>
          <w:rFonts w:eastAsia="Times New Roman"/>
          <w:spacing w:val="0"/>
          <w:lang w:val="en-US"/>
        </w:rPr>
        <w:fldChar w:fldCharType="end"/>
      </w:r>
      <w:r w:rsidR="0010408A" w:rsidRPr="00300A27">
        <w:rPr>
          <w:rFonts w:eastAsia="Times New Roman"/>
          <w:spacing w:val="0"/>
          <w:lang w:val="en-US"/>
        </w:rPr>
        <w:t xml:space="preserve"> </w:t>
      </w:r>
      <w:r w:rsidR="00B44BB9" w:rsidRPr="00300A27">
        <w:rPr>
          <w:rFonts w:eastAsia="Times New Roman"/>
          <w:spacing w:val="0"/>
          <w:lang w:val="en-US"/>
        </w:rPr>
        <w:t>to</w:t>
      </w:r>
      <w:r w:rsidR="0010408A" w:rsidRPr="00300A27">
        <w:rPr>
          <w:rFonts w:eastAsia="Times New Roman"/>
          <w:spacing w:val="0"/>
          <w:lang w:val="en-US"/>
        </w:rPr>
        <w:t xml:space="preserve"> </w:t>
      </w:r>
      <w:r w:rsidR="0010408A" w:rsidRPr="00300A27">
        <w:rPr>
          <w:rFonts w:eastAsia="Times New Roman"/>
          <w:spacing w:val="0"/>
          <w:lang w:val="en-US"/>
        </w:rPr>
        <w:fldChar w:fldCharType="begin"/>
      </w:r>
      <w:r w:rsidR="0010408A" w:rsidRPr="00300A27">
        <w:rPr>
          <w:rFonts w:eastAsia="Times New Roman"/>
          <w:spacing w:val="0"/>
          <w:lang w:val="en-US"/>
        </w:rPr>
        <w:instrText xml:space="preserve"> REF _Ref35854700 \r \h </w:instrText>
      </w:r>
      <w:r w:rsidR="00B243B6" w:rsidRPr="00300A27">
        <w:rPr>
          <w:rFonts w:eastAsia="Times New Roman"/>
          <w:spacing w:val="0"/>
          <w:lang w:val="en-US"/>
        </w:rPr>
        <w:instrText xml:space="preserve"> \* MERGEFORMAT </w:instrText>
      </w:r>
      <w:r w:rsidR="0010408A" w:rsidRPr="00300A27">
        <w:rPr>
          <w:rFonts w:eastAsia="Times New Roman"/>
          <w:spacing w:val="0"/>
          <w:lang w:val="en-US"/>
        </w:rPr>
      </w:r>
      <w:r w:rsidR="0010408A" w:rsidRPr="00300A27">
        <w:rPr>
          <w:rFonts w:eastAsia="Times New Roman"/>
          <w:spacing w:val="0"/>
          <w:lang w:val="en-US"/>
        </w:rPr>
        <w:fldChar w:fldCharType="separate"/>
      </w:r>
      <w:r w:rsidR="00632F77" w:rsidRPr="00300A27">
        <w:rPr>
          <w:rFonts w:eastAsia="Times New Roman"/>
          <w:spacing w:val="0"/>
          <w:lang w:val="en-US"/>
        </w:rPr>
        <w:t>80</w:t>
      </w:r>
      <w:r w:rsidR="0010408A" w:rsidRPr="00300A27">
        <w:rPr>
          <w:rFonts w:eastAsia="Times New Roman"/>
          <w:spacing w:val="0"/>
          <w:lang w:val="en-US"/>
        </w:rPr>
        <w:fldChar w:fldCharType="end"/>
      </w:r>
      <w:r w:rsidR="00852D2F" w:rsidRPr="00300A27">
        <w:rPr>
          <w:rFonts w:eastAsia="Times New Roman"/>
          <w:spacing w:val="0"/>
          <w:lang w:val="en-US"/>
        </w:rPr>
        <w:t>).</w:t>
      </w:r>
      <w:bookmarkEnd w:id="189"/>
      <w:r w:rsidR="00852D2F" w:rsidRPr="00300A27">
        <w:rPr>
          <w:rFonts w:eastAsia="Times New Roman"/>
          <w:spacing w:val="0"/>
          <w:lang w:val="en-US"/>
        </w:rPr>
        <w:t xml:space="preserve"> </w:t>
      </w:r>
    </w:p>
    <w:p w14:paraId="653F4871" w14:textId="4B62CC0A" w:rsidR="00852D2F" w:rsidRPr="00300A27" w:rsidRDefault="00B44BB9" w:rsidP="00B243B6">
      <w:pPr>
        <w:pStyle w:val="PrrafodeSentencia"/>
        <w:numPr>
          <w:ilvl w:val="0"/>
          <w:numId w:val="3"/>
        </w:numPr>
        <w:spacing w:before="120" w:after="120"/>
        <w:ind w:left="0" w:firstLine="0"/>
        <w:rPr>
          <w:spacing w:val="0"/>
          <w:szCs w:val="20"/>
          <w:lang w:val="en-US"/>
        </w:rPr>
      </w:pPr>
      <w:bookmarkStart w:id="190" w:name="_Ref33109385"/>
      <w:r w:rsidRPr="00300A27">
        <w:rPr>
          <w:spacing w:val="0"/>
          <w:lang w:val="en-US"/>
        </w:rPr>
        <w:t xml:space="preserve">In light of the conclusions in </w:t>
      </w:r>
      <w:r w:rsidR="005B46A0" w:rsidRPr="00300A27">
        <w:rPr>
          <w:spacing w:val="0"/>
          <w:szCs w:val="20"/>
          <w:lang w:val="en-US"/>
        </w:rPr>
        <w:t>this judgment</w:t>
      </w:r>
      <w:r w:rsidR="00852D2F" w:rsidRPr="00300A27">
        <w:rPr>
          <w:spacing w:val="0"/>
          <w:szCs w:val="20"/>
          <w:lang w:val="en-US"/>
        </w:rPr>
        <w:t xml:space="preserve">, </w:t>
      </w:r>
      <w:r w:rsidR="005B1C65" w:rsidRPr="00300A27">
        <w:rPr>
          <w:spacing w:val="0"/>
          <w:szCs w:val="20"/>
          <w:lang w:val="en-US"/>
        </w:rPr>
        <w:t>the Court</w:t>
      </w:r>
      <w:r w:rsidR="00852D2F" w:rsidRPr="00300A27">
        <w:rPr>
          <w:spacing w:val="0"/>
          <w:szCs w:val="20"/>
          <w:lang w:val="en-US"/>
        </w:rPr>
        <w:t xml:space="preserve"> </w:t>
      </w:r>
      <w:r w:rsidRPr="00300A27">
        <w:rPr>
          <w:spacing w:val="0"/>
          <w:szCs w:val="20"/>
          <w:lang w:val="en-US"/>
        </w:rPr>
        <w:t>establishes that</w:t>
      </w:r>
      <w:r w:rsidR="00852D2F" w:rsidRPr="00300A27">
        <w:rPr>
          <w:spacing w:val="0"/>
          <w:szCs w:val="20"/>
          <w:lang w:val="en-US"/>
        </w:rPr>
        <w:t xml:space="preserve"> </w:t>
      </w:r>
      <w:r w:rsidR="005B1C65" w:rsidRPr="00300A27">
        <w:rPr>
          <w:spacing w:val="0"/>
          <w:szCs w:val="20"/>
          <w:lang w:val="en-US"/>
        </w:rPr>
        <w:t>the State</w:t>
      </w:r>
      <w:r w:rsidR="00852D2F" w:rsidRPr="00300A27">
        <w:rPr>
          <w:spacing w:val="0"/>
          <w:szCs w:val="20"/>
          <w:lang w:val="en-US"/>
        </w:rPr>
        <w:t xml:space="preserve"> </w:t>
      </w:r>
      <w:r w:rsidRPr="00300A27">
        <w:rPr>
          <w:spacing w:val="0"/>
          <w:szCs w:val="20"/>
          <w:lang w:val="en-US"/>
        </w:rPr>
        <w:t xml:space="preserve">shall, within a reasonable time and by officials trained in </w:t>
      </w:r>
      <w:r w:rsidR="00D5795E" w:rsidRPr="00300A27">
        <w:rPr>
          <w:spacing w:val="0"/>
          <w:szCs w:val="20"/>
          <w:lang w:val="en-US"/>
        </w:rPr>
        <w:t xml:space="preserve">dealing with victims of discrimination and violence based on sexual orientation, facilitate and continue the extensive, systematic and thorough investigations required to identify, prosecute and punish, as appropriate, those responsible for the </w:t>
      </w:r>
      <w:r w:rsidR="002167A7" w:rsidRPr="00300A27">
        <w:rPr>
          <w:spacing w:val="0"/>
          <w:szCs w:val="20"/>
          <w:lang w:val="en-US"/>
        </w:rPr>
        <w:t xml:space="preserve">sexual </w:t>
      </w:r>
      <w:r w:rsidR="00D5795E" w:rsidRPr="00300A27">
        <w:rPr>
          <w:spacing w:val="0"/>
          <w:szCs w:val="20"/>
          <w:lang w:val="en-US"/>
        </w:rPr>
        <w:t>violence and torture suffered by Ms. Rojas Marín, avoiding the application of discriminatory stereotyping and any act that could revictimize her.</w:t>
      </w:r>
      <w:r w:rsidR="00852D2F" w:rsidRPr="00300A27">
        <w:rPr>
          <w:rStyle w:val="Refdenotaalpie"/>
          <w:spacing w:val="0"/>
          <w:szCs w:val="20"/>
          <w:lang w:val="en-US"/>
        </w:rPr>
        <w:footnoteReference w:id="297"/>
      </w:r>
      <w:bookmarkEnd w:id="190"/>
      <w:r w:rsidR="00852D2F" w:rsidRPr="00300A27">
        <w:rPr>
          <w:spacing w:val="0"/>
          <w:szCs w:val="20"/>
          <w:lang w:val="en-US"/>
        </w:rPr>
        <w:t xml:space="preserve"> </w:t>
      </w:r>
    </w:p>
    <w:p w14:paraId="52510C6D" w14:textId="680CB77F" w:rsidR="00852D2F" w:rsidRPr="00300A27" w:rsidRDefault="002959DE" w:rsidP="00B243B6">
      <w:pPr>
        <w:pStyle w:val="Ttulo2"/>
        <w:numPr>
          <w:ilvl w:val="0"/>
          <w:numId w:val="27"/>
        </w:numPr>
        <w:ind w:left="1134" w:hanging="567"/>
        <w:rPr>
          <w:lang w:val="en-US" w:eastAsia="es-ES"/>
        </w:rPr>
      </w:pPr>
      <w:bookmarkStart w:id="191" w:name="_Toc32394186"/>
      <w:bookmarkStart w:id="192" w:name="_Toc36823505"/>
      <w:r w:rsidRPr="00300A27">
        <w:rPr>
          <w:lang w:val="en-US"/>
        </w:rPr>
        <w:t>Measures of satisfaction</w:t>
      </w:r>
      <w:r w:rsidR="005B1C65" w:rsidRPr="00300A27">
        <w:rPr>
          <w:lang w:val="en-US"/>
        </w:rPr>
        <w:t xml:space="preserve"> and </w:t>
      </w:r>
      <w:r w:rsidRPr="00300A27">
        <w:rPr>
          <w:lang w:val="en-US"/>
        </w:rPr>
        <w:t>rehabilitation</w:t>
      </w:r>
      <w:bookmarkEnd w:id="191"/>
      <w:bookmarkEnd w:id="192"/>
    </w:p>
    <w:p w14:paraId="0A5698C7" w14:textId="7B00FC29" w:rsidR="00852D2F" w:rsidRPr="00300A27" w:rsidRDefault="00852D2F" w:rsidP="00B243B6">
      <w:pPr>
        <w:pStyle w:val="Ttulo3"/>
        <w:rPr>
          <w:lang w:val="en-US"/>
        </w:rPr>
      </w:pPr>
      <w:bookmarkStart w:id="193" w:name="_Toc32394187"/>
      <w:bookmarkStart w:id="194" w:name="_Toc36823506"/>
      <w:r w:rsidRPr="00300A27">
        <w:rPr>
          <w:lang w:val="en-US"/>
        </w:rPr>
        <w:t xml:space="preserve">C.1 </w:t>
      </w:r>
      <w:r w:rsidR="002959DE" w:rsidRPr="00300A27">
        <w:rPr>
          <w:lang w:val="en-US"/>
        </w:rPr>
        <w:t>Measures of satisfaction</w:t>
      </w:r>
      <w:bookmarkEnd w:id="193"/>
      <w:bookmarkEnd w:id="194"/>
    </w:p>
    <w:p w14:paraId="372FC257" w14:textId="58BC923A" w:rsidR="00852D2F" w:rsidRPr="00300A27" w:rsidRDefault="00852D2F" w:rsidP="00B243B6">
      <w:pPr>
        <w:tabs>
          <w:tab w:val="left" w:pos="1701"/>
        </w:tabs>
        <w:spacing w:before="240" w:after="240"/>
        <w:rPr>
          <w:u w:val="single"/>
          <w:lang w:eastAsia="es-ES"/>
        </w:rPr>
      </w:pPr>
      <w:r w:rsidRPr="00300A27">
        <w:rPr>
          <w:lang w:eastAsia="es-ES"/>
        </w:rPr>
        <w:tab/>
      </w:r>
      <w:r w:rsidR="00600550" w:rsidRPr="00300A27">
        <w:rPr>
          <w:u w:val="single"/>
          <w:lang w:eastAsia="es-ES"/>
        </w:rPr>
        <w:t>C.1.a</w:t>
      </w:r>
      <w:r w:rsidRPr="00300A27">
        <w:rPr>
          <w:u w:val="single"/>
          <w:lang w:eastAsia="es-ES"/>
        </w:rPr>
        <w:t xml:space="preserve"> Publica</w:t>
      </w:r>
      <w:r w:rsidR="005C5607" w:rsidRPr="00300A27">
        <w:rPr>
          <w:u w:val="single"/>
          <w:lang w:eastAsia="es-ES"/>
        </w:rPr>
        <w:t>tion of the judgment</w:t>
      </w:r>
    </w:p>
    <w:p w14:paraId="0F0571FB" w14:textId="30C0DA7F" w:rsidR="005C5607" w:rsidRPr="00300A27" w:rsidRDefault="00BA3C7F" w:rsidP="00B243B6">
      <w:pPr>
        <w:pStyle w:val="PrrafodeSentencia"/>
        <w:numPr>
          <w:ilvl w:val="0"/>
          <w:numId w:val="3"/>
        </w:numPr>
        <w:spacing w:before="120" w:after="120"/>
        <w:ind w:left="0" w:firstLine="0"/>
        <w:rPr>
          <w:b/>
          <w:spacing w:val="0"/>
          <w:lang w:val="en-US"/>
        </w:rPr>
      </w:pPr>
      <w:r w:rsidRPr="00300A27">
        <w:rPr>
          <w:spacing w:val="0"/>
          <w:lang w:val="en-US"/>
        </w:rPr>
        <w:t xml:space="preserve">The </w:t>
      </w:r>
      <w:r w:rsidRPr="00300A27">
        <w:rPr>
          <w:b/>
          <w:bCs/>
          <w:i/>
          <w:iCs/>
          <w:spacing w:val="0"/>
          <w:lang w:val="en-US"/>
        </w:rPr>
        <w:t>representatives</w:t>
      </w:r>
      <w:r w:rsidR="0033694D" w:rsidRPr="00300A27">
        <w:rPr>
          <w:spacing w:val="0"/>
          <w:lang w:val="en-US"/>
        </w:rPr>
        <w:t xml:space="preserve"> </w:t>
      </w:r>
      <w:r w:rsidR="005C5607" w:rsidRPr="00300A27">
        <w:rPr>
          <w:spacing w:val="0"/>
          <w:lang w:val="en-US"/>
        </w:rPr>
        <w:t>asked the Court to order</w:t>
      </w:r>
      <w:r w:rsidR="002167A7" w:rsidRPr="00300A27">
        <w:rPr>
          <w:spacing w:val="0"/>
          <w:lang w:val="en-US"/>
        </w:rPr>
        <w:t>,</w:t>
      </w:r>
      <w:r w:rsidR="005C5607" w:rsidRPr="00300A27">
        <w:rPr>
          <w:spacing w:val="0"/>
          <w:lang w:val="en-US"/>
        </w:rPr>
        <w:t xml:space="preserve"> as a measures of satisfaction, the publication of the </w:t>
      </w:r>
      <w:r w:rsidR="002167A7" w:rsidRPr="00300A27">
        <w:rPr>
          <w:spacing w:val="0"/>
          <w:lang w:val="en-US"/>
        </w:rPr>
        <w:t>entire</w:t>
      </w:r>
      <w:r w:rsidR="005C5607" w:rsidRPr="00300A27">
        <w:rPr>
          <w:spacing w:val="0"/>
          <w:lang w:val="en-US"/>
        </w:rPr>
        <w:t xml:space="preserve"> judgment</w:t>
      </w:r>
      <w:r w:rsidR="002167A7" w:rsidRPr="00300A27">
        <w:rPr>
          <w:spacing w:val="0"/>
          <w:lang w:val="en-US"/>
        </w:rPr>
        <w:t xml:space="preserve"> and the official summary</w:t>
      </w:r>
      <w:r w:rsidR="005C5607" w:rsidRPr="00300A27">
        <w:rPr>
          <w:spacing w:val="0"/>
          <w:lang w:val="en-US"/>
        </w:rPr>
        <w:t xml:space="preserve"> on the website of the</w:t>
      </w:r>
      <w:r w:rsidR="005C5607" w:rsidRPr="00300A27">
        <w:rPr>
          <w:b/>
          <w:spacing w:val="0"/>
          <w:lang w:val="en-US"/>
        </w:rPr>
        <w:t xml:space="preserve"> </w:t>
      </w:r>
      <w:r w:rsidR="007E4CD0" w:rsidRPr="00300A27">
        <w:rPr>
          <w:spacing w:val="0"/>
          <w:lang w:val="en-US"/>
        </w:rPr>
        <w:t>Ministry of Justice and Human Rights</w:t>
      </w:r>
      <w:r w:rsidR="00852D2F" w:rsidRPr="00300A27">
        <w:rPr>
          <w:spacing w:val="0"/>
          <w:lang w:val="en-US"/>
        </w:rPr>
        <w:t xml:space="preserve">, </w:t>
      </w:r>
      <w:r w:rsidR="002167A7" w:rsidRPr="00300A27">
        <w:rPr>
          <w:spacing w:val="0"/>
          <w:lang w:val="en-US"/>
        </w:rPr>
        <w:t>to</w:t>
      </w:r>
      <w:r w:rsidR="005C5607" w:rsidRPr="00300A27">
        <w:rPr>
          <w:spacing w:val="0"/>
          <w:lang w:val="en-US"/>
        </w:rPr>
        <w:t xml:space="preserve"> be easily accessible by the public and available for at least one year. </w:t>
      </w:r>
      <w:r w:rsidR="005B1C65" w:rsidRPr="00300A27">
        <w:rPr>
          <w:spacing w:val="0"/>
          <w:lang w:val="en-US"/>
        </w:rPr>
        <w:t xml:space="preserve">The </w:t>
      </w:r>
      <w:r w:rsidR="005B1C65" w:rsidRPr="00300A27">
        <w:rPr>
          <w:b/>
          <w:bCs/>
          <w:i/>
          <w:iCs/>
          <w:spacing w:val="0"/>
          <w:lang w:val="en-US"/>
        </w:rPr>
        <w:t>State</w:t>
      </w:r>
      <w:r w:rsidR="00852D2F" w:rsidRPr="00300A27">
        <w:rPr>
          <w:spacing w:val="0"/>
          <w:lang w:val="en-US"/>
        </w:rPr>
        <w:t xml:space="preserve"> </w:t>
      </w:r>
      <w:r w:rsidR="005C5607" w:rsidRPr="00300A27">
        <w:rPr>
          <w:spacing w:val="0"/>
          <w:lang w:val="en-US"/>
        </w:rPr>
        <w:t>did not oppose the eventual granting of this measure of reparation, but specified that “the publication of the official summary of the judgment in a newspaper with widespread circulation in the department of La Libertad would be included in the publication in the national newspaper.”</w:t>
      </w:r>
    </w:p>
    <w:p w14:paraId="24EBF4D2" w14:textId="07C97E7B" w:rsidR="00852D2F" w:rsidRPr="00300A27" w:rsidRDefault="005B1C65" w:rsidP="00B243B6">
      <w:pPr>
        <w:pStyle w:val="PrrafodeSentencia"/>
        <w:numPr>
          <w:ilvl w:val="0"/>
          <w:numId w:val="3"/>
        </w:numPr>
        <w:tabs>
          <w:tab w:val="left" w:pos="0"/>
        </w:tabs>
        <w:spacing w:before="120" w:after="120"/>
        <w:ind w:left="0" w:firstLine="0"/>
        <w:rPr>
          <w:rFonts w:cs="Georgia"/>
          <w:spacing w:val="0"/>
          <w:szCs w:val="20"/>
          <w:lang w:val="en-US"/>
        </w:rPr>
      </w:pPr>
      <w:bookmarkStart w:id="195" w:name="_Ref33109567"/>
      <w:bookmarkStart w:id="196" w:name="_Ref532899431"/>
      <w:r w:rsidRPr="00300A27">
        <w:rPr>
          <w:spacing w:val="0"/>
          <w:szCs w:val="20"/>
          <w:lang w:val="en-US"/>
        </w:rPr>
        <w:t>The Court</w:t>
      </w:r>
      <w:r w:rsidR="00852D2F" w:rsidRPr="00300A27">
        <w:rPr>
          <w:spacing w:val="0"/>
          <w:szCs w:val="20"/>
          <w:lang w:val="en-US"/>
        </w:rPr>
        <w:t xml:space="preserve"> </w:t>
      </w:r>
      <w:r w:rsidR="005C5607" w:rsidRPr="00300A27">
        <w:rPr>
          <w:spacing w:val="0"/>
          <w:szCs w:val="20"/>
          <w:lang w:val="en-US"/>
        </w:rPr>
        <w:t>establishes, as it has in other cases,</w:t>
      </w:r>
      <w:r w:rsidR="00852D2F" w:rsidRPr="00300A27">
        <w:rPr>
          <w:spacing w:val="0"/>
          <w:vertAlign w:val="superscript"/>
          <w:lang w:val="en-US"/>
        </w:rPr>
        <w:footnoteReference w:id="298"/>
      </w:r>
      <w:r w:rsidR="00852D2F" w:rsidRPr="00300A27">
        <w:rPr>
          <w:spacing w:val="0"/>
          <w:szCs w:val="20"/>
          <w:lang w:val="en-US"/>
        </w:rPr>
        <w:t xml:space="preserve"> </w:t>
      </w:r>
      <w:r w:rsidR="005C5607" w:rsidRPr="00300A27">
        <w:rPr>
          <w:rFonts w:cs="Verdana"/>
          <w:spacing w:val="0"/>
          <w:lang w:val="en-US"/>
        </w:rPr>
        <w:t>that</w:t>
      </w:r>
      <w:r w:rsidR="00852D2F" w:rsidRPr="00300A27">
        <w:rPr>
          <w:rFonts w:cs="Verdana"/>
          <w:spacing w:val="0"/>
          <w:lang w:val="en-US"/>
        </w:rPr>
        <w:t xml:space="preserve"> </w:t>
      </w:r>
      <w:r w:rsidRPr="00300A27">
        <w:rPr>
          <w:rFonts w:cs="Verdana"/>
          <w:spacing w:val="0"/>
          <w:lang w:val="en-US"/>
        </w:rPr>
        <w:t>the State</w:t>
      </w:r>
      <w:r w:rsidR="00852D2F" w:rsidRPr="00300A27">
        <w:rPr>
          <w:rFonts w:cs="Verdana"/>
          <w:spacing w:val="0"/>
          <w:lang w:val="en-US"/>
        </w:rPr>
        <w:t xml:space="preserve"> </w:t>
      </w:r>
      <w:r w:rsidR="005C5607" w:rsidRPr="00300A27">
        <w:rPr>
          <w:rFonts w:cs="Verdana"/>
          <w:spacing w:val="0"/>
          <w:lang w:val="en-US"/>
        </w:rPr>
        <w:t xml:space="preserve">must publish, within six months of notification </w:t>
      </w:r>
      <w:r w:rsidR="005B46A0" w:rsidRPr="00300A27">
        <w:rPr>
          <w:rFonts w:cs="Verdana"/>
          <w:spacing w:val="0"/>
          <w:lang w:val="en-US"/>
        </w:rPr>
        <w:t>of this judgment</w:t>
      </w:r>
      <w:r w:rsidR="00852D2F" w:rsidRPr="00300A27">
        <w:rPr>
          <w:spacing w:val="0"/>
          <w:lang w:val="en-US"/>
        </w:rPr>
        <w:t xml:space="preserve">, </w:t>
      </w:r>
      <w:r w:rsidR="005C5607" w:rsidRPr="00300A27">
        <w:rPr>
          <w:spacing w:val="0"/>
          <w:lang w:val="en-US"/>
        </w:rPr>
        <w:t xml:space="preserve">in an adequate and legible font: (a) the official summary </w:t>
      </w:r>
      <w:r w:rsidR="005C5607" w:rsidRPr="00300A27">
        <w:rPr>
          <w:rFonts w:cs="Verdana"/>
          <w:spacing w:val="0"/>
          <w:lang w:val="en-US"/>
        </w:rPr>
        <w:t xml:space="preserve">of this judgment prepared by the Court, once, in the Official Gazette; (b) </w:t>
      </w:r>
      <w:r w:rsidR="005C5607" w:rsidRPr="00300A27">
        <w:rPr>
          <w:spacing w:val="0"/>
          <w:lang w:val="en-US"/>
        </w:rPr>
        <w:t xml:space="preserve">the official summary </w:t>
      </w:r>
      <w:r w:rsidR="005C5607" w:rsidRPr="00300A27">
        <w:rPr>
          <w:rFonts w:cs="Verdana"/>
          <w:spacing w:val="0"/>
          <w:lang w:val="en-US"/>
        </w:rPr>
        <w:t>of this judgment prepared by the Court, once, in a national newspaper with widespread circulation and in a newspaper of the department of La Libertad, and (c) this judgment, in its entirety, available for one year, on the official website of the</w:t>
      </w:r>
      <w:r w:rsidR="005C5607" w:rsidRPr="00300A27">
        <w:rPr>
          <w:rFonts w:cs="Georgia"/>
          <w:spacing w:val="0"/>
          <w:szCs w:val="20"/>
          <w:lang w:val="en-US"/>
        </w:rPr>
        <w:t xml:space="preserve"> </w:t>
      </w:r>
      <w:r w:rsidR="007E4CD0" w:rsidRPr="00300A27">
        <w:rPr>
          <w:spacing w:val="0"/>
          <w:lang w:val="en-US"/>
        </w:rPr>
        <w:t>Ministry of Justice and Human Rights</w:t>
      </w:r>
      <w:r w:rsidR="00852D2F" w:rsidRPr="00300A27">
        <w:rPr>
          <w:rFonts w:cs="Georgia"/>
          <w:spacing w:val="0"/>
          <w:szCs w:val="20"/>
          <w:lang w:val="en-US"/>
        </w:rPr>
        <w:t>.</w:t>
      </w:r>
      <w:bookmarkStart w:id="197" w:name="_Ref866296"/>
      <w:bookmarkEnd w:id="195"/>
      <w:r w:rsidR="008D61D6" w:rsidRPr="00300A27">
        <w:rPr>
          <w:rFonts w:cs="Georgia"/>
          <w:spacing w:val="0"/>
          <w:szCs w:val="20"/>
          <w:lang w:val="en-US"/>
        </w:rPr>
        <w:t xml:space="preserve"> </w:t>
      </w:r>
      <w:r w:rsidRPr="00300A27">
        <w:rPr>
          <w:spacing w:val="0"/>
          <w:szCs w:val="20"/>
          <w:lang w:val="en-US"/>
        </w:rPr>
        <w:t>The State</w:t>
      </w:r>
      <w:r w:rsidR="00852D2F" w:rsidRPr="00300A27">
        <w:rPr>
          <w:spacing w:val="0"/>
          <w:szCs w:val="20"/>
          <w:lang w:val="en-US"/>
        </w:rPr>
        <w:t xml:space="preserve"> </w:t>
      </w:r>
      <w:r w:rsidR="005C5607" w:rsidRPr="00300A27">
        <w:rPr>
          <w:spacing w:val="0"/>
          <w:szCs w:val="20"/>
          <w:lang w:val="en-US"/>
        </w:rPr>
        <w:t xml:space="preserve">shall advise this Court immediately when it has implemented each of these publications, regardless of the one-year time frame to present its first report indicated in the nineteenth operative paragraph </w:t>
      </w:r>
      <w:r w:rsidR="005B46A0" w:rsidRPr="00300A27">
        <w:rPr>
          <w:spacing w:val="0"/>
          <w:szCs w:val="20"/>
          <w:lang w:val="en-US"/>
        </w:rPr>
        <w:t>of this judgment</w:t>
      </w:r>
      <w:r w:rsidR="00852D2F" w:rsidRPr="00300A27">
        <w:rPr>
          <w:spacing w:val="0"/>
          <w:szCs w:val="20"/>
          <w:lang w:val="en-US"/>
        </w:rPr>
        <w:t>.</w:t>
      </w:r>
      <w:bookmarkEnd w:id="196"/>
      <w:bookmarkEnd w:id="197"/>
      <w:r w:rsidR="00852D2F" w:rsidRPr="00300A27">
        <w:rPr>
          <w:spacing w:val="0"/>
          <w:szCs w:val="20"/>
          <w:lang w:val="en-US"/>
        </w:rPr>
        <w:t xml:space="preserve"> </w:t>
      </w:r>
    </w:p>
    <w:p w14:paraId="0B1BD10B" w14:textId="0889DA0F" w:rsidR="00852D2F" w:rsidRPr="00300A27" w:rsidRDefault="00600550" w:rsidP="00933958">
      <w:pPr>
        <w:pStyle w:val="PrrafodeSentencia"/>
        <w:numPr>
          <w:ilvl w:val="0"/>
          <w:numId w:val="0"/>
        </w:numPr>
        <w:tabs>
          <w:tab w:val="left" w:pos="2268"/>
        </w:tabs>
        <w:spacing w:before="240" w:after="240"/>
        <w:ind w:left="1683"/>
        <w:rPr>
          <w:spacing w:val="0"/>
          <w:u w:val="single"/>
          <w:lang w:val="en-US" w:eastAsia="es-ES"/>
        </w:rPr>
      </w:pPr>
      <w:r w:rsidRPr="00300A27">
        <w:rPr>
          <w:spacing w:val="0"/>
          <w:u w:val="single"/>
          <w:lang w:val="en-US" w:eastAsia="es-ES"/>
        </w:rPr>
        <w:t>C.1.b</w:t>
      </w:r>
      <w:r w:rsidR="00852D2F" w:rsidRPr="00300A27">
        <w:rPr>
          <w:spacing w:val="0"/>
          <w:u w:val="single"/>
          <w:lang w:val="en-US" w:eastAsia="es-ES"/>
        </w:rPr>
        <w:t xml:space="preserve"> </w:t>
      </w:r>
      <w:r w:rsidR="005C5607" w:rsidRPr="00300A27">
        <w:rPr>
          <w:spacing w:val="0"/>
          <w:u w:val="single"/>
          <w:lang w:val="en-US" w:eastAsia="es-ES"/>
        </w:rPr>
        <w:t>Public act to acknowledge international responsibility</w:t>
      </w:r>
    </w:p>
    <w:p w14:paraId="40F769E8" w14:textId="610DF7C7" w:rsidR="00852D2F" w:rsidRPr="00300A27" w:rsidRDefault="00C2001D" w:rsidP="00B243B6">
      <w:pPr>
        <w:pStyle w:val="PrrafodeSentencia"/>
        <w:numPr>
          <w:ilvl w:val="0"/>
          <w:numId w:val="3"/>
        </w:numPr>
        <w:spacing w:before="120" w:after="120"/>
        <w:ind w:left="0" w:firstLine="0"/>
        <w:rPr>
          <w:spacing w:val="0"/>
          <w:lang w:val="en-US"/>
        </w:rPr>
      </w:pPr>
      <w:r w:rsidRPr="00300A27">
        <w:rPr>
          <w:spacing w:val="0"/>
          <w:lang w:val="en-US"/>
        </w:rPr>
        <w:t xml:space="preserve">The </w:t>
      </w:r>
      <w:r w:rsidRPr="00300A27">
        <w:rPr>
          <w:b/>
          <w:bCs/>
          <w:i/>
          <w:iCs/>
          <w:spacing w:val="0"/>
          <w:lang w:val="en-US"/>
        </w:rPr>
        <w:t>Commission</w:t>
      </w:r>
      <w:r w:rsidR="00852D2F" w:rsidRPr="00300A27">
        <w:rPr>
          <w:spacing w:val="0"/>
          <w:lang w:val="en-US"/>
        </w:rPr>
        <w:t xml:space="preserve"> </w:t>
      </w:r>
      <w:r w:rsidR="00A71350" w:rsidRPr="00300A27">
        <w:rPr>
          <w:spacing w:val="0"/>
          <w:lang w:val="en-US"/>
        </w:rPr>
        <w:t xml:space="preserve">asked that </w:t>
      </w:r>
      <w:r w:rsidR="005B1C65" w:rsidRPr="00300A27">
        <w:rPr>
          <w:spacing w:val="0"/>
          <w:lang w:val="en-US"/>
        </w:rPr>
        <w:t>the State</w:t>
      </w:r>
      <w:r w:rsidR="00852D2F" w:rsidRPr="00300A27">
        <w:rPr>
          <w:spacing w:val="0"/>
          <w:lang w:val="en-US"/>
        </w:rPr>
        <w:t xml:space="preserve"> “</w:t>
      </w:r>
      <w:r w:rsidR="005B6F17">
        <w:rPr>
          <w:spacing w:val="0"/>
          <w:lang w:val="en-US"/>
        </w:rPr>
        <w:t>hold</w:t>
      </w:r>
      <w:r w:rsidR="00A71350" w:rsidRPr="00300A27">
        <w:rPr>
          <w:spacing w:val="0"/>
          <w:lang w:val="en-US"/>
        </w:rPr>
        <w:t xml:space="preserve"> a public act to acknowledge international responsibility” </w:t>
      </w:r>
      <w:r w:rsidR="00933958" w:rsidRPr="00300A27">
        <w:rPr>
          <w:spacing w:val="0"/>
          <w:lang w:val="en-US"/>
        </w:rPr>
        <w:t xml:space="preserve">to apologize to the victims. </w:t>
      </w:r>
      <w:r w:rsidR="00BA3C7F" w:rsidRPr="00300A27">
        <w:rPr>
          <w:spacing w:val="0"/>
          <w:lang w:val="en-US"/>
        </w:rPr>
        <w:t xml:space="preserve">The </w:t>
      </w:r>
      <w:r w:rsidR="00BA3C7F" w:rsidRPr="00300A27">
        <w:rPr>
          <w:b/>
          <w:bCs/>
          <w:i/>
          <w:iCs/>
          <w:spacing w:val="0"/>
          <w:lang w:val="en-US"/>
        </w:rPr>
        <w:t>representatives</w:t>
      </w:r>
      <w:r w:rsidR="00852D2F" w:rsidRPr="00300A27">
        <w:rPr>
          <w:b/>
          <w:bCs/>
          <w:i/>
          <w:iCs/>
          <w:spacing w:val="0"/>
          <w:lang w:val="en-US"/>
        </w:rPr>
        <w:t xml:space="preserve"> </w:t>
      </w:r>
      <w:r w:rsidR="00A71350" w:rsidRPr="00300A27">
        <w:rPr>
          <w:spacing w:val="0"/>
          <w:lang w:val="en-US"/>
        </w:rPr>
        <w:t>asked</w:t>
      </w:r>
      <w:r w:rsidR="00852D2F" w:rsidRPr="00300A27">
        <w:rPr>
          <w:spacing w:val="0"/>
          <w:lang w:val="en-US"/>
        </w:rPr>
        <w:t xml:space="preserve"> </w:t>
      </w:r>
      <w:r w:rsidR="005B1C65" w:rsidRPr="00300A27">
        <w:rPr>
          <w:spacing w:val="0"/>
          <w:lang w:val="en-US"/>
        </w:rPr>
        <w:t>the Court</w:t>
      </w:r>
      <w:r w:rsidR="00852D2F" w:rsidRPr="00300A27">
        <w:rPr>
          <w:spacing w:val="0"/>
          <w:lang w:val="en-US"/>
        </w:rPr>
        <w:t xml:space="preserve"> </w:t>
      </w:r>
      <w:r w:rsidR="00A71350" w:rsidRPr="00300A27">
        <w:rPr>
          <w:spacing w:val="0"/>
          <w:lang w:val="en-US"/>
        </w:rPr>
        <w:t>to order</w:t>
      </w:r>
      <w:r w:rsidR="00BA3C7F" w:rsidRPr="00300A27">
        <w:rPr>
          <w:spacing w:val="0"/>
          <w:lang w:val="en-US"/>
        </w:rPr>
        <w:t xml:space="preserve"> the State</w:t>
      </w:r>
      <w:r w:rsidR="00852D2F" w:rsidRPr="00300A27">
        <w:rPr>
          <w:spacing w:val="0"/>
          <w:lang w:val="en-US"/>
        </w:rPr>
        <w:t xml:space="preserve"> </w:t>
      </w:r>
      <w:r w:rsidR="00A71350" w:rsidRPr="00300A27">
        <w:rPr>
          <w:spacing w:val="0"/>
          <w:lang w:val="en-US"/>
        </w:rPr>
        <w:t>to organize “a public act to acknowledge international responsibility and to apologize” to</w:t>
      </w:r>
      <w:r w:rsidR="00852D2F" w:rsidRPr="00300A27">
        <w:rPr>
          <w:spacing w:val="0"/>
          <w:lang w:val="en-US"/>
        </w:rPr>
        <w:t xml:space="preserve"> Azul Rojas Marín</w:t>
      </w:r>
      <w:r w:rsidR="005B1C65" w:rsidRPr="00300A27">
        <w:rPr>
          <w:spacing w:val="0"/>
          <w:lang w:val="en-US"/>
        </w:rPr>
        <w:t xml:space="preserve"> and </w:t>
      </w:r>
      <w:r w:rsidR="00A71350" w:rsidRPr="00300A27">
        <w:rPr>
          <w:spacing w:val="0"/>
          <w:lang w:val="en-US"/>
        </w:rPr>
        <w:t>her mother</w:t>
      </w:r>
      <w:r w:rsidR="00852D2F" w:rsidRPr="00300A27">
        <w:rPr>
          <w:spacing w:val="0"/>
          <w:lang w:val="en-US"/>
        </w:rPr>
        <w:t>,</w:t>
      </w:r>
      <w:r w:rsidR="00A71350" w:rsidRPr="00300A27">
        <w:rPr>
          <w:spacing w:val="0"/>
          <w:lang w:val="en-US"/>
        </w:rPr>
        <w:t xml:space="preserve"> which should be “transmitted by local and national radio and television.</w:t>
      </w:r>
      <w:r w:rsidR="00852D2F" w:rsidRPr="00300A27">
        <w:rPr>
          <w:spacing w:val="0"/>
          <w:lang w:val="en-US"/>
        </w:rPr>
        <w:t xml:space="preserve">” </w:t>
      </w:r>
      <w:r w:rsidR="005B1C65" w:rsidRPr="00300A27">
        <w:rPr>
          <w:spacing w:val="0"/>
          <w:lang w:val="en-US"/>
        </w:rPr>
        <w:t xml:space="preserve">The </w:t>
      </w:r>
      <w:r w:rsidR="005B1C65" w:rsidRPr="00300A27">
        <w:rPr>
          <w:b/>
          <w:bCs/>
          <w:i/>
          <w:iCs/>
          <w:spacing w:val="0"/>
          <w:lang w:val="en-US"/>
        </w:rPr>
        <w:t>State</w:t>
      </w:r>
      <w:r w:rsidR="00852D2F" w:rsidRPr="00300A27">
        <w:rPr>
          <w:spacing w:val="0"/>
          <w:lang w:val="en-US"/>
        </w:rPr>
        <w:t xml:space="preserve"> </w:t>
      </w:r>
      <w:r w:rsidR="00A71350" w:rsidRPr="00300A27">
        <w:rPr>
          <w:spacing w:val="0"/>
          <w:lang w:val="en-US"/>
        </w:rPr>
        <w:t xml:space="preserve">indicated that, if the Court found it internationally responsible for the acts of torture, “it would not contest the </w:t>
      </w:r>
      <w:r w:rsidR="005B6F17">
        <w:rPr>
          <w:spacing w:val="0"/>
          <w:lang w:val="en-US"/>
        </w:rPr>
        <w:t>holding</w:t>
      </w:r>
      <w:r w:rsidR="00A71350" w:rsidRPr="00300A27">
        <w:rPr>
          <w:spacing w:val="0"/>
          <w:lang w:val="en-US"/>
        </w:rPr>
        <w:t xml:space="preserve"> of a public act to acknowledge responsibility, provided the Court considered that the other measures of reparation ordered were not sufficient.</w:t>
      </w:r>
      <w:r w:rsidR="00852D2F" w:rsidRPr="00300A27">
        <w:rPr>
          <w:spacing w:val="0"/>
          <w:lang w:val="en-US"/>
        </w:rPr>
        <w:t xml:space="preserve">” </w:t>
      </w:r>
    </w:p>
    <w:p w14:paraId="6EA6BDDF" w14:textId="39A1553C" w:rsidR="00852D2F" w:rsidRPr="00300A27" w:rsidRDefault="005B1C65" w:rsidP="00B243B6">
      <w:pPr>
        <w:pStyle w:val="PrrafodeSentencia"/>
        <w:numPr>
          <w:ilvl w:val="0"/>
          <w:numId w:val="3"/>
        </w:numPr>
        <w:spacing w:before="120" w:after="120"/>
        <w:ind w:left="0" w:firstLine="0"/>
        <w:rPr>
          <w:spacing w:val="0"/>
          <w:lang w:val="en-US"/>
        </w:rPr>
      </w:pPr>
      <w:bookmarkStart w:id="198" w:name="_Ref446682213"/>
      <w:r w:rsidRPr="00300A27">
        <w:rPr>
          <w:spacing w:val="0"/>
          <w:lang w:val="en-US"/>
        </w:rPr>
        <w:t>The Court</w:t>
      </w:r>
      <w:r w:rsidR="00852D2F" w:rsidRPr="00300A27">
        <w:rPr>
          <w:spacing w:val="0"/>
          <w:lang w:val="en-US"/>
        </w:rPr>
        <w:t xml:space="preserve"> </w:t>
      </w:r>
      <w:r w:rsidR="00A71350" w:rsidRPr="00300A27">
        <w:rPr>
          <w:spacing w:val="0"/>
          <w:lang w:val="en-US"/>
        </w:rPr>
        <w:t xml:space="preserve">considers it necessary, in order to redress the harm caused to the victims and to avoid acts like those of this case being repeated, to order the State to </w:t>
      </w:r>
      <w:r w:rsidR="005B6F17">
        <w:rPr>
          <w:spacing w:val="0"/>
          <w:lang w:val="en-US"/>
        </w:rPr>
        <w:t>hold</w:t>
      </w:r>
      <w:r w:rsidR="00A71350" w:rsidRPr="00300A27">
        <w:rPr>
          <w:spacing w:val="0"/>
          <w:lang w:val="en-US"/>
        </w:rPr>
        <w:t xml:space="preserve"> a public act to acknowledge international responsibility for the facts of this case. During this act, reference must be made to </w:t>
      </w:r>
      <w:r w:rsidR="00933958" w:rsidRPr="00300A27">
        <w:rPr>
          <w:spacing w:val="0"/>
          <w:lang w:val="en-US"/>
        </w:rPr>
        <w:t xml:space="preserve">the </w:t>
      </w:r>
      <w:r w:rsidR="00A71350" w:rsidRPr="00300A27">
        <w:rPr>
          <w:spacing w:val="0"/>
          <w:lang w:val="en-US"/>
        </w:rPr>
        <w:t xml:space="preserve">human rights violations declared in this judgment. Also, it must take place in a public ceremony in the presence of senior State officials and of </w:t>
      </w:r>
      <w:r w:rsidR="008546E9" w:rsidRPr="00300A27">
        <w:rPr>
          <w:spacing w:val="0"/>
          <w:lang w:val="en-US"/>
        </w:rPr>
        <w:t>Ms. Rojas</w:t>
      </w:r>
      <w:r w:rsidR="00852D2F" w:rsidRPr="00300A27">
        <w:rPr>
          <w:spacing w:val="0"/>
          <w:lang w:val="en-US"/>
        </w:rPr>
        <w:t xml:space="preserve"> Marín </w:t>
      </w:r>
      <w:r w:rsidR="00A71350" w:rsidRPr="00300A27">
        <w:rPr>
          <w:spacing w:val="0"/>
          <w:lang w:val="en-US"/>
        </w:rPr>
        <w:t>or her</w:t>
      </w:r>
      <w:r w:rsidR="00BA3C7F" w:rsidRPr="00300A27">
        <w:rPr>
          <w:spacing w:val="0"/>
          <w:lang w:val="en-US"/>
        </w:rPr>
        <w:t xml:space="preserve"> representatives</w:t>
      </w:r>
      <w:r w:rsidR="00A71350" w:rsidRPr="00300A27">
        <w:rPr>
          <w:spacing w:val="0"/>
          <w:lang w:val="en-US"/>
        </w:rPr>
        <w:t>.</w:t>
      </w:r>
      <w:r w:rsidR="007129F7" w:rsidRPr="00300A27">
        <w:rPr>
          <w:rStyle w:val="Refdenotaalpie"/>
          <w:spacing w:val="0"/>
          <w:lang w:val="en-US"/>
        </w:rPr>
        <w:footnoteReference w:id="299"/>
      </w:r>
      <w:bookmarkEnd w:id="198"/>
    </w:p>
    <w:p w14:paraId="0DCF16FD" w14:textId="488DEDDE" w:rsidR="00852D2F" w:rsidRPr="00300A27" w:rsidRDefault="005B1C65" w:rsidP="00B243B6">
      <w:pPr>
        <w:pStyle w:val="PrrafodeSentencia"/>
        <w:numPr>
          <w:ilvl w:val="0"/>
          <w:numId w:val="3"/>
        </w:numPr>
        <w:spacing w:before="120" w:after="120"/>
        <w:ind w:left="0" w:firstLine="0"/>
        <w:rPr>
          <w:spacing w:val="0"/>
          <w:lang w:val="en-US"/>
        </w:rPr>
      </w:pPr>
      <w:bookmarkStart w:id="199" w:name="_Ref33109786"/>
      <w:r w:rsidRPr="00300A27">
        <w:rPr>
          <w:spacing w:val="0"/>
          <w:lang w:val="en-US"/>
        </w:rPr>
        <w:t xml:space="preserve">The State and </w:t>
      </w:r>
      <w:r w:rsidR="00A71350" w:rsidRPr="00300A27">
        <w:rPr>
          <w:spacing w:val="0"/>
          <w:lang w:val="en-US"/>
        </w:rPr>
        <w:t>the victim</w:t>
      </w:r>
      <w:r w:rsidR="00466EB2" w:rsidRPr="00300A27">
        <w:rPr>
          <w:spacing w:val="0"/>
          <w:lang w:val="en-US"/>
        </w:rPr>
        <w:t>,</w:t>
      </w:r>
      <w:r w:rsidR="00852D2F" w:rsidRPr="00300A27">
        <w:rPr>
          <w:spacing w:val="0"/>
          <w:lang w:val="en-US"/>
        </w:rPr>
        <w:t xml:space="preserve"> </w:t>
      </w:r>
      <w:r w:rsidR="00A71350" w:rsidRPr="00300A27">
        <w:rPr>
          <w:spacing w:val="0"/>
          <w:lang w:val="en-US"/>
        </w:rPr>
        <w:t>and</w:t>
      </w:r>
      <w:r w:rsidR="00852D2F" w:rsidRPr="00300A27">
        <w:rPr>
          <w:spacing w:val="0"/>
          <w:lang w:val="en-US"/>
        </w:rPr>
        <w:t>/o</w:t>
      </w:r>
      <w:r w:rsidR="00A71350" w:rsidRPr="00300A27">
        <w:rPr>
          <w:spacing w:val="0"/>
          <w:lang w:val="en-US"/>
        </w:rPr>
        <w:t>r</w:t>
      </w:r>
      <w:r w:rsidR="00852D2F" w:rsidRPr="00300A27">
        <w:rPr>
          <w:spacing w:val="0"/>
          <w:lang w:val="en-US"/>
        </w:rPr>
        <w:t xml:space="preserve"> </w:t>
      </w:r>
      <w:r w:rsidR="00BA3C7F" w:rsidRPr="00300A27">
        <w:rPr>
          <w:spacing w:val="0"/>
          <w:lang w:val="en-US"/>
        </w:rPr>
        <w:t>her representatives</w:t>
      </w:r>
      <w:r w:rsidR="00852D2F" w:rsidRPr="00300A27">
        <w:rPr>
          <w:spacing w:val="0"/>
          <w:lang w:val="en-US"/>
        </w:rPr>
        <w:t xml:space="preserve">, </w:t>
      </w:r>
      <w:r w:rsidR="00A71350" w:rsidRPr="00300A27">
        <w:rPr>
          <w:spacing w:val="0"/>
          <w:lang w:val="en-US"/>
        </w:rPr>
        <w:t>shall reach agreement on how the public act is executed, as well as its particularities, such as the place and date.</w:t>
      </w:r>
      <w:r w:rsidR="00852D2F" w:rsidRPr="00300A27">
        <w:rPr>
          <w:rStyle w:val="Refdenotaalpie"/>
          <w:spacing w:val="0"/>
          <w:szCs w:val="20"/>
          <w:lang w:val="en-US"/>
        </w:rPr>
        <w:footnoteReference w:id="300"/>
      </w:r>
      <w:r w:rsidR="00A71350" w:rsidRPr="00300A27">
        <w:rPr>
          <w:spacing w:val="0"/>
          <w:szCs w:val="20"/>
          <w:lang w:val="en-US"/>
        </w:rPr>
        <w:t xml:space="preserve"> Also, as it has in other cases,</w:t>
      </w:r>
      <w:r w:rsidR="00852D2F" w:rsidRPr="00300A27">
        <w:rPr>
          <w:rStyle w:val="Refdenotaalpie"/>
          <w:spacing w:val="0"/>
          <w:szCs w:val="20"/>
          <w:lang w:val="en-US"/>
        </w:rPr>
        <w:footnoteReference w:id="301"/>
      </w:r>
      <w:r w:rsidR="00852D2F" w:rsidRPr="00300A27">
        <w:rPr>
          <w:spacing w:val="0"/>
          <w:szCs w:val="20"/>
          <w:lang w:val="en-US"/>
        </w:rPr>
        <w:t xml:space="preserve"> </w:t>
      </w:r>
      <w:r w:rsidRPr="00300A27">
        <w:rPr>
          <w:spacing w:val="0"/>
          <w:szCs w:val="20"/>
          <w:lang w:val="en-US"/>
        </w:rPr>
        <w:t>the Court</w:t>
      </w:r>
      <w:r w:rsidR="00852D2F" w:rsidRPr="00300A27">
        <w:rPr>
          <w:spacing w:val="0"/>
          <w:szCs w:val="20"/>
          <w:lang w:val="en-US"/>
        </w:rPr>
        <w:t xml:space="preserve"> </w:t>
      </w:r>
      <w:r w:rsidR="00A71350" w:rsidRPr="00300A27">
        <w:rPr>
          <w:spacing w:val="0"/>
          <w:szCs w:val="20"/>
          <w:lang w:val="en-US"/>
        </w:rPr>
        <w:t>orders</w:t>
      </w:r>
      <w:r w:rsidR="00BA3C7F" w:rsidRPr="00300A27">
        <w:rPr>
          <w:spacing w:val="0"/>
          <w:szCs w:val="20"/>
          <w:lang w:val="en-US"/>
        </w:rPr>
        <w:t xml:space="preserve"> the State</w:t>
      </w:r>
      <w:r w:rsidR="00852D2F" w:rsidRPr="00300A27">
        <w:rPr>
          <w:spacing w:val="0"/>
          <w:szCs w:val="20"/>
          <w:lang w:val="en-US"/>
        </w:rPr>
        <w:t xml:space="preserve"> </w:t>
      </w:r>
      <w:r w:rsidR="00A71350" w:rsidRPr="00300A27">
        <w:rPr>
          <w:spacing w:val="0"/>
          <w:szCs w:val="20"/>
          <w:lang w:val="en-US"/>
        </w:rPr>
        <w:t xml:space="preserve">to </w:t>
      </w:r>
      <w:r w:rsidR="00933958" w:rsidRPr="00300A27">
        <w:rPr>
          <w:spacing w:val="0"/>
          <w:szCs w:val="20"/>
          <w:lang w:val="en-US"/>
        </w:rPr>
        <w:t>publicize</w:t>
      </w:r>
      <w:r w:rsidR="00A15E1F" w:rsidRPr="00300A27">
        <w:rPr>
          <w:spacing w:val="0"/>
          <w:szCs w:val="20"/>
          <w:lang w:val="en-US"/>
        </w:rPr>
        <w:t xml:space="preserve"> </w:t>
      </w:r>
      <w:r w:rsidR="00A71350" w:rsidRPr="00300A27">
        <w:rPr>
          <w:spacing w:val="0"/>
          <w:szCs w:val="20"/>
          <w:lang w:val="en-US"/>
        </w:rPr>
        <w:t xml:space="preserve">this act </w:t>
      </w:r>
      <w:r w:rsidR="00A15E1F" w:rsidRPr="00300A27">
        <w:rPr>
          <w:spacing w:val="0"/>
          <w:szCs w:val="20"/>
          <w:lang w:val="en-US"/>
        </w:rPr>
        <w:t xml:space="preserve">as </w:t>
      </w:r>
      <w:r w:rsidR="00A71350" w:rsidRPr="00300A27">
        <w:rPr>
          <w:spacing w:val="0"/>
          <w:szCs w:val="20"/>
          <w:lang w:val="en-US"/>
        </w:rPr>
        <w:t xml:space="preserve">widely as possible </w:t>
      </w:r>
      <w:r w:rsidR="00A15E1F" w:rsidRPr="00300A27">
        <w:rPr>
          <w:spacing w:val="0"/>
          <w:szCs w:val="20"/>
          <w:lang w:val="en-US"/>
        </w:rPr>
        <w:t xml:space="preserve">in the media, </w:t>
      </w:r>
      <w:r w:rsidR="00A71350" w:rsidRPr="00300A27">
        <w:rPr>
          <w:spacing w:val="0"/>
          <w:szCs w:val="20"/>
          <w:lang w:val="en-US"/>
        </w:rPr>
        <w:t xml:space="preserve">including </w:t>
      </w:r>
      <w:r w:rsidR="00A15E1F" w:rsidRPr="00300A27">
        <w:rPr>
          <w:spacing w:val="0"/>
          <w:szCs w:val="20"/>
          <w:lang w:val="en-US"/>
        </w:rPr>
        <w:t xml:space="preserve">by radio, television and social networks. </w:t>
      </w:r>
      <w:bookmarkEnd w:id="199"/>
    </w:p>
    <w:p w14:paraId="5CB1AEDE" w14:textId="4FFBAC37" w:rsidR="00852D2F" w:rsidRPr="00300A27" w:rsidRDefault="00852D2F" w:rsidP="00B243B6">
      <w:pPr>
        <w:pStyle w:val="Ttulo3"/>
        <w:rPr>
          <w:lang w:val="en-US"/>
        </w:rPr>
      </w:pPr>
      <w:bookmarkStart w:id="200" w:name="_Toc32394188"/>
      <w:bookmarkStart w:id="201" w:name="_Toc36823507"/>
      <w:r w:rsidRPr="00300A27">
        <w:rPr>
          <w:lang w:val="en-US"/>
        </w:rPr>
        <w:t xml:space="preserve">C.2. </w:t>
      </w:r>
      <w:r w:rsidR="002959DE" w:rsidRPr="00300A27">
        <w:rPr>
          <w:lang w:val="en-US"/>
        </w:rPr>
        <w:t>Measures of</w:t>
      </w:r>
      <w:r w:rsidRPr="00300A27">
        <w:rPr>
          <w:lang w:val="en-US"/>
        </w:rPr>
        <w:t xml:space="preserve"> </w:t>
      </w:r>
      <w:r w:rsidR="002959DE" w:rsidRPr="00300A27">
        <w:rPr>
          <w:lang w:val="en-US"/>
        </w:rPr>
        <w:t>rehabilitation</w:t>
      </w:r>
      <w:bookmarkEnd w:id="200"/>
      <w:bookmarkEnd w:id="201"/>
    </w:p>
    <w:p w14:paraId="278E5504" w14:textId="435E0A7E" w:rsidR="00852D2F" w:rsidRPr="00300A27" w:rsidRDefault="00600550" w:rsidP="00B243B6">
      <w:pPr>
        <w:spacing w:before="240" w:after="240"/>
        <w:ind w:left="1122" w:firstLine="561"/>
        <w:jc w:val="both"/>
        <w:rPr>
          <w:u w:val="single"/>
          <w:lang w:eastAsia="es-ES"/>
        </w:rPr>
      </w:pPr>
      <w:r w:rsidRPr="00300A27">
        <w:rPr>
          <w:u w:val="single"/>
          <w:lang w:eastAsia="es-ES"/>
        </w:rPr>
        <w:t>C.2.a</w:t>
      </w:r>
      <w:r w:rsidR="00852D2F" w:rsidRPr="00300A27">
        <w:rPr>
          <w:u w:val="single"/>
          <w:lang w:eastAsia="es-ES"/>
        </w:rPr>
        <w:t xml:space="preserve"> </w:t>
      </w:r>
      <w:r w:rsidR="00A15E1F" w:rsidRPr="00300A27">
        <w:rPr>
          <w:u w:val="single"/>
          <w:lang w:eastAsia="es-ES"/>
        </w:rPr>
        <w:t>Medical and psychological care</w:t>
      </w:r>
    </w:p>
    <w:p w14:paraId="1A60302E" w14:textId="4C754D16" w:rsidR="00852D2F" w:rsidRPr="00300A27" w:rsidRDefault="00C2001D" w:rsidP="00B243B6">
      <w:pPr>
        <w:pStyle w:val="PrrafodeSentencia"/>
        <w:numPr>
          <w:ilvl w:val="0"/>
          <w:numId w:val="3"/>
        </w:numPr>
        <w:spacing w:before="120" w:after="120"/>
        <w:ind w:left="0" w:firstLine="0"/>
        <w:rPr>
          <w:spacing w:val="0"/>
          <w:lang w:val="en-US"/>
        </w:rPr>
      </w:pPr>
      <w:bookmarkStart w:id="202" w:name="_Ref33109788"/>
      <w:r w:rsidRPr="00300A27">
        <w:rPr>
          <w:spacing w:val="0"/>
          <w:lang w:val="en-US"/>
        </w:rPr>
        <w:t xml:space="preserve">The </w:t>
      </w:r>
      <w:r w:rsidRPr="00300A27">
        <w:rPr>
          <w:b/>
          <w:bCs/>
          <w:i/>
          <w:iCs/>
          <w:spacing w:val="0"/>
          <w:lang w:val="en-US"/>
        </w:rPr>
        <w:t>Commission</w:t>
      </w:r>
      <w:r w:rsidR="00852D2F" w:rsidRPr="00300A27">
        <w:rPr>
          <w:spacing w:val="0"/>
          <w:lang w:val="en-US"/>
        </w:rPr>
        <w:t xml:space="preserve"> </w:t>
      </w:r>
      <w:r w:rsidR="008638D6" w:rsidRPr="00300A27">
        <w:rPr>
          <w:spacing w:val="0"/>
          <w:lang w:val="en-US"/>
        </w:rPr>
        <w:t xml:space="preserve">asked that the State provide, free of charge, immediately and for as long as necessary, the medical and psychological or psychiatric treatment, as appropriate, to the victim </w:t>
      </w:r>
      <w:r w:rsidR="00676747" w:rsidRPr="00300A27">
        <w:rPr>
          <w:spacing w:val="0"/>
          <w:lang w:val="en-US"/>
        </w:rPr>
        <w:t>in</w:t>
      </w:r>
      <w:r w:rsidR="008638D6" w:rsidRPr="00300A27">
        <w:rPr>
          <w:spacing w:val="0"/>
          <w:lang w:val="en-US"/>
        </w:rPr>
        <w:t xml:space="preserve"> this case, if she so requests and in agreement with her. </w:t>
      </w:r>
      <w:r w:rsidR="00BA3C7F" w:rsidRPr="00300A27">
        <w:rPr>
          <w:spacing w:val="0"/>
          <w:lang w:val="en-US"/>
        </w:rPr>
        <w:t xml:space="preserve">The </w:t>
      </w:r>
      <w:r w:rsidR="00BA3C7F" w:rsidRPr="00300A27">
        <w:rPr>
          <w:b/>
          <w:bCs/>
          <w:i/>
          <w:iCs/>
          <w:spacing w:val="0"/>
          <w:lang w:val="en-US"/>
        </w:rPr>
        <w:t>representatives</w:t>
      </w:r>
      <w:r w:rsidR="00852D2F" w:rsidRPr="00300A27">
        <w:rPr>
          <w:b/>
          <w:i/>
          <w:spacing w:val="0"/>
          <w:lang w:val="en-US"/>
        </w:rPr>
        <w:t xml:space="preserve"> </w:t>
      </w:r>
      <w:r w:rsidR="008638D6" w:rsidRPr="00300A27">
        <w:rPr>
          <w:spacing w:val="0"/>
          <w:lang w:val="en-US"/>
        </w:rPr>
        <w:t>asked</w:t>
      </w:r>
      <w:r w:rsidR="00852D2F" w:rsidRPr="00300A27">
        <w:rPr>
          <w:spacing w:val="0"/>
          <w:lang w:val="en-US"/>
        </w:rPr>
        <w:t xml:space="preserve"> </w:t>
      </w:r>
      <w:r w:rsidR="005B1C65" w:rsidRPr="00300A27">
        <w:rPr>
          <w:spacing w:val="0"/>
          <w:lang w:val="en-US"/>
        </w:rPr>
        <w:t>the Court</w:t>
      </w:r>
      <w:r w:rsidR="00852D2F" w:rsidRPr="00300A27">
        <w:rPr>
          <w:spacing w:val="0"/>
          <w:lang w:val="en-US"/>
        </w:rPr>
        <w:t xml:space="preserve"> </w:t>
      </w:r>
      <w:r w:rsidR="008638D6" w:rsidRPr="00300A27">
        <w:rPr>
          <w:spacing w:val="0"/>
          <w:lang w:val="en-US"/>
        </w:rPr>
        <w:t xml:space="preserve">to order the State to provide “appropriate, individualized and free medical and psychological </w:t>
      </w:r>
      <w:r w:rsidR="0075115A" w:rsidRPr="00300A27">
        <w:rPr>
          <w:spacing w:val="0"/>
          <w:lang w:val="en-US"/>
        </w:rPr>
        <w:t>care</w:t>
      </w:r>
      <w:r w:rsidR="008638D6" w:rsidRPr="00300A27">
        <w:rPr>
          <w:spacing w:val="0"/>
          <w:lang w:val="en-US"/>
        </w:rPr>
        <w:t xml:space="preserve"> together with any necessary medication for as long as required” to the victim. In addition, the “psychological </w:t>
      </w:r>
      <w:r w:rsidR="0075115A" w:rsidRPr="00300A27">
        <w:rPr>
          <w:spacing w:val="0"/>
          <w:lang w:val="en-US"/>
        </w:rPr>
        <w:t>care</w:t>
      </w:r>
      <w:r w:rsidR="008638D6" w:rsidRPr="00300A27">
        <w:rPr>
          <w:spacing w:val="0"/>
          <w:lang w:val="en-US"/>
        </w:rPr>
        <w:t xml:space="preserve"> must be provided by psychologists or psychiatrists specialized in the type of violence suffered by Azul” and, if there are no such specialists in the public health system, “the State must provide private specialized </w:t>
      </w:r>
      <w:r w:rsidR="0075115A" w:rsidRPr="00300A27">
        <w:rPr>
          <w:spacing w:val="0"/>
          <w:lang w:val="en-US"/>
        </w:rPr>
        <w:t>care</w:t>
      </w:r>
      <w:r w:rsidR="008638D6" w:rsidRPr="00300A27">
        <w:rPr>
          <w:spacing w:val="0"/>
          <w:lang w:val="en-US"/>
        </w:rPr>
        <w:t xml:space="preserve">.” </w:t>
      </w:r>
      <w:r w:rsidR="005B1C65" w:rsidRPr="00300A27">
        <w:rPr>
          <w:spacing w:val="0"/>
          <w:lang w:val="en-US"/>
        </w:rPr>
        <w:t xml:space="preserve">The </w:t>
      </w:r>
      <w:r w:rsidR="005B1C65" w:rsidRPr="00300A27">
        <w:rPr>
          <w:b/>
          <w:bCs/>
          <w:i/>
          <w:iCs/>
          <w:spacing w:val="0"/>
          <w:lang w:val="en-US"/>
        </w:rPr>
        <w:t>State</w:t>
      </w:r>
      <w:r w:rsidR="00852D2F" w:rsidRPr="00300A27">
        <w:rPr>
          <w:b/>
          <w:bCs/>
          <w:i/>
          <w:iCs/>
          <w:spacing w:val="0"/>
          <w:lang w:val="en-US"/>
        </w:rPr>
        <w:t xml:space="preserve"> </w:t>
      </w:r>
      <w:r w:rsidR="00852D2F" w:rsidRPr="00300A27">
        <w:rPr>
          <w:spacing w:val="0"/>
          <w:lang w:val="en-US"/>
        </w:rPr>
        <w:t>indic</w:t>
      </w:r>
      <w:r w:rsidR="008638D6" w:rsidRPr="00300A27">
        <w:rPr>
          <w:spacing w:val="0"/>
          <w:lang w:val="en-US"/>
        </w:rPr>
        <w:t>ated, regarding compliance with the Commission’s recommendation, that “this was conditional on the presumed victim</w:t>
      </w:r>
      <w:r w:rsidR="00814E9D" w:rsidRPr="00300A27">
        <w:rPr>
          <w:spacing w:val="0"/>
          <w:lang w:val="en-US"/>
        </w:rPr>
        <w:t>’s request</w:t>
      </w:r>
      <w:r w:rsidR="008638D6" w:rsidRPr="00300A27">
        <w:rPr>
          <w:spacing w:val="0"/>
          <w:lang w:val="en-US"/>
        </w:rPr>
        <w:t xml:space="preserve"> and, to date, it had not received the corresponding request.” Nevertheless, the State advised that </w:t>
      </w:r>
      <w:r w:rsidR="00852D2F" w:rsidRPr="00300A27">
        <w:rPr>
          <w:spacing w:val="0"/>
          <w:lang w:val="en-US"/>
        </w:rPr>
        <w:t>Azul Rojas Marín “</w:t>
      </w:r>
      <w:r w:rsidR="008638D6" w:rsidRPr="00300A27">
        <w:rPr>
          <w:spacing w:val="0"/>
          <w:lang w:val="en-US"/>
        </w:rPr>
        <w:t xml:space="preserve">was affiliated </w:t>
      </w:r>
      <w:r w:rsidR="00814E9D" w:rsidRPr="00300A27">
        <w:rPr>
          <w:spacing w:val="0"/>
          <w:lang w:val="en-US"/>
        </w:rPr>
        <w:t>with</w:t>
      </w:r>
      <w:r w:rsidR="008638D6" w:rsidRPr="00300A27">
        <w:rPr>
          <w:spacing w:val="0"/>
          <w:lang w:val="en-US"/>
        </w:rPr>
        <w:t xml:space="preserve"> the Comprehensive Health Care System” and this allowed her to receive the recommended medical, psychological and psychiatric care.</w:t>
      </w:r>
      <w:bookmarkEnd w:id="202"/>
    </w:p>
    <w:p w14:paraId="77251140" w14:textId="7E3A71E6" w:rsidR="00852D2F" w:rsidRPr="00300A27" w:rsidRDefault="005B1C65" w:rsidP="00B243B6">
      <w:pPr>
        <w:pStyle w:val="PrrafodeSentencia"/>
        <w:numPr>
          <w:ilvl w:val="0"/>
          <w:numId w:val="3"/>
        </w:numPr>
        <w:spacing w:before="120" w:after="120"/>
        <w:ind w:left="0" w:firstLine="0"/>
        <w:rPr>
          <w:spacing w:val="0"/>
          <w:szCs w:val="20"/>
          <w:lang w:val="en-US"/>
        </w:rPr>
      </w:pPr>
      <w:bookmarkStart w:id="203" w:name="_Ref33110014"/>
      <w:r w:rsidRPr="00300A27">
        <w:rPr>
          <w:spacing w:val="0"/>
          <w:lang w:val="en-US"/>
        </w:rPr>
        <w:t>The Court</w:t>
      </w:r>
      <w:r w:rsidR="00852D2F" w:rsidRPr="00300A27">
        <w:rPr>
          <w:spacing w:val="0"/>
          <w:lang w:val="en-US"/>
        </w:rPr>
        <w:t xml:space="preserve"> ha</w:t>
      </w:r>
      <w:r w:rsidR="008638D6" w:rsidRPr="00300A27">
        <w:rPr>
          <w:spacing w:val="0"/>
          <w:lang w:val="en-US"/>
        </w:rPr>
        <w:t xml:space="preserve">s verified the serious impact on </w:t>
      </w:r>
      <w:r w:rsidR="00D939AE" w:rsidRPr="00300A27">
        <w:rPr>
          <w:spacing w:val="0"/>
          <w:lang w:val="en-US"/>
        </w:rPr>
        <w:t>personal integrity</w:t>
      </w:r>
      <w:r w:rsidR="00852D2F" w:rsidRPr="00300A27">
        <w:rPr>
          <w:spacing w:val="0"/>
          <w:lang w:val="en-US"/>
        </w:rPr>
        <w:t xml:space="preserve"> </w:t>
      </w:r>
      <w:r w:rsidR="008638D6" w:rsidRPr="00300A27">
        <w:rPr>
          <w:spacing w:val="0"/>
          <w:lang w:val="en-US"/>
        </w:rPr>
        <w:t>suffered by</w:t>
      </w:r>
      <w:r w:rsidR="00852D2F" w:rsidRPr="00300A27">
        <w:rPr>
          <w:spacing w:val="0"/>
          <w:lang w:val="en-US"/>
        </w:rPr>
        <w:t xml:space="preserve"> </w:t>
      </w:r>
      <w:r w:rsidR="008546E9" w:rsidRPr="00300A27">
        <w:rPr>
          <w:spacing w:val="0"/>
          <w:lang w:val="en-US"/>
        </w:rPr>
        <w:t>Ms. Rojas</w:t>
      </w:r>
      <w:r w:rsidR="00852D2F" w:rsidRPr="00300A27">
        <w:rPr>
          <w:spacing w:val="0"/>
          <w:lang w:val="en-US"/>
        </w:rPr>
        <w:t xml:space="preserve"> Marín </w:t>
      </w:r>
      <w:r w:rsidR="008638D6" w:rsidRPr="00300A27">
        <w:rPr>
          <w:spacing w:val="0"/>
          <w:lang w:val="en-US"/>
        </w:rPr>
        <w:t xml:space="preserve">as a result of the acts of sexual violence and torture in this case </w:t>
      </w:r>
      <w:r w:rsidR="00852D2F" w:rsidRPr="00300A27">
        <w:rPr>
          <w:spacing w:val="0"/>
          <w:szCs w:val="20"/>
          <w:lang w:val="en-US"/>
        </w:rPr>
        <w:t>(</w:t>
      </w:r>
      <w:r w:rsidR="00852D2F" w:rsidRPr="00300A27">
        <w:rPr>
          <w:i/>
          <w:spacing w:val="0"/>
          <w:szCs w:val="20"/>
          <w:lang w:val="en-US"/>
        </w:rPr>
        <w:t xml:space="preserve">supra </w:t>
      </w:r>
      <w:r w:rsidR="00910D8E" w:rsidRPr="00300A27">
        <w:rPr>
          <w:spacing w:val="0"/>
          <w:szCs w:val="20"/>
          <w:lang w:val="en-US"/>
        </w:rPr>
        <w:t>paras.</w:t>
      </w:r>
      <w:r w:rsidR="00852D2F" w:rsidRPr="00300A27">
        <w:rPr>
          <w:spacing w:val="0"/>
          <w:szCs w:val="20"/>
          <w:lang w:val="en-US"/>
        </w:rPr>
        <w:t xml:space="preserve"> </w:t>
      </w:r>
      <w:r w:rsidR="004D35BC" w:rsidRPr="00300A27">
        <w:rPr>
          <w:spacing w:val="0"/>
          <w:szCs w:val="20"/>
          <w:lang w:val="en-US"/>
        </w:rPr>
        <w:fldChar w:fldCharType="begin"/>
      </w:r>
      <w:r w:rsidR="004D35BC" w:rsidRPr="00300A27">
        <w:rPr>
          <w:spacing w:val="0"/>
          <w:szCs w:val="20"/>
          <w:lang w:val="en-US"/>
        </w:rPr>
        <w:instrText xml:space="preserve"> REF _Ref32514367 \r \h </w:instrText>
      </w:r>
      <w:r w:rsidR="00B243B6" w:rsidRPr="00300A27">
        <w:rPr>
          <w:spacing w:val="0"/>
          <w:szCs w:val="20"/>
          <w:lang w:val="en-US"/>
        </w:rPr>
        <w:instrText xml:space="preserve"> \* MERGEFORMAT </w:instrText>
      </w:r>
      <w:r w:rsidR="004D35BC" w:rsidRPr="00300A27">
        <w:rPr>
          <w:spacing w:val="0"/>
          <w:szCs w:val="20"/>
          <w:lang w:val="en-US"/>
        </w:rPr>
      </w:r>
      <w:r w:rsidR="004D35BC" w:rsidRPr="00300A27">
        <w:rPr>
          <w:spacing w:val="0"/>
          <w:szCs w:val="20"/>
          <w:lang w:val="en-US"/>
        </w:rPr>
        <w:fldChar w:fldCharType="separate"/>
      </w:r>
      <w:r w:rsidR="00632F77" w:rsidRPr="00300A27">
        <w:rPr>
          <w:spacing w:val="0"/>
          <w:szCs w:val="20"/>
          <w:lang w:val="en-US"/>
        </w:rPr>
        <w:t>145</w:t>
      </w:r>
      <w:r w:rsidR="004D35BC" w:rsidRPr="00300A27">
        <w:rPr>
          <w:spacing w:val="0"/>
          <w:szCs w:val="20"/>
          <w:lang w:val="en-US"/>
        </w:rPr>
        <w:fldChar w:fldCharType="end"/>
      </w:r>
      <w:r w:rsidR="004D35BC" w:rsidRPr="00300A27">
        <w:rPr>
          <w:spacing w:val="0"/>
          <w:szCs w:val="20"/>
          <w:lang w:val="en-US"/>
        </w:rPr>
        <w:t xml:space="preserve"> </w:t>
      </w:r>
      <w:r w:rsidR="008638D6" w:rsidRPr="00300A27">
        <w:rPr>
          <w:spacing w:val="0"/>
          <w:szCs w:val="20"/>
          <w:lang w:val="en-US"/>
        </w:rPr>
        <w:t>to</w:t>
      </w:r>
      <w:r w:rsidR="004D35BC" w:rsidRPr="00300A27">
        <w:rPr>
          <w:spacing w:val="0"/>
          <w:szCs w:val="20"/>
          <w:lang w:val="en-US"/>
        </w:rPr>
        <w:t xml:space="preserve"> </w:t>
      </w:r>
      <w:r w:rsidR="00F96BD4" w:rsidRPr="00300A27">
        <w:rPr>
          <w:rFonts w:eastAsiaTheme="minorHAnsi"/>
          <w:spacing w:val="0"/>
          <w:szCs w:val="20"/>
          <w:lang w:val="en-US" w:eastAsia="en-US"/>
        </w:rPr>
        <w:fldChar w:fldCharType="begin"/>
      </w:r>
      <w:r w:rsidR="00F96BD4" w:rsidRPr="00300A27">
        <w:rPr>
          <w:rFonts w:eastAsiaTheme="minorHAnsi"/>
          <w:spacing w:val="0"/>
          <w:szCs w:val="20"/>
          <w:lang w:val="en-US" w:eastAsia="en-US"/>
        </w:rPr>
        <w:instrText xml:space="preserve"> REF _Ref446690810 \r \h </w:instrText>
      </w:r>
      <w:r w:rsidR="00B243B6" w:rsidRPr="00300A27">
        <w:rPr>
          <w:rFonts w:eastAsiaTheme="minorHAnsi"/>
          <w:spacing w:val="0"/>
          <w:szCs w:val="20"/>
          <w:lang w:val="en-US" w:eastAsia="en-US"/>
        </w:rPr>
        <w:instrText xml:space="preserve"> \* MERGEFORMAT </w:instrText>
      </w:r>
      <w:r w:rsidR="00F96BD4" w:rsidRPr="00300A27">
        <w:rPr>
          <w:rFonts w:eastAsiaTheme="minorHAnsi"/>
          <w:spacing w:val="0"/>
          <w:szCs w:val="20"/>
          <w:lang w:val="en-US" w:eastAsia="en-US"/>
        </w:rPr>
      </w:r>
      <w:r w:rsidR="00F96BD4" w:rsidRPr="00300A27">
        <w:rPr>
          <w:rFonts w:eastAsiaTheme="minorHAnsi"/>
          <w:spacing w:val="0"/>
          <w:szCs w:val="20"/>
          <w:lang w:val="en-US" w:eastAsia="en-US"/>
        </w:rPr>
        <w:fldChar w:fldCharType="separate"/>
      </w:r>
      <w:r w:rsidR="00632F77" w:rsidRPr="00300A27">
        <w:rPr>
          <w:rFonts w:eastAsiaTheme="minorHAnsi"/>
          <w:spacing w:val="0"/>
          <w:szCs w:val="20"/>
          <w:lang w:val="en-US" w:eastAsia="en-US"/>
        </w:rPr>
        <w:t>165</w:t>
      </w:r>
      <w:r w:rsidR="00F96BD4" w:rsidRPr="00300A27">
        <w:rPr>
          <w:rFonts w:eastAsiaTheme="minorHAnsi"/>
          <w:spacing w:val="0"/>
          <w:szCs w:val="20"/>
          <w:lang w:val="en-US" w:eastAsia="en-US"/>
        </w:rPr>
        <w:fldChar w:fldCharType="end"/>
      </w:r>
      <w:r w:rsidR="00F96BD4" w:rsidRPr="00300A27">
        <w:rPr>
          <w:rFonts w:eastAsiaTheme="minorHAnsi"/>
          <w:spacing w:val="0"/>
          <w:szCs w:val="20"/>
          <w:lang w:val="en-US" w:eastAsia="en-US"/>
        </w:rPr>
        <w:t xml:space="preserve">). </w:t>
      </w:r>
      <w:r w:rsidR="008638D6" w:rsidRPr="00300A27">
        <w:rPr>
          <w:rFonts w:eastAsiaTheme="minorHAnsi"/>
          <w:spacing w:val="0"/>
          <w:szCs w:val="20"/>
          <w:lang w:val="en-US" w:eastAsia="en-US"/>
        </w:rPr>
        <w:t xml:space="preserve">Therefore, the Court </w:t>
      </w:r>
      <w:r w:rsidR="00DE01F7" w:rsidRPr="00300A27">
        <w:rPr>
          <w:rFonts w:eastAsiaTheme="minorHAnsi"/>
          <w:spacing w:val="0"/>
          <w:szCs w:val="20"/>
          <w:lang w:val="en-US" w:eastAsia="en-US"/>
        </w:rPr>
        <w:t>considers it necessary to order a measure of reparation that provides appropriate treatment for the physical, psychological or psychiatric problems suffered by the victim based on her particularities and case history.</w:t>
      </w:r>
      <w:r w:rsidR="00852D2F" w:rsidRPr="00300A27">
        <w:rPr>
          <w:rStyle w:val="Refdenotaalpie"/>
          <w:spacing w:val="0"/>
          <w:szCs w:val="20"/>
          <w:lang w:val="en-US"/>
        </w:rPr>
        <w:footnoteReference w:id="302"/>
      </w:r>
      <w:r w:rsidR="00DE01F7" w:rsidRPr="00300A27">
        <w:rPr>
          <w:spacing w:val="0"/>
          <w:szCs w:val="20"/>
          <w:lang w:val="en-US"/>
        </w:rPr>
        <w:t xml:space="preserve"> The Court orders the State to provide </w:t>
      </w:r>
      <w:r w:rsidR="0075115A" w:rsidRPr="00300A27">
        <w:rPr>
          <w:spacing w:val="0"/>
          <w:szCs w:val="20"/>
          <w:lang w:val="en-US"/>
        </w:rPr>
        <w:t xml:space="preserve">Azul Rojas Marín with </w:t>
      </w:r>
      <w:r w:rsidR="00DE01F7" w:rsidRPr="00300A27">
        <w:rPr>
          <w:spacing w:val="0"/>
          <w:szCs w:val="20"/>
          <w:lang w:val="en-US"/>
        </w:rPr>
        <w:t>medical care, free of charge and immediately,</w:t>
      </w:r>
      <w:r w:rsidR="00852D2F" w:rsidRPr="00300A27">
        <w:rPr>
          <w:spacing w:val="0"/>
          <w:szCs w:val="20"/>
          <w:lang w:val="en-US"/>
        </w:rPr>
        <w:t xml:space="preserve"> </w:t>
      </w:r>
      <w:r w:rsidR="00DE01F7" w:rsidRPr="00300A27">
        <w:rPr>
          <w:spacing w:val="0"/>
          <w:szCs w:val="20"/>
          <w:lang w:val="en-US"/>
        </w:rPr>
        <w:t>and this should include the provision of medication and, if applicable, transport and other directly related and necessary expenses.</w:t>
      </w:r>
      <w:r w:rsidR="00852D2F" w:rsidRPr="00300A27">
        <w:rPr>
          <w:rStyle w:val="Refdenotaalpie"/>
          <w:spacing w:val="0"/>
          <w:szCs w:val="20"/>
          <w:lang w:val="en-US"/>
        </w:rPr>
        <w:footnoteReference w:id="303"/>
      </w:r>
      <w:r w:rsidR="00852D2F" w:rsidRPr="00300A27">
        <w:rPr>
          <w:spacing w:val="0"/>
          <w:szCs w:val="20"/>
          <w:lang w:val="en-US"/>
        </w:rPr>
        <w:t xml:space="preserve"> </w:t>
      </w:r>
      <w:r w:rsidR="00DE01F7" w:rsidRPr="00300A27">
        <w:rPr>
          <w:spacing w:val="0"/>
          <w:szCs w:val="20"/>
          <w:lang w:val="en-US"/>
        </w:rPr>
        <w:t>Furthermore, this must be provided in the centers nearest to her place of residence,</w:t>
      </w:r>
      <w:r w:rsidR="00852D2F" w:rsidRPr="00300A27">
        <w:rPr>
          <w:rStyle w:val="Refdenotaalpie"/>
          <w:spacing w:val="0"/>
          <w:szCs w:val="20"/>
          <w:lang w:val="en-US"/>
        </w:rPr>
        <w:footnoteReference w:id="304"/>
      </w:r>
      <w:r w:rsidR="00DE01F7" w:rsidRPr="00300A27">
        <w:rPr>
          <w:spacing w:val="0"/>
          <w:szCs w:val="20"/>
          <w:lang w:val="en-US"/>
        </w:rPr>
        <w:t xml:space="preserve"> for as long as necessary. The psychological and/or psychiatric </w:t>
      </w:r>
      <w:r w:rsidR="0075115A" w:rsidRPr="00300A27">
        <w:rPr>
          <w:spacing w:val="0"/>
          <w:szCs w:val="20"/>
          <w:lang w:val="en-US"/>
        </w:rPr>
        <w:t>care</w:t>
      </w:r>
      <w:r w:rsidR="00DE01F7" w:rsidRPr="00300A27">
        <w:rPr>
          <w:spacing w:val="0"/>
          <w:szCs w:val="20"/>
          <w:lang w:val="en-US"/>
        </w:rPr>
        <w:t xml:space="preserve"> should also take into account the victim’s particular circumstances and needs, as agreed with her and following an individual evaluation.</w:t>
      </w:r>
      <w:r w:rsidR="00852D2F" w:rsidRPr="00300A27">
        <w:rPr>
          <w:rStyle w:val="Refdenotaalpie"/>
          <w:spacing w:val="0"/>
          <w:szCs w:val="20"/>
          <w:lang w:val="en-US"/>
        </w:rPr>
        <w:footnoteReference w:id="305"/>
      </w:r>
      <w:bookmarkEnd w:id="203"/>
      <w:r w:rsidR="00852D2F" w:rsidRPr="00300A27">
        <w:rPr>
          <w:spacing w:val="0"/>
          <w:szCs w:val="20"/>
          <w:lang w:val="en-US"/>
        </w:rPr>
        <w:t xml:space="preserve"> </w:t>
      </w:r>
    </w:p>
    <w:p w14:paraId="6413BB76" w14:textId="3C4E4151" w:rsidR="00852D2F" w:rsidRPr="00300A27" w:rsidRDefault="00DE01F7" w:rsidP="00B243B6">
      <w:pPr>
        <w:pStyle w:val="PrrafodeSentencia"/>
        <w:numPr>
          <w:ilvl w:val="0"/>
          <w:numId w:val="3"/>
        </w:numPr>
        <w:spacing w:before="120" w:after="120"/>
        <w:ind w:left="0" w:firstLine="0"/>
        <w:rPr>
          <w:spacing w:val="0"/>
          <w:lang w:val="en-US"/>
        </w:rPr>
      </w:pPr>
      <w:bookmarkStart w:id="204" w:name="_Ref33110015"/>
      <w:r w:rsidRPr="00300A27">
        <w:rPr>
          <w:spacing w:val="0"/>
          <w:szCs w:val="20"/>
          <w:lang w:val="en-US"/>
        </w:rPr>
        <w:t xml:space="preserve">The beneficiary of this measure has six months from notification </w:t>
      </w:r>
      <w:r w:rsidR="005B46A0" w:rsidRPr="00300A27">
        <w:rPr>
          <w:spacing w:val="0"/>
          <w:szCs w:val="20"/>
          <w:lang w:val="en-US"/>
        </w:rPr>
        <w:t>of this judgment</w:t>
      </w:r>
      <w:r w:rsidRPr="00300A27">
        <w:rPr>
          <w:spacing w:val="0"/>
          <w:szCs w:val="20"/>
          <w:lang w:val="en-US"/>
        </w:rPr>
        <w:t xml:space="preserve"> to confirm to the State that she agrees to receive psychological and/or psychiatric </w:t>
      </w:r>
      <w:r w:rsidR="0075115A" w:rsidRPr="00300A27">
        <w:rPr>
          <w:spacing w:val="0"/>
          <w:szCs w:val="20"/>
          <w:lang w:val="en-US"/>
        </w:rPr>
        <w:t>care</w:t>
      </w:r>
      <w:r w:rsidRPr="00300A27">
        <w:rPr>
          <w:spacing w:val="0"/>
          <w:szCs w:val="20"/>
          <w:lang w:val="en-US"/>
        </w:rPr>
        <w:t>.</w:t>
      </w:r>
      <w:r w:rsidR="00852D2F" w:rsidRPr="00300A27">
        <w:rPr>
          <w:rStyle w:val="Refdenotaalpie"/>
          <w:spacing w:val="0"/>
          <w:szCs w:val="20"/>
          <w:lang w:val="en-US"/>
        </w:rPr>
        <w:footnoteReference w:id="306"/>
      </w:r>
      <w:r w:rsidRPr="00300A27">
        <w:rPr>
          <w:spacing w:val="0"/>
          <w:szCs w:val="20"/>
          <w:lang w:val="en-US"/>
        </w:rPr>
        <w:t xml:space="preserve"> And the State has three months from the reception of this request to provide the psychological and/or psychiatric care requested. </w:t>
      </w:r>
      <w:bookmarkEnd w:id="204"/>
    </w:p>
    <w:p w14:paraId="0E2B1D83" w14:textId="2F57E9C5" w:rsidR="00AA4612" w:rsidRPr="00300A27" w:rsidRDefault="002959DE" w:rsidP="00B243B6">
      <w:pPr>
        <w:pStyle w:val="Ttulo2"/>
        <w:numPr>
          <w:ilvl w:val="0"/>
          <w:numId w:val="27"/>
        </w:numPr>
        <w:ind w:left="1134" w:hanging="567"/>
        <w:rPr>
          <w:lang w:val="en-US"/>
        </w:rPr>
      </w:pPr>
      <w:r w:rsidRPr="00300A27">
        <w:rPr>
          <w:lang w:val="en-US"/>
        </w:rPr>
        <w:t>Guarantees of non-repetition</w:t>
      </w:r>
    </w:p>
    <w:p w14:paraId="65E32C6E" w14:textId="2654B3DA" w:rsidR="00AA4612" w:rsidRPr="00300A27" w:rsidRDefault="00AA4612" w:rsidP="00B243B6">
      <w:pPr>
        <w:pStyle w:val="Ttulo3"/>
        <w:jc w:val="both"/>
        <w:rPr>
          <w:lang w:val="en-US"/>
        </w:rPr>
      </w:pPr>
      <w:bookmarkStart w:id="205" w:name="_Toc36823509"/>
      <w:r w:rsidRPr="00300A27">
        <w:rPr>
          <w:lang w:val="en-US"/>
        </w:rPr>
        <w:t xml:space="preserve">D.1 </w:t>
      </w:r>
      <w:r w:rsidR="00CD6F00" w:rsidRPr="00300A27">
        <w:rPr>
          <w:lang w:val="en-US"/>
        </w:rPr>
        <w:t>Adoption of a protocol on investigation and administration of justice</w:t>
      </w:r>
      <w:r w:rsidRPr="00300A27">
        <w:rPr>
          <w:lang w:val="en-US"/>
        </w:rPr>
        <w:t xml:space="preserve"> </w:t>
      </w:r>
      <w:r w:rsidR="00CD6F00" w:rsidRPr="00300A27">
        <w:rPr>
          <w:lang w:val="en-US"/>
        </w:rPr>
        <w:t>in cases of violence against LGBTI people</w:t>
      </w:r>
      <w:bookmarkEnd w:id="205"/>
    </w:p>
    <w:p w14:paraId="5B678A57" w14:textId="6F71EA22" w:rsidR="00AA4612" w:rsidRPr="00300A27" w:rsidRDefault="00C2001D" w:rsidP="00B243B6">
      <w:pPr>
        <w:pStyle w:val="PrrafodeSentencia"/>
        <w:numPr>
          <w:ilvl w:val="0"/>
          <w:numId w:val="3"/>
        </w:numPr>
        <w:spacing w:before="120" w:after="120"/>
        <w:ind w:left="0" w:firstLine="0"/>
        <w:rPr>
          <w:b/>
          <w:spacing w:val="0"/>
          <w:lang w:val="en-US"/>
        </w:rPr>
      </w:pPr>
      <w:r w:rsidRPr="00300A27">
        <w:rPr>
          <w:spacing w:val="0"/>
          <w:lang w:val="en-US"/>
        </w:rPr>
        <w:t xml:space="preserve">The </w:t>
      </w:r>
      <w:r w:rsidRPr="00300A27">
        <w:rPr>
          <w:b/>
          <w:bCs/>
          <w:i/>
          <w:iCs/>
          <w:spacing w:val="0"/>
          <w:lang w:val="en-US"/>
        </w:rPr>
        <w:t>Commission</w:t>
      </w:r>
      <w:r w:rsidR="00AA4612" w:rsidRPr="00300A27">
        <w:rPr>
          <w:spacing w:val="0"/>
          <w:lang w:val="en-US"/>
        </w:rPr>
        <w:t xml:space="preserve"> </w:t>
      </w:r>
      <w:r w:rsidR="0083352D" w:rsidRPr="00300A27">
        <w:rPr>
          <w:spacing w:val="0"/>
          <w:lang w:val="en-US"/>
        </w:rPr>
        <w:t>asked the Court to order</w:t>
      </w:r>
      <w:r w:rsidR="00BA3C7F" w:rsidRPr="00300A27">
        <w:rPr>
          <w:spacing w:val="0"/>
          <w:lang w:val="en-US"/>
        </w:rPr>
        <w:t xml:space="preserve"> the State</w:t>
      </w:r>
      <w:r w:rsidR="00AA4612" w:rsidRPr="00300A27">
        <w:rPr>
          <w:spacing w:val="0"/>
          <w:lang w:val="en-US"/>
        </w:rPr>
        <w:t xml:space="preserve"> </w:t>
      </w:r>
      <w:r w:rsidR="0083352D" w:rsidRPr="00300A27">
        <w:rPr>
          <w:spacing w:val="0"/>
          <w:lang w:val="en-US"/>
        </w:rPr>
        <w:t>to adopt</w:t>
      </w:r>
      <w:r w:rsidR="00AA4612" w:rsidRPr="00300A27">
        <w:rPr>
          <w:spacing w:val="0"/>
          <w:lang w:val="en-US"/>
        </w:rPr>
        <w:t xml:space="preserve"> “</w:t>
      </w:r>
      <w:r w:rsidR="0083352D" w:rsidRPr="00300A27">
        <w:rPr>
          <w:spacing w:val="0"/>
          <w:lang w:val="en-US"/>
        </w:rPr>
        <w:t xml:space="preserve">legislative, administrative </w:t>
      </w:r>
      <w:r w:rsidR="006D0B58" w:rsidRPr="00300A27">
        <w:rPr>
          <w:spacing w:val="0"/>
          <w:lang w:val="en-US"/>
        </w:rPr>
        <w:t>and</w:t>
      </w:r>
      <w:r w:rsidR="0083352D" w:rsidRPr="00300A27">
        <w:rPr>
          <w:spacing w:val="0"/>
          <w:lang w:val="en-US"/>
        </w:rPr>
        <w:t xml:space="preserve"> any other measures to ensure access to justice in cases of </w:t>
      </w:r>
      <w:r w:rsidR="00CD6F00" w:rsidRPr="00300A27">
        <w:rPr>
          <w:spacing w:val="0"/>
          <w:lang w:val="en-US"/>
        </w:rPr>
        <w:t>violence against LGBTI people</w:t>
      </w:r>
      <w:r w:rsidR="0083352D" w:rsidRPr="00300A27">
        <w:rPr>
          <w:spacing w:val="0"/>
          <w:lang w:val="en-US"/>
        </w:rPr>
        <w:t>.</w:t>
      </w:r>
      <w:r w:rsidR="00AA4612" w:rsidRPr="00300A27">
        <w:rPr>
          <w:spacing w:val="0"/>
          <w:lang w:val="en-US"/>
        </w:rPr>
        <w:t xml:space="preserve">” </w:t>
      </w:r>
      <w:r w:rsidR="00BA3C7F" w:rsidRPr="00300A27">
        <w:rPr>
          <w:spacing w:val="0"/>
          <w:lang w:val="en-US"/>
        </w:rPr>
        <w:t xml:space="preserve">The </w:t>
      </w:r>
      <w:r w:rsidR="00BA3C7F" w:rsidRPr="00300A27">
        <w:rPr>
          <w:b/>
          <w:bCs/>
          <w:i/>
          <w:iCs/>
          <w:spacing w:val="0"/>
          <w:lang w:val="en-US"/>
        </w:rPr>
        <w:t>representatives</w:t>
      </w:r>
      <w:r w:rsidR="00AA4612" w:rsidRPr="00300A27">
        <w:rPr>
          <w:spacing w:val="0"/>
          <w:lang w:val="en-US"/>
        </w:rPr>
        <w:t xml:space="preserve"> </w:t>
      </w:r>
      <w:r w:rsidR="0083352D" w:rsidRPr="00300A27">
        <w:rPr>
          <w:spacing w:val="0"/>
          <w:lang w:val="en-US"/>
        </w:rPr>
        <w:t xml:space="preserve">requested, as a guarantee of non-repetition, that the Court order the State to implement investigation protocols and the services of experts and of justice to combat prejudice-based violence against LGBTI people, providing an annual report on the implementation of this measures for four years. They also requested implementation of specific guidelines for police personnel and members of the </w:t>
      </w:r>
      <w:r w:rsidR="0083352D" w:rsidRPr="00300A27">
        <w:rPr>
          <w:i/>
          <w:iCs/>
          <w:spacing w:val="0"/>
          <w:lang w:val="en-US"/>
        </w:rPr>
        <w:t>serenazgo</w:t>
      </w:r>
      <w:r w:rsidR="0083352D" w:rsidRPr="00300A27">
        <w:rPr>
          <w:spacing w:val="0"/>
          <w:lang w:val="en-US"/>
        </w:rPr>
        <w:t xml:space="preserve"> on proper and non-discriminatory treatment of</w:t>
      </w:r>
      <w:r w:rsidR="00F82B3C" w:rsidRPr="00300A27">
        <w:rPr>
          <w:spacing w:val="0"/>
          <w:lang w:val="en-US"/>
        </w:rPr>
        <w:t xml:space="preserve"> the</w:t>
      </w:r>
      <w:r w:rsidR="0083352D" w:rsidRPr="00300A27">
        <w:rPr>
          <w:spacing w:val="0"/>
          <w:lang w:val="en-US"/>
        </w:rPr>
        <w:t xml:space="preserve"> </w:t>
      </w:r>
      <w:r w:rsidR="007E4CD0" w:rsidRPr="00300A27">
        <w:rPr>
          <w:spacing w:val="0"/>
          <w:lang w:val="en-US"/>
        </w:rPr>
        <w:t xml:space="preserve">LGBTI </w:t>
      </w:r>
      <w:r w:rsidR="00F82B3C" w:rsidRPr="00300A27">
        <w:rPr>
          <w:spacing w:val="0"/>
          <w:lang w:val="en-US"/>
        </w:rPr>
        <w:t>community</w:t>
      </w:r>
      <w:r w:rsidR="00701E27" w:rsidRPr="00300A27">
        <w:rPr>
          <w:spacing w:val="0"/>
          <w:lang w:val="en-US"/>
        </w:rPr>
        <w:t xml:space="preserve">. </w:t>
      </w:r>
    </w:p>
    <w:p w14:paraId="4804AB1D" w14:textId="54697AF6" w:rsidR="006542F3" w:rsidRPr="00300A27" w:rsidRDefault="005B1C65" w:rsidP="00B243B6">
      <w:pPr>
        <w:pStyle w:val="PrrafodeSentencia"/>
        <w:numPr>
          <w:ilvl w:val="0"/>
          <w:numId w:val="3"/>
        </w:numPr>
        <w:spacing w:before="120" w:after="120"/>
        <w:ind w:left="0" w:firstLine="0"/>
        <w:rPr>
          <w:spacing w:val="0"/>
          <w:lang w:val="en-US"/>
        </w:rPr>
      </w:pPr>
      <w:r w:rsidRPr="00300A27">
        <w:rPr>
          <w:spacing w:val="0"/>
          <w:lang w:val="en-US"/>
        </w:rPr>
        <w:t xml:space="preserve">The </w:t>
      </w:r>
      <w:r w:rsidRPr="00300A27">
        <w:rPr>
          <w:b/>
          <w:bCs/>
          <w:i/>
          <w:iCs/>
          <w:spacing w:val="0"/>
          <w:lang w:val="en-US"/>
        </w:rPr>
        <w:t>State</w:t>
      </w:r>
      <w:r w:rsidR="00AA4612" w:rsidRPr="00300A27">
        <w:rPr>
          <w:spacing w:val="0"/>
          <w:lang w:val="en-US"/>
        </w:rPr>
        <w:t xml:space="preserve"> </w:t>
      </w:r>
      <w:r w:rsidR="000C464A" w:rsidRPr="00300A27">
        <w:rPr>
          <w:spacing w:val="0"/>
          <w:lang w:val="en-US"/>
        </w:rPr>
        <w:t>advised</w:t>
      </w:r>
      <w:r w:rsidR="00AA4612" w:rsidRPr="00300A27">
        <w:rPr>
          <w:spacing w:val="0"/>
          <w:lang w:val="en-US"/>
        </w:rPr>
        <w:t xml:space="preserve"> “</w:t>
      </w:r>
      <w:r w:rsidR="0083352D" w:rsidRPr="00300A27">
        <w:rPr>
          <w:spacing w:val="0"/>
          <w:lang w:val="en-US"/>
        </w:rPr>
        <w:t xml:space="preserve">that it had been adopting measures in its different entities to prevent and eradicate discrimination and violence against </w:t>
      </w:r>
      <w:r w:rsidR="007E4CD0" w:rsidRPr="00300A27">
        <w:rPr>
          <w:spacing w:val="0"/>
          <w:lang w:val="en-US"/>
        </w:rPr>
        <w:t>LGBTI people</w:t>
      </w:r>
      <w:r w:rsidR="0083352D" w:rsidRPr="00300A27">
        <w:rPr>
          <w:spacing w:val="0"/>
          <w:lang w:val="en-US"/>
        </w:rPr>
        <w:t>.</w:t>
      </w:r>
      <w:r w:rsidR="00AA4612" w:rsidRPr="00300A27">
        <w:rPr>
          <w:spacing w:val="0"/>
          <w:lang w:val="en-US"/>
        </w:rPr>
        <w:t>”</w:t>
      </w:r>
      <w:r w:rsidR="0083352D" w:rsidRPr="00300A27">
        <w:rPr>
          <w:spacing w:val="0"/>
          <w:lang w:val="en-US"/>
        </w:rPr>
        <w:t xml:space="preserve"> It highlighted the adoption of the National Gender Policy and “the Protocol of the Peruvian National Police for the protection and care of victims and witnesses of people trafficking” that had a gender</w:t>
      </w:r>
      <w:r w:rsidR="00F82B3C" w:rsidRPr="00300A27">
        <w:rPr>
          <w:spacing w:val="0"/>
          <w:lang w:val="en-US"/>
        </w:rPr>
        <w:t>-based</w:t>
      </w:r>
      <w:r w:rsidR="0083352D" w:rsidRPr="00300A27">
        <w:rPr>
          <w:spacing w:val="0"/>
          <w:lang w:val="en-US"/>
        </w:rPr>
        <w:t xml:space="preserve"> approach that include</w:t>
      </w:r>
      <w:r w:rsidR="00F82B3C" w:rsidRPr="00300A27">
        <w:rPr>
          <w:spacing w:val="0"/>
          <w:lang w:val="en-US"/>
        </w:rPr>
        <w:t>d</w:t>
      </w:r>
      <w:r w:rsidR="0083352D" w:rsidRPr="00300A27">
        <w:rPr>
          <w:spacing w:val="0"/>
          <w:lang w:val="en-US"/>
        </w:rPr>
        <w:t xml:space="preserve"> the LGBTI population. Regarding the Peruvian National Police, the State had recently adopted the Manual of Human Rights applied to </w:t>
      </w:r>
      <w:r w:rsidR="00A50BE9" w:rsidRPr="00300A27">
        <w:rPr>
          <w:spacing w:val="0"/>
          <w:lang w:val="en-US"/>
        </w:rPr>
        <w:t>Police Work on August 13, 2018, which contain</w:t>
      </w:r>
      <w:r w:rsidR="00F82B3C" w:rsidRPr="00300A27">
        <w:rPr>
          <w:spacing w:val="0"/>
          <w:lang w:val="en-US"/>
        </w:rPr>
        <w:t>ed</w:t>
      </w:r>
      <w:r w:rsidR="00A50BE9" w:rsidRPr="00300A27">
        <w:rPr>
          <w:spacing w:val="0"/>
          <w:lang w:val="en-US"/>
        </w:rPr>
        <w:t xml:space="preserve"> a “chapter on victims and vulnerable groups </w:t>
      </w:r>
      <w:r w:rsidR="00F82B3C" w:rsidRPr="00300A27">
        <w:rPr>
          <w:spacing w:val="0"/>
          <w:lang w:val="en-US"/>
        </w:rPr>
        <w:t>that</w:t>
      </w:r>
      <w:r w:rsidR="00A50BE9" w:rsidRPr="00300A27">
        <w:rPr>
          <w:spacing w:val="0"/>
          <w:lang w:val="en-US"/>
        </w:rPr>
        <w:t xml:space="preserve"> describes </w:t>
      </w:r>
      <w:r w:rsidR="00F82B3C" w:rsidRPr="00300A27">
        <w:rPr>
          <w:spacing w:val="0"/>
          <w:lang w:val="en-US"/>
        </w:rPr>
        <w:t>factors</w:t>
      </w:r>
      <w:r w:rsidR="00A50BE9" w:rsidRPr="00300A27">
        <w:rPr>
          <w:spacing w:val="0"/>
          <w:lang w:val="en-US"/>
        </w:rPr>
        <w:t xml:space="preserve"> that police personnel should take into account when dealing with situations that involve […] the LGB</w:t>
      </w:r>
      <w:r w:rsidR="00F82B3C" w:rsidRPr="00300A27">
        <w:rPr>
          <w:spacing w:val="0"/>
          <w:lang w:val="en-US"/>
        </w:rPr>
        <w:t>T</w:t>
      </w:r>
      <w:r w:rsidR="00A50BE9" w:rsidRPr="00300A27">
        <w:rPr>
          <w:spacing w:val="0"/>
          <w:lang w:val="en-US"/>
        </w:rPr>
        <w:t xml:space="preserve">I community.” In the </w:t>
      </w:r>
      <w:r w:rsidR="00F82B3C" w:rsidRPr="00300A27">
        <w:rPr>
          <w:spacing w:val="0"/>
          <w:lang w:val="en-US"/>
        </w:rPr>
        <w:t>area</w:t>
      </w:r>
      <w:r w:rsidR="00A50BE9" w:rsidRPr="00300A27">
        <w:rPr>
          <w:spacing w:val="0"/>
          <w:lang w:val="en-US"/>
        </w:rPr>
        <w:t xml:space="preserve"> of the administration of justice, the State advised that it had established the Judiciary’s Gender Justice Committee and had adopted the</w:t>
      </w:r>
      <w:r w:rsidR="00AA4612" w:rsidRPr="00300A27">
        <w:rPr>
          <w:spacing w:val="0"/>
          <w:lang w:val="en-US"/>
        </w:rPr>
        <w:t xml:space="preserve"> “</w:t>
      </w:r>
      <w:r w:rsidR="009B35A1" w:rsidRPr="00300A27">
        <w:rPr>
          <w:spacing w:val="0"/>
          <w:lang w:val="en-US"/>
        </w:rPr>
        <w:t>National Plan for Access to Justice by Persons in a Situation of Vulnerability</w:t>
      </w:r>
      <w:r w:rsidR="00AA4612" w:rsidRPr="00300A27">
        <w:rPr>
          <w:spacing w:val="0"/>
          <w:lang w:val="en-US"/>
        </w:rPr>
        <w:t>-</w:t>
      </w:r>
      <w:r w:rsidR="009B35A1" w:rsidRPr="00300A27">
        <w:rPr>
          <w:spacing w:val="0"/>
          <w:lang w:val="en-US"/>
        </w:rPr>
        <w:t>Judiciary</w:t>
      </w:r>
      <w:r w:rsidR="00AA4612" w:rsidRPr="00300A27">
        <w:rPr>
          <w:spacing w:val="0"/>
          <w:lang w:val="en-US"/>
        </w:rPr>
        <w:t xml:space="preserve"> </w:t>
      </w:r>
      <w:r w:rsidR="009B35A1" w:rsidRPr="00300A27">
        <w:rPr>
          <w:spacing w:val="0"/>
          <w:lang w:val="en-US"/>
        </w:rPr>
        <w:t>of Peru</w:t>
      </w:r>
      <w:r w:rsidR="00AA4612" w:rsidRPr="00300A27">
        <w:rPr>
          <w:spacing w:val="0"/>
          <w:lang w:val="en-US"/>
        </w:rPr>
        <w:t xml:space="preserve"> 2016-2021</w:t>
      </w:r>
      <w:r w:rsidR="00A50BE9" w:rsidRPr="00300A27">
        <w:rPr>
          <w:spacing w:val="0"/>
          <w:lang w:val="en-US"/>
        </w:rPr>
        <w:t>.</w:t>
      </w:r>
      <w:r w:rsidR="00AA4612" w:rsidRPr="00300A27">
        <w:rPr>
          <w:spacing w:val="0"/>
          <w:lang w:val="en-US"/>
        </w:rPr>
        <w:t xml:space="preserve">”  </w:t>
      </w:r>
    </w:p>
    <w:p w14:paraId="043EFC3C" w14:textId="6D73FDB0" w:rsidR="00A50BE9" w:rsidRPr="00300A27" w:rsidRDefault="005B1C65" w:rsidP="00B243B6">
      <w:pPr>
        <w:pStyle w:val="PrrafodeSentencia"/>
        <w:numPr>
          <w:ilvl w:val="0"/>
          <w:numId w:val="3"/>
        </w:numPr>
        <w:spacing w:before="120" w:after="120"/>
        <w:ind w:left="0" w:firstLine="0"/>
        <w:rPr>
          <w:spacing w:val="0"/>
          <w:lang w:val="en-US"/>
        </w:rPr>
      </w:pPr>
      <w:r w:rsidRPr="00300A27">
        <w:rPr>
          <w:spacing w:val="0"/>
          <w:szCs w:val="20"/>
          <w:lang w:val="en-US"/>
        </w:rPr>
        <w:t>The State</w:t>
      </w:r>
      <w:r w:rsidR="006542F3" w:rsidRPr="00300A27">
        <w:rPr>
          <w:spacing w:val="0"/>
          <w:szCs w:val="20"/>
          <w:lang w:val="en-US"/>
        </w:rPr>
        <w:t xml:space="preserve"> </w:t>
      </w:r>
      <w:r w:rsidR="00A50BE9" w:rsidRPr="00300A27">
        <w:rPr>
          <w:spacing w:val="0"/>
          <w:szCs w:val="20"/>
          <w:lang w:val="en-US"/>
        </w:rPr>
        <w:t>also indicated that the</w:t>
      </w:r>
      <w:r w:rsidR="006542F3" w:rsidRPr="00300A27">
        <w:rPr>
          <w:spacing w:val="0"/>
          <w:szCs w:val="20"/>
          <w:lang w:val="en-US"/>
        </w:rPr>
        <w:t xml:space="preserve"> </w:t>
      </w:r>
      <w:r w:rsidR="00737D26" w:rsidRPr="00300A27">
        <w:rPr>
          <w:spacing w:val="0"/>
          <w:szCs w:val="20"/>
          <w:lang w:val="en-US"/>
        </w:rPr>
        <w:t>Institute of Forensic Medicine</w:t>
      </w:r>
      <w:r w:rsidRPr="00300A27">
        <w:rPr>
          <w:spacing w:val="0"/>
          <w:szCs w:val="20"/>
          <w:lang w:val="en-US"/>
        </w:rPr>
        <w:t xml:space="preserve"> and</w:t>
      </w:r>
      <w:r w:rsidR="00A50BE9" w:rsidRPr="00300A27">
        <w:rPr>
          <w:spacing w:val="0"/>
          <w:szCs w:val="20"/>
          <w:lang w:val="en-US"/>
        </w:rPr>
        <w:t xml:space="preserve"> Forensic Sciences attached to the </w:t>
      </w:r>
      <w:r w:rsidR="00892EDF" w:rsidRPr="00300A27">
        <w:rPr>
          <w:spacing w:val="0"/>
          <w:szCs w:val="20"/>
          <w:lang w:val="en-US"/>
        </w:rPr>
        <w:t>Public Prosecution Service</w:t>
      </w:r>
      <w:r w:rsidR="00A50BE9" w:rsidRPr="00300A27">
        <w:rPr>
          <w:spacing w:val="0"/>
          <w:szCs w:val="20"/>
          <w:lang w:val="en-US"/>
        </w:rPr>
        <w:t xml:space="preserve"> had two protocols that were applicable in cases of violence: (i) Guidelines for the comprehensive appraisal of bodily injuries by the forensic physician, and (ii) Guidelines for the appraisal of psychological harm in adults victims of intentional violence</w:t>
      </w:r>
      <w:r w:rsidR="006542F3" w:rsidRPr="00300A27">
        <w:rPr>
          <w:spacing w:val="0"/>
          <w:szCs w:val="20"/>
          <w:lang w:val="en-US"/>
        </w:rPr>
        <w:t xml:space="preserve">, </w:t>
      </w:r>
      <w:r w:rsidR="00A50BE9" w:rsidRPr="00300A27">
        <w:rPr>
          <w:spacing w:val="0"/>
          <w:szCs w:val="20"/>
          <w:lang w:val="en-US"/>
        </w:rPr>
        <w:t xml:space="preserve">which incorporates the Istanbul Protocol into the practice of forensic physicians in Peru. In addition, the State indicated that, although Plenary Decision </w:t>
      </w:r>
      <w:r w:rsidR="006542F3" w:rsidRPr="00300A27">
        <w:rPr>
          <w:spacing w:val="0"/>
          <w:szCs w:val="20"/>
          <w:lang w:val="en-US"/>
        </w:rPr>
        <w:t>No. 1-2011/CJ-116</w:t>
      </w:r>
      <w:r w:rsidR="00A50BE9" w:rsidRPr="00300A27">
        <w:rPr>
          <w:spacing w:val="0"/>
          <w:szCs w:val="20"/>
          <w:lang w:val="en-US"/>
        </w:rPr>
        <w:t xml:space="preserve"> was not legally binding, “it provides rules for the classification of the offense of rape, the validity and assessment of the victim’s statement (including situations when this is retracted or discontinued)</w:t>
      </w:r>
      <w:r w:rsidR="00F82B3C" w:rsidRPr="00300A27">
        <w:rPr>
          <w:spacing w:val="0"/>
          <w:szCs w:val="20"/>
          <w:lang w:val="en-US"/>
        </w:rPr>
        <w:t>,</w:t>
      </w:r>
      <w:r w:rsidR="00A50BE9" w:rsidRPr="00300A27">
        <w:rPr>
          <w:spacing w:val="0"/>
          <w:szCs w:val="20"/>
          <w:lang w:val="en-US"/>
        </w:rPr>
        <w:t xml:space="preserve"> and </w:t>
      </w:r>
      <w:r w:rsidR="00294165" w:rsidRPr="00300A27">
        <w:rPr>
          <w:spacing w:val="0"/>
          <w:szCs w:val="20"/>
          <w:lang w:val="en-US"/>
        </w:rPr>
        <w:t xml:space="preserve">for </w:t>
      </w:r>
      <w:r w:rsidR="00894121" w:rsidRPr="00300A27">
        <w:rPr>
          <w:spacing w:val="0"/>
          <w:szCs w:val="20"/>
          <w:lang w:val="en-US"/>
        </w:rPr>
        <w:t>general evidence in rape offenses.</w:t>
      </w:r>
      <w:r w:rsidR="00F82B3C" w:rsidRPr="00300A27">
        <w:rPr>
          <w:spacing w:val="0"/>
          <w:szCs w:val="20"/>
          <w:lang w:val="en-US"/>
        </w:rPr>
        <w:t>”</w:t>
      </w:r>
      <w:r w:rsidR="00894121" w:rsidRPr="00300A27">
        <w:rPr>
          <w:spacing w:val="0"/>
          <w:szCs w:val="20"/>
          <w:lang w:val="en-US"/>
        </w:rPr>
        <w:t xml:space="preserve"> It underscored that this decision </w:t>
      </w:r>
      <w:r w:rsidR="00F82B3C" w:rsidRPr="00300A27">
        <w:rPr>
          <w:spacing w:val="0"/>
          <w:szCs w:val="20"/>
          <w:lang w:val="en-US"/>
        </w:rPr>
        <w:t>stipulated</w:t>
      </w:r>
      <w:r w:rsidR="00894121" w:rsidRPr="00300A27">
        <w:rPr>
          <w:spacing w:val="0"/>
          <w:szCs w:val="20"/>
          <w:lang w:val="en-US"/>
        </w:rPr>
        <w:t xml:space="preserve"> that, </w:t>
      </w:r>
      <w:r w:rsidR="00F82B3C" w:rsidRPr="00300A27">
        <w:rPr>
          <w:spacing w:val="0"/>
          <w:szCs w:val="20"/>
          <w:lang w:val="en-US"/>
        </w:rPr>
        <w:t>“</w:t>
      </w:r>
      <w:r w:rsidR="00894121" w:rsidRPr="00300A27">
        <w:rPr>
          <w:spacing w:val="0"/>
          <w:szCs w:val="20"/>
          <w:lang w:val="en-US"/>
        </w:rPr>
        <w:t xml:space="preserve">when sexual offenses </w:t>
      </w:r>
      <w:r w:rsidR="00F82B3C" w:rsidRPr="00300A27">
        <w:rPr>
          <w:spacing w:val="0"/>
          <w:szCs w:val="20"/>
          <w:lang w:val="en-US"/>
        </w:rPr>
        <w:t>a</w:t>
      </w:r>
      <w:r w:rsidR="00894121" w:rsidRPr="00300A27">
        <w:rPr>
          <w:spacing w:val="0"/>
          <w:szCs w:val="20"/>
          <w:lang w:val="en-US"/>
        </w:rPr>
        <w:t>re evaluated in court, any gender stereotyping or prejudice must be rejected.” The State also mentioned two other plenary decisions, one on “assessment of expert evidence in rape offenses” and the other on “rules for the assessment of the statements of co-defendants and aggrieved parties.”</w:t>
      </w:r>
    </w:p>
    <w:p w14:paraId="08BFDB98" w14:textId="6D4D5F58" w:rsidR="00AA4612" w:rsidRPr="00300A27" w:rsidRDefault="005B1C65" w:rsidP="00B243B6">
      <w:pPr>
        <w:pStyle w:val="PrrafodeSentencia"/>
        <w:numPr>
          <w:ilvl w:val="0"/>
          <w:numId w:val="3"/>
        </w:numPr>
        <w:spacing w:before="120" w:after="120"/>
        <w:ind w:left="0" w:firstLine="0"/>
        <w:rPr>
          <w:spacing w:val="0"/>
          <w:lang w:val="en-US"/>
        </w:rPr>
      </w:pPr>
      <w:bookmarkStart w:id="206" w:name="_Ref446682288"/>
      <w:r w:rsidRPr="00300A27">
        <w:rPr>
          <w:spacing w:val="0"/>
          <w:lang w:val="en-US"/>
        </w:rPr>
        <w:t>The Court</w:t>
      </w:r>
      <w:r w:rsidR="00AA4612" w:rsidRPr="00300A27">
        <w:rPr>
          <w:spacing w:val="0"/>
          <w:lang w:val="en-US"/>
        </w:rPr>
        <w:t xml:space="preserve"> consider</w:t>
      </w:r>
      <w:r w:rsidR="00894121" w:rsidRPr="00300A27">
        <w:rPr>
          <w:spacing w:val="0"/>
          <w:lang w:val="en-US"/>
        </w:rPr>
        <w:t xml:space="preserve">s that the general criteria established in the documentation cited by </w:t>
      </w:r>
      <w:r w:rsidR="00AA4612" w:rsidRPr="00300A27">
        <w:rPr>
          <w:spacing w:val="0"/>
          <w:lang w:val="en-US"/>
        </w:rPr>
        <w:t xml:space="preserve"> </w:t>
      </w:r>
      <w:r w:rsidRPr="00300A27">
        <w:rPr>
          <w:spacing w:val="0"/>
          <w:lang w:val="en-US"/>
        </w:rPr>
        <w:t>the State</w:t>
      </w:r>
      <w:r w:rsidR="00AA4612" w:rsidRPr="00300A27">
        <w:rPr>
          <w:spacing w:val="0"/>
          <w:lang w:val="en-US"/>
        </w:rPr>
        <w:t xml:space="preserve"> </w:t>
      </w:r>
      <w:r w:rsidR="00894121" w:rsidRPr="00300A27">
        <w:rPr>
          <w:spacing w:val="0"/>
          <w:lang w:val="en-US"/>
        </w:rPr>
        <w:t xml:space="preserve">signifies an important step forward towards the adaptation of domestic laws and practices to international standards concerning the protection of </w:t>
      </w:r>
      <w:r w:rsidR="007E4CD0" w:rsidRPr="00300A27">
        <w:rPr>
          <w:spacing w:val="0"/>
          <w:lang w:val="en-US"/>
        </w:rPr>
        <w:t>LGBTI people</w:t>
      </w:r>
      <w:r w:rsidR="00AA4612" w:rsidRPr="00300A27">
        <w:rPr>
          <w:spacing w:val="0"/>
          <w:lang w:val="en-US"/>
        </w:rPr>
        <w:t xml:space="preserve">. </w:t>
      </w:r>
      <w:r w:rsidR="00894121" w:rsidRPr="00300A27">
        <w:rPr>
          <w:spacing w:val="0"/>
          <w:lang w:val="en-US"/>
        </w:rPr>
        <w:t>However</w:t>
      </w:r>
      <w:r w:rsidR="00AA4612" w:rsidRPr="00300A27">
        <w:rPr>
          <w:spacing w:val="0"/>
          <w:lang w:val="en-US"/>
        </w:rPr>
        <w:t xml:space="preserve">, </w:t>
      </w:r>
      <w:r w:rsidR="00894121" w:rsidRPr="00300A27">
        <w:rPr>
          <w:spacing w:val="0"/>
          <w:lang w:val="en-US"/>
        </w:rPr>
        <w:t>it notes that more specific standards</w:t>
      </w:r>
      <w:r w:rsidR="00294165" w:rsidRPr="00300A27">
        <w:rPr>
          <w:spacing w:val="0"/>
          <w:lang w:val="en-US"/>
        </w:rPr>
        <w:t xml:space="preserve"> are required</w:t>
      </w:r>
      <w:r w:rsidR="00894121" w:rsidRPr="00300A27">
        <w:rPr>
          <w:spacing w:val="0"/>
          <w:lang w:val="en-US"/>
        </w:rPr>
        <w:t xml:space="preserve"> that include the criteria established in this judgment and in other relevant international instruments. For example, witness </w:t>
      </w:r>
      <w:r w:rsidR="00640BFB" w:rsidRPr="00300A27">
        <w:rPr>
          <w:spacing w:val="0"/>
          <w:lang w:val="en-US"/>
        </w:rPr>
        <w:t xml:space="preserve">Ketty </w:t>
      </w:r>
      <w:r w:rsidR="00AA4612" w:rsidRPr="00300A27">
        <w:rPr>
          <w:spacing w:val="0"/>
          <w:lang w:val="en-US"/>
        </w:rPr>
        <w:t xml:space="preserve">Garibay Mascco </w:t>
      </w:r>
      <w:r w:rsidR="00894121" w:rsidRPr="00300A27">
        <w:rPr>
          <w:spacing w:val="0"/>
          <w:lang w:val="en-US"/>
        </w:rPr>
        <w:t xml:space="preserve">testified before the Court that, at the present time, the </w:t>
      </w:r>
      <w:r w:rsidR="00892EDF" w:rsidRPr="00300A27">
        <w:rPr>
          <w:spacing w:val="0"/>
          <w:lang w:val="en-US"/>
        </w:rPr>
        <w:t>Public Prosecution Service</w:t>
      </w:r>
      <w:r w:rsidR="00AA4612" w:rsidRPr="00300A27">
        <w:rPr>
          <w:spacing w:val="0"/>
          <w:lang w:val="en-US"/>
        </w:rPr>
        <w:t xml:space="preserve"> </w:t>
      </w:r>
      <w:r w:rsidR="00894121" w:rsidRPr="00300A27">
        <w:rPr>
          <w:spacing w:val="0"/>
          <w:lang w:val="en-US"/>
        </w:rPr>
        <w:t xml:space="preserve">does not have </w:t>
      </w:r>
      <w:r w:rsidR="00294165" w:rsidRPr="00300A27">
        <w:rPr>
          <w:spacing w:val="0"/>
          <w:lang w:val="en-US"/>
        </w:rPr>
        <w:t>precise</w:t>
      </w:r>
      <w:r w:rsidR="00894121" w:rsidRPr="00300A27">
        <w:rPr>
          <w:spacing w:val="0"/>
          <w:lang w:val="en-US"/>
        </w:rPr>
        <w:t xml:space="preserve"> investigation guidelines and protocols relating specifically to LGBTI people.</w:t>
      </w:r>
      <w:r w:rsidR="00AA4612" w:rsidRPr="00300A27">
        <w:rPr>
          <w:rStyle w:val="Refdenotaalpie"/>
          <w:spacing w:val="0"/>
          <w:lang w:val="en-US"/>
        </w:rPr>
        <w:footnoteReference w:id="307"/>
      </w:r>
      <w:bookmarkEnd w:id="206"/>
    </w:p>
    <w:p w14:paraId="1DA70B14" w14:textId="36A77C08" w:rsidR="00894121" w:rsidRPr="00300A27" w:rsidRDefault="00894121" w:rsidP="00B243B6">
      <w:pPr>
        <w:pStyle w:val="PrrafodeSentencia"/>
        <w:numPr>
          <w:ilvl w:val="0"/>
          <w:numId w:val="3"/>
        </w:numPr>
        <w:spacing w:before="120" w:after="120"/>
        <w:ind w:left="0" w:firstLine="0"/>
        <w:rPr>
          <w:spacing w:val="0"/>
          <w:szCs w:val="20"/>
          <w:lang w:val="en-US"/>
        </w:rPr>
      </w:pPr>
      <w:bookmarkStart w:id="207" w:name="_Ref33110122"/>
      <w:r w:rsidRPr="00300A27">
        <w:rPr>
          <w:spacing w:val="0"/>
          <w:lang w:val="en-US"/>
        </w:rPr>
        <w:t>Consequently</w:t>
      </w:r>
      <w:r w:rsidR="001963A1" w:rsidRPr="00300A27">
        <w:rPr>
          <w:spacing w:val="0"/>
          <w:lang w:val="en-US"/>
        </w:rPr>
        <w:t xml:space="preserve">, </w:t>
      </w:r>
      <w:r w:rsidR="005B1C65" w:rsidRPr="00300A27">
        <w:rPr>
          <w:spacing w:val="0"/>
          <w:lang w:val="en-US"/>
        </w:rPr>
        <w:t>the Court</w:t>
      </w:r>
      <w:r w:rsidR="001963A1" w:rsidRPr="00300A27">
        <w:rPr>
          <w:spacing w:val="0"/>
          <w:lang w:val="en-US"/>
        </w:rPr>
        <w:t xml:space="preserve"> </w:t>
      </w:r>
      <w:r w:rsidRPr="00300A27">
        <w:rPr>
          <w:spacing w:val="0"/>
          <w:lang w:val="en-US"/>
        </w:rPr>
        <w:t>finds it appropriate to order the State to adopt, within two years of notification of this judgment, a protocol on investigation</w:t>
      </w:r>
      <w:r w:rsidR="00294165" w:rsidRPr="00300A27">
        <w:rPr>
          <w:spacing w:val="0"/>
          <w:lang w:val="en-US"/>
        </w:rPr>
        <w:t>s</w:t>
      </w:r>
      <w:r w:rsidRPr="00300A27">
        <w:rPr>
          <w:spacing w:val="0"/>
          <w:lang w:val="en-US"/>
        </w:rPr>
        <w:t xml:space="preserve"> and</w:t>
      </w:r>
      <w:r w:rsidR="00294165" w:rsidRPr="00300A27">
        <w:rPr>
          <w:spacing w:val="0"/>
          <w:lang w:val="en-US"/>
        </w:rPr>
        <w:t xml:space="preserve"> </w:t>
      </w:r>
      <w:r w:rsidRPr="00300A27">
        <w:rPr>
          <w:spacing w:val="0"/>
          <w:lang w:val="en-US"/>
        </w:rPr>
        <w:t xml:space="preserve">administration of justice </w:t>
      </w:r>
      <w:r w:rsidR="00294165" w:rsidRPr="00300A27">
        <w:rPr>
          <w:spacing w:val="0"/>
          <w:lang w:val="en-US"/>
        </w:rPr>
        <w:t>in</w:t>
      </w:r>
      <w:r w:rsidRPr="00300A27">
        <w:rPr>
          <w:spacing w:val="0"/>
          <w:lang w:val="en-US"/>
        </w:rPr>
        <w:t xml:space="preserve"> criminal proceedings </w:t>
      </w:r>
      <w:r w:rsidR="00294165" w:rsidRPr="00300A27">
        <w:rPr>
          <w:spacing w:val="0"/>
          <w:lang w:val="en-US"/>
        </w:rPr>
        <w:t>involving</w:t>
      </w:r>
      <w:r w:rsidRPr="00300A27">
        <w:rPr>
          <w:spacing w:val="0"/>
          <w:lang w:val="en-US"/>
        </w:rPr>
        <w:t xml:space="preserve"> members of the LGBTI community who are victims of violence. The protocol must be addressed at all the public officials who intervene in the investigation and processing of criminal proceedings in cases involving members of the LGBTI community who are victims of violence, as well as </w:t>
      </w:r>
      <w:r w:rsidR="002224DE" w:rsidRPr="00300A27">
        <w:rPr>
          <w:spacing w:val="0"/>
          <w:lang w:val="en-US"/>
        </w:rPr>
        <w:t>the public and private health care personnel who participate in such investigations. This protocol must include the obligation of State agents to refrain from using discriminatory presumptions and stereotyping when receiving, processing and investigati</w:t>
      </w:r>
      <w:r w:rsidR="00294165" w:rsidRPr="00300A27">
        <w:rPr>
          <w:spacing w:val="0"/>
          <w:lang w:val="en-US"/>
        </w:rPr>
        <w:t>ng</w:t>
      </w:r>
      <w:r w:rsidR="002224DE" w:rsidRPr="00300A27">
        <w:rPr>
          <w:spacing w:val="0"/>
          <w:lang w:val="en-US"/>
        </w:rPr>
        <w:t xml:space="preserve"> complaints.</w:t>
      </w:r>
    </w:p>
    <w:bookmarkEnd w:id="207"/>
    <w:p w14:paraId="79A1EE20" w14:textId="79DFF25E" w:rsidR="00ED310B" w:rsidRPr="00300A27" w:rsidRDefault="002224DE" w:rsidP="00B243B6">
      <w:pPr>
        <w:pStyle w:val="PrrafodeSentencia"/>
        <w:numPr>
          <w:ilvl w:val="0"/>
          <w:numId w:val="3"/>
        </w:numPr>
        <w:spacing w:before="120" w:after="120"/>
        <w:ind w:left="0" w:firstLine="0"/>
        <w:rPr>
          <w:spacing w:val="0"/>
          <w:szCs w:val="20"/>
          <w:lang w:val="en-US"/>
        </w:rPr>
      </w:pPr>
      <w:r w:rsidRPr="00300A27">
        <w:rPr>
          <w:spacing w:val="0"/>
          <w:lang w:val="en-US"/>
        </w:rPr>
        <w:t xml:space="preserve">When </w:t>
      </w:r>
      <w:r w:rsidR="00294165" w:rsidRPr="00300A27">
        <w:rPr>
          <w:spacing w:val="0"/>
          <w:lang w:val="en-US"/>
        </w:rPr>
        <w:t>prepa</w:t>
      </w:r>
      <w:r w:rsidRPr="00300A27">
        <w:rPr>
          <w:spacing w:val="0"/>
          <w:lang w:val="en-US"/>
        </w:rPr>
        <w:t xml:space="preserve">ring the protocol, the State must take into account the criteria established in the international instruments on torture, as well as the standards developed in this judgment and in the Court’s case law. This protocol must take into consideration that due diligence in cases of the rape and torture of LGBTI people entails the adoption of special measures and the development of a process designed to avoid their revictimization, so that it must include, as a minimum, the standards developed in paragraphs </w:t>
      </w:r>
      <w:r w:rsidRPr="00300A27">
        <w:rPr>
          <w:spacing w:val="0"/>
          <w:lang w:val="en-US"/>
        </w:rPr>
        <w:fldChar w:fldCharType="begin"/>
      </w:r>
      <w:r w:rsidRPr="00300A27">
        <w:rPr>
          <w:spacing w:val="0"/>
          <w:lang w:val="en-US"/>
        </w:rPr>
        <w:instrText xml:space="preserve"> REF _Ref33106524 \r \h </w:instrText>
      </w:r>
      <w:r w:rsidR="00B243B6" w:rsidRPr="00300A27">
        <w:rPr>
          <w:spacing w:val="0"/>
          <w:lang w:val="en-US"/>
        </w:rPr>
        <w:instrText xml:space="preserve"> \* MERGEFORMAT </w:instrText>
      </w:r>
      <w:r w:rsidRPr="00300A27">
        <w:rPr>
          <w:spacing w:val="0"/>
          <w:lang w:val="en-US"/>
        </w:rPr>
      </w:r>
      <w:r w:rsidRPr="00300A27">
        <w:rPr>
          <w:spacing w:val="0"/>
          <w:lang w:val="en-US"/>
        </w:rPr>
        <w:fldChar w:fldCharType="separate"/>
      </w:r>
      <w:r w:rsidRPr="00300A27">
        <w:rPr>
          <w:spacing w:val="0"/>
          <w:lang w:val="en-US"/>
        </w:rPr>
        <w:t>178</w:t>
      </w:r>
      <w:r w:rsidRPr="00300A27">
        <w:rPr>
          <w:spacing w:val="0"/>
          <w:lang w:val="en-US"/>
        </w:rPr>
        <w:fldChar w:fldCharType="end"/>
      </w:r>
      <w:r w:rsidRPr="00300A27">
        <w:rPr>
          <w:spacing w:val="0"/>
          <w:lang w:val="en-US"/>
        </w:rPr>
        <w:t xml:space="preserve"> to </w:t>
      </w:r>
      <w:r w:rsidRPr="00300A27">
        <w:rPr>
          <w:spacing w:val="0"/>
          <w:lang w:val="en-US"/>
        </w:rPr>
        <w:fldChar w:fldCharType="begin"/>
      </w:r>
      <w:r w:rsidRPr="00300A27">
        <w:rPr>
          <w:spacing w:val="0"/>
          <w:lang w:val="en-US"/>
        </w:rPr>
        <w:instrText xml:space="preserve"> REF _Ref35856369 \r \h </w:instrText>
      </w:r>
      <w:r w:rsidR="00B243B6" w:rsidRPr="00300A27">
        <w:rPr>
          <w:spacing w:val="0"/>
          <w:lang w:val="en-US"/>
        </w:rPr>
        <w:instrText xml:space="preserve"> \* MERGEFORMAT </w:instrText>
      </w:r>
      <w:r w:rsidRPr="00300A27">
        <w:rPr>
          <w:spacing w:val="0"/>
          <w:lang w:val="en-US"/>
        </w:rPr>
      </w:r>
      <w:r w:rsidRPr="00300A27">
        <w:rPr>
          <w:spacing w:val="0"/>
          <w:lang w:val="en-US"/>
        </w:rPr>
        <w:fldChar w:fldCharType="separate"/>
      </w:r>
      <w:r w:rsidRPr="00300A27">
        <w:rPr>
          <w:spacing w:val="0"/>
          <w:lang w:val="en-US"/>
        </w:rPr>
        <w:t>204</w:t>
      </w:r>
      <w:r w:rsidRPr="00300A27">
        <w:rPr>
          <w:spacing w:val="0"/>
          <w:lang w:val="en-US"/>
        </w:rPr>
        <w:fldChar w:fldCharType="end"/>
      </w:r>
      <w:r w:rsidRPr="00300A27">
        <w:rPr>
          <w:spacing w:val="0"/>
          <w:lang w:val="en-US"/>
        </w:rPr>
        <w:t xml:space="preserve"> of this judgment. In the case of public and private health care personnel, based on the standards developed in paragraphs </w:t>
      </w:r>
      <w:r w:rsidRPr="00300A27">
        <w:rPr>
          <w:spacing w:val="0"/>
          <w:lang w:val="en-US"/>
        </w:rPr>
        <w:fldChar w:fldCharType="begin"/>
      </w:r>
      <w:r w:rsidRPr="00300A27">
        <w:rPr>
          <w:spacing w:val="0"/>
          <w:lang w:val="en-US"/>
        </w:rPr>
        <w:instrText xml:space="preserve"> REF _Ref35856520 \r \h </w:instrText>
      </w:r>
      <w:r w:rsidR="00B243B6" w:rsidRPr="00300A27">
        <w:rPr>
          <w:spacing w:val="0"/>
          <w:lang w:val="en-US"/>
        </w:rPr>
        <w:instrText xml:space="preserve"> \* MERGEFORMAT </w:instrText>
      </w:r>
      <w:r w:rsidRPr="00300A27">
        <w:rPr>
          <w:spacing w:val="0"/>
          <w:lang w:val="en-US"/>
        </w:rPr>
      </w:r>
      <w:r w:rsidRPr="00300A27">
        <w:rPr>
          <w:spacing w:val="0"/>
          <w:lang w:val="en-US"/>
        </w:rPr>
        <w:fldChar w:fldCharType="separate"/>
      </w:r>
      <w:r w:rsidRPr="00300A27">
        <w:rPr>
          <w:spacing w:val="0"/>
          <w:lang w:val="en-US"/>
        </w:rPr>
        <w:t>187</w:t>
      </w:r>
      <w:r w:rsidRPr="00300A27">
        <w:rPr>
          <w:spacing w:val="0"/>
          <w:lang w:val="en-US"/>
        </w:rPr>
        <w:fldChar w:fldCharType="end"/>
      </w:r>
      <w:r w:rsidRPr="00300A27">
        <w:rPr>
          <w:spacing w:val="0"/>
          <w:lang w:val="en-US"/>
        </w:rPr>
        <w:t xml:space="preserve"> to </w:t>
      </w:r>
      <w:r w:rsidRPr="00300A27">
        <w:rPr>
          <w:spacing w:val="0"/>
          <w:lang w:val="en-US"/>
        </w:rPr>
        <w:fldChar w:fldCharType="begin"/>
      </w:r>
      <w:r w:rsidRPr="00300A27">
        <w:rPr>
          <w:spacing w:val="0"/>
          <w:lang w:val="en-US"/>
        </w:rPr>
        <w:instrText xml:space="preserve"> REF _Ref35856525 \r \h </w:instrText>
      </w:r>
      <w:r w:rsidR="00B243B6" w:rsidRPr="00300A27">
        <w:rPr>
          <w:spacing w:val="0"/>
          <w:lang w:val="en-US"/>
        </w:rPr>
        <w:instrText xml:space="preserve"> \* MERGEFORMAT </w:instrText>
      </w:r>
      <w:r w:rsidRPr="00300A27">
        <w:rPr>
          <w:spacing w:val="0"/>
          <w:lang w:val="en-US"/>
        </w:rPr>
      </w:r>
      <w:r w:rsidRPr="00300A27">
        <w:rPr>
          <w:spacing w:val="0"/>
          <w:lang w:val="en-US"/>
        </w:rPr>
        <w:fldChar w:fldCharType="separate"/>
      </w:r>
      <w:r w:rsidRPr="00300A27">
        <w:rPr>
          <w:spacing w:val="0"/>
          <w:lang w:val="en-US"/>
        </w:rPr>
        <w:t>193</w:t>
      </w:r>
      <w:r w:rsidRPr="00300A27">
        <w:rPr>
          <w:spacing w:val="0"/>
          <w:lang w:val="en-US"/>
        </w:rPr>
        <w:fldChar w:fldCharType="end"/>
      </w:r>
      <w:r w:rsidRPr="00300A27">
        <w:rPr>
          <w:spacing w:val="0"/>
          <w:lang w:val="en-US"/>
        </w:rPr>
        <w:t xml:space="preserve"> and </w:t>
      </w:r>
      <w:r w:rsidRPr="00300A27">
        <w:rPr>
          <w:lang w:val="en-US"/>
        </w:rPr>
        <w:fldChar w:fldCharType="begin"/>
      </w:r>
      <w:r w:rsidRPr="00300A27">
        <w:rPr>
          <w:lang w:val="en-US"/>
        </w:rPr>
        <w:instrText xml:space="preserve"> REF _Ref35856538 \r \h </w:instrText>
      </w:r>
      <w:r w:rsidR="00B243B6" w:rsidRPr="00300A27">
        <w:rPr>
          <w:lang w:val="en-US"/>
        </w:rPr>
        <w:instrText xml:space="preserve"> \* MERGEFORMAT </w:instrText>
      </w:r>
      <w:r w:rsidRPr="00300A27">
        <w:rPr>
          <w:lang w:val="en-US"/>
        </w:rPr>
      </w:r>
      <w:r w:rsidRPr="00300A27">
        <w:rPr>
          <w:lang w:val="en-US"/>
        </w:rPr>
        <w:fldChar w:fldCharType="separate"/>
      </w:r>
      <w:r w:rsidRPr="00300A27">
        <w:rPr>
          <w:lang w:val="en-US"/>
        </w:rPr>
        <w:t>198</w:t>
      </w:r>
      <w:r w:rsidRPr="00300A27">
        <w:rPr>
          <w:lang w:val="en-US"/>
        </w:rPr>
        <w:fldChar w:fldCharType="end"/>
      </w:r>
      <w:r w:rsidRPr="00300A27">
        <w:rPr>
          <w:lang w:val="en-US"/>
        </w:rPr>
        <w:t xml:space="preserve"> to </w:t>
      </w:r>
      <w:r w:rsidRPr="00300A27">
        <w:rPr>
          <w:lang w:val="en-US"/>
        </w:rPr>
        <w:fldChar w:fldCharType="begin"/>
      </w:r>
      <w:r w:rsidRPr="00300A27">
        <w:rPr>
          <w:lang w:val="en-US"/>
        </w:rPr>
        <w:instrText xml:space="preserve"> REF _Ref35856369 \r \h </w:instrText>
      </w:r>
      <w:r w:rsidR="00B243B6" w:rsidRPr="00300A27">
        <w:rPr>
          <w:lang w:val="en-US"/>
        </w:rPr>
        <w:instrText xml:space="preserve"> \* MERGEFORMAT </w:instrText>
      </w:r>
      <w:r w:rsidRPr="00300A27">
        <w:rPr>
          <w:lang w:val="en-US"/>
        </w:rPr>
      </w:r>
      <w:r w:rsidRPr="00300A27">
        <w:rPr>
          <w:lang w:val="en-US"/>
        </w:rPr>
        <w:fldChar w:fldCharType="separate"/>
      </w:r>
      <w:r w:rsidRPr="00300A27">
        <w:rPr>
          <w:lang w:val="en-US"/>
        </w:rPr>
        <w:t>204</w:t>
      </w:r>
      <w:r w:rsidRPr="00300A27">
        <w:rPr>
          <w:lang w:val="en-US"/>
        </w:rPr>
        <w:fldChar w:fldCharType="end"/>
      </w:r>
      <w:r w:rsidRPr="00300A27">
        <w:rPr>
          <w:spacing w:val="0"/>
          <w:lang w:val="en-US"/>
        </w:rPr>
        <w:t xml:space="preserve"> of this judgment, </w:t>
      </w:r>
      <w:r w:rsidR="00294165" w:rsidRPr="00300A27">
        <w:rPr>
          <w:spacing w:val="0"/>
          <w:lang w:val="en-US"/>
        </w:rPr>
        <w:t xml:space="preserve">the protocol must include </w:t>
      </w:r>
      <w:r w:rsidRPr="00300A27">
        <w:rPr>
          <w:spacing w:val="0"/>
          <w:lang w:val="en-US"/>
        </w:rPr>
        <w:t xml:space="preserve">at least the following guidelines: (i) the medical examination of the presumed victim must be performed with prior informed consent, without the presence of </w:t>
      </w:r>
      <w:r w:rsidR="00294165" w:rsidRPr="00300A27">
        <w:rPr>
          <w:spacing w:val="0"/>
          <w:lang w:val="en-US"/>
        </w:rPr>
        <w:t xml:space="preserve">law enforcement </w:t>
      </w:r>
      <w:r w:rsidRPr="00300A27">
        <w:rPr>
          <w:spacing w:val="0"/>
          <w:lang w:val="en-US"/>
        </w:rPr>
        <w:t>or other state agents, avoiding, insofar as possible, more than one physical assessment; (ii) as soon as a rape is reported, a</w:t>
      </w:r>
      <w:r w:rsidR="00294165" w:rsidRPr="00300A27">
        <w:rPr>
          <w:spacing w:val="0"/>
          <w:lang w:val="en-US"/>
        </w:rPr>
        <w:t>n immediate</w:t>
      </w:r>
      <w:r w:rsidRPr="00300A27">
        <w:rPr>
          <w:spacing w:val="0"/>
          <w:lang w:val="en-US"/>
        </w:rPr>
        <w:t xml:space="preserve"> complete and detailed medical and psychological examination must be </w:t>
      </w:r>
      <w:r w:rsidR="00294165" w:rsidRPr="00300A27">
        <w:rPr>
          <w:spacing w:val="0"/>
          <w:lang w:val="en-US"/>
        </w:rPr>
        <w:t>performed</w:t>
      </w:r>
      <w:r w:rsidRPr="00300A27">
        <w:rPr>
          <w:spacing w:val="0"/>
          <w:lang w:val="en-US"/>
        </w:rPr>
        <w:t xml:space="preserve"> by trained and appropriate personnel, if possible of the sex </w:t>
      </w:r>
      <w:r w:rsidR="00294165" w:rsidRPr="00300A27">
        <w:rPr>
          <w:spacing w:val="0"/>
          <w:lang w:val="en-US"/>
        </w:rPr>
        <w:t>preferred</w:t>
      </w:r>
      <w:r w:rsidRPr="00300A27">
        <w:rPr>
          <w:spacing w:val="0"/>
          <w:lang w:val="en-US"/>
        </w:rPr>
        <w:t xml:space="preserve"> by the victim, advising the victim that </w:t>
      </w:r>
      <w:r w:rsidR="00294165" w:rsidRPr="00300A27">
        <w:rPr>
          <w:spacing w:val="0"/>
          <w:lang w:val="en-US"/>
        </w:rPr>
        <w:t>they</w:t>
      </w:r>
      <w:r w:rsidRPr="00300A27">
        <w:rPr>
          <w:spacing w:val="0"/>
          <w:lang w:val="en-US"/>
        </w:rPr>
        <w:t xml:space="preserve"> may be accompanied by a person of confidence if they so wish; (iii) this examination must be performed based on protocols specifically addressed at documenting evidence in cases of </w:t>
      </w:r>
      <w:r w:rsidR="00640BFB" w:rsidRPr="00300A27">
        <w:rPr>
          <w:spacing w:val="0"/>
          <w:lang w:val="en-US"/>
        </w:rPr>
        <w:t>sexual violence</w:t>
      </w:r>
      <w:r w:rsidRPr="00300A27">
        <w:rPr>
          <w:spacing w:val="0"/>
          <w:lang w:val="en-US"/>
        </w:rPr>
        <w:t>, and (i</w:t>
      </w:r>
      <w:r w:rsidR="00640BFB" w:rsidRPr="00300A27">
        <w:rPr>
          <w:spacing w:val="0"/>
          <w:lang w:val="en-US"/>
        </w:rPr>
        <w:t>v) during psychological and/or psychiatric evaluations, doctors must refrain from inquiring into the victim’s sexual history and, in general, using stereotypes of</w:t>
      </w:r>
      <w:r w:rsidR="00640BFB" w:rsidRPr="00300A27">
        <w:rPr>
          <w:spacing w:val="0"/>
          <w:szCs w:val="20"/>
          <w:lang w:val="en-US"/>
        </w:rPr>
        <w:t xml:space="preserve"> </w:t>
      </w:r>
      <w:r w:rsidR="00CC6548" w:rsidRPr="00300A27">
        <w:rPr>
          <w:spacing w:val="0"/>
          <w:lang w:val="en-US"/>
        </w:rPr>
        <w:t>sexual orientation</w:t>
      </w:r>
      <w:r w:rsidR="001963A1" w:rsidRPr="00300A27">
        <w:rPr>
          <w:spacing w:val="0"/>
          <w:lang w:val="en-US"/>
        </w:rPr>
        <w:t xml:space="preserve"> o</w:t>
      </w:r>
      <w:r w:rsidR="00640BFB" w:rsidRPr="00300A27">
        <w:rPr>
          <w:spacing w:val="0"/>
          <w:lang w:val="en-US"/>
        </w:rPr>
        <w:t>r</w:t>
      </w:r>
      <w:r w:rsidR="001963A1" w:rsidRPr="00300A27">
        <w:rPr>
          <w:spacing w:val="0"/>
          <w:lang w:val="en-US"/>
        </w:rPr>
        <w:t xml:space="preserve"> </w:t>
      </w:r>
      <w:r w:rsidR="00CC6548" w:rsidRPr="00300A27">
        <w:rPr>
          <w:spacing w:val="0"/>
          <w:lang w:val="en-US"/>
        </w:rPr>
        <w:t>gender expression</w:t>
      </w:r>
      <w:r w:rsidR="001963A1" w:rsidRPr="00300A27">
        <w:rPr>
          <w:spacing w:val="0"/>
          <w:lang w:val="en-US"/>
        </w:rPr>
        <w:t>.</w:t>
      </w:r>
    </w:p>
    <w:p w14:paraId="4CEA3A0C" w14:textId="6BFA64D1" w:rsidR="001963A1" w:rsidRPr="00300A27" w:rsidRDefault="00640BFB" w:rsidP="00B243B6">
      <w:pPr>
        <w:pStyle w:val="PrrafodeSentencia"/>
        <w:numPr>
          <w:ilvl w:val="0"/>
          <w:numId w:val="3"/>
        </w:numPr>
        <w:spacing w:before="120" w:after="120"/>
        <w:ind w:left="0" w:firstLine="0"/>
        <w:rPr>
          <w:spacing w:val="0"/>
          <w:szCs w:val="20"/>
          <w:lang w:val="en-US"/>
        </w:rPr>
      </w:pPr>
      <w:bookmarkStart w:id="208" w:name="_Ref33110125"/>
      <w:r w:rsidRPr="00300A27">
        <w:rPr>
          <w:spacing w:val="0"/>
          <w:lang w:val="en-US"/>
        </w:rPr>
        <w:t xml:space="preserve">Lastly, </w:t>
      </w:r>
      <w:r w:rsidR="00294165" w:rsidRPr="00300A27">
        <w:rPr>
          <w:spacing w:val="0"/>
          <w:lang w:val="en-US"/>
        </w:rPr>
        <w:t>in the case of</w:t>
      </w:r>
      <w:r w:rsidRPr="00300A27">
        <w:rPr>
          <w:spacing w:val="0"/>
          <w:lang w:val="en-US"/>
        </w:rPr>
        <w:t xml:space="preserve"> public officials who are employed in the administration of justice, the protocol must include, pursuant to the standards developed in</w:t>
      </w:r>
      <w:r w:rsidR="001963A1" w:rsidRPr="00300A27">
        <w:rPr>
          <w:spacing w:val="0"/>
          <w:lang w:val="en-US"/>
        </w:rPr>
        <w:t xml:space="preserve"> </w:t>
      </w:r>
      <w:r w:rsidR="005B46A0" w:rsidRPr="00300A27">
        <w:rPr>
          <w:spacing w:val="0"/>
          <w:lang w:val="en-US"/>
        </w:rPr>
        <w:t>paragraphs</w:t>
      </w:r>
      <w:r w:rsidR="001963A1" w:rsidRPr="00300A27">
        <w:rPr>
          <w:spacing w:val="0"/>
          <w:lang w:val="en-US"/>
        </w:rPr>
        <w:t xml:space="preserve"> </w:t>
      </w:r>
      <w:r w:rsidR="00C77430" w:rsidRPr="00300A27">
        <w:rPr>
          <w:spacing w:val="0"/>
          <w:lang w:val="en-US"/>
        </w:rPr>
        <w:fldChar w:fldCharType="begin"/>
      </w:r>
      <w:r w:rsidR="00C77430" w:rsidRPr="00300A27">
        <w:rPr>
          <w:spacing w:val="0"/>
          <w:lang w:val="en-US"/>
        </w:rPr>
        <w:instrText xml:space="preserve"> REF _Ref33106524 \r \h </w:instrText>
      </w:r>
      <w:r w:rsidR="00672FFE" w:rsidRPr="00300A27">
        <w:rPr>
          <w:spacing w:val="0"/>
          <w:lang w:val="en-US"/>
        </w:rPr>
        <w:instrText xml:space="preserve"> \* MERGEFORMAT </w:instrText>
      </w:r>
      <w:r w:rsidR="00C77430" w:rsidRPr="00300A27">
        <w:rPr>
          <w:spacing w:val="0"/>
          <w:lang w:val="en-US"/>
        </w:rPr>
      </w:r>
      <w:r w:rsidR="00C77430" w:rsidRPr="00300A27">
        <w:rPr>
          <w:spacing w:val="0"/>
          <w:lang w:val="en-US"/>
        </w:rPr>
        <w:fldChar w:fldCharType="separate"/>
      </w:r>
      <w:r w:rsidR="00632F77" w:rsidRPr="00300A27">
        <w:rPr>
          <w:spacing w:val="0"/>
          <w:lang w:val="en-US"/>
        </w:rPr>
        <w:t>178</w:t>
      </w:r>
      <w:r w:rsidR="00C77430" w:rsidRPr="00300A27">
        <w:rPr>
          <w:spacing w:val="0"/>
          <w:lang w:val="en-US"/>
        </w:rPr>
        <w:fldChar w:fldCharType="end"/>
      </w:r>
      <w:r w:rsidR="00C77430" w:rsidRPr="00300A27">
        <w:rPr>
          <w:spacing w:val="0"/>
          <w:lang w:val="en-US"/>
        </w:rPr>
        <w:t xml:space="preserve"> </w:t>
      </w:r>
      <w:r w:rsidRPr="00300A27">
        <w:rPr>
          <w:spacing w:val="0"/>
          <w:lang w:val="en-US"/>
        </w:rPr>
        <w:t>to</w:t>
      </w:r>
      <w:r w:rsidR="00C77430" w:rsidRPr="00300A27">
        <w:rPr>
          <w:spacing w:val="0"/>
          <w:lang w:val="en-US"/>
        </w:rPr>
        <w:t xml:space="preserve"> </w:t>
      </w:r>
      <w:r w:rsidR="00C77430" w:rsidRPr="00300A27">
        <w:rPr>
          <w:spacing w:val="0"/>
          <w:lang w:val="en-US"/>
        </w:rPr>
        <w:fldChar w:fldCharType="begin"/>
      </w:r>
      <w:r w:rsidR="00C77430" w:rsidRPr="00300A27">
        <w:rPr>
          <w:spacing w:val="0"/>
          <w:lang w:val="en-US"/>
        </w:rPr>
        <w:instrText xml:space="preserve"> REF _Ref35856369 \r \h </w:instrText>
      </w:r>
      <w:r w:rsidR="00B243B6" w:rsidRPr="00300A27">
        <w:rPr>
          <w:spacing w:val="0"/>
          <w:lang w:val="en-US"/>
        </w:rPr>
        <w:instrText xml:space="preserve"> \* MERGEFORMAT </w:instrText>
      </w:r>
      <w:r w:rsidR="00C77430" w:rsidRPr="00300A27">
        <w:rPr>
          <w:spacing w:val="0"/>
          <w:lang w:val="en-US"/>
        </w:rPr>
      </w:r>
      <w:r w:rsidR="00C77430" w:rsidRPr="00300A27">
        <w:rPr>
          <w:spacing w:val="0"/>
          <w:lang w:val="en-US"/>
        </w:rPr>
        <w:fldChar w:fldCharType="separate"/>
      </w:r>
      <w:r w:rsidR="00632F77" w:rsidRPr="00300A27">
        <w:rPr>
          <w:spacing w:val="0"/>
          <w:lang w:val="en-US"/>
        </w:rPr>
        <w:t>204</w:t>
      </w:r>
      <w:r w:rsidR="00C77430" w:rsidRPr="00300A27">
        <w:rPr>
          <w:spacing w:val="0"/>
          <w:lang w:val="en-US"/>
        </w:rPr>
        <w:fldChar w:fldCharType="end"/>
      </w:r>
      <w:r w:rsidR="00C77430" w:rsidRPr="00300A27">
        <w:rPr>
          <w:spacing w:val="0"/>
          <w:lang w:val="en-US"/>
        </w:rPr>
        <w:t xml:space="preserve"> </w:t>
      </w:r>
      <w:r w:rsidR="005B46A0" w:rsidRPr="00300A27">
        <w:rPr>
          <w:spacing w:val="0"/>
          <w:lang w:val="en-US"/>
        </w:rPr>
        <w:t>of this judgment</w:t>
      </w:r>
      <w:r w:rsidR="001963A1" w:rsidRPr="00300A27">
        <w:rPr>
          <w:spacing w:val="0"/>
          <w:lang w:val="en-US"/>
        </w:rPr>
        <w:t xml:space="preserve">, </w:t>
      </w:r>
      <w:r w:rsidRPr="00300A27">
        <w:rPr>
          <w:spacing w:val="0"/>
          <w:lang w:val="en-US"/>
        </w:rPr>
        <w:t xml:space="preserve">at least the following criteria: (i) agents of justice </w:t>
      </w:r>
      <w:r w:rsidR="00294165" w:rsidRPr="00300A27">
        <w:rPr>
          <w:spacing w:val="0"/>
          <w:lang w:val="en-US"/>
        </w:rPr>
        <w:t>must not</w:t>
      </w:r>
      <w:r w:rsidRPr="00300A27">
        <w:rPr>
          <w:spacing w:val="0"/>
          <w:lang w:val="en-US"/>
        </w:rPr>
        <w:t xml:space="preserve"> mistreat or exercise discrimination towards victims an</w:t>
      </w:r>
      <w:r w:rsidR="00294165" w:rsidRPr="00300A27">
        <w:rPr>
          <w:spacing w:val="0"/>
          <w:lang w:val="en-US"/>
        </w:rPr>
        <w:t>d</w:t>
      </w:r>
      <w:r w:rsidRPr="00300A27">
        <w:rPr>
          <w:spacing w:val="0"/>
          <w:lang w:val="en-US"/>
        </w:rPr>
        <w:t xml:space="preserve"> must respect everyone’s </w:t>
      </w:r>
      <w:r w:rsidR="00CC6548" w:rsidRPr="00300A27">
        <w:rPr>
          <w:spacing w:val="0"/>
          <w:lang w:val="en-US"/>
        </w:rPr>
        <w:t>sexual orientation</w:t>
      </w:r>
      <w:r w:rsidR="005B1C65" w:rsidRPr="00300A27">
        <w:rPr>
          <w:spacing w:val="0"/>
          <w:lang w:val="en-US"/>
        </w:rPr>
        <w:t xml:space="preserve"> and </w:t>
      </w:r>
      <w:r w:rsidR="00CC6548" w:rsidRPr="00300A27">
        <w:rPr>
          <w:spacing w:val="0"/>
          <w:lang w:val="en-US"/>
        </w:rPr>
        <w:t>gender expression</w:t>
      </w:r>
      <w:r w:rsidR="001963A1" w:rsidRPr="00300A27">
        <w:rPr>
          <w:spacing w:val="0"/>
          <w:lang w:val="en-US"/>
        </w:rPr>
        <w:t xml:space="preserve">; </w:t>
      </w:r>
      <w:r w:rsidRPr="00300A27">
        <w:rPr>
          <w:spacing w:val="0"/>
          <w:lang w:val="en-US"/>
        </w:rPr>
        <w:t>(</w:t>
      </w:r>
      <w:r w:rsidR="001963A1" w:rsidRPr="00300A27">
        <w:rPr>
          <w:spacing w:val="0"/>
          <w:lang w:val="en-US"/>
        </w:rPr>
        <w:t xml:space="preserve">ii) </w:t>
      </w:r>
      <w:r w:rsidR="00BA3C7F" w:rsidRPr="00300A27">
        <w:rPr>
          <w:spacing w:val="0"/>
          <w:lang w:val="en-US"/>
        </w:rPr>
        <w:t>presumed victims</w:t>
      </w:r>
      <w:r w:rsidR="005B1C65" w:rsidRPr="00300A27">
        <w:rPr>
          <w:spacing w:val="0"/>
          <w:lang w:val="en-US"/>
        </w:rPr>
        <w:t xml:space="preserve"> and </w:t>
      </w:r>
      <w:r w:rsidRPr="00300A27">
        <w:rPr>
          <w:spacing w:val="0"/>
          <w:lang w:val="en-US"/>
        </w:rPr>
        <w:t xml:space="preserve">witnesses, especially those who are members of </w:t>
      </w:r>
      <w:r w:rsidR="007E4CD0" w:rsidRPr="00300A27">
        <w:rPr>
          <w:spacing w:val="0"/>
          <w:lang w:val="en-US"/>
        </w:rPr>
        <w:t>the LGBTI population</w:t>
      </w:r>
      <w:r w:rsidR="001963A1" w:rsidRPr="00300A27">
        <w:rPr>
          <w:spacing w:val="0"/>
          <w:lang w:val="en-US"/>
        </w:rPr>
        <w:t xml:space="preserve">, </w:t>
      </w:r>
      <w:r w:rsidRPr="00300A27">
        <w:rPr>
          <w:spacing w:val="0"/>
          <w:lang w:val="en-US"/>
        </w:rPr>
        <w:t xml:space="preserve">must be able to report offenses in spaces in which </w:t>
      </w:r>
      <w:r w:rsidR="00C32E32" w:rsidRPr="00300A27">
        <w:rPr>
          <w:spacing w:val="0"/>
          <w:lang w:val="en-US"/>
        </w:rPr>
        <w:t>their privacy can be</w:t>
      </w:r>
      <w:r w:rsidRPr="00300A27">
        <w:rPr>
          <w:spacing w:val="0"/>
          <w:lang w:val="en-US"/>
        </w:rPr>
        <w:t xml:space="preserve"> guarante</w:t>
      </w:r>
      <w:r w:rsidR="00C32E32" w:rsidRPr="00300A27">
        <w:rPr>
          <w:spacing w:val="0"/>
          <w:lang w:val="en-US"/>
        </w:rPr>
        <w:t>ed</w:t>
      </w:r>
      <w:r w:rsidRPr="00300A27">
        <w:rPr>
          <w:spacing w:val="0"/>
          <w:lang w:val="en-US"/>
        </w:rPr>
        <w:t>, and (iii) methods should be designed to identify indications of whether the sexual violence and torture was committed based on prejudices involving sexual orientation or non-normative gender identity or expression</w:t>
      </w:r>
      <w:r w:rsidR="001963A1" w:rsidRPr="00300A27">
        <w:rPr>
          <w:spacing w:val="0"/>
          <w:lang w:val="en-US"/>
        </w:rPr>
        <w:t>.</w:t>
      </w:r>
      <w:bookmarkEnd w:id="208"/>
    </w:p>
    <w:p w14:paraId="7D24BF93" w14:textId="4C59A7DA" w:rsidR="00AA4612" w:rsidRPr="00300A27" w:rsidRDefault="00AA4612" w:rsidP="00B243B6">
      <w:pPr>
        <w:pStyle w:val="Ttulo3"/>
        <w:rPr>
          <w:lang w:val="en-US"/>
        </w:rPr>
      </w:pPr>
      <w:bookmarkStart w:id="209" w:name="_Toc36823510"/>
      <w:r w:rsidRPr="00300A27">
        <w:rPr>
          <w:lang w:val="en-US" w:eastAsia="es-MX"/>
        </w:rPr>
        <w:t xml:space="preserve">D.2 </w:t>
      </w:r>
      <w:r w:rsidR="00CD6F00" w:rsidRPr="00300A27">
        <w:rPr>
          <w:lang w:val="en-US" w:eastAsia="es-MX"/>
        </w:rPr>
        <w:t>Awareness-raising and training of state agents on violence against</w:t>
      </w:r>
      <w:r w:rsidRPr="00300A27">
        <w:rPr>
          <w:lang w:val="en-US" w:eastAsia="es-MX"/>
        </w:rPr>
        <w:t xml:space="preserve"> </w:t>
      </w:r>
      <w:r w:rsidR="007E4CD0" w:rsidRPr="00300A27">
        <w:rPr>
          <w:lang w:val="en-US" w:eastAsia="es-MX"/>
        </w:rPr>
        <w:t>LGBTI people</w:t>
      </w:r>
      <w:bookmarkEnd w:id="209"/>
    </w:p>
    <w:p w14:paraId="25C52559" w14:textId="73BA57BE" w:rsidR="00EF5B63" w:rsidRPr="00300A27" w:rsidRDefault="00C2001D" w:rsidP="00B243B6">
      <w:pPr>
        <w:pStyle w:val="PrrafodeSentencia"/>
        <w:numPr>
          <w:ilvl w:val="0"/>
          <w:numId w:val="3"/>
        </w:numPr>
        <w:spacing w:before="120" w:after="120"/>
        <w:ind w:left="0" w:firstLine="0"/>
        <w:rPr>
          <w:b/>
          <w:spacing w:val="0"/>
          <w:lang w:val="en-US"/>
        </w:rPr>
      </w:pPr>
      <w:r w:rsidRPr="00300A27">
        <w:rPr>
          <w:spacing w:val="0"/>
          <w:lang w:val="en-US"/>
        </w:rPr>
        <w:t xml:space="preserve">The </w:t>
      </w:r>
      <w:r w:rsidRPr="00300A27">
        <w:rPr>
          <w:b/>
          <w:bCs/>
          <w:i/>
          <w:iCs/>
          <w:spacing w:val="0"/>
          <w:lang w:val="en-US"/>
        </w:rPr>
        <w:t>Commission</w:t>
      </w:r>
      <w:r w:rsidR="00AA4612" w:rsidRPr="00300A27">
        <w:rPr>
          <w:b/>
          <w:bCs/>
          <w:i/>
          <w:iCs/>
          <w:spacing w:val="0"/>
          <w:lang w:val="en-US"/>
        </w:rPr>
        <w:t xml:space="preserve"> </w:t>
      </w:r>
      <w:r w:rsidR="00640BFB" w:rsidRPr="00300A27">
        <w:rPr>
          <w:spacing w:val="0"/>
          <w:lang w:val="en-US"/>
        </w:rPr>
        <w:t>asked the Court to order</w:t>
      </w:r>
      <w:r w:rsidR="00BA3C7F" w:rsidRPr="00300A27">
        <w:rPr>
          <w:spacing w:val="0"/>
          <w:lang w:val="en-US"/>
        </w:rPr>
        <w:t xml:space="preserve"> the State</w:t>
      </w:r>
      <w:r w:rsidR="000E347C" w:rsidRPr="00300A27">
        <w:rPr>
          <w:spacing w:val="0"/>
          <w:lang w:val="en-US"/>
        </w:rPr>
        <w:t>:</w:t>
      </w:r>
      <w:r w:rsidR="00AA4612" w:rsidRPr="00300A27">
        <w:rPr>
          <w:spacing w:val="0"/>
          <w:lang w:val="en-US"/>
        </w:rPr>
        <w:t xml:space="preserve"> </w:t>
      </w:r>
      <w:r w:rsidR="000C464A" w:rsidRPr="00300A27">
        <w:rPr>
          <w:spacing w:val="0"/>
          <w:lang w:val="en-US"/>
        </w:rPr>
        <w:t>(</w:t>
      </w:r>
      <w:r w:rsidR="00AA4612" w:rsidRPr="00300A27">
        <w:rPr>
          <w:spacing w:val="0"/>
          <w:lang w:val="en-US"/>
        </w:rPr>
        <w:t>i)</w:t>
      </w:r>
      <w:r w:rsidR="00CC6ABE" w:rsidRPr="00300A27">
        <w:rPr>
          <w:spacing w:val="0"/>
          <w:lang w:val="en-US"/>
        </w:rPr>
        <w:t xml:space="preserve"> “</w:t>
      </w:r>
      <w:r w:rsidR="00640BFB" w:rsidRPr="00300A27">
        <w:rPr>
          <w:spacing w:val="0"/>
          <w:lang w:val="en-US"/>
        </w:rPr>
        <w:t>to ensure that</w:t>
      </w:r>
      <w:r w:rsidR="00CC6ABE" w:rsidRPr="00300A27">
        <w:rPr>
          <w:spacing w:val="0"/>
          <w:lang w:val="en-US"/>
        </w:rPr>
        <w:t xml:space="preserve"> </w:t>
      </w:r>
      <w:r w:rsidR="00640BFB" w:rsidRPr="00300A27">
        <w:rPr>
          <w:spacing w:val="0"/>
          <w:lang w:val="en-US"/>
        </w:rPr>
        <w:t>a</w:t>
      </w:r>
      <w:r w:rsidR="005B1C65" w:rsidRPr="00300A27">
        <w:rPr>
          <w:spacing w:val="0"/>
          <w:lang w:val="en-US"/>
        </w:rPr>
        <w:t>rticle</w:t>
      </w:r>
      <w:r w:rsidR="00701E27" w:rsidRPr="00300A27">
        <w:rPr>
          <w:spacing w:val="0"/>
          <w:lang w:val="en-US"/>
        </w:rPr>
        <w:t xml:space="preserve"> 205 </w:t>
      </w:r>
      <w:r w:rsidR="00640BFB" w:rsidRPr="00300A27">
        <w:rPr>
          <w:spacing w:val="0"/>
          <w:lang w:val="en-US"/>
        </w:rPr>
        <w:t>of the Code [of Criminal Procedure] was not used in an abusive and discriminatory manner by the police authorities, includi</w:t>
      </w:r>
      <w:r w:rsidR="00EF5B63" w:rsidRPr="00300A27">
        <w:rPr>
          <w:spacing w:val="0"/>
          <w:lang w:val="en-US"/>
        </w:rPr>
        <w:t>n</w:t>
      </w:r>
      <w:r w:rsidR="00640BFB" w:rsidRPr="00300A27">
        <w:rPr>
          <w:spacing w:val="0"/>
          <w:lang w:val="en-US"/>
        </w:rPr>
        <w:t xml:space="preserve">g </w:t>
      </w:r>
      <w:r w:rsidR="00C32E32" w:rsidRPr="00300A27">
        <w:rPr>
          <w:spacing w:val="0"/>
          <w:lang w:val="en-US"/>
        </w:rPr>
        <w:t>by establishing</w:t>
      </w:r>
      <w:r w:rsidR="00640BFB" w:rsidRPr="00300A27">
        <w:rPr>
          <w:spacing w:val="0"/>
          <w:lang w:val="en-US"/>
        </w:rPr>
        <w:t xml:space="preserve"> effective accountability measures”; </w:t>
      </w:r>
      <w:r w:rsidR="000C464A" w:rsidRPr="00300A27">
        <w:rPr>
          <w:spacing w:val="0"/>
          <w:lang w:val="en-US"/>
        </w:rPr>
        <w:t>(</w:t>
      </w:r>
      <w:r w:rsidR="00CC6ABE" w:rsidRPr="00300A27">
        <w:rPr>
          <w:spacing w:val="0"/>
          <w:lang w:val="en-US"/>
        </w:rPr>
        <w:t>ii)</w:t>
      </w:r>
      <w:r w:rsidR="00AA4612" w:rsidRPr="00300A27">
        <w:rPr>
          <w:spacing w:val="0"/>
          <w:lang w:val="en-US"/>
        </w:rPr>
        <w:t xml:space="preserve"> “</w:t>
      </w:r>
      <w:r w:rsidR="00EF5B63" w:rsidRPr="00300A27">
        <w:rPr>
          <w:spacing w:val="0"/>
          <w:lang w:val="en-US"/>
        </w:rPr>
        <w:t>to train law enforcement agencies and, in general, officials responsible for the custody of persons deprived of liberty in the absolute prohibition of torture and sexual and other forms of violence against the LGBTI population, and also to send a clear message of condemnation of this type of act,” and (iii) “</w:t>
      </w:r>
      <w:r w:rsidR="00C32E32" w:rsidRPr="00300A27">
        <w:rPr>
          <w:spacing w:val="0"/>
          <w:lang w:val="en-US"/>
        </w:rPr>
        <w:t xml:space="preserve">to </w:t>
      </w:r>
      <w:r w:rsidR="00EF5B63" w:rsidRPr="00300A27">
        <w:rPr>
          <w:spacing w:val="0"/>
          <w:lang w:val="en-US"/>
        </w:rPr>
        <w:t>design training and education</w:t>
      </w:r>
      <w:r w:rsidR="00C32E32" w:rsidRPr="00300A27">
        <w:rPr>
          <w:spacing w:val="0"/>
          <w:lang w:val="en-US"/>
        </w:rPr>
        <w:t>al</w:t>
      </w:r>
      <w:r w:rsidR="00EF5B63" w:rsidRPr="00300A27">
        <w:rPr>
          <w:spacing w:val="0"/>
          <w:lang w:val="en-US"/>
        </w:rPr>
        <w:t xml:space="preserve"> programs for all agents of justice who enter into contact with and/or are responsible for investigating cases of prejudice-based violence, including sexual violence.”</w:t>
      </w:r>
    </w:p>
    <w:p w14:paraId="2A4EED4C" w14:textId="124A472D" w:rsidR="00EF5B63" w:rsidRPr="00300A27" w:rsidRDefault="00BA3C7F" w:rsidP="00B243B6">
      <w:pPr>
        <w:pStyle w:val="PrrafodeSentencia"/>
        <w:numPr>
          <w:ilvl w:val="0"/>
          <w:numId w:val="3"/>
        </w:numPr>
        <w:spacing w:before="120" w:after="120"/>
        <w:ind w:left="0" w:firstLine="0"/>
        <w:rPr>
          <w:spacing w:val="0"/>
          <w:lang w:val="en-US"/>
        </w:rPr>
      </w:pPr>
      <w:r w:rsidRPr="00300A27">
        <w:rPr>
          <w:spacing w:val="0"/>
          <w:lang w:val="en-US"/>
        </w:rPr>
        <w:t xml:space="preserve">The </w:t>
      </w:r>
      <w:r w:rsidRPr="00300A27">
        <w:rPr>
          <w:b/>
          <w:bCs/>
          <w:i/>
          <w:iCs/>
          <w:spacing w:val="0"/>
          <w:lang w:val="en-US"/>
        </w:rPr>
        <w:t>representatives</w:t>
      </w:r>
      <w:r w:rsidR="00AA4612" w:rsidRPr="00300A27">
        <w:rPr>
          <w:spacing w:val="0"/>
          <w:lang w:val="en-US"/>
        </w:rPr>
        <w:t xml:space="preserve"> </w:t>
      </w:r>
      <w:r w:rsidR="00EF5B63" w:rsidRPr="00300A27">
        <w:rPr>
          <w:spacing w:val="0"/>
          <w:lang w:val="en-US"/>
        </w:rPr>
        <w:t>asked the Court to order</w:t>
      </w:r>
      <w:r w:rsidRPr="00300A27">
        <w:rPr>
          <w:spacing w:val="0"/>
          <w:lang w:val="en-US"/>
        </w:rPr>
        <w:t xml:space="preserve"> the State</w:t>
      </w:r>
      <w:r w:rsidR="00AA4612" w:rsidRPr="00300A27">
        <w:rPr>
          <w:spacing w:val="0"/>
          <w:lang w:val="en-US"/>
        </w:rPr>
        <w:t xml:space="preserve"> </w:t>
      </w:r>
      <w:r w:rsidR="00EF5B63" w:rsidRPr="00300A27">
        <w:rPr>
          <w:spacing w:val="0"/>
          <w:lang w:val="en-US"/>
        </w:rPr>
        <w:t>to establish permanent and compulsory education and training programs for law enforcement agents and other public officials. They indicated that “these programs and courses should be addressed at police agents, prosecutors, judges, soldiers, and officials responsible for providing care and legal assistance to victims of violence (including those working in the area of forensic medicine).”</w:t>
      </w:r>
    </w:p>
    <w:p w14:paraId="44DEC44B" w14:textId="2CD0913E" w:rsidR="00AA4612" w:rsidRPr="00300A27" w:rsidRDefault="005B1C65" w:rsidP="00B243B6">
      <w:pPr>
        <w:pStyle w:val="PrrafodeSentencia"/>
        <w:numPr>
          <w:ilvl w:val="0"/>
          <w:numId w:val="3"/>
        </w:numPr>
        <w:spacing w:before="120" w:after="120"/>
        <w:ind w:left="0" w:firstLine="0"/>
        <w:rPr>
          <w:b/>
          <w:spacing w:val="0"/>
          <w:lang w:val="en-US"/>
        </w:rPr>
      </w:pPr>
      <w:r w:rsidRPr="00300A27">
        <w:rPr>
          <w:spacing w:val="0"/>
          <w:szCs w:val="20"/>
          <w:lang w:val="en-US"/>
        </w:rPr>
        <w:t>The</w:t>
      </w:r>
      <w:r w:rsidRPr="00300A27">
        <w:rPr>
          <w:b/>
          <w:bCs/>
          <w:i/>
          <w:iCs/>
          <w:spacing w:val="0"/>
          <w:szCs w:val="20"/>
          <w:lang w:val="en-US"/>
        </w:rPr>
        <w:t xml:space="preserve"> State</w:t>
      </w:r>
      <w:r w:rsidR="00AA4612" w:rsidRPr="00300A27">
        <w:rPr>
          <w:b/>
          <w:i/>
          <w:spacing w:val="0"/>
          <w:szCs w:val="20"/>
          <w:lang w:val="en-US"/>
        </w:rPr>
        <w:t xml:space="preserve"> </w:t>
      </w:r>
      <w:r w:rsidR="00AA4612" w:rsidRPr="00300A27">
        <w:rPr>
          <w:spacing w:val="0"/>
          <w:szCs w:val="20"/>
          <w:lang w:val="en-US"/>
        </w:rPr>
        <w:t>indic</w:t>
      </w:r>
      <w:r w:rsidR="00EF5B63" w:rsidRPr="00300A27">
        <w:rPr>
          <w:spacing w:val="0"/>
          <w:szCs w:val="20"/>
          <w:lang w:val="en-US"/>
        </w:rPr>
        <w:t>ated that it had offered numerous courses “based on the Human Rights Manual as applicable to policing functions</w:t>
      </w:r>
      <w:r w:rsidR="00C32E32" w:rsidRPr="00300A27">
        <w:rPr>
          <w:spacing w:val="0"/>
          <w:szCs w:val="20"/>
          <w:lang w:val="en-US"/>
        </w:rPr>
        <w:t>,</w:t>
      </w:r>
      <w:r w:rsidR="00EF5B63" w:rsidRPr="00300A27">
        <w:rPr>
          <w:spacing w:val="0"/>
          <w:szCs w:val="20"/>
          <w:lang w:val="en-US"/>
        </w:rPr>
        <w:t xml:space="preserve"> and on human rights issues and the use of force.” It recalled “that the Academy of the Judiciary” ha</w:t>
      </w:r>
      <w:r w:rsidR="00C32E32" w:rsidRPr="00300A27">
        <w:rPr>
          <w:spacing w:val="0"/>
          <w:szCs w:val="20"/>
          <w:lang w:val="en-US"/>
        </w:rPr>
        <w:t>d</w:t>
      </w:r>
      <w:r w:rsidR="00EF5B63" w:rsidRPr="00300A27">
        <w:rPr>
          <w:spacing w:val="0"/>
          <w:szCs w:val="20"/>
          <w:lang w:val="en-US"/>
        </w:rPr>
        <w:t xml:space="preserve"> “developed a </w:t>
      </w:r>
      <w:r w:rsidR="00901263" w:rsidRPr="00300A27">
        <w:rPr>
          <w:spacing w:val="0"/>
          <w:szCs w:val="20"/>
          <w:lang w:val="en-US"/>
        </w:rPr>
        <w:t>comprehensive and continuing system of training, updating, upgrading, certification and accreditation for judges of the Judiciary and for the Public Prosecution Service […] with programs on issues of gender, violence and people trafficking,” and reported that “the National Mechanism for the Prevention of Torture will incorporate the LGBTI population deprived of liberty as a new cross-cutting line of action.</w:t>
      </w:r>
      <w:r w:rsidR="00AA4612" w:rsidRPr="00300A27">
        <w:rPr>
          <w:spacing w:val="0"/>
          <w:szCs w:val="20"/>
          <w:lang w:val="en-US"/>
        </w:rPr>
        <w:t xml:space="preserve">” </w:t>
      </w:r>
    </w:p>
    <w:p w14:paraId="377F0A0A" w14:textId="30B7D7BA" w:rsidR="00ED310B" w:rsidRPr="00300A27" w:rsidRDefault="005B1C65" w:rsidP="00B243B6">
      <w:pPr>
        <w:pStyle w:val="PrrafodeSentencia"/>
        <w:numPr>
          <w:ilvl w:val="0"/>
          <w:numId w:val="3"/>
        </w:numPr>
        <w:spacing w:before="120" w:after="120"/>
        <w:ind w:left="0" w:firstLine="0"/>
        <w:rPr>
          <w:lang w:val="en-US"/>
        </w:rPr>
      </w:pPr>
      <w:bookmarkStart w:id="210" w:name="_Ref33110402"/>
      <w:r w:rsidRPr="00300A27">
        <w:rPr>
          <w:lang w:val="en-US"/>
        </w:rPr>
        <w:t>Th</w:t>
      </w:r>
      <w:r w:rsidR="00C32E32" w:rsidRPr="00300A27">
        <w:rPr>
          <w:lang w:val="en-US"/>
        </w:rPr>
        <w:t>e</w:t>
      </w:r>
      <w:r w:rsidRPr="00300A27">
        <w:rPr>
          <w:lang w:val="en-US"/>
        </w:rPr>
        <w:t xml:space="preserve"> Court</w:t>
      </w:r>
      <w:r w:rsidR="00ED310B" w:rsidRPr="00300A27">
        <w:rPr>
          <w:lang w:val="en-US"/>
        </w:rPr>
        <w:t xml:space="preserve"> </w:t>
      </w:r>
      <w:r w:rsidR="00901263" w:rsidRPr="00300A27">
        <w:rPr>
          <w:lang w:val="en-US"/>
        </w:rPr>
        <w:t xml:space="preserve">appreciates the efforts made by the State to train personnel in this way. However, it finds it pertinent to order the State to create and implement, within two years, a training plan for agents of the Peruvian National Police, the Public Prosecution Service, the Judiciary and the </w:t>
      </w:r>
      <w:r w:rsidR="00901263" w:rsidRPr="00300A27">
        <w:rPr>
          <w:i/>
          <w:iCs/>
          <w:lang w:val="en-US"/>
        </w:rPr>
        <w:t>serenazgo</w:t>
      </w:r>
      <w:r w:rsidR="00901263" w:rsidRPr="00300A27">
        <w:rPr>
          <w:lang w:val="en-US"/>
        </w:rPr>
        <w:t xml:space="preserve"> aimed at raising the awareness of members of law enforcement agencies and prosecutors with regard to: (i) respect for sexual orientation and gender expression in their actions involving civilians, especially LGBTI people who report having suffered sexual violence or torture; (ii) due diligence in conducting investigations and judicial proceedings related to discrimination, sexual violence and torture of LGBTI people, and (iii) the discriminatory nature of stereotypes </w:t>
      </w:r>
      <w:r w:rsidR="00C32E32" w:rsidRPr="00300A27">
        <w:rPr>
          <w:lang w:val="en-US"/>
        </w:rPr>
        <w:t xml:space="preserve">concerning </w:t>
      </w:r>
      <w:r w:rsidR="00CC6548" w:rsidRPr="00300A27">
        <w:rPr>
          <w:lang w:val="en-US"/>
        </w:rPr>
        <w:t>sexual orientation</w:t>
      </w:r>
      <w:r w:rsidRPr="00300A27">
        <w:rPr>
          <w:lang w:val="en-US"/>
        </w:rPr>
        <w:t xml:space="preserve"> and </w:t>
      </w:r>
      <w:r w:rsidR="00CC6548" w:rsidRPr="00300A27">
        <w:rPr>
          <w:lang w:val="en-US"/>
        </w:rPr>
        <w:t>gender expression</w:t>
      </w:r>
      <w:r w:rsidRPr="00300A27">
        <w:rPr>
          <w:lang w:val="en-US"/>
        </w:rPr>
        <w:t xml:space="preserve"> and </w:t>
      </w:r>
      <w:r w:rsidR="00901263" w:rsidRPr="00300A27">
        <w:rPr>
          <w:lang w:val="en-US"/>
        </w:rPr>
        <w:t xml:space="preserve">the negative impact that their use has on </w:t>
      </w:r>
      <w:r w:rsidR="007E4CD0" w:rsidRPr="00300A27">
        <w:rPr>
          <w:lang w:val="en-US"/>
        </w:rPr>
        <w:t>LGBTI people</w:t>
      </w:r>
      <w:r w:rsidR="00ED310B" w:rsidRPr="00300A27">
        <w:rPr>
          <w:lang w:val="en-US"/>
        </w:rPr>
        <w:t xml:space="preserve">. </w:t>
      </w:r>
      <w:r w:rsidR="00901263" w:rsidRPr="00300A27">
        <w:rPr>
          <w:lang w:val="en-US"/>
        </w:rPr>
        <w:t xml:space="preserve">The training courses for the police forces should include information on the prohibition </w:t>
      </w:r>
      <w:r w:rsidR="004949C7" w:rsidRPr="00300A27">
        <w:rPr>
          <w:lang w:val="en-US"/>
        </w:rPr>
        <w:t>to base the measures included in a</w:t>
      </w:r>
      <w:r w:rsidRPr="00300A27">
        <w:rPr>
          <w:lang w:val="en-US"/>
        </w:rPr>
        <w:t>rticle</w:t>
      </w:r>
      <w:r w:rsidR="00ED310B" w:rsidRPr="00300A27">
        <w:rPr>
          <w:lang w:val="en-US"/>
        </w:rPr>
        <w:t xml:space="preserve"> 205</w:t>
      </w:r>
      <w:r w:rsidR="00976059" w:rsidRPr="00300A27">
        <w:rPr>
          <w:lang w:val="en-US"/>
        </w:rPr>
        <w:t xml:space="preserve"> of the Code of Criminal Procedure</w:t>
      </w:r>
      <w:r w:rsidR="0004000F" w:rsidRPr="00300A27">
        <w:rPr>
          <w:lang w:val="en-US"/>
        </w:rPr>
        <w:t xml:space="preserve"> </w:t>
      </w:r>
      <w:r w:rsidR="004949C7" w:rsidRPr="00300A27">
        <w:rPr>
          <w:lang w:val="en-US"/>
        </w:rPr>
        <w:t>on discriminatory reasons, particularl</w:t>
      </w:r>
      <w:r w:rsidR="00C32E32" w:rsidRPr="00300A27">
        <w:rPr>
          <w:lang w:val="en-US"/>
        </w:rPr>
        <w:t>y against the</w:t>
      </w:r>
      <w:r w:rsidR="00ED310B" w:rsidRPr="00300A27">
        <w:rPr>
          <w:lang w:val="en-US"/>
        </w:rPr>
        <w:t xml:space="preserve"> </w:t>
      </w:r>
      <w:r w:rsidR="007E4CD0" w:rsidRPr="00300A27">
        <w:rPr>
          <w:lang w:val="en-US"/>
        </w:rPr>
        <w:t xml:space="preserve">LGBTI </w:t>
      </w:r>
      <w:bookmarkEnd w:id="210"/>
      <w:r w:rsidR="00C32E32" w:rsidRPr="00300A27">
        <w:rPr>
          <w:lang w:val="en-US"/>
        </w:rPr>
        <w:t>community.</w:t>
      </w:r>
    </w:p>
    <w:p w14:paraId="5F97A129" w14:textId="11FCB4B6" w:rsidR="00ED310B" w:rsidRPr="00300A27" w:rsidRDefault="004949C7" w:rsidP="00B243B6">
      <w:pPr>
        <w:pStyle w:val="PrrafodeSentencia"/>
        <w:numPr>
          <w:ilvl w:val="0"/>
          <w:numId w:val="3"/>
        </w:numPr>
        <w:spacing w:before="120" w:after="120"/>
        <w:ind w:left="0" w:firstLine="0"/>
        <w:rPr>
          <w:lang w:val="en-US"/>
        </w:rPr>
      </w:pPr>
      <w:bookmarkStart w:id="211" w:name="_Ref33110409"/>
      <w:bookmarkStart w:id="212" w:name="_Ref446682320"/>
      <w:r w:rsidRPr="00300A27">
        <w:rPr>
          <w:lang w:val="en-US"/>
        </w:rPr>
        <w:t>This training plan should be incorporated into the regular training course</w:t>
      </w:r>
      <w:r w:rsidR="00ED310B" w:rsidRPr="00300A27">
        <w:rPr>
          <w:lang w:val="en-US"/>
        </w:rPr>
        <w:t xml:space="preserve"> </w:t>
      </w:r>
      <w:r w:rsidR="009B35A1" w:rsidRPr="00300A27">
        <w:rPr>
          <w:lang w:val="en-US"/>
        </w:rPr>
        <w:t xml:space="preserve">of the </w:t>
      </w:r>
      <w:r w:rsidR="005F06DA" w:rsidRPr="00300A27">
        <w:rPr>
          <w:lang w:val="en-US"/>
        </w:rPr>
        <w:t>Peruvian National Police</w:t>
      </w:r>
      <w:r w:rsidR="00ED310B" w:rsidRPr="00300A27">
        <w:rPr>
          <w:lang w:val="en-US"/>
        </w:rPr>
        <w:t xml:space="preserve">, </w:t>
      </w:r>
      <w:r w:rsidR="000C464A" w:rsidRPr="00300A27">
        <w:rPr>
          <w:lang w:val="en-US"/>
        </w:rPr>
        <w:t>the</w:t>
      </w:r>
      <w:r w:rsidR="00ED310B" w:rsidRPr="00300A27">
        <w:rPr>
          <w:lang w:val="en-US"/>
        </w:rPr>
        <w:t xml:space="preserve"> </w:t>
      </w:r>
      <w:r w:rsidR="00892EDF" w:rsidRPr="00300A27">
        <w:rPr>
          <w:lang w:val="en-US"/>
        </w:rPr>
        <w:t>Public Prosecution Service</w:t>
      </w:r>
      <w:r w:rsidR="00ED310B" w:rsidRPr="00300A27">
        <w:rPr>
          <w:lang w:val="en-US"/>
        </w:rPr>
        <w:t>,</w:t>
      </w:r>
      <w:r w:rsidRPr="00300A27">
        <w:rPr>
          <w:lang w:val="en-US"/>
        </w:rPr>
        <w:t xml:space="preserve"> the </w:t>
      </w:r>
      <w:r w:rsidR="009B35A1" w:rsidRPr="00300A27">
        <w:rPr>
          <w:lang w:val="en-US"/>
        </w:rPr>
        <w:t>Judiciary</w:t>
      </w:r>
      <w:r w:rsidR="005B1C65" w:rsidRPr="00300A27">
        <w:rPr>
          <w:lang w:val="en-US"/>
        </w:rPr>
        <w:t xml:space="preserve"> and </w:t>
      </w:r>
      <w:r w:rsidRPr="00300A27">
        <w:rPr>
          <w:lang w:val="en-US"/>
        </w:rPr>
        <w:t>the</w:t>
      </w:r>
      <w:r w:rsidR="00ED310B" w:rsidRPr="00300A27">
        <w:rPr>
          <w:lang w:val="en-US"/>
        </w:rPr>
        <w:t xml:space="preserve"> </w:t>
      </w:r>
      <w:r w:rsidR="00ED310B" w:rsidRPr="00300A27">
        <w:rPr>
          <w:i/>
          <w:iCs/>
          <w:lang w:val="en-US"/>
        </w:rPr>
        <w:t>serenazgo</w:t>
      </w:r>
      <w:bookmarkEnd w:id="211"/>
      <w:r w:rsidR="00283C0E" w:rsidRPr="00300A27">
        <w:rPr>
          <w:lang w:val="en-US"/>
        </w:rPr>
        <w:t>, as</w:t>
      </w:r>
      <w:r w:rsidRPr="00300A27">
        <w:rPr>
          <w:lang w:val="en-US"/>
        </w:rPr>
        <w:t xml:space="preserve"> well as of any other organ that exercises functions relating to compliance with domestic law. This training must be accompanied by awareness-raising acti</w:t>
      </w:r>
      <w:bookmarkEnd w:id="212"/>
      <w:r w:rsidRPr="00300A27">
        <w:rPr>
          <w:lang w:val="en-US"/>
        </w:rPr>
        <w:t>ons</w:t>
      </w:r>
    </w:p>
    <w:p w14:paraId="5A085B0E" w14:textId="7F7D4C82" w:rsidR="00AA4612" w:rsidRPr="00300A27" w:rsidRDefault="00AA4612" w:rsidP="00B243B6">
      <w:pPr>
        <w:pStyle w:val="Ttulo3"/>
        <w:jc w:val="both"/>
        <w:rPr>
          <w:lang w:val="en-US"/>
        </w:rPr>
      </w:pPr>
      <w:bookmarkStart w:id="213" w:name="_Toc36823511"/>
      <w:r w:rsidRPr="00300A27">
        <w:rPr>
          <w:lang w:val="en-US" w:eastAsia="es-MX"/>
        </w:rPr>
        <w:t xml:space="preserve">D.3 </w:t>
      </w:r>
      <w:r w:rsidR="00CD6F00" w:rsidRPr="00300A27">
        <w:rPr>
          <w:lang w:val="en-US" w:eastAsia="es-MX"/>
        </w:rPr>
        <w:t>Design and implementation of a system to produce and compile statistics</w:t>
      </w:r>
      <w:r w:rsidRPr="00300A27">
        <w:rPr>
          <w:lang w:val="en-US" w:eastAsia="es-MX"/>
        </w:rPr>
        <w:t xml:space="preserve"> </w:t>
      </w:r>
      <w:r w:rsidR="00CD6F00" w:rsidRPr="00300A27">
        <w:rPr>
          <w:lang w:val="en-US" w:eastAsia="es-MX"/>
        </w:rPr>
        <w:t>on violence against LGBTI people</w:t>
      </w:r>
      <w:bookmarkEnd w:id="213"/>
    </w:p>
    <w:p w14:paraId="0D9A120A" w14:textId="0D92A187" w:rsidR="00AA4612" w:rsidRPr="00300A27" w:rsidRDefault="00BA3C7F" w:rsidP="00B243B6">
      <w:pPr>
        <w:pStyle w:val="PrrafodeSentencia"/>
        <w:numPr>
          <w:ilvl w:val="0"/>
          <w:numId w:val="3"/>
        </w:numPr>
        <w:spacing w:before="120" w:after="120"/>
        <w:ind w:left="0" w:firstLine="0"/>
        <w:rPr>
          <w:spacing w:val="0"/>
          <w:lang w:val="en-US"/>
        </w:rPr>
      </w:pPr>
      <w:r w:rsidRPr="00300A27">
        <w:rPr>
          <w:spacing w:val="0"/>
          <w:lang w:val="en-US"/>
        </w:rPr>
        <w:t xml:space="preserve">The </w:t>
      </w:r>
      <w:r w:rsidRPr="00300A27">
        <w:rPr>
          <w:b/>
          <w:bCs/>
          <w:i/>
          <w:iCs/>
          <w:spacing w:val="0"/>
          <w:lang w:val="en-US"/>
        </w:rPr>
        <w:t>representatives</w:t>
      </w:r>
      <w:r w:rsidR="00AA4612" w:rsidRPr="00300A27">
        <w:rPr>
          <w:spacing w:val="0"/>
          <w:lang w:val="en-US"/>
        </w:rPr>
        <w:t xml:space="preserve"> </w:t>
      </w:r>
      <w:r w:rsidR="004949C7" w:rsidRPr="00300A27">
        <w:rPr>
          <w:spacing w:val="0"/>
          <w:lang w:val="en-US"/>
        </w:rPr>
        <w:t>asked the Court to order t</w:t>
      </w:r>
      <w:r w:rsidRPr="00300A27">
        <w:rPr>
          <w:spacing w:val="0"/>
          <w:lang w:val="en-US"/>
        </w:rPr>
        <w:t>he State</w:t>
      </w:r>
      <w:r w:rsidR="00AA4612" w:rsidRPr="00300A27">
        <w:rPr>
          <w:spacing w:val="0"/>
          <w:lang w:val="en-US"/>
        </w:rPr>
        <w:t xml:space="preserve"> </w:t>
      </w:r>
      <w:r w:rsidR="004949C7" w:rsidRPr="00300A27">
        <w:rPr>
          <w:spacing w:val="0"/>
          <w:lang w:val="en-US"/>
        </w:rPr>
        <w:t xml:space="preserve">to implement a system to produce and compile statistics on prejudice-based violence against </w:t>
      </w:r>
      <w:r w:rsidR="007E4CD0" w:rsidRPr="00300A27">
        <w:rPr>
          <w:spacing w:val="0"/>
          <w:lang w:val="en-US"/>
        </w:rPr>
        <w:t>LGBTI people</w:t>
      </w:r>
      <w:r w:rsidR="00AA4612" w:rsidRPr="00300A27">
        <w:rPr>
          <w:spacing w:val="0"/>
          <w:lang w:val="en-US"/>
        </w:rPr>
        <w:t xml:space="preserve">. </w:t>
      </w:r>
      <w:r w:rsidR="004949C7" w:rsidRPr="00300A27">
        <w:rPr>
          <w:spacing w:val="0"/>
          <w:lang w:val="en-US"/>
        </w:rPr>
        <w:t xml:space="preserve">According to </w:t>
      </w:r>
      <w:r w:rsidRPr="00300A27">
        <w:rPr>
          <w:spacing w:val="0"/>
          <w:lang w:val="en-US"/>
        </w:rPr>
        <w:t>the representatives</w:t>
      </w:r>
      <w:r w:rsidR="00AA4612" w:rsidRPr="00300A27">
        <w:rPr>
          <w:spacing w:val="0"/>
          <w:lang w:val="en-US"/>
        </w:rPr>
        <w:t xml:space="preserve">, </w:t>
      </w:r>
      <w:r w:rsidR="004949C7" w:rsidRPr="00300A27">
        <w:rPr>
          <w:spacing w:val="0"/>
          <w:lang w:val="en-US"/>
        </w:rPr>
        <w:t xml:space="preserve">the database should include, at a minimum, statistical information on the number of reports </w:t>
      </w:r>
      <w:r w:rsidR="005D1266" w:rsidRPr="00300A27">
        <w:rPr>
          <w:spacing w:val="0"/>
          <w:lang w:val="en-US"/>
        </w:rPr>
        <w:t>of</w:t>
      </w:r>
      <w:r w:rsidR="004949C7" w:rsidRPr="00300A27">
        <w:rPr>
          <w:spacing w:val="0"/>
          <w:lang w:val="en-US"/>
        </w:rPr>
        <w:t xml:space="preserve"> cases of </w:t>
      </w:r>
      <w:r w:rsidR="00CD6F00" w:rsidRPr="00300A27">
        <w:rPr>
          <w:spacing w:val="0"/>
          <w:lang w:val="en-US"/>
        </w:rPr>
        <w:t>violence against LGBTI people</w:t>
      </w:r>
      <w:r w:rsidR="00AA4612" w:rsidRPr="00300A27">
        <w:rPr>
          <w:spacing w:val="0"/>
          <w:lang w:val="en-US"/>
        </w:rPr>
        <w:t xml:space="preserve">, </w:t>
      </w:r>
      <w:r w:rsidR="004949C7" w:rsidRPr="00300A27">
        <w:rPr>
          <w:spacing w:val="0"/>
          <w:lang w:val="en-US"/>
        </w:rPr>
        <w:t xml:space="preserve">type of perpetrator, procedures undertaken, and result of the investigations. </w:t>
      </w:r>
    </w:p>
    <w:p w14:paraId="0FA1AFF2" w14:textId="1F90AB2C" w:rsidR="004949C7" w:rsidRPr="00300A27" w:rsidRDefault="005B1C65" w:rsidP="00B243B6">
      <w:pPr>
        <w:pStyle w:val="PrrafodeSentencia"/>
        <w:numPr>
          <w:ilvl w:val="0"/>
          <w:numId w:val="3"/>
        </w:numPr>
        <w:spacing w:before="120" w:after="120"/>
        <w:ind w:left="0" w:firstLine="0"/>
        <w:rPr>
          <w:b/>
          <w:spacing w:val="0"/>
          <w:lang w:val="en-US"/>
        </w:rPr>
      </w:pPr>
      <w:r w:rsidRPr="00300A27">
        <w:rPr>
          <w:spacing w:val="0"/>
          <w:lang w:val="en-US"/>
        </w:rPr>
        <w:t xml:space="preserve">The </w:t>
      </w:r>
      <w:r w:rsidRPr="00300A27">
        <w:rPr>
          <w:b/>
          <w:bCs/>
          <w:i/>
          <w:iCs/>
          <w:spacing w:val="0"/>
          <w:lang w:val="en-US"/>
        </w:rPr>
        <w:t>State</w:t>
      </w:r>
      <w:r w:rsidR="00AA4612" w:rsidRPr="00300A27">
        <w:rPr>
          <w:spacing w:val="0"/>
          <w:lang w:val="en-US"/>
        </w:rPr>
        <w:t xml:space="preserve"> </w:t>
      </w:r>
      <w:r w:rsidR="004949C7" w:rsidRPr="00300A27">
        <w:rPr>
          <w:spacing w:val="0"/>
          <w:lang w:val="en-US"/>
        </w:rPr>
        <w:t xml:space="preserve">indicated that the </w:t>
      </w:r>
      <w:r w:rsidR="005D1266" w:rsidRPr="00300A27">
        <w:rPr>
          <w:spacing w:val="0"/>
          <w:lang w:val="en-US"/>
        </w:rPr>
        <w:t xml:space="preserve">2018-2021 </w:t>
      </w:r>
      <w:r w:rsidR="004949C7" w:rsidRPr="00300A27">
        <w:rPr>
          <w:spacing w:val="0"/>
          <w:lang w:val="en-US"/>
        </w:rPr>
        <w:t>National Human Rights Plan ha</w:t>
      </w:r>
      <w:r w:rsidR="005D1266" w:rsidRPr="00300A27">
        <w:rPr>
          <w:spacing w:val="0"/>
          <w:lang w:val="en-US"/>
        </w:rPr>
        <w:t>d</w:t>
      </w:r>
      <w:r w:rsidR="004949C7" w:rsidRPr="00300A27">
        <w:rPr>
          <w:spacing w:val="0"/>
          <w:lang w:val="en-US"/>
        </w:rPr>
        <w:t xml:space="preserve"> taken into consideration “strengthening the system </w:t>
      </w:r>
      <w:r w:rsidR="005D1266" w:rsidRPr="00300A27">
        <w:rPr>
          <w:spacing w:val="0"/>
          <w:lang w:val="en-US"/>
        </w:rPr>
        <w:t>for recording</w:t>
      </w:r>
      <w:r w:rsidR="004949C7" w:rsidRPr="00300A27">
        <w:rPr>
          <w:spacing w:val="0"/>
          <w:lang w:val="en-US"/>
        </w:rPr>
        <w:t xml:space="preserve"> discrimination and violence (nationwide cases or reports), including </w:t>
      </w:r>
      <w:r w:rsidR="005D1266" w:rsidRPr="00300A27">
        <w:rPr>
          <w:spacing w:val="0"/>
          <w:lang w:val="en-US"/>
        </w:rPr>
        <w:t>cases involving</w:t>
      </w:r>
      <w:r w:rsidR="004949C7" w:rsidRPr="00300A27">
        <w:rPr>
          <w:spacing w:val="0"/>
          <w:lang w:val="en-US"/>
        </w:rPr>
        <w:t xml:space="preserve"> </w:t>
      </w:r>
      <w:r w:rsidR="007E4CD0" w:rsidRPr="00300A27">
        <w:rPr>
          <w:spacing w:val="0"/>
          <w:lang w:val="en-US"/>
        </w:rPr>
        <w:t>LGBTI people</w:t>
      </w:r>
      <w:r w:rsidR="00AA4612" w:rsidRPr="00300A27">
        <w:rPr>
          <w:spacing w:val="0"/>
          <w:lang w:val="en-US"/>
        </w:rPr>
        <w:t xml:space="preserve"> </w:t>
      </w:r>
      <w:r w:rsidR="004949C7" w:rsidRPr="00300A27">
        <w:rPr>
          <w:spacing w:val="0"/>
          <w:lang w:val="en-US"/>
        </w:rPr>
        <w:t>owing to their gender identity or</w:t>
      </w:r>
      <w:r w:rsidR="00AA4612" w:rsidRPr="00300A27">
        <w:rPr>
          <w:spacing w:val="0"/>
          <w:lang w:val="en-US"/>
        </w:rPr>
        <w:t xml:space="preserve"> </w:t>
      </w:r>
      <w:r w:rsidR="00CC6548" w:rsidRPr="00300A27">
        <w:rPr>
          <w:spacing w:val="0"/>
          <w:lang w:val="en-US"/>
        </w:rPr>
        <w:t>sexual orientation</w:t>
      </w:r>
      <w:r w:rsidR="004949C7" w:rsidRPr="00300A27">
        <w:rPr>
          <w:spacing w:val="0"/>
          <w:lang w:val="en-US"/>
        </w:rPr>
        <w:t>.</w:t>
      </w:r>
      <w:r w:rsidR="00AA4612" w:rsidRPr="00300A27">
        <w:rPr>
          <w:spacing w:val="0"/>
          <w:lang w:val="en-US"/>
        </w:rPr>
        <w:t>”</w:t>
      </w:r>
      <w:r w:rsidR="004949C7" w:rsidRPr="00300A27">
        <w:rPr>
          <w:spacing w:val="0"/>
          <w:lang w:val="en-US"/>
        </w:rPr>
        <w:t xml:space="preserve"> It also indicated that the Ministry of the</w:t>
      </w:r>
      <w:r w:rsidR="00AA4612" w:rsidRPr="00300A27">
        <w:rPr>
          <w:spacing w:val="0"/>
          <w:lang w:val="en-US"/>
        </w:rPr>
        <w:t xml:space="preserve"> Interior “ha</w:t>
      </w:r>
      <w:r w:rsidR="004949C7" w:rsidRPr="00300A27">
        <w:rPr>
          <w:spacing w:val="0"/>
          <w:lang w:val="en-US"/>
        </w:rPr>
        <w:t>s ensured th</w:t>
      </w:r>
      <w:r w:rsidR="005D1266" w:rsidRPr="00300A27">
        <w:rPr>
          <w:spacing w:val="0"/>
          <w:lang w:val="en-US"/>
        </w:rPr>
        <w:t>at</w:t>
      </w:r>
      <w:r w:rsidR="004949C7" w:rsidRPr="00300A27">
        <w:rPr>
          <w:spacing w:val="0"/>
          <w:lang w:val="en-US"/>
        </w:rPr>
        <w:t xml:space="preserve"> the Police Reports System (SIDPOL) </w:t>
      </w:r>
      <w:r w:rsidR="005D1266" w:rsidRPr="00300A27">
        <w:rPr>
          <w:spacing w:val="0"/>
          <w:lang w:val="en-US"/>
        </w:rPr>
        <w:t>now incorporates</w:t>
      </w:r>
      <w:r w:rsidR="004949C7" w:rsidRPr="00300A27">
        <w:rPr>
          <w:spacing w:val="0"/>
          <w:lang w:val="en-US"/>
        </w:rPr>
        <w:t xml:space="preserve"> a checkbox that allows </w:t>
      </w:r>
      <w:r w:rsidR="00084615" w:rsidRPr="00300A27">
        <w:rPr>
          <w:spacing w:val="0"/>
          <w:lang w:val="en-US"/>
        </w:rPr>
        <w:t xml:space="preserve">complaints of discrimination based on sexual orientation and gender identity to be recorded,” so that “it will be possible to know the exact number of complaints made in the police stations of the Peruvian National Police.” Peru also indicated that, under the National Program to combat Domestic and Sexual Violence of the Ministry for Women and Vulnerable Populations (MIMP), in 2015 and 2016, the form to record cases in the Women’s Emergency Centers (CEM) included information on users who identified as LGBTI. In 2017 and 2018, the form recorded information </w:t>
      </w:r>
      <w:r w:rsidR="000C3C22" w:rsidRPr="00300A27">
        <w:rPr>
          <w:spacing w:val="0"/>
          <w:lang w:val="en-US"/>
        </w:rPr>
        <w:t xml:space="preserve">on vulnerability </w:t>
      </w:r>
      <w:r w:rsidR="00084615" w:rsidRPr="00300A27">
        <w:rPr>
          <w:spacing w:val="0"/>
          <w:lang w:val="en-US"/>
        </w:rPr>
        <w:t xml:space="preserve">based on sexual orientation and gender identity as a risk factor for </w:t>
      </w:r>
      <w:r w:rsidR="000C3C22" w:rsidRPr="00300A27">
        <w:rPr>
          <w:spacing w:val="0"/>
          <w:lang w:val="en-US"/>
        </w:rPr>
        <w:t>clients of the Centers</w:t>
      </w:r>
      <w:r w:rsidR="00084615" w:rsidRPr="00300A27">
        <w:rPr>
          <w:spacing w:val="0"/>
          <w:lang w:val="en-US"/>
        </w:rPr>
        <w:t>. The State also reported that the National Mechanism to Prevent Torture and other cruel, inhuman and degrading treatment or punishment “has identified the LGBTI community as a particularly vulnerable</w:t>
      </w:r>
      <w:r w:rsidR="000C3C22" w:rsidRPr="00300A27">
        <w:rPr>
          <w:spacing w:val="0"/>
          <w:lang w:val="en-US"/>
        </w:rPr>
        <w:t xml:space="preserve"> group</w:t>
      </w:r>
      <w:r w:rsidR="00084615" w:rsidRPr="00300A27">
        <w:rPr>
          <w:spacing w:val="0"/>
          <w:lang w:val="en-US"/>
        </w:rPr>
        <w:t xml:space="preserve"> that merits a differentiated treated based on </w:t>
      </w:r>
      <w:r w:rsidR="000C3C22" w:rsidRPr="00300A27">
        <w:rPr>
          <w:spacing w:val="0"/>
          <w:lang w:val="en-US"/>
        </w:rPr>
        <w:t>its</w:t>
      </w:r>
      <w:r w:rsidR="00084615" w:rsidRPr="00300A27">
        <w:rPr>
          <w:spacing w:val="0"/>
          <w:lang w:val="en-US"/>
        </w:rPr>
        <w:t xml:space="preserve"> specific needs.” In this regard, </w:t>
      </w:r>
      <w:r w:rsidR="000C3C22" w:rsidRPr="00300A27">
        <w:rPr>
          <w:spacing w:val="0"/>
          <w:lang w:val="en-US"/>
        </w:rPr>
        <w:t>the State</w:t>
      </w:r>
      <w:r w:rsidR="00084615" w:rsidRPr="00300A27">
        <w:rPr>
          <w:spacing w:val="0"/>
          <w:lang w:val="en-US"/>
        </w:rPr>
        <w:t xml:space="preserve"> indicated that “when preparing the said [2018] Annual Report, it became clear that there was no formal data recording information on the number of people belonging to vulnerable groups; however, </w:t>
      </w:r>
      <w:r w:rsidR="00162A43" w:rsidRPr="00300A27">
        <w:rPr>
          <w:spacing w:val="0"/>
          <w:lang w:val="en-US"/>
        </w:rPr>
        <w:t xml:space="preserve">important findings were made on such </w:t>
      </w:r>
      <w:r w:rsidR="000C3C22" w:rsidRPr="00300A27">
        <w:rPr>
          <w:spacing w:val="0"/>
          <w:lang w:val="en-US"/>
        </w:rPr>
        <w:t>individuals</w:t>
      </w:r>
      <w:r w:rsidR="00162A43" w:rsidRPr="00300A27">
        <w:rPr>
          <w:spacing w:val="0"/>
          <w:lang w:val="en-US"/>
        </w:rPr>
        <w:t xml:space="preserve"> as a result of surveys, interviews and evaluations, in which adolescents, young people and adults were consulted on their self-identification as a member of an indigenous people or of the LGBTI community, and to find out whether they had suffered any act of physical, mental or moral aggression on this basis.”</w:t>
      </w:r>
    </w:p>
    <w:p w14:paraId="533C31AA" w14:textId="0209CBA6" w:rsidR="00753656" w:rsidRPr="00300A27" w:rsidRDefault="005B1C65" w:rsidP="00B243B6">
      <w:pPr>
        <w:pStyle w:val="PrrafodeSentencia"/>
        <w:numPr>
          <w:ilvl w:val="0"/>
          <w:numId w:val="3"/>
        </w:numPr>
        <w:spacing w:before="120" w:after="120"/>
        <w:ind w:left="0" w:firstLine="0"/>
        <w:rPr>
          <w:rFonts w:cs="Times New Roman (Body CS)"/>
          <w:spacing w:val="0"/>
          <w:lang w:val="en-US"/>
        </w:rPr>
      </w:pPr>
      <w:bookmarkStart w:id="214" w:name="_Ref33110505"/>
      <w:r w:rsidRPr="00300A27">
        <w:rPr>
          <w:rFonts w:cs="Times New Roman (Body CS)"/>
          <w:spacing w:val="0"/>
          <w:lang w:val="en-US"/>
        </w:rPr>
        <w:t>The Court</w:t>
      </w:r>
      <w:r w:rsidR="00753656" w:rsidRPr="00300A27">
        <w:rPr>
          <w:rFonts w:cs="Times New Roman (Body CS)"/>
          <w:spacing w:val="0"/>
          <w:lang w:val="en-US"/>
        </w:rPr>
        <w:t xml:space="preserve"> </w:t>
      </w:r>
      <w:r w:rsidR="00162A43" w:rsidRPr="00300A27">
        <w:rPr>
          <w:rFonts w:cs="Times New Roman (Body CS)"/>
          <w:spacing w:val="0"/>
          <w:lang w:val="en-US"/>
        </w:rPr>
        <w:t xml:space="preserve">appreciates the progress made by </w:t>
      </w:r>
      <w:r w:rsidR="007E74BC" w:rsidRPr="00300A27">
        <w:rPr>
          <w:rFonts w:cs="Times New Roman (Body CS)"/>
          <w:spacing w:val="0"/>
          <w:lang w:val="en-US"/>
        </w:rPr>
        <w:t>the Peruvian State</w:t>
      </w:r>
      <w:r w:rsidR="00753656" w:rsidRPr="00300A27">
        <w:rPr>
          <w:rFonts w:cs="Times New Roman (Body CS)"/>
          <w:spacing w:val="0"/>
          <w:lang w:val="en-US"/>
        </w:rPr>
        <w:t xml:space="preserve"> </w:t>
      </w:r>
      <w:r w:rsidR="00162A43" w:rsidRPr="00300A27">
        <w:rPr>
          <w:rFonts w:cs="Times New Roman (Body CS)"/>
          <w:spacing w:val="0"/>
          <w:lang w:val="en-US"/>
        </w:rPr>
        <w:t xml:space="preserve">in the collection of data about violence against </w:t>
      </w:r>
      <w:r w:rsidR="007E4CD0" w:rsidRPr="00300A27">
        <w:rPr>
          <w:rFonts w:cs="Times New Roman (Body CS)"/>
          <w:spacing w:val="0"/>
          <w:lang w:val="en-US"/>
        </w:rPr>
        <w:t>LGBTI people</w:t>
      </w:r>
      <w:r w:rsidR="00753656" w:rsidRPr="00300A27">
        <w:rPr>
          <w:rFonts w:cs="Times New Roman (Body CS)"/>
          <w:spacing w:val="0"/>
          <w:lang w:val="en-US"/>
        </w:rPr>
        <w:t xml:space="preserve">. </w:t>
      </w:r>
      <w:r w:rsidR="00162A43" w:rsidRPr="00300A27">
        <w:rPr>
          <w:rFonts w:cs="Times New Roman (Body CS)"/>
          <w:spacing w:val="0"/>
          <w:lang w:val="en-US"/>
        </w:rPr>
        <w:t>However</w:t>
      </w:r>
      <w:r w:rsidR="00753656" w:rsidRPr="00300A27">
        <w:rPr>
          <w:rFonts w:cs="Times New Roman (Body CS)"/>
          <w:spacing w:val="0"/>
          <w:lang w:val="en-US"/>
        </w:rPr>
        <w:t xml:space="preserve">, </w:t>
      </w:r>
      <w:r w:rsidR="009B35A1" w:rsidRPr="00300A27">
        <w:rPr>
          <w:rFonts w:cs="Times New Roman (Body CS)"/>
          <w:spacing w:val="0"/>
          <w:lang w:val="en-US"/>
        </w:rPr>
        <w:t>the Court</w:t>
      </w:r>
      <w:r w:rsidR="00753656" w:rsidRPr="00300A27">
        <w:rPr>
          <w:rFonts w:cs="Times New Roman (Body CS)"/>
          <w:spacing w:val="0"/>
          <w:lang w:val="en-US"/>
        </w:rPr>
        <w:t xml:space="preserve"> </w:t>
      </w:r>
      <w:r w:rsidR="00162A43" w:rsidRPr="00300A27">
        <w:rPr>
          <w:rFonts w:cs="Times New Roman (Body CS)"/>
          <w:spacing w:val="0"/>
          <w:lang w:val="en-US"/>
        </w:rPr>
        <w:t>understands that comprehensive information on the violence suffered by LGBTI people</w:t>
      </w:r>
      <w:r w:rsidR="000C3C22" w:rsidRPr="00300A27">
        <w:rPr>
          <w:rFonts w:cs="Times New Roman (Body CS)"/>
          <w:spacing w:val="0"/>
          <w:lang w:val="en-US"/>
        </w:rPr>
        <w:t xml:space="preserve"> must be collected</w:t>
      </w:r>
      <w:r w:rsidR="00162A43" w:rsidRPr="00300A27">
        <w:rPr>
          <w:rFonts w:cs="Times New Roman (Body CS)"/>
          <w:spacing w:val="0"/>
          <w:lang w:val="en-US"/>
        </w:rPr>
        <w:t xml:space="preserve"> in order to understand the true magnitude of this phenomenon and, on this basis, design strategies to prevent and to e</w:t>
      </w:r>
      <w:r w:rsidR="000C3C22" w:rsidRPr="00300A27">
        <w:rPr>
          <w:rFonts w:cs="Times New Roman (Body CS)"/>
          <w:spacing w:val="0"/>
          <w:lang w:val="en-US"/>
        </w:rPr>
        <w:t>liminate</w:t>
      </w:r>
      <w:r w:rsidR="00162A43" w:rsidRPr="00300A27">
        <w:rPr>
          <w:rFonts w:cs="Times New Roman (Body CS)"/>
          <w:spacing w:val="0"/>
          <w:lang w:val="en-US"/>
        </w:rPr>
        <w:t xml:space="preserve"> </w:t>
      </w:r>
      <w:r w:rsidR="000C3C22" w:rsidRPr="00300A27">
        <w:rPr>
          <w:rFonts w:cs="Times New Roman (Body CS)"/>
          <w:spacing w:val="0"/>
          <w:lang w:val="en-US"/>
        </w:rPr>
        <w:t>fresh</w:t>
      </w:r>
      <w:r w:rsidR="00162A43" w:rsidRPr="00300A27">
        <w:rPr>
          <w:rFonts w:cs="Times New Roman (Body CS)"/>
          <w:spacing w:val="0"/>
          <w:lang w:val="en-US"/>
        </w:rPr>
        <w:t xml:space="preserve"> acts of violence and discrimination. Therefore, the Court orders the State to design immediately and implement within one year, through the corresponding State entity, a system to compile data and figures linked to cases of violence against LGBTI people </w:t>
      </w:r>
      <w:r w:rsidR="00CF6980" w:rsidRPr="00300A27">
        <w:rPr>
          <w:rFonts w:cs="Times New Roman (Body CS)"/>
          <w:spacing w:val="0"/>
          <w:lang w:val="en-US"/>
        </w:rPr>
        <w:t>“</w:t>
      </w:r>
      <w:r w:rsidR="00162A43" w:rsidRPr="00300A27">
        <w:rPr>
          <w:rFonts w:cs="Times New Roman (Body CS)"/>
          <w:spacing w:val="0"/>
          <w:lang w:val="en-US"/>
        </w:rPr>
        <w:t>in order to</w:t>
      </w:r>
      <w:r w:rsidR="00CF6980" w:rsidRPr="00300A27">
        <w:rPr>
          <w:rFonts w:cs="Times New Roman (Body CS)"/>
          <w:spacing w:val="0"/>
          <w:lang w:val="en-US"/>
        </w:rPr>
        <w:t xml:space="preserve"> be able to uniformly and accurately assess</w:t>
      </w:r>
      <w:r w:rsidR="00162A43" w:rsidRPr="00300A27">
        <w:rPr>
          <w:rFonts w:cs="Times New Roman (Body CS)"/>
          <w:spacing w:val="0"/>
          <w:lang w:val="en-US"/>
        </w:rPr>
        <w:t xml:space="preserve"> the type, prevalence, t</w:t>
      </w:r>
      <w:r w:rsidR="00CF6980" w:rsidRPr="00300A27">
        <w:rPr>
          <w:rFonts w:cs="Times New Roman (Body CS)"/>
          <w:spacing w:val="0"/>
          <w:lang w:val="en-US"/>
        </w:rPr>
        <w:t>rends</w:t>
      </w:r>
      <w:r w:rsidR="00162A43" w:rsidRPr="00300A27">
        <w:rPr>
          <w:rFonts w:cs="Times New Roman (Body CS)"/>
          <w:spacing w:val="0"/>
          <w:lang w:val="en-US"/>
        </w:rPr>
        <w:t xml:space="preserve"> and patterns of violence and discrimination against</w:t>
      </w:r>
      <w:r w:rsidR="00CF6980" w:rsidRPr="00300A27">
        <w:rPr>
          <w:rFonts w:cs="Times New Roman (Body CS)"/>
          <w:spacing w:val="0"/>
          <w:lang w:val="en-US"/>
        </w:rPr>
        <w:t>”</w:t>
      </w:r>
      <w:r w:rsidR="00162A43" w:rsidRPr="00300A27">
        <w:rPr>
          <w:rFonts w:cs="Times New Roman (Body CS)"/>
          <w:spacing w:val="0"/>
          <w:lang w:val="en-US"/>
        </w:rPr>
        <w:t xml:space="preserve"> LGBTI pe</w:t>
      </w:r>
      <w:r w:rsidR="00CF6980" w:rsidRPr="00300A27">
        <w:rPr>
          <w:rFonts w:cs="Times New Roman (Body CS)"/>
          <w:spacing w:val="0"/>
          <w:lang w:val="en-US"/>
        </w:rPr>
        <w:t>rsons</w:t>
      </w:r>
      <w:r w:rsidR="00162A43" w:rsidRPr="00300A27">
        <w:rPr>
          <w:rFonts w:cs="Times New Roman (Body CS)"/>
          <w:spacing w:val="0"/>
          <w:lang w:val="en-US"/>
        </w:rPr>
        <w:t>,</w:t>
      </w:r>
      <w:r w:rsidR="00CF6980" w:rsidRPr="00300A27">
        <w:rPr>
          <w:rFonts w:cs="Times New Roman (Body CS)"/>
          <w:spacing w:val="0"/>
          <w:lang w:val="en-US"/>
        </w:rPr>
        <w:t xml:space="preserve"> disaggregat</w:t>
      </w:r>
      <w:r w:rsidR="00162A43" w:rsidRPr="00300A27">
        <w:rPr>
          <w:rFonts w:cs="Times New Roman (Body CS)"/>
          <w:spacing w:val="0"/>
          <w:lang w:val="en-US"/>
        </w:rPr>
        <w:t xml:space="preserve">ing </w:t>
      </w:r>
      <w:r w:rsidR="00CF6980" w:rsidRPr="00300A27">
        <w:rPr>
          <w:rFonts w:cs="Times New Roman (Body CS)"/>
          <w:spacing w:val="0"/>
          <w:lang w:val="en-US"/>
        </w:rPr>
        <w:t>“</w:t>
      </w:r>
      <w:r w:rsidR="00162A43" w:rsidRPr="00300A27">
        <w:rPr>
          <w:rFonts w:cs="Times New Roman (Body CS)"/>
          <w:spacing w:val="0"/>
          <w:lang w:val="en-US"/>
        </w:rPr>
        <w:t>the data by communit</w:t>
      </w:r>
      <w:r w:rsidR="00CF6980" w:rsidRPr="00300A27">
        <w:rPr>
          <w:rFonts w:cs="Times New Roman (Body CS)"/>
          <w:spacing w:val="0"/>
          <w:lang w:val="en-US"/>
        </w:rPr>
        <w:t>y</w:t>
      </w:r>
      <w:r w:rsidR="00162A43" w:rsidRPr="00300A27">
        <w:rPr>
          <w:rFonts w:cs="Times New Roman (Body CS)"/>
          <w:spacing w:val="0"/>
          <w:lang w:val="en-US"/>
        </w:rPr>
        <w:t>, race, ethnic</w:t>
      </w:r>
      <w:r w:rsidR="00CF6980" w:rsidRPr="00300A27">
        <w:rPr>
          <w:rFonts w:cs="Times New Roman (Body CS)"/>
          <w:spacing w:val="0"/>
          <w:lang w:val="en-US"/>
        </w:rPr>
        <w:t>ity</w:t>
      </w:r>
      <w:r w:rsidR="00162A43" w:rsidRPr="00300A27">
        <w:rPr>
          <w:rFonts w:cs="Times New Roman (Body CS)"/>
          <w:spacing w:val="0"/>
          <w:lang w:val="en-US"/>
        </w:rPr>
        <w:t>, religion or belief, health status, age, class, and migrat</w:t>
      </w:r>
      <w:r w:rsidR="00CF6980" w:rsidRPr="00300A27">
        <w:rPr>
          <w:rFonts w:cs="Times New Roman (Body CS)"/>
          <w:spacing w:val="0"/>
          <w:lang w:val="en-US"/>
        </w:rPr>
        <w:t>ion</w:t>
      </w:r>
      <w:r w:rsidR="00162A43" w:rsidRPr="00300A27">
        <w:rPr>
          <w:rFonts w:cs="Times New Roman (Body CS)"/>
          <w:spacing w:val="0"/>
          <w:lang w:val="en-US"/>
        </w:rPr>
        <w:t xml:space="preserve"> </w:t>
      </w:r>
      <w:r w:rsidR="00CF6980" w:rsidRPr="00300A27">
        <w:rPr>
          <w:rFonts w:cs="Times New Roman (Body CS)"/>
          <w:spacing w:val="0"/>
          <w:lang w:val="en-US"/>
        </w:rPr>
        <w:t>or</w:t>
      </w:r>
      <w:r w:rsidR="00162A43" w:rsidRPr="00300A27">
        <w:rPr>
          <w:rFonts w:cs="Times New Roman (Body CS)"/>
          <w:spacing w:val="0"/>
          <w:lang w:val="en-US"/>
        </w:rPr>
        <w:t xml:space="preserve"> </w:t>
      </w:r>
      <w:r w:rsidR="00CF6980" w:rsidRPr="00300A27">
        <w:rPr>
          <w:rFonts w:cs="Times New Roman (Body CS)"/>
          <w:spacing w:val="0"/>
          <w:lang w:val="en-US"/>
        </w:rPr>
        <w:t xml:space="preserve">economic </w:t>
      </w:r>
      <w:r w:rsidR="00162A43" w:rsidRPr="00300A27">
        <w:rPr>
          <w:rFonts w:cs="Times New Roman (Body CS)"/>
          <w:spacing w:val="0"/>
          <w:lang w:val="en-US"/>
        </w:rPr>
        <w:t>status.</w:t>
      </w:r>
      <w:r w:rsidR="00CF6980" w:rsidRPr="00300A27">
        <w:rPr>
          <w:rFonts w:cs="Times New Roman (Body CS)"/>
          <w:spacing w:val="0"/>
          <w:lang w:val="en-US"/>
        </w:rPr>
        <w:t>”</w:t>
      </w:r>
      <w:r w:rsidR="00753656" w:rsidRPr="00300A27">
        <w:rPr>
          <w:rStyle w:val="Refdenotaalpie"/>
          <w:rFonts w:cs="Times New Roman (Body CS)"/>
          <w:spacing w:val="0"/>
          <w:lang w:val="en-US"/>
        </w:rPr>
        <w:footnoteReference w:id="308"/>
      </w:r>
      <w:r w:rsidR="00162A43" w:rsidRPr="00300A27">
        <w:rPr>
          <w:rFonts w:cs="Times New Roman (Body CS)"/>
          <w:spacing w:val="0"/>
          <w:lang w:val="en-US"/>
        </w:rPr>
        <w:t xml:space="preserve"> The number of cases prosecuted should also be specified</w:t>
      </w:r>
      <w:r w:rsidR="00AE4C9E" w:rsidRPr="00300A27">
        <w:rPr>
          <w:rFonts w:cs="Times New Roman (Body CS)"/>
          <w:spacing w:val="0"/>
          <w:lang w:val="en-US"/>
        </w:rPr>
        <w:t>,</w:t>
      </w:r>
      <w:r w:rsidR="00860869" w:rsidRPr="00300A27">
        <w:rPr>
          <w:rFonts w:cs="Times New Roman (Body CS)"/>
          <w:spacing w:val="0"/>
          <w:lang w:val="en-US"/>
        </w:rPr>
        <w:t xml:space="preserve"> </w:t>
      </w:r>
      <w:r w:rsidR="00A75E28" w:rsidRPr="00300A27">
        <w:rPr>
          <w:rFonts w:cs="Times New Roman (Body CS)"/>
          <w:spacing w:val="0"/>
          <w:lang w:val="en-US"/>
        </w:rPr>
        <w:t xml:space="preserve">identifying the number of </w:t>
      </w:r>
      <w:r w:rsidR="00CF6980" w:rsidRPr="00300A27">
        <w:rPr>
          <w:rFonts w:cs="Times New Roman (Body CS)"/>
          <w:spacing w:val="0"/>
          <w:lang w:val="en-US"/>
        </w:rPr>
        <w:t>indictments</w:t>
      </w:r>
      <w:r w:rsidR="00A75E28" w:rsidRPr="00300A27">
        <w:rPr>
          <w:rFonts w:cs="Times New Roman (Body CS)"/>
          <w:spacing w:val="0"/>
          <w:lang w:val="en-US"/>
        </w:rPr>
        <w:t>, convictions and acquittals. The State must publish this information each year in the corresponding report, ensuring that the general public have access to it, while keeping the identity of the victims confidential.</w:t>
      </w:r>
      <w:r w:rsidR="00753656" w:rsidRPr="00300A27">
        <w:rPr>
          <w:rStyle w:val="Refdenotaalpie"/>
          <w:rFonts w:cs="Times New Roman (Body CS)"/>
          <w:spacing w:val="0"/>
          <w:lang w:val="en-US"/>
        </w:rPr>
        <w:footnoteReference w:id="309"/>
      </w:r>
      <w:r w:rsidR="00A75E28" w:rsidRPr="00300A27">
        <w:rPr>
          <w:rFonts w:cs="Times New Roman (Body CS)"/>
          <w:spacing w:val="0"/>
          <w:lang w:val="en-US"/>
        </w:rPr>
        <w:t xml:space="preserve"> T</w:t>
      </w:r>
      <w:r w:rsidRPr="00300A27">
        <w:rPr>
          <w:rFonts w:cs="Times New Roman (Body CS)"/>
          <w:spacing w:val="0"/>
          <w:lang w:val="en-US"/>
        </w:rPr>
        <w:t>he State</w:t>
      </w:r>
      <w:r w:rsidR="00753656" w:rsidRPr="00300A27">
        <w:rPr>
          <w:rFonts w:cs="Times New Roman (Body CS)"/>
          <w:spacing w:val="0"/>
          <w:lang w:val="en-US"/>
        </w:rPr>
        <w:t xml:space="preserve"> </w:t>
      </w:r>
      <w:r w:rsidR="00A75E28" w:rsidRPr="00300A27">
        <w:rPr>
          <w:rFonts w:cs="Times New Roman (Body CS)"/>
          <w:spacing w:val="0"/>
          <w:lang w:val="en-US"/>
        </w:rPr>
        <w:t xml:space="preserve">must present </w:t>
      </w:r>
      <w:r w:rsidR="000C3C22" w:rsidRPr="00300A27">
        <w:rPr>
          <w:rFonts w:cs="Times New Roman (Body CS)"/>
          <w:spacing w:val="0"/>
          <w:lang w:val="en-US"/>
        </w:rPr>
        <w:t xml:space="preserve">the Court with </w:t>
      </w:r>
      <w:r w:rsidR="00A75E28" w:rsidRPr="00300A27">
        <w:rPr>
          <w:rFonts w:cs="Times New Roman (Body CS)"/>
          <w:spacing w:val="0"/>
          <w:lang w:val="en-US"/>
        </w:rPr>
        <w:t xml:space="preserve">an </w:t>
      </w:r>
      <w:r w:rsidR="00C3087E" w:rsidRPr="00300A27">
        <w:rPr>
          <w:rFonts w:cs="Times New Roman (Body CS)"/>
          <w:spacing w:val="0"/>
          <w:lang w:val="en-US"/>
        </w:rPr>
        <w:t>annual</w:t>
      </w:r>
      <w:r w:rsidR="00A75E28" w:rsidRPr="00300A27">
        <w:rPr>
          <w:rFonts w:cs="Times New Roman (Body CS)"/>
          <w:spacing w:val="0"/>
          <w:lang w:val="en-US"/>
        </w:rPr>
        <w:t xml:space="preserve"> report for three years following the implementation of the data collection system indicating the </w:t>
      </w:r>
      <w:r w:rsidR="000C3C22" w:rsidRPr="00300A27">
        <w:rPr>
          <w:rFonts w:cs="Times New Roman (Body CS)"/>
          <w:spacing w:val="0"/>
          <w:lang w:val="en-US"/>
        </w:rPr>
        <w:t xml:space="preserve">relevant </w:t>
      </w:r>
      <w:r w:rsidR="00A75E28" w:rsidRPr="00300A27">
        <w:rPr>
          <w:rFonts w:cs="Times New Roman (Body CS)"/>
          <w:spacing w:val="0"/>
          <w:lang w:val="en-US"/>
        </w:rPr>
        <w:t>actions taken</w:t>
      </w:r>
      <w:bookmarkEnd w:id="214"/>
      <w:r w:rsidR="000C3C22" w:rsidRPr="00300A27">
        <w:rPr>
          <w:rFonts w:cs="Times New Roman (Body CS)"/>
          <w:spacing w:val="0"/>
          <w:lang w:val="en-US"/>
        </w:rPr>
        <w:t>.</w:t>
      </w:r>
    </w:p>
    <w:p w14:paraId="631EC8D2" w14:textId="6CBB8230" w:rsidR="00AA4612" w:rsidRPr="00300A27" w:rsidRDefault="00AA4612" w:rsidP="00B243B6">
      <w:pPr>
        <w:pStyle w:val="Ttulo3"/>
        <w:jc w:val="both"/>
        <w:rPr>
          <w:lang w:val="en-US" w:eastAsia="es-MX"/>
        </w:rPr>
      </w:pPr>
      <w:bookmarkStart w:id="215" w:name="_Toc36823512"/>
      <w:r w:rsidRPr="00300A27">
        <w:rPr>
          <w:lang w:val="en-US" w:eastAsia="es-MX"/>
        </w:rPr>
        <w:t xml:space="preserve">D.4 </w:t>
      </w:r>
      <w:r w:rsidR="00CD6F00" w:rsidRPr="00300A27">
        <w:rPr>
          <w:lang w:val="en-US" w:eastAsia="es-MX"/>
        </w:rPr>
        <w:t>Eliminate the indicator of “eradication of homosexuals and transvestites”</w:t>
      </w:r>
      <w:r w:rsidRPr="00300A27">
        <w:rPr>
          <w:lang w:val="en-US" w:eastAsia="es-MX"/>
        </w:rPr>
        <w:t xml:space="preserve"> </w:t>
      </w:r>
      <w:r w:rsidR="00CD6F00" w:rsidRPr="00300A27">
        <w:rPr>
          <w:lang w:val="en-US" w:eastAsia="es-MX"/>
        </w:rPr>
        <w:t>from the public safety plans of the regions and districts</w:t>
      </w:r>
      <w:r w:rsidRPr="00300A27">
        <w:rPr>
          <w:lang w:val="en-US" w:eastAsia="es-MX"/>
        </w:rPr>
        <w:t xml:space="preserve"> </w:t>
      </w:r>
      <w:r w:rsidR="009B35A1" w:rsidRPr="00300A27">
        <w:rPr>
          <w:lang w:val="en-US" w:eastAsia="es-MX"/>
        </w:rPr>
        <w:t>of Peru</w:t>
      </w:r>
      <w:bookmarkEnd w:id="215"/>
    </w:p>
    <w:p w14:paraId="236D4C7D" w14:textId="53E96F76" w:rsidR="00A75121" w:rsidRPr="00300A27" w:rsidRDefault="00BA3C7F" w:rsidP="00B243B6">
      <w:pPr>
        <w:pStyle w:val="PrrafodeSentencia"/>
        <w:numPr>
          <w:ilvl w:val="0"/>
          <w:numId w:val="3"/>
        </w:numPr>
        <w:spacing w:before="120" w:after="120"/>
        <w:ind w:left="0" w:firstLine="0"/>
        <w:rPr>
          <w:spacing w:val="0"/>
          <w:lang w:val="en-US"/>
        </w:rPr>
      </w:pPr>
      <w:r w:rsidRPr="00300A27">
        <w:rPr>
          <w:spacing w:val="0"/>
          <w:lang w:val="en-US"/>
        </w:rPr>
        <w:t xml:space="preserve">The </w:t>
      </w:r>
      <w:r w:rsidRPr="00300A27">
        <w:rPr>
          <w:b/>
          <w:bCs/>
          <w:i/>
          <w:iCs/>
          <w:spacing w:val="0"/>
          <w:lang w:val="en-US"/>
        </w:rPr>
        <w:t>representatives</w:t>
      </w:r>
      <w:r w:rsidR="00AA4612" w:rsidRPr="00300A27">
        <w:rPr>
          <w:spacing w:val="0"/>
          <w:lang w:val="en-US"/>
        </w:rPr>
        <w:t xml:space="preserve"> </w:t>
      </w:r>
      <w:r w:rsidR="000C464A" w:rsidRPr="00300A27">
        <w:rPr>
          <w:spacing w:val="0"/>
          <w:lang w:val="en-US"/>
        </w:rPr>
        <w:t>asked the Court to order</w:t>
      </w:r>
      <w:r w:rsidRPr="00300A27">
        <w:rPr>
          <w:spacing w:val="0"/>
          <w:lang w:val="en-US"/>
        </w:rPr>
        <w:t xml:space="preserve"> </w:t>
      </w:r>
      <w:r w:rsidR="007E74BC" w:rsidRPr="00300A27">
        <w:rPr>
          <w:spacing w:val="0"/>
          <w:lang w:val="en-US"/>
        </w:rPr>
        <w:t>the Peruvian State</w:t>
      </w:r>
      <w:r w:rsidR="00A75121" w:rsidRPr="00300A27">
        <w:rPr>
          <w:spacing w:val="0"/>
          <w:lang w:val="en-US"/>
        </w:rPr>
        <w:t xml:space="preserve"> </w:t>
      </w:r>
      <w:r w:rsidR="000C464A" w:rsidRPr="00300A27">
        <w:rPr>
          <w:spacing w:val="0"/>
          <w:lang w:val="en-US"/>
        </w:rPr>
        <w:t>to eliminate from the</w:t>
      </w:r>
      <w:r w:rsidR="00A75121" w:rsidRPr="00300A27">
        <w:rPr>
          <w:spacing w:val="0"/>
          <w:lang w:val="en-US"/>
        </w:rPr>
        <w:t xml:space="preserve"> “</w:t>
      </w:r>
      <w:r w:rsidR="00A75E28" w:rsidRPr="00300A27">
        <w:rPr>
          <w:spacing w:val="0"/>
          <w:lang w:val="en-US"/>
        </w:rPr>
        <w:t xml:space="preserve">Public safety plans of the regions and districts of Peru,” which provide information on the incidence of crime in each jurisdiction, the indicator on the “eradication of homosexuals and transvestites […] because this policy </w:t>
      </w:r>
      <w:r w:rsidR="005A64FE" w:rsidRPr="00300A27">
        <w:rPr>
          <w:spacing w:val="0"/>
          <w:lang w:val="en-US"/>
        </w:rPr>
        <w:t xml:space="preserve">legitimizes the violation of the rights of LGBTI people in Peru </w:t>
      </w:r>
      <w:r w:rsidR="004D4687" w:rsidRPr="00300A27">
        <w:rPr>
          <w:spacing w:val="0"/>
          <w:lang w:val="en-US"/>
        </w:rPr>
        <w:t>since</w:t>
      </w:r>
      <w:r w:rsidR="005A64FE" w:rsidRPr="00300A27">
        <w:rPr>
          <w:spacing w:val="0"/>
          <w:lang w:val="en-US"/>
        </w:rPr>
        <w:t xml:space="preserve"> it increases their segregation and provides a legal framework to justify arbitrary detentions based on prejudices relating to sexual orientation and identity</w:t>
      </w:r>
      <w:r w:rsidR="004D4687" w:rsidRPr="00300A27">
        <w:rPr>
          <w:spacing w:val="0"/>
          <w:lang w:val="en-US"/>
        </w:rPr>
        <w:t>,</w:t>
      </w:r>
      <w:r w:rsidR="005A64FE" w:rsidRPr="00300A27">
        <w:rPr>
          <w:spacing w:val="0"/>
          <w:lang w:val="en-US"/>
        </w:rPr>
        <w:t xml:space="preserve"> and non-normative gender expression. This action falls within the competence of the Ministry of the Interior in coordination with local and regional governments.” The representatives explained that “eradication” consisted “in removing individual</w:t>
      </w:r>
      <w:r w:rsidR="004D4687" w:rsidRPr="00300A27">
        <w:rPr>
          <w:spacing w:val="0"/>
          <w:lang w:val="en-US"/>
        </w:rPr>
        <w:t>s</w:t>
      </w:r>
      <w:r w:rsidR="005A64FE" w:rsidRPr="00300A27">
        <w:rPr>
          <w:spacing w:val="0"/>
          <w:lang w:val="en-US"/>
        </w:rPr>
        <w:t xml:space="preserve"> from the territory of a district” owing to their perceived sexual orientation or gender identity</w:t>
      </w:r>
      <w:r w:rsidR="00A75121" w:rsidRPr="00300A27">
        <w:rPr>
          <w:spacing w:val="0"/>
          <w:lang w:val="en-US"/>
        </w:rPr>
        <w:t xml:space="preserve">. </w:t>
      </w:r>
    </w:p>
    <w:p w14:paraId="251CF56F" w14:textId="1945A7EF" w:rsidR="00AA4612" w:rsidRPr="00300A27" w:rsidRDefault="005B1C65" w:rsidP="00B243B6">
      <w:pPr>
        <w:pStyle w:val="PrrafodeSentencia"/>
        <w:numPr>
          <w:ilvl w:val="0"/>
          <w:numId w:val="3"/>
        </w:numPr>
        <w:spacing w:before="120" w:after="120"/>
        <w:ind w:left="0" w:firstLine="0"/>
        <w:rPr>
          <w:spacing w:val="0"/>
          <w:lang w:val="en-US"/>
        </w:rPr>
      </w:pPr>
      <w:r w:rsidRPr="00300A27">
        <w:rPr>
          <w:spacing w:val="0"/>
          <w:lang w:val="en-US"/>
        </w:rPr>
        <w:t xml:space="preserve">The </w:t>
      </w:r>
      <w:r w:rsidRPr="00300A27">
        <w:rPr>
          <w:b/>
          <w:bCs/>
          <w:i/>
          <w:iCs/>
          <w:spacing w:val="0"/>
          <w:lang w:val="en-US"/>
        </w:rPr>
        <w:t>State</w:t>
      </w:r>
      <w:r w:rsidR="00AA4612" w:rsidRPr="00300A27">
        <w:rPr>
          <w:b/>
          <w:spacing w:val="0"/>
          <w:lang w:val="en-US"/>
        </w:rPr>
        <w:t xml:space="preserve"> </w:t>
      </w:r>
      <w:r w:rsidR="005A64FE" w:rsidRPr="00300A27">
        <w:rPr>
          <w:spacing w:val="0"/>
          <w:lang w:val="en-US"/>
        </w:rPr>
        <w:t xml:space="preserve">indicated that although </w:t>
      </w:r>
      <w:r w:rsidR="007071F6" w:rsidRPr="00300A27">
        <w:rPr>
          <w:spacing w:val="0"/>
          <w:lang w:val="en-US"/>
        </w:rPr>
        <w:t xml:space="preserve">the </w:t>
      </w:r>
      <w:r w:rsidR="00BA3C7F" w:rsidRPr="00300A27">
        <w:rPr>
          <w:spacing w:val="0"/>
          <w:lang w:val="en-US"/>
        </w:rPr>
        <w:t>representatives</w:t>
      </w:r>
      <w:r w:rsidR="005A64FE" w:rsidRPr="00300A27">
        <w:rPr>
          <w:spacing w:val="0"/>
          <w:lang w:val="en-US"/>
        </w:rPr>
        <w:t>’ request</w:t>
      </w:r>
      <w:r w:rsidR="00AA4612" w:rsidRPr="00300A27">
        <w:rPr>
          <w:spacing w:val="0"/>
          <w:lang w:val="en-US"/>
        </w:rPr>
        <w:t xml:space="preserve"> “</w:t>
      </w:r>
      <w:r w:rsidR="005A64FE" w:rsidRPr="00300A27">
        <w:rPr>
          <w:spacing w:val="0"/>
          <w:lang w:val="en-US"/>
        </w:rPr>
        <w:t xml:space="preserve">accorded with the transformational approach of the reparations,” it had no causal nexus </w:t>
      </w:r>
      <w:r w:rsidR="00300337" w:rsidRPr="00300A27">
        <w:rPr>
          <w:spacing w:val="0"/>
          <w:lang w:val="en-US"/>
        </w:rPr>
        <w:t>with</w:t>
      </w:r>
      <w:r w:rsidR="005A64FE" w:rsidRPr="00300A27">
        <w:rPr>
          <w:spacing w:val="0"/>
          <w:lang w:val="en-US"/>
        </w:rPr>
        <w:t xml:space="preserve"> the facts of the case, and should therefore be rejected</w:t>
      </w:r>
      <w:r w:rsidR="00AA4612" w:rsidRPr="00300A27">
        <w:rPr>
          <w:spacing w:val="0"/>
          <w:lang w:val="en-US"/>
        </w:rPr>
        <w:t xml:space="preserve">. </w:t>
      </w:r>
      <w:r w:rsidR="00AA4612" w:rsidRPr="00300A27">
        <w:rPr>
          <w:b/>
          <w:spacing w:val="0"/>
          <w:lang w:val="en-US"/>
        </w:rPr>
        <w:t xml:space="preserve"> </w:t>
      </w:r>
    </w:p>
    <w:p w14:paraId="69C9F473" w14:textId="5C8F781E" w:rsidR="00A75121" w:rsidRPr="00300A27" w:rsidRDefault="005B1C65" w:rsidP="00B243B6">
      <w:pPr>
        <w:pStyle w:val="PrrafodeSentencia"/>
        <w:numPr>
          <w:ilvl w:val="0"/>
          <w:numId w:val="3"/>
        </w:numPr>
        <w:spacing w:before="120" w:after="120"/>
        <w:ind w:left="0" w:firstLine="0"/>
        <w:rPr>
          <w:spacing w:val="0"/>
          <w:lang w:val="en-US"/>
        </w:rPr>
      </w:pPr>
      <w:bookmarkStart w:id="216" w:name="_Ref33110577"/>
      <w:bookmarkStart w:id="217" w:name="_Ref446682477"/>
      <w:bookmarkStart w:id="218" w:name="_Toc192591"/>
      <w:bookmarkStart w:id="219" w:name="_Toc32394190"/>
      <w:r w:rsidRPr="00300A27">
        <w:rPr>
          <w:spacing w:val="0"/>
          <w:lang w:val="en-US"/>
        </w:rPr>
        <w:t>The Court</w:t>
      </w:r>
      <w:r w:rsidR="00A75121" w:rsidRPr="00300A27">
        <w:rPr>
          <w:spacing w:val="0"/>
          <w:lang w:val="en-US"/>
        </w:rPr>
        <w:t xml:space="preserve"> consider</w:t>
      </w:r>
      <w:r w:rsidR="005A64FE" w:rsidRPr="00300A27">
        <w:rPr>
          <w:spacing w:val="0"/>
          <w:lang w:val="en-US"/>
        </w:rPr>
        <w:t xml:space="preserve">s that the inclusion of an indicator involving the “eradication of homosexuals and transvestites” in the public safety plans is a highly discriminatory element that exacerbates the prejudices against the LGBTI population and, therefore, promotes the possibility of violence based on prejudice occurring, as in this case. Consequently, the Court orders the State, in coordination with local and regional governments, to eliminate the indicator on “eradication of homosexuals and transvestites” </w:t>
      </w:r>
      <w:r w:rsidR="00CD6F00" w:rsidRPr="00300A27">
        <w:rPr>
          <w:spacing w:val="0"/>
          <w:lang w:val="en-US"/>
        </w:rPr>
        <w:t>from the public safety plans of the regions and districts</w:t>
      </w:r>
      <w:r w:rsidR="00A75121" w:rsidRPr="00300A27">
        <w:rPr>
          <w:spacing w:val="0"/>
          <w:lang w:val="en-US"/>
        </w:rPr>
        <w:t xml:space="preserve"> </w:t>
      </w:r>
      <w:r w:rsidR="009B35A1" w:rsidRPr="00300A27">
        <w:rPr>
          <w:spacing w:val="0"/>
          <w:lang w:val="en-US"/>
        </w:rPr>
        <w:t>of Peru</w:t>
      </w:r>
      <w:r w:rsidR="005A64FE" w:rsidRPr="00300A27">
        <w:rPr>
          <w:spacing w:val="0"/>
          <w:lang w:val="en-US"/>
        </w:rPr>
        <w:t xml:space="preserve"> within one year.</w:t>
      </w:r>
      <w:bookmarkEnd w:id="216"/>
      <w:bookmarkEnd w:id="217"/>
    </w:p>
    <w:p w14:paraId="44132690" w14:textId="3F3A7B57" w:rsidR="00852D2F" w:rsidRPr="00300A27" w:rsidRDefault="00CD6F00" w:rsidP="00B243B6">
      <w:pPr>
        <w:pStyle w:val="Ttulo2"/>
        <w:numPr>
          <w:ilvl w:val="0"/>
          <w:numId w:val="27"/>
        </w:numPr>
        <w:ind w:left="1134" w:hanging="567"/>
        <w:rPr>
          <w:lang w:val="en-US" w:eastAsia="es-ES"/>
        </w:rPr>
      </w:pPr>
      <w:r w:rsidRPr="00300A27">
        <w:rPr>
          <w:lang w:val="en-US"/>
        </w:rPr>
        <w:t>Compensation</w:t>
      </w:r>
      <w:bookmarkEnd w:id="218"/>
      <w:bookmarkEnd w:id="219"/>
    </w:p>
    <w:p w14:paraId="2DBB2E11" w14:textId="0F94FE3E" w:rsidR="00852D2F" w:rsidRPr="00300A27" w:rsidRDefault="00852D2F" w:rsidP="00B243B6">
      <w:pPr>
        <w:pStyle w:val="Ttulo3"/>
        <w:spacing w:before="120" w:after="120"/>
        <w:rPr>
          <w:rFonts w:eastAsiaTheme="minorHAnsi"/>
          <w:lang w:val="en-US" w:eastAsia="es-MX"/>
        </w:rPr>
      </w:pPr>
      <w:bookmarkStart w:id="220" w:name="_Toc192592"/>
      <w:bookmarkStart w:id="221" w:name="_Toc32394191"/>
      <w:bookmarkStart w:id="222" w:name="_Toc36823514"/>
      <w:r w:rsidRPr="00300A27">
        <w:rPr>
          <w:rFonts w:eastAsiaTheme="minorHAnsi"/>
          <w:lang w:val="en-US" w:eastAsia="es-MX"/>
        </w:rPr>
        <w:t xml:space="preserve">E.1 </w:t>
      </w:r>
      <w:r w:rsidR="002959DE" w:rsidRPr="00300A27">
        <w:rPr>
          <w:rFonts w:eastAsiaTheme="minorHAnsi"/>
          <w:lang w:val="en-US" w:eastAsia="es-MX"/>
        </w:rPr>
        <w:t>Pecuniary damage</w:t>
      </w:r>
      <w:bookmarkEnd w:id="220"/>
      <w:bookmarkEnd w:id="221"/>
      <w:bookmarkEnd w:id="222"/>
    </w:p>
    <w:p w14:paraId="00E30E28" w14:textId="29F2E4D3" w:rsidR="00852D2F" w:rsidRPr="00300A27" w:rsidRDefault="000C464A" w:rsidP="00B243B6">
      <w:pPr>
        <w:pStyle w:val="PrrafodeSentencia"/>
        <w:numPr>
          <w:ilvl w:val="0"/>
          <w:numId w:val="3"/>
        </w:numPr>
        <w:spacing w:before="120" w:after="120"/>
        <w:ind w:left="0" w:firstLine="0"/>
        <w:rPr>
          <w:rFonts w:eastAsiaTheme="minorHAnsi"/>
          <w:spacing w:val="0"/>
          <w:lang w:val="en-US"/>
        </w:rPr>
      </w:pPr>
      <w:r w:rsidRPr="00300A27">
        <w:rPr>
          <w:spacing w:val="0"/>
          <w:lang w:val="en-US"/>
        </w:rPr>
        <w:t>In its case law, t</w:t>
      </w:r>
      <w:r w:rsidR="005B1C65" w:rsidRPr="00300A27">
        <w:rPr>
          <w:spacing w:val="0"/>
          <w:lang w:val="en-US"/>
        </w:rPr>
        <w:t>h</w:t>
      </w:r>
      <w:r w:rsidRPr="00300A27">
        <w:rPr>
          <w:spacing w:val="0"/>
          <w:lang w:val="en-US"/>
        </w:rPr>
        <w:t>e</w:t>
      </w:r>
      <w:r w:rsidR="005B1C65" w:rsidRPr="00300A27">
        <w:rPr>
          <w:spacing w:val="0"/>
          <w:lang w:val="en-US"/>
        </w:rPr>
        <w:t xml:space="preserve"> Court</w:t>
      </w:r>
      <w:r w:rsidR="00852D2F" w:rsidRPr="00300A27">
        <w:rPr>
          <w:spacing w:val="0"/>
          <w:lang w:val="en-US"/>
        </w:rPr>
        <w:t xml:space="preserve"> ha</w:t>
      </w:r>
      <w:r w:rsidRPr="00300A27">
        <w:rPr>
          <w:spacing w:val="0"/>
          <w:lang w:val="en-US"/>
        </w:rPr>
        <w:t>s developed the concept that</w:t>
      </w:r>
      <w:r w:rsidR="00852D2F" w:rsidRPr="00300A27">
        <w:rPr>
          <w:spacing w:val="0"/>
          <w:lang w:val="en-US"/>
        </w:rPr>
        <w:t xml:space="preserve"> </w:t>
      </w:r>
      <w:r w:rsidRPr="00300A27">
        <w:rPr>
          <w:spacing w:val="0"/>
          <w:lang w:val="en-US"/>
        </w:rPr>
        <w:t>p</w:t>
      </w:r>
      <w:r w:rsidR="002959DE" w:rsidRPr="00300A27">
        <w:rPr>
          <w:spacing w:val="0"/>
          <w:lang w:val="en-US"/>
        </w:rPr>
        <w:t>ecuniary damage</w:t>
      </w:r>
      <w:r w:rsidR="00852D2F" w:rsidRPr="00300A27">
        <w:rPr>
          <w:spacing w:val="0"/>
          <w:lang w:val="en-US"/>
        </w:rPr>
        <w:t xml:space="preserve"> sup</w:t>
      </w:r>
      <w:r w:rsidRPr="00300A27">
        <w:rPr>
          <w:spacing w:val="0"/>
          <w:lang w:val="en-US"/>
        </w:rPr>
        <w:t>poses the los</w:t>
      </w:r>
      <w:r w:rsidR="005A64FE" w:rsidRPr="00300A27">
        <w:rPr>
          <w:spacing w:val="0"/>
          <w:lang w:val="en-US"/>
        </w:rPr>
        <w:t>s</w:t>
      </w:r>
      <w:r w:rsidRPr="00300A27">
        <w:rPr>
          <w:spacing w:val="0"/>
          <w:lang w:val="en-US"/>
        </w:rPr>
        <w:t xml:space="preserve"> or detriment to the income of the victims, the expenses incurred owing to the facts  and the consequences of a pecuniary nature that have a causal nexus with the facts of the case.</w:t>
      </w:r>
      <w:r w:rsidR="00852D2F" w:rsidRPr="00300A27">
        <w:rPr>
          <w:rStyle w:val="Refdenotaalpie"/>
          <w:spacing w:val="0"/>
          <w:lang w:val="en-US"/>
        </w:rPr>
        <w:footnoteReference w:id="310"/>
      </w:r>
    </w:p>
    <w:p w14:paraId="21A2CF0D" w14:textId="3A5539A2" w:rsidR="00852D2F" w:rsidRPr="00300A27" w:rsidRDefault="00C2001D" w:rsidP="00B243B6">
      <w:pPr>
        <w:pStyle w:val="PrrafodeSentencia"/>
        <w:numPr>
          <w:ilvl w:val="0"/>
          <w:numId w:val="3"/>
        </w:numPr>
        <w:spacing w:before="120" w:after="120"/>
        <w:ind w:left="0" w:firstLine="0"/>
        <w:rPr>
          <w:spacing w:val="0"/>
          <w:lang w:val="en-US"/>
        </w:rPr>
      </w:pPr>
      <w:r w:rsidRPr="00300A27">
        <w:rPr>
          <w:spacing w:val="0"/>
          <w:lang w:val="en-US"/>
        </w:rPr>
        <w:t xml:space="preserve">The </w:t>
      </w:r>
      <w:r w:rsidRPr="00300A27">
        <w:rPr>
          <w:b/>
          <w:bCs/>
          <w:i/>
          <w:iCs/>
          <w:spacing w:val="0"/>
          <w:lang w:val="en-US"/>
        </w:rPr>
        <w:t>Commission</w:t>
      </w:r>
      <w:r w:rsidR="00852D2F" w:rsidRPr="00300A27">
        <w:rPr>
          <w:b/>
          <w:i/>
          <w:spacing w:val="0"/>
          <w:lang w:val="en-US"/>
        </w:rPr>
        <w:t xml:space="preserve"> </w:t>
      </w:r>
      <w:r w:rsidR="00003641" w:rsidRPr="00300A27">
        <w:rPr>
          <w:spacing w:val="0"/>
          <w:lang w:val="en-US"/>
        </w:rPr>
        <w:t>asked that the Stat</w:t>
      </w:r>
      <w:r w:rsidR="005A64FE" w:rsidRPr="00300A27">
        <w:rPr>
          <w:spacing w:val="0"/>
          <w:lang w:val="en-US"/>
        </w:rPr>
        <w:t>e</w:t>
      </w:r>
      <w:r w:rsidR="00003641" w:rsidRPr="00300A27">
        <w:rPr>
          <w:spacing w:val="0"/>
          <w:lang w:val="en-US"/>
        </w:rPr>
        <w:t xml:space="preserve"> “provide comprehensive reparation to </w:t>
      </w:r>
      <w:r w:rsidR="00852D2F" w:rsidRPr="00300A27">
        <w:rPr>
          <w:spacing w:val="0"/>
          <w:lang w:val="en-US"/>
        </w:rPr>
        <w:t>Azul Rojas Marín</w:t>
      </w:r>
      <w:r w:rsidR="005B1C65" w:rsidRPr="00300A27">
        <w:rPr>
          <w:spacing w:val="0"/>
          <w:lang w:val="en-US"/>
        </w:rPr>
        <w:t xml:space="preserve"> and </w:t>
      </w:r>
      <w:r w:rsidR="00852D2F" w:rsidRPr="00300A27">
        <w:rPr>
          <w:spacing w:val="0"/>
          <w:lang w:val="en-US"/>
        </w:rPr>
        <w:t xml:space="preserve">Juana Rosa Tanta Marín </w:t>
      </w:r>
      <w:r w:rsidR="00003641" w:rsidRPr="00300A27">
        <w:rPr>
          <w:spacing w:val="0"/>
          <w:lang w:val="en-US"/>
        </w:rPr>
        <w:t xml:space="preserve">for the violations of their human rights that have been established.” This should “include </w:t>
      </w:r>
      <w:r w:rsidR="002959DE" w:rsidRPr="00300A27">
        <w:rPr>
          <w:spacing w:val="0"/>
          <w:lang w:val="en-US"/>
        </w:rPr>
        <w:t>measures of</w:t>
      </w:r>
      <w:r w:rsidR="00003641" w:rsidRPr="00300A27">
        <w:rPr>
          <w:spacing w:val="0"/>
          <w:lang w:val="en-US"/>
        </w:rPr>
        <w:t xml:space="preserve"> pecuniary</w:t>
      </w:r>
      <w:r w:rsidR="00852D2F" w:rsidRPr="00300A27">
        <w:rPr>
          <w:spacing w:val="0"/>
          <w:lang w:val="en-US"/>
        </w:rPr>
        <w:t xml:space="preserve"> compensa</w:t>
      </w:r>
      <w:r w:rsidR="00003641" w:rsidRPr="00300A27">
        <w:rPr>
          <w:spacing w:val="0"/>
          <w:lang w:val="en-US"/>
        </w:rPr>
        <w:t xml:space="preserve">tion </w:t>
      </w:r>
      <w:r w:rsidR="005B1C65" w:rsidRPr="00300A27">
        <w:rPr>
          <w:spacing w:val="0"/>
          <w:lang w:val="en-US"/>
        </w:rPr>
        <w:t xml:space="preserve">and </w:t>
      </w:r>
      <w:r w:rsidR="00852D2F" w:rsidRPr="00300A27">
        <w:rPr>
          <w:spacing w:val="0"/>
          <w:lang w:val="en-US"/>
        </w:rPr>
        <w:t>satisfac</w:t>
      </w:r>
      <w:r w:rsidR="00003641" w:rsidRPr="00300A27">
        <w:rPr>
          <w:spacing w:val="0"/>
          <w:lang w:val="en-US"/>
        </w:rPr>
        <w:t>tion to redress both the pecuniary and the non-pecuniary damage.”</w:t>
      </w:r>
      <w:r w:rsidR="00852D2F" w:rsidRPr="00300A27">
        <w:rPr>
          <w:spacing w:val="0"/>
          <w:lang w:val="en-US"/>
        </w:rPr>
        <w:t xml:space="preserve"> </w:t>
      </w:r>
    </w:p>
    <w:p w14:paraId="7DEDFA3D" w14:textId="75A8861E" w:rsidR="00852D2F" w:rsidRPr="00300A27" w:rsidRDefault="00BA3C7F" w:rsidP="00B243B6">
      <w:pPr>
        <w:pStyle w:val="PrrafodeSentencia"/>
        <w:numPr>
          <w:ilvl w:val="0"/>
          <w:numId w:val="3"/>
        </w:numPr>
        <w:spacing w:before="120" w:after="120"/>
        <w:ind w:left="0" w:firstLine="0"/>
        <w:rPr>
          <w:spacing w:val="0"/>
          <w:lang w:val="en-US"/>
        </w:rPr>
      </w:pPr>
      <w:r w:rsidRPr="00300A27">
        <w:rPr>
          <w:spacing w:val="0"/>
          <w:lang w:val="en-US"/>
        </w:rPr>
        <w:t xml:space="preserve">The </w:t>
      </w:r>
      <w:r w:rsidRPr="00300A27">
        <w:rPr>
          <w:b/>
          <w:bCs/>
          <w:i/>
          <w:iCs/>
          <w:spacing w:val="0"/>
          <w:lang w:val="en-US"/>
        </w:rPr>
        <w:t>representatives</w:t>
      </w:r>
      <w:r w:rsidR="00852D2F" w:rsidRPr="00300A27">
        <w:rPr>
          <w:spacing w:val="0"/>
          <w:lang w:val="en-US"/>
        </w:rPr>
        <w:t xml:space="preserve"> </w:t>
      </w:r>
      <w:r w:rsidR="004C16B4" w:rsidRPr="00300A27">
        <w:rPr>
          <w:spacing w:val="0"/>
          <w:lang w:val="en-US"/>
        </w:rPr>
        <w:t>asked</w:t>
      </w:r>
      <w:r w:rsidR="00852D2F" w:rsidRPr="00300A27">
        <w:rPr>
          <w:spacing w:val="0"/>
          <w:lang w:val="en-US"/>
        </w:rPr>
        <w:t xml:space="preserve"> </w:t>
      </w:r>
      <w:r w:rsidR="005B1C65" w:rsidRPr="00300A27">
        <w:rPr>
          <w:spacing w:val="0"/>
          <w:lang w:val="en-US"/>
        </w:rPr>
        <w:t>the Court</w:t>
      </w:r>
      <w:r w:rsidR="00852D2F" w:rsidRPr="00300A27">
        <w:rPr>
          <w:spacing w:val="0"/>
          <w:lang w:val="en-US"/>
        </w:rPr>
        <w:t xml:space="preserve"> </w:t>
      </w:r>
      <w:r w:rsidR="004C16B4" w:rsidRPr="00300A27">
        <w:rPr>
          <w:spacing w:val="0"/>
          <w:lang w:val="en-US"/>
        </w:rPr>
        <w:t xml:space="preserve">to </w:t>
      </w:r>
      <w:r w:rsidR="00D464AD" w:rsidRPr="00300A27">
        <w:rPr>
          <w:spacing w:val="0"/>
          <w:lang w:val="en-US"/>
        </w:rPr>
        <w:t>order</w:t>
      </w:r>
      <w:r w:rsidR="00852D2F" w:rsidRPr="00300A27">
        <w:rPr>
          <w:spacing w:val="0"/>
          <w:lang w:val="en-US"/>
        </w:rPr>
        <w:t xml:space="preserve"> </w:t>
      </w:r>
      <w:r w:rsidR="004C16B4" w:rsidRPr="00300A27">
        <w:rPr>
          <w:spacing w:val="0"/>
          <w:lang w:val="en-US"/>
        </w:rPr>
        <w:t>c</w:t>
      </w:r>
      <w:r w:rsidR="00CD6F00" w:rsidRPr="00300A27">
        <w:rPr>
          <w:spacing w:val="0"/>
          <w:lang w:val="en-US"/>
        </w:rPr>
        <w:t>ompensation</w:t>
      </w:r>
      <w:r w:rsidR="00852D2F" w:rsidRPr="00300A27">
        <w:rPr>
          <w:spacing w:val="0"/>
          <w:lang w:val="en-US"/>
        </w:rPr>
        <w:t xml:space="preserve"> </w:t>
      </w:r>
      <w:r w:rsidR="004C16B4" w:rsidRPr="00300A27">
        <w:rPr>
          <w:spacing w:val="0"/>
          <w:lang w:val="en-US"/>
        </w:rPr>
        <w:t xml:space="preserve">for the pecuniary damage suffered by Azul and her mother. They indicated that, “before the events of </w:t>
      </w:r>
      <w:r w:rsidR="00910D8E" w:rsidRPr="00300A27">
        <w:rPr>
          <w:spacing w:val="0"/>
          <w:lang w:val="en-US"/>
        </w:rPr>
        <w:t>February 25,</w:t>
      </w:r>
      <w:r w:rsidR="00852D2F" w:rsidRPr="00300A27">
        <w:rPr>
          <w:spacing w:val="0"/>
          <w:lang w:val="en-US"/>
        </w:rPr>
        <w:t xml:space="preserve"> 2008, </w:t>
      </w:r>
      <w:r w:rsidR="00D63D0F" w:rsidRPr="00300A27">
        <w:rPr>
          <w:spacing w:val="0"/>
          <w:lang w:val="en-US"/>
        </w:rPr>
        <w:t>[…]</w:t>
      </w:r>
      <w:r w:rsidR="00935CA7" w:rsidRPr="00300A27">
        <w:rPr>
          <w:spacing w:val="0"/>
          <w:lang w:val="en-US"/>
        </w:rPr>
        <w:t xml:space="preserve"> </w:t>
      </w:r>
      <w:r w:rsidR="00852D2F" w:rsidRPr="00300A27">
        <w:rPr>
          <w:spacing w:val="0"/>
          <w:lang w:val="en-US"/>
        </w:rPr>
        <w:t xml:space="preserve">Azul </w:t>
      </w:r>
      <w:r w:rsidR="004C16B4" w:rsidRPr="00300A27">
        <w:rPr>
          <w:spacing w:val="0"/>
          <w:lang w:val="en-US"/>
        </w:rPr>
        <w:t>worked in the Casa Grande Health Center, where they paid her the minimum living wage at the time</w:t>
      </w:r>
      <w:r w:rsidR="00852D2F" w:rsidRPr="00300A27">
        <w:rPr>
          <w:spacing w:val="0"/>
          <w:lang w:val="en-US"/>
        </w:rPr>
        <w:t xml:space="preserve"> (</w:t>
      </w:r>
      <w:r w:rsidR="004C16B4" w:rsidRPr="00300A27">
        <w:rPr>
          <w:spacing w:val="0"/>
          <w:lang w:val="en-US"/>
        </w:rPr>
        <w:t>that is</w:t>
      </w:r>
      <w:r w:rsidR="00852D2F" w:rsidRPr="00300A27">
        <w:rPr>
          <w:spacing w:val="0"/>
          <w:lang w:val="en-US"/>
        </w:rPr>
        <w:t xml:space="preserve">, S/.550.00 </w:t>
      </w:r>
      <w:r w:rsidR="004C16B4" w:rsidRPr="00300A27">
        <w:rPr>
          <w:spacing w:val="0"/>
          <w:lang w:val="en-US"/>
        </w:rPr>
        <w:t>new soles</w:t>
      </w:r>
      <w:r w:rsidR="00852D2F" w:rsidRPr="00300A27">
        <w:rPr>
          <w:spacing w:val="0"/>
          <w:lang w:val="en-US"/>
        </w:rPr>
        <w:t xml:space="preserve"> </w:t>
      </w:r>
      <w:r w:rsidR="004C16B4" w:rsidRPr="00300A27">
        <w:rPr>
          <w:spacing w:val="0"/>
          <w:lang w:val="en-US"/>
        </w:rPr>
        <w:t>to</w:t>
      </w:r>
      <w:r w:rsidR="00852D2F" w:rsidRPr="00300A27">
        <w:rPr>
          <w:spacing w:val="0"/>
          <w:lang w:val="en-US"/>
        </w:rPr>
        <w:t xml:space="preserve"> 2018)</w:t>
      </w:r>
      <w:r w:rsidR="004E3019" w:rsidRPr="00300A27">
        <w:rPr>
          <w:spacing w:val="0"/>
          <w:lang w:val="en-US"/>
        </w:rPr>
        <w:t>.</w:t>
      </w:r>
      <w:r w:rsidR="00852D2F" w:rsidRPr="00300A27">
        <w:rPr>
          <w:spacing w:val="0"/>
          <w:lang w:val="en-US"/>
        </w:rPr>
        <w:t>”</w:t>
      </w:r>
      <w:r w:rsidR="004E3019" w:rsidRPr="00300A27">
        <w:rPr>
          <w:spacing w:val="0"/>
          <w:lang w:val="en-US"/>
        </w:rPr>
        <w:t xml:space="preserve"> In addition, she worked raising and selling pigs, and also prepared food for certain events […] and had begun a university course in law.” </w:t>
      </w:r>
      <w:r w:rsidR="00D464AD" w:rsidRPr="00300A27">
        <w:rPr>
          <w:spacing w:val="0"/>
          <w:lang w:val="en-US"/>
        </w:rPr>
        <w:t>They indicated that, a</w:t>
      </w:r>
      <w:r w:rsidR="004E3019" w:rsidRPr="00300A27">
        <w:rPr>
          <w:spacing w:val="0"/>
          <w:lang w:val="en-US"/>
        </w:rPr>
        <w:t>s a result of the events of</w:t>
      </w:r>
      <w:r w:rsidR="00D63D0F" w:rsidRPr="00300A27">
        <w:rPr>
          <w:spacing w:val="0"/>
          <w:lang w:val="en-US"/>
        </w:rPr>
        <w:t xml:space="preserve"> </w:t>
      </w:r>
      <w:r w:rsidR="00910D8E" w:rsidRPr="00300A27">
        <w:rPr>
          <w:spacing w:val="0"/>
          <w:lang w:val="en-US"/>
        </w:rPr>
        <w:t>February 25,</w:t>
      </w:r>
      <w:r w:rsidR="00852D2F" w:rsidRPr="00300A27">
        <w:rPr>
          <w:spacing w:val="0"/>
          <w:lang w:val="en-US"/>
        </w:rPr>
        <w:t xml:space="preserve"> 2008, “Azul </w:t>
      </w:r>
      <w:r w:rsidR="004E3019" w:rsidRPr="00300A27">
        <w:rPr>
          <w:spacing w:val="0"/>
          <w:lang w:val="en-US"/>
        </w:rPr>
        <w:t xml:space="preserve">was unable to continue the said activities” and, currently, </w:t>
      </w:r>
      <w:r w:rsidR="00D464AD" w:rsidRPr="00300A27">
        <w:rPr>
          <w:spacing w:val="0"/>
          <w:lang w:val="en-US"/>
        </w:rPr>
        <w:t>was engaged in</w:t>
      </w:r>
      <w:r w:rsidR="004E3019" w:rsidRPr="00300A27">
        <w:rPr>
          <w:spacing w:val="0"/>
          <w:lang w:val="en-US"/>
        </w:rPr>
        <w:t xml:space="preserve"> “temporary informal employment.</w:t>
      </w:r>
      <w:r w:rsidR="00852D2F" w:rsidRPr="00300A27">
        <w:rPr>
          <w:spacing w:val="0"/>
          <w:lang w:val="en-US"/>
        </w:rPr>
        <w:t>”</w:t>
      </w:r>
      <w:r w:rsidR="004E3019" w:rsidRPr="00300A27">
        <w:rPr>
          <w:spacing w:val="0"/>
          <w:lang w:val="en-US"/>
        </w:rPr>
        <w:t xml:space="preserve"> They asked the Court to calculate the pecuniary damage </w:t>
      </w:r>
      <w:r w:rsidR="00D464AD" w:rsidRPr="00300A27">
        <w:rPr>
          <w:spacing w:val="0"/>
          <w:lang w:val="en-US"/>
        </w:rPr>
        <w:t xml:space="preserve">from </w:t>
      </w:r>
      <w:r w:rsidR="004E3019" w:rsidRPr="00300A27">
        <w:rPr>
          <w:spacing w:val="0"/>
          <w:lang w:val="en-US"/>
        </w:rPr>
        <w:t>March 2008 to the date</w:t>
      </w:r>
      <w:r w:rsidR="00852D2F" w:rsidRPr="00300A27">
        <w:rPr>
          <w:spacing w:val="0"/>
          <w:lang w:val="en-US"/>
        </w:rPr>
        <w:t xml:space="preserve"> </w:t>
      </w:r>
      <w:r w:rsidR="004E3019" w:rsidRPr="00300A27">
        <w:rPr>
          <w:spacing w:val="0"/>
          <w:lang w:val="en-US"/>
        </w:rPr>
        <w:t xml:space="preserve">of the Court’s judgment,” and this amounted to </w:t>
      </w:r>
      <w:r w:rsidR="00C76C8A" w:rsidRPr="00300A27">
        <w:rPr>
          <w:spacing w:val="0"/>
          <w:lang w:val="en-US"/>
        </w:rPr>
        <w:t>US$65</w:t>
      </w:r>
      <w:r w:rsidR="00EA170B" w:rsidRPr="00300A27">
        <w:rPr>
          <w:spacing w:val="0"/>
          <w:lang w:val="en-US"/>
        </w:rPr>
        <w:t>,</w:t>
      </w:r>
      <w:r w:rsidR="00C76C8A" w:rsidRPr="00300A27">
        <w:rPr>
          <w:spacing w:val="0"/>
          <w:lang w:val="en-US"/>
        </w:rPr>
        <w:t>016</w:t>
      </w:r>
      <w:r w:rsidR="00D63D0F" w:rsidRPr="00300A27">
        <w:rPr>
          <w:spacing w:val="0"/>
          <w:lang w:val="en-US"/>
        </w:rPr>
        <w:t>.</w:t>
      </w:r>
      <w:r w:rsidR="00852D2F" w:rsidRPr="00300A27">
        <w:rPr>
          <w:b/>
          <w:spacing w:val="0"/>
          <w:lang w:val="en-US"/>
        </w:rPr>
        <w:t xml:space="preserve"> </w:t>
      </w:r>
      <w:r w:rsidR="004E3019" w:rsidRPr="00300A27">
        <w:rPr>
          <w:spacing w:val="0"/>
          <w:lang w:val="en-US"/>
        </w:rPr>
        <w:t>In the case of</w:t>
      </w:r>
      <w:r w:rsidR="00852D2F" w:rsidRPr="00300A27">
        <w:rPr>
          <w:spacing w:val="0"/>
          <w:lang w:val="en-US"/>
        </w:rPr>
        <w:t xml:space="preserve"> Azul</w:t>
      </w:r>
      <w:r w:rsidR="004E3019" w:rsidRPr="00300A27">
        <w:rPr>
          <w:spacing w:val="0"/>
          <w:lang w:val="en-US"/>
        </w:rPr>
        <w:t>’s mother</w:t>
      </w:r>
      <w:r w:rsidR="00852D2F" w:rsidRPr="00300A27">
        <w:rPr>
          <w:spacing w:val="0"/>
          <w:lang w:val="en-US"/>
        </w:rPr>
        <w:t xml:space="preserve">, </w:t>
      </w:r>
      <w:r w:rsidR="004E3019" w:rsidRPr="00300A27">
        <w:rPr>
          <w:spacing w:val="0"/>
          <w:lang w:val="en-US"/>
        </w:rPr>
        <w:t>before the events, “she worked selling food, and earned approximately the minimum wage at the time.” The</w:t>
      </w:r>
      <w:r w:rsidR="00D464AD" w:rsidRPr="00300A27">
        <w:rPr>
          <w:spacing w:val="0"/>
          <w:lang w:val="en-US"/>
        </w:rPr>
        <w:t>y</w:t>
      </w:r>
      <w:r w:rsidR="004E3019" w:rsidRPr="00300A27">
        <w:rPr>
          <w:spacing w:val="0"/>
          <w:lang w:val="en-US"/>
        </w:rPr>
        <w:t xml:space="preserve"> added that “after the complaint had been filed, Mrs. Tanta Marín was unable to continue her activities because she was afraid and had received threats.” Therefore</w:t>
      </w:r>
      <w:r w:rsidR="004C16B4" w:rsidRPr="00300A27">
        <w:rPr>
          <w:bCs/>
          <w:spacing w:val="0"/>
          <w:lang w:val="en-US"/>
        </w:rPr>
        <w:t>,</w:t>
      </w:r>
      <w:r w:rsidR="004C16B4" w:rsidRPr="00300A27">
        <w:rPr>
          <w:b/>
          <w:spacing w:val="0"/>
          <w:lang w:val="en-US"/>
        </w:rPr>
        <w:t xml:space="preserve"> </w:t>
      </w:r>
      <w:r w:rsidRPr="00300A27">
        <w:rPr>
          <w:spacing w:val="0"/>
          <w:lang w:val="en-US"/>
        </w:rPr>
        <w:t>the representatives</w:t>
      </w:r>
      <w:r w:rsidR="00852D2F" w:rsidRPr="00300A27">
        <w:rPr>
          <w:spacing w:val="0"/>
          <w:lang w:val="en-US"/>
        </w:rPr>
        <w:t xml:space="preserve"> </w:t>
      </w:r>
      <w:r w:rsidR="004C16B4" w:rsidRPr="00300A27">
        <w:rPr>
          <w:spacing w:val="0"/>
          <w:lang w:val="en-US"/>
        </w:rPr>
        <w:t>asked that</w:t>
      </w:r>
      <w:r w:rsidR="00852D2F" w:rsidRPr="00300A27">
        <w:rPr>
          <w:spacing w:val="0"/>
          <w:lang w:val="en-US"/>
        </w:rPr>
        <w:t xml:space="preserve"> “</w:t>
      </w:r>
      <w:r w:rsidR="004C16B4" w:rsidRPr="00300A27">
        <w:rPr>
          <w:spacing w:val="0"/>
          <w:lang w:val="en-US"/>
        </w:rPr>
        <w:t>pecuniary damage be calculated from March 20</w:t>
      </w:r>
      <w:r w:rsidR="00D464AD" w:rsidRPr="00300A27">
        <w:rPr>
          <w:spacing w:val="0"/>
          <w:lang w:val="en-US"/>
        </w:rPr>
        <w:t>0</w:t>
      </w:r>
      <w:r w:rsidR="004C16B4" w:rsidRPr="00300A27">
        <w:rPr>
          <w:spacing w:val="0"/>
          <w:lang w:val="en-US"/>
        </w:rPr>
        <w:t xml:space="preserve">8 to the death of </w:t>
      </w:r>
      <w:r w:rsidR="00852D2F" w:rsidRPr="00300A27">
        <w:rPr>
          <w:spacing w:val="0"/>
          <w:lang w:val="en-US"/>
        </w:rPr>
        <w:t xml:space="preserve">Doña Tanta </w:t>
      </w:r>
      <w:r w:rsidR="004C16B4" w:rsidRPr="00300A27">
        <w:rPr>
          <w:spacing w:val="0"/>
          <w:lang w:val="en-US"/>
        </w:rPr>
        <w:t>on May 12,</w:t>
      </w:r>
      <w:r w:rsidR="00852D2F" w:rsidRPr="00300A27">
        <w:rPr>
          <w:spacing w:val="0"/>
          <w:lang w:val="en-US"/>
        </w:rPr>
        <w:t xml:space="preserve"> 2017</w:t>
      </w:r>
      <w:r w:rsidR="004E3019" w:rsidRPr="00300A27">
        <w:rPr>
          <w:spacing w:val="0"/>
          <w:lang w:val="en-US"/>
        </w:rPr>
        <w:t>,</w:t>
      </w:r>
      <w:r w:rsidR="00C72198" w:rsidRPr="00300A27">
        <w:rPr>
          <w:spacing w:val="0"/>
          <w:lang w:val="en-US"/>
        </w:rPr>
        <w:t>”</w:t>
      </w:r>
      <w:r w:rsidR="004C16B4" w:rsidRPr="00300A27">
        <w:rPr>
          <w:spacing w:val="0"/>
          <w:lang w:val="en-US"/>
        </w:rPr>
        <w:t xml:space="preserve"> </w:t>
      </w:r>
      <w:r w:rsidR="004E3019" w:rsidRPr="00300A27">
        <w:rPr>
          <w:spacing w:val="0"/>
          <w:lang w:val="en-US"/>
        </w:rPr>
        <w:t>and</w:t>
      </w:r>
      <w:r w:rsidR="004C16B4" w:rsidRPr="00300A27">
        <w:rPr>
          <w:spacing w:val="0"/>
          <w:lang w:val="en-US"/>
        </w:rPr>
        <w:t xml:space="preserve"> requested the sum of </w:t>
      </w:r>
      <w:r w:rsidR="00F35FDC" w:rsidRPr="00300A27">
        <w:rPr>
          <w:spacing w:val="0"/>
          <w:lang w:val="en-US"/>
        </w:rPr>
        <w:t>US</w:t>
      </w:r>
      <w:r w:rsidR="00C76C8A" w:rsidRPr="00300A27">
        <w:rPr>
          <w:spacing w:val="0"/>
          <w:lang w:val="en-US"/>
        </w:rPr>
        <w:t>$</w:t>
      </w:r>
      <w:r w:rsidR="00D63D0F" w:rsidRPr="00300A27">
        <w:rPr>
          <w:spacing w:val="0"/>
          <w:lang w:val="en-US"/>
        </w:rPr>
        <w:t>21</w:t>
      </w:r>
      <w:r w:rsidR="004C16B4" w:rsidRPr="00300A27">
        <w:rPr>
          <w:spacing w:val="0"/>
          <w:lang w:val="en-US"/>
        </w:rPr>
        <w:t>,</w:t>
      </w:r>
      <w:r w:rsidR="00D63D0F" w:rsidRPr="00300A27">
        <w:rPr>
          <w:spacing w:val="0"/>
          <w:lang w:val="en-US"/>
        </w:rPr>
        <w:t>946.</w:t>
      </w:r>
    </w:p>
    <w:p w14:paraId="48A53E10" w14:textId="43E6FE3A" w:rsidR="004E3019" w:rsidRPr="00300A27" w:rsidRDefault="005B1C65" w:rsidP="00B243B6">
      <w:pPr>
        <w:pStyle w:val="PrrafodeSentencia"/>
        <w:numPr>
          <w:ilvl w:val="0"/>
          <w:numId w:val="3"/>
        </w:numPr>
        <w:spacing w:before="120" w:after="120"/>
        <w:ind w:left="0" w:firstLine="0"/>
        <w:rPr>
          <w:b/>
          <w:spacing w:val="0"/>
          <w:lang w:val="en-US"/>
        </w:rPr>
      </w:pPr>
      <w:bookmarkStart w:id="223" w:name="_Ref33110614"/>
      <w:r w:rsidRPr="00300A27">
        <w:rPr>
          <w:spacing w:val="0"/>
          <w:lang w:val="en-US"/>
        </w:rPr>
        <w:t xml:space="preserve">The </w:t>
      </w:r>
      <w:r w:rsidRPr="00300A27">
        <w:rPr>
          <w:b/>
          <w:bCs/>
          <w:spacing w:val="0"/>
          <w:lang w:val="en-US"/>
        </w:rPr>
        <w:t>State</w:t>
      </w:r>
      <w:r w:rsidR="00C72198" w:rsidRPr="00300A27">
        <w:rPr>
          <w:b/>
          <w:i/>
          <w:spacing w:val="0"/>
          <w:lang w:val="en-US"/>
        </w:rPr>
        <w:t xml:space="preserve"> </w:t>
      </w:r>
      <w:r w:rsidR="004E3019" w:rsidRPr="00300A27">
        <w:rPr>
          <w:spacing w:val="0"/>
          <w:lang w:val="en-US"/>
        </w:rPr>
        <w:t>argued that</w:t>
      </w:r>
      <w:r w:rsidR="00C72198" w:rsidRPr="00300A27">
        <w:rPr>
          <w:spacing w:val="0"/>
          <w:lang w:val="en-US"/>
        </w:rPr>
        <w:t xml:space="preserve"> </w:t>
      </w:r>
      <w:r w:rsidR="00BA3C7F" w:rsidRPr="00300A27">
        <w:rPr>
          <w:spacing w:val="0"/>
          <w:lang w:val="en-US"/>
        </w:rPr>
        <w:t>the representatives</w:t>
      </w:r>
      <w:r w:rsidR="00C72198" w:rsidRPr="00300A27">
        <w:rPr>
          <w:spacing w:val="0"/>
          <w:lang w:val="en-US"/>
        </w:rPr>
        <w:t xml:space="preserve"> </w:t>
      </w:r>
      <w:r w:rsidR="004E3019" w:rsidRPr="00300A27">
        <w:rPr>
          <w:spacing w:val="0"/>
          <w:lang w:val="en-US"/>
        </w:rPr>
        <w:t xml:space="preserve">had not provided sufficient evidence to prove that </w:t>
      </w:r>
      <w:r w:rsidR="00C72198" w:rsidRPr="00300A27">
        <w:rPr>
          <w:spacing w:val="0"/>
          <w:lang w:val="en-US"/>
        </w:rPr>
        <w:t xml:space="preserve">Azul Rojas Marín </w:t>
      </w:r>
      <w:r w:rsidR="004E3019" w:rsidRPr="00300A27">
        <w:rPr>
          <w:spacing w:val="0"/>
          <w:lang w:val="en-US"/>
        </w:rPr>
        <w:t xml:space="preserve">worked at the </w:t>
      </w:r>
      <w:r w:rsidR="00C72198" w:rsidRPr="00300A27">
        <w:rPr>
          <w:spacing w:val="0"/>
          <w:lang w:val="en-US"/>
        </w:rPr>
        <w:t>Casa Grande</w:t>
      </w:r>
      <w:r w:rsidR="004E3019" w:rsidRPr="00300A27">
        <w:rPr>
          <w:spacing w:val="0"/>
          <w:lang w:val="en-US"/>
        </w:rPr>
        <w:t xml:space="preserve"> Health Center</w:t>
      </w:r>
      <w:r w:rsidR="00C72198" w:rsidRPr="00300A27">
        <w:rPr>
          <w:spacing w:val="0"/>
          <w:lang w:val="en-US"/>
        </w:rPr>
        <w:t xml:space="preserve">, </w:t>
      </w:r>
      <w:r w:rsidR="004E3019" w:rsidRPr="00300A27">
        <w:rPr>
          <w:spacing w:val="0"/>
          <w:lang w:val="en-US"/>
        </w:rPr>
        <w:t xml:space="preserve">but if she had worked there “there is nothing to suggest that the reason why her work relationship ended was what happened in February 2008.” The State also indicated that the threats referred to by the representatives had not been proved. Regarding the impossibility of Ms. Rojas Marín continuing her university studies, the State argued that the representatives “had been unable to prove </w:t>
      </w:r>
      <w:r w:rsidR="00485E57" w:rsidRPr="00300A27">
        <w:rPr>
          <w:spacing w:val="0"/>
          <w:lang w:val="en-US"/>
        </w:rPr>
        <w:t>that Azul Rojas Marín had studied law in Trujillo, and had not identified</w:t>
      </w:r>
      <w:r w:rsidR="00D464AD" w:rsidRPr="00300A27">
        <w:rPr>
          <w:spacing w:val="0"/>
          <w:lang w:val="en-US"/>
        </w:rPr>
        <w:t xml:space="preserve"> either</w:t>
      </w:r>
      <w:r w:rsidR="00485E57" w:rsidRPr="00300A27">
        <w:rPr>
          <w:spacing w:val="0"/>
          <w:lang w:val="en-US"/>
        </w:rPr>
        <w:t xml:space="preserve"> the university </w:t>
      </w:r>
      <w:r w:rsidR="00D464AD" w:rsidRPr="00300A27">
        <w:rPr>
          <w:spacing w:val="0"/>
          <w:lang w:val="en-US"/>
        </w:rPr>
        <w:t>or</w:t>
      </w:r>
      <w:r w:rsidR="00485E57" w:rsidRPr="00300A27">
        <w:rPr>
          <w:spacing w:val="0"/>
          <w:lang w:val="en-US"/>
        </w:rPr>
        <w:t xml:space="preserve"> the </w:t>
      </w:r>
      <w:r w:rsidR="00D464AD" w:rsidRPr="00300A27">
        <w:rPr>
          <w:spacing w:val="0"/>
          <w:lang w:val="en-US"/>
        </w:rPr>
        <w:t>level</w:t>
      </w:r>
      <w:r w:rsidR="00485E57" w:rsidRPr="00300A27">
        <w:rPr>
          <w:spacing w:val="0"/>
          <w:lang w:val="en-US"/>
        </w:rPr>
        <w:t xml:space="preserve"> reached</w:t>
      </w:r>
      <w:r w:rsidR="00D464AD" w:rsidRPr="00300A27">
        <w:rPr>
          <w:spacing w:val="0"/>
          <w:lang w:val="en-US"/>
        </w:rPr>
        <w:t xml:space="preserve"> in her studies</w:t>
      </w:r>
      <w:r w:rsidR="00485E57" w:rsidRPr="00300A27">
        <w:rPr>
          <w:spacing w:val="0"/>
          <w:lang w:val="en-US"/>
        </w:rPr>
        <w:t xml:space="preserve">.” The State also argued that “the Inter-American Court should not take the calculation made by the [representatives] into account based on the </w:t>
      </w:r>
      <w:r w:rsidR="00D464AD" w:rsidRPr="00300A27">
        <w:rPr>
          <w:spacing w:val="0"/>
          <w:lang w:val="en-US"/>
        </w:rPr>
        <w:t>foregoing</w:t>
      </w:r>
      <w:r w:rsidR="00485E57" w:rsidRPr="00300A27">
        <w:rPr>
          <w:spacing w:val="0"/>
          <w:lang w:val="en-US"/>
        </w:rPr>
        <w:t xml:space="preserve"> grounds.” In the case of Azul Rojas Marín’s mother, the State indicated that “the said situation has not been proved, especially as the [representatives] have not attached any request for personal protection by her mother […] or any criminal complaint based on the presumed threats suffered.”</w:t>
      </w:r>
    </w:p>
    <w:p w14:paraId="540162F6" w14:textId="179907B6" w:rsidR="00852D2F" w:rsidRPr="00300A27" w:rsidRDefault="004C16B4" w:rsidP="00B243B6">
      <w:pPr>
        <w:pStyle w:val="PrrafodeSentencia"/>
        <w:numPr>
          <w:ilvl w:val="0"/>
          <w:numId w:val="3"/>
        </w:numPr>
        <w:spacing w:before="120" w:after="120"/>
        <w:ind w:left="0" w:firstLine="0"/>
        <w:rPr>
          <w:spacing w:val="0"/>
          <w:lang w:val="en-US"/>
        </w:rPr>
      </w:pPr>
      <w:bookmarkStart w:id="224" w:name="_Ref36825047"/>
      <w:r w:rsidRPr="00300A27">
        <w:rPr>
          <w:spacing w:val="0"/>
          <w:lang w:val="en-US"/>
        </w:rPr>
        <w:t>In light of the circumstances of this case, the Court finds it reasonable to order the State to pay compensation for p</w:t>
      </w:r>
      <w:r w:rsidR="002959DE" w:rsidRPr="00300A27">
        <w:rPr>
          <w:spacing w:val="0"/>
          <w:lang w:val="en-US"/>
        </w:rPr>
        <w:t>ecuniary damage</w:t>
      </w:r>
      <w:r w:rsidR="00753656" w:rsidRPr="00300A27">
        <w:rPr>
          <w:spacing w:val="0"/>
          <w:lang w:val="en-US"/>
        </w:rPr>
        <w:t xml:space="preserve"> </w:t>
      </w:r>
      <w:r w:rsidR="00D464AD" w:rsidRPr="00300A27">
        <w:rPr>
          <w:spacing w:val="0"/>
          <w:lang w:val="en-US"/>
        </w:rPr>
        <w:t>to</w:t>
      </w:r>
      <w:r w:rsidR="00753656" w:rsidRPr="00300A27">
        <w:rPr>
          <w:spacing w:val="0"/>
          <w:lang w:val="en-US"/>
        </w:rPr>
        <w:t xml:space="preserve"> </w:t>
      </w:r>
      <w:r w:rsidRPr="00300A27">
        <w:rPr>
          <w:spacing w:val="0"/>
          <w:lang w:val="en-US"/>
        </w:rPr>
        <w:t>both victims</w:t>
      </w:r>
      <w:r w:rsidR="00753656" w:rsidRPr="00300A27">
        <w:rPr>
          <w:spacing w:val="0"/>
          <w:lang w:val="en-US"/>
        </w:rPr>
        <w:t xml:space="preserve">. </w:t>
      </w:r>
      <w:r w:rsidRPr="00300A27">
        <w:rPr>
          <w:spacing w:val="0"/>
          <w:lang w:val="en-US"/>
        </w:rPr>
        <w:t xml:space="preserve">Since the information provided by </w:t>
      </w:r>
      <w:r w:rsidR="00BA3C7F" w:rsidRPr="00300A27">
        <w:rPr>
          <w:spacing w:val="0"/>
          <w:lang w:val="en-US"/>
        </w:rPr>
        <w:t>the representatives</w:t>
      </w:r>
      <w:r w:rsidR="00753656" w:rsidRPr="00300A27">
        <w:rPr>
          <w:spacing w:val="0"/>
          <w:lang w:val="en-US"/>
        </w:rPr>
        <w:t xml:space="preserve"> </w:t>
      </w:r>
      <w:r w:rsidRPr="00300A27">
        <w:rPr>
          <w:spacing w:val="0"/>
          <w:lang w:val="en-US"/>
        </w:rPr>
        <w:t xml:space="preserve">does not allow the Court to </w:t>
      </w:r>
      <w:r w:rsidR="00D464AD" w:rsidRPr="00300A27">
        <w:rPr>
          <w:spacing w:val="0"/>
          <w:lang w:val="en-US"/>
        </w:rPr>
        <w:t>ascertain</w:t>
      </w:r>
      <w:r w:rsidRPr="00300A27">
        <w:rPr>
          <w:spacing w:val="0"/>
          <w:lang w:val="en-US"/>
        </w:rPr>
        <w:t xml:space="preserve"> the amount of the pecuniary damage cause</w:t>
      </w:r>
      <w:r w:rsidR="00D464AD" w:rsidRPr="00300A27">
        <w:rPr>
          <w:spacing w:val="0"/>
          <w:lang w:val="en-US"/>
        </w:rPr>
        <w:t>d</w:t>
      </w:r>
      <w:r w:rsidRPr="00300A27">
        <w:rPr>
          <w:spacing w:val="0"/>
          <w:lang w:val="en-US"/>
        </w:rPr>
        <w:t xml:space="preserve"> by the facts examined in this case, </w:t>
      </w:r>
      <w:r w:rsidR="005B1C65" w:rsidRPr="00300A27">
        <w:rPr>
          <w:spacing w:val="0"/>
          <w:lang w:val="en-US"/>
        </w:rPr>
        <w:t>th</w:t>
      </w:r>
      <w:r w:rsidRPr="00300A27">
        <w:rPr>
          <w:spacing w:val="0"/>
          <w:lang w:val="en-US"/>
        </w:rPr>
        <w:t>e</w:t>
      </w:r>
      <w:r w:rsidR="005B1C65" w:rsidRPr="00300A27">
        <w:rPr>
          <w:spacing w:val="0"/>
          <w:lang w:val="en-US"/>
        </w:rPr>
        <w:t xml:space="preserve"> Court</w:t>
      </w:r>
      <w:r w:rsidRPr="00300A27">
        <w:rPr>
          <w:spacing w:val="0"/>
          <w:lang w:val="en-US"/>
        </w:rPr>
        <w:t xml:space="preserve"> establishes, in equity, the sums of </w:t>
      </w:r>
      <w:r w:rsidR="00753656" w:rsidRPr="00300A27">
        <w:rPr>
          <w:spacing w:val="0"/>
          <w:lang w:val="en-US"/>
        </w:rPr>
        <w:t>US</w:t>
      </w:r>
      <w:r w:rsidR="00C76C8A" w:rsidRPr="00300A27">
        <w:rPr>
          <w:spacing w:val="0"/>
          <w:lang w:val="en-US"/>
        </w:rPr>
        <w:t>$</w:t>
      </w:r>
      <w:r w:rsidR="00753656" w:rsidRPr="00300A27">
        <w:rPr>
          <w:spacing w:val="0"/>
          <w:lang w:val="en-US"/>
        </w:rPr>
        <w:t>10</w:t>
      </w:r>
      <w:r w:rsidRPr="00300A27">
        <w:rPr>
          <w:spacing w:val="0"/>
          <w:lang w:val="en-US"/>
        </w:rPr>
        <w:t>,</w:t>
      </w:r>
      <w:r w:rsidR="00753656" w:rsidRPr="00300A27">
        <w:rPr>
          <w:spacing w:val="0"/>
          <w:lang w:val="en-US"/>
        </w:rPr>
        <w:t>000</w:t>
      </w:r>
      <w:r w:rsidRPr="00300A27">
        <w:rPr>
          <w:spacing w:val="0"/>
          <w:lang w:val="en-US"/>
        </w:rPr>
        <w:t>.00</w:t>
      </w:r>
      <w:r w:rsidR="00753656" w:rsidRPr="00300A27">
        <w:rPr>
          <w:spacing w:val="0"/>
          <w:lang w:val="en-US"/>
        </w:rPr>
        <w:t xml:space="preserve"> </w:t>
      </w:r>
      <w:r w:rsidRPr="00300A27">
        <w:rPr>
          <w:spacing w:val="0"/>
          <w:lang w:val="en-US"/>
        </w:rPr>
        <w:t>ten thousand</w:t>
      </w:r>
      <w:r w:rsidR="00753656" w:rsidRPr="00300A27">
        <w:rPr>
          <w:spacing w:val="0"/>
          <w:lang w:val="en-US"/>
        </w:rPr>
        <w:t xml:space="preserve"> </w:t>
      </w:r>
      <w:r w:rsidR="005206D9" w:rsidRPr="00300A27">
        <w:rPr>
          <w:spacing w:val="0"/>
          <w:lang w:val="en-US"/>
        </w:rPr>
        <w:t>United States dollars</w:t>
      </w:r>
      <w:r w:rsidR="00753656" w:rsidRPr="00300A27">
        <w:rPr>
          <w:spacing w:val="0"/>
          <w:lang w:val="en-US"/>
        </w:rPr>
        <w:t xml:space="preserve">) </w:t>
      </w:r>
      <w:r w:rsidR="00630149" w:rsidRPr="00300A27">
        <w:rPr>
          <w:spacing w:val="0"/>
          <w:lang w:val="en-US"/>
        </w:rPr>
        <w:t>in favor of</w:t>
      </w:r>
      <w:r w:rsidR="00753656" w:rsidRPr="00300A27">
        <w:rPr>
          <w:spacing w:val="0"/>
          <w:lang w:val="en-US"/>
        </w:rPr>
        <w:t xml:space="preserve"> Azul Rojas Marín</w:t>
      </w:r>
      <w:r w:rsidR="005B1C65" w:rsidRPr="00300A27">
        <w:rPr>
          <w:spacing w:val="0"/>
          <w:lang w:val="en-US"/>
        </w:rPr>
        <w:t xml:space="preserve"> and</w:t>
      </w:r>
      <w:r w:rsidR="00753656" w:rsidRPr="00300A27">
        <w:rPr>
          <w:spacing w:val="0"/>
          <w:lang w:val="en-US"/>
        </w:rPr>
        <w:t xml:space="preserve"> US</w:t>
      </w:r>
      <w:r w:rsidR="00C76C8A" w:rsidRPr="00300A27">
        <w:rPr>
          <w:spacing w:val="0"/>
          <w:szCs w:val="20"/>
          <w:lang w:val="en-US"/>
        </w:rPr>
        <w:t>$</w:t>
      </w:r>
      <w:r w:rsidR="00753656" w:rsidRPr="00300A27">
        <w:rPr>
          <w:spacing w:val="0"/>
          <w:szCs w:val="20"/>
          <w:lang w:val="en-US"/>
        </w:rPr>
        <w:t>5</w:t>
      </w:r>
      <w:r w:rsidRPr="00300A27">
        <w:rPr>
          <w:spacing w:val="0"/>
          <w:szCs w:val="20"/>
          <w:lang w:val="en-US"/>
        </w:rPr>
        <w:t>,</w:t>
      </w:r>
      <w:r w:rsidR="00753656" w:rsidRPr="00300A27">
        <w:rPr>
          <w:spacing w:val="0"/>
          <w:szCs w:val="20"/>
          <w:lang w:val="en-US"/>
        </w:rPr>
        <w:t>000</w:t>
      </w:r>
      <w:r w:rsidRPr="00300A27">
        <w:rPr>
          <w:spacing w:val="0"/>
          <w:szCs w:val="20"/>
          <w:lang w:val="en-US"/>
        </w:rPr>
        <w:t>.00</w:t>
      </w:r>
      <w:r w:rsidR="00753656" w:rsidRPr="00300A27">
        <w:rPr>
          <w:spacing w:val="0"/>
          <w:szCs w:val="20"/>
          <w:lang w:val="en-US"/>
        </w:rPr>
        <w:t xml:space="preserve"> (</w:t>
      </w:r>
      <w:r w:rsidRPr="00300A27">
        <w:rPr>
          <w:spacing w:val="0"/>
          <w:szCs w:val="20"/>
          <w:lang w:val="en-US"/>
        </w:rPr>
        <w:t>five thousand</w:t>
      </w:r>
      <w:r w:rsidR="00753656" w:rsidRPr="00300A27">
        <w:rPr>
          <w:spacing w:val="0"/>
          <w:lang w:val="en-US"/>
        </w:rPr>
        <w:t xml:space="preserve"> </w:t>
      </w:r>
      <w:r w:rsidR="005206D9" w:rsidRPr="00300A27">
        <w:rPr>
          <w:spacing w:val="0"/>
          <w:lang w:val="en-US"/>
        </w:rPr>
        <w:t>United States dollars</w:t>
      </w:r>
      <w:r w:rsidR="00753656" w:rsidRPr="00300A27">
        <w:rPr>
          <w:spacing w:val="0"/>
          <w:lang w:val="en-US"/>
        </w:rPr>
        <w:t xml:space="preserve">) </w:t>
      </w:r>
      <w:r w:rsidR="00630149" w:rsidRPr="00300A27">
        <w:rPr>
          <w:spacing w:val="0"/>
          <w:lang w:val="en-US"/>
        </w:rPr>
        <w:t>in favor of</w:t>
      </w:r>
      <w:r w:rsidR="00753656" w:rsidRPr="00300A27">
        <w:rPr>
          <w:spacing w:val="0"/>
          <w:lang w:val="en-US"/>
        </w:rPr>
        <w:t xml:space="preserve"> Juana Rosa Tanta Marín.</w:t>
      </w:r>
      <w:r w:rsidRPr="00300A27">
        <w:rPr>
          <w:spacing w:val="0"/>
          <w:lang w:val="en-US"/>
        </w:rPr>
        <w:t xml:space="preserve"> The payment of the compensation to </w:t>
      </w:r>
      <w:r w:rsidR="00753656" w:rsidRPr="00300A27">
        <w:rPr>
          <w:spacing w:val="0"/>
          <w:lang w:val="en-US"/>
        </w:rPr>
        <w:t xml:space="preserve">Azul Rojas Marín </w:t>
      </w:r>
      <w:r w:rsidRPr="00300A27">
        <w:rPr>
          <w:spacing w:val="0"/>
          <w:lang w:val="en-US"/>
        </w:rPr>
        <w:t xml:space="preserve">shall be made directly to her. The payment of the compensation to </w:t>
      </w:r>
      <w:r w:rsidR="00753656" w:rsidRPr="00300A27">
        <w:rPr>
          <w:spacing w:val="0"/>
          <w:lang w:val="en-US"/>
        </w:rPr>
        <w:t xml:space="preserve">Juana Rosa Tanta Marín </w:t>
      </w:r>
      <w:r w:rsidRPr="00300A27">
        <w:rPr>
          <w:spacing w:val="0"/>
          <w:lang w:val="en-US"/>
        </w:rPr>
        <w:t>shall be made directly to her heirs, pursuant to applicable inheritance laws.</w:t>
      </w:r>
      <w:bookmarkEnd w:id="223"/>
      <w:bookmarkEnd w:id="224"/>
    </w:p>
    <w:p w14:paraId="543E490A" w14:textId="70B122E8" w:rsidR="00852D2F" w:rsidRPr="00300A27" w:rsidRDefault="00852D2F" w:rsidP="00B243B6">
      <w:pPr>
        <w:pStyle w:val="Ttulo3"/>
        <w:rPr>
          <w:rFonts w:eastAsiaTheme="minorHAnsi"/>
          <w:lang w:val="en-US" w:eastAsia="es-MX"/>
        </w:rPr>
      </w:pPr>
      <w:bookmarkStart w:id="225" w:name="_Toc192593"/>
      <w:bookmarkStart w:id="226" w:name="_Toc32394192"/>
      <w:bookmarkStart w:id="227" w:name="_Toc36823515"/>
      <w:r w:rsidRPr="00300A27">
        <w:rPr>
          <w:rFonts w:eastAsiaTheme="minorHAnsi"/>
          <w:lang w:val="en-US" w:eastAsia="es-MX"/>
        </w:rPr>
        <w:t xml:space="preserve">E.2 </w:t>
      </w:r>
      <w:r w:rsidR="002959DE" w:rsidRPr="00300A27">
        <w:rPr>
          <w:rFonts w:eastAsiaTheme="minorHAnsi"/>
          <w:lang w:val="en-US" w:eastAsia="es-MX"/>
        </w:rPr>
        <w:t>Non-pecuniary damage</w:t>
      </w:r>
      <w:bookmarkEnd w:id="225"/>
      <w:bookmarkEnd w:id="226"/>
      <w:bookmarkEnd w:id="227"/>
    </w:p>
    <w:p w14:paraId="7484DE05" w14:textId="4FC410F4" w:rsidR="00852D2F" w:rsidRPr="00300A27" w:rsidRDefault="00485E57" w:rsidP="00B243B6">
      <w:pPr>
        <w:pStyle w:val="PrrafodeSentencia"/>
        <w:numPr>
          <w:ilvl w:val="0"/>
          <w:numId w:val="3"/>
        </w:numPr>
        <w:tabs>
          <w:tab w:val="left" w:pos="0"/>
        </w:tabs>
        <w:spacing w:before="120" w:after="120"/>
        <w:ind w:left="0" w:firstLine="0"/>
        <w:rPr>
          <w:spacing w:val="0"/>
          <w:szCs w:val="20"/>
          <w:lang w:val="en-US"/>
        </w:rPr>
      </w:pPr>
      <w:r w:rsidRPr="00300A27">
        <w:rPr>
          <w:spacing w:val="0"/>
          <w:szCs w:val="20"/>
          <w:lang w:val="en-US"/>
        </w:rPr>
        <w:t>In its case law, the</w:t>
      </w:r>
      <w:r w:rsidR="005B1C65" w:rsidRPr="00300A27">
        <w:rPr>
          <w:spacing w:val="0"/>
          <w:szCs w:val="20"/>
          <w:lang w:val="en-US"/>
        </w:rPr>
        <w:t xml:space="preserve"> Court</w:t>
      </w:r>
      <w:r w:rsidR="00852D2F" w:rsidRPr="00300A27">
        <w:rPr>
          <w:spacing w:val="0"/>
          <w:szCs w:val="20"/>
          <w:lang w:val="en-US"/>
        </w:rPr>
        <w:t xml:space="preserve"> ha</w:t>
      </w:r>
      <w:r w:rsidRPr="00300A27">
        <w:rPr>
          <w:spacing w:val="0"/>
          <w:szCs w:val="20"/>
          <w:lang w:val="en-US"/>
        </w:rPr>
        <w:t>s developed the concept of</w:t>
      </w:r>
      <w:r w:rsidR="00852D2F" w:rsidRPr="00300A27">
        <w:rPr>
          <w:spacing w:val="0"/>
          <w:szCs w:val="20"/>
          <w:lang w:val="en-US"/>
        </w:rPr>
        <w:t xml:space="preserve"> </w:t>
      </w:r>
      <w:r w:rsidR="002959DE" w:rsidRPr="00300A27">
        <w:rPr>
          <w:spacing w:val="0"/>
          <w:szCs w:val="20"/>
          <w:lang w:val="en-US"/>
        </w:rPr>
        <w:t>non-pecuniary damage</w:t>
      </w:r>
      <w:r w:rsidR="00852D2F" w:rsidRPr="00300A27">
        <w:rPr>
          <w:spacing w:val="0"/>
          <w:szCs w:val="20"/>
          <w:lang w:val="en-US"/>
        </w:rPr>
        <w:t>,</w:t>
      </w:r>
      <w:r w:rsidR="005B1C65" w:rsidRPr="00300A27">
        <w:rPr>
          <w:spacing w:val="0"/>
          <w:szCs w:val="20"/>
          <w:lang w:val="en-US"/>
        </w:rPr>
        <w:t xml:space="preserve"> and </w:t>
      </w:r>
      <w:r w:rsidR="00852D2F" w:rsidRPr="00300A27">
        <w:rPr>
          <w:spacing w:val="0"/>
          <w:szCs w:val="20"/>
          <w:lang w:val="en-US"/>
        </w:rPr>
        <w:t>ha</w:t>
      </w:r>
      <w:r w:rsidRPr="00300A27">
        <w:rPr>
          <w:spacing w:val="0"/>
          <w:szCs w:val="20"/>
          <w:lang w:val="en-US"/>
        </w:rPr>
        <w:t>s established that this may include both the suffering and afflictions caused to the direct victim and his family, and</w:t>
      </w:r>
      <w:r w:rsidR="00D464AD" w:rsidRPr="00300A27">
        <w:rPr>
          <w:spacing w:val="0"/>
          <w:szCs w:val="20"/>
          <w:lang w:val="en-US"/>
        </w:rPr>
        <w:t xml:space="preserve"> also</w:t>
      </w:r>
      <w:r w:rsidRPr="00300A27">
        <w:rPr>
          <w:spacing w:val="0"/>
          <w:szCs w:val="20"/>
          <w:lang w:val="en-US"/>
        </w:rPr>
        <w:t xml:space="preserve"> the impairment of values of great significan</w:t>
      </w:r>
      <w:r w:rsidR="00D464AD" w:rsidRPr="00300A27">
        <w:rPr>
          <w:spacing w:val="0"/>
          <w:szCs w:val="20"/>
          <w:lang w:val="en-US"/>
        </w:rPr>
        <w:t>ce</w:t>
      </w:r>
      <w:r w:rsidRPr="00300A27">
        <w:rPr>
          <w:spacing w:val="0"/>
          <w:szCs w:val="20"/>
          <w:lang w:val="en-US"/>
        </w:rPr>
        <w:t xml:space="preserve"> </w:t>
      </w:r>
      <w:r w:rsidR="00D464AD" w:rsidRPr="00300A27">
        <w:rPr>
          <w:spacing w:val="0"/>
          <w:szCs w:val="20"/>
          <w:lang w:val="en-US"/>
        </w:rPr>
        <w:t>to</w:t>
      </w:r>
      <w:r w:rsidRPr="00300A27">
        <w:rPr>
          <w:spacing w:val="0"/>
          <w:szCs w:val="20"/>
          <w:lang w:val="en-US"/>
        </w:rPr>
        <w:t xml:space="preserve"> the individual, as well as the alterations of a non-pecuniary nature in the living conditions of the victim or his family.</w:t>
      </w:r>
      <w:r w:rsidR="00852D2F" w:rsidRPr="00300A27">
        <w:rPr>
          <w:rStyle w:val="Refdenotaalpie"/>
          <w:spacing w:val="0"/>
          <w:szCs w:val="20"/>
          <w:lang w:val="en-US"/>
        </w:rPr>
        <w:footnoteReference w:id="311"/>
      </w:r>
      <w:r w:rsidR="00852D2F" w:rsidRPr="00300A27">
        <w:rPr>
          <w:spacing w:val="0"/>
          <w:szCs w:val="20"/>
          <w:lang w:val="en-US"/>
        </w:rPr>
        <w:t xml:space="preserve"> </w:t>
      </w:r>
    </w:p>
    <w:p w14:paraId="28465A68" w14:textId="09F07969" w:rsidR="00852D2F" w:rsidRPr="00300A27" w:rsidRDefault="00C2001D" w:rsidP="00B243B6">
      <w:pPr>
        <w:pStyle w:val="PrrafodeSentencia"/>
        <w:numPr>
          <w:ilvl w:val="0"/>
          <w:numId w:val="3"/>
        </w:numPr>
        <w:spacing w:before="120" w:after="120"/>
        <w:ind w:left="0" w:firstLine="0"/>
        <w:rPr>
          <w:rFonts w:eastAsiaTheme="minorHAnsi"/>
          <w:b/>
          <w:spacing w:val="0"/>
          <w:lang w:val="en-US"/>
        </w:rPr>
      </w:pPr>
      <w:r w:rsidRPr="00300A27">
        <w:rPr>
          <w:spacing w:val="0"/>
          <w:lang w:val="en-US"/>
        </w:rPr>
        <w:t xml:space="preserve">The </w:t>
      </w:r>
      <w:r w:rsidRPr="00300A27">
        <w:rPr>
          <w:b/>
          <w:bCs/>
          <w:i/>
          <w:iCs/>
          <w:spacing w:val="0"/>
          <w:lang w:val="en-US"/>
        </w:rPr>
        <w:t>Commission</w:t>
      </w:r>
      <w:r w:rsidR="00852D2F" w:rsidRPr="00300A27">
        <w:rPr>
          <w:b/>
          <w:i/>
          <w:spacing w:val="0"/>
          <w:lang w:val="en-US"/>
        </w:rPr>
        <w:t xml:space="preserve"> </w:t>
      </w:r>
      <w:r w:rsidR="00485E57" w:rsidRPr="00300A27">
        <w:rPr>
          <w:spacing w:val="0"/>
          <w:lang w:val="en-US"/>
        </w:rPr>
        <w:t>asked that</w:t>
      </w:r>
      <w:r w:rsidR="00852D2F" w:rsidRPr="00300A27">
        <w:rPr>
          <w:spacing w:val="0"/>
          <w:lang w:val="en-US"/>
        </w:rPr>
        <w:t xml:space="preserve"> </w:t>
      </w:r>
      <w:r w:rsidR="005B1C65" w:rsidRPr="00300A27">
        <w:rPr>
          <w:spacing w:val="0"/>
          <w:lang w:val="en-US"/>
        </w:rPr>
        <w:t>the State</w:t>
      </w:r>
      <w:r w:rsidR="00852D2F" w:rsidRPr="00300A27">
        <w:rPr>
          <w:spacing w:val="0"/>
          <w:lang w:val="en-US"/>
        </w:rPr>
        <w:t xml:space="preserve"> </w:t>
      </w:r>
      <w:r w:rsidR="00485E57" w:rsidRPr="00300A27">
        <w:rPr>
          <w:spacing w:val="0"/>
          <w:lang w:val="en-US"/>
        </w:rPr>
        <w:t xml:space="preserve">provide “comprehensive reparation to </w:t>
      </w:r>
      <w:r w:rsidR="00852D2F" w:rsidRPr="00300A27">
        <w:rPr>
          <w:spacing w:val="0"/>
          <w:lang w:val="en-US"/>
        </w:rPr>
        <w:t>Azul Rojas Marín</w:t>
      </w:r>
      <w:r w:rsidR="005B1C65" w:rsidRPr="00300A27">
        <w:rPr>
          <w:spacing w:val="0"/>
          <w:lang w:val="en-US"/>
        </w:rPr>
        <w:t xml:space="preserve"> and </w:t>
      </w:r>
      <w:r w:rsidR="00852D2F" w:rsidRPr="00300A27">
        <w:rPr>
          <w:spacing w:val="0"/>
          <w:lang w:val="en-US"/>
        </w:rPr>
        <w:t xml:space="preserve">Juana Rosa Tanta Marín </w:t>
      </w:r>
      <w:r w:rsidR="00485E57" w:rsidRPr="00300A27">
        <w:rPr>
          <w:spacing w:val="0"/>
          <w:lang w:val="en-US"/>
        </w:rPr>
        <w:t>for the</w:t>
      </w:r>
      <w:r w:rsidR="0029034C" w:rsidRPr="00300A27">
        <w:rPr>
          <w:spacing w:val="0"/>
          <w:lang w:val="en-US"/>
        </w:rPr>
        <w:t xml:space="preserve"> violations of their</w:t>
      </w:r>
      <w:r w:rsidR="00485E57" w:rsidRPr="00300A27">
        <w:rPr>
          <w:spacing w:val="0"/>
          <w:lang w:val="en-US"/>
        </w:rPr>
        <w:t xml:space="preserve"> human rights</w:t>
      </w:r>
      <w:r w:rsidR="0029034C" w:rsidRPr="00300A27">
        <w:rPr>
          <w:spacing w:val="0"/>
          <w:lang w:val="en-US"/>
        </w:rPr>
        <w:t xml:space="preserve"> that have been established, and this should include </w:t>
      </w:r>
      <w:r w:rsidR="002959DE" w:rsidRPr="00300A27">
        <w:rPr>
          <w:spacing w:val="0"/>
          <w:lang w:val="en-US"/>
        </w:rPr>
        <w:t>measures of</w:t>
      </w:r>
      <w:r w:rsidR="00852D2F" w:rsidRPr="00300A27">
        <w:rPr>
          <w:spacing w:val="0"/>
          <w:lang w:val="en-US"/>
        </w:rPr>
        <w:t xml:space="preserve"> compensa</w:t>
      </w:r>
      <w:r w:rsidR="0029034C" w:rsidRPr="00300A27">
        <w:rPr>
          <w:spacing w:val="0"/>
          <w:lang w:val="en-US"/>
        </w:rPr>
        <w:t>tio</w:t>
      </w:r>
      <w:r w:rsidR="00852D2F" w:rsidRPr="00300A27">
        <w:rPr>
          <w:spacing w:val="0"/>
          <w:lang w:val="en-US"/>
        </w:rPr>
        <w:t xml:space="preserve">n” </w:t>
      </w:r>
      <w:r w:rsidR="0029034C" w:rsidRPr="00300A27">
        <w:rPr>
          <w:spacing w:val="0"/>
          <w:lang w:val="en-US"/>
        </w:rPr>
        <w:t>to redress the</w:t>
      </w:r>
      <w:r w:rsidR="00852D2F" w:rsidRPr="00300A27">
        <w:rPr>
          <w:spacing w:val="0"/>
          <w:lang w:val="en-US"/>
        </w:rPr>
        <w:t xml:space="preserve"> “</w:t>
      </w:r>
      <w:r w:rsidR="0029034C" w:rsidRPr="00300A27">
        <w:rPr>
          <w:spacing w:val="0"/>
          <w:lang w:val="en-US"/>
        </w:rPr>
        <w:t xml:space="preserve">non-pecuniary damage.” </w:t>
      </w:r>
    </w:p>
    <w:p w14:paraId="2E071389" w14:textId="2FCB4186" w:rsidR="00852D2F" w:rsidRPr="00300A27" w:rsidRDefault="00BA3C7F" w:rsidP="00B243B6">
      <w:pPr>
        <w:pStyle w:val="PrrafodeSentencia"/>
        <w:numPr>
          <w:ilvl w:val="0"/>
          <w:numId w:val="3"/>
        </w:numPr>
        <w:spacing w:before="120" w:after="120"/>
        <w:ind w:left="0" w:firstLine="0"/>
        <w:rPr>
          <w:b/>
          <w:spacing w:val="0"/>
          <w:lang w:val="en-US"/>
        </w:rPr>
      </w:pPr>
      <w:r w:rsidRPr="00300A27">
        <w:rPr>
          <w:spacing w:val="0"/>
          <w:lang w:val="en-US"/>
        </w:rPr>
        <w:t xml:space="preserve">The </w:t>
      </w:r>
      <w:r w:rsidRPr="00300A27">
        <w:rPr>
          <w:b/>
          <w:bCs/>
          <w:i/>
          <w:iCs/>
          <w:spacing w:val="0"/>
          <w:lang w:val="en-US"/>
        </w:rPr>
        <w:t>representatives</w:t>
      </w:r>
      <w:r w:rsidR="00852D2F" w:rsidRPr="00300A27">
        <w:rPr>
          <w:spacing w:val="0"/>
          <w:lang w:val="en-US"/>
        </w:rPr>
        <w:t xml:space="preserve"> </w:t>
      </w:r>
      <w:r w:rsidR="0029034C" w:rsidRPr="00300A27">
        <w:rPr>
          <w:spacing w:val="0"/>
          <w:lang w:val="en-US"/>
        </w:rPr>
        <w:t>asked</w:t>
      </w:r>
      <w:r w:rsidR="00852D2F" w:rsidRPr="00300A27">
        <w:rPr>
          <w:spacing w:val="0"/>
          <w:lang w:val="en-US"/>
        </w:rPr>
        <w:t xml:space="preserve"> </w:t>
      </w:r>
      <w:r w:rsidR="005B1C65" w:rsidRPr="00300A27">
        <w:rPr>
          <w:spacing w:val="0"/>
          <w:lang w:val="en-US"/>
        </w:rPr>
        <w:t>the Court</w:t>
      </w:r>
      <w:r w:rsidR="00852D2F" w:rsidRPr="00300A27">
        <w:rPr>
          <w:spacing w:val="0"/>
          <w:lang w:val="en-US"/>
        </w:rPr>
        <w:t xml:space="preserve"> </w:t>
      </w:r>
      <w:r w:rsidR="0029034C" w:rsidRPr="00300A27">
        <w:rPr>
          <w:spacing w:val="0"/>
          <w:lang w:val="en-US"/>
        </w:rPr>
        <w:t>to order</w:t>
      </w:r>
      <w:r w:rsidRPr="00300A27">
        <w:rPr>
          <w:spacing w:val="0"/>
          <w:lang w:val="en-US"/>
        </w:rPr>
        <w:t xml:space="preserve"> the State</w:t>
      </w:r>
      <w:r w:rsidR="0029034C" w:rsidRPr="00300A27">
        <w:rPr>
          <w:spacing w:val="0"/>
          <w:lang w:val="en-US"/>
        </w:rPr>
        <w:t xml:space="preserve"> to provide compensation “for non-pecuniary damage to Azul and her mother,</w:t>
      </w:r>
      <w:r w:rsidR="00852D2F" w:rsidRPr="00300A27">
        <w:rPr>
          <w:spacing w:val="0"/>
          <w:lang w:val="en-US"/>
        </w:rPr>
        <w:t xml:space="preserve"> Juana Rosa Tanta Marín</w:t>
      </w:r>
      <w:r w:rsidR="0029034C" w:rsidRPr="00300A27">
        <w:rPr>
          <w:spacing w:val="0"/>
          <w:lang w:val="en-US"/>
        </w:rPr>
        <w:t>,</w:t>
      </w:r>
      <w:r w:rsidR="00852D2F" w:rsidRPr="00300A27">
        <w:rPr>
          <w:spacing w:val="0"/>
          <w:lang w:val="en-US"/>
        </w:rPr>
        <w:t>”</w:t>
      </w:r>
      <w:r w:rsidR="0029034C" w:rsidRPr="00300A27">
        <w:rPr>
          <w:spacing w:val="0"/>
          <w:lang w:val="en-US"/>
        </w:rPr>
        <w:t xml:space="preserve"> owing to the “suffering endured by Azul as a result of the discrimination against her, her unlawful detention, rape and torture, the violation of her privacy, the stigma she underwent owing to her </w:t>
      </w:r>
      <w:r w:rsidR="00CC6548" w:rsidRPr="00300A27">
        <w:rPr>
          <w:spacing w:val="0"/>
          <w:lang w:val="en-US"/>
        </w:rPr>
        <w:t>sexual orientation</w:t>
      </w:r>
      <w:r w:rsidR="00852D2F" w:rsidRPr="00300A27">
        <w:rPr>
          <w:spacing w:val="0"/>
          <w:lang w:val="en-US"/>
        </w:rPr>
        <w:t xml:space="preserve">, </w:t>
      </w:r>
      <w:r w:rsidR="0029034C" w:rsidRPr="00300A27">
        <w:rPr>
          <w:spacing w:val="0"/>
          <w:lang w:val="en-US"/>
        </w:rPr>
        <w:t>the impunity of the violations, the destruction of her life project, the alienation from her family and friends.</w:t>
      </w:r>
      <w:r w:rsidR="00852D2F" w:rsidRPr="00300A27">
        <w:rPr>
          <w:spacing w:val="0"/>
          <w:lang w:val="en-US"/>
        </w:rPr>
        <w:t>”</w:t>
      </w:r>
      <w:r w:rsidR="0029034C" w:rsidRPr="00300A27">
        <w:rPr>
          <w:spacing w:val="0"/>
          <w:lang w:val="en-US"/>
        </w:rPr>
        <w:t xml:space="preserve"> They asked that “based on the standards of the inter-American system of human rights and the particular circumstances of the case, </w:t>
      </w:r>
      <w:r w:rsidR="00852D2F" w:rsidRPr="00300A27">
        <w:rPr>
          <w:spacing w:val="0"/>
          <w:lang w:val="en-US"/>
        </w:rPr>
        <w:t>Azul Rojas Marín</w:t>
      </w:r>
      <w:r w:rsidR="0029034C" w:rsidRPr="00300A27">
        <w:rPr>
          <w:spacing w:val="0"/>
          <w:lang w:val="en-US"/>
        </w:rPr>
        <w:t xml:space="preserve"> be awarded </w:t>
      </w:r>
      <w:r w:rsidR="00852D2F" w:rsidRPr="00300A27">
        <w:rPr>
          <w:spacing w:val="0"/>
          <w:lang w:val="en-US"/>
        </w:rPr>
        <w:t>US$60</w:t>
      </w:r>
      <w:r w:rsidR="0029034C" w:rsidRPr="00300A27">
        <w:rPr>
          <w:spacing w:val="0"/>
          <w:lang w:val="en-US"/>
        </w:rPr>
        <w:t>,</w:t>
      </w:r>
      <w:r w:rsidR="00852D2F" w:rsidRPr="00300A27">
        <w:rPr>
          <w:spacing w:val="0"/>
          <w:lang w:val="en-US"/>
        </w:rPr>
        <w:t>000</w:t>
      </w:r>
      <w:r w:rsidR="0029034C" w:rsidRPr="00300A27">
        <w:rPr>
          <w:spacing w:val="0"/>
          <w:lang w:val="en-US"/>
        </w:rPr>
        <w:t xml:space="preserve"> as reparation for non-pecuniary damage.</w:t>
      </w:r>
      <w:r w:rsidR="00852D2F" w:rsidRPr="00300A27">
        <w:rPr>
          <w:spacing w:val="0"/>
          <w:lang w:val="en-US"/>
        </w:rPr>
        <w:t xml:space="preserve">” </w:t>
      </w:r>
    </w:p>
    <w:p w14:paraId="60853ABF" w14:textId="58E86692" w:rsidR="00852D2F" w:rsidRPr="00300A27" w:rsidRDefault="0029034C" w:rsidP="00B243B6">
      <w:pPr>
        <w:pStyle w:val="PrrafodeSentencia"/>
        <w:numPr>
          <w:ilvl w:val="0"/>
          <w:numId w:val="3"/>
        </w:numPr>
        <w:spacing w:before="120" w:after="120"/>
        <w:ind w:left="0" w:firstLine="0"/>
        <w:rPr>
          <w:rFonts w:eastAsiaTheme="minorHAnsi"/>
          <w:b/>
          <w:spacing w:val="0"/>
          <w:lang w:val="en-US"/>
        </w:rPr>
      </w:pPr>
      <w:r w:rsidRPr="00300A27">
        <w:rPr>
          <w:spacing w:val="0"/>
          <w:lang w:val="en-US"/>
        </w:rPr>
        <w:t>The</w:t>
      </w:r>
      <w:r w:rsidR="00BA3C7F" w:rsidRPr="00300A27">
        <w:rPr>
          <w:spacing w:val="0"/>
          <w:lang w:val="en-US"/>
        </w:rPr>
        <w:t xml:space="preserve"> representatives</w:t>
      </w:r>
      <w:r w:rsidR="00852D2F" w:rsidRPr="00300A27">
        <w:rPr>
          <w:spacing w:val="0"/>
          <w:lang w:val="en-US"/>
        </w:rPr>
        <w:t xml:space="preserve"> </w:t>
      </w:r>
      <w:r w:rsidRPr="00300A27">
        <w:rPr>
          <w:spacing w:val="0"/>
          <w:lang w:val="en-US"/>
        </w:rPr>
        <w:t xml:space="preserve">also asked that the Court consider the “suffering of her mother,” which was not only “the result of the suffering of her daughter” but also owing to the “lack of justice” and “the discrimination and stigma that were always present” up until the day of her death. On this basis, </w:t>
      </w:r>
      <w:r w:rsidR="00BA3C7F" w:rsidRPr="00300A27">
        <w:rPr>
          <w:spacing w:val="0"/>
          <w:lang w:val="en-US"/>
        </w:rPr>
        <w:t>the representatives</w:t>
      </w:r>
      <w:r w:rsidR="00852D2F" w:rsidRPr="00300A27">
        <w:rPr>
          <w:spacing w:val="0"/>
          <w:lang w:val="en-US"/>
        </w:rPr>
        <w:t xml:space="preserve"> </w:t>
      </w:r>
      <w:r w:rsidRPr="00300A27">
        <w:rPr>
          <w:spacing w:val="0"/>
          <w:lang w:val="en-US"/>
        </w:rPr>
        <w:t>requested</w:t>
      </w:r>
      <w:r w:rsidR="00C76C8A" w:rsidRPr="00300A27">
        <w:rPr>
          <w:spacing w:val="0"/>
          <w:lang w:val="en-US"/>
        </w:rPr>
        <w:t xml:space="preserve"> “</w:t>
      </w:r>
      <w:r w:rsidRPr="00300A27">
        <w:rPr>
          <w:spacing w:val="0"/>
          <w:lang w:val="en-US"/>
        </w:rPr>
        <w:t>payment of</w:t>
      </w:r>
      <w:r w:rsidR="00C76C8A" w:rsidRPr="00300A27">
        <w:rPr>
          <w:spacing w:val="0"/>
          <w:lang w:val="en-US"/>
        </w:rPr>
        <w:t xml:space="preserve"> US$40</w:t>
      </w:r>
      <w:r w:rsidRPr="00300A27">
        <w:rPr>
          <w:spacing w:val="0"/>
          <w:lang w:val="en-US"/>
        </w:rPr>
        <w:t>,</w:t>
      </w:r>
      <w:r w:rsidR="00C76C8A" w:rsidRPr="00300A27">
        <w:rPr>
          <w:spacing w:val="0"/>
          <w:lang w:val="en-US"/>
        </w:rPr>
        <w:t>000</w:t>
      </w:r>
      <w:r w:rsidR="00852D2F" w:rsidRPr="00300A27">
        <w:rPr>
          <w:spacing w:val="0"/>
          <w:lang w:val="en-US"/>
        </w:rPr>
        <w:t xml:space="preserve"> </w:t>
      </w:r>
      <w:r w:rsidRPr="00300A27">
        <w:rPr>
          <w:spacing w:val="0"/>
          <w:lang w:val="en-US"/>
        </w:rPr>
        <w:t>for non-pecuniary damage</w:t>
      </w:r>
      <w:r w:rsidR="00F720CF" w:rsidRPr="00300A27">
        <w:rPr>
          <w:spacing w:val="0"/>
          <w:lang w:val="en-US"/>
        </w:rPr>
        <w:t xml:space="preserve">” </w:t>
      </w:r>
      <w:r w:rsidR="00630149" w:rsidRPr="00300A27">
        <w:rPr>
          <w:spacing w:val="0"/>
          <w:lang w:val="en-US"/>
        </w:rPr>
        <w:t>in favor of</w:t>
      </w:r>
      <w:r w:rsidR="00852D2F" w:rsidRPr="00300A27">
        <w:rPr>
          <w:spacing w:val="0"/>
          <w:lang w:val="en-US"/>
        </w:rPr>
        <w:t xml:space="preserve"> Juana Rosa Tanta Marín.</w:t>
      </w:r>
    </w:p>
    <w:p w14:paraId="722B9244" w14:textId="01752861" w:rsidR="00852D2F" w:rsidRPr="00300A27" w:rsidRDefault="005B1C65" w:rsidP="00B243B6">
      <w:pPr>
        <w:pStyle w:val="PrrafodeSentencia"/>
        <w:numPr>
          <w:ilvl w:val="0"/>
          <w:numId w:val="3"/>
        </w:numPr>
        <w:spacing w:before="120" w:after="120"/>
        <w:ind w:left="0" w:firstLine="0"/>
        <w:rPr>
          <w:b/>
          <w:spacing w:val="0"/>
          <w:lang w:val="en-US"/>
        </w:rPr>
      </w:pPr>
      <w:r w:rsidRPr="00300A27">
        <w:rPr>
          <w:spacing w:val="0"/>
          <w:lang w:val="en-US"/>
        </w:rPr>
        <w:t xml:space="preserve">The </w:t>
      </w:r>
      <w:r w:rsidRPr="00300A27">
        <w:rPr>
          <w:b/>
          <w:bCs/>
          <w:i/>
          <w:iCs/>
          <w:spacing w:val="0"/>
          <w:lang w:val="en-US"/>
        </w:rPr>
        <w:t>State</w:t>
      </w:r>
      <w:r w:rsidR="00852D2F" w:rsidRPr="00300A27">
        <w:rPr>
          <w:b/>
          <w:i/>
          <w:spacing w:val="0"/>
          <w:lang w:val="en-US"/>
        </w:rPr>
        <w:t xml:space="preserve"> </w:t>
      </w:r>
      <w:r w:rsidR="0015041E" w:rsidRPr="00300A27">
        <w:rPr>
          <w:spacing w:val="0"/>
          <w:lang w:val="en-US"/>
        </w:rPr>
        <w:t>a</w:t>
      </w:r>
      <w:r w:rsidR="00F720CF" w:rsidRPr="00300A27">
        <w:rPr>
          <w:spacing w:val="0"/>
          <w:lang w:val="en-US"/>
        </w:rPr>
        <w:t xml:space="preserve">rgued that “in this case, the State’s responsibility for [the violation of the Convention] to the detriment of Azul Rojas Marín has not </w:t>
      </w:r>
      <w:r w:rsidR="00676747" w:rsidRPr="00300A27">
        <w:rPr>
          <w:spacing w:val="0"/>
          <w:lang w:val="en-US"/>
        </w:rPr>
        <w:t>been</w:t>
      </w:r>
      <w:r w:rsidR="00F720CF" w:rsidRPr="00300A27">
        <w:rPr>
          <w:spacing w:val="0"/>
          <w:lang w:val="en-US"/>
        </w:rPr>
        <w:t xml:space="preserve"> proved, so that it is not appropriate [that the Court take into account the suffering caused by the alleged violations].” It also noted that </w:t>
      </w:r>
      <w:r w:rsidR="00BA3C7F" w:rsidRPr="00300A27">
        <w:rPr>
          <w:spacing w:val="0"/>
          <w:lang w:val="en-US"/>
        </w:rPr>
        <w:t>the representatives</w:t>
      </w:r>
      <w:r w:rsidR="00C76C8A" w:rsidRPr="00300A27">
        <w:rPr>
          <w:spacing w:val="0"/>
          <w:lang w:val="en-US"/>
        </w:rPr>
        <w:t xml:space="preserve"> </w:t>
      </w:r>
      <w:r w:rsidR="00F720CF" w:rsidRPr="00300A27">
        <w:rPr>
          <w:spacing w:val="0"/>
          <w:lang w:val="en-US"/>
        </w:rPr>
        <w:t xml:space="preserve">had requested </w:t>
      </w:r>
      <w:r w:rsidR="00C76C8A" w:rsidRPr="00300A27">
        <w:rPr>
          <w:spacing w:val="0"/>
          <w:lang w:val="en-US"/>
        </w:rPr>
        <w:t>US$40</w:t>
      </w:r>
      <w:r w:rsidR="00F720CF" w:rsidRPr="00300A27">
        <w:rPr>
          <w:spacing w:val="0"/>
          <w:lang w:val="en-US"/>
        </w:rPr>
        <w:t>,</w:t>
      </w:r>
      <w:r w:rsidR="00852D2F" w:rsidRPr="00300A27">
        <w:rPr>
          <w:spacing w:val="0"/>
          <w:lang w:val="en-US"/>
        </w:rPr>
        <w:t>000</w:t>
      </w:r>
      <w:r w:rsidR="00C76C8A" w:rsidRPr="00300A27">
        <w:rPr>
          <w:spacing w:val="0"/>
          <w:lang w:val="en-US"/>
        </w:rPr>
        <w:t xml:space="preserve"> </w:t>
      </w:r>
      <w:r w:rsidR="00F720CF" w:rsidRPr="00300A27">
        <w:rPr>
          <w:spacing w:val="0"/>
          <w:lang w:val="en-US"/>
        </w:rPr>
        <w:t>for</w:t>
      </w:r>
      <w:r w:rsidR="00852D2F" w:rsidRPr="00300A27">
        <w:rPr>
          <w:spacing w:val="0"/>
          <w:lang w:val="en-US"/>
        </w:rPr>
        <w:t xml:space="preserve"> Juana Rosa Tanta Marín</w:t>
      </w:r>
      <w:r w:rsidR="00F720CF" w:rsidRPr="00300A27">
        <w:rPr>
          <w:spacing w:val="0"/>
          <w:lang w:val="en-US"/>
        </w:rPr>
        <w:t>.</w:t>
      </w:r>
      <w:r w:rsidR="00852D2F" w:rsidRPr="00300A27">
        <w:rPr>
          <w:spacing w:val="0"/>
          <w:lang w:val="en-US"/>
        </w:rPr>
        <w:t xml:space="preserve">” </w:t>
      </w:r>
      <w:r w:rsidR="00F720CF" w:rsidRPr="00300A27">
        <w:rPr>
          <w:spacing w:val="0"/>
          <w:lang w:val="en-US"/>
        </w:rPr>
        <w:t xml:space="preserve">In this regard, it considered “that in the most recent case law, for example in the case of </w:t>
      </w:r>
      <w:r w:rsidR="00F720CF" w:rsidRPr="00300A27">
        <w:rPr>
          <w:i/>
          <w:iCs/>
          <w:spacing w:val="0"/>
          <w:lang w:val="en-US"/>
        </w:rPr>
        <w:t xml:space="preserve">Women Victims of Sexual Torture in </w:t>
      </w:r>
      <w:r w:rsidR="00852D2F" w:rsidRPr="00300A27">
        <w:rPr>
          <w:i/>
          <w:iCs/>
          <w:spacing w:val="0"/>
          <w:lang w:val="en-US"/>
        </w:rPr>
        <w:t xml:space="preserve">Atenco </w:t>
      </w:r>
      <w:r w:rsidR="00892EDF" w:rsidRPr="00300A27">
        <w:rPr>
          <w:i/>
          <w:iCs/>
          <w:spacing w:val="0"/>
          <w:lang w:val="en-US"/>
        </w:rPr>
        <w:t>v.</w:t>
      </w:r>
      <w:r w:rsidR="00852D2F" w:rsidRPr="00300A27">
        <w:rPr>
          <w:i/>
          <w:iCs/>
          <w:spacing w:val="0"/>
          <w:lang w:val="en-US"/>
        </w:rPr>
        <w:t xml:space="preserve"> M</w:t>
      </w:r>
      <w:r w:rsidR="00F720CF" w:rsidRPr="00300A27">
        <w:rPr>
          <w:i/>
          <w:iCs/>
          <w:spacing w:val="0"/>
          <w:lang w:val="en-US"/>
        </w:rPr>
        <w:t>e</w:t>
      </w:r>
      <w:r w:rsidR="00852D2F" w:rsidRPr="00300A27">
        <w:rPr>
          <w:i/>
          <w:iCs/>
          <w:spacing w:val="0"/>
          <w:lang w:val="en-US"/>
        </w:rPr>
        <w:t>xico</w:t>
      </w:r>
      <w:r w:rsidR="00852D2F" w:rsidRPr="00300A27">
        <w:rPr>
          <w:spacing w:val="0"/>
          <w:lang w:val="en-US"/>
        </w:rPr>
        <w:t xml:space="preserve">, </w:t>
      </w:r>
      <w:r w:rsidRPr="00300A27">
        <w:rPr>
          <w:spacing w:val="0"/>
          <w:lang w:val="en-US"/>
        </w:rPr>
        <w:t>the Court</w:t>
      </w:r>
      <w:r w:rsidR="00852D2F" w:rsidRPr="00300A27">
        <w:rPr>
          <w:spacing w:val="0"/>
          <w:lang w:val="en-US"/>
        </w:rPr>
        <w:t xml:space="preserve"> ha</w:t>
      </w:r>
      <w:r w:rsidR="00F720CF" w:rsidRPr="00300A27">
        <w:rPr>
          <w:spacing w:val="0"/>
          <w:lang w:val="en-US"/>
        </w:rPr>
        <w:t>d established reparations for non-pecuniary damage in favor of the mothers of some of the victims that was considerably less t</w:t>
      </w:r>
      <w:r w:rsidR="00043883" w:rsidRPr="00300A27">
        <w:rPr>
          <w:spacing w:val="0"/>
          <w:lang w:val="en-US"/>
        </w:rPr>
        <w:t>han</w:t>
      </w:r>
      <w:r w:rsidR="00F720CF" w:rsidRPr="00300A27">
        <w:rPr>
          <w:spacing w:val="0"/>
          <w:lang w:val="en-US"/>
        </w:rPr>
        <w:t xml:space="preserve"> forty thousand dollars.” Therefore, the State asked the Court to take this situation into account.</w:t>
      </w:r>
    </w:p>
    <w:p w14:paraId="0C973597" w14:textId="12D2991A" w:rsidR="00852D2F" w:rsidRPr="00300A27" w:rsidRDefault="00F720CF" w:rsidP="00B243B6">
      <w:pPr>
        <w:pStyle w:val="PrrafodeSentencia"/>
        <w:numPr>
          <w:ilvl w:val="0"/>
          <w:numId w:val="3"/>
        </w:numPr>
        <w:spacing w:before="120" w:after="120"/>
        <w:ind w:left="0" w:firstLine="0"/>
        <w:rPr>
          <w:spacing w:val="0"/>
          <w:szCs w:val="20"/>
          <w:lang w:val="en-US"/>
        </w:rPr>
      </w:pPr>
      <w:bookmarkStart w:id="228" w:name="_Ref532899546"/>
      <w:r w:rsidRPr="00300A27">
        <w:rPr>
          <w:spacing w:val="0"/>
          <w:lang w:val="en-US"/>
        </w:rPr>
        <w:t>In this judgment, t</w:t>
      </w:r>
      <w:r w:rsidR="005B1C65" w:rsidRPr="00300A27">
        <w:rPr>
          <w:spacing w:val="0"/>
          <w:lang w:val="en-US"/>
        </w:rPr>
        <w:t>he Court</w:t>
      </w:r>
      <w:r w:rsidR="00852D2F" w:rsidRPr="00300A27">
        <w:rPr>
          <w:spacing w:val="0"/>
          <w:lang w:val="en-US"/>
        </w:rPr>
        <w:t xml:space="preserve"> </w:t>
      </w:r>
      <w:r w:rsidRPr="00300A27">
        <w:rPr>
          <w:spacing w:val="0"/>
          <w:lang w:val="en-US"/>
        </w:rPr>
        <w:t>has considered proved that Ms. Rojas Marín and her mother suffered profound anguish (</w:t>
      </w:r>
      <w:r w:rsidRPr="00300A27">
        <w:rPr>
          <w:i/>
          <w:spacing w:val="0"/>
          <w:lang w:val="en-US"/>
        </w:rPr>
        <w:t>supra</w:t>
      </w:r>
      <w:r w:rsidRPr="00300A27">
        <w:rPr>
          <w:spacing w:val="0"/>
          <w:lang w:val="en-US"/>
        </w:rPr>
        <w:t xml:space="preserve"> paras. </w:t>
      </w:r>
      <w:r w:rsidRPr="00300A27">
        <w:rPr>
          <w:spacing w:val="0"/>
          <w:lang w:val="en-US"/>
        </w:rPr>
        <w:fldChar w:fldCharType="begin"/>
      </w:r>
      <w:r w:rsidRPr="00300A27">
        <w:rPr>
          <w:spacing w:val="0"/>
          <w:lang w:val="en-US"/>
        </w:rPr>
        <w:instrText xml:space="preserve"> REF _Ref33106369 \r \h </w:instrText>
      </w:r>
      <w:r w:rsidR="00B243B6" w:rsidRPr="00300A27">
        <w:rPr>
          <w:spacing w:val="0"/>
          <w:lang w:val="en-US"/>
        </w:rPr>
        <w:instrText xml:space="preserve"> \* MERGEFORMAT </w:instrText>
      </w:r>
      <w:r w:rsidRPr="00300A27">
        <w:rPr>
          <w:spacing w:val="0"/>
          <w:lang w:val="en-US"/>
        </w:rPr>
      </w:r>
      <w:r w:rsidRPr="00300A27">
        <w:rPr>
          <w:spacing w:val="0"/>
          <w:lang w:val="en-US"/>
        </w:rPr>
        <w:fldChar w:fldCharType="separate"/>
      </w:r>
      <w:r w:rsidRPr="00300A27">
        <w:rPr>
          <w:spacing w:val="0"/>
          <w:lang w:val="en-US"/>
        </w:rPr>
        <w:t>139</w:t>
      </w:r>
      <w:r w:rsidRPr="00300A27">
        <w:rPr>
          <w:spacing w:val="0"/>
          <w:lang w:val="en-US"/>
        </w:rPr>
        <w:fldChar w:fldCharType="end"/>
      </w:r>
      <w:r w:rsidRPr="00300A27">
        <w:rPr>
          <w:spacing w:val="0"/>
          <w:lang w:val="en-US"/>
        </w:rPr>
        <w:t xml:space="preserve"> to </w:t>
      </w:r>
      <w:r w:rsidRPr="00300A27">
        <w:rPr>
          <w:spacing w:val="0"/>
          <w:lang w:val="en-US"/>
        </w:rPr>
        <w:fldChar w:fldCharType="begin"/>
      </w:r>
      <w:r w:rsidRPr="00300A27">
        <w:rPr>
          <w:spacing w:val="0"/>
          <w:lang w:val="en-US"/>
        </w:rPr>
        <w:instrText xml:space="preserve"> REF _Ref35855410 \r \h </w:instrText>
      </w:r>
      <w:r w:rsidR="00B243B6" w:rsidRPr="00300A27">
        <w:rPr>
          <w:spacing w:val="0"/>
          <w:lang w:val="en-US"/>
        </w:rPr>
        <w:instrText xml:space="preserve"> \* MERGEFORMAT </w:instrText>
      </w:r>
      <w:r w:rsidRPr="00300A27">
        <w:rPr>
          <w:spacing w:val="0"/>
          <w:lang w:val="en-US"/>
        </w:rPr>
      </w:r>
      <w:r w:rsidRPr="00300A27">
        <w:rPr>
          <w:spacing w:val="0"/>
          <w:lang w:val="en-US"/>
        </w:rPr>
        <w:fldChar w:fldCharType="separate"/>
      </w:r>
      <w:r w:rsidRPr="00300A27">
        <w:rPr>
          <w:spacing w:val="0"/>
          <w:lang w:val="en-US"/>
        </w:rPr>
        <w:t>160</w:t>
      </w:r>
      <w:r w:rsidRPr="00300A27">
        <w:rPr>
          <w:spacing w:val="0"/>
          <w:lang w:val="en-US"/>
        </w:rPr>
        <w:fldChar w:fldCharType="end"/>
      </w:r>
      <w:r w:rsidRPr="00300A27">
        <w:rPr>
          <w:spacing w:val="0"/>
          <w:lang w:val="en-US"/>
        </w:rPr>
        <w:t xml:space="preserve"> and </w:t>
      </w:r>
      <w:r w:rsidRPr="00300A27">
        <w:rPr>
          <w:spacing w:val="0"/>
          <w:lang w:val="en-US"/>
        </w:rPr>
        <w:fldChar w:fldCharType="begin"/>
      </w:r>
      <w:r w:rsidRPr="00300A27">
        <w:rPr>
          <w:spacing w:val="0"/>
          <w:lang w:val="en-US"/>
        </w:rPr>
        <w:instrText xml:space="preserve"> REF _Ref35857170 \r \h </w:instrText>
      </w:r>
      <w:r w:rsidR="00B243B6" w:rsidRPr="00300A27">
        <w:rPr>
          <w:spacing w:val="0"/>
          <w:lang w:val="en-US"/>
        </w:rPr>
        <w:instrText xml:space="preserve"> \* MERGEFORMAT </w:instrText>
      </w:r>
      <w:r w:rsidRPr="00300A27">
        <w:rPr>
          <w:spacing w:val="0"/>
          <w:lang w:val="en-US"/>
        </w:rPr>
      </w:r>
      <w:r w:rsidRPr="00300A27">
        <w:rPr>
          <w:spacing w:val="0"/>
          <w:lang w:val="en-US"/>
        </w:rPr>
        <w:fldChar w:fldCharType="separate"/>
      </w:r>
      <w:r w:rsidRPr="00300A27">
        <w:rPr>
          <w:spacing w:val="0"/>
          <w:lang w:val="en-US"/>
        </w:rPr>
        <w:t>221</w:t>
      </w:r>
      <w:r w:rsidRPr="00300A27">
        <w:rPr>
          <w:spacing w:val="0"/>
          <w:lang w:val="en-US"/>
        </w:rPr>
        <w:fldChar w:fldCharType="end"/>
      </w:r>
      <w:r w:rsidRPr="00300A27">
        <w:rPr>
          <w:spacing w:val="0"/>
          <w:lang w:val="en-US"/>
        </w:rPr>
        <w:t xml:space="preserve"> to </w:t>
      </w:r>
      <w:r w:rsidRPr="00300A27">
        <w:rPr>
          <w:spacing w:val="0"/>
          <w:lang w:val="en-US"/>
        </w:rPr>
        <w:fldChar w:fldCharType="begin"/>
      </w:r>
      <w:r w:rsidRPr="00300A27">
        <w:rPr>
          <w:spacing w:val="0"/>
          <w:lang w:val="en-US"/>
        </w:rPr>
        <w:instrText xml:space="preserve"> REF _Ref33106756 \r \h </w:instrText>
      </w:r>
      <w:r w:rsidR="00B243B6" w:rsidRPr="00300A27">
        <w:rPr>
          <w:spacing w:val="0"/>
          <w:lang w:val="en-US"/>
        </w:rPr>
        <w:instrText xml:space="preserve"> \* MERGEFORMAT </w:instrText>
      </w:r>
      <w:r w:rsidRPr="00300A27">
        <w:rPr>
          <w:spacing w:val="0"/>
          <w:lang w:val="en-US"/>
        </w:rPr>
      </w:r>
      <w:r w:rsidRPr="00300A27">
        <w:rPr>
          <w:spacing w:val="0"/>
          <w:lang w:val="en-US"/>
        </w:rPr>
        <w:fldChar w:fldCharType="separate"/>
      </w:r>
      <w:r w:rsidRPr="00300A27">
        <w:rPr>
          <w:spacing w:val="0"/>
          <w:lang w:val="en-US"/>
        </w:rPr>
        <w:t>223</w:t>
      </w:r>
      <w:r w:rsidRPr="00300A27">
        <w:rPr>
          <w:spacing w:val="0"/>
          <w:lang w:val="en-US"/>
        </w:rPr>
        <w:fldChar w:fldCharType="end"/>
      </w:r>
      <w:r w:rsidRPr="00300A27">
        <w:rPr>
          <w:spacing w:val="0"/>
          <w:lang w:val="en-US"/>
        </w:rPr>
        <w:t>). Also, the psychosocial appraisal of Ms. Rojas Marín determined that “following the acts of violence she reported, [Ms. Rojas Marín’s] life changed drastically. The fact that she had been detained, tortured and raped in a police station harmed her physical and mental health. The stressors are still present because, following the events, she started out on a long road to seek justice and, on the way, she has experienced situations of abuse, revictimization and discrimination owing to her</w:t>
      </w:r>
      <w:bookmarkEnd w:id="228"/>
      <w:r w:rsidRPr="00300A27">
        <w:rPr>
          <w:spacing w:val="0"/>
          <w:szCs w:val="20"/>
          <w:lang w:val="en-US"/>
        </w:rPr>
        <w:t xml:space="preserve"> </w:t>
      </w:r>
      <w:r w:rsidR="00CC6548" w:rsidRPr="00300A27">
        <w:rPr>
          <w:spacing w:val="0"/>
          <w:szCs w:val="20"/>
          <w:lang w:val="en-US"/>
        </w:rPr>
        <w:t>sexual orientation</w:t>
      </w:r>
      <w:r w:rsidRPr="00300A27">
        <w:rPr>
          <w:spacing w:val="0"/>
          <w:szCs w:val="20"/>
          <w:lang w:val="en-US"/>
        </w:rPr>
        <w:t>.</w:t>
      </w:r>
      <w:r w:rsidR="00852D2F" w:rsidRPr="00300A27">
        <w:rPr>
          <w:spacing w:val="0"/>
          <w:szCs w:val="20"/>
          <w:lang w:val="en-US"/>
        </w:rPr>
        <w:t>”</w:t>
      </w:r>
      <w:r w:rsidR="00852D2F" w:rsidRPr="00300A27">
        <w:rPr>
          <w:rStyle w:val="Refdenotaalpie"/>
          <w:spacing w:val="0"/>
          <w:szCs w:val="20"/>
          <w:lang w:val="en-US"/>
        </w:rPr>
        <w:footnoteReference w:id="312"/>
      </w:r>
      <w:r w:rsidRPr="00300A27">
        <w:rPr>
          <w:spacing w:val="0"/>
          <w:szCs w:val="20"/>
          <w:lang w:val="en-US"/>
        </w:rPr>
        <w:t xml:space="preserve"> Also, </w:t>
      </w:r>
      <w:r w:rsidRPr="00300A27">
        <w:rPr>
          <w:spacing w:val="0"/>
          <w:lang w:val="en-US"/>
        </w:rPr>
        <w:t>the psychosocial appraisal of</w:t>
      </w:r>
      <w:r w:rsidR="00852D2F" w:rsidRPr="00300A27">
        <w:rPr>
          <w:spacing w:val="0"/>
          <w:szCs w:val="20"/>
          <w:lang w:val="en-US"/>
        </w:rPr>
        <w:t xml:space="preserve"> </w:t>
      </w:r>
      <w:r w:rsidR="00852D2F" w:rsidRPr="00300A27">
        <w:rPr>
          <w:spacing w:val="0"/>
          <w:lang w:val="en-US"/>
        </w:rPr>
        <w:t>Juana Rosa Tanta Marín determin</w:t>
      </w:r>
      <w:r w:rsidRPr="00300A27">
        <w:rPr>
          <w:spacing w:val="0"/>
          <w:lang w:val="en-US"/>
        </w:rPr>
        <w:t xml:space="preserve">ed that </w:t>
      </w:r>
      <w:r w:rsidR="00964033" w:rsidRPr="00300A27">
        <w:rPr>
          <w:spacing w:val="0"/>
          <w:lang w:val="en-US"/>
        </w:rPr>
        <w:t xml:space="preserve">she ‘had major chronic depression […] </w:t>
      </w:r>
      <w:r w:rsidR="00964033" w:rsidRPr="00300A27">
        <w:rPr>
          <w:spacing w:val="0"/>
          <w:szCs w:val="20"/>
          <w:lang w:val="en-US"/>
        </w:rPr>
        <w:t xml:space="preserve">given the particular nature of the relationship that Juana had with her [daughter], the traumatic incident had a devastating impact on her psyche, </w:t>
      </w:r>
      <w:r w:rsidR="001975F6" w:rsidRPr="00300A27">
        <w:rPr>
          <w:spacing w:val="0"/>
          <w:szCs w:val="20"/>
          <w:lang w:val="en-US"/>
        </w:rPr>
        <w:t>clearly destroying</w:t>
      </w:r>
      <w:r w:rsidR="00964033" w:rsidRPr="00300A27">
        <w:rPr>
          <w:spacing w:val="0"/>
          <w:szCs w:val="20"/>
          <w:lang w:val="en-US"/>
        </w:rPr>
        <w:t xml:space="preserve"> one of her emotional supports in life.</w:t>
      </w:r>
      <w:r w:rsidR="00852D2F" w:rsidRPr="00300A27">
        <w:rPr>
          <w:spacing w:val="0"/>
          <w:lang w:val="en-US"/>
        </w:rPr>
        <w:t>”</w:t>
      </w:r>
      <w:r w:rsidR="00852D2F" w:rsidRPr="00300A27">
        <w:rPr>
          <w:rStyle w:val="Refdenotaalpie"/>
          <w:spacing w:val="0"/>
          <w:lang w:val="en-US"/>
        </w:rPr>
        <w:footnoteReference w:id="313"/>
      </w:r>
    </w:p>
    <w:p w14:paraId="5DAA37A0" w14:textId="726B322E" w:rsidR="00753656" w:rsidRPr="00300A27" w:rsidRDefault="00964033" w:rsidP="00B243B6">
      <w:pPr>
        <w:pStyle w:val="PrrafodeSentencia"/>
        <w:numPr>
          <w:ilvl w:val="0"/>
          <w:numId w:val="3"/>
        </w:numPr>
        <w:spacing w:before="120" w:after="120"/>
        <w:ind w:left="0" w:firstLine="0"/>
        <w:rPr>
          <w:spacing w:val="0"/>
          <w:lang w:val="en-US"/>
        </w:rPr>
      </w:pPr>
      <w:bookmarkStart w:id="229" w:name="_Ref536709858"/>
      <w:bookmarkStart w:id="230" w:name="_Ref33110642"/>
      <w:r w:rsidRPr="00300A27">
        <w:rPr>
          <w:spacing w:val="0"/>
          <w:lang w:val="en-US"/>
        </w:rPr>
        <w:t>Taking the</w:t>
      </w:r>
      <w:r w:rsidR="00043883" w:rsidRPr="00300A27">
        <w:rPr>
          <w:spacing w:val="0"/>
          <w:lang w:val="en-US"/>
        </w:rPr>
        <w:t>se</w:t>
      </w:r>
      <w:r w:rsidRPr="00300A27">
        <w:rPr>
          <w:spacing w:val="0"/>
          <w:lang w:val="en-US"/>
        </w:rPr>
        <w:t xml:space="preserve"> expert appraisals into account, the Court finds that both Ms. Rojas Marín and Mrs. Tanta Marín suffered serious moral harm. Consequently, based on the circumstances of this case and the violations declared, the Court finds it pertinent to establish, in equity, the sum of </w:t>
      </w:r>
      <w:r w:rsidR="00753656" w:rsidRPr="00300A27">
        <w:rPr>
          <w:spacing w:val="0"/>
          <w:lang w:val="en-US"/>
        </w:rPr>
        <w:t>US$60</w:t>
      </w:r>
      <w:r w:rsidR="00630149" w:rsidRPr="00300A27">
        <w:rPr>
          <w:spacing w:val="0"/>
          <w:lang w:val="en-US"/>
        </w:rPr>
        <w:t>,000.00</w:t>
      </w:r>
      <w:r w:rsidR="00753656" w:rsidRPr="00300A27">
        <w:rPr>
          <w:spacing w:val="0"/>
          <w:lang w:val="en-US"/>
        </w:rPr>
        <w:t xml:space="preserve"> (</w:t>
      </w:r>
      <w:r w:rsidR="004C16B4" w:rsidRPr="00300A27">
        <w:rPr>
          <w:spacing w:val="0"/>
          <w:lang w:val="en-US"/>
        </w:rPr>
        <w:t>sixty thousand</w:t>
      </w:r>
      <w:r w:rsidR="00753656" w:rsidRPr="00300A27">
        <w:rPr>
          <w:spacing w:val="0"/>
          <w:lang w:val="en-US"/>
        </w:rPr>
        <w:t xml:space="preserve"> </w:t>
      </w:r>
      <w:r w:rsidR="005206D9" w:rsidRPr="00300A27">
        <w:rPr>
          <w:spacing w:val="0"/>
          <w:lang w:val="en-US"/>
        </w:rPr>
        <w:t>United States dollars</w:t>
      </w:r>
      <w:r w:rsidR="00753656" w:rsidRPr="00300A27">
        <w:rPr>
          <w:spacing w:val="0"/>
          <w:lang w:val="en-US"/>
        </w:rPr>
        <w:t>)</w:t>
      </w:r>
      <w:bookmarkEnd w:id="229"/>
      <w:r w:rsidR="00753656" w:rsidRPr="00300A27">
        <w:rPr>
          <w:spacing w:val="0"/>
          <w:lang w:val="en-US"/>
        </w:rPr>
        <w:t xml:space="preserve"> </w:t>
      </w:r>
      <w:r w:rsidRPr="00300A27">
        <w:rPr>
          <w:spacing w:val="0"/>
          <w:lang w:val="en-US"/>
        </w:rPr>
        <w:t>for</w:t>
      </w:r>
      <w:r w:rsidR="00273A5F" w:rsidRPr="00300A27">
        <w:rPr>
          <w:spacing w:val="0"/>
          <w:lang w:val="en-US"/>
        </w:rPr>
        <w:t xml:space="preserve"> </w:t>
      </w:r>
      <w:r w:rsidR="002959DE" w:rsidRPr="00300A27">
        <w:rPr>
          <w:spacing w:val="0"/>
          <w:lang w:val="en-US"/>
        </w:rPr>
        <w:t>non-pecuniary damage</w:t>
      </w:r>
      <w:r w:rsidR="00273A5F" w:rsidRPr="00300A27">
        <w:rPr>
          <w:spacing w:val="0"/>
          <w:lang w:val="en-US"/>
        </w:rPr>
        <w:t xml:space="preserve"> </w:t>
      </w:r>
      <w:r w:rsidR="00630149" w:rsidRPr="00300A27">
        <w:rPr>
          <w:spacing w:val="0"/>
          <w:lang w:val="en-US"/>
        </w:rPr>
        <w:t>in favor of</w:t>
      </w:r>
      <w:r w:rsidR="00753656" w:rsidRPr="00300A27">
        <w:rPr>
          <w:spacing w:val="0"/>
          <w:lang w:val="en-US"/>
        </w:rPr>
        <w:t xml:space="preserve"> Azul Rojas Marín. </w:t>
      </w:r>
      <w:r w:rsidRPr="00300A27">
        <w:rPr>
          <w:spacing w:val="0"/>
          <w:lang w:val="en-US"/>
        </w:rPr>
        <w:t>In the case of</w:t>
      </w:r>
      <w:r w:rsidR="00753656" w:rsidRPr="00300A27">
        <w:rPr>
          <w:spacing w:val="0"/>
          <w:lang w:val="en-US"/>
        </w:rPr>
        <w:t xml:space="preserve"> Juana Rosa Tanta Marín, </w:t>
      </w:r>
      <w:r w:rsidR="005B1C65" w:rsidRPr="00300A27">
        <w:rPr>
          <w:spacing w:val="0"/>
          <w:lang w:val="en-US"/>
        </w:rPr>
        <w:t>the Court</w:t>
      </w:r>
      <w:r w:rsidR="00753656" w:rsidRPr="00300A27">
        <w:rPr>
          <w:spacing w:val="0"/>
          <w:lang w:val="en-US"/>
        </w:rPr>
        <w:t xml:space="preserve"> </w:t>
      </w:r>
      <w:r w:rsidRPr="00300A27">
        <w:rPr>
          <w:spacing w:val="0"/>
          <w:lang w:val="en-US"/>
        </w:rPr>
        <w:t>establishes, in equity, as pecuniary reparation for the</w:t>
      </w:r>
      <w:r w:rsidR="00753656" w:rsidRPr="00300A27">
        <w:rPr>
          <w:spacing w:val="0"/>
          <w:lang w:val="en-US"/>
        </w:rPr>
        <w:t xml:space="preserve"> </w:t>
      </w:r>
      <w:r w:rsidR="002959DE" w:rsidRPr="00300A27">
        <w:rPr>
          <w:spacing w:val="0"/>
          <w:lang w:val="en-US"/>
        </w:rPr>
        <w:t>non-pecuniary damage</w:t>
      </w:r>
      <w:r w:rsidR="00753656" w:rsidRPr="00300A27">
        <w:rPr>
          <w:spacing w:val="0"/>
          <w:lang w:val="en-US"/>
        </w:rPr>
        <w:t xml:space="preserve">, </w:t>
      </w:r>
      <w:r w:rsidR="004C16B4" w:rsidRPr="00300A27">
        <w:rPr>
          <w:spacing w:val="0"/>
          <w:lang w:val="en-US"/>
        </w:rPr>
        <w:t>the sum of</w:t>
      </w:r>
      <w:r w:rsidR="00753656" w:rsidRPr="00300A27">
        <w:rPr>
          <w:spacing w:val="0"/>
          <w:lang w:val="en-US"/>
        </w:rPr>
        <w:t xml:space="preserve"> US$15</w:t>
      </w:r>
      <w:r w:rsidR="00630149" w:rsidRPr="00300A27">
        <w:rPr>
          <w:spacing w:val="0"/>
          <w:lang w:val="en-US"/>
        </w:rPr>
        <w:t>,000.00</w:t>
      </w:r>
      <w:r w:rsidR="00753656" w:rsidRPr="00300A27">
        <w:rPr>
          <w:spacing w:val="0"/>
          <w:lang w:val="en-US"/>
        </w:rPr>
        <w:t xml:space="preserve"> (</w:t>
      </w:r>
      <w:r w:rsidR="004C16B4" w:rsidRPr="00300A27">
        <w:rPr>
          <w:spacing w:val="0"/>
          <w:lang w:val="en-US"/>
        </w:rPr>
        <w:t>fifteen thousand</w:t>
      </w:r>
      <w:r w:rsidR="00753656" w:rsidRPr="00300A27">
        <w:rPr>
          <w:spacing w:val="0"/>
          <w:lang w:val="en-US"/>
        </w:rPr>
        <w:t xml:space="preserve"> </w:t>
      </w:r>
      <w:r w:rsidR="005206D9" w:rsidRPr="00300A27">
        <w:rPr>
          <w:spacing w:val="0"/>
          <w:lang w:val="en-US"/>
        </w:rPr>
        <w:t>United States dollars</w:t>
      </w:r>
      <w:r w:rsidR="00753656" w:rsidRPr="00300A27">
        <w:rPr>
          <w:spacing w:val="0"/>
          <w:lang w:val="en-US"/>
        </w:rPr>
        <w:t xml:space="preserve">). </w:t>
      </w:r>
      <w:r w:rsidRPr="00300A27">
        <w:rPr>
          <w:spacing w:val="0"/>
          <w:lang w:val="en-US"/>
        </w:rPr>
        <w:t xml:space="preserve">The payment of </w:t>
      </w:r>
      <w:r w:rsidR="00753656" w:rsidRPr="00300A27">
        <w:rPr>
          <w:spacing w:val="0"/>
          <w:lang w:val="en-US"/>
        </w:rPr>
        <w:t>Juana Rosa Tanta Marín</w:t>
      </w:r>
      <w:r w:rsidRPr="00300A27">
        <w:rPr>
          <w:spacing w:val="0"/>
          <w:lang w:val="en-US"/>
        </w:rPr>
        <w:t>’s compensation shall be made directly to her heirs, pursuant to applicable inheritance</w:t>
      </w:r>
      <w:r w:rsidR="00043883" w:rsidRPr="00300A27">
        <w:rPr>
          <w:spacing w:val="0"/>
          <w:lang w:val="en-US"/>
        </w:rPr>
        <w:t xml:space="preserve"> laws</w:t>
      </w:r>
      <w:r w:rsidRPr="00300A27">
        <w:rPr>
          <w:spacing w:val="0"/>
          <w:lang w:val="en-US"/>
        </w:rPr>
        <w:t>.</w:t>
      </w:r>
      <w:bookmarkEnd w:id="230"/>
    </w:p>
    <w:p w14:paraId="582F84D7" w14:textId="5233F1EC" w:rsidR="00852D2F" w:rsidRPr="00300A27" w:rsidRDefault="002959DE" w:rsidP="00B243B6">
      <w:pPr>
        <w:pStyle w:val="Ttulo2"/>
        <w:numPr>
          <w:ilvl w:val="0"/>
          <w:numId w:val="27"/>
        </w:numPr>
        <w:ind w:left="1134" w:hanging="567"/>
        <w:rPr>
          <w:lang w:val="en-US" w:eastAsia="es-ES"/>
        </w:rPr>
      </w:pPr>
      <w:r w:rsidRPr="00300A27">
        <w:rPr>
          <w:lang w:val="en-US"/>
        </w:rPr>
        <w:t>Other measures requested</w:t>
      </w:r>
    </w:p>
    <w:p w14:paraId="4E2847B7" w14:textId="3C35B71B" w:rsidR="00DA76AF" w:rsidRPr="00300A27" w:rsidRDefault="00C2001D" w:rsidP="00B243B6">
      <w:pPr>
        <w:pStyle w:val="PrrafodeSentencia"/>
        <w:numPr>
          <w:ilvl w:val="0"/>
          <w:numId w:val="3"/>
        </w:numPr>
        <w:spacing w:before="120" w:after="120"/>
        <w:ind w:left="0" w:firstLine="0"/>
        <w:rPr>
          <w:spacing w:val="0"/>
          <w:lang w:val="en-US"/>
        </w:rPr>
      </w:pPr>
      <w:r w:rsidRPr="00300A27">
        <w:rPr>
          <w:spacing w:val="0"/>
          <w:szCs w:val="24"/>
          <w:lang w:val="en-US"/>
        </w:rPr>
        <w:t xml:space="preserve">The </w:t>
      </w:r>
      <w:r w:rsidRPr="00300A27">
        <w:rPr>
          <w:b/>
          <w:bCs/>
          <w:i/>
          <w:iCs/>
          <w:spacing w:val="0"/>
          <w:szCs w:val="24"/>
          <w:lang w:val="en-US"/>
        </w:rPr>
        <w:t>Commission</w:t>
      </w:r>
      <w:r w:rsidR="00852D2F" w:rsidRPr="00300A27">
        <w:rPr>
          <w:spacing w:val="0"/>
          <w:szCs w:val="24"/>
          <w:lang w:val="en-US"/>
        </w:rPr>
        <w:t xml:space="preserve"> </w:t>
      </w:r>
      <w:r w:rsidR="003A6C14" w:rsidRPr="00300A27">
        <w:rPr>
          <w:spacing w:val="0"/>
          <w:szCs w:val="24"/>
          <w:lang w:val="en-US"/>
        </w:rPr>
        <w:t>asked the Court to require</w:t>
      </w:r>
      <w:r w:rsidR="00BA3C7F" w:rsidRPr="00300A27">
        <w:rPr>
          <w:spacing w:val="0"/>
          <w:szCs w:val="24"/>
          <w:lang w:val="en-US"/>
        </w:rPr>
        <w:t xml:space="preserve"> the State</w:t>
      </w:r>
      <w:r w:rsidR="00852D2F" w:rsidRPr="00300A27">
        <w:rPr>
          <w:b/>
          <w:spacing w:val="0"/>
          <w:szCs w:val="20"/>
          <w:lang w:val="en-US"/>
        </w:rPr>
        <w:t xml:space="preserve"> </w:t>
      </w:r>
      <w:r w:rsidR="003A6C14" w:rsidRPr="00300A27">
        <w:rPr>
          <w:bCs/>
          <w:spacing w:val="0"/>
          <w:szCs w:val="20"/>
          <w:lang w:val="en-US"/>
        </w:rPr>
        <w:t>to ensure</w:t>
      </w:r>
      <w:r w:rsidR="003A6C14" w:rsidRPr="00300A27">
        <w:rPr>
          <w:b/>
          <w:spacing w:val="0"/>
          <w:szCs w:val="20"/>
          <w:lang w:val="en-US"/>
        </w:rPr>
        <w:t xml:space="preserve"> </w:t>
      </w:r>
      <w:r w:rsidR="003A6C14" w:rsidRPr="00300A27">
        <w:rPr>
          <w:spacing w:val="0"/>
          <w:lang w:val="en-US"/>
        </w:rPr>
        <w:t>that</w:t>
      </w:r>
      <w:r w:rsidR="00852D2F" w:rsidRPr="00300A27">
        <w:rPr>
          <w:spacing w:val="0"/>
          <w:lang w:val="en-US"/>
        </w:rPr>
        <w:t xml:space="preserve"> </w:t>
      </w:r>
      <w:r w:rsidR="003A6C14" w:rsidRPr="00300A27">
        <w:rPr>
          <w:spacing w:val="0"/>
          <w:lang w:val="en-US"/>
        </w:rPr>
        <w:t>a</w:t>
      </w:r>
      <w:r w:rsidR="005B1C65" w:rsidRPr="00300A27">
        <w:rPr>
          <w:spacing w:val="0"/>
          <w:lang w:val="en-US"/>
        </w:rPr>
        <w:t>rticle</w:t>
      </w:r>
      <w:r w:rsidR="00852D2F" w:rsidRPr="00300A27">
        <w:rPr>
          <w:spacing w:val="0"/>
          <w:lang w:val="en-US"/>
        </w:rPr>
        <w:t xml:space="preserve"> 205</w:t>
      </w:r>
      <w:r w:rsidR="00976059" w:rsidRPr="00300A27">
        <w:rPr>
          <w:spacing w:val="0"/>
          <w:lang w:val="en-US"/>
        </w:rPr>
        <w:t xml:space="preserve"> of the Code of Criminal Procedure</w:t>
      </w:r>
      <w:r w:rsidR="00852D2F" w:rsidRPr="00300A27">
        <w:rPr>
          <w:spacing w:val="0"/>
          <w:lang w:val="en-US"/>
        </w:rPr>
        <w:t xml:space="preserve"> </w:t>
      </w:r>
      <w:r w:rsidR="003A6C14" w:rsidRPr="00300A27">
        <w:rPr>
          <w:spacing w:val="0"/>
          <w:lang w:val="en-US"/>
        </w:rPr>
        <w:t xml:space="preserve">was not applied in an abusive and discriminatory manner by the police authorities. </w:t>
      </w:r>
      <w:r w:rsidR="00BA3C7F" w:rsidRPr="00300A27">
        <w:rPr>
          <w:spacing w:val="0"/>
          <w:lang w:val="en-US"/>
        </w:rPr>
        <w:t xml:space="preserve">The </w:t>
      </w:r>
      <w:r w:rsidR="00BA3C7F" w:rsidRPr="00300A27">
        <w:rPr>
          <w:b/>
          <w:bCs/>
          <w:i/>
          <w:iCs/>
          <w:spacing w:val="0"/>
          <w:lang w:val="en-US"/>
        </w:rPr>
        <w:t>representatives</w:t>
      </w:r>
      <w:r w:rsidR="00852D2F" w:rsidRPr="00300A27">
        <w:rPr>
          <w:b/>
          <w:i/>
          <w:spacing w:val="0"/>
          <w:lang w:val="en-US"/>
        </w:rPr>
        <w:t xml:space="preserve"> </w:t>
      </w:r>
      <w:r w:rsidR="003A6C14" w:rsidRPr="00300A27">
        <w:rPr>
          <w:spacing w:val="0"/>
          <w:lang w:val="en-US"/>
        </w:rPr>
        <w:t>asked the Court to require</w:t>
      </w:r>
      <w:r w:rsidR="00BA3C7F" w:rsidRPr="00300A27">
        <w:rPr>
          <w:spacing w:val="0"/>
          <w:lang w:val="en-US"/>
        </w:rPr>
        <w:t xml:space="preserve"> the State</w:t>
      </w:r>
      <w:r w:rsidR="00852D2F" w:rsidRPr="00300A27">
        <w:rPr>
          <w:spacing w:val="0"/>
          <w:lang w:val="en-US"/>
        </w:rPr>
        <w:t xml:space="preserve">: </w:t>
      </w:r>
      <w:r w:rsidR="003A6C14" w:rsidRPr="00300A27">
        <w:rPr>
          <w:spacing w:val="0"/>
          <w:lang w:val="en-US"/>
        </w:rPr>
        <w:t>(</w:t>
      </w:r>
      <w:r w:rsidR="00852D2F" w:rsidRPr="00300A27">
        <w:rPr>
          <w:spacing w:val="0"/>
          <w:lang w:val="en-US"/>
        </w:rPr>
        <w:t xml:space="preserve">i) </w:t>
      </w:r>
      <w:r w:rsidR="003A6C14" w:rsidRPr="00300A27">
        <w:rPr>
          <w:spacing w:val="0"/>
          <w:lang w:val="en-US"/>
        </w:rPr>
        <w:t xml:space="preserve">to provide </w:t>
      </w:r>
      <w:r w:rsidR="008546E9" w:rsidRPr="00300A27">
        <w:rPr>
          <w:spacing w:val="0"/>
          <w:lang w:val="en-US"/>
        </w:rPr>
        <w:t>Ms. Rojas</w:t>
      </w:r>
      <w:r w:rsidR="002D30A6" w:rsidRPr="00300A27">
        <w:rPr>
          <w:spacing w:val="0"/>
          <w:lang w:val="en-US"/>
        </w:rPr>
        <w:t xml:space="preserve"> Marín</w:t>
      </w:r>
      <w:r w:rsidR="003A6C14" w:rsidRPr="00300A27">
        <w:rPr>
          <w:spacing w:val="0"/>
          <w:lang w:val="en-US"/>
        </w:rPr>
        <w:t xml:space="preserve"> with a</w:t>
      </w:r>
      <w:r w:rsidR="00852D2F" w:rsidRPr="00300A27">
        <w:rPr>
          <w:spacing w:val="0"/>
          <w:lang w:val="en-US"/>
        </w:rPr>
        <w:t xml:space="preserve"> “</w:t>
      </w:r>
      <w:r w:rsidR="003A6C14" w:rsidRPr="00300A27">
        <w:rPr>
          <w:spacing w:val="0"/>
          <w:lang w:val="en-US"/>
        </w:rPr>
        <w:t>university grant to cover the costs of the professional career that Azul chooses”; (ii) to facilitate the change of identity of Azul Rojas Marín; (iii) to broadcast a radio and television program; (iv) to place a commemorative plaque in the Casa Grande Police Station; (</w:t>
      </w:r>
      <w:r w:rsidR="003A6C14" w:rsidRPr="00300A27">
        <w:rPr>
          <w:spacing w:val="0"/>
          <w:szCs w:val="20"/>
          <w:lang w:val="en-US"/>
        </w:rPr>
        <w:t>v) to implement educational guidelines to prevent and eradicate discrimination and violence against LGBTI people through the Ministry of Education; (vi) to amend article 205 of the Code of Criminal Procedure; (vii)</w:t>
      </w:r>
      <w:r w:rsidR="003A6C14" w:rsidRPr="00300A27">
        <w:rPr>
          <w:spacing w:val="0"/>
          <w:lang w:val="en-US"/>
        </w:rPr>
        <w:t xml:space="preserve"> to ratify </w:t>
      </w:r>
      <w:r w:rsidR="005B1C65" w:rsidRPr="00300A27">
        <w:rPr>
          <w:spacing w:val="0"/>
          <w:szCs w:val="20"/>
          <w:lang w:val="en-US"/>
        </w:rPr>
        <w:t>the</w:t>
      </w:r>
      <w:r w:rsidR="003A6C14" w:rsidRPr="00300A27">
        <w:rPr>
          <w:spacing w:val="0"/>
          <w:szCs w:val="20"/>
          <w:lang w:val="en-US"/>
        </w:rPr>
        <w:t xml:space="preserve"> Inter-American</w:t>
      </w:r>
      <w:r w:rsidR="005B1C65" w:rsidRPr="00300A27">
        <w:rPr>
          <w:spacing w:val="0"/>
          <w:szCs w:val="20"/>
          <w:lang w:val="en-US"/>
        </w:rPr>
        <w:t xml:space="preserve"> Convention</w:t>
      </w:r>
      <w:r w:rsidR="00852D2F" w:rsidRPr="00300A27">
        <w:rPr>
          <w:spacing w:val="0"/>
          <w:szCs w:val="20"/>
          <w:lang w:val="en-US"/>
        </w:rPr>
        <w:t xml:space="preserve"> </w:t>
      </w:r>
      <w:r w:rsidR="003A6C14" w:rsidRPr="00300A27">
        <w:rPr>
          <w:spacing w:val="0"/>
          <w:szCs w:val="20"/>
          <w:lang w:val="en-US"/>
        </w:rPr>
        <w:t>against All Forms of Discrimination and Intolerance</w:t>
      </w:r>
      <w:r w:rsidR="00A472ED" w:rsidRPr="00300A27">
        <w:rPr>
          <w:spacing w:val="0"/>
          <w:szCs w:val="20"/>
          <w:lang w:val="en-US"/>
        </w:rPr>
        <w:t>;</w:t>
      </w:r>
      <w:r w:rsidR="00852D2F" w:rsidRPr="00300A27">
        <w:rPr>
          <w:spacing w:val="0"/>
          <w:szCs w:val="20"/>
          <w:lang w:val="en-US"/>
        </w:rPr>
        <w:t xml:space="preserve"> </w:t>
      </w:r>
      <w:r w:rsidR="003A6C14" w:rsidRPr="00300A27">
        <w:rPr>
          <w:spacing w:val="0"/>
          <w:szCs w:val="20"/>
          <w:lang w:val="en-US"/>
        </w:rPr>
        <w:t>(</w:t>
      </w:r>
      <w:r w:rsidR="00AA4612" w:rsidRPr="00300A27">
        <w:rPr>
          <w:spacing w:val="0"/>
          <w:szCs w:val="20"/>
          <w:lang w:val="en-US"/>
        </w:rPr>
        <w:t>viii</w:t>
      </w:r>
      <w:r w:rsidR="00852D2F" w:rsidRPr="00300A27">
        <w:rPr>
          <w:spacing w:val="0"/>
          <w:szCs w:val="20"/>
          <w:lang w:val="en-US"/>
        </w:rPr>
        <w:t xml:space="preserve">) </w:t>
      </w:r>
      <w:r w:rsidR="003A6C14" w:rsidRPr="00300A27">
        <w:rPr>
          <w:spacing w:val="0"/>
          <w:szCs w:val="20"/>
          <w:lang w:val="en-US"/>
        </w:rPr>
        <w:t xml:space="preserve">to place informational leaflets or posters on the rights of persons deprived of liberty in police stations; (ix) </w:t>
      </w:r>
      <w:r w:rsidR="004C16B4" w:rsidRPr="00300A27">
        <w:rPr>
          <w:spacing w:val="0"/>
          <w:szCs w:val="20"/>
          <w:lang w:val="en-US"/>
        </w:rPr>
        <w:t xml:space="preserve">to adapt the definition of torture in </w:t>
      </w:r>
      <w:r w:rsidR="004C16B4" w:rsidRPr="00300A27">
        <w:rPr>
          <w:spacing w:val="0"/>
          <w:lang w:val="en-US"/>
        </w:rPr>
        <w:t>a</w:t>
      </w:r>
      <w:r w:rsidR="007071F6" w:rsidRPr="00300A27">
        <w:rPr>
          <w:spacing w:val="0"/>
          <w:lang w:val="en-US"/>
        </w:rPr>
        <w:t>rticle</w:t>
      </w:r>
      <w:r w:rsidR="00A472ED" w:rsidRPr="00300A27">
        <w:rPr>
          <w:spacing w:val="0"/>
          <w:lang w:val="en-US"/>
        </w:rPr>
        <w:t xml:space="preserve"> 321 </w:t>
      </w:r>
      <w:r w:rsidR="00D75EFA" w:rsidRPr="00300A27">
        <w:rPr>
          <w:spacing w:val="0"/>
          <w:lang w:val="en-US"/>
        </w:rPr>
        <w:t>of the Criminal Code</w:t>
      </w:r>
      <w:r w:rsidR="00A472ED" w:rsidRPr="00300A27">
        <w:rPr>
          <w:spacing w:val="0"/>
          <w:lang w:val="en-US"/>
        </w:rPr>
        <w:t xml:space="preserve"> </w:t>
      </w:r>
      <w:r w:rsidR="004C16B4" w:rsidRPr="00300A27">
        <w:rPr>
          <w:spacing w:val="0"/>
          <w:lang w:val="en-US"/>
        </w:rPr>
        <w:t xml:space="preserve">to the definition contained in </w:t>
      </w:r>
      <w:r w:rsidR="005B1C65" w:rsidRPr="00300A27">
        <w:rPr>
          <w:spacing w:val="0"/>
          <w:lang w:val="en-US"/>
        </w:rPr>
        <w:t>Article</w:t>
      </w:r>
      <w:r w:rsidR="00A472ED" w:rsidRPr="00300A27">
        <w:rPr>
          <w:spacing w:val="0"/>
          <w:lang w:val="en-US"/>
        </w:rPr>
        <w:t xml:space="preserve"> 2(1)</w:t>
      </w:r>
      <w:r w:rsidR="005B1C65" w:rsidRPr="00300A27">
        <w:rPr>
          <w:spacing w:val="0"/>
          <w:lang w:val="en-US"/>
        </w:rPr>
        <w:t xml:space="preserve"> of the </w:t>
      </w:r>
      <w:r w:rsidR="00F816B4" w:rsidRPr="00300A27">
        <w:rPr>
          <w:spacing w:val="0"/>
          <w:lang w:val="en-US"/>
        </w:rPr>
        <w:t>Inter-American Convention to Prevent and Punish Torture</w:t>
      </w:r>
      <w:r w:rsidR="005B1C65" w:rsidRPr="00300A27">
        <w:rPr>
          <w:spacing w:val="0"/>
          <w:lang w:val="en-US"/>
        </w:rPr>
        <w:t xml:space="preserve"> and Article</w:t>
      </w:r>
      <w:r w:rsidR="00A472ED" w:rsidRPr="00300A27">
        <w:rPr>
          <w:spacing w:val="0"/>
          <w:lang w:val="en-US"/>
        </w:rPr>
        <w:t xml:space="preserve"> 1</w:t>
      </w:r>
      <w:r w:rsidR="005B1C65" w:rsidRPr="00300A27">
        <w:rPr>
          <w:spacing w:val="0"/>
          <w:lang w:val="en-US"/>
        </w:rPr>
        <w:t xml:space="preserve"> of the </w:t>
      </w:r>
      <w:r w:rsidR="003A6C14" w:rsidRPr="00300A27">
        <w:rPr>
          <w:spacing w:val="0"/>
          <w:lang w:val="en-US"/>
        </w:rPr>
        <w:t xml:space="preserve">United Nations </w:t>
      </w:r>
      <w:r w:rsidR="005B1C65" w:rsidRPr="00300A27">
        <w:rPr>
          <w:spacing w:val="0"/>
          <w:lang w:val="en-US"/>
        </w:rPr>
        <w:t>Convention</w:t>
      </w:r>
      <w:r w:rsidR="003A6C14" w:rsidRPr="00300A27">
        <w:rPr>
          <w:spacing w:val="0"/>
          <w:lang w:val="en-US"/>
        </w:rPr>
        <w:t xml:space="preserve"> against Torture. </w:t>
      </w:r>
    </w:p>
    <w:p w14:paraId="68014484" w14:textId="1928B484" w:rsidR="00D64441" w:rsidRPr="00300A27" w:rsidRDefault="00964033" w:rsidP="00B243B6">
      <w:pPr>
        <w:pStyle w:val="PrrafodeSentencia"/>
        <w:numPr>
          <w:ilvl w:val="0"/>
          <w:numId w:val="3"/>
        </w:numPr>
        <w:spacing w:before="120" w:after="120"/>
        <w:ind w:left="0" w:firstLine="0"/>
        <w:rPr>
          <w:spacing w:val="0"/>
          <w:lang w:val="en-US"/>
        </w:rPr>
      </w:pPr>
      <w:r w:rsidRPr="00300A27">
        <w:rPr>
          <w:spacing w:val="0"/>
          <w:lang w:val="en-US"/>
        </w:rPr>
        <w:t xml:space="preserve">With regard to the first and second requests </w:t>
      </w:r>
      <w:r w:rsidR="007071F6" w:rsidRPr="00300A27">
        <w:rPr>
          <w:spacing w:val="0"/>
          <w:lang w:val="en-US"/>
        </w:rPr>
        <w:t xml:space="preserve">of the </w:t>
      </w:r>
      <w:r w:rsidR="00BA3C7F" w:rsidRPr="00300A27">
        <w:rPr>
          <w:spacing w:val="0"/>
          <w:lang w:val="en-US"/>
        </w:rPr>
        <w:t>representatives</w:t>
      </w:r>
      <w:r w:rsidR="00852D2F" w:rsidRPr="00300A27">
        <w:rPr>
          <w:spacing w:val="0"/>
          <w:lang w:val="en-US"/>
        </w:rPr>
        <w:t xml:space="preserve">, </w:t>
      </w:r>
      <w:r w:rsidR="005B1C65" w:rsidRPr="00300A27">
        <w:rPr>
          <w:spacing w:val="0"/>
          <w:lang w:val="en-US"/>
        </w:rPr>
        <w:t>the Court</w:t>
      </w:r>
      <w:r w:rsidR="00852D2F" w:rsidRPr="00300A27">
        <w:rPr>
          <w:spacing w:val="0"/>
          <w:lang w:val="en-US"/>
        </w:rPr>
        <w:t xml:space="preserve"> consider</w:t>
      </w:r>
      <w:r w:rsidRPr="00300A27">
        <w:rPr>
          <w:spacing w:val="0"/>
          <w:lang w:val="en-US"/>
        </w:rPr>
        <w:t xml:space="preserve">s that they have no causal nexus </w:t>
      </w:r>
      <w:r w:rsidR="00300337" w:rsidRPr="00300A27">
        <w:rPr>
          <w:spacing w:val="0"/>
          <w:lang w:val="en-US"/>
        </w:rPr>
        <w:t>with</w:t>
      </w:r>
      <w:r w:rsidRPr="00300A27">
        <w:rPr>
          <w:spacing w:val="0"/>
          <w:lang w:val="en-US"/>
        </w:rPr>
        <w:t xml:space="preserve"> the violations determined in this case and, therefore, does not find it necessary to order them. Regarding the request to amend the legal definition of torture, the Court notes that the legal definition of torture</w:t>
      </w:r>
      <w:r w:rsidR="007F1CCF" w:rsidRPr="00300A27">
        <w:rPr>
          <w:spacing w:val="0"/>
          <w:lang w:val="en-US"/>
        </w:rPr>
        <w:t xml:space="preserve"> now</w:t>
      </w:r>
      <w:r w:rsidRPr="00300A27">
        <w:rPr>
          <w:spacing w:val="0"/>
          <w:lang w:val="en-US"/>
        </w:rPr>
        <w:t xml:space="preserve"> in force was not applied to the facts of this case. The Court recalls that it is not </w:t>
      </w:r>
      <w:r w:rsidR="007F1CCF" w:rsidRPr="00300A27">
        <w:rPr>
          <w:spacing w:val="0"/>
          <w:lang w:val="en-US"/>
        </w:rPr>
        <w:t>its task</w:t>
      </w:r>
      <w:r w:rsidRPr="00300A27">
        <w:rPr>
          <w:spacing w:val="0"/>
          <w:lang w:val="en-US"/>
        </w:rPr>
        <w:t xml:space="preserve"> to make a</w:t>
      </w:r>
      <w:r w:rsidR="00AC4088" w:rsidRPr="00300A27">
        <w:rPr>
          <w:spacing w:val="0"/>
          <w:lang w:val="en-US"/>
        </w:rPr>
        <w:t xml:space="preserve"> theoretical review of norms that were not applied or that had no impact on the violations declared in a specific case. Therefore, the Court considers that it is not appropriate to issue a ruling on this request when ordering reparations in this case.</w:t>
      </w:r>
      <w:r w:rsidR="00D64441" w:rsidRPr="00300A27">
        <w:rPr>
          <w:rStyle w:val="Refdenotaalpie"/>
          <w:spacing w:val="0"/>
          <w:lang w:val="en-US"/>
        </w:rPr>
        <w:footnoteReference w:id="314"/>
      </w:r>
      <w:r w:rsidR="00AC4088" w:rsidRPr="00300A27">
        <w:rPr>
          <w:spacing w:val="0"/>
          <w:lang w:val="en-US"/>
        </w:rPr>
        <w:t xml:space="preserve"> Nevertheless, the Court recalls that when a State is a party to an international treaty such as the American Convention, all its organs, including its judges, are subject to that treaty, and this obliges them to ensure that the effects of the provisions of the Convention are not impaired by the application of norms contrary to its object an</w:t>
      </w:r>
      <w:r w:rsidR="007F1CCF" w:rsidRPr="00300A27">
        <w:rPr>
          <w:spacing w:val="0"/>
          <w:lang w:val="en-US"/>
        </w:rPr>
        <w:t>d</w:t>
      </w:r>
      <w:r w:rsidR="00AC4088" w:rsidRPr="00300A27">
        <w:rPr>
          <w:spacing w:val="0"/>
          <w:lang w:val="en-US"/>
        </w:rPr>
        <w:t xml:space="preserve"> purpose. </w:t>
      </w:r>
      <w:r w:rsidR="007F1CCF" w:rsidRPr="00300A27">
        <w:rPr>
          <w:spacing w:val="0"/>
          <w:lang w:val="en-US"/>
        </w:rPr>
        <w:t>J</w:t>
      </w:r>
      <w:r w:rsidR="00AC4088" w:rsidRPr="00300A27">
        <w:rPr>
          <w:spacing w:val="0"/>
          <w:lang w:val="en-US"/>
        </w:rPr>
        <w:t xml:space="preserve">udges and </w:t>
      </w:r>
      <w:r w:rsidR="007F1CCF" w:rsidRPr="00300A27">
        <w:rPr>
          <w:spacing w:val="0"/>
          <w:lang w:val="en-US"/>
        </w:rPr>
        <w:t>organs</w:t>
      </w:r>
      <w:r w:rsidR="00AC4088" w:rsidRPr="00300A27">
        <w:rPr>
          <w:spacing w:val="0"/>
          <w:lang w:val="en-US"/>
        </w:rPr>
        <w:t xml:space="preserve"> involved in the administration of justice at all levels are obliged to exercise </w:t>
      </w:r>
      <w:r w:rsidR="00AC4088" w:rsidRPr="00300A27">
        <w:rPr>
          <w:i/>
          <w:spacing w:val="0"/>
          <w:lang w:val="en-US"/>
        </w:rPr>
        <w:t xml:space="preserve">ex officio </w:t>
      </w:r>
      <w:r w:rsidR="00AC4088" w:rsidRPr="00300A27">
        <w:rPr>
          <w:iCs/>
          <w:spacing w:val="0"/>
          <w:lang w:val="en-US"/>
        </w:rPr>
        <w:t xml:space="preserve">a “control of conventionality” between domestic laws and </w:t>
      </w:r>
      <w:r w:rsidR="00AC4088" w:rsidRPr="00300A27">
        <w:rPr>
          <w:spacing w:val="0"/>
          <w:lang w:val="en-US"/>
        </w:rPr>
        <w:t>the American Convention, evidently within their respective terms of reference and the corresponding procedural rules. In this task, judges and organs involved in the administration of justice should take into account not only th</w:t>
      </w:r>
      <w:r w:rsidR="007F1CCF" w:rsidRPr="00300A27">
        <w:rPr>
          <w:spacing w:val="0"/>
          <w:lang w:val="en-US"/>
        </w:rPr>
        <w:t>is</w:t>
      </w:r>
      <w:r w:rsidR="00AC4088" w:rsidRPr="00300A27">
        <w:rPr>
          <w:spacing w:val="0"/>
          <w:lang w:val="en-US"/>
        </w:rPr>
        <w:t xml:space="preserve"> treaty, but also its interpretation by the Inter-American Court, ultimate interpreter </w:t>
      </w:r>
      <w:r w:rsidR="005B1C65" w:rsidRPr="00300A27">
        <w:rPr>
          <w:rFonts w:eastAsia="Times New Roman"/>
          <w:spacing w:val="0"/>
          <w:szCs w:val="20"/>
          <w:lang w:val="en-US"/>
        </w:rPr>
        <w:t>of the Ame</w:t>
      </w:r>
      <w:r w:rsidR="007F1CCF" w:rsidRPr="00300A27">
        <w:rPr>
          <w:rFonts w:eastAsia="Times New Roman"/>
          <w:spacing w:val="0"/>
          <w:szCs w:val="20"/>
          <w:lang w:val="en-US"/>
        </w:rPr>
        <w:t>r</w:t>
      </w:r>
      <w:r w:rsidR="005B1C65" w:rsidRPr="00300A27">
        <w:rPr>
          <w:rFonts w:eastAsia="Times New Roman"/>
          <w:spacing w:val="0"/>
          <w:szCs w:val="20"/>
          <w:lang w:val="en-US"/>
        </w:rPr>
        <w:t>ican Convention</w:t>
      </w:r>
      <w:r w:rsidR="00AC4088" w:rsidRPr="00300A27">
        <w:rPr>
          <w:rFonts w:eastAsia="Times New Roman"/>
          <w:spacing w:val="0"/>
          <w:szCs w:val="20"/>
          <w:lang w:val="en-US"/>
        </w:rPr>
        <w:t>.</w:t>
      </w:r>
      <w:r w:rsidR="00DA76AF" w:rsidRPr="00300A27">
        <w:rPr>
          <w:rStyle w:val="Refdenotaalpie"/>
          <w:rFonts w:eastAsia="Times New Roman"/>
          <w:spacing w:val="0"/>
          <w:szCs w:val="20"/>
          <w:lang w:val="en-US"/>
        </w:rPr>
        <w:footnoteReference w:id="315"/>
      </w:r>
      <w:r w:rsidR="00AC4088" w:rsidRPr="00300A27">
        <w:rPr>
          <w:rFonts w:eastAsia="Times New Roman"/>
          <w:spacing w:val="0"/>
          <w:szCs w:val="20"/>
          <w:lang w:val="en-US"/>
        </w:rPr>
        <w:t xml:space="preserve"> Therefore, when applying the new legal definition of torture,</w:t>
      </w:r>
      <w:r w:rsidR="00EC46A5" w:rsidRPr="00300A27">
        <w:rPr>
          <w:rStyle w:val="Refdenotaalpie"/>
          <w:rFonts w:eastAsia="Times New Roman"/>
          <w:spacing w:val="0"/>
          <w:szCs w:val="20"/>
          <w:lang w:val="en-US"/>
        </w:rPr>
        <w:footnoteReference w:id="316"/>
      </w:r>
      <w:r w:rsidR="00AC4088" w:rsidRPr="00300A27">
        <w:rPr>
          <w:rFonts w:eastAsia="Times New Roman"/>
          <w:spacing w:val="0"/>
          <w:szCs w:val="20"/>
          <w:lang w:val="en-US"/>
        </w:rPr>
        <w:t xml:space="preserve"> the domestic authorities are obliged to take into account the interpretation </w:t>
      </w:r>
      <w:r w:rsidR="005B1C65" w:rsidRPr="00300A27">
        <w:rPr>
          <w:rFonts w:eastAsia="Times New Roman"/>
          <w:spacing w:val="0"/>
          <w:szCs w:val="20"/>
          <w:lang w:val="en-US"/>
        </w:rPr>
        <w:t>of the American Convention</w:t>
      </w:r>
      <w:r w:rsidR="00DA76AF" w:rsidRPr="00300A27">
        <w:rPr>
          <w:rFonts w:eastAsia="Times New Roman"/>
          <w:spacing w:val="0"/>
          <w:szCs w:val="20"/>
          <w:lang w:val="en-US"/>
        </w:rPr>
        <w:t xml:space="preserve"> </w:t>
      </w:r>
      <w:r w:rsidR="00AC4088" w:rsidRPr="00300A27">
        <w:rPr>
          <w:rFonts w:eastAsia="Times New Roman"/>
          <w:spacing w:val="0"/>
          <w:szCs w:val="20"/>
          <w:lang w:val="en-US"/>
        </w:rPr>
        <w:t>made by</w:t>
      </w:r>
      <w:r w:rsidR="00DA76AF" w:rsidRPr="00300A27">
        <w:rPr>
          <w:rFonts w:eastAsia="Times New Roman"/>
          <w:spacing w:val="0"/>
          <w:szCs w:val="20"/>
          <w:lang w:val="en-US"/>
        </w:rPr>
        <w:t xml:space="preserve"> </w:t>
      </w:r>
      <w:r w:rsidR="005B1C65" w:rsidRPr="00300A27">
        <w:rPr>
          <w:rFonts w:eastAsia="Times New Roman"/>
          <w:spacing w:val="0"/>
          <w:szCs w:val="20"/>
          <w:lang w:val="en-US"/>
        </w:rPr>
        <w:t>the Inter-American Court</w:t>
      </w:r>
      <w:r w:rsidR="00AC4088" w:rsidRPr="00300A27">
        <w:rPr>
          <w:rFonts w:eastAsia="Times New Roman"/>
          <w:spacing w:val="0"/>
          <w:szCs w:val="20"/>
          <w:lang w:val="en-US"/>
        </w:rPr>
        <w:t xml:space="preserve"> in this and other cases, including the possibility that torture may be committed for discriminatory purposes.</w:t>
      </w:r>
    </w:p>
    <w:p w14:paraId="7C84DC4B" w14:textId="65D99008" w:rsidR="00852D2F" w:rsidRPr="00300A27" w:rsidRDefault="00A75E28" w:rsidP="00B243B6">
      <w:pPr>
        <w:pStyle w:val="PrrafodeSentencia"/>
        <w:numPr>
          <w:ilvl w:val="0"/>
          <w:numId w:val="3"/>
        </w:numPr>
        <w:tabs>
          <w:tab w:val="left" w:pos="0"/>
        </w:tabs>
        <w:spacing w:before="120" w:after="120"/>
        <w:ind w:left="0" w:firstLine="0"/>
        <w:rPr>
          <w:spacing w:val="0"/>
          <w:lang w:val="en-US"/>
        </w:rPr>
      </w:pPr>
      <w:r w:rsidRPr="00300A27">
        <w:rPr>
          <w:spacing w:val="0"/>
          <w:lang w:val="en-US"/>
        </w:rPr>
        <w:t xml:space="preserve">Regarding the other measures requested by </w:t>
      </w:r>
      <w:r w:rsidR="00C2001D" w:rsidRPr="00300A27">
        <w:rPr>
          <w:spacing w:val="0"/>
          <w:lang w:val="en-US"/>
        </w:rPr>
        <w:t>the Commission</w:t>
      </w:r>
      <w:r w:rsidR="005B1C65" w:rsidRPr="00300A27">
        <w:rPr>
          <w:spacing w:val="0"/>
          <w:lang w:val="en-US"/>
        </w:rPr>
        <w:t xml:space="preserve"> and </w:t>
      </w:r>
      <w:r w:rsidR="00BA3C7F" w:rsidRPr="00300A27">
        <w:rPr>
          <w:spacing w:val="0"/>
          <w:lang w:val="en-US"/>
        </w:rPr>
        <w:t>the representatives</w:t>
      </w:r>
      <w:r w:rsidR="00852D2F" w:rsidRPr="00300A27">
        <w:rPr>
          <w:spacing w:val="0"/>
          <w:lang w:val="en-US"/>
        </w:rPr>
        <w:t xml:space="preserve">, </w:t>
      </w:r>
      <w:r w:rsidR="005B1C65" w:rsidRPr="00300A27">
        <w:rPr>
          <w:spacing w:val="0"/>
          <w:lang w:val="en-US"/>
        </w:rPr>
        <w:t>the Court</w:t>
      </w:r>
      <w:r w:rsidR="00852D2F" w:rsidRPr="00300A27">
        <w:rPr>
          <w:spacing w:val="0"/>
          <w:lang w:val="en-US"/>
        </w:rPr>
        <w:t xml:space="preserve"> consider</w:t>
      </w:r>
      <w:r w:rsidRPr="00300A27">
        <w:rPr>
          <w:spacing w:val="0"/>
          <w:lang w:val="en-US"/>
        </w:rPr>
        <w:t>s that the delivery of</w:t>
      </w:r>
      <w:r w:rsidR="00852D2F" w:rsidRPr="00300A27">
        <w:rPr>
          <w:spacing w:val="0"/>
          <w:lang w:val="en-US"/>
        </w:rPr>
        <w:t xml:space="preserve"> </w:t>
      </w:r>
      <w:r w:rsidR="005B46A0" w:rsidRPr="00300A27">
        <w:rPr>
          <w:spacing w:val="0"/>
          <w:lang w:val="en-US"/>
        </w:rPr>
        <w:t>this judgment</w:t>
      </w:r>
      <w:r w:rsidR="005B1C65" w:rsidRPr="00300A27">
        <w:rPr>
          <w:spacing w:val="0"/>
          <w:lang w:val="en-US"/>
        </w:rPr>
        <w:t xml:space="preserve"> and </w:t>
      </w:r>
      <w:r w:rsidRPr="00300A27">
        <w:rPr>
          <w:spacing w:val="0"/>
          <w:lang w:val="en-US"/>
        </w:rPr>
        <w:t>the reparations ordered in this chapter are sufficient and appropriate to redress the violations suffered by t</w:t>
      </w:r>
      <w:r w:rsidR="007F1CCF" w:rsidRPr="00300A27">
        <w:rPr>
          <w:spacing w:val="0"/>
          <w:lang w:val="en-US"/>
        </w:rPr>
        <w:t>h</w:t>
      </w:r>
      <w:r w:rsidRPr="00300A27">
        <w:rPr>
          <w:spacing w:val="0"/>
          <w:lang w:val="en-US"/>
        </w:rPr>
        <w:t xml:space="preserve">e victim. Therefore, it does not find it necessary to order those additional measures, without prejudice to the State deciding to adopt or grant them in </w:t>
      </w:r>
      <w:r w:rsidR="00D7330B" w:rsidRPr="00300A27">
        <w:rPr>
          <w:spacing w:val="0"/>
          <w:szCs w:val="20"/>
          <w:lang w:val="en-US"/>
        </w:rPr>
        <w:t>the domestic sphere</w:t>
      </w:r>
      <w:r w:rsidR="00852D2F" w:rsidRPr="00300A27">
        <w:rPr>
          <w:spacing w:val="0"/>
          <w:szCs w:val="20"/>
          <w:lang w:val="en-US"/>
        </w:rPr>
        <w:t>.</w:t>
      </w:r>
      <w:r w:rsidR="00852D2F" w:rsidRPr="00300A27">
        <w:rPr>
          <w:spacing w:val="0"/>
          <w:lang w:val="en-US"/>
        </w:rPr>
        <w:t xml:space="preserve"> </w:t>
      </w:r>
    </w:p>
    <w:p w14:paraId="10042422" w14:textId="53F3FD13" w:rsidR="00852D2F" w:rsidRPr="00300A27" w:rsidRDefault="007071F6" w:rsidP="00B243B6">
      <w:pPr>
        <w:pStyle w:val="Ttulo2"/>
        <w:numPr>
          <w:ilvl w:val="0"/>
          <w:numId w:val="27"/>
        </w:numPr>
        <w:ind w:left="1134" w:hanging="567"/>
        <w:rPr>
          <w:lang w:val="en-US"/>
        </w:rPr>
      </w:pPr>
      <w:bookmarkStart w:id="231" w:name="_Toc514063483"/>
      <w:bookmarkStart w:id="232" w:name="_Toc502891632"/>
      <w:bookmarkStart w:id="233" w:name="_Toc502885972"/>
      <w:bookmarkStart w:id="234" w:name="_Toc499146742"/>
      <w:bookmarkStart w:id="235" w:name="_Toc492646053"/>
      <w:r w:rsidRPr="00300A27">
        <w:rPr>
          <w:lang w:val="en-US"/>
        </w:rPr>
        <w:t>Costs and expenses</w:t>
      </w:r>
    </w:p>
    <w:p w14:paraId="09EADBA3" w14:textId="62A0BE49" w:rsidR="00852D2F" w:rsidRPr="00300A27" w:rsidRDefault="00852D2F" w:rsidP="00B243B6">
      <w:pPr>
        <w:pStyle w:val="PrrafodeSentencia"/>
        <w:numPr>
          <w:ilvl w:val="0"/>
          <w:numId w:val="3"/>
        </w:numPr>
        <w:spacing w:before="120" w:after="120"/>
        <w:ind w:left="0" w:firstLine="0"/>
        <w:rPr>
          <w:spacing w:val="0"/>
          <w:lang w:val="en-US"/>
        </w:rPr>
      </w:pPr>
      <w:r w:rsidRPr="00300A27">
        <w:rPr>
          <w:spacing w:val="0"/>
          <w:lang w:val="en-US"/>
        </w:rPr>
        <w:t xml:space="preserve">Promsex </w:t>
      </w:r>
      <w:r w:rsidR="00630149" w:rsidRPr="00300A27">
        <w:rPr>
          <w:spacing w:val="0"/>
          <w:lang w:val="en-US"/>
        </w:rPr>
        <w:t xml:space="preserve">indicated that it had assumed the defense of Azul since 2008, incurring expenses relating to hiring psychologists and lawyers, travel between </w:t>
      </w:r>
      <w:r w:rsidRPr="00300A27">
        <w:rPr>
          <w:spacing w:val="0"/>
          <w:lang w:val="en-US"/>
        </w:rPr>
        <w:t>Casa Grande, Trujillo</w:t>
      </w:r>
      <w:r w:rsidR="005B1C65" w:rsidRPr="00300A27">
        <w:rPr>
          <w:spacing w:val="0"/>
          <w:lang w:val="en-US"/>
        </w:rPr>
        <w:t xml:space="preserve"> and </w:t>
      </w:r>
      <w:r w:rsidRPr="00300A27">
        <w:rPr>
          <w:spacing w:val="0"/>
          <w:lang w:val="en-US"/>
        </w:rPr>
        <w:t xml:space="preserve">Lima, </w:t>
      </w:r>
      <w:r w:rsidR="00630149" w:rsidRPr="00300A27">
        <w:rPr>
          <w:spacing w:val="0"/>
          <w:lang w:val="en-US"/>
        </w:rPr>
        <w:t xml:space="preserve">and administrative procedures, including for the national and international litigation, that amounted to </w:t>
      </w:r>
      <w:r w:rsidR="00A14D98" w:rsidRPr="00300A27">
        <w:rPr>
          <w:spacing w:val="0"/>
          <w:lang w:val="en-US"/>
        </w:rPr>
        <w:t>344.</w:t>
      </w:r>
      <w:r w:rsidRPr="00300A27">
        <w:rPr>
          <w:spacing w:val="0"/>
          <w:lang w:val="en-US"/>
        </w:rPr>
        <w:t>637</w:t>
      </w:r>
      <w:r w:rsidR="00A14D98" w:rsidRPr="00300A27">
        <w:rPr>
          <w:spacing w:val="0"/>
          <w:lang w:val="en-US"/>
        </w:rPr>
        <w:t>,</w:t>
      </w:r>
      <w:r w:rsidRPr="00300A27">
        <w:rPr>
          <w:spacing w:val="0"/>
          <w:lang w:val="en-US"/>
        </w:rPr>
        <w:t xml:space="preserve">40 </w:t>
      </w:r>
      <w:r w:rsidR="00A14D98" w:rsidRPr="00300A27">
        <w:rPr>
          <w:spacing w:val="0"/>
          <w:lang w:val="en-US"/>
        </w:rPr>
        <w:t>soles</w:t>
      </w:r>
      <w:r w:rsidR="005B1C65" w:rsidRPr="00300A27">
        <w:rPr>
          <w:spacing w:val="0"/>
          <w:lang w:val="en-US"/>
        </w:rPr>
        <w:t xml:space="preserve"> an</w:t>
      </w:r>
      <w:r w:rsidR="00630149" w:rsidRPr="00300A27">
        <w:rPr>
          <w:spacing w:val="0"/>
          <w:lang w:val="en-US"/>
        </w:rPr>
        <w:t>d US$</w:t>
      </w:r>
      <w:r w:rsidR="00A14D98" w:rsidRPr="00300A27">
        <w:rPr>
          <w:spacing w:val="0"/>
          <w:lang w:val="en-US"/>
        </w:rPr>
        <w:t>17</w:t>
      </w:r>
      <w:r w:rsidR="00630149" w:rsidRPr="00300A27">
        <w:rPr>
          <w:spacing w:val="0"/>
          <w:lang w:val="en-US"/>
        </w:rPr>
        <w:t>,</w:t>
      </w:r>
      <w:r w:rsidR="00A14D98" w:rsidRPr="00300A27">
        <w:rPr>
          <w:spacing w:val="0"/>
          <w:lang w:val="en-US"/>
        </w:rPr>
        <w:t>701</w:t>
      </w:r>
      <w:r w:rsidR="00630149" w:rsidRPr="00300A27">
        <w:rPr>
          <w:spacing w:val="0"/>
          <w:lang w:val="en-US"/>
        </w:rPr>
        <w:t>.</w:t>
      </w:r>
      <w:r w:rsidRPr="00300A27">
        <w:rPr>
          <w:spacing w:val="0"/>
          <w:lang w:val="en-US"/>
        </w:rPr>
        <w:t>69</w:t>
      </w:r>
      <w:r w:rsidR="00A14D98" w:rsidRPr="00300A27">
        <w:rPr>
          <w:spacing w:val="0"/>
          <w:lang w:val="en-US"/>
        </w:rPr>
        <w:t xml:space="preserve">. </w:t>
      </w:r>
      <w:r w:rsidR="00630149" w:rsidRPr="00300A27">
        <w:rPr>
          <w:spacing w:val="0"/>
          <w:lang w:val="en-US"/>
        </w:rPr>
        <w:t xml:space="preserve">The Human Rights Coordinator </w:t>
      </w:r>
      <w:r w:rsidRPr="00300A27">
        <w:rPr>
          <w:spacing w:val="0"/>
          <w:lang w:val="en-US"/>
        </w:rPr>
        <w:t xml:space="preserve">(CNDDHH) </w:t>
      </w:r>
      <w:r w:rsidR="00630149" w:rsidRPr="00300A27">
        <w:rPr>
          <w:spacing w:val="0"/>
          <w:lang w:val="en-US"/>
        </w:rPr>
        <w:t xml:space="preserve">asked the Court to establish, in equity, the sum of </w:t>
      </w:r>
      <w:r w:rsidRPr="00300A27">
        <w:rPr>
          <w:spacing w:val="0"/>
          <w:lang w:val="en-US"/>
        </w:rPr>
        <w:t>US</w:t>
      </w:r>
      <w:r w:rsidR="00C76C8A" w:rsidRPr="00300A27">
        <w:rPr>
          <w:spacing w:val="0"/>
          <w:lang w:val="en-US"/>
        </w:rPr>
        <w:t>$30</w:t>
      </w:r>
      <w:r w:rsidR="00630149" w:rsidRPr="00300A27">
        <w:rPr>
          <w:spacing w:val="0"/>
          <w:lang w:val="en-US"/>
        </w:rPr>
        <w:t>,</w:t>
      </w:r>
      <w:r w:rsidRPr="00300A27">
        <w:rPr>
          <w:spacing w:val="0"/>
          <w:lang w:val="en-US"/>
        </w:rPr>
        <w:t>000</w:t>
      </w:r>
      <w:r w:rsidR="00630149" w:rsidRPr="00300A27">
        <w:rPr>
          <w:spacing w:val="0"/>
          <w:lang w:val="en-US"/>
        </w:rPr>
        <w:t>.00.</w:t>
      </w:r>
      <w:r w:rsidRPr="00300A27">
        <w:rPr>
          <w:spacing w:val="0"/>
          <w:lang w:val="en-US"/>
        </w:rPr>
        <w:t xml:space="preserve"> REDRESS </w:t>
      </w:r>
      <w:r w:rsidR="00630149" w:rsidRPr="00300A27">
        <w:rPr>
          <w:spacing w:val="0"/>
          <w:lang w:val="en-US"/>
        </w:rPr>
        <w:t>asked</w:t>
      </w:r>
      <w:r w:rsidRPr="00300A27">
        <w:rPr>
          <w:spacing w:val="0"/>
          <w:lang w:val="en-US"/>
        </w:rPr>
        <w:t xml:space="preserve"> </w:t>
      </w:r>
      <w:r w:rsidR="005B1C65" w:rsidRPr="00300A27">
        <w:rPr>
          <w:spacing w:val="0"/>
          <w:lang w:val="en-US"/>
        </w:rPr>
        <w:t>the Inter-American Court</w:t>
      </w:r>
      <w:r w:rsidRPr="00300A27">
        <w:rPr>
          <w:spacing w:val="0"/>
          <w:lang w:val="en-US"/>
        </w:rPr>
        <w:t xml:space="preserve"> </w:t>
      </w:r>
      <w:r w:rsidR="00630149" w:rsidRPr="00300A27">
        <w:rPr>
          <w:spacing w:val="0"/>
          <w:lang w:val="en-US"/>
        </w:rPr>
        <w:t xml:space="preserve">to establish, in equity, the sum of </w:t>
      </w:r>
      <w:r w:rsidRPr="00300A27">
        <w:rPr>
          <w:spacing w:val="0"/>
          <w:lang w:val="en-US"/>
        </w:rPr>
        <w:t>US$6</w:t>
      </w:r>
      <w:r w:rsidR="00630149" w:rsidRPr="00300A27">
        <w:rPr>
          <w:spacing w:val="0"/>
          <w:lang w:val="en-US"/>
        </w:rPr>
        <w:t>,</w:t>
      </w:r>
      <w:r w:rsidRPr="00300A27">
        <w:rPr>
          <w:spacing w:val="0"/>
          <w:lang w:val="en-US"/>
        </w:rPr>
        <w:t>046</w:t>
      </w:r>
      <w:r w:rsidR="00630149" w:rsidRPr="00300A27">
        <w:rPr>
          <w:spacing w:val="0"/>
          <w:lang w:val="en-US"/>
        </w:rPr>
        <w:t>.</w:t>
      </w:r>
      <w:r w:rsidRPr="00300A27">
        <w:rPr>
          <w:spacing w:val="0"/>
          <w:lang w:val="en-US"/>
        </w:rPr>
        <w:t xml:space="preserve">45 </w:t>
      </w:r>
      <w:r w:rsidR="00630149" w:rsidRPr="00300A27">
        <w:rPr>
          <w:spacing w:val="0"/>
          <w:lang w:val="en-US"/>
        </w:rPr>
        <w:t>for</w:t>
      </w:r>
      <w:r w:rsidRPr="00300A27">
        <w:rPr>
          <w:spacing w:val="0"/>
          <w:lang w:val="en-US"/>
        </w:rPr>
        <w:t xml:space="preserve"> </w:t>
      </w:r>
      <w:r w:rsidR="007071F6" w:rsidRPr="00300A27">
        <w:rPr>
          <w:spacing w:val="0"/>
          <w:lang w:val="en-US"/>
        </w:rPr>
        <w:t>costs and expenses</w:t>
      </w:r>
      <w:r w:rsidRPr="00300A27">
        <w:rPr>
          <w:spacing w:val="0"/>
          <w:lang w:val="en-US"/>
        </w:rPr>
        <w:t>.</w:t>
      </w:r>
    </w:p>
    <w:p w14:paraId="11F8A0EF" w14:textId="25F9D836" w:rsidR="00852D2F" w:rsidRPr="00300A27" w:rsidRDefault="00630149" w:rsidP="00B243B6">
      <w:pPr>
        <w:pStyle w:val="PrrafodeSentencia"/>
        <w:numPr>
          <w:ilvl w:val="0"/>
          <w:numId w:val="3"/>
        </w:numPr>
        <w:spacing w:before="120" w:after="120"/>
        <w:ind w:left="0" w:firstLine="0"/>
        <w:rPr>
          <w:spacing w:val="0"/>
          <w:lang w:val="en-US"/>
        </w:rPr>
      </w:pPr>
      <w:r w:rsidRPr="00300A27">
        <w:rPr>
          <w:spacing w:val="0"/>
          <w:lang w:val="en-US"/>
        </w:rPr>
        <w:t xml:space="preserve">Following the presentation of the </w:t>
      </w:r>
      <w:r w:rsidR="007071F6" w:rsidRPr="00300A27">
        <w:rPr>
          <w:spacing w:val="0"/>
          <w:lang w:val="en-US"/>
        </w:rPr>
        <w:t>pleadings and motions brief</w:t>
      </w:r>
      <w:r w:rsidR="00852D2F" w:rsidRPr="00300A27">
        <w:rPr>
          <w:spacing w:val="0"/>
          <w:lang w:val="en-US"/>
        </w:rPr>
        <w:t xml:space="preserve">, Promsex </w:t>
      </w:r>
      <w:r w:rsidRPr="00300A27">
        <w:rPr>
          <w:spacing w:val="0"/>
          <w:lang w:val="en-US"/>
        </w:rPr>
        <w:t xml:space="preserve">advised the Court that it had incurred expenses totaling </w:t>
      </w:r>
      <w:r w:rsidR="00C76C8A" w:rsidRPr="00300A27">
        <w:rPr>
          <w:spacing w:val="0"/>
          <w:lang w:val="en-US"/>
        </w:rPr>
        <w:t>35</w:t>
      </w:r>
      <w:r w:rsidRPr="00300A27">
        <w:rPr>
          <w:spacing w:val="0"/>
          <w:lang w:val="en-US"/>
        </w:rPr>
        <w:t>,</w:t>
      </w:r>
      <w:r w:rsidR="00C76C8A" w:rsidRPr="00300A27">
        <w:rPr>
          <w:spacing w:val="0"/>
          <w:lang w:val="en-US"/>
        </w:rPr>
        <w:t>982</w:t>
      </w:r>
      <w:r w:rsidRPr="00300A27">
        <w:rPr>
          <w:spacing w:val="0"/>
          <w:lang w:val="en-US"/>
        </w:rPr>
        <w:t>.</w:t>
      </w:r>
      <w:r w:rsidR="00852D2F" w:rsidRPr="00300A27">
        <w:rPr>
          <w:spacing w:val="0"/>
          <w:lang w:val="en-US"/>
        </w:rPr>
        <w:t>50</w:t>
      </w:r>
      <w:r w:rsidR="00C76C8A" w:rsidRPr="00300A27">
        <w:rPr>
          <w:spacing w:val="0"/>
          <w:lang w:val="en-US"/>
        </w:rPr>
        <w:t xml:space="preserve"> soles</w:t>
      </w:r>
      <w:r w:rsidR="005B1C65" w:rsidRPr="00300A27">
        <w:rPr>
          <w:spacing w:val="0"/>
          <w:lang w:val="en-US"/>
        </w:rPr>
        <w:t xml:space="preserve"> and </w:t>
      </w:r>
      <w:r w:rsidR="00852D2F" w:rsidRPr="00300A27">
        <w:rPr>
          <w:spacing w:val="0"/>
          <w:lang w:val="en-US"/>
        </w:rPr>
        <w:t>US</w:t>
      </w:r>
      <w:r w:rsidR="00C76C8A" w:rsidRPr="00300A27">
        <w:rPr>
          <w:spacing w:val="0"/>
          <w:lang w:val="en-US"/>
        </w:rPr>
        <w:t>$</w:t>
      </w:r>
      <w:r w:rsidR="00852D2F" w:rsidRPr="00300A27">
        <w:rPr>
          <w:spacing w:val="0"/>
          <w:lang w:val="en-US"/>
        </w:rPr>
        <w:t>1</w:t>
      </w:r>
      <w:r w:rsidRPr="00300A27">
        <w:rPr>
          <w:spacing w:val="0"/>
          <w:lang w:val="en-US"/>
        </w:rPr>
        <w:t>,</w:t>
      </w:r>
      <w:r w:rsidR="00C76C8A" w:rsidRPr="00300A27">
        <w:rPr>
          <w:spacing w:val="0"/>
          <w:lang w:val="en-US"/>
        </w:rPr>
        <w:t>428</w:t>
      </w:r>
      <w:r w:rsidRPr="00300A27">
        <w:rPr>
          <w:spacing w:val="0"/>
          <w:lang w:val="en-US"/>
        </w:rPr>
        <w:t>.</w:t>
      </w:r>
      <w:r w:rsidR="00852D2F" w:rsidRPr="00300A27">
        <w:rPr>
          <w:spacing w:val="0"/>
          <w:lang w:val="en-US"/>
        </w:rPr>
        <w:t xml:space="preserve">96 </w:t>
      </w:r>
      <w:r w:rsidRPr="00300A27">
        <w:rPr>
          <w:spacing w:val="0"/>
          <w:lang w:val="en-US"/>
        </w:rPr>
        <w:t xml:space="preserve">for legal and psycho-social assistance and the expenses assumed during the </w:t>
      </w:r>
      <w:r w:rsidR="007071F6" w:rsidRPr="00300A27">
        <w:rPr>
          <w:spacing w:val="0"/>
          <w:lang w:val="en-US"/>
        </w:rPr>
        <w:t>public hearing</w:t>
      </w:r>
      <w:r w:rsidR="00852D2F" w:rsidRPr="00300A27">
        <w:rPr>
          <w:spacing w:val="0"/>
          <w:lang w:val="en-US"/>
        </w:rPr>
        <w:t xml:space="preserve"> </w:t>
      </w:r>
      <w:r w:rsidRPr="00300A27">
        <w:rPr>
          <w:spacing w:val="0"/>
          <w:lang w:val="en-US"/>
        </w:rPr>
        <w:t>in this case</w:t>
      </w:r>
      <w:r w:rsidR="00852D2F" w:rsidRPr="00300A27">
        <w:rPr>
          <w:spacing w:val="0"/>
          <w:lang w:val="en-US"/>
        </w:rPr>
        <w:t xml:space="preserve">. </w:t>
      </w:r>
      <w:r w:rsidRPr="00300A27">
        <w:rPr>
          <w:spacing w:val="0"/>
          <w:lang w:val="en-US"/>
        </w:rPr>
        <w:t>The</w:t>
      </w:r>
      <w:r w:rsidR="00852D2F" w:rsidRPr="00300A27">
        <w:rPr>
          <w:spacing w:val="0"/>
          <w:lang w:val="en-US"/>
        </w:rPr>
        <w:t xml:space="preserve"> </w:t>
      </w:r>
      <w:r w:rsidR="007071F6" w:rsidRPr="00300A27">
        <w:rPr>
          <w:spacing w:val="0"/>
          <w:lang w:val="en-US"/>
        </w:rPr>
        <w:t>costs and expenses</w:t>
      </w:r>
      <w:r w:rsidR="00852D2F" w:rsidRPr="00300A27">
        <w:rPr>
          <w:spacing w:val="0"/>
          <w:lang w:val="en-US"/>
        </w:rPr>
        <w:t xml:space="preserve"> </w:t>
      </w:r>
      <w:r w:rsidRPr="00300A27">
        <w:rPr>
          <w:spacing w:val="0"/>
          <w:lang w:val="en-US"/>
        </w:rPr>
        <w:t>incurred by</w:t>
      </w:r>
      <w:r w:rsidR="00852D2F" w:rsidRPr="00300A27">
        <w:rPr>
          <w:spacing w:val="0"/>
          <w:lang w:val="en-US"/>
        </w:rPr>
        <w:t xml:space="preserve"> CNDDH inclu</w:t>
      </w:r>
      <w:r w:rsidRPr="00300A27">
        <w:rPr>
          <w:spacing w:val="0"/>
          <w:lang w:val="en-US"/>
        </w:rPr>
        <w:t xml:space="preserve">de support to ensure adequate legal assistance, as well as the expenses assumed during the </w:t>
      </w:r>
      <w:r w:rsidR="007071F6" w:rsidRPr="00300A27">
        <w:rPr>
          <w:spacing w:val="0"/>
          <w:lang w:val="en-US"/>
        </w:rPr>
        <w:t>public hearing</w:t>
      </w:r>
      <w:r w:rsidR="00852D2F" w:rsidRPr="00300A27">
        <w:rPr>
          <w:spacing w:val="0"/>
          <w:lang w:val="en-US"/>
        </w:rPr>
        <w:t>,</w:t>
      </w:r>
      <w:r w:rsidR="00C76C8A" w:rsidRPr="00300A27">
        <w:rPr>
          <w:spacing w:val="0"/>
          <w:lang w:val="en-US"/>
        </w:rPr>
        <w:t xml:space="preserve"> </w:t>
      </w:r>
      <w:r w:rsidRPr="00300A27">
        <w:rPr>
          <w:spacing w:val="0"/>
          <w:lang w:val="en-US"/>
        </w:rPr>
        <w:t xml:space="preserve">which amount to </w:t>
      </w:r>
      <w:r w:rsidR="00C76C8A" w:rsidRPr="00300A27">
        <w:rPr>
          <w:spacing w:val="0"/>
          <w:lang w:val="en-US"/>
        </w:rPr>
        <w:t>12</w:t>
      </w:r>
      <w:r w:rsidRPr="00300A27">
        <w:rPr>
          <w:spacing w:val="0"/>
          <w:lang w:val="en-US"/>
        </w:rPr>
        <w:t>,</w:t>
      </w:r>
      <w:r w:rsidR="00C76C8A" w:rsidRPr="00300A27">
        <w:rPr>
          <w:spacing w:val="0"/>
          <w:lang w:val="en-US"/>
        </w:rPr>
        <w:t>390</w:t>
      </w:r>
      <w:r w:rsidRPr="00300A27">
        <w:rPr>
          <w:spacing w:val="0"/>
          <w:lang w:val="en-US"/>
        </w:rPr>
        <w:t>.</w:t>
      </w:r>
      <w:r w:rsidR="00852D2F" w:rsidRPr="00300A27">
        <w:rPr>
          <w:spacing w:val="0"/>
          <w:lang w:val="en-US"/>
        </w:rPr>
        <w:t>65</w:t>
      </w:r>
      <w:r w:rsidR="00C76C8A" w:rsidRPr="00300A27">
        <w:rPr>
          <w:spacing w:val="0"/>
          <w:lang w:val="en-US"/>
        </w:rPr>
        <w:t xml:space="preserve"> soles</w:t>
      </w:r>
      <w:r w:rsidR="00852D2F" w:rsidRPr="00300A27">
        <w:rPr>
          <w:spacing w:val="0"/>
          <w:lang w:val="en-US"/>
        </w:rPr>
        <w:t xml:space="preserve">. </w:t>
      </w:r>
      <w:r w:rsidRPr="00300A27">
        <w:rPr>
          <w:spacing w:val="0"/>
          <w:lang w:val="en-US"/>
        </w:rPr>
        <w:t xml:space="preserve">The costs and expenses incurred by </w:t>
      </w:r>
      <w:r w:rsidR="00852D2F" w:rsidRPr="00300A27">
        <w:rPr>
          <w:spacing w:val="0"/>
          <w:lang w:val="en-US"/>
        </w:rPr>
        <w:t>REDRESS inclu</w:t>
      </w:r>
      <w:r w:rsidRPr="00300A27">
        <w:rPr>
          <w:spacing w:val="0"/>
          <w:lang w:val="en-US"/>
        </w:rPr>
        <w:t xml:space="preserve">de support for adequate assistance as well as expenses assumed during the </w:t>
      </w:r>
      <w:r w:rsidR="007071F6" w:rsidRPr="00300A27">
        <w:rPr>
          <w:spacing w:val="0"/>
          <w:lang w:val="en-US"/>
        </w:rPr>
        <w:t>public hearing</w:t>
      </w:r>
      <w:r w:rsidR="00852D2F" w:rsidRPr="00300A27">
        <w:rPr>
          <w:spacing w:val="0"/>
          <w:lang w:val="en-US"/>
        </w:rPr>
        <w:t xml:space="preserve">, </w:t>
      </w:r>
      <w:r w:rsidRPr="00300A27">
        <w:rPr>
          <w:spacing w:val="0"/>
          <w:lang w:val="en-US"/>
        </w:rPr>
        <w:t>amounting to</w:t>
      </w:r>
      <w:r w:rsidR="00852D2F" w:rsidRPr="00300A27">
        <w:rPr>
          <w:spacing w:val="0"/>
          <w:lang w:val="en-US"/>
        </w:rPr>
        <w:t xml:space="preserve"> US$2</w:t>
      </w:r>
      <w:r w:rsidRPr="00300A27">
        <w:rPr>
          <w:spacing w:val="0"/>
          <w:lang w:val="en-US"/>
        </w:rPr>
        <w:t>,</w:t>
      </w:r>
      <w:r w:rsidR="00852D2F" w:rsidRPr="00300A27">
        <w:rPr>
          <w:spacing w:val="0"/>
          <w:lang w:val="en-US"/>
        </w:rPr>
        <w:t>749</w:t>
      </w:r>
      <w:r w:rsidRPr="00300A27">
        <w:rPr>
          <w:spacing w:val="0"/>
          <w:lang w:val="en-US"/>
        </w:rPr>
        <w:t>.</w:t>
      </w:r>
      <w:r w:rsidR="00852D2F" w:rsidRPr="00300A27">
        <w:rPr>
          <w:spacing w:val="0"/>
          <w:lang w:val="en-US"/>
        </w:rPr>
        <w:t xml:space="preserve">39. </w:t>
      </w:r>
    </w:p>
    <w:p w14:paraId="0A42A474" w14:textId="43658C45" w:rsidR="00852D2F" w:rsidRPr="00300A27" w:rsidRDefault="00630149" w:rsidP="00B243B6">
      <w:pPr>
        <w:pStyle w:val="PrrafodeSentencia"/>
        <w:numPr>
          <w:ilvl w:val="0"/>
          <w:numId w:val="3"/>
        </w:numPr>
        <w:spacing w:before="120" w:after="120"/>
        <w:ind w:left="0" w:firstLine="0"/>
        <w:rPr>
          <w:spacing w:val="0"/>
          <w:lang w:val="en-US"/>
        </w:rPr>
      </w:pPr>
      <w:r w:rsidRPr="00300A27">
        <w:rPr>
          <w:spacing w:val="0"/>
          <w:lang w:val="en-US"/>
        </w:rPr>
        <w:t>In summary</w:t>
      </w:r>
      <w:r w:rsidR="00C76C8A" w:rsidRPr="00300A27">
        <w:rPr>
          <w:spacing w:val="0"/>
          <w:lang w:val="en-US"/>
        </w:rPr>
        <w:t xml:space="preserve">, Promsex </w:t>
      </w:r>
      <w:r w:rsidRPr="00300A27">
        <w:rPr>
          <w:spacing w:val="0"/>
          <w:lang w:val="en-US"/>
        </w:rPr>
        <w:t>requested payment of</w:t>
      </w:r>
      <w:r w:rsidR="00C76C8A" w:rsidRPr="00300A27">
        <w:rPr>
          <w:spacing w:val="0"/>
          <w:lang w:val="en-US"/>
        </w:rPr>
        <w:t xml:space="preserve"> </w:t>
      </w:r>
      <w:r w:rsidR="00852D2F" w:rsidRPr="00300A27">
        <w:rPr>
          <w:spacing w:val="0"/>
          <w:lang w:val="en-US"/>
        </w:rPr>
        <w:t>380</w:t>
      </w:r>
      <w:r w:rsidRPr="00300A27">
        <w:rPr>
          <w:spacing w:val="0"/>
          <w:lang w:val="en-US"/>
        </w:rPr>
        <w:t>,</w:t>
      </w:r>
      <w:r w:rsidR="00852D2F" w:rsidRPr="00300A27">
        <w:rPr>
          <w:spacing w:val="0"/>
          <w:lang w:val="en-US"/>
        </w:rPr>
        <w:t>619</w:t>
      </w:r>
      <w:r w:rsidRPr="00300A27">
        <w:rPr>
          <w:spacing w:val="0"/>
          <w:lang w:val="en-US"/>
        </w:rPr>
        <w:t>.</w:t>
      </w:r>
      <w:r w:rsidR="00852D2F" w:rsidRPr="00300A27">
        <w:rPr>
          <w:spacing w:val="0"/>
          <w:lang w:val="en-US"/>
        </w:rPr>
        <w:t xml:space="preserve">90 </w:t>
      </w:r>
      <w:r w:rsidR="00C76C8A" w:rsidRPr="00300A27">
        <w:rPr>
          <w:spacing w:val="0"/>
          <w:lang w:val="en-US"/>
        </w:rPr>
        <w:t>soles</w:t>
      </w:r>
      <w:r w:rsidR="005B1C65" w:rsidRPr="00300A27">
        <w:rPr>
          <w:spacing w:val="0"/>
          <w:lang w:val="en-US"/>
        </w:rPr>
        <w:t xml:space="preserve"> and </w:t>
      </w:r>
      <w:r w:rsidR="00852D2F" w:rsidRPr="00300A27">
        <w:rPr>
          <w:spacing w:val="0"/>
          <w:lang w:val="en-US"/>
        </w:rPr>
        <w:t>US$19</w:t>
      </w:r>
      <w:r w:rsidRPr="00300A27">
        <w:rPr>
          <w:spacing w:val="0"/>
          <w:lang w:val="en-US"/>
        </w:rPr>
        <w:t>,</w:t>
      </w:r>
      <w:r w:rsidR="00852D2F" w:rsidRPr="00300A27">
        <w:rPr>
          <w:spacing w:val="0"/>
          <w:lang w:val="en-US"/>
        </w:rPr>
        <w:t>130</w:t>
      </w:r>
      <w:r w:rsidRPr="00300A27">
        <w:rPr>
          <w:spacing w:val="0"/>
          <w:lang w:val="en-US"/>
        </w:rPr>
        <w:t>.</w:t>
      </w:r>
      <w:r w:rsidR="00852D2F" w:rsidRPr="00300A27">
        <w:rPr>
          <w:spacing w:val="0"/>
          <w:lang w:val="en-US"/>
        </w:rPr>
        <w:t xml:space="preserve">65, </w:t>
      </w:r>
      <w:r w:rsidRPr="00300A27">
        <w:rPr>
          <w:spacing w:val="0"/>
          <w:lang w:val="en-US"/>
        </w:rPr>
        <w:t>the</w:t>
      </w:r>
      <w:r w:rsidR="00852D2F" w:rsidRPr="00300A27">
        <w:rPr>
          <w:spacing w:val="0"/>
          <w:lang w:val="en-US"/>
        </w:rPr>
        <w:t xml:space="preserve"> CNDDHH </w:t>
      </w:r>
      <w:r w:rsidRPr="00300A27">
        <w:rPr>
          <w:spacing w:val="0"/>
          <w:lang w:val="en-US"/>
        </w:rPr>
        <w:t xml:space="preserve">requested payment of </w:t>
      </w:r>
      <w:r w:rsidR="00852D2F" w:rsidRPr="00300A27">
        <w:rPr>
          <w:spacing w:val="0"/>
          <w:lang w:val="en-US"/>
        </w:rPr>
        <w:t>US</w:t>
      </w:r>
      <w:r w:rsidR="00C76C8A" w:rsidRPr="00300A27">
        <w:rPr>
          <w:spacing w:val="0"/>
          <w:lang w:val="en-US"/>
        </w:rPr>
        <w:t>$30</w:t>
      </w:r>
      <w:r w:rsidRPr="00300A27">
        <w:rPr>
          <w:spacing w:val="0"/>
          <w:lang w:val="en-US"/>
        </w:rPr>
        <w:t>,</w:t>
      </w:r>
      <w:r w:rsidR="00C76C8A" w:rsidRPr="00300A27">
        <w:rPr>
          <w:spacing w:val="0"/>
          <w:lang w:val="en-US"/>
        </w:rPr>
        <w:t>000</w:t>
      </w:r>
      <w:r w:rsidR="005B1C65" w:rsidRPr="00300A27">
        <w:rPr>
          <w:spacing w:val="0"/>
          <w:lang w:val="en-US"/>
        </w:rPr>
        <w:t xml:space="preserve"> and </w:t>
      </w:r>
      <w:r w:rsidR="00C76C8A" w:rsidRPr="00300A27">
        <w:rPr>
          <w:spacing w:val="0"/>
          <w:lang w:val="en-US"/>
        </w:rPr>
        <w:t>12</w:t>
      </w:r>
      <w:r w:rsidRPr="00300A27">
        <w:rPr>
          <w:spacing w:val="0"/>
          <w:lang w:val="en-US"/>
        </w:rPr>
        <w:t>,</w:t>
      </w:r>
      <w:r w:rsidR="00C76C8A" w:rsidRPr="00300A27">
        <w:rPr>
          <w:spacing w:val="0"/>
          <w:lang w:val="en-US"/>
        </w:rPr>
        <w:t>390</w:t>
      </w:r>
      <w:r w:rsidRPr="00300A27">
        <w:rPr>
          <w:spacing w:val="0"/>
          <w:lang w:val="en-US"/>
        </w:rPr>
        <w:t>.</w:t>
      </w:r>
      <w:r w:rsidR="00852D2F" w:rsidRPr="00300A27">
        <w:rPr>
          <w:spacing w:val="0"/>
          <w:lang w:val="en-US"/>
        </w:rPr>
        <w:t>65</w:t>
      </w:r>
      <w:r w:rsidR="00C76C8A" w:rsidRPr="00300A27">
        <w:rPr>
          <w:spacing w:val="0"/>
          <w:lang w:val="en-US"/>
        </w:rPr>
        <w:t xml:space="preserve"> soles</w:t>
      </w:r>
      <w:r w:rsidR="00852D2F" w:rsidRPr="00300A27">
        <w:rPr>
          <w:spacing w:val="0"/>
          <w:lang w:val="en-US"/>
        </w:rPr>
        <w:t>,</w:t>
      </w:r>
      <w:r w:rsidR="005B1C65" w:rsidRPr="00300A27">
        <w:rPr>
          <w:spacing w:val="0"/>
          <w:lang w:val="en-US"/>
        </w:rPr>
        <w:t xml:space="preserve"> and </w:t>
      </w:r>
      <w:r w:rsidR="00852D2F" w:rsidRPr="00300A27">
        <w:rPr>
          <w:spacing w:val="0"/>
          <w:lang w:val="en-US"/>
        </w:rPr>
        <w:t xml:space="preserve">REDRESS </w:t>
      </w:r>
      <w:r w:rsidRPr="00300A27">
        <w:rPr>
          <w:spacing w:val="0"/>
          <w:lang w:val="en-US"/>
        </w:rPr>
        <w:t>requested payment of</w:t>
      </w:r>
      <w:r w:rsidR="00852D2F" w:rsidRPr="00300A27">
        <w:rPr>
          <w:spacing w:val="0"/>
          <w:lang w:val="en-US"/>
        </w:rPr>
        <w:t xml:space="preserve"> US</w:t>
      </w:r>
      <w:r w:rsidR="00C76C8A" w:rsidRPr="00300A27">
        <w:rPr>
          <w:spacing w:val="0"/>
          <w:lang w:val="en-US"/>
        </w:rPr>
        <w:t>$</w:t>
      </w:r>
      <w:r w:rsidR="00852D2F" w:rsidRPr="00300A27">
        <w:rPr>
          <w:spacing w:val="0"/>
          <w:lang w:val="en-US"/>
        </w:rPr>
        <w:t>8</w:t>
      </w:r>
      <w:r w:rsidRPr="00300A27">
        <w:rPr>
          <w:spacing w:val="0"/>
          <w:lang w:val="en-US"/>
        </w:rPr>
        <w:t>,</w:t>
      </w:r>
      <w:r w:rsidR="00724F74" w:rsidRPr="00300A27">
        <w:rPr>
          <w:spacing w:val="0"/>
          <w:lang w:val="en-US"/>
        </w:rPr>
        <w:t>795</w:t>
      </w:r>
      <w:r w:rsidRPr="00300A27">
        <w:rPr>
          <w:spacing w:val="0"/>
          <w:lang w:val="en-US"/>
        </w:rPr>
        <w:t>.</w:t>
      </w:r>
      <w:r w:rsidR="00852D2F" w:rsidRPr="00300A27">
        <w:rPr>
          <w:spacing w:val="0"/>
          <w:lang w:val="en-US"/>
        </w:rPr>
        <w:t>84.</w:t>
      </w:r>
    </w:p>
    <w:p w14:paraId="39ABAF63" w14:textId="60241106" w:rsidR="00852D2F" w:rsidRPr="00300A27" w:rsidRDefault="005B1C65" w:rsidP="00B243B6">
      <w:pPr>
        <w:pStyle w:val="PrrafodeSentencia"/>
        <w:numPr>
          <w:ilvl w:val="0"/>
          <w:numId w:val="3"/>
        </w:numPr>
        <w:spacing w:before="120" w:after="120"/>
        <w:ind w:left="0" w:firstLine="0"/>
        <w:rPr>
          <w:spacing w:val="0"/>
          <w:lang w:val="en-US"/>
        </w:rPr>
      </w:pPr>
      <w:bookmarkStart w:id="236" w:name="_Ref532988410"/>
      <w:r w:rsidRPr="00300A27">
        <w:rPr>
          <w:spacing w:val="0"/>
          <w:lang w:val="en-US"/>
        </w:rPr>
        <w:t>The Court</w:t>
      </w:r>
      <w:r w:rsidR="00852D2F" w:rsidRPr="00300A27">
        <w:rPr>
          <w:spacing w:val="0"/>
          <w:lang w:val="en-US"/>
        </w:rPr>
        <w:t xml:space="preserve"> reitera</w:t>
      </w:r>
      <w:r w:rsidR="002177FD" w:rsidRPr="00300A27">
        <w:rPr>
          <w:spacing w:val="0"/>
          <w:lang w:val="en-US"/>
        </w:rPr>
        <w:t>tes that, based on its case law,</w:t>
      </w:r>
      <w:r w:rsidR="00852D2F" w:rsidRPr="00300A27">
        <w:rPr>
          <w:spacing w:val="0"/>
          <w:vertAlign w:val="superscript"/>
          <w:lang w:val="en-US"/>
        </w:rPr>
        <w:footnoteReference w:id="317"/>
      </w:r>
      <w:r w:rsidR="00852D2F" w:rsidRPr="00300A27">
        <w:rPr>
          <w:spacing w:val="0"/>
          <w:lang w:val="en-US"/>
        </w:rPr>
        <w:t xml:space="preserve"> </w:t>
      </w:r>
      <w:r w:rsidR="007071F6" w:rsidRPr="00300A27">
        <w:rPr>
          <w:spacing w:val="0"/>
          <w:lang w:val="en-US"/>
        </w:rPr>
        <w:t>costs and expenses</w:t>
      </w:r>
      <w:r w:rsidR="00852D2F" w:rsidRPr="00300A27">
        <w:rPr>
          <w:spacing w:val="0"/>
          <w:lang w:val="en-US"/>
        </w:rPr>
        <w:t xml:space="preserve"> </w:t>
      </w:r>
      <w:r w:rsidR="00305829" w:rsidRPr="00300A27">
        <w:rPr>
          <w:spacing w:val="0"/>
          <w:lang w:val="en-US"/>
        </w:rPr>
        <w:t>form part of the concept of reparation, because the activit</w:t>
      </w:r>
      <w:r w:rsidR="00193135" w:rsidRPr="00300A27">
        <w:rPr>
          <w:spacing w:val="0"/>
          <w:lang w:val="en-US"/>
        </w:rPr>
        <w:t>ies</w:t>
      </w:r>
      <w:r w:rsidR="00305829" w:rsidRPr="00300A27">
        <w:rPr>
          <w:spacing w:val="0"/>
          <w:lang w:val="en-US"/>
        </w:rPr>
        <w:t xml:space="preserve"> deployed by the victims in order to obtain justice, at both the national and the international level, entail disbursements that must be compensated when the international responsibility of a State has been declared in a judgment. Regarding the reimbursement of costs and expenses, it is for the Court to make a prudent assessment of their scope, which includes the expenses generated before the authorities of the domestic jurisdiction and those incurred during the process before the inter-American system, taking into account the circumstances of the specific case and the nature of the international jurisdiction for the protection of human rights. This assessment may be made based on the equity principle and taking into account the expenses indicated by the parties, provided their </w:t>
      </w:r>
      <w:r w:rsidR="00305829" w:rsidRPr="00300A27">
        <w:rPr>
          <w:i/>
          <w:iCs/>
          <w:spacing w:val="0"/>
          <w:lang w:val="en-US"/>
        </w:rPr>
        <w:t>quantum</w:t>
      </w:r>
      <w:r w:rsidR="00305829" w:rsidRPr="00300A27">
        <w:rPr>
          <w:spacing w:val="0"/>
          <w:lang w:val="en-US"/>
        </w:rPr>
        <w:t xml:space="preserve"> is reasonable.</w:t>
      </w:r>
      <w:r w:rsidR="00852D2F" w:rsidRPr="00300A27">
        <w:rPr>
          <w:spacing w:val="0"/>
          <w:vertAlign w:val="superscript"/>
          <w:lang w:val="en-US"/>
        </w:rPr>
        <w:footnoteReference w:id="318"/>
      </w:r>
      <w:bookmarkEnd w:id="236"/>
    </w:p>
    <w:p w14:paraId="0BFD9E66" w14:textId="40A60766" w:rsidR="002D30A6" w:rsidRPr="00300A27" w:rsidRDefault="005B1C65" w:rsidP="00B243B6">
      <w:pPr>
        <w:pStyle w:val="PrrafodeSentencia"/>
        <w:numPr>
          <w:ilvl w:val="0"/>
          <w:numId w:val="3"/>
        </w:numPr>
        <w:spacing w:before="120" w:after="120"/>
        <w:ind w:left="0" w:firstLine="0"/>
        <w:rPr>
          <w:spacing w:val="0"/>
          <w:lang w:val="en-US"/>
        </w:rPr>
      </w:pPr>
      <w:r w:rsidRPr="00300A27">
        <w:rPr>
          <w:spacing w:val="0"/>
          <w:lang w:val="en-US"/>
        </w:rPr>
        <w:t>This Court</w:t>
      </w:r>
      <w:r w:rsidR="00852D2F" w:rsidRPr="00300A27">
        <w:rPr>
          <w:spacing w:val="0"/>
          <w:lang w:val="en-US"/>
        </w:rPr>
        <w:t xml:space="preserve"> ha</w:t>
      </w:r>
      <w:r w:rsidR="00305829" w:rsidRPr="00300A27">
        <w:rPr>
          <w:spacing w:val="0"/>
          <w:lang w:val="en-US"/>
        </w:rPr>
        <w:t xml:space="preserve">s </w:t>
      </w:r>
      <w:r w:rsidR="00D16673" w:rsidRPr="00300A27">
        <w:rPr>
          <w:spacing w:val="0"/>
          <w:lang w:val="en-US"/>
        </w:rPr>
        <w:t xml:space="preserve">indicated that “the claims of the victims or </w:t>
      </w:r>
      <w:r w:rsidR="00BA3C7F" w:rsidRPr="00300A27">
        <w:rPr>
          <w:spacing w:val="0"/>
          <w:lang w:val="en-US"/>
        </w:rPr>
        <w:t>their representatives</w:t>
      </w:r>
      <w:r w:rsidR="00852D2F" w:rsidRPr="00300A27">
        <w:rPr>
          <w:spacing w:val="0"/>
          <w:lang w:val="en-US"/>
        </w:rPr>
        <w:t xml:space="preserve"> </w:t>
      </w:r>
      <w:r w:rsidR="00D16673" w:rsidRPr="00300A27">
        <w:rPr>
          <w:spacing w:val="0"/>
          <w:lang w:val="en-US"/>
        </w:rPr>
        <w:t xml:space="preserve">with regard to costs and expenses, and the evidence to support them, must be submitted to the Court at the first procedural opportunity granted </w:t>
      </w:r>
      <w:r w:rsidR="00193135" w:rsidRPr="00300A27">
        <w:rPr>
          <w:spacing w:val="0"/>
          <w:lang w:val="en-US"/>
        </w:rPr>
        <w:t>t</w:t>
      </w:r>
      <w:r w:rsidR="00D16673" w:rsidRPr="00300A27">
        <w:rPr>
          <w:spacing w:val="0"/>
          <w:lang w:val="en-US"/>
        </w:rPr>
        <w:t>o them; that is, in the pleadings and motions brief, without prejudice to these claims being updated subsequently in keeping with the new costs and expenses incurred under the proceedings before this Court.</w:t>
      </w:r>
      <w:r w:rsidR="00852D2F" w:rsidRPr="00300A27">
        <w:rPr>
          <w:spacing w:val="0"/>
          <w:lang w:val="en-US"/>
        </w:rPr>
        <w:t>”</w:t>
      </w:r>
      <w:r w:rsidR="00852D2F" w:rsidRPr="00300A27">
        <w:rPr>
          <w:spacing w:val="0"/>
          <w:vertAlign w:val="superscript"/>
          <w:lang w:val="en-US"/>
        </w:rPr>
        <w:footnoteReference w:id="319"/>
      </w:r>
      <w:r w:rsidR="00852D2F" w:rsidRPr="00300A27">
        <w:rPr>
          <w:spacing w:val="0"/>
          <w:lang w:val="en-US"/>
        </w:rPr>
        <w:t xml:space="preserve"> </w:t>
      </w:r>
      <w:r w:rsidR="00D16673" w:rsidRPr="00300A27">
        <w:rPr>
          <w:spacing w:val="0"/>
          <w:lang w:val="en-US"/>
        </w:rPr>
        <w:t>The</w:t>
      </w:r>
      <w:r w:rsidRPr="00300A27">
        <w:rPr>
          <w:spacing w:val="0"/>
          <w:lang w:val="en-US"/>
        </w:rPr>
        <w:t xml:space="preserve"> Court</w:t>
      </w:r>
      <w:r w:rsidR="00D16673" w:rsidRPr="00300A27">
        <w:rPr>
          <w:spacing w:val="0"/>
          <w:lang w:val="en-US"/>
        </w:rPr>
        <w:t xml:space="preserve"> also re</w:t>
      </w:r>
      <w:r w:rsidR="00D7330B" w:rsidRPr="00300A27">
        <w:rPr>
          <w:spacing w:val="0"/>
          <w:lang w:val="en-US"/>
        </w:rPr>
        <w:t>i</w:t>
      </w:r>
      <w:r w:rsidR="00D16673" w:rsidRPr="00300A27">
        <w:rPr>
          <w:spacing w:val="0"/>
          <w:lang w:val="en-US"/>
        </w:rPr>
        <w:t>terates that it not sufficient merely to forward probative documents; rather, the parties are r</w:t>
      </w:r>
      <w:r w:rsidR="00D7330B" w:rsidRPr="00300A27">
        <w:rPr>
          <w:spacing w:val="0"/>
          <w:lang w:val="en-US"/>
        </w:rPr>
        <w:t>e</w:t>
      </w:r>
      <w:r w:rsidR="00D16673" w:rsidRPr="00300A27">
        <w:rPr>
          <w:spacing w:val="0"/>
          <w:lang w:val="en-US"/>
        </w:rPr>
        <w:t xml:space="preserve">quired </w:t>
      </w:r>
      <w:r w:rsidR="00D7330B" w:rsidRPr="00300A27">
        <w:rPr>
          <w:spacing w:val="0"/>
          <w:lang w:val="en-US"/>
        </w:rPr>
        <w:t xml:space="preserve">to include arguments that relate the evidence to the fact that it is considered to represent and, in the case of alleged financial disbursements, </w:t>
      </w:r>
      <w:r w:rsidR="00673F6E" w:rsidRPr="00300A27">
        <w:rPr>
          <w:spacing w:val="0"/>
          <w:lang w:val="en-US"/>
        </w:rPr>
        <w:t xml:space="preserve">that </w:t>
      </w:r>
      <w:r w:rsidR="00D7330B" w:rsidRPr="00300A27">
        <w:rPr>
          <w:spacing w:val="0"/>
          <w:lang w:val="en-US"/>
        </w:rPr>
        <w:t>the items and their justification are clearly established.</w:t>
      </w:r>
      <w:r w:rsidR="00852D2F" w:rsidRPr="00300A27">
        <w:rPr>
          <w:spacing w:val="0"/>
          <w:vertAlign w:val="superscript"/>
          <w:lang w:val="en-US"/>
        </w:rPr>
        <w:footnoteReference w:id="320"/>
      </w:r>
      <w:bookmarkStart w:id="237" w:name="_Ref33110670"/>
      <w:bookmarkStart w:id="238" w:name="_Toc526152732"/>
      <w:bookmarkStart w:id="239" w:name="_Toc32394195"/>
      <w:bookmarkStart w:id="240" w:name="_Toc192595"/>
    </w:p>
    <w:p w14:paraId="27DBF7A1" w14:textId="3083F5A8" w:rsidR="00462FF1" w:rsidRPr="00300A27" w:rsidRDefault="00AC67F4" w:rsidP="00B243B6">
      <w:pPr>
        <w:pStyle w:val="PrrafodeSentencia"/>
        <w:numPr>
          <w:ilvl w:val="0"/>
          <w:numId w:val="3"/>
        </w:numPr>
        <w:spacing w:before="120" w:after="120"/>
        <w:ind w:left="0" w:firstLine="0"/>
        <w:rPr>
          <w:spacing w:val="0"/>
          <w:lang w:val="en-US"/>
        </w:rPr>
      </w:pPr>
      <w:bookmarkStart w:id="241" w:name="_Ref36651082"/>
      <w:r w:rsidRPr="00300A27">
        <w:rPr>
          <w:spacing w:val="0"/>
          <w:lang w:val="en-US"/>
        </w:rPr>
        <w:t>T</w:t>
      </w:r>
      <w:r w:rsidR="00630149" w:rsidRPr="00300A27">
        <w:rPr>
          <w:spacing w:val="0"/>
          <w:lang w:val="en-US"/>
        </w:rPr>
        <w:t xml:space="preserve">aking into account the amounts requested by each organization and the expense vouchers presented, the Court decides to establish, based on equity, the payment of: a total of </w:t>
      </w:r>
      <w:r w:rsidRPr="00300A27">
        <w:rPr>
          <w:spacing w:val="0"/>
          <w:lang w:val="en-US"/>
        </w:rPr>
        <w:t>US$9</w:t>
      </w:r>
      <w:r w:rsidR="00630149" w:rsidRPr="00300A27">
        <w:rPr>
          <w:spacing w:val="0"/>
          <w:lang w:val="en-US"/>
        </w:rPr>
        <w:t>,000.00</w:t>
      </w:r>
      <w:r w:rsidRPr="00300A27">
        <w:rPr>
          <w:spacing w:val="0"/>
          <w:lang w:val="en-US"/>
        </w:rPr>
        <w:t xml:space="preserve"> (</w:t>
      </w:r>
      <w:r w:rsidR="00630149" w:rsidRPr="00300A27">
        <w:rPr>
          <w:spacing w:val="0"/>
          <w:lang w:val="en-US"/>
        </w:rPr>
        <w:t>nine thousand</w:t>
      </w:r>
      <w:r w:rsidRPr="00300A27">
        <w:rPr>
          <w:spacing w:val="0"/>
          <w:lang w:val="en-US"/>
        </w:rPr>
        <w:t xml:space="preserve"> </w:t>
      </w:r>
      <w:r w:rsidR="005206D9" w:rsidRPr="00300A27">
        <w:rPr>
          <w:spacing w:val="0"/>
          <w:lang w:val="en-US"/>
        </w:rPr>
        <w:t>United States dollars</w:t>
      </w:r>
      <w:r w:rsidRPr="00300A27">
        <w:rPr>
          <w:spacing w:val="0"/>
          <w:lang w:val="en-US"/>
        </w:rPr>
        <w:t xml:space="preserve">) </w:t>
      </w:r>
      <w:r w:rsidR="00630149" w:rsidRPr="00300A27">
        <w:rPr>
          <w:spacing w:val="0"/>
          <w:lang w:val="en-US"/>
        </w:rPr>
        <w:t>for</w:t>
      </w:r>
      <w:r w:rsidRPr="00300A27">
        <w:rPr>
          <w:spacing w:val="0"/>
          <w:lang w:val="en-US"/>
        </w:rPr>
        <w:t xml:space="preserve"> </w:t>
      </w:r>
      <w:r w:rsidR="007071F6" w:rsidRPr="00300A27">
        <w:rPr>
          <w:spacing w:val="0"/>
          <w:lang w:val="en-US"/>
        </w:rPr>
        <w:t>costs and expenses</w:t>
      </w:r>
      <w:r w:rsidRPr="00300A27">
        <w:rPr>
          <w:spacing w:val="0"/>
          <w:lang w:val="en-US"/>
        </w:rPr>
        <w:t xml:space="preserve"> </w:t>
      </w:r>
      <w:r w:rsidR="00630149" w:rsidRPr="00300A27">
        <w:rPr>
          <w:spacing w:val="0"/>
          <w:lang w:val="en-US"/>
        </w:rPr>
        <w:t>in favor of</w:t>
      </w:r>
      <w:r w:rsidRPr="00300A27">
        <w:rPr>
          <w:spacing w:val="0"/>
          <w:lang w:val="en-US"/>
        </w:rPr>
        <w:t xml:space="preserve"> REDRESS; </w:t>
      </w:r>
      <w:r w:rsidR="00630149" w:rsidRPr="00300A27">
        <w:rPr>
          <w:spacing w:val="0"/>
          <w:lang w:val="en-US"/>
        </w:rPr>
        <w:t xml:space="preserve">a total of </w:t>
      </w:r>
      <w:r w:rsidRPr="00300A27">
        <w:rPr>
          <w:spacing w:val="0"/>
          <w:lang w:val="en-US"/>
        </w:rPr>
        <w:t>US$</w:t>
      </w:r>
      <w:r w:rsidR="00462FF1" w:rsidRPr="00300A27">
        <w:rPr>
          <w:spacing w:val="0"/>
          <w:lang w:val="en-US"/>
        </w:rPr>
        <w:t>3</w:t>
      </w:r>
      <w:r w:rsidR="00630149" w:rsidRPr="00300A27">
        <w:rPr>
          <w:spacing w:val="0"/>
          <w:lang w:val="en-US"/>
        </w:rPr>
        <w:t>,000.00</w:t>
      </w:r>
      <w:r w:rsidRPr="00300A27">
        <w:rPr>
          <w:spacing w:val="0"/>
          <w:lang w:val="en-US"/>
        </w:rPr>
        <w:t xml:space="preserve"> (</w:t>
      </w:r>
      <w:r w:rsidR="00630149" w:rsidRPr="00300A27">
        <w:rPr>
          <w:spacing w:val="0"/>
          <w:lang w:val="en-US"/>
        </w:rPr>
        <w:t>three thousand</w:t>
      </w:r>
      <w:r w:rsidRPr="00300A27">
        <w:rPr>
          <w:spacing w:val="0"/>
          <w:lang w:val="en-US"/>
        </w:rPr>
        <w:t xml:space="preserve"> </w:t>
      </w:r>
      <w:r w:rsidR="005206D9" w:rsidRPr="00300A27">
        <w:rPr>
          <w:spacing w:val="0"/>
          <w:lang w:val="en-US"/>
        </w:rPr>
        <w:t>United States dollars</w:t>
      </w:r>
      <w:r w:rsidRPr="00300A27">
        <w:rPr>
          <w:spacing w:val="0"/>
          <w:lang w:val="en-US"/>
        </w:rPr>
        <w:t xml:space="preserve">) </w:t>
      </w:r>
      <w:r w:rsidR="00630149" w:rsidRPr="00300A27">
        <w:rPr>
          <w:spacing w:val="0"/>
          <w:lang w:val="en-US"/>
        </w:rPr>
        <w:t xml:space="preserve">for </w:t>
      </w:r>
      <w:r w:rsidR="007071F6" w:rsidRPr="00300A27">
        <w:rPr>
          <w:spacing w:val="0"/>
          <w:lang w:val="en-US"/>
        </w:rPr>
        <w:t>costs and expenses</w:t>
      </w:r>
      <w:r w:rsidRPr="00300A27">
        <w:rPr>
          <w:spacing w:val="0"/>
          <w:lang w:val="en-US"/>
        </w:rPr>
        <w:t xml:space="preserve"> </w:t>
      </w:r>
      <w:r w:rsidR="00630149" w:rsidRPr="00300A27">
        <w:rPr>
          <w:spacing w:val="0"/>
          <w:lang w:val="en-US"/>
        </w:rPr>
        <w:t>in favor of</w:t>
      </w:r>
      <w:r w:rsidRPr="00300A27">
        <w:rPr>
          <w:spacing w:val="0"/>
          <w:lang w:val="en-US"/>
        </w:rPr>
        <w:t xml:space="preserve"> CNDDHH,</w:t>
      </w:r>
      <w:r w:rsidR="005B1C65" w:rsidRPr="00300A27">
        <w:rPr>
          <w:spacing w:val="0"/>
          <w:lang w:val="en-US"/>
        </w:rPr>
        <w:t xml:space="preserve"> and </w:t>
      </w:r>
      <w:r w:rsidR="00630149" w:rsidRPr="00300A27">
        <w:rPr>
          <w:spacing w:val="0"/>
          <w:lang w:val="en-US"/>
        </w:rPr>
        <w:t xml:space="preserve">a total of </w:t>
      </w:r>
      <w:r w:rsidR="00462FF1" w:rsidRPr="00300A27">
        <w:rPr>
          <w:spacing w:val="0"/>
          <w:lang w:val="en-US"/>
        </w:rPr>
        <w:t>US$14</w:t>
      </w:r>
      <w:r w:rsidR="00630149" w:rsidRPr="00300A27">
        <w:rPr>
          <w:spacing w:val="0"/>
          <w:lang w:val="en-US"/>
        </w:rPr>
        <w:t>,000.00</w:t>
      </w:r>
      <w:r w:rsidR="00462FF1" w:rsidRPr="00300A27">
        <w:rPr>
          <w:spacing w:val="0"/>
          <w:lang w:val="en-US"/>
        </w:rPr>
        <w:t xml:space="preserve"> (</w:t>
      </w:r>
      <w:r w:rsidR="00630149" w:rsidRPr="00300A27">
        <w:rPr>
          <w:spacing w:val="0"/>
          <w:lang w:val="en-US"/>
        </w:rPr>
        <w:t>fourteen thousand</w:t>
      </w:r>
      <w:r w:rsidR="00462FF1" w:rsidRPr="00300A27">
        <w:rPr>
          <w:spacing w:val="0"/>
          <w:lang w:val="en-US"/>
        </w:rPr>
        <w:t xml:space="preserve"> </w:t>
      </w:r>
      <w:r w:rsidR="005206D9" w:rsidRPr="00300A27">
        <w:rPr>
          <w:spacing w:val="0"/>
          <w:lang w:val="en-US"/>
        </w:rPr>
        <w:t>United States dollars</w:t>
      </w:r>
      <w:r w:rsidR="00462FF1" w:rsidRPr="00300A27">
        <w:rPr>
          <w:spacing w:val="0"/>
          <w:lang w:val="en-US"/>
        </w:rPr>
        <w:t xml:space="preserve">) </w:t>
      </w:r>
      <w:r w:rsidR="00630149" w:rsidRPr="00300A27">
        <w:rPr>
          <w:spacing w:val="0"/>
          <w:lang w:val="en-US"/>
        </w:rPr>
        <w:t>for</w:t>
      </w:r>
      <w:r w:rsidR="00462FF1" w:rsidRPr="00300A27">
        <w:rPr>
          <w:spacing w:val="0"/>
          <w:lang w:val="en-US"/>
        </w:rPr>
        <w:t xml:space="preserve"> </w:t>
      </w:r>
      <w:r w:rsidR="007071F6" w:rsidRPr="00300A27">
        <w:rPr>
          <w:spacing w:val="0"/>
          <w:lang w:val="en-US"/>
        </w:rPr>
        <w:t>costs and expenses</w:t>
      </w:r>
      <w:r w:rsidR="00462FF1" w:rsidRPr="00300A27">
        <w:rPr>
          <w:spacing w:val="0"/>
          <w:lang w:val="en-US"/>
        </w:rPr>
        <w:t xml:space="preserve"> </w:t>
      </w:r>
      <w:r w:rsidR="00630149" w:rsidRPr="00300A27">
        <w:rPr>
          <w:spacing w:val="0"/>
          <w:lang w:val="en-US"/>
        </w:rPr>
        <w:t>in favor of</w:t>
      </w:r>
      <w:r w:rsidR="00462FF1" w:rsidRPr="00300A27">
        <w:rPr>
          <w:spacing w:val="0"/>
          <w:lang w:val="en-US"/>
        </w:rPr>
        <w:t xml:space="preserve"> Promsex. </w:t>
      </w:r>
      <w:r w:rsidR="00630149" w:rsidRPr="00300A27">
        <w:rPr>
          <w:spacing w:val="0"/>
          <w:lang w:val="en-US"/>
        </w:rPr>
        <w:t>These amounts shall be delivered directly to the said organi</w:t>
      </w:r>
      <w:r w:rsidR="00673F6E" w:rsidRPr="00300A27">
        <w:rPr>
          <w:spacing w:val="0"/>
          <w:lang w:val="en-US"/>
        </w:rPr>
        <w:t>z</w:t>
      </w:r>
      <w:r w:rsidR="00630149" w:rsidRPr="00300A27">
        <w:rPr>
          <w:spacing w:val="0"/>
          <w:lang w:val="en-US"/>
        </w:rPr>
        <w:t xml:space="preserve">ations. At the stage of monitoring compliance with </w:t>
      </w:r>
      <w:r w:rsidR="005B46A0" w:rsidRPr="00300A27">
        <w:rPr>
          <w:rFonts w:cs="Verdana"/>
          <w:spacing w:val="0"/>
          <w:lang w:val="en-US"/>
        </w:rPr>
        <w:t>this judgment</w:t>
      </w:r>
      <w:r w:rsidR="00FD2FAC" w:rsidRPr="00300A27">
        <w:rPr>
          <w:rFonts w:cs="Verdana"/>
          <w:spacing w:val="0"/>
          <w:lang w:val="en-US"/>
        </w:rPr>
        <w:t xml:space="preserve">, </w:t>
      </w:r>
      <w:r w:rsidR="005B1C65" w:rsidRPr="00300A27">
        <w:rPr>
          <w:rFonts w:cs="Verdana"/>
          <w:spacing w:val="0"/>
          <w:lang w:val="en-US"/>
        </w:rPr>
        <w:t>the Court</w:t>
      </w:r>
      <w:r w:rsidR="00FD2FAC" w:rsidRPr="00300A27">
        <w:rPr>
          <w:rFonts w:cs="Verdana"/>
          <w:spacing w:val="0"/>
          <w:lang w:val="en-US"/>
        </w:rPr>
        <w:t xml:space="preserve"> </w:t>
      </w:r>
      <w:r w:rsidR="00630149" w:rsidRPr="00300A27">
        <w:rPr>
          <w:rFonts w:cs="Verdana"/>
          <w:spacing w:val="0"/>
          <w:lang w:val="en-US"/>
        </w:rPr>
        <w:t xml:space="preserve">may determine that the State reimburse the victims or their representatives any reasonable expenses incurred </w:t>
      </w:r>
      <w:r w:rsidR="006D4701" w:rsidRPr="00300A27">
        <w:rPr>
          <w:rFonts w:cs="Verdana"/>
          <w:spacing w:val="0"/>
          <w:lang w:val="en-US"/>
        </w:rPr>
        <w:t>at that procedural stage.</w:t>
      </w:r>
      <w:r w:rsidR="00FD2FAC" w:rsidRPr="00300A27">
        <w:rPr>
          <w:rStyle w:val="Refdenotaalpie"/>
          <w:spacing w:val="0"/>
          <w:lang w:val="en-US"/>
        </w:rPr>
        <w:footnoteReference w:id="321"/>
      </w:r>
      <w:bookmarkEnd w:id="237"/>
      <w:bookmarkEnd w:id="241"/>
    </w:p>
    <w:p w14:paraId="79DFAF6F" w14:textId="31872AF9" w:rsidR="00904A76" w:rsidRPr="00300A27" w:rsidRDefault="002959DE" w:rsidP="00B243B6">
      <w:pPr>
        <w:pStyle w:val="Ttulo2"/>
        <w:numPr>
          <w:ilvl w:val="0"/>
          <w:numId w:val="27"/>
        </w:numPr>
        <w:ind w:left="1134" w:hanging="567"/>
        <w:jc w:val="left"/>
        <w:rPr>
          <w:lang w:val="en-US"/>
        </w:rPr>
      </w:pPr>
      <w:r w:rsidRPr="00300A27">
        <w:rPr>
          <w:lang w:val="en-US"/>
        </w:rPr>
        <w:t>Reimbursement of the Victims’ Legal Assistance Fund</w:t>
      </w:r>
      <w:bookmarkEnd w:id="238"/>
      <w:bookmarkEnd w:id="239"/>
    </w:p>
    <w:p w14:paraId="000C7194" w14:textId="529A2DF6" w:rsidR="00F03F21" w:rsidRPr="00300A27" w:rsidRDefault="003B7D51" w:rsidP="00B243B6">
      <w:pPr>
        <w:pStyle w:val="PrrafodeSentencia"/>
        <w:numPr>
          <w:ilvl w:val="0"/>
          <w:numId w:val="3"/>
        </w:numPr>
        <w:spacing w:before="120" w:after="120"/>
        <w:ind w:left="0" w:firstLine="0"/>
        <w:rPr>
          <w:b/>
          <w:spacing w:val="0"/>
          <w:lang w:val="en-US"/>
        </w:rPr>
      </w:pPr>
      <w:r w:rsidRPr="00300A27">
        <w:rPr>
          <w:spacing w:val="0"/>
          <w:lang w:val="en-US"/>
        </w:rPr>
        <w:t>In th</w:t>
      </w:r>
      <w:r w:rsidR="00673F6E" w:rsidRPr="00300A27">
        <w:rPr>
          <w:spacing w:val="0"/>
          <w:lang w:val="en-US"/>
        </w:rPr>
        <w:t>e instant</w:t>
      </w:r>
      <w:r w:rsidRPr="00300A27">
        <w:rPr>
          <w:spacing w:val="0"/>
          <w:lang w:val="en-US"/>
        </w:rPr>
        <w:t xml:space="preserve"> case, in a note of August 7, </w:t>
      </w:r>
      <w:r w:rsidR="00596814" w:rsidRPr="00300A27">
        <w:rPr>
          <w:spacing w:val="0"/>
          <w:lang w:val="en-US"/>
        </w:rPr>
        <w:t>2019</w:t>
      </w:r>
      <w:r w:rsidR="00A2728F" w:rsidRPr="00300A27">
        <w:rPr>
          <w:spacing w:val="0"/>
          <w:lang w:val="en-US"/>
        </w:rPr>
        <w:t>,</w:t>
      </w:r>
      <w:r w:rsidR="00596814" w:rsidRPr="00300A27">
        <w:rPr>
          <w:spacing w:val="0"/>
          <w:lang w:val="en-US"/>
        </w:rPr>
        <w:t xml:space="preserve"> </w:t>
      </w:r>
      <w:r w:rsidRPr="00300A27">
        <w:rPr>
          <w:spacing w:val="0"/>
          <w:lang w:val="en-US"/>
        </w:rPr>
        <w:t xml:space="preserve">the President of the Court declared that the request presented by </w:t>
      </w:r>
      <w:r w:rsidR="00834A1B" w:rsidRPr="00300A27">
        <w:rPr>
          <w:spacing w:val="0"/>
          <w:lang w:val="en-US"/>
        </w:rPr>
        <w:t>the presumed victim</w:t>
      </w:r>
      <w:r w:rsidR="00673F6E" w:rsidRPr="00300A27">
        <w:rPr>
          <w:spacing w:val="0"/>
          <w:lang w:val="en-US"/>
        </w:rPr>
        <w:t>,</w:t>
      </w:r>
      <w:r w:rsidRPr="00300A27">
        <w:rPr>
          <w:spacing w:val="0"/>
          <w:lang w:val="en-US"/>
        </w:rPr>
        <w:t xml:space="preserve"> through h</w:t>
      </w:r>
      <w:r w:rsidR="00673F6E" w:rsidRPr="00300A27">
        <w:rPr>
          <w:spacing w:val="0"/>
          <w:lang w:val="en-US"/>
        </w:rPr>
        <w:t>er</w:t>
      </w:r>
      <w:r w:rsidR="00596814" w:rsidRPr="00300A27">
        <w:rPr>
          <w:spacing w:val="0"/>
          <w:lang w:val="en-US"/>
        </w:rPr>
        <w:t xml:space="preserve"> </w:t>
      </w:r>
      <w:r w:rsidR="00BA3C7F" w:rsidRPr="00300A27">
        <w:rPr>
          <w:spacing w:val="0"/>
          <w:lang w:val="en-US"/>
        </w:rPr>
        <w:t>representatives</w:t>
      </w:r>
      <w:r w:rsidR="00673F6E" w:rsidRPr="00300A27">
        <w:rPr>
          <w:spacing w:val="0"/>
          <w:lang w:val="en-US"/>
        </w:rPr>
        <w:t>,</w:t>
      </w:r>
      <w:r w:rsidR="00596814" w:rsidRPr="00300A27">
        <w:rPr>
          <w:spacing w:val="0"/>
          <w:lang w:val="en-US"/>
        </w:rPr>
        <w:t xml:space="preserve"> </w:t>
      </w:r>
      <w:r w:rsidRPr="00300A27">
        <w:rPr>
          <w:spacing w:val="0"/>
          <w:lang w:val="en-US"/>
        </w:rPr>
        <w:t>to access the</w:t>
      </w:r>
      <w:r w:rsidR="00596814" w:rsidRPr="00300A27">
        <w:rPr>
          <w:spacing w:val="0"/>
          <w:lang w:val="en-US"/>
        </w:rPr>
        <w:t xml:space="preserve"> </w:t>
      </w:r>
      <w:r w:rsidR="002959DE" w:rsidRPr="00300A27">
        <w:rPr>
          <w:spacing w:val="0"/>
          <w:lang w:val="en-US"/>
        </w:rPr>
        <w:t>Legal Assistance Fund</w:t>
      </w:r>
      <w:r w:rsidRPr="00300A27">
        <w:rPr>
          <w:spacing w:val="0"/>
          <w:lang w:val="en-US"/>
        </w:rPr>
        <w:t xml:space="preserve"> was admissible. In </w:t>
      </w:r>
      <w:r w:rsidR="00673F6E" w:rsidRPr="00300A27">
        <w:rPr>
          <w:spacing w:val="0"/>
          <w:lang w:val="en-US"/>
        </w:rPr>
        <w:t>an</w:t>
      </w:r>
      <w:r w:rsidRPr="00300A27">
        <w:rPr>
          <w:spacing w:val="0"/>
          <w:lang w:val="en-US"/>
        </w:rPr>
        <w:t xml:space="preserve"> order of July</w:t>
      </w:r>
      <w:r w:rsidR="00673F6E" w:rsidRPr="00300A27">
        <w:rPr>
          <w:spacing w:val="0"/>
          <w:lang w:val="en-US"/>
        </w:rPr>
        <w:t xml:space="preserve"> </w:t>
      </w:r>
      <w:r w:rsidRPr="00300A27">
        <w:rPr>
          <w:spacing w:val="0"/>
          <w:lang w:val="en-US"/>
        </w:rPr>
        <w:t xml:space="preserve">10, 2019, the Court’s President at the time, established that the Fund would provide the financial assistance necessary to cover the expenses of the appearance </w:t>
      </w:r>
      <w:r w:rsidR="008546E9" w:rsidRPr="00300A27">
        <w:rPr>
          <w:spacing w:val="0"/>
          <w:lang w:val="en-US"/>
        </w:rPr>
        <w:t xml:space="preserve">of the </w:t>
      </w:r>
      <w:r w:rsidR="00834A1B" w:rsidRPr="00300A27">
        <w:rPr>
          <w:spacing w:val="0"/>
          <w:lang w:val="en-US"/>
        </w:rPr>
        <w:t>presumed victim</w:t>
      </w:r>
      <w:r w:rsidR="008128B8" w:rsidRPr="00300A27">
        <w:rPr>
          <w:spacing w:val="0"/>
          <w:lang w:val="en-US"/>
        </w:rPr>
        <w:t xml:space="preserve"> </w:t>
      </w:r>
      <w:r w:rsidRPr="00300A27">
        <w:rPr>
          <w:spacing w:val="0"/>
          <w:lang w:val="en-US"/>
        </w:rPr>
        <w:t>at the</w:t>
      </w:r>
      <w:r w:rsidR="008128B8" w:rsidRPr="00300A27">
        <w:rPr>
          <w:spacing w:val="0"/>
          <w:lang w:val="en-US"/>
        </w:rPr>
        <w:t xml:space="preserve"> </w:t>
      </w:r>
      <w:r w:rsidR="007071F6" w:rsidRPr="00300A27">
        <w:rPr>
          <w:spacing w:val="0"/>
          <w:lang w:val="en-US"/>
        </w:rPr>
        <w:t>public hearing</w:t>
      </w:r>
      <w:r w:rsidR="005B1C65" w:rsidRPr="00300A27">
        <w:rPr>
          <w:spacing w:val="0"/>
          <w:lang w:val="en-US"/>
        </w:rPr>
        <w:t xml:space="preserve"> and </w:t>
      </w:r>
      <w:r w:rsidRPr="00300A27">
        <w:rPr>
          <w:spacing w:val="0"/>
          <w:lang w:val="en-US"/>
        </w:rPr>
        <w:t>the presentation of two statements by affidavit.</w:t>
      </w:r>
    </w:p>
    <w:p w14:paraId="69D3D4AB" w14:textId="46BC4BB3" w:rsidR="00E12E0A" w:rsidRPr="00300A27" w:rsidRDefault="00A25055" w:rsidP="00B243B6">
      <w:pPr>
        <w:pStyle w:val="PrrafodeSentencia"/>
        <w:numPr>
          <w:ilvl w:val="0"/>
          <w:numId w:val="3"/>
        </w:numPr>
        <w:spacing w:before="120" w:after="120"/>
        <w:ind w:left="0" w:firstLine="0"/>
        <w:rPr>
          <w:b/>
          <w:spacing w:val="0"/>
          <w:lang w:val="en-US"/>
        </w:rPr>
      </w:pPr>
      <w:r w:rsidRPr="00300A27">
        <w:rPr>
          <w:spacing w:val="0"/>
          <w:lang w:val="en-US"/>
        </w:rPr>
        <w:t>On July</w:t>
      </w:r>
      <w:r w:rsidR="00673F6E" w:rsidRPr="00300A27">
        <w:rPr>
          <w:spacing w:val="0"/>
          <w:lang w:val="en-US"/>
        </w:rPr>
        <w:t xml:space="preserve"> </w:t>
      </w:r>
      <w:r w:rsidRPr="00300A27">
        <w:rPr>
          <w:spacing w:val="0"/>
          <w:lang w:val="en-US"/>
        </w:rPr>
        <w:t>18,</w:t>
      </w:r>
      <w:r w:rsidR="00E12E0A" w:rsidRPr="00300A27">
        <w:rPr>
          <w:spacing w:val="0"/>
          <w:lang w:val="en-US"/>
        </w:rPr>
        <w:t xml:space="preserve"> 2019</w:t>
      </w:r>
      <w:r w:rsidRPr="00300A27">
        <w:rPr>
          <w:spacing w:val="0"/>
          <w:lang w:val="en-US"/>
        </w:rPr>
        <w:t>,</w:t>
      </w:r>
      <w:r w:rsidR="00E12E0A" w:rsidRPr="00300A27">
        <w:rPr>
          <w:spacing w:val="0"/>
          <w:lang w:val="en-US"/>
        </w:rPr>
        <w:t xml:space="preserve"> </w:t>
      </w:r>
      <w:r w:rsidR="00BA3C7F" w:rsidRPr="00300A27">
        <w:rPr>
          <w:spacing w:val="0"/>
          <w:lang w:val="en-US"/>
        </w:rPr>
        <w:t>the representatives</w:t>
      </w:r>
      <w:r w:rsidR="00E12E0A" w:rsidRPr="00300A27">
        <w:rPr>
          <w:spacing w:val="0"/>
          <w:lang w:val="en-US"/>
        </w:rPr>
        <w:t xml:space="preserve"> </w:t>
      </w:r>
      <w:r w:rsidR="003B7D51" w:rsidRPr="00300A27">
        <w:rPr>
          <w:spacing w:val="0"/>
          <w:lang w:val="en-US"/>
        </w:rPr>
        <w:t xml:space="preserve">asked the Court to reconsider this decision because, for reasons beyond her control, </w:t>
      </w:r>
      <w:r w:rsidR="00834A1B" w:rsidRPr="00300A27">
        <w:rPr>
          <w:spacing w:val="0"/>
          <w:lang w:val="en-US"/>
        </w:rPr>
        <w:t>the presumed victim</w:t>
      </w:r>
      <w:r w:rsidR="00E12E0A" w:rsidRPr="00300A27">
        <w:rPr>
          <w:spacing w:val="0"/>
          <w:lang w:val="en-US"/>
        </w:rPr>
        <w:t xml:space="preserve"> </w:t>
      </w:r>
      <w:r w:rsidR="003B7D51" w:rsidRPr="00300A27">
        <w:rPr>
          <w:spacing w:val="0"/>
          <w:lang w:val="en-US"/>
        </w:rPr>
        <w:t>could not attend the hearing; therefore, they asked the Court to receive a witness. In an order of August 26,</w:t>
      </w:r>
      <w:r w:rsidR="00E12E0A" w:rsidRPr="00300A27">
        <w:rPr>
          <w:spacing w:val="0"/>
          <w:lang w:val="en-US"/>
        </w:rPr>
        <w:t xml:space="preserve"> 2019</w:t>
      </w:r>
      <w:r w:rsidR="003B7D51" w:rsidRPr="00300A27">
        <w:rPr>
          <w:spacing w:val="0"/>
          <w:lang w:val="en-US"/>
        </w:rPr>
        <w:t>,</w:t>
      </w:r>
      <w:r w:rsidR="00E12E0A" w:rsidRPr="00300A27">
        <w:rPr>
          <w:spacing w:val="0"/>
          <w:lang w:val="en-US"/>
        </w:rPr>
        <w:t xml:space="preserve"> </w:t>
      </w:r>
      <w:r w:rsidR="003B7D51" w:rsidRPr="00300A27">
        <w:rPr>
          <w:spacing w:val="0"/>
          <w:lang w:val="en-US"/>
        </w:rPr>
        <w:t>the Court decided to accept the representatives’ request.</w:t>
      </w:r>
      <w:r w:rsidR="00E12E0A" w:rsidRPr="00300A27">
        <w:rPr>
          <w:rStyle w:val="Refdenotaalpie"/>
          <w:spacing w:val="0"/>
          <w:lang w:val="en-US"/>
        </w:rPr>
        <w:footnoteReference w:id="322"/>
      </w:r>
      <w:r w:rsidR="003B7D51" w:rsidRPr="00300A27">
        <w:rPr>
          <w:spacing w:val="0"/>
          <w:lang w:val="en-US"/>
        </w:rPr>
        <w:t xml:space="preserve"> In light of the impossibility of the presumed victim attending the hearing, and the Court’s reconsideration order in this regard</w:t>
      </w:r>
      <w:r w:rsidR="00A2728F" w:rsidRPr="00300A27">
        <w:rPr>
          <w:spacing w:val="0"/>
          <w:lang w:val="en-US"/>
        </w:rPr>
        <w:t xml:space="preserve"> (</w:t>
      </w:r>
      <w:r w:rsidR="00A2728F" w:rsidRPr="00300A27">
        <w:rPr>
          <w:i/>
          <w:spacing w:val="0"/>
          <w:lang w:val="en-US"/>
        </w:rPr>
        <w:t xml:space="preserve">supra </w:t>
      </w:r>
      <w:r w:rsidR="00910D8E" w:rsidRPr="00300A27">
        <w:rPr>
          <w:spacing w:val="0"/>
          <w:lang w:val="en-US"/>
        </w:rPr>
        <w:t>para.</w:t>
      </w:r>
      <w:r w:rsidR="00A2728F" w:rsidRPr="00300A27">
        <w:rPr>
          <w:spacing w:val="0"/>
          <w:lang w:val="en-US"/>
        </w:rPr>
        <w:t xml:space="preserve"> </w:t>
      </w:r>
      <w:r w:rsidR="00A2728F" w:rsidRPr="00300A27">
        <w:rPr>
          <w:spacing w:val="0"/>
          <w:lang w:val="en-US"/>
        </w:rPr>
        <w:fldChar w:fldCharType="begin"/>
      </w:r>
      <w:r w:rsidR="00A2728F" w:rsidRPr="00300A27">
        <w:rPr>
          <w:spacing w:val="0"/>
          <w:lang w:val="en-US"/>
        </w:rPr>
        <w:instrText xml:space="preserve"> REF _Ref446678625 \r \h </w:instrText>
      </w:r>
      <w:r w:rsidR="00B243B6" w:rsidRPr="00300A27">
        <w:rPr>
          <w:spacing w:val="0"/>
          <w:lang w:val="en-US"/>
        </w:rPr>
        <w:instrText xml:space="preserve"> \* MERGEFORMAT </w:instrText>
      </w:r>
      <w:r w:rsidR="00A2728F" w:rsidRPr="00300A27">
        <w:rPr>
          <w:spacing w:val="0"/>
          <w:lang w:val="en-US"/>
        </w:rPr>
      </w:r>
      <w:r w:rsidR="00A2728F" w:rsidRPr="00300A27">
        <w:rPr>
          <w:spacing w:val="0"/>
          <w:lang w:val="en-US"/>
        </w:rPr>
        <w:fldChar w:fldCharType="separate"/>
      </w:r>
      <w:r w:rsidR="00632F77" w:rsidRPr="00300A27">
        <w:rPr>
          <w:spacing w:val="0"/>
          <w:lang w:val="en-US"/>
        </w:rPr>
        <w:t>10</w:t>
      </w:r>
      <w:r w:rsidR="00A2728F" w:rsidRPr="00300A27">
        <w:rPr>
          <w:spacing w:val="0"/>
          <w:lang w:val="en-US"/>
        </w:rPr>
        <w:fldChar w:fldCharType="end"/>
      </w:r>
      <w:r w:rsidR="00A2728F" w:rsidRPr="00300A27">
        <w:rPr>
          <w:spacing w:val="0"/>
          <w:lang w:val="en-US"/>
        </w:rPr>
        <w:t xml:space="preserve">), </w:t>
      </w:r>
      <w:r w:rsidR="003B7D51" w:rsidRPr="00300A27">
        <w:rPr>
          <w:spacing w:val="0"/>
          <w:lang w:val="en-US"/>
        </w:rPr>
        <w:t xml:space="preserve">on the instructions of the President, the parties and </w:t>
      </w:r>
      <w:r w:rsidR="00C2001D" w:rsidRPr="00300A27">
        <w:rPr>
          <w:spacing w:val="0"/>
          <w:lang w:val="en-US"/>
        </w:rPr>
        <w:t>the Commission</w:t>
      </w:r>
      <w:r w:rsidR="00A2728F" w:rsidRPr="00300A27">
        <w:rPr>
          <w:spacing w:val="0"/>
          <w:lang w:val="en-US"/>
        </w:rPr>
        <w:t xml:space="preserve"> </w:t>
      </w:r>
      <w:r w:rsidR="003B7D51" w:rsidRPr="00300A27">
        <w:rPr>
          <w:spacing w:val="0"/>
          <w:lang w:val="en-US"/>
        </w:rPr>
        <w:t xml:space="preserve">were notified that the Victim’s Legal Assistance Fund would cover the travel and accommodation costs for </w:t>
      </w:r>
      <w:r w:rsidR="00A2728F" w:rsidRPr="00300A27">
        <w:rPr>
          <w:spacing w:val="0"/>
          <w:lang w:val="en-US"/>
        </w:rPr>
        <w:t xml:space="preserve">Víctor Álvarez </w:t>
      </w:r>
      <w:r w:rsidR="003B7D51" w:rsidRPr="00300A27">
        <w:rPr>
          <w:spacing w:val="0"/>
          <w:lang w:val="en-US"/>
        </w:rPr>
        <w:t>to appear before</w:t>
      </w:r>
      <w:r w:rsidR="00A2728F" w:rsidRPr="00300A27">
        <w:rPr>
          <w:spacing w:val="0"/>
          <w:lang w:val="en-US"/>
        </w:rPr>
        <w:t xml:space="preserve"> </w:t>
      </w:r>
      <w:r w:rsidR="009B35A1" w:rsidRPr="00300A27">
        <w:rPr>
          <w:spacing w:val="0"/>
          <w:lang w:val="en-US"/>
        </w:rPr>
        <w:t>the Court</w:t>
      </w:r>
      <w:r w:rsidR="00A2728F" w:rsidRPr="00300A27">
        <w:rPr>
          <w:spacing w:val="0"/>
          <w:lang w:val="en-US"/>
        </w:rPr>
        <w:t>.</w:t>
      </w:r>
    </w:p>
    <w:p w14:paraId="7520A473" w14:textId="0FD833E0" w:rsidR="00904A76" w:rsidRPr="00300A27" w:rsidRDefault="00A25055" w:rsidP="00B243B6">
      <w:pPr>
        <w:pStyle w:val="PrrafodeSentencia"/>
        <w:numPr>
          <w:ilvl w:val="0"/>
          <w:numId w:val="3"/>
        </w:numPr>
        <w:spacing w:before="120" w:after="120"/>
        <w:ind w:left="0" w:firstLine="0"/>
        <w:rPr>
          <w:b/>
          <w:spacing w:val="0"/>
          <w:lang w:val="en-US"/>
        </w:rPr>
      </w:pPr>
      <w:r w:rsidRPr="00300A27">
        <w:rPr>
          <w:spacing w:val="0"/>
          <w:lang w:val="en-US"/>
        </w:rPr>
        <w:t xml:space="preserve">On November 29, </w:t>
      </w:r>
      <w:r w:rsidR="009A233E" w:rsidRPr="00300A27">
        <w:rPr>
          <w:spacing w:val="0"/>
          <w:lang w:val="en-US"/>
        </w:rPr>
        <w:t>2019</w:t>
      </w:r>
      <w:r w:rsidRPr="00300A27">
        <w:rPr>
          <w:spacing w:val="0"/>
          <w:lang w:val="en-US"/>
        </w:rPr>
        <w:t>, in keeping with a</w:t>
      </w:r>
      <w:r w:rsidR="005B1C65" w:rsidRPr="00300A27">
        <w:rPr>
          <w:spacing w:val="0"/>
          <w:lang w:val="en-US"/>
        </w:rPr>
        <w:t>rticle</w:t>
      </w:r>
      <w:r w:rsidR="00904A76" w:rsidRPr="00300A27">
        <w:rPr>
          <w:spacing w:val="0"/>
          <w:lang w:val="en-US"/>
        </w:rPr>
        <w:t xml:space="preserve"> 5</w:t>
      </w:r>
      <w:r w:rsidR="005B1C65" w:rsidRPr="00300A27">
        <w:rPr>
          <w:spacing w:val="0"/>
          <w:lang w:val="en-US"/>
        </w:rPr>
        <w:t xml:space="preserve"> of the Rules </w:t>
      </w:r>
      <w:r w:rsidRPr="00300A27">
        <w:rPr>
          <w:spacing w:val="0"/>
          <w:lang w:val="en-US"/>
        </w:rPr>
        <w:t>for the Operation of the said Fund</w:t>
      </w:r>
      <w:r w:rsidR="003B7D51" w:rsidRPr="00300A27">
        <w:rPr>
          <w:spacing w:val="0"/>
          <w:lang w:val="en-US"/>
        </w:rPr>
        <w:t>, a disbursements report was sent to the State</w:t>
      </w:r>
      <w:r w:rsidRPr="00300A27">
        <w:rPr>
          <w:spacing w:val="0"/>
          <w:lang w:val="en-US"/>
        </w:rPr>
        <w:t>; thus, the State had the opportunity to present its observations on the disbursements made in this case which amount to US$886.23 (eight hundred and eighty-six United States dollars and twenty-three cents).</w:t>
      </w:r>
    </w:p>
    <w:p w14:paraId="6563CBF1" w14:textId="34707C7A" w:rsidR="00A22B26" w:rsidRPr="00300A27" w:rsidRDefault="005B1C65" w:rsidP="00B243B6">
      <w:pPr>
        <w:pStyle w:val="PrrafodeSentencia"/>
        <w:numPr>
          <w:ilvl w:val="0"/>
          <w:numId w:val="3"/>
        </w:numPr>
        <w:spacing w:before="120" w:after="120"/>
        <w:ind w:left="0" w:firstLine="0"/>
        <w:rPr>
          <w:rFonts w:cs="Times New Roman"/>
          <w:spacing w:val="0"/>
          <w:szCs w:val="20"/>
          <w:lang w:val="en-US"/>
        </w:rPr>
      </w:pPr>
      <w:r w:rsidRPr="00300A27">
        <w:rPr>
          <w:spacing w:val="0"/>
          <w:szCs w:val="20"/>
          <w:lang w:val="en-US"/>
        </w:rPr>
        <w:t xml:space="preserve">The </w:t>
      </w:r>
      <w:r w:rsidRPr="00300A27">
        <w:rPr>
          <w:b/>
          <w:bCs/>
          <w:i/>
          <w:iCs/>
          <w:spacing w:val="0"/>
          <w:szCs w:val="20"/>
          <w:lang w:val="en-US"/>
        </w:rPr>
        <w:t>State</w:t>
      </w:r>
      <w:r w:rsidR="00904A76" w:rsidRPr="00300A27">
        <w:rPr>
          <w:spacing w:val="0"/>
          <w:szCs w:val="20"/>
          <w:lang w:val="en-US"/>
        </w:rPr>
        <w:t xml:space="preserve"> a</w:t>
      </w:r>
      <w:r w:rsidR="005206D9" w:rsidRPr="00300A27">
        <w:rPr>
          <w:spacing w:val="0"/>
          <w:szCs w:val="20"/>
          <w:lang w:val="en-US"/>
        </w:rPr>
        <w:t xml:space="preserve">rgued </w:t>
      </w:r>
      <w:r w:rsidR="00A25055" w:rsidRPr="00300A27">
        <w:rPr>
          <w:spacing w:val="0"/>
          <w:szCs w:val="20"/>
          <w:lang w:val="en-US"/>
        </w:rPr>
        <w:t>that the</w:t>
      </w:r>
      <w:r w:rsidR="003B7D51" w:rsidRPr="00300A27">
        <w:rPr>
          <w:spacing w:val="0"/>
          <w:szCs w:val="20"/>
          <w:lang w:val="en-US"/>
        </w:rPr>
        <w:t xml:space="preserve"> purpose of the Court’s reconsideration order </w:t>
      </w:r>
      <w:r w:rsidR="00A25055" w:rsidRPr="00300A27">
        <w:rPr>
          <w:spacing w:val="0"/>
          <w:szCs w:val="20"/>
          <w:lang w:val="en-US"/>
        </w:rPr>
        <w:t xml:space="preserve">was to modify how </w:t>
      </w:r>
      <w:r w:rsidR="00A22B26" w:rsidRPr="00300A27">
        <w:rPr>
          <w:spacing w:val="0"/>
          <w:szCs w:val="20"/>
          <w:lang w:val="en-US"/>
        </w:rPr>
        <w:t>Víctor</w:t>
      </w:r>
      <w:r w:rsidR="009A746F" w:rsidRPr="00300A27">
        <w:rPr>
          <w:spacing w:val="0"/>
          <w:szCs w:val="20"/>
          <w:lang w:val="en-US"/>
        </w:rPr>
        <w:t xml:space="preserve"> Álvarez</w:t>
      </w:r>
      <w:r w:rsidR="00A25055" w:rsidRPr="00300A27">
        <w:rPr>
          <w:spacing w:val="0"/>
          <w:szCs w:val="20"/>
          <w:lang w:val="en-US"/>
        </w:rPr>
        <w:t xml:space="preserve"> would present his statement</w:t>
      </w:r>
      <w:r w:rsidR="00673F6E" w:rsidRPr="00300A27">
        <w:rPr>
          <w:spacing w:val="0"/>
          <w:szCs w:val="20"/>
          <w:lang w:val="en-US"/>
        </w:rPr>
        <w:t xml:space="preserve"> and, </w:t>
      </w:r>
      <w:r w:rsidR="00A25055" w:rsidRPr="00300A27">
        <w:rPr>
          <w:spacing w:val="0"/>
          <w:szCs w:val="20"/>
          <w:lang w:val="en-US"/>
        </w:rPr>
        <w:t xml:space="preserve">since this was not a substitution, it did not correspond to the Victim’s Legal Assistance Fund to cover these expenses. In addition, it indicated that the representatives’ request should have been forwarded to the State for the corresponding observations. Also, “regarding the reimbursement of the expenses incurred in the notarization of the expert opinion of </w:t>
      </w:r>
      <w:r w:rsidR="00A22B26" w:rsidRPr="00300A27">
        <w:rPr>
          <w:rFonts w:eastAsiaTheme="minorHAnsi" w:cs="Arial"/>
          <w:spacing w:val="0"/>
          <w:szCs w:val="20"/>
          <w:lang w:val="en-US"/>
        </w:rPr>
        <w:t xml:space="preserve">Nora Sveaass, </w:t>
      </w:r>
      <w:r w:rsidRPr="00300A27">
        <w:rPr>
          <w:rFonts w:eastAsiaTheme="minorHAnsi" w:cs="Arial"/>
          <w:spacing w:val="0"/>
          <w:szCs w:val="20"/>
          <w:lang w:val="en-US"/>
        </w:rPr>
        <w:t>the State</w:t>
      </w:r>
      <w:r w:rsidR="00A22B26" w:rsidRPr="00300A27">
        <w:rPr>
          <w:rFonts w:eastAsiaTheme="minorHAnsi" w:cs="Arial"/>
          <w:spacing w:val="0"/>
          <w:szCs w:val="20"/>
          <w:lang w:val="en-US"/>
        </w:rPr>
        <w:t xml:space="preserve"> </w:t>
      </w:r>
      <w:r w:rsidR="00673F6E" w:rsidRPr="00300A27">
        <w:rPr>
          <w:rFonts w:eastAsiaTheme="minorHAnsi" w:cs="Arial"/>
          <w:spacing w:val="0"/>
          <w:szCs w:val="20"/>
          <w:lang w:val="en-US"/>
        </w:rPr>
        <w:t>notes</w:t>
      </w:r>
      <w:r w:rsidR="00A25055" w:rsidRPr="00300A27">
        <w:rPr>
          <w:rFonts w:eastAsiaTheme="minorHAnsi" w:cs="Arial"/>
          <w:spacing w:val="0"/>
          <w:szCs w:val="20"/>
          <w:lang w:val="en-US"/>
        </w:rPr>
        <w:t xml:space="preserve"> that the Court ha</w:t>
      </w:r>
      <w:r w:rsidR="00673F6E" w:rsidRPr="00300A27">
        <w:rPr>
          <w:rFonts w:eastAsiaTheme="minorHAnsi" w:cs="Arial"/>
          <w:spacing w:val="0"/>
          <w:szCs w:val="20"/>
          <w:lang w:val="en-US"/>
        </w:rPr>
        <w:t>s</w:t>
      </w:r>
      <w:r w:rsidR="00A25055" w:rsidRPr="00300A27">
        <w:rPr>
          <w:rFonts w:eastAsiaTheme="minorHAnsi" w:cs="Arial"/>
          <w:spacing w:val="0"/>
          <w:szCs w:val="20"/>
          <w:lang w:val="en-US"/>
        </w:rPr>
        <w:t xml:space="preserve"> not forwarded the documentation on the amounts that ha</w:t>
      </w:r>
      <w:r w:rsidR="00673F6E" w:rsidRPr="00300A27">
        <w:rPr>
          <w:rFonts w:eastAsiaTheme="minorHAnsi" w:cs="Arial"/>
          <w:spacing w:val="0"/>
          <w:szCs w:val="20"/>
          <w:lang w:val="en-US"/>
        </w:rPr>
        <w:t>ve</w:t>
      </w:r>
      <w:r w:rsidR="00A25055" w:rsidRPr="00300A27">
        <w:rPr>
          <w:rFonts w:eastAsiaTheme="minorHAnsi" w:cs="Arial"/>
          <w:spacing w:val="0"/>
          <w:szCs w:val="20"/>
          <w:lang w:val="en-US"/>
        </w:rPr>
        <w:t xml:space="preserve"> been re</w:t>
      </w:r>
      <w:r w:rsidR="00673F6E" w:rsidRPr="00300A27">
        <w:rPr>
          <w:rFonts w:eastAsiaTheme="minorHAnsi" w:cs="Arial"/>
          <w:spacing w:val="0"/>
          <w:szCs w:val="20"/>
          <w:lang w:val="en-US"/>
        </w:rPr>
        <w:t>imbursed</w:t>
      </w:r>
      <w:r w:rsidR="00A25055" w:rsidRPr="00300A27">
        <w:rPr>
          <w:rFonts w:eastAsiaTheme="minorHAnsi" w:cs="Arial"/>
          <w:spacing w:val="0"/>
          <w:szCs w:val="20"/>
          <w:lang w:val="en-US"/>
        </w:rPr>
        <w:t xml:space="preserve"> to </w:t>
      </w:r>
      <w:r w:rsidR="00BA3C7F" w:rsidRPr="00300A27">
        <w:rPr>
          <w:rFonts w:eastAsiaTheme="minorHAnsi" w:cs="Arial"/>
          <w:spacing w:val="0"/>
          <w:szCs w:val="20"/>
          <w:lang w:val="en-US"/>
        </w:rPr>
        <w:t>the representatives</w:t>
      </w:r>
      <w:r w:rsidR="00673F6E" w:rsidRPr="00300A27">
        <w:rPr>
          <w:rFonts w:eastAsiaTheme="minorHAnsi" w:cs="Arial"/>
          <w:spacing w:val="0"/>
          <w:szCs w:val="20"/>
          <w:lang w:val="en-US"/>
        </w:rPr>
        <w:t>; thus,</w:t>
      </w:r>
      <w:r w:rsidR="00A25055" w:rsidRPr="00300A27">
        <w:rPr>
          <w:rFonts w:eastAsiaTheme="minorHAnsi" w:cs="Arial"/>
          <w:spacing w:val="0"/>
          <w:szCs w:val="20"/>
          <w:lang w:val="en-US"/>
        </w:rPr>
        <w:t xml:space="preserve"> it d</w:t>
      </w:r>
      <w:r w:rsidR="00673F6E" w:rsidRPr="00300A27">
        <w:rPr>
          <w:rFonts w:eastAsiaTheme="minorHAnsi" w:cs="Arial"/>
          <w:spacing w:val="0"/>
          <w:szCs w:val="20"/>
          <w:lang w:val="en-US"/>
        </w:rPr>
        <w:t>oes</w:t>
      </w:r>
      <w:r w:rsidR="00A25055" w:rsidRPr="00300A27">
        <w:rPr>
          <w:rFonts w:eastAsiaTheme="minorHAnsi" w:cs="Arial"/>
          <w:spacing w:val="0"/>
          <w:szCs w:val="20"/>
          <w:lang w:val="en-US"/>
        </w:rPr>
        <w:t xml:space="preserve"> not have t</w:t>
      </w:r>
      <w:r w:rsidR="00673F6E" w:rsidRPr="00300A27">
        <w:rPr>
          <w:rFonts w:eastAsiaTheme="minorHAnsi" w:cs="Arial"/>
          <w:spacing w:val="0"/>
          <w:szCs w:val="20"/>
          <w:lang w:val="en-US"/>
        </w:rPr>
        <w:t>h</w:t>
      </w:r>
      <w:r w:rsidR="00A25055" w:rsidRPr="00300A27">
        <w:rPr>
          <w:rFonts w:eastAsiaTheme="minorHAnsi" w:cs="Arial"/>
          <w:spacing w:val="0"/>
          <w:szCs w:val="20"/>
          <w:lang w:val="en-US"/>
        </w:rPr>
        <w:t xml:space="preserve">e necessary elements to make observations.” </w:t>
      </w:r>
    </w:p>
    <w:p w14:paraId="756FC217" w14:textId="39847950" w:rsidR="00904A76" w:rsidRPr="00300A27" w:rsidRDefault="005B1C65" w:rsidP="00B243B6">
      <w:pPr>
        <w:pStyle w:val="PrrafodeSentencia"/>
        <w:numPr>
          <w:ilvl w:val="0"/>
          <w:numId w:val="3"/>
        </w:numPr>
        <w:spacing w:before="120" w:after="120"/>
        <w:ind w:left="0" w:firstLine="0"/>
        <w:rPr>
          <w:rFonts w:cs="Times New Roman"/>
          <w:spacing w:val="0"/>
          <w:szCs w:val="20"/>
          <w:lang w:val="en-US"/>
        </w:rPr>
      </w:pPr>
      <w:bookmarkStart w:id="242" w:name="_Ref524881071"/>
      <w:r w:rsidRPr="00300A27">
        <w:rPr>
          <w:spacing w:val="0"/>
          <w:szCs w:val="20"/>
          <w:lang w:val="en-US"/>
        </w:rPr>
        <w:t>This Court</w:t>
      </w:r>
      <w:r w:rsidR="005206D9" w:rsidRPr="00300A27">
        <w:rPr>
          <w:spacing w:val="0"/>
          <w:szCs w:val="20"/>
          <w:lang w:val="en-US"/>
        </w:rPr>
        <w:t xml:space="preserve"> notes, first that decisions on the admissibility of access to the Victims’ Assistance Fund and determination of the expenses to be covered by the Fund correspond to the President of the Court. Therefore, it is not necessary to forward this information to the State so that it may submit observations. Also, in this case, following the change in the way in which the statement by Víctor Álvarez was presented, it was not necessary to forward the representatives</w:t>
      </w:r>
      <w:r w:rsidR="00A6785B" w:rsidRPr="00300A27">
        <w:rPr>
          <w:spacing w:val="0"/>
          <w:szCs w:val="20"/>
          <w:lang w:val="en-US"/>
        </w:rPr>
        <w:t>’ request to the State</w:t>
      </w:r>
      <w:r w:rsidR="005206D9" w:rsidRPr="00300A27">
        <w:rPr>
          <w:spacing w:val="0"/>
          <w:szCs w:val="20"/>
          <w:lang w:val="en-US"/>
        </w:rPr>
        <w:t xml:space="preserve">, nor was it relevant that the statement by Víctor Álvarez did not substitute the statement of the presumed victim. Second, the Court notes that the documentation relating to the expenditure for notarizing the expert opinion of </w:t>
      </w:r>
      <w:r w:rsidR="00EC5F2C" w:rsidRPr="00300A27">
        <w:rPr>
          <w:spacing w:val="0"/>
          <w:lang w:val="en-US"/>
        </w:rPr>
        <w:t>Nora Svea</w:t>
      </w:r>
      <w:r w:rsidR="00C3087E" w:rsidRPr="00300A27">
        <w:rPr>
          <w:spacing w:val="0"/>
          <w:lang w:val="en-US"/>
        </w:rPr>
        <w:t>a</w:t>
      </w:r>
      <w:r w:rsidR="00EC5F2C" w:rsidRPr="00300A27">
        <w:rPr>
          <w:spacing w:val="0"/>
          <w:lang w:val="en-US"/>
        </w:rPr>
        <w:t>ss form</w:t>
      </w:r>
      <w:r w:rsidR="005206D9" w:rsidRPr="00300A27">
        <w:rPr>
          <w:spacing w:val="0"/>
          <w:lang w:val="en-US"/>
        </w:rPr>
        <w:t>s</w:t>
      </w:r>
      <w:r w:rsidR="00EC5F2C" w:rsidRPr="00300A27">
        <w:rPr>
          <w:spacing w:val="0"/>
          <w:lang w:val="en-US"/>
        </w:rPr>
        <w:t xml:space="preserve"> part</w:t>
      </w:r>
      <w:r w:rsidR="005206D9" w:rsidRPr="00300A27">
        <w:rPr>
          <w:spacing w:val="0"/>
          <w:lang w:val="en-US"/>
        </w:rPr>
        <w:t xml:space="preserve"> of the </w:t>
      </w:r>
      <w:r w:rsidR="00700254" w:rsidRPr="00300A27">
        <w:rPr>
          <w:spacing w:val="0"/>
          <w:lang w:val="en-US"/>
        </w:rPr>
        <w:t>annexes</w:t>
      </w:r>
      <w:r w:rsidR="00EC5F2C" w:rsidRPr="00300A27">
        <w:rPr>
          <w:spacing w:val="0"/>
          <w:lang w:val="en-US"/>
        </w:rPr>
        <w:t xml:space="preserve"> </w:t>
      </w:r>
      <w:r w:rsidR="005206D9" w:rsidRPr="00300A27">
        <w:rPr>
          <w:spacing w:val="0"/>
          <w:lang w:val="en-US"/>
        </w:rPr>
        <w:t xml:space="preserve">to the expense report forwarded </w:t>
      </w:r>
      <w:r w:rsidR="00BA3C7F" w:rsidRPr="00300A27">
        <w:rPr>
          <w:spacing w:val="0"/>
          <w:lang w:val="en-US"/>
        </w:rPr>
        <w:t>to the State</w:t>
      </w:r>
      <w:r w:rsidR="00EC5F2C" w:rsidRPr="00300A27">
        <w:rPr>
          <w:spacing w:val="0"/>
          <w:lang w:val="en-US"/>
        </w:rPr>
        <w:t xml:space="preserve"> </w:t>
      </w:r>
      <w:r w:rsidR="005206D9" w:rsidRPr="00300A27">
        <w:rPr>
          <w:spacing w:val="0"/>
          <w:lang w:val="en-US"/>
        </w:rPr>
        <w:t>on November 29,</w:t>
      </w:r>
      <w:r w:rsidR="00EC5F2C" w:rsidRPr="00300A27">
        <w:rPr>
          <w:spacing w:val="0"/>
          <w:lang w:val="en-US"/>
        </w:rPr>
        <w:t xml:space="preserve"> 2019. </w:t>
      </w:r>
      <w:r w:rsidR="005206D9" w:rsidRPr="00300A27">
        <w:rPr>
          <w:spacing w:val="0"/>
          <w:szCs w:val="20"/>
          <w:lang w:val="en-US"/>
        </w:rPr>
        <w:t>Therefore</w:t>
      </w:r>
      <w:r w:rsidR="00EC5F2C" w:rsidRPr="00300A27">
        <w:rPr>
          <w:spacing w:val="0"/>
          <w:szCs w:val="20"/>
          <w:lang w:val="en-US"/>
        </w:rPr>
        <w:t xml:space="preserve">, </w:t>
      </w:r>
      <w:r w:rsidRPr="00300A27">
        <w:rPr>
          <w:spacing w:val="0"/>
          <w:szCs w:val="20"/>
          <w:lang w:val="en-US"/>
        </w:rPr>
        <w:t>the Court</w:t>
      </w:r>
      <w:r w:rsidR="00EC5F2C" w:rsidRPr="00300A27">
        <w:rPr>
          <w:spacing w:val="0"/>
          <w:szCs w:val="20"/>
          <w:lang w:val="en-US"/>
        </w:rPr>
        <w:t xml:space="preserve"> </w:t>
      </w:r>
      <w:r w:rsidR="005206D9" w:rsidRPr="00300A27">
        <w:rPr>
          <w:spacing w:val="0"/>
          <w:szCs w:val="20"/>
          <w:lang w:val="en-US"/>
        </w:rPr>
        <w:t>rejects the State’s objections.</w:t>
      </w:r>
      <w:bookmarkEnd w:id="242"/>
    </w:p>
    <w:p w14:paraId="2A30A4AA" w14:textId="195C5C95" w:rsidR="00904A76" w:rsidRPr="00300A27" w:rsidRDefault="005206D9" w:rsidP="00B243B6">
      <w:pPr>
        <w:pStyle w:val="PrrafodeSentencia"/>
        <w:numPr>
          <w:ilvl w:val="0"/>
          <w:numId w:val="3"/>
        </w:numPr>
        <w:spacing w:before="120" w:after="120"/>
        <w:ind w:left="0" w:firstLine="0"/>
        <w:rPr>
          <w:spacing w:val="0"/>
          <w:lang w:val="en-US"/>
        </w:rPr>
      </w:pPr>
      <w:bookmarkStart w:id="243" w:name="_Ref524881073"/>
      <w:r w:rsidRPr="00300A27">
        <w:rPr>
          <w:spacing w:val="0"/>
          <w:lang w:val="en-US"/>
        </w:rPr>
        <w:t xml:space="preserve">Based on the violations declared in this judgment, the Court orders the State to reimburse the said Fund the sum of </w:t>
      </w:r>
      <w:r w:rsidR="00A22B26" w:rsidRPr="00300A27">
        <w:rPr>
          <w:spacing w:val="0"/>
          <w:lang w:val="en-US"/>
        </w:rPr>
        <w:t>US</w:t>
      </w:r>
      <w:r w:rsidR="00C76C8A" w:rsidRPr="00300A27">
        <w:rPr>
          <w:spacing w:val="0"/>
          <w:lang w:val="en-US"/>
        </w:rPr>
        <w:t>$</w:t>
      </w:r>
      <w:r w:rsidR="00A22B26" w:rsidRPr="00300A27">
        <w:rPr>
          <w:spacing w:val="0"/>
          <w:lang w:val="en-US"/>
        </w:rPr>
        <w:t>886.23 (</w:t>
      </w:r>
      <w:r w:rsidRPr="00300A27">
        <w:rPr>
          <w:spacing w:val="0"/>
          <w:lang w:val="en-US"/>
        </w:rPr>
        <w:t>eight hundred and eighty-six United States dollars and twenty-three cents</w:t>
      </w:r>
      <w:r w:rsidR="00A22B26" w:rsidRPr="00300A27">
        <w:rPr>
          <w:spacing w:val="0"/>
          <w:lang w:val="en-US"/>
        </w:rPr>
        <w:t xml:space="preserve">) </w:t>
      </w:r>
      <w:r w:rsidRPr="00300A27">
        <w:rPr>
          <w:spacing w:val="0"/>
          <w:lang w:val="en-US"/>
        </w:rPr>
        <w:t xml:space="preserve">for the expenses incurred. This amount must be reimbursed within six months of notification </w:t>
      </w:r>
      <w:r w:rsidR="00761726" w:rsidRPr="00300A27">
        <w:rPr>
          <w:spacing w:val="0"/>
          <w:lang w:val="en-US"/>
        </w:rPr>
        <w:t>of this judgment</w:t>
      </w:r>
      <w:r w:rsidR="00904A76" w:rsidRPr="00300A27">
        <w:rPr>
          <w:spacing w:val="0"/>
          <w:lang w:val="en-US"/>
        </w:rPr>
        <w:t>.</w:t>
      </w:r>
      <w:bookmarkEnd w:id="243"/>
    </w:p>
    <w:p w14:paraId="46391B4D" w14:textId="42592AFD" w:rsidR="00852D2F" w:rsidRPr="00300A27" w:rsidRDefault="002959DE" w:rsidP="00B243B6">
      <w:pPr>
        <w:pStyle w:val="Ttulo2"/>
        <w:numPr>
          <w:ilvl w:val="0"/>
          <w:numId w:val="27"/>
        </w:numPr>
        <w:ind w:left="1134" w:hanging="567"/>
        <w:rPr>
          <w:lang w:val="en-US"/>
        </w:rPr>
      </w:pPr>
      <w:r w:rsidRPr="00300A27">
        <w:rPr>
          <w:lang w:val="en-US"/>
        </w:rPr>
        <w:t>Method of compliance with the payments ordered</w:t>
      </w:r>
      <w:bookmarkStart w:id="244" w:name="_Ref469940428"/>
      <w:bookmarkEnd w:id="231"/>
      <w:bookmarkEnd w:id="232"/>
      <w:bookmarkEnd w:id="233"/>
      <w:bookmarkEnd w:id="234"/>
      <w:bookmarkEnd w:id="235"/>
      <w:bookmarkEnd w:id="240"/>
    </w:p>
    <w:p w14:paraId="06083238" w14:textId="1EC2669E" w:rsidR="00CA0141" w:rsidRPr="00300A27" w:rsidRDefault="005B1C65" w:rsidP="00B243B6">
      <w:pPr>
        <w:pStyle w:val="Prrafodelista"/>
        <w:widowControl w:val="0"/>
        <w:numPr>
          <w:ilvl w:val="0"/>
          <w:numId w:val="3"/>
        </w:numPr>
        <w:tabs>
          <w:tab w:val="left" w:pos="567"/>
        </w:tabs>
        <w:adjustRightInd w:val="0"/>
        <w:spacing w:before="120" w:after="120"/>
        <w:ind w:left="0" w:firstLine="0"/>
        <w:contextualSpacing w:val="0"/>
        <w:jc w:val="both"/>
        <w:rPr>
          <w:szCs w:val="20"/>
          <w:lang w:bidi="en-US"/>
        </w:rPr>
      </w:pPr>
      <w:bookmarkStart w:id="245" w:name="_Ref512872975"/>
      <w:bookmarkStart w:id="246" w:name="_Ref36719661"/>
      <w:bookmarkEnd w:id="244"/>
      <w:r w:rsidRPr="00300A27">
        <w:rPr>
          <w:rFonts w:eastAsia="SimSun"/>
          <w:szCs w:val="20"/>
        </w:rPr>
        <w:t>The State</w:t>
      </w:r>
      <w:r w:rsidR="00CA0141" w:rsidRPr="00300A27">
        <w:rPr>
          <w:rFonts w:eastAsia="SimSun"/>
          <w:szCs w:val="20"/>
        </w:rPr>
        <w:t xml:space="preserve"> </w:t>
      </w:r>
      <w:r w:rsidR="002378C9" w:rsidRPr="00300A27">
        <w:rPr>
          <w:rFonts w:eastAsia="SimSun"/>
          <w:szCs w:val="20"/>
        </w:rPr>
        <w:t>shall</w:t>
      </w:r>
      <w:r w:rsidR="001277F8" w:rsidRPr="00300A27">
        <w:rPr>
          <w:rFonts w:eastAsia="SimSun"/>
          <w:szCs w:val="20"/>
        </w:rPr>
        <w:t xml:space="preserve"> make the payments for compensation of pecuniary and non-pecuniary damage and to reimburse </w:t>
      </w:r>
      <w:r w:rsidR="007071F6" w:rsidRPr="00300A27">
        <w:rPr>
          <w:rFonts w:eastAsia="SimSun"/>
          <w:szCs w:val="20"/>
        </w:rPr>
        <w:t>costs and expenses</w:t>
      </w:r>
      <w:r w:rsidR="00CA0141" w:rsidRPr="00300A27">
        <w:rPr>
          <w:rFonts w:eastAsia="SimSun"/>
          <w:szCs w:val="20"/>
        </w:rPr>
        <w:t xml:space="preserve"> establ</w:t>
      </w:r>
      <w:r w:rsidR="001277F8" w:rsidRPr="00300A27">
        <w:rPr>
          <w:rFonts w:eastAsia="SimSun"/>
          <w:szCs w:val="20"/>
        </w:rPr>
        <w:t xml:space="preserve">ished in this judgment directly to the persons indicated herein, </w:t>
      </w:r>
      <w:r w:rsidR="005A6241" w:rsidRPr="00300A27">
        <w:rPr>
          <w:rFonts w:eastAsia="SimSun"/>
          <w:szCs w:val="20"/>
        </w:rPr>
        <w:t>within one year of notification</w:t>
      </w:r>
      <w:r w:rsidR="00CA0141" w:rsidRPr="00300A27">
        <w:rPr>
          <w:rFonts w:eastAsia="SimSun"/>
          <w:szCs w:val="20"/>
        </w:rPr>
        <w:t xml:space="preserve"> </w:t>
      </w:r>
      <w:r w:rsidR="005B46A0" w:rsidRPr="00300A27">
        <w:rPr>
          <w:rFonts w:eastAsia="SimSun"/>
          <w:szCs w:val="20"/>
        </w:rPr>
        <w:t>of this judgment</w:t>
      </w:r>
      <w:bookmarkEnd w:id="245"/>
      <w:r w:rsidR="00CA0141" w:rsidRPr="00300A27">
        <w:rPr>
          <w:rFonts w:eastAsia="SimSun"/>
          <w:szCs w:val="20"/>
        </w:rPr>
        <w:t xml:space="preserve">, </w:t>
      </w:r>
      <w:r w:rsidR="001277F8" w:rsidRPr="00300A27">
        <w:rPr>
          <w:rFonts w:eastAsia="SimSun"/>
          <w:szCs w:val="20"/>
        </w:rPr>
        <w:t xml:space="preserve">or it may bring forward full payment, </w:t>
      </w:r>
      <w:r w:rsidR="005B46A0" w:rsidRPr="00300A27">
        <w:rPr>
          <w:rFonts w:eastAsia="SimSun"/>
          <w:szCs w:val="20"/>
        </w:rPr>
        <w:t>pursuant to</w:t>
      </w:r>
      <w:r w:rsidR="00CA0141" w:rsidRPr="00300A27">
        <w:rPr>
          <w:rFonts w:eastAsia="SimSun"/>
          <w:szCs w:val="20"/>
        </w:rPr>
        <w:t xml:space="preserve"> </w:t>
      </w:r>
      <w:r w:rsidR="001277F8" w:rsidRPr="00300A27">
        <w:rPr>
          <w:rFonts w:eastAsia="SimSun"/>
          <w:szCs w:val="20"/>
        </w:rPr>
        <w:t>the following paragraphs</w:t>
      </w:r>
      <w:r w:rsidR="00CA0141" w:rsidRPr="00300A27">
        <w:rPr>
          <w:szCs w:val="20"/>
          <w:lang w:bidi="en-US"/>
        </w:rPr>
        <w:t>.</w:t>
      </w:r>
      <w:bookmarkEnd w:id="246"/>
    </w:p>
    <w:p w14:paraId="0090FB6A" w14:textId="4F1242E0" w:rsidR="00CA0141" w:rsidRPr="00300A27" w:rsidRDefault="001277F8" w:rsidP="00B243B6">
      <w:pPr>
        <w:pStyle w:val="Prrafodelista"/>
        <w:widowControl w:val="0"/>
        <w:numPr>
          <w:ilvl w:val="0"/>
          <w:numId w:val="3"/>
        </w:numPr>
        <w:tabs>
          <w:tab w:val="left" w:pos="567"/>
        </w:tabs>
        <w:adjustRightInd w:val="0"/>
        <w:spacing w:before="120" w:after="120"/>
        <w:ind w:left="0" w:firstLine="0"/>
        <w:contextualSpacing w:val="0"/>
        <w:jc w:val="both"/>
        <w:rPr>
          <w:szCs w:val="20"/>
          <w:lang w:bidi="en-US"/>
        </w:rPr>
      </w:pPr>
      <w:r w:rsidRPr="00300A27">
        <w:rPr>
          <w:rFonts w:eastAsia="SimSun"/>
          <w:szCs w:val="20"/>
        </w:rPr>
        <w:t xml:space="preserve">If the beneficiaries are deceased or die before they receive the respective amount, this </w:t>
      </w:r>
      <w:r w:rsidR="002378C9" w:rsidRPr="00300A27">
        <w:rPr>
          <w:rFonts w:eastAsia="SimSun"/>
          <w:szCs w:val="20"/>
        </w:rPr>
        <w:t>shall</w:t>
      </w:r>
      <w:r w:rsidRPr="00300A27">
        <w:rPr>
          <w:rFonts w:eastAsia="SimSun"/>
          <w:szCs w:val="20"/>
        </w:rPr>
        <w:t xml:space="preserve"> be delivered directly to their heirs in accordance with the applicable domestic law</w:t>
      </w:r>
      <w:r w:rsidR="00CA0141" w:rsidRPr="00300A27">
        <w:rPr>
          <w:rFonts w:eastAsia="SimSun"/>
          <w:szCs w:val="20"/>
        </w:rPr>
        <w:t>.</w:t>
      </w:r>
    </w:p>
    <w:p w14:paraId="1E198BB4" w14:textId="4904CCE9" w:rsidR="001277F8" w:rsidRPr="00300A27" w:rsidRDefault="005B1C65" w:rsidP="00B243B6">
      <w:pPr>
        <w:pStyle w:val="Prrafodelista"/>
        <w:widowControl w:val="0"/>
        <w:numPr>
          <w:ilvl w:val="0"/>
          <w:numId w:val="3"/>
        </w:numPr>
        <w:tabs>
          <w:tab w:val="left" w:pos="567"/>
        </w:tabs>
        <w:adjustRightInd w:val="0"/>
        <w:spacing w:before="120" w:after="120"/>
        <w:ind w:left="0" w:firstLine="0"/>
        <w:contextualSpacing w:val="0"/>
        <w:jc w:val="both"/>
        <w:rPr>
          <w:szCs w:val="20"/>
          <w:lang w:bidi="en-US"/>
        </w:rPr>
      </w:pPr>
      <w:r w:rsidRPr="00300A27">
        <w:rPr>
          <w:rFonts w:eastAsia="SimSun"/>
          <w:szCs w:val="20"/>
        </w:rPr>
        <w:t>The State</w:t>
      </w:r>
      <w:r w:rsidR="00CA0141" w:rsidRPr="00300A27">
        <w:rPr>
          <w:rFonts w:eastAsia="SimSun"/>
          <w:szCs w:val="20"/>
        </w:rPr>
        <w:t xml:space="preserve"> </w:t>
      </w:r>
      <w:r w:rsidR="001277F8" w:rsidRPr="00300A27">
        <w:rPr>
          <w:rFonts w:eastAsia="SimSun"/>
          <w:szCs w:val="20"/>
        </w:rPr>
        <w:t xml:space="preserve">shall comply with the monetary obligations by payment in United States dollars or the equivalent in national currency, using the exchange rate in force on the New York Stock Exchange (United States of America), the day before </w:t>
      </w:r>
      <w:r w:rsidR="002378C9" w:rsidRPr="00300A27">
        <w:rPr>
          <w:rFonts w:eastAsia="SimSun"/>
          <w:szCs w:val="20"/>
        </w:rPr>
        <w:t xml:space="preserve">the </w:t>
      </w:r>
      <w:r w:rsidR="001277F8" w:rsidRPr="00300A27">
        <w:rPr>
          <w:rFonts w:eastAsia="SimSun"/>
          <w:szCs w:val="20"/>
        </w:rPr>
        <w:t>payment to make the calculation.</w:t>
      </w:r>
    </w:p>
    <w:p w14:paraId="525ACF44" w14:textId="71E5FC00" w:rsidR="001277F8" w:rsidRPr="00300A27" w:rsidRDefault="001277F8" w:rsidP="00B243B6">
      <w:pPr>
        <w:pStyle w:val="Prrafodelista"/>
        <w:widowControl w:val="0"/>
        <w:numPr>
          <w:ilvl w:val="0"/>
          <w:numId w:val="3"/>
        </w:numPr>
        <w:tabs>
          <w:tab w:val="left" w:pos="567"/>
        </w:tabs>
        <w:adjustRightInd w:val="0"/>
        <w:spacing w:before="120" w:after="120"/>
        <w:ind w:left="0" w:firstLine="0"/>
        <w:contextualSpacing w:val="0"/>
        <w:jc w:val="both"/>
        <w:rPr>
          <w:szCs w:val="20"/>
          <w:lang w:bidi="en-US"/>
        </w:rPr>
      </w:pPr>
      <w:r w:rsidRPr="00300A27">
        <w:rPr>
          <w:rFonts w:eastAsia="SimSun"/>
          <w:szCs w:val="20"/>
        </w:rPr>
        <w:t xml:space="preserve">If, for reasons that can be attributed to the beneficiaries of the compensation or their heirs, it should not be possible to pay the amounts established within the time frame indicated, the State shall deposit these amounts in a deposit account or certificate in their favor in a solvent Peruvian financial institution in United States dollars, and in the most favorable financial conditions permitted by banking law and practice. If the corresponding compensation is not claimed </w:t>
      </w:r>
      <w:r w:rsidR="00761726" w:rsidRPr="00300A27">
        <w:rPr>
          <w:rFonts w:eastAsia="SimSun"/>
          <w:szCs w:val="20"/>
        </w:rPr>
        <w:t>within ten years, the amounts shall be returned to the State with the interest accrued.</w:t>
      </w:r>
    </w:p>
    <w:p w14:paraId="3BA273CA" w14:textId="6F9662F5" w:rsidR="00CA0141" w:rsidRPr="00300A27" w:rsidRDefault="00761726" w:rsidP="00B243B6">
      <w:pPr>
        <w:pStyle w:val="Prrafodelista"/>
        <w:widowControl w:val="0"/>
        <w:numPr>
          <w:ilvl w:val="0"/>
          <w:numId w:val="3"/>
        </w:numPr>
        <w:tabs>
          <w:tab w:val="left" w:pos="567"/>
        </w:tabs>
        <w:adjustRightInd w:val="0"/>
        <w:spacing w:before="120" w:after="120"/>
        <w:ind w:left="0" w:firstLine="0"/>
        <w:contextualSpacing w:val="0"/>
        <w:jc w:val="both"/>
        <w:rPr>
          <w:szCs w:val="20"/>
          <w:lang w:bidi="en-US"/>
        </w:rPr>
      </w:pPr>
      <w:bookmarkStart w:id="247" w:name="_Ref36719663"/>
      <w:r w:rsidRPr="00300A27">
        <w:rPr>
          <w:rFonts w:eastAsia="SimSun"/>
          <w:szCs w:val="20"/>
        </w:rPr>
        <w:t xml:space="preserve">The amounts allocated in this judgment as compensation for pecuniary and non-pecuniary damage and to reimburse </w:t>
      </w:r>
      <w:r w:rsidR="007071F6" w:rsidRPr="00300A27">
        <w:rPr>
          <w:rFonts w:eastAsia="SimSun"/>
          <w:szCs w:val="20"/>
        </w:rPr>
        <w:t>costs and expenses</w:t>
      </w:r>
      <w:r w:rsidRPr="00300A27">
        <w:rPr>
          <w:rFonts w:eastAsia="SimSun"/>
          <w:szCs w:val="20"/>
        </w:rPr>
        <w:t xml:space="preserve"> shall be delivered to the persons and organizations indicated integrally, as established in this judgment, without any deductions arising from possible taxes or charges.</w:t>
      </w:r>
      <w:bookmarkStart w:id="248" w:name="_Ref469940442"/>
      <w:bookmarkEnd w:id="247"/>
    </w:p>
    <w:p w14:paraId="6035FA4D" w14:textId="5835DC70" w:rsidR="00904A76" w:rsidRPr="00300A27" w:rsidRDefault="00761726" w:rsidP="002378C9">
      <w:pPr>
        <w:pStyle w:val="Prrafodelista"/>
        <w:widowControl w:val="0"/>
        <w:numPr>
          <w:ilvl w:val="0"/>
          <w:numId w:val="3"/>
        </w:numPr>
        <w:tabs>
          <w:tab w:val="left" w:pos="567"/>
        </w:tabs>
        <w:adjustRightInd w:val="0"/>
        <w:spacing w:before="120" w:after="240"/>
        <w:ind w:left="0" w:firstLine="0"/>
        <w:contextualSpacing w:val="0"/>
        <w:jc w:val="both"/>
        <w:rPr>
          <w:szCs w:val="20"/>
          <w:lang w:bidi="en-US"/>
        </w:rPr>
      </w:pPr>
      <w:bookmarkStart w:id="249" w:name="_Ref36719737"/>
      <w:r w:rsidRPr="00300A27">
        <w:rPr>
          <w:rFonts w:eastAsia="SimSun"/>
          <w:szCs w:val="20"/>
        </w:rPr>
        <w:t xml:space="preserve">If the State should fall in arrears, including in the </w:t>
      </w:r>
      <w:r w:rsidRPr="00300A27">
        <w:rPr>
          <w:rFonts w:eastAsia="Batang" w:cs="Times"/>
          <w:noProof/>
          <w:szCs w:val="20"/>
        </w:rPr>
        <w:t>r</w:t>
      </w:r>
      <w:r w:rsidR="002959DE" w:rsidRPr="00300A27">
        <w:rPr>
          <w:rFonts w:eastAsia="Batang" w:cs="Times"/>
          <w:noProof/>
          <w:szCs w:val="20"/>
        </w:rPr>
        <w:t>eimbursement of the Victims’ Legal Assistance Fund</w:t>
      </w:r>
      <w:r w:rsidR="00CA0141" w:rsidRPr="00300A27">
        <w:rPr>
          <w:rFonts w:eastAsia="Batang" w:cs="Times"/>
          <w:noProof/>
          <w:szCs w:val="20"/>
        </w:rPr>
        <w:t xml:space="preserve">, </w:t>
      </w:r>
      <w:r w:rsidRPr="00300A27">
        <w:rPr>
          <w:rFonts w:eastAsia="Batang" w:cs="Times"/>
          <w:noProof/>
          <w:szCs w:val="20"/>
        </w:rPr>
        <w:t>it shall pa</w:t>
      </w:r>
      <w:r w:rsidR="002378C9" w:rsidRPr="00300A27">
        <w:rPr>
          <w:rFonts w:eastAsia="Batang" w:cs="Times"/>
          <w:noProof/>
          <w:szCs w:val="20"/>
        </w:rPr>
        <w:t>y</w:t>
      </w:r>
      <w:r w:rsidRPr="00300A27">
        <w:rPr>
          <w:rFonts w:eastAsia="Batang" w:cs="Times"/>
          <w:noProof/>
          <w:szCs w:val="20"/>
        </w:rPr>
        <w:t xml:space="preserve"> interest on the amount owed corresponding to banking interest on arrears in </w:t>
      </w:r>
      <w:bookmarkEnd w:id="248"/>
      <w:r w:rsidR="005B1C65" w:rsidRPr="00300A27">
        <w:rPr>
          <w:rFonts w:eastAsia="Batang" w:cs="Times"/>
          <w:noProof/>
          <w:szCs w:val="20"/>
        </w:rPr>
        <w:t>the Republic of Peru</w:t>
      </w:r>
      <w:r w:rsidR="00CA0141" w:rsidRPr="00300A27">
        <w:rPr>
          <w:rFonts w:eastAsia="Batang" w:cs="Times"/>
          <w:noProof/>
          <w:szCs w:val="20"/>
        </w:rPr>
        <w:t>.</w:t>
      </w:r>
      <w:bookmarkEnd w:id="249"/>
    </w:p>
    <w:p w14:paraId="3AA9D396" w14:textId="57EC0395" w:rsidR="006B04A7" w:rsidRPr="00300A27" w:rsidRDefault="006B04A7" w:rsidP="00B243B6">
      <w:pPr>
        <w:pStyle w:val="Ttulo1"/>
        <w:rPr>
          <w:lang w:val="en-US"/>
        </w:rPr>
      </w:pPr>
      <w:bookmarkStart w:id="250" w:name="_Toc27405454"/>
      <w:bookmarkStart w:id="251" w:name="_Toc36823520"/>
      <w:r w:rsidRPr="00300A27">
        <w:rPr>
          <w:lang w:val="en-US"/>
        </w:rPr>
        <w:t>IX</w:t>
      </w:r>
      <w:r w:rsidRPr="00300A27">
        <w:rPr>
          <w:lang w:val="en-US"/>
        </w:rPr>
        <w:br/>
      </w:r>
      <w:r w:rsidR="002959DE" w:rsidRPr="00300A27">
        <w:rPr>
          <w:lang w:val="en-US"/>
        </w:rPr>
        <w:t>OPERATIVE PARAGRAPHS</w:t>
      </w:r>
      <w:bookmarkEnd w:id="250"/>
      <w:bookmarkEnd w:id="251"/>
    </w:p>
    <w:p w14:paraId="25321D10" w14:textId="1E9B724A" w:rsidR="0075604A" w:rsidRPr="00300A27" w:rsidRDefault="005B46A0" w:rsidP="00B243B6">
      <w:pPr>
        <w:pStyle w:val="Prrafodelista"/>
        <w:widowControl w:val="0"/>
        <w:numPr>
          <w:ilvl w:val="0"/>
          <w:numId w:val="3"/>
        </w:numPr>
        <w:tabs>
          <w:tab w:val="left" w:pos="567"/>
        </w:tabs>
        <w:adjustRightInd w:val="0"/>
        <w:spacing w:before="120" w:after="120"/>
        <w:ind w:left="0" w:firstLine="0"/>
        <w:contextualSpacing w:val="0"/>
        <w:jc w:val="both"/>
        <w:rPr>
          <w:szCs w:val="20"/>
          <w:lang w:bidi="en-US"/>
        </w:rPr>
      </w:pPr>
      <w:r w:rsidRPr="00300A27">
        <w:rPr>
          <w:rFonts w:eastAsia="Batang" w:cs="Times"/>
          <w:noProof/>
          <w:szCs w:val="20"/>
        </w:rPr>
        <w:t>Therefore</w:t>
      </w:r>
      <w:r w:rsidR="0075604A" w:rsidRPr="00300A27">
        <w:rPr>
          <w:rFonts w:eastAsia="Batang" w:cs="Times"/>
          <w:noProof/>
          <w:szCs w:val="20"/>
        </w:rPr>
        <w:t>,</w:t>
      </w:r>
    </w:p>
    <w:p w14:paraId="2026E215" w14:textId="0E46F6BF" w:rsidR="006B04A7" w:rsidRPr="00300A27" w:rsidRDefault="005B1C65" w:rsidP="00B243B6">
      <w:pPr>
        <w:tabs>
          <w:tab w:val="left" w:pos="720"/>
        </w:tabs>
        <w:spacing w:before="360" w:after="360"/>
        <w:ind w:right="-86"/>
        <w:contextualSpacing/>
        <w:rPr>
          <w:b/>
          <w:bCs/>
          <w:lang w:bidi="en-US"/>
        </w:rPr>
      </w:pPr>
      <w:r w:rsidRPr="00300A27">
        <w:rPr>
          <w:b/>
          <w:bCs/>
          <w:lang w:bidi="en-US"/>
        </w:rPr>
        <w:t>THE COURT</w:t>
      </w:r>
    </w:p>
    <w:p w14:paraId="0B721BE8" w14:textId="77777777" w:rsidR="00EC46A5" w:rsidRPr="00300A27" w:rsidRDefault="00EC46A5" w:rsidP="00B243B6">
      <w:pPr>
        <w:tabs>
          <w:tab w:val="left" w:pos="720"/>
        </w:tabs>
        <w:ind w:right="-90"/>
        <w:contextualSpacing/>
      </w:pPr>
    </w:p>
    <w:p w14:paraId="33A54795" w14:textId="775DF68B" w:rsidR="00EC46A5" w:rsidRPr="00300A27" w:rsidRDefault="00EC46A5" w:rsidP="00B243B6">
      <w:pPr>
        <w:tabs>
          <w:tab w:val="left" w:pos="720"/>
        </w:tabs>
        <w:spacing w:before="360" w:after="360"/>
        <w:ind w:right="-86"/>
        <w:contextualSpacing/>
        <w:rPr>
          <w:b/>
          <w:bCs/>
          <w:lang w:bidi="en-US"/>
        </w:rPr>
      </w:pPr>
      <w:r w:rsidRPr="00300A27">
        <w:rPr>
          <w:b/>
          <w:bCs/>
          <w:lang w:bidi="en-US"/>
        </w:rPr>
        <w:t>DECIDE</w:t>
      </w:r>
      <w:r w:rsidR="005B46A0" w:rsidRPr="00300A27">
        <w:rPr>
          <w:b/>
          <w:bCs/>
          <w:lang w:bidi="en-US"/>
        </w:rPr>
        <w:t>S</w:t>
      </w:r>
      <w:r w:rsidRPr="00300A27">
        <w:rPr>
          <w:b/>
          <w:bCs/>
          <w:lang w:bidi="en-US"/>
        </w:rPr>
        <w:t>,</w:t>
      </w:r>
    </w:p>
    <w:p w14:paraId="66B7F0B9" w14:textId="77777777" w:rsidR="00EC46A5" w:rsidRPr="00300A27" w:rsidRDefault="00EC46A5" w:rsidP="00B243B6">
      <w:pPr>
        <w:tabs>
          <w:tab w:val="left" w:pos="720"/>
        </w:tabs>
        <w:spacing w:before="360" w:after="360"/>
        <w:ind w:right="-86"/>
        <w:contextualSpacing/>
        <w:rPr>
          <w:b/>
          <w:bCs/>
          <w:lang w:bidi="en-US"/>
        </w:rPr>
      </w:pPr>
    </w:p>
    <w:p w14:paraId="399AE1FE" w14:textId="09862C05" w:rsidR="00EC46A5" w:rsidRPr="00300A27" w:rsidRDefault="005B46A0" w:rsidP="00B243B6">
      <w:pPr>
        <w:tabs>
          <w:tab w:val="left" w:pos="720"/>
        </w:tabs>
        <w:ind w:right="-90"/>
        <w:contextualSpacing/>
        <w:rPr>
          <w:lang w:bidi="en-US"/>
        </w:rPr>
      </w:pPr>
      <w:r w:rsidRPr="00300A27">
        <w:rPr>
          <w:lang w:bidi="en-US"/>
        </w:rPr>
        <w:t>Unanimously</w:t>
      </w:r>
      <w:r w:rsidR="00EC46A5" w:rsidRPr="00300A27">
        <w:rPr>
          <w:lang w:bidi="en-US"/>
        </w:rPr>
        <w:t>:</w:t>
      </w:r>
    </w:p>
    <w:p w14:paraId="05DC9FA0" w14:textId="21F2DB24" w:rsidR="00EC46A5" w:rsidRPr="00300A27" w:rsidRDefault="005B46A0" w:rsidP="00B243B6">
      <w:pPr>
        <w:widowControl w:val="0"/>
        <w:numPr>
          <w:ilvl w:val="0"/>
          <w:numId w:val="40"/>
        </w:numPr>
        <w:tabs>
          <w:tab w:val="left" w:pos="567"/>
        </w:tabs>
        <w:adjustRightInd w:val="0"/>
        <w:spacing w:before="120" w:after="120"/>
        <w:ind w:right="-91"/>
        <w:jc w:val="both"/>
        <w:textAlignment w:val="baseline"/>
        <w:rPr>
          <w:kern w:val="2"/>
        </w:rPr>
      </w:pPr>
      <w:r w:rsidRPr="00300A27">
        <w:rPr>
          <w:kern w:val="2"/>
        </w:rPr>
        <w:t>To reject the</w:t>
      </w:r>
      <w:r w:rsidR="00EC46A5" w:rsidRPr="00300A27">
        <w:rPr>
          <w:kern w:val="2"/>
        </w:rPr>
        <w:t xml:space="preserve"> </w:t>
      </w:r>
      <w:r w:rsidR="007071F6" w:rsidRPr="00300A27">
        <w:rPr>
          <w:kern w:val="2"/>
        </w:rPr>
        <w:t>preliminary objection</w:t>
      </w:r>
      <w:r w:rsidR="00EC46A5" w:rsidRPr="00300A27">
        <w:rPr>
          <w:kern w:val="2"/>
        </w:rPr>
        <w:t xml:space="preserve"> </w:t>
      </w:r>
      <w:r w:rsidRPr="00300A27">
        <w:rPr>
          <w:kern w:val="2"/>
        </w:rPr>
        <w:t>relating to the</w:t>
      </w:r>
      <w:r w:rsidR="00EC46A5" w:rsidRPr="00300A27">
        <w:rPr>
          <w:kern w:val="2"/>
        </w:rPr>
        <w:t xml:space="preserve"> </w:t>
      </w:r>
      <w:r w:rsidRPr="00300A27">
        <w:rPr>
          <w:kern w:val="2"/>
        </w:rPr>
        <w:t>a</w:t>
      </w:r>
      <w:r w:rsidR="00FD36FD" w:rsidRPr="00300A27">
        <w:rPr>
          <w:kern w:val="2"/>
        </w:rPr>
        <w:t>lleged failure to exhaust domestic remedies</w:t>
      </w:r>
      <w:r w:rsidR="00EC46A5" w:rsidRPr="00300A27">
        <w:rPr>
          <w:kern w:val="2"/>
        </w:rPr>
        <w:t xml:space="preserve">, </w:t>
      </w:r>
      <w:r w:rsidRPr="00300A27">
        <w:rPr>
          <w:kern w:val="2"/>
        </w:rPr>
        <w:t>pursuant to</w:t>
      </w:r>
      <w:r w:rsidR="00EC46A5" w:rsidRPr="00300A27">
        <w:rPr>
          <w:kern w:val="2"/>
        </w:rPr>
        <w:t xml:space="preserve"> </w:t>
      </w:r>
      <w:r w:rsidRPr="00300A27">
        <w:rPr>
          <w:kern w:val="2"/>
        </w:rPr>
        <w:t>paragraphs</w:t>
      </w:r>
      <w:r w:rsidR="0082413E" w:rsidRPr="00300A27">
        <w:rPr>
          <w:kern w:val="2"/>
        </w:rPr>
        <w:t xml:space="preserve"> </w:t>
      </w:r>
      <w:r w:rsidR="0082413E" w:rsidRPr="00300A27">
        <w:rPr>
          <w:kern w:val="2"/>
        </w:rPr>
        <w:fldChar w:fldCharType="begin"/>
      </w:r>
      <w:r w:rsidR="0082413E" w:rsidRPr="00300A27">
        <w:rPr>
          <w:kern w:val="2"/>
        </w:rPr>
        <w:instrText xml:space="preserve"> REF _Ref446681717 \r \h </w:instrText>
      </w:r>
      <w:r w:rsidR="00B243B6" w:rsidRPr="00300A27">
        <w:rPr>
          <w:kern w:val="2"/>
        </w:rPr>
        <w:instrText xml:space="preserve"> \* MERGEFORMAT </w:instrText>
      </w:r>
      <w:r w:rsidR="0082413E" w:rsidRPr="00300A27">
        <w:rPr>
          <w:kern w:val="2"/>
        </w:rPr>
      </w:r>
      <w:r w:rsidR="0082413E" w:rsidRPr="00300A27">
        <w:rPr>
          <w:kern w:val="2"/>
        </w:rPr>
        <w:fldChar w:fldCharType="separate"/>
      </w:r>
      <w:r w:rsidR="00632F77" w:rsidRPr="00300A27">
        <w:rPr>
          <w:kern w:val="2"/>
        </w:rPr>
        <w:t>22</w:t>
      </w:r>
      <w:r w:rsidR="0082413E" w:rsidRPr="00300A27">
        <w:rPr>
          <w:kern w:val="2"/>
        </w:rPr>
        <w:fldChar w:fldCharType="end"/>
      </w:r>
      <w:r w:rsidR="0082413E" w:rsidRPr="00300A27">
        <w:rPr>
          <w:kern w:val="2"/>
        </w:rPr>
        <w:t xml:space="preserve"> </w:t>
      </w:r>
      <w:r w:rsidRPr="00300A27">
        <w:rPr>
          <w:kern w:val="2"/>
        </w:rPr>
        <w:t>to</w:t>
      </w:r>
      <w:r w:rsidR="0082413E" w:rsidRPr="00300A27">
        <w:rPr>
          <w:kern w:val="2"/>
        </w:rPr>
        <w:t xml:space="preserve"> </w:t>
      </w:r>
      <w:r w:rsidR="0082413E" w:rsidRPr="00300A27">
        <w:rPr>
          <w:kern w:val="2"/>
        </w:rPr>
        <w:fldChar w:fldCharType="begin"/>
      </w:r>
      <w:r w:rsidR="0082413E" w:rsidRPr="00300A27">
        <w:rPr>
          <w:kern w:val="2"/>
        </w:rPr>
        <w:instrText xml:space="preserve"> REF _Ref446681719 \r \h </w:instrText>
      </w:r>
      <w:r w:rsidR="00B243B6" w:rsidRPr="00300A27">
        <w:rPr>
          <w:kern w:val="2"/>
        </w:rPr>
        <w:instrText xml:space="preserve"> \* MERGEFORMAT </w:instrText>
      </w:r>
      <w:r w:rsidR="0082413E" w:rsidRPr="00300A27">
        <w:rPr>
          <w:kern w:val="2"/>
        </w:rPr>
      </w:r>
      <w:r w:rsidR="0082413E" w:rsidRPr="00300A27">
        <w:rPr>
          <w:kern w:val="2"/>
        </w:rPr>
        <w:fldChar w:fldCharType="separate"/>
      </w:r>
      <w:r w:rsidR="00632F77" w:rsidRPr="00300A27">
        <w:rPr>
          <w:kern w:val="2"/>
        </w:rPr>
        <w:t>26</w:t>
      </w:r>
      <w:r w:rsidR="0082413E" w:rsidRPr="00300A27">
        <w:rPr>
          <w:kern w:val="2"/>
        </w:rPr>
        <w:fldChar w:fldCharType="end"/>
      </w:r>
      <w:r w:rsidR="0082413E" w:rsidRPr="00300A27">
        <w:rPr>
          <w:kern w:val="2"/>
        </w:rPr>
        <w:t xml:space="preserve"> </w:t>
      </w:r>
      <w:r w:rsidRPr="00300A27">
        <w:rPr>
          <w:kern w:val="2"/>
        </w:rPr>
        <w:t>of this judgment</w:t>
      </w:r>
      <w:r w:rsidR="00EC46A5" w:rsidRPr="00300A27">
        <w:rPr>
          <w:kern w:val="2"/>
        </w:rPr>
        <w:t>.</w:t>
      </w:r>
    </w:p>
    <w:p w14:paraId="7BE46223" w14:textId="79511C5E" w:rsidR="00EC46A5" w:rsidRPr="00300A27" w:rsidRDefault="005B46A0" w:rsidP="00B243B6">
      <w:pPr>
        <w:widowControl w:val="0"/>
        <w:numPr>
          <w:ilvl w:val="0"/>
          <w:numId w:val="40"/>
        </w:numPr>
        <w:tabs>
          <w:tab w:val="left" w:pos="567"/>
        </w:tabs>
        <w:adjustRightInd w:val="0"/>
        <w:spacing w:before="120" w:after="120"/>
        <w:ind w:right="-91"/>
        <w:jc w:val="both"/>
        <w:textAlignment w:val="baseline"/>
        <w:rPr>
          <w:kern w:val="2"/>
        </w:rPr>
      </w:pPr>
      <w:r w:rsidRPr="00300A27">
        <w:rPr>
          <w:kern w:val="2"/>
        </w:rPr>
        <w:t>To reject the</w:t>
      </w:r>
      <w:r w:rsidR="00EC46A5" w:rsidRPr="00300A27">
        <w:rPr>
          <w:kern w:val="2"/>
        </w:rPr>
        <w:t xml:space="preserve"> </w:t>
      </w:r>
      <w:r w:rsidR="007071F6" w:rsidRPr="00300A27">
        <w:rPr>
          <w:kern w:val="2"/>
        </w:rPr>
        <w:t>preliminary objection</w:t>
      </w:r>
      <w:r w:rsidR="00EC46A5" w:rsidRPr="00300A27">
        <w:rPr>
          <w:kern w:val="2"/>
        </w:rPr>
        <w:t xml:space="preserve"> </w:t>
      </w:r>
      <w:r w:rsidRPr="00300A27">
        <w:rPr>
          <w:kern w:val="2"/>
        </w:rPr>
        <w:t xml:space="preserve">relating to the </w:t>
      </w:r>
      <w:r w:rsidR="00892EDF" w:rsidRPr="00300A27">
        <w:rPr>
          <w:kern w:val="2"/>
        </w:rPr>
        <w:t>subsidiary nature of the inter-American system</w:t>
      </w:r>
      <w:r w:rsidR="00EC46A5" w:rsidRPr="00300A27">
        <w:rPr>
          <w:kern w:val="2"/>
        </w:rPr>
        <w:t xml:space="preserve">, </w:t>
      </w:r>
      <w:r w:rsidRPr="00300A27">
        <w:rPr>
          <w:kern w:val="2"/>
        </w:rPr>
        <w:t>pursuant to paragraphs</w:t>
      </w:r>
      <w:r w:rsidR="0082413E" w:rsidRPr="00300A27">
        <w:rPr>
          <w:kern w:val="2"/>
        </w:rPr>
        <w:t xml:space="preserve"> </w:t>
      </w:r>
      <w:r w:rsidR="0082413E" w:rsidRPr="00300A27">
        <w:rPr>
          <w:kern w:val="2"/>
        </w:rPr>
        <w:fldChar w:fldCharType="begin"/>
      </w:r>
      <w:r w:rsidR="0082413E" w:rsidRPr="00300A27">
        <w:rPr>
          <w:kern w:val="2"/>
        </w:rPr>
        <w:instrText xml:space="preserve"> REF _Ref446681761 \r \h </w:instrText>
      </w:r>
      <w:r w:rsidR="00B243B6" w:rsidRPr="00300A27">
        <w:rPr>
          <w:kern w:val="2"/>
        </w:rPr>
        <w:instrText xml:space="preserve"> \* MERGEFORMAT </w:instrText>
      </w:r>
      <w:r w:rsidR="0082413E" w:rsidRPr="00300A27">
        <w:rPr>
          <w:kern w:val="2"/>
        </w:rPr>
      </w:r>
      <w:r w:rsidR="0082413E" w:rsidRPr="00300A27">
        <w:rPr>
          <w:kern w:val="2"/>
        </w:rPr>
        <w:fldChar w:fldCharType="separate"/>
      </w:r>
      <w:r w:rsidR="00632F77" w:rsidRPr="00300A27">
        <w:rPr>
          <w:kern w:val="2"/>
        </w:rPr>
        <w:t>28</w:t>
      </w:r>
      <w:r w:rsidR="0082413E" w:rsidRPr="00300A27">
        <w:rPr>
          <w:kern w:val="2"/>
        </w:rPr>
        <w:fldChar w:fldCharType="end"/>
      </w:r>
      <w:r w:rsidR="0082413E" w:rsidRPr="00300A27">
        <w:rPr>
          <w:kern w:val="2"/>
        </w:rPr>
        <w:t xml:space="preserve"> a</w:t>
      </w:r>
      <w:r w:rsidRPr="00300A27">
        <w:rPr>
          <w:kern w:val="2"/>
        </w:rPr>
        <w:t>nd</w:t>
      </w:r>
      <w:r w:rsidR="0082413E" w:rsidRPr="00300A27">
        <w:rPr>
          <w:kern w:val="2"/>
        </w:rPr>
        <w:t xml:space="preserve"> </w:t>
      </w:r>
      <w:r w:rsidR="0082413E" w:rsidRPr="00300A27">
        <w:rPr>
          <w:kern w:val="2"/>
        </w:rPr>
        <w:fldChar w:fldCharType="begin"/>
      </w:r>
      <w:r w:rsidR="0082413E" w:rsidRPr="00300A27">
        <w:rPr>
          <w:kern w:val="2"/>
        </w:rPr>
        <w:instrText xml:space="preserve"> REF _Ref446681763 \r \h </w:instrText>
      </w:r>
      <w:r w:rsidR="00B243B6" w:rsidRPr="00300A27">
        <w:rPr>
          <w:kern w:val="2"/>
        </w:rPr>
        <w:instrText xml:space="preserve"> \* MERGEFORMAT </w:instrText>
      </w:r>
      <w:r w:rsidR="0082413E" w:rsidRPr="00300A27">
        <w:rPr>
          <w:kern w:val="2"/>
        </w:rPr>
      </w:r>
      <w:r w:rsidR="0082413E" w:rsidRPr="00300A27">
        <w:rPr>
          <w:kern w:val="2"/>
        </w:rPr>
        <w:fldChar w:fldCharType="separate"/>
      </w:r>
      <w:r w:rsidR="00632F77" w:rsidRPr="00300A27">
        <w:rPr>
          <w:kern w:val="2"/>
        </w:rPr>
        <w:t>29</w:t>
      </w:r>
      <w:r w:rsidR="0082413E" w:rsidRPr="00300A27">
        <w:rPr>
          <w:kern w:val="2"/>
        </w:rPr>
        <w:fldChar w:fldCharType="end"/>
      </w:r>
      <w:r w:rsidR="00EC46A5" w:rsidRPr="00300A27">
        <w:rPr>
          <w:kern w:val="2"/>
        </w:rPr>
        <w:t xml:space="preserve"> </w:t>
      </w:r>
      <w:r w:rsidRPr="00300A27">
        <w:rPr>
          <w:kern w:val="2"/>
        </w:rPr>
        <w:t>of this judgment</w:t>
      </w:r>
      <w:r w:rsidR="00EC46A5" w:rsidRPr="00300A27">
        <w:rPr>
          <w:kern w:val="2"/>
        </w:rPr>
        <w:t>.</w:t>
      </w:r>
    </w:p>
    <w:p w14:paraId="0395CE95" w14:textId="7C546DAF" w:rsidR="00EC46A5" w:rsidRPr="00300A27" w:rsidRDefault="005B46A0" w:rsidP="00B243B6">
      <w:pPr>
        <w:widowControl w:val="0"/>
        <w:numPr>
          <w:ilvl w:val="0"/>
          <w:numId w:val="40"/>
        </w:numPr>
        <w:tabs>
          <w:tab w:val="left" w:pos="567"/>
        </w:tabs>
        <w:adjustRightInd w:val="0"/>
        <w:spacing w:before="120" w:after="120"/>
        <w:ind w:right="-91"/>
        <w:jc w:val="both"/>
        <w:textAlignment w:val="baseline"/>
        <w:rPr>
          <w:kern w:val="2"/>
        </w:rPr>
      </w:pPr>
      <w:r w:rsidRPr="00300A27">
        <w:rPr>
          <w:kern w:val="2"/>
        </w:rPr>
        <w:t>To reject the</w:t>
      </w:r>
      <w:r w:rsidR="00EC46A5" w:rsidRPr="00300A27">
        <w:rPr>
          <w:kern w:val="2"/>
        </w:rPr>
        <w:t xml:space="preserve"> </w:t>
      </w:r>
      <w:r w:rsidR="007071F6" w:rsidRPr="00300A27">
        <w:rPr>
          <w:kern w:val="2"/>
        </w:rPr>
        <w:t>preliminary objection</w:t>
      </w:r>
      <w:r w:rsidR="00EC46A5" w:rsidRPr="00300A27">
        <w:rPr>
          <w:kern w:val="2"/>
        </w:rPr>
        <w:t xml:space="preserve"> </w:t>
      </w:r>
      <w:r w:rsidRPr="00300A27">
        <w:rPr>
          <w:kern w:val="2"/>
        </w:rPr>
        <w:t xml:space="preserve">relating to the </w:t>
      </w:r>
      <w:r w:rsidR="00AC76E7" w:rsidRPr="00300A27">
        <w:rPr>
          <w:kern w:val="2"/>
        </w:rPr>
        <w:t>fourth instance</w:t>
      </w:r>
      <w:r w:rsidR="00EC46A5" w:rsidRPr="00300A27">
        <w:rPr>
          <w:kern w:val="2"/>
        </w:rPr>
        <w:t xml:space="preserve">, </w:t>
      </w:r>
      <w:r w:rsidRPr="00300A27">
        <w:rPr>
          <w:kern w:val="2"/>
        </w:rPr>
        <w:t>pursuant to paragraphs</w:t>
      </w:r>
      <w:r w:rsidR="00EC46A5" w:rsidRPr="00300A27">
        <w:rPr>
          <w:kern w:val="2"/>
        </w:rPr>
        <w:t xml:space="preserve"> </w:t>
      </w:r>
      <w:r w:rsidR="0082413E" w:rsidRPr="00300A27">
        <w:rPr>
          <w:kern w:val="2"/>
        </w:rPr>
        <w:fldChar w:fldCharType="begin"/>
      </w:r>
      <w:r w:rsidR="0082413E" w:rsidRPr="00300A27">
        <w:rPr>
          <w:kern w:val="2"/>
        </w:rPr>
        <w:instrText xml:space="preserve"> REF _Ref33106019 \r \h </w:instrText>
      </w:r>
      <w:r w:rsidR="00B243B6" w:rsidRPr="00300A27">
        <w:rPr>
          <w:kern w:val="2"/>
        </w:rPr>
        <w:instrText xml:space="preserve"> \* MERGEFORMAT </w:instrText>
      </w:r>
      <w:r w:rsidR="0082413E" w:rsidRPr="00300A27">
        <w:rPr>
          <w:kern w:val="2"/>
        </w:rPr>
      </w:r>
      <w:r w:rsidR="0082413E" w:rsidRPr="00300A27">
        <w:rPr>
          <w:kern w:val="2"/>
        </w:rPr>
        <w:fldChar w:fldCharType="separate"/>
      </w:r>
      <w:r w:rsidR="00632F77" w:rsidRPr="00300A27">
        <w:rPr>
          <w:kern w:val="2"/>
        </w:rPr>
        <w:t>31</w:t>
      </w:r>
      <w:r w:rsidR="0082413E" w:rsidRPr="00300A27">
        <w:rPr>
          <w:kern w:val="2"/>
        </w:rPr>
        <w:fldChar w:fldCharType="end"/>
      </w:r>
      <w:r w:rsidR="0082413E" w:rsidRPr="00300A27">
        <w:rPr>
          <w:kern w:val="2"/>
        </w:rPr>
        <w:t xml:space="preserve"> </w:t>
      </w:r>
      <w:r w:rsidRPr="00300A27">
        <w:rPr>
          <w:kern w:val="2"/>
        </w:rPr>
        <w:t>to</w:t>
      </w:r>
      <w:r w:rsidR="0082413E" w:rsidRPr="00300A27">
        <w:rPr>
          <w:kern w:val="2"/>
        </w:rPr>
        <w:t xml:space="preserve"> </w:t>
      </w:r>
      <w:r w:rsidR="0082413E" w:rsidRPr="00300A27">
        <w:rPr>
          <w:kern w:val="2"/>
        </w:rPr>
        <w:fldChar w:fldCharType="begin"/>
      </w:r>
      <w:r w:rsidR="0082413E" w:rsidRPr="00300A27">
        <w:rPr>
          <w:kern w:val="2"/>
        </w:rPr>
        <w:instrText xml:space="preserve"> REF _Ref446681784 \r \h </w:instrText>
      </w:r>
      <w:r w:rsidR="00B243B6" w:rsidRPr="00300A27">
        <w:rPr>
          <w:kern w:val="2"/>
        </w:rPr>
        <w:instrText xml:space="preserve"> \* MERGEFORMAT </w:instrText>
      </w:r>
      <w:r w:rsidR="0082413E" w:rsidRPr="00300A27">
        <w:rPr>
          <w:kern w:val="2"/>
        </w:rPr>
      </w:r>
      <w:r w:rsidR="0082413E" w:rsidRPr="00300A27">
        <w:rPr>
          <w:kern w:val="2"/>
        </w:rPr>
        <w:fldChar w:fldCharType="separate"/>
      </w:r>
      <w:r w:rsidR="00632F77" w:rsidRPr="00300A27">
        <w:rPr>
          <w:kern w:val="2"/>
        </w:rPr>
        <w:t>33</w:t>
      </w:r>
      <w:r w:rsidR="0082413E" w:rsidRPr="00300A27">
        <w:rPr>
          <w:kern w:val="2"/>
        </w:rPr>
        <w:fldChar w:fldCharType="end"/>
      </w:r>
      <w:r w:rsidR="0082413E" w:rsidRPr="00300A27">
        <w:rPr>
          <w:kern w:val="2"/>
        </w:rPr>
        <w:t xml:space="preserve"> </w:t>
      </w:r>
      <w:r w:rsidRPr="00300A27">
        <w:rPr>
          <w:kern w:val="2"/>
        </w:rPr>
        <w:t>of this judgment</w:t>
      </w:r>
      <w:r w:rsidR="00EC46A5" w:rsidRPr="00300A27">
        <w:rPr>
          <w:kern w:val="2"/>
        </w:rPr>
        <w:t>.</w:t>
      </w:r>
    </w:p>
    <w:p w14:paraId="2522D2F7" w14:textId="77777777" w:rsidR="00EC46A5" w:rsidRPr="00300A27" w:rsidRDefault="00EC46A5" w:rsidP="00B243B6">
      <w:pPr>
        <w:tabs>
          <w:tab w:val="left" w:pos="720"/>
        </w:tabs>
        <w:spacing w:before="360" w:after="360"/>
        <w:ind w:right="-86"/>
        <w:contextualSpacing/>
        <w:rPr>
          <w:b/>
          <w:bCs/>
          <w:lang w:bidi="en-US"/>
        </w:rPr>
      </w:pPr>
    </w:p>
    <w:p w14:paraId="44042758" w14:textId="58C4221F" w:rsidR="00EC46A5" w:rsidRPr="00300A27" w:rsidRDefault="00EC46A5" w:rsidP="00B243B6">
      <w:pPr>
        <w:tabs>
          <w:tab w:val="left" w:pos="720"/>
        </w:tabs>
        <w:spacing w:before="120" w:after="120"/>
        <w:ind w:right="-86"/>
        <w:rPr>
          <w:b/>
          <w:bCs/>
          <w:lang w:bidi="en-US"/>
        </w:rPr>
      </w:pPr>
      <w:r w:rsidRPr="00300A27">
        <w:rPr>
          <w:b/>
          <w:bCs/>
          <w:lang w:bidi="en-US"/>
        </w:rPr>
        <w:t>DECLAR</w:t>
      </w:r>
      <w:r w:rsidR="005B46A0" w:rsidRPr="00300A27">
        <w:rPr>
          <w:b/>
          <w:bCs/>
          <w:lang w:bidi="en-US"/>
        </w:rPr>
        <w:t>ES</w:t>
      </w:r>
      <w:r w:rsidRPr="00300A27">
        <w:rPr>
          <w:b/>
          <w:bCs/>
          <w:lang w:bidi="en-US"/>
        </w:rPr>
        <w:t>,</w:t>
      </w:r>
    </w:p>
    <w:p w14:paraId="6E663E19" w14:textId="79600761" w:rsidR="00EC46A5" w:rsidRPr="00300A27" w:rsidRDefault="005B46A0" w:rsidP="00B243B6">
      <w:pPr>
        <w:tabs>
          <w:tab w:val="left" w:pos="720"/>
        </w:tabs>
        <w:spacing w:before="120" w:after="120"/>
        <w:ind w:right="-90"/>
        <w:rPr>
          <w:lang w:bidi="en-US"/>
        </w:rPr>
      </w:pPr>
      <w:r w:rsidRPr="00300A27">
        <w:rPr>
          <w:lang w:bidi="en-US"/>
        </w:rPr>
        <w:t>Unanimously, that</w:t>
      </w:r>
      <w:r w:rsidR="00EC46A5" w:rsidRPr="00300A27">
        <w:rPr>
          <w:lang w:bidi="en-US"/>
        </w:rPr>
        <w:t>:</w:t>
      </w:r>
    </w:p>
    <w:p w14:paraId="63692AD5" w14:textId="11410701" w:rsidR="00EC46A5" w:rsidRPr="00300A27" w:rsidRDefault="005B1C65" w:rsidP="00B243B6">
      <w:pPr>
        <w:pStyle w:val="PrrafodeSentencia"/>
        <w:numPr>
          <w:ilvl w:val="0"/>
          <w:numId w:val="40"/>
        </w:numPr>
        <w:spacing w:before="120" w:after="120"/>
        <w:ind w:left="0" w:firstLine="0"/>
        <w:rPr>
          <w:lang w:val="en-US"/>
        </w:rPr>
      </w:pPr>
      <w:r w:rsidRPr="00300A27">
        <w:rPr>
          <w:kern w:val="2"/>
          <w:lang w:val="en-US"/>
        </w:rPr>
        <w:t>The State</w:t>
      </w:r>
      <w:r w:rsidR="00EC46A5" w:rsidRPr="00300A27">
        <w:rPr>
          <w:kern w:val="2"/>
          <w:lang w:val="en-US"/>
        </w:rPr>
        <w:t xml:space="preserve"> </w:t>
      </w:r>
      <w:r w:rsidR="005B46A0" w:rsidRPr="00300A27">
        <w:rPr>
          <w:kern w:val="2"/>
          <w:lang w:val="en-US"/>
        </w:rPr>
        <w:t>is responsible for</w:t>
      </w:r>
      <w:r w:rsidR="00EC46A5" w:rsidRPr="00300A27">
        <w:rPr>
          <w:kern w:val="2"/>
          <w:lang w:val="en-US"/>
        </w:rPr>
        <w:t xml:space="preserve"> </w:t>
      </w:r>
      <w:r w:rsidR="00BA3C7F" w:rsidRPr="00300A27">
        <w:rPr>
          <w:kern w:val="2"/>
          <w:lang w:val="en-US"/>
        </w:rPr>
        <w:t>the violation of</w:t>
      </w:r>
      <w:r w:rsidR="00EC46A5" w:rsidRPr="00300A27">
        <w:rPr>
          <w:kern w:val="2"/>
          <w:lang w:val="en-US"/>
        </w:rPr>
        <w:t xml:space="preserve"> </w:t>
      </w:r>
      <w:r w:rsidR="005B46A0" w:rsidRPr="00300A27">
        <w:rPr>
          <w:kern w:val="2"/>
          <w:lang w:val="en-US"/>
        </w:rPr>
        <w:t>the rights recognized in</w:t>
      </w:r>
      <w:r w:rsidR="00200C2F" w:rsidRPr="00300A27">
        <w:rPr>
          <w:lang w:val="en-US"/>
        </w:rPr>
        <w:t xml:space="preserve"> </w:t>
      </w:r>
      <w:r w:rsidRPr="00300A27">
        <w:rPr>
          <w:lang w:val="en-US"/>
        </w:rPr>
        <w:t>Articles</w:t>
      </w:r>
      <w:r w:rsidR="00200C2F" w:rsidRPr="00300A27">
        <w:rPr>
          <w:lang w:val="en-US"/>
        </w:rPr>
        <w:t xml:space="preserve"> </w:t>
      </w:r>
      <w:r w:rsidR="00BA3C7F" w:rsidRPr="00300A27">
        <w:rPr>
          <w:spacing w:val="0"/>
          <w:lang w:val="en-US"/>
        </w:rPr>
        <w:t>7(1)</w:t>
      </w:r>
      <w:r w:rsidR="00200C2F" w:rsidRPr="00300A27">
        <w:rPr>
          <w:spacing w:val="0"/>
          <w:lang w:val="en-US"/>
        </w:rPr>
        <w:t xml:space="preserve">, </w:t>
      </w:r>
      <w:r w:rsidR="00BA3C7F" w:rsidRPr="00300A27">
        <w:rPr>
          <w:spacing w:val="0"/>
          <w:lang w:val="en-US"/>
        </w:rPr>
        <w:t>7(2)</w:t>
      </w:r>
      <w:r w:rsidR="00200C2F" w:rsidRPr="00300A27">
        <w:rPr>
          <w:spacing w:val="0"/>
          <w:lang w:val="en-US"/>
        </w:rPr>
        <w:t xml:space="preserve">, </w:t>
      </w:r>
      <w:r w:rsidR="00BA3C7F" w:rsidRPr="00300A27">
        <w:rPr>
          <w:spacing w:val="0"/>
          <w:lang w:val="en-US"/>
        </w:rPr>
        <w:t>7(3)</w:t>
      </w:r>
      <w:r w:rsidRPr="00300A27">
        <w:rPr>
          <w:spacing w:val="0"/>
          <w:lang w:val="en-US"/>
        </w:rPr>
        <w:t xml:space="preserve"> and </w:t>
      </w:r>
      <w:r w:rsidR="0006490A" w:rsidRPr="00300A27">
        <w:rPr>
          <w:spacing w:val="0"/>
          <w:lang w:val="en-US"/>
        </w:rPr>
        <w:t>7(4)</w:t>
      </w:r>
      <w:r w:rsidRPr="00300A27">
        <w:rPr>
          <w:spacing w:val="0"/>
          <w:lang w:val="en-US"/>
        </w:rPr>
        <w:t xml:space="preserve"> of the American Convention on Human Rights</w:t>
      </w:r>
      <w:r w:rsidR="00200C2F" w:rsidRPr="00300A27">
        <w:rPr>
          <w:spacing w:val="0"/>
          <w:lang w:val="en-US"/>
        </w:rPr>
        <w:t xml:space="preserve">, </w:t>
      </w:r>
      <w:r w:rsidR="005B46A0" w:rsidRPr="00300A27">
        <w:rPr>
          <w:spacing w:val="0"/>
          <w:lang w:val="en-US"/>
        </w:rPr>
        <w:t>in relation to the obligations to respect and to ensure these rights without discrimination</w:t>
      </w:r>
      <w:r w:rsidR="00EC46A5" w:rsidRPr="00300A27">
        <w:rPr>
          <w:spacing w:val="0"/>
          <w:lang w:val="en-US"/>
        </w:rPr>
        <w:t xml:space="preserve">, </w:t>
      </w:r>
      <w:r w:rsidR="005B46A0" w:rsidRPr="00300A27">
        <w:rPr>
          <w:spacing w:val="0"/>
          <w:lang w:val="en-US"/>
        </w:rPr>
        <w:t>established in</w:t>
      </w:r>
      <w:r w:rsidR="00EC46A5" w:rsidRPr="00300A27">
        <w:rPr>
          <w:spacing w:val="0"/>
          <w:lang w:val="en-US"/>
        </w:rPr>
        <w:t xml:space="preserve"> </w:t>
      </w:r>
      <w:r w:rsidRPr="00300A27">
        <w:rPr>
          <w:spacing w:val="0"/>
          <w:lang w:val="en-US"/>
        </w:rPr>
        <w:t>Article</w:t>
      </w:r>
      <w:r w:rsidR="00EC46A5" w:rsidRPr="00300A27">
        <w:rPr>
          <w:spacing w:val="0"/>
          <w:lang w:val="en-US"/>
        </w:rPr>
        <w:t xml:space="preserve"> </w:t>
      </w:r>
      <w:r w:rsidR="00BA3C7F" w:rsidRPr="00300A27">
        <w:rPr>
          <w:spacing w:val="0"/>
          <w:lang w:val="en-US"/>
        </w:rPr>
        <w:t>1(1)</w:t>
      </w:r>
      <w:r w:rsidR="00EC46A5" w:rsidRPr="00300A27">
        <w:rPr>
          <w:spacing w:val="0"/>
          <w:lang w:val="en-US"/>
        </w:rPr>
        <w:t xml:space="preserve"> </w:t>
      </w:r>
      <w:r w:rsidR="00BA3C7F" w:rsidRPr="00300A27">
        <w:rPr>
          <w:spacing w:val="0"/>
          <w:lang w:val="en-US"/>
        </w:rPr>
        <w:t>of this instrument</w:t>
      </w:r>
      <w:r w:rsidR="00EC46A5" w:rsidRPr="00300A27">
        <w:rPr>
          <w:spacing w:val="0"/>
          <w:lang w:val="en-US"/>
        </w:rPr>
        <w:t xml:space="preserve">, </w:t>
      </w:r>
      <w:r w:rsidR="00BA3C7F" w:rsidRPr="00300A27">
        <w:rPr>
          <w:spacing w:val="0"/>
          <w:lang w:val="en-US"/>
        </w:rPr>
        <w:t>to the detriment of</w:t>
      </w:r>
      <w:r w:rsidR="00EC46A5" w:rsidRPr="00300A27">
        <w:rPr>
          <w:spacing w:val="0"/>
          <w:lang w:val="en-US"/>
        </w:rPr>
        <w:t xml:space="preserve"> Azul Rojas Marín</w:t>
      </w:r>
      <w:r w:rsidR="00EC46A5" w:rsidRPr="00300A27">
        <w:rPr>
          <w:kern w:val="2"/>
          <w:lang w:val="en-US"/>
        </w:rPr>
        <w:t xml:space="preserve">, </w:t>
      </w:r>
      <w:r w:rsidR="005B46A0" w:rsidRPr="00300A27">
        <w:rPr>
          <w:lang w:val="en-US"/>
        </w:rPr>
        <w:t>pursuant to</w:t>
      </w:r>
      <w:r w:rsidR="00EC46A5" w:rsidRPr="00300A27">
        <w:rPr>
          <w:lang w:val="en-US"/>
        </w:rPr>
        <w:t xml:space="preserve"> </w:t>
      </w:r>
      <w:r w:rsidR="005B46A0" w:rsidRPr="00300A27">
        <w:rPr>
          <w:lang w:val="en-US"/>
        </w:rPr>
        <w:t>paragraphs</w:t>
      </w:r>
      <w:r w:rsidR="0082413E" w:rsidRPr="00300A27">
        <w:rPr>
          <w:lang w:val="en-US"/>
        </w:rPr>
        <w:t xml:space="preserve"> </w:t>
      </w:r>
      <w:r w:rsidR="0082413E" w:rsidRPr="00300A27">
        <w:rPr>
          <w:lang w:val="en-US"/>
        </w:rPr>
        <w:fldChar w:fldCharType="begin"/>
      </w:r>
      <w:r w:rsidR="0082413E" w:rsidRPr="00300A27">
        <w:rPr>
          <w:lang w:val="en-US"/>
        </w:rPr>
        <w:instrText xml:space="preserve"> REF _Ref33106089 \r \h </w:instrText>
      </w:r>
      <w:r w:rsidR="00B243B6" w:rsidRPr="00300A27">
        <w:rPr>
          <w:lang w:val="en-US"/>
        </w:rPr>
        <w:instrText xml:space="preserve"> \* MERGEFORMAT </w:instrText>
      </w:r>
      <w:r w:rsidR="0082413E" w:rsidRPr="00300A27">
        <w:rPr>
          <w:lang w:val="en-US"/>
        </w:rPr>
      </w:r>
      <w:r w:rsidR="0082413E" w:rsidRPr="00300A27">
        <w:rPr>
          <w:lang w:val="en-US"/>
        </w:rPr>
        <w:fldChar w:fldCharType="separate"/>
      </w:r>
      <w:r w:rsidR="00632F77" w:rsidRPr="00300A27">
        <w:rPr>
          <w:lang w:val="en-US"/>
        </w:rPr>
        <w:t>100</w:t>
      </w:r>
      <w:r w:rsidR="0082413E" w:rsidRPr="00300A27">
        <w:rPr>
          <w:lang w:val="en-US"/>
        </w:rPr>
        <w:fldChar w:fldCharType="end"/>
      </w:r>
      <w:r w:rsidR="0082413E" w:rsidRPr="00300A27">
        <w:rPr>
          <w:lang w:val="en-US"/>
        </w:rPr>
        <w:t xml:space="preserve"> </w:t>
      </w:r>
      <w:r w:rsidR="005B46A0" w:rsidRPr="00300A27">
        <w:rPr>
          <w:lang w:val="en-US"/>
        </w:rPr>
        <w:t>to</w:t>
      </w:r>
      <w:r w:rsidR="0082413E" w:rsidRPr="00300A27">
        <w:rPr>
          <w:lang w:val="en-US"/>
        </w:rPr>
        <w:t xml:space="preserve"> </w:t>
      </w:r>
      <w:r w:rsidR="0082413E" w:rsidRPr="00300A27">
        <w:rPr>
          <w:lang w:val="en-US"/>
        </w:rPr>
        <w:fldChar w:fldCharType="begin"/>
      </w:r>
      <w:r w:rsidR="0082413E" w:rsidRPr="00300A27">
        <w:rPr>
          <w:lang w:val="en-US"/>
        </w:rPr>
        <w:instrText xml:space="preserve"> REF _Ref446681907 \r \h </w:instrText>
      </w:r>
      <w:r w:rsidR="00B243B6" w:rsidRPr="00300A27">
        <w:rPr>
          <w:lang w:val="en-US"/>
        </w:rPr>
        <w:instrText xml:space="preserve"> \* MERGEFORMAT </w:instrText>
      </w:r>
      <w:r w:rsidR="0082413E" w:rsidRPr="00300A27">
        <w:rPr>
          <w:lang w:val="en-US"/>
        </w:rPr>
      </w:r>
      <w:r w:rsidR="0082413E" w:rsidRPr="00300A27">
        <w:rPr>
          <w:lang w:val="en-US"/>
        </w:rPr>
        <w:fldChar w:fldCharType="separate"/>
      </w:r>
      <w:r w:rsidR="00632F77" w:rsidRPr="00300A27">
        <w:rPr>
          <w:lang w:val="en-US"/>
        </w:rPr>
        <w:t>134</w:t>
      </w:r>
      <w:r w:rsidR="0082413E" w:rsidRPr="00300A27">
        <w:rPr>
          <w:lang w:val="en-US"/>
        </w:rPr>
        <w:fldChar w:fldCharType="end"/>
      </w:r>
      <w:r w:rsidR="0082413E" w:rsidRPr="00300A27">
        <w:rPr>
          <w:lang w:val="en-US"/>
        </w:rPr>
        <w:t xml:space="preserve"> </w:t>
      </w:r>
      <w:r w:rsidR="005B46A0" w:rsidRPr="00300A27">
        <w:rPr>
          <w:lang w:val="en-US"/>
        </w:rPr>
        <w:t>of this judgment</w:t>
      </w:r>
      <w:r w:rsidR="00EC46A5" w:rsidRPr="00300A27">
        <w:rPr>
          <w:lang w:val="en-US"/>
        </w:rPr>
        <w:t>.</w:t>
      </w:r>
    </w:p>
    <w:p w14:paraId="549D20FE" w14:textId="7B5361BA" w:rsidR="00EC46A5" w:rsidRPr="00300A27" w:rsidRDefault="005B1C65" w:rsidP="00B243B6">
      <w:pPr>
        <w:pStyle w:val="PrrafodeSentencia"/>
        <w:numPr>
          <w:ilvl w:val="0"/>
          <w:numId w:val="40"/>
        </w:numPr>
        <w:spacing w:before="120" w:after="120"/>
        <w:ind w:left="0" w:firstLine="0"/>
        <w:rPr>
          <w:lang w:val="en-US"/>
        </w:rPr>
      </w:pPr>
      <w:r w:rsidRPr="00300A27">
        <w:rPr>
          <w:kern w:val="2"/>
          <w:lang w:val="en-US"/>
        </w:rPr>
        <w:t>The State</w:t>
      </w:r>
      <w:r w:rsidR="00EC46A5" w:rsidRPr="00300A27">
        <w:rPr>
          <w:kern w:val="2"/>
          <w:lang w:val="en-US"/>
        </w:rPr>
        <w:t xml:space="preserve"> </w:t>
      </w:r>
      <w:r w:rsidR="005B46A0" w:rsidRPr="00300A27">
        <w:rPr>
          <w:kern w:val="2"/>
          <w:lang w:val="en-US"/>
        </w:rPr>
        <w:t>is responsible for</w:t>
      </w:r>
      <w:r w:rsidR="00EC46A5" w:rsidRPr="00300A27">
        <w:rPr>
          <w:kern w:val="2"/>
          <w:lang w:val="en-US"/>
        </w:rPr>
        <w:t xml:space="preserve"> </w:t>
      </w:r>
      <w:r w:rsidR="00BA3C7F" w:rsidRPr="00300A27">
        <w:rPr>
          <w:kern w:val="2"/>
          <w:lang w:val="en-US"/>
        </w:rPr>
        <w:t>the violation of</w:t>
      </w:r>
      <w:r w:rsidR="00EC46A5" w:rsidRPr="00300A27">
        <w:rPr>
          <w:kern w:val="2"/>
          <w:lang w:val="en-US"/>
        </w:rPr>
        <w:t xml:space="preserve"> </w:t>
      </w:r>
      <w:r w:rsidR="005B46A0" w:rsidRPr="00300A27">
        <w:rPr>
          <w:kern w:val="2"/>
          <w:lang w:val="en-US"/>
        </w:rPr>
        <w:t>the rights recognized in</w:t>
      </w:r>
      <w:r w:rsidR="00200C2F" w:rsidRPr="00300A27">
        <w:rPr>
          <w:lang w:val="en-US"/>
        </w:rPr>
        <w:t xml:space="preserve"> </w:t>
      </w:r>
      <w:r w:rsidRPr="00300A27">
        <w:rPr>
          <w:lang w:val="en-US"/>
        </w:rPr>
        <w:t>Articles</w:t>
      </w:r>
      <w:r w:rsidR="00200C2F" w:rsidRPr="00300A27">
        <w:rPr>
          <w:lang w:val="en-US"/>
        </w:rPr>
        <w:t xml:space="preserve"> </w:t>
      </w:r>
      <w:r w:rsidR="00BA3C7F" w:rsidRPr="00300A27">
        <w:rPr>
          <w:spacing w:val="0"/>
          <w:lang w:val="en-US"/>
        </w:rPr>
        <w:t>5(1)</w:t>
      </w:r>
      <w:r w:rsidR="00200C2F" w:rsidRPr="00300A27">
        <w:rPr>
          <w:spacing w:val="0"/>
          <w:lang w:val="en-US"/>
        </w:rPr>
        <w:t xml:space="preserve">, </w:t>
      </w:r>
      <w:r w:rsidR="00BA3C7F" w:rsidRPr="00300A27">
        <w:rPr>
          <w:spacing w:val="0"/>
          <w:lang w:val="en-US"/>
        </w:rPr>
        <w:t>5(2)</w:t>
      </w:r>
      <w:r w:rsidRPr="00300A27">
        <w:rPr>
          <w:spacing w:val="0"/>
          <w:lang w:val="en-US"/>
        </w:rPr>
        <w:t xml:space="preserve"> and </w:t>
      </w:r>
      <w:r w:rsidR="00200C2F" w:rsidRPr="00300A27">
        <w:rPr>
          <w:spacing w:val="0"/>
          <w:lang w:val="en-US"/>
        </w:rPr>
        <w:t>11</w:t>
      </w:r>
      <w:r w:rsidRPr="00300A27">
        <w:rPr>
          <w:spacing w:val="0"/>
          <w:lang w:val="en-US"/>
        </w:rPr>
        <w:t xml:space="preserve"> of the American Convention on Human Rights</w:t>
      </w:r>
      <w:r w:rsidR="00200C2F" w:rsidRPr="00300A27">
        <w:rPr>
          <w:spacing w:val="0"/>
          <w:lang w:val="en-US"/>
        </w:rPr>
        <w:t xml:space="preserve">, </w:t>
      </w:r>
      <w:r w:rsidR="005B46A0" w:rsidRPr="00300A27">
        <w:rPr>
          <w:spacing w:val="0"/>
          <w:lang w:val="en-US"/>
        </w:rPr>
        <w:t>in relation to the obligations to respect and to ensure these rights without discrimination</w:t>
      </w:r>
      <w:r w:rsidR="00EC46A5" w:rsidRPr="00300A27">
        <w:rPr>
          <w:spacing w:val="0"/>
          <w:lang w:val="en-US"/>
        </w:rPr>
        <w:t xml:space="preserve">, </w:t>
      </w:r>
      <w:r w:rsidR="005B46A0" w:rsidRPr="00300A27">
        <w:rPr>
          <w:spacing w:val="0"/>
          <w:lang w:val="en-US"/>
        </w:rPr>
        <w:t>established in</w:t>
      </w:r>
      <w:r w:rsidR="00EC46A5" w:rsidRPr="00300A27">
        <w:rPr>
          <w:spacing w:val="0"/>
          <w:lang w:val="en-US"/>
        </w:rPr>
        <w:t xml:space="preserve"> </w:t>
      </w:r>
      <w:r w:rsidRPr="00300A27">
        <w:rPr>
          <w:spacing w:val="0"/>
          <w:lang w:val="en-US"/>
        </w:rPr>
        <w:t>Article</w:t>
      </w:r>
      <w:r w:rsidR="00EC46A5" w:rsidRPr="00300A27">
        <w:rPr>
          <w:spacing w:val="0"/>
          <w:lang w:val="en-US"/>
        </w:rPr>
        <w:t xml:space="preserve"> </w:t>
      </w:r>
      <w:r w:rsidR="00BA3C7F" w:rsidRPr="00300A27">
        <w:rPr>
          <w:spacing w:val="0"/>
          <w:lang w:val="en-US"/>
        </w:rPr>
        <w:t>1(1)</w:t>
      </w:r>
      <w:r w:rsidR="00EC46A5" w:rsidRPr="00300A27">
        <w:rPr>
          <w:spacing w:val="0"/>
          <w:lang w:val="en-US"/>
        </w:rPr>
        <w:t>,</w:t>
      </w:r>
      <w:r w:rsidRPr="00300A27">
        <w:rPr>
          <w:spacing w:val="0"/>
          <w:lang w:val="en-US"/>
        </w:rPr>
        <w:t xml:space="preserve"> and Articles</w:t>
      </w:r>
      <w:r w:rsidR="00EC46A5" w:rsidRPr="00300A27">
        <w:rPr>
          <w:spacing w:val="0"/>
          <w:lang w:val="en-US"/>
        </w:rPr>
        <w:t xml:space="preserve"> 1</w:t>
      </w:r>
      <w:r w:rsidRPr="00300A27">
        <w:rPr>
          <w:spacing w:val="0"/>
          <w:lang w:val="en-US"/>
        </w:rPr>
        <w:t xml:space="preserve"> and </w:t>
      </w:r>
      <w:r w:rsidR="00EC46A5" w:rsidRPr="00300A27">
        <w:rPr>
          <w:spacing w:val="0"/>
          <w:lang w:val="en-US"/>
        </w:rPr>
        <w:t>6</w:t>
      </w:r>
      <w:r w:rsidRPr="00300A27">
        <w:rPr>
          <w:spacing w:val="0"/>
          <w:lang w:val="en-US"/>
        </w:rPr>
        <w:t xml:space="preserve"> of the </w:t>
      </w:r>
      <w:r w:rsidR="004969BC" w:rsidRPr="00300A27">
        <w:rPr>
          <w:spacing w:val="0"/>
          <w:lang w:val="en-US"/>
        </w:rPr>
        <w:t>Inter-American Convention to Prevent and Punish Torture</w:t>
      </w:r>
      <w:r w:rsidR="002378C9" w:rsidRPr="00300A27">
        <w:rPr>
          <w:spacing w:val="0"/>
          <w:lang w:val="en-US"/>
        </w:rPr>
        <w:t>,</w:t>
      </w:r>
      <w:r w:rsidR="00EC46A5" w:rsidRPr="00300A27">
        <w:rPr>
          <w:spacing w:val="0"/>
          <w:lang w:val="en-US"/>
        </w:rPr>
        <w:t xml:space="preserve"> </w:t>
      </w:r>
      <w:r w:rsidR="00BA3C7F" w:rsidRPr="00300A27">
        <w:rPr>
          <w:spacing w:val="0"/>
          <w:lang w:val="en-US"/>
        </w:rPr>
        <w:t>to the detriment of</w:t>
      </w:r>
      <w:r w:rsidR="00EC46A5" w:rsidRPr="00300A27">
        <w:rPr>
          <w:spacing w:val="0"/>
          <w:lang w:val="en-US"/>
        </w:rPr>
        <w:t xml:space="preserve"> Azul Rojas Marín</w:t>
      </w:r>
      <w:r w:rsidR="00EC46A5" w:rsidRPr="00300A27">
        <w:rPr>
          <w:kern w:val="2"/>
          <w:lang w:val="en-US"/>
        </w:rPr>
        <w:t xml:space="preserve">, </w:t>
      </w:r>
      <w:r w:rsidR="005B46A0" w:rsidRPr="00300A27">
        <w:rPr>
          <w:lang w:val="en-US"/>
        </w:rPr>
        <w:t>pursuant to</w:t>
      </w:r>
      <w:r w:rsidR="00EC46A5" w:rsidRPr="00300A27">
        <w:rPr>
          <w:lang w:val="en-US"/>
        </w:rPr>
        <w:t xml:space="preserve"> </w:t>
      </w:r>
      <w:r w:rsidR="005B46A0" w:rsidRPr="00300A27">
        <w:rPr>
          <w:lang w:val="en-US"/>
        </w:rPr>
        <w:t>paragraphs</w:t>
      </w:r>
      <w:r w:rsidR="00EC46A5" w:rsidRPr="00300A27">
        <w:rPr>
          <w:lang w:val="en-US"/>
        </w:rPr>
        <w:t xml:space="preserve"> </w:t>
      </w:r>
      <w:r w:rsidR="007F26C6" w:rsidRPr="00300A27">
        <w:rPr>
          <w:lang w:val="en-US"/>
        </w:rPr>
        <w:fldChar w:fldCharType="begin"/>
      </w:r>
      <w:r w:rsidR="007F26C6" w:rsidRPr="00300A27">
        <w:rPr>
          <w:lang w:val="en-US"/>
        </w:rPr>
        <w:instrText xml:space="preserve"> REF _Ref33106369 \r \h </w:instrText>
      </w:r>
      <w:r w:rsidR="00B243B6" w:rsidRPr="00300A27">
        <w:rPr>
          <w:lang w:val="en-US"/>
        </w:rPr>
        <w:instrText xml:space="preserve"> \* MERGEFORMAT </w:instrText>
      </w:r>
      <w:r w:rsidR="007F26C6" w:rsidRPr="00300A27">
        <w:rPr>
          <w:lang w:val="en-US"/>
        </w:rPr>
      </w:r>
      <w:r w:rsidR="007F26C6" w:rsidRPr="00300A27">
        <w:rPr>
          <w:lang w:val="en-US"/>
        </w:rPr>
        <w:fldChar w:fldCharType="separate"/>
      </w:r>
      <w:r w:rsidR="00632F77" w:rsidRPr="00300A27">
        <w:rPr>
          <w:lang w:val="en-US"/>
        </w:rPr>
        <w:t>139</w:t>
      </w:r>
      <w:r w:rsidR="007F26C6" w:rsidRPr="00300A27">
        <w:rPr>
          <w:lang w:val="en-US"/>
        </w:rPr>
        <w:fldChar w:fldCharType="end"/>
      </w:r>
      <w:r w:rsidR="007F26C6" w:rsidRPr="00300A27">
        <w:rPr>
          <w:lang w:val="en-US"/>
        </w:rPr>
        <w:t xml:space="preserve"> </w:t>
      </w:r>
      <w:r w:rsidR="004969BC" w:rsidRPr="00300A27">
        <w:rPr>
          <w:lang w:val="en-US"/>
        </w:rPr>
        <w:t>to</w:t>
      </w:r>
      <w:r w:rsidR="007F26C6" w:rsidRPr="00300A27">
        <w:rPr>
          <w:lang w:val="en-US"/>
        </w:rPr>
        <w:t xml:space="preserve"> </w:t>
      </w:r>
      <w:r w:rsidR="007F26C6" w:rsidRPr="00300A27">
        <w:rPr>
          <w:lang w:val="en-US"/>
        </w:rPr>
        <w:fldChar w:fldCharType="begin"/>
      </w:r>
      <w:r w:rsidR="007F26C6" w:rsidRPr="00300A27">
        <w:rPr>
          <w:lang w:val="en-US"/>
        </w:rPr>
        <w:instrText xml:space="preserve"> REF _Ref446681961 \r \h </w:instrText>
      </w:r>
      <w:r w:rsidR="00B243B6" w:rsidRPr="00300A27">
        <w:rPr>
          <w:lang w:val="en-US"/>
        </w:rPr>
        <w:instrText xml:space="preserve"> \* MERGEFORMAT </w:instrText>
      </w:r>
      <w:r w:rsidR="007F26C6" w:rsidRPr="00300A27">
        <w:rPr>
          <w:lang w:val="en-US"/>
        </w:rPr>
      </w:r>
      <w:r w:rsidR="007F26C6" w:rsidRPr="00300A27">
        <w:rPr>
          <w:lang w:val="en-US"/>
        </w:rPr>
        <w:fldChar w:fldCharType="separate"/>
      </w:r>
      <w:r w:rsidR="00632F77" w:rsidRPr="00300A27">
        <w:rPr>
          <w:lang w:val="en-US"/>
        </w:rPr>
        <w:t>167</w:t>
      </w:r>
      <w:r w:rsidR="007F26C6" w:rsidRPr="00300A27">
        <w:rPr>
          <w:lang w:val="en-US"/>
        </w:rPr>
        <w:fldChar w:fldCharType="end"/>
      </w:r>
      <w:r w:rsidR="007F26C6" w:rsidRPr="00300A27">
        <w:rPr>
          <w:lang w:val="en-US"/>
        </w:rPr>
        <w:t xml:space="preserve"> </w:t>
      </w:r>
      <w:r w:rsidR="005B46A0" w:rsidRPr="00300A27">
        <w:rPr>
          <w:lang w:val="en-US"/>
        </w:rPr>
        <w:t>of this judgment</w:t>
      </w:r>
      <w:r w:rsidR="00EC46A5" w:rsidRPr="00300A27">
        <w:rPr>
          <w:lang w:val="en-US"/>
        </w:rPr>
        <w:t>.</w:t>
      </w:r>
    </w:p>
    <w:p w14:paraId="2B079487" w14:textId="146549D5" w:rsidR="00EC46A5" w:rsidRPr="00300A27" w:rsidRDefault="005B1C65" w:rsidP="00B243B6">
      <w:pPr>
        <w:pStyle w:val="PrrafodeSentencia"/>
        <w:numPr>
          <w:ilvl w:val="0"/>
          <w:numId w:val="40"/>
        </w:numPr>
        <w:ind w:left="0" w:firstLine="0"/>
        <w:rPr>
          <w:lang w:val="en-US"/>
        </w:rPr>
      </w:pPr>
      <w:r w:rsidRPr="00300A27">
        <w:rPr>
          <w:kern w:val="2"/>
          <w:lang w:val="en-US"/>
        </w:rPr>
        <w:t>The State</w:t>
      </w:r>
      <w:r w:rsidR="00EC46A5" w:rsidRPr="00300A27">
        <w:rPr>
          <w:kern w:val="2"/>
          <w:lang w:val="en-US"/>
        </w:rPr>
        <w:t xml:space="preserve"> </w:t>
      </w:r>
      <w:r w:rsidR="005B46A0" w:rsidRPr="00300A27">
        <w:rPr>
          <w:kern w:val="2"/>
          <w:lang w:val="en-US"/>
        </w:rPr>
        <w:t>is responsible for</w:t>
      </w:r>
      <w:r w:rsidR="00EC46A5" w:rsidRPr="00300A27">
        <w:rPr>
          <w:kern w:val="2"/>
          <w:lang w:val="en-US"/>
        </w:rPr>
        <w:t xml:space="preserve"> </w:t>
      </w:r>
      <w:r w:rsidR="00BA3C7F" w:rsidRPr="00300A27">
        <w:rPr>
          <w:kern w:val="2"/>
          <w:lang w:val="en-US"/>
        </w:rPr>
        <w:t>the violation of</w:t>
      </w:r>
      <w:r w:rsidR="00EC46A5" w:rsidRPr="00300A27">
        <w:rPr>
          <w:kern w:val="2"/>
          <w:lang w:val="en-US"/>
        </w:rPr>
        <w:t xml:space="preserve"> </w:t>
      </w:r>
      <w:r w:rsidR="005B46A0" w:rsidRPr="00300A27">
        <w:rPr>
          <w:kern w:val="2"/>
          <w:lang w:val="en-US"/>
        </w:rPr>
        <w:t>the rights recognized in</w:t>
      </w:r>
      <w:r w:rsidR="00EC46A5" w:rsidRPr="00300A27">
        <w:rPr>
          <w:lang w:val="en-US"/>
        </w:rPr>
        <w:t xml:space="preserve"> </w:t>
      </w:r>
      <w:r w:rsidRPr="00300A27">
        <w:rPr>
          <w:lang w:val="en-US"/>
        </w:rPr>
        <w:t>Articles</w:t>
      </w:r>
      <w:r w:rsidR="00EC46A5" w:rsidRPr="00300A27">
        <w:rPr>
          <w:lang w:val="en-US"/>
        </w:rPr>
        <w:t xml:space="preserve"> </w:t>
      </w:r>
      <w:r w:rsidR="00BA3C7F" w:rsidRPr="00300A27">
        <w:rPr>
          <w:spacing w:val="0"/>
          <w:lang w:val="en-US"/>
        </w:rPr>
        <w:t>8(1)</w:t>
      </w:r>
      <w:r w:rsidRPr="00300A27">
        <w:rPr>
          <w:spacing w:val="0"/>
          <w:lang w:val="en-US"/>
        </w:rPr>
        <w:t xml:space="preserve"> and </w:t>
      </w:r>
      <w:r w:rsidR="00EC46A5" w:rsidRPr="00300A27">
        <w:rPr>
          <w:spacing w:val="0"/>
          <w:lang w:val="en-US"/>
        </w:rPr>
        <w:t>2</w:t>
      </w:r>
      <w:r w:rsidR="00BA3C7F" w:rsidRPr="00300A27">
        <w:rPr>
          <w:spacing w:val="0"/>
          <w:lang w:val="en-US"/>
        </w:rPr>
        <w:t>5(1)</w:t>
      </w:r>
      <w:r w:rsidRPr="00300A27">
        <w:rPr>
          <w:spacing w:val="0"/>
          <w:lang w:val="en-US"/>
        </w:rPr>
        <w:t xml:space="preserve"> of the American Convention on Human Rights</w:t>
      </w:r>
      <w:r w:rsidR="00EC46A5" w:rsidRPr="00300A27">
        <w:rPr>
          <w:spacing w:val="0"/>
          <w:lang w:val="en-US"/>
        </w:rPr>
        <w:t xml:space="preserve">, </w:t>
      </w:r>
      <w:r w:rsidR="005B46A0" w:rsidRPr="00300A27">
        <w:rPr>
          <w:spacing w:val="0"/>
          <w:lang w:val="en-US"/>
        </w:rPr>
        <w:t>in relation to the obligations to respect and to ensure these rights without discrimination</w:t>
      </w:r>
      <w:r w:rsidRPr="00300A27">
        <w:rPr>
          <w:spacing w:val="0"/>
          <w:lang w:val="en-US"/>
        </w:rPr>
        <w:t xml:space="preserve"> and</w:t>
      </w:r>
      <w:r w:rsidR="00F449A9" w:rsidRPr="00300A27">
        <w:rPr>
          <w:spacing w:val="0"/>
          <w:lang w:val="en-US"/>
        </w:rPr>
        <w:t xml:space="preserve"> to adopt domestic legal provisions</w:t>
      </w:r>
      <w:r w:rsidR="00200C2F" w:rsidRPr="00300A27">
        <w:rPr>
          <w:spacing w:val="0"/>
          <w:lang w:val="en-US"/>
        </w:rPr>
        <w:t xml:space="preserve">, </w:t>
      </w:r>
      <w:r w:rsidR="005B46A0" w:rsidRPr="00300A27">
        <w:rPr>
          <w:spacing w:val="0"/>
          <w:lang w:val="en-US"/>
        </w:rPr>
        <w:t>established in</w:t>
      </w:r>
      <w:r w:rsidR="00200C2F" w:rsidRPr="00300A27">
        <w:rPr>
          <w:spacing w:val="0"/>
          <w:lang w:val="en-US"/>
        </w:rPr>
        <w:t xml:space="preserve"> </w:t>
      </w:r>
      <w:r w:rsidRPr="00300A27">
        <w:rPr>
          <w:spacing w:val="0"/>
          <w:lang w:val="en-US"/>
        </w:rPr>
        <w:t>Articles</w:t>
      </w:r>
      <w:r w:rsidR="00200C2F" w:rsidRPr="00300A27">
        <w:rPr>
          <w:spacing w:val="0"/>
          <w:lang w:val="en-US"/>
        </w:rPr>
        <w:t xml:space="preserve"> </w:t>
      </w:r>
      <w:r w:rsidR="00BA3C7F" w:rsidRPr="00300A27">
        <w:rPr>
          <w:spacing w:val="0"/>
          <w:lang w:val="en-US"/>
        </w:rPr>
        <w:t>1(1)</w:t>
      </w:r>
      <w:r w:rsidRPr="00300A27">
        <w:rPr>
          <w:spacing w:val="0"/>
          <w:lang w:val="en-US"/>
        </w:rPr>
        <w:t xml:space="preserve"> and </w:t>
      </w:r>
      <w:r w:rsidR="00200C2F" w:rsidRPr="00300A27">
        <w:rPr>
          <w:spacing w:val="0"/>
          <w:lang w:val="en-US"/>
        </w:rPr>
        <w:t xml:space="preserve">2 </w:t>
      </w:r>
      <w:r w:rsidR="00F449A9" w:rsidRPr="00300A27">
        <w:rPr>
          <w:spacing w:val="0"/>
          <w:lang w:val="en-US"/>
        </w:rPr>
        <w:t>of this instrument</w:t>
      </w:r>
      <w:r w:rsidRPr="00300A27">
        <w:rPr>
          <w:spacing w:val="0"/>
          <w:lang w:val="en-US"/>
        </w:rPr>
        <w:t xml:space="preserve"> and</w:t>
      </w:r>
      <w:r w:rsidR="00F449A9" w:rsidRPr="00300A27">
        <w:rPr>
          <w:spacing w:val="0"/>
          <w:lang w:val="en-US"/>
        </w:rPr>
        <w:t xml:space="preserve"> to</w:t>
      </w:r>
      <w:r w:rsidR="00200C2F" w:rsidRPr="00300A27">
        <w:rPr>
          <w:spacing w:val="0"/>
          <w:lang w:val="en-US"/>
        </w:rPr>
        <w:t xml:space="preserve"> </w:t>
      </w:r>
      <w:r w:rsidRPr="00300A27">
        <w:rPr>
          <w:spacing w:val="0"/>
          <w:lang w:val="en-US"/>
        </w:rPr>
        <w:t>Articles</w:t>
      </w:r>
      <w:r w:rsidR="00200C2F" w:rsidRPr="00300A27">
        <w:rPr>
          <w:spacing w:val="0"/>
          <w:lang w:val="en-US"/>
        </w:rPr>
        <w:t xml:space="preserve"> 1, 6</w:t>
      </w:r>
      <w:r w:rsidRPr="00300A27">
        <w:rPr>
          <w:spacing w:val="0"/>
          <w:lang w:val="en-US"/>
        </w:rPr>
        <w:t xml:space="preserve"> and </w:t>
      </w:r>
      <w:r w:rsidR="00200C2F" w:rsidRPr="00300A27">
        <w:rPr>
          <w:spacing w:val="0"/>
          <w:lang w:val="en-US"/>
        </w:rPr>
        <w:t>8</w:t>
      </w:r>
      <w:r w:rsidRPr="00300A27">
        <w:rPr>
          <w:spacing w:val="0"/>
          <w:lang w:val="en-US"/>
        </w:rPr>
        <w:t xml:space="preserve"> of the </w:t>
      </w:r>
      <w:r w:rsidR="00F816B4" w:rsidRPr="00300A27">
        <w:rPr>
          <w:spacing w:val="0"/>
          <w:lang w:val="en-US"/>
        </w:rPr>
        <w:t>Inter-American Convention to Prevent and Punish Torture</w:t>
      </w:r>
      <w:r w:rsidR="00EC46A5" w:rsidRPr="00300A27">
        <w:rPr>
          <w:spacing w:val="0"/>
          <w:lang w:val="en-US"/>
        </w:rPr>
        <w:t xml:space="preserve">, </w:t>
      </w:r>
      <w:r w:rsidR="00BA3C7F" w:rsidRPr="00300A27">
        <w:rPr>
          <w:spacing w:val="0"/>
          <w:lang w:val="en-US"/>
        </w:rPr>
        <w:t>to the detriment of</w:t>
      </w:r>
      <w:r w:rsidR="00EC46A5" w:rsidRPr="00300A27">
        <w:rPr>
          <w:spacing w:val="0"/>
          <w:lang w:val="en-US"/>
        </w:rPr>
        <w:t xml:space="preserve"> Azul Rojas Marín</w:t>
      </w:r>
      <w:r w:rsidR="00EC46A5" w:rsidRPr="00300A27">
        <w:rPr>
          <w:kern w:val="2"/>
          <w:lang w:val="en-US"/>
        </w:rPr>
        <w:t xml:space="preserve">, </w:t>
      </w:r>
      <w:r w:rsidR="005B46A0" w:rsidRPr="00300A27">
        <w:rPr>
          <w:lang w:val="en-US"/>
        </w:rPr>
        <w:t>pursuant to</w:t>
      </w:r>
      <w:r w:rsidR="00EC46A5" w:rsidRPr="00300A27">
        <w:rPr>
          <w:lang w:val="en-US"/>
        </w:rPr>
        <w:t xml:space="preserve"> </w:t>
      </w:r>
      <w:r w:rsidR="005B46A0" w:rsidRPr="00300A27">
        <w:rPr>
          <w:lang w:val="en-US"/>
        </w:rPr>
        <w:t>paragraphs</w:t>
      </w:r>
      <w:r w:rsidR="00EC46A5" w:rsidRPr="00300A27">
        <w:rPr>
          <w:lang w:val="en-US"/>
        </w:rPr>
        <w:t xml:space="preserve"> </w:t>
      </w:r>
      <w:r w:rsidR="007F26C6" w:rsidRPr="00300A27">
        <w:rPr>
          <w:lang w:val="en-US"/>
        </w:rPr>
        <w:fldChar w:fldCharType="begin"/>
      </w:r>
      <w:r w:rsidR="007F26C6" w:rsidRPr="00300A27">
        <w:rPr>
          <w:lang w:val="en-US"/>
        </w:rPr>
        <w:instrText xml:space="preserve"> REF _Ref33106524 \r \h </w:instrText>
      </w:r>
      <w:r w:rsidR="00B243B6" w:rsidRPr="00300A27">
        <w:rPr>
          <w:lang w:val="en-US"/>
        </w:rPr>
        <w:instrText xml:space="preserve"> \* MERGEFORMAT </w:instrText>
      </w:r>
      <w:r w:rsidR="007F26C6" w:rsidRPr="00300A27">
        <w:rPr>
          <w:lang w:val="en-US"/>
        </w:rPr>
      </w:r>
      <w:r w:rsidR="007F26C6" w:rsidRPr="00300A27">
        <w:rPr>
          <w:lang w:val="en-US"/>
        </w:rPr>
        <w:fldChar w:fldCharType="separate"/>
      </w:r>
      <w:r w:rsidR="00632F77" w:rsidRPr="00300A27">
        <w:rPr>
          <w:lang w:val="en-US"/>
        </w:rPr>
        <w:t>178</w:t>
      </w:r>
      <w:r w:rsidR="007F26C6" w:rsidRPr="00300A27">
        <w:rPr>
          <w:lang w:val="en-US"/>
        </w:rPr>
        <w:fldChar w:fldCharType="end"/>
      </w:r>
      <w:r w:rsidR="007F26C6" w:rsidRPr="00300A27">
        <w:rPr>
          <w:lang w:val="en-US"/>
        </w:rPr>
        <w:t xml:space="preserve"> </w:t>
      </w:r>
      <w:r w:rsidR="00F449A9" w:rsidRPr="00300A27">
        <w:rPr>
          <w:lang w:val="en-US"/>
        </w:rPr>
        <w:t>to</w:t>
      </w:r>
      <w:r w:rsidR="007F26C6" w:rsidRPr="00300A27">
        <w:rPr>
          <w:lang w:val="en-US"/>
        </w:rPr>
        <w:t xml:space="preserve"> </w:t>
      </w:r>
      <w:r w:rsidR="007F26C6" w:rsidRPr="00300A27">
        <w:rPr>
          <w:lang w:val="en-US"/>
        </w:rPr>
        <w:fldChar w:fldCharType="begin"/>
      </w:r>
      <w:r w:rsidR="007F26C6" w:rsidRPr="00300A27">
        <w:rPr>
          <w:lang w:val="en-US"/>
        </w:rPr>
        <w:instrText xml:space="preserve"> REF _Ref33106528 \r \h </w:instrText>
      </w:r>
      <w:r w:rsidR="00B243B6" w:rsidRPr="00300A27">
        <w:rPr>
          <w:lang w:val="en-US"/>
        </w:rPr>
        <w:instrText xml:space="preserve"> \* MERGEFORMAT </w:instrText>
      </w:r>
      <w:r w:rsidR="007F26C6" w:rsidRPr="00300A27">
        <w:rPr>
          <w:lang w:val="en-US"/>
        </w:rPr>
      </w:r>
      <w:r w:rsidR="007F26C6" w:rsidRPr="00300A27">
        <w:rPr>
          <w:lang w:val="en-US"/>
        </w:rPr>
        <w:fldChar w:fldCharType="separate"/>
      </w:r>
      <w:r w:rsidR="00632F77" w:rsidRPr="00300A27">
        <w:rPr>
          <w:lang w:val="en-US"/>
        </w:rPr>
        <w:t>219</w:t>
      </w:r>
      <w:r w:rsidR="007F26C6" w:rsidRPr="00300A27">
        <w:rPr>
          <w:lang w:val="en-US"/>
        </w:rPr>
        <w:fldChar w:fldCharType="end"/>
      </w:r>
      <w:r w:rsidR="007F26C6" w:rsidRPr="00300A27">
        <w:rPr>
          <w:lang w:val="en-US"/>
        </w:rPr>
        <w:t xml:space="preserve"> </w:t>
      </w:r>
      <w:r w:rsidR="005B46A0" w:rsidRPr="00300A27">
        <w:rPr>
          <w:lang w:val="en-US"/>
        </w:rPr>
        <w:t>of this judgment</w:t>
      </w:r>
      <w:r w:rsidR="00EC46A5" w:rsidRPr="00300A27">
        <w:rPr>
          <w:lang w:val="en-US"/>
        </w:rPr>
        <w:t>.</w:t>
      </w:r>
    </w:p>
    <w:p w14:paraId="5CD9DA3B" w14:textId="5A1767AE" w:rsidR="00EC46A5" w:rsidRPr="00300A27" w:rsidRDefault="005B1C65" w:rsidP="00B243B6">
      <w:pPr>
        <w:pStyle w:val="Prrafodelista"/>
        <w:numPr>
          <w:ilvl w:val="0"/>
          <w:numId w:val="40"/>
        </w:numPr>
        <w:tabs>
          <w:tab w:val="clear" w:pos="5057"/>
          <w:tab w:val="num" w:pos="567"/>
        </w:tabs>
        <w:spacing w:before="120" w:after="120"/>
        <w:ind w:left="0"/>
        <w:contextualSpacing w:val="0"/>
        <w:jc w:val="both"/>
        <w:rPr>
          <w:lang w:eastAsia="es-MX"/>
        </w:rPr>
      </w:pPr>
      <w:r w:rsidRPr="00300A27">
        <w:rPr>
          <w:lang w:eastAsia="es-MX"/>
        </w:rPr>
        <w:t>The State</w:t>
      </w:r>
      <w:r w:rsidR="00EC46A5" w:rsidRPr="00300A27">
        <w:rPr>
          <w:lang w:eastAsia="es-MX"/>
        </w:rPr>
        <w:t xml:space="preserve"> </w:t>
      </w:r>
      <w:r w:rsidR="005B46A0" w:rsidRPr="00300A27">
        <w:rPr>
          <w:lang w:eastAsia="es-MX"/>
        </w:rPr>
        <w:t>is responsible for</w:t>
      </w:r>
      <w:r w:rsidR="00EC46A5" w:rsidRPr="00300A27">
        <w:rPr>
          <w:lang w:eastAsia="es-MX"/>
        </w:rPr>
        <w:t xml:space="preserve"> </w:t>
      </w:r>
      <w:r w:rsidR="00BA3C7F" w:rsidRPr="00300A27">
        <w:rPr>
          <w:lang w:eastAsia="es-MX"/>
        </w:rPr>
        <w:t>the violation</w:t>
      </w:r>
      <w:r w:rsidR="00932C42" w:rsidRPr="00300A27">
        <w:rPr>
          <w:lang w:eastAsia="es-MX"/>
        </w:rPr>
        <w:t xml:space="preserve"> of the </w:t>
      </w:r>
      <w:r w:rsidR="00F449A9" w:rsidRPr="00300A27">
        <w:rPr>
          <w:kern w:val="2"/>
        </w:rPr>
        <w:t>right recognized in</w:t>
      </w:r>
      <w:r w:rsidR="00EC46A5" w:rsidRPr="00300A27">
        <w:t xml:space="preserve"> </w:t>
      </w:r>
      <w:r w:rsidRPr="00300A27">
        <w:t>Article</w:t>
      </w:r>
      <w:r w:rsidR="00EC46A5" w:rsidRPr="00300A27">
        <w:t xml:space="preserve"> </w:t>
      </w:r>
      <w:r w:rsidR="00BA3C7F" w:rsidRPr="00300A27">
        <w:t>5(1)</w:t>
      </w:r>
      <w:r w:rsidRPr="00300A27">
        <w:t xml:space="preserve"> of the American Convention on Human Rights</w:t>
      </w:r>
      <w:r w:rsidR="00200C2F" w:rsidRPr="00300A27">
        <w:t xml:space="preserve">, </w:t>
      </w:r>
      <w:r w:rsidR="00BA3C7F" w:rsidRPr="00300A27">
        <w:t>to the detriment of</w:t>
      </w:r>
      <w:r w:rsidR="00EC46A5" w:rsidRPr="00300A27">
        <w:t xml:space="preserve"> Juana Rosa Tanta Marí</w:t>
      </w:r>
      <w:r w:rsidR="00661417" w:rsidRPr="00300A27">
        <w:t>n</w:t>
      </w:r>
      <w:r w:rsidR="00EC46A5" w:rsidRPr="00300A27">
        <w:t xml:space="preserve">, </w:t>
      </w:r>
      <w:r w:rsidR="00F449A9" w:rsidRPr="00300A27">
        <w:t xml:space="preserve">in relation to </w:t>
      </w:r>
      <w:r w:rsidRPr="00300A27">
        <w:t>Article</w:t>
      </w:r>
      <w:r w:rsidR="00EC46A5" w:rsidRPr="00300A27">
        <w:t xml:space="preserve"> </w:t>
      </w:r>
      <w:r w:rsidR="00BA3C7F" w:rsidRPr="00300A27">
        <w:t>1(1)</w:t>
      </w:r>
      <w:r w:rsidR="00EC46A5" w:rsidRPr="00300A27">
        <w:t xml:space="preserve"> </w:t>
      </w:r>
      <w:r w:rsidR="00BA3C7F" w:rsidRPr="00300A27">
        <w:t>of this instrument</w:t>
      </w:r>
      <w:r w:rsidR="00EC46A5" w:rsidRPr="00300A27">
        <w:t xml:space="preserve">, </w:t>
      </w:r>
      <w:r w:rsidR="005B46A0" w:rsidRPr="00300A27">
        <w:t>pursuant to</w:t>
      </w:r>
      <w:r w:rsidR="00EC46A5" w:rsidRPr="00300A27">
        <w:t xml:space="preserve"> </w:t>
      </w:r>
      <w:r w:rsidR="005B46A0" w:rsidRPr="00300A27">
        <w:t>paragraphs</w:t>
      </w:r>
      <w:r w:rsidR="00EC46A5" w:rsidRPr="00300A27">
        <w:t xml:space="preserve"> </w:t>
      </w:r>
      <w:r w:rsidR="007F26C6" w:rsidRPr="00300A27">
        <w:fldChar w:fldCharType="begin"/>
      </w:r>
      <w:r w:rsidR="007F26C6" w:rsidRPr="00300A27">
        <w:instrText xml:space="preserve"> REF _Ref35857170 \r \h </w:instrText>
      </w:r>
      <w:r w:rsidR="00B243B6" w:rsidRPr="00300A27">
        <w:instrText xml:space="preserve"> \* MERGEFORMAT </w:instrText>
      </w:r>
      <w:r w:rsidR="007F26C6" w:rsidRPr="00300A27">
        <w:fldChar w:fldCharType="separate"/>
      </w:r>
      <w:r w:rsidR="00632F77" w:rsidRPr="00300A27">
        <w:t>221</w:t>
      </w:r>
      <w:r w:rsidR="007F26C6" w:rsidRPr="00300A27">
        <w:fldChar w:fldCharType="end"/>
      </w:r>
      <w:r w:rsidR="007F26C6" w:rsidRPr="00300A27">
        <w:t xml:space="preserve"> </w:t>
      </w:r>
      <w:r w:rsidR="00F449A9" w:rsidRPr="00300A27">
        <w:t>to</w:t>
      </w:r>
      <w:r w:rsidR="007F26C6" w:rsidRPr="00300A27">
        <w:t xml:space="preserve"> </w:t>
      </w:r>
      <w:r w:rsidR="007F26C6" w:rsidRPr="00300A27">
        <w:fldChar w:fldCharType="begin"/>
      </w:r>
      <w:r w:rsidR="007F26C6" w:rsidRPr="00300A27">
        <w:instrText xml:space="preserve"> REF _Ref33106756 \r \h </w:instrText>
      </w:r>
      <w:r w:rsidR="00B243B6" w:rsidRPr="00300A27">
        <w:instrText xml:space="preserve"> \* MERGEFORMAT </w:instrText>
      </w:r>
      <w:r w:rsidR="007F26C6" w:rsidRPr="00300A27">
        <w:fldChar w:fldCharType="separate"/>
      </w:r>
      <w:r w:rsidR="00632F77" w:rsidRPr="00300A27">
        <w:t>223</w:t>
      </w:r>
      <w:r w:rsidR="007F26C6" w:rsidRPr="00300A27">
        <w:fldChar w:fldCharType="end"/>
      </w:r>
      <w:r w:rsidR="007F26C6" w:rsidRPr="00300A27">
        <w:t xml:space="preserve"> </w:t>
      </w:r>
      <w:r w:rsidR="005B46A0" w:rsidRPr="00300A27">
        <w:t>of this judgment</w:t>
      </w:r>
      <w:r w:rsidR="00EC46A5" w:rsidRPr="00300A27">
        <w:t>.</w:t>
      </w:r>
    </w:p>
    <w:p w14:paraId="2C95E572" w14:textId="77777777" w:rsidR="00EC46A5" w:rsidRPr="00300A27" w:rsidRDefault="00EC46A5" w:rsidP="00B243B6">
      <w:pPr>
        <w:tabs>
          <w:tab w:val="left" w:pos="720"/>
        </w:tabs>
        <w:ind w:right="-90"/>
        <w:contextualSpacing/>
      </w:pPr>
    </w:p>
    <w:p w14:paraId="0D90225B" w14:textId="02EAE31E" w:rsidR="00EC46A5" w:rsidRPr="00300A27" w:rsidRDefault="005B46A0" w:rsidP="00B243B6">
      <w:pPr>
        <w:tabs>
          <w:tab w:val="left" w:pos="720"/>
        </w:tabs>
        <w:spacing w:before="360" w:after="360"/>
        <w:ind w:right="-86"/>
        <w:contextualSpacing/>
        <w:rPr>
          <w:b/>
          <w:bCs/>
          <w:lang w:bidi="en-US"/>
        </w:rPr>
      </w:pPr>
      <w:r w:rsidRPr="00300A27">
        <w:rPr>
          <w:b/>
          <w:bCs/>
          <w:lang w:bidi="en-US"/>
        </w:rPr>
        <w:t>AND ESTABLISHES</w:t>
      </w:r>
      <w:r w:rsidR="00EC46A5" w:rsidRPr="00300A27">
        <w:rPr>
          <w:b/>
          <w:bCs/>
          <w:lang w:bidi="en-US"/>
        </w:rPr>
        <w:t>:</w:t>
      </w:r>
    </w:p>
    <w:p w14:paraId="6D82ABA9" w14:textId="77777777" w:rsidR="00EC46A5" w:rsidRPr="00300A27" w:rsidRDefault="00EC46A5" w:rsidP="00B243B6">
      <w:pPr>
        <w:tabs>
          <w:tab w:val="left" w:pos="720"/>
        </w:tabs>
        <w:ind w:right="-90"/>
        <w:contextualSpacing/>
        <w:rPr>
          <w:b/>
          <w:bCs/>
          <w:lang w:bidi="en-US"/>
        </w:rPr>
      </w:pPr>
    </w:p>
    <w:p w14:paraId="490071D9" w14:textId="4AA50780" w:rsidR="00EC46A5" w:rsidRPr="00300A27" w:rsidRDefault="005B46A0" w:rsidP="00B243B6">
      <w:pPr>
        <w:tabs>
          <w:tab w:val="left" w:pos="720"/>
        </w:tabs>
        <w:ind w:right="-90"/>
        <w:contextualSpacing/>
        <w:rPr>
          <w:lang w:bidi="en-US"/>
        </w:rPr>
      </w:pPr>
      <w:r w:rsidRPr="00300A27">
        <w:rPr>
          <w:lang w:bidi="en-US"/>
        </w:rPr>
        <w:t>Unanimously, that</w:t>
      </w:r>
      <w:r w:rsidR="00EC46A5" w:rsidRPr="00300A27">
        <w:rPr>
          <w:lang w:bidi="en-US"/>
        </w:rPr>
        <w:t>:</w:t>
      </w:r>
    </w:p>
    <w:p w14:paraId="311C6AA0" w14:textId="77777777" w:rsidR="00EC46A5" w:rsidRPr="00300A27" w:rsidRDefault="00EC46A5" w:rsidP="00B243B6">
      <w:pPr>
        <w:tabs>
          <w:tab w:val="left" w:pos="720"/>
        </w:tabs>
        <w:ind w:right="-90"/>
        <w:contextualSpacing/>
        <w:rPr>
          <w:bCs/>
          <w:lang w:bidi="en-US"/>
        </w:rPr>
      </w:pPr>
    </w:p>
    <w:p w14:paraId="0A1D4874" w14:textId="123C978B" w:rsidR="00EC46A5" w:rsidRPr="00300A27" w:rsidRDefault="00F449A9" w:rsidP="00B243B6">
      <w:pPr>
        <w:widowControl w:val="0"/>
        <w:numPr>
          <w:ilvl w:val="0"/>
          <w:numId w:val="40"/>
        </w:numPr>
        <w:tabs>
          <w:tab w:val="left" w:pos="567"/>
        </w:tabs>
        <w:adjustRightInd w:val="0"/>
        <w:ind w:right="-90"/>
        <w:contextualSpacing/>
        <w:jc w:val="both"/>
        <w:textAlignment w:val="baseline"/>
        <w:rPr>
          <w:bCs/>
        </w:rPr>
      </w:pPr>
      <w:r w:rsidRPr="00300A27">
        <w:t xml:space="preserve">This judgment constitutes, </w:t>
      </w:r>
      <w:r w:rsidRPr="00300A27">
        <w:rPr>
          <w:i/>
          <w:iCs/>
        </w:rPr>
        <w:t>per se</w:t>
      </w:r>
      <w:r w:rsidRPr="00300A27">
        <w:t>, a form of reparation.</w:t>
      </w:r>
    </w:p>
    <w:p w14:paraId="2071531F" w14:textId="12814F39" w:rsidR="00EC46A5" w:rsidRPr="00300A27" w:rsidRDefault="005B1C65" w:rsidP="00B243B6">
      <w:pPr>
        <w:widowControl w:val="0"/>
        <w:numPr>
          <w:ilvl w:val="0"/>
          <w:numId w:val="40"/>
        </w:numPr>
        <w:tabs>
          <w:tab w:val="left" w:pos="567"/>
        </w:tabs>
        <w:adjustRightInd w:val="0"/>
        <w:spacing w:before="120" w:after="120"/>
        <w:ind w:right="-91"/>
        <w:jc w:val="both"/>
        <w:textAlignment w:val="baseline"/>
      </w:pPr>
      <w:r w:rsidRPr="00300A27">
        <w:t>The State</w:t>
      </w:r>
      <w:r w:rsidR="00EC46A5" w:rsidRPr="00300A27">
        <w:t xml:space="preserve"> </w:t>
      </w:r>
      <w:r w:rsidR="00F449A9" w:rsidRPr="00300A27">
        <w:t xml:space="preserve">shall facilitate and shall continue the investigations required to identify, prosecute and punish, as appropriate, those responsible for the acts of torture </w:t>
      </w:r>
      <w:r w:rsidR="00F36BB8">
        <w:t>perpetrated against</w:t>
      </w:r>
      <w:r w:rsidR="00EC46A5" w:rsidRPr="00300A27">
        <w:t xml:space="preserve"> Azul Rojas Marín, </w:t>
      </w:r>
      <w:r w:rsidR="005B46A0" w:rsidRPr="00300A27">
        <w:t>pursuant to</w:t>
      </w:r>
      <w:r w:rsidR="00EC46A5" w:rsidRPr="00300A27">
        <w:t xml:space="preserve"> </w:t>
      </w:r>
      <w:r w:rsidR="005B46A0" w:rsidRPr="00300A27">
        <w:t>paragraphs</w:t>
      </w:r>
      <w:r w:rsidR="00EC46A5" w:rsidRPr="00300A27">
        <w:t xml:space="preserve"> </w:t>
      </w:r>
      <w:r w:rsidR="008D61D6" w:rsidRPr="00300A27">
        <w:fldChar w:fldCharType="begin"/>
      </w:r>
      <w:r w:rsidR="008D61D6" w:rsidRPr="00300A27">
        <w:instrText xml:space="preserve"> REF _Ref33109383 \r \h </w:instrText>
      </w:r>
      <w:r w:rsidR="00B243B6" w:rsidRPr="00300A27">
        <w:instrText xml:space="preserve"> \* MERGEFORMAT </w:instrText>
      </w:r>
      <w:r w:rsidR="008D61D6" w:rsidRPr="00300A27">
        <w:fldChar w:fldCharType="separate"/>
      </w:r>
      <w:r w:rsidR="00632F77" w:rsidRPr="00300A27">
        <w:t>228</w:t>
      </w:r>
      <w:r w:rsidR="008D61D6" w:rsidRPr="00300A27">
        <w:fldChar w:fldCharType="end"/>
      </w:r>
      <w:r w:rsidRPr="00300A27">
        <w:t xml:space="preserve"> and </w:t>
      </w:r>
      <w:r w:rsidR="008D61D6" w:rsidRPr="00300A27">
        <w:fldChar w:fldCharType="begin"/>
      </w:r>
      <w:r w:rsidR="008D61D6" w:rsidRPr="00300A27">
        <w:instrText xml:space="preserve"> REF _Ref33109385 \r \h </w:instrText>
      </w:r>
      <w:r w:rsidR="00B243B6" w:rsidRPr="00300A27">
        <w:instrText xml:space="preserve"> \* MERGEFORMAT </w:instrText>
      </w:r>
      <w:r w:rsidR="008D61D6" w:rsidRPr="00300A27">
        <w:fldChar w:fldCharType="separate"/>
      </w:r>
      <w:r w:rsidR="00632F77" w:rsidRPr="00300A27">
        <w:t>229</w:t>
      </w:r>
      <w:r w:rsidR="008D61D6" w:rsidRPr="00300A27">
        <w:fldChar w:fldCharType="end"/>
      </w:r>
      <w:r w:rsidR="00EC46A5" w:rsidRPr="00300A27">
        <w:t xml:space="preserve"> </w:t>
      </w:r>
      <w:r w:rsidR="005B46A0" w:rsidRPr="00300A27">
        <w:t>of this judgment</w:t>
      </w:r>
      <w:r w:rsidR="00EC46A5" w:rsidRPr="00300A27">
        <w:t>.</w:t>
      </w:r>
    </w:p>
    <w:p w14:paraId="368EA2F4" w14:textId="4495331E" w:rsidR="00EC46A5" w:rsidRPr="00300A27" w:rsidRDefault="005B1C65" w:rsidP="00B243B6">
      <w:pPr>
        <w:widowControl w:val="0"/>
        <w:numPr>
          <w:ilvl w:val="0"/>
          <w:numId w:val="40"/>
        </w:numPr>
        <w:tabs>
          <w:tab w:val="left" w:pos="567"/>
        </w:tabs>
        <w:adjustRightInd w:val="0"/>
        <w:spacing w:before="120" w:after="120"/>
        <w:ind w:right="-91"/>
        <w:jc w:val="both"/>
        <w:textAlignment w:val="baseline"/>
        <w:rPr>
          <w:bCs/>
        </w:rPr>
      </w:pPr>
      <w:r w:rsidRPr="00300A27">
        <w:rPr>
          <w:bCs/>
        </w:rPr>
        <w:t xml:space="preserve">The </w:t>
      </w:r>
      <w:r w:rsidR="00F449A9" w:rsidRPr="00300A27">
        <w:rPr>
          <w:bCs/>
        </w:rPr>
        <w:t>State shall make the publications indicated in</w:t>
      </w:r>
      <w:r w:rsidR="00EC46A5" w:rsidRPr="00300A27">
        <w:rPr>
          <w:bCs/>
        </w:rPr>
        <w:t xml:space="preserve"> </w:t>
      </w:r>
      <w:r w:rsidR="005B46A0" w:rsidRPr="00300A27">
        <w:rPr>
          <w:bCs/>
        </w:rPr>
        <w:t>paragraph</w:t>
      </w:r>
      <w:r w:rsidR="00EC46A5" w:rsidRPr="00300A27">
        <w:rPr>
          <w:bCs/>
        </w:rPr>
        <w:t xml:space="preserve"> </w:t>
      </w:r>
      <w:r w:rsidR="008D61D6" w:rsidRPr="00300A27">
        <w:rPr>
          <w:bCs/>
        </w:rPr>
        <w:fldChar w:fldCharType="begin"/>
      </w:r>
      <w:r w:rsidR="008D61D6" w:rsidRPr="00300A27">
        <w:rPr>
          <w:bCs/>
        </w:rPr>
        <w:instrText xml:space="preserve"> REF _Ref532899431 \r \h </w:instrText>
      </w:r>
      <w:r w:rsidR="00B243B6" w:rsidRPr="00300A27">
        <w:rPr>
          <w:bCs/>
        </w:rPr>
        <w:instrText xml:space="preserve"> \* MERGEFORMAT </w:instrText>
      </w:r>
      <w:r w:rsidR="008D61D6" w:rsidRPr="00300A27">
        <w:rPr>
          <w:bCs/>
        </w:rPr>
      </w:r>
      <w:r w:rsidR="008D61D6" w:rsidRPr="00300A27">
        <w:rPr>
          <w:bCs/>
        </w:rPr>
        <w:fldChar w:fldCharType="separate"/>
      </w:r>
      <w:r w:rsidR="00632F77" w:rsidRPr="00300A27">
        <w:rPr>
          <w:bCs/>
        </w:rPr>
        <w:t>231</w:t>
      </w:r>
      <w:r w:rsidR="008D61D6" w:rsidRPr="00300A27">
        <w:rPr>
          <w:bCs/>
        </w:rPr>
        <w:fldChar w:fldCharType="end"/>
      </w:r>
      <w:r w:rsidR="008D61D6" w:rsidRPr="00300A27">
        <w:rPr>
          <w:bCs/>
        </w:rPr>
        <w:t xml:space="preserve"> </w:t>
      </w:r>
      <w:r w:rsidR="005B46A0" w:rsidRPr="00300A27">
        <w:rPr>
          <w:bCs/>
        </w:rPr>
        <w:t>of this judgment</w:t>
      </w:r>
      <w:r w:rsidR="00EC46A5" w:rsidRPr="00300A27">
        <w:rPr>
          <w:bCs/>
        </w:rPr>
        <w:t>.</w:t>
      </w:r>
    </w:p>
    <w:p w14:paraId="190E4A8D" w14:textId="62355836" w:rsidR="00EC46A5" w:rsidRPr="00300A27" w:rsidRDefault="005B1C65" w:rsidP="00B243B6">
      <w:pPr>
        <w:widowControl w:val="0"/>
        <w:numPr>
          <w:ilvl w:val="0"/>
          <w:numId w:val="40"/>
        </w:numPr>
        <w:tabs>
          <w:tab w:val="left" w:pos="567"/>
        </w:tabs>
        <w:adjustRightInd w:val="0"/>
        <w:spacing w:before="120" w:after="120"/>
        <w:ind w:right="-91"/>
        <w:jc w:val="both"/>
        <w:textAlignment w:val="baseline"/>
        <w:rPr>
          <w:bCs/>
        </w:rPr>
      </w:pPr>
      <w:r w:rsidRPr="00300A27">
        <w:t>The State</w:t>
      </w:r>
      <w:r w:rsidR="00EC46A5" w:rsidRPr="00300A27">
        <w:t xml:space="preserve"> </w:t>
      </w:r>
      <w:r w:rsidR="00F449A9" w:rsidRPr="00300A27">
        <w:t xml:space="preserve">shall </w:t>
      </w:r>
      <w:r w:rsidR="005B6F17">
        <w:t>hold</w:t>
      </w:r>
      <w:r w:rsidR="00F449A9" w:rsidRPr="00300A27">
        <w:t xml:space="preserve"> a public act to acknowledge international responsibility, as indicated in </w:t>
      </w:r>
      <w:r w:rsidR="005B46A0" w:rsidRPr="00300A27">
        <w:t>paragraphs</w:t>
      </w:r>
      <w:r w:rsidR="00EC46A5" w:rsidRPr="00300A27">
        <w:t xml:space="preserve"> </w:t>
      </w:r>
      <w:r w:rsidR="008D61D6" w:rsidRPr="00300A27">
        <w:fldChar w:fldCharType="begin"/>
      </w:r>
      <w:r w:rsidR="008D61D6" w:rsidRPr="00300A27">
        <w:instrText xml:space="preserve"> REF _Ref446682213 \r \h </w:instrText>
      </w:r>
      <w:r w:rsidR="00B243B6" w:rsidRPr="00300A27">
        <w:instrText xml:space="preserve"> \* MERGEFORMAT </w:instrText>
      </w:r>
      <w:r w:rsidR="008D61D6" w:rsidRPr="00300A27">
        <w:fldChar w:fldCharType="separate"/>
      </w:r>
      <w:r w:rsidR="00632F77" w:rsidRPr="00300A27">
        <w:t>233</w:t>
      </w:r>
      <w:r w:rsidR="008D61D6" w:rsidRPr="00300A27">
        <w:fldChar w:fldCharType="end"/>
      </w:r>
      <w:r w:rsidRPr="00300A27">
        <w:t xml:space="preserve"> and </w:t>
      </w:r>
      <w:r w:rsidR="008D61D6" w:rsidRPr="00300A27">
        <w:fldChar w:fldCharType="begin"/>
      </w:r>
      <w:r w:rsidR="008D61D6" w:rsidRPr="00300A27">
        <w:instrText xml:space="preserve"> REF _Ref33109786 \r \h </w:instrText>
      </w:r>
      <w:r w:rsidR="00B243B6" w:rsidRPr="00300A27">
        <w:instrText xml:space="preserve"> \* MERGEFORMAT </w:instrText>
      </w:r>
      <w:r w:rsidR="008D61D6" w:rsidRPr="00300A27">
        <w:fldChar w:fldCharType="separate"/>
      </w:r>
      <w:r w:rsidR="00632F77" w:rsidRPr="00300A27">
        <w:t>234</w:t>
      </w:r>
      <w:r w:rsidR="008D61D6" w:rsidRPr="00300A27">
        <w:fldChar w:fldCharType="end"/>
      </w:r>
      <w:r w:rsidR="008D61D6" w:rsidRPr="00300A27">
        <w:t xml:space="preserve"> </w:t>
      </w:r>
      <w:r w:rsidR="005B46A0" w:rsidRPr="00300A27">
        <w:t>of this judgment</w:t>
      </w:r>
      <w:r w:rsidR="00EC46A5" w:rsidRPr="00300A27">
        <w:t>.</w:t>
      </w:r>
    </w:p>
    <w:p w14:paraId="544EC9E1" w14:textId="0055BE2F" w:rsidR="00EC46A5" w:rsidRPr="00300A27" w:rsidRDefault="005B1C65" w:rsidP="00B243B6">
      <w:pPr>
        <w:widowControl w:val="0"/>
        <w:numPr>
          <w:ilvl w:val="0"/>
          <w:numId w:val="40"/>
        </w:numPr>
        <w:tabs>
          <w:tab w:val="left" w:pos="567"/>
        </w:tabs>
        <w:adjustRightInd w:val="0"/>
        <w:spacing w:before="120" w:after="120"/>
        <w:ind w:right="-91"/>
        <w:jc w:val="both"/>
        <w:textAlignment w:val="baseline"/>
        <w:rPr>
          <w:bCs/>
        </w:rPr>
      </w:pPr>
      <w:r w:rsidRPr="00300A27">
        <w:t>The State</w:t>
      </w:r>
      <w:r w:rsidR="00EC46A5" w:rsidRPr="00300A27">
        <w:t xml:space="preserve"> </w:t>
      </w:r>
      <w:r w:rsidR="00F449A9" w:rsidRPr="00300A27">
        <w:t xml:space="preserve">shall provide, free of charge and immediately, opportune, adequate and effective medical and psychological and/or psychiatric treatment to </w:t>
      </w:r>
      <w:r w:rsidR="00EC46A5" w:rsidRPr="00300A27">
        <w:t xml:space="preserve">Azul Rojas Marín, </w:t>
      </w:r>
      <w:r w:rsidR="005A6241" w:rsidRPr="00300A27">
        <w:t>pursuant to</w:t>
      </w:r>
      <w:r w:rsidR="00EC46A5" w:rsidRPr="00300A27">
        <w:t xml:space="preserve"> </w:t>
      </w:r>
      <w:r w:rsidR="005B46A0" w:rsidRPr="00300A27">
        <w:t>paragraphs</w:t>
      </w:r>
      <w:r w:rsidR="00EC46A5" w:rsidRPr="00300A27">
        <w:t xml:space="preserve"> </w:t>
      </w:r>
      <w:r w:rsidR="008D61D6" w:rsidRPr="00300A27">
        <w:fldChar w:fldCharType="begin"/>
      </w:r>
      <w:r w:rsidR="008D61D6" w:rsidRPr="00300A27">
        <w:instrText xml:space="preserve"> REF _Ref33110014 \r \h </w:instrText>
      </w:r>
      <w:r w:rsidR="00B243B6" w:rsidRPr="00300A27">
        <w:instrText xml:space="preserve"> \* MERGEFORMAT </w:instrText>
      </w:r>
      <w:r w:rsidR="008D61D6" w:rsidRPr="00300A27">
        <w:fldChar w:fldCharType="separate"/>
      </w:r>
      <w:r w:rsidR="00632F77" w:rsidRPr="00300A27">
        <w:t>236</w:t>
      </w:r>
      <w:r w:rsidR="008D61D6" w:rsidRPr="00300A27">
        <w:fldChar w:fldCharType="end"/>
      </w:r>
      <w:r w:rsidRPr="00300A27">
        <w:t xml:space="preserve"> and </w:t>
      </w:r>
      <w:r w:rsidR="008D61D6" w:rsidRPr="00300A27">
        <w:fldChar w:fldCharType="begin"/>
      </w:r>
      <w:r w:rsidR="008D61D6" w:rsidRPr="00300A27">
        <w:instrText xml:space="preserve"> REF _Ref33110015 \r \h </w:instrText>
      </w:r>
      <w:r w:rsidR="00B243B6" w:rsidRPr="00300A27">
        <w:instrText xml:space="preserve"> \* MERGEFORMAT </w:instrText>
      </w:r>
      <w:r w:rsidR="008D61D6" w:rsidRPr="00300A27">
        <w:fldChar w:fldCharType="separate"/>
      </w:r>
      <w:r w:rsidR="00632F77" w:rsidRPr="00300A27">
        <w:t>237</w:t>
      </w:r>
      <w:r w:rsidR="008D61D6" w:rsidRPr="00300A27">
        <w:fldChar w:fldCharType="end"/>
      </w:r>
      <w:r w:rsidR="008D61D6" w:rsidRPr="00300A27">
        <w:t xml:space="preserve"> </w:t>
      </w:r>
      <w:r w:rsidR="005B46A0" w:rsidRPr="00300A27">
        <w:t>of this judgment</w:t>
      </w:r>
      <w:r w:rsidR="00EC46A5" w:rsidRPr="00300A27">
        <w:t>.</w:t>
      </w:r>
    </w:p>
    <w:p w14:paraId="6DA3A197" w14:textId="0C3797FC" w:rsidR="00EC46A5" w:rsidRPr="00300A27" w:rsidRDefault="005B1C65" w:rsidP="00B243B6">
      <w:pPr>
        <w:widowControl w:val="0"/>
        <w:numPr>
          <w:ilvl w:val="0"/>
          <w:numId w:val="40"/>
        </w:numPr>
        <w:tabs>
          <w:tab w:val="left" w:pos="567"/>
        </w:tabs>
        <w:adjustRightInd w:val="0"/>
        <w:spacing w:before="120" w:after="120"/>
        <w:ind w:right="-91"/>
        <w:jc w:val="both"/>
        <w:textAlignment w:val="baseline"/>
        <w:rPr>
          <w:bCs/>
        </w:rPr>
      </w:pPr>
      <w:r w:rsidRPr="00300A27">
        <w:rPr>
          <w:bCs/>
        </w:rPr>
        <w:t>The State</w:t>
      </w:r>
      <w:r w:rsidR="00EC46A5" w:rsidRPr="00300A27">
        <w:rPr>
          <w:bCs/>
        </w:rPr>
        <w:t xml:space="preserve"> </w:t>
      </w:r>
      <w:r w:rsidR="005A6241" w:rsidRPr="00300A27">
        <w:rPr>
          <w:bCs/>
        </w:rPr>
        <w:t xml:space="preserve">shall adopt a protocol </w:t>
      </w:r>
      <w:r w:rsidR="002378C9" w:rsidRPr="00300A27">
        <w:rPr>
          <w:bCs/>
        </w:rPr>
        <w:t>on</w:t>
      </w:r>
      <w:r w:rsidR="005A6241" w:rsidRPr="00300A27">
        <w:rPr>
          <w:bCs/>
        </w:rPr>
        <w:t xml:space="preserve"> investigation and administration of justice </w:t>
      </w:r>
      <w:r w:rsidR="002378C9" w:rsidRPr="00300A27">
        <w:rPr>
          <w:bCs/>
        </w:rPr>
        <w:t>in</w:t>
      </w:r>
      <w:r w:rsidR="005A6241" w:rsidRPr="00300A27">
        <w:rPr>
          <w:bCs/>
        </w:rPr>
        <w:t xml:space="preserve"> criminal proceedings involving </w:t>
      </w:r>
      <w:r w:rsidR="00EC46A5" w:rsidRPr="00300A27">
        <w:t>LGBTI</w:t>
      </w:r>
      <w:r w:rsidR="005A6241" w:rsidRPr="00300A27">
        <w:t xml:space="preserve"> victims of violence</w:t>
      </w:r>
      <w:r w:rsidR="00EC46A5" w:rsidRPr="00300A27">
        <w:t xml:space="preserve">, </w:t>
      </w:r>
      <w:r w:rsidR="005A6241" w:rsidRPr="00300A27">
        <w:t>pursuant to</w:t>
      </w:r>
      <w:r w:rsidR="00EC46A5" w:rsidRPr="00300A27">
        <w:t xml:space="preserve"> </w:t>
      </w:r>
      <w:r w:rsidR="005B46A0" w:rsidRPr="00300A27">
        <w:t>paragraphs</w:t>
      </w:r>
      <w:r w:rsidR="00EC46A5" w:rsidRPr="00300A27">
        <w:t xml:space="preserve"> </w:t>
      </w:r>
      <w:r w:rsidR="008D61D6" w:rsidRPr="00300A27">
        <w:fldChar w:fldCharType="begin"/>
      </w:r>
      <w:r w:rsidR="008D61D6" w:rsidRPr="00300A27">
        <w:instrText xml:space="preserve"> REF _Ref446682288 \r \h </w:instrText>
      </w:r>
      <w:r w:rsidR="00B243B6" w:rsidRPr="00300A27">
        <w:instrText xml:space="preserve"> \* MERGEFORMAT </w:instrText>
      </w:r>
      <w:r w:rsidR="008D61D6" w:rsidRPr="00300A27">
        <w:fldChar w:fldCharType="separate"/>
      </w:r>
      <w:r w:rsidR="00632F77" w:rsidRPr="00300A27">
        <w:t>241</w:t>
      </w:r>
      <w:r w:rsidR="008D61D6" w:rsidRPr="00300A27">
        <w:fldChar w:fldCharType="end"/>
      </w:r>
      <w:r w:rsidR="008D61D6" w:rsidRPr="00300A27">
        <w:t xml:space="preserve"> </w:t>
      </w:r>
      <w:r w:rsidR="005B46A0" w:rsidRPr="00300A27">
        <w:t>to</w:t>
      </w:r>
      <w:r w:rsidR="008D61D6" w:rsidRPr="00300A27">
        <w:t xml:space="preserve"> </w:t>
      </w:r>
      <w:r w:rsidR="008D61D6" w:rsidRPr="00300A27">
        <w:fldChar w:fldCharType="begin"/>
      </w:r>
      <w:r w:rsidR="008D61D6" w:rsidRPr="00300A27">
        <w:instrText xml:space="preserve"> REF _Ref33110125 \r \h </w:instrText>
      </w:r>
      <w:r w:rsidR="00B243B6" w:rsidRPr="00300A27">
        <w:instrText xml:space="preserve"> \* MERGEFORMAT </w:instrText>
      </w:r>
      <w:r w:rsidR="008D61D6" w:rsidRPr="00300A27">
        <w:fldChar w:fldCharType="separate"/>
      </w:r>
      <w:r w:rsidR="00632F77" w:rsidRPr="00300A27">
        <w:t>244</w:t>
      </w:r>
      <w:r w:rsidR="008D61D6" w:rsidRPr="00300A27">
        <w:fldChar w:fldCharType="end"/>
      </w:r>
      <w:r w:rsidR="008D61D6" w:rsidRPr="00300A27">
        <w:t xml:space="preserve"> </w:t>
      </w:r>
      <w:r w:rsidR="005B46A0" w:rsidRPr="00300A27">
        <w:t>of this judgment</w:t>
      </w:r>
      <w:r w:rsidR="00EC46A5" w:rsidRPr="00300A27">
        <w:t>.</w:t>
      </w:r>
    </w:p>
    <w:p w14:paraId="397B0A6D" w14:textId="46FF2CE7" w:rsidR="00EC46A5" w:rsidRPr="00300A27" w:rsidRDefault="005B1C65" w:rsidP="00B243B6">
      <w:pPr>
        <w:widowControl w:val="0"/>
        <w:numPr>
          <w:ilvl w:val="0"/>
          <w:numId w:val="40"/>
        </w:numPr>
        <w:tabs>
          <w:tab w:val="left" w:pos="567"/>
        </w:tabs>
        <w:adjustRightInd w:val="0"/>
        <w:spacing w:before="120" w:after="120"/>
        <w:ind w:right="-91"/>
        <w:jc w:val="both"/>
        <w:textAlignment w:val="baseline"/>
        <w:rPr>
          <w:bCs/>
        </w:rPr>
      </w:pPr>
      <w:r w:rsidRPr="00300A27">
        <w:rPr>
          <w:bCs/>
        </w:rPr>
        <w:t>The State</w:t>
      </w:r>
      <w:r w:rsidR="00EC46A5" w:rsidRPr="00300A27">
        <w:rPr>
          <w:bCs/>
        </w:rPr>
        <w:t xml:space="preserve"> </w:t>
      </w:r>
      <w:r w:rsidR="005A6241" w:rsidRPr="00300A27">
        <w:rPr>
          <w:bCs/>
        </w:rPr>
        <w:t xml:space="preserve">shall create and implement a training and awareness-raising plan, </w:t>
      </w:r>
      <w:r w:rsidR="005A6241" w:rsidRPr="00300A27">
        <w:t>pursuant to</w:t>
      </w:r>
      <w:r w:rsidR="00EC46A5" w:rsidRPr="00300A27">
        <w:t xml:space="preserve"> </w:t>
      </w:r>
      <w:r w:rsidR="005B46A0" w:rsidRPr="00300A27">
        <w:t>paragraphs</w:t>
      </w:r>
      <w:r w:rsidR="008D61D6" w:rsidRPr="00300A27">
        <w:t xml:space="preserve"> </w:t>
      </w:r>
      <w:r w:rsidR="008D61D6" w:rsidRPr="00300A27">
        <w:fldChar w:fldCharType="begin"/>
      </w:r>
      <w:r w:rsidR="008D61D6" w:rsidRPr="00300A27">
        <w:instrText xml:space="preserve"> REF _Ref33110402 \r \h </w:instrText>
      </w:r>
      <w:r w:rsidR="00B243B6" w:rsidRPr="00300A27">
        <w:instrText xml:space="preserve"> \* MERGEFORMAT </w:instrText>
      </w:r>
      <w:r w:rsidR="008D61D6" w:rsidRPr="00300A27">
        <w:fldChar w:fldCharType="separate"/>
      </w:r>
      <w:r w:rsidR="00632F77" w:rsidRPr="00300A27">
        <w:t>248</w:t>
      </w:r>
      <w:r w:rsidR="008D61D6" w:rsidRPr="00300A27">
        <w:fldChar w:fldCharType="end"/>
      </w:r>
      <w:r w:rsidRPr="00300A27">
        <w:t xml:space="preserve"> and </w:t>
      </w:r>
      <w:r w:rsidR="008D61D6" w:rsidRPr="00300A27">
        <w:fldChar w:fldCharType="begin"/>
      </w:r>
      <w:r w:rsidR="008D61D6" w:rsidRPr="00300A27">
        <w:instrText xml:space="preserve"> REF _Ref446682320 \r \h </w:instrText>
      </w:r>
      <w:r w:rsidR="00B243B6" w:rsidRPr="00300A27">
        <w:instrText xml:space="preserve"> \* MERGEFORMAT </w:instrText>
      </w:r>
      <w:r w:rsidR="008D61D6" w:rsidRPr="00300A27">
        <w:fldChar w:fldCharType="separate"/>
      </w:r>
      <w:r w:rsidR="00632F77" w:rsidRPr="00300A27">
        <w:t>249</w:t>
      </w:r>
      <w:r w:rsidR="008D61D6" w:rsidRPr="00300A27">
        <w:fldChar w:fldCharType="end"/>
      </w:r>
      <w:r w:rsidR="00EC46A5" w:rsidRPr="00300A27">
        <w:t xml:space="preserve"> </w:t>
      </w:r>
      <w:r w:rsidR="005B46A0" w:rsidRPr="00300A27">
        <w:t>of this judgment</w:t>
      </w:r>
      <w:r w:rsidR="00EC46A5" w:rsidRPr="00300A27">
        <w:t>.</w:t>
      </w:r>
    </w:p>
    <w:p w14:paraId="404BD914" w14:textId="393C81A7" w:rsidR="00EC46A5" w:rsidRPr="00300A27" w:rsidRDefault="005B1C65" w:rsidP="00B243B6">
      <w:pPr>
        <w:widowControl w:val="0"/>
        <w:numPr>
          <w:ilvl w:val="0"/>
          <w:numId w:val="40"/>
        </w:numPr>
        <w:tabs>
          <w:tab w:val="left" w:pos="567"/>
        </w:tabs>
        <w:adjustRightInd w:val="0"/>
        <w:spacing w:before="120" w:after="120"/>
        <w:ind w:right="-91"/>
        <w:jc w:val="both"/>
        <w:textAlignment w:val="baseline"/>
        <w:rPr>
          <w:bCs/>
        </w:rPr>
      </w:pPr>
      <w:r w:rsidRPr="00300A27">
        <w:rPr>
          <w:bCs/>
        </w:rPr>
        <w:t>The State</w:t>
      </w:r>
      <w:r w:rsidR="00EC46A5" w:rsidRPr="00300A27">
        <w:rPr>
          <w:bCs/>
        </w:rPr>
        <w:t xml:space="preserve"> </w:t>
      </w:r>
      <w:r w:rsidR="005A6241" w:rsidRPr="00300A27">
        <w:rPr>
          <w:bCs/>
        </w:rPr>
        <w:t xml:space="preserve">shall design and implement a system to compile data and </w:t>
      </w:r>
      <w:r w:rsidR="00C3087E" w:rsidRPr="00300A27">
        <w:rPr>
          <w:bCs/>
        </w:rPr>
        <w:t>figures</w:t>
      </w:r>
      <w:r w:rsidR="005A6241" w:rsidRPr="00300A27">
        <w:rPr>
          <w:bCs/>
        </w:rPr>
        <w:t xml:space="preserve"> </w:t>
      </w:r>
      <w:r w:rsidR="002378C9" w:rsidRPr="00300A27">
        <w:rPr>
          <w:bCs/>
        </w:rPr>
        <w:t>linked to</w:t>
      </w:r>
      <w:r w:rsidR="005A6241" w:rsidRPr="00300A27">
        <w:rPr>
          <w:bCs/>
        </w:rPr>
        <w:t xml:space="preserve"> cases of violence against </w:t>
      </w:r>
      <w:r w:rsidR="007E4CD0" w:rsidRPr="00300A27">
        <w:t>LGBTI people</w:t>
      </w:r>
      <w:r w:rsidR="00EC46A5" w:rsidRPr="00300A27">
        <w:t xml:space="preserve">, </w:t>
      </w:r>
      <w:r w:rsidR="005A6241" w:rsidRPr="00300A27">
        <w:t>pursuant to</w:t>
      </w:r>
      <w:r w:rsidR="00EC46A5" w:rsidRPr="00300A27">
        <w:t xml:space="preserve"> </w:t>
      </w:r>
      <w:r w:rsidR="005B46A0" w:rsidRPr="00300A27">
        <w:t>paragraph</w:t>
      </w:r>
      <w:r w:rsidR="00EC46A5" w:rsidRPr="00300A27">
        <w:t xml:space="preserve"> </w:t>
      </w:r>
      <w:r w:rsidR="008D61D6" w:rsidRPr="00300A27">
        <w:fldChar w:fldCharType="begin"/>
      </w:r>
      <w:r w:rsidR="008D61D6" w:rsidRPr="00300A27">
        <w:instrText xml:space="preserve"> REF _Ref33110505 \r \h </w:instrText>
      </w:r>
      <w:r w:rsidR="00B243B6" w:rsidRPr="00300A27">
        <w:instrText xml:space="preserve"> \* MERGEFORMAT </w:instrText>
      </w:r>
      <w:r w:rsidR="008D61D6" w:rsidRPr="00300A27">
        <w:fldChar w:fldCharType="separate"/>
      </w:r>
      <w:r w:rsidR="00632F77" w:rsidRPr="00300A27">
        <w:t>252</w:t>
      </w:r>
      <w:r w:rsidR="008D61D6" w:rsidRPr="00300A27">
        <w:fldChar w:fldCharType="end"/>
      </w:r>
      <w:r w:rsidR="008D61D6" w:rsidRPr="00300A27">
        <w:t xml:space="preserve"> </w:t>
      </w:r>
      <w:r w:rsidR="005B46A0" w:rsidRPr="00300A27">
        <w:t>of this judgment</w:t>
      </w:r>
      <w:r w:rsidR="00EC46A5" w:rsidRPr="00300A27">
        <w:t>.</w:t>
      </w:r>
    </w:p>
    <w:p w14:paraId="38D3BA2B" w14:textId="2AA0FCFE" w:rsidR="00EC46A5" w:rsidRPr="00300A27" w:rsidRDefault="005B1C65" w:rsidP="00B243B6">
      <w:pPr>
        <w:widowControl w:val="0"/>
        <w:numPr>
          <w:ilvl w:val="0"/>
          <w:numId w:val="40"/>
        </w:numPr>
        <w:tabs>
          <w:tab w:val="left" w:pos="567"/>
        </w:tabs>
        <w:adjustRightInd w:val="0"/>
        <w:spacing w:before="120" w:after="120"/>
        <w:ind w:right="-91"/>
        <w:jc w:val="both"/>
        <w:textAlignment w:val="baseline"/>
        <w:rPr>
          <w:bCs/>
        </w:rPr>
      </w:pPr>
      <w:r w:rsidRPr="00300A27">
        <w:rPr>
          <w:bCs/>
        </w:rPr>
        <w:t>The State</w:t>
      </w:r>
      <w:r w:rsidR="00EC46A5" w:rsidRPr="00300A27">
        <w:rPr>
          <w:bCs/>
        </w:rPr>
        <w:t xml:space="preserve"> </w:t>
      </w:r>
      <w:r w:rsidR="005A6241" w:rsidRPr="00300A27">
        <w:rPr>
          <w:bCs/>
        </w:rPr>
        <w:t xml:space="preserve">shall eliminate </w:t>
      </w:r>
      <w:r w:rsidR="005A6241" w:rsidRPr="00300A27">
        <w:t>the indicator of</w:t>
      </w:r>
      <w:r w:rsidR="00EC46A5" w:rsidRPr="00300A27">
        <w:t xml:space="preserve"> </w:t>
      </w:r>
      <w:r w:rsidR="005A6241" w:rsidRPr="00300A27">
        <w:t xml:space="preserve">“eradication of homosexuals and transvestites” from the public safety plans of the regions and districts of Peru, pursuant to </w:t>
      </w:r>
      <w:r w:rsidR="005B46A0" w:rsidRPr="00300A27">
        <w:t>paragraph</w:t>
      </w:r>
      <w:r w:rsidR="00EC46A5" w:rsidRPr="00300A27">
        <w:t xml:space="preserve"> </w:t>
      </w:r>
      <w:r w:rsidR="008D61D6" w:rsidRPr="00300A27">
        <w:fldChar w:fldCharType="begin"/>
      </w:r>
      <w:r w:rsidR="008D61D6" w:rsidRPr="00300A27">
        <w:instrText xml:space="preserve"> REF _Ref446682477 \r \h </w:instrText>
      </w:r>
      <w:r w:rsidR="00B243B6" w:rsidRPr="00300A27">
        <w:instrText xml:space="preserve"> \* MERGEFORMAT </w:instrText>
      </w:r>
      <w:r w:rsidR="008D61D6" w:rsidRPr="00300A27">
        <w:fldChar w:fldCharType="separate"/>
      </w:r>
      <w:r w:rsidR="00632F77" w:rsidRPr="00300A27">
        <w:t>255</w:t>
      </w:r>
      <w:r w:rsidR="008D61D6" w:rsidRPr="00300A27">
        <w:fldChar w:fldCharType="end"/>
      </w:r>
      <w:r w:rsidR="008D61D6" w:rsidRPr="00300A27">
        <w:t xml:space="preserve"> </w:t>
      </w:r>
      <w:r w:rsidR="005B46A0" w:rsidRPr="00300A27">
        <w:t>of this judgment</w:t>
      </w:r>
      <w:r w:rsidR="00EC46A5" w:rsidRPr="00300A27">
        <w:t>.</w:t>
      </w:r>
    </w:p>
    <w:p w14:paraId="2D99DEA9" w14:textId="7EB9A726" w:rsidR="00EC46A5" w:rsidRPr="00300A27" w:rsidRDefault="005B1C65" w:rsidP="00B243B6">
      <w:pPr>
        <w:widowControl w:val="0"/>
        <w:numPr>
          <w:ilvl w:val="0"/>
          <w:numId w:val="40"/>
        </w:numPr>
        <w:tabs>
          <w:tab w:val="left" w:pos="567"/>
        </w:tabs>
        <w:adjustRightInd w:val="0"/>
        <w:spacing w:before="120" w:after="120"/>
        <w:ind w:right="-91"/>
        <w:jc w:val="both"/>
        <w:textAlignment w:val="baseline"/>
        <w:rPr>
          <w:bCs/>
        </w:rPr>
      </w:pPr>
      <w:r w:rsidRPr="00300A27">
        <w:rPr>
          <w:bCs/>
        </w:rPr>
        <w:t>The State</w:t>
      </w:r>
      <w:r w:rsidR="00EC46A5" w:rsidRPr="00300A27">
        <w:rPr>
          <w:bCs/>
        </w:rPr>
        <w:t xml:space="preserve"> </w:t>
      </w:r>
      <w:r w:rsidR="005A6241" w:rsidRPr="00300A27">
        <w:rPr>
          <w:bCs/>
        </w:rPr>
        <w:t xml:space="preserve">shall pay the amounts established in </w:t>
      </w:r>
      <w:r w:rsidR="005B46A0" w:rsidRPr="00300A27">
        <w:rPr>
          <w:bCs/>
        </w:rPr>
        <w:t>paragraphs</w:t>
      </w:r>
      <w:r w:rsidR="00DF256F" w:rsidRPr="00300A27">
        <w:rPr>
          <w:bCs/>
        </w:rPr>
        <w:t xml:space="preserve"> </w:t>
      </w:r>
      <w:r w:rsidR="00DF256F" w:rsidRPr="00300A27">
        <w:rPr>
          <w:bCs/>
        </w:rPr>
        <w:fldChar w:fldCharType="begin"/>
      </w:r>
      <w:r w:rsidR="00DF256F" w:rsidRPr="00300A27">
        <w:rPr>
          <w:bCs/>
        </w:rPr>
        <w:instrText xml:space="preserve"> REF _Ref36825047 \r \h </w:instrText>
      </w:r>
      <w:r w:rsidR="00B243B6" w:rsidRPr="00300A27">
        <w:rPr>
          <w:bCs/>
        </w:rPr>
        <w:instrText xml:space="preserve"> \* MERGEFORMAT </w:instrText>
      </w:r>
      <w:r w:rsidR="00DF256F" w:rsidRPr="00300A27">
        <w:rPr>
          <w:bCs/>
        </w:rPr>
      </w:r>
      <w:r w:rsidR="00DF256F" w:rsidRPr="00300A27">
        <w:rPr>
          <w:bCs/>
        </w:rPr>
        <w:fldChar w:fldCharType="separate"/>
      </w:r>
      <w:r w:rsidR="00DF256F" w:rsidRPr="00300A27">
        <w:rPr>
          <w:bCs/>
        </w:rPr>
        <w:t>260</w:t>
      </w:r>
      <w:r w:rsidR="00DF256F" w:rsidRPr="00300A27">
        <w:rPr>
          <w:bCs/>
        </w:rPr>
        <w:fldChar w:fldCharType="end"/>
      </w:r>
      <w:r w:rsidR="00DF256F" w:rsidRPr="00300A27">
        <w:rPr>
          <w:bCs/>
        </w:rPr>
        <w:t xml:space="preserve">, </w:t>
      </w:r>
      <w:r w:rsidR="008D61D6" w:rsidRPr="00300A27">
        <w:rPr>
          <w:bCs/>
        </w:rPr>
        <w:fldChar w:fldCharType="begin"/>
      </w:r>
      <w:r w:rsidR="008D61D6" w:rsidRPr="00300A27">
        <w:rPr>
          <w:bCs/>
        </w:rPr>
        <w:instrText xml:space="preserve"> REF _Ref33110642 \r \h </w:instrText>
      </w:r>
      <w:r w:rsidR="00B243B6" w:rsidRPr="00300A27">
        <w:rPr>
          <w:bCs/>
        </w:rPr>
        <w:instrText xml:space="preserve"> \* MERGEFORMAT </w:instrText>
      </w:r>
      <w:r w:rsidR="008D61D6" w:rsidRPr="00300A27">
        <w:rPr>
          <w:bCs/>
        </w:rPr>
      </w:r>
      <w:r w:rsidR="008D61D6" w:rsidRPr="00300A27">
        <w:rPr>
          <w:bCs/>
        </w:rPr>
        <w:fldChar w:fldCharType="separate"/>
      </w:r>
      <w:r w:rsidR="00632F77" w:rsidRPr="00300A27">
        <w:rPr>
          <w:bCs/>
        </w:rPr>
        <w:t>267</w:t>
      </w:r>
      <w:r w:rsidR="008D61D6" w:rsidRPr="00300A27">
        <w:rPr>
          <w:bCs/>
        </w:rPr>
        <w:fldChar w:fldCharType="end"/>
      </w:r>
      <w:r w:rsidRPr="00300A27">
        <w:rPr>
          <w:bCs/>
        </w:rPr>
        <w:t xml:space="preserve"> and </w:t>
      </w:r>
      <w:r w:rsidR="002D30A6" w:rsidRPr="00300A27">
        <w:rPr>
          <w:bCs/>
        </w:rPr>
        <w:fldChar w:fldCharType="begin"/>
      </w:r>
      <w:r w:rsidR="002D30A6" w:rsidRPr="00300A27">
        <w:rPr>
          <w:bCs/>
        </w:rPr>
        <w:instrText xml:space="preserve"> REF _Ref36651082 \r \h </w:instrText>
      </w:r>
      <w:r w:rsidR="00B243B6" w:rsidRPr="00300A27">
        <w:rPr>
          <w:bCs/>
        </w:rPr>
        <w:instrText xml:space="preserve"> \* MERGEFORMAT </w:instrText>
      </w:r>
      <w:r w:rsidR="002D30A6" w:rsidRPr="00300A27">
        <w:rPr>
          <w:bCs/>
        </w:rPr>
      </w:r>
      <w:r w:rsidR="002D30A6" w:rsidRPr="00300A27">
        <w:rPr>
          <w:bCs/>
        </w:rPr>
        <w:fldChar w:fldCharType="separate"/>
      </w:r>
      <w:r w:rsidR="00632F77" w:rsidRPr="00300A27">
        <w:rPr>
          <w:bCs/>
        </w:rPr>
        <w:t>276</w:t>
      </w:r>
      <w:r w:rsidR="002D30A6" w:rsidRPr="00300A27">
        <w:rPr>
          <w:bCs/>
        </w:rPr>
        <w:fldChar w:fldCharType="end"/>
      </w:r>
      <w:r w:rsidR="002D30A6" w:rsidRPr="00300A27">
        <w:rPr>
          <w:bCs/>
        </w:rPr>
        <w:t xml:space="preserve"> </w:t>
      </w:r>
      <w:r w:rsidR="005B46A0" w:rsidRPr="00300A27">
        <w:rPr>
          <w:bCs/>
        </w:rPr>
        <w:t>of this judgment</w:t>
      </w:r>
      <w:r w:rsidR="00EC46A5" w:rsidRPr="00300A27">
        <w:rPr>
          <w:bCs/>
        </w:rPr>
        <w:t xml:space="preserve"> </w:t>
      </w:r>
      <w:r w:rsidR="005A6241" w:rsidRPr="00300A27">
        <w:rPr>
          <w:bCs/>
        </w:rPr>
        <w:t>as compensation for p</w:t>
      </w:r>
      <w:r w:rsidR="002959DE" w:rsidRPr="00300A27">
        <w:rPr>
          <w:bCs/>
        </w:rPr>
        <w:t>ecuniary</w:t>
      </w:r>
      <w:r w:rsidR="005A6241" w:rsidRPr="00300A27">
        <w:rPr>
          <w:bCs/>
        </w:rPr>
        <w:t xml:space="preserve"> and non-pecuniary</w:t>
      </w:r>
      <w:r w:rsidR="002959DE" w:rsidRPr="00300A27">
        <w:rPr>
          <w:bCs/>
        </w:rPr>
        <w:t xml:space="preserve"> damage</w:t>
      </w:r>
      <w:r w:rsidR="00200C2F" w:rsidRPr="00300A27">
        <w:rPr>
          <w:bCs/>
        </w:rPr>
        <w:t>,</w:t>
      </w:r>
      <w:r w:rsidRPr="00300A27">
        <w:rPr>
          <w:bCs/>
        </w:rPr>
        <w:t xml:space="preserve"> and </w:t>
      </w:r>
      <w:r w:rsidR="005A6241" w:rsidRPr="00300A27">
        <w:rPr>
          <w:bCs/>
        </w:rPr>
        <w:t>to reimburse</w:t>
      </w:r>
      <w:r w:rsidR="00200C2F" w:rsidRPr="00300A27">
        <w:rPr>
          <w:bCs/>
        </w:rPr>
        <w:t xml:space="preserve"> </w:t>
      </w:r>
      <w:r w:rsidR="007071F6" w:rsidRPr="00300A27">
        <w:rPr>
          <w:bCs/>
        </w:rPr>
        <w:t>costs and expenses</w:t>
      </w:r>
      <w:r w:rsidR="00200C2F" w:rsidRPr="00300A27">
        <w:t xml:space="preserve">, </w:t>
      </w:r>
      <w:r w:rsidR="005B46A0" w:rsidRPr="00300A27">
        <w:t>pursuant to</w:t>
      </w:r>
      <w:r w:rsidR="00200C2F" w:rsidRPr="00300A27">
        <w:t xml:space="preserve"> </w:t>
      </w:r>
      <w:r w:rsidR="005B46A0" w:rsidRPr="00300A27">
        <w:t>paragraphs</w:t>
      </w:r>
      <w:r w:rsidR="00200C2F" w:rsidRPr="00300A27">
        <w:t xml:space="preserve"> </w:t>
      </w:r>
      <w:r w:rsidR="00200C2F" w:rsidRPr="00300A27">
        <w:fldChar w:fldCharType="begin"/>
      </w:r>
      <w:r w:rsidR="00200C2F" w:rsidRPr="00300A27">
        <w:instrText xml:space="preserve"> REF _Ref36719661 \r \h </w:instrText>
      </w:r>
      <w:r w:rsidR="00B243B6" w:rsidRPr="00300A27">
        <w:instrText xml:space="preserve"> \* MERGEFORMAT </w:instrText>
      </w:r>
      <w:r w:rsidR="00200C2F" w:rsidRPr="00300A27">
        <w:fldChar w:fldCharType="separate"/>
      </w:r>
      <w:r w:rsidR="00632F77" w:rsidRPr="00300A27">
        <w:t>283</w:t>
      </w:r>
      <w:r w:rsidR="00200C2F" w:rsidRPr="00300A27">
        <w:fldChar w:fldCharType="end"/>
      </w:r>
      <w:r w:rsidR="005B46A0" w:rsidRPr="00300A27">
        <w:t xml:space="preserve"> to</w:t>
      </w:r>
      <w:r w:rsidR="00200C2F" w:rsidRPr="00300A27">
        <w:t xml:space="preserve"> </w:t>
      </w:r>
      <w:r w:rsidR="00200C2F" w:rsidRPr="00300A27">
        <w:fldChar w:fldCharType="begin"/>
      </w:r>
      <w:r w:rsidR="00200C2F" w:rsidRPr="00300A27">
        <w:instrText xml:space="preserve"> REF _Ref36719737 \r \h </w:instrText>
      </w:r>
      <w:r w:rsidR="00B243B6" w:rsidRPr="00300A27">
        <w:instrText xml:space="preserve"> \* MERGEFORMAT </w:instrText>
      </w:r>
      <w:r w:rsidR="00200C2F" w:rsidRPr="00300A27">
        <w:fldChar w:fldCharType="separate"/>
      </w:r>
      <w:r w:rsidR="00632F77" w:rsidRPr="00300A27">
        <w:t>288</w:t>
      </w:r>
      <w:r w:rsidR="00200C2F" w:rsidRPr="00300A27">
        <w:fldChar w:fldCharType="end"/>
      </w:r>
      <w:r w:rsidR="00200C2F" w:rsidRPr="00300A27">
        <w:t xml:space="preserve"> </w:t>
      </w:r>
      <w:r w:rsidR="005A6241" w:rsidRPr="00300A27">
        <w:t>of this judgment</w:t>
      </w:r>
      <w:r w:rsidR="00200C2F" w:rsidRPr="00300A27">
        <w:rPr>
          <w:bCs/>
        </w:rPr>
        <w:t xml:space="preserve">. </w:t>
      </w:r>
    </w:p>
    <w:p w14:paraId="02FFC779" w14:textId="611EFE5D" w:rsidR="00EC46A5" w:rsidRPr="00300A27" w:rsidRDefault="005B1C65" w:rsidP="00B243B6">
      <w:pPr>
        <w:widowControl w:val="0"/>
        <w:numPr>
          <w:ilvl w:val="0"/>
          <w:numId w:val="40"/>
        </w:numPr>
        <w:tabs>
          <w:tab w:val="left" w:pos="567"/>
        </w:tabs>
        <w:adjustRightInd w:val="0"/>
        <w:spacing w:before="120" w:after="120"/>
        <w:ind w:right="-91"/>
        <w:jc w:val="both"/>
        <w:textAlignment w:val="baseline"/>
        <w:rPr>
          <w:bCs/>
        </w:rPr>
      </w:pPr>
      <w:r w:rsidRPr="00300A27">
        <w:t>The State</w:t>
      </w:r>
      <w:r w:rsidR="00EC46A5" w:rsidRPr="00300A27">
        <w:t xml:space="preserve"> </w:t>
      </w:r>
      <w:r w:rsidR="005A6241" w:rsidRPr="00300A27">
        <w:t xml:space="preserve">shall reimburse the </w:t>
      </w:r>
      <w:r w:rsidR="002959DE" w:rsidRPr="00300A27">
        <w:t>Victims’ Legal Assistance Fund</w:t>
      </w:r>
      <w:r w:rsidRPr="00300A27">
        <w:t xml:space="preserve"> of the Inter-American Court of Human Rights</w:t>
      </w:r>
      <w:r w:rsidR="00EC46A5" w:rsidRPr="00300A27">
        <w:t xml:space="preserve"> </w:t>
      </w:r>
      <w:r w:rsidR="005A6241" w:rsidRPr="00300A27">
        <w:t>the sum disbursed during the processing of this case</w:t>
      </w:r>
      <w:r w:rsidR="00EC46A5" w:rsidRPr="00300A27">
        <w:t xml:space="preserve">, </w:t>
      </w:r>
      <w:r w:rsidR="005B46A0" w:rsidRPr="00300A27">
        <w:t>pursuant to</w:t>
      </w:r>
      <w:r w:rsidR="00200C2F" w:rsidRPr="00300A27">
        <w:t xml:space="preserve"> </w:t>
      </w:r>
      <w:r w:rsidR="005B46A0" w:rsidRPr="00300A27">
        <w:t>paragraphs</w:t>
      </w:r>
      <w:r w:rsidR="00EC46A5" w:rsidRPr="00300A27">
        <w:t xml:space="preserve"> </w:t>
      </w:r>
      <w:r w:rsidR="008D61D6" w:rsidRPr="00300A27">
        <w:fldChar w:fldCharType="begin"/>
      </w:r>
      <w:r w:rsidR="008D61D6" w:rsidRPr="00300A27">
        <w:instrText xml:space="preserve"> REF _Ref524881073 \r \h </w:instrText>
      </w:r>
      <w:r w:rsidR="00B243B6" w:rsidRPr="00300A27">
        <w:instrText xml:space="preserve"> \* MERGEFORMAT </w:instrText>
      </w:r>
      <w:r w:rsidR="008D61D6" w:rsidRPr="00300A27">
        <w:fldChar w:fldCharType="separate"/>
      </w:r>
      <w:r w:rsidR="00632F77" w:rsidRPr="00300A27">
        <w:t>282</w:t>
      </w:r>
      <w:r w:rsidR="008D61D6" w:rsidRPr="00300A27">
        <w:fldChar w:fldCharType="end"/>
      </w:r>
      <w:r w:rsidRPr="00300A27">
        <w:t xml:space="preserve"> and </w:t>
      </w:r>
      <w:r w:rsidR="00200C2F" w:rsidRPr="00300A27">
        <w:fldChar w:fldCharType="begin"/>
      </w:r>
      <w:r w:rsidR="00200C2F" w:rsidRPr="00300A27">
        <w:instrText xml:space="preserve"> REF _Ref36719737 \r \h </w:instrText>
      </w:r>
      <w:r w:rsidR="00B243B6" w:rsidRPr="00300A27">
        <w:instrText xml:space="preserve"> \* MERGEFORMAT </w:instrText>
      </w:r>
      <w:r w:rsidR="00200C2F" w:rsidRPr="00300A27">
        <w:fldChar w:fldCharType="separate"/>
      </w:r>
      <w:r w:rsidR="00632F77" w:rsidRPr="00300A27">
        <w:t>288</w:t>
      </w:r>
      <w:r w:rsidR="00200C2F" w:rsidRPr="00300A27">
        <w:fldChar w:fldCharType="end"/>
      </w:r>
      <w:r w:rsidR="00200C2F" w:rsidRPr="00300A27">
        <w:t xml:space="preserve"> </w:t>
      </w:r>
      <w:r w:rsidR="005B46A0" w:rsidRPr="00300A27">
        <w:t>of this judgment</w:t>
      </w:r>
      <w:r w:rsidR="00EC46A5" w:rsidRPr="00300A27">
        <w:t>.</w:t>
      </w:r>
    </w:p>
    <w:p w14:paraId="3439C227" w14:textId="7D112B6B" w:rsidR="00EC46A5" w:rsidRPr="00300A27" w:rsidRDefault="005B1C65" w:rsidP="00B243B6">
      <w:pPr>
        <w:widowControl w:val="0"/>
        <w:numPr>
          <w:ilvl w:val="0"/>
          <w:numId w:val="40"/>
        </w:numPr>
        <w:tabs>
          <w:tab w:val="left" w:pos="567"/>
        </w:tabs>
        <w:adjustRightInd w:val="0"/>
        <w:spacing w:before="120" w:after="120"/>
        <w:ind w:right="-91"/>
        <w:jc w:val="both"/>
        <w:textAlignment w:val="baseline"/>
        <w:rPr>
          <w:bCs/>
          <w:lang w:bidi="en-US"/>
        </w:rPr>
      </w:pPr>
      <w:bookmarkStart w:id="252" w:name="_Ref35854880"/>
      <w:r w:rsidRPr="00300A27">
        <w:rPr>
          <w:bCs/>
        </w:rPr>
        <w:t>The State</w:t>
      </w:r>
      <w:r w:rsidR="00EC46A5" w:rsidRPr="00300A27">
        <w:rPr>
          <w:bCs/>
        </w:rPr>
        <w:t xml:space="preserve">, </w:t>
      </w:r>
      <w:r w:rsidR="005A6241" w:rsidRPr="00300A27">
        <w:rPr>
          <w:bCs/>
        </w:rPr>
        <w:t>within one year of notification</w:t>
      </w:r>
      <w:r w:rsidR="00EC46A5" w:rsidRPr="00300A27">
        <w:rPr>
          <w:bCs/>
        </w:rPr>
        <w:t xml:space="preserve"> </w:t>
      </w:r>
      <w:r w:rsidR="005B46A0" w:rsidRPr="00300A27">
        <w:rPr>
          <w:bCs/>
        </w:rPr>
        <w:t>of this judgment</w:t>
      </w:r>
      <w:r w:rsidR="00EC46A5" w:rsidRPr="00300A27">
        <w:rPr>
          <w:bCs/>
        </w:rPr>
        <w:t xml:space="preserve">, </w:t>
      </w:r>
      <w:r w:rsidR="005A6241" w:rsidRPr="00300A27">
        <w:rPr>
          <w:bCs/>
        </w:rPr>
        <w:t xml:space="preserve">shall provide the Court with a report on the measures adopted to comply with it, notwithstanding the provisions of </w:t>
      </w:r>
      <w:bookmarkEnd w:id="252"/>
      <w:r w:rsidR="005B46A0" w:rsidRPr="00300A27">
        <w:t>paragraph</w:t>
      </w:r>
      <w:r w:rsidR="001F52F8" w:rsidRPr="00300A27">
        <w:t xml:space="preserve"> </w:t>
      </w:r>
      <w:r w:rsidR="001F52F8" w:rsidRPr="00300A27">
        <w:fldChar w:fldCharType="begin"/>
      </w:r>
      <w:r w:rsidR="001F52F8" w:rsidRPr="00300A27">
        <w:instrText xml:space="preserve"> REF _Ref532899431 \r \h </w:instrText>
      </w:r>
      <w:r w:rsidR="00B243B6" w:rsidRPr="00300A27">
        <w:instrText xml:space="preserve"> \* MERGEFORMAT </w:instrText>
      </w:r>
      <w:r w:rsidR="001F52F8" w:rsidRPr="00300A27">
        <w:fldChar w:fldCharType="separate"/>
      </w:r>
      <w:r w:rsidR="00632F77" w:rsidRPr="00300A27">
        <w:t>231</w:t>
      </w:r>
      <w:r w:rsidR="001F52F8" w:rsidRPr="00300A27">
        <w:fldChar w:fldCharType="end"/>
      </w:r>
      <w:r w:rsidR="001F52F8" w:rsidRPr="00300A27">
        <w:t xml:space="preserve"> </w:t>
      </w:r>
      <w:r w:rsidR="005B46A0" w:rsidRPr="00300A27">
        <w:t>of this judgment</w:t>
      </w:r>
      <w:r w:rsidR="001F52F8" w:rsidRPr="00300A27">
        <w:rPr>
          <w:bCs/>
        </w:rPr>
        <w:t>.</w:t>
      </w:r>
    </w:p>
    <w:p w14:paraId="26DA22F1" w14:textId="0FBEBCF7" w:rsidR="00EC46A5" w:rsidRPr="00300A27" w:rsidRDefault="005B1C65" w:rsidP="00B243B6">
      <w:pPr>
        <w:widowControl w:val="0"/>
        <w:numPr>
          <w:ilvl w:val="0"/>
          <w:numId w:val="40"/>
        </w:numPr>
        <w:tabs>
          <w:tab w:val="left" w:pos="567"/>
        </w:tabs>
        <w:adjustRightInd w:val="0"/>
        <w:spacing w:before="120" w:after="120"/>
        <w:ind w:right="-91"/>
        <w:jc w:val="both"/>
        <w:textAlignment w:val="baseline"/>
        <w:rPr>
          <w:b/>
          <w:bCs/>
        </w:rPr>
      </w:pPr>
      <w:r w:rsidRPr="00300A27">
        <w:rPr>
          <w:bCs/>
        </w:rPr>
        <w:t>The Court</w:t>
      </w:r>
      <w:r w:rsidR="00EC46A5" w:rsidRPr="00300A27">
        <w:rPr>
          <w:bCs/>
        </w:rPr>
        <w:t xml:space="preserve"> </w:t>
      </w:r>
      <w:r w:rsidR="00217305" w:rsidRPr="00300A27">
        <w:rPr>
          <w:bCs/>
        </w:rPr>
        <w:t xml:space="preserve">will monitor full compliance with </w:t>
      </w:r>
      <w:r w:rsidR="005B46A0" w:rsidRPr="00300A27">
        <w:rPr>
          <w:bCs/>
        </w:rPr>
        <w:t>this judgment</w:t>
      </w:r>
      <w:r w:rsidR="00EC46A5" w:rsidRPr="00300A27">
        <w:rPr>
          <w:bCs/>
        </w:rPr>
        <w:t xml:space="preserve">, </w:t>
      </w:r>
      <w:r w:rsidR="00217305" w:rsidRPr="00300A27">
        <w:rPr>
          <w:bCs/>
        </w:rPr>
        <w:t xml:space="preserve">in exercise of its authority and in fulfillment of its duties under </w:t>
      </w:r>
      <w:r w:rsidRPr="00300A27">
        <w:rPr>
          <w:bCs/>
        </w:rPr>
        <w:t>the American Convention on Human Rights</w:t>
      </w:r>
      <w:r w:rsidR="00EC46A5" w:rsidRPr="00300A27">
        <w:rPr>
          <w:bCs/>
        </w:rPr>
        <w:t>,</w:t>
      </w:r>
      <w:r w:rsidRPr="00300A27">
        <w:rPr>
          <w:bCs/>
        </w:rPr>
        <w:t xml:space="preserve"> and </w:t>
      </w:r>
      <w:r w:rsidR="00217305" w:rsidRPr="00300A27">
        <w:rPr>
          <w:bCs/>
        </w:rPr>
        <w:t>will close this case when the State has complied fully with all its provisions</w:t>
      </w:r>
      <w:r w:rsidR="00EC46A5" w:rsidRPr="00300A27">
        <w:rPr>
          <w:bCs/>
        </w:rPr>
        <w:t>.</w:t>
      </w:r>
    </w:p>
    <w:p w14:paraId="197B4A0D" w14:textId="77777777" w:rsidR="00EC46A5" w:rsidRPr="00300A27" w:rsidRDefault="00EC46A5" w:rsidP="00B243B6">
      <w:pPr>
        <w:tabs>
          <w:tab w:val="left" w:pos="720"/>
        </w:tabs>
        <w:ind w:right="-93"/>
        <w:contextualSpacing/>
        <w:rPr>
          <w:rFonts w:cs="Verdana"/>
          <w:color w:val="FF0000"/>
        </w:rPr>
      </w:pPr>
    </w:p>
    <w:p w14:paraId="7AFE4759" w14:textId="1864D754" w:rsidR="009C0FDB" w:rsidRPr="00300A27" w:rsidRDefault="00E141CB" w:rsidP="00B243B6">
      <w:pPr>
        <w:tabs>
          <w:tab w:val="left" w:pos="720"/>
        </w:tabs>
        <w:ind w:right="-93"/>
        <w:contextualSpacing/>
        <w:rPr>
          <w:rFonts w:cs="Verdana"/>
        </w:rPr>
      </w:pPr>
      <w:r w:rsidRPr="00300A27">
        <w:rPr>
          <w:rFonts w:cs="Verdana"/>
        </w:rPr>
        <w:t xml:space="preserve">DONE, at </w:t>
      </w:r>
      <w:r w:rsidR="00EC46A5" w:rsidRPr="00300A27">
        <w:rPr>
          <w:rFonts w:cs="Verdana"/>
        </w:rPr>
        <w:t xml:space="preserve">San José, Costa Rica, </w:t>
      </w:r>
      <w:r w:rsidRPr="00300A27">
        <w:rPr>
          <w:rFonts w:cs="Verdana"/>
        </w:rPr>
        <w:t>on</w:t>
      </w:r>
      <w:r w:rsidR="00EC46A5" w:rsidRPr="00300A27">
        <w:rPr>
          <w:rFonts w:cs="Verdana"/>
        </w:rPr>
        <w:t xml:space="preserve"> </w:t>
      </w:r>
      <w:r w:rsidR="005B1C65" w:rsidRPr="00300A27">
        <w:rPr>
          <w:rFonts w:cs="Verdana"/>
        </w:rPr>
        <w:t>March 12,</w:t>
      </w:r>
      <w:r w:rsidR="00EC46A5" w:rsidRPr="00300A27">
        <w:rPr>
          <w:rFonts w:cs="Verdana"/>
        </w:rPr>
        <w:t xml:space="preserve"> 2020</w:t>
      </w:r>
      <w:r w:rsidRPr="00300A27">
        <w:rPr>
          <w:rFonts w:cs="Verdana"/>
        </w:rPr>
        <w:t>, in the Spanish language</w:t>
      </w:r>
      <w:bookmarkEnd w:id="172"/>
    </w:p>
    <w:p w14:paraId="748A853D" w14:textId="77777777" w:rsidR="00E141CB" w:rsidRPr="00300A27" w:rsidRDefault="00E141CB" w:rsidP="00B243B6">
      <w:pPr>
        <w:spacing w:after="160"/>
      </w:pPr>
      <w:r w:rsidRPr="00300A27">
        <w:br w:type="page"/>
      </w:r>
    </w:p>
    <w:p w14:paraId="6C60C60E" w14:textId="4E9CFC86" w:rsidR="00DD6F09" w:rsidRPr="00300A27" w:rsidRDefault="00DD6F09" w:rsidP="00B243B6">
      <w:pPr>
        <w:keepNext/>
        <w:jc w:val="both"/>
        <w:outlineLvl w:val="0"/>
        <w:rPr>
          <w:lang w:val="es-CR"/>
        </w:rPr>
      </w:pPr>
      <w:r w:rsidRPr="00300A27">
        <w:t xml:space="preserve">Corte IDH. </w:t>
      </w:r>
      <w:r w:rsidR="005B1C65" w:rsidRPr="00300A27">
        <w:rPr>
          <w:i/>
        </w:rPr>
        <w:t>Case of</w:t>
      </w:r>
      <w:r w:rsidRPr="00300A27">
        <w:rPr>
          <w:i/>
        </w:rPr>
        <w:t xml:space="preserve"> Rojas Marín</w:t>
      </w:r>
      <w:r w:rsidR="005B1C65" w:rsidRPr="00300A27">
        <w:rPr>
          <w:i/>
        </w:rPr>
        <w:t xml:space="preserve"> </w:t>
      </w:r>
      <w:r w:rsidR="00444665" w:rsidRPr="00300A27">
        <w:rPr>
          <w:i/>
        </w:rPr>
        <w:t>et al. v</w:t>
      </w:r>
      <w:r w:rsidRPr="00300A27">
        <w:rPr>
          <w:i/>
        </w:rPr>
        <w:t xml:space="preserve">. </w:t>
      </w:r>
      <w:r w:rsidR="006B5575" w:rsidRPr="00300A27">
        <w:rPr>
          <w:i/>
        </w:rPr>
        <w:t>Peru</w:t>
      </w:r>
      <w:r w:rsidRPr="00300A27">
        <w:rPr>
          <w:i/>
        </w:rPr>
        <w:t xml:space="preserve">. </w:t>
      </w:r>
      <w:r w:rsidR="005B1C65" w:rsidRPr="00300A27">
        <w:rPr>
          <w:i/>
        </w:rPr>
        <w:t>Preliminary objections merits, reparations and costs</w:t>
      </w:r>
      <w:r w:rsidRPr="00300A27">
        <w:rPr>
          <w:i/>
        </w:rPr>
        <w:t xml:space="preserve">. </w:t>
      </w:r>
      <w:r w:rsidR="005B1C65" w:rsidRPr="00300A27">
        <w:rPr>
          <w:lang w:val="es-CR"/>
        </w:rPr>
        <w:t>Judgment of</w:t>
      </w:r>
      <w:r w:rsidRPr="00300A27">
        <w:rPr>
          <w:lang w:val="es-CR"/>
        </w:rPr>
        <w:t xml:space="preserve"> </w:t>
      </w:r>
      <w:r w:rsidR="005B1C65" w:rsidRPr="00300A27">
        <w:rPr>
          <w:lang w:val="es-CR"/>
        </w:rPr>
        <w:t>March 12,</w:t>
      </w:r>
      <w:r w:rsidRPr="00300A27">
        <w:rPr>
          <w:lang w:val="es-CR"/>
        </w:rPr>
        <w:t xml:space="preserve"> 2020.</w:t>
      </w:r>
    </w:p>
    <w:p w14:paraId="579AF275" w14:textId="77777777" w:rsidR="00DD6F09" w:rsidRPr="00300A27" w:rsidRDefault="00DD6F09" w:rsidP="00B243B6">
      <w:pPr>
        <w:jc w:val="center"/>
        <w:rPr>
          <w:lang w:val="es-CR"/>
        </w:rPr>
      </w:pPr>
    </w:p>
    <w:p w14:paraId="6E545794" w14:textId="77777777" w:rsidR="00DD6F09" w:rsidRPr="00300A27" w:rsidRDefault="00DD6F09" w:rsidP="00B243B6">
      <w:pPr>
        <w:jc w:val="center"/>
        <w:rPr>
          <w:lang w:val="es-CR"/>
        </w:rPr>
      </w:pPr>
    </w:p>
    <w:p w14:paraId="34B0CA3E" w14:textId="77777777" w:rsidR="00DD6F09" w:rsidRPr="00300A27" w:rsidRDefault="00DD6F09" w:rsidP="00B243B6">
      <w:pPr>
        <w:jc w:val="center"/>
        <w:rPr>
          <w:lang w:val="es-CR"/>
        </w:rPr>
      </w:pPr>
    </w:p>
    <w:p w14:paraId="7D4B8190" w14:textId="77777777" w:rsidR="00DD6F09" w:rsidRPr="00300A27" w:rsidRDefault="00DD6F09" w:rsidP="00B243B6">
      <w:pPr>
        <w:jc w:val="center"/>
        <w:rPr>
          <w:lang w:val="es-CR"/>
        </w:rPr>
      </w:pPr>
    </w:p>
    <w:p w14:paraId="54B677BC" w14:textId="77777777" w:rsidR="00DD6F09" w:rsidRPr="00300A27" w:rsidRDefault="00DD6F09" w:rsidP="00B243B6">
      <w:pPr>
        <w:jc w:val="center"/>
        <w:rPr>
          <w:lang w:val="es-CR"/>
        </w:rPr>
      </w:pPr>
    </w:p>
    <w:p w14:paraId="771C3C0A" w14:textId="77777777" w:rsidR="00DD6F09" w:rsidRPr="00300A27" w:rsidRDefault="00DD6F09" w:rsidP="00B243B6">
      <w:pPr>
        <w:jc w:val="center"/>
        <w:rPr>
          <w:lang w:val="es-CR"/>
        </w:rPr>
      </w:pPr>
      <w:r w:rsidRPr="00300A27">
        <w:rPr>
          <w:lang w:val="es-CR"/>
        </w:rPr>
        <w:t>Elizabeth Odio Benito</w:t>
      </w:r>
    </w:p>
    <w:p w14:paraId="1138362F" w14:textId="476D39E2" w:rsidR="00DD6F09" w:rsidRPr="00300A27" w:rsidRDefault="005B1C65" w:rsidP="00B243B6">
      <w:pPr>
        <w:jc w:val="center"/>
        <w:rPr>
          <w:lang w:val="es-CR"/>
        </w:rPr>
      </w:pPr>
      <w:r w:rsidRPr="00300A27">
        <w:rPr>
          <w:lang w:val="es-CR"/>
        </w:rPr>
        <w:t>President</w:t>
      </w:r>
    </w:p>
    <w:p w14:paraId="348367F1" w14:textId="77777777" w:rsidR="00DD6F09" w:rsidRPr="00300A27" w:rsidRDefault="00DD6F09" w:rsidP="00B243B6">
      <w:pPr>
        <w:jc w:val="both"/>
        <w:rPr>
          <w:lang w:val="es-CR"/>
        </w:rPr>
      </w:pPr>
    </w:p>
    <w:p w14:paraId="30374B3D" w14:textId="77777777" w:rsidR="00DD6F09" w:rsidRPr="00300A27" w:rsidRDefault="00DD6F09" w:rsidP="00B243B6">
      <w:pPr>
        <w:jc w:val="both"/>
        <w:rPr>
          <w:lang w:val="es-CR"/>
        </w:rPr>
      </w:pPr>
    </w:p>
    <w:p w14:paraId="544E2FF6" w14:textId="77777777" w:rsidR="00DD6F09" w:rsidRPr="00300A27" w:rsidRDefault="00DD6F09" w:rsidP="00B243B6">
      <w:pPr>
        <w:jc w:val="both"/>
        <w:rPr>
          <w:lang w:val="es-CR"/>
        </w:rPr>
      </w:pPr>
    </w:p>
    <w:p w14:paraId="5692D12C" w14:textId="77777777" w:rsidR="00DD6F09" w:rsidRPr="00300A27" w:rsidRDefault="00DD6F09" w:rsidP="00B243B6">
      <w:pPr>
        <w:jc w:val="both"/>
        <w:rPr>
          <w:lang w:val="es-CR"/>
        </w:rPr>
      </w:pPr>
    </w:p>
    <w:p w14:paraId="596F78E6" w14:textId="77777777" w:rsidR="00DD6F09" w:rsidRPr="00300A27" w:rsidRDefault="00DD6F09" w:rsidP="00B243B6">
      <w:pPr>
        <w:jc w:val="both"/>
        <w:rPr>
          <w:lang w:val="es-CR"/>
        </w:rPr>
      </w:pPr>
    </w:p>
    <w:p w14:paraId="247DE952" w14:textId="77777777" w:rsidR="00DD6F09" w:rsidRPr="00300A27" w:rsidRDefault="00DD6F09" w:rsidP="00B243B6">
      <w:pPr>
        <w:jc w:val="both"/>
        <w:rPr>
          <w:lang w:val="es-CR"/>
        </w:rPr>
      </w:pPr>
      <w:r w:rsidRPr="00300A27">
        <w:rPr>
          <w:lang w:val="es-CR"/>
        </w:rPr>
        <w:t>L. Patricio Pazmiño Freire</w:t>
      </w:r>
      <w:r w:rsidRPr="00300A27">
        <w:rPr>
          <w:lang w:val="es-CR"/>
        </w:rPr>
        <w:tab/>
      </w:r>
      <w:r w:rsidRPr="00300A27">
        <w:rPr>
          <w:lang w:val="es-CR"/>
        </w:rPr>
        <w:tab/>
      </w:r>
      <w:r w:rsidRPr="00300A27">
        <w:rPr>
          <w:lang w:val="es-CR"/>
        </w:rPr>
        <w:tab/>
      </w:r>
      <w:r w:rsidRPr="00300A27">
        <w:rPr>
          <w:lang w:val="es-CR"/>
        </w:rPr>
        <w:tab/>
      </w:r>
      <w:r w:rsidRPr="00300A27">
        <w:rPr>
          <w:lang w:val="es-CR"/>
        </w:rPr>
        <w:tab/>
        <w:t>Humberto Antonio Sierra Porto</w:t>
      </w:r>
    </w:p>
    <w:p w14:paraId="0D6CB97F" w14:textId="77777777" w:rsidR="00DD6F09" w:rsidRPr="00300A27" w:rsidRDefault="00DD6F09" w:rsidP="00B243B6">
      <w:pPr>
        <w:jc w:val="both"/>
        <w:rPr>
          <w:lang w:val="es-CR"/>
        </w:rPr>
      </w:pPr>
    </w:p>
    <w:p w14:paraId="1F14F449" w14:textId="77777777" w:rsidR="00DD6F09" w:rsidRPr="00300A27" w:rsidRDefault="00DD6F09" w:rsidP="00B243B6">
      <w:pPr>
        <w:jc w:val="both"/>
        <w:rPr>
          <w:lang w:val="es-CR"/>
        </w:rPr>
      </w:pPr>
    </w:p>
    <w:p w14:paraId="01EC6260" w14:textId="77777777" w:rsidR="00DD6F09" w:rsidRPr="00300A27" w:rsidRDefault="00DD6F09" w:rsidP="00B243B6">
      <w:pPr>
        <w:jc w:val="both"/>
        <w:rPr>
          <w:lang w:val="es-CR"/>
        </w:rPr>
      </w:pPr>
    </w:p>
    <w:p w14:paraId="6486A5C9" w14:textId="77777777" w:rsidR="00DD6F09" w:rsidRPr="00300A27" w:rsidRDefault="00DD6F09" w:rsidP="00B243B6">
      <w:pPr>
        <w:jc w:val="both"/>
        <w:rPr>
          <w:lang w:val="es-CR"/>
        </w:rPr>
      </w:pPr>
    </w:p>
    <w:p w14:paraId="1C92F09B" w14:textId="77777777" w:rsidR="00DD6F09" w:rsidRPr="00300A27" w:rsidRDefault="00DD6F09" w:rsidP="00B243B6">
      <w:pPr>
        <w:jc w:val="both"/>
        <w:rPr>
          <w:lang w:val="es-CR"/>
        </w:rPr>
      </w:pPr>
    </w:p>
    <w:p w14:paraId="4C2539F5" w14:textId="77777777" w:rsidR="00DD6F09" w:rsidRPr="00300A27" w:rsidRDefault="00DD6F09" w:rsidP="00B243B6">
      <w:pPr>
        <w:rPr>
          <w:lang w:val="es-CR"/>
        </w:rPr>
      </w:pPr>
      <w:r w:rsidRPr="00300A27">
        <w:rPr>
          <w:lang w:val="es-CR"/>
        </w:rPr>
        <w:t>Eduardo Ferrer Mac-Gregor Poisot</w:t>
      </w:r>
      <w:r w:rsidRPr="00300A27">
        <w:rPr>
          <w:lang w:val="es-CR"/>
        </w:rPr>
        <w:tab/>
      </w:r>
      <w:r w:rsidRPr="00300A27">
        <w:rPr>
          <w:lang w:val="es-CR"/>
        </w:rPr>
        <w:tab/>
      </w:r>
      <w:r w:rsidRPr="00300A27">
        <w:rPr>
          <w:lang w:val="es-CR"/>
        </w:rPr>
        <w:tab/>
      </w:r>
      <w:r w:rsidRPr="00300A27">
        <w:rPr>
          <w:lang w:val="es-CR"/>
        </w:rPr>
        <w:tab/>
      </w:r>
      <w:r w:rsidRPr="00300A27">
        <w:rPr>
          <w:lang w:val="es-CR"/>
        </w:rPr>
        <w:tab/>
        <w:t xml:space="preserve">  Eugenio Raúl Zaffaroni</w:t>
      </w:r>
    </w:p>
    <w:p w14:paraId="4B2D4911" w14:textId="77777777" w:rsidR="00DD6F09" w:rsidRPr="00300A27" w:rsidRDefault="00DD6F09" w:rsidP="00B243B6">
      <w:pPr>
        <w:jc w:val="both"/>
        <w:rPr>
          <w:lang w:val="es-CR"/>
        </w:rPr>
      </w:pPr>
    </w:p>
    <w:p w14:paraId="2358DB95" w14:textId="77777777" w:rsidR="00DD6F09" w:rsidRPr="00300A27" w:rsidRDefault="00DD6F09" w:rsidP="00B243B6">
      <w:pPr>
        <w:jc w:val="both"/>
        <w:rPr>
          <w:lang w:val="es-CR"/>
        </w:rPr>
      </w:pPr>
    </w:p>
    <w:p w14:paraId="22ECA4C5" w14:textId="77777777" w:rsidR="00DD6F09" w:rsidRPr="00300A27" w:rsidRDefault="00DD6F09" w:rsidP="00B243B6">
      <w:pPr>
        <w:jc w:val="both"/>
        <w:rPr>
          <w:lang w:val="es-CR"/>
        </w:rPr>
      </w:pPr>
    </w:p>
    <w:p w14:paraId="6B79D189" w14:textId="77777777" w:rsidR="00DD6F09" w:rsidRPr="00300A27" w:rsidRDefault="00DD6F09" w:rsidP="00B243B6">
      <w:pPr>
        <w:jc w:val="both"/>
        <w:rPr>
          <w:lang w:val="es-CR"/>
        </w:rPr>
      </w:pPr>
    </w:p>
    <w:p w14:paraId="3B6868E9" w14:textId="77777777" w:rsidR="00DD6F09" w:rsidRPr="00300A27" w:rsidRDefault="00DD6F09" w:rsidP="00B243B6">
      <w:pPr>
        <w:jc w:val="both"/>
        <w:rPr>
          <w:lang w:val="es-CR"/>
        </w:rPr>
      </w:pPr>
    </w:p>
    <w:p w14:paraId="2F8D7B1A" w14:textId="77777777" w:rsidR="00DD6F09" w:rsidRPr="00300A27" w:rsidRDefault="00DD6F09" w:rsidP="00B243B6">
      <w:pPr>
        <w:jc w:val="center"/>
        <w:rPr>
          <w:lang w:val="es-CR"/>
        </w:rPr>
      </w:pPr>
      <w:r w:rsidRPr="00300A27">
        <w:rPr>
          <w:lang w:val="es-CR"/>
        </w:rPr>
        <w:t>Ricardo C. Pérez Manrique</w:t>
      </w:r>
    </w:p>
    <w:p w14:paraId="61B860B8" w14:textId="77777777" w:rsidR="00DD6F09" w:rsidRPr="00300A27" w:rsidRDefault="00DD6F09" w:rsidP="00B243B6">
      <w:pPr>
        <w:jc w:val="both"/>
        <w:rPr>
          <w:lang w:val="es-CR"/>
        </w:rPr>
      </w:pPr>
    </w:p>
    <w:p w14:paraId="79636F99" w14:textId="77777777" w:rsidR="00DD6F09" w:rsidRPr="00300A27" w:rsidRDefault="00DD6F09" w:rsidP="00B243B6">
      <w:pPr>
        <w:jc w:val="both"/>
        <w:rPr>
          <w:lang w:val="es-CR"/>
        </w:rPr>
      </w:pPr>
    </w:p>
    <w:p w14:paraId="76BD2AFA" w14:textId="77777777" w:rsidR="00DD6F09" w:rsidRPr="00300A27" w:rsidRDefault="00DD6F09" w:rsidP="00B243B6">
      <w:pPr>
        <w:jc w:val="both"/>
        <w:rPr>
          <w:lang w:val="es-CR"/>
        </w:rPr>
      </w:pPr>
    </w:p>
    <w:p w14:paraId="5226B653" w14:textId="77777777" w:rsidR="00DD6F09" w:rsidRPr="00300A27" w:rsidRDefault="00DD6F09" w:rsidP="00B243B6">
      <w:pPr>
        <w:jc w:val="both"/>
        <w:rPr>
          <w:lang w:val="es-CR"/>
        </w:rPr>
      </w:pPr>
    </w:p>
    <w:p w14:paraId="322D7195" w14:textId="77777777" w:rsidR="00DD6F09" w:rsidRPr="00300A27" w:rsidRDefault="00DD6F09" w:rsidP="00B243B6">
      <w:pPr>
        <w:jc w:val="both"/>
        <w:rPr>
          <w:lang w:val="es-CR"/>
        </w:rPr>
      </w:pPr>
    </w:p>
    <w:p w14:paraId="146B3C65" w14:textId="77777777" w:rsidR="00DD6F09" w:rsidRPr="00300A27" w:rsidRDefault="00DD6F09" w:rsidP="00B243B6">
      <w:pPr>
        <w:jc w:val="center"/>
        <w:rPr>
          <w:lang w:val="es-CR"/>
        </w:rPr>
      </w:pPr>
      <w:r w:rsidRPr="00300A27">
        <w:rPr>
          <w:lang w:val="es-CR"/>
        </w:rPr>
        <w:t>Pablo Saavedra Alessandri</w:t>
      </w:r>
    </w:p>
    <w:p w14:paraId="70F8AB4E" w14:textId="5F7A6977" w:rsidR="00DD6F09" w:rsidRPr="00300A27" w:rsidRDefault="00DD6F09" w:rsidP="00B243B6">
      <w:pPr>
        <w:jc w:val="center"/>
      </w:pPr>
      <w:r w:rsidRPr="00300A27">
        <w:t>Secretar</w:t>
      </w:r>
      <w:r w:rsidR="00444665" w:rsidRPr="00300A27">
        <w:t>y</w:t>
      </w:r>
    </w:p>
    <w:p w14:paraId="7016A3F8" w14:textId="77777777" w:rsidR="00DD6F09" w:rsidRPr="00300A27" w:rsidRDefault="00DD6F09" w:rsidP="00B243B6">
      <w:pPr>
        <w:pStyle w:val="Textonotapie"/>
        <w:rPr>
          <w:lang w:val="en-US"/>
        </w:rPr>
      </w:pPr>
    </w:p>
    <w:p w14:paraId="2F9D4D24" w14:textId="77777777" w:rsidR="00DD6F09" w:rsidRPr="00300A27" w:rsidRDefault="00DD6F09" w:rsidP="00B243B6">
      <w:pPr>
        <w:pStyle w:val="Textonotapie"/>
        <w:rPr>
          <w:lang w:val="en-US"/>
        </w:rPr>
      </w:pPr>
    </w:p>
    <w:p w14:paraId="40A53538" w14:textId="6BE1BC31" w:rsidR="00DD6F09" w:rsidRPr="00300A27" w:rsidRDefault="00444665" w:rsidP="00B243B6">
      <w:pPr>
        <w:jc w:val="both"/>
      </w:pPr>
      <w:r w:rsidRPr="00300A27">
        <w:t>So ordered</w:t>
      </w:r>
      <w:r w:rsidR="00DD6F09" w:rsidRPr="00300A27">
        <w:t>,</w:t>
      </w:r>
    </w:p>
    <w:p w14:paraId="1CF788B3" w14:textId="77777777" w:rsidR="00DD6F09" w:rsidRPr="00300A27" w:rsidRDefault="00DD6F09" w:rsidP="00B243B6">
      <w:pPr>
        <w:jc w:val="both"/>
      </w:pPr>
    </w:p>
    <w:p w14:paraId="5F440F52" w14:textId="77777777" w:rsidR="00DD6F09" w:rsidRPr="00300A27" w:rsidRDefault="00DD6F09" w:rsidP="00B243B6">
      <w:pPr>
        <w:jc w:val="both"/>
      </w:pPr>
    </w:p>
    <w:p w14:paraId="6CF83944" w14:textId="77777777" w:rsidR="00DD6F09" w:rsidRPr="00300A27" w:rsidRDefault="00DD6F09" w:rsidP="00B243B6">
      <w:pPr>
        <w:jc w:val="both"/>
      </w:pPr>
    </w:p>
    <w:p w14:paraId="09B9E4EF" w14:textId="77777777" w:rsidR="00DD6F09" w:rsidRPr="00300A27" w:rsidRDefault="00DD6F09" w:rsidP="00B243B6">
      <w:pPr>
        <w:ind w:left="5664"/>
        <w:jc w:val="center"/>
      </w:pPr>
      <w:r w:rsidRPr="00300A27">
        <w:t>Elizabeth Odio Benito</w:t>
      </w:r>
    </w:p>
    <w:p w14:paraId="3B9068C9" w14:textId="2BFE8AA2" w:rsidR="00DD6F09" w:rsidRPr="00300A27" w:rsidRDefault="005B1C65" w:rsidP="00B243B6">
      <w:pPr>
        <w:ind w:left="5664"/>
        <w:jc w:val="center"/>
      </w:pPr>
      <w:r w:rsidRPr="00300A27">
        <w:t>President</w:t>
      </w:r>
    </w:p>
    <w:p w14:paraId="2E10B732" w14:textId="77777777" w:rsidR="00DD6F09" w:rsidRPr="00300A27" w:rsidRDefault="00DD6F09" w:rsidP="00B243B6">
      <w:pPr>
        <w:jc w:val="both"/>
      </w:pPr>
    </w:p>
    <w:p w14:paraId="4C0DBFC8" w14:textId="77777777" w:rsidR="00DD6F09" w:rsidRPr="00300A27" w:rsidRDefault="00DD6F09" w:rsidP="00B243B6">
      <w:pPr>
        <w:jc w:val="both"/>
      </w:pPr>
    </w:p>
    <w:p w14:paraId="468339B1" w14:textId="77777777" w:rsidR="00DD6F09" w:rsidRPr="00300A27" w:rsidRDefault="00DD6F09" w:rsidP="00B243B6">
      <w:pPr>
        <w:jc w:val="both"/>
      </w:pPr>
      <w:r w:rsidRPr="00300A27">
        <w:t>Pablo Saavedra Alessandri</w:t>
      </w:r>
    </w:p>
    <w:p w14:paraId="33491391" w14:textId="753DB3B0" w:rsidR="00DD6F09" w:rsidRPr="001B5E2B" w:rsidRDefault="00DD6F09" w:rsidP="00B243B6">
      <w:r w:rsidRPr="00300A27">
        <w:tab/>
        <w:t>Secretar</w:t>
      </w:r>
      <w:r w:rsidR="00444665" w:rsidRPr="00300A27">
        <w:t>y</w:t>
      </w:r>
    </w:p>
    <w:p w14:paraId="56C55BD4" w14:textId="77777777" w:rsidR="00DD6F09" w:rsidRPr="001B5E2B" w:rsidRDefault="00DD6F09" w:rsidP="00B243B6">
      <w:pPr>
        <w:rPr>
          <w:lang w:eastAsia="es-MX"/>
        </w:rPr>
      </w:pPr>
    </w:p>
    <w:sectPr w:rsidR="00DD6F09" w:rsidRPr="001B5E2B" w:rsidSect="00AD3522">
      <w:headerReference w:type="default" r:id="rId8"/>
      <w:footerReference w:type="even" r:id="rId9"/>
      <w:footerReference w:type="default" r:id="rId10"/>
      <w:pgSz w:w="12240" w:h="15840"/>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CB86E" w14:textId="77777777" w:rsidR="007058E0" w:rsidRDefault="007058E0" w:rsidP="00C41BB2">
      <w:r>
        <w:separator/>
      </w:r>
    </w:p>
  </w:endnote>
  <w:endnote w:type="continuationSeparator" w:id="0">
    <w:p w14:paraId="42229BB3" w14:textId="77777777" w:rsidR="007058E0" w:rsidRDefault="007058E0" w:rsidP="00C4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Italic">
    <w:altName w:val="Segoe UI Histor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dy CS)">
    <w:charset w:val="00"/>
    <w:family w:val="roman"/>
    <w:pitch w:val="default"/>
  </w:font>
  <w:font w:name="ArialMT">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5FE92" w14:textId="77777777" w:rsidR="00300A27" w:rsidRDefault="00300A27" w:rsidP="0027430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02C541" w14:textId="77777777" w:rsidR="00300A27" w:rsidRDefault="00300A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F8485" w14:textId="77777777" w:rsidR="00300A27" w:rsidRDefault="00300A27" w:rsidP="0027430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1E22BB13" w14:textId="77777777" w:rsidR="00300A27" w:rsidRDefault="00300A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9947F" w14:textId="77777777" w:rsidR="007058E0" w:rsidRDefault="007058E0" w:rsidP="00C41BB2">
      <w:r>
        <w:separator/>
      </w:r>
    </w:p>
  </w:footnote>
  <w:footnote w:type="continuationSeparator" w:id="0">
    <w:p w14:paraId="4C71AE92" w14:textId="77777777" w:rsidR="007058E0" w:rsidRDefault="007058E0" w:rsidP="00C41BB2">
      <w:r>
        <w:continuationSeparator/>
      </w:r>
    </w:p>
  </w:footnote>
  <w:footnote w:id="1">
    <w:p w14:paraId="21CD65FC" w14:textId="2359FA52" w:rsidR="00300A27" w:rsidRPr="00300A27" w:rsidRDefault="00300A27" w:rsidP="00F756EF">
      <w:pPr>
        <w:pStyle w:val="Footnotes"/>
        <w:spacing w:after="80"/>
        <w:rPr>
          <w:i/>
        </w:rPr>
      </w:pPr>
      <w:r w:rsidRPr="00300A27">
        <w:rPr>
          <w:rStyle w:val="Refdenotaalpie"/>
          <w:spacing w:val="0"/>
        </w:rPr>
        <w:t>*</w:t>
      </w:r>
      <w:r w:rsidRPr="00300A27">
        <w:t xml:space="preserve"> </w:t>
      </w:r>
      <w:r w:rsidRPr="00300A27">
        <w:tab/>
        <w:t xml:space="preserve">Judge Eduardo Vio Grossi </w:t>
      </w:r>
      <w:bookmarkStart w:id="8" w:name="_Hlk39316893"/>
      <w:r w:rsidRPr="00300A27">
        <w:t>did not take part in the deliberation and signature of this judgment for reasons beyond his control, accepted by the full Court</w:t>
      </w:r>
      <w:bookmarkEnd w:id="8"/>
      <w:r w:rsidRPr="00300A27">
        <w:t xml:space="preserve">. </w:t>
      </w:r>
    </w:p>
  </w:footnote>
  <w:footnote w:id="2">
    <w:p w14:paraId="59CA165F" w14:textId="580F735D"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The Commission concluded that the State was responsible for: the violation of the rights established in Articles 7(1), 7(2), 7(3), 11 and 24 of the American Convention, in relation to the obligations established in Article 1(1) of this instrument, to the detriment of Azul Rojas Marín; the violation of Articles 5(1), 5(2), 11(2) and 24 of the American Convention, and also non-compliance with Articles 1 and 6 of the Inter-American Convention to Prevent and Punish Torture (ICPPT) to the detriment of Azul Rojas Marín; the violation of the rights established in Articles 5(1), 8(1), 11, 24, and 25(1) of the American Convention in relation to Article 1(1) of this instrument, and also the violation of its duty to investigate acts of torture established in Articles 1, 6 and 8 of the ICPPT, all to the detriment of Azul Rojas Marín; also, the violation of the right to mental and moral integrity established in Article 5(1) of the American Convention to the detriment of Juana Rosa Tanta Marín, the mother of Azul Rojas Marín.</w:t>
      </w:r>
      <w:r w:rsidRPr="00300A27">
        <w:rPr>
          <w:b/>
          <w:lang w:val="en-US"/>
        </w:rPr>
        <w:t xml:space="preserve"> </w:t>
      </w:r>
    </w:p>
  </w:footnote>
  <w:footnote w:id="3">
    <w:p w14:paraId="38C91B05" w14:textId="043E1D53"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The Commission appointed Commissioner Joel Hernández and Executive Secretary Paulo Abrão as its delegates, and Silvia Serrano Guzmán, lawyer of the Commission’s Executive Secretariat acted as Legal Adviser.</w:t>
      </w:r>
    </w:p>
  </w:footnote>
  <w:footnote w:id="4">
    <w:p w14:paraId="161E66DC" w14:textId="4AA70A09"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Rojas Marín et al. v. Peru. Call to a hearing.</w:t>
      </w:r>
      <w:r w:rsidRPr="00300A27">
        <w:rPr>
          <w:lang w:val="en-US"/>
        </w:rPr>
        <w:t xml:space="preserve"> Order of the President of the Inter-American Court of Human Rights of July 10,2019. Available at: </w:t>
      </w:r>
      <w:hyperlink r:id="rId1" w:history="1">
        <w:r w:rsidRPr="00300A27">
          <w:rPr>
            <w:rStyle w:val="Hipervnculo"/>
            <w:lang w:val="en-US"/>
          </w:rPr>
          <w:t>http://www.corteidh.or.cr/docs/asuntos/rojas_marin_10_07_19.pdf</w:t>
        </w:r>
      </w:hyperlink>
    </w:p>
  </w:footnote>
  <w:footnote w:id="5">
    <w:p w14:paraId="54003CA0" w14:textId="506874C3"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Rojas Marín et al. v. Peru.</w:t>
      </w:r>
      <w:r w:rsidRPr="00300A27">
        <w:rPr>
          <w:lang w:val="en-US"/>
        </w:rPr>
        <w:t xml:space="preserve"> Order of the Inter-American Court of Human Rights of August 26, 2019. Available at: </w:t>
      </w:r>
      <w:hyperlink r:id="rId2" w:history="1">
        <w:r w:rsidRPr="00300A27">
          <w:rPr>
            <w:rStyle w:val="Hipervnculo"/>
            <w:lang w:val="en-US"/>
          </w:rPr>
          <w:t>http://www.corteidh.or.cr/docs/asuntos/rojas_26_08_19.pdf</w:t>
        </w:r>
      </w:hyperlink>
      <w:r w:rsidRPr="00300A27">
        <w:rPr>
          <w:lang w:val="en-US"/>
        </w:rPr>
        <w:t xml:space="preserve"> </w:t>
      </w:r>
    </w:p>
  </w:footnote>
  <w:footnote w:id="6">
    <w:p w14:paraId="275CC9CF" w14:textId="2AC397F4" w:rsidR="00300A27" w:rsidRPr="00300A27" w:rsidRDefault="00300A27" w:rsidP="00F756EF">
      <w:pPr>
        <w:tabs>
          <w:tab w:val="left" w:pos="567"/>
        </w:tabs>
        <w:spacing w:after="80"/>
        <w:jc w:val="both"/>
        <w:rPr>
          <w:rFonts w:eastAsia="Verdana" w:cs="Verdana"/>
          <w:sz w:val="16"/>
          <w:szCs w:val="16"/>
        </w:rPr>
      </w:pPr>
      <w:r w:rsidRPr="00300A27">
        <w:rPr>
          <w:rStyle w:val="Refdenotaalpie"/>
          <w:sz w:val="16"/>
          <w:szCs w:val="16"/>
        </w:rPr>
        <w:footnoteRef/>
      </w:r>
      <w:r w:rsidRPr="00300A27">
        <w:rPr>
          <w:sz w:val="16"/>
          <w:szCs w:val="16"/>
        </w:rPr>
        <w:t xml:space="preserve"> </w:t>
      </w:r>
      <w:r w:rsidRPr="00300A27">
        <w:rPr>
          <w:sz w:val="16"/>
          <w:szCs w:val="16"/>
        </w:rPr>
        <w:tab/>
        <w:t xml:space="preserve">There appeared at this hearing: (a) for the Inter-American Commission; </w:t>
      </w:r>
      <w:r w:rsidRPr="00300A27">
        <w:rPr>
          <w:rFonts w:eastAsia="Verdana" w:cs="Verdana"/>
          <w:sz w:val="16"/>
          <w:szCs w:val="16"/>
        </w:rPr>
        <w:t>Luis Ernesto Vargas, Commissioner</w:t>
      </w:r>
      <w:r w:rsidRPr="00300A27">
        <w:rPr>
          <w:sz w:val="16"/>
          <w:szCs w:val="16"/>
        </w:rPr>
        <w:t xml:space="preserve">, and </w:t>
      </w:r>
      <w:r w:rsidRPr="00300A27">
        <w:rPr>
          <w:rFonts w:eastAsia="Verdana" w:cs="Verdana"/>
          <w:sz w:val="16"/>
          <w:szCs w:val="16"/>
        </w:rPr>
        <w:t>Jorge H. Meza Flores, Analía Banfi Vique and Piero Vásquez, IACHR Legal Advisers;</w:t>
      </w:r>
      <w:r w:rsidRPr="00300A27">
        <w:rPr>
          <w:sz w:val="16"/>
          <w:szCs w:val="16"/>
        </w:rPr>
        <w:t xml:space="preserve"> (b) for the representatives of the presumed victims: Ana María Vidal Carrasco, Deputy Executive </w:t>
      </w:r>
      <w:r w:rsidRPr="00300A27">
        <w:rPr>
          <w:rFonts w:cs="Calibri"/>
          <w:sz w:val="16"/>
          <w:szCs w:val="16"/>
        </w:rPr>
        <w:t>Secretary of the National Human Rights Coordinator</w:t>
      </w:r>
      <w:r w:rsidRPr="00300A27">
        <w:rPr>
          <w:sz w:val="16"/>
          <w:szCs w:val="16"/>
        </w:rPr>
        <w:t>, Gabriela Oporto Patroni,</w:t>
      </w:r>
      <w:r w:rsidRPr="00300A27">
        <w:rPr>
          <w:rFonts w:cs="Calibri"/>
          <w:sz w:val="16"/>
          <w:szCs w:val="16"/>
        </w:rPr>
        <w:t xml:space="preserve"> Coordinator of Strategic Litigation of the </w:t>
      </w:r>
      <w:r w:rsidRPr="00300A27">
        <w:rPr>
          <w:rFonts w:cs="Calibri"/>
          <w:i/>
          <w:iCs/>
          <w:sz w:val="16"/>
          <w:szCs w:val="16"/>
        </w:rPr>
        <w:t>Centro de Promoción y Defensa de los Derechos Sexuales y Reproductivos</w:t>
      </w:r>
      <w:r w:rsidRPr="00300A27">
        <w:rPr>
          <w:sz w:val="16"/>
          <w:szCs w:val="16"/>
        </w:rPr>
        <w:t>, Clara Sandoval</w:t>
      </w:r>
      <w:r w:rsidRPr="00300A27">
        <w:rPr>
          <w:rFonts w:cs="Calibri"/>
          <w:sz w:val="16"/>
          <w:szCs w:val="16"/>
        </w:rPr>
        <w:t>, REDRESS Consultant for this case</w:t>
      </w:r>
      <w:r w:rsidRPr="00300A27">
        <w:rPr>
          <w:sz w:val="16"/>
          <w:szCs w:val="16"/>
        </w:rPr>
        <w:t xml:space="preserve">, and Alejandra Vicente, Head of Law, </w:t>
      </w:r>
      <w:r w:rsidRPr="00300A27">
        <w:rPr>
          <w:rFonts w:cs="Calibri"/>
          <w:sz w:val="16"/>
          <w:szCs w:val="16"/>
        </w:rPr>
        <w:t>REDRESS,</w:t>
      </w:r>
      <w:r w:rsidRPr="00300A27">
        <w:rPr>
          <w:sz w:val="16"/>
          <w:szCs w:val="16"/>
        </w:rPr>
        <w:t xml:space="preserve"> and (c) for the State of Peru: Carlos Redaño Balarezo, Supranational </w:t>
      </w:r>
      <w:r w:rsidRPr="00300A27">
        <w:rPr>
          <w:rFonts w:cs="Arial"/>
          <w:sz w:val="16"/>
          <w:szCs w:val="16"/>
        </w:rPr>
        <w:t xml:space="preserve">Special Public Attorney and Agent in this case, </w:t>
      </w:r>
      <w:r w:rsidRPr="00300A27">
        <w:rPr>
          <w:sz w:val="16"/>
          <w:szCs w:val="16"/>
        </w:rPr>
        <w:t xml:space="preserve">Silvana Gómez </w:t>
      </w:r>
      <w:r w:rsidRPr="00300A27">
        <w:rPr>
          <w:rFonts w:cs="Arial"/>
          <w:sz w:val="16"/>
          <w:szCs w:val="16"/>
        </w:rPr>
        <w:t>and</w:t>
      </w:r>
      <w:r w:rsidRPr="00300A27">
        <w:rPr>
          <w:sz w:val="16"/>
          <w:szCs w:val="16"/>
        </w:rPr>
        <w:t xml:space="preserve"> Carlos LLaja, lawyers of the Supranational </w:t>
      </w:r>
      <w:r w:rsidRPr="00300A27">
        <w:rPr>
          <w:rFonts w:cs="Arial"/>
          <w:sz w:val="16"/>
          <w:szCs w:val="16"/>
        </w:rPr>
        <w:t>Special Public Attorney’s Office and Deputy Agents in this case.</w:t>
      </w:r>
    </w:p>
  </w:footnote>
  <w:footnote w:id="7">
    <w:p w14:paraId="3444DCEA" w14:textId="6BA326C9"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The brief was signed by Renata Bregaglio Lazarte, María Alejandra Espino and María Susana Barrenechea. The brief describes the situation of LGBTI people in Peru.</w:t>
      </w:r>
    </w:p>
  </w:footnote>
  <w:footnote w:id="8">
    <w:p w14:paraId="35953B6C" w14:textId="77D226F0"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The brief was signed by Fanny Gómez-Lugo, Juan Felipe Rivera Osorio, María Daniela Díaz Villamil, María Alejandra Medina Ubajoa and Robinson Sánchez Tamayo. The brief describes the situation of LGBTI people in Peru and includes legal considerations on the protection of gender expression.</w:t>
      </w:r>
    </w:p>
  </w:footnote>
  <w:footnote w:id="9">
    <w:p w14:paraId="5F5B5FFC" w14:textId="12A07DFD"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The brief was signed by Susan Simone Kang, Daniela Urosa, Milena Cuadra Seas and Liliana Mamani Condori. The brief refers to the facts of this case. </w:t>
      </w:r>
    </w:p>
  </w:footnote>
  <w:footnote w:id="10">
    <w:p w14:paraId="25005B5C" w14:textId="138078AC"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The brief was signed by Evelyne Paradis. The brief refers to the State obligation to conduct investigations into acts of violence or abuse, especially in cases involving LGBTI people.</w:t>
      </w:r>
    </w:p>
  </w:footnote>
  <w:footnote w:id="11">
    <w:p w14:paraId="7036F9E4" w14:textId="021247BE"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The brief was signed by María Lucía Muchuca Rose. The brief describes the situation of LGBTI people in Peru.</w:t>
      </w:r>
    </w:p>
  </w:footnote>
  <w:footnote w:id="12">
    <w:p w14:paraId="7552AA96" w14:textId="065E81BC"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The brief was signed by Camila Gianella Malca. The brief refers to care for victims of torture, and the transgender population in Peru.</w:t>
      </w:r>
    </w:p>
  </w:footnote>
  <w:footnote w:id="13">
    <w:p w14:paraId="038CF686" w14:textId="4B8C511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The brief was signed by Baroness Helena Kennedy. The brief describes how discrimination may be used as an element of intent and purpose in torture, especially in cases of discrimination based on sexual orientation.</w:t>
      </w:r>
    </w:p>
  </w:footnote>
  <w:footnote w:id="14">
    <w:p w14:paraId="46029A07" w14:textId="2C2E0BD3"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The brief was signed by Juan Pablo Pérez León Acevedo. The brief refers to sexual violence as an act of torture, and uses case law of both the Inter-American Court and the European courts to establish that sexual violence may be an act of torture.</w:t>
      </w:r>
    </w:p>
  </w:footnote>
  <w:footnote w:id="15">
    <w:p w14:paraId="1B281EB8" w14:textId="66317E91"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The Court notes that the representatives’ brief with final arguments was submitted unsigned on September 30, 2019. On October 1, 2019, the representatives forwarded a signed copy of this brief. The State argued that, according to Article 28 of the Court’s Rules of Procedure, the representatives must provide their final written arguments not only by electronic means, but also send the original brief to the Court and the Court must receive this within 21 days of the expiry of the time frame for submission of these arguments. The Court considered that the presentation of the signed version of the brief by electronic means was sufficient, without it being necessary to send the original copy of the brief.</w:t>
      </w:r>
    </w:p>
  </w:footnote>
  <w:footnote w:id="16">
    <w:p w14:paraId="745EAE0A" w14:textId="7EE9DA16"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The initial petition was forwarded to the State on June 5, 2013, granting it two months to presents its observations. The State asked for an extension on October 10, 2013, which the Commission denied. The State presented its observations on March 24, 2014. In this brief, the State indicated that the decision dismissing the case “could have been contested by the petitioner,” by the remedy of appeal. However, this remedy was filed belatedly, and was therefore declared inadmissible. </w:t>
      </w:r>
      <w:r w:rsidRPr="00300A27">
        <w:rPr>
          <w:i/>
          <w:lang w:val="en-US"/>
        </w:rPr>
        <w:t>Cf.</w:t>
      </w:r>
      <w:r w:rsidRPr="00300A27">
        <w:rPr>
          <w:lang w:val="en-US"/>
        </w:rPr>
        <w:t xml:space="preserve"> Communication of the Commission addressed to the State of June 5, 2013 (evidence file, folio 887); the State’s request for an extension of October 10, 2013 (evidence file, folio 878); Communication of the Commission addressed to the State of October 18, 2018 (evidence file, folio 887), and the State’s report of March 24, 2014 (evidence file, folios 840 and 847).</w:t>
      </w:r>
    </w:p>
  </w:footnote>
  <w:footnote w:id="17">
    <w:p w14:paraId="0D7F4E75" w14:textId="7CC05A4D"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Reverón Trujillo v. Venezuela. Preliminary objection, merits, reparations and costs</w:t>
      </w:r>
      <w:r w:rsidRPr="00300A27">
        <w:rPr>
          <w:lang w:val="en-US"/>
        </w:rPr>
        <w:t xml:space="preserve">. Judgment of June 30, 2009. Series C No. 197, para. 23, and </w:t>
      </w:r>
      <w:r w:rsidRPr="00300A27">
        <w:rPr>
          <w:i/>
          <w:iCs/>
          <w:lang w:val="en-US"/>
        </w:rPr>
        <w:t>Case of López et al. v. Argentina. Preliminary objections, merits, reparations and costs</w:t>
      </w:r>
      <w:r w:rsidRPr="00300A27">
        <w:rPr>
          <w:lang w:val="en-US"/>
        </w:rPr>
        <w:t>. Judgment of November 25, 2019. Series C No. 396, para. 22.</w:t>
      </w:r>
    </w:p>
  </w:footnote>
  <w:footnote w:id="18">
    <w:p w14:paraId="4721B359" w14:textId="34092F7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Velásquez Rodríguez v. Honduras. Preliminary objections</w:t>
      </w:r>
      <w:r w:rsidRPr="00300A27">
        <w:rPr>
          <w:lang w:val="en-US"/>
        </w:rPr>
        <w:t xml:space="preserve">. Judgment of June 26, 1987. Series C No. 1, paras. 88 and 91, and </w:t>
      </w:r>
      <w:r w:rsidRPr="00300A27">
        <w:rPr>
          <w:i/>
          <w:iCs/>
          <w:lang w:val="en-US"/>
        </w:rPr>
        <w:t>Case of Muelle Flores v. Peru. Preliminary objections, merits, reparations and costs</w:t>
      </w:r>
      <w:r w:rsidRPr="00300A27">
        <w:rPr>
          <w:lang w:val="en-US"/>
        </w:rPr>
        <w:t xml:space="preserve">. Judgment of March 6, 2019. Series C No. 375, para. 26.   </w:t>
      </w:r>
    </w:p>
  </w:footnote>
  <w:footnote w:id="19">
    <w:p w14:paraId="6F47B4A2" w14:textId="5216806B" w:rsidR="00300A27" w:rsidRPr="00300A27" w:rsidRDefault="00300A27" w:rsidP="00F756EF">
      <w:pPr>
        <w:pStyle w:val="Textonotapie"/>
        <w:spacing w:before="0" w:after="80"/>
        <w:rPr>
          <w:rStyle w:val="Refdenotaalpie"/>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Request of Azul Rojas Marín filed before the Preliminary Investigation Judge of Ascope and Paiján on May 5, 2008 (evidence file, folios 2871 to 2873), and Public Prosecution Service. Second Provincial Corporate Criminal Prosecution Service of Ascope. Decision not to allow the expansion of the preliminary investigation of June 16, 2008 (evidence file, folios 2875 to 2878). </w:t>
      </w:r>
    </w:p>
  </w:footnote>
  <w:footnote w:id="20">
    <w:p w14:paraId="2CE9A68F" w14:textId="4D349F1C"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Request of Azul Rojas Marín filed before the Second Provincial Corporate Criminal Prosecution Service of Ascope, of August 1 2008 (evidence file, folios 2880 to 2894).</w:t>
      </w:r>
    </w:p>
  </w:footnote>
  <w:footnote w:id="21">
    <w:p w14:paraId="1AA79198" w14:textId="12BDB6BA" w:rsidR="00300A27" w:rsidRPr="00300A27" w:rsidRDefault="00300A27" w:rsidP="00F756EF">
      <w:pPr>
        <w:tabs>
          <w:tab w:val="left" w:pos="567"/>
        </w:tabs>
        <w:autoSpaceDE w:val="0"/>
        <w:autoSpaceDN w:val="0"/>
        <w:adjustRightInd w:val="0"/>
        <w:spacing w:after="80"/>
        <w:jc w:val="both"/>
        <w:rPr>
          <w:rFonts w:cs="Arial"/>
          <w:sz w:val="16"/>
          <w:szCs w:val="16"/>
        </w:rPr>
      </w:pPr>
      <w:r w:rsidRPr="00300A27">
        <w:rPr>
          <w:rStyle w:val="Refdenotaalpie"/>
          <w:sz w:val="16"/>
          <w:szCs w:val="16"/>
        </w:rPr>
        <w:footnoteRef/>
      </w:r>
      <w:r w:rsidRPr="00300A27">
        <w:rPr>
          <w:sz w:val="16"/>
          <w:szCs w:val="16"/>
        </w:rPr>
        <w:tab/>
      </w:r>
      <w:r w:rsidRPr="00300A27">
        <w:rPr>
          <w:i/>
          <w:iCs/>
          <w:sz w:val="16"/>
          <w:szCs w:val="16"/>
        </w:rPr>
        <w:t>Cf.</w:t>
      </w:r>
      <w:r w:rsidRPr="00300A27">
        <w:t xml:space="preserve"> </w:t>
      </w:r>
      <w:r w:rsidRPr="00300A27">
        <w:rPr>
          <w:sz w:val="16"/>
          <w:szCs w:val="16"/>
        </w:rPr>
        <w:t xml:space="preserve">Public Prosecution Service. </w:t>
      </w:r>
      <w:r w:rsidRPr="00300A27">
        <w:rPr>
          <w:rFonts w:cs="Arial"/>
          <w:sz w:val="16"/>
          <w:szCs w:val="16"/>
        </w:rPr>
        <w:t>First Superior Criminal Prosecutor of La Libertad Judicial District . Decision of</w:t>
      </w:r>
      <w:r w:rsidRPr="00300A27">
        <w:rPr>
          <w:sz w:val="16"/>
          <w:szCs w:val="16"/>
        </w:rPr>
        <w:t xml:space="preserve"> August 28,</w:t>
      </w:r>
      <w:r w:rsidRPr="00300A27">
        <w:rPr>
          <w:rFonts w:cs="Arial"/>
          <w:sz w:val="16"/>
          <w:szCs w:val="16"/>
        </w:rPr>
        <w:t xml:space="preserve"> </w:t>
      </w:r>
      <w:r w:rsidRPr="00300A27">
        <w:rPr>
          <w:sz w:val="16"/>
          <w:szCs w:val="16"/>
        </w:rPr>
        <w:t xml:space="preserve">2008 (evidence file, folios 2911 to 2912), and Public Prosecution Service. </w:t>
      </w:r>
      <w:r w:rsidRPr="00300A27">
        <w:rPr>
          <w:rFonts w:cs="Arial"/>
          <w:sz w:val="16"/>
          <w:szCs w:val="16"/>
        </w:rPr>
        <w:t>First Superior Criminal Prosecutor of La Libertad Judicial District . Decision of</w:t>
      </w:r>
      <w:r w:rsidRPr="00300A27">
        <w:rPr>
          <w:sz w:val="16"/>
          <w:szCs w:val="16"/>
        </w:rPr>
        <w:t xml:space="preserve"> October 15,</w:t>
      </w:r>
      <w:r w:rsidRPr="00300A27">
        <w:rPr>
          <w:rFonts w:cs="Arial"/>
          <w:sz w:val="16"/>
          <w:szCs w:val="16"/>
        </w:rPr>
        <w:t xml:space="preserve"> </w:t>
      </w:r>
      <w:r w:rsidRPr="00300A27">
        <w:rPr>
          <w:sz w:val="16"/>
          <w:szCs w:val="16"/>
        </w:rPr>
        <w:t xml:space="preserve">2008 (evidence file, folio 636). </w:t>
      </w:r>
    </w:p>
  </w:footnote>
  <w:footnote w:id="22">
    <w:p w14:paraId="29893F4C" w14:textId="3B363521"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Ascope First Preliminary Investigation Court. La Libertad Superior Court of Justice. Order to dismiss the proceedings of January 9, 2009 (evidence file, folios 22 to 28). </w:t>
      </w:r>
    </w:p>
  </w:footnote>
  <w:footnote w:id="23">
    <w:p w14:paraId="114E209A" w14:textId="460A7CB9"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Remedy of appeal filed by Azul Rojas Marín on January 22, 2009 (evidence file, folios 154 to 159). </w:t>
      </w:r>
    </w:p>
  </w:footnote>
  <w:footnote w:id="24">
    <w:p w14:paraId="5F6F5653" w14:textId="7C1760C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Tibi v. Ecuador. Preliminary objections, merits, reparations and costs.</w:t>
      </w:r>
      <w:r w:rsidRPr="00300A27">
        <w:rPr>
          <w:lang w:val="en-US"/>
        </w:rPr>
        <w:t xml:space="preserve"> Judgment of September 7, 2004. Series C No. 114, para. 159, and </w:t>
      </w:r>
      <w:r w:rsidRPr="00300A27">
        <w:rPr>
          <w:i/>
          <w:iCs/>
          <w:lang w:val="en-US"/>
        </w:rPr>
        <w:t>Case of Montesinos Mejía v. Ecuador. Preliminary objections, merits, reparations and costs</w:t>
      </w:r>
      <w:r w:rsidRPr="00300A27">
        <w:rPr>
          <w:lang w:val="en-US"/>
        </w:rPr>
        <w:t>. Judgment of January 27, 2020. Series C No. 398, para. 151.</w:t>
      </w:r>
    </w:p>
  </w:footnote>
  <w:footnote w:id="25">
    <w:p w14:paraId="4D4FA045" w14:textId="3556C89F" w:rsidR="00300A27" w:rsidRPr="00300A27" w:rsidRDefault="00300A27" w:rsidP="00F756EF">
      <w:pPr>
        <w:pStyle w:val="Textonotapie"/>
        <w:spacing w:before="0" w:after="80"/>
        <w:rPr>
          <w:i/>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Galindo Cárdenas et al. v. Peru. Preliminary objections, merits, reparations and costs</w:t>
      </w:r>
      <w:r w:rsidRPr="00300A27">
        <w:rPr>
          <w:lang w:val="en-US"/>
        </w:rPr>
        <w:t>. Judgment of October 2, 2015. Series C No. 301, para. 41.</w:t>
      </w:r>
    </w:p>
  </w:footnote>
  <w:footnote w:id="26">
    <w:p w14:paraId="02C4430C" w14:textId="47D96981" w:rsidR="00300A27" w:rsidRPr="00300A27" w:rsidRDefault="00300A27" w:rsidP="00F756EF">
      <w:pPr>
        <w:pStyle w:val="Textonotapie"/>
        <w:spacing w:before="0" w:after="80"/>
        <w:rPr>
          <w:i/>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Mutatis mutandis, Case of Heliodoro Portugal v. Panama. Preliminary objections, merits, reparations and costs</w:t>
      </w:r>
      <w:r w:rsidRPr="00300A27">
        <w:rPr>
          <w:lang w:val="en-US"/>
        </w:rPr>
        <w:t>. Judgment of August 12, 2008. Series C No. 186, para. 16.</w:t>
      </w:r>
    </w:p>
  </w:footnote>
  <w:footnote w:id="27">
    <w:p w14:paraId="79DF9708" w14:textId="4D3BC079"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Velásquez Rodríguez v. Honduras. Preliminary objections</w:t>
      </w:r>
      <w:r w:rsidRPr="00300A27">
        <w:rPr>
          <w:lang w:val="en-US"/>
        </w:rPr>
        <w:t xml:space="preserve">, </w:t>
      </w:r>
      <w:r w:rsidRPr="00300A27">
        <w:rPr>
          <w:i/>
          <w:iCs/>
          <w:lang w:val="en-US"/>
        </w:rPr>
        <w:t>supra</w:t>
      </w:r>
      <w:r w:rsidRPr="00300A27">
        <w:rPr>
          <w:lang w:val="en-US"/>
        </w:rPr>
        <w:t xml:space="preserve">, para. 96, and </w:t>
      </w:r>
      <w:r w:rsidRPr="00300A27">
        <w:rPr>
          <w:i/>
          <w:iCs/>
          <w:lang w:val="en-US"/>
        </w:rPr>
        <w:t>Case of Jenkins v. Argentina. Preliminary objections, merits, reparations and costs.</w:t>
      </w:r>
      <w:r w:rsidRPr="00300A27">
        <w:rPr>
          <w:lang w:val="en-US"/>
        </w:rPr>
        <w:t xml:space="preserve"> Judgment of November 26, 2019. Series C No. 397, para. 23.</w:t>
      </w:r>
    </w:p>
  </w:footnote>
  <w:footnote w:id="28">
    <w:p w14:paraId="3E4CDDE1" w14:textId="115ADBA3" w:rsidR="00300A27" w:rsidRPr="00300A27" w:rsidRDefault="00300A27" w:rsidP="00F756EF">
      <w:pPr>
        <w:pStyle w:val="Textonotapie"/>
        <w:tabs>
          <w:tab w:val="left" w:pos="540"/>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 xml:space="preserve">Cf., mutatis mutandis, Case of the Santo Domingo Massacre v. Colombia. Preliminary objections, merits and reparations. </w:t>
      </w:r>
      <w:r w:rsidRPr="00300A27">
        <w:rPr>
          <w:lang w:val="en-US"/>
        </w:rPr>
        <w:t xml:space="preserve">Judgment of November 30, 2012. Series C No. 259, para. 171; </w:t>
      </w:r>
      <w:r w:rsidRPr="00300A27">
        <w:rPr>
          <w:i/>
          <w:iCs/>
          <w:lang w:val="en-US"/>
        </w:rPr>
        <w:t xml:space="preserve">Case of Duque v. Colombia. Preliminary objections, merits, reparations and costs. </w:t>
      </w:r>
      <w:r w:rsidRPr="00300A27">
        <w:rPr>
          <w:lang w:val="en-US"/>
        </w:rPr>
        <w:t xml:space="preserve">Judgment of February 26, 2016. Series C No. 310, para. 137, and </w:t>
      </w:r>
      <w:r w:rsidRPr="00300A27">
        <w:rPr>
          <w:i/>
          <w:iCs/>
          <w:lang w:val="en-US"/>
        </w:rPr>
        <w:t>Case of Colindres Schonenberg v. El Salvador. Merits, reparations and costs</w:t>
      </w:r>
      <w:r w:rsidRPr="00300A27">
        <w:rPr>
          <w:lang w:val="en-US"/>
        </w:rPr>
        <w:t>. Judgment of February 4, 2019. Series C No. 373, para. 75.</w:t>
      </w:r>
    </w:p>
  </w:footnote>
  <w:footnote w:id="29">
    <w:p w14:paraId="66DAACCE" w14:textId="12075AE2"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the “Street Children” (Villagrán Morales et al.) v. Guatemala. Merits</w:t>
      </w:r>
      <w:r w:rsidRPr="00300A27">
        <w:rPr>
          <w:lang w:val="en-US"/>
        </w:rPr>
        <w:t xml:space="preserve">. Judgment of November 19, 1999. Series C No. 63, para. 222, and </w:t>
      </w:r>
      <w:r w:rsidRPr="00300A27">
        <w:rPr>
          <w:i/>
          <w:iCs/>
          <w:lang w:val="en-US"/>
        </w:rPr>
        <w:t>Case of Montesinos Mejía v. Ecuador. Preliminary objections, merits, reparations and costs, supra</w:t>
      </w:r>
      <w:r w:rsidRPr="00300A27">
        <w:rPr>
          <w:lang w:val="en-US"/>
        </w:rPr>
        <w:t>, para. 33.</w:t>
      </w:r>
    </w:p>
  </w:footnote>
  <w:footnote w:id="30">
    <w:p w14:paraId="6E244562" w14:textId="20F3691E" w:rsidR="00300A27" w:rsidRPr="00300A27" w:rsidRDefault="00300A27" w:rsidP="009B35A1">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 xml:space="preserve">Cf. Case of Rico v. Argentina. Preliminary objection and Merits. </w:t>
      </w:r>
      <w:r w:rsidRPr="00300A27">
        <w:rPr>
          <w:lang w:val="en-US"/>
        </w:rPr>
        <w:t xml:space="preserve">Judgment of September 2, 2019. </w:t>
      </w:r>
      <w:r w:rsidRPr="00300A27">
        <w:t xml:space="preserve">Series C No 383, para. 82, and </w:t>
      </w:r>
      <w:r w:rsidRPr="00300A27">
        <w:rPr>
          <w:i/>
          <w:iCs/>
        </w:rPr>
        <w:t xml:space="preserve">Case of Montesinos Mejía v. Ecuador. </w:t>
      </w:r>
      <w:r w:rsidRPr="00300A27">
        <w:rPr>
          <w:i/>
          <w:iCs/>
          <w:lang w:val="en-US"/>
        </w:rPr>
        <w:t>Preliminary objections, merits, reparations and costs, supra</w:t>
      </w:r>
      <w:r w:rsidRPr="00300A27">
        <w:rPr>
          <w:lang w:val="en-US"/>
        </w:rPr>
        <w:t>, para. 33.</w:t>
      </w:r>
    </w:p>
  </w:footnote>
  <w:footnote w:id="31">
    <w:p w14:paraId="2C5F8FE3" w14:textId="4B9589DE" w:rsidR="00300A27" w:rsidRPr="00300A27" w:rsidRDefault="00300A27" w:rsidP="009B35A1">
      <w:pPr>
        <w:pStyle w:val="Textonotapie"/>
        <w:tabs>
          <w:tab w:val="left" w:pos="1170"/>
        </w:tabs>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In general and pursuant to 57(2) of the Rules of Procedure, documentary evidence may be presented with the briefs submitting the case or with pleadings and motions or in the answering brief, as applicable, and evidence provided outside these procedural opportunities is not admissible, unless this is pursuant to the exceptions established in Article 57(2) of the Rules of Procedure (namely, </w:t>
      </w:r>
      <w:r w:rsidRPr="00300A27">
        <w:rPr>
          <w:i/>
          <w:iCs/>
          <w:lang w:val="en-US"/>
        </w:rPr>
        <w:t>force majeure or</w:t>
      </w:r>
      <w:r w:rsidRPr="00300A27">
        <w:rPr>
          <w:lang w:val="en-US"/>
        </w:rPr>
        <w:t xml:space="preserve"> grave impediment) or if it relates to a supervening fact, in other words one that has occurred following the said procedural occasions. </w:t>
      </w:r>
      <w:r w:rsidRPr="00300A27">
        <w:rPr>
          <w:i/>
          <w:iCs/>
          <w:lang w:val="en-US"/>
        </w:rPr>
        <w:t xml:space="preserve">Cf. Case of the Barrios Family v. Venezuela. Merits, reparations and costs. </w:t>
      </w:r>
      <w:r w:rsidRPr="00300A27">
        <w:rPr>
          <w:lang w:val="en-US"/>
        </w:rPr>
        <w:t xml:space="preserve">Judgment of November 24, 2011. Series C No. 237, paras. 17 and 18, and </w:t>
      </w:r>
      <w:r w:rsidRPr="00300A27">
        <w:rPr>
          <w:i/>
          <w:iCs/>
          <w:lang w:val="en-US"/>
        </w:rPr>
        <w:t xml:space="preserve">Case of Montesinos Mejía v. Ecuador. Preliminary objections, merits, reparations and costs, supra, </w:t>
      </w:r>
      <w:r w:rsidRPr="00300A27">
        <w:rPr>
          <w:lang w:val="en-US"/>
        </w:rPr>
        <w:t>para. 42.</w:t>
      </w:r>
    </w:p>
  </w:footnote>
  <w:footnote w:id="32">
    <w:p w14:paraId="460DE7EE" w14:textId="6B03ED13"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Annex 1 corresponds to the document entitled “Report on six (6) training courses on human rights for the Peruvian National Police, offered between May 2015 and September 2018.”</w:t>
      </w:r>
    </w:p>
  </w:footnote>
  <w:footnote w:id="33">
    <w:p w14:paraId="1E8776A5" w14:textId="50FC8DEE"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Annex 3 corresponds to the document entitled “Administrative Decision No. 090-2016-CE-PJ, of April 7, 2016, adopting the “National Plan for Access to Justice by Persons in a Vulnerable Situation - Judiciary of Peru 2016-2021.”</w:t>
      </w:r>
    </w:p>
  </w:footnote>
  <w:footnote w:id="34">
    <w:p w14:paraId="4DDF61F8" w14:textId="2AE5E7DB"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Annex 4 corresponds to the document entitled “Administrative Decision No. 087-2019-CE-PJ, of February 20, 2019, adopting “The incorporation of a gender approach into the management tools of the Judiciary.”</w:t>
      </w:r>
    </w:p>
  </w:footnote>
  <w:footnote w:id="35">
    <w:p w14:paraId="0DBE529F" w14:textId="0667C66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Annex 5 corresponds to the document entitled “Legislative Decree No.1267, published in the official gazette </w:t>
      </w:r>
      <w:r w:rsidRPr="00300A27">
        <w:rPr>
          <w:i/>
          <w:iCs/>
          <w:lang w:val="en-US"/>
        </w:rPr>
        <w:t>El Peruano</w:t>
      </w:r>
      <w:r w:rsidRPr="00300A27">
        <w:rPr>
          <w:lang w:val="en-US"/>
        </w:rPr>
        <w:t xml:space="preserve"> on December 16, 2016, adopting the Law of the Peruvian National Police.”</w:t>
      </w:r>
    </w:p>
  </w:footnote>
  <w:footnote w:id="36">
    <w:p w14:paraId="597443F9" w14:textId="127123D1"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Annex 6 corresponds to the document entitled “Decision of the Executive Directorate No.017-2016-MIMP-PNCVFS-DE, of March 31, 2016, adopting the “Guidelines for the care of LGTBI persons in the services of the PNCVFS of the MIMP,”</w:t>
      </w:r>
    </w:p>
  </w:footnote>
  <w:footnote w:id="37">
    <w:p w14:paraId="5C6099B9" w14:textId="69AB6D28"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Annex 7 corresponds to the document entitled “Ministerial Decision No.157-2016-MIMP, of July 22, 2016, adopting the “Manual on comprehensive care of the women’s emergency centers.”</w:t>
      </w:r>
    </w:p>
  </w:footnote>
  <w:footnote w:id="38">
    <w:p w14:paraId="00F62820" w14:textId="50BAD306"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Annex 2 corresponds to the document entitled “Report of planned academic activities for 2019 by the Academy of the Judiciary on “issues of gender, violence and people trafficking.”</w:t>
      </w:r>
    </w:p>
  </w:footnote>
  <w:footnote w:id="39">
    <w:p w14:paraId="718A53DB" w14:textId="4A6EA0DB"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Affidavit of Juan Ernesto Méndez of August 1, 2019  (evidence file, folios 3395 to 3414); affidavit of Nora Sveaass of August 5, 2019 (evidence file, folios 3414 to 3429); affidavit of Roger Mauricio Noguera Rojas of August 12, 2019 (evidence file, folios 3431 to 3446); affidavit of Moisés Valdemar Ponce Malaver of August 12, 2019 (evidence file, folios 3448 to 3462); affidavit of Luis Alberto Naldos Blanco of August 9, 2019 (evidence file, folios 3463 to 3481); affidavit of Victor Manuel Cubas Villanueva of August 12, 2019 (evidence file, folios 3482 to 3519), and affidavit of Nancy Rosalina Tolentino Gamarra of August 12, 2019 (evidence file, folios 3543 to 3571).</w:t>
      </w:r>
    </w:p>
  </w:footnote>
  <w:footnote w:id="40">
    <w:p w14:paraId="62BFE354" w14:textId="6F06D0D1" w:rsidR="00300A27" w:rsidRPr="00300A27" w:rsidRDefault="00300A27" w:rsidP="00F756EF">
      <w:pPr>
        <w:pStyle w:val="Textonotapie"/>
        <w:spacing w:before="0" w:after="80"/>
        <w:rPr>
          <w:i/>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Statement made by Víctor Manuel Álvarez at the public hearing held in this case; statement made by Ketty Garibay Mascco at the public hearing held in this case, and statement made by María Mercedes Gómez at the public hearing held in this case.</w:t>
      </w:r>
    </w:p>
  </w:footnote>
  <w:footnote w:id="41">
    <w:p w14:paraId="697EAA4C" w14:textId="5FF62088"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Cantoral Benavides v. Peru. Preliminary objections</w:t>
      </w:r>
      <w:r w:rsidRPr="00300A27">
        <w:rPr>
          <w:lang w:val="en-US"/>
        </w:rPr>
        <w:t xml:space="preserve">. Judgment of September 3, 1998. Series C No. 40, para. 30, and </w:t>
      </w:r>
      <w:r w:rsidRPr="00300A27">
        <w:rPr>
          <w:i/>
          <w:iCs/>
          <w:lang w:val="en-US"/>
        </w:rPr>
        <w:t xml:space="preserve">Case of Galindo Cárdenas et al. v. Peru. Preliminary objections, merits, reparations and costs, supra, </w:t>
      </w:r>
      <w:r w:rsidRPr="00300A27">
        <w:rPr>
          <w:lang w:val="en-US"/>
        </w:rPr>
        <w:t>para. 89.</w:t>
      </w:r>
    </w:p>
  </w:footnote>
  <w:footnote w:id="42">
    <w:p w14:paraId="3ABBC745" w14:textId="48CA3608"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Artavia Murillo et al. (In vitro fertilization) v. Costa Rica. Preliminary objections, merits, reparations and costs</w:t>
      </w:r>
      <w:r w:rsidRPr="00300A27">
        <w:rPr>
          <w:lang w:val="en-US"/>
        </w:rPr>
        <w:t xml:space="preserve">. Judgment of November 28, 2012. Series C No. 257, para. 56, and </w:t>
      </w:r>
      <w:r w:rsidRPr="00300A27">
        <w:rPr>
          <w:i/>
          <w:iCs/>
          <w:lang w:val="en-US"/>
        </w:rPr>
        <w:t>Case of Galindo Cárdenas et al. v. Peru. Preliminary objections, merits, reparations and costs, supra</w:t>
      </w:r>
      <w:r w:rsidRPr="00300A27">
        <w:rPr>
          <w:lang w:val="en-US"/>
        </w:rPr>
        <w:t>, para. 89.</w:t>
      </w:r>
    </w:p>
  </w:footnote>
  <w:footnote w:id="43">
    <w:p w14:paraId="37CF947A" w14:textId="279AF843"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OAS, </w:t>
      </w:r>
      <w:r w:rsidRPr="00300A27">
        <w:rPr>
          <w:rFonts w:eastAsia="Times New Roman"/>
          <w:lang w:val="en-US"/>
        </w:rPr>
        <w:t xml:space="preserve">Resolutions of the General Assembly: AG/RES. 2928 (XLVIII-O/18), Human rights and prevention of discrimination and violence against </w:t>
      </w:r>
      <w:r w:rsidRPr="00300A27">
        <w:rPr>
          <w:lang w:val="en-US"/>
        </w:rPr>
        <w:t>LGBTI persons,</w:t>
      </w:r>
      <w:r w:rsidRPr="00300A27">
        <w:rPr>
          <w:rFonts w:eastAsia="Times New Roman"/>
          <w:lang w:val="en-US"/>
        </w:rPr>
        <w:t xml:space="preserve"> adopted at the fourth plenary session held on June 5, 2018; </w:t>
      </w:r>
      <w:r w:rsidRPr="00300A27">
        <w:rPr>
          <w:lang w:val="en-US"/>
        </w:rPr>
        <w:t>AG/RES. 2908 (XLVII-O/17), Human rights, sexual orientation and gender identity and expression, June 21, 2017; AG/RES. 2887 (XLVI-O/16), Human rights, sexual orientation and gender identity and expression, June 14, 2016; AG/RES. 2863 (XLIV-O/14), Human rights, sexual orientation and gender identity and expression, June 5, 2014; AG/RES. 2807 (XLIII-O/13), Human rights, sexual orientation and gender identity and expression, June 6, 2013; AG/RES. 2721 (XLII-O/12), Human rights, sexual orientation and gender identity, June 4, 2012; AG/RES. 2653 (XLI-O/11), Human rights, sexual orientation and gender identity, June 7, 2011; AG/RES. 2600 (XL-O/10), Human rights, sexual orientation and gender identity, June 8, 2010; AG/RES. 2504 (XXXIX-O/09), Human rights, sexual orientation and gender identity, June 4, 2009, and AG/RES. 2435 (XXXVIII-O/08), Human rights, sexual orientation and gender identity, June 3, 2008.</w:t>
      </w:r>
    </w:p>
  </w:footnote>
  <w:footnote w:id="44">
    <w:p w14:paraId="5144D3FD" w14:textId="18BBB00D"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National Institute of Statistics and Informatics, First virtual survey of LGBTI persons, 2017, p. 5. Available at: </w:t>
      </w:r>
      <w:hyperlink r:id="rId3" w:history="1">
        <w:r w:rsidRPr="00300A27">
          <w:rPr>
            <w:rStyle w:val="Hipervnculo"/>
            <w:lang w:val="en-US"/>
          </w:rPr>
          <w:t>https://www.inei.gob.pe/media/MenuRecursivo/boletines/lgbti.pdf</w:t>
        </w:r>
      </w:hyperlink>
    </w:p>
  </w:footnote>
  <w:footnote w:id="45">
    <w:p w14:paraId="58857144" w14:textId="344D3EA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National Institute of Statistics and Informatics, First virtual survey of LGBTI persons, 2017, pp. 22 and 23. Available at: </w:t>
      </w:r>
      <w:hyperlink r:id="rId4" w:history="1">
        <w:r w:rsidRPr="00300A27">
          <w:rPr>
            <w:rStyle w:val="Hipervnculo"/>
            <w:lang w:val="en-US"/>
          </w:rPr>
          <w:t>https://www.inei.gob.pe/media/MenuRecursivo/boletines/lgbti.pdf</w:t>
        </w:r>
      </w:hyperlink>
    </w:p>
  </w:footnote>
  <w:footnote w:id="46">
    <w:p w14:paraId="12572E2C" w14:textId="4C010396"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National Institute of Statistics and Informatics, First virtual survey of LGBTI persons, 2017, p. 25. Available at: </w:t>
      </w:r>
      <w:hyperlink r:id="rId5" w:history="1">
        <w:r w:rsidRPr="00300A27">
          <w:rPr>
            <w:rStyle w:val="Hipervnculo"/>
            <w:lang w:val="en-US"/>
          </w:rPr>
          <w:t>https://www.inei.gob.pe/media/MenuRecursivo/boletines/lgbti.pdf</w:t>
        </w:r>
      </w:hyperlink>
    </w:p>
  </w:footnote>
  <w:footnote w:id="47">
    <w:p w14:paraId="6312A838" w14:textId="15DA84CB"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National Institute of Statistics and Informatics, First virtual survey of LGBTI persons, 2017, p. 20. Available at: </w:t>
      </w:r>
      <w:hyperlink r:id="rId6" w:history="1">
        <w:r w:rsidRPr="00300A27">
          <w:rPr>
            <w:rStyle w:val="Hipervnculo"/>
            <w:lang w:val="en-US"/>
          </w:rPr>
          <w:t>https://www.inei.gob.pe/media/MenuRecursivo/boletines/lgbti.pdf</w:t>
        </w:r>
      </w:hyperlink>
    </w:p>
  </w:footnote>
  <w:footnote w:id="48">
    <w:p w14:paraId="7A8AEFE6" w14:textId="39A23F92" w:rsidR="00300A27" w:rsidRPr="00300A27" w:rsidRDefault="00300A27" w:rsidP="00F756EF">
      <w:pPr>
        <w:pStyle w:val="Textonotapie"/>
        <w:spacing w:before="0" w:after="80"/>
        <w:rPr>
          <w:b/>
        </w:rPr>
      </w:pPr>
      <w:r w:rsidRPr="00300A27">
        <w:rPr>
          <w:rStyle w:val="Refdenotaalpie"/>
          <w:lang w:val="en-US"/>
        </w:rPr>
        <w:footnoteRef/>
      </w:r>
      <w:r w:rsidRPr="00300A27">
        <w:t xml:space="preserve"> </w:t>
      </w:r>
      <w:r w:rsidRPr="00300A27">
        <w:tab/>
        <w:t xml:space="preserve">Peruvian Ombudsman, </w:t>
      </w:r>
      <w:r w:rsidRPr="00300A27">
        <w:rPr>
          <w:i/>
          <w:iCs/>
        </w:rPr>
        <w:t>Derechos humanos de las personas LGBTI: Necesidad de una política pública para la igualdad en Perú</w:t>
      </w:r>
      <w:r w:rsidRPr="00300A27">
        <w:t xml:space="preserve">, pp. 16 and 17. Available at: </w:t>
      </w:r>
      <w:hyperlink r:id="rId7" w:history="1">
        <w:r w:rsidRPr="00300A27">
          <w:rPr>
            <w:rStyle w:val="Hipervnculo"/>
          </w:rPr>
          <w:t>https://defensoria.gob.pe/modules/Downloads/informes/defensoriales/ Informe-175--Derechos-humanos-de-personas-LGBTI.pdf</w:t>
        </w:r>
      </w:hyperlink>
      <w:r w:rsidRPr="00300A27">
        <w:t xml:space="preserve"> </w:t>
      </w:r>
    </w:p>
  </w:footnote>
  <w:footnote w:id="49">
    <w:p w14:paraId="1C1860BB" w14:textId="361FB36A" w:rsidR="00300A27" w:rsidRPr="00300A27" w:rsidRDefault="00300A27" w:rsidP="00F756EF">
      <w:pPr>
        <w:pStyle w:val="Textonotapie"/>
        <w:spacing w:before="0" w:after="80"/>
      </w:pPr>
      <w:r w:rsidRPr="00300A27">
        <w:rPr>
          <w:rStyle w:val="Refdenotaalpie"/>
          <w:lang w:val="en-US"/>
        </w:rPr>
        <w:footnoteRef/>
      </w:r>
      <w:r w:rsidRPr="00300A27">
        <w:t xml:space="preserve">  </w:t>
      </w:r>
      <w:r w:rsidRPr="00300A27">
        <w:tab/>
        <w:t xml:space="preserve">Instituto de Opinión Pública, </w:t>
      </w:r>
      <w:r w:rsidRPr="00300A27">
        <w:rPr>
          <w:i/>
          <w:iCs/>
        </w:rPr>
        <w:t>Actitudes hacia la homosexualidad en Perú,</w:t>
      </w:r>
      <w:r w:rsidRPr="00300A27">
        <w:t xml:space="preserve"> February 2015, pp. 18 and 19, citing the World Values Survey. Available at: </w:t>
      </w:r>
      <w:hyperlink r:id="rId8" w:history="1">
        <w:r w:rsidRPr="00300A27">
          <w:rPr>
            <w:rStyle w:val="Hipervnculo"/>
          </w:rPr>
          <w:t>http://repositorio.pucp.edu.pe/index/bitstream/handle/123456789/47040/ Cuadernos%20de%20investigaci%C3%B3n%2011.pdf?sequence=4</w:t>
        </w:r>
      </w:hyperlink>
    </w:p>
  </w:footnote>
  <w:footnote w:id="50">
    <w:p w14:paraId="41A18C68" w14:textId="1E230D39" w:rsidR="00300A27" w:rsidRPr="00300A27" w:rsidRDefault="00300A27" w:rsidP="00F756EF">
      <w:pPr>
        <w:pStyle w:val="Textonotapie"/>
        <w:spacing w:before="0" w:after="80"/>
      </w:pPr>
      <w:r w:rsidRPr="00300A27">
        <w:rPr>
          <w:rStyle w:val="Refdenotaalpie"/>
          <w:lang w:val="en-US"/>
        </w:rPr>
        <w:footnoteRef/>
      </w:r>
      <w:r w:rsidRPr="00300A27">
        <w:t xml:space="preserve">  </w:t>
      </w:r>
      <w:r w:rsidRPr="00300A27">
        <w:tab/>
        <w:t xml:space="preserve">Instituto de Opinión Pública, </w:t>
      </w:r>
      <w:r w:rsidRPr="00300A27">
        <w:rPr>
          <w:i/>
          <w:iCs/>
        </w:rPr>
        <w:t>Actitudes hacia la homosexualidad en Perú</w:t>
      </w:r>
      <w:r w:rsidRPr="00300A27">
        <w:t xml:space="preserve">, February 2015, pp. 20 and 21, citing la World Values Survey. Available at: </w:t>
      </w:r>
      <w:hyperlink r:id="rId9" w:history="1">
        <w:r w:rsidRPr="00300A27">
          <w:rPr>
            <w:rStyle w:val="Hipervnculo"/>
          </w:rPr>
          <w:t>http://repositorio.pucp.edu.pe/index/bitstream/handle/123456789/47040/ Cuadernos%20de%20investigaci%C3%B3n%2011.pdf?sequence=4</w:t>
        </w:r>
      </w:hyperlink>
    </w:p>
  </w:footnote>
  <w:footnote w:id="51">
    <w:p w14:paraId="13DADE69" w14:textId="19D048CC" w:rsidR="00300A27" w:rsidRPr="00300A27" w:rsidRDefault="00300A27" w:rsidP="00F756EF">
      <w:pPr>
        <w:pStyle w:val="Textonotapie"/>
        <w:spacing w:before="0" w:after="80"/>
      </w:pPr>
      <w:r w:rsidRPr="00300A27">
        <w:rPr>
          <w:rStyle w:val="Refdenotaalpie"/>
          <w:lang w:val="en-US"/>
        </w:rPr>
        <w:footnoteRef/>
      </w:r>
      <w:r w:rsidRPr="00300A27">
        <w:t xml:space="preserve"> </w:t>
      </w:r>
      <w:r w:rsidRPr="00300A27">
        <w:tab/>
        <w:t xml:space="preserve">Peruvian Ombudsman, </w:t>
      </w:r>
      <w:r w:rsidRPr="00300A27">
        <w:rPr>
          <w:i/>
          <w:iCs/>
        </w:rPr>
        <w:t>Derechos humanos de personas LGBTI: Necesidad de una política pública para la igualdad en Perú</w:t>
      </w:r>
      <w:r w:rsidRPr="00300A27">
        <w:t xml:space="preserve">, p. 17. Available at: </w:t>
      </w:r>
      <w:hyperlink r:id="rId10" w:history="1">
        <w:r w:rsidRPr="00300A27">
          <w:rPr>
            <w:rStyle w:val="Hipervnculo"/>
          </w:rPr>
          <w:t>https://defensoria.gob.pe/modules/Downloads/informes/defensoriales/ Informe-175--Derechos-humanos-de-personas-LGBTI.pdf</w:t>
        </w:r>
      </w:hyperlink>
      <w:r w:rsidRPr="00300A27">
        <w:t xml:space="preserve"> </w:t>
      </w:r>
    </w:p>
  </w:footnote>
  <w:footnote w:id="52">
    <w:p w14:paraId="32606544" w14:textId="3891C9A3" w:rsidR="00300A27" w:rsidRPr="00300A27" w:rsidRDefault="00300A27" w:rsidP="00F756EF">
      <w:pPr>
        <w:pStyle w:val="Textonotapie"/>
        <w:spacing w:before="0" w:after="80"/>
        <w:rPr>
          <w:color w:val="000000" w:themeColor="text1"/>
          <w:lang w:val="en-US"/>
        </w:rPr>
      </w:pPr>
      <w:r w:rsidRPr="00300A27">
        <w:rPr>
          <w:rStyle w:val="Refdenotaalpie"/>
          <w:lang w:val="en-US"/>
        </w:rPr>
        <w:footnoteRef/>
      </w:r>
      <w:r w:rsidRPr="00300A27">
        <w:rPr>
          <w:lang w:val="en-US"/>
        </w:rPr>
        <w:t xml:space="preserve"> </w:t>
      </w:r>
      <w:r w:rsidRPr="00300A27">
        <w:rPr>
          <w:lang w:val="en-US"/>
        </w:rPr>
        <w:tab/>
      </w:r>
      <w:r w:rsidRPr="00300A27">
        <w:rPr>
          <w:color w:val="000000" w:themeColor="text1"/>
          <w:lang w:val="en-US"/>
        </w:rPr>
        <w:t>Committee against Torture, Concluding observations on the combined fifth and sixth periodic reports of Peru, adopted by the Committee at its forty-ninth session, January 21, 2013, CAT/C/PER/CO/5-6, para. 22 (evidence file, folio 4959).</w:t>
      </w:r>
    </w:p>
  </w:footnote>
  <w:footnote w:id="53">
    <w:p w14:paraId="315DF2EB" w14:textId="66857500" w:rsidR="00300A27" w:rsidRPr="00300A27" w:rsidRDefault="00300A27" w:rsidP="00F756EF">
      <w:pPr>
        <w:pStyle w:val="Textonotapie"/>
        <w:spacing w:before="0" w:after="80"/>
        <w:rPr>
          <w:color w:val="FF0000"/>
          <w:lang w:val="en-US"/>
        </w:rPr>
      </w:pPr>
      <w:r w:rsidRPr="00300A27">
        <w:rPr>
          <w:rStyle w:val="Refdenotaalpie"/>
          <w:color w:val="000000" w:themeColor="text1"/>
          <w:lang w:val="en-US"/>
        </w:rPr>
        <w:footnoteRef/>
      </w:r>
      <w:r w:rsidRPr="00300A27">
        <w:rPr>
          <w:color w:val="000000" w:themeColor="text1"/>
          <w:lang w:val="en-US"/>
        </w:rPr>
        <w:t xml:space="preserve"> </w:t>
      </w:r>
      <w:r w:rsidRPr="00300A27">
        <w:rPr>
          <w:color w:val="000000" w:themeColor="text1"/>
          <w:lang w:val="en-US"/>
        </w:rPr>
        <w:tab/>
      </w:r>
      <w:r w:rsidRPr="00300A27">
        <w:rPr>
          <w:i/>
          <w:iCs/>
          <w:color w:val="000000" w:themeColor="text1"/>
          <w:lang w:val="en-US"/>
        </w:rPr>
        <w:t>Cf.</w:t>
      </w:r>
      <w:r w:rsidRPr="00300A27">
        <w:rPr>
          <w:color w:val="000000" w:themeColor="text1"/>
          <w:lang w:val="en-US"/>
        </w:rPr>
        <w:t xml:space="preserve"> National identity document (evidence file, folio 2172). This identity document contains the name given to the presumed victim at birth. However, the Court notes that she identifies herself as a transgender woman. Consequently, the Court will refer to her as Azul Rojas Marín, as this is the name she use and is identified by.</w:t>
      </w:r>
    </w:p>
  </w:footnote>
  <w:footnote w:id="54">
    <w:p w14:paraId="7C3CE7BA" w14:textId="26D88F14"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 xml:space="preserve">La Libertad Superior Court of Justice, Ascope First Preliminary Investigation Court. Order to dismiss the proceedings of January 9, 2009 (evidence file, folio 28); Public Prosecution Service. Institute of Forensic Medicine. Ascope Forensic Medicine Division. Psychological expertise protocol (evidence file, folio 3), and Statement of witness Víctor Álvarez at the public hearing on August 27, 2019. </w:t>
      </w:r>
    </w:p>
  </w:footnote>
  <w:footnote w:id="55">
    <w:p w14:paraId="4792B9EA" w14:textId="47551828"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Public Prosecution Service. Institute of Forensic Medicine. Ascope Forensic Medicine Division. Psychological expertise protocol (evidence file, folio 3), and Request presented by Azul Rojas Marín on August 1, 2008 (evidence file, 2277).</w:t>
      </w:r>
    </w:p>
  </w:footnote>
  <w:footnote w:id="56">
    <w:p w14:paraId="049CA47A" w14:textId="11081446"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In her first statement, the presumed victim indicated that a police agent had refused to receive it because “the major had told him that he could not receive the complaint at the police station.” Subsequently, when expanding her statement, she indicated that it was not received “because the major was not there.” </w:t>
      </w:r>
      <w:r w:rsidRPr="00300A27">
        <w:rPr>
          <w:i/>
          <w:lang w:val="en-US"/>
        </w:rPr>
        <w:t>Cf.</w:t>
      </w:r>
      <w:r w:rsidRPr="00300A27">
        <w:rPr>
          <w:lang w:val="en-US"/>
        </w:rPr>
        <w:t xml:space="preserve"> Statement made by Azul Rojas Marín before the Second Provincial Corporate Criminal Prosecution Service of Ascope on February 28, 2008 (evidence file, folios 2811 and 2812), and Statement made by Azul Rojas Marín before the investigating officer on March 6, 2008 (evidence file, folio 2213).</w:t>
      </w:r>
    </w:p>
  </w:footnote>
  <w:footnote w:id="57">
    <w:p w14:paraId="192B35FE" w14:textId="265BF402"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In particular, the police major denied that he had given an order not to receive the presumed victim’s complaint. DPP, another police agent, indicated that he was unaware of whether the presumed victim had filed a complaint, “but if she had, the agent on duty would have informed me that she wanted to file a complaint because I am in charge of investigations.” Lastly, the police agent who had supposedly refused to receive the complaint indicated that Ms. Rojas Marín did not go to the Police State to file a complaint on either February 25 or 26, 2008. He also maintained that it was false that he told her that he would not receive the complaint. </w:t>
      </w:r>
      <w:r w:rsidRPr="00300A27">
        <w:rPr>
          <w:i/>
          <w:lang w:val="en-US"/>
        </w:rPr>
        <w:t>Cf.</w:t>
      </w:r>
      <w:r w:rsidRPr="00300A27">
        <w:rPr>
          <w:lang w:val="en-US"/>
        </w:rPr>
        <w:t xml:space="preserve"> Statement by the major of the Peruvian National Police before the Second Provincial Corporate Criminal Prosecution Service of Ascope on April 18, 2008 (evidence file, folio 2785); Statement by DPP of March 8, 2008 (evidence file, folio 42), and Statement by JVP of April 22, 2008 (evidence file, folio 2781).  </w:t>
      </w:r>
    </w:p>
  </w:footnote>
  <w:footnote w:id="58">
    <w:p w14:paraId="48512F6E" w14:textId="0DB446A1" w:rsidR="00300A27" w:rsidRPr="00300A27" w:rsidRDefault="00300A27" w:rsidP="00F756EF">
      <w:pPr>
        <w:pStyle w:val="Textonotapie"/>
        <w:spacing w:before="0" w:after="80"/>
        <w:rPr>
          <w:b/>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 xml:space="preserve">Cf. </w:t>
      </w:r>
      <w:r w:rsidRPr="00300A27">
        <w:rPr>
          <w:lang w:val="en-US"/>
        </w:rPr>
        <w:t>Statement by an employee of Radio Ozono (evidence file, folio 2829); Statement by an employee of Cable Times channel (evidence file, folio 2915), and Press release published in the newspaper “</w:t>
      </w:r>
      <w:r w:rsidRPr="00300A27">
        <w:rPr>
          <w:i/>
          <w:iCs/>
          <w:lang w:val="en-US"/>
        </w:rPr>
        <w:t>Nuevo Norte</w:t>
      </w:r>
      <w:r w:rsidRPr="00300A27">
        <w:rPr>
          <w:lang w:val="en-US"/>
        </w:rPr>
        <w:t>” on February 27, 2008, entitled “</w:t>
      </w:r>
      <w:r w:rsidRPr="00300A27">
        <w:rPr>
          <w:i/>
          <w:iCs/>
          <w:lang w:val="en-US"/>
        </w:rPr>
        <w:t>Denuncia a serenazgo y a Policía por abuso de autoridad</w:t>
      </w:r>
      <w:r w:rsidRPr="00300A27">
        <w:rPr>
          <w:lang w:val="en-US"/>
        </w:rPr>
        <w:t>” [</w:t>
      </w:r>
      <w:r w:rsidRPr="00300A27">
        <w:rPr>
          <w:i/>
          <w:iCs/>
          <w:lang w:val="en-US"/>
        </w:rPr>
        <w:t>Serenazgo</w:t>
      </w:r>
      <w:r w:rsidRPr="00300A27">
        <w:rPr>
          <w:lang w:val="en-US"/>
        </w:rPr>
        <w:t xml:space="preserve"> and police accused of abuse of authority] (evidence file, folio 2788). </w:t>
      </w:r>
    </w:p>
  </w:footnote>
  <w:footnote w:id="59">
    <w:p w14:paraId="34E54BD8" w14:textId="22C9D2A1"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Oral report by Azul Rojas Marín on February 27, 2008 (evidence file, folio 2793).</w:t>
      </w:r>
    </w:p>
  </w:footnote>
  <w:footnote w:id="60">
    <w:p w14:paraId="5B9B634D" w14:textId="5725136F"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The Court will use the initials LQC, JLM and DPP to refer to the police agents identified in the complaint and the initials FFR to refer to the </w:t>
      </w:r>
      <w:r w:rsidRPr="00300A27">
        <w:rPr>
          <w:i/>
          <w:iCs/>
          <w:lang w:val="en-US"/>
        </w:rPr>
        <w:t>serenazgo</w:t>
      </w:r>
      <w:r w:rsidRPr="00300A27">
        <w:rPr>
          <w:lang w:val="en-US"/>
        </w:rPr>
        <w:t xml:space="preserve"> agent. </w:t>
      </w:r>
      <w:r w:rsidRPr="00300A27">
        <w:rPr>
          <w:i/>
          <w:lang w:val="en-US"/>
        </w:rPr>
        <w:t>Cf.</w:t>
      </w:r>
      <w:r w:rsidRPr="00300A27">
        <w:rPr>
          <w:lang w:val="en-US"/>
        </w:rPr>
        <w:t xml:space="preserve"> Identification procedure of February 27, 2008 (evidence file, folio 54).</w:t>
      </w:r>
    </w:p>
  </w:footnote>
  <w:footnote w:id="61">
    <w:p w14:paraId="157B1C19" w14:textId="6A692D7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Statement made by Azul Rojas Marín before the Second Provincial Corporate Criminal Prosecution Service of Ascope on February 28, 2008 (evidence file, folio 2811).</w:t>
      </w:r>
    </w:p>
  </w:footnote>
  <w:footnote w:id="62">
    <w:p w14:paraId="2EF1A228" w14:textId="447BB3CE"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Forensic medical certificate of February 29, 2008 (evidence file, folio 2193), and protocol of psychological expertise conducted by the Ascope Forensic Medicine Division of the Institute of Forensic Medicine of the Public Prosecution Service on February 29, 2008 and March 4, 2008 (evidence file, folio 2).</w:t>
      </w:r>
    </w:p>
  </w:footnote>
  <w:footnote w:id="63">
    <w:p w14:paraId="06E69F6B" w14:textId="4A902369"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Forensic medical certificate of February 29, 2008 (evidence file, folio 2193).</w:t>
      </w:r>
    </w:p>
  </w:footnote>
  <w:footnote w:id="64">
    <w:p w14:paraId="587E78E7" w14:textId="19422C2E"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Protocol of the psychological expertise conducted by the Ascope Forensic Medicine Division of the Institute of Forensic Medicine of the Public Prosecution Service on February 29, 2008 and March 4, 2008 (evidence file, folio 2).</w:t>
      </w:r>
    </w:p>
  </w:footnote>
  <w:footnote w:id="65">
    <w:p w14:paraId="06F11621" w14:textId="5C0ECCF7"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Statement made by Azul Rojas Marín before the investigating officer on March 6, 2008 (evidence file, folios 69 to 75).</w:t>
      </w:r>
    </w:p>
  </w:footnote>
  <w:footnote w:id="66">
    <w:p w14:paraId="69EAAC27" w14:textId="5F3EBD2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Statement made by Azul Rojas Marín before the investigating officer on March 6, 2008 (evidence file, folio 69).</w:t>
      </w:r>
    </w:p>
  </w:footnote>
  <w:footnote w:id="67">
    <w:p w14:paraId="0520BC86" w14:textId="245BD03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Order for a preliminary investigation </w:t>
      </w:r>
      <w:r w:rsidRPr="00300A27">
        <w:rPr>
          <w:lang w:val="en-US"/>
        </w:rPr>
        <w:t>issued by the</w:t>
      </w:r>
      <w:r w:rsidRPr="00300A27">
        <w:rPr>
          <w:rFonts w:eastAsia="Times New Roman"/>
          <w:lang w:val="en-US"/>
        </w:rPr>
        <w:t xml:space="preserve"> Second Provincial Corporate Criminal Prosecution Service of Ascope on March 24, 2008 (evidence file, folio 81).</w:t>
      </w:r>
    </w:p>
  </w:footnote>
  <w:footnote w:id="68">
    <w:p w14:paraId="5EF3C36C" w14:textId="0B799274" w:rsidR="00300A27" w:rsidRPr="00300A27" w:rsidRDefault="00300A27" w:rsidP="00611CCC">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 xml:space="preserve">Police report of the </w:t>
      </w:r>
      <w:r w:rsidRPr="00300A27">
        <w:rPr>
          <w:rFonts w:eastAsia="Times New Roman" w:cstheme="minorBidi"/>
          <w:spacing w:val="-4"/>
          <w:lang w:val="en-US" w:eastAsia="es-MX"/>
        </w:rPr>
        <w:t>Casa Grande Police Station</w:t>
      </w:r>
      <w:r w:rsidRPr="00300A27">
        <w:rPr>
          <w:rFonts w:eastAsia="Times New Roman"/>
          <w:lang w:val="en-US"/>
        </w:rPr>
        <w:t xml:space="preserve"> </w:t>
      </w:r>
      <w:r w:rsidRPr="00300A27">
        <w:rPr>
          <w:lang w:val="en-US"/>
        </w:rPr>
        <w:t>of March 31, 2008 (evidence file, folio 15).</w:t>
      </w:r>
    </w:p>
  </w:footnote>
  <w:footnote w:id="69">
    <w:p w14:paraId="489CE791" w14:textId="1F732ACB" w:rsidR="00300A27" w:rsidRPr="00300A27" w:rsidRDefault="00300A27" w:rsidP="00611CCC">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lang w:val="en-US"/>
        </w:rPr>
        <w:t xml:space="preserve"> Police report of the </w:t>
      </w:r>
      <w:r w:rsidRPr="00300A27">
        <w:rPr>
          <w:rFonts w:eastAsia="Times New Roman" w:cstheme="minorBidi"/>
          <w:spacing w:val="-4"/>
          <w:lang w:val="en-US" w:eastAsia="es-MX"/>
        </w:rPr>
        <w:t>Casa Grande Police Station</w:t>
      </w:r>
      <w:r w:rsidRPr="00300A27">
        <w:rPr>
          <w:rFonts w:eastAsia="Times New Roman"/>
          <w:lang w:val="en-US"/>
        </w:rPr>
        <w:t xml:space="preserve"> </w:t>
      </w:r>
      <w:r w:rsidRPr="00300A27">
        <w:rPr>
          <w:lang w:val="en-US"/>
        </w:rPr>
        <w:t>of March 31, 2008 (evidence file, folio 15).</w:t>
      </w:r>
    </w:p>
  </w:footnote>
  <w:footnote w:id="70">
    <w:p w14:paraId="466C7DA4" w14:textId="7187AE2E" w:rsidR="00300A27" w:rsidRPr="00300A27" w:rsidRDefault="00300A27" w:rsidP="00611CCC">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 xml:space="preserve">Police report of the </w:t>
      </w:r>
      <w:r w:rsidRPr="00300A27">
        <w:rPr>
          <w:rFonts w:eastAsia="Times New Roman" w:cstheme="minorBidi"/>
          <w:spacing w:val="-4"/>
          <w:lang w:val="en-US" w:eastAsia="es-MX"/>
        </w:rPr>
        <w:t>Casa Grande Police Station</w:t>
      </w:r>
      <w:r w:rsidRPr="00300A27">
        <w:rPr>
          <w:rFonts w:eastAsia="Times New Roman"/>
          <w:lang w:val="en-US"/>
        </w:rPr>
        <w:t xml:space="preserve"> </w:t>
      </w:r>
      <w:r w:rsidRPr="00300A27">
        <w:rPr>
          <w:lang w:val="en-US"/>
        </w:rPr>
        <w:t>of March 31, 2008 (evidence file, folio 16).</w:t>
      </w:r>
    </w:p>
  </w:footnote>
  <w:footnote w:id="71">
    <w:p w14:paraId="4B1CDFDC" w14:textId="06E04D84" w:rsidR="00300A27" w:rsidRPr="00300A27" w:rsidRDefault="00300A27" w:rsidP="00611CCC">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 xml:space="preserve">Police report of the </w:t>
      </w:r>
      <w:r w:rsidRPr="00300A27">
        <w:rPr>
          <w:rFonts w:eastAsia="Times New Roman" w:cstheme="minorBidi"/>
          <w:spacing w:val="-4"/>
          <w:lang w:val="en-US" w:eastAsia="es-MX"/>
        </w:rPr>
        <w:t>Casa Grande Police Station</w:t>
      </w:r>
      <w:r w:rsidRPr="00300A27">
        <w:rPr>
          <w:rFonts w:eastAsia="Times New Roman"/>
          <w:lang w:val="en-US"/>
        </w:rPr>
        <w:t xml:space="preserve"> </w:t>
      </w:r>
      <w:r w:rsidRPr="00300A27">
        <w:rPr>
          <w:lang w:val="en-US"/>
        </w:rPr>
        <w:t>of March 31, 2008 (evidence file, folio 16).</w:t>
      </w:r>
    </w:p>
  </w:footnote>
  <w:footnote w:id="72">
    <w:p w14:paraId="582F77FD" w14:textId="25D25499"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 xml:space="preserve">Decision of the </w:t>
      </w:r>
      <w:r w:rsidRPr="00300A27">
        <w:rPr>
          <w:rFonts w:eastAsia="Times New Roman"/>
          <w:lang w:val="en-US"/>
        </w:rPr>
        <w:t xml:space="preserve">Second Provincial Corporate Criminal Prosecution Service of </w:t>
      </w:r>
      <w:r w:rsidRPr="00300A27">
        <w:rPr>
          <w:lang w:val="en-US"/>
        </w:rPr>
        <w:t>Ascope of April 2, 2008 (evidence file, folio 110).</w:t>
      </w:r>
    </w:p>
  </w:footnote>
  <w:footnote w:id="73">
    <w:p w14:paraId="301B0D70" w14:textId="6B97CDDF"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Decision of the Second Provincial Corporate Criminal Prosecution Service of Ascope of April 2, 2008 (evidence file, folio 111).</w:t>
      </w:r>
    </w:p>
  </w:footnote>
  <w:footnote w:id="74">
    <w:p w14:paraId="18DF4414" w14:textId="50A69446"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 xml:space="preserve">Decision of the Second Provincial Corporate Criminal Prosecution Service of Ascope of April 2, 2008 (evidence file, folio 112). They were confined in the Trujillo Prison on May 1, 2008,  and released on May 5, 2008. </w:t>
      </w:r>
      <w:r w:rsidRPr="00300A27">
        <w:rPr>
          <w:i/>
          <w:lang w:val="en-US"/>
        </w:rPr>
        <w:t>Cf.</w:t>
      </w:r>
      <w:r w:rsidRPr="00300A27">
        <w:rPr>
          <w:lang w:val="en-US"/>
        </w:rPr>
        <w:t xml:space="preserve"> Official note of May 5, 2008 (evidence file, folios 2847 to 2848).</w:t>
      </w:r>
    </w:p>
  </w:footnote>
  <w:footnote w:id="75">
    <w:p w14:paraId="1A8848EA" w14:textId="2836461E"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i/>
          <w:lang w:val="en-US"/>
        </w:rPr>
        <w:t xml:space="preserve"> </w:t>
      </w:r>
      <w:r w:rsidRPr="00300A27">
        <w:rPr>
          <w:i/>
          <w:iCs/>
          <w:color w:val="000000" w:themeColor="text1"/>
          <w:lang w:val="en-US"/>
        </w:rPr>
        <w:t>Cf.</w:t>
      </w:r>
      <w:r w:rsidRPr="00300A27">
        <w:rPr>
          <w:color w:val="000000" w:themeColor="text1"/>
          <w:lang w:val="en-US"/>
        </w:rPr>
        <w:t xml:space="preserve"> </w:t>
      </w:r>
      <w:r w:rsidRPr="00300A27">
        <w:rPr>
          <w:lang w:val="en-US"/>
        </w:rPr>
        <w:t>Expert report of March 12, 2008 (evidence file, folio 2236).</w:t>
      </w:r>
    </w:p>
  </w:footnote>
  <w:footnote w:id="76">
    <w:p w14:paraId="7961FDCA" w14:textId="47F0CF34" w:rsidR="00300A27" w:rsidRPr="00300A27" w:rsidRDefault="00300A27" w:rsidP="00F756EF">
      <w:pPr>
        <w:pStyle w:val="Textonotapie"/>
        <w:spacing w:before="0" w:after="80"/>
        <w:rPr>
          <w:b/>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 xml:space="preserve">Expert report of March 2008 (evidence file, folio 104). </w:t>
      </w:r>
    </w:p>
  </w:footnote>
  <w:footnote w:id="77">
    <w:p w14:paraId="3F5224D8" w14:textId="7552366D"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Expert report of March 11, 2008 (evidence file, folio 2238).</w:t>
      </w:r>
    </w:p>
  </w:footnote>
  <w:footnote w:id="78">
    <w:p w14:paraId="50761DE1" w14:textId="1D868D01"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Psychiatric assessment of August 13, 2008 (evidence file, folio 2733).</w:t>
      </w:r>
    </w:p>
  </w:footnote>
  <w:footnote w:id="79">
    <w:p w14:paraId="69EAF8BB" w14:textId="25A09FB0"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i/>
          <w:iCs/>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Psychiatric assessment of May 23 and 26, 2008 (evidence file, folios 2857 to 2862); Psychiatric assessment of May 30, 2008 (evidence file folios 2850 to 2855), and Psychiatric assessment of August 19, 2008 (evidence file, folios 2864 to 2869).</w:t>
      </w:r>
    </w:p>
  </w:footnote>
  <w:footnote w:id="80">
    <w:p w14:paraId="7655040F" w14:textId="32B7060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Videos 1 and 2 of the inspection and reconstruction procedure on August 15, 2008 (evidence file, folder of audiovisual material, “Annex 50” and “Annex 51”) and Record of inspection and reconstruction procedure on August 15, 2008 (evidence file, folios 2896 to 2909).</w:t>
      </w:r>
    </w:p>
  </w:footnote>
  <w:footnote w:id="81">
    <w:p w14:paraId="3689A365" w14:textId="3B07674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lang w:val="en-US"/>
        </w:rPr>
        <w:t xml:space="preserve"> Police report of the </w:t>
      </w:r>
      <w:r w:rsidRPr="00300A27">
        <w:rPr>
          <w:rFonts w:eastAsia="Times New Roman" w:cstheme="minorBidi"/>
          <w:spacing w:val="-4"/>
          <w:lang w:val="en-US" w:eastAsia="es-MX"/>
        </w:rPr>
        <w:t>Casa Grande Police Station</w:t>
      </w:r>
      <w:r w:rsidRPr="00300A27">
        <w:rPr>
          <w:rFonts w:eastAsia="Times New Roman"/>
          <w:lang w:val="en-US"/>
        </w:rPr>
        <w:t xml:space="preserve"> </w:t>
      </w:r>
      <w:r w:rsidRPr="00300A27">
        <w:rPr>
          <w:lang w:val="en-US"/>
        </w:rPr>
        <w:t>of March 31, 2008 (evidence file, folio 14).</w:t>
      </w:r>
    </w:p>
  </w:footnote>
  <w:footnote w:id="82">
    <w:p w14:paraId="48436432" w14:textId="0005286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Request filed by Azul Rojas Marín on May 5, 2008 (evidence file, folios 115, 116 and 117).</w:t>
      </w:r>
    </w:p>
  </w:footnote>
  <w:footnote w:id="83">
    <w:p w14:paraId="5C679D17" w14:textId="584347FC"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 xml:space="preserve">Decision of the Second Provincial Corporate Criminal Prosecution Service of Ascope of June 16, 2008 (evidence file, folio 122). </w:t>
      </w:r>
    </w:p>
  </w:footnote>
  <w:footnote w:id="84">
    <w:p w14:paraId="0E3A066C" w14:textId="595AE80F"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Request filed by Azul Rojas Marín with the Second Provincial Corporate Criminal Prosecution Service on August 1, 2008 (evidence file, folio 138).</w:t>
      </w:r>
    </w:p>
  </w:footnote>
  <w:footnote w:id="85">
    <w:p w14:paraId="18F902FD" w14:textId="6706A654"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Decision of the First Superior Criminal Prosecutor of La Libertad Judicial District of August 28, 2008 (evidence file, folio 2912).</w:t>
      </w:r>
    </w:p>
  </w:footnote>
  <w:footnote w:id="86">
    <w:p w14:paraId="3CD62CF1" w14:textId="07708B51"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Request for dismissal by the Second Provincial Corporate Criminal Prosecution Service of Ascope of October 21, 2008 (evidence file, folio 83).</w:t>
      </w:r>
    </w:p>
  </w:footnote>
  <w:footnote w:id="87">
    <w:p w14:paraId="6D354B0A" w14:textId="1FADFB1D"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Order to dismiss the proceedings dated January 9, 2009, issued by the Ascope First Preliminary Investigation Court (evidence file, folios 2954 to 2969).</w:t>
      </w:r>
    </w:p>
  </w:footnote>
  <w:footnote w:id="88">
    <w:p w14:paraId="2DC13419" w14:textId="70874C8B"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Order to dismiss the proceedings dated January 9, 2009, issued by the Ascope First Preliminary Investigation Court (evidence file, folio 2960).</w:t>
      </w:r>
    </w:p>
  </w:footnote>
  <w:footnote w:id="89">
    <w:p w14:paraId="1DCEE216" w14:textId="11905581"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Order to dismiss the proceedings dated January 9, 2009, issued by the Ascope First Preliminary Investigation Court (evidence file, folio 2962).</w:t>
      </w:r>
    </w:p>
  </w:footnote>
  <w:footnote w:id="90">
    <w:p w14:paraId="308CB937" w14:textId="2F1AABC2"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Remedy of appeal filed by Azul Rojas Marín on January 22, 2009 (evidence file, folios 154 to 159).</w:t>
      </w:r>
    </w:p>
  </w:footnote>
  <w:footnote w:id="91">
    <w:p w14:paraId="21AA531E" w14:textId="4FA37588"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Decision of the Ascope First Preliminary Investigation Court of January 23, 2009 (evidence file, folios 3003 and 3004).</w:t>
      </w:r>
    </w:p>
  </w:footnote>
  <w:footnote w:id="92">
    <w:p w14:paraId="48A51CBC" w14:textId="706BD80C"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Complaint filed by Azul Rojas Marín before the Superior Prosecutor, Head of the Decentralized Office of Internal Control of La Libertad on March 28, 2008 (evidence file, folios 2248 to 2254).</w:t>
      </w:r>
    </w:p>
  </w:footnote>
  <w:footnote w:id="93">
    <w:p w14:paraId="014C2F25" w14:textId="2C14A3E4"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Complaint filed by Azul Rojas Marín before the Superior Prosecutor, Head of the Decentralized Office of Internal Control of La Libertad on March 28, 2008 (evidence file, folio 2248).</w:t>
      </w:r>
    </w:p>
  </w:footnote>
  <w:footnote w:id="94">
    <w:p w14:paraId="62B93F8F" w14:textId="7164998F"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Complaint filed by Azul Rojas Marín before the Superior Prosecutor, Head of the Decentralized Office of Internal Control of La Libertad on March 28, 2008 (evidence file, folio 2251).</w:t>
      </w:r>
    </w:p>
  </w:footnote>
  <w:footnote w:id="95">
    <w:p w14:paraId="56DFBE95" w14:textId="069A83C4" w:rsidR="00300A27" w:rsidRPr="00300A27" w:rsidRDefault="00300A27" w:rsidP="00E32433">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Complaint filed by Azul Rojas Marín before the Superior Prosecutor, Head of the Decentralized Office of Internal Control of La Libertad on March 28, 2008 (evidence file, folio 2251).</w:t>
      </w:r>
    </w:p>
  </w:footnote>
  <w:footnote w:id="96">
    <w:p w14:paraId="56C211A3" w14:textId="347448CB"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Complaint filed by Azul Rojas Marín before the Superior Prosecutor, Head of the Decentralized Office of Internal Control of La Libertad on March 28, 2008 (evidence file, folio 2252).</w:t>
      </w:r>
    </w:p>
  </w:footnote>
  <w:footnote w:id="97">
    <w:p w14:paraId="6E2B77CC" w14:textId="249F7B69"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Complaint filed by Azul Rojas Marín before the Superior Prosecutor, Head of the Decentralized Office of Internal Control of La Libertad on March 28, 2008 (evidence file, folio 2252).</w:t>
      </w:r>
    </w:p>
  </w:footnote>
  <w:footnote w:id="98">
    <w:p w14:paraId="7898BAF7" w14:textId="73AB6C64"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i/>
          <w:lang w:val="en-US"/>
        </w:rPr>
        <w:tab/>
      </w:r>
      <w:r w:rsidRPr="00300A27">
        <w:rPr>
          <w:i/>
          <w:iCs/>
          <w:color w:val="000000" w:themeColor="text1"/>
          <w:lang w:val="en-US"/>
        </w:rPr>
        <w:t>Cf.</w:t>
      </w:r>
      <w:r w:rsidRPr="00300A27">
        <w:rPr>
          <w:i/>
          <w:iCs/>
          <w:lang w:val="en-US"/>
        </w:rPr>
        <w:t xml:space="preserve"> </w:t>
      </w:r>
      <w:r w:rsidRPr="00300A27">
        <w:rPr>
          <w:lang w:val="en-US"/>
        </w:rPr>
        <w:t>Complaint filed by Azul Rojas Marín before the Superior Prosecutor, Head of the Decentralized Office of Internal Control of La Libertad on March 28, 2008 (evidence file, folio 2252).</w:t>
      </w:r>
    </w:p>
  </w:footnote>
  <w:footnote w:id="99">
    <w:p w14:paraId="149FC84B" w14:textId="11383D73"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Complaint filed by Azul Rojas Marín before the Superior Prosecutor, Head of the Decentralized Office of Internal Control of La Libertad on March 28, 2008 (evidence file, folio 2254).</w:t>
      </w:r>
    </w:p>
  </w:footnote>
  <w:footnote w:id="100">
    <w:p w14:paraId="50D3B066" w14:textId="336BF304"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Decision of the Superior Prosecutor, Head of the Decentralized Office of Internal Control of La Libertad</w:t>
      </w:r>
      <w:r w:rsidRPr="00300A27">
        <w:rPr>
          <w:rFonts w:eastAsia="Times New Roman"/>
          <w:lang w:val="en-US"/>
        </w:rPr>
        <w:t xml:space="preserve"> and del Santa</w:t>
      </w:r>
      <w:r w:rsidRPr="00300A27">
        <w:rPr>
          <w:lang w:val="en-US"/>
        </w:rPr>
        <w:t xml:space="preserve"> of April 7, 2008 (evidence file, folios 174 and 175).</w:t>
      </w:r>
    </w:p>
  </w:footnote>
  <w:footnote w:id="101">
    <w:p w14:paraId="64231A03" w14:textId="3E14753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color w:val="000000" w:themeColor="text1"/>
          <w:lang w:val="en-US"/>
        </w:rPr>
        <w:t>Cf.</w:t>
      </w:r>
      <w:r w:rsidRPr="00300A27">
        <w:rPr>
          <w:color w:val="000000" w:themeColor="text1"/>
          <w:lang w:val="en-US"/>
        </w:rPr>
        <w:t xml:space="preserve"> </w:t>
      </w:r>
      <w:r w:rsidRPr="00300A27">
        <w:rPr>
          <w:lang w:val="en-US"/>
        </w:rPr>
        <w:t>Official note of May 6, 2008, signed by the Deputy Provincial Prosecutor of the Second Provincial Corporate Criminal Prosecution Service of Ascope addressed to the Superior Prosecutor, Head of the Decentralized Office of Internal Control of La Libertad and Santa (evidence file, folio 176); Report signed by the Provincial Prosecutor, Head of the Second Provincial Corporate Criminal Prosecution Service of Ascope addressed to the Superior Prosecutor, Head of the Decentralized Office of Internal Control of La Libertad and Santa (evidence file, folios 178 to 182), and Report signed by the Superior Prosecutor, Head of the Decentralized Office of Internal Control of La Libertad</w:t>
      </w:r>
      <w:r w:rsidRPr="00300A27" w:rsidDel="00006E1E">
        <w:rPr>
          <w:lang w:val="en-US"/>
        </w:rPr>
        <w:t xml:space="preserve"> </w:t>
      </w:r>
      <w:r w:rsidRPr="00300A27">
        <w:rPr>
          <w:lang w:val="en-US"/>
        </w:rPr>
        <w:t>of July 24, 2009 (evidence file, folios 2800 and 2801).</w:t>
      </w:r>
    </w:p>
  </w:footnote>
  <w:footnote w:id="102">
    <w:p w14:paraId="08210304" w14:textId="4CE0C81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Report signed by the Superior Prosecutor, Head of the Decentralized Office of Internal Control of La Libertad of July 24, 2009 (evidence file, folio 2806).</w:t>
      </w:r>
    </w:p>
  </w:footnote>
  <w:footnote w:id="103">
    <w:p w14:paraId="267F25F5" w14:textId="55AB8403" w:rsidR="00300A27" w:rsidRPr="00300A27" w:rsidRDefault="00300A27" w:rsidP="00F756EF">
      <w:pPr>
        <w:pStyle w:val="Textonotapie"/>
        <w:spacing w:before="0" w:after="80"/>
        <w:rPr>
          <w:rFonts w:eastAsia="Times New Roman"/>
          <w:lang w:val="en-US"/>
        </w:rPr>
      </w:pPr>
      <w:r w:rsidRPr="00300A27">
        <w:rPr>
          <w:rStyle w:val="Refdenotaalpie"/>
          <w:lang w:val="en-US"/>
        </w:rPr>
        <w:footnoteRef/>
      </w:r>
      <w:r w:rsidRPr="00300A27">
        <w:rPr>
          <w:lang w:val="en-US"/>
        </w:rPr>
        <w:t xml:space="preserve"> </w:t>
      </w:r>
      <w:r w:rsidRPr="00300A27">
        <w:rPr>
          <w:lang w:val="en-US"/>
        </w:rPr>
        <w:tab/>
        <w:t xml:space="preserve">Initially, </w:t>
      </w:r>
      <w:r w:rsidRPr="00300A27">
        <w:rPr>
          <w:rFonts w:eastAsia="Times New Roman"/>
          <w:lang w:val="en-US"/>
        </w:rPr>
        <w:t xml:space="preserve">on December 31, 2008, the Superior Prosecutor, Head of the Decentralized Office of Internal Control of La Libertad and Santa had declared that the complaint filed against the prosecutors by Ms. Rojas Marín was unfounded. </w:t>
      </w:r>
      <w:r w:rsidRPr="00300A27">
        <w:rPr>
          <w:i/>
          <w:lang w:val="en-US"/>
        </w:rPr>
        <w:t>Cf.</w:t>
      </w:r>
      <w:r w:rsidRPr="00300A27">
        <w:rPr>
          <w:lang w:val="en-US"/>
        </w:rPr>
        <w:t xml:space="preserve"> Decision of the </w:t>
      </w:r>
      <w:r w:rsidRPr="00300A27">
        <w:rPr>
          <w:rFonts w:eastAsia="Times New Roman"/>
          <w:lang w:val="en-US"/>
        </w:rPr>
        <w:t>Superior Prosecutor, Head of the Decentralized Office of Internal Control of La Libertad</w:t>
      </w:r>
      <w:r w:rsidRPr="00300A27">
        <w:rPr>
          <w:lang w:val="en-US"/>
        </w:rPr>
        <w:t xml:space="preserve"> and Santa of </w:t>
      </w:r>
      <w:r w:rsidRPr="00300A27">
        <w:rPr>
          <w:rFonts w:eastAsia="Times New Roman"/>
          <w:lang w:val="en-US"/>
        </w:rPr>
        <w:t>December 31,</w:t>
      </w:r>
      <w:r w:rsidRPr="00300A27">
        <w:rPr>
          <w:lang w:val="en-US"/>
        </w:rPr>
        <w:t xml:space="preserve"> 2008 (evidence file, folio 186); Remedy of appeal filed on February 13, 2009, by Ms. Rojas Marín against the decision of the </w:t>
      </w:r>
      <w:r w:rsidRPr="00300A27">
        <w:rPr>
          <w:rFonts w:eastAsia="Times New Roman"/>
          <w:lang w:val="en-US"/>
        </w:rPr>
        <w:t>Superior Prosecutor, Head of the Decentralized Office of Internal Control of La Libertad and Santa</w:t>
      </w:r>
      <w:r w:rsidRPr="00300A27">
        <w:rPr>
          <w:lang w:val="en-US"/>
        </w:rPr>
        <w:t xml:space="preserve"> of </w:t>
      </w:r>
      <w:r w:rsidRPr="00300A27">
        <w:rPr>
          <w:rFonts w:eastAsia="Times New Roman"/>
          <w:lang w:val="en-US"/>
        </w:rPr>
        <w:t>December 31,</w:t>
      </w:r>
      <w:r w:rsidRPr="00300A27">
        <w:rPr>
          <w:lang w:val="en-US"/>
        </w:rPr>
        <w:t xml:space="preserve"> 2008 por (evidence file, folios 187 to 192); Decision of the </w:t>
      </w:r>
      <w:r w:rsidRPr="00300A27">
        <w:rPr>
          <w:rFonts w:eastAsia="Times New Roman"/>
          <w:lang w:val="en-US"/>
        </w:rPr>
        <w:t>Superior Prosecutor, Head of the Decentralized Office of Internal Control of La Libertad</w:t>
      </w:r>
      <w:r w:rsidRPr="00300A27">
        <w:rPr>
          <w:lang w:val="en-US"/>
        </w:rPr>
        <w:t xml:space="preserve"> and Santa of March 10, 2009 (evidence file, folio 193); Ruling issued by the Supreme Prosecutor for Internal Control on April 20, 2009 (evidence file, folio 195), and Decision of the Prosecutor General of November 19, 2010 (evidence file, folios 3023 to 3028).</w:t>
      </w:r>
    </w:p>
  </w:footnote>
  <w:footnote w:id="104">
    <w:p w14:paraId="21AB184D" w14:textId="0EEF237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Complaint filed by Azul Rojas Marín with the Trujillo Regional Inspectorate of the Peruvian National Police on March 5, 2008 (evidence file, folios 3030 and 3031).</w:t>
      </w:r>
    </w:p>
  </w:footnote>
  <w:footnote w:id="105">
    <w:p w14:paraId="3BCFF9DF" w14:textId="70410BED"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Report of the Pacasmayo Provincial Inspectorate of the Peruvian National Police of May 2, 2008 (evidence file, folio 3056).</w:t>
      </w:r>
    </w:p>
  </w:footnote>
  <w:footnote w:id="106">
    <w:p w14:paraId="1E5992B8" w14:textId="463B6831"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Order to remove the case to a higher authority of June 6, 2008 (evidence file, folio 3059).</w:t>
      </w:r>
    </w:p>
  </w:footnote>
  <w:footnote w:id="107">
    <w:p w14:paraId="6D5E5ACF" w14:textId="09BE458B"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ab/>
      </w:r>
      <w:r w:rsidRPr="00300A27">
        <w:rPr>
          <w:i/>
          <w:iCs/>
          <w:lang w:val="en-US"/>
        </w:rPr>
        <w:t>Cf.</w:t>
      </w:r>
      <w:r w:rsidRPr="00300A27">
        <w:rPr>
          <w:lang w:val="en-US"/>
        </w:rPr>
        <w:t xml:space="preserve"> Decision of the Territorial Disciplinary Administrative Tribunal of September 2, 2008 (evidence file, folio 3064).</w:t>
      </w:r>
    </w:p>
  </w:footnote>
  <w:footnote w:id="108">
    <w:p w14:paraId="57CE995B" w14:textId="0B2BA3EC"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Decision of the Territorial Disciplinary Administrative Tribunal of September 2, 2008 (evidence file, folio 3063).</w:t>
      </w:r>
    </w:p>
  </w:footnote>
  <w:footnote w:id="109">
    <w:p w14:paraId="7DE1264E" w14:textId="04CB7DE4"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Decision of the Deputy Provincial Prosecutor of November 20, 2018 (evidence file, folios 3067 and 3068).</w:t>
      </w:r>
    </w:p>
  </w:footnote>
  <w:footnote w:id="110">
    <w:p w14:paraId="41877DCA" w14:textId="39F6BE2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Decision of the Deputy Provincial Prosecutor of November 20, 2018 (evidence file, folio 3067 and 3068), and statement by Ketty Garibay Mascco during the public hearing held in this case.</w:t>
      </w:r>
    </w:p>
  </w:footnote>
  <w:footnote w:id="111">
    <w:p w14:paraId="05F1872D" w14:textId="3447014E"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Decision of the Fifth Superior Prosecutor of La Libertad of December 4, 2018 (evidence file, folio 3085).</w:t>
      </w:r>
    </w:p>
  </w:footnote>
  <w:footnote w:id="112">
    <w:p w14:paraId="1DDB8631" w14:textId="30472DB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Official note of January 16, 2019, signed by the Provincial Prosecutor </w:t>
      </w:r>
      <w:r w:rsidRPr="00300A27">
        <w:rPr>
          <w:rFonts w:eastAsia="Times New Roman"/>
          <w:lang w:val="en-US"/>
        </w:rPr>
        <w:t>of the Ascope Provincial Corporate Criminal Prosecution Service addressed to the Ascope judge of preliminary criminal investigations (evidence file, folios 3088 to 3094).</w:t>
      </w:r>
    </w:p>
  </w:footnote>
  <w:footnote w:id="113">
    <w:p w14:paraId="09B7CC29" w14:textId="79633561" w:rsidR="00300A27" w:rsidRPr="00300A27" w:rsidRDefault="00300A27" w:rsidP="00F756EF">
      <w:pPr>
        <w:pStyle w:val="Textonotapie"/>
        <w:spacing w:before="0" w:after="80"/>
        <w:rPr>
          <w:b/>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Decision No. 8 of the Ascope Preliminary Investigation Court of August 14, 2019, paras. 11, 17, 19, and 21 (evidence file, folios 5426, 5428, 5429 and 5439). </w:t>
      </w:r>
    </w:p>
  </w:footnote>
  <w:footnote w:id="114">
    <w:p w14:paraId="6B2009DF" w14:textId="11C61631"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Remedy of appeal filed by the</w:t>
      </w:r>
      <w:r w:rsidRPr="00300A27">
        <w:rPr>
          <w:rFonts w:eastAsia="Times New Roman"/>
          <w:lang w:val="en-US"/>
        </w:rPr>
        <w:t xml:space="preserve"> Ascope Provincial Corporate Criminal Prosecution Service</w:t>
      </w:r>
      <w:r w:rsidRPr="00300A27">
        <w:rPr>
          <w:lang w:val="en-US"/>
        </w:rPr>
        <w:t xml:space="preserve"> of August 20, 2019 (evidence file, folios 5432 to 5440). </w:t>
      </w:r>
    </w:p>
  </w:footnote>
  <w:footnote w:id="115">
    <w:p w14:paraId="4727AD11" w14:textId="536B5828"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Decision No. 9 of the Ascope Preliminary Investigation Court of September 3, 2019 (evidence file, folio 5444). </w:t>
      </w:r>
      <w:r w:rsidRPr="00300A27">
        <w:rPr>
          <w:b/>
          <w:lang w:val="en-US"/>
        </w:rPr>
        <w:t xml:space="preserve"> </w:t>
      </w:r>
    </w:p>
  </w:footnote>
  <w:footnote w:id="116">
    <w:p w14:paraId="6F378D2E" w14:textId="255D60F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Article 24 of the Convention.</w:t>
      </w:r>
    </w:p>
  </w:footnote>
  <w:footnote w:id="117">
    <w:p w14:paraId="05B53FC3" w14:textId="3D479582"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Article 1(1) of the Convention.</w:t>
      </w:r>
    </w:p>
  </w:footnote>
  <w:footnote w:id="118">
    <w:p w14:paraId="67C4C5A7" w14:textId="080A858A" w:rsidR="00300A27" w:rsidRPr="00300A27" w:rsidRDefault="00300A27" w:rsidP="00F756EF">
      <w:pPr>
        <w:pStyle w:val="Textonotapie"/>
        <w:spacing w:before="0" w:after="80"/>
        <w:rPr>
          <w:i/>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Mutatis mutandis, Case of the La Rochela Massacre v. Colombia. Merits, reparations and costs</w:t>
      </w:r>
      <w:r w:rsidRPr="00300A27">
        <w:rPr>
          <w:lang w:val="en-US"/>
        </w:rPr>
        <w:t>. Judgment of May 11, 2007. Series C No. 163, para. 132.</w:t>
      </w:r>
    </w:p>
  </w:footnote>
  <w:footnote w:id="119">
    <w:p w14:paraId="11D80387" w14:textId="48A96836" w:rsidR="00300A27" w:rsidRPr="00300A27" w:rsidRDefault="00300A27" w:rsidP="004A74BA">
      <w:pPr>
        <w:tabs>
          <w:tab w:val="left" w:pos="567"/>
        </w:tabs>
        <w:spacing w:after="80"/>
        <w:jc w:val="both"/>
        <w:rPr>
          <w:rFonts w:eastAsia="Times New Roman"/>
          <w:i/>
          <w:sz w:val="16"/>
          <w:szCs w:val="16"/>
        </w:rPr>
      </w:pPr>
      <w:r w:rsidRPr="00300A27">
        <w:rPr>
          <w:rStyle w:val="Refdenotaalpie"/>
          <w:sz w:val="16"/>
          <w:szCs w:val="16"/>
        </w:rPr>
        <w:footnoteRef/>
      </w:r>
      <w:r w:rsidRPr="00300A27">
        <w:rPr>
          <w:sz w:val="16"/>
          <w:szCs w:val="16"/>
        </w:rPr>
        <w:tab/>
      </w:r>
      <w:r w:rsidRPr="00300A27">
        <w:rPr>
          <w:i/>
          <w:iCs/>
          <w:sz w:val="16"/>
          <w:szCs w:val="16"/>
        </w:rPr>
        <w:t xml:space="preserve">Cf. </w:t>
      </w:r>
      <w:hyperlink r:id="rId11" w:history="1">
        <w:r w:rsidRPr="00300A27">
          <w:rPr>
            <w:rFonts w:eastAsia="Times New Roman"/>
            <w:i/>
            <w:sz w:val="16"/>
            <w:szCs w:val="16"/>
          </w:rPr>
          <w:t>Juridical Condition and Rights of the Undocumented Migrants</w:t>
        </w:r>
      </w:hyperlink>
      <w:r w:rsidRPr="00300A27">
        <w:rPr>
          <w:rFonts w:eastAsia="Times New Roman"/>
          <w:i/>
          <w:sz w:val="16"/>
          <w:szCs w:val="16"/>
        </w:rPr>
        <w:t xml:space="preserve">, </w:t>
      </w:r>
      <w:r w:rsidRPr="00300A27">
        <w:rPr>
          <w:rFonts w:eastAsia="Times New Roman"/>
          <w:sz w:val="16"/>
          <w:szCs w:val="16"/>
        </w:rPr>
        <w:t>Advisory Opinion OC-18, September 17, 2003. Series A No. 18</w:t>
      </w:r>
      <w:r w:rsidRPr="00300A27">
        <w:rPr>
          <w:sz w:val="16"/>
          <w:szCs w:val="16"/>
        </w:rPr>
        <w:t xml:space="preserve">, para. 104; </w:t>
      </w:r>
      <w:r w:rsidRPr="00300A27">
        <w:rPr>
          <w:i/>
          <w:iCs/>
          <w:sz w:val="16"/>
          <w:szCs w:val="16"/>
        </w:rPr>
        <w:t>Case of the Xákmok Kásek Indigenous Community v. Paraguay. Merits, reparations and costs.</w:t>
      </w:r>
      <w:r w:rsidRPr="00300A27">
        <w:rPr>
          <w:sz w:val="16"/>
          <w:szCs w:val="16"/>
        </w:rPr>
        <w:t xml:space="preserve"> Judgment of August 24, 2010. Series C No. 241, para. 271;</w:t>
      </w:r>
      <w:r w:rsidRPr="00300A27">
        <w:rPr>
          <w:i/>
          <w:iCs/>
          <w:sz w:val="16"/>
          <w:szCs w:val="16"/>
        </w:rPr>
        <w:t xml:space="preserve"> Case of Norín Catrimán et al. (Leaders, members and activist of the Mapuche Indigenous People) v. Chile. Merits, reparations and costs.</w:t>
      </w:r>
      <w:r w:rsidRPr="00300A27">
        <w:rPr>
          <w:sz w:val="16"/>
          <w:szCs w:val="16"/>
        </w:rPr>
        <w:t xml:space="preserve"> Judgment of May 29, 2014. Series C No. 279, para. 201; </w:t>
      </w:r>
      <w:r w:rsidRPr="00300A27">
        <w:rPr>
          <w:i/>
          <w:iCs/>
          <w:sz w:val="16"/>
          <w:szCs w:val="16"/>
        </w:rPr>
        <w:t xml:space="preserve">Case of Espinoza Gonzáles v. Peru. Preliminary objections, merits, reparations and costs. </w:t>
      </w:r>
      <w:r w:rsidRPr="00300A27">
        <w:rPr>
          <w:sz w:val="16"/>
          <w:szCs w:val="16"/>
        </w:rPr>
        <w:t xml:space="preserve">Judgment of November 20, 2014. Series C No. 289, para. 220; </w:t>
      </w:r>
      <w:r w:rsidRPr="00300A27">
        <w:rPr>
          <w:i/>
          <w:iCs/>
          <w:sz w:val="16"/>
          <w:szCs w:val="16"/>
        </w:rPr>
        <w:t>Case of Atala Riffo and daughters v. Chile. Merits, reparations and costs.</w:t>
      </w:r>
      <w:r w:rsidRPr="00300A27">
        <w:rPr>
          <w:sz w:val="16"/>
          <w:szCs w:val="16"/>
        </w:rPr>
        <w:t xml:space="preserve"> Judgment of February 24, 2012. Series C No. 239, para. 80; </w:t>
      </w:r>
      <w:r w:rsidRPr="00300A27">
        <w:rPr>
          <w:i/>
          <w:iCs/>
          <w:sz w:val="16"/>
          <w:szCs w:val="16"/>
        </w:rPr>
        <w:t>Case of Duque v. Colombia. Preliminary objections, merits, reparations and costs, supra</w:t>
      </w:r>
      <w:r w:rsidRPr="00300A27">
        <w:rPr>
          <w:sz w:val="16"/>
          <w:szCs w:val="16"/>
        </w:rPr>
        <w:t xml:space="preserve">, para. 92; </w:t>
      </w:r>
      <w:r w:rsidRPr="00300A27">
        <w:rPr>
          <w:i/>
          <w:iCs/>
          <w:sz w:val="16"/>
          <w:szCs w:val="16"/>
        </w:rPr>
        <w:t>Case of Flor Freire v. Ecuador. Preliminary objection, merits, reparations and costs</w:t>
      </w:r>
      <w:r w:rsidRPr="00300A27">
        <w:rPr>
          <w:sz w:val="16"/>
          <w:szCs w:val="16"/>
        </w:rPr>
        <w:t xml:space="preserve">. Judgment of August 31, 2016. Series C No. 315, para. 110, and </w:t>
      </w:r>
      <w:r w:rsidRPr="00300A27">
        <w:rPr>
          <w:i/>
          <w:iCs/>
          <w:sz w:val="16"/>
          <w:szCs w:val="16"/>
        </w:rPr>
        <w:t>Case of the Hacienda Brasil Verde Workers v. Brazil. Preliminary objections, merits, reparations and costs</w:t>
      </w:r>
      <w:r w:rsidRPr="00300A27">
        <w:rPr>
          <w:sz w:val="16"/>
          <w:szCs w:val="16"/>
        </w:rPr>
        <w:t>. Judgment of October 20, 2016. Series C No.318, para. 336. Also, United Nations, Human Rights Committee, General Comment No. 18, Non-discrimination, November 10, 1989, CCPR/C/37, para. 5.</w:t>
      </w:r>
    </w:p>
  </w:footnote>
  <w:footnote w:id="120">
    <w:p w14:paraId="61B858CD" w14:textId="454A32F8" w:rsidR="00300A27" w:rsidRPr="00300A27" w:rsidRDefault="00300A27" w:rsidP="00F756EF">
      <w:pPr>
        <w:pStyle w:val="Textonotapie"/>
        <w:spacing w:before="0" w:after="80"/>
        <w:rPr>
          <w:rFonts w:eastAsia="Times New Roman"/>
          <w:bCs/>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Atala Riffo and daughters v. Chile. Merits, reparations and costs, supra</w:t>
      </w:r>
      <w:r w:rsidRPr="00300A27">
        <w:rPr>
          <w:lang w:val="en-US"/>
        </w:rPr>
        <w:t xml:space="preserve">, paras. 92 and 267, and </w:t>
      </w:r>
      <w:r w:rsidRPr="00300A27">
        <w:rPr>
          <w:rFonts w:eastAsia="Times New Roman"/>
          <w:bCs/>
          <w:i/>
          <w:lang w:val="en-US"/>
        </w:rPr>
        <w:t xml:space="preserve">Gender Identity, and Equality and Non-Discrimination with regard to Same-Sex Couples. State Obligations in relation to Change of Name, Gender Identity, and Rights deriving from a Relationship between Same-Sex Couples (Interpretation and scope of Articles 1(1), 3, 7, 11(2), 13, 17, 18 and 24, in relation to Article 1, of the American Convention on Human Rights). </w:t>
      </w:r>
      <w:r w:rsidRPr="00300A27">
        <w:rPr>
          <w:rFonts w:eastAsia="Times New Roman"/>
          <w:bCs/>
          <w:lang w:val="en-US"/>
        </w:rPr>
        <w:t>Advisory Opinion OC-24/17 of November 24, 2017. Series A No. 24, para. 33</w:t>
      </w:r>
      <w:r w:rsidRPr="00300A27">
        <w:rPr>
          <w:lang w:val="en-US"/>
        </w:rPr>
        <w:t>.</w:t>
      </w:r>
    </w:p>
  </w:footnote>
  <w:footnote w:id="121">
    <w:p w14:paraId="20D654E2" w14:textId="43C19934" w:rsidR="00300A27" w:rsidRPr="00300A27" w:rsidRDefault="00300A27" w:rsidP="00F756EF">
      <w:pPr>
        <w:pStyle w:val="Textonotapie"/>
        <w:tabs>
          <w:tab w:val="left" w:pos="709"/>
        </w:tabs>
        <w:spacing w:before="0" w:after="80"/>
        <w:rPr>
          <w:spacing w:val="-4"/>
          <w:lang w:val="en-US"/>
        </w:rPr>
      </w:pPr>
      <w:r w:rsidRPr="00300A27">
        <w:rPr>
          <w:rStyle w:val="Refdenotaalpie"/>
          <w:lang w:val="en-US"/>
        </w:rPr>
        <w:footnoteRef/>
      </w:r>
      <w:r w:rsidRPr="00300A27">
        <w:rPr>
          <w:lang w:val="en-US"/>
        </w:rPr>
        <w:t xml:space="preserve"> </w:t>
      </w:r>
      <w:r w:rsidRPr="00300A27">
        <w:rPr>
          <w:lang w:val="en-US"/>
        </w:rPr>
        <w:tab/>
      </w:r>
      <w:r w:rsidRPr="00300A27">
        <w:rPr>
          <w:spacing w:val="-4"/>
          <w:lang w:val="en-US"/>
        </w:rPr>
        <w:t xml:space="preserve">This Court has explained that gender expression </w:t>
      </w:r>
      <w:r w:rsidRPr="00300A27">
        <w:rPr>
          <w:lang w:val="en-US"/>
        </w:rPr>
        <w:t>is understood to be the outward manifestation of a person’s gender, by physical aspects, which may include dress, hair style, or the use of cosmetics, or by mannerisms, speech, personal behavior or social interaction, and names or personal references. A person’s gender expression may or may not correspond to his or her self-perceived gender identity</w:t>
      </w:r>
      <w:r w:rsidRPr="00300A27">
        <w:rPr>
          <w:i/>
          <w:spacing w:val="-4"/>
          <w:lang w:val="en-US"/>
        </w:rPr>
        <w:t>.</w:t>
      </w:r>
      <w:r w:rsidRPr="00300A27">
        <w:rPr>
          <w:spacing w:val="-4"/>
          <w:lang w:val="en-US"/>
        </w:rPr>
        <w:t xml:space="preserve"> Advisory Opinion OC-24/17, </w:t>
      </w:r>
      <w:r w:rsidRPr="00300A27">
        <w:rPr>
          <w:i/>
          <w:iCs/>
          <w:spacing w:val="-4"/>
          <w:lang w:val="en-US"/>
        </w:rPr>
        <w:t>supra</w:t>
      </w:r>
      <w:r w:rsidRPr="00300A27">
        <w:rPr>
          <w:spacing w:val="-4"/>
          <w:lang w:val="en-US"/>
        </w:rPr>
        <w:t>, para. 32(g).</w:t>
      </w:r>
    </w:p>
  </w:footnote>
  <w:footnote w:id="122">
    <w:p w14:paraId="59832B01" w14:textId="1DCD74E9"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Atala Riffo and daughters v. Chile. Merits, reparations and costs, supra,</w:t>
      </w:r>
      <w:r w:rsidRPr="00300A27">
        <w:rPr>
          <w:lang w:val="en-US"/>
        </w:rPr>
        <w:t xml:space="preserve"> para. 93, and Advisory Opinion OC-24/17, </w:t>
      </w:r>
      <w:r w:rsidRPr="00300A27">
        <w:rPr>
          <w:i/>
          <w:iCs/>
          <w:lang w:val="en-US"/>
        </w:rPr>
        <w:t>supra</w:t>
      </w:r>
      <w:r w:rsidRPr="00300A27">
        <w:rPr>
          <w:i/>
          <w:iCs/>
          <w:spacing w:val="-4"/>
          <w:lang w:val="en-US"/>
        </w:rPr>
        <w:t>,</w:t>
      </w:r>
      <w:r w:rsidRPr="00300A27">
        <w:rPr>
          <w:spacing w:val="-4"/>
          <w:lang w:val="en-US"/>
        </w:rPr>
        <w:t xml:space="preserve"> para. 78. </w:t>
      </w:r>
    </w:p>
  </w:footnote>
  <w:footnote w:id="123">
    <w:p w14:paraId="1815BB74" w14:textId="2477F898"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Mutatis mutandis, Advisory Opinion OC-18/03, supra, paras. 100 and 101; Case of Servellón García et al. v. Honduras.</w:t>
      </w:r>
      <w:r w:rsidRPr="00300A27">
        <w:rPr>
          <w:lang w:val="en-US"/>
        </w:rPr>
        <w:t xml:space="preserve"> Judgment of September 21, 2006. Series C No. 152, para. 95. and </w:t>
      </w:r>
      <w:r w:rsidRPr="00300A27">
        <w:rPr>
          <w:i/>
          <w:iCs/>
          <w:lang w:val="en-US"/>
        </w:rPr>
        <w:t>Case of Cuscul Pivaral et al. v. Guatemala. Preliminary objection, merits, reparations and costs.</w:t>
      </w:r>
      <w:r w:rsidRPr="00300A27">
        <w:rPr>
          <w:lang w:val="en-US"/>
        </w:rPr>
        <w:t xml:space="preserve"> Judgment of August 23, 2018. Series C No. 359, para. 129..</w:t>
      </w:r>
    </w:p>
  </w:footnote>
  <w:footnote w:id="124">
    <w:p w14:paraId="27AC2987" w14:textId="1A5CAC86"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Advisory Opinion OC-24/17, </w:t>
      </w:r>
      <w:r w:rsidRPr="00300A27">
        <w:rPr>
          <w:i/>
          <w:iCs/>
          <w:lang w:val="en-US"/>
        </w:rPr>
        <w:t>supra</w:t>
      </w:r>
      <w:r w:rsidRPr="00300A27">
        <w:rPr>
          <w:lang w:val="en-US"/>
        </w:rPr>
        <w:t>, para. 36, and United Nations, Report of the United Nations High Commissioner for Human Rights. Discriminatory laws and practices and acts of violence against individuals based on their sexual orientation and gender identity. November 17, 2011, A/HRC/19/41, para. 1.</w:t>
      </w:r>
    </w:p>
  </w:footnote>
  <w:footnote w:id="125">
    <w:p w14:paraId="6537DDEF" w14:textId="1B325CD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Advisory Opinion OC-24/17, </w:t>
      </w:r>
      <w:r w:rsidRPr="00300A27">
        <w:rPr>
          <w:i/>
          <w:iCs/>
          <w:lang w:val="en-US"/>
        </w:rPr>
        <w:t>supra</w:t>
      </w:r>
      <w:r w:rsidRPr="00300A27">
        <w:rPr>
          <w:lang w:val="en-US"/>
        </w:rPr>
        <w:t>, para. 36.</w:t>
      </w:r>
    </w:p>
  </w:footnote>
  <w:footnote w:id="126">
    <w:p w14:paraId="6F46DA7B" w14:textId="751F4291"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United Nations, Report of the United Nations High Commissioner for Human Rights. Discriminatory laws and practices and acts of violence against individuals based on their sexual orientation and gender identity, May 4, 2015, A/HRC/29/23, para. 21. See also, Report of the United Nations High Commissioner for Human Rights. Discriminatory laws and practices and acts of violence against individuals based on their sexual orientation and gender identity, November 17, 2011, A/HRC/19/41, para. 20.</w:t>
      </w:r>
    </w:p>
  </w:footnote>
  <w:footnote w:id="127">
    <w:p w14:paraId="0C389CC5" w14:textId="530E76BE"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Cf.</w:t>
      </w:r>
      <w:r w:rsidRPr="00300A27">
        <w:rPr>
          <w:lang w:val="en-US"/>
        </w:rPr>
        <w:t xml:space="preserve"> Inter-American Commission on Human Rights, </w:t>
      </w:r>
      <w:r w:rsidRPr="00300A27">
        <w:rPr>
          <w:i/>
          <w:iCs/>
          <w:lang w:val="en-US"/>
        </w:rPr>
        <w:t xml:space="preserve">Violence against Lesbian, Gay, Bisexual, Trans and Intersex Persons in the Americas. </w:t>
      </w:r>
      <w:r w:rsidRPr="00300A27">
        <w:rPr>
          <w:lang w:val="en-US"/>
        </w:rPr>
        <w:t>OAS/Ser.L/V/II.rev.2, November 12, 2015, para. 24.</w:t>
      </w:r>
    </w:p>
  </w:footnote>
  <w:footnote w:id="128">
    <w:p w14:paraId="72E2DD3F" w14:textId="60911796"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w:t>
      </w:r>
      <w:r w:rsidRPr="00300A27">
        <w:rPr>
          <w:spacing w:val="-4"/>
          <w:lang w:val="en-US"/>
        </w:rPr>
        <w:t xml:space="preserve">Advisory Opinion OC-24/17, </w:t>
      </w:r>
      <w:r w:rsidRPr="00300A27">
        <w:rPr>
          <w:i/>
          <w:iCs/>
          <w:spacing w:val="-4"/>
          <w:lang w:val="en-US"/>
        </w:rPr>
        <w:t>supra</w:t>
      </w:r>
      <w:r w:rsidRPr="00300A27">
        <w:rPr>
          <w:spacing w:val="-4"/>
          <w:lang w:val="en-US"/>
        </w:rPr>
        <w:t xml:space="preserve">, para. 36, and </w:t>
      </w:r>
      <w:r w:rsidRPr="00300A27">
        <w:rPr>
          <w:lang w:val="en-US"/>
        </w:rPr>
        <w:t>United Nations, Report of the United Nations High Commissioner for Human Rights. Discriminatory laws and practices and acts of violence against individuals based on their sexual orientation and gender identity May 4, 2015, A/HRC/29/23, para. 21.</w:t>
      </w:r>
    </w:p>
  </w:footnote>
  <w:footnote w:id="129">
    <w:p w14:paraId="4472C6A7" w14:textId="7B94D2B8" w:rsidR="00300A27" w:rsidRPr="00300A27" w:rsidRDefault="00300A27" w:rsidP="00F756EF">
      <w:pPr>
        <w:pStyle w:val="Textonotapie"/>
        <w:spacing w:before="0" w:after="80"/>
        <w:rPr>
          <w:b/>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 xml:space="preserve">Statement made by María Mercedes Gómez during the public hearing held in this case. </w:t>
      </w:r>
    </w:p>
  </w:footnote>
  <w:footnote w:id="130">
    <w:p w14:paraId="54D79747" w14:textId="4B49BD58"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United Nations, Report of the United Nations High Commissioner for Human Rights. Discriminatory laws and practices and acts of violence against individuals based on their sexual orientation and gender identity, May 4, 2015, A/HRC/29/23, para. 21. Also, Report of the United Nations High Commissioner for Human Rights. Discriminatory laws and practices and acts of violence against individuals based on their sexual orientation and gender identity, November 17, 2011, A/HRC/19/41, paras. 20 and 21. See, similarly, Organization for Security and Cooperation in Europe (OSCE), </w:t>
      </w:r>
      <w:r w:rsidRPr="00300A27">
        <w:rPr>
          <w:i/>
          <w:lang w:val="en-US"/>
        </w:rPr>
        <w:t>Hate Crimes in the OSCE Region – Incidents and Responses, 2006 Annual Report, OSCE/ODIHR</w:t>
      </w:r>
      <w:r w:rsidRPr="00300A27">
        <w:rPr>
          <w:lang w:val="en-US"/>
        </w:rPr>
        <w:t xml:space="preserve">, Warsaw, 2007, p. 53. </w:t>
      </w:r>
    </w:p>
  </w:footnote>
  <w:footnote w:id="131">
    <w:p w14:paraId="08676610" w14:textId="0F7D9BB3"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rFonts w:eastAsia="Times New Roman"/>
          <w:lang w:val="en-US" w:eastAsia="es-ES"/>
        </w:rPr>
        <w:t xml:space="preserve">Report of the </w:t>
      </w:r>
      <w:r w:rsidRPr="00300A27">
        <w:rPr>
          <w:lang w:val="en-US"/>
        </w:rPr>
        <w:t>United Nations Independent Expert on protection against violence and discrimination based on sexual orientation or gender identity</w:t>
      </w:r>
      <w:r w:rsidRPr="00300A27">
        <w:rPr>
          <w:rFonts w:eastAsia="Times New Roman"/>
          <w:lang w:val="en-US" w:eastAsia="es-ES"/>
        </w:rPr>
        <w:t>, Víctor Madrigal-Borloz, UN Doc. A/HRC/38/43, May 11, 2018, para. 48.</w:t>
      </w:r>
    </w:p>
  </w:footnote>
  <w:footnote w:id="132">
    <w:p w14:paraId="1C3C4A8B" w14:textId="42FD1E2D"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Perozo et al. v. Venezuela, Preliminary objections, merits, reparations and costs</w:t>
      </w:r>
      <w:r w:rsidRPr="00300A27">
        <w:rPr>
          <w:lang w:val="en-US"/>
        </w:rPr>
        <w:t xml:space="preserve">. Judgment of January 28, 2009. Series C No. 195, para. 158, and Advisory Opinion OC-24/17, </w:t>
      </w:r>
      <w:r w:rsidRPr="00300A27">
        <w:rPr>
          <w:i/>
          <w:iCs/>
          <w:lang w:val="en-US"/>
        </w:rPr>
        <w:t>supra,</w:t>
      </w:r>
      <w:r w:rsidRPr="00300A27">
        <w:rPr>
          <w:lang w:val="en-US"/>
        </w:rPr>
        <w:t xml:space="preserve"> para. 79.</w:t>
      </w:r>
    </w:p>
  </w:footnote>
  <w:footnote w:id="133">
    <w:p w14:paraId="3CD566F3" w14:textId="10457806"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In this regard, the Court has stressed that “discriminatory speech and the resulting attitudes based on stereotypes of heteronormativity and cisnormativity with different degrees of radicalization, lead to the homophobia, lesbophobia and transphobia that encourage such hate crimes.” </w:t>
      </w:r>
      <w:r w:rsidRPr="00300A27">
        <w:rPr>
          <w:spacing w:val="-4"/>
          <w:lang w:val="en-US"/>
        </w:rPr>
        <w:t xml:space="preserve">Advisory Opinion OC-24/17, </w:t>
      </w:r>
      <w:r w:rsidRPr="00300A27">
        <w:rPr>
          <w:i/>
          <w:iCs/>
          <w:spacing w:val="-4"/>
          <w:lang w:val="en-US"/>
        </w:rPr>
        <w:t>supra</w:t>
      </w:r>
      <w:r w:rsidRPr="00300A27">
        <w:rPr>
          <w:spacing w:val="-4"/>
          <w:lang w:val="en-US"/>
        </w:rPr>
        <w:t>, para. 47.</w:t>
      </w:r>
    </w:p>
  </w:footnote>
  <w:footnote w:id="134">
    <w:p w14:paraId="38DDBA18" w14:textId="6AC64750" w:rsidR="00300A27" w:rsidRPr="00300A27" w:rsidRDefault="00300A27" w:rsidP="00F756EF">
      <w:pPr>
        <w:pStyle w:val="Textonotapie"/>
        <w:spacing w:before="0" w:after="80"/>
        <w:rPr>
          <w:lang w:val="en-US"/>
        </w:rPr>
      </w:pPr>
      <w:r w:rsidRPr="00300A27">
        <w:rPr>
          <w:rStyle w:val="Refdenotaalpie"/>
          <w:color w:val="000000" w:themeColor="text1"/>
          <w:lang w:val="en-US"/>
        </w:rPr>
        <w:footnoteRef/>
      </w:r>
      <w:r w:rsidRPr="00300A27">
        <w:rPr>
          <w:color w:val="000000" w:themeColor="text1"/>
          <w:lang w:val="en-US"/>
        </w:rPr>
        <w:t xml:space="preserve"> </w:t>
      </w:r>
      <w:r w:rsidRPr="00300A27">
        <w:rPr>
          <w:lang w:val="en-US"/>
        </w:rPr>
        <w:tab/>
      </w:r>
      <w:r w:rsidRPr="00300A27">
        <w:rPr>
          <w:i/>
          <w:iCs/>
          <w:lang w:val="en-US"/>
        </w:rPr>
        <w:t>Cf. Case of Flor Freire v. Ecuador. Preliminary objection, merits, reparations and costs, supra</w:t>
      </w:r>
      <w:r w:rsidRPr="00300A27">
        <w:rPr>
          <w:lang w:val="en-US"/>
        </w:rPr>
        <w:t>, para. 120.</w:t>
      </w:r>
    </w:p>
  </w:footnote>
  <w:footnote w:id="135">
    <w:p w14:paraId="19546B2C" w14:textId="63522F5D"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Article 7 of the Convention.</w:t>
      </w:r>
    </w:p>
  </w:footnote>
  <w:footnote w:id="136">
    <w:p w14:paraId="66D5E17B" w14:textId="3639EB5E"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Juan Humberto Sánchez v. Honduras. Preliminary objection, merits, reparations and costs</w:t>
      </w:r>
      <w:r w:rsidRPr="00300A27">
        <w:rPr>
          <w:lang w:val="en-US"/>
        </w:rPr>
        <w:t xml:space="preserve">. Judgment of June 7, 2003. Series C No. 99, para. 84, and </w:t>
      </w:r>
      <w:r w:rsidRPr="00300A27">
        <w:rPr>
          <w:i/>
          <w:iCs/>
          <w:lang w:val="en-US"/>
        </w:rPr>
        <w:t>Case of Montesinos Mejía v. Ecuador. Preliminary objections, merits, reparations and costs, supra,</w:t>
      </w:r>
      <w:r w:rsidRPr="00300A27">
        <w:rPr>
          <w:lang w:val="en-US"/>
        </w:rPr>
        <w:t xml:space="preserve"> para. 93.</w:t>
      </w:r>
    </w:p>
  </w:footnote>
  <w:footnote w:id="137">
    <w:p w14:paraId="20665E44" w14:textId="0C110E87" w:rsidR="00300A27" w:rsidRPr="00300A27" w:rsidRDefault="00300A27" w:rsidP="00F756EF">
      <w:pPr>
        <w:pStyle w:val="Textonotapie"/>
        <w:tabs>
          <w:tab w:val="left" w:pos="709"/>
        </w:tabs>
        <w:spacing w:before="0" w:after="80"/>
        <w:rPr>
          <w:iCs/>
          <w:lang w:val="en-US"/>
        </w:rPr>
      </w:pPr>
      <w:r w:rsidRPr="00300A27">
        <w:rPr>
          <w:iCs/>
          <w:vertAlign w:val="superscript"/>
          <w:lang w:val="en-US"/>
        </w:rPr>
        <w:footnoteRef/>
      </w:r>
      <w:r w:rsidRPr="00300A27">
        <w:rPr>
          <w:i/>
          <w:iCs/>
          <w:lang w:val="en-US"/>
        </w:rPr>
        <w:t xml:space="preserve"> </w:t>
      </w:r>
      <w:r w:rsidRPr="00300A27">
        <w:rPr>
          <w:i/>
          <w:iCs/>
          <w:lang w:val="en-US"/>
        </w:rPr>
        <w:tab/>
        <w:t xml:space="preserve">Cf. Case of Chaparro Álvarez and Lapo Íñiguez v. Ecuador. Preliminary objections, merits, reparations and costs. </w:t>
      </w:r>
      <w:r w:rsidRPr="00300A27">
        <w:rPr>
          <w:lang w:val="en-US"/>
        </w:rPr>
        <w:t xml:space="preserve">Judgment of November 21, 2007. Series C No. 170, para. 54, and </w:t>
      </w:r>
      <w:r w:rsidRPr="00300A27">
        <w:rPr>
          <w:i/>
          <w:iCs/>
          <w:lang w:val="en-US"/>
        </w:rPr>
        <w:t>Case of Montesinos Mejía v. Ecuador. Preliminary objections, merits, reparations and costs, supra</w:t>
      </w:r>
      <w:r w:rsidRPr="00300A27">
        <w:rPr>
          <w:lang w:val="en-US"/>
        </w:rPr>
        <w:t>, para. 93.</w:t>
      </w:r>
    </w:p>
  </w:footnote>
  <w:footnote w:id="138">
    <w:p w14:paraId="5B9A2B90" w14:textId="47DB23EC"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Police report of February 25, 2008 (evidence file, folio 2752).</w:t>
      </w:r>
    </w:p>
  </w:footnote>
  <w:footnote w:id="139">
    <w:p w14:paraId="448628E0" w14:textId="593B2578"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Police report of February 25, 2008 (evidence file, folio 2752), and Personal Search Record of February 25, 2008 (evidence file, folio 9). The record specifically establishes that the police did not find “drugs, firearms, jewelry and similar objects, cash and/or mobile telephone.”</w:t>
      </w:r>
    </w:p>
  </w:footnote>
  <w:footnote w:id="140">
    <w:p w14:paraId="3AD8CFAC" w14:textId="31AA6C38"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Statement made by LQC at the Casa Grande Police Station on March 4, 2008 (evidence file, folio 2759).</w:t>
      </w:r>
    </w:p>
  </w:footnote>
  <w:footnote w:id="141">
    <w:p w14:paraId="2AA3D101" w14:textId="5EE6C570"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i/>
          <w:lang w:val="en-US"/>
        </w:rPr>
        <w:t xml:space="preserve"> </w:t>
      </w:r>
      <w:r w:rsidRPr="00300A27">
        <w:rPr>
          <w:lang w:val="en-US"/>
        </w:rPr>
        <w:t>Statement made by FFR at the Casa Grande Police Station on March 18, 2008 (evidence file, folio 2755); Statement made by HMN at the Casa Grande Police Station on March 18, 2008 (evidence file, folios 928 and 929), and Statement made by VRV at the Casa Grande Police Station on March 18, 2008 (evidence file, folio 943).</w:t>
      </w:r>
    </w:p>
  </w:footnote>
  <w:footnote w:id="142">
    <w:p w14:paraId="04769FBF" w14:textId="3C264BFC"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Cf.</w:t>
      </w:r>
      <w:r w:rsidRPr="00300A27">
        <w:rPr>
          <w:lang w:val="en-US"/>
        </w:rPr>
        <w:t xml:space="preserve"> Statement made by FFR at the Casa Grande Police Station on March 18, 2008 (evidence file, folio 2755); Statement made by HMN at the Casa Grande Police Station on March 18, 2008 (evidence file, folio 929), and Statement made by VRV at the Casa Grande Police Station on March 18, 2008 (evidence file, folio 943).</w:t>
      </w:r>
    </w:p>
  </w:footnote>
  <w:footnote w:id="143">
    <w:p w14:paraId="6B442966" w14:textId="49F584D5"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Statement made by SAR ante the Pacasmayo Provincial Inspectorate on April 30, 2008 (evidence file, folio 2774); Statement made by DPP at the Casa Grande Police Station on March 7, 2008 (evidence file, folio 2768), and Statement by JLM at the Casa Grande Police Station on March 4, 2008 (evidence file, folio 2776).</w:t>
      </w:r>
    </w:p>
  </w:footnote>
  <w:footnote w:id="144">
    <w:p w14:paraId="3D111FFA" w14:textId="0A8C056C"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w:t>
      </w:r>
      <w:r w:rsidRPr="00300A27">
        <w:rPr>
          <w:color w:val="000000"/>
          <w:lang w:val="en-US"/>
        </w:rPr>
        <w:t>Expansion of the statement made by Azul Rojas Marín at the Casa Grande</w:t>
      </w:r>
      <w:r w:rsidRPr="00300A27">
        <w:rPr>
          <w:lang w:val="en-US"/>
        </w:rPr>
        <w:t xml:space="preserve"> Police Station</w:t>
      </w:r>
      <w:r w:rsidRPr="00300A27">
        <w:rPr>
          <w:color w:val="000000"/>
          <w:lang w:val="en-US"/>
        </w:rPr>
        <w:t xml:space="preserve"> on March 6, 2008 (evidence file, folio 2816).</w:t>
      </w:r>
    </w:p>
  </w:footnote>
  <w:footnote w:id="145">
    <w:p w14:paraId="33905EA1" w14:textId="720C4DA3"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Verbal complaint made by Azul Rojas Marín at the Casa Grande Police Station on February 27, 2008 (evidence file, folio 2793); Statement made by Azul Rojas Marín at the Casa Grande Police Station on February 28, 2008 (evidence file, folio 2808), and Statement made by Azul Rojas Marín at the public hearing on merits before the Inter-American Commission on December 1, 2016.</w:t>
      </w:r>
    </w:p>
  </w:footnote>
  <w:footnote w:id="146">
    <w:p w14:paraId="35B643E0" w14:textId="23C43CE8"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w:t>
      </w:r>
      <w:r w:rsidRPr="00300A27">
        <w:rPr>
          <w:rFonts w:eastAsia="Calibri" w:cs="Calibri"/>
          <w:lang w:val="en-US"/>
        </w:rPr>
        <w:t>Verbal complaint made by Azul Rojas Marín at the Casa Grande</w:t>
      </w:r>
      <w:r w:rsidRPr="00300A27">
        <w:rPr>
          <w:lang w:val="en-US"/>
        </w:rPr>
        <w:t xml:space="preserve"> Police Station </w:t>
      </w:r>
      <w:r w:rsidRPr="00300A27">
        <w:rPr>
          <w:rFonts w:eastAsia="Calibri" w:cs="Calibri"/>
          <w:lang w:val="en-US"/>
        </w:rPr>
        <w:t xml:space="preserve">on February 27, 2008 (evidence file, folio 2793); </w:t>
      </w:r>
      <w:r w:rsidRPr="00300A27">
        <w:rPr>
          <w:lang w:val="en-US"/>
        </w:rPr>
        <w:t>Statement made by Azul Rojas Marín at the Casa Grande Police Station on February 28, 2008 (evidence file, folios 2808 and 2809), and Expansion of the statement made by Azul Rojas Marín at the Casa Grande Police Station on March 6, 2008 (evidence file, folio 2815).</w:t>
      </w:r>
    </w:p>
  </w:footnote>
  <w:footnote w:id="147">
    <w:p w14:paraId="6C29B22A" w14:textId="548FAA1B"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In this regard, the Court notes that, in her first statement, the presumed victim indicated that when she asked why she was being detained, they answered “Get into the van, </w:t>
      </w:r>
      <w:r w:rsidRPr="00300A27">
        <w:rPr>
          <w:i/>
          <w:iCs/>
          <w:lang w:val="en-US"/>
        </w:rPr>
        <w:t>cabro concha de tu madre.</w:t>
      </w:r>
      <w:r w:rsidRPr="00300A27">
        <w:rPr>
          <w:lang w:val="en-US"/>
        </w:rPr>
        <w:t xml:space="preserve">” The written report on the psychological assessment indicated that they answered: “the police have orders to detain you.” </w:t>
      </w:r>
      <w:r w:rsidRPr="00300A27">
        <w:rPr>
          <w:i/>
          <w:lang w:val="en-US"/>
        </w:rPr>
        <w:t xml:space="preserve">Cf. </w:t>
      </w:r>
      <w:r w:rsidRPr="00300A27">
        <w:rPr>
          <w:lang w:val="en-US"/>
        </w:rPr>
        <w:t>Statement of the facts by Azul Rojas Marín at the Casa Grande Police Station on February 28, 2008 (evidence file, folio 2809), and Report on the psychological assessment of Azul Rojas Marín on September 5, 6 and 7, 2008 (evidence file, folio 2396).</w:t>
      </w:r>
    </w:p>
  </w:footnote>
  <w:footnote w:id="148">
    <w:p w14:paraId="505093DC" w14:textId="60416417"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Statement made by Azul Rojas Marín at the Casa Grande Police Station on February 28, 2008 (evidence file, folio 2813); Verbal complaint made by Azul Rojas Marín at the Casa Grande Police Station </w:t>
      </w:r>
      <w:r w:rsidRPr="00300A27">
        <w:rPr>
          <w:rFonts w:eastAsia="Calibri" w:cs="Calibri"/>
          <w:lang w:val="en-US"/>
        </w:rPr>
        <w:t xml:space="preserve">on February 27, </w:t>
      </w:r>
      <w:r w:rsidRPr="00300A27">
        <w:rPr>
          <w:lang w:val="en-US"/>
        </w:rPr>
        <w:t>2008 (evidence file, folio 2793); Expansion of the statement made by Azul Rojas Marín at the Casa Grande Police Station on March 6, 2008 (evidence file, folio 2816), and Statement made by Azul Rojas Marín at the public hearing on merits before the Inter-American Commission on December 1, 2016 (evidence file, folder of audiovisual material, minutes 06:48 to 06:50).</w:t>
      </w:r>
    </w:p>
  </w:footnote>
  <w:footnote w:id="149">
    <w:p w14:paraId="44DCC633" w14:textId="12D3EE90" w:rsidR="00300A27" w:rsidRPr="00300A27" w:rsidRDefault="00300A27" w:rsidP="00F756EF">
      <w:pPr>
        <w:pStyle w:val="Textonotapie"/>
        <w:tabs>
          <w:tab w:val="left" w:pos="709"/>
        </w:tabs>
        <w:spacing w:before="0" w:after="80"/>
        <w:rPr>
          <w:i/>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Torres Millacura et al. v. Argentina. Merits, reparations and costs</w:t>
      </w:r>
      <w:r w:rsidRPr="00300A27">
        <w:rPr>
          <w:lang w:val="en-US"/>
        </w:rPr>
        <w:t xml:space="preserve">. Judgment of August 26, 2011. Series C No. 229, para. 76, and </w:t>
      </w:r>
      <w:r w:rsidRPr="00300A27">
        <w:rPr>
          <w:i/>
          <w:iCs/>
          <w:lang w:val="en-US"/>
        </w:rPr>
        <w:t>Case of Rodríguez Vera et al. (Disappeared from the Palace of Justice) v. Colombia. Preliminary objections, merits, reparations and costs</w:t>
      </w:r>
      <w:r w:rsidRPr="00300A27">
        <w:rPr>
          <w:lang w:val="en-US"/>
        </w:rPr>
        <w:t>. Judgment of November 14, 2014. Series C No. 287, para. 404.</w:t>
      </w:r>
    </w:p>
  </w:footnote>
  <w:footnote w:id="150">
    <w:p w14:paraId="7F0037B6" w14:textId="74577651" w:rsidR="00300A27" w:rsidRPr="00300A27" w:rsidRDefault="00300A27" w:rsidP="007A6647">
      <w:pPr>
        <w:pStyle w:val="Textonotapie"/>
        <w:tabs>
          <w:tab w:val="left" w:pos="709"/>
        </w:tabs>
        <w:spacing w:before="0" w:after="80"/>
        <w:rPr>
          <w:rFonts w:eastAsia="Calibri"/>
          <w:i/>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 xml:space="preserve">Cf. Case of Gangaram Panday v. Suriname. Merits, reparations and costs. </w:t>
      </w:r>
      <w:r w:rsidRPr="00300A27">
        <w:rPr>
          <w:lang w:val="en-US"/>
        </w:rPr>
        <w:t xml:space="preserve">Judgment of January 21, 1994. </w:t>
      </w:r>
      <w:r w:rsidRPr="00AD6356">
        <w:rPr>
          <w:lang w:val="en-US"/>
        </w:rPr>
        <w:t xml:space="preserve">Series C No. 16, para. 47, and </w:t>
      </w:r>
      <w:r w:rsidRPr="00AD6356">
        <w:rPr>
          <w:i/>
          <w:iCs/>
          <w:lang w:val="en-US"/>
        </w:rPr>
        <w:t xml:space="preserve">Case of Montesinos Mejía v. Ecuador. </w:t>
      </w:r>
      <w:r w:rsidRPr="00300A27">
        <w:rPr>
          <w:i/>
          <w:iCs/>
          <w:lang w:val="en-US"/>
        </w:rPr>
        <w:t xml:space="preserve">Preliminary objections, merits, reparations and costs, supra, </w:t>
      </w:r>
      <w:r w:rsidRPr="00300A27">
        <w:rPr>
          <w:lang w:val="en-US"/>
        </w:rPr>
        <w:t>para. 94.</w:t>
      </w:r>
    </w:p>
  </w:footnote>
  <w:footnote w:id="151">
    <w:p w14:paraId="115A1A7B" w14:textId="77777777" w:rsidR="00300A27" w:rsidRPr="00300A27" w:rsidRDefault="00300A27" w:rsidP="00093B35">
      <w:pPr>
        <w:pStyle w:val="Textonotapie"/>
        <w:spacing w:before="0" w:after="80"/>
        <w:rPr>
          <w:color w:val="FF0000"/>
          <w:lang w:val="en-US"/>
        </w:rPr>
      </w:pPr>
      <w:r w:rsidRPr="00300A27">
        <w:rPr>
          <w:rStyle w:val="Refdenotaalpie"/>
          <w:lang w:val="en-US"/>
        </w:rPr>
        <w:footnoteRef/>
      </w:r>
      <w:r w:rsidRPr="00300A27">
        <w:rPr>
          <w:lang w:val="en-US"/>
        </w:rPr>
        <w:t xml:space="preserve"> </w:t>
      </w:r>
      <w:r w:rsidRPr="00300A27">
        <w:rPr>
          <w:lang w:val="en-US"/>
        </w:rPr>
        <w:tab/>
        <w:t>Article 62(3) of the Convention.</w:t>
      </w:r>
    </w:p>
  </w:footnote>
  <w:footnote w:id="152">
    <w:p w14:paraId="77ECF0AE" w14:textId="7909E39F" w:rsidR="00300A27" w:rsidRPr="00300A27" w:rsidRDefault="00300A27" w:rsidP="00F756EF">
      <w:pPr>
        <w:tabs>
          <w:tab w:val="left" w:pos="567"/>
          <w:tab w:val="left" w:pos="709"/>
        </w:tabs>
        <w:spacing w:after="80"/>
        <w:jc w:val="both"/>
        <w:rPr>
          <w:rFonts w:eastAsia="Times New Roman"/>
          <w:sz w:val="16"/>
          <w:szCs w:val="16"/>
          <w:lang w:eastAsia="es-ES"/>
        </w:rPr>
      </w:pPr>
      <w:r w:rsidRPr="00300A27">
        <w:rPr>
          <w:rStyle w:val="Refdenotaalpie"/>
          <w:sz w:val="16"/>
          <w:szCs w:val="16"/>
        </w:rPr>
        <w:footnoteRef/>
      </w:r>
      <w:r w:rsidRPr="00300A27">
        <w:rPr>
          <w:sz w:val="16"/>
          <w:szCs w:val="16"/>
        </w:rPr>
        <w:t xml:space="preserve"> </w:t>
      </w:r>
      <w:r w:rsidRPr="00300A27">
        <w:rPr>
          <w:sz w:val="16"/>
          <w:szCs w:val="16"/>
        </w:rPr>
        <w:tab/>
      </w:r>
      <w:r w:rsidRPr="00300A27">
        <w:rPr>
          <w:i/>
          <w:iCs/>
          <w:sz w:val="16"/>
          <w:szCs w:val="16"/>
        </w:rPr>
        <w:t>Cf. Case of Chaparro Álvarez and Lapo Íñiguez v. Ecuador. Preliminary objections, merits, reparations and costs, supra,</w:t>
      </w:r>
      <w:r w:rsidRPr="00300A27">
        <w:rPr>
          <w:sz w:val="16"/>
          <w:szCs w:val="16"/>
        </w:rPr>
        <w:t xml:space="preserve"> para. 57, and </w:t>
      </w:r>
      <w:r w:rsidRPr="00300A27">
        <w:rPr>
          <w:i/>
          <w:iCs/>
          <w:sz w:val="16"/>
          <w:szCs w:val="16"/>
        </w:rPr>
        <w:t>Case of Montesinos Mejía v. Ecuador. Preliminary objections, merits, reparations and costs, supra,</w:t>
      </w:r>
      <w:r w:rsidRPr="00300A27">
        <w:rPr>
          <w:sz w:val="16"/>
          <w:szCs w:val="16"/>
        </w:rPr>
        <w:t xml:space="preserve"> para. 94.</w:t>
      </w:r>
    </w:p>
  </w:footnote>
  <w:footnote w:id="153">
    <w:p w14:paraId="3E354C91" w14:textId="40956028"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Constitution of the Republic of Peru, promulgated on December 29, 1993, articles 2.24(b) and 2.24(f) (evidence file, folio 5256).</w:t>
      </w:r>
    </w:p>
  </w:footnote>
  <w:footnote w:id="154">
    <w:p w14:paraId="453877B2" w14:textId="1A62934B"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Code of Criminal Procedure of the Republic of Peru. Legislative Decree No, 957, promulgated on July 22, 2004, article 205 (evidence file, folios 5538 and 5539). </w:t>
      </w:r>
    </w:p>
  </w:footnote>
  <w:footnote w:id="155">
    <w:p w14:paraId="5911D3D5" w14:textId="59DDF96C" w:rsidR="00300A27" w:rsidRPr="00300A27" w:rsidRDefault="00300A27" w:rsidP="00F756EF">
      <w:pPr>
        <w:pStyle w:val="Textonotapie"/>
        <w:spacing w:before="0" w:after="80"/>
        <w:rPr>
          <w:b/>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 xml:space="preserve">Cf. </w:t>
      </w:r>
      <w:r w:rsidRPr="00300A27">
        <w:rPr>
          <w:lang w:val="en-US"/>
        </w:rPr>
        <w:t xml:space="preserve">Statement of witness Víctor Álvarez at the public hearing on August 27, 2019. </w:t>
      </w:r>
    </w:p>
  </w:footnote>
  <w:footnote w:id="156">
    <w:p w14:paraId="5C5C4E43" w14:textId="2BE12789"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Police report of February 25, 2008 (evidence file, folio 2752).</w:t>
      </w:r>
    </w:p>
  </w:footnote>
  <w:footnote w:id="157">
    <w:p w14:paraId="5C335454" w14:textId="7630436E"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t>Affidavit of Luis Alberto Naldos Blanco of August 9, 2019 (evidence file, folio 3473).</w:t>
      </w:r>
    </w:p>
  </w:footnote>
  <w:footnote w:id="158">
    <w:p w14:paraId="4394A544" w14:textId="6B65988E"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Police report of February 25, 2008 (evidence file, folio 2752), and Record of personal search dated February 25, (evidence file, folio 9). The record specifically establishes that the police did not find “drugs, firearms, jewelry and similar objects, cash and/or mobile telephone.”</w:t>
      </w:r>
    </w:p>
  </w:footnote>
  <w:footnote w:id="159">
    <w:p w14:paraId="0E40B8F3" w14:textId="379FE1E4" w:rsidR="00300A27" w:rsidRPr="00300A27" w:rsidRDefault="00300A27" w:rsidP="00F756EF">
      <w:pPr>
        <w:pStyle w:val="Textonotapie"/>
        <w:tabs>
          <w:tab w:val="left" w:pos="709"/>
        </w:tabs>
        <w:spacing w:before="0" w:after="80"/>
        <w:rPr>
          <w:i/>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Verbal complaint made by Azul Rojas Marín at the Casa Grande Police Station on February 27, 2008 (evidence file, folio 2793), and Statement made by LQC before the Second Provincial Corporate Criminal Prosecution Service of Ascope on March 4, 2008 (evidence file, folio 2759). The </w:t>
      </w:r>
      <w:r w:rsidRPr="00300A27">
        <w:rPr>
          <w:i/>
          <w:iCs/>
          <w:lang w:val="en-US"/>
        </w:rPr>
        <w:t>serenazgo</w:t>
      </w:r>
      <w:r w:rsidRPr="00300A27">
        <w:rPr>
          <w:lang w:val="en-US"/>
        </w:rPr>
        <w:t xml:space="preserve"> agent FFR declared that “I met [her] in December 2004, at the home of a friend […], who played volleyball and with whom I have a distant friendship; I feel no animosity towards him and I am not related to him in any way.” Statement made by FFR before the Second Provincial Corporate Criminal Prosecution Service of Ascope of March 18, 2008 (evidence file, folio 2754). </w:t>
      </w:r>
    </w:p>
  </w:footnote>
  <w:footnote w:id="160">
    <w:p w14:paraId="1A76A9BE" w14:textId="2D1A4183"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Verbal complaint made by Azul Rojas Marín at the Casa Grande Police Station on February 27, 2008 (evidence file, folio 2793).</w:t>
      </w:r>
    </w:p>
  </w:footnote>
  <w:footnote w:id="161">
    <w:p w14:paraId="555AAA39" w14:textId="78B075FB"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w:t>
      </w:r>
      <w:r w:rsidRPr="00300A27">
        <w:rPr>
          <w:rFonts w:eastAsia="Calibri" w:cs="Calibri"/>
          <w:lang w:val="en-US"/>
        </w:rPr>
        <w:t xml:space="preserve">Verbal complaint made by Azul Rojas Marín </w:t>
      </w:r>
      <w:r w:rsidRPr="00300A27">
        <w:rPr>
          <w:lang w:val="en-US"/>
        </w:rPr>
        <w:t xml:space="preserve">at the Casa Grande Police Station </w:t>
      </w:r>
      <w:r w:rsidRPr="00300A27">
        <w:rPr>
          <w:rFonts w:eastAsia="Calibri" w:cs="Calibri"/>
          <w:lang w:val="en-US"/>
        </w:rPr>
        <w:t xml:space="preserve">on February 27, 2008 (evidence file, folio 2793); </w:t>
      </w:r>
      <w:r w:rsidRPr="00300A27">
        <w:rPr>
          <w:lang w:val="en-US"/>
        </w:rPr>
        <w:t>Statement made by Azul Rojas at the Casa Grande Police Station on February 28, 2008 (evidence file, folio 2808), and Expansion of the statement made by Azul Rojas Marín at the Casa Grande Police Station on March 6, 2008 (evidence file, folio 2815).</w:t>
      </w:r>
    </w:p>
  </w:footnote>
  <w:footnote w:id="162">
    <w:p w14:paraId="1241427F" w14:textId="3B93D72B"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rFonts w:eastAsia="Calibri" w:cs="Calibri"/>
          <w:lang w:val="en-US"/>
        </w:rPr>
        <w:t xml:space="preserve">Verbal complaint made by Azul Rojas Marín </w:t>
      </w:r>
      <w:r w:rsidRPr="00300A27">
        <w:rPr>
          <w:lang w:val="en-US"/>
        </w:rPr>
        <w:t xml:space="preserve">at the Casa Grande Police Station </w:t>
      </w:r>
      <w:r w:rsidRPr="00300A27">
        <w:rPr>
          <w:rFonts w:eastAsia="Calibri" w:cs="Calibri"/>
          <w:lang w:val="en-US"/>
        </w:rPr>
        <w:t>on February 27, 2008 (evidence file, folio 2793).</w:t>
      </w:r>
    </w:p>
  </w:footnote>
  <w:footnote w:id="163">
    <w:p w14:paraId="1A0E26A3" w14:textId="1BA0A261"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The word “</w:t>
      </w:r>
      <w:r w:rsidRPr="00300A27">
        <w:rPr>
          <w:i/>
          <w:iCs/>
          <w:lang w:val="en-US"/>
        </w:rPr>
        <w:t>cabro</w:t>
      </w:r>
      <w:r w:rsidRPr="00300A27">
        <w:rPr>
          <w:lang w:val="en-US"/>
        </w:rPr>
        <w:t>” “is generally understood as a pejorative term to refer to homosexuals.” Thus, it is said, “in Peru, homosexual men are called “</w:t>
      </w:r>
      <w:r w:rsidRPr="00300A27">
        <w:rPr>
          <w:i/>
          <w:iCs/>
          <w:lang w:val="en-US"/>
        </w:rPr>
        <w:t>cabros.</w:t>
      </w:r>
      <w:r w:rsidRPr="00300A27">
        <w:rPr>
          <w:lang w:val="en-US"/>
        </w:rPr>
        <w:t>” It is also used as a variant of “</w:t>
      </w:r>
      <w:r w:rsidRPr="00300A27">
        <w:rPr>
          <w:i/>
          <w:iCs/>
          <w:lang w:val="en-US"/>
        </w:rPr>
        <w:t>marica</w:t>
      </w:r>
      <w:r w:rsidRPr="00300A27">
        <w:rPr>
          <w:lang w:val="en-US"/>
        </w:rPr>
        <w:t>” or “</w:t>
      </w:r>
      <w:r w:rsidRPr="00300A27">
        <w:rPr>
          <w:i/>
          <w:iCs/>
          <w:lang w:val="en-US"/>
        </w:rPr>
        <w:t>maricón</w:t>
      </w:r>
      <w:r w:rsidRPr="00300A27">
        <w:rPr>
          <w:lang w:val="en-US"/>
        </w:rPr>
        <w:t>.” Ultimately, “</w:t>
      </w:r>
      <w:r w:rsidRPr="00300A27">
        <w:rPr>
          <w:i/>
          <w:iCs/>
          <w:lang w:val="en-US"/>
        </w:rPr>
        <w:t>cabro</w:t>
      </w:r>
      <w:r w:rsidRPr="00300A27">
        <w:rPr>
          <w:lang w:val="en-US"/>
        </w:rPr>
        <w:t xml:space="preserve">” is a little stronger than the latter. </w:t>
      </w:r>
      <w:r w:rsidRPr="00300A27">
        <w:rPr>
          <w:rFonts w:eastAsia="ArialMT" w:cs="ArialMT"/>
          <w:i/>
          <w:lang w:val="en-US"/>
        </w:rPr>
        <w:t xml:space="preserve">Cf. </w:t>
      </w:r>
      <w:r w:rsidRPr="00300A27">
        <w:rPr>
          <w:rFonts w:eastAsia="ArialMT" w:cs="ArialMT"/>
          <w:lang w:val="en-US"/>
        </w:rPr>
        <w:t xml:space="preserve">Amicus curiae presented by the </w:t>
      </w:r>
      <w:r w:rsidRPr="00300A27">
        <w:rPr>
          <w:szCs w:val="20"/>
          <w:lang w:val="en-US"/>
        </w:rPr>
        <w:t>Coalition of Lesbian, Gay, Bisexual, Travesti, Transgender, Transsexual and Intersex Organizations of the Americas before the</w:t>
      </w:r>
      <w:r w:rsidRPr="00300A27">
        <w:rPr>
          <w:rFonts w:eastAsia="ArialMT" w:cs="ArialMT"/>
          <w:lang w:val="en-US"/>
        </w:rPr>
        <w:t xml:space="preserve"> OAS (merits file, folio 820) [Note: “</w:t>
      </w:r>
      <w:r w:rsidRPr="00300A27">
        <w:rPr>
          <w:rFonts w:eastAsia="ArialMT" w:cs="ArialMT"/>
          <w:i/>
          <w:iCs/>
          <w:lang w:val="en-US"/>
        </w:rPr>
        <w:t>concha de tu madre</w:t>
      </w:r>
      <w:r w:rsidRPr="00300A27">
        <w:rPr>
          <w:rFonts w:eastAsia="ArialMT" w:cs="ArialMT"/>
          <w:lang w:val="en-US"/>
        </w:rPr>
        <w:t>” can be understood as “motherfucker.”]</w:t>
      </w:r>
    </w:p>
  </w:footnote>
  <w:footnote w:id="164">
    <w:p w14:paraId="6CA0CA4A" w14:textId="2A811EA4"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t>Report of the Working Group on Arbitrary Detention. A/HRC/36/37 of July 19, 2017, para. 48.</w:t>
      </w:r>
    </w:p>
  </w:footnote>
  <w:footnote w:id="165">
    <w:p w14:paraId="0DFDF78B" w14:textId="4DD01052" w:rsidR="00300A27" w:rsidRPr="00300A27" w:rsidRDefault="00300A27" w:rsidP="00F756EF">
      <w:pPr>
        <w:pStyle w:val="Textonotapie"/>
        <w:spacing w:before="0" w:after="80"/>
        <w:rPr>
          <w:b/>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 xml:space="preserve">Statement made by María Mercedes Gómez during the public hearing held in this case. </w:t>
      </w:r>
    </w:p>
  </w:footnote>
  <w:footnote w:id="166">
    <w:p w14:paraId="1822AA19" w14:textId="3FC69600" w:rsidR="00300A27" w:rsidRPr="00300A27" w:rsidRDefault="00300A27" w:rsidP="00260A35">
      <w:pPr>
        <w:pStyle w:val="Textonotapie"/>
        <w:tabs>
          <w:tab w:val="left" w:pos="90"/>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Expelled Dominicans and Haitians v. Dominican Republic. Preliminary objections, merits, reparations and costs</w:t>
      </w:r>
      <w:r w:rsidRPr="00300A27">
        <w:rPr>
          <w:lang w:val="en-US"/>
        </w:rPr>
        <w:t>. Judgment of August 28, 2014. Series C No. 282, para. 368. See also</w:t>
      </w:r>
      <w:r w:rsidRPr="00300A27">
        <w:rPr>
          <w:i/>
          <w:iCs/>
          <w:lang w:val="en-US"/>
        </w:rPr>
        <w:t>,</w:t>
      </w:r>
      <w:r w:rsidRPr="00300A27">
        <w:rPr>
          <w:lang w:val="en-US"/>
        </w:rPr>
        <w:t xml:space="preserve"> Report of the Working Group on Arbitrary Detention. A/HRC/22/44 of December 24, 2012, para. 38.</w:t>
      </w:r>
    </w:p>
  </w:footnote>
  <w:footnote w:id="167">
    <w:p w14:paraId="464F3D72" w14:textId="3C23162A"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Cabrera García and Montiel Flores v. Mexico. Preliminary objection, merits, reparations and costs.</w:t>
      </w:r>
      <w:r w:rsidRPr="00300A27">
        <w:rPr>
          <w:lang w:val="en-US"/>
        </w:rPr>
        <w:t xml:space="preserve"> Judgment of November 26, 2010. Series C No. 220, para. 106, and </w:t>
      </w:r>
      <w:r w:rsidRPr="00300A27">
        <w:rPr>
          <w:i/>
          <w:iCs/>
          <w:lang w:val="en-US"/>
        </w:rPr>
        <w:t>Case of Women Victims of Sexual Torture in Atenco v. Mexico, Preliminary objection, merits, reparations and costs.</w:t>
      </w:r>
      <w:r w:rsidRPr="00300A27">
        <w:rPr>
          <w:lang w:val="en-US"/>
        </w:rPr>
        <w:t xml:space="preserve"> Judgment of November 28, 2018. Series C No. 371, para. 246.</w:t>
      </w:r>
    </w:p>
  </w:footnote>
  <w:footnote w:id="168">
    <w:p w14:paraId="68F51FD2" w14:textId="19B62E33"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 xml:space="preserve">Cf. Case of Juan Humberto Sánchez v. Honduras. Preliminary objection, merits, reparations and costs, supra, </w:t>
      </w:r>
      <w:r w:rsidRPr="00300A27">
        <w:rPr>
          <w:lang w:val="en-US"/>
        </w:rPr>
        <w:t xml:space="preserve">para. 82, and </w:t>
      </w:r>
      <w:r w:rsidRPr="00300A27">
        <w:rPr>
          <w:i/>
          <w:iCs/>
          <w:lang w:val="en-US"/>
        </w:rPr>
        <w:t>Case of Montesinos Mejía v. Ecuador. Preliminary objections, merits, reparations and costs, supra,</w:t>
      </w:r>
      <w:r w:rsidRPr="00300A27">
        <w:rPr>
          <w:lang w:val="en-US"/>
        </w:rPr>
        <w:t xml:space="preserve"> para. 96.  </w:t>
      </w:r>
    </w:p>
  </w:footnote>
  <w:footnote w:id="169">
    <w:p w14:paraId="1ED29A3A" w14:textId="44B2383F" w:rsidR="00300A27" w:rsidRPr="00300A27" w:rsidRDefault="00300A27" w:rsidP="00F756EF">
      <w:pPr>
        <w:pStyle w:val="Textonotapie"/>
        <w:tabs>
          <w:tab w:val="left" w:pos="709"/>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Chaparro Álvarez and Lapo Íñiguez v. Ecuador. Preliminary objections, merits, reparations and costs, supra</w:t>
      </w:r>
      <w:r w:rsidRPr="00300A27">
        <w:rPr>
          <w:lang w:val="en-US"/>
        </w:rPr>
        <w:t xml:space="preserve">, para. 71, and </w:t>
      </w:r>
      <w:r w:rsidRPr="00300A27">
        <w:rPr>
          <w:i/>
          <w:iCs/>
          <w:lang w:val="en-US"/>
        </w:rPr>
        <w:t>Case of Women Victims of Sexual Torture in Atenco v. Mexico. Preliminary objection, merits, reparations and costs, supra</w:t>
      </w:r>
      <w:r w:rsidRPr="00300A27">
        <w:rPr>
          <w:lang w:val="en-US"/>
        </w:rPr>
        <w:t>, para. 246.</w:t>
      </w:r>
    </w:p>
  </w:footnote>
  <w:footnote w:id="170">
    <w:p w14:paraId="1F96B33A" w14:textId="5E11DFA2" w:rsidR="00300A27" w:rsidRPr="00300A27" w:rsidRDefault="00300A27" w:rsidP="00F756EF">
      <w:pPr>
        <w:pStyle w:val="Textonotapie"/>
        <w:spacing w:before="0" w:after="80"/>
        <w:rPr>
          <w:i/>
          <w:iCs/>
          <w:lang w:val="en-US"/>
        </w:rPr>
      </w:pPr>
      <w:r w:rsidRPr="00300A27">
        <w:rPr>
          <w:rStyle w:val="Refdenotaalpie"/>
          <w:lang w:val="en-US"/>
        </w:rPr>
        <w:footnoteRef/>
      </w:r>
      <w:r w:rsidRPr="00300A27">
        <w:rPr>
          <w:lang w:val="en-US"/>
        </w:rPr>
        <w:t xml:space="preserve"> </w:t>
      </w:r>
      <w:r w:rsidRPr="00300A27">
        <w:rPr>
          <w:lang w:val="en-US"/>
        </w:rPr>
        <w:tab/>
        <w:t xml:space="preserve">In this regard, the Court recalls that “[t]he contentious jurisdiction of the Court is not intended to review domestic laws in the abstract, but is exercised to decide concrete cases in which it is alleged that an act [or omission] of the State, executed against certain persons, is contrary to the Convention.” </w:t>
      </w:r>
      <w:r w:rsidRPr="00300A27">
        <w:rPr>
          <w:i/>
          <w:iCs/>
          <w:lang w:val="en-US"/>
        </w:rPr>
        <w:t xml:space="preserve">Cf. International Responsibility for the Promulgation and Enforcement of Laws in Violation of the Convention (Arts. 1 and 2 American Convention on Human Rights). </w:t>
      </w:r>
      <w:r w:rsidRPr="00300A27">
        <w:rPr>
          <w:lang w:val="en-US"/>
        </w:rPr>
        <w:t xml:space="preserve">Advisory Opinion OC-14/94 of December 9, 1994. Series A No. 14, para. 48, and </w:t>
      </w:r>
      <w:r w:rsidRPr="00300A27">
        <w:rPr>
          <w:i/>
          <w:iCs/>
          <w:lang w:val="en-US"/>
        </w:rPr>
        <w:t>Case of the</w:t>
      </w:r>
      <w:r w:rsidRPr="00300A27">
        <w:rPr>
          <w:rStyle w:val="Nmerodelnea"/>
          <w:i/>
          <w:iCs/>
          <w:shd w:val="clear" w:color="auto" w:fill="FFFFFF"/>
          <w:lang w:val="en-US"/>
        </w:rPr>
        <w:t xml:space="preserve"> </w:t>
      </w:r>
      <w:r w:rsidRPr="00300A27">
        <w:rPr>
          <w:rFonts w:cs="Arial"/>
          <w:i/>
          <w:iCs/>
          <w:color w:val="0D0D0D"/>
          <w:lang w:val="en-US"/>
        </w:rPr>
        <w:t>National Association of Discharged and Retired Employees of the National Tax Administration Superintendence</w:t>
      </w:r>
      <w:r w:rsidRPr="00300A27">
        <w:rPr>
          <w:i/>
          <w:iCs/>
          <w:lang w:val="en-US"/>
        </w:rPr>
        <w:t xml:space="preserve"> (ANCEJUB-SUNAT) v. Peru. Preliminary objections, merits, reparations and costs</w:t>
      </w:r>
      <w:r w:rsidRPr="00300A27">
        <w:rPr>
          <w:lang w:val="en-US"/>
        </w:rPr>
        <w:t>. Judgment of November 21, 2019. Series C No. 394. 203.</w:t>
      </w:r>
    </w:p>
  </w:footnote>
  <w:footnote w:id="171">
    <w:p w14:paraId="71646B28" w14:textId="1F122322"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Articles 5 and 11 of the Convention.</w:t>
      </w:r>
    </w:p>
  </w:footnote>
  <w:footnote w:id="172">
    <w:p w14:paraId="14DE6E68" w14:textId="6D44A36E" w:rsidR="00300A27" w:rsidRPr="00300A27" w:rsidRDefault="00300A27" w:rsidP="00F756EF">
      <w:pPr>
        <w:tabs>
          <w:tab w:val="left" w:pos="567"/>
          <w:tab w:val="left" w:pos="720"/>
        </w:tabs>
        <w:spacing w:after="80"/>
        <w:jc w:val="both"/>
        <w:rPr>
          <w:sz w:val="16"/>
          <w:szCs w:val="16"/>
        </w:rPr>
      </w:pPr>
      <w:r w:rsidRPr="00300A27">
        <w:rPr>
          <w:rStyle w:val="Refdenotaalpie"/>
          <w:rFonts w:eastAsia="Calibri"/>
          <w:sz w:val="16"/>
          <w:szCs w:val="16"/>
        </w:rPr>
        <w:footnoteRef/>
      </w:r>
      <w:r w:rsidRPr="00300A27">
        <w:rPr>
          <w:sz w:val="16"/>
          <w:szCs w:val="16"/>
        </w:rPr>
        <w:t xml:space="preserve"> </w:t>
      </w:r>
      <w:r w:rsidRPr="00300A27">
        <w:rPr>
          <w:sz w:val="16"/>
          <w:szCs w:val="16"/>
        </w:rPr>
        <w:tab/>
      </w:r>
      <w:r w:rsidRPr="00300A27">
        <w:rPr>
          <w:i/>
          <w:iCs/>
          <w:sz w:val="16"/>
          <w:szCs w:val="16"/>
        </w:rPr>
        <w:t>Cf. Case of Yvon Neptune v. Haiti. Merits, reparations and costs.</w:t>
      </w:r>
      <w:r w:rsidRPr="00300A27">
        <w:rPr>
          <w:sz w:val="16"/>
          <w:szCs w:val="16"/>
        </w:rPr>
        <w:t xml:space="preserve"> Judgment of May 6, 2008. Series C No. 180, para. 129, and </w:t>
      </w:r>
      <w:r w:rsidRPr="00300A27">
        <w:rPr>
          <w:i/>
          <w:iCs/>
          <w:sz w:val="16"/>
          <w:szCs w:val="16"/>
        </w:rPr>
        <w:t xml:space="preserve">Case of López et al. v. Argentina. Preliminary objections, merits, reparations and costs, supra, </w:t>
      </w:r>
      <w:r w:rsidRPr="00300A27">
        <w:rPr>
          <w:sz w:val="16"/>
          <w:szCs w:val="16"/>
        </w:rPr>
        <w:t>para. 179.</w:t>
      </w:r>
    </w:p>
  </w:footnote>
  <w:footnote w:id="173">
    <w:p w14:paraId="343E54C3" w14:textId="6A4059C8" w:rsidR="00300A27" w:rsidRPr="00300A27" w:rsidRDefault="00300A27" w:rsidP="00F756EF">
      <w:pPr>
        <w:tabs>
          <w:tab w:val="left" w:pos="567"/>
          <w:tab w:val="left" w:pos="720"/>
        </w:tabs>
        <w:spacing w:after="80"/>
        <w:jc w:val="both"/>
        <w:rPr>
          <w:sz w:val="16"/>
          <w:szCs w:val="16"/>
        </w:rPr>
      </w:pPr>
      <w:r w:rsidRPr="00300A27">
        <w:rPr>
          <w:rStyle w:val="Refdenotaalpie"/>
          <w:rFonts w:eastAsia="Calibri"/>
          <w:sz w:val="16"/>
          <w:szCs w:val="16"/>
        </w:rPr>
        <w:footnoteRef/>
      </w:r>
      <w:r w:rsidRPr="00300A27">
        <w:rPr>
          <w:sz w:val="16"/>
          <w:szCs w:val="16"/>
        </w:rPr>
        <w:t xml:space="preserve"> </w:t>
      </w:r>
      <w:r w:rsidRPr="00300A27">
        <w:rPr>
          <w:sz w:val="16"/>
          <w:szCs w:val="16"/>
        </w:rPr>
        <w:tab/>
      </w:r>
      <w:r w:rsidRPr="00300A27">
        <w:rPr>
          <w:i/>
          <w:iCs/>
          <w:sz w:val="16"/>
          <w:szCs w:val="16"/>
        </w:rPr>
        <w:t>Cf. Case of Lori Berenson Mejía v. Peru. Merits, reparations and costs.</w:t>
      </w:r>
      <w:r w:rsidRPr="00300A27">
        <w:rPr>
          <w:sz w:val="16"/>
          <w:szCs w:val="16"/>
        </w:rPr>
        <w:t xml:space="preserve"> Judgment of November 25, 2004. Series C No. 119, para. 100, and </w:t>
      </w:r>
      <w:r w:rsidRPr="00300A27">
        <w:rPr>
          <w:i/>
          <w:iCs/>
          <w:sz w:val="16"/>
          <w:szCs w:val="16"/>
        </w:rPr>
        <w:t xml:space="preserve">Case of López et al. v. Argentina. Preliminary objections, merits, reparations and costs, supra, </w:t>
      </w:r>
      <w:r w:rsidRPr="00300A27">
        <w:rPr>
          <w:sz w:val="16"/>
          <w:szCs w:val="16"/>
        </w:rPr>
        <w:t>para. 180.</w:t>
      </w:r>
    </w:p>
  </w:footnote>
  <w:footnote w:id="174">
    <w:p w14:paraId="56469388" w14:textId="30B47A0B" w:rsidR="00300A27" w:rsidRPr="00300A27" w:rsidRDefault="00300A27" w:rsidP="009A3114">
      <w:pPr>
        <w:pStyle w:val="Textonotapie"/>
        <w:spacing w:before="0" w:after="80"/>
        <w:rPr>
          <w:bCs/>
          <w:iCs/>
          <w:lang w:val="en-US"/>
        </w:rPr>
      </w:pPr>
      <w:r w:rsidRPr="00300A27">
        <w:rPr>
          <w:rStyle w:val="Refdenotaalpie"/>
          <w:rFonts w:eastAsia="Calibri"/>
          <w:lang w:val="en-US"/>
        </w:rPr>
        <w:footnoteRef/>
      </w:r>
      <w:r w:rsidRPr="00300A27">
        <w:rPr>
          <w:lang w:val="en-US"/>
        </w:rPr>
        <w:t xml:space="preserve"> </w:t>
      </w:r>
      <w:r w:rsidRPr="00300A27">
        <w:rPr>
          <w:lang w:val="en-US"/>
        </w:rPr>
        <w:tab/>
      </w:r>
      <w:r w:rsidRPr="00300A27">
        <w:rPr>
          <w:i/>
          <w:iCs/>
          <w:lang w:val="en-US"/>
        </w:rPr>
        <w:t>Cf. Case of Maritza Urrutia v. Guatemala. Merits, reparations and costs</w:t>
      </w:r>
      <w:r w:rsidRPr="00300A27">
        <w:rPr>
          <w:lang w:val="en-US"/>
        </w:rPr>
        <w:t xml:space="preserve">. Judgment of November 27, 2003. Series C No. 103, para. 92, and </w:t>
      </w:r>
      <w:r w:rsidRPr="00300A27">
        <w:rPr>
          <w:i/>
          <w:iCs/>
          <w:lang w:val="en-US"/>
        </w:rPr>
        <w:t>Case of Valenzuela Ávila v. Guatemala. Merits, reparations and costs</w:t>
      </w:r>
      <w:r w:rsidRPr="00300A27">
        <w:rPr>
          <w:lang w:val="en-US"/>
        </w:rPr>
        <w:t xml:space="preserve">. Judgment of October 11, 2019. Series C No. 386, para. 180. In this regard, see, Article </w:t>
      </w:r>
      <w:r w:rsidRPr="00300A27">
        <w:rPr>
          <w:bCs/>
          <w:iCs/>
          <w:lang w:val="en-US"/>
        </w:rPr>
        <w:t>53 of the Vienna Convention on the Law of Treaties, which establishes: “</w:t>
      </w:r>
      <w:r w:rsidRPr="00300A27">
        <w:rPr>
          <w:lang w:val="en-US"/>
        </w:rPr>
        <w:t>Treaties conflicting with a peremptory norm of general international law (</w:t>
      </w:r>
      <w:r w:rsidRPr="00300A27">
        <w:rPr>
          <w:i/>
          <w:iCs/>
          <w:lang w:val="en-US"/>
        </w:rPr>
        <w:t>jus cogens</w:t>
      </w:r>
      <w:r w:rsidRPr="00300A27">
        <w:rPr>
          <w:lang w:val="en-US"/>
        </w:rPr>
        <w:t>): A treaty is void if, at the time of its conclusion, it conflicts with a peremptory norm of general international law. For the purposes of the present Convention, a peremptory norm of general international law is a norm accepted and recognized by the international community of States as a whole as a norm from which no derogation is permitted and which can be modified only by a subsequent norm of general international law having the same character.”</w:t>
      </w:r>
    </w:p>
  </w:footnote>
  <w:footnote w:id="175">
    <w:p w14:paraId="6C96A850" w14:textId="700C56CD" w:rsidR="00300A27" w:rsidRPr="00300A27" w:rsidRDefault="00300A27" w:rsidP="00F756EF">
      <w:pPr>
        <w:pStyle w:val="Textonotapie"/>
        <w:spacing w:before="0" w:after="80"/>
        <w:rPr>
          <w:lang w:val="en-US"/>
        </w:rPr>
      </w:pPr>
      <w:r w:rsidRPr="00300A27">
        <w:rPr>
          <w:rStyle w:val="Refdenotaalpie"/>
          <w:rFonts w:eastAsia="Calibri"/>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International Covenant on Civil and Political Rights, Article 7; Convention against Torture and Other Cruel, Inhuman or Degrading Treatment or Punishment, Article 2; Convention on the Rights of the Child, Article 37, and International Convention on the Protection of the Rights of all Migrant Workers and Members of their Families, Article 10.</w:t>
      </w:r>
    </w:p>
  </w:footnote>
  <w:footnote w:id="176">
    <w:p w14:paraId="6AC3F215" w14:textId="1949EA0E" w:rsidR="00300A27" w:rsidRPr="00300A27" w:rsidRDefault="00300A27" w:rsidP="00F756EF">
      <w:pPr>
        <w:tabs>
          <w:tab w:val="left" w:pos="567"/>
          <w:tab w:val="left" w:pos="720"/>
        </w:tabs>
        <w:spacing w:after="80"/>
        <w:jc w:val="both"/>
        <w:rPr>
          <w:sz w:val="16"/>
          <w:szCs w:val="16"/>
        </w:rPr>
      </w:pPr>
      <w:r w:rsidRPr="00300A27">
        <w:rPr>
          <w:rStyle w:val="Refdenotaalpie"/>
          <w:rFonts w:eastAsia="Calibri"/>
          <w:sz w:val="16"/>
          <w:szCs w:val="16"/>
        </w:rPr>
        <w:footnoteRef/>
      </w:r>
      <w:r w:rsidRPr="00300A27">
        <w:rPr>
          <w:sz w:val="16"/>
          <w:szCs w:val="16"/>
        </w:rPr>
        <w:t xml:space="preserve"> </w:t>
      </w:r>
      <w:r w:rsidRPr="00300A27">
        <w:rPr>
          <w:sz w:val="16"/>
          <w:szCs w:val="16"/>
        </w:rPr>
        <w:tab/>
      </w:r>
      <w:r w:rsidRPr="00300A27">
        <w:rPr>
          <w:i/>
          <w:sz w:val="16"/>
          <w:szCs w:val="16"/>
        </w:rPr>
        <w:t xml:space="preserve">Cf. </w:t>
      </w:r>
      <w:r w:rsidRPr="00300A27">
        <w:rPr>
          <w:rFonts w:cs="Verdana"/>
          <w:sz w:val="16"/>
          <w:szCs w:val="16"/>
        </w:rPr>
        <w:t>Inter-American Convention to Prevent and Punish Torture, Articles 1 and 5; African Charter of Human and Peoples’ Rights, Article 5; African Charter on the Rights and Welfare of the Child, Article 16; Convention of Belém do Pará, Article 4, and European Convention on Human Rights, Article 3.</w:t>
      </w:r>
    </w:p>
  </w:footnote>
  <w:footnote w:id="177">
    <w:p w14:paraId="7A2AF48E" w14:textId="2A609F95" w:rsidR="00300A27" w:rsidRPr="00300A27" w:rsidRDefault="00300A27" w:rsidP="00F756EF">
      <w:pPr>
        <w:tabs>
          <w:tab w:val="left" w:pos="567"/>
        </w:tabs>
        <w:spacing w:after="80"/>
        <w:jc w:val="both"/>
        <w:rPr>
          <w:rFonts w:eastAsia="Times New Roman"/>
          <w:sz w:val="16"/>
          <w:szCs w:val="16"/>
          <w:lang w:eastAsia="es-ES"/>
        </w:rPr>
      </w:pPr>
      <w:r w:rsidRPr="00300A27">
        <w:rPr>
          <w:rStyle w:val="Refdenotaalpie"/>
          <w:sz w:val="16"/>
          <w:szCs w:val="16"/>
        </w:rPr>
        <w:footnoteRef/>
      </w:r>
      <w:r w:rsidRPr="00300A27">
        <w:rPr>
          <w:sz w:val="16"/>
          <w:szCs w:val="16"/>
          <w:lang w:val="es-CR"/>
        </w:rPr>
        <w:t xml:space="preserve"> </w:t>
      </w:r>
      <w:r w:rsidRPr="00300A27">
        <w:rPr>
          <w:sz w:val="16"/>
          <w:szCs w:val="16"/>
          <w:lang w:val="es-CR"/>
        </w:rPr>
        <w:tab/>
      </w:r>
      <w:r w:rsidRPr="00300A27">
        <w:rPr>
          <w:i/>
          <w:iCs/>
          <w:sz w:val="16"/>
          <w:szCs w:val="16"/>
          <w:lang w:val="es-CR"/>
        </w:rPr>
        <w:t xml:space="preserve">Cf. Case of Fernández Ortega et al. v. Mexico. </w:t>
      </w:r>
      <w:r w:rsidRPr="00300A27">
        <w:rPr>
          <w:i/>
          <w:iCs/>
          <w:sz w:val="16"/>
          <w:szCs w:val="16"/>
        </w:rPr>
        <w:t>Preliminary objection, merits, reparations and costs</w:t>
      </w:r>
      <w:r w:rsidRPr="00300A27">
        <w:rPr>
          <w:sz w:val="16"/>
          <w:szCs w:val="16"/>
        </w:rPr>
        <w:t xml:space="preserve">. Judgment of August 30, 2010. Series C No. 215, para. 129, and </w:t>
      </w:r>
      <w:r w:rsidRPr="00300A27">
        <w:rPr>
          <w:i/>
          <w:iCs/>
          <w:sz w:val="16"/>
          <w:szCs w:val="16"/>
        </w:rPr>
        <w:t>Case of Women Victims of Sexual Torture in Atenco v. Mexico. Preliminary objection, merits, reparations and costs, supra</w:t>
      </w:r>
      <w:r w:rsidRPr="00300A27">
        <w:rPr>
          <w:sz w:val="16"/>
          <w:szCs w:val="16"/>
        </w:rPr>
        <w:t>, para. 179.</w:t>
      </w:r>
    </w:p>
  </w:footnote>
  <w:footnote w:id="178">
    <w:p w14:paraId="5CF4DF20" w14:textId="2C637D54"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J. v. Peru. Preliminary objection, merits, reparations and costs, supra</w:t>
      </w:r>
      <w:r w:rsidRPr="00300A27">
        <w:rPr>
          <w:lang w:val="en-US"/>
        </w:rPr>
        <w:t xml:space="preserve">, para. 367, and </w:t>
      </w:r>
      <w:r w:rsidRPr="00300A27">
        <w:rPr>
          <w:i/>
          <w:iCs/>
          <w:lang w:val="en-US"/>
        </w:rPr>
        <w:t>Case of Women Victims of Sexual Torture in Atenco v. Mexico, supra</w:t>
      </w:r>
      <w:r w:rsidRPr="00300A27">
        <w:rPr>
          <w:lang w:val="en-US"/>
        </w:rPr>
        <w:t>, para.  179.</w:t>
      </w:r>
    </w:p>
  </w:footnote>
  <w:footnote w:id="179">
    <w:p w14:paraId="3920AC10" w14:textId="34544162" w:rsidR="00300A27" w:rsidRPr="00300A27" w:rsidRDefault="00300A27" w:rsidP="00F756EF">
      <w:pPr>
        <w:tabs>
          <w:tab w:val="left" w:pos="567"/>
        </w:tabs>
        <w:spacing w:after="80"/>
        <w:jc w:val="both"/>
        <w:rPr>
          <w:rFonts w:eastAsia="Times New Roman"/>
          <w:sz w:val="16"/>
          <w:szCs w:val="16"/>
          <w:lang w:eastAsia="es-ES"/>
        </w:rPr>
      </w:pPr>
      <w:r w:rsidRPr="00300A27">
        <w:rPr>
          <w:rStyle w:val="Refdenotaalpie"/>
          <w:sz w:val="16"/>
          <w:szCs w:val="16"/>
        </w:rPr>
        <w:footnoteRef/>
      </w:r>
      <w:r w:rsidRPr="00300A27">
        <w:rPr>
          <w:sz w:val="16"/>
          <w:szCs w:val="16"/>
        </w:rPr>
        <w:t xml:space="preserve"> </w:t>
      </w:r>
      <w:r w:rsidRPr="00300A27">
        <w:rPr>
          <w:sz w:val="16"/>
          <w:szCs w:val="16"/>
        </w:rPr>
        <w:tab/>
      </w:r>
      <w:r w:rsidRPr="00300A27">
        <w:rPr>
          <w:i/>
          <w:iCs/>
          <w:sz w:val="16"/>
          <w:szCs w:val="16"/>
        </w:rPr>
        <w:t>Cf. Case of the Miguel Castro Castro Prison v. Peru. Merits, reparations and costs</w:t>
      </w:r>
      <w:r w:rsidRPr="00300A27">
        <w:rPr>
          <w:sz w:val="16"/>
          <w:szCs w:val="16"/>
        </w:rPr>
        <w:t xml:space="preserve">. Judgment of November 25, 2006. Series C No. 160, para. 306, and </w:t>
      </w:r>
      <w:r w:rsidRPr="00300A27">
        <w:rPr>
          <w:i/>
          <w:iCs/>
          <w:sz w:val="16"/>
          <w:szCs w:val="16"/>
        </w:rPr>
        <w:t>Case of Women Victims of Sexual Torture in Atenco v. Mexico. Preliminary objection, merits, reparations and costs</w:t>
      </w:r>
      <w:r w:rsidRPr="00300A27">
        <w:rPr>
          <w:sz w:val="16"/>
          <w:szCs w:val="16"/>
        </w:rPr>
        <w:t>, supra, para. 182.</w:t>
      </w:r>
    </w:p>
  </w:footnote>
  <w:footnote w:id="180">
    <w:p w14:paraId="7DD5880E" w14:textId="1D3306D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bookmarkStart w:id="115" w:name="_Hlk40432715"/>
      <w:r w:rsidRPr="00300A27">
        <w:rPr>
          <w:lang w:val="en-US"/>
        </w:rPr>
        <w:t xml:space="preserve">Ms. Rojas Marín reported that, at the time of the detention, they shouted at her: </w:t>
      </w:r>
      <w:r w:rsidRPr="00300A27">
        <w:rPr>
          <w:rFonts w:eastAsia="Calibri" w:cs="Calibri"/>
          <w:lang w:val="en-US"/>
        </w:rPr>
        <w:t>“Get in,</w:t>
      </w:r>
      <w:r w:rsidRPr="00300A27">
        <w:rPr>
          <w:rFonts w:eastAsia="Calibri" w:cs="Calibri"/>
          <w:i/>
          <w:iCs/>
          <w:lang w:val="en-US"/>
        </w:rPr>
        <w:t xml:space="preserve"> cabro concha de tu madre”</w:t>
      </w:r>
      <w:r w:rsidRPr="00300A27">
        <w:rPr>
          <w:rFonts w:eastAsia="Calibri" w:cs="Calibri"/>
          <w:lang w:val="en-US"/>
        </w:rPr>
        <w:t xml:space="preserve"> and when she did not do so, they shouted the same insults three times and then hit her with the police baton in the solar plexus to make her get into the van. On arrival at </w:t>
      </w:r>
      <w:r w:rsidRPr="00300A27">
        <w:rPr>
          <w:lang w:val="en-US"/>
        </w:rPr>
        <w:t>the Casa Grande Police Station, they locked her in a room “and then three police agents entered; one of them began to say ꞌ</w:t>
      </w:r>
      <w:r w:rsidRPr="00300A27">
        <w:rPr>
          <w:i/>
          <w:iCs/>
          <w:lang w:val="en-US"/>
        </w:rPr>
        <w:t xml:space="preserve">te gusta la pin… concha de tu madre; </w:t>
      </w:r>
      <w:r w:rsidRPr="00300A27">
        <w:rPr>
          <w:lang w:val="en-US"/>
        </w:rPr>
        <w:t xml:space="preserve">take your clothes off’ and, as she did not want to do this, they slapped her, and as she did not undress, the police agents began to undress her forcibly and they tore her underwear. […] then, a police agent tried to introduce the baton [in her] anus, and as he was unable to do this, they pushed [her] against the wall and took [her] clothes, leaving [her] naked. Then a tall police agent approached and began to caress [her] face and neck with his hands saying </w:t>
      </w:r>
      <w:r w:rsidRPr="00300A27">
        <w:rPr>
          <w:i/>
          <w:iCs/>
          <w:lang w:val="en-US"/>
        </w:rPr>
        <w:t>ꞌte gusta la p…, concha de tu madreꞌ</w:t>
      </w:r>
      <w:r w:rsidRPr="00300A27">
        <w:rPr>
          <w:lang w:val="en-US"/>
        </w:rPr>
        <w:t xml:space="preserve"> to which [Ms. Rojas Marín] reacted by spitting in his face. The police then withdrew leaving [her] alone in the room. Later, a police agent threw [her] clothes at [her] so that [she] could get dressed and, on checking the pockets of her trousers, [she] could not find her mobile telephone […] and [cash] so [she] proceeded to demand them back and they told [her] that there had been nothing in the trousers and they again undressed [her] and left [her] naked until 6 a.m. that day, when a police technician arrived […] and on seeing her said ꞌ</w:t>
      </w:r>
      <w:r w:rsidRPr="00300A27">
        <w:rPr>
          <w:i/>
          <w:iCs/>
          <w:lang w:val="en-US"/>
        </w:rPr>
        <w:t xml:space="preserve">What’s this fucking fag doing here!.’ </w:t>
      </w:r>
      <w:r w:rsidRPr="00300A27">
        <w:rPr>
          <w:lang w:val="en-US"/>
        </w:rPr>
        <w:t xml:space="preserve">Then they gave [her] back [her] clothes so that [she] could get dressed and following this, [she] again asked the police technician […] to return her things, and he answered: ꞌLeave </w:t>
      </w:r>
      <w:r w:rsidRPr="00300A27">
        <w:rPr>
          <w:i/>
          <w:iCs/>
          <w:lang w:val="en-US"/>
        </w:rPr>
        <w:t>maricon concha de tu madre</w:t>
      </w:r>
      <w:r w:rsidRPr="00300A27">
        <w:rPr>
          <w:lang w:val="en-US"/>
        </w:rPr>
        <w:t xml:space="preserve">, they should have put you in a cell so that everyone could fuck you.” </w:t>
      </w:r>
      <w:r w:rsidRPr="00300A27">
        <w:rPr>
          <w:i/>
          <w:iCs/>
          <w:lang w:val="en-US"/>
        </w:rPr>
        <w:t>Cf.</w:t>
      </w:r>
      <w:r w:rsidRPr="00300A27">
        <w:rPr>
          <w:lang w:val="en-US"/>
        </w:rPr>
        <w:t xml:space="preserve"> Verbal complaint made by Azul Rojas Marín at the Casa Grande Police Station on February 27,</w:t>
      </w:r>
      <w:bookmarkEnd w:id="115"/>
      <w:r w:rsidRPr="00300A27">
        <w:rPr>
          <w:lang w:val="en-US"/>
        </w:rPr>
        <w:t xml:space="preserve"> 2008 (evidence file, folio 2793).</w:t>
      </w:r>
    </w:p>
  </w:footnote>
  <w:footnote w:id="181">
    <w:p w14:paraId="03D187A9" w14:textId="2B29C4FD" w:rsidR="00300A27" w:rsidRPr="00300A27" w:rsidRDefault="00300A27" w:rsidP="002E5FC7">
      <w:pPr>
        <w:spacing w:after="80"/>
        <w:jc w:val="both"/>
        <w:rPr>
          <w:sz w:val="16"/>
          <w:szCs w:val="16"/>
        </w:rPr>
      </w:pPr>
      <w:r w:rsidRPr="00300A27">
        <w:rPr>
          <w:rStyle w:val="Refdenotaalpie"/>
          <w:sz w:val="16"/>
          <w:szCs w:val="16"/>
        </w:rPr>
        <w:footnoteRef/>
      </w:r>
      <w:r w:rsidRPr="00300A27">
        <w:rPr>
          <w:sz w:val="16"/>
          <w:szCs w:val="16"/>
        </w:rPr>
        <w:t xml:space="preserve"> </w:t>
      </w:r>
      <w:r w:rsidRPr="00300A27">
        <w:rPr>
          <w:sz w:val="16"/>
          <w:szCs w:val="16"/>
        </w:rPr>
        <w:tab/>
      </w:r>
      <w:bookmarkStart w:id="116" w:name="_Hlk40432680"/>
      <w:r w:rsidRPr="00300A27">
        <w:rPr>
          <w:sz w:val="16"/>
          <w:szCs w:val="16"/>
        </w:rPr>
        <w:t xml:space="preserve">Ms. Rojas Marín reported that, at the time of the detention, they shouted at her: </w:t>
      </w:r>
      <w:r w:rsidRPr="00300A27">
        <w:rPr>
          <w:rFonts w:eastAsia="Calibri" w:cs="Calibri"/>
          <w:sz w:val="16"/>
          <w:szCs w:val="16"/>
        </w:rPr>
        <w:t>“Get in,</w:t>
      </w:r>
      <w:r w:rsidRPr="00300A27">
        <w:rPr>
          <w:rFonts w:eastAsia="Calibri" w:cs="Calibri"/>
          <w:i/>
          <w:iCs/>
          <w:sz w:val="16"/>
          <w:szCs w:val="16"/>
        </w:rPr>
        <w:t xml:space="preserve"> cabro concha de tu madre”</w:t>
      </w:r>
      <w:r w:rsidRPr="00300A27">
        <w:rPr>
          <w:rFonts w:eastAsia="Calibri" w:cs="Calibri"/>
          <w:sz w:val="16"/>
          <w:szCs w:val="16"/>
        </w:rPr>
        <w:t xml:space="preserve"> and when she did not do so, they shouted the same insults three times and then hit her with the police baton in the solar plexus to make her get into the van</w:t>
      </w:r>
      <w:r w:rsidRPr="00300A27">
        <w:rPr>
          <w:sz w:val="16"/>
          <w:szCs w:val="16"/>
        </w:rPr>
        <w:t xml:space="preserve">. </w:t>
      </w:r>
      <w:r w:rsidRPr="00300A27">
        <w:rPr>
          <w:rFonts w:eastAsia="Calibri" w:cs="Calibri"/>
          <w:sz w:val="16"/>
          <w:szCs w:val="16"/>
        </w:rPr>
        <w:t xml:space="preserve">On arrival at </w:t>
      </w:r>
      <w:r w:rsidRPr="00300A27">
        <w:rPr>
          <w:sz w:val="16"/>
          <w:szCs w:val="16"/>
        </w:rPr>
        <w:t>the Casa Grande Police Station, three police agents made her go into a room and one of them said ꞌ</w:t>
      </w:r>
      <w:r w:rsidRPr="00300A27">
        <w:rPr>
          <w:i/>
          <w:iCs/>
          <w:sz w:val="16"/>
          <w:szCs w:val="16"/>
        </w:rPr>
        <w:t xml:space="preserve">te gusta la pin… concha de tu madre; </w:t>
      </w:r>
      <w:bookmarkStart w:id="117" w:name="_Hlk40434239"/>
      <w:r w:rsidRPr="00300A27">
        <w:rPr>
          <w:sz w:val="16"/>
          <w:szCs w:val="16"/>
        </w:rPr>
        <w:t xml:space="preserve">take your clothes off’ </w:t>
      </w:r>
      <w:bookmarkEnd w:id="117"/>
      <w:r w:rsidRPr="00300A27">
        <w:rPr>
          <w:sz w:val="16"/>
          <w:szCs w:val="16"/>
        </w:rPr>
        <w:t xml:space="preserve">and, as she did not want to undress, they slapped [her], and as she did not undress, the police agents began to undress her forcibly and they tore her underwear.” In answer to the questions of the </w:t>
      </w:r>
      <w:r w:rsidRPr="00300A27">
        <w:rPr>
          <w:sz w:val="16"/>
          <w:szCs w:val="16"/>
          <w:lang w:eastAsia="es-MX"/>
        </w:rPr>
        <w:t xml:space="preserve">Public Prosecution Service, she indicated that a police agent “ordered the agent [LQC] to take out his baton and he began to hit me, so I got down on the floor, leaning against the wall and the other younger agent lifted me up by the arms, and the tall police agent began to ram the baton into my genitals, while the other agent behind me held me by the arms (armpits) and had his back to the wall, and the tall agent rammed the baton into my testicles and then ordered the agent [LQC] to bring water and he brought a pitcher which he filled from a disposable plastic water bottle, and they wet the baton in the water, then [LQC together] with the agent who was holding my arms, turned me around and the tall police agent with the baton continued to hit me and tried to introduce the baton in my rectum, and as I was kicking trying to make them free me, I pushed [LQC] who fell and the other agent also fell and they let go of me, and then the tall police agent told them to get up; and because I was squatting they made me stand against the wall […] and made me turn round, insulting me, and when I was against the wall he twice introduced the rubber baton in my rectum and I screamed because of the pain and I expelled it.” </w:t>
      </w:r>
      <w:r w:rsidRPr="00300A27">
        <w:rPr>
          <w:i/>
          <w:iCs/>
          <w:sz w:val="16"/>
          <w:szCs w:val="16"/>
          <w:lang w:eastAsia="es-MX"/>
        </w:rPr>
        <w:t>Cf.</w:t>
      </w:r>
      <w:r w:rsidRPr="00300A27">
        <w:rPr>
          <w:sz w:val="16"/>
          <w:szCs w:val="16"/>
          <w:lang w:eastAsia="es-MX"/>
        </w:rPr>
        <w:t xml:space="preserve"> </w:t>
      </w:r>
      <w:r w:rsidRPr="00300A27">
        <w:rPr>
          <w:sz w:val="16"/>
          <w:szCs w:val="16"/>
        </w:rPr>
        <w:t>Statement made by Azul Rojas Marín at the Casa Grande Police Station on February 28, 200</w:t>
      </w:r>
      <w:bookmarkEnd w:id="116"/>
      <w:r w:rsidRPr="00300A27">
        <w:rPr>
          <w:sz w:val="16"/>
          <w:szCs w:val="16"/>
        </w:rPr>
        <w:t>8 (evidence file, folios 2808 to 2811).</w:t>
      </w:r>
    </w:p>
  </w:footnote>
  <w:footnote w:id="182">
    <w:p w14:paraId="184E1A91" w14:textId="30D77F87" w:rsidR="00300A27" w:rsidRPr="00300A27" w:rsidRDefault="00300A27" w:rsidP="00195530">
      <w:pPr>
        <w:spacing w:after="80"/>
        <w:jc w:val="both"/>
        <w:rPr>
          <w:sz w:val="16"/>
          <w:szCs w:val="16"/>
        </w:rPr>
      </w:pPr>
      <w:r w:rsidRPr="00300A27">
        <w:rPr>
          <w:rStyle w:val="Refdenotaalpie"/>
        </w:rPr>
        <w:footnoteRef/>
      </w:r>
      <w:r w:rsidRPr="00300A27">
        <w:t xml:space="preserve"> </w:t>
      </w:r>
      <w:r w:rsidRPr="00300A27">
        <w:tab/>
      </w:r>
      <w:bookmarkStart w:id="118" w:name="_Hlk40434001"/>
      <w:r w:rsidRPr="00300A27">
        <w:rPr>
          <w:sz w:val="16"/>
          <w:szCs w:val="16"/>
        </w:rPr>
        <w:t xml:space="preserve">She stated that she ratified the content of her statement of February 28, 2008. She indicated that, on arriving at the police station, “a police agent said to me </w:t>
      </w:r>
      <w:r w:rsidRPr="00300A27">
        <w:rPr>
          <w:i/>
          <w:iCs/>
          <w:sz w:val="16"/>
          <w:szCs w:val="16"/>
        </w:rPr>
        <w:t>’te gusta la pinga, cabro concha de tu madre’</w:t>
      </w:r>
      <w:r w:rsidRPr="00300A27">
        <w:rPr>
          <w:sz w:val="16"/>
          <w:szCs w:val="16"/>
        </w:rPr>
        <w:t xml:space="preserve"> and then he came closer and asked me ‘Where is your brother, </w:t>
      </w:r>
      <w:r w:rsidRPr="00300A27">
        <w:rPr>
          <w:i/>
          <w:iCs/>
          <w:sz w:val="16"/>
          <w:szCs w:val="16"/>
        </w:rPr>
        <w:t>El Tuco</w:t>
      </w:r>
      <w:r w:rsidRPr="00300A27">
        <w:rPr>
          <w:sz w:val="16"/>
          <w:szCs w:val="16"/>
        </w:rPr>
        <w:t xml:space="preserve">,’ and then I said ‘I don’t know’ and he grabbed me and slapped me and said ‘Take your clothes off, </w:t>
      </w:r>
      <w:r w:rsidRPr="00300A27">
        <w:rPr>
          <w:i/>
          <w:iCs/>
          <w:sz w:val="16"/>
          <w:szCs w:val="16"/>
        </w:rPr>
        <w:t>concha de tu madre</w:t>
      </w:r>
      <w:r w:rsidRPr="00300A27">
        <w:rPr>
          <w:sz w:val="16"/>
          <w:szCs w:val="16"/>
        </w:rPr>
        <w:t>’ and as I did not want to undress and asked him why they were doing this to me, he again asked about me about my brother ‘</w:t>
      </w:r>
      <w:r w:rsidRPr="00300A27">
        <w:rPr>
          <w:i/>
          <w:iCs/>
          <w:sz w:val="16"/>
          <w:szCs w:val="16"/>
        </w:rPr>
        <w:t>Tuco</w:t>
      </w:r>
      <w:r w:rsidRPr="00300A27">
        <w:rPr>
          <w:sz w:val="16"/>
          <w:szCs w:val="16"/>
        </w:rPr>
        <w:t>’ and then he came closer and shouted ‘Take your clothes off, take your clothes off</w:t>
      </w:r>
      <w:r w:rsidRPr="00300A27">
        <w:rPr>
          <w:i/>
          <w:iCs/>
          <w:sz w:val="16"/>
          <w:szCs w:val="16"/>
        </w:rPr>
        <w:t>, concha de tu madre</w:t>
      </w:r>
      <w:r w:rsidRPr="00300A27">
        <w:rPr>
          <w:sz w:val="16"/>
          <w:szCs w:val="16"/>
        </w:rPr>
        <w:t xml:space="preserve">’ and then he came even closer and tried to undress me forcibly and I fell to the ground and the tall police agent sat on top of me [and] ordered two other agents to undress me; the pale-faced agent took off my shirt and the agent [LQC] took off my trousers and shoes, and then I was able to get up and, then, the tall police agent came up to me and said </w:t>
      </w:r>
      <w:r w:rsidRPr="00300A27">
        <w:rPr>
          <w:i/>
          <w:iCs/>
          <w:sz w:val="16"/>
          <w:szCs w:val="16"/>
        </w:rPr>
        <w:t>’te gusta la pinga, cabro concha de tu madre’</w:t>
      </w:r>
      <w:r w:rsidRPr="00300A27">
        <w:rPr>
          <w:sz w:val="16"/>
          <w:szCs w:val="16"/>
        </w:rPr>
        <w:t xml:space="preserve"> and tore my underwear and ordered [LQC] to give him his baton.” Then he asked for water, “he began to wet the baton in the water and rammed the baton into me rectum several times.” </w:t>
      </w:r>
      <w:bookmarkEnd w:id="118"/>
      <w:r w:rsidRPr="00300A27">
        <w:rPr>
          <w:i/>
          <w:iCs/>
          <w:sz w:val="16"/>
          <w:szCs w:val="16"/>
        </w:rPr>
        <w:t>Cf.</w:t>
      </w:r>
      <w:r w:rsidRPr="00300A27">
        <w:rPr>
          <w:sz w:val="16"/>
          <w:szCs w:val="16"/>
        </w:rPr>
        <w:t xml:space="preserve"> Expansion of the statement made by Azul Rojas Marín at the Casa Grande Police Station on March 6, 2008 (evidence file, folio 2815).</w:t>
      </w:r>
    </w:p>
  </w:footnote>
  <w:footnote w:id="183">
    <w:p w14:paraId="33B7A6AE" w14:textId="0FEB6D0D" w:rsidR="00300A27" w:rsidRPr="00300A27" w:rsidRDefault="00300A27" w:rsidP="00195530">
      <w:pPr>
        <w:pStyle w:val="Textonotapie"/>
        <w:spacing w:before="0" w:after="80"/>
        <w:rPr>
          <w:rFonts w:cstheme="minorBidi"/>
          <w:lang w:val="en-US"/>
        </w:rPr>
      </w:pPr>
      <w:r w:rsidRPr="00300A27">
        <w:rPr>
          <w:rStyle w:val="Refdenotaalpie"/>
          <w:lang w:val="en-US"/>
        </w:rPr>
        <w:footnoteRef/>
      </w:r>
      <w:r w:rsidRPr="00300A27">
        <w:rPr>
          <w:lang w:val="en-US"/>
        </w:rPr>
        <w:t xml:space="preserve"> </w:t>
      </w:r>
      <w:r w:rsidRPr="00300A27">
        <w:rPr>
          <w:lang w:val="en-US"/>
        </w:rPr>
        <w:tab/>
        <w:t>During this procedure, the presumed victim</w:t>
      </w:r>
      <w:r w:rsidRPr="00300A27">
        <w:rPr>
          <w:rFonts w:cstheme="minorBidi"/>
          <w:lang w:val="en-US"/>
        </w:rPr>
        <w:t xml:space="preserve"> described: (i) how two police agents held her arms against a wall and another introduced a rubber baton in her rectum twice; (ii) while resisting this she was able to free her arms and LQC grabbed her by the hair, pushing her against the wall again; (iii) as she was screaming, LQC picked up her clothes and the three agents left the room, and (iv) after the three agents had left, DPP entered and began to caress her arms asking her </w:t>
      </w:r>
      <w:r w:rsidRPr="00300A27">
        <w:rPr>
          <w:lang w:val="en-US"/>
        </w:rPr>
        <w:t>“</w:t>
      </w:r>
      <w:r w:rsidRPr="00300A27">
        <w:rPr>
          <w:i/>
          <w:iCs/>
          <w:lang w:val="en-US"/>
        </w:rPr>
        <w:t>cabro, te gusta la pinga</w:t>
      </w:r>
      <w:r w:rsidRPr="00300A27">
        <w:rPr>
          <w:lang w:val="en-US"/>
        </w:rPr>
        <w:t>?”</w:t>
      </w:r>
      <w:r w:rsidRPr="00300A27">
        <w:rPr>
          <w:rFonts w:cstheme="minorBidi"/>
          <w:lang w:val="en-US"/>
        </w:rPr>
        <w:t xml:space="preserve"> </w:t>
      </w:r>
      <w:r w:rsidRPr="00300A27">
        <w:rPr>
          <w:rFonts w:cstheme="minorBidi"/>
          <w:i/>
          <w:iCs/>
          <w:lang w:val="en-US"/>
        </w:rPr>
        <w:t>Cf.</w:t>
      </w:r>
      <w:r w:rsidRPr="00300A27">
        <w:rPr>
          <w:rFonts w:cstheme="minorBidi"/>
          <w:lang w:val="en-US"/>
        </w:rPr>
        <w:t xml:space="preserve"> </w:t>
      </w:r>
      <w:r w:rsidRPr="00300A27">
        <w:rPr>
          <w:lang w:val="en-US"/>
        </w:rPr>
        <w:t>Video 1 of inspection and reconstruction procedure on August 15, 2008 (evidence file, folder of audiovisual material, minutes 00:00 to 00:22, 01:10 to 02:38, 4:02 to 4:38 and 11:11 to 12:48).</w:t>
      </w:r>
    </w:p>
  </w:footnote>
  <w:footnote w:id="184">
    <w:p w14:paraId="075DDAAF" w14:textId="410012C0"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She indicated that, at the time of her detention, they hit her in the stomach with the police baton and, in the Police Station, they undressed her “they began to hit me with a baton that they wet in a bucket, which I believe was so that it would not leave traces. Then they took off my pants and grabbed my buttocks, while shouting ‘</w:t>
      </w:r>
      <w:r w:rsidRPr="00300A27">
        <w:rPr>
          <w:i/>
          <w:iCs/>
          <w:lang w:val="en-US"/>
        </w:rPr>
        <w:t>Te gusta la P’</w:t>
      </w:r>
      <w:r w:rsidRPr="00300A27">
        <w:rPr>
          <w:lang w:val="en-US"/>
        </w:rPr>
        <w:t xml:space="preserve">; they pushed me against the wall and I felt sudden pain; they had introduced the baton in my rectum.” </w:t>
      </w:r>
      <w:r w:rsidRPr="00300A27">
        <w:rPr>
          <w:i/>
          <w:iCs/>
          <w:lang w:val="en-US"/>
        </w:rPr>
        <w:t>Cf.</w:t>
      </w:r>
      <w:r w:rsidRPr="00300A27">
        <w:rPr>
          <w:lang w:val="en-US"/>
        </w:rPr>
        <w:t xml:space="preserve"> Statement made by Azul Rojas Marín at the public hearing on merits before the Inter-American Commission on December 1, 2016.</w:t>
      </w:r>
    </w:p>
  </w:footnote>
  <w:footnote w:id="185">
    <w:p w14:paraId="369B3348" w14:textId="616255AC" w:rsidR="00300A27" w:rsidRPr="00300A27" w:rsidRDefault="00300A27" w:rsidP="00F756EF">
      <w:pPr>
        <w:pStyle w:val="Textonotapie"/>
        <w:spacing w:before="0" w:after="80"/>
        <w:rPr>
          <w:i/>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Verbal complaint made by Azul Rojas Marín at the Casa Grande Police Station on February 27, 2008 (evidence file, folio 2793); Statement of facts made by Azul Rojas Marín at the Casa Grande Police Station on February 28, 2008 (evidence file, folio 2808), and Statement made by Azul Rojas Marín at the public hearing on merits before the Inter-American Commission on December 1, 2016 (evidence file, folder of audiovisual material, minutes 3:40 to 3:45).</w:t>
      </w:r>
    </w:p>
  </w:footnote>
  <w:footnote w:id="186">
    <w:p w14:paraId="7B0B2479" w14:textId="3D48DF5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Verbal complaint made by Azul Rojas Marín at the Casa Grande Police Station on February 27, 2008 (evidence file, folio 2793); Statement made by Azul Rojas Marín at the Casa Grande Police Station on February 28, 2008 (evidence file, folio 2809), and Expansion of the statement made by Azul Rojas Marín at the Casa Grande Police Station on March 6, 2008 (evidence file, folio 2815).</w:t>
      </w:r>
    </w:p>
  </w:footnote>
  <w:footnote w:id="187">
    <w:p w14:paraId="7583358F" w14:textId="3046E2C3"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Statement made by Azul Rojas Marín at the Casa Grande Police Station on February 28, 2008 (evidence file, folio 2810); Expansion of the statement made by Azul Rojas Marín before the Second Provincial Corporate Criminal Prosecution Service of Ascope on March 6, 2008 (evidence file, folio 2815), and Statement made by Azul Rojas Marín at the public hearing on merits before the Inter-American Commission on December 1, 2016 (evidence file, folder of audiovisual material, minutes 4:11 to 4:13).</w:t>
      </w:r>
    </w:p>
  </w:footnote>
  <w:footnote w:id="188">
    <w:p w14:paraId="45AA95AD" w14:textId="10C2963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Verbal complaint made by Azul Rojas Marín at the Casa Grande Police Station on February 27, 2008 (evidence file, folio 2793); Statement made by Azul Rojas Marín at the Casa Grande Police Station on February 28, 2008 (evidence file, folios 2809 and 2810); Expansion of the statement made by Azul Rojas Marín the Casa Grande Police Station on March 6, 2008 (evidence file, folio 2815), and Statement made by Azul Rojas Marín at the public hearing on merits before the Inter-American Commission on December 1, 2016 (evidence file, folder of audiovisual material, minutes 4:45 to 4:46).</w:t>
      </w:r>
    </w:p>
  </w:footnote>
  <w:footnote w:id="189">
    <w:p w14:paraId="3C3CE8E3" w14:textId="589E598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Verbal complaint made by Azul Rojas Marín at the Casa Grande Police Station on February 27, 2008 (evidence file, folio 2793); Statement made by Azul Rojas Marín at the Casa Grande Police Station on February 28, 2008 (evidence file, folios 2809, 2810 and 2811); Expansion of the statement made by Azul Rojas Marín at the Casa Grande Police Station on March 6, 2008 (evidence file, folios 2815 and 2816), and Statement made by Azul Rojas Marín at the public hearing on merits before the Inter-American Commission on December 1, 2016 (evidence file, folder of audiovisual material, minutes 3:36 to 3:39, 4:18 to 4:25, 5:03 to 5:07 and 5:49 to 5:51).</w:t>
      </w:r>
    </w:p>
  </w:footnote>
  <w:footnote w:id="190">
    <w:p w14:paraId="07BF1A8B" w14:textId="518B3D19"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Statement made by Azul Rojas Marín at the Casa Grande Police Station on February 28, 2008 (evidence file, folio 2811); Expansion of the statement made by Azul Rojas Marín at the Casa Grande Police Station on March 6, 2008 (evidence file, folio 2816); Video 1 of the inspection and reconstruction procedure on August 15, 2008 (evidence file, folder of audiovisual material, annexes to the pleadings and motions brief, minutes 00:00 to 00:22), and Statement made by Azul Rojas Marín at the public hearing on merits before the Inter-American Commission on December 1, 2016 (evidence file, folder of audiovisual material, minutes 5:59 to 6:05).</w:t>
      </w:r>
    </w:p>
  </w:footnote>
  <w:footnote w:id="191">
    <w:p w14:paraId="496A0450" w14:textId="7C2C45A5" w:rsidR="00300A27" w:rsidRPr="00300A27" w:rsidRDefault="00300A27" w:rsidP="00F756EF">
      <w:pPr>
        <w:pStyle w:val="Textonotapie"/>
        <w:spacing w:before="0" w:after="80"/>
        <w:rPr>
          <w:lang w:val="en-US"/>
        </w:rPr>
      </w:pPr>
      <w:r w:rsidRPr="00300A27">
        <w:rPr>
          <w:rStyle w:val="Refdenotaalpie"/>
          <w:lang w:val="en-US"/>
        </w:rPr>
        <w:footnoteRef/>
      </w:r>
      <w:r w:rsidRPr="00300A27">
        <w:t xml:space="preserve"> </w:t>
      </w:r>
      <w:r w:rsidRPr="00300A27">
        <w:tab/>
      </w:r>
      <w:r w:rsidRPr="00300A27">
        <w:rPr>
          <w:i/>
          <w:iCs/>
        </w:rPr>
        <w:t xml:space="preserve">Cf. Case of Fernández Ortega et al. v. Mexico. </w:t>
      </w:r>
      <w:r w:rsidRPr="00300A27">
        <w:rPr>
          <w:i/>
          <w:iCs/>
          <w:lang w:val="en-US"/>
        </w:rPr>
        <w:t>Preliminary objection, merits, reparations and costs, supra,</w:t>
      </w:r>
      <w:r w:rsidRPr="00300A27">
        <w:rPr>
          <w:lang w:val="en-US"/>
        </w:rPr>
        <w:t xml:space="preserve"> para. 100, and </w:t>
      </w:r>
      <w:r w:rsidRPr="00300A27">
        <w:rPr>
          <w:i/>
          <w:iCs/>
          <w:lang w:val="en-US"/>
        </w:rPr>
        <w:t>Case of Valenzuela Ávila v. Guatemala. Merits, reparations and costs, supra</w:t>
      </w:r>
      <w:r w:rsidRPr="00300A27">
        <w:rPr>
          <w:lang w:val="en-US"/>
        </w:rPr>
        <w:t>, para. 183.</w:t>
      </w:r>
    </w:p>
  </w:footnote>
  <w:footnote w:id="192">
    <w:p w14:paraId="03344549" w14:textId="2FD8B927"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Cabrera García and Montiel Flores v. Mexico. Preliminary objection, merits, reparations and costs, supra</w:t>
      </w:r>
      <w:r w:rsidRPr="00300A27">
        <w:rPr>
          <w:lang w:val="en-US"/>
        </w:rPr>
        <w:t xml:space="preserve">, para. 113, and </w:t>
      </w:r>
      <w:r w:rsidRPr="00300A27">
        <w:rPr>
          <w:i/>
          <w:iCs/>
          <w:lang w:val="en-US"/>
        </w:rPr>
        <w:t>Case of Espinoza Gonzáles v. Peru. Preliminary objections, merits, reparations and costs, supra</w:t>
      </w:r>
      <w:r w:rsidRPr="00300A27">
        <w:rPr>
          <w:lang w:val="en-US"/>
        </w:rPr>
        <w:t>, para. 150.</w:t>
      </w:r>
    </w:p>
  </w:footnote>
  <w:footnote w:id="193">
    <w:p w14:paraId="0752BB4B" w14:textId="41E1B8B9"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Fernández Ortega et al.. v. Mexico. Preliminary objection, merits, reparations and costs, supra</w:t>
      </w:r>
      <w:r w:rsidRPr="00300A27">
        <w:rPr>
          <w:lang w:val="en-US"/>
        </w:rPr>
        <w:t xml:space="preserve">, para. 105, and </w:t>
      </w:r>
      <w:r w:rsidRPr="00300A27">
        <w:rPr>
          <w:i/>
          <w:iCs/>
          <w:lang w:val="en-US"/>
        </w:rPr>
        <w:t>Case of Alvarado Espinoza et al. v. Mexico. Merits, reparations and costs</w:t>
      </w:r>
      <w:r w:rsidRPr="00300A27">
        <w:rPr>
          <w:lang w:val="en-US"/>
        </w:rPr>
        <w:t>. Judgment of November 28, 2018. Series C No. 370, para. 187.</w:t>
      </w:r>
    </w:p>
  </w:footnote>
  <w:footnote w:id="194">
    <w:p w14:paraId="0BE7E173" w14:textId="11BA2354" w:rsidR="00300A27" w:rsidRPr="00300A27" w:rsidRDefault="00300A27" w:rsidP="00F756EF">
      <w:pPr>
        <w:pStyle w:val="Textonotapie"/>
        <w:spacing w:before="0" w:after="80"/>
        <w:rPr>
          <w:i/>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Rosendo Cantú et al. v. Mexico. Preliminary objection, merits, reparations and costs</w:t>
      </w:r>
      <w:r w:rsidRPr="00300A27">
        <w:rPr>
          <w:lang w:val="en-US"/>
        </w:rPr>
        <w:t xml:space="preserve">. Judgment of August 31, 2010. Series C No. 216, para. 95, and </w:t>
      </w:r>
      <w:r w:rsidRPr="00300A27">
        <w:rPr>
          <w:i/>
          <w:iCs/>
          <w:lang w:val="en-US"/>
        </w:rPr>
        <w:t>Case of Espinoza Gonzáles v. Peru. Preliminary objections, merits, reparations and costs, supra</w:t>
      </w:r>
      <w:r w:rsidRPr="00300A27">
        <w:rPr>
          <w:lang w:val="en-US"/>
        </w:rPr>
        <w:t>, para. 150.</w:t>
      </w:r>
    </w:p>
  </w:footnote>
  <w:footnote w:id="195">
    <w:p w14:paraId="0BD3BD6E" w14:textId="5F3B0E60"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Forensic Medical Certificate of February 29, 2008 (evidence file, folio 2193).</w:t>
      </w:r>
    </w:p>
  </w:footnote>
  <w:footnote w:id="196">
    <w:p w14:paraId="527710E6" w14:textId="62908BE3"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Medical ratification procedure of April 22, 2008 (evidence file, folios 5473 and 5474). </w:t>
      </w:r>
    </w:p>
  </w:footnote>
  <w:footnote w:id="197">
    <w:p w14:paraId="1F25863C" w14:textId="5E536F36" w:rsidR="00300A27" w:rsidRPr="00300A27" w:rsidRDefault="00300A27" w:rsidP="00361837">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Medical ratification procedure of July 4, 2019 (evidence file, folio 5671).</w:t>
      </w:r>
    </w:p>
  </w:footnote>
  <w:footnote w:id="198">
    <w:p w14:paraId="0A90637E" w14:textId="4125D4A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Forensic Medical Certificate of November 4, 2019 (evidence file, folios 5469 to 5471). </w:t>
      </w:r>
    </w:p>
  </w:footnote>
  <w:footnote w:id="199">
    <w:p w14:paraId="5516EAB8" w14:textId="6193CF06"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J. v. Peru. Preliminary objection, merits, reparations and costs, supra</w:t>
      </w:r>
      <w:r w:rsidRPr="00300A27">
        <w:rPr>
          <w:lang w:val="en-US"/>
        </w:rPr>
        <w:t xml:space="preserve">, para. 329, and </w:t>
      </w:r>
      <w:r w:rsidRPr="00300A27">
        <w:rPr>
          <w:i/>
          <w:iCs/>
          <w:lang w:val="en-US"/>
        </w:rPr>
        <w:t>Case of Valenzuela Ávila v. Guatemala. Merits, reparations and costs, supra</w:t>
      </w:r>
      <w:r w:rsidRPr="00300A27">
        <w:rPr>
          <w:lang w:val="en-US"/>
        </w:rPr>
        <w:t>, para. 192.</w:t>
      </w:r>
    </w:p>
  </w:footnote>
  <w:footnote w:id="200">
    <w:p w14:paraId="6B3772CD" w14:textId="1DA4BE28"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Fernández Ortega et al.. v. Mexico. Preliminary objection, merits, reparations and costs, supra</w:t>
      </w:r>
      <w:r w:rsidRPr="00300A27">
        <w:rPr>
          <w:lang w:val="en-US"/>
        </w:rPr>
        <w:t xml:space="preserve">, para. 124, and </w:t>
      </w:r>
      <w:r w:rsidRPr="00300A27">
        <w:rPr>
          <w:i/>
          <w:iCs/>
          <w:lang w:val="en-US"/>
        </w:rPr>
        <w:t>Case of Valenzuela Ávila v. Guatemala. Merits, reparations and costs, supra</w:t>
      </w:r>
      <w:r w:rsidRPr="00300A27">
        <w:rPr>
          <w:lang w:val="en-US"/>
        </w:rPr>
        <w:t>, para. 185.</w:t>
      </w:r>
    </w:p>
  </w:footnote>
  <w:footnote w:id="201">
    <w:p w14:paraId="33BBC0E1" w14:textId="39FEE901" w:rsidR="00300A27" w:rsidRPr="00300A27" w:rsidRDefault="00300A27" w:rsidP="000825A3">
      <w:pPr>
        <w:pStyle w:val="Textonotapie"/>
        <w:rPr>
          <w:lang w:val="en-US"/>
        </w:rPr>
      </w:pPr>
      <w:r w:rsidRPr="00300A27">
        <w:rPr>
          <w:rStyle w:val="Refdenotaalpie"/>
        </w:rPr>
        <w:footnoteRef/>
      </w:r>
      <w:r w:rsidRPr="00300A27">
        <w:rPr>
          <w:lang w:val="en-US"/>
        </w:rPr>
        <w:t xml:space="preserve"> </w:t>
      </w:r>
      <w:r w:rsidRPr="00300A27">
        <w:rPr>
          <w:lang w:val="en-US"/>
        </w:rPr>
        <w:tab/>
      </w:r>
      <w:r w:rsidRPr="00300A27">
        <w:rPr>
          <w:i/>
          <w:iCs/>
          <w:lang w:val="en-US"/>
        </w:rPr>
        <w:t>Cf.</w:t>
      </w:r>
      <w:r w:rsidRPr="00300A27">
        <w:rPr>
          <w:lang w:val="en-US"/>
        </w:rPr>
        <w:t xml:space="preserve"> Expert report of March 12, 2008 (</w:t>
      </w:r>
      <w:r w:rsidR="00AD6356">
        <w:rPr>
          <w:lang w:val="en-US"/>
        </w:rPr>
        <w:t>evidence file</w:t>
      </w:r>
      <w:r w:rsidRPr="00300A27">
        <w:rPr>
          <w:lang w:val="en-US"/>
        </w:rPr>
        <w:t>, folio 2236).</w:t>
      </w:r>
    </w:p>
  </w:footnote>
  <w:footnote w:id="202">
    <w:p w14:paraId="6060380A" w14:textId="1270C569"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Expert report of March 11, 2008 (evidence file, folio 2238).</w:t>
      </w:r>
    </w:p>
  </w:footnote>
  <w:footnote w:id="203">
    <w:p w14:paraId="6652C3C1" w14:textId="70B239A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Loayza Tamayo v. Peru. Merits.</w:t>
      </w:r>
      <w:r w:rsidRPr="00300A27">
        <w:rPr>
          <w:lang w:val="en-US"/>
        </w:rPr>
        <w:t xml:space="preserve"> Judgment of September </w:t>
      </w:r>
      <w:r w:rsidR="00AD6356">
        <w:rPr>
          <w:lang w:val="en-US"/>
        </w:rPr>
        <w:t>1</w:t>
      </w:r>
      <w:r w:rsidRPr="00300A27">
        <w:rPr>
          <w:lang w:val="en-US"/>
        </w:rPr>
        <w:t xml:space="preserve">7, 1997. Series C No. 33, para. 57, and </w:t>
      </w:r>
      <w:r w:rsidRPr="00300A27">
        <w:rPr>
          <w:i/>
          <w:iCs/>
          <w:lang w:val="en-US"/>
        </w:rPr>
        <w:t>Case of Díaz Loreto et al. v. Venezuela. Preliminary objections, merits, reparations and costs</w:t>
      </w:r>
      <w:r w:rsidRPr="00300A27">
        <w:rPr>
          <w:lang w:val="en-US"/>
        </w:rPr>
        <w:t>. Judgment of November 19, 2019. Series C No. 392, para. 91.</w:t>
      </w:r>
    </w:p>
  </w:footnote>
  <w:footnote w:id="204">
    <w:p w14:paraId="102CA114" w14:textId="588C318B" w:rsidR="00300A27" w:rsidRPr="00300A27" w:rsidRDefault="00300A27" w:rsidP="00F756EF">
      <w:pPr>
        <w:pStyle w:val="Textonotapie"/>
        <w:spacing w:before="0" w:after="80"/>
        <w:rPr>
          <w:b/>
          <w:bCs/>
          <w:i/>
          <w:iCs/>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Loayza Tamayo v. Peru. Merits, supra</w:t>
      </w:r>
      <w:r w:rsidRPr="00300A27">
        <w:rPr>
          <w:lang w:val="en-US"/>
        </w:rPr>
        <w:t xml:space="preserve">, paras. 57 and 58, and </w:t>
      </w:r>
      <w:r w:rsidRPr="00300A27">
        <w:rPr>
          <w:i/>
          <w:iCs/>
          <w:lang w:val="en-US"/>
        </w:rPr>
        <w:t xml:space="preserve">Case of Montesinos Mejía v. Ecuador. Preliminary objections, merits, reparations and costs, supra, </w:t>
      </w:r>
      <w:r w:rsidRPr="00300A27">
        <w:rPr>
          <w:lang w:val="en-US"/>
        </w:rPr>
        <w:t>para. 150.</w:t>
      </w:r>
    </w:p>
  </w:footnote>
  <w:footnote w:id="205">
    <w:p w14:paraId="1B2C2734" w14:textId="385CBF88" w:rsidR="00300A27" w:rsidRPr="00300A27" w:rsidRDefault="00300A27" w:rsidP="00F756EF">
      <w:pPr>
        <w:tabs>
          <w:tab w:val="left" w:pos="567"/>
        </w:tabs>
        <w:spacing w:after="80"/>
        <w:jc w:val="both"/>
        <w:rPr>
          <w:rFonts w:eastAsia="Times New Roman"/>
          <w:sz w:val="16"/>
          <w:szCs w:val="16"/>
          <w:lang w:eastAsia="es-ES"/>
        </w:rPr>
      </w:pPr>
      <w:r w:rsidRPr="00300A27">
        <w:rPr>
          <w:rStyle w:val="Refdenotaalpie"/>
          <w:sz w:val="16"/>
          <w:szCs w:val="16"/>
        </w:rPr>
        <w:footnoteRef/>
      </w:r>
      <w:r w:rsidRPr="00300A27">
        <w:rPr>
          <w:sz w:val="16"/>
          <w:szCs w:val="16"/>
        </w:rPr>
        <w:t xml:space="preserve">  </w:t>
      </w:r>
      <w:r w:rsidRPr="00300A27">
        <w:rPr>
          <w:sz w:val="16"/>
          <w:szCs w:val="16"/>
        </w:rPr>
        <w:tab/>
      </w:r>
      <w:r w:rsidRPr="00300A27">
        <w:rPr>
          <w:i/>
          <w:iCs/>
          <w:sz w:val="16"/>
          <w:szCs w:val="16"/>
        </w:rPr>
        <w:t>Cf. Case of Bueno Alves v. Argentina. Merits, reparations and costs.</w:t>
      </w:r>
      <w:r w:rsidRPr="00300A27">
        <w:rPr>
          <w:sz w:val="16"/>
          <w:szCs w:val="16"/>
        </w:rPr>
        <w:t xml:space="preserve"> Judgment of May 11, 2007. Series C No. 164, para. 79, and </w:t>
      </w:r>
      <w:r w:rsidRPr="00300A27">
        <w:rPr>
          <w:i/>
          <w:iCs/>
          <w:sz w:val="16"/>
          <w:szCs w:val="16"/>
        </w:rPr>
        <w:t>Case of Ruiz Fuentes et al. v. Guatemala. Preliminary objection, merits, reparations and costs</w:t>
      </w:r>
      <w:r w:rsidRPr="00300A27">
        <w:rPr>
          <w:sz w:val="16"/>
          <w:szCs w:val="16"/>
        </w:rPr>
        <w:t>. Judgment of October 10, 2019. Series C No. 385, para. 129.</w:t>
      </w:r>
    </w:p>
  </w:footnote>
  <w:footnote w:id="206">
    <w:p w14:paraId="07E8AC71" w14:textId="2C754D07" w:rsidR="00300A27" w:rsidRPr="00300A27" w:rsidRDefault="00300A27" w:rsidP="00F756EF">
      <w:pPr>
        <w:tabs>
          <w:tab w:val="left" w:pos="567"/>
        </w:tabs>
        <w:spacing w:after="80"/>
        <w:jc w:val="both"/>
        <w:rPr>
          <w:rFonts w:eastAsia="Times New Roman"/>
          <w:sz w:val="16"/>
          <w:szCs w:val="16"/>
          <w:lang w:eastAsia="es-ES"/>
        </w:rPr>
      </w:pPr>
      <w:r w:rsidRPr="00300A27">
        <w:rPr>
          <w:rStyle w:val="Refdenotaalpie"/>
          <w:sz w:val="16"/>
          <w:szCs w:val="16"/>
        </w:rPr>
        <w:footnoteRef/>
      </w:r>
      <w:r w:rsidRPr="00300A27">
        <w:rPr>
          <w:sz w:val="16"/>
          <w:szCs w:val="16"/>
        </w:rPr>
        <w:tab/>
      </w:r>
      <w:r w:rsidRPr="00300A27">
        <w:rPr>
          <w:i/>
          <w:iCs/>
          <w:sz w:val="16"/>
          <w:szCs w:val="16"/>
        </w:rPr>
        <w:t>Cf. Case of Cantoral Benavides v. Peru. Reparations and costs</w:t>
      </w:r>
      <w:r w:rsidRPr="00300A27">
        <w:rPr>
          <w:sz w:val="16"/>
          <w:szCs w:val="16"/>
        </w:rPr>
        <w:t xml:space="preserve">. Judgment of December 3, 2001. Series C No. 88, para. 102, and </w:t>
      </w:r>
      <w:r w:rsidRPr="00300A27">
        <w:rPr>
          <w:i/>
          <w:iCs/>
          <w:sz w:val="16"/>
          <w:szCs w:val="16"/>
        </w:rPr>
        <w:t>Case of Women Victims of Sexual Torture in Atenco v. Mexico. Preliminary objection, merits, reparations and costs, supra</w:t>
      </w:r>
      <w:r w:rsidRPr="00300A27">
        <w:rPr>
          <w:sz w:val="16"/>
          <w:szCs w:val="16"/>
        </w:rPr>
        <w:t>, para. 192.</w:t>
      </w:r>
    </w:p>
  </w:footnote>
  <w:footnote w:id="207">
    <w:p w14:paraId="042C2786" w14:textId="515FC0AA" w:rsidR="00300A27" w:rsidRPr="00300A27" w:rsidRDefault="00300A27" w:rsidP="00F756EF">
      <w:pPr>
        <w:tabs>
          <w:tab w:val="left" w:pos="567"/>
        </w:tabs>
        <w:spacing w:after="80"/>
        <w:jc w:val="both"/>
        <w:rPr>
          <w:rFonts w:eastAsia="Times New Roman"/>
          <w:sz w:val="16"/>
          <w:szCs w:val="16"/>
          <w:lang w:eastAsia="es-ES"/>
        </w:rPr>
      </w:pPr>
      <w:r w:rsidRPr="00300A27">
        <w:rPr>
          <w:rStyle w:val="Refdenotaalpie"/>
          <w:sz w:val="16"/>
          <w:szCs w:val="16"/>
        </w:rPr>
        <w:footnoteRef/>
      </w:r>
      <w:r w:rsidRPr="00300A27">
        <w:rPr>
          <w:sz w:val="16"/>
          <w:szCs w:val="16"/>
        </w:rPr>
        <w:t xml:space="preserve">  </w:t>
      </w:r>
      <w:r w:rsidRPr="00300A27">
        <w:rPr>
          <w:sz w:val="16"/>
          <w:szCs w:val="16"/>
        </w:rPr>
        <w:tab/>
      </w:r>
      <w:r w:rsidRPr="00300A27">
        <w:rPr>
          <w:i/>
          <w:iCs/>
          <w:sz w:val="16"/>
          <w:szCs w:val="16"/>
        </w:rPr>
        <w:t>Cf. Case of Rosendo Cantú et al. v. Mexico. Preliminary objection, merits, reparations and costs, supra</w:t>
      </w:r>
      <w:r w:rsidRPr="00300A27">
        <w:rPr>
          <w:sz w:val="16"/>
          <w:szCs w:val="16"/>
        </w:rPr>
        <w:t xml:space="preserve">, paras. 110 and 112, and </w:t>
      </w:r>
      <w:r w:rsidRPr="00300A27">
        <w:rPr>
          <w:i/>
          <w:iCs/>
          <w:sz w:val="16"/>
          <w:szCs w:val="16"/>
        </w:rPr>
        <w:t>Case of Women Victims of Sexual Torture in Atenco v. Mexico. Preliminary objection, merits, reparations and costs, supra</w:t>
      </w:r>
      <w:r w:rsidRPr="00300A27">
        <w:rPr>
          <w:sz w:val="16"/>
          <w:szCs w:val="16"/>
        </w:rPr>
        <w:t>, para. 193.</w:t>
      </w:r>
    </w:p>
  </w:footnote>
  <w:footnote w:id="208">
    <w:p w14:paraId="2CF4E332" w14:textId="5A1190B5" w:rsidR="00300A27" w:rsidRPr="00300A27" w:rsidRDefault="00300A27" w:rsidP="00F756EF">
      <w:pPr>
        <w:tabs>
          <w:tab w:val="left" w:pos="567"/>
        </w:tabs>
        <w:spacing w:after="80"/>
        <w:jc w:val="both"/>
        <w:rPr>
          <w:rFonts w:eastAsia="Times New Roman"/>
          <w:sz w:val="16"/>
          <w:szCs w:val="16"/>
          <w:lang w:eastAsia="es-ES"/>
        </w:rPr>
      </w:pPr>
      <w:r w:rsidRPr="00300A27">
        <w:rPr>
          <w:rStyle w:val="Refdenotaalpie"/>
          <w:sz w:val="16"/>
          <w:szCs w:val="16"/>
        </w:rPr>
        <w:footnoteRef/>
      </w:r>
      <w:r w:rsidRPr="00300A27">
        <w:rPr>
          <w:sz w:val="16"/>
          <w:szCs w:val="16"/>
        </w:rPr>
        <w:t xml:space="preserve"> </w:t>
      </w:r>
      <w:r w:rsidRPr="00300A27">
        <w:rPr>
          <w:sz w:val="16"/>
          <w:szCs w:val="16"/>
        </w:rPr>
        <w:tab/>
      </w:r>
      <w:r w:rsidRPr="00300A27">
        <w:rPr>
          <w:i/>
          <w:iCs/>
          <w:sz w:val="16"/>
          <w:szCs w:val="16"/>
        </w:rPr>
        <w:t>Cf. Case of Fernández Ortega et al. v. Mexico. Preliminary objection, merits, reparations and costs, supra</w:t>
      </w:r>
      <w:r w:rsidRPr="00300A27">
        <w:rPr>
          <w:sz w:val="16"/>
          <w:szCs w:val="16"/>
        </w:rPr>
        <w:t xml:space="preserve">, para. 128, and </w:t>
      </w:r>
      <w:r w:rsidRPr="00300A27">
        <w:rPr>
          <w:i/>
          <w:iCs/>
          <w:sz w:val="16"/>
          <w:szCs w:val="16"/>
        </w:rPr>
        <w:t>Case of Women Victims of Sexual Torture in Atenco v. Mexico. Preliminary objection, merits, reparations and costs, supra</w:t>
      </w:r>
      <w:r w:rsidRPr="00300A27">
        <w:rPr>
          <w:sz w:val="16"/>
          <w:szCs w:val="16"/>
        </w:rPr>
        <w:t>, para. 193.</w:t>
      </w:r>
    </w:p>
  </w:footnote>
  <w:footnote w:id="209">
    <w:p w14:paraId="49BCD2C0" w14:textId="5F0F552E"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the Miguel Castro Castro Prison v. Peru. Merits, reparations and costs, supra,</w:t>
      </w:r>
      <w:r w:rsidRPr="00300A27">
        <w:rPr>
          <w:lang w:val="en-US"/>
        </w:rPr>
        <w:t xml:space="preserve"> para. 311, and </w:t>
      </w:r>
      <w:r w:rsidRPr="00300A27">
        <w:rPr>
          <w:i/>
          <w:iCs/>
          <w:lang w:val="en-US"/>
        </w:rPr>
        <w:t xml:space="preserve">Case of López Soto et al. v. Venezuela. Merits, reparations and costs. </w:t>
      </w:r>
      <w:r w:rsidRPr="00300A27">
        <w:rPr>
          <w:lang w:val="en-US"/>
        </w:rPr>
        <w:t>Judgment of September 26, 2018. Series C No. 362, para. 187.</w:t>
      </w:r>
    </w:p>
  </w:footnote>
  <w:footnote w:id="210">
    <w:p w14:paraId="6BEDE491" w14:textId="6A2C071C"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Expansion of the statement made by Azul Rojas Marín at the Casa Grande Police Station on March 6, 2008 (evidence file, folio 2819).</w:t>
      </w:r>
    </w:p>
  </w:footnote>
  <w:footnote w:id="211">
    <w:p w14:paraId="20668032" w14:textId="7FA5FFCF"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Expansion of the statement made by Azul Rojas Marín at the Casa Grande Police Station on March 6, 2008 (evidence file, folio 2819).</w:t>
      </w:r>
    </w:p>
  </w:footnote>
  <w:footnote w:id="212">
    <w:p w14:paraId="1750B8D6" w14:textId="5EBE785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Rosendo Cantú et al. v. Mexico. Preliminary objection, merits, reparations and costs, supra</w:t>
      </w:r>
      <w:r w:rsidRPr="00300A27">
        <w:rPr>
          <w:lang w:val="en-US"/>
        </w:rPr>
        <w:t xml:space="preserve">, para. 117, and </w:t>
      </w:r>
      <w:r w:rsidRPr="00300A27">
        <w:rPr>
          <w:i/>
          <w:iCs/>
          <w:lang w:val="en-US"/>
        </w:rPr>
        <w:t>Case of Women Victims of Sexual Torture in Atenco v. Mexico. Preliminary objection, merits, reparations and costs, supra</w:t>
      </w:r>
      <w:r w:rsidRPr="00300A27">
        <w:rPr>
          <w:lang w:val="en-US"/>
        </w:rPr>
        <w:t>, para. 193.</w:t>
      </w:r>
    </w:p>
  </w:footnote>
  <w:footnote w:id="213">
    <w:p w14:paraId="2C52E745" w14:textId="0F37E7FD" w:rsidR="00300A27" w:rsidRPr="00300A27" w:rsidRDefault="00300A27" w:rsidP="00F756EF">
      <w:pPr>
        <w:pStyle w:val="Textonotapie"/>
        <w:spacing w:before="0" w:after="80"/>
        <w:rPr>
          <w:i/>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Affidavit of Juan Ernesto Méndez of August 1 2019  (evidence file, folios 3401 and 3402)</w:t>
      </w:r>
    </w:p>
  </w:footnote>
  <w:footnote w:id="214">
    <w:p w14:paraId="77C95B33" w14:textId="101D61DC" w:rsidR="00300A27" w:rsidRPr="00300A27" w:rsidRDefault="00300A27" w:rsidP="00F756EF">
      <w:pPr>
        <w:pStyle w:val="Textonotapie"/>
        <w:spacing w:before="0" w:after="80"/>
        <w:rPr>
          <w:b/>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 xml:space="preserve">Statement made by María Mercedes Gómez during the public hearing held in this case. </w:t>
      </w:r>
    </w:p>
  </w:footnote>
  <w:footnote w:id="215">
    <w:p w14:paraId="037F1504" w14:textId="38FD66CC"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Verbal complaint made by Azul Rojas Marín at the Casa Grande Police Station on February 27, 2008 (evidence file, folio 2793); Statement made by Azul Rojas Marín at the Casa Grande Police Station on February 28, 2008 (evidence file, folio 2811); Expansion of the statement made by Azul Rojas Marín at the Casa Grande Police Station on March 6, 2008 (evidence file, folio 2815); Video 1 of the inspection and reconstruction procedure on August 15, 2008 (evidence file, folder of audiovisual material, minutes 00:00 to 00:22, 01:10 to 02:38, 4:02 to 4:38 and 11:11 to 12:48), and Statement made by Azul Rojas Marín at the public hearing on merits before the Inter-American Commission on December 1, 2016.</w:t>
      </w:r>
    </w:p>
  </w:footnote>
  <w:footnote w:id="216">
    <w:p w14:paraId="0983F8F2" w14:textId="7E5AA856"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Articles 8 and 25 of the Convention.</w:t>
      </w:r>
    </w:p>
  </w:footnote>
  <w:footnote w:id="217">
    <w:p w14:paraId="76E1CAD6" w14:textId="0DB22F4F" w:rsidR="00300A27" w:rsidRPr="00300A27" w:rsidRDefault="00300A27" w:rsidP="00F756EF">
      <w:pPr>
        <w:pStyle w:val="Textonotapie"/>
        <w:spacing w:before="0" w:after="80"/>
        <w:rPr>
          <w:lang w:val="en-US"/>
        </w:rPr>
      </w:pPr>
      <w:r w:rsidRPr="00300A27">
        <w:rPr>
          <w:rStyle w:val="Refdenotaalpie"/>
          <w:lang w:val="en-US"/>
        </w:rPr>
        <w:footnoteRef/>
      </w:r>
      <w:r w:rsidRPr="00300A27">
        <w:t xml:space="preserve"> </w:t>
      </w:r>
      <w:r w:rsidRPr="00300A27">
        <w:tab/>
      </w:r>
      <w:r w:rsidRPr="00300A27">
        <w:rPr>
          <w:i/>
        </w:rPr>
        <w:t xml:space="preserve">Cf. Case of Velásquez Rodríguez v. Honduras. </w:t>
      </w:r>
      <w:r w:rsidRPr="00300A27">
        <w:rPr>
          <w:i/>
          <w:lang w:val="en-US"/>
        </w:rPr>
        <w:t xml:space="preserve">Preliminary objections, supra, </w:t>
      </w:r>
      <w:r w:rsidRPr="00300A27">
        <w:rPr>
          <w:iCs/>
          <w:lang w:val="en-US"/>
        </w:rPr>
        <w:t xml:space="preserve">para. 91, and </w:t>
      </w:r>
      <w:r w:rsidRPr="00300A27">
        <w:rPr>
          <w:i/>
          <w:lang w:val="en-US"/>
        </w:rPr>
        <w:t xml:space="preserve">Case of Gómez Virula et al. v. Guatemala. Preliminary objection, merits, reparations and costs. </w:t>
      </w:r>
      <w:r w:rsidRPr="00300A27">
        <w:rPr>
          <w:iCs/>
          <w:lang w:val="en-US"/>
        </w:rPr>
        <w:t>Judgment of November 21, 2019. Series C No. 393, para. 64.</w:t>
      </w:r>
    </w:p>
  </w:footnote>
  <w:footnote w:id="218">
    <w:p w14:paraId="4F2F7884" w14:textId="122336A2"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Bulacio v. Argentina. Merits, reparations and costs</w:t>
      </w:r>
      <w:r w:rsidRPr="00300A27">
        <w:rPr>
          <w:lang w:val="en-US"/>
        </w:rPr>
        <w:t xml:space="preserve">. Judgment of September 18, 2003. Series C No. 100, para. 114, and </w:t>
      </w:r>
      <w:r w:rsidRPr="00300A27">
        <w:rPr>
          <w:i/>
          <w:iCs/>
          <w:lang w:val="en-US"/>
        </w:rPr>
        <w:t>Case of Gómez Virula et al. v. Guatemala. Preliminary objection, merits, reparations and costs, supra,</w:t>
      </w:r>
      <w:r w:rsidRPr="00300A27">
        <w:rPr>
          <w:lang w:val="en-US"/>
        </w:rPr>
        <w:t xml:space="preserve"> para. 86.</w:t>
      </w:r>
    </w:p>
  </w:footnote>
  <w:footnote w:id="219">
    <w:p w14:paraId="6B2F34B2" w14:textId="7A6CC897" w:rsidR="00300A27" w:rsidRPr="00300A27" w:rsidRDefault="00300A27" w:rsidP="00F756EF">
      <w:pPr>
        <w:pStyle w:val="Textonotapie"/>
        <w:spacing w:before="0" w:after="80"/>
        <w:rPr>
          <w:i/>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Gutiérrez Soler v. Colombia</w:t>
      </w:r>
      <w:r w:rsidRPr="00300A27">
        <w:rPr>
          <w:lang w:val="en-US"/>
        </w:rPr>
        <w:t xml:space="preserve">. Judgment of September 12, 2005. Series C No. 132, para. 54, and </w:t>
      </w:r>
      <w:r w:rsidRPr="00300A27">
        <w:rPr>
          <w:i/>
          <w:iCs/>
          <w:lang w:val="en-US"/>
        </w:rPr>
        <w:t>Case of Montesinos Mejía v. Ecuador. Preliminary objections, merits, reparations and costs, supra</w:t>
      </w:r>
      <w:r w:rsidRPr="00300A27">
        <w:rPr>
          <w:lang w:val="en-US"/>
        </w:rPr>
        <w:t>, para. 151.</w:t>
      </w:r>
    </w:p>
  </w:footnote>
  <w:footnote w:id="220">
    <w:p w14:paraId="773C8497" w14:textId="4221618F"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Quispialaya Vilcapoma v. Peru. Preliminary objections, merits, reparations and costs</w:t>
      </w:r>
      <w:r w:rsidRPr="00300A27">
        <w:rPr>
          <w:lang w:val="en-US"/>
        </w:rPr>
        <w:t xml:space="preserve">. Judgment of November 23, 2015. Series C No. 308, para. 207.  </w:t>
      </w:r>
    </w:p>
  </w:footnote>
  <w:footnote w:id="221">
    <w:p w14:paraId="0D057B37" w14:textId="059B282E"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In her first statement, the presumed victim indicated that a police agent refused to receive it because “the major had told him that he could not receive the complaint at the police station.” Subsequently, in the expansion of her statement, she indicated that he could not receive it “because the major was not there.” </w:t>
      </w:r>
      <w:r w:rsidRPr="00300A27">
        <w:rPr>
          <w:i/>
          <w:lang w:val="en-US"/>
        </w:rPr>
        <w:t>Cf.</w:t>
      </w:r>
      <w:r w:rsidRPr="00300A27">
        <w:rPr>
          <w:lang w:val="en-US"/>
        </w:rPr>
        <w:t xml:space="preserve"> Statement made by Azul Rojas Marín at the Casa Grande Police Station on February 28, 2008 (evidence file, folios 2811 and 2812), and Expansion of the statement made by Azul Rojas Marín at the Casa Grande Police Station on March 6, 2008 (evidence file, folio 2817).</w:t>
      </w:r>
    </w:p>
  </w:footnote>
  <w:footnote w:id="222">
    <w:p w14:paraId="2654ABD9" w14:textId="0638443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In particular, the police major denied that he had given orders not to receive the presumed victim’s complaint. Another police agent, DPP, indicated that he was unaware whether the presumed victim had come to the police station to file a complaint, “but, if that had been the case, the agent on guard would have advised me that [she] wanted to file a complaint because I am in charge of investigations.” Lastly, the agent who supposedly had refused to receive the complaint indicated that Ms. Rojas Marín had not come to the police station to file a complaint on either February 25 or 26, 2008. He also affirmed that it was false that he had said that he could not receive the complaint. </w:t>
      </w:r>
      <w:r w:rsidRPr="00300A27">
        <w:rPr>
          <w:i/>
          <w:lang w:val="en-US"/>
        </w:rPr>
        <w:t>Cf.</w:t>
      </w:r>
      <w:r w:rsidRPr="00300A27">
        <w:rPr>
          <w:lang w:val="en-US"/>
        </w:rPr>
        <w:t xml:space="preserve"> Statement made by the major of the Peruvian National Police before the Second Provincial Corporate Criminal Prosecution Service of Ascope on April 18, 2008 (evidence file, folio 2785); Statement made by DPP at the Casa Grande Police Station on March 7, 2008 (evidence file, folio 2770), and Statement made by JVP at the Casa Grande Police Station on April 22, 2008 (evidence file, folio 2781).</w:t>
      </w:r>
    </w:p>
  </w:footnote>
  <w:footnote w:id="223">
    <w:p w14:paraId="33170E64" w14:textId="6DEACD9C" w:rsidR="00300A27" w:rsidRPr="00300A27" w:rsidRDefault="00300A27" w:rsidP="00F756EF">
      <w:pPr>
        <w:tabs>
          <w:tab w:val="left" w:pos="567"/>
        </w:tabs>
        <w:spacing w:after="80"/>
        <w:jc w:val="both"/>
        <w:rPr>
          <w:rFonts w:eastAsia="Times New Roman"/>
          <w:sz w:val="16"/>
          <w:szCs w:val="16"/>
          <w:lang w:eastAsia="es-ES"/>
        </w:rPr>
      </w:pPr>
      <w:r w:rsidRPr="00300A27">
        <w:rPr>
          <w:rStyle w:val="Refdenotaalpie"/>
          <w:sz w:val="16"/>
          <w:szCs w:val="16"/>
        </w:rPr>
        <w:footnoteRef/>
      </w:r>
      <w:r w:rsidRPr="00300A27">
        <w:rPr>
          <w:sz w:val="16"/>
          <w:szCs w:val="16"/>
          <w:lang w:val="es-CR"/>
        </w:rPr>
        <w:t xml:space="preserve">  </w:t>
      </w:r>
      <w:r w:rsidRPr="00300A27">
        <w:rPr>
          <w:sz w:val="16"/>
          <w:szCs w:val="16"/>
          <w:lang w:val="es-CR"/>
        </w:rPr>
        <w:tab/>
      </w:r>
      <w:r w:rsidRPr="00300A27">
        <w:rPr>
          <w:i/>
          <w:iCs/>
          <w:sz w:val="16"/>
          <w:szCs w:val="16"/>
          <w:lang w:val="es-CR"/>
        </w:rPr>
        <w:t xml:space="preserve">Cf. Case of Fernández Ortega et al. v. Mexico. </w:t>
      </w:r>
      <w:r w:rsidRPr="00300A27">
        <w:rPr>
          <w:i/>
          <w:iCs/>
          <w:sz w:val="16"/>
          <w:szCs w:val="16"/>
        </w:rPr>
        <w:t>Preliminary objection, merits, reparations and costs, supra</w:t>
      </w:r>
      <w:r w:rsidRPr="00300A27">
        <w:rPr>
          <w:sz w:val="16"/>
          <w:szCs w:val="16"/>
        </w:rPr>
        <w:t xml:space="preserve">, para. 194, and </w:t>
      </w:r>
      <w:r w:rsidRPr="00300A27">
        <w:rPr>
          <w:i/>
          <w:iCs/>
          <w:sz w:val="16"/>
          <w:szCs w:val="16"/>
        </w:rPr>
        <w:t>Case of Rosendo Cantú et al. v. Mexico. Preliminary objection, merits, reparations and costs, supra</w:t>
      </w:r>
      <w:r w:rsidRPr="00300A27">
        <w:rPr>
          <w:sz w:val="16"/>
          <w:szCs w:val="16"/>
        </w:rPr>
        <w:t>, para. 178.</w:t>
      </w:r>
    </w:p>
  </w:footnote>
  <w:footnote w:id="224">
    <w:p w14:paraId="7C1284F3" w14:textId="6D73D1A6" w:rsidR="00300A27" w:rsidRPr="00300A27" w:rsidRDefault="00300A27" w:rsidP="00F756EF">
      <w:pPr>
        <w:tabs>
          <w:tab w:val="left" w:pos="567"/>
        </w:tabs>
        <w:spacing w:after="80"/>
        <w:jc w:val="both"/>
        <w:rPr>
          <w:rFonts w:eastAsia="Times New Roman"/>
          <w:sz w:val="16"/>
          <w:szCs w:val="16"/>
          <w:lang w:eastAsia="es-ES"/>
        </w:rPr>
      </w:pPr>
      <w:r w:rsidRPr="00300A27">
        <w:rPr>
          <w:rStyle w:val="Refdenotaalpie"/>
          <w:sz w:val="16"/>
          <w:szCs w:val="16"/>
        </w:rPr>
        <w:footnoteRef/>
      </w:r>
      <w:r w:rsidRPr="00300A27">
        <w:rPr>
          <w:sz w:val="16"/>
          <w:szCs w:val="16"/>
        </w:rPr>
        <w:t xml:space="preserve">  </w:t>
      </w:r>
      <w:r w:rsidRPr="00300A27">
        <w:rPr>
          <w:sz w:val="16"/>
          <w:szCs w:val="16"/>
        </w:rPr>
        <w:tab/>
      </w:r>
      <w:r w:rsidRPr="00300A27">
        <w:rPr>
          <w:i/>
          <w:iCs/>
          <w:sz w:val="16"/>
          <w:szCs w:val="16"/>
        </w:rPr>
        <w:t>Cf. Case of Fernández Ortega et al. v. Mexico. Preliminary objection, merits, reparations and costs, supra</w:t>
      </w:r>
      <w:r w:rsidRPr="00300A27">
        <w:rPr>
          <w:sz w:val="16"/>
          <w:szCs w:val="16"/>
        </w:rPr>
        <w:t xml:space="preserve">, para. 194, and </w:t>
      </w:r>
      <w:r w:rsidRPr="00300A27">
        <w:rPr>
          <w:i/>
          <w:iCs/>
          <w:sz w:val="16"/>
          <w:szCs w:val="16"/>
        </w:rPr>
        <w:t>Case of Women Victims of Sexual Torture in Atenco v. Mexico. Preliminary objection, merits, reparations and costs, supra</w:t>
      </w:r>
      <w:r w:rsidRPr="00300A27">
        <w:rPr>
          <w:sz w:val="16"/>
          <w:szCs w:val="16"/>
        </w:rPr>
        <w:t>, 272.</w:t>
      </w:r>
    </w:p>
  </w:footnote>
  <w:footnote w:id="225">
    <w:p w14:paraId="64EE64B4" w14:textId="76AE8D75" w:rsidR="00300A27" w:rsidRPr="00300A27" w:rsidRDefault="00300A27" w:rsidP="00F756EF">
      <w:pPr>
        <w:tabs>
          <w:tab w:val="left" w:pos="567"/>
        </w:tabs>
        <w:spacing w:after="80"/>
        <w:jc w:val="both"/>
        <w:rPr>
          <w:sz w:val="16"/>
          <w:szCs w:val="16"/>
        </w:rPr>
      </w:pPr>
      <w:r w:rsidRPr="00300A27">
        <w:rPr>
          <w:rStyle w:val="Refdenotaalpie"/>
          <w:sz w:val="16"/>
          <w:szCs w:val="16"/>
        </w:rPr>
        <w:footnoteRef/>
      </w:r>
      <w:r w:rsidRPr="00300A27">
        <w:rPr>
          <w:sz w:val="16"/>
          <w:szCs w:val="16"/>
        </w:rPr>
        <w:t xml:space="preserve"> </w:t>
      </w:r>
      <w:r w:rsidRPr="00300A27">
        <w:rPr>
          <w:sz w:val="16"/>
          <w:szCs w:val="16"/>
        </w:rPr>
        <w:tab/>
      </w:r>
      <w:r w:rsidRPr="00300A27">
        <w:rPr>
          <w:i/>
          <w:iCs/>
          <w:sz w:val="16"/>
          <w:szCs w:val="16"/>
        </w:rPr>
        <w:t>Cf. Case of Espinoza Gonzáles v. Peru. Preliminary objections, merits, reparations and costs, supra</w:t>
      </w:r>
      <w:r w:rsidRPr="00300A27">
        <w:rPr>
          <w:sz w:val="16"/>
          <w:szCs w:val="16"/>
        </w:rPr>
        <w:t xml:space="preserve">, para. 248, and </w:t>
      </w:r>
      <w:r w:rsidRPr="00300A27">
        <w:rPr>
          <w:i/>
          <w:iCs/>
          <w:sz w:val="16"/>
          <w:szCs w:val="16"/>
        </w:rPr>
        <w:t>Case of Women Victims of Sexual Torture in Atenco v. Mexico. Preliminary objection, merits, reparations and costs, su</w:t>
      </w:r>
      <w:r w:rsidRPr="00300A27">
        <w:rPr>
          <w:sz w:val="16"/>
          <w:szCs w:val="16"/>
        </w:rPr>
        <w:t>pra, para. 273. See also, United Nations, Office of the United Nations High Commissioner for Human Rights, Istanbul Protocol (</w:t>
      </w:r>
      <w:r w:rsidRPr="00300A27">
        <w:rPr>
          <w:rStyle w:val="st"/>
          <w:sz w:val="16"/>
          <w:szCs w:val="16"/>
        </w:rPr>
        <w:t>Manual on Effective Investigation and Documentation of Torture and Other Cruel, Inhuman or Degrading Treatment or Punishment</w:t>
      </w:r>
      <w:r w:rsidRPr="00300A27">
        <w:rPr>
          <w:sz w:val="16"/>
          <w:szCs w:val="16"/>
        </w:rPr>
        <w:t xml:space="preserve">), New York and Geneva, 2004, paras. 100, and 135 to 141. </w:t>
      </w:r>
      <w:r w:rsidRPr="00300A27">
        <w:rPr>
          <w:rFonts w:eastAsia="Times New Roman"/>
          <w:sz w:val="16"/>
          <w:szCs w:val="16"/>
          <w:lang w:eastAsia="es-ES"/>
        </w:rPr>
        <w:t xml:space="preserve"> </w:t>
      </w:r>
    </w:p>
  </w:footnote>
  <w:footnote w:id="226">
    <w:p w14:paraId="289A414E" w14:textId="557E6D03" w:rsidR="00300A27" w:rsidRPr="00300A27" w:rsidRDefault="00300A27" w:rsidP="00F756EF">
      <w:pPr>
        <w:tabs>
          <w:tab w:val="left" w:pos="567"/>
        </w:tabs>
        <w:spacing w:after="80"/>
        <w:jc w:val="both"/>
        <w:rPr>
          <w:rFonts w:eastAsia="Times New Roman"/>
          <w:sz w:val="16"/>
          <w:szCs w:val="16"/>
          <w:lang w:eastAsia="es-ES"/>
        </w:rPr>
      </w:pPr>
      <w:r w:rsidRPr="00300A27">
        <w:rPr>
          <w:rStyle w:val="Refdenotaalpie"/>
          <w:sz w:val="16"/>
          <w:szCs w:val="16"/>
        </w:rPr>
        <w:footnoteRef/>
      </w:r>
      <w:r w:rsidRPr="00300A27">
        <w:rPr>
          <w:sz w:val="16"/>
          <w:szCs w:val="16"/>
        </w:rPr>
        <w:t xml:space="preserve"> </w:t>
      </w:r>
      <w:r w:rsidRPr="00300A27">
        <w:rPr>
          <w:sz w:val="16"/>
          <w:szCs w:val="16"/>
        </w:rPr>
        <w:tab/>
      </w:r>
      <w:r w:rsidRPr="00300A27">
        <w:rPr>
          <w:i/>
          <w:iCs/>
          <w:sz w:val="16"/>
          <w:szCs w:val="16"/>
        </w:rPr>
        <w:t>Cf. Case of Fernández Ortega et al.. v. Mexico. Preliminary objection, merits, reparations and costs, supra,</w:t>
      </w:r>
      <w:r w:rsidRPr="00300A27">
        <w:rPr>
          <w:sz w:val="16"/>
          <w:szCs w:val="16"/>
        </w:rPr>
        <w:t xml:space="preserve"> para. 194, and </w:t>
      </w:r>
      <w:r w:rsidRPr="00300A27">
        <w:rPr>
          <w:i/>
          <w:iCs/>
          <w:sz w:val="16"/>
          <w:szCs w:val="16"/>
        </w:rPr>
        <w:t>Case of Women Victims of Sexual Torture in Atenco v. Mexico. Preliminary objection, merits, reparations and costs, supra</w:t>
      </w:r>
      <w:r w:rsidRPr="00300A27">
        <w:rPr>
          <w:sz w:val="16"/>
          <w:szCs w:val="16"/>
        </w:rPr>
        <w:t>, para. 273.</w:t>
      </w:r>
    </w:p>
  </w:footnote>
  <w:footnote w:id="227">
    <w:p w14:paraId="41B93014" w14:textId="4BE6F56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Statement made by Azul Rojas at the Casa Grande Police Station on February 28, 2008 (evidence file, folio 2811); Expansion of the statement made by Azul Rojas Marín at the Casa Grande Police Station on March 6, 2008 (evidence file, folio 2815), and Video 1 of the inspection and reconstruction procedure on August 15, 2008 (evidence file, folder of audiovisual material, minutes 00:00 to 00:22, 01:10 to 02:38, 4:02 to 4:38 and 11:11 to 12:48).</w:t>
      </w:r>
    </w:p>
  </w:footnote>
  <w:footnote w:id="228">
    <w:p w14:paraId="66E6A406" w14:textId="7076CE8E"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Forensic Medical Certificate of February 29, 2008 (evidence file, folio 2822).</w:t>
      </w:r>
    </w:p>
  </w:footnote>
  <w:footnote w:id="229">
    <w:p w14:paraId="62726207" w14:textId="368AC6F0"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i/>
          <w:iCs/>
          <w:lang w:val="en-US"/>
        </w:rPr>
        <w:tab/>
        <w:t>Cf.</w:t>
      </w:r>
      <w:r w:rsidRPr="00300A27">
        <w:rPr>
          <w:lang w:val="en-US"/>
        </w:rPr>
        <w:t xml:space="preserve"> Psychological </w:t>
      </w:r>
      <w:r w:rsidR="00557D79">
        <w:rPr>
          <w:lang w:val="en-US"/>
        </w:rPr>
        <w:t xml:space="preserve">assessment </w:t>
      </w:r>
      <w:r w:rsidRPr="00300A27">
        <w:rPr>
          <w:lang w:val="en-US"/>
        </w:rPr>
        <w:t>protocol conducted by the Ascope Forensic Medicine Division of the Institute of Forensic Medicine of the Public Prosecution Service on February 29, 2008 and March 4, 2008 (evidence file, folio 2824).</w:t>
      </w:r>
    </w:p>
  </w:footnote>
  <w:footnote w:id="230">
    <w:p w14:paraId="3B86F86D" w14:textId="2413AA06"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w:t>
      </w:r>
      <w:r w:rsidRPr="00300A27">
        <w:rPr>
          <w:rStyle w:val="Refdenotaalpie"/>
          <w:vertAlign w:val="baseline"/>
          <w:lang w:val="en-US"/>
        </w:rPr>
        <w:t>Psychiatric assessment of S</w:t>
      </w:r>
      <w:r w:rsidRPr="00300A27">
        <w:rPr>
          <w:lang w:val="en-US"/>
        </w:rPr>
        <w:t>eptember 13,</w:t>
      </w:r>
      <w:r w:rsidRPr="00300A27">
        <w:rPr>
          <w:rStyle w:val="Refdenotaalpie"/>
          <w:vertAlign w:val="baseline"/>
          <w:lang w:val="en-US"/>
        </w:rPr>
        <w:t xml:space="preserve"> 2008 (evidence file, folio</w:t>
      </w:r>
      <w:r w:rsidRPr="00300A27">
        <w:rPr>
          <w:lang w:val="en-US"/>
        </w:rPr>
        <w:t>s</w:t>
      </w:r>
      <w:r w:rsidRPr="00300A27">
        <w:rPr>
          <w:rStyle w:val="Refdenotaalpie"/>
          <w:vertAlign w:val="baseline"/>
          <w:lang w:val="en-US"/>
        </w:rPr>
        <w:t xml:space="preserve"> 2917 and 2918).</w:t>
      </w:r>
    </w:p>
  </w:footnote>
  <w:footnote w:id="231">
    <w:p w14:paraId="331D6574" w14:textId="153D7BAE"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Expansion of the statement made by Azul Rojas Marín at the Casa Grande Police Station on March 6, 2008 (evidence file, folio 2815).</w:t>
      </w:r>
    </w:p>
  </w:footnote>
  <w:footnote w:id="232">
    <w:p w14:paraId="14DB830A" w14:textId="131F8B4C"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Expansion of the statement made by Azul Rojas Marín at the Casa Grande Police Station on March 6, 2008 (evidence file, folio 2818).</w:t>
      </w:r>
    </w:p>
  </w:footnote>
  <w:footnote w:id="233">
    <w:p w14:paraId="3EE0DEE1" w14:textId="0F33B233"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Video 1 of the inspection and reconstruction procedure on August 15, 2008 (evidence file, folder of audiovisual material), and Record of the inspection and reconstruction procedure on August 15, 2008 (evidence file, folio 2896).</w:t>
      </w:r>
    </w:p>
  </w:footnote>
  <w:footnote w:id="234">
    <w:p w14:paraId="560C5ECC" w14:textId="3DB17CA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i/>
          <w:iCs/>
          <w:lang w:val="en-US"/>
        </w:rPr>
        <w:t>Cf.</w:t>
      </w:r>
      <w:r w:rsidRPr="00300A27">
        <w:rPr>
          <w:lang w:val="en-US"/>
        </w:rPr>
        <w:t xml:space="preserve"> Video 1 of the inspection and reconstruction procedure on August 15, 2008 (evidence file, folder of audiovisual material, minutes 00:45, 07:52, 12:05) and Video 2 of the inspection and reconstruction procedure on August 15, 2008 (evidence file, folder of audiovisual material, minutes 05:20 to 05:25).</w:t>
      </w:r>
    </w:p>
  </w:footnote>
  <w:footnote w:id="235">
    <w:p w14:paraId="339DA1AF" w14:textId="6859B2C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i/>
          <w:iCs/>
          <w:lang w:val="en-US"/>
        </w:rPr>
        <w:t xml:space="preserve">Cf. </w:t>
      </w:r>
      <w:r w:rsidRPr="00300A27">
        <w:rPr>
          <w:lang w:val="en-US"/>
        </w:rPr>
        <w:t>Video 1 of the inspection and reconstruction procedure on August 15, 2008 (evidence file, folder of audiovisual material, minutes 02:55 to 03:02).</w:t>
      </w:r>
    </w:p>
  </w:footnote>
  <w:footnote w:id="236">
    <w:p w14:paraId="41508DCA" w14:textId="6E351DA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i/>
          <w:iCs/>
          <w:lang w:val="en-US"/>
        </w:rPr>
        <w:t>Cf.</w:t>
      </w:r>
      <w:r w:rsidRPr="00300A27">
        <w:rPr>
          <w:lang w:val="en-US"/>
        </w:rPr>
        <w:t xml:space="preserve"> Video 1 of the inspection and reconstruction procedure on August 15, 2008 (evidence file, folder of audiovisual material, minutes 01:49 to 2:23) and Record of the inspection and reconstruction procedure on August 15, 2008 (evidence file, folio 2908).</w:t>
      </w:r>
    </w:p>
  </w:footnote>
  <w:footnote w:id="237">
    <w:p w14:paraId="4A5C68B5" w14:textId="625ACD7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i/>
          <w:lang w:val="en-US"/>
        </w:rPr>
        <w:t xml:space="preserve">Cf. </w:t>
      </w:r>
      <w:r w:rsidRPr="00300A27">
        <w:rPr>
          <w:lang w:val="en-US"/>
        </w:rPr>
        <w:t>Video 2 of the inspection and reconstruction procedure on August 15, 2008 (evidence file, folder of audiovisual material, minutes 3:16 to 3:29).</w:t>
      </w:r>
    </w:p>
  </w:footnote>
  <w:footnote w:id="238">
    <w:p w14:paraId="38FE8E11" w14:textId="13A825BB" w:rsidR="00300A27" w:rsidRPr="00300A27" w:rsidRDefault="00300A27" w:rsidP="00F756EF">
      <w:pPr>
        <w:pStyle w:val="Textonotapie"/>
        <w:tabs>
          <w:tab w:val="left" w:pos="426"/>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lang w:val="en-US"/>
        </w:rPr>
        <w:tab/>
      </w:r>
      <w:r w:rsidRPr="00300A27">
        <w:rPr>
          <w:i/>
          <w:iCs/>
          <w:lang w:val="en-US"/>
        </w:rPr>
        <w:t>Cf. Case of Bayarri v. Argentina. Preliminary objection, merits, reparations and costs</w:t>
      </w:r>
      <w:r w:rsidRPr="00300A27">
        <w:rPr>
          <w:lang w:val="en-US"/>
        </w:rPr>
        <w:t xml:space="preserve">. Judgment of October 30, 2008. Series C No, 187, para. 92, and </w:t>
      </w:r>
      <w:r w:rsidRPr="00300A27">
        <w:rPr>
          <w:i/>
          <w:iCs/>
          <w:lang w:val="en-US"/>
        </w:rPr>
        <w:t>Case of Women Victims of Sexual Torture in Atenco v. Mexico. Preliminary objection, merits, reparations and costs, supra</w:t>
      </w:r>
      <w:r w:rsidRPr="00300A27">
        <w:rPr>
          <w:lang w:val="en-US"/>
        </w:rPr>
        <w:t>, para. 275.</w:t>
      </w:r>
    </w:p>
  </w:footnote>
  <w:footnote w:id="239">
    <w:p w14:paraId="189D02C3" w14:textId="7F2EEE71" w:rsidR="00300A27" w:rsidRPr="00300A27" w:rsidRDefault="00300A27" w:rsidP="00F756EF">
      <w:pPr>
        <w:pStyle w:val="Textonotapie"/>
        <w:spacing w:before="0" w:after="80"/>
        <w:rPr>
          <w:i/>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Mutatis mutandis, Case of Espinoza Gonzáles v. Peru. Preliminary objections, merits, reparations and costs, supra</w:t>
      </w:r>
      <w:r w:rsidRPr="00300A27">
        <w:rPr>
          <w:lang w:val="en-US"/>
        </w:rPr>
        <w:t xml:space="preserve">, para. 252, and </w:t>
      </w:r>
      <w:r w:rsidRPr="00300A27">
        <w:rPr>
          <w:i/>
          <w:iCs/>
          <w:lang w:val="en-US"/>
        </w:rPr>
        <w:t>Case of Women Victims of Sexual Torture in Atenco v. Mexico. Preliminary objection, merits, reparations and costs, supra</w:t>
      </w:r>
      <w:r w:rsidRPr="00300A27">
        <w:rPr>
          <w:lang w:val="en-US"/>
        </w:rPr>
        <w:t>, para. 275.</w:t>
      </w:r>
    </w:p>
  </w:footnote>
  <w:footnote w:id="240">
    <w:p w14:paraId="201D9A68" w14:textId="1D731743" w:rsidR="00300A27" w:rsidRPr="00300A27" w:rsidRDefault="00300A27" w:rsidP="00F756EF">
      <w:pPr>
        <w:tabs>
          <w:tab w:val="left" w:pos="567"/>
        </w:tabs>
        <w:spacing w:after="80"/>
        <w:jc w:val="both"/>
        <w:rPr>
          <w:rFonts w:eastAsia="Times New Roman"/>
          <w:sz w:val="16"/>
          <w:szCs w:val="16"/>
        </w:rPr>
      </w:pPr>
      <w:r w:rsidRPr="00300A27">
        <w:rPr>
          <w:rStyle w:val="Refdenotaalpie"/>
          <w:sz w:val="16"/>
          <w:szCs w:val="16"/>
        </w:rPr>
        <w:footnoteRef/>
      </w:r>
      <w:r w:rsidRPr="00300A27">
        <w:rPr>
          <w:sz w:val="16"/>
          <w:szCs w:val="16"/>
        </w:rPr>
        <w:t xml:space="preserve"> </w:t>
      </w:r>
      <w:r w:rsidRPr="00300A27">
        <w:rPr>
          <w:sz w:val="16"/>
          <w:szCs w:val="16"/>
        </w:rPr>
        <w:tab/>
      </w:r>
      <w:r w:rsidRPr="00300A27">
        <w:rPr>
          <w:i/>
          <w:iCs/>
          <w:sz w:val="16"/>
          <w:szCs w:val="16"/>
        </w:rPr>
        <w:t>Mutatis mutandis, Case of Espinoza Gonzáles v. Peru. Preliminary objections, merits, reparations and costs, supra,</w:t>
      </w:r>
      <w:r w:rsidRPr="00300A27">
        <w:rPr>
          <w:sz w:val="16"/>
          <w:szCs w:val="16"/>
        </w:rPr>
        <w:t xml:space="preserve"> para. 252, and </w:t>
      </w:r>
      <w:r w:rsidRPr="00300A27">
        <w:rPr>
          <w:i/>
          <w:iCs/>
          <w:sz w:val="16"/>
          <w:szCs w:val="16"/>
        </w:rPr>
        <w:t>Case of Women Victims of Sexual Torture in Atenco v. Mexico. Preliminary objection, merits, reparations and costs, supra</w:t>
      </w:r>
      <w:r w:rsidRPr="00300A27">
        <w:rPr>
          <w:sz w:val="16"/>
          <w:szCs w:val="16"/>
        </w:rPr>
        <w:t>, para. 275.  See, for example</w:t>
      </w:r>
      <w:r w:rsidRPr="00300A27">
        <w:rPr>
          <w:i/>
          <w:iCs/>
          <w:sz w:val="16"/>
          <w:szCs w:val="16"/>
        </w:rPr>
        <w:t>,</w:t>
      </w:r>
      <w:r w:rsidRPr="00300A27">
        <w:rPr>
          <w:sz w:val="16"/>
          <w:szCs w:val="16"/>
        </w:rPr>
        <w:t xml:space="preserve"> </w:t>
      </w:r>
      <w:r w:rsidRPr="00300A27">
        <w:rPr>
          <w:rFonts w:eastAsia="Times New Roman"/>
          <w:sz w:val="16"/>
          <w:szCs w:val="16"/>
        </w:rPr>
        <w:t xml:space="preserve">World Health Organization, Guidelines for medico-legal care for victims of sexual violence, Geneva, 2003. Available at: </w:t>
      </w:r>
      <w:hyperlink r:id="rId12" w:history="1">
        <w:r w:rsidRPr="00300A27">
          <w:rPr>
            <w:rStyle w:val="Hipervnculo"/>
            <w:rFonts w:eastAsia="Times New Roman"/>
            <w:sz w:val="16"/>
            <w:szCs w:val="16"/>
          </w:rPr>
          <w:t>http://whqlibdoc.who.int/publications/2004/ 924154628X.pdf?ua=1</w:t>
        </w:r>
      </w:hyperlink>
      <w:r w:rsidRPr="00300A27">
        <w:rPr>
          <w:rFonts w:eastAsia="Times New Roman"/>
          <w:sz w:val="16"/>
          <w:szCs w:val="16"/>
        </w:rPr>
        <w:t>.</w:t>
      </w:r>
    </w:p>
  </w:footnote>
  <w:footnote w:id="241">
    <w:p w14:paraId="5A7FAB7C" w14:textId="398241C1"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Verbal complaint made by Azul Rojas Marín at the Casa Grande Police Station on February 27, 2008 (evidence file, folio 2793).</w:t>
      </w:r>
    </w:p>
  </w:footnote>
  <w:footnote w:id="242">
    <w:p w14:paraId="67E99393" w14:textId="275CB348"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eastAsia="es-MX"/>
        </w:rPr>
        <w:t xml:space="preserve">Cf. </w:t>
      </w:r>
      <w:r w:rsidRPr="00300A27">
        <w:rPr>
          <w:lang w:val="en-US"/>
        </w:rPr>
        <w:t>Statement made by Azul Rojas Marín at the Casa Grande Police Station on February 28, 2008 (evidence file, folio 2811).</w:t>
      </w:r>
    </w:p>
  </w:footnote>
  <w:footnote w:id="243">
    <w:p w14:paraId="064179EE" w14:textId="3FB80076"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Forensic Medical Certificate of February 29, 2008 (evidence file, folio 2822).</w:t>
      </w:r>
    </w:p>
  </w:footnote>
  <w:footnote w:id="244">
    <w:p w14:paraId="79BC4107" w14:textId="664DCE22"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In this regard, the presumed victim stated “that the prosecutor knew about the incident on February 27, [2008], at around 3 p.m. when the major […] called her on her mobile phone, and she arrived at the Casa Grande Police Station at around 6.30 p.m., taking my statement and organizing an identification procedure until after 9 p.m., and that same day the prosecutor gave me an official note for the forensic physician to examine the injuries.” Regarding the delay in performing the medical examination from February 28, at 4.30 p.m. to February 29, at 12.30 p.m., the Court notes that, according to the complaint filed by the presumed victim against the prosecution service, “the prosecutor […] abusing of her position prevent [the] plaintiff from undergoing the forensic medical examination [on </w:t>
      </w:r>
      <w:r w:rsidRPr="00300A27">
        <w:rPr>
          <w:rFonts w:eastAsia="Times New Roman"/>
          <w:lang w:val="en-US"/>
        </w:rPr>
        <w:t xml:space="preserve">February 28, 2008,] because she retained the plaintiff in her office until late, and the forensic physician was no longer in his office when [the plaintiff] left.” The presumed victim indicated that this was “so that the injuries and the traces of rape would not be noticeable.” </w:t>
      </w:r>
      <w:r w:rsidRPr="00300A27">
        <w:rPr>
          <w:i/>
          <w:lang w:val="en-US"/>
        </w:rPr>
        <w:t xml:space="preserve">Cf. </w:t>
      </w:r>
      <w:r w:rsidRPr="00300A27">
        <w:rPr>
          <w:lang w:val="en-US"/>
        </w:rPr>
        <w:t xml:space="preserve">Statement made by </w:t>
      </w:r>
      <w:r w:rsidRPr="00300A27">
        <w:rPr>
          <w:rFonts w:eastAsia="Times New Roman"/>
          <w:lang w:val="en-US"/>
        </w:rPr>
        <w:t xml:space="preserve">Azul Rojas Marín on May 25, 2009, before the </w:t>
      </w:r>
      <w:r w:rsidRPr="00300A27">
        <w:rPr>
          <w:lang w:val="en-US"/>
        </w:rPr>
        <w:t xml:space="preserve">Superior Prosecutor, Head of the Decentralized Office of Internal Control of </w:t>
      </w:r>
      <w:r w:rsidRPr="00300A27">
        <w:rPr>
          <w:rFonts w:eastAsia="Times New Roman"/>
          <w:lang w:val="en-US"/>
        </w:rPr>
        <w:t>La Libertad and Santa (evidence file, folio</w:t>
      </w:r>
      <w:r w:rsidRPr="00300A27">
        <w:rPr>
          <w:lang w:val="en-US"/>
        </w:rPr>
        <w:t xml:space="preserve"> 198), and Complaint filed by Azul Rojas Marín before the Superior Prosecutor, Head of the Decentralized Office of Internal Control of La Libertad on March 28, 2008 (evidence file, folio 3009).</w:t>
      </w:r>
      <w:r w:rsidRPr="00300A27">
        <w:rPr>
          <w:rStyle w:val="Refdenotaalpie"/>
          <w:lang w:val="en-US"/>
        </w:rPr>
        <w:t xml:space="preserve"> </w:t>
      </w:r>
    </w:p>
  </w:footnote>
  <w:footnote w:id="245">
    <w:p w14:paraId="18EF6153" w14:textId="0BC15FD6"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When making this statement, the presumed victim was asked: “if you can specify whether, owing to the physical aggression you suffered from the police agents, at the present time you have any bodily injury because, to date, you have not gone to the forensic physician to undergo the respective medical examination?” To which she answered “that, I only have a small bruise on my right arm near the armpit.” </w:t>
      </w:r>
      <w:r w:rsidRPr="00300A27">
        <w:rPr>
          <w:i/>
          <w:lang w:val="en-US" w:eastAsia="es-MX"/>
        </w:rPr>
        <w:t xml:space="preserve">Cf. </w:t>
      </w:r>
      <w:r w:rsidRPr="00300A27">
        <w:rPr>
          <w:lang w:val="en-US"/>
        </w:rPr>
        <w:t>Statement made by Azul Rojas Marín the Casa Grande Police Station on February 28, 2008 (evidence file, folio 2812).</w:t>
      </w:r>
    </w:p>
  </w:footnote>
  <w:footnote w:id="246">
    <w:p w14:paraId="1F78C814" w14:textId="422853D4"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Report signed by the Superior Prosecutor, Head of the Decentralized Office of Internal Control of La Libertad</w:t>
      </w:r>
      <w:r w:rsidRPr="00300A27" w:rsidDel="00006E1E">
        <w:rPr>
          <w:lang w:val="en-US"/>
        </w:rPr>
        <w:t xml:space="preserve"> </w:t>
      </w:r>
      <w:r w:rsidRPr="00300A27">
        <w:rPr>
          <w:lang w:val="en-US"/>
        </w:rPr>
        <w:t>of July 24, 2009 (evidence file, folio 2801).</w:t>
      </w:r>
    </w:p>
  </w:footnote>
  <w:footnote w:id="247">
    <w:p w14:paraId="32757A08" w14:textId="5586AA2D" w:rsidR="00300A27" w:rsidRPr="00300A27" w:rsidRDefault="00300A27" w:rsidP="00F756EF">
      <w:pPr>
        <w:tabs>
          <w:tab w:val="left" w:pos="567"/>
        </w:tabs>
        <w:autoSpaceDE w:val="0"/>
        <w:autoSpaceDN w:val="0"/>
        <w:adjustRightInd w:val="0"/>
        <w:spacing w:after="80"/>
        <w:jc w:val="both"/>
        <w:rPr>
          <w:rFonts w:eastAsiaTheme="minorHAnsi" w:cs="Cambria"/>
          <w:sz w:val="16"/>
          <w:szCs w:val="16"/>
        </w:rPr>
      </w:pPr>
      <w:r w:rsidRPr="00300A27">
        <w:rPr>
          <w:rStyle w:val="Refdenotaalpie"/>
          <w:sz w:val="16"/>
          <w:szCs w:val="16"/>
        </w:rPr>
        <w:footnoteRef/>
      </w:r>
      <w:r w:rsidRPr="00300A27">
        <w:rPr>
          <w:sz w:val="16"/>
          <w:szCs w:val="16"/>
        </w:rPr>
        <w:t xml:space="preserve"> </w:t>
      </w:r>
      <w:r w:rsidRPr="00300A27">
        <w:rPr>
          <w:sz w:val="16"/>
          <w:szCs w:val="16"/>
        </w:rPr>
        <w:tab/>
      </w:r>
      <w:r w:rsidRPr="00300A27">
        <w:rPr>
          <w:i/>
          <w:iCs/>
          <w:sz w:val="16"/>
          <w:szCs w:val="16"/>
        </w:rPr>
        <w:t>Cf. Case of Espinoza Gonzáles v. Peru. Preliminary objections, merits, reparations and costs, supra</w:t>
      </w:r>
      <w:r w:rsidRPr="00300A27">
        <w:rPr>
          <w:sz w:val="16"/>
          <w:szCs w:val="16"/>
        </w:rPr>
        <w:t>, para. 256.</w:t>
      </w:r>
    </w:p>
  </w:footnote>
  <w:footnote w:id="248">
    <w:p w14:paraId="6FEF0A54" w14:textId="1105D6BB"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Forensic Medical Certificate of examination of Azul Rojas Marín on February 29, 2008 (evidence file, folio 2822).</w:t>
      </w:r>
    </w:p>
  </w:footnote>
  <w:footnote w:id="249">
    <w:p w14:paraId="4A061700" w14:textId="29B6AA96" w:rsidR="00300A27" w:rsidRPr="00300A27" w:rsidRDefault="00300A27" w:rsidP="00F756EF">
      <w:pPr>
        <w:tabs>
          <w:tab w:val="left" w:pos="567"/>
        </w:tabs>
        <w:spacing w:after="80"/>
        <w:jc w:val="both"/>
        <w:rPr>
          <w:rFonts w:eastAsia="Times New Roman"/>
          <w:sz w:val="16"/>
          <w:szCs w:val="16"/>
        </w:rPr>
      </w:pPr>
      <w:r w:rsidRPr="00300A27">
        <w:rPr>
          <w:rStyle w:val="Refdenotaalpie"/>
          <w:sz w:val="16"/>
          <w:szCs w:val="16"/>
        </w:rPr>
        <w:footnoteRef/>
      </w:r>
      <w:r w:rsidRPr="00300A27">
        <w:rPr>
          <w:sz w:val="16"/>
          <w:szCs w:val="16"/>
        </w:rPr>
        <w:t xml:space="preserve"> </w:t>
      </w:r>
      <w:r w:rsidRPr="00300A27">
        <w:rPr>
          <w:sz w:val="16"/>
          <w:szCs w:val="16"/>
        </w:rPr>
        <w:tab/>
      </w:r>
      <w:r w:rsidRPr="00300A27">
        <w:rPr>
          <w:rFonts w:eastAsia="Times New Roman"/>
          <w:sz w:val="16"/>
          <w:szCs w:val="16"/>
        </w:rPr>
        <w:t>World Health Organization, Guidelines for medico-legal care for victims of sexual violence, Geneva, 2003, p. 49.</w:t>
      </w:r>
    </w:p>
  </w:footnote>
  <w:footnote w:id="250">
    <w:p w14:paraId="4F0189BD" w14:textId="683E179F"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Medical ratification procedure of July 4, 2019 (evidence file, folio 5671).</w:t>
      </w:r>
    </w:p>
  </w:footnote>
  <w:footnote w:id="251">
    <w:p w14:paraId="45777102" w14:textId="21D51854"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 xml:space="preserve">Medical ratification procedure of April 22, 2008 (evidence file, folios 5473 and 5474). </w:t>
      </w:r>
    </w:p>
  </w:footnote>
  <w:footnote w:id="252">
    <w:p w14:paraId="123729FA" w14:textId="4506FCB7"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Dismissal request of the Second Provincial Corporate Criminal Prosecutor of Ascope of October 21, 2008 (evidence file, folios 83 to 100), and Order to dismiss the proceedings of January 9, 2009, issued by the Ascope First Preliminary Investigation Court (evidence file, folios 2954 to 2969).</w:t>
      </w:r>
    </w:p>
  </w:footnote>
  <w:footnote w:id="253">
    <w:p w14:paraId="23EA8037" w14:textId="55AC9886"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On this point, the prosecutor stated that he entered the doctor’s office at the explicit invitation of the forensic physician. </w:t>
      </w:r>
      <w:r w:rsidRPr="00300A27">
        <w:rPr>
          <w:i/>
          <w:lang w:val="en-US"/>
        </w:rPr>
        <w:t xml:space="preserve">Cf. </w:t>
      </w:r>
      <w:r w:rsidRPr="00300A27">
        <w:rPr>
          <w:lang w:val="en-US"/>
        </w:rPr>
        <w:t>Report signed by the Superior Prosecutor, Head of the Decentralized Office of Internal Control of La Libertad and Santa</w:t>
      </w:r>
      <w:r w:rsidRPr="00300A27" w:rsidDel="00006E1E">
        <w:rPr>
          <w:lang w:val="en-US"/>
        </w:rPr>
        <w:t xml:space="preserve"> </w:t>
      </w:r>
      <w:r w:rsidRPr="00300A27">
        <w:rPr>
          <w:lang w:val="en-US"/>
        </w:rPr>
        <w:t>of July 24, 2009 (evidence file, folio 2801). See also, Statement made by Azul Rojas Marín at the public hearing on merits before the Inter-American Commission on December 1, 2016.</w:t>
      </w:r>
    </w:p>
  </w:footnote>
  <w:footnote w:id="254">
    <w:p w14:paraId="60B18138" w14:textId="7EDA57D2"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Statement made by Azul</w:t>
      </w:r>
      <w:r w:rsidRPr="00300A27">
        <w:rPr>
          <w:rFonts w:eastAsia="Times New Roman"/>
          <w:lang w:val="en-US"/>
        </w:rPr>
        <w:t xml:space="preserve"> Rojas Marín before the </w:t>
      </w:r>
      <w:r w:rsidRPr="00300A27">
        <w:rPr>
          <w:lang w:val="en-US"/>
        </w:rPr>
        <w:t xml:space="preserve">Superior Prosecutor, Head of the Decentralized Office of Internal Control of La </w:t>
      </w:r>
      <w:r w:rsidRPr="00300A27">
        <w:rPr>
          <w:rFonts w:eastAsia="Times New Roman"/>
          <w:lang w:val="en-US"/>
        </w:rPr>
        <w:t>Libertad and Santa on May 25, 2009 (evidence file, folio</w:t>
      </w:r>
      <w:r w:rsidRPr="00300A27">
        <w:rPr>
          <w:lang w:val="en-US"/>
        </w:rPr>
        <w:t xml:space="preserve"> 199), and Statement of witness Víctor Álvarez at the public hearing on August 27, 2019. </w:t>
      </w:r>
    </w:p>
  </w:footnote>
  <w:footnote w:id="255">
    <w:p w14:paraId="72E1AD15" w14:textId="0526C4A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the Serrano Cruz Sisters v. El Salvador. Merits, reparations and costs</w:t>
      </w:r>
      <w:r w:rsidRPr="00300A27">
        <w:rPr>
          <w:lang w:val="en-US"/>
        </w:rPr>
        <w:t xml:space="preserve">. Judgment of March 1, 2005. Series C No. 120, paras. 88 and 105, and </w:t>
      </w:r>
      <w:r w:rsidRPr="00300A27">
        <w:rPr>
          <w:i/>
          <w:iCs/>
          <w:lang w:val="en-US"/>
        </w:rPr>
        <w:t>Case of Gómez Virula et al. v. Guatemala. Preliminary objection, merits, reparations and costs, supra</w:t>
      </w:r>
      <w:r w:rsidRPr="00300A27">
        <w:rPr>
          <w:lang w:val="en-US"/>
        </w:rPr>
        <w:t>, para. 77.</w:t>
      </w:r>
    </w:p>
  </w:footnote>
  <w:footnote w:id="256">
    <w:p w14:paraId="778692DC" w14:textId="65403D3E"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Juan Humberto Sánchez v. Honduras. Preliminary objection, merits, reparations and costs, supra</w:t>
      </w:r>
      <w:r w:rsidRPr="00300A27">
        <w:rPr>
          <w:lang w:val="en-US"/>
        </w:rPr>
        <w:t xml:space="preserve">, para. 128, and </w:t>
      </w:r>
      <w:r w:rsidRPr="00300A27">
        <w:rPr>
          <w:i/>
          <w:iCs/>
          <w:lang w:val="en-US"/>
        </w:rPr>
        <w:t>Case of Gómez Virula et al. v. Guatemala. Preliminary objection, merits, reparations and costs, supra</w:t>
      </w:r>
      <w:r w:rsidRPr="00300A27">
        <w:rPr>
          <w:lang w:val="en-US"/>
        </w:rPr>
        <w:t>, para. 73.</w:t>
      </w:r>
    </w:p>
  </w:footnote>
  <w:footnote w:id="257">
    <w:p w14:paraId="02427C95" w14:textId="397A6961"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Record of reception dated February 29, 2008 (evidence file, folio 2195), and Report presented by the Peruvian State to the Commission on March 24, 2014 (evidence file, folio 354).</w:t>
      </w:r>
    </w:p>
  </w:footnote>
  <w:footnote w:id="258">
    <w:p w14:paraId="0E550CD0" w14:textId="3EA68F1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Similarly see, ECHR, </w:t>
      </w:r>
      <w:r w:rsidRPr="00300A27">
        <w:rPr>
          <w:i/>
          <w:iCs/>
          <w:lang w:val="en-US"/>
        </w:rPr>
        <w:t>Case of Identoba and Others v. Georgia</w:t>
      </w:r>
      <w:r w:rsidRPr="00300A27">
        <w:rPr>
          <w:lang w:val="en-US"/>
        </w:rPr>
        <w:t>, No. 73235/12 [Fourth Section]. Judgment of October 7, 2014, para. 67. Similarly see</w:t>
      </w:r>
      <w:r w:rsidRPr="00300A27">
        <w:rPr>
          <w:i/>
          <w:iCs/>
          <w:lang w:val="en-US"/>
        </w:rPr>
        <w:t>, Case of Véliz Franco et al. v. Guatemala. Preliminary objections, merits, reparations and costs</w:t>
      </w:r>
      <w:r w:rsidRPr="00300A27">
        <w:rPr>
          <w:lang w:val="en-US"/>
        </w:rPr>
        <w:t>. Judgment of May 19, 2014. Series C No. 277, para. 208.</w:t>
      </w:r>
    </w:p>
  </w:footnote>
  <w:footnote w:id="259">
    <w:p w14:paraId="365C405B" w14:textId="12878DAF"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Similarly see,</w:t>
      </w:r>
      <w:r w:rsidRPr="00300A27">
        <w:rPr>
          <w:i/>
          <w:iCs/>
          <w:lang w:val="en-US"/>
        </w:rPr>
        <w:t xml:space="preserve"> </w:t>
      </w:r>
      <w:r w:rsidRPr="00300A27">
        <w:rPr>
          <w:lang w:val="en-US"/>
        </w:rPr>
        <w:t xml:space="preserve">ECHR, </w:t>
      </w:r>
      <w:r w:rsidRPr="00300A27">
        <w:rPr>
          <w:i/>
          <w:iCs/>
          <w:lang w:val="en-US"/>
        </w:rPr>
        <w:t>Case of Nachova and Others v. Bulgaria</w:t>
      </w:r>
      <w:r w:rsidRPr="00300A27">
        <w:rPr>
          <w:lang w:val="en-US"/>
        </w:rPr>
        <w:t xml:space="preserve">, No. 43577/98 and 43579/98 [Grand Chamber]. Judgment of July 6, 2005, para. 160, and ECHR </w:t>
      </w:r>
      <w:r w:rsidRPr="00300A27">
        <w:rPr>
          <w:i/>
          <w:iCs/>
          <w:lang w:val="en-US"/>
        </w:rPr>
        <w:t>Case of Identoba and Others v. Georgia</w:t>
      </w:r>
      <w:r w:rsidRPr="00300A27">
        <w:rPr>
          <w:lang w:val="en-US"/>
        </w:rPr>
        <w:t>, No. 73235/12 [Fourth Section]. Judgment of May 12, 2015, para. 67. Similarly see</w:t>
      </w:r>
      <w:r w:rsidRPr="00300A27">
        <w:rPr>
          <w:i/>
          <w:iCs/>
          <w:lang w:val="en-US"/>
        </w:rPr>
        <w:t>, Case of Véliz Franco et al. v. Guatemala. Preliminary objections, merits, reparations and costs</w:t>
      </w:r>
      <w:r w:rsidRPr="00300A27">
        <w:rPr>
          <w:lang w:val="en-US"/>
        </w:rPr>
        <w:t>. Judgment of May 19, 2014. Series C No. 277, para. 208.</w:t>
      </w:r>
    </w:p>
  </w:footnote>
  <w:footnote w:id="260">
    <w:p w14:paraId="0C1DC55E" w14:textId="44E197B9"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Similarly see</w:t>
      </w:r>
      <w:r w:rsidRPr="00300A27">
        <w:rPr>
          <w:i/>
          <w:iCs/>
          <w:lang w:val="en-US"/>
        </w:rPr>
        <w:t xml:space="preserve">, </w:t>
      </w:r>
      <w:r w:rsidRPr="00300A27">
        <w:rPr>
          <w:lang w:val="en-US"/>
        </w:rPr>
        <w:t xml:space="preserve">ECHR, </w:t>
      </w:r>
      <w:r w:rsidRPr="00300A27">
        <w:rPr>
          <w:i/>
          <w:iCs/>
          <w:lang w:val="en-US"/>
        </w:rPr>
        <w:t>Case of Begheluri and Others v. Georgia</w:t>
      </w:r>
      <w:r w:rsidRPr="00300A27">
        <w:rPr>
          <w:lang w:val="en-US"/>
        </w:rPr>
        <w:t xml:space="preserve">, No. 28490/02 [Fourth Section]. Judgment of January 7, 2015, paras. 141 and 142; ECHR, </w:t>
      </w:r>
      <w:r w:rsidRPr="00300A27">
        <w:rPr>
          <w:i/>
          <w:iCs/>
          <w:lang w:val="en-US"/>
        </w:rPr>
        <w:t>Case of Identoba and Others v. Georgia</w:t>
      </w:r>
      <w:r w:rsidRPr="00300A27">
        <w:rPr>
          <w:lang w:val="en-US"/>
        </w:rPr>
        <w:t>, No. 73235/12 [Fourth Section]. Judgment of August 12, 2015, para. 67. Similarly see</w:t>
      </w:r>
      <w:r w:rsidRPr="00300A27">
        <w:rPr>
          <w:i/>
          <w:iCs/>
          <w:lang w:val="en-US"/>
        </w:rPr>
        <w:t>, Case of López Soto et al. v. Venezuela. Merits, reparations and costs, supra</w:t>
      </w:r>
      <w:r w:rsidRPr="00300A27">
        <w:rPr>
          <w:lang w:val="en-US"/>
        </w:rPr>
        <w:t>, para. 223.</w:t>
      </w:r>
    </w:p>
  </w:footnote>
  <w:footnote w:id="261">
    <w:p w14:paraId="25695341" w14:textId="74791E59" w:rsidR="00300A27" w:rsidRPr="00300A27" w:rsidRDefault="00300A27" w:rsidP="00F756EF">
      <w:pPr>
        <w:tabs>
          <w:tab w:val="left" w:pos="567"/>
        </w:tabs>
        <w:autoSpaceDE w:val="0"/>
        <w:autoSpaceDN w:val="0"/>
        <w:adjustRightInd w:val="0"/>
        <w:spacing w:after="80"/>
        <w:jc w:val="both"/>
        <w:rPr>
          <w:rFonts w:eastAsiaTheme="minorHAnsi" w:cs="Cambria-Bold"/>
          <w:b/>
          <w:bCs/>
          <w:sz w:val="16"/>
          <w:szCs w:val="16"/>
        </w:rPr>
      </w:pPr>
      <w:r w:rsidRPr="00300A27">
        <w:rPr>
          <w:rStyle w:val="Refdenotaalpie"/>
          <w:sz w:val="16"/>
          <w:szCs w:val="16"/>
        </w:rPr>
        <w:footnoteRef/>
      </w:r>
      <w:r w:rsidRPr="00300A27">
        <w:rPr>
          <w:sz w:val="16"/>
          <w:szCs w:val="16"/>
        </w:rPr>
        <w:t xml:space="preserve"> </w:t>
      </w:r>
      <w:r w:rsidRPr="00300A27">
        <w:rPr>
          <w:rFonts w:eastAsiaTheme="minorHAnsi" w:cs="Cambria-Bold"/>
          <w:b/>
          <w:bCs/>
          <w:sz w:val="16"/>
          <w:szCs w:val="16"/>
        </w:rPr>
        <w:tab/>
      </w:r>
      <w:r w:rsidRPr="00300A27">
        <w:rPr>
          <w:rFonts w:eastAsiaTheme="minorHAnsi" w:cs="Cambria-Bold"/>
          <w:i/>
          <w:iCs/>
          <w:sz w:val="16"/>
          <w:szCs w:val="16"/>
        </w:rPr>
        <w:t>Cf.</w:t>
      </w:r>
      <w:r w:rsidRPr="00300A27">
        <w:rPr>
          <w:rFonts w:eastAsiaTheme="minorHAnsi" w:cs="Cambria-Bold"/>
          <w:b/>
          <w:bCs/>
          <w:sz w:val="16"/>
          <w:szCs w:val="16"/>
        </w:rPr>
        <w:t xml:space="preserve"> </w:t>
      </w:r>
      <w:r w:rsidRPr="00300A27">
        <w:rPr>
          <w:rFonts w:eastAsiaTheme="minorHAnsi" w:cs="Cambria"/>
          <w:sz w:val="16"/>
          <w:szCs w:val="16"/>
        </w:rPr>
        <w:t>Psychiatric assessment of JLM of August 19, 2008 (evidence file, folio 2744).</w:t>
      </w:r>
    </w:p>
  </w:footnote>
  <w:footnote w:id="262">
    <w:p w14:paraId="75E3EB60" w14:textId="1ABAD8F0" w:rsidR="00300A27" w:rsidRPr="00300A27" w:rsidRDefault="00300A27" w:rsidP="00F756EF">
      <w:pPr>
        <w:pStyle w:val="Textonotapie"/>
        <w:spacing w:before="0" w:after="80"/>
        <w:rPr>
          <w:i/>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Atala Riffo and daughters v. Chile. Merits, reparations and costs, supra</w:t>
      </w:r>
      <w:r w:rsidRPr="00300A27">
        <w:rPr>
          <w:lang w:val="en-US"/>
        </w:rPr>
        <w:t xml:space="preserve">, para. 111, and </w:t>
      </w:r>
      <w:r w:rsidRPr="00300A27">
        <w:rPr>
          <w:i/>
          <w:iCs/>
          <w:lang w:val="en-US"/>
        </w:rPr>
        <w:t xml:space="preserve">Case of Ramírez Escobar et al. v. Guatemala. Merits, reparations and costs. </w:t>
      </w:r>
      <w:r w:rsidRPr="00300A27">
        <w:rPr>
          <w:lang w:val="en-US"/>
        </w:rPr>
        <w:t>Judgment of March 9, 2018.</w:t>
      </w:r>
      <w:r w:rsidRPr="00300A27">
        <w:rPr>
          <w:i/>
          <w:iCs/>
          <w:lang w:val="en-US"/>
        </w:rPr>
        <w:t xml:space="preserve"> </w:t>
      </w:r>
      <w:r w:rsidRPr="00300A27">
        <w:rPr>
          <w:lang w:val="en-US"/>
        </w:rPr>
        <w:t>Series C No. 351, para. 301.</w:t>
      </w:r>
    </w:p>
  </w:footnote>
  <w:footnote w:id="263">
    <w:p w14:paraId="359511ED" w14:textId="2C50AC50" w:rsidR="00300A27" w:rsidRPr="00300A27" w:rsidRDefault="00300A27" w:rsidP="00F756EF">
      <w:pPr>
        <w:tabs>
          <w:tab w:val="left" w:pos="567"/>
          <w:tab w:val="left" w:pos="720"/>
        </w:tabs>
        <w:autoSpaceDE w:val="0"/>
        <w:autoSpaceDN w:val="0"/>
        <w:spacing w:after="80"/>
        <w:jc w:val="both"/>
        <w:rPr>
          <w:rFonts w:eastAsia="Calibri" w:cs="Cambria"/>
          <w:sz w:val="16"/>
          <w:szCs w:val="16"/>
        </w:rPr>
      </w:pPr>
      <w:r w:rsidRPr="00300A27">
        <w:rPr>
          <w:rStyle w:val="Refdenotaalpie"/>
          <w:sz w:val="16"/>
          <w:szCs w:val="16"/>
        </w:rPr>
        <w:footnoteRef/>
      </w:r>
      <w:r w:rsidRPr="00300A27">
        <w:rPr>
          <w:sz w:val="16"/>
          <w:szCs w:val="16"/>
        </w:rPr>
        <w:t xml:space="preserve"> </w:t>
      </w:r>
      <w:r w:rsidRPr="00300A27">
        <w:rPr>
          <w:sz w:val="16"/>
          <w:szCs w:val="16"/>
        </w:rPr>
        <w:tab/>
      </w:r>
      <w:r w:rsidRPr="00300A27">
        <w:rPr>
          <w:i/>
          <w:iCs/>
          <w:sz w:val="16"/>
          <w:szCs w:val="16"/>
        </w:rPr>
        <w:t>Cf. Case of Gutiérrez Hernández et al. v. Guatemala. Preliminary objections, merits, reparations and costs</w:t>
      </w:r>
      <w:r w:rsidRPr="00300A27">
        <w:rPr>
          <w:sz w:val="16"/>
          <w:szCs w:val="16"/>
        </w:rPr>
        <w:t xml:space="preserve">. Judgment of August 24, 2017. Series C No. 339, para. 173, and </w:t>
      </w:r>
      <w:r w:rsidRPr="00300A27">
        <w:rPr>
          <w:i/>
          <w:iCs/>
          <w:sz w:val="16"/>
          <w:szCs w:val="16"/>
        </w:rPr>
        <w:t>Case of López Soto et al. v. Venezuela. Merits, reparations and costs, supra</w:t>
      </w:r>
      <w:r w:rsidRPr="00300A27">
        <w:rPr>
          <w:sz w:val="16"/>
          <w:szCs w:val="16"/>
        </w:rPr>
        <w:t>, para. 326. Similarly see</w:t>
      </w:r>
      <w:r w:rsidRPr="00300A27">
        <w:rPr>
          <w:i/>
          <w:iCs/>
          <w:sz w:val="16"/>
          <w:szCs w:val="16"/>
        </w:rPr>
        <w:t xml:space="preserve">, </w:t>
      </w:r>
      <w:r w:rsidRPr="00300A27">
        <w:rPr>
          <w:sz w:val="16"/>
          <w:szCs w:val="16"/>
        </w:rPr>
        <w:t>Committee for the Elimination of Discrimination against Women, General recommendation 33 on women’s access to justice by women, 2015, para. 26.</w:t>
      </w:r>
    </w:p>
  </w:footnote>
  <w:footnote w:id="264">
    <w:p w14:paraId="32DD762F" w14:textId="5AF4562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 xml:space="preserve">United Nations Office on Drugs and Crime (UNODC), Handbook on Prisoners with Special Needs: Lesbian, gay, bisexual and transgender (LGBT) prisoners, 2009, p. 104, and Inter-American Commission on Human Rights, </w:t>
      </w:r>
      <w:r w:rsidRPr="00300A27">
        <w:rPr>
          <w:i/>
          <w:iCs/>
          <w:lang w:val="en-US"/>
        </w:rPr>
        <w:t>Violence against Lesbian, Gay, Bisexual, Trans and Intersex Persons in the Americas</w:t>
      </w:r>
      <w:r w:rsidRPr="00300A27">
        <w:rPr>
          <w:lang w:val="en-US"/>
        </w:rPr>
        <w:t xml:space="preserve">, OEA/Ser.L/V/II.rev.2, November 12, 2015, para. 462. </w:t>
      </w:r>
    </w:p>
  </w:footnote>
  <w:footnote w:id="265">
    <w:p w14:paraId="29EE7BA4" w14:textId="7157974C" w:rsidR="00300A27" w:rsidRPr="00300A27" w:rsidRDefault="00300A27" w:rsidP="00F756EF">
      <w:pPr>
        <w:pStyle w:val="Textonotapie"/>
        <w:spacing w:before="0" w:after="80"/>
        <w:rPr>
          <w:b/>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 xml:space="preserve">Statement made by Azul Rojas Marín at the public hearing on merits before the Inter-American Commission on December 1, 2016 (evidence file, folder of audiovisual material, minutes 10:10 to 10:23), and Statement of witness Víctor Álvarez at the public hearing on August 27, 2019. </w:t>
      </w:r>
    </w:p>
  </w:footnote>
  <w:footnote w:id="266">
    <w:p w14:paraId="3D0A0B8F" w14:textId="1086A347"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Forensic Medical Certificate of examination of Azul Rojas Marín on February 29, 2008 (evidence file, folio 2822).</w:t>
      </w:r>
    </w:p>
  </w:footnote>
  <w:footnote w:id="267">
    <w:p w14:paraId="566502C9" w14:textId="05E88922"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rStyle w:val="Refdenotaalpie"/>
          <w:i/>
          <w:vertAlign w:val="baseline"/>
          <w:lang w:val="en-US"/>
        </w:rPr>
        <w:t xml:space="preserve">Cf. </w:t>
      </w:r>
      <w:r w:rsidRPr="00300A27">
        <w:rPr>
          <w:rStyle w:val="Refdenotaalpie"/>
          <w:vertAlign w:val="baseline"/>
          <w:lang w:val="en-US"/>
        </w:rPr>
        <w:t>Psychiatric assessment of S</w:t>
      </w:r>
      <w:r w:rsidRPr="00300A27">
        <w:rPr>
          <w:lang w:val="en-US"/>
        </w:rPr>
        <w:t>eptember 13, 2008</w:t>
      </w:r>
      <w:r w:rsidRPr="00300A27">
        <w:rPr>
          <w:rStyle w:val="Refdenotaalpie"/>
          <w:vertAlign w:val="baseline"/>
          <w:lang w:val="en-US"/>
        </w:rPr>
        <w:t xml:space="preserve"> (evidence file, folios 2920 and </w:t>
      </w:r>
      <w:r w:rsidRPr="00300A27">
        <w:rPr>
          <w:lang w:val="en-US"/>
        </w:rPr>
        <w:t>29</w:t>
      </w:r>
      <w:r w:rsidRPr="00300A27">
        <w:rPr>
          <w:rStyle w:val="Refdenotaalpie"/>
          <w:vertAlign w:val="baseline"/>
          <w:lang w:val="en-US"/>
        </w:rPr>
        <w:t>21).</w:t>
      </w:r>
    </w:p>
  </w:footnote>
  <w:footnote w:id="268">
    <w:p w14:paraId="09F23EB2" w14:textId="1EDD42EF"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Véliz Franco et al. v. Guatemala. Preliminary objections, merits, reparations and costs</w:t>
      </w:r>
      <w:r w:rsidRPr="00300A27">
        <w:rPr>
          <w:lang w:val="en-US"/>
        </w:rPr>
        <w:t xml:space="preserve">. Judgment of May 19, 2014. Series C No. 277, para. 209, and </w:t>
      </w:r>
      <w:r w:rsidRPr="00300A27">
        <w:rPr>
          <w:i/>
          <w:iCs/>
          <w:lang w:val="en-US"/>
        </w:rPr>
        <w:t>Case of Women Victims of Sexual Torture in Atenco v. Mexico. Preliminary objection, merits, reparations and costs, supra</w:t>
      </w:r>
      <w:r w:rsidRPr="00300A27">
        <w:rPr>
          <w:lang w:val="en-US"/>
        </w:rPr>
        <w:t>, para. 316.</w:t>
      </w:r>
    </w:p>
  </w:footnote>
  <w:footnote w:id="269">
    <w:p w14:paraId="7C877083" w14:textId="4DA4C6B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Forensic Medical Certificate of examination of Azul Rojas Marín on February 29, 2008 (evidence file, folio 2822); Statement made by Azul Rojas Marín at the Casa Grande Police Station on February 28, 2008 (evidence file, folio 2812), and Decision of the Territorial Disciplinary Administrative Tribunal of September 2, 2008 (evidence file, folio 3062).</w:t>
      </w:r>
    </w:p>
  </w:footnote>
  <w:footnote w:id="270">
    <w:p w14:paraId="1C9B68DB" w14:textId="7B51F3E4"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Inter-American Commission on Human Rights, </w:t>
      </w:r>
      <w:r w:rsidRPr="00300A27">
        <w:rPr>
          <w:i/>
          <w:iCs/>
          <w:lang w:val="en-US"/>
        </w:rPr>
        <w:t>Violence against Lesbian, Gay, Bisexual, Trans and Intersex Persons in the Americas</w:t>
      </w:r>
      <w:r w:rsidRPr="00300A27">
        <w:rPr>
          <w:lang w:val="en-US"/>
        </w:rPr>
        <w:t>, OEA/Ser.L/V/II.rev.2, November 12, 2015, para. 31.</w:t>
      </w:r>
    </w:p>
  </w:footnote>
  <w:footnote w:id="271">
    <w:p w14:paraId="615C4C27" w14:textId="3AB87269"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Decision of the Territorial Disciplinary Administrative Tribunal of September 2, 2008 (evidence file, folio 3062).</w:t>
      </w:r>
    </w:p>
  </w:footnote>
  <w:footnote w:id="272">
    <w:p w14:paraId="26A1BEEB" w14:textId="4602DB70"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Order to dismiss the proceedings issued by the Ascope First Preliminary Investigation Court on January 9, 2009 (evidence file, folio 2954).</w:t>
      </w:r>
    </w:p>
  </w:footnote>
  <w:footnote w:id="273">
    <w:p w14:paraId="3B5C59D3" w14:textId="7074238B"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Request filed by Azul Rojas Marín on May 5, 2008 (evidence file, folios 115, 116 and 117).</w:t>
      </w:r>
    </w:p>
  </w:footnote>
  <w:footnote w:id="274">
    <w:p w14:paraId="507B5495" w14:textId="79CF898B"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Cf.</w:t>
      </w:r>
      <w:r w:rsidRPr="00300A27">
        <w:rPr>
          <w:lang w:val="en-US"/>
        </w:rPr>
        <w:t xml:space="preserve"> Decision of the First Superior Criminal Prosecutor of La Libertad Judicial District  of August 28, 2008 (evidence file, folio 2912).</w:t>
      </w:r>
    </w:p>
  </w:footnote>
  <w:footnote w:id="275">
    <w:p w14:paraId="23D28EBE" w14:textId="43369CD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Article 321 of the Peruvian Criminal Code established: “The public official or servant or any other person, with the consent or acquiescence of the former, who inflicts on another severe pain or suffering, either physical or mental, or subjects that person to conditions or methods that annul their personality or diminish their physical or mental capacity, even though this does not cause physical pain or mental distress, in order to obtain from the victim or from a third person a confession or information, or to punish them for any act that they may have committed or be suspected of having committed, or to intimate them or to coerce them, shall be punished by five to ten years’ imprisonment. If the torture causes the death of the aggrieved person or serious injury is produced and the agent could have foreseen this result, the imprisonment shall be, respectively, from eight to twenty years, and from six to twelve years. </w:t>
      </w:r>
      <w:r w:rsidRPr="00300A27">
        <w:rPr>
          <w:i/>
          <w:lang w:val="en-US"/>
        </w:rPr>
        <w:t>Cf.</w:t>
      </w:r>
      <w:r w:rsidRPr="00300A27">
        <w:rPr>
          <w:iCs/>
          <w:lang w:val="en-US"/>
        </w:rPr>
        <w:t xml:space="preserve"> </w:t>
      </w:r>
      <w:r w:rsidRPr="00300A27">
        <w:rPr>
          <w:lang w:val="en-US"/>
        </w:rPr>
        <w:t>Peruvian Criminal Code, Legislative Decree No. 635 published on April 8, 1991, article 321 (evidence file, folio 5188).</w:t>
      </w:r>
    </w:p>
  </w:footnote>
  <w:footnote w:id="276">
    <w:p w14:paraId="38CE7949" w14:textId="22FA9A8F" w:rsidR="00300A27" w:rsidRPr="00300A27" w:rsidRDefault="00300A27" w:rsidP="00F756EF">
      <w:pPr>
        <w:pStyle w:val="Textonotapie"/>
        <w:spacing w:before="0" w:after="80"/>
        <w:rPr>
          <w:i/>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w:t>
      </w:r>
      <w:r w:rsidRPr="00300A27">
        <w:rPr>
          <w:lang w:val="en-US"/>
        </w:rPr>
        <w:t xml:space="preserve"> Affidavit of Juan Ernesto Méndez of August 1, 2019 (evidence file, folio 3398).</w:t>
      </w:r>
    </w:p>
  </w:footnote>
  <w:footnote w:id="277">
    <w:p w14:paraId="62EA5DAA" w14:textId="14C31F38"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Order to dismiss the proceedings issued by the Ascope First Preliminary Investigation Court of January 9, 2009 (evidence file, folios 2969 and 2970).</w:t>
      </w:r>
    </w:p>
  </w:footnote>
  <w:footnote w:id="278">
    <w:p w14:paraId="54181C99" w14:textId="10C03BA4"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Order to dismiss the proceedings issued by the Ascope First Preliminary Investigation Court of January 9, 2009 (evidence file, folios 2961, 2962 and 2963).</w:t>
      </w:r>
    </w:p>
  </w:footnote>
  <w:footnote w:id="279">
    <w:p w14:paraId="5AA498E3" w14:textId="17C3873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Order to dismiss the proceedings issued by the Ascope First Preliminary Investigation Court of January 9, 2009 (evidence file, folio 2960).</w:t>
      </w:r>
    </w:p>
  </w:footnote>
  <w:footnote w:id="280">
    <w:p w14:paraId="280C2F25" w14:textId="42357C4F"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Order to dismiss the proceedings issued by the Ascope First Preliminary Investigation Court of January 9, 2009 (evidence file, folio 2960).</w:t>
      </w:r>
    </w:p>
  </w:footnote>
  <w:footnote w:id="281">
    <w:p w14:paraId="3FEA7DFF" w14:textId="6414302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Cabrera García and Montiel Flores v. Mexico. Preliminary objection, merits, reparations and costs, supra</w:t>
      </w:r>
      <w:r w:rsidRPr="00300A27">
        <w:rPr>
          <w:lang w:val="en-US"/>
        </w:rPr>
        <w:t xml:space="preserve">, para. 113, and </w:t>
      </w:r>
      <w:r w:rsidRPr="00300A27">
        <w:rPr>
          <w:i/>
          <w:iCs/>
          <w:lang w:val="en-US"/>
        </w:rPr>
        <w:t>Case of J. v. Peru. Preliminary objection, merits, reparations and costs, supra</w:t>
      </w:r>
      <w:r w:rsidRPr="00300A27">
        <w:rPr>
          <w:lang w:val="en-US"/>
        </w:rPr>
        <w:t>, para. 325.</w:t>
      </w:r>
    </w:p>
  </w:footnote>
  <w:footnote w:id="282">
    <w:p w14:paraId="22376612" w14:textId="66BC4FD1" w:rsidR="00300A27" w:rsidRPr="00300A27" w:rsidRDefault="00300A27" w:rsidP="00F756EF">
      <w:pPr>
        <w:pStyle w:val="Textonotapie"/>
        <w:spacing w:before="0" w:after="80"/>
        <w:rPr>
          <w:i/>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Rosendo Cantú et al. v. Mexico. Preliminary objection, merits, reparations and costs</w:t>
      </w:r>
      <w:r w:rsidRPr="00300A27">
        <w:rPr>
          <w:lang w:val="en-US"/>
        </w:rPr>
        <w:t xml:space="preserve">, supra, para. 95, and </w:t>
      </w:r>
      <w:r w:rsidRPr="00300A27">
        <w:rPr>
          <w:i/>
          <w:iCs/>
          <w:lang w:val="en-US"/>
        </w:rPr>
        <w:t>Case of Favela Nova Brasília v. Brazil. Preliminary objections, merits, reparations and costs</w:t>
      </w:r>
      <w:r w:rsidRPr="00300A27">
        <w:rPr>
          <w:lang w:val="en-US"/>
        </w:rPr>
        <w:t xml:space="preserve">. Judgment of February 16, 2017. Series C No. 333, para. 248.  </w:t>
      </w:r>
    </w:p>
  </w:footnote>
  <w:footnote w:id="283">
    <w:p w14:paraId="375FBB5D" w14:textId="1711EAD8"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Cf.</w:t>
      </w:r>
      <w:r w:rsidRPr="00300A27">
        <w:rPr>
          <w:lang w:val="en-US"/>
        </w:rPr>
        <w:t xml:space="preserve"> Order to dismiss the proceedings issued by the Ascope First Preliminary Investigation Court of January 9, 2009 (evidence file, folio 2960).</w:t>
      </w:r>
    </w:p>
  </w:footnote>
  <w:footnote w:id="284">
    <w:p w14:paraId="666EDCCE" w14:textId="6424C618"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Forensic Medical Certificate of examination of Azul Rojas Marín on February 29, 2008 (evidence file, folio 2822).</w:t>
      </w:r>
    </w:p>
  </w:footnote>
  <w:footnote w:id="285">
    <w:p w14:paraId="48B580F5" w14:textId="1C5589A2"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Cf.</w:t>
      </w:r>
      <w:r w:rsidRPr="00300A27">
        <w:rPr>
          <w:lang w:val="en-US"/>
        </w:rPr>
        <w:t xml:space="preserve"> Order to dismiss the proceedings issued by the Ascope First Preliminary Investigation Court of January 9, 2009 (evidence file, folio 2962).</w:t>
      </w:r>
    </w:p>
  </w:footnote>
  <w:footnote w:id="286">
    <w:p w14:paraId="56FAF19B" w14:textId="4AD83630" w:rsidR="00300A27" w:rsidRPr="00300A27" w:rsidRDefault="00300A27" w:rsidP="00F756EF">
      <w:pPr>
        <w:pStyle w:val="Textonotapie"/>
        <w:spacing w:before="0" w:after="80"/>
        <w:rPr>
          <w:i/>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J. v. Peru. Preliminary objection, merits, reparations and costs, supra,</w:t>
      </w:r>
      <w:r w:rsidRPr="00300A27">
        <w:rPr>
          <w:lang w:val="en-US"/>
        </w:rPr>
        <w:t xml:space="preserve"> para. 333, and </w:t>
      </w:r>
      <w:r w:rsidRPr="00300A27">
        <w:rPr>
          <w:i/>
          <w:iCs/>
          <w:lang w:val="en-US"/>
        </w:rPr>
        <w:t>Case of Espinoza Gonzáles v. Peru. Preliminary objections, merits, reparations and costs, supra</w:t>
      </w:r>
      <w:r w:rsidRPr="00300A27">
        <w:rPr>
          <w:lang w:val="en-US"/>
        </w:rPr>
        <w:t>, para. 152.</w:t>
      </w:r>
    </w:p>
  </w:footnote>
  <w:footnote w:id="287">
    <w:p w14:paraId="7F4B22E4" w14:textId="43652914"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Article 5 of the Convention.</w:t>
      </w:r>
    </w:p>
  </w:footnote>
  <w:footnote w:id="288">
    <w:p w14:paraId="7B26D32E" w14:textId="18BF7A27" w:rsidR="00300A27" w:rsidRPr="00300A27" w:rsidRDefault="00300A27" w:rsidP="00F756EF">
      <w:pPr>
        <w:pStyle w:val="Textonotapie"/>
        <w:tabs>
          <w:tab w:val="left" w:pos="426"/>
        </w:tabs>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  </w:t>
      </w:r>
      <w:r w:rsidRPr="00300A27">
        <w:rPr>
          <w:i/>
          <w:iCs/>
          <w:lang w:val="en-US"/>
        </w:rPr>
        <w:t>Cf. Case of Valle Jaramillo et al. v. Colombia. Merits, reparations and costs. Judgment of</w:t>
      </w:r>
      <w:r w:rsidRPr="00300A27">
        <w:rPr>
          <w:lang w:val="en-US"/>
        </w:rPr>
        <w:t xml:space="preserve"> November 27, 2008. Series C No. 192, para. 119, and </w:t>
      </w:r>
      <w:r w:rsidRPr="00300A27">
        <w:rPr>
          <w:i/>
          <w:iCs/>
          <w:lang w:val="en-US"/>
        </w:rPr>
        <w:t xml:space="preserve">Case of Munárriz Escobar et al. v. Peru. Preliminary objection, merits, reparations and costs. </w:t>
      </w:r>
      <w:r w:rsidRPr="00300A27">
        <w:rPr>
          <w:lang w:val="en-US"/>
        </w:rPr>
        <w:t>Judgment of August 20, 2018. Series C No. 355, para. 114.</w:t>
      </w:r>
    </w:p>
  </w:footnote>
  <w:footnote w:id="289">
    <w:p w14:paraId="1B807909" w14:textId="7A0C96FE" w:rsidR="00300A27" w:rsidRPr="00300A27" w:rsidRDefault="00300A27" w:rsidP="00F756EF">
      <w:pPr>
        <w:pStyle w:val="Textonotapie"/>
        <w:tabs>
          <w:tab w:val="left" w:pos="426"/>
        </w:tabs>
        <w:spacing w:before="0" w:after="80"/>
        <w:rPr>
          <w:lang w:val="en-US"/>
        </w:rPr>
      </w:pPr>
      <w:r w:rsidRPr="00300A27">
        <w:rPr>
          <w:rStyle w:val="Refdenotaalpie"/>
          <w:rFonts w:eastAsia="Calibri"/>
          <w:lang w:val="en-US"/>
        </w:rPr>
        <w:footnoteRef/>
      </w:r>
      <w:r w:rsidRPr="00300A27">
        <w:rPr>
          <w:rFonts w:eastAsia="Calibri"/>
          <w:lang w:val="en-US"/>
        </w:rPr>
        <w:t xml:space="preserve"> </w:t>
      </w:r>
      <w:r w:rsidRPr="00300A27">
        <w:rPr>
          <w:rFonts w:eastAsia="Calibri"/>
          <w:lang w:val="en-US"/>
        </w:rPr>
        <w:tab/>
        <w:t xml:space="preserve">  </w:t>
      </w:r>
      <w:r w:rsidRPr="00300A27">
        <w:rPr>
          <w:rFonts w:eastAsia="Calibri"/>
          <w:i/>
          <w:iCs/>
          <w:lang w:val="en-US"/>
        </w:rPr>
        <w:t xml:space="preserve">Cf. Case of La Cantuta v. Peru. Merits, reparations and costs. </w:t>
      </w:r>
      <w:r w:rsidRPr="00300A27">
        <w:rPr>
          <w:rFonts w:eastAsia="Calibri"/>
          <w:lang w:val="en-US"/>
        </w:rPr>
        <w:t xml:space="preserve">Judgment of November 29, 2006. Series C No. 162, para. 218, and </w:t>
      </w:r>
      <w:r w:rsidRPr="00300A27">
        <w:rPr>
          <w:rFonts w:eastAsia="Calibri"/>
          <w:i/>
          <w:iCs/>
          <w:lang w:val="en-US"/>
        </w:rPr>
        <w:t>Case of Ruiz Fuentes et al. v. Guatemala. Preliminary objection, merits, reparations and costs, supra</w:t>
      </w:r>
      <w:r w:rsidRPr="00300A27">
        <w:rPr>
          <w:rFonts w:eastAsia="Calibri"/>
          <w:lang w:val="en-US"/>
        </w:rPr>
        <w:t>, para. 191.</w:t>
      </w:r>
    </w:p>
  </w:footnote>
  <w:footnote w:id="290">
    <w:p w14:paraId="2AB00259" w14:textId="7DDC351B" w:rsidR="00300A27" w:rsidRPr="00300A27" w:rsidRDefault="00300A27" w:rsidP="00F756EF">
      <w:pPr>
        <w:pStyle w:val="Textonotapie"/>
        <w:tabs>
          <w:tab w:val="left" w:pos="426"/>
        </w:tabs>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  </w:t>
      </w:r>
      <w:r w:rsidRPr="00300A27">
        <w:rPr>
          <w:i/>
          <w:iCs/>
          <w:lang w:val="en-US"/>
        </w:rPr>
        <w:t>Cf. Case of Rosendo Cantú et al. v. Mexico. Preliminary objection, merits, reparations and costs, supra</w:t>
      </w:r>
      <w:r w:rsidRPr="00300A27">
        <w:rPr>
          <w:lang w:val="en-US"/>
        </w:rPr>
        <w:t xml:space="preserve">, paras. 137 to 139, and </w:t>
      </w:r>
      <w:r w:rsidRPr="00300A27">
        <w:rPr>
          <w:i/>
          <w:iCs/>
          <w:lang w:val="en-US"/>
        </w:rPr>
        <w:t>Case of Women Victims of Sexual Torture in Atenco v. Mexico. Preliminary objection, merits, reparations and costs, supra</w:t>
      </w:r>
      <w:r w:rsidRPr="00300A27">
        <w:rPr>
          <w:lang w:val="en-US"/>
        </w:rPr>
        <w:t>, para. 321.</w:t>
      </w:r>
    </w:p>
  </w:footnote>
  <w:footnote w:id="291">
    <w:p w14:paraId="3D56CD06" w14:textId="3EF33EF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i/>
          <w:iCs/>
          <w:lang w:val="en-US"/>
        </w:rPr>
        <w:t>Cf. Case of Valle Jaramillo et al. v. Colombia. Merits, reparations and costs, supra</w:t>
      </w:r>
      <w:r w:rsidRPr="00300A27">
        <w:rPr>
          <w:lang w:val="en-US"/>
        </w:rPr>
        <w:t xml:space="preserve">, para. 119, and </w:t>
      </w:r>
      <w:r w:rsidRPr="00300A27">
        <w:rPr>
          <w:i/>
          <w:iCs/>
          <w:lang w:val="en-US"/>
        </w:rPr>
        <w:t>Case of Women Victims of Sexual Torture in Atenco v. Mexico. Preliminary objection, merits, reparations and costs, supra</w:t>
      </w:r>
      <w:r w:rsidRPr="00300A27">
        <w:rPr>
          <w:lang w:val="en-US"/>
        </w:rPr>
        <w:t>, para. 320.</w:t>
      </w:r>
    </w:p>
  </w:footnote>
  <w:footnote w:id="292">
    <w:p w14:paraId="46043DF7" w14:textId="646F9990"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i/>
          <w:iCs/>
          <w:lang w:val="en-US"/>
        </w:rPr>
        <w:t>Cf.</w:t>
      </w:r>
      <w:r w:rsidRPr="00300A27">
        <w:rPr>
          <w:lang w:val="en-US"/>
        </w:rPr>
        <w:t xml:space="preserve"> Report of psychological appraisal of Juana Rosa Tanta Marín on March 20, 2015 (evidence file, folio 2428).</w:t>
      </w:r>
    </w:p>
  </w:footnote>
  <w:footnote w:id="293">
    <w:p w14:paraId="2BC9FDF4" w14:textId="02BA7CE5"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i/>
          <w:lang w:val="en-US"/>
        </w:rPr>
        <w:t xml:space="preserve">Cf. </w:t>
      </w:r>
      <w:r w:rsidRPr="00300A27">
        <w:rPr>
          <w:lang w:val="en-US"/>
        </w:rPr>
        <w:t>Report of psychological appraisal of Juana Rosa Tanta Marín on March 20, 2015 (evidence file, folio 2428).</w:t>
      </w:r>
    </w:p>
  </w:footnote>
  <w:footnote w:id="294">
    <w:p w14:paraId="3BBF4B25" w14:textId="0D1B0B34" w:rsidR="00300A27" w:rsidRPr="00300A27" w:rsidRDefault="00300A27" w:rsidP="00F756EF">
      <w:pPr>
        <w:pStyle w:val="Textonotapie"/>
        <w:tabs>
          <w:tab w:val="left" w:pos="540"/>
        </w:tabs>
        <w:spacing w:before="0" w:after="80"/>
        <w:rPr>
          <w:lang w:val="en-US"/>
        </w:rPr>
      </w:pPr>
      <w:r w:rsidRPr="00300A27">
        <w:rPr>
          <w:rStyle w:val="Refdenotaalpie"/>
          <w:rFonts w:cstheme="minorBidi"/>
          <w:lang w:val="en-US"/>
        </w:rPr>
        <w:footnoteRef/>
      </w:r>
      <w:r w:rsidRPr="00300A27">
        <w:t xml:space="preserve"> </w:t>
      </w:r>
      <w:r w:rsidRPr="00300A27">
        <w:tab/>
      </w:r>
      <w:r w:rsidRPr="00300A27">
        <w:rPr>
          <w:i/>
          <w:iCs/>
        </w:rPr>
        <w:t xml:space="preserve">Cf. Case of Velásquez Rodríguez v. Honduras. </w:t>
      </w:r>
      <w:r w:rsidRPr="00300A27">
        <w:rPr>
          <w:i/>
          <w:iCs/>
          <w:lang w:val="en-US"/>
        </w:rPr>
        <w:t>Reparations and costs</w:t>
      </w:r>
      <w:r w:rsidRPr="00300A27">
        <w:rPr>
          <w:lang w:val="en-US"/>
        </w:rPr>
        <w:t xml:space="preserve">. Judgment of July 21, 1989. Series C No. 7, paras. 24 and 25, and </w:t>
      </w:r>
      <w:r w:rsidRPr="00300A27">
        <w:rPr>
          <w:i/>
          <w:iCs/>
          <w:lang w:val="en-US"/>
        </w:rPr>
        <w:t>Case of Montesinos Mejía v. Ecuador. Preliminary objections, merits, reparations and costs, supra</w:t>
      </w:r>
      <w:r w:rsidRPr="00300A27">
        <w:rPr>
          <w:lang w:val="en-US"/>
        </w:rPr>
        <w:t>, para. 217.</w:t>
      </w:r>
    </w:p>
  </w:footnote>
  <w:footnote w:id="295">
    <w:p w14:paraId="41D9EC69" w14:textId="430D6640" w:rsidR="00300A27" w:rsidRPr="00300A27" w:rsidRDefault="00300A27" w:rsidP="00F756EF">
      <w:pPr>
        <w:pStyle w:val="Textonotapie"/>
        <w:tabs>
          <w:tab w:val="left" w:pos="540"/>
        </w:tabs>
        <w:spacing w:before="0" w:after="80"/>
        <w:rPr>
          <w:lang w:val="en-US"/>
        </w:rPr>
      </w:pPr>
      <w:r w:rsidRPr="00300A27">
        <w:rPr>
          <w:rStyle w:val="Refdenotaalpie"/>
          <w:rFonts w:cstheme="minorBidi"/>
          <w:lang w:val="en-US"/>
        </w:rPr>
        <w:footnoteRef/>
      </w:r>
      <w:r w:rsidRPr="00300A27">
        <w:rPr>
          <w:vertAlign w:val="superscript"/>
          <w:lang w:val="en-US"/>
        </w:rPr>
        <w:t xml:space="preserve"> </w:t>
      </w:r>
      <w:r w:rsidRPr="00300A27">
        <w:rPr>
          <w:lang w:val="en-US"/>
        </w:rPr>
        <w:tab/>
      </w:r>
      <w:r w:rsidRPr="00300A27">
        <w:rPr>
          <w:i/>
          <w:iCs/>
          <w:lang w:val="en-US"/>
        </w:rPr>
        <w:t>Cf. Case of Ticona Estrada et al. v. Bolivia. Merits, reparations and costs.</w:t>
      </w:r>
      <w:r w:rsidRPr="00300A27">
        <w:rPr>
          <w:lang w:val="en-US"/>
        </w:rPr>
        <w:t xml:space="preserve"> Judgment of November 27, 2008. Series C No. 191, para. 110, and </w:t>
      </w:r>
      <w:r w:rsidRPr="00300A27">
        <w:rPr>
          <w:i/>
          <w:iCs/>
          <w:lang w:val="en-US"/>
        </w:rPr>
        <w:t>Case of Montesinos Mejía v. Ecuador. Preliminary objections, merits, reparations and costs, supra</w:t>
      </w:r>
      <w:r w:rsidRPr="00300A27">
        <w:rPr>
          <w:lang w:val="en-US"/>
        </w:rPr>
        <w:t>, para. 219.</w:t>
      </w:r>
    </w:p>
  </w:footnote>
  <w:footnote w:id="296">
    <w:p w14:paraId="604F4791" w14:textId="2E9F0896" w:rsidR="00300A27" w:rsidRPr="00300A27" w:rsidRDefault="00300A27" w:rsidP="00F756EF">
      <w:pPr>
        <w:pStyle w:val="Textonotapie"/>
        <w:tabs>
          <w:tab w:val="left" w:pos="540"/>
        </w:tabs>
        <w:spacing w:before="0" w:after="80"/>
        <w:rPr>
          <w:lang w:val="en-US"/>
        </w:rPr>
      </w:pPr>
      <w:r w:rsidRPr="00300A27">
        <w:rPr>
          <w:rStyle w:val="Refdenotaalpie"/>
          <w:rFonts w:cstheme="minorBidi"/>
          <w:lang w:val="en-US"/>
        </w:rPr>
        <w:footnoteRef/>
      </w:r>
      <w:r w:rsidRPr="00300A27">
        <w:rPr>
          <w:vertAlign w:val="superscript"/>
          <w:lang w:val="en-US"/>
        </w:rPr>
        <w:t xml:space="preserve"> </w:t>
      </w:r>
      <w:r w:rsidRPr="00300A27">
        <w:rPr>
          <w:lang w:val="en-US"/>
        </w:rPr>
        <w:tab/>
      </w:r>
      <w:r w:rsidRPr="00300A27">
        <w:rPr>
          <w:i/>
          <w:iCs/>
          <w:lang w:val="en-US"/>
        </w:rPr>
        <w:t>Cf. Case of Velásquez Rodríguez v. Honduras. Reparations and costs, supra</w:t>
      </w:r>
      <w:r w:rsidRPr="00300A27">
        <w:rPr>
          <w:lang w:val="en-US"/>
        </w:rPr>
        <w:t xml:space="preserve">, paras. 25 and 26, and </w:t>
      </w:r>
      <w:r w:rsidRPr="00300A27">
        <w:rPr>
          <w:i/>
          <w:iCs/>
          <w:lang w:val="en-US"/>
        </w:rPr>
        <w:t>Case of Montesinos Mejía v. Ecuador. Preliminary objections, merits, reparations and costs, supra</w:t>
      </w:r>
      <w:r w:rsidRPr="00300A27">
        <w:rPr>
          <w:lang w:val="en-US"/>
        </w:rPr>
        <w:t>, para. 220.</w:t>
      </w:r>
    </w:p>
  </w:footnote>
  <w:footnote w:id="297">
    <w:p w14:paraId="5C797432" w14:textId="187BCEBC"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López Soto et al. v. Venezuela. Merits, reparations and costs, supra</w:t>
      </w:r>
      <w:r w:rsidRPr="00300A27">
        <w:rPr>
          <w:lang w:val="en-US"/>
        </w:rPr>
        <w:t xml:space="preserve">, para. 278, and </w:t>
      </w:r>
      <w:r w:rsidRPr="00300A27">
        <w:rPr>
          <w:i/>
          <w:iCs/>
          <w:lang w:val="en-US"/>
        </w:rPr>
        <w:t>Case of Women Victims of Sexual Torture in Atenco v. Mexico. Preliminary objection, merits, reparations and costs, supra</w:t>
      </w:r>
      <w:r w:rsidRPr="00300A27">
        <w:rPr>
          <w:lang w:val="en-US"/>
        </w:rPr>
        <w:t>, para. 338.</w:t>
      </w:r>
    </w:p>
  </w:footnote>
  <w:footnote w:id="298">
    <w:p w14:paraId="480B2956" w14:textId="7C71F9AF" w:rsidR="00300A27" w:rsidRPr="00300A27" w:rsidRDefault="00300A27" w:rsidP="00F756EF">
      <w:pPr>
        <w:pStyle w:val="Textonotapie"/>
        <w:tabs>
          <w:tab w:val="left" w:pos="540"/>
        </w:tabs>
        <w:spacing w:before="0" w:after="80"/>
        <w:rPr>
          <w:rFonts w:eastAsia="Times New Roman"/>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Cf. Case of Cantoral Benavides v. Peru. Reparations and costs, supra</w:t>
      </w:r>
      <w:r w:rsidRPr="00300A27">
        <w:rPr>
          <w:lang w:val="en-US"/>
        </w:rPr>
        <w:t xml:space="preserve">, para. 79, and </w:t>
      </w:r>
      <w:r w:rsidRPr="00300A27">
        <w:rPr>
          <w:i/>
          <w:iCs/>
          <w:lang w:val="en-US"/>
        </w:rPr>
        <w:t>Case of Montesinos Mejía v. Ecuador. Preliminary objections, merits, reparations and costs, supra</w:t>
      </w:r>
      <w:r w:rsidRPr="00300A27">
        <w:rPr>
          <w:lang w:val="en-US"/>
        </w:rPr>
        <w:t>, para. 226.</w:t>
      </w:r>
    </w:p>
  </w:footnote>
  <w:footnote w:id="299">
    <w:p w14:paraId="268A30D3" w14:textId="6D5CCC96" w:rsidR="00300A27" w:rsidRPr="00300A27" w:rsidRDefault="00300A27" w:rsidP="00F756EF">
      <w:pPr>
        <w:tabs>
          <w:tab w:val="left" w:pos="426"/>
          <w:tab w:val="left" w:pos="567"/>
        </w:tabs>
        <w:spacing w:after="80"/>
        <w:jc w:val="both"/>
        <w:rPr>
          <w:rFonts w:eastAsiaTheme="minorHAnsi"/>
          <w:b/>
          <w:sz w:val="16"/>
          <w:szCs w:val="16"/>
        </w:rPr>
      </w:pPr>
      <w:r w:rsidRPr="00300A27">
        <w:rPr>
          <w:rStyle w:val="Refdenotaalpie"/>
          <w:sz w:val="16"/>
          <w:szCs w:val="16"/>
        </w:rPr>
        <w:footnoteRef/>
      </w:r>
      <w:r w:rsidRPr="00300A27">
        <w:rPr>
          <w:sz w:val="16"/>
          <w:szCs w:val="16"/>
        </w:rPr>
        <w:t xml:space="preserve">  </w:t>
      </w:r>
      <w:r w:rsidRPr="00300A27">
        <w:rPr>
          <w:sz w:val="16"/>
          <w:szCs w:val="16"/>
        </w:rPr>
        <w:tab/>
      </w:r>
      <w:r w:rsidRPr="00300A27">
        <w:rPr>
          <w:sz w:val="16"/>
          <w:szCs w:val="16"/>
        </w:rPr>
        <w:tab/>
      </w:r>
      <w:r w:rsidRPr="00300A27">
        <w:rPr>
          <w:i/>
          <w:sz w:val="16"/>
          <w:szCs w:val="16"/>
        </w:rPr>
        <w:t xml:space="preserve">Cf. Case of Cantoral Benavides v. Peru. Reparations and costs, supra, </w:t>
      </w:r>
      <w:r w:rsidRPr="00300A27">
        <w:rPr>
          <w:iCs/>
          <w:sz w:val="16"/>
          <w:szCs w:val="16"/>
        </w:rPr>
        <w:t xml:space="preserve">para. 81, and </w:t>
      </w:r>
      <w:r w:rsidRPr="00300A27">
        <w:rPr>
          <w:i/>
          <w:sz w:val="16"/>
          <w:szCs w:val="16"/>
        </w:rPr>
        <w:t xml:space="preserve">Case of Women Victims of Sexual Torture in Atenco v. Mexico. Preliminary objection, merits, reparations and costs, supra, </w:t>
      </w:r>
      <w:r w:rsidRPr="00300A27">
        <w:rPr>
          <w:iCs/>
          <w:sz w:val="16"/>
          <w:szCs w:val="16"/>
        </w:rPr>
        <w:t>para. 347.</w:t>
      </w:r>
    </w:p>
  </w:footnote>
  <w:footnote w:id="300">
    <w:p w14:paraId="2CC1974F" w14:textId="7A99F732"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Case of Radilla Pacheco v. Mexico. Preliminary objections, merits, reparations and costs. Judgment of November 23, 2009. Series C No. 209, </w:t>
      </w:r>
      <w:r w:rsidRPr="00300A27">
        <w:rPr>
          <w:iCs/>
          <w:lang w:val="en-US"/>
        </w:rPr>
        <w:t xml:space="preserve">para. 353, and </w:t>
      </w:r>
      <w:r w:rsidRPr="00300A27">
        <w:rPr>
          <w:i/>
          <w:lang w:val="en-US"/>
        </w:rPr>
        <w:t xml:space="preserve">Case of Women Victims of Sexual Torture in Atenco v. Mexico. Preliminary objection, merits, reparations and costs, supra, </w:t>
      </w:r>
      <w:r w:rsidRPr="00300A27">
        <w:rPr>
          <w:iCs/>
          <w:lang w:val="en-US"/>
        </w:rPr>
        <w:t>para. 348</w:t>
      </w:r>
      <w:r w:rsidRPr="00300A27">
        <w:rPr>
          <w:i/>
          <w:lang w:val="en-US"/>
        </w:rPr>
        <w:t>.</w:t>
      </w:r>
    </w:p>
  </w:footnote>
  <w:footnote w:id="301">
    <w:p w14:paraId="19D67477" w14:textId="5B80A8E7"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Cs/>
          <w:lang w:val="en-US"/>
        </w:rPr>
        <w:t>See, for example</w:t>
      </w:r>
      <w:r w:rsidRPr="00300A27">
        <w:rPr>
          <w:i/>
          <w:lang w:val="en-US"/>
        </w:rPr>
        <w:t xml:space="preserve">, Case of the Miguel Castro Castro Prison v. Peru. Merits, reparations and costs, supra, </w:t>
      </w:r>
      <w:r w:rsidRPr="00300A27">
        <w:rPr>
          <w:iCs/>
          <w:lang w:val="en-US"/>
        </w:rPr>
        <w:t>para. 445</w:t>
      </w:r>
      <w:r w:rsidRPr="00300A27">
        <w:rPr>
          <w:i/>
          <w:lang w:val="en-US"/>
        </w:rPr>
        <w:t xml:space="preserve">, and Case of Women Victims of Sexual Torture in Atenco v. Mexico. Preliminary objection, merits, reparations and costs, supra, </w:t>
      </w:r>
      <w:r w:rsidRPr="00300A27">
        <w:rPr>
          <w:iCs/>
          <w:lang w:val="en-US"/>
        </w:rPr>
        <w:t>para. 348.</w:t>
      </w:r>
    </w:p>
  </w:footnote>
  <w:footnote w:id="302">
    <w:p w14:paraId="533EA6A3" w14:textId="4F9C1C9D" w:rsidR="00300A27" w:rsidRPr="00300A27" w:rsidRDefault="00300A27" w:rsidP="00F756EF">
      <w:pPr>
        <w:tabs>
          <w:tab w:val="left" w:pos="426"/>
          <w:tab w:val="left" w:pos="567"/>
        </w:tabs>
        <w:spacing w:after="80"/>
        <w:jc w:val="both"/>
        <w:rPr>
          <w:rFonts w:eastAsia="Times New Roman"/>
          <w:sz w:val="16"/>
          <w:szCs w:val="16"/>
        </w:rPr>
      </w:pPr>
      <w:r w:rsidRPr="00300A27">
        <w:rPr>
          <w:rStyle w:val="Refdenotaalpie"/>
          <w:sz w:val="16"/>
          <w:szCs w:val="16"/>
        </w:rPr>
        <w:footnoteRef/>
      </w:r>
      <w:r w:rsidRPr="00300A27">
        <w:rPr>
          <w:sz w:val="16"/>
          <w:szCs w:val="16"/>
        </w:rPr>
        <w:t xml:space="preserve">  </w:t>
      </w:r>
      <w:r w:rsidRPr="00300A27">
        <w:rPr>
          <w:sz w:val="16"/>
          <w:szCs w:val="16"/>
        </w:rPr>
        <w:tab/>
      </w:r>
      <w:r w:rsidRPr="00300A27">
        <w:rPr>
          <w:sz w:val="16"/>
          <w:szCs w:val="16"/>
        </w:rPr>
        <w:tab/>
      </w:r>
      <w:r w:rsidRPr="00300A27">
        <w:rPr>
          <w:i/>
          <w:iCs/>
          <w:sz w:val="16"/>
          <w:szCs w:val="16"/>
        </w:rPr>
        <w:t xml:space="preserve">Cf. Case of Barrios Altos v. Peru. Reparations and costs. </w:t>
      </w:r>
      <w:r w:rsidRPr="00300A27">
        <w:rPr>
          <w:sz w:val="16"/>
          <w:szCs w:val="16"/>
        </w:rPr>
        <w:t xml:space="preserve">Judgment of November 30, 2001. Series C No. 87, para. 42 and 45, and </w:t>
      </w:r>
      <w:r w:rsidRPr="00300A27">
        <w:rPr>
          <w:i/>
          <w:iCs/>
          <w:sz w:val="16"/>
          <w:szCs w:val="16"/>
        </w:rPr>
        <w:t>Case of Women Victims of Sexual Torture in Atenco v. Mexico. Preliminary objection, merits, reparations and costs, supra</w:t>
      </w:r>
      <w:r w:rsidRPr="00300A27">
        <w:rPr>
          <w:sz w:val="16"/>
          <w:szCs w:val="16"/>
        </w:rPr>
        <w:t>, para. 341.</w:t>
      </w:r>
    </w:p>
  </w:footnote>
  <w:footnote w:id="303">
    <w:p w14:paraId="258B97E7" w14:textId="53C107C4"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Case of Poblete Vilches et al. v. Chile. Merits, reparations and costs. </w:t>
      </w:r>
      <w:r w:rsidRPr="00300A27">
        <w:rPr>
          <w:iCs/>
          <w:lang w:val="en-US"/>
        </w:rPr>
        <w:t xml:space="preserve">Judgment of March 8, 2018. </w:t>
      </w:r>
      <w:r w:rsidRPr="00300A27">
        <w:rPr>
          <w:iCs/>
        </w:rPr>
        <w:t>Series C No. 349, para. 231,</w:t>
      </w:r>
      <w:r w:rsidRPr="00300A27">
        <w:rPr>
          <w:i/>
        </w:rPr>
        <w:t xml:space="preserve"> and Case of Montesinos Mejía v. Ecuador. </w:t>
      </w:r>
      <w:r w:rsidRPr="00300A27">
        <w:rPr>
          <w:i/>
          <w:lang w:val="en-US"/>
        </w:rPr>
        <w:t xml:space="preserve">Preliminary objections, merits, reparations and costs, supra, </w:t>
      </w:r>
      <w:r w:rsidRPr="00300A27">
        <w:rPr>
          <w:iCs/>
          <w:lang w:val="en-US"/>
        </w:rPr>
        <w:t>para. 232.</w:t>
      </w:r>
    </w:p>
  </w:footnote>
  <w:footnote w:id="304">
    <w:p w14:paraId="774F46D7" w14:textId="6326BCEB"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Case of the Las Dos Erres Massacre v. Guatemala. Preliminary objection, merits, reparations and costs. </w:t>
      </w:r>
      <w:r w:rsidRPr="00300A27">
        <w:rPr>
          <w:iCs/>
          <w:lang w:val="en-US"/>
        </w:rPr>
        <w:t xml:space="preserve">Judgment of November 24, 2009. Series C No. 211, para. 270, and </w:t>
      </w:r>
      <w:r w:rsidRPr="00300A27">
        <w:rPr>
          <w:i/>
          <w:lang w:val="en-US"/>
        </w:rPr>
        <w:t>Case of Montesinos Mejía v. Ecuador. Preliminary objections, merits, reparations and costs, supra</w:t>
      </w:r>
      <w:r w:rsidRPr="00300A27">
        <w:rPr>
          <w:iCs/>
          <w:lang w:val="en-US"/>
        </w:rPr>
        <w:t>, para. 232.</w:t>
      </w:r>
    </w:p>
  </w:footnote>
  <w:footnote w:id="305">
    <w:p w14:paraId="375DA2B6" w14:textId="1D588C46"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Case of the Las Dos Erres Massacre v. Guatemala. Preliminary objection, merits, reparations and costs, supra, </w:t>
      </w:r>
      <w:r w:rsidRPr="00300A27">
        <w:rPr>
          <w:iCs/>
          <w:lang w:val="en-US"/>
        </w:rPr>
        <w:t xml:space="preserve">para. 270, and </w:t>
      </w:r>
      <w:r w:rsidRPr="00300A27">
        <w:rPr>
          <w:i/>
          <w:lang w:val="en-US"/>
        </w:rPr>
        <w:t xml:space="preserve">Case of Díaz Loreto et al. v. Venezuela. Preliminary objections, merits, reparations and costs, supra, </w:t>
      </w:r>
      <w:r w:rsidRPr="00300A27">
        <w:rPr>
          <w:iCs/>
          <w:lang w:val="en-US"/>
        </w:rPr>
        <w:t>para. 153.</w:t>
      </w:r>
    </w:p>
  </w:footnote>
  <w:footnote w:id="306">
    <w:p w14:paraId="1E37FCA8" w14:textId="15D747FD"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Case of Rosendo Cantú et al. v. Mexico. Preliminary objection, merits, reparations and costs, supra, </w:t>
      </w:r>
      <w:r w:rsidRPr="00300A27">
        <w:rPr>
          <w:iCs/>
          <w:lang w:val="en-US"/>
        </w:rPr>
        <w:t xml:space="preserve">para. 253, and </w:t>
      </w:r>
      <w:r w:rsidRPr="00300A27">
        <w:rPr>
          <w:i/>
          <w:lang w:val="en-US"/>
        </w:rPr>
        <w:t>Case of Montesinos Mejía v. Ecuador. Preliminary objections, merits, reparations and costs, supra,</w:t>
      </w:r>
      <w:r w:rsidRPr="00300A27">
        <w:rPr>
          <w:iCs/>
          <w:lang w:val="en-US"/>
        </w:rPr>
        <w:t xml:space="preserve"> para. 232.</w:t>
      </w:r>
    </w:p>
  </w:footnote>
  <w:footnote w:id="307">
    <w:p w14:paraId="3867AE68" w14:textId="55901922"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Statement made by Ketty Garibay Mascco during the public hearing held in this case.</w:t>
      </w:r>
    </w:p>
  </w:footnote>
  <w:footnote w:id="308">
    <w:p w14:paraId="474A2CF6" w14:textId="13FE4407" w:rsidR="00300A27" w:rsidRPr="00300A27" w:rsidRDefault="00300A27" w:rsidP="00F756EF">
      <w:pPr>
        <w:tabs>
          <w:tab w:val="left" w:pos="567"/>
        </w:tabs>
        <w:spacing w:after="80"/>
        <w:jc w:val="both"/>
        <w:rPr>
          <w:rFonts w:eastAsiaTheme="minorHAnsi"/>
          <w:color w:val="00B050"/>
          <w:sz w:val="16"/>
          <w:szCs w:val="16"/>
          <w:lang w:eastAsia="es-ES"/>
        </w:rPr>
      </w:pPr>
      <w:r w:rsidRPr="00300A27">
        <w:rPr>
          <w:rStyle w:val="Refdenotaalpie"/>
          <w:sz w:val="16"/>
          <w:szCs w:val="16"/>
        </w:rPr>
        <w:footnoteRef/>
      </w:r>
      <w:r w:rsidRPr="00300A27">
        <w:rPr>
          <w:sz w:val="16"/>
          <w:szCs w:val="16"/>
        </w:rPr>
        <w:t xml:space="preserve"> </w:t>
      </w:r>
      <w:r w:rsidRPr="00300A27">
        <w:rPr>
          <w:sz w:val="16"/>
          <w:szCs w:val="16"/>
        </w:rPr>
        <w:tab/>
      </w:r>
      <w:r w:rsidRPr="00300A27">
        <w:rPr>
          <w:i/>
          <w:iCs/>
          <w:sz w:val="16"/>
          <w:szCs w:val="16"/>
          <w:lang w:eastAsia="es-ES"/>
        </w:rPr>
        <w:t xml:space="preserve">Cf. </w:t>
      </w:r>
      <w:r w:rsidRPr="00300A27">
        <w:rPr>
          <w:rFonts w:eastAsia="Times New Roman"/>
          <w:sz w:val="16"/>
          <w:szCs w:val="16"/>
          <w:lang w:eastAsia="es-ES"/>
        </w:rPr>
        <w:t xml:space="preserve">Report of the </w:t>
      </w:r>
      <w:r w:rsidRPr="00300A27">
        <w:rPr>
          <w:sz w:val="16"/>
          <w:szCs w:val="16"/>
        </w:rPr>
        <w:t>United Nations Independent Expert on protection against violence and discrimination based on sexual orientation or gender identity</w:t>
      </w:r>
      <w:r w:rsidRPr="00300A27">
        <w:rPr>
          <w:rFonts w:eastAsia="Times New Roman"/>
          <w:sz w:val="16"/>
          <w:szCs w:val="16"/>
          <w:lang w:eastAsia="es-ES"/>
        </w:rPr>
        <w:t>, Víctor Madrigal-Borloz</w:t>
      </w:r>
      <w:r w:rsidRPr="00300A27">
        <w:rPr>
          <w:sz w:val="16"/>
          <w:szCs w:val="16"/>
          <w:lang w:eastAsia="es-ES"/>
        </w:rPr>
        <w:t>, A/HRC/41/45, May 14, 2019, para. 78.</w:t>
      </w:r>
    </w:p>
  </w:footnote>
  <w:footnote w:id="309">
    <w:p w14:paraId="03ABA9EB" w14:textId="606A9726"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iCs/>
          <w:lang w:val="en-US"/>
        </w:rPr>
        <w:t xml:space="preserve">Cf. Case of López Soto et al. v. Venezuela. Merits, reparations and costs, supra, </w:t>
      </w:r>
      <w:r w:rsidRPr="00300A27">
        <w:rPr>
          <w:lang w:val="en-US"/>
        </w:rPr>
        <w:t>para. 349.</w:t>
      </w:r>
    </w:p>
  </w:footnote>
  <w:footnote w:id="310">
    <w:p w14:paraId="64E47905" w14:textId="51CC1FDF"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Cf. Case of Bámaca Velásquez v. Guatemala. Reparations and costs</w:t>
      </w:r>
      <w:r w:rsidRPr="00300A27">
        <w:rPr>
          <w:iCs/>
          <w:lang w:val="en-US"/>
        </w:rPr>
        <w:t xml:space="preserve">. Judgment of February 22, 2002. Series C No. 91, para. 43, and </w:t>
      </w:r>
      <w:r w:rsidRPr="00300A27">
        <w:rPr>
          <w:i/>
          <w:lang w:val="en-US"/>
        </w:rPr>
        <w:t xml:space="preserve">Case of Montesinos Mejía v. Ecuador. Preliminary objections, merits, reparations and costs, supra, </w:t>
      </w:r>
      <w:r w:rsidRPr="00300A27">
        <w:rPr>
          <w:iCs/>
          <w:lang w:val="en-US"/>
        </w:rPr>
        <w:t>para. 233.</w:t>
      </w:r>
    </w:p>
  </w:footnote>
  <w:footnote w:id="311">
    <w:p w14:paraId="2C03934D" w14:textId="1BDBA60B" w:rsidR="00300A27" w:rsidRPr="00300A27" w:rsidRDefault="00300A27" w:rsidP="00F756EF">
      <w:pPr>
        <w:pStyle w:val="Textonotapie"/>
        <w:tabs>
          <w:tab w:val="left" w:pos="540"/>
        </w:tabs>
        <w:spacing w:before="0" w:after="80"/>
        <w:rPr>
          <w:b/>
          <w:spacing w:val="-4"/>
          <w:lang w:val="en-US"/>
        </w:rPr>
      </w:pPr>
      <w:r w:rsidRPr="00300A27">
        <w:rPr>
          <w:rStyle w:val="Refdenotaalpie"/>
          <w:spacing w:val="-4"/>
          <w:lang w:val="en-US"/>
        </w:rPr>
        <w:footnoteRef/>
      </w:r>
      <w:r w:rsidRPr="00300A27">
        <w:rPr>
          <w:spacing w:val="-4"/>
          <w:lang w:val="en-US"/>
        </w:rPr>
        <w:t xml:space="preserve"> </w:t>
      </w:r>
      <w:r w:rsidRPr="00300A27">
        <w:rPr>
          <w:spacing w:val="-4"/>
          <w:lang w:val="en-US"/>
        </w:rPr>
        <w:tab/>
      </w:r>
      <w:r w:rsidRPr="00300A27">
        <w:rPr>
          <w:i/>
          <w:spacing w:val="-4"/>
          <w:lang w:val="en-US"/>
        </w:rPr>
        <w:t xml:space="preserve">Cf. Case of the “Street Children” (Villagrán Morales et al.) v. Guatemala. Reparations and costs. Judgment of May 26, 2001. </w:t>
      </w:r>
      <w:r w:rsidRPr="00300A27">
        <w:rPr>
          <w:iCs/>
          <w:spacing w:val="-4"/>
          <w:lang w:val="en-US"/>
        </w:rPr>
        <w:t xml:space="preserve">Series C No. 77, para. 84, and </w:t>
      </w:r>
      <w:r w:rsidRPr="00300A27">
        <w:rPr>
          <w:i/>
          <w:spacing w:val="-4"/>
          <w:lang w:val="en-US"/>
        </w:rPr>
        <w:t xml:space="preserve">Case of Montesinos Mejía v. Ecuador. Preliminary objections, merits, reparations and costs, supra, </w:t>
      </w:r>
      <w:r w:rsidRPr="00300A27">
        <w:rPr>
          <w:iCs/>
          <w:spacing w:val="-4"/>
          <w:lang w:val="en-US"/>
        </w:rPr>
        <w:t>para. 238.</w:t>
      </w:r>
    </w:p>
  </w:footnote>
  <w:footnote w:id="312">
    <w:p w14:paraId="2036CCB0" w14:textId="70F19F54"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Psychological report of March 20 and 21, 2015 (evidence file, folio 2420).</w:t>
      </w:r>
    </w:p>
  </w:footnote>
  <w:footnote w:id="313">
    <w:p w14:paraId="71573C00" w14:textId="76A3E6CC"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w:t>
      </w:r>
      <w:r w:rsidRPr="00300A27">
        <w:rPr>
          <w:lang w:val="en-US"/>
        </w:rPr>
        <w:t>Psychological report of March 20, 2015 (evidence file, folio 2428).</w:t>
      </w:r>
    </w:p>
  </w:footnote>
  <w:footnote w:id="314">
    <w:p w14:paraId="79648E96" w14:textId="7C80934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Case of Genie Lacayo v. Nicaragua. Preliminary objections. </w:t>
      </w:r>
      <w:r w:rsidRPr="00300A27">
        <w:rPr>
          <w:iCs/>
          <w:lang w:val="en-US"/>
        </w:rPr>
        <w:t xml:space="preserve">Judgment of January 27, 1995. Series C No. 21, para. 50, and </w:t>
      </w:r>
      <w:r w:rsidRPr="00300A27">
        <w:rPr>
          <w:i/>
          <w:lang w:val="en-US"/>
        </w:rPr>
        <w:t xml:space="preserve">Case of López Lone et al. v. Honduras. Preliminary objection, merits, reparations and costs. </w:t>
      </w:r>
      <w:r w:rsidRPr="00300A27">
        <w:rPr>
          <w:iCs/>
          <w:lang w:val="en-US"/>
        </w:rPr>
        <w:t>Judgment of October 5, 2015. Series C No. 302, para. 307.</w:t>
      </w:r>
    </w:p>
  </w:footnote>
  <w:footnote w:id="315">
    <w:p w14:paraId="055589FD" w14:textId="6F03A693"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Case of Almonacid Arellano et al. v. Chile. Preliminary objections, merits, reparations and costs. </w:t>
      </w:r>
      <w:r w:rsidRPr="00300A27">
        <w:rPr>
          <w:iCs/>
          <w:lang w:val="en-US"/>
        </w:rPr>
        <w:t xml:space="preserve">Judgment of September 26, 2006. Series C No. 154, para. 124, and </w:t>
      </w:r>
      <w:r w:rsidRPr="00300A27">
        <w:rPr>
          <w:i/>
          <w:lang w:val="en-US"/>
        </w:rPr>
        <w:t>Case of Colindres Schonenberg v. El Salvador. Merits, reparations and costs, supra,</w:t>
      </w:r>
      <w:r w:rsidRPr="00300A27">
        <w:rPr>
          <w:iCs/>
          <w:lang w:val="en-US"/>
        </w:rPr>
        <w:t xml:space="preserve"> para. 129.</w:t>
      </w:r>
    </w:p>
  </w:footnote>
  <w:footnote w:id="316">
    <w:p w14:paraId="02E80C17" w14:textId="40FA726F"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t xml:space="preserve">The Court notes that the new legal definition does not includes specific purposes. According to expert witness Víctor Manuel Cubas Villanueva, since “the new legislation does not specifically restrict the purposes of the crime of torture, […] the purposes of this offense could be interpreted broadly by the agents of justice” and in accordance with the State’s international obligations. The Court also notes that, in 2018, the Committee against Torture urged the State to modify this definition “so that it expressly covers acts of torture committed for such purposes as obtaining information or a confession from the victim or a third person, punishing the victim for an act that the victim or a third person has committed or is suspected of having committed, or intimidating or coercing the victim or a third person, or for any reason based on discrimination of any kind.” </w:t>
      </w:r>
      <w:r w:rsidRPr="00300A27">
        <w:rPr>
          <w:i/>
          <w:lang w:val="en-US"/>
        </w:rPr>
        <w:t xml:space="preserve">Cf. </w:t>
      </w:r>
      <w:r w:rsidRPr="00300A27">
        <w:rPr>
          <w:lang w:val="en-US"/>
        </w:rPr>
        <w:t xml:space="preserve">Affidavit of Victor Manuel Cubas Villanueva of August 12, 2019 (evidence file, folio 3488), and Committee against Torture, Concluding observations on the seventh periodic report of Peru, CAT/C/PER/CO/7, December 18, 2018, paras. 10 and 11. </w:t>
      </w:r>
    </w:p>
  </w:footnote>
  <w:footnote w:id="317">
    <w:p w14:paraId="3AA5B174" w14:textId="1180FBA3" w:rsidR="00300A27" w:rsidRPr="00300A27" w:rsidRDefault="00300A27" w:rsidP="00F756EF">
      <w:pPr>
        <w:pStyle w:val="Textonotapie"/>
        <w:tabs>
          <w:tab w:val="left" w:pos="426"/>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lang w:val="en-US"/>
        </w:rPr>
        <w:tab/>
      </w:r>
      <w:r w:rsidRPr="00300A27">
        <w:rPr>
          <w:i/>
          <w:lang w:val="en-US"/>
        </w:rPr>
        <w:t xml:space="preserve">Cf. Case of Garrido and Baigorria v. Argentina. Reparations and costs. </w:t>
      </w:r>
      <w:r w:rsidRPr="00300A27">
        <w:rPr>
          <w:iCs/>
          <w:lang w:val="en-US"/>
        </w:rPr>
        <w:t xml:space="preserve">Judgment of August 27, 1998. Series C No. 39, para. 82, and </w:t>
      </w:r>
      <w:r w:rsidRPr="00300A27">
        <w:rPr>
          <w:i/>
          <w:lang w:val="en-US"/>
        </w:rPr>
        <w:t xml:space="preserve">Case of Montesinos Mejía v. Ecuador. Preliminary objections, merits, reparations and costs, supra, </w:t>
      </w:r>
      <w:r w:rsidRPr="00300A27">
        <w:rPr>
          <w:iCs/>
          <w:lang w:val="en-US"/>
        </w:rPr>
        <w:t>para. 244</w:t>
      </w:r>
      <w:r w:rsidRPr="00300A27">
        <w:rPr>
          <w:bCs/>
          <w:iCs/>
          <w:lang w:val="en-US"/>
        </w:rPr>
        <w:t>.</w:t>
      </w:r>
    </w:p>
  </w:footnote>
  <w:footnote w:id="318">
    <w:p w14:paraId="3FC7D912" w14:textId="7B9832AC" w:rsidR="00300A27" w:rsidRPr="00300A27" w:rsidRDefault="00300A27" w:rsidP="00F756EF">
      <w:pPr>
        <w:pStyle w:val="Textonotapie"/>
        <w:tabs>
          <w:tab w:val="left" w:pos="426"/>
        </w:tabs>
        <w:spacing w:before="0" w:after="80"/>
        <w:rPr>
          <w:bCs/>
          <w:iCs/>
          <w:lang w:val="en-US"/>
        </w:rPr>
      </w:pPr>
      <w:r w:rsidRPr="00300A27">
        <w:rPr>
          <w:rStyle w:val="Refdenotaalpie"/>
          <w:lang w:val="en-US"/>
        </w:rPr>
        <w:footnoteRef/>
      </w:r>
      <w:r w:rsidRPr="00300A27">
        <w:rPr>
          <w:lang w:val="en-US"/>
        </w:rPr>
        <w:t xml:space="preserve"> </w:t>
      </w:r>
      <w:r w:rsidRPr="00300A27">
        <w:rPr>
          <w:lang w:val="en-US"/>
        </w:rPr>
        <w:tab/>
      </w:r>
      <w:r w:rsidRPr="00300A27">
        <w:rPr>
          <w:lang w:val="en-US"/>
        </w:rPr>
        <w:tab/>
      </w:r>
      <w:r w:rsidRPr="00300A27">
        <w:rPr>
          <w:i/>
          <w:lang w:val="en-US"/>
        </w:rPr>
        <w:t xml:space="preserve">Cf. Case of Garrido and Baigorria v. Argentina. Reparations and costs, supra, </w:t>
      </w:r>
      <w:r w:rsidRPr="00300A27">
        <w:rPr>
          <w:iCs/>
          <w:lang w:val="en-US"/>
        </w:rPr>
        <w:t xml:space="preserve">para. 82, and </w:t>
      </w:r>
      <w:r w:rsidRPr="00300A27">
        <w:rPr>
          <w:i/>
          <w:lang w:val="en-US"/>
        </w:rPr>
        <w:t xml:space="preserve">Case of Montesinos Mejía v. Ecuador. Preliminary objections, merits, reparations and costs, supra, </w:t>
      </w:r>
      <w:r w:rsidRPr="00300A27">
        <w:rPr>
          <w:iCs/>
          <w:lang w:val="en-US"/>
        </w:rPr>
        <w:t>para. 244.</w:t>
      </w:r>
    </w:p>
  </w:footnote>
  <w:footnote w:id="319">
    <w:p w14:paraId="60645A7A" w14:textId="6CBA3C53" w:rsidR="00300A27" w:rsidRPr="00300A27" w:rsidRDefault="00300A27" w:rsidP="00F756EF">
      <w:pPr>
        <w:pStyle w:val="Textonotapie"/>
        <w:tabs>
          <w:tab w:val="left" w:pos="426"/>
        </w:tabs>
        <w:spacing w:before="0" w:after="80"/>
        <w:rPr>
          <w:lang w:val="en-US" w:bidi="en-US"/>
        </w:rPr>
      </w:pPr>
      <w:r w:rsidRPr="00300A27">
        <w:rPr>
          <w:rStyle w:val="Refdenotaalpie"/>
          <w:lang w:val="en-US"/>
        </w:rPr>
        <w:footnoteRef/>
      </w:r>
      <w:r w:rsidRPr="00300A27">
        <w:rPr>
          <w:lang w:val="en-US"/>
        </w:rPr>
        <w:tab/>
      </w:r>
      <w:r w:rsidRPr="00300A27">
        <w:rPr>
          <w:lang w:val="en-US"/>
        </w:rPr>
        <w:tab/>
      </w:r>
      <w:r w:rsidRPr="00300A27">
        <w:rPr>
          <w:i/>
          <w:lang w:val="en-US"/>
        </w:rPr>
        <w:t xml:space="preserve">Cf. Case of Garrido and Baigorria v. Argentina. Reparations and costs, supra, </w:t>
      </w:r>
      <w:r w:rsidRPr="00300A27">
        <w:rPr>
          <w:iCs/>
          <w:lang w:val="en-US"/>
        </w:rPr>
        <w:t xml:space="preserve">para. 79, and </w:t>
      </w:r>
      <w:r w:rsidRPr="00300A27">
        <w:rPr>
          <w:i/>
          <w:lang w:val="en-US"/>
        </w:rPr>
        <w:t xml:space="preserve">Case of Montesinos Mejía v. Ecuador. Preliminary objections, merits, reparations and costs, supra, </w:t>
      </w:r>
      <w:r w:rsidRPr="00300A27">
        <w:rPr>
          <w:iCs/>
          <w:lang w:val="en-US"/>
        </w:rPr>
        <w:t>para. 245.</w:t>
      </w:r>
    </w:p>
  </w:footnote>
  <w:footnote w:id="320">
    <w:p w14:paraId="04EFD404" w14:textId="23BA1763" w:rsidR="00300A27" w:rsidRPr="00300A27" w:rsidRDefault="00300A27" w:rsidP="00F756EF">
      <w:pPr>
        <w:pStyle w:val="Textonotapie"/>
        <w:tabs>
          <w:tab w:val="left" w:pos="426"/>
        </w:tabs>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lang w:val="en-US"/>
        </w:rPr>
        <w:tab/>
      </w:r>
      <w:r w:rsidRPr="00300A27">
        <w:rPr>
          <w:i/>
          <w:lang w:val="en-US"/>
        </w:rPr>
        <w:t xml:space="preserve">Cf. Case of Chaparro Álvarez and Lapo Íñiguez v. Ecuador. Preliminary objections, merits, reparations and costs, supra, </w:t>
      </w:r>
      <w:r w:rsidRPr="00300A27">
        <w:rPr>
          <w:iCs/>
          <w:lang w:val="en-US"/>
        </w:rPr>
        <w:t xml:space="preserve">para. 277, and </w:t>
      </w:r>
      <w:r w:rsidRPr="00300A27">
        <w:rPr>
          <w:i/>
          <w:lang w:val="en-US"/>
        </w:rPr>
        <w:t xml:space="preserve">Case of Montesinos Mejía v. Ecuador. Preliminary objections, merits, reparations and costs, supra, </w:t>
      </w:r>
      <w:r w:rsidRPr="00300A27">
        <w:rPr>
          <w:iCs/>
          <w:lang w:val="en-US"/>
        </w:rPr>
        <w:t>para. 245.</w:t>
      </w:r>
    </w:p>
  </w:footnote>
  <w:footnote w:id="321">
    <w:p w14:paraId="2970ADD8" w14:textId="5CA57E9A" w:rsidR="00300A27" w:rsidRPr="00300A27"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Case of Ibsen Cárdenas and Ibsen Peña v. Bolivia. Merits, reparations and costs. </w:t>
      </w:r>
      <w:r w:rsidRPr="00300A27">
        <w:rPr>
          <w:iCs/>
          <w:lang w:val="en-US"/>
        </w:rPr>
        <w:t xml:space="preserve">Judgment of September 1, 2010. </w:t>
      </w:r>
      <w:r w:rsidRPr="00300A27">
        <w:rPr>
          <w:iCs/>
        </w:rPr>
        <w:t xml:space="preserve">Series C No. 217, para. 29, and </w:t>
      </w:r>
      <w:r w:rsidRPr="00300A27">
        <w:rPr>
          <w:i/>
        </w:rPr>
        <w:t xml:space="preserve">Case of Montesinos Mejía v. Ecuador. </w:t>
      </w:r>
      <w:r w:rsidRPr="00300A27">
        <w:rPr>
          <w:i/>
          <w:lang w:val="en-US"/>
        </w:rPr>
        <w:t xml:space="preserve">Preliminary objections, merits, reparations and costs, supra, </w:t>
      </w:r>
      <w:r w:rsidRPr="00300A27">
        <w:rPr>
          <w:iCs/>
          <w:lang w:val="en-US"/>
        </w:rPr>
        <w:t>para. 246.</w:t>
      </w:r>
    </w:p>
  </w:footnote>
  <w:footnote w:id="322">
    <w:p w14:paraId="2E79EBD4" w14:textId="43EDC012" w:rsidR="00300A27" w:rsidRPr="00C3087E" w:rsidRDefault="00300A27" w:rsidP="00F756EF">
      <w:pPr>
        <w:pStyle w:val="Textonotapie"/>
        <w:spacing w:before="0" w:after="80"/>
        <w:rPr>
          <w:lang w:val="en-US"/>
        </w:rPr>
      </w:pPr>
      <w:r w:rsidRPr="00300A27">
        <w:rPr>
          <w:rStyle w:val="Refdenotaalpie"/>
          <w:lang w:val="en-US"/>
        </w:rPr>
        <w:footnoteRef/>
      </w:r>
      <w:r w:rsidRPr="00300A27">
        <w:rPr>
          <w:lang w:val="en-US"/>
        </w:rPr>
        <w:t xml:space="preserve"> </w:t>
      </w:r>
      <w:r w:rsidRPr="00300A27">
        <w:rPr>
          <w:lang w:val="en-US"/>
        </w:rPr>
        <w:tab/>
      </w:r>
      <w:r w:rsidRPr="00300A27">
        <w:rPr>
          <w:i/>
          <w:lang w:val="en-US"/>
        </w:rPr>
        <w:t xml:space="preserve">Cf. Case of Rojas Marín et al. v. Peru. </w:t>
      </w:r>
      <w:r w:rsidRPr="00300A27">
        <w:rPr>
          <w:iCs/>
          <w:lang w:val="en-US"/>
        </w:rPr>
        <w:t>Order of the Inter-American Court of Human Rights of August 26, 2019. Available at: http://www.corteidh.or.cr/docs/asuntos/rojas_26_08_19.pdf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343394"/>
      <w:docPartObj>
        <w:docPartGallery w:val="Page Numbers (Top of Page)"/>
        <w:docPartUnique/>
      </w:docPartObj>
    </w:sdtPr>
    <w:sdtEndPr>
      <w:rPr>
        <w:noProof/>
      </w:rPr>
    </w:sdtEndPr>
    <w:sdtContent>
      <w:p w14:paraId="7A64EDEC" w14:textId="6A446ED9" w:rsidR="00300A27" w:rsidRDefault="00300A27" w:rsidP="00993A93">
        <w:pPr>
          <w:pStyle w:val="Encabezado"/>
          <w:spacing w:before="120" w:after="120"/>
        </w:pPr>
      </w:p>
      <w:p w14:paraId="0D086D59" w14:textId="3A9DB71C" w:rsidR="00300A27" w:rsidRPr="004A6B80" w:rsidRDefault="00CF4784" w:rsidP="00993A93">
        <w:pPr>
          <w:pStyle w:val="Encabezado"/>
          <w:tabs>
            <w:tab w:val="clear" w:pos="4419"/>
            <w:tab w:val="clear" w:pos="8838"/>
            <w:tab w:val="left" w:pos="703"/>
          </w:tabs>
          <w:spacing w:before="120" w:after="120"/>
          <w:rPr>
            <w:i/>
            <w:sz w:val="18"/>
            <w:szCs w:val="18"/>
            <w:lang w:val="es-CR"/>
          </w:rPr>
        </w:pPr>
      </w:p>
    </w:sdtContent>
  </w:sdt>
  <w:p w14:paraId="2CD68E30" w14:textId="77777777" w:rsidR="00300A27" w:rsidRPr="005E697D" w:rsidRDefault="00300A27">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4433"/>
    <w:multiLevelType w:val="hybridMultilevel"/>
    <w:tmpl w:val="A6E2CA86"/>
    <w:lvl w:ilvl="0" w:tplc="0D221366">
      <w:start w:val="217"/>
      <w:numFmt w:val="bullet"/>
      <w:lvlText w:val="-"/>
      <w:lvlJc w:val="left"/>
      <w:pPr>
        <w:ind w:left="720" w:hanging="360"/>
      </w:pPr>
      <w:rPr>
        <w:rFonts w:ascii="Verdana" w:eastAsia="MS Mincho" w:hAnsi="Verdan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2940D4"/>
    <w:multiLevelType w:val="hybridMultilevel"/>
    <w:tmpl w:val="A56CC6D2"/>
    <w:lvl w:ilvl="0" w:tplc="04F22C22">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23F6B66"/>
    <w:multiLevelType w:val="hybridMultilevel"/>
    <w:tmpl w:val="3830D59E"/>
    <w:lvl w:ilvl="0" w:tplc="4E2A0C4C">
      <w:start w:val="1"/>
      <w:numFmt w:val="decimal"/>
      <w:pStyle w:val="PrrafodeSentencia"/>
      <w:lvlText w:val="%1."/>
      <w:lvlJc w:val="left"/>
      <w:pPr>
        <w:ind w:left="513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032D7441"/>
    <w:multiLevelType w:val="hybridMultilevel"/>
    <w:tmpl w:val="8ABCF9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4F138BD"/>
    <w:multiLevelType w:val="hybridMultilevel"/>
    <w:tmpl w:val="E4788452"/>
    <w:lvl w:ilvl="0" w:tplc="DD0803C6">
      <w:start w:val="1"/>
      <w:numFmt w:val="decimal"/>
      <w:lvlText w:val="%1."/>
      <w:lvlJc w:val="left"/>
      <w:pPr>
        <w:ind w:left="720" w:hanging="360"/>
      </w:pPr>
      <w:rPr>
        <w:rFonts w:ascii="Verdana" w:hAnsi="Verdana" w:hint="default"/>
        <w:b w:val="0"/>
        <w:i w:val="0"/>
        <w:strike w:val="0"/>
        <w:color w:val="000000" w:themeColor="text1"/>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5B47939"/>
    <w:multiLevelType w:val="hybridMultilevel"/>
    <w:tmpl w:val="66E4BCDC"/>
    <w:lvl w:ilvl="0" w:tplc="F800BF4C">
      <w:start w:val="1"/>
      <w:numFmt w:val="decimal"/>
      <w:lvlText w:val="%1."/>
      <w:lvlJc w:val="left"/>
      <w:pPr>
        <w:ind w:left="930" w:hanging="360"/>
      </w:pPr>
      <w:rPr>
        <w:rFonts w:ascii="Verdana" w:hAnsi="Verdana" w:hint="default"/>
        <w:b w:val="0"/>
        <w:i w:val="0"/>
        <w:strike w:val="0"/>
        <w:dstrike w:val="0"/>
        <w:color w:val="auto"/>
        <w:sz w:val="20"/>
        <w:szCs w:val="20"/>
        <w:u w:val="none"/>
        <w:effect w:val="none"/>
        <w:vertAlign w:val="baseline"/>
      </w:rPr>
    </w:lvl>
    <w:lvl w:ilvl="1" w:tplc="140A0019" w:tentative="1">
      <w:start w:val="1"/>
      <w:numFmt w:val="lowerLetter"/>
      <w:lvlText w:val="%2."/>
      <w:lvlJc w:val="left"/>
      <w:pPr>
        <w:ind w:left="1650" w:hanging="360"/>
      </w:pPr>
    </w:lvl>
    <w:lvl w:ilvl="2" w:tplc="140A001B" w:tentative="1">
      <w:start w:val="1"/>
      <w:numFmt w:val="lowerRoman"/>
      <w:lvlText w:val="%3."/>
      <w:lvlJc w:val="right"/>
      <w:pPr>
        <w:ind w:left="2370" w:hanging="180"/>
      </w:pPr>
    </w:lvl>
    <w:lvl w:ilvl="3" w:tplc="140A000F" w:tentative="1">
      <w:start w:val="1"/>
      <w:numFmt w:val="decimal"/>
      <w:lvlText w:val="%4."/>
      <w:lvlJc w:val="left"/>
      <w:pPr>
        <w:ind w:left="3090" w:hanging="360"/>
      </w:pPr>
    </w:lvl>
    <w:lvl w:ilvl="4" w:tplc="140A0019" w:tentative="1">
      <w:start w:val="1"/>
      <w:numFmt w:val="lowerLetter"/>
      <w:lvlText w:val="%5."/>
      <w:lvlJc w:val="left"/>
      <w:pPr>
        <w:ind w:left="3810" w:hanging="360"/>
      </w:pPr>
    </w:lvl>
    <w:lvl w:ilvl="5" w:tplc="140A001B" w:tentative="1">
      <w:start w:val="1"/>
      <w:numFmt w:val="lowerRoman"/>
      <w:lvlText w:val="%6."/>
      <w:lvlJc w:val="right"/>
      <w:pPr>
        <w:ind w:left="4530" w:hanging="180"/>
      </w:pPr>
    </w:lvl>
    <w:lvl w:ilvl="6" w:tplc="140A000F" w:tentative="1">
      <w:start w:val="1"/>
      <w:numFmt w:val="decimal"/>
      <w:lvlText w:val="%7."/>
      <w:lvlJc w:val="left"/>
      <w:pPr>
        <w:ind w:left="5250" w:hanging="360"/>
      </w:pPr>
    </w:lvl>
    <w:lvl w:ilvl="7" w:tplc="140A0019" w:tentative="1">
      <w:start w:val="1"/>
      <w:numFmt w:val="lowerLetter"/>
      <w:lvlText w:val="%8."/>
      <w:lvlJc w:val="left"/>
      <w:pPr>
        <w:ind w:left="5970" w:hanging="360"/>
      </w:pPr>
    </w:lvl>
    <w:lvl w:ilvl="8" w:tplc="140A001B" w:tentative="1">
      <w:start w:val="1"/>
      <w:numFmt w:val="lowerRoman"/>
      <w:lvlText w:val="%9."/>
      <w:lvlJc w:val="right"/>
      <w:pPr>
        <w:ind w:left="6690" w:hanging="180"/>
      </w:pPr>
    </w:lvl>
  </w:abstractNum>
  <w:abstractNum w:abstractNumId="6" w15:restartNumberingAfterBreak="0">
    <w:nsid w:val="06D82E9F"/>
    <w:multiLevelType w:val="hybridMultilevel"/>
    <w:tmpl w:val="EA149924"/>
    <w:lvl w:ilvl="0" w:tplc="85F6D5CC">
      <w:start w:val="3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F7684"/>
    <w:multiLevelType w:val="hybridMultilevel"/>
    <w:tmpl w:val="DEAE5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452307"/>
    <w:multiLevelType w:val="hybridMultilevel"/>
    <w:tmpl w:val="4516F240"/>
    <w:lvl w:ilvl="0" w:tplc="20DC01F6">
      <w:start w:val="1"/>
      <w:numFmt w:val="upp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9" w15:restartNumberingAfterBreak="0">
    <w:nsid w:val="0C2C19C3"/>
    <w:multiLevelType w:val="hybridMultilevel"/>
    <w:tmpl w:val="EC02C7A0"/>
    <w:lvl w:ilvl="0" w:tplc="5F3CDC52">
      <w:start w:val="1"/>
      <w:numFmt w:val="upp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1866C36"/>
    <w:multiLevelType w:val="hybridMultilevel"/>
    <w:tmpl w:val="E736B214"/>
    <w:lvl w:ilvl="0" w:tplc="4F888268">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15E4435"/>
    <w:multiLevelType w:val="hybridMultilevel"/>
    <w:tmpl w:val="583C7E7C"/>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3A34D18"/>
    <w:multiLevelType w:val="hybridMultilevel"/>
    <w:tmpl w:val="CC2091FA"/>
    <w:lvl w:ilvl="0" w:tplc="E9223ACA">
      <w:start w:val="1"/>
      <w:numFmt w:val="upp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3" w15:restartNumberingAfterBreak="0">
    <w:nsid w:val="2C6144C9"/>
    <w:multiLevelType w:val="hybridMultilevel"/>
    <w:tmpl w:val="CFF0C922"/>
    <w:lvl w:ilvl="0" w:tplc="AAD2F022">
      <w:start w:val="1"/>
      <w:numFmt w:val="decimal"/>
      <w:lvlText w:val="%1."/>
      <w:lvlJc w:val="left"/>
      <w:pPr>
        <w:tabs>
          <w:tab w:val="num" w:pos="12305"/>
        </w:tabs>
      </w:pPr>
      <w:rPr>
        <w:rFonts w:ascii="Verdana" w:eastAsia="Times New Roman" w:hAnsi="Verdana"/>
        <w:b w:val="0"/>
        <w:bCs w:val="0"/>
        <w:i w:val="0"/>
        <w:iCs w:val="0"/>
        <w:strike w:val="0"/>
        <w:color w:val="auto"/>
        <w:sz w:val="20"/>
        <w:szCs w:val="20"/>
        <w:lang w:val="es-CO"/>
      </w:rPr>
    </w:lvl>
    <w:lvl w:ilvl="1" w:tplc="D8688752">
      <w:start w:val="1"/>
      <w:numFmt w:val="decimal"/>
      <w:lvlText w:val="%2."/>
      <w:lvlJc w:val="left"/>
      <w:pPr>
        <w:tabs>
          <w:tab w:val="num" w:pos="1080"/>
        </w:tabs>
        <w:ind w:left="1080" w:hanging="360"/>
      </w:pPr>
      <w:rPr>
        <w:rFonts w:hint="default"/>
        <w:b/>
        <w:bCs w:val="0"/>
        <w:i w:val="0"/>
        <w:iCs w:val="0"/>
        <w:color w:val="FF000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2D67C60"/>
    <w:multiLevelType w:val="hybridMultilevel"/>
    <w:tmpl w:val="8EF84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EC5C34"/>
    <w:multiLevelType w:val="hybridMultilevel"/>
    <w:tmpl w:val="20DE328A"/>
    <w:lvl w:ilvl="0" w:tplc="651A2CAA">
      <w:start w:val="1"/>
      <w:numFmt w:val="decimal"/>
      <w:lvlText w:val="%1."/>
      <w:lvlJc w:val="left"/>
      <w:pPr>
        <w:ind w:left="928" w:hanging="360"/>
      </w:pPr>
      <w:rPr>
        <w:rFonts w:ascii="Verdana" w:hAnsi="Verdana" w:hint="default"/>
        <w:b w:val="0"/>
        <w:i w:val="0"/>
        <w:color w:val="auto"/>
        <w:lang w:val="en-US"/>
      </w:rPr>
    </w:lvl>
    <w:lvl w:ilvl="1" w:tplc="C23AC0AA">
      <w:start w:val="1"/>
      <w:numFmt w:val="lowerLetter"/>
      <w:lvlText w:val="%2)"/>
      <w:lvlJc w:val="left"/>
      <w:pPr>
        <w:ind w:left="1080" w:hanging="360"/>
      </w:pPr>
      <w:rPr>
        <w:rFonts w:hint="default"/>
        <w:i/>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1D465E"/>
    <w:multiLevelType w:val="hybridMultilevel"/>
    <w:tmpl w:val="A2A2AA22"/>
    <w:lvl w:ilvl="0" w:tplc="CEA4ED48">
      <w:start w:val="1"/>
      <w:numFmt w:val="upp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B804F0D"/>
    <w:multiLevelType w:val="multilevel"/>
    <w:tmpl w:val="B36256DA"/>
    <w:lvl w:ilvl="0">
      <w:start w:val="1"/>
      <w:numFmt w:val="decimal"/>
      <w:lvlText w:val="%1."/>
      <w:lvlJc w:val="left"/>
      <w:pPr>
        <w:ind w:left="1495" w:hanging="360"/>
      </w:pPr>
      <w:rPr>
        <w:vertAlign w:val="baseline"/>
      </w:rPr>
    </w:lvl>
    <w:lvl w:ilvl="1">
      <w:start w:val="1"/>
      <w:numFmt w:val="lowerLetter"/>
      <w:lvlText w:val="%2."/>
      <w:lvlJc w:val="left"/>
      <w:pPr>
        <w:ind w:left="2215" w:hanging="360"/>
      </w:pPr>
      <w:rPr>
        <w:vertAlign w:val="baseline"/>
      </w:rPr>
    </w:lvl>
    <w:lvl w:ilvl="2">
      <w:start w:val="1"/>
      <w:numFmt w:val="lowerRoman"/>
      <w:lvlText w:val="%3."/>
      <w:lvlJc w:val="right"/>
      <w:pPr>
        <w:ind w:left="2935" w:hanging="180"/>
      </w:pPr>
      <w:rPr>
        <w:vertAlign w:val="baseline"/>
      </w:rPr>
    </w:lvl>
    <w:lvl w:ilvl="3">
      <w:start w:val="1"/>
      <w:numFmt w:val="decimal"/>
      <w:lvlText w:val="%4."/>
      <w:lvlJc w:val="left"/>
      <w:pPr>
        <w:ind w:left="3655" w:hanging="360"/>
      </w:pPr>
      <w:rPr>
        <w:vertAlign w:val="baseline"/>
      </w:rPr>
    </w:lvl>
    <w:lvl w:ilvl="4">
      <w:start w:val="1"/>
      <w:numFmt w:val="lowerLetter"/>
      <w:lvlText w:val="%5."/>
      <w:lvlJc w:val="left"/>
      <w:pPr>
        <w:ind w:left="4375" w:hanging="360"/>
      </w:pPr>
      <w:rPr>
        <w:vertAlign w:val="baseline"/>
      </w:rPr>
    </w:lvl>
    <w:lvl w:ilvl="5">
      <w:start w:val="1"/>
      <w:numFmt w:val="lowerRoman"/>
      <w:lvlText w:val="%6."/>
      <w:lvlJc w:val="right"/>
      <w:pPr>
        <w:ind w:left="5095" w:hanging="180"/>
      </w:pPr>
      <w:rPr>
        <w:vertAlign w:val="baseline"/>
      </w:rPr>
    </w:lvl>
    <w:lvl w:ilvl="6">
      <w:start w:val="1"/>
      <w:numFmt w:val="decimal"/>
      <w:lvlText w:val="%7."/>
      <w:lvlJc w:val="left"/>
      <w:pPr>
        <w:ind w:left="5815" w:hanging="360"/>
      </w:pPr>
      <w:rPr>
        <w:vertAlign w:val="baseline"/>
      </w:rPr>
    </w:lvl>
    <w:lvl w:ilvl="7">
      <w:start w:val="1"/>
      <w:numFmt w:val="lowerLetter"/>
      <w:lvlText w:val="%8."/>
      <w:lvlJc w:val="left"/>
      <w:pPr>
        <w:ind w:left="6535" w:hanging="360"/>
      </w:pPr>
      <w:rPr>
        <w:vertAlign w:val="baseline"/>
      </w:rPr>
    </w:lvl>
    <w:lvl w:ilvl="8">
      <w:start w:val="1"/>
      <w:numFmt w:val="lowerRoman"/>
      <w:lvlText w:val="%9."/>
      <w:lvlJc w:val="right"/>
      <w:pPr>
        <w:ind w:left="7255" w:hanging="180"/>
      </w:pPr>
      <w:rPr>
        <w:vertAlign w:val="baseline"/>
      </w:rPr>
    </w:lvl>
  </w:abstractNum>
  <w:abstractNum w:abstractNumId="18" w15:restartNumberingAfterBreak="0">
    <w:nsid w:val="40D60385"/>
    <w:multiLevelType w:val="hybridMultilevel"/>
    <w:tmpl w:val="E168E64C"/>
    <w:lvl w:ilvl="0" w:tplc="C23AC0AA">
      <w:start w:val="1"/>
      <w:numFmt w:val="lowerLetter"/>
      <w:lvlText w:val="%1)"/>
      <w:lvlJc w:val="left"/>
      <w:pPr>
        <w:ind w:left="1069" w:hanging="360"/>
      </w:pPr>
      <w:rPr>
        <w:rFonts w:hint="default"/>
        <w:i/>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9" w15:restartNumberingAfterBreak="0">
    <w:nsid w:val="41022289"/>
    <w:multiLevelType w:val="hybridMultilevel"/>
    <w:tmpl w:val="2870D78C"/>
    <w:lvl w:ilvl="0" w:tplc="CEA4ED48">
      <w:start w:val="1"/>
      <w:numFmt w:val="upp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5121129"/>
    <w:multiLevelType w:val="hybridMultilevel"/>
    <w:tmpl w:val="92E4D6C6"/>
    <w:lvl w:ilvl="0" w:tplc="F6DA972A">
      <w:start w:val="1"/>
      <w:numFmt w:val="upperLetter"/>
      <w:lvlText w:val="%1."/>
      <w:lvlJc w:val="left"/>
      <w:pPr>
        <w:ind w:left="1429" w:hanging="72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3F309098">
      <w:start w:val="1"/>
      <w:numFmt w:val="decimal"/>
      <w:lvlText w:val="%4."/>
      <w:lvlJc w:val="left"/>
      <w:pPr>
        <w:ind w:left="3240" w:hanging="360"/>
      </w:pPr>
      <w:rPr>
        <w:rFonts w:ascii="Verdana" w:hAnsi="Verdana" w:hint="default"/>
        <w:b w:val="0"/>
        <w:color w:val="auto"/>
        <w:sz w:val="20"/>
        <w:szCs w:val="20"/>
      </w:r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21" w15:restartNumberingAfterBreak="0">
    <w:nsid w:val="4B4606FB"/>
    <w:multiLevelType w:val="hybridMultilevel"/>
    <w:tmpl w:val="9C5015FA"/>
    <w:lvl w:ilvl="0" w:tplc="752E06F2">
      <w:start w:val="2"/>
      <w:numFmt w:val="upperLetter"/>
      <w:pStyle w:val="Ttulo2"/>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CD96BBA"/>
    <w:multiLevelType w:val="hybridMultilevel"/>
    <w:tmpl w:val="F07A2A5E"/>
    <w:lvl w:ilvl="0" w:tplc="C69CC576">
      <w:start w:val="1"/>
      <w:numFmt w:val="upp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3" w15:restartNumberingAfterBreak="0">
    <w:nsid w:val="53E06E32"/>
    <w:multiLevelType w:val="hybridMultilevel"/>
    <w:tmpl w:val="FABE0216"/>
    <w:lvl w:ilvl="0" w:tplc="6F323408">
      <w:start w:val="1"/>
      <w:numFmt w:val="decimal"/>
      <w:lvlText w:val="%1."/>
      <w:lvlJc w:val="left"/>
      <w:pPr>
        <w:tabs>
          <w:tab w:val="num" w:pos="5057"/>
        </w:tabs>
      </w:pPr>
      <w:rPr>
        <w:rFonts w:ascii="Verdana" w:eastAsia="Times New Roman" w:hAnsi="Verdana" w:cs="Times New Roman" w:hint="default"/>
        <w:b w:val="0"/>
        <w:i w:val="0"/>
        <w:strike w:val="0"/>
        <w:color w:val="auto"/>
        <w:sz w:val="20"/>
        <w:lang w:val="es-ES"/>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4" w15:restartNumberingAfterBreak="0">
    <w:nsid w:val="59542BA5"/>
    <w:multiLevelType w:val="hybridMultilevel"/>
    <w:tmpl w:val="22E4DB82"/>
    <w:lvl w:ilvl="0" w:tplc="B576EF06">
      <w:start w:val="1"/>
      <w:numFmt w:val="decimal"/>
      <w:lvlText w:val="%1."/>
      <w:lvlJc w:val="left"/>
      <w:pPr>
        <w:ind w:left="1710" w:hanging="360"/>
      </w:pPr>
      <w:rPr>
        <w:rFonts w:ascii="Verdana" w:hAnsi="Verdana" w:hint="default"/>
        <w:b w:val="0"/>
        <w:i w:val="0"/>
        <w:strike w:val="0"/>
        <w:dstrike w:val="0"/>
        <w:color w:val="auto"/>
        <w:sz w:val="20"/>
        <w:szCs w:val="20"/>
        <w:u w:val="none"/>
        <w:effect w:val="none"/>
        <w:vertAlign w:val="baseline"/>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A8A3766"/>
    <w:multiLevelType w:val="hybridMultilevel"/>
    <w:tmpl w:val="F9446728"/>
    <w:lvl w:ilvl="0" w:tplc="140A000F">
      <w:start w:val="1"/>
      <w:numFmt w:val="decimal"/>
      <w:lvlText w:val="%1."/>
      <w:lvlJc w:val="left"/>
      <w:pPr>
        <w:ind w:left="1495" w:hanging="360"/>
      </w:pPr>
    </w:lvl>
    <w:lvl w:ilvl="1" w:tplc="140A0019">
      <w:start w:val="1"/>
      <w:numFmt w:val="lowerLetter"/>
      <w:lvlText w:val="%2."/>
      <w:lvlJc w:val="left"/>
      <w:pPr>
        <w:ind w:left="2215" w:hanging="360"/>
      </w:pPr>
    </w:lvl>
    <w:lvl w:ilvl="2" w:tplc="140A001B">
      <w:start w:val="1"/>
      <w:numFmt w:val="lowerRoman"/>
      <w:lvlText w:val="%3."/>
      <w:lvlJc w:val="right"/>
      <w:pPr>
        <w:ind w:left="2935" w:hanging="180"/>
      </w:pPr>
    </w:lvl>
    <w:lvl w:ilvl="3" w:tplc="140A000F">
      <w:start w:val="1"/>
      <w:numFmt w:val="decimal"/>
      <w:lvlText w:val="%4."/>
      <w:lvlJc w:val="left"/>
      <w:pPr>
        <w:ind w:left="3655" w:hanging="360"/>
      </w:pPr>
    </w:lvl>
    <w:lvl w:ilvl="4" w:tplc="140A0019">
      <w:start w:val="1"/>
      <w:numFmt w:val="lowerLetter"/>
      <w:lvlText w:val="%5."/>
      <w:lvlJc w:val="left"/>
      <w:pPr>
        <w:ind w:left="4375" w:hanging="360"/>
      </w:pPr>
    </w:lvl>
    <w:lvl w:ilvl="5" w:tplc="140A001B">
      <w:start w:val="1"/>
      <w:numFmt w:val="lowerRoman"/>
      <w:lvlText w:val="%6."/>
      <w:lvlJc w:val="right"/>
      <w:pPr>
        <w:ind w:left="5095" w:hanging="180"/>
      </w:pPr>
    </w:lvl>
    <w:lvl w:ilvl="6" w:tplc="140A000F">
      <w:start w:val="1"/>
      <w:numFmt w:val="decimal"/>
      <w:lvlText w:val="%7."/>
      <w:lvlJc w:val="left"/>
      <w:pPr>
        <w:ind w:left="5815" w:hanging="360"/>
      </w:pPr>
    </w:lvl>
    <w:lvl w:ilvl="7" w:tplc="140A0019">
      <w:start w:val="1"/>
      <w:numFmt w:val="lowerLetter"/>
      <w:lvlText w:val="%8."/>
      <w:lvlJc w:val="left"/>
      <w:pPr>
        <w:ind w:left="6535" w:hanging="360"/>
      </w:pPr>
    </w:lvl>
    <w:lvl w:ilvl="8" w:tplc="140A001B">
      <w:start w:val="1"/>
      <w:numFmt w:val="lowerRoman"/>
      <w:lvlText w:val="%9."/>
      <w:lvlJc w:val="right"/>
      <w:pPr>
        <w:ind w:left="7255" w:hanging="180"/>
      </w:pPr>
    </w:lvl>
  </w:abstractNum>
  <w:abstractNum w:abstractNumId="26" w15:restartNumberingAfterBreak="0">
    <w:nsid w:val="5AE66C55"/>
    <w:multiLevelType w:val="hybridMultilevel"/>
    <w:tmpl w:val="84401B34"/>
    <w:lvl w:ilvl="0" w:tplc="4DE0F700">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7" w15:restartNumberingAfterBreak="0">
    <w:nsid w:val="69B22386"/>
    <w:multiLevelType w:val="hybridMultilevel"/>
    <w:tmpl w:val="B5527F02"/>
    <w:lvl w:ilvl="0" w:tplc="00FC1A22">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056662E"/>
    <w:multiLevelType w:val="hybridMultilevel"/>
    <w:tmpl w:val="722A49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824F00"/>
    <w:multiLevelType w:val="hybridMultilevel"/>
    <w:tmpl w:val="477851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33F7B18"/>
    <w:multiLevelType w:val="hybridMultilevel"/>
    <w:tmpl w:val="19CCF8D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6753A80"/>
    <w:multiLevelType w:val="hybridMultilevel"/>
    <w:tmpl w:val="9C7229B2"/>
    <w:lvl w:ilvl="0" w:tplc="9170075E">
      <w:start w:val="1"/>
      <w:numFmt w:val="decimal"/>
      <w:lvlText w:val="%1."/>
      <w:lvlJc w:val="left"/>
      <w:pPr>
        <w:ind w:left="0" w:firstLine="0"/>
      </w:pPr>
      <w:rPr>
        <w:rFonts w:ascii="Verdana" w:hAnsi="Verdana" w:hint="default"/>
        <w:b w:val="0"/>
        <w:i w:val="0"/>
        <w:strike w:val="0"/>
        <w:dstrike w:val="0"/>
        <w:color w:val="auto"/>
        <w:sz w:val="20"/>
        <w:szCs w:val="20"/>
        <w:u w:val="none"/>
        <w:effect w:val="none"/>
        <w:vertAlign w:val="baseline"/>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33" w15:restartNumberingAfterBreak="0">
    <w:nsid w:val="78680637"/>
    <w:multiLevelType w:val="hybridMultilevel"/>
    <w:tmpl w:val="D916E104"/>
    <w:lvl w:ilvl="0" w:tplc="D9B81C3E">
      <w:start w:val="1"/>
      <w:numFmt w:val="upp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34" w15:restartNumberingAfterBreak="0">
    <w:nsid w:val="78DB4235"/>
    <w:multiLevelType w:val="hybridMultilevel"/>
    <w:tmpl w:val="3DB6E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9354707"/>
    <w:multiLevelType w:val="hybridMultilevel"/>
    <w:tmpl w:val="9AFC3202"/>
    <w:lvl w:ilvl="0" w:tplc="D19A94C6">
      <w:start w:val="1"/>
      <w:numFmt w:val="decimal"/>
      <w:lvlText w:val="%1."/>
      <w:lvlJc w:val="left"/>
      <w:pPr>
        <w:ind w:left="1534" w:hanging="825"/>
      </w:pPr>
      <w:rPr>
        <w:rFonts w:eastAsia="Verdana" w:cs="Verdana"/>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6" w15:restartNumberingAfterBreak="0">
    <w:nsid w:val="7C4F47C4"/>
    <w:multiLevelType w:val="hybridMultilevel"/>
    <w:tmpl w:val="BD2CB2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7D6C5F3F"/>
    <w:multiLevelType w:val="hybridMultilevel"/>
    <w:tmpl w:val="8B20EE62"/>
    <w:lvl w:ilvl="0" w:tplc="CEA4ED48">
      <w:start w:val="1"/>
      <w:numFmt w:val="upp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E443DFF"/>
    <w:multiLevelType w:val="hybridMultilevel"/>
    <w:tmpl w:val="CC0EC2A4"/>
    <w:lvl w:ilvl="0" w:tplc="D31ED416">
      <w:start w:val="175"/>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2"/>
    <w:lvlOverride w:ilvl="0">
      <w:startOverride w:val="1"/>
    </w:lvlOverride>
    <w:lvlOverride w:ilvl="1">
      <w:startOverride w:val="2"/>
    </w:lvlOverride>
  </w:num>
  <w:num w:numId="9">
    <w:abstractNumId w:val="24"/>
  </w:num>
  <w:num w:numId="10">
    <w:abstractNumId w:val="10"/>
    <w:lvlOverride w:ilvl="0">
      <w:startOverride w:val="1"/>
    </w:lvlOverride>
  </w:num>
  <w:num w:numId="11">
    <w:abstractNumId w:val="5"/>
  </w:num>
  <w:num w:numId="12">
    <w:abstractNumId w:val="21"/>
  </w:num>
  <w:num w:numId="13">
    <w:abstractNumId w:val="12"/>
  </w:num>
  <w:num w:numId="14">
    <w:abstractNumId w:val="1"/>
  </w:num>
  <w:num w:numId="15">
    <w:abstractNumId w:val="37"/>
  </w:num>
  <w:num w:numId="16">
    <w:abstractNumId w:val="16"/>
  </w:num>
  <w:num w:numId="17">
    <w:abstractNumId w:val="22"/>
  </w:num>
  <w:num w:numId="18">
    <w:abstractNumId w:val="33"/>
  </w:num>
  <w:num w:numId="19">
    <w:abstractNumId w:val="8"/>
  </w:num>
  <w:num w:numId="20">
    <w:abstractNumId w:val="21"/>
  </w:num>
  <w:num w:numId="21">
    <w:abstractNumId w:val="19"/>
  </w:num>
  <w:num w:numId="22">
    <w:abstractNumId w:val="35"/>
  </w:num>
  <w:num w:numId="23">
    <w:abstractNumId w:val="0"/>
  </w:num>
  <w:num w:numId="24">
    <w:abstractNumId w:val="28"/>
  </w:num>
  <w:num w:numId="25">
    <w:abstractNumId w:val="31"/>
  </w:num>
  <w:num w:numId="26">
    <w:abstractNumId w:val="27"/>
    <w:lvlOverride w:ilvl="0">
      <w:startOverride w:val="1"/>
    </w:lvlOverride>
  </w:num>
  <w:num w:numId="27">
    <w:abstractNumId w:val="20"/>
  </w:num>
  <w:num w:numId="28">
    <w:abstractNumId w:val="34"/>
  </w:num>
  <w:num w:numId="29">
    <w:abstractNumId w:val="29"/>
  </w:num>
  <w:num w:numId="30">
    <w:abstractNumId w:val="7"/>
  </w:num>
  <w:num w:numId="31">
    <w:abstractNumId w:val="13"/>
  </w:num>
  <w:num w:numId="32">
    <w:abstractNumId w:val="21"/>
    <w:lvlOverride w:ilvl="0">
      <w:startOverride w:val="2"/>
    </w:lvlOverride>
  </w:num>
  <w:num w:numId="33">
    <w:abstractNumId w:val="9"/>
  </w:num>
  <w:num w:numId="34">
    <w:abstractNumId w:val="4"/>
  </w:num>
  <w:num w:numId="35">
    <w:abstractNumId w:val="11"/>
  </w:num>
  <w:num w:numId="36">
    <w:abstractNumId w:val="21"/>
    <w:lvlOverride w:ilvl="0">
      <w:startOverride w:val="2"/>
    </w:lvlOverride>
  </w:num>
  <w:num w:numId="37">
    <w:abstractNumId w:val="26"/>
  </w:num>
  <w:num w:numId="38">
    <w:abstractNumId w:val="38"/>
  </w:num>
  <w:num w:numId="39">
    <w:abstractNumId w:val="6"/>
  </w:num>
  <w:num w:numId="40">
    <w:abstractNumId w:val="23"/>
  </w:num>
  <w:num w:numId="41">
    <w:abstractNumId w:val="30"/>
  </w:num>
  <w:num w:numId="42">
    <w:abstractNumId w:val="3"/>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R" w:vendorID="64" w:dllVersion="6" w:nlCheck="1" w:checkStyle="1"/>
  <w:activeWritingStyle w:appName="MSWord" w:lang="en-US"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PR" w:vendorID="64" w:dllVersion="6" w:nlCheck="1" w:checkStyle="1"/>
  <w:activeWritingStyle w:appName="MSWord" w:lang="es-AR" w:vendorID="64" w:dllVersion="6" w:nlCheck="1" w:checkStyle="1"/>
  <w:activeWritingStyle w:appName="MSWord" w:lang="es-VE" w:vendorID="64" w:dllVersion="6" w:nlCheck="1" w:checkStyle="1"/>
  <w:activeWritingStyle w:appName="MSWord" w:lang="es-PE" w:vendorID="64" w:dllVersion="6" w:nlCheck="1" w:checkStyle="1"/>
  <w:activeWritingStyle w:appName="MSWord" w:lang="es-CR"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VE" w:vendorID="64" w:dllVersion="4096" w:nlCheck="1" w:checkStyle="0"/>
  <w:activeWritingStyle w:appName="MSWord" w:lang="es-PR" w:vendorID="64" w:dllVersion="4096" w:nlCheck="1" w:checkStyle="0"/>
  <w:activeWritingStyle w:appName="MSWord" w:lang="es-AR" w:vendorID="64" w:dllVersion="4096" w:nlCheck="1" w:checkStyle="0"/>
  <w:activeWritingStyle w:appName="MSWord" w:lang="uz-Cyrl-UZ" w:vendorID="64" w:dllVersion="4096" w:nlCheck="1" w:checkStyle="0"/>
  <w:activeWritingStyle w:appName="MSWord" w:lang="uz-Cyrl-UZ" w:vendorID="64" w:dllVersion="6" w:nlCheck="1" w:checkStyle="1"/>
  <w:activeWritingStyle w:appName="MSWord" w:lang="es-CR" w:vendorID="64" w:dllVersion="0" w:nlCheck="1" w:checkStyle="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VE" w:vendorID="64" w:dllVersion="0" w:nlCheck="1" w:checkStyle="0"/>
  <w:activeWritingStyle w:appName="MSWord" w:lang="es-PR" w:vendorID="64" w:dllVersion="0" w:nlCheck="1" w:checkStyle="0"/>
  <w:activeWritingStyle w:appName="MSWord" w:lang="fr-FR" w:vendorID="64" w:dllVersion="0" w:nlCheck="1" w:checkStyle="0"/>
  <w:activeWritingStyle w:appName="MSWord" w:lang="es-AR"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B1"/>
    <w:rsid w:val="0000017E"/>
    <w:rsid w:val="00003641"/>
    <w:rsid w:val="00010421"/>
    <w:rsid w:val="0001062C"/>
    <w:rsid w:val="00011142"/>
    <w:rsid w:val="00013767"/>
    <w:rsid w:val="000138DD"/>
    <w:rsid w:val="000140C7"/>
    <w:rsid w:val="000144D6"/>
    <w:rsid w:val="00016242"/>
    <w:rsid w:val="00017DF2"/>
    <w:rsid w:val="00020FFF"/>
    <w:rsid w:val="00021CAC"/>
    <w:rsid w:val="00022D73"/>
    <w:rsid w:val="000259E0"/>
    <w:rsid w:val="000262F3"/>
    <w:rsid w:val="00026E27"/>
    <w:rsid w:val="00027BEA"/>
    <w:rsid w:val="00030CFE"/>
    <w:rsid w:val="000319F6"/>
    <w:rsid w:val="00032511"/>
    <w:rsid w:val="000343DD"/>
    <w:rsid w:val="00035520"/>
    <w:rsid w:val="0003564D"/>
    <w:rsid w:val="0004000F"/>
    <w:rsid w:val="000428AA"/>
    <w:rsid w:val="00042E24"/>
    <w:rsid w:val="00043883"/>
    <w:rsid w:val="000448D8"/>
    <w:rsid w:val="00045F4A"/>
    <w:rsid w:val="000463E1"/>
    <w:rsid w:val="000520DB"/>
    <w:rsid w:val="00052715"/>
    <w:rsid w:val="00054B93"/>
    <w:rsid w:val="00054BCA"/>
    <w:rsid w:val="0005572F"/>
    <w:rsid w:val="00055CF2"/>
    <w:rsid w:val="0006374B"/>
    <w:rsid w:val="0006490A"/>
    <w:rsid w:val="00074C5F"/>
    <w:rsid w:val="0008157C"/>
    <w:rsid w:val="000817C8"/>
    <w:rsid w:val="000825A3"/>
    <w:rsid w:val="0008451B"/>
    <w:rsid w:val="00084615"/>
    <w:rsid w:val="000907FF"/>
    <w:rsid w:val="00091958"/>
    <w:rsid w:val="00093B35"/>
    <w:rsid w:val="00093F0D"/>
    <w:rsid w:val="00094211"/>
    <w:rsid w:val="00096082"/>
    <w:rsid w:val="000A1D2A"/>
    <w:rsid w:val="000A35DA"/>
    <w:rsid w:val="000A3649"/>
    <w:rsid w:val="000A5A81"/>
    <w:rsid w:val="000A5FE8"/>
    <w:rsid w:val="000A7C3B"/>
    <w:rsid w:val="000B0173"/>
    <w:rsid w:val="000B0A82"/>
    <w:rsid w:val="000B2003"/>
    <w:rsid w:val="000C13C1"/>
    <w:rsid w:val="000C1951"/>
    <w:rsid w:val="000C2B4A"/>
    <w:rsid w:val="000C3137"/>
    <w:rsid w:val="000C3C22"/>
    <w:rsid w:val="000C464A"/>
    <w:rsid w:val="000C4BE3"/>
    <w:rsid w:val="000C7B0D"/>
    <w:rsid w:val="000D0DB5"/>
    <w:rsid w:val="000D1691"/>
    <w:rsid w:val="000D1808"/>
    <w:rsid w:val="000D1FAD"/>
    <w:rsid w:val="000E1285"/>
    <w:rsid w:val="000E347C"/>
    <w:rsid w:val="000E4E7C"/>
    <w:rsid w:val="000E5613"/>
    <w:rsid w:val="000F1642"/>
    <w:rsid w:val="000F186B"/>
    <w:rsid w:val="000F36E3"/>
    <w:rsid w:val="000F5EE4"/>
    <w:rsid w:val="000F654F"/>
    <w:rsid w:val="000F671D"/>
    <w:rsid w:val="0010028A"/>
    <w:rsid w:val="00101619"/>
    <w:rsid w:val="00102F8B"/>
    <w:rsid w:val="0010408A"/>
    <w:rsid w:val="001048CD"/>
    <w:rsid w:val="001053BA"/>
    <w:rsid w:val="00105A52"/>
    <w:rsid w:val="00106794"/>
    <w:rsid w:val="00107ECD"/>
    <w:rsid w:val="001119EF"/>
    <w:rsid w:val="0011633A"/>
    <w:rsid w:val="00116B59"/>
    <w:rsid w:val="00120325"/>
    <w:rsid w:val="00120E88"/>
    <w:rsid w:val="001219C7"/>
    <w:rsid w:val="00121C8E"/>
    <w:rsid w:val="00121FEF"/>
    <w:rsid w:val="00122E13"/>
    <w:rsid w:val="00124537"/>
    <w:rsid w:val="0012455A"/>
    <w:rsid w:val="00126948"/>
    <w:rsid w:val="00126D77"/>
    <w:rsid w:val="001277F8"/>
    <w:rsid w:val="001278C9"/>
    <w:rsid w:val="001327B1"/>
    <w:rsid w:val="00135991"/>
    <w:rsid w:val="001364B1"/>
    <w:rsid w:val="0013678A"/>
    <w:rsid w:val="0013737E"/>
    <w:rsid w:val="001413C8"/>
    <w:rsid w:val="00143487"/>
    <w:rsid w:val="0014382B"/>
    <w:rsid w:val="001438A1"/>
    <w:rsid w:val="00145969"/>
    <w:rsid w:val="00145B18"/>
    <w:rsid w:val="00147A1A"/>
    <w:rsid w:val="0015041E"/>
    <w:rsid w:val="00151BCF"/>
    <w:rsid w:val="001555A8"/>
    <w:rsid w:val="00157580"/>
    <w:rsid w:val="00157D3E"/>
    <w:rsid w:val="00162904"/>
    <w:rsid w:val="00162A43"/>
    <w:rsid w:val="00162E9A"/>
    <w:rsid w:val="00162F3A"/>
    <w:rsid w:val="001630B7"/>
    <w:rsid w:val="0016321D"/>
    <w:rsid w:val="00164124"/>
    <w:rsid w:val="0017173F"/>
    <w:rsid w:val="00171CB4"/>
    <w:rsid w:val="0017265E"/>
    <w:rsid w:val="00172F05"/>
    <w:rsid w:val="0017333A"/>
    <w:rsid w:val="0017402D"/>
    <w:rsid w:val="00175F9C"/>
    <w:rsid w:val="00176109"/>
    <w:rsid w:val="00177396"/>
    <w:rsid w:val="00177692"/>
    <w:rsid w:val="00180C5D"/>
    <w:rsid w:val="00181354"/>
    <w:rsid w:val="00185604"/>
    <w:rsid w:val="00185BA2"/>
    <w:rsid w:val="0019095D"/>
    <w:rsid w:val="0019128B"/>
    <w:rsid w:val="00191EDB"/>
    <w:rsid w:val="00193135"/>
    <w:rsid w:val="00193522"/>
    <w:rsid w:val="00194173"/>
    <w:rsid w:val="00195530"/>
    <w:rsid w:val="001959C0"/>
    <w:rsid w:val="001963A1"/>
    <w:rsid w:val="0019672A"/>
    <w:rsid w:val="001975F6"/>
    <w:rsid w:val="001A04D5"/>
    <w:rsid w:val="001A2D30"/>
    <w:rsid w:val="001A4D63"/>
    <w:rsid w:val="001A5B0E"/>
    <w:rsid w:val="001A6533"/>
    <w:rsid w:val="001B04A4"/>
    <w:rsid w:val="001B0D86"/>
    <w:rsid w:val="001B38EF"/>
    <w:rsid w:val="001B5E2B"/>
    <w:rsid w:val="001C008D"/>
    <w:rsid w:val="001C1778"/>
    <w:rsid w:val="001C35E3"/>
    <w:rsid w:val="001C4FFF"/>
    <w:rsid w:val="001D0BDC"/>
    <w:rsid w:val="001D0E86"/>
    <w:rsid w:val="001D4352"/>
    <w:rsid w:val="001D57A6"/>
    <w:rsid w:val="001D59CC"/>
    <w:rsid w:val="001D67E3"/>
    <w:rsid w:val="001D6DCA"/>
    <w:rsid w:val="001D7C25"/>
    <w:rsid w:val="001E3877"/>
    <w:rsid w:val="001E3B78"/>
    <w:rsid w:val="001E53C2"/>
    <w:rsid w:val="001E6C49"/>
    <w:rsid w:val="001F0CDD"/>
    <w:rsid w:val="001F52F8"/>
    <w:rsid w:val="001F7D87"/>
    <w:rsid w:val="00200471"/>
    <w:rsid w:val="00200C2F"/>
    <w:rsid w:val="00201A0B"/>
    <w:rsid w:val="00206546"/>
    <w:rsid w:val="00212109"/>
    <w:rsid w:val="002122E5"/>
    <w:rsid w:val="002129D0"/>
    <w:rsid w:val="00213967"/>
    <w:rsid w:val="00213FE8"/>
    <w:rsid w:val="002167A7"/>
    <w:rsid w:val="00217305"/>
    <w:rsid w:val="002177FD"/>
    <w:rsid w:val="00217CBC"/>
    <w:rsid w:val="00221211"/>
    <w:rsid w:val="00221310"/>
    <w:rsid w:val="0022146A"/>
    <w:rsid w:val="002224DE"/>
    <w:rsid w:val="00223772"/>
    <w:rsid w:val="00225EC9"/>
    <w:rsid w:val="00226410"/>
    <w:rsid w:val="00227167"/>
    <w:rsid w:val="002277B5"/>
    <w:rsid w:val="00227D2D"/>
    <w:rsid w:val="00227F6E"/>
    <w:rsid w:val="0023153E"/>
    <w:rsid w:val="00232CFA"/>
    <w:rsid w:val="0023337D"/>
    <w:rsid w:val="00233C01"/>
    <w:rsid w:val="00236406"/>
    <w:rsid w:val="002376C4"/>
    <w:rsid w:val="002378C9"/>
    <w:rsid w:val="002404D1"/>
    <w:rsid w:val="00241853"/>
    <w:rsid w:val="00241E23"/>
    <w:rsid w:val="0024349C"/>
    <w:rsid w:val="002443C1"/>
    <w:rsid w:val="00246642"/>
    <w:rsid w:val="00246D3A"/>
    <w:rsid w:val="0025151A"/>
    <w:rsid w:val="002521A0"/>
    <w:rsid w:val="00252FC3"/>
    <w:rsid w:val="0025304B"/>
    <w:rsid w:val="00253BDB"/>
    <w:rsid w:val="00256BB4"/>
    <w:rsid w:val="002578FA"/>
    <w:rsid w:val="00260A35"/>
    <w:rsid w:val="002610BF"/>
    <w:rsid w:val="00261971"/>
    <w:rsid w:val="0026330A"/>
    <w:rsid w:val="00263C1C"/>
    <w:rsid w:val="00264C7D"/>
    <w:rsid w:val="00265898"/>
    <w:rsid w:val="00266439"/>
    <w:rsid w:val="00270AE3"/>
    <w:rsid w:val="00273A5F"/>
    <w:rsid w:val="00273DFB"/>
    <w:rsid w:val="0027430C"/>
    <w:rsid w:val="00275812"/>
    <w:rsid w:val="00276881"/>
    <w:rsid w:val="002779C8"/>
    <w:rsid w:val="00280B29"/>
    <w:rsid w:val="002818FB"/>
    <w:rsid w:val="00281D30"/>
    <w:rsid w:val="00283563"/>
    <w:rsid w:val="00283C0E"/>
    <w:rsid w:val="00284C66"/>
    <w:rsid w:val="00285795"/>
    <w:rsid w:val="00286E30"/>
    <w:rsid w:val="0029023B"/>
    <w:rsid w:val="0029034C"/>
    <w:rsid w:val="0029080B"/>
    <w:rsid w:val="00290A46"/>
    <w:rsid w:val="00290CC7"/>
    <w:rsid w:val="00291AD1"/>
    <w:rsid w:val="00293A16"/>
    <w:rsid w:val="00293D81"/>
    <w:rsid w:val="00294165"/>
    <w:rsid w:val="0029573F"/>
    <w:rsid w:val="0029580A"/>
    <w:rsid w:val="002959DE"/>
    <w:rsid w:val="00296770"/>
    <w:rsid w:val="00296FC3"/>
    <w:rsid w:val="002A084C"/>
    <w:rsid w:val="002A2A62"/>
    <w:rsid w:val="002A37EC"/>
    <w:rsid w:val="002A491F"/>
    <w:rsid w:val="002A4987"/>
    <w:rsid w:val="002A7AAF"/>
    <w:rsid w:val="002B00DB"/>
    <w:rsid w:val="002B039D"/>
    <w:rsid w:val="002B115A"/>
    <w:rsid w:val="002B28F6"/>
    <w:rsid w:val="002B3DC2"/>
    <w:rsid w:val="002B44EE"/>
    <w:rsid w:val="002B4B6D"/>
    <w:rsid w:val="002B4D70"/>
    <w:rsid w:val="002B7FB5"/>
    <w:rsid w:val="002C0B48"/>
    <w:rsid w:val="002C1B94"/>
    <w:rsid w:val="002C2504"/>
    <w:rsid w:val="002C2F19"/>
    <w:rsid w:val="002C52D4"/>
    <w:rsid w:val="002C7CF4"/>
    <w:rsid w:val="002C7D9D"/>
    <w:rsid w:val="002D0FDE"/>
    <w:rsid w:val="002D1C4D"/>
    <w:rsid w:val="002D1E00"/>
    <w:rsid w:val="002D1EFC"/>
    <w:rsid w:val="002D26C4"/>
    <w:rsid w:val="002D30A6"/>
    <w:rsid w:val="002D47E3"/>
    <w:rsid w:val="002D6FE4"/>
    <w:rsid w:val="002D7D87"/>
    <w:rsid w:val="002E0882"/>
    <w:rsid w:val="002E2C2A"/>
    <w:rsid w:val="002E5FC7"/>
    <w:rsid w:val="002E6EEF"/>
    <w:rsid w:val="002F0F94"/>
    <w:rsid w:val="002F3545"/>
    <w:rsid w:val="002F6624"/>
    <w:rsid w:val="00300337"/>
    <w:rsid w:val="00300A27"/>
    <w:rsid w:val="003013FF"/>
    <w:rsid w:val="00301FF0"/>
    <w:rsid w:val="0030357C"/>
    <w:rsid w:val="00304F39"/>
    <w:rsid w:val="00305829"/>
    <w:rsid w:val="00306187"/>
    <w:rsid w:val="00307B3F"/>
    <w:rsid w:val="00310971"/>
    <w:rsid w:val="00311CF3"/>
    <w:rsid w:val="00313763"/>
    <w:rsid w:val="00314B0A"/>
    <w:rsid w:val="00314E29"/>
    <w:rsid w:val="00315CEA"/>
    <w:rsid w:val="00323FD1"/>
    <w:rsid w:val="003248BE"/>
    <w:rsid w:val="0032555E"/>
    <w:rsid w:val="003273DB"/>
    <w:rsid w:val="00327605"/>
    <w:rsid w:val="0032775A"/>
    <w:rsid w:val="0033143E"/>
    <w:rsid w:val="00331A0D"/>
    <w:rsid w:val="00332067"/>
    <w:rsid w:val="003322A3"/>
    <w:rsid w:val="00332332"/>
    <w:rsid w:val="003341E2"/>
    <w:rsid w:val="0033694D"/>
    <w:rsid w:val="00337412"/>
    <w:rsid w:val="00344961"/>
    <w:rsid w:val="0035103A"/>
    <w:rsid w:val="00353430"/>
    <w:rsid w:val="003538EF"/>
    <w:rsid w:val="0035664B"/>
    <w:rsid w:val="00357C1B"/>
    <w:rsid w:val="00361837"/>
    <w:rsid w:val="00363646"/>
    <w:rsid w:val="00366550"/>
    <w:rsid w:val="003678C4"/>
    <w:rsid w:val="00367FF7"/>
    <w:rsid w:val="00370617"/>
    <w:rsid w:val="0037233A"/>
    <w:rsid w:val="00380746"/>
    <w:rsid w:val="00381823"/>
    <w:rsid w:val="003819F4"/>
    <w:rsid w:val="00394347"/>
    <w:rsid w:val="003943F6"/>
    <w:rsid w:val="00395996"/>
    <w:rsid w:val="0039599A"/>
    <w:rsid w:val="00396C1A"/>
    <w:rsid w:val="00397445"/>
    <w:rsid w:val="003A03D0"/>
    <w:rsid w:val="003A0688"/>
    <w:rsid w:val="003A1662"/>
    <w:rsid w:val="003A1940"/>
    <w:rsid w:val="003A2057"/>
    <w:rsid w:val="003A3A79"/>
    <w:rsid w:val="003A6435"/>
    <w:rsid w:val="003A6C14"/>
    <w:rsid w:val="003A7B35"/>
    <w:rsid w:val="003A7BD5"/>
    <w:rsid w:val="003B01D3"/>
    <w:rsid w:val="003B31C2"/>
    <w:rsid w:val="003B3206"/>
    <w:rsid w:val="003B3E07"/>
    <w:rsid w:val="003B5811"/>
    <w:rsid w:val="003B5B53"/>
    <w:rsid w:val="003B5CBF"/>
    <w:rsid w:val="003B6E9F"/>
    <w:rsid w:val="003B7078"/>
    <w:rsid w:val="003B7D51"/>
    <w:rsid w:val="003C3D75"/>
    <w:rsid w:val="003C43D1"/>
    <w:rsid w:val="003C526F"/>
    <w:rsid w:val="003C6D02"/>
    <w:rsid w:val="003C7210"/>
    <w:rsid w:val="003D0F36"/>
    <w:rsid w:val="003D4171"/>
    <w:rsid w:val="003D569C"/>
    <w:rsid w:val="003D6EF6"/>
    <w:rsid w:val="003E12E9"/>
    <w:rsid w:val="003E2BAA"/>
    <w:rsid w:val="003E5682"/>
    <w:rsid w:val="003E6669"/>
    <w:rsid w:val="003E7696"/>
    <w:rsid w:val="003E7BD5"/>
    <w:rsid w:val="003F013C"/>
    <w:rsid w:val="003F2DFF"/>
    <w:rsid w:val="004003ED"/>
    <w:rsid w:val="00403130"/>
    <w:rsid w:val="00403AE6"/>
    <w:rsid w:val="00404647"/>
    <w:rsid w:val="00404DE3"/>
    <w:rsid w:val="004051D6"/>
    <w:rsid w:val="004052A0"/>
    <w:rsid w:val="00406299"/>
    <w:rsid w:val="004062A8"/>
    <w:rsid w:val="004070A0"/>
    <w:rsid w:val="00407389"/>
    <w:rsid w:val="0040771E"/>
    <w:rsid w:val="004077F5"/>
    <w:rsid w:val="004107D8"/>
    <w:rsid w:val="004113AF"/>
    <w:rsid w:val="004113EF"/>
    <w:rsid w:val="0041668B"/>
    <w:rsid w:val="00417940"/>
    <w:rsid w:val="0042164E"/>
    <w:rsid w:val="00423599"/>
    <w:rsid w:val="00423624"/>
    <w:rsid w:val="00426AAC"/>
    <w:rsid w:val="00427466"/>
    <w:rsid w:val="00431832"/>
    <w:rsid w:val="00431A35"/>
    <w:rsid w:val="00433383"/>
    <w:rsid w:val="00434FCF"/>
    <w:rsid w:val="0043538C"/>
    <w:rsid w:val="00436DAB"/>
    <w:rsid w:val="004373E8"/>
    <w:rsid w:val="00437C8F"/>
    <w:rsid w:val="00437E2D"/>
    <w:rsid w:val="00441AA6"/>
    <w:rsid w:val="004438EA"/>
    <w:rsid w:val="00444665"/>
    <w:rsid w:val="0044734D"/>
    <w:rsid w:val="00447CD3"/>
    <w:rsid w:val="00447EE0"/>
    <w:rsid w:val="00452D9B"/>
    <w:rsid w:val="00452ECB"/>
    <w:rsid w:val="00453AF7"/>
    <w:rsid w:val="00454106"/>
    <w:rsid w:val="0045512D"/>
    <w:rsid w:val="00457AF9"/>
    <w:rsid w:val="00462E5F"/>
    <w:rsid w:val="00462FF1"/>
    <w:rsid w:val="00466EB2"/>
    <w:rsid w:val="00467FD3"/>
    <w:rsid w:val="00474BB7"/>
    <w:rsid w:val="0047531B"/>
    <w:rsid w:val="004769F4"/>
    <w:rsid w:val="004777CB"/>
    <w:rsid w:val="00477918"/>
    <w:rsid w:val="004806C0"/>
    <w:rsid w:val="00480870"/>
    <w:rsid w:val="00481238"/>
    <w:rsid w:val="00483DB4"/>
    <w:rsid w:val="00485E57"/>
    <w:rsid w:val="004868A4"/>
    <w:rsid w:val="00487D93"/>
    <w:rsid w:val="00487F6B"/>
    <w:rsid w:val="004905D8"/>
    <w:rsid w:val="00492393"/>
    <w:rsid w:val="00492F77"/>
    <w:rsid w:val="00493881"/>
    <w:rsid w:val="00493955"/>
    <w:rsid w:val="004949C7"/>
    <w:rsid w:val="004951FA"/>
    <w:rsid w:val="00495848"/>
    <w:rsid w:val="004969BC"/>
    <w:rsid w:val="004A0C8D"/>
    <w:rsid w:val="004A1994"/>
    <w:rsid w:val="004A1DB0"/>
    <w:rsid w:val="004A4768"/>
    <w:rsid w:val="004A74BA"/>
    <w:rsid w:val="004A7971"/>
    <w:rsid w:val="004A7DD3"/>
    <w:rsid w:val="004B054C"/>
    <w:rsid w:val="004B2B9E"/>
    <w:rsid w:val="004B2EBF"/>
    <w:rsid w:val="004B30A3"/>
    <w:rsid w:val="004B3239"/>
    <w:rsid w:val="004B5023"/>
    <w:rsid w:val="004B5DA2"/>
    <w:rsid w:val="004C0629"/>
    <w:rsid w:val="004C16B4"/>
    <w:rsid w:val="004C31F9"/>
    <w:rsid w:val="004C5C4F"/>
    <w:rsid w:val="004C7057"/>
    <w:rsid w:val="004D0EA4"/>
    <w:rsid w:val="004D35BC"/>
    <w:rsid w:val="004D4687"/>
    <w:rsid w:val="004D4F4C"/>
    <w:rsid w:val="004D6176"/>
    <w:rsid w:val="004D7F6A"/>
    <w:rsid w:val="004E195A"/>
    <w:rsid w:val="004E19B9"/>
    <w:rsid w:val="004E1FBD"/>
    <w:rsid w:val="004E2B49"/>
    <w:rsid w:val="004E3019"/>
    <w:rsid w:val="004E3515"/>
    <w:rsid w:val="004E45E0"/>
    <w:rsid w:val="004E6044"/>
    <w:rsid w:val="004E7D4C"/>
    <w:rsid w:val="004F1010"/>
    <w:rsid w:val="004F2FFE"/>
    <w:rsid w:val="004F455F"/>
    <w:rsid w:val="004F7BAB"/>
    <w:rsid w:val="004F7F87"/>
    <w:rsid w:val="00500F3B"/>
    <w:rsid w:val="0050149B"/>
    <w:rsid w:val="00503EFC"/>
    <w:rsid w:val="0050474E"/>
    <w:rsid w:val="00506C79"/>
    <w:rsid w:val="00511C55"/>
    <w:rsid w:val="00511E6D"/>
    <w:rsid w:val="00515F27"/>
    <w:rsid w:val="005166D1"/>
    <w:rsid w:val="00516A4F"/>
    <w:rsid w:val="005172C2"/>
    <w:rsid w:val="005206D9"/>
    <w:rsid w:val="005249B2"/>
    <w:rsid w:val="00525246"/>
    <w:rsid w:val="00526C1C"/>
    <w:rsid w:val="00527534"/>
    <w:rsid w:val="005301C1"/>
    <w:rsid w:val="00530B53"/>
    <w:rsid w:val="005319AF"/>
    <w:rsid w:val="0053332A"/>
    <w:rsid w:val="00534FB2"/>
    <w:rsid w:val="005419F3"/>
    <w:rsid w:val="0054400D"/>
    <w:rsid w:val="00544B19"/>
    <w:rsid w:val="00545301"/>
    <w:rsid w:val="005465D4"/>
    <w:rsid w:val="00547188"/>
    <w:rsid w:val="00547238"/>
    <w:rsid w:val="00550A37"/>
    <w:rsid w:val="00550A96"/>
    <w:rsid w:val="00553424"/>
    <w:rsid w:val="00553888"/>
    <w:rsid w:val="00553F97"/>
    <w:rsid w:val="00554F2F"/>
    <w:rsid w:val="00555306"/>
    <w:rsid w:val="00555AB3"/>
    <w:rsid w:val="00555AE6"/>
    <w:rsid w:val="0055692B"/>
    <w:rsid w:val="00557D79"/>
    <w:rsid w:val="005611FB"/>
    <w:rsid w:val="00562354"/>
    <w:rsid w:val="005632D0"/>
    <w:rsid w:val="005637C1"/>
    <w:rsid w:val="005645EF"/>
    <w:rsid w:val="00564758"/>
    <w:rsid w:val="005677EF"/>
    <w:rsid w:val="00570CA7"/>
    <w:rsid w:val="005718A7"/>
    <w:rsid w:val="00575333"/>
    <w:rsid w:val="00575494"/>
    <w:rsid w:val="00575B8A"/>
    <w:rsid w:val="00575E56"/>
    <w:rsid w:val="005804B2"/>
    <w:rsid w:val="00581C6E"/>
    <w:rsid w:val="005837A5"/>
    <w:rsid w:val="00583F99"/>
    <w:rsid w:val="00585CEB"/>
    <w:rsid w:val="0059292E"/>
    <w:rsid w:val="005961C8"/>
    <w:rsid w:val="00596814"/>
    <w:rsid w:val="00596EE6"/>
    <w:rsid w:val="005971AA"/>
    <w:rsid w:val="00597AC6"/>
    <w:rsid w:val="005A0201"/>
    <w:rsid w:val="005A2640"/>
    <w:rsid w:val="005A6241"/>
    <w:rsid w:val="005A64FE"/>
    <w:rsid w:val="005A7FB7"/>
    <w:rsid w:val="005B1C65"/>
    <w:rsid w:val="005B46A0"/>
    <w:rsid w:val="005B4A55"/>
    <w:rsid w:val="005B6049"/>
    <w:rsid w:val="005B6F17"/>
    <w:rsid w:val="005B7420"/>
    <w:rsid w:val="005C0DB6"/>
    <w:rsid w:val="005C224B"/>
    <w:rsid w:val="005C31EB"/>
    <w:rsid w:val="005C4293"/>
    <w:rsid w:val="005C4C3C"/>
    <w:rsid w:val="005C5607"/>
    <w:rsid w:val="005D0572"/>
    <w:rsid w:val="005D1266"/>
    <w:rsid w:val="005D1315"/>
    <w:rsid w:val="005D1749"/>
    <w:rsid w:val="005D7A31"/>
    <w:rsid w:val="005D7CF9"/>
    <w:rsid w:val="005E1B77"/>
    <w:rsid w:val="005E3CC9"/>
    <w:rsid w:val="005E5300"/>
    <w:rsid w:val="005E697D"/>
    <w:rsid w:val="005E772C"/>
    <w:rsid w:val="005F01B1"/>
    <w:rsid w:val="005F06DA"/>
    <w:rsid w:val="005F1C26"/>
    <w:rsid w:val="005F29A2"/>
    <w:rsid w:val="005F30BF"/>
    <w:rsid w:val="005F4566"/>
    <w:rsid w:val="005F4948"/>
    <w:rsid w:val="005F57BE"/>
    <w:rsid w:val="005F628D"/>
    <w:rsid w:val="005F72B1"/>
    <w:rsid w:val="005F7E8B"/>
    <w:rsid w:val="00600550"/>
    <w:rsid w:val="00601FF9"/>
    <w:rsid w:val="00602301"/>
    <w:rsid w:val="006028FD"/>
    <w:rsid w:val="00603361"/>
    <w:rsid w:val="00603777"/>
    <w:rsid w:val="006075FE"/>
    <w:rsid w:val="006104AA"/>
    <w:rsid w:val="00610AD8"/>
    <w:rsid w:val="00611CCC"/>
    <w:rsid w:val="00611EE0"/>
    <w:rsid w:val="00614311"/>
    <w:rsid w:val="00616A84"/>
    <w:rsid w:val="00617074"/>
    <w:rsid w:val="00617CC0"/>
    <w:rsid w:val="00623287"/>
    <w:rsid w:val="00623D75"/>
    <w:rsid w:val="0062563B"/>
    <w:rsid w:val="00625899"/>
    <w:rsid w:val="00625A74"/>
    <w:rsid w:val="00625BB4"/>
    <w:rsid w:val="00630149"/>
    <w:rsid w:val="00631E2F"/>
    <w:rsid w:val="00632F77"/>
    <w:rsid w:val="00637945"/>
    <w:rsid w:val="006407D7"/>
    <w:rsid w:val="00640BFB"/>
    <w:rsid w:val="00642D2D"/>
    <w:rsid w:val="00642FD9"/>
    <w:rsid w:val="006438AA"/>
    <w:rsid w:val="00651282"/>
    <w:rsid w:val="00651574"/>
    <w:rsid w:val="00651811"/>
    <w:rsid w:val="0065403C"/>
    <w:rsid w:val="006542F3"/>
    <w:rsid w:val="00656444"/>
    <w:rsid w:val="006569A5"/>
    <w:rsid w:val="00660DB3"/>
    <w:rsid w:val="00661417"/>
    <w:rsid w:val="006621F2"/>
    <w:rsid w:val="006632E2"/>
    <w:rsid w:val="00663DC4"/>
    <w:rsid w:val="006640FB"/>
    <w:rsid w:val="006642AF"/>
    <w:rsid w:val="00666D1B"/>
    <w:rsid w:val="006671DF"/>
    <w:rsid w:val="0066777B"/>
    <w:rsid w:val="00670F84"/>
    <w:rsid w:val="0067286B"/>
    <w:rsid w:val="00672FFE"/>
    <w:rsid w:val="00673F6E"/>
    <w:rsid w:val="006749C4"/>
    <w:rsid w:val="00674C60"/>
    <w:rsid w:val="00675B34"/>
    <w:rsid w:val="00676747"/>
    <w:rsid w:val="0068015D"/>
    <w:rsid w:val="00680176"/>
    <w:rsid w:val="006818F7"/>
    <w:rsid w:val="00682D59"/>
    <w:rsid w:val="00682ED0"/>
    <w:rsid w:val="00683E7A"/>
    <w:rsid w:val="00685757"/>
    <w:rsid w:val="00690E76"/>
    <w:rsid w:val="00692557"/>
    <w:rsid w:val="00693267"/>
    <w:rsid w:val="0069415F"/>
    <w:rsid w:val="00695DC7"/>
    <w:rsid w:val="0069678C"/>
    <w:rsid w:val="006A18EA"/>
    <w:rsid w:val="006A1FBE"/>
    <w:rsid w:val="006A227D"/>
    <w:rsid w:val="006A3406"/>
    <w:rsid w:val="006A4BDD"/>
    <w:rsid w:val="006A65F0"/>
    <w:rsid w:val="006A6F03"/>
    <w:rsid w:val="006A7B12"/>
    <w:rsid w:val="006A7C71"/>
    <w:rsid w:val="006B004A"/>
    <w:rsid w:val="006B02FE"/>
    <w:rsid w:val="006B04A7"/>
    <w:rsid w:val="006B0992"/>
    <w:rsid w:val="006B1BF0"/>
    <w:rsid w:val="006B3A6D"/>
    <w:rsid w:val="006B3E8E"/>
    <w:rsid w:val="006B4161"/>
    <w:rsid w:val="006B5575"/>
    <w:rsid w:val="006B7A23"/>
    <w:rsid w:val="006B7BB5"/>
    <w:rsid w:val="006C0622"/>
    <w:rsid w:val="006C4061"/>
    <w:rsid w:val="006C40D2"/>
    <w:rsid w:val="006C7210"/>
    <w:rsid w:val="006C7EEC"/>
    <w:rsid w:val="006D0B58"/>
    <w:rsid w:val="006D1C9D"/>
    <w:rsid w:val="006D45B8"/>
    <w:rsid w:val="006D4701"/>
    <w:rsid w:val="006D620D"/>
    <w:rsid w:val="006D7A56"/>
    <w:rsid w:val="006D7B0B"/>
    <w:rsid w:val="006E151C"/>
    <w:rsid w:val="006E1B14"/>
    <w:rsid w:val="006E2350"/>
    <w:rsid w:val="006E45D4"/>
    <w:rsid w:val="006E4786"/>
    <w:rsid w:val="006E4A89"/>
    <w:rsid w:val="006E4D71"/>
    <w:rsid w:val="006E5CFD"/>
    <w:rsid w:val="006E5F9D"/>
    <w:rsid w:val="006F0AA2"/>
    <w:rsid w:val="006F13DD"/>
    <w:rsid w:val="006F1E6E"/>
    <w:rsid w:val="006F3369"/>
    <w:rsid w:val="006F4C50"/>
    <w:rsid w:val="006F573F"/>
    <w:rsid w:val="006F6164"/>
    <w:rsid w:val="00700254"/>
    <w:rsid w:val="00701E27"/>
    <w:rsid w:val="00703582"/>
    <w:rsid w:val="0070505B"/>
    <w:rsid w:val="007058E0"/>
    <w:rsid w:val="00705AC6"/>
    <w:rsid w:val="00706669"/>
    <w:rsid w:val="007071F6"/>
    <w:rsid w:val="00707200"/>
    <w:rsid w:val="007072E2"/>
    <w:rsid w:val="00707B6F"/>
    <w:rsid w:val="00710CE4"/>
    <w:rsid w:val="007129F7"/>
    <w:rsid w:val="00714459"/>
    <w:rsid w:val="00714BE0"/>
    <w:rsid w:val="00714CE1"/>
    <w:rsid w:val="00717527"/>
    <w:rsid w:val="0072424F"/>
    <w:rsid w:val="007244B6"/>
    <w:rsid w:val="00724815"/>
    <w:rsid w:val="00724F74"/>
    <w:rsid w:val="00725585"/>
    <w:rsid w:val="0072586B"/>
    <w:rsid w:val="00727B05"/>
    <w:rsid w:val="00733A4E"/>
    <w:rsid w:val="007341F3"/>
    <w:rsid w:val="00734C3C"/>
    <w:rsid w:val="00734EF7"/>
    <w:rsid w:val="007376AE"/>
    <w:rsid w:val="00737D26"/>
    <w:rsid w:val="00740489"/>
    <w:rsid w:val="00741324"/>
    <w:rsid w:val="007415C3"/>
    <w:rsid w:val="007419D0"/>
    <w:rsid w:val="00741D8B"/>
    <w:rsid w:val="007445F3"/>
    <w:rsid w:val="0074506C"/>
    <w:rsid w:val="00746D9D"/>
    <w:rsid w:val="00747F47"/>
    <w:rsid w:val="00747F6D"/>
    <w:rsid w:val="0075115A"/>
    <w:rsid w:val="0075136B"/>
    <w:rsid w:val="00751BE9"/>
    <w:rsid w:val="00751C52"/>
    <w:rsid w:val="007520BB"/>
    <w:rsid w:val="00753656"/>
    <w:rsid w:val="0075604A"/>
    <w:rsid w:val="00757355"/>
    <w:rsid w:val="007607E7"/>
    <w:rsid w:val="00761726"/>
    <w:rsid w:val="007621ED"/>
    <w:rsid w:val="00762E23"/>
    <w:rsid w:val="0076368D"/>
    <w:rsid w:val="00764ECF"/>
    <w:rsid w:val="00766F97"/>
    <w:rsid w:val="007704D8"/>
    <w:rsid w:val="00771FAE"/>
    <w:rsid w:val="007749CE"/>
    <w:rsid w:val="00775052"/>
    <w:rsid w:val="00775E03"/>
    <w:rsid w:val="00784326"/>
    <w:rsid w:val="00785348"/>
    <w:rsid w:val="007912A4"/>
    <w:rsid w:val="0079147C"/>
    <w:rsid w:val="00792E05"/>
    <w:rsid w:val="007936E8"/>
    <w:rsid w:val="0079495C"/>
    <w:rsid w:val="00795276"/>
    <w:rsid w:val="00795CE2"/>
    <w:rsid w:val="00795FD4"/>
    <w:rsid w:val="0079787B"/>
    <w:rsid w:val="007A04A6"/>
    <w:rsid w:val="007A0E75"/>
    <w:rsid w:val="007A19E5"/>
    <w:rsid w:val="007A1ADD"/>
    <w:rsid w:val="007A2B8B"/>
    <w:rsid w:val="007A6647"/>
    <w:rsid w:val="007A7A1B"/>
    <w:rsid w:val="007B0E80"/>
    <w:rsid w:val="007B32C3"/>
    <w:rsid w:val="007B4E7D"/>
    <w:rsid w:val="007B5385"/>
    <w:rsid w:val="007B7502"/>
    <w:rsid w:val="007C074E"/>
    <w:rsid w:val="007C2C2B"/>
    <w:rsid w:val="007C2CFE"/>
    <w:rsid w:val="007C4A71"/>
    <w:rsid w:val="007C70BC"/>
    <w:rsid w:val="007D07DD"/>
    <w:rsid w:val="007D31DB"/>
    <w:rsid w:val="007D3BF0"/>
    <w:rsid w:val="007D5806"/>
    <w:rsid w:val="007D58EF"/>
    <w:rsid w:val="007E0620"/>
    <w:rsid w:val="007E3C7B"/>
    <w:rsid w:val="007E4CD0"/>
    <w:rsid w:val="007E4F75"/>
    <w:rsid w:val="007E74BC"/>
    <w:rsid w:val="007E77C1"/>
    <w:rsid w:val="007F17BB"/>
    <w:rsid w:val="007F1CCF"/>
    <w:rsid w:val="007F1D07"/>
    <w:rsid w:val="007F26C6"/>
    <w:rsid w:val="007F364A"/>
    <w:rsid w:val="007F3C16"/>
    <w:rsid w:val="007F431E"/>
    <w:rsid w:val="007F4427"/>
    <w:rsid w:val="007F4A89"/>
    <w:rsid w:val="007F61AE"/>
    <w:rsid w:val="007F7077"/>
    <w:rsid w:val="007F7CE5"/>
    <w:rsid w:val="0080053E"/>
    <w:rsid w:val="008043CD"/>
    <w:rsid w:val="00805125"/>
    <w:rsid w:val="008056F4"/>
    <w:rsid w:val="008128B8"/>
    <w:rsid w:val="00812D3A"/>
    <w:rsid w:val="00813D0E"/>
    <w:rsid w:val="00814E9D"/>
    <w:rsid w:val="00815B06"/>
    <w:rsid w:val="00815EAD"/>
    <w:rsid w:val="00816762"/>
    <w:rsid w:val="00820DB2"/>
    <w:rsid w:val="00823C3F"/>
    <w:rsid w:val="0082413E"/>
    <w:rsid w:val="00825CD0"/>
    <w:rsid w:val="00825D99"/>
    <w:rsid w:val="00826E6D"/>
    <w:rsid w:val="0083181E"/>
    <w:rsid w:val="0083239E"/>
    <w:rsid w:val="0083352D"/>
    <w:rsid w:val="00833BCA"/>
    <w:rsid w:val="00834A1B"/>
    <w:rsid w:val="00835A0E"/>
    <w:rsid w:val="00836630"/>
    <w:rsid w:val="00837B33"/>
    <w:rsid w:val="00840148"/>
    <w:rsid w:val="0084033F"/>
    <w:rsid w:val="00840A1A"/>
    <w:rsid w:val="008416A0"/>
    <w:rsid w:val="00842954"/>
    <w:rsid w:val="00843B86"/>
    <w:rsid w:val="008444A5"/>
    <w:rsid w:val="0084476E"/>
    <w:rsid w:val="00845CFF"/>
    <w:rsid w:val="008463FB"/>
    <w:rsid w:val="00851A0A"/>
    <w:rsid w:val="00852D2F"/>
    <w:rsid w:val="008546E9"/>
    <w:rsid w:val="00860869"/>
    <w:rsid w:val="00860CD8"/>
    <w:rsid w:val="008615D0"/>
    <w:rsid w:val="0086193D"/>
    <w:rsid w:val="00863759"/>
    <w:rsid w:val="008638D6"/>
    <w:rsid w:val="008645F4"/>
    <w:rsid w:val="00865A79"/>
    <w:rsid w:val="008673A4"/>
    <w:rsid w:val="00867465"/>
    <w:rsid w:val="0086750A"/>
    <w:rsid w:val="008714B6"/>
    <w:rsid w:val="00872ED4"/>
    <w:rsid w:val="00873267"/>
    <w:rsid w:val="00873646"/>
    <w:rsid w:val="00874432"/>
    <w:rsid w:val="00880671"/>
    <w:rsid w:val="00881401"/>
    <w:rsid w:val="0088185F"/>
    <w:rsid w:val="00886008"/>
    <w:rsid w:val="00886087"/>
    <w:rsid w:val="00887890"/>
    <w:rsid w:val="00890272"/>
    <w:rsid w:val="008913D4"/>
    <w:rsid w:val="00891AD4"/>
    <w:rsid w:val="00891DD6"/>
    <w:rsid w:val="00892612"/>
    <w:rsid w:val="00892EDF"/>
    <w:rsid w:val="00894121"/>
    <w:rsid w:val="0089688D"/>
    <w:rsid w:val="00897286"/>
    <w:rsid w:val="008A18CC"/>
    <w:rsid w:val="008A33EC"/>
    <w:rsid w:val="008A35C6"/>
    <w:rsid w:val="008A64E3"/>
    <w:rsid w:val="008A6BAF"/>
    <w:rsid w:val="008B0D70"/>
    <w:rsid w:val="008B1922"/>
    <w:rsid w:val="008B1E58"/>
    <w:rsid w:val="008B385E"/>
    <w:rsid w:val="008B5D43"/>
    <w:rsid w:val="008B5EE7"/>
    <w:rsid w:val="008B6218"/>
    <w:rsid w:val="008B65DA"/>
    <w:rsid w:val="008B71AC"/>
    <w:rsid w:val="008C26F4"/>
    <w:rsid w:val="008C2E49"/>
    <w:rsid w:val="008C4657"/>
    <w:rsid w:val="008C4E58"/>
    <w:rsid w:val="008C79A6"/>
    <w:rsid w:val="008D4814"/>
    <w:rsid w:val="008D505E"/>
    <w:rsid w:val="008D61D6"/>
    <w:rsid w:val="008D6AF4"/>
    <w:rsid w:val="008D6FD4"/>
    <w:rsid w:val="008E006B"/>
    <w:rsid w:val="008E17D1"/>
    <w:rsid w:val="008E1B24"/>
    <w:rsid w:val="008E1DEC"/>
    <w:rsid w:val="008E453F"/>
    <w:rsid w:val="008E460F"/>
    <w:rsid w:val="008E4AA0"/>
    <w:rsid w:val="008F1BD3"/>
    <w:rsid w:val="008F2DFF"/>
    <w:rsid w:val="008F5064"/>
    <w:rsid w:val="008F5BD9"/>
    <w:rsid w:val="008F60D2"/>
    <w:rsid w:val="008F6B11"/>
    <w:rsid w:val="00900494"/>
    <w:rsid w:val="00901050"/>
    <w:rsid w:val="00901263"/>
    <w:rsid w:val="0090195F"/>
    <w:rsid w:val="0090308C"/>
    <w:rsid w:val="00903D3C"/>
    <w:rsid w:val="00903E50"/>
    <w:rsid w:val="00904A76"/>
    <w:rsid w:val="00905B40"/>
    <w:rsid w:val="009061F2"/>
    <w:rsid w:val="00907EBC"/>
    <w:rsid w:val="00910D8E"/>
    <w:rsid w:val="00911E1F"/>
    <w:rsid w:val="00913F18"/>
    <w:rsid w:val="009149B4"/>
    <w:rsid w:val="00916076"/>
    <w:rsid w:val="00917E67"/>
    <w:rsid w:val="0092093E"/>
    <w:rsid w:val="009240E9"/>
    <w:rsid w:val="009253B4"/>
    <w:rsid w:val="009264DB"/>
    <w:rsid w:val="00930AC4"/>
    <w:rsid w:val="009315D8"/>
    <w:rsid w:val="00932C42"/>
    <w:rsid w:val="00933958"/>
    <w:rsid w:val="0093404C"/>
    <w:rsid w:val="00935CA7"/>
    <w:rsid w:val="00943E29"/>
    <w:rsid w:val="00944FFC"/>
    <w:rsid w:val="00950F94"/>
    <w:rsid w:val="00953D65"/>
    <w:rsid w:val="009541EC"/>
    <w:rsid w:val="009566CE"/>
    <w:rsid w:val="009605A0"/>
    <w:rsid w:val="00961E38"/>
    <w:rsid w:val="00964033"/>
    <w:rsid w:val="00964553"/>
    <w:rsid w:val="0096680A"/>
    <w:rsid w:val="009669C3"/>
    <w:rsid w:val="00966ED8"/>
    <w:rsid w:val="00967E9D"/>
    <w:rsid w:val="00970B63"/>
    <w:rsid w:val="00971F4A"/>
    <w:rsid w:val="00972861"/>
    <w:rsid w:val="0097461C"/>
    <w:rsid w:val="00974A33"/>
    <w:rsid w:val="00975665"/>
    <w:rsid w:val="00975A77"/>
    <w:rsid w:val="00976059"/>
    <w:rsid w:val="009771F8"/>
    <w:rsid w:val="009800AE"/>
    <w:rsid w:val="0098046C"/>
    <w:rsid w:val="00981018"/>
    <w:rsid w:val="00981666"/>
    <w:rsid w:val="0098182C"/>
    <w:rsid w:val="0098373B"/>
    <w:rsid w:val="00983918"/>
    <w:rsid w:val="0098392D"/>
    <w:rsid w:val="00984E35"/>
    <w:rsid w:val="0098752F"/>
    <w:rsid w:val="009924B5"/>
    <w:rsid w:val="00993A93"/>
    <w:rsid w:val="00994F7A"/>
    <w:rsid w:val="00996BA1"/>
    <w:rsid w:val="009A0077"/>
    <w:rsid w:val="009A1275"/>
    <w:rsid w:val="009A2275"/>
    <w:rsid w:val="009A233E"/>
    <w:rsid w:val="009A2849"/>
    <w:rsid w:val="009A2AE0"/>
    <w:rsid w:val="009A3114"/>
    <w:rsid w:val="009A67F4"/>
    <w:rsid w:val="009A6B1C"/>
    <w:rsid w:val="009A746F"/>
    <w:rsid w:val="009A76C0"/>
    <w:rsid w:val="009B0B9E"/>
    <w:rsid w:val="009B1E37"/>
    <w:rsid w:val="009B35A1"/>
    <w:rsid w:val="009B3645"/>
    <w:rsid w:val="009B563C"/>
    <w:rsid w:val="009B589F"/>
    <w:rsid w:val="009B6252"/>
    <w:rsid w:val="009C0620"/>
    <w:rsid w:val="009C0FDB"/>
    <w:rsid w:val="009C20E1"/>
    <w:rsid w:val="009D17FF"/>
    <w:rsid w:val="009D1E1E"/>
    <w:rsid w:val="009D2001"/>
    <w:rsid w:val="009D2080"/>
    <w:rsid w:val="009D3EE5"/>
    <w:rsid w:val="009D51C4"/>
    <w:rsid w:val="009D7A49"/>
    <w:rsid w:val="009E08A5"/>
    <w:rsid w:val="009E1CF7"/>
    <w:rsid w:val="009E2D9D"/>
    <w:rsid w:val="009E325C"/>
    <w:rsid w:val="009E3874"/>
    <w:rsid w:val="009E4E8B"/>
    <w:rsid w:val="009E607D"/>
    <w:rsid w:val="009F1374"/>
    <w:rsid w:val="009F233F"/>
    <w:rsid w:val="009F24F1"/>
    <w:rsid w:val="009F43D6"/>
    <w:rsid w:val="009F4CE6"/>
    <w:rsid w:val="009F7510"/>
    <w:rsid w:val="00A0019A"/>
    <w:rsid w:val="00A00FFE"/>
    <w:rsid w:val="00A01B7B"/>
    <w:rsid w:val="00A01BC5"/>
    <w:rsid w:val="00A04CBD"/>
    <w:rsid w:val="00A056E3"/>
    <w:rsid w:val="00A113F9"/>
    <w:rsid w:val="00A12FD2"/>
    <w:rsid w:val="00A14D98"/>
    <w:rsid w:val="00A15E1F"/>
    <w:rsid w:val="00A1610A"/>
    <w:rsid w:val="00A17A0B"/>
    <w:rsid w:val="00A205F0"/>
    <w:rsid w:val="00A21521"/>
    <w:rsid w:val="00A21882"/>
    <w:rsid w:val="00A22B26"/>
    <w:rsid w:val="00A247D9"/>
    <w:rsid w:val="00A25055"/>
    <w:rsid w:val="00A25283"/>
    <w:rsid w:val="00A2728F"/>
    <w:rsid w:val="00A27B8B"/>
    <w:rsid w:val="00A27F04"/>
    <w:rsid w:val="00A327D7"/>
    <w:rsid w:val="00A32F23"/>
    <w:rsid w:val="00A33CE7"/>
    <w:rsid w:val="00A362B9"/>
    <w:rsid w:val="00A36C00"/>
    <w:rsid w:val="00A36E2B"/>
    <w:rsid w:val="00A40D86"/>
    <w:rsid w:val="00A41461"/>
    <w:rsid w:val="00A41AEB"/>
    <w:rsid w:val="00A42DD4"/>
    <w:rsid w:val="00A44A54"/>
    <w:rsid w:val="00A45812"/>
    <w:rsid w:val="00A472ED"/>
    <w:rsid w:val="00A50BE9"/>
    <w:rsid w:val="00A512C7"/>
    <w:rsid w:val="00A51D06"/>
    <w:rsid w:val="00A5356B"/>
    <w:rsid w:val="00A55281"/>
    <w:rsid w:val="00A56311"/>
    <w:rsid w:val="00A60118"/>
    <w:rsid w:val="00A60408"/>
    <w:rsid w:val="00A60FEC"/>
    <w:rsid w:val="00A6159F"/>
    <w:rsid w:val="00A63291"/>
    <w:rsid w:val="00A6785B"/>
    <w:rsid w:val="00A70643"/>
    <w:rsid w:val="00A71322"/>
    <w:rsid w:val="00A71350"/>
    <w:rsid w:val="00A7143B"/>
    <w:rsid w:val="00A738F4"/>
    <w:rsid w:val="00A74CBE"/>
    <w:rsid w:val="00A750B9"/>
    <w:rsid w:val="00A75121"/>
    <w:rsid w:val="00A75B8D"/>
    <w:rsid w:val="00A75E28"/>
    <w:rsid w:val="00A76EAF"/>
    <w:rsid w:val="00A80AA3"/>
    <w:rsid w:val="00A81825"/>
    <w:rsid w:val="00A821A1"/>
    <w:rsid w:val="00A83E7C"/>
    <w:rsid w:val="00A85949"/>
    <w:rsid w:val="00A86BF4"/>
    <w:rsid w:val="00A87050"/>
    <w:rsid w:val="00A87094"/>
    <w:rsid w:val="00A874A2"/>
    <w:rsid w:val="00A90E2D"/>
    <w:rsid w:val="00A936B3"/>
    <w:rsid w:val="00A93F55"/>
    <w:rsid w:val="00A9581C"/>
    <w:rsid w:val="00A97252"/>
    <w:rsid w:val="00AA1B81"/>
    <w:rsid w:val="00AA2153"/>
    <w:rsid w:val="00AA2682"/>
    <w:rsid w:val="00AA2DF8"/>
    <w:rsid w:val="00AA4612"/>
    <w:rsid w:val="00AA4CC4"/>
    <w:rsid w:val="00AA6DD2"/>
    <w:rsid w:val="00AB0D5B"/>
    <w:rsid w:val="00AB0FCB"/>
    <w:rsid w:val="00AB1722"/>
    <w:rsid w:val="00AB36BB"/>
    <w:rsid w:val="00AB4F5A"/>
    <w:rsid w:val="00AC0B23"/>
    <w:rsid w:val="00AC173E"/>
    <w:rsid w:val="00AC279E"/>
    <w:rsid w:val="00AC31A7"/>
    <w:rsid w:val="00AC4088"/>
    <w:rsid w:val="00AC4BD0"/>
    <w:rsid w:val="00AC527E"/>
    <w:rsid w:val="00AC5AB5"/>
    <w:rsid w:val="00AC67F4"/>
    <w:rsid w:val="00AC6ED6"/>
    <w:rsid w:val="00AC76E7"/>
    <w:rsid w:val="00AD3522"/>
    <w:rsid w:val="00AD3EC3"/>
    <w:rsid w:val="00AD5777"/>
    <w:rsid w:val="00AD5FF3"/>
    <w:rsid w:val="00AD6356"/>
    <w:rsid w:val="00AD6F9B"/>
    <w:rsid w:val="00AE3FDE"/>
    <w:rsid w:val="00AE434E"/>
    <w:rsid w:val="00AE4C9E"/>
    <w:rsid w:val="00AE7542"/>
    <w:rsid w:val="00AF433F"/>
    <w:rsid w:val="00AF6347"/>
    <w:rsid w:val="00B004D3"/>
    <w:rsid w:val="00B01359"/>
    <w:rsid w:val="00B01D85"/>
    <w:rsid w:val="00B0260A"/>
    <w:rsid w:val="00B05857"/>
    <w:rsid w:val="00B07110"/>
    <w:rsid w:val="00B10333"/>
    <w:rsid w:val="00B11F56"/>
    <w:rsid w:val="00B1258E"/>
    <w:rsid w:val="00B15BA8"/>
    <w:rsid w:val="00B22985"/>
    <w:rsid w:val="00B243B6"/>
    <w:rsid w:val="00B25CCB"/>
    <w:rsid w:val="00B30E09"/>
    <w:rsid w:val="00B31AD7"/>
    <w:rsid w:val="00B32149"/>
    <w:rsid w:val="00B33EFF"/>
    <w:rsid w:val="00B34921"/>
    <w:rsid w:val="00B35961"/>
    <w:rsid w:val="00B3628D"/>
    <w:rsid w:val="00B3649F"/>
    <w:rsid w:val="00B36E39"/>
    <w:rsid w:val="00B3752A"/>
    <w:rsid w:val="00B4015E"/>
    <w:rsid w:val="00B427C2"/>
    <w:rsid w:val="00B44BB9"/>
    <w:rsid w:val="00B50B50"/>
    <w:rsid w:val="00B50BBD"/>
    <w:rsid w:val="00B524CE"/>
    <w:rsid w:val="00B54AE6"/>
    <w:rsid w:val="00B552A4"/>
    <w:rsid w:val="00B561B2"/>
    <w:rsid w:val="00B56877"/>
    <w:rsid w:val="00B56EC4"/>
    <w:rsid w:val="00B57AC2"/>
    <w:rsid w:val="00B61E9D"/>
    <w:rsid w:val="00B62B47"/>
    <w:rsid w:val="00B662C0"/>
    <w:rsid w:val="00B66D41"/>
    <w:rsid w:val="00B72461"/>
    <w:rsid w:val="00B73CA3"/>
    <w:rsid w:val="00B73F40"/>
    <w:rsid w:val="00B756A2"/>
    <w:rsid w:val="00B80589"/>
    <w:rsid w:val="00B80F33"/>
    <w:rsid w:val="00B812E6"/>
    <w:rsid w:val="00B816E2"/>
    <w:rsid w:val="00B8190F"/>
    <w:rsid w:val="00B832E1"/>
    <w:rsid w:val="00B83790"/>
    <w:rsid w:val="00B83CE7"/>
    <w:rsid w:val="00B85FFF"/>
    <w:rsid w:val="00B8690D"/>
    <w:rsid w:val="00B86B2C"/>
    <w:rsid w:val="00B86E74"/>
    <w:rsid w:val="00B912D6"/>
    <w:rsid w:val="00B91755"/>
    <w:rsid w:val="00B944CE"/>
    <w:rsid w:val="00B949D4"/>
    <w:rsid w:val="00B94DD3"/>
    <w:rsid w:val="00B976F7"/>
    <w:rsid w:val="00BA00DE"/>
    <w:rsid w:val="00BA1BFB"/>
    <w:rsid w:val="00BA27F3"/>
    <w:rsid w:val="00BA3C7F"/>
    <w:rsid w:val="00BA557A"/>
    <w:rsid w:val="00BA6D52"/>
    <w:rsid w:val="00BA7208"/>
    <w:rsid w:val="00BA7606"/>
    <w:rsid w:val="00BB0FFF"/>
    <w:rsid w:val="00BB11F5"/>
    <w:rsid w:val="00BB15BA"/>
    <w:rsid w:val="00BB1F5B"/>
    <w:rsid w:val="00BB2604"/>
    <w:rsid w:val="00BB56BD"/>
    <w:rsid w:val="00BB619C"/>
    <w:rsid w:val="00BB706E"/>
    <w:rsid w:val="00BB782B"/>
    <w:rsid w:val="00BC0C9D"/>
    <w:rsid w:val="00BC1492"/>
    <w:rsid w:val="00BC1A45"/>
    <w:rsid w:val="00BC2C7C"/>
    <w:rsid w:val="00BC346D"/>
    <w:rsid w:val="00BC3625"/>
    <w:rsid w:val="00BC472A"/>
    <w:rsid w:val="00BC5803"/>
    <w:rsid w:val="00BC603F"/>
    <w:rsid w:val="00BD3852"/>
    <w:rsid w:val="00BD43E2"/>
    <w:rsid w:val="00BE0918"/>
    <w:rsid w:val="00BE1016"/>
    <w:rsid w:val="00BE148E"/>
    <w:rsid w:val="00BE201F"/>
    <w:rsid w:val="00BE5CE7"/>
    <w:rsid w:val="00BF214E"/>
    <w:rsid w:val="00BF3A71"/>
    <w:rsid w:val="00BF4AEB"/>
    <w:rsid w:val="00BF4AFC"/>
    <w:rsid w:val="00BF71C6"/>
    <w:rsid w:val="00C00DC5"/>
    <w:rsid w:val="00C025FC"/>
    <w:rsid w:val="00C15C13"/>
    <w:rsid w:val="00C16FD8"/>
    <w:rsid w:val="00C2001D"/>
    <w:rsid w:val="00C2039C"/>
    <w:rsid w:val="00C20436"/>
    <w:rsid w:val="00C2698D"/>
    <w:rsid w:val="00C27510"/>
    <w:rsid w:val="00C27D69"/>
    <w:rsid w:val="00C3033D"/>
    <w:rsid w:val="00C30379"/>
    <w:rsid w:val="00C3087E"/>
    <w:rsid w:val="00C31395"/>
    <w:rsid w:val="00C32E32"/>
    <w:rsid w:val="00C34C4C"/>
    <w:rsid w:val="00C35B21"/>
    <w:rsid w:val="00C369D6"/>
    <w:rsid w:val="00C405DE"/>
    <w:rsid w:val="00C40C7D"/>
    <w:rsid w:val="00C41BB2"/>
    <w:rsid w:val="00C435CF"/>
    <w:rsid w:val="00C44358"/>
    <w:rsid w:val="00C4478E"/>
    <w:rsid w:val="00C460FF"/>
    <w:rsid w:val="00C5162B"/>
    <w:rsid w:val="00C51704"/>
    <w:rsid w:val="00C518FE"/>
    <w:rsid w:val="00C51AE2"/>
    <w:rsid w:val="00C541FB"/>
    <w:rsid w:val="00C56C87"/>
    <w:rsid w:val="00C57204"/>
    <w:rsid w:val="00C57908"/>
    <w:rsid w:val="00C6263E"/>
    <w:rsid w:val="00C62EF8"/>
    <w:rsid w:val="00C63034"/>
    <w:rsid w:val="00C64112"/>
    <w:rsid w:val="00C64A2E"/>
    <w:rsid w:val="00C64A74"/>
    <w:rsid w:val="00C65979"/>
    <w:rsid w:val="00C65D6D"/>
    <w:rsid w:val="00C65E69"/>
    <w:rsid w:val="00C666E9"/>
    <w:rsid w:val="00C70DB5"/>
    <w:rsid w:val="00C717A8"/>
    <w:rsid w:val="00C72198"/>
    <w:rsid w:val="00C741BC"/>
    <w:rsid w:val="00C76C8A"/>
    <w:rsid w:val="00C77430"/>
    <w:rsid w:val="00C8136F"/>
    <w:rsid w:val="00C81CB0"/>
    <w:rsid w:val="00C82BA4"/>
    <w:rsid w:val="00C84831"/>
    <w:rsid w:val="00C84A27"/>
    <w:rsid w:val="00C85044"/>
    <w:rsid w:val="00C85693"/>
    <w:rsid w:val="00C91796"/>
    <w:rsid w:val="00C9239B"/>
    <w:rsid w:val="00C9498C"/>
    <w:rsid w:val="00C94D49"/>
    <w:rsid w:val="00C95C68"/>
    <w:rsid w:val="00C95E0C"/>
    <w:rsid w:val="00C972DA"/>
    <w:rsid w:val="00CA0141"/>
    <w:rsid w:val="00CA0810"/>
    <w:rsid w:val="00CA0925"/>
    <w:rsid w:val="00CA2345"/>
    <w:rsid w:val="00CA26C9"/>
    <w:rsid w:val="00CA2E0B"/>
    <w:rsid w:val="00CA38A9"/>
    <w:rsid w:val="00CA560F"/>
    <w:rsid w:val="00CA5B89"/>
    <w:rsid w:val="00CA6FB1"/>
    <w:rsid w:val="00CA77D8"/>
    <w:rsid w:val="00CA7BF2"/>
    <w:rsid w:val="00CB0D22"/>
    <w:rsid w:val="00CB2FFD"/>
    <w:rsid w:val="00CB3FBA"/>
    <w:rsid w:val="00CB4001"/>
    <w:rsid w:val="00CB4358"/>
    <w:rsid w:val="00CC29BB"/>
    <w:rsid w:val="00CC4F4C"/>
    <w:rsid w:val="00CC59A9"/>
    <w:rsid w:val="00CC6548"/>
    <w:rsid w:val="00CC6566"/>
    <w:rsid w:val="00CC6ABE"/>
    <w:rsid w:val="00CD0AA7"/>
    <w:rsid w:val="00CD2791"/>
    <w:rsid w:val="00CD3C68"/>
    <w:rsid w:val="00CD48DC"/>
    <w:rsid w:val="00CD6F00"/>
    <w:rsid w:val="00CE049C"/>
    <w:rsid w:val="00CE184D"/>
    <w:rsid w:val="00CE1C04"/>
    <w:rsid w:val="00CE2F81"/>
    <w:rsid w:val="00CE45B7"/>
    <w:rsid w:val="00CE5945"/>
    <w:rsid w:val="00CE6FBB"/>
    <w:rsid w:val="00CF0A2B"/>
    <w:rsid w:val="00CF1437"/>
    <w:rsid w:val="00CF155E"/>
    <w:rsid w:val="00CF454C"/>
    <w:rsid w:val="00CF4784"/>
    <w:rsid w:val="00CF4AC0"/>
    <w:rsid w:val="00CF4B03"/>
    <w:rsid w:val="00CF4DBC"/>
    <w:rsid w:val="00CF4E06"/>
    <w:rsid w:val="00CF6980"/>
    <w:rsid w:val="00D00406"/>
    <w:rsid w:val="00D02558"/>
    <w:rsid w:val="00D02C4B"/>
    <w:rsid w:val="00D03622"/>
    <w:rsid w:val="00D039CE"/>
    <w:rsid w:val="00D047B5"/>
    <w:rsid w:val="00D05680"/>
    <w:rsid w:val="00D057BC"/>
    <w:rsid w:val="00D05C75"/>
    <w:rsid w:val="00D06597"/>
    <w:rsid w:val="00D06EAA"/>
    <w:rsid w:val="00D07AAA"/>
    <w:rsid w:val="00D07DE4"/>
    <w:rsid w:val="00D11760"/>
    <w:rsid w:val="00D129C3"/>
    <w:rsid w:val="00D157BA"/>
    <w:rsid w:val="00D15973"/>
    <w:rsid w:val="00D16673"/>
    <w:rsid w:val="00D16CE4"/>
    <w:rsid w:val="00D17017"/>
    <w:rsid w:val="00D17429"/>
    <w:rsid w:val="00D17430"/>
    <w:rsid w:val="00D220E0"/>
    <w:rsid w:val="00D232E6"/>
    <w:rsid w:val="00D245EA"/>
    <w:rsid w:val="00D24AB9"/>
    <w:rsid w:val="00D250BE"/>
    <w:rsid w:val="00D2549D"/>
    <w:rsid w:val="00D26270"/>
    <w:rsid w:val="00D267E4"/>
    <w:rsid w:val="00D315FD"/>
    <w:rsid w:val="00D3177C"/>
    <w:rsid w:val="00D34510"/>
    <w:rsid w:val="00D3494C"/>
    <w:rsid w:val="00D34F9C"/>
    <w:rsid w:val="00D350C5"/>
    <w:rsid w:val="00D4016A"/>
    <w:rsid w:val="00D41F3C"/>
    <w:rsid w:val="00D464AD"/>
    <w:rsid w:val="00D47DCA"/>
    <w:rsid w:val="00D52A9A"/>
    <w:rsid w:val="00D53044"/>
    <w:rsid w:val="00D53435"/>
    <w:rsid w:val="00D535EA"/>
    <w:rsid w:val="00D53C74"/>
    <w:rsid w:val="00D54665"/>
    <w:rsid w:val="00D55522"/>
    <w:rsid w:val="00D55903"/>
    <w:rsid w:val="00D56C0A"/>
    <w:rsid w:val="00D57683"/>
    <w:rsid w:val="00D5795E"/>
    <w:rsid w:val="00D622EB"/>
    <w:rsid w:val="00D63D0F"/>
    <w:rsid w:val="00D63E1A"/>
    <w:rsid w:val="00D64441"/>
    <w:rsid w:val="00D659F6"/>
    <w:rsid w:val="00D72C98"/>
    <w:rsid w:val="00D7330B"/>
    <w:rsid w:val="00D75EFA"/>
    <w:rsid w:val="00D76EAF"/>
    <w:rsid w:val="00D81BE4"/>
    <w:rsid w:val="00D82827"/>
    <w:rsid w:val="00D82B1A"/>
    <w:rsid w:val="00D82C88"/>
    <w:rsid w:val="00D84205"/>
    <w:rsid w:val="00D84E30"/>
    <w:rsid w:val="00D85019"/>
    <w:rsid w:val="00D863F6"/>
    <w:rsid w:val="00D86CAE"/>
    <w:rsid w:val="00D9094B"/>
    <w:rsid w:val="00D91166"/>
    <w:rsid w:val="00D92F59"/>
    <w:rsid w:val="00D932CA"/>
    <w:rsid w:val="00D933DF"/>
    <w:rsid w:val="00D939AE"/>
    <w:rsid w:val="00D93EC7"/>
    <w:rsid w:val="00D957A0"/>
    <w:rsid w:val="00D95FB4"/>
    <w:rsid w:val="00D96F57"/>
    <w:rsid w:val="00D976C8"/>
    <w:rsid w:val="00DA0BDA"/>
    <w:rsid w:val="00DA0E77"/>
    <w:rsid w:val="00DA0FD5"/>
    <w:rsid w:val="00DA212D"/>
    <w:rsid w:val="00DA59BF"/>
    <w:rsid w:val="00DA76AF"/>
    <w:rsid w:val="00DA7D62"/>
    <w:rsid w:val="00DB2444"/>
    <w:rsid w:val="00DB2C1C"/>
    <w:rsid w:val="00DB52A2"/>
    <w:rsid w:val="00DB5B15"/>
    <w:rsid w:val="00DB5EA3"/>
    <w:rsid w:val="00DB671C"/>
    <w:rsid w:val="00DC0A5F"/>
    <w:rsid w:val="00DC2B4C"/>
    <w:rsid w:val="00DC31F9"/>
    <w:rsid w:val="00DC34A7"/>
    <w:rsid w:val="00DC3F4A"/>
    <w:rsid w:val="00DC4DDF"/>
    <w:rsid w:val="00DC540D"/>
    <w:rsid w:val="00DD01EA"/>
    <w:rsid w:val="00DD17E7"/>
    <w:rsid w:val="00DD366F"/>
    <w:rsid w:val="00DD6F09"/>
    <w:rsid w:val="00DD6F3A"/>
    <w:rsid w:val="00DD704C"/>
    <w:rsid w:val="00DE01F7"/>
    <w:rsid w:val="00DE1419"/>
    <w:rsid w:val="00DE1551"/>
    <w:rsid w:val="00DE16E9"/>
    <w:rsid w:val="00DE3309"/>
    <w:rsid w:val="00DE451A"/>
    <w:rsid w:val="00DE6220"/>
    <w:rsid w:val="00DE7ED5"/>
    <w:rsid w:val="00DF0ECA"/>
    <w:rsid w:val="00DF199A"/>
    <w:rsid w:val="00DF1F86"/>
    <w:rsid w:val="00DF256F"/>
    <w:rsid w:val="00DF36D8"/>
    <w:rsid w:val="00DF436A"/>
    <w:rsid w:val="00DF499C"/>
    <w:rsid w:val="00DF4B1F"/>
    <w:rsid w:val="00DF5570"/>
    <w:rsid w:val="00DF5CD5"/>
    <w:rsid w:val="00DF63D6"/>
    <w:rsid w:val="00E009F8"/>
    <w:rsid w:val="00E01655"/>
    <w:rsid w:val="00E01902"/>
    <w:rsid w:val="00E0367C"/>
    <w:rsid w:val="00E04E6D"/>
    <w:rsid w:val="00E07E73"/>
    <w:rsid w:val="00E118CD"/>
    <w:rsid w:val="00E12BC8"/>
    <w:rsid w:val="00E12E0A"/>
    <w:rsid w:val="00E141CB"/>
    <w:rsid w:val="00E14A91"/>
    <w:rsid w:val="00E15CD6"/>
    <w:rsid w:val="00E16E54"/>
    <w:rsid w:val="00E21E8F"/>
    <w:rsid w:val="00E22BA4"/>
    <w:rsid w:val="00E230B1"/>
    <w:rsid w:val="00E26709"/>
    <w:rsid w:val="00E2671D"/>
    <w:rsid w:val="00E27C9A"/>
    <w:rsid w:val="00E31606"/>
    <w:rsid w:val="00E31834"/>
    <w:rsid w:val="00E31FF2"/>
    <w:rsid w:val="00E32433"/>
    <w:rsid w:val="00E3353D"/>
    <w:rsid w:val="00E34A1A"/>
    <w:rsid w:val="00E350AE"/>
    <w:rsid w:val="00E36950"/>
    <w:rsid w:val="00E37A07"/>
    <w:rsid w:val="00E417A4"/>
    <w:rsid w:val="00E41BBD"/>
    <w:rsid w:val="00E42228"/>
    <w:rsid w:val="00E43C6F"/>
    <w:rsid w:val="00E442EE"/>
    <w:rsid w:val="00E44462"/>
    <w:rsid w:val="00E4701A"/>
    <w:rsid w:val="00E51452"/>
    <w:rsid w:val="00E51BBA"/>
    <w:rsid w:val="00E52085"/>
    <w:rsid w:val="00E52117"/>
    <w:rsid w:val="00E52ABB"/>
    <w:rsid w:val="00E52D46"/>
    <w:rsid w:val="00E53CB4"/>
    <w:rsid w:val="00E54132"/>
    <w:rsid w:val="00E541C3"/>
    <w:rsid w:val="00E54EBC"/>
    <w:rsid w:val="00E55A9E"/>
    <w:rsid w:val="00E566EB"/>
    <w:rsid w:val="00E56F60"/>
    <w:rsid w:val="00E60C92"/>
    <w:rsid w:val="00E628D0"/>
    <w:rsid w:val="00E62D2E"/>
    <w:rsid w:val="00E6578F"/>
    <w:rsid w:val="00E66A76"/>
    <w:rsid w:val="00E70FF8"/>
    <w:rsid w:val="00E72C1D"/>
    <w:rsid w:val="00E735DF"/>
    <w:rsid w:val="00E7525E"/>
    <w:rsid w:val="00E75FDF"/>
    <w:rsid w:val="00E76D89"/>
    <w:rsid w:val="00E80385"/>
    <w:rsid w:val="00E8097D"/>
    <w:rsid w:val="00E80D08"/>
    <w:rsid w:val="00E80F57"/>
    <w:rsid w:val="00E815D9"/>
    <w:rsid w:val="00E81A5E"/>
    <w:rsid w:val="00E81F1C"/>
    <w:rsid w:val="00E820F5"/>
    <w:rsid w:val="00E83DBF"/>
    <w:rsid w:val="00E84006"/>
    <w:rsid w:val="00E84864"/>
    <w:rsid w:val="00E84AC6"/>
    <w:rsid w:val="00E84AF9"/>
    <w:rsid w:val="00E85F74"/>
    <w:rsid w:val="00E86051"/>
    <w:rsid w:val="00E86074"/>
    <w:rsid w:val="00E86E77"/>
    <w:rsid w:val="00E91899"/>
    <w:rsid w:val="00E91AAC"/>
    <w:rsid w:val="00E9318E"/>
    <w:rsid w:val="00E931FB"/>
    <w:rsid w:val="00E9657D"/>
    <w:rsid w:val="00E96883"/>
    <w:rsid w:val="00E979B5"/>
    <w:rsid w:val="00EA0940"/>
    <w:rsid w:val="00EA170B"/>
    <w:rsid w:val="00EA1949"/>
    <w:rsid w:val="00EA1DE8"/>
    <w:rsid w:val="00EA20FF"/>
    <w:rsid w:val="00EA250F"/>
    <w:rsid w:val="00EA4634"/>
    <w:rsid w:val="00EA4EB3"/>
    <w:rsid w:val="00EA5A45"/>
    <w:rsid w:val="00EA5FA9"/>
    <w:rsid w:val="00EA73CD"/>
    <w:rsid w:val="00EA7ED0"/>
    <w:rsid w:val="00EB6181"/>
    <w:rsid w:val="00EB6A07"/>
    <w:rsid w:val="00EC4253"/>
    <w:rsid w:val="00EC4284"/>
    <w:rsid w:val="00EC46A5"/>
    <w:rsid w:val="00EC5F2C"/>
    <w:rsid w:val="00EC6350"/>
    <w:rsid w:val="00EC734A"/>
    <w:rsid w:val="00EC73FF"/>
    <w:rsid w:val="00EC7841"/>
    <w:rsid w:val="00ED1222"/>
    <w:rsid w:val="00ED1418"/>
    <w:rsid w:val="00ED2926"/>
    <w:rsid w:val="00ED310B"/>
    <w:rsid w:val="00ED39D6"/>
    <w:rsid w:val="00ED6588"/>
    <w:rsid w:val="00ED7AB1"/>
    <w:rsid w:val="00EE00B5"/>
    <w:rsid w:val="00EE0710"/>
    <w:rsid w:val="00EE09F7"/>
    <w:rsid w:val="00EE50D2"/>
    <w:rsid w:val="00EE6121"/>
    <w:rsid w:val="00EE612D"/>
    <w:rsid w:val="00EE7708"/>
    <w:rsid w:val="00EF24F6"/>
    <w:rsid w:val="00EF3B19"/>
    <w:rsid w:val="00EF4DC8"/>
    <w:rsid w:val="00EF5AF2"/>
    <w:rsid w:val="00EF5B63"/>
    <w:rsid w:val="00EF6D43"/>
    <w:rsid w:val="00EF77FD"/>
    <w:rsid w:val="00EF7DFC"/>
    <w:rsid w:val="00EF7F5A"/>
    <w:rsid w:val="00F029CE"/>
    <w:rsid w:val="00F02EA5"/>
    <w:rsid w:val="00F03F21"/>
    <w:rsid w:val="00F04D80"/>
    <w:rsid w:val="00F05DB1"/>
    <w:rsid w:val="00F06BDE"/>
    <w:rsid w:val="00F07320"/>
    <w:rsid w:val="00F10258"/>
    <w:rsid w:val="00F14267"/>
    <w:rsid w:val="00F21A57"/>
    <w:rsid w:val="00F237A4"/>
    <w:rsid w:val="00F24C31"/>
    <w:rsid w:val="00F253EF"/>
    <w:rsid w:val="00F25765"/>
    <w:rsid w:val="00F25CD5"/>
    <w:rsid w:val="00F30564"/>
    <w:rsid w:val="00F32FEC"/>
    <w:rsid w:val="00F349A9"/>
    <w:rsid w:val="00F35FDC"/>
    <w:rsid w:val="00F365B7"/>
    <w:rsid w:val="00F36BB8"/>
    <w:rsid w:val="00F37A6F"/>
    <w:rsid w:val="00F400D2"/>
    <w:rsid w:val="00F424E0"/>
    <w:rsid w:val="00F42BE8"/>
    <w:rsid w:val="00F42C16"/>
    <w:rsid w:val="00F43D5F"/>
    <w:rsid w:val="00F449A9"/>
    <w:rsid w:val="00F45677"/>
    <w:rsid w:val="00F50D20"/>
    <w:rsid w:val="00F52738"/>
    <w:rsid w:val="00F52BB9"/>
    <w:rsid w:val="00F54623"/>
    <w:rsid w:val="00F555D8"/>
    <w:rsid w:val="00F55868"/>
    <w:rsid w:val="00F64917"/>
    <w:rsid w:val="00F675A7"/>
    <w:rsid w:val="00F7123D"/>
    <w:rsid w:val="00F720CF"/>
    <w:rsid w:val="00F72132"/>
    <w:rsid w:val="00F756EF"/>
    <w:rsid w:val="00F76061"/>
    <w:rsid w:val="00F770C1"/>
    <w:rsid w:val="00F816B4"/>
    <w:rsid w:val="00F82B3C"/>
    <w:rsid w:val="00F83021"/>
    <w:rsid w:val="00F837AF"/>
    <w:rsid w:val="00F85A9E"/>
    <w:rsid w:val="00F86663"/>
    <w:rsid w:val="00F875F3"/>
    <w:rsid w:val="00F902D0"/>
    <w:rsid w:val="00F91519"/>
    <w:rsid w:val="00F926BB"/>
    <w:rsid w:val="00F9350A"/>
    <w:rsid w:val="00F96BD4"/>
    <w:rsid w:val="00FA0435"/>
    <w:rsid w:val="00FA20E9"/>
    <w:rsid w:val="00FA24FF"/>
    <w:rsid w:val="00FA271A"/>
    <w:rsid w:val="00FA417A"/>
    <w:rsid w:val="00FA64B9"/>
    <w:rsid w:val="00FB050D"/>
    <w:rsid w:val="00FB0EC3"/>
    <w:rsid w:val="00FB1750"/>
    <w:rsid w:val="00FB2B51"/>
    <w:rsid w:val="00FB449C"/>
    <w:rsid w:val="00FB4A9B"/>
    <w:rsid w:val="00FC0822"/>
    <w:rsid w:val="00FC0CE7"/>
    <w:rsid w:val="00FC2849"/>
    <w:rsid w:val="00FC4624"/>
    <w:rsid w:val="00FC4BCC"/>
    <w:rsid w:val="00FC4CF8"/>
    <w:rsid w:val="00FD02D2"/>
    <w:rsid w:val="00FD1478"/>
    <w:rsid w:val="00FD2A75"/>
    <w:rsid w:val="00FD2FAC"/>
    <w:rsid w:val="00FD36FD"/>
    <w:rsid w:val="00FD61C7"/>
    <w:rsid w:val="00FD7B81"/>
    <w:rsid w:val="00FE2086"/>
    <w:rsid w:val="00FE2C57"/>
    <w:rsid w:val="00FE3078"/>
    <w:rsid w:val="00FE36DB"/>
    <w:rsid w:val="00FE4F99"/>
    <w:rsid w:val="00FE6481"/>
    <w:rsid w:val="00FE6E28"/>
    <w:rsid w:val="00FF1BF6"/>
    <w:rsid w:val="00FF1DAC"/>
    <w:rsid w:val="00FF4981"/>
    <w:rsid w:val="00FF5D10"/>
    <w:rsid w:val="00FF6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0EAC0C"/>
  <w15:docId w15:val="{3ABCD80A-8C4F-4358-90C2-2499D2F6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23D"/>
    <w:pPr>
      <w:spacing w:after="0" w:line="240" w:lineRule="auto"/>
    </w:pPr>
    <w:rPr>
      <w:rFonts w:ascii="Verdana" w:eastAsia="MS Mincho" w:hAnsi="Verdana" w:cs="Times New Roman"/>
      <w:sz w:val="20"/>
      <w:szCs w:val="24"/>
    </w:rPr>
  </w:style>
  <w:style w:type="paragraph" w:styleId="Ttulo1">
    <w:name w:val="heading 1"/>
    <w:basedOn w:val="Normal"/>
    <w:next w:val="Normal"/>
    <w:link w:val="Ttulo1Car"/>
    <w:uiPriority w:val="9"/>
    <w:qFormat/>
    <w:rsid w:val="00A113F9"/>
    <w:pPr>
      <w:keepNext/>
      <w:keepLines/>
      <w:spacing w:before="240" w:after="240"/>
      <w:contextualSpacing/>
      <w:jc w:val="center"/>
      <w:outlineLvl w:val="0"/>
    </w:pPr>
    <w:rPr>
      <w:rFonts w:eastAsiaTheme="majorEastAsia" w:cstheme="majorBidi"/>
      <w:b/>
      <w:szCs w:val="20"/>
      <w:lang w:val="es-CR"/>
    </w:rPr>
  </w:style>
  <w:style w:type="paragraph" w:styleId="Ttulo2">
    <w:name w:val="heading 2"/>
    <w:basedOn w:val="Prrafodelista"/>
    <w:next w:val="Normal"/>
    <w:link w:val="Ttulo2Car"/>
    <w:unhideWhenUsed/>
    <w:qFormat/>
    <w:rsid w:val="00CA38A9"/>
    <w:pPr>
      <w:numPr>
        <w:numId w:val="12"/>
      </w:numPr>
      <w:tabs>
        <w:tab w:val="left" w:pos="1134"/>
      </w:tabs>
      <w:spacing w:before="240" w:after="240"/>
      <w:ind w:left="1134" w:hanging="567"/>
      <w:contextualSpacing w:val="0"/>
      <w:jc w:val="both"/>
      <w:outlineLvl w:val="1"/>
    </w:pPr>
    <w:rPr>
      <w:b/>
      <w:i/>
      <w:lang w:val="es-CR"/>
    </w:rPr>
  </w:style>
  <w:style w:type="paragraph" w:styleId="Ttulo3">
    <w:name w:val="heading 3"/>
    <w:basedOn w:val="Normal"/>
    <w:next w:val="Normal"/>
    <w:link w:val="Ttulo3Car"/>
    <w:uiPriority w:val="9"/>
    <w:unhideWhenUsed/>
    <w:qFormat/>
    <w:rsid w:val="00880671"/>
    <w:pPr>
      <w:keepNext/>
      <w:keepLines/>
      <w:tabs>
        <w:tab w:val="left" w:pos="1701"/>
      </w:tabs>
      <w:spacing w:before="240" w:after="240"/>
      <w:ind w:left="1134"/>
      <w:outlineLvl w:val="2"/>
    </w:pPr>
    <w:rPr>
      <w:rFonts w:eastAsiaTheme="majorEastAsia" w:cstheme="majorBidi"/>
      <w:b/>
      <w:szCs w:val="20"/>
      <w:lang w:val="es-CR"/>
    </w:rPr>
  </w:style>
  <w:style w:type="paragraph" w:styleId="Ttulo4">
    <w:name w:val="heading 4"/>
    <w:basedOn w:val="Normal"/>
    <w:next w:val="Normal"/>
    <w:link w:val="Ttulo4Car"/>
    <w:uiPriority w:val="9"/>
    <w:unhideWhenUsed/>
    <w:qFormat/>
    <w:rsid w:val="00B524CE"/>
    <w:pPr>
      <w:tabs>
        <w:tab w:val="left" w:pos="2268"/>
      </w:tabs>
      <w:spacing w:before="240" w:after="240"/>
      <w:ind w:left="1701"/>
      <w:jc w:val="both"/>
      <w:outlineLvl w:val="3"/>
    </w:pPr>
    <w:rPr>
      <w:u w:val="single"/>
      <w:lang w:val="es-CR"/>
    </w:rPr>
  </w:style>
  <w:style w:type="paragraph" w:styleId="Ttulo7">
    <w:name w:val="heading 7"/>
    <w:basedOn w:val="Normal"/>
    <w:next w:val="Normal"/>
    <w:link w:val="Ttulo7Car"/>
    <w:uiPriority w:val="9"/>
    <w:semiHidden/>
    <w:unhideWhenUsed/>
    <w:qFormat/>
    <w:rsid w:val="00F21A5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1,Colorful List - Accent 11,Párrafo de lista1,List Paragraph2,Lista vistosa - Énfasis 11,Subtle Emphasis1,Footnote1,List Paragraph11"/>
    <w:basedOn w:val="Normal"/>
    <w:link w:val="PrrafodelistaCar1"/>
    <w:uiPriority w:val="34"/>
    <w:qFormat/>
    <w:rsid w:val="00CA6FB1"/>
    <w:pPr>
      <w:ind w:left="720"/>
      <w:contextualSpacing/>
    </w:pPr>
  </w:style>
  <w:style w:type="character" w:styleId="Nmerodelnea">
    <w:name w:val="line number"/>
    <w:basedOn w:val="Fuentedeprrafopredeter"/>
    <w:uiPriority w:val="99"/>
    <w:semiHidden/>
    <w:unhideWhenUsed/>
    <w:rsid w:val="00CA6FB1"/>
  </w:style>
  <w:style w:type="paragraph" w:styleId="Ttulo">
    <w:name w:val="Title"/>
    <w:basedOn w:val="Ttulo1"/>
    <w:next w:val="Normal"/>
    <w:link w:val="TtuloCar"/>
    <w:qFormat/>
    <w:rsid w:val="00CA6FB1"/>
    <w:pPr>
      <w:keepNext w:val="0"/>
      <w:keepLines w:val="0"/>
      <w:tabs>
        <w:tab w:val="center" w:pos="4320"/>
        <w:tab w:val="right" w:pos="8640"/>
      </w:tabs>
      <w:spacing w:before="0"/>
    </w:pPr>
    <w:rPr>
      <w:rFonts w:eastAsia="Times New Roman" w:cs="Times New Roman"/>
      <w:b w:val="0"/>
      <w:lang w:eastAsia="es-ES"/>
    </w:rPr>
  </w:style>
  <w:style w:type="character" w:customStyle="1" w:styleId="TtuloCar">
    <w:name w:val="Título Car"/>
    <w:basedOn w:val="Fuentedeprrafopredeter"/>
    <w:link w:val="Ttulo"/>
    <w:rsid w:val="00CA6FB1"/>
    <w:rPr>
      <w:rFonts w:ascii="Verdana" w:eastAsia="Times New Roman" w:hAnsi="Verdana" w:cs="Times New Roman"/>
      <w:b/>
      <w:sz w:val="20"/>
      <w:szCs w:val="20"/>
      <w:lang w:val="es-CR" w:eastAsia="es-ES"/>
    </w:rPr>
  </w:style>
  <w:style w:type="character" w:customStyle="1" w:styleId="Ttulo1Car">
    <w:name w:val="Título 1 Car"/>
    <w:basedOn w:val="Fuentedeprrafopredeter"/>
    <w:link w:val="Ttulo1"/>
    <w:uiPriority w:val="9"/>
    <w:rsid w:val="00A113F9"/>
    <w:rPr>
      <w:rFonts w:ascii="Verdana" w:eastAsiaTheme="majorEastAsia" w:hAnsi="Verdana" w:cstheme="majorBidi"/>
      <w:b/>
      <w:sz w:val="20"/>
      <w:szCs w:val="20"/>
      <w:lang w:val="es-CR"/>
    </w:rPr>
  </w:style>
  <w:style w:type="paragraph" w:customStyle="1" w:styleId="PrrafodeSentencia">
    <w:name w:val="*. Párrafo de Sentencia"/>
    <w:basedOn w:val="Normal"/>
    <w:next w:val="Normal"/>
    <w:link w:val="PrrafodeSentenciaChar"/>
    <w:qFormat/>
    <w:rsid w:val="00CD0AA7"/>
    <w:pPr>
      <w:numPr>
        <w:numId w:val="2"/>
      </w:numPr>
      <w:tabs>
        <w:tab w:val="left" w:pos="567"/>
      </w:tabs>
      <w:ind w:left="0" w:firstLine="0"/>
      <w:jc w:val="both"/>
    </w:pPr>
    <w:rPr>
      <w:rFonts w:eastAsia="Batang" w:cstheme="minorBidi"/>
      <w:spacing w:val="-4"/>
      <w:szCs w:val="22"/>
      <w:lang w:val="es-CR" w:eastAsia="es-MX"/>
    </w:rPr>
  </w:style>
  <w:style w:type="character" w:customStyle="1" w:styleId="PrrafodeSentenciaChar">
    <w:name w:val="*. Párrafo de Sentencia Char"/>
    <w:link w:val="PrrafodeSentencia"/>
    <w:locked/>
    <w:rsid w:val="00CD0AA7"/>
    <w:rPr>
      <w:rFonts w:ascii="Verdana" w:eastAsia="Batang" w:hAnsi="Verdana"/>
      <w:spacing w:val="-4"/>
      <w:sz w:val="20"/>
      <w:lang w:val="es-CR" w:eastAsia="es-MX"/>
    </w:rPr>
  </w:style>
  <w:style w:type="paragraph" w:customStyle="1" w:styleId="Textoindependiente1">
    <w:name w:val="Texto independiente1"/>
    <w:basedOn w:val="Normal"/>
    <w:rsid w:val="00CD0AA7"/>
    <w:pPr>
      <w:widowControl w:val="0"/>
      <w:jc w:val="both"/>
    </w:pPr>
    <w:rPr>
      <w:rFonts w:ascii="New York" w:eastAsia="Times New Roman" w:hAnsi="New York"/>
      <w:szCs w:val="20"/>
      <w:lang w:val="es-ES_tradnl"/>
    </w:rPr>
  </w:style>
  <w:style w:type="paragraph" w:customStyle="1" w:styleId="citaindirecta">
    <w:name w:val="cita indirecta"/>
    <w:basedOn w:val="Normal"/>
    <w:uiPriority w:val="99"/>
    <w:rsid w:val="00CD0AA7"/>
    <w:pPr>
      <w:ind w:left="708"/>
      <w:jc w:val="both"/>
    </w:pPr>
    <w:rPr>
      <w:rFonts w:eastAsia="Times New Roman"/>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unhideWhenUsed/>
    <w:qFormat/>
    <w:rsid w:val="0088185F"/>
    <w:pPr>
      <w:tabs>
        <w:tab w:val="left" w:pos="567"/>
      </w:tabs>
      <w:spacing w:before="120" w:after="120"/>
      <w:jc w:val="both"/>
    </w:pPr>
    <w:rPr>
      <w:sz w:val="16"/>
      <w:szCs w:val="16"/>
      <w:lang w:val="es-CR"/>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1"/>
    <w:basedOn w:val="Fuentedeprrafopredeter"/>
    <w:link w:val="Textonotapie"/>
    <w:qFormat/>
    <w:rsid w:val="0088185F"/>
    <w:rPr>
      <w:rFonts w:ascii="Verdana" w:eastAsia="MS Mincho" w:hAnsi="Verdana" w:cs="Times New Roman"/>
      <w:sz w:val="16"/>
      <w:szCs w:val="16"/>
      <w:lang w:val="es-CR"/>
    </w:rPr>
  </w:style>
  <w:style w:type="character" w:styleId="Refdenotaalpie">
    <w:name w:val="footnote reference"/>
    <w:aliases w:val="Footnotes refss,Texto de nota al pie,Appel note de bas de page,Footnote number,referencia nota al pie,BVI fnr,f,Ref. de nota al pie.,Footnote symbol,Footnote,4_G,16 Point,Superscript 6 Point,Texto nota al pie,Ref,de nota al pie,norma"/>
    <w:basedOn w:val="Fuentedeprrafopredeter"/>
    <w:link w:val="FootnotesrefssChar1Char"/>
    <w:uiPriority w:val="99"/>
    <w:unhideWhenUsed/>
    <w:qFormat/>
    <w:rsid w:val="00C41BB2"/>
    <w:rPr>
      <w:vertAlign w:val="superscript"/>
    </w:rPr>
  </w:style>
  <w:style w:type="paragraph" w:styleId="Textonotaalfinal">
    <w:name w:val="endnote text"/>
    <w:basedOn w:val="Normal"/>
    <w:link w:val="TextonotaalfinalCar"/>
    <w:uiPriority w:val="99"/>
    <w:semiHidden/>
    <w:unhideWhenUsed/>
    <w:rsid w:val="001D0E86"/>
    <w:rPr>
      <w:szCs w:val="20"/>
    </w:rPr>
  </w:style>
  <w:style w:type="character" w:customStyle="1" w:styleId="TextonotaalfinalCar">
    <w:name w:val="Texto nota al final Car"/>
    <w:basedOn w:val="Fuentedeprrafopredeter"/>
    <w:link w:val="Textonotaalfinal"/>
    <w:uiPriority w:val="99"/>
    <w:semiHidden/>
    <w:rsid w:val="001D0E86"/>
    <w:rPr>
      <w:rFonts w:ascii="Verdana" w:eastAsia="MS Mincho" w:hAnsi="Verdana" w:cs="Times New Roman"/>
      <w:sz w:val="20"/>
      <w:szCs w:val="20"/>
    </w:rPr>
  </w:style>
  <w:style w:type="character" w:styleId="Refdenotaalfinal">
    <w:name w:val="endnote reference"/>
    <w:basedOn w:val="Fuentedeprrafopredeter"/>
    <w:uiPriority w:val="99"/>
    <w:semiHidden/>
    <w:unhideWhenUsed/>
    <w:rsid w:val="001D0E86"/>
    <w:rPr>
      <w:vertAlign w:val="superscript"/>
    </w:rPr>
  </w:style>
  <w:style w:type="character" w:styleId="Refdecomentario">
    <w:name w:val="annotation reference"/>
    <w:basedOn w:val="Fuentedeprrafopredeter"/>
    <w:uiPriority w:val="99"/>
    <w:unhideWhenUsed/>
    <w:rsid w:val="00A113F9"/>
    <w:rPr>
      <w:sz w:val="16"/>
      <w:szCs w:val="16"/>
    </w:rPr>
  </w:style>
  <w:style w:type="paragraph" w:styleId="Textocomentario">
    <w:name w:val="annotation text"/>
    <w:basedOn w:val="Normal"/>
    <w:link w:val="TextocomentarioCar"/>
    <w:uiPriority w:val="99"/>
    <w:unhideWhenUsed/>
    <w:rsid w:val="00A113F9"/>
    <w:rPr>
      <w:szCs w:val="20"/>
    </w:rPr>
  </w:style>
  <w:style w:type="character" w:customStyle="1" w:styleId="TextocomentarioCar">
    <w:name w:val="Texto comentario Car"/>
    <w:basedOn w:val="Fuentedeprrafopredeter"/>
    <w:link w:val="Textocomentario"/>
    <w:uiPriority w:val="99"/>
    <w:rsid w:val="00A113F9"/>
    <w:rPr>
      <w:rFonts w:ascii="Verdana" w:eastAsia="MS Mincho"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113F9"/>
    <w:rPr>
      <w:b/>
      <w:bCs/>
    </w:rPr>
  </w:style>
  <w:style w:type="character" w:customStyle="1" w:styleId="AsuntodelcomentarioCar">
    <w:name w:val="Asunto del comentario Car"/>
    <w:basedOn w:val="TextocomentarioCar"/>
    <w:link w:val="Asuntodelcomentario"/>
    <w:uiPriority w:val="99"/>
    <w:semiHidden/>
    <w:rsid w:val="00A113F9"/>
    <w:rPr>
      <w:rFonts w:ascii="Verdana" w:eastAsia="MS Mincho" w:hAnsi="Verdana" w:cs="Times New Roman"/>
      <w:b/>
      <w:bCs/>
      <w:sz w:val="20"/>
      <w:szCs w:val="20"/>
    </w:rPr>
  </w:style>
  <w:style w:type="paragraph" w:styleId="Textodeglobo">
    <w:name w:val="Balloon Text"/>
    <w:basedOn w:val="Normal"/>
    <w:link w:val="TextodegloboCar"/>
    <w:uiPriority w:val="99"/>
    <w:semiHidden/>
    <w:unhideWhenUsed/>
    <w:rsid w:val="00A113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13F9"/>
    <w:rPr>
      <w:rFonts w:ascii="Segoe UI" w:eastAsia="MS Mincho" w:hAnsi="Segoe UI" w:cs="Segoe UI"/>
      <w:sz w:val="18"/>
      <w:szCs w:val="18"/>
    </w:rPr>
  </w:style>
  <w:style w:type="character" w:customStyle="1" w:styleId="Ttulo2Car">
    <w:name w:val="Título 2 Car"/>
    <w:basedOn w:val="Fuentedeprrafopredeter"/>
    <w:link w:val="Ttulo2"/>
    <w:uiPriority w:val="9"/>
    <w:rsid w:val="00CA38A9"/>
    <w:rPr>
      <w:rFonts w:ascii="Verdana" w:eastAsia="MS Mincho" w:hAnsi="Verdana" w:cs="Times New Roman"/>
      <w:b/>
      <w:i/>
      <w:sz w:val="20"/>
      <w:szCs w:val="24"/>
      <w:lang w:val="es-CR"/>
    </w:rPr>
  </w:style>
  <w:style w:type="character" w:customStyle="1" w:styleId="Ttulo7Car">
    <w:name w:val="Título 7 Car"/>
    <w:basedOn w:val="Fuentedeprrafopredeter"/>
    <w:link w:val="Ttulo7"/>
    <w:uiPriority w:val="9"/>
    <w:semiHidden/>
    <w:rsid w:val="00F21A57"/>
    <w:rPr>
      <w:rFonts w:asciiTheme="majorHAnsi" w:eastAsiaTheme="majorEastAsia" w:hAnsiTheme="majorHAnsi" w:cstheme="majorBidi"/>
      <w:i/>
      <w:iCs/>
      <w:color w:val="1F4D78" w:themeColor="accent1" w:themeShade="7F"/>
      <w:sz w:val="20"/>
      <w:szCs w:val="24"/>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Refdenotaalpie"/>
    <w:uiPriority w:val="99"/>
    <w:qFormat/>
    <w:rsid w:val="00F21A57"/>
    <w:pPr>
      <w:spacing w:after="160" w:line="240" w:lineRule="exact"/>
    </w:pPr>
    <w:rPr>
      <w:rFonts w:asciiTheme="minorHAnsi" w:eastAsiaTheme="minorHAnsi" w:hAnsiTheme="minorHAnsi" w:cstheme="minorBidi"/>
      <w:sz w:val="22"/>
      <w:szCs w:val="22"/>
      <w:vertAlign w:val="superscript"/>
    </w:rPr>
  </w:style>
  <w:style w:type="character" w:styleId="Textoennegrita">
    <w:name w:val="Strong"/>
    <w:aliases w:val="Heading 2.1"/>
    <w:basedOn w:val="Fuentedeprrafopredeter"/>
    <w:uiPriority w:val="22"/>
    <w:qFormat/>
    <w:rsid w:val="00F21A57"/>
    <w:rPr>
      <w:b/>
      <w:bCs/>
    </w:rPr>
  </w:style>
  <w:style w:type="paragraph" w:styleId="Encabezado">
    <w:name w:val="header"/>
    <w:aliases w:val="encabezado"/>
    <w:basedOn w:val="Normal"/>
    <w:link w:val="EncabezadoCar"/>
    <w:uiPriority w:val="99"/>
    <w:unhideWhenUsed/>
    <w:rsid w:val="005E697D"/>
    <w:pPr>
      <w:tabs>
        <w:tab w:val="center" w:pos="4419"/>
        <w:tab w:val="right" w:pos="8838"/>
      </w:tabs>
    </w:pPr>
  </w:style>
  <w:style w:type="character" w:customStyle="1" w:styleId="EncabezadoCar">
    <w:name w:val="Encabezado Car"/>
    <w:aliases w:val="encabezado Car"/>
    <w:basedOn w:val="Fuentedeprrafopredeter"/>
    <w:link w:val="Encabezado"/>
    <w:uiPriority w:val="99"/>
    <w:rsid w:val="005E697D"/>
    <w:rPr>
      <w:rFonts w:ascii="Verdana" w:eastAsia="MS Mincho" w:hAnsi="Verdana" w:cs="Times New Roman"/>
      <w:sz w:val="20"/>
      <w:szCs w:val="24"/>
    </w:rPr>
  </w:style>
  <w:style w:type="paragraph" w:styleId="Piedepgina">
    <w:name w:val="footer"/>
    <w:basedOn w:val="Normal"/>
    <w:link w:val="PiedepginaCar"/>
    <w:uiPriority w:val="99"/>
    <w:unhideWhenUsed/>
    <w:rsid w:val="005E697D"/>
    <w:pPr>
      <w:tabs>
        <w:tab w:val="center" w:pos="4419"/>
        <w:tab w:val="right" w:pos="8838"/>
      </w:tabs>
    </w:pPr>
  </w:style>
  <w:style w:type="character" w:customStyle="1" w:styleId="PiedepginaCar">
    <w:name w:val="Pie de página Car"/>
    <w:basedOn w:val="Fuentedeprrafopredeter"/>
    <w:link w:val="Piedepgina"/>
    <w:uiPriority w:val="99"/>
    <w:rsid w:val="005E697D"/>
    <w:rPr>
      <w:rFonts w:ascii="Verdana" w:eastAsia="MS Mincho" w:hAnsi="Verdana" w:cs="Times New Roman"/>
      <w:sz w:val="20"/>
      <w:szCs w:val="24"/>
    </w:rPr>
  </w:style>
  <w:style w:type="character" w:customStyle="1" w:styleId="Ttulo3Car">
    <w:name w:val="Título 3 Car"/>
    <w:basedOn w:val="Fuentedeprrafopredeter"/>
    <w:link w:val="Ttulo3"/>
    <w:uiPriority w:val="9"/>
    <w:rsid w:val="00880671"/>
    <w:rPr>
      <w:rFonts w:ascii="Verdana" w:eastAsiaTheme="majorEastAsia" w:hAnsi="Verdana" w:cstheme="majorBidi"/>
      <w:b/>
      <w:sz w:val="20"/>
      <w:szCs w:val="20"/>
      <w:lang w:val="es-CR"/>
    </w:rPr>
  </w:style>
  <w:style w:type="character" w:customStyle="1" w:styleId="PrrafodelistaCar1">
    <w:name w:val="Párrafo de lista Car1"/>
    <w:aliases w:val="List Paragraph1 Car1,Colorful List - Accent 11 Car1,Párrafo de lista1 Car1,List Paragraph2 Car1,Lista vistosa - Énfasis 11 Car1,Subtle Emphasis1 Car1,Footnote1 Car1,List Paragraph11 Car"/>
    <w:basedOn w:val="Fuentedeprrafopredeter"/>
    <w:link w:val="Prrafodelista"/>
    <w:uiPriority w:val="34"/>
    <w:locked/>
    <w:rsid w:val="00121FEF"/>
    <w:rPr>
      <w:rFonts w:ascii="Verdana" w:eastAsia="MS Mincho" w:hAnsi="Verdana" w:cs="Times New Roman"/>
      <w:sz w:val="20"/>
      <w:szCs w:val="24"/>
    </w:rPr>
  </w:style>
  <w:style w:type="character" w:styleId="Hipervnculo">
    <w:name w:val="Hyperlink"/>
    <w:basedOn w:val="Fuentedeprrafopredeter"/>
    <w:uiPriority w:val="99"/>
    <w:unhideWhenUsed/>
    <w:rsid w:val="00121FEF"/>
    <w:rPr>
      <w:color w:val="0563C1" w:themeColor="hyperlink"/>
      <w:u w:val="single"/>
    </w:rPr>
  </w:style>
  <w:style w:type="paragraph" w:customStyle="1" w:styleId="SingleTxtG">
    <w:name w:val="_ Single Txt_G"/>
    <w:basedOn w:val="Normal"/>
    <w:link w:val="SingleTxtGChar"/>
    <w:rsid w:val="00121FEF"/>
    <w:pPr>
      <w:spacing w:after="120" w:line="240" w:lineRule="atLeast"/>
      <w:ind w:left="1134" w:right="1134"/>
      <w:jc w:val="both"/>
    </w:pPr>
    <w:rPr>
      <w:rFonts w:ascii="Times New Roman" w:eastAsia="Times New Roman" w:hAnsi="Times New Roman"/>
      <w:szCs w:val="20"/>
      <w:lang w:val="es-ES" w:eastAsia="es-ES"/>
    </w:rPr>
  </w:style>
  <w:style w:type="character" w:customStyle="1" w:styleId="apple-style-span">
    <w:name w:val="apple-style-span"/>
    <w:basedOn w:val="Fuentedeprrafopredeter"/>
    <w:rsid w:val="00CA38A9"/>
  </w:style>
  <w:style w:type="character" w:customStyle="1" w:styleId="sb8d990e2">
    <w:name w:val="sb8d990e2"/>
    <w:basedOn w:val="Fuentedeprrafopredeter"/>
    <w:rsid w:val="00CA38A9"/>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EE6121"/>
    <w:pPr>
      <w:jc w:val="both"/>
    </w:pPr>
    <w:rPr>
      <w:rFonts w:asciiTheme="minorHAnsi" w:eastAsiaTheme="minorHAnsi" w:hAnsiTheme="minorHAnsi" w:cstheme="minorBidi"/>
      <w:sz w:val="22"/>
      <w:szCs w:val="22"/>
      <w:vertAlign w:val="superscript"/>
      <w:lang w:val="es-CR"/>
    </w:rPr>
  </w:style>
  <w:style w:type="paragraph" w:styleId="Textosinformato">
    <w:name w:val="Plain Text"/>
    <w:basedOn w:val="Normal"/>
    <w:link w:val="TextosinformatoCar"/>
    <w:uiPriority w:val="99"/>
    <w:semiHidden/>
    <w:unhideWhenUsed/>
    <w:rsid w:val="00D250BE"/>
    <w:rPr>
      <w:rFonts w:ascii="Calibri" w:eastAsiaTheme="minorHAnsi" w:hAnsi="Calibri" w:cstheme="minorBidi"/>
      <w:sz w:val="22"/>
      <w:szCs w:val="21"/>
      <w:lang w:val="es-CR"/>
    </w:rPr>
  </w:style>
  <w:style w:type="character" w:customStyle="1" w:styleId="TextosinformatoCar">
    <w:name w:val="Texto sin formato Car"/>
    <w:basedOn w:val="Fuentedeprrafopredeter"/>
    <w:link w:val="Textosinformato"/>
    <w:uiPriority w:val="99"/>
    <w:semiHidden/>
    <w:rsid w:val="00D250BE"/>
    <w:rPr>
      <w:rFonts w:ascii="Calibri" w:hAnsi="Calibri"/>
      <w:szCs w:val="21"/>
      <w:lang w:val="es-CR"/>
    </w:rPr>
  </w:style>
  <w:style w:type="character" w:customStyle="1" w:styleId="Ttulo4Car">
    <w:name w:val="Título 4 Car"/>
    <w:basedOn w:val="Fuentedeprrafopredeter"/>
    <w:link w:val="Ttulo4"/>
    <w:uiPriority w:val="9"/>
    <w:rsid w:val="00B524CE"/>
    <w:rPr>
      <w:rFonts w:ascii="Verdana" w:eastAsia="MS Mincho" w:hAnsi="Verdana" w:cs="Times New Roman"/>
      <w:sz w:val="20"/>
      <w:szCs w:val="24"/>
      <w:u w:val="single"/>
      <w:lang w:val="es-CR"/>
    </w:rPr>
  </w:style>
  <w:style w:type="paragraph" w:styleId="NormalWeb">
    <w:name w:val="Normal (Web)"/>
    <w:basedOn w:val="Normal"/>
    <w:unhideWhenUsed/>
    <w:rsid w:val="00427466"/>
    <w:pPr>
      <w:spacing w:before="100" w:beforeAutospacing="1" w:after="100" w:afterAutospacing="1"/>
    </w:pPr>
    <w:rPr>
      <w:rFonts w:ascii="Times New Roman" w:eastAsia="Times New Roman" w:hAnsi="Times New Roman"/>
      <w:sz w:val="24"/>
      <w:lang w:val="es-CR" w:eastAsia="es-CR"/>
    </w:rPr>
  </w:style>
  <w:style w:type="paragraph" w:customStyle="1" w:styleId="1">
    <w:name w:val="1"/>
    <w:basedOn w:val="Normal"/>
    <w:rsid w:val="00852D2F"/>
    <w:pPr>
      <w:spacing w:after="160" w:line="240" w:lineRule="exact"/>
    </w:pPr>
    <w:rPr>
      <w:rFonts w:eastAsia="Times New Roman"/>
      <w:sz w:val="16"/>
      <w:szCs w:val="22"/>
      <w:vertAlign w:val="superscript"/>
      <w:lang w:val="es-CR"/>
    </w:rPr>
  </w:style>
  <w:style w:type="paragraph" w:customStyle="1" w:styleId="Numberedparagraphs">
    <w:name w:val="Numbered paragraphs"/>
    <w:basedOn w:val="Normal"/>
    <w:link w:val="NumberedparagraphsCar"/>
    <w:qFormat/>
    <w:rsid w:val="00B86E74"/>
    <w:pPr>
      <w:numPr>
        <w:numId w:val="29"/>
      </w:numPr>
      <w:jc w:val="both"/>
    </w:pPr>
    <w:rPr>
      <w:color w:val="000000"/>
      <w:szCs w:val="20"/>
      <w:lang w:val="es-ES_tradnl"/>
    </w:rPr>
  </w:style>
  <w:style w:type="character" w:customStyle="1" w:styleId="s6b621b36">
    <w:name w:val="s6b621b36"/>
    <w:basedOn w:val="Fuentedeprrafopredeter"/>
    <w:rsid w:val="00547188"/>
  </w:style>
  <w:style w:type="paragraph" w:customStyle="1" w:styleId="s30eec3f8">
    <w:name w:val="s30eec3f8"/>
    <w:basedOn w:val="Normal"/>
    <w:rsid w:val="00547188"/>
    <w:pPr>
      <w:spacing w:before="100" w:beforeAutospacing="1" w:after="100" w:afterAutospacing="1"/>
    </w:pPr>
    <w:rPr>
      <w:rFonts w:ascii="Times New Roman" w:eastAsiaTheme="minorHAnsi" w:hAnsi="Times New Roman"/>
      <w:szCs w:val="20"/>
    </w:rPr>
  </w:style>
  <w:style w:type="character" w:customStyle="1" w:styleId="apple-converted-space">
    <w:name w:val="apple-converted-space"/>
    <w:basedOn w:val="Fuentedeprrafopredeter"/>
    <w:rsid w:val="003B31C2"/>
  </w:style>
  <w:style w:type="table" w:styleId="Tablaconcuadrcula">
    <w:name w:val="Table Grid"/>
    <w:basedOn w:val="Tablanormal"/>
    <w:uiPriority w:val="39"/>
    <w:rsid w:val="006B02FE"/>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D41F3C"/>
    <w:pPr>
      <w:spacing w:before="240" w:after="120"/>
    </w:pPr>
    <w:rPr>
      <w:rFonts w:asciiTheme="minorHAnsi" w:hAnsiTheme="minorHAnsi" w:cstheme="minorHAnsi"/>
      <w:b/>
      <w:bCs/>
      <w:szCs w:val="20"/>
    </w:rPr>
  </w:style>
  <w:style w:type="paragraph" w:styleId="TDC2">
    <w:name w:val="toc 2"/>
    <w:basedOn w:val="Normal"/>
    <w:next w:val="Normal"/>
    <w:autoRedefine/>
    <w:uiPriority w:val="39"/>
    <w:unhideWhenUsed/>
    <w:rsid w:val="00185604"/>
    <w:pPr>
      <w:tabs>
        <w:tab w:val="left" w:pos="567"/>
        <w:tab w:val="left" w:pos="800"/>
        <w:tab w:val="right" w:pos="9394"/>
      </w:tabs>
    </w:pPr>
    <w:rPr>
      <w:rFonts w:asciiTheme="minorHAnsi" w:hAnsiTheme="minorHAnsi" w:cstheme="minorHAnsi"/>
      <w:i/>
      <w:iCs/>
      <w:szCs w:val="20"/>
    </w:rPr>
  </w:style>
  <w:style w:type="paragraph" w:styleId="TDC3">
    <w:name w:val="toc 3"/>
    <w:basedOn w:val="Normal"/>
    <w:next w:val="Normal"/>
    <w:autoRedefine/>
    <w:uiPriority w:val="39"/>
    <w:unhideWhenUsed/>
    <w:rsid w:val="009541EC"/>
    <w:pPr>
      <w:tabs>
        <w:tab w:val="left" w:pos="567"/>
        <w:tab w:val="right" w:pos="9394"/>
      </w:tabs>
      <w:spacing w:before="40"/>
    </w:pPr>
    <w:rPr>
      <w:rFonts w:asciiTheme="minorHAnsi" w:hAnsiTheme="minorHAnsi" w:cstheme="minorHAnsi"/>
      <w:szCs w:val="20"/>
    </w:rPr>
  </w:style>
  <w:style w:type="paragraph" w:styleId="TDC4">
    <w:name w:val="toc 4"/>
    <w:basedOn w:val="Normal"/>
    <w:next w:val="Normal"/>
    <w:autoRedefine/>
    <w:uiPriority w:val="39"/>
    <w:unhideWhenUsed/>
    <w:rsid w:val="00D41F3C"/>
    <w:pPr>
      <w:ind w:left="600"/>
    </w:pPr>
    <w:rPr>
      <w:rFonts w:asciiTheme="minorHAnsi" w:hAnsiTheme="minorHAnsi" w:cstheme="minorHAnsi"/>
      <w:szCs w:val="20"/>
    </w:rPr>
  </w:style>
  <w:style w:type="paragraph" w:styleId="TDC5">
    <w:name w:val="toc 5"/>
    <w:basedOn w:val="Normal"/>
    <w:next w:val="Normal"/>
    <w:autoRedefine/>
    <w:uiPriority w:val="39"/>
    <w:unhideWhenUsed/>
    <w:rsid w:val="00D41F3C"/>
    <w:pPr>
      <w:ind w:left="800"/>
    </w:pPr>
    <w:rPr>
      <w:rFonts w:asciiTheme="minorHAnsi" w:hAnsiTheme="minorHAnsi" w:cstheme="minorHAnsi"/>
      <w:szCs w:val="20"/>
    </w:rPr>
  </w:style>
  <w:style w:type="paragraph" w:styleId="TDC6">
    <w:name w:val="toc 6"/>
    <w:basedOn w:val="Normal"/>
    <w:next w:val="Normal"/>
    <w:autoRedefine/>
    <w:uiPriority w:val="39"/>
    <w:unhideWhenUsed/>
    <w:rsid w:val="00D41F3C"/>
    <w:pPr>
      <w:ind w:left="1000"/>
    </w:pPr>
    <w:rPr>
      <w:rFonts w:asciiTheme="minorHAnsi" w:hAnsiTheme="minorHAnsi" w:cstheme="minorHAnsi"/>
      <w:szCs w:val="20"/>
    </w:rPr>
  </w:style>
  <w:style w:type="paragraph" w:styleId="TDC7">
    <w:name w:val="toc 7"/>
    <w:basedOn w:val="Normal"/>
    <w:next w:val="Normal"/>
    <w:autoRedefine/>
    <w:uiPriority w:val="39"/>
    <w:unhideWhenUsed/>
    <w:rsid w:val="00D41F3C"/>
    <w:pPr>
      <w:ind w:left="1200"/>
    </w:pPr>
    <w:rPr>
      <w:rFonts w:asciiTheme="minorHAnsi" w:hAnsiTheme="minorHAnsi" w:cstheme="minorHAnsi"/>
      <w:szCs w:val="20"/>
    </w:rPr>
  </w:style>
  <w:style w:type="paragraph" w:styleId="TDC8">
    <w:name w:val="toc 8"/>
    <w:basedOn w:val="Normal"/>
    <w:next w:val="Normal"/>
    <w:autoRedefine/>
    <w:uiPriority w:val="39"/>
    <w:unhideWhenUsed/>
    <w:rsid w:val="00D41F3C"/>
    <w:pPr>
      <w:ind w:left="1400"/>
    </w:pPr>
    <w:rPr>
      <w:rFonts w:asciiTheme="minorHAnsi" w:hAnsiTheme="minorHAnsi" w:cstheme="minorHAnsi"/>
      <w:szCs w:val="20"/>
    </w:rPr>
  </w:style>
  <w:style w:type="paragraph" w:styleId="TDC9">
    <w:name w:val="toc 9"/>
    <w:basedOn w:val="Normal"/>
    <w:next w:val="Normal"/>
    <w:autoRedefine/>
    <w:uiPriority w:val="39"/>
    <w:unhideWhenUsed/>
    <w:rsid w:val="00D41F3C"/>
    <w:pPr>
      <w:ind w:left="1600"/>
    </w:pPr>
    <w:rPr>
      <w:rFonts w:asciiTheme="minorHAnsi" w:hAnsiTheme="minorHAnsi" w:cstheme="minorHAnsi"/>
      <w:szCs w:val="20"/>
    </w:rPr>
  </w:style>
  <w:style w:type="paragraph" w:styleId="TtuloTDC">
    <w:name w:val="TOC Heading"/>
    <w:basedOn w:val="Ttulo1"/>
    <w:next w:val="Normal"/>
    <w:uiPriority w:val="39"/>
    <w:unhideWhenUsed/>
    <w:qFormat/>
    <w:rsid w:val="00D41F3C"/>
    <w:pPr>
      <w:spacing w:after="0" w:line="259" w:lineRule="auto"/>
      <w:contextualSpacing w:val="0"/>
      <w:jc w:val="left"/>
      <w:outlineLvl w:val="9"/>
    </w:pPr>
    <w:rPr>
      <w:rFonts w:asciiTheme="majorHAnsi" w:hAnsiTheme="majorHAnsi"/>
      <w:b w:val="0"/>
      <w:color w:val="2E74B5" w:themeColor="accent1" w:themeShade="BF"/>
      <w:sz w:val="32"/>
      <w:szCs w:val="32"/>
      <w:lang w:val="en-US"/>
    </w:rPr>
  </w:style>
  <w:style w:type="character" w:customStyle="1" w:styleId="NumberedparagraphsCar">
    <w:name w:val="Numbered paragraphs Car"/>
    <w:basedOn w:val="Fuentedeprrafopredeter"/>
    <w:link w:val="Numberedparagraphs"/>
    <w:rsid w:val="003B01D3"/>
    <w:rPr>
      <w:rFonts w:ascii="Verdana" w:eastAsia="MS Mincho" w:hAnsi="Verdana" w:cs="Times New Roman"/>
      <w:color w:val="000000"/>
      <w:sz w:val="20"/>
      <w:szCs w:val="20"/>
      <w:lang w:val="es-ES_tradnl"/>
    </w:rPr>
  </w:style>
  <w:style w:type="character" w:customStyle="1" w:styleId="TextonotapieCar1">
    <w:name w:val="Texto nota pie Car1"/>
    <w:aliases w:val="2. Footnote Text Car,Footnote Tesina Car,FA Fu Car1,Footnote Text Char Char Char Char Char Car1,Footnote Text Char Char Char Char Car1,Footnote reference Car1,Footnote Text Char Char Char Car1,Footnote Text Cha Car1,Ca Car,C Car"/>
    <w:basedOn w:val="Fuentedeprrafopredeter"/>
    <w:uiPriority w:val="99"/>
    <w:locked/>
    <w:rsid w:val="000F186B"/>
    <w:rPr>
      <w:rFonts w:ascii="Verdana" w:hAnsi="Verdana"/>
    </w:rPr>
  </w:style>
  <w:style w:type="character" w:customStyle="1" w:styleId="PrrafodelistaCar">
    <w:name w:val="Párrafo de lista Car"/>
    <w:aliases w:val="Footnote Car,List Paragraph1 Car,Colorful List - Accent 11 Car,Párrafo de lista1 Car,List Paragraph2 Car,Lista vistosa - Énfasis 11 Car,Subtle Emphasis1 Car,Footnote1 Car"/>
    <w:basedOn w:val="Fuentedeprrafopredeter"/>
    <w:uiPriority w:val="34"/>
    <w:locked/>
    <w:rsid w:val="000F186B"/>
    <w:rPr>
      <w:rFonts w:ascii="Verdana" w:hAnsi="Verdana"/>
    </w:rPr>
  </w:style>
  <w:style w:type="character" w:customStyle="1" w:styleId="FootnotesChar">
    <w:name w:val="**. Footnotes Char"/>
    <w:basedOn w:val="Fuentedeprrafopredeter"/>
    <w:link w:val="Footnotes"/>
    <w:locked/>
    <w:rsid w:val="005B4A55"/>
    <w:rPr>
      <w:rFonts w:ascii="Verdana" w:eastAsia="Times New Roman" w:hAnsi="Verdana" w:cs="Palatino-Italic"/>
      <w:iCs/>
      <w:spacing w:val="-4"/>
      <w:sz w:val="16"/>
      <w:szCs w:val="16"/>
      <w:lang w:bidi="en-US"/>
    </w:rPr>
  </w:style>
  <w:style w:type="paragraph" w:customStyle="1" w:styleId="Footnotes">
    <w:name w:val="**. Footnotes"/>
    <w:basedOn w:val="Textonotapie"/>
    <w:link w:val="FootnotesChar"/>
    <w:autoRedefine/>
    <w:qFormat/>
    <w:rsid w:val="005B4A55"/>
    <w:pPr>
      <w:spacing w:before="0" w:after="0"/>
    </w:pPr>
    <w:rPr>
      <w:rFonts w:eastAsia="Times New Roman" w:cs="Palatino-Italic"/>
      <w:iCs/>
      <w:spacing w:val="-4"/>
      <w:lang w:val="en-US" w:bidi="en-US"/>
    </w:rPr>
  </w:style>
  <w:style w:type="character" w:styleId="Nmerodepgina">
    <w:name w:val="page number"/>
    <w:basedOn w:val="Fuentedeprrafopredeter"/>
    <w:uiPriority w:val="99"/>
    <w:semiHidden/>
    <w:unhideWhenUsed/>
    <w:rsid w:val="00993A93"/>
  </w:style>
  <w:style w:type="paragraph" w:styleId="Revisin">
    <w:name w:val="Revision"/>
    <w:hidden/>
    <w:uiPriority w:val="99"/>
    <w:semiHidden/>
    <w:rsid w:val="006B3E8E"/>
    <w:pPr>
      <w:spacing w:after="0" w:line="240" w:lineRule="auto"/>
    </w:pPr>
    <w:rPr>
      <w:rFonts w:ascii="Verdana" w:eastAsia="MS Mincho" w:hAnsi="Verdana" w:cs="Times New Roman"/>
      <w:sz w:val="20"/>
      <w:szCs w:val="24"/>
    </w:rPr>
  </w:style>
  <w:style w:type="character" w:customStyle="1" w:styleId="SingleTxtGChar">
    <w:name w:val="_ Single Txt_G Char"/>
    <w:link w:val="SingleTxtG"/>
    <w:rsid w:val="00737D26"/>
    <w:rPr>
      <w:rFonts w:ascii="Times New Roman" w:eastAsia="Times New Roman" w:hAnsi="Times New Roman" w:cs="Times New Roman"/>
      <w:sz w:val="20"/>
      <w:szCs w:val="20"/>
      <w:lang w:val="es-ES" w:eastAsia="es-ES"/>
    </w:rPr>
  </w:style>
  <w:style w:type="character" w:styleId="Mencinsinresolver">
    <w:name w:val="Unresolved Mention"/>
    <w:basedOn w:val="Fuentedeprrafopredeter"/>
    <w:uiPriority w:val="99"/>
    <w:semiHidden/>
    <w:unhideWhenUsed/>
    <w:rsid w:val="007E4CD0"/>
    <w:rPr>
      <w:color w:val="605E5C"/>
      <w:shd w:val="clear" w:color="auto" w:fill="E1DFDD"/>
    </w:rPr>
  </w:style>
  <w:style w:type="character" w:customStyle="1" w:styleId="st">
    <w:name w:val="st"/>
    <w:basedOn w:val="Fuentedeprrafopredeter"/>
    <w:rsid w:val="00BB2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0362">
      <w:bodyDiv w:val="1"/>
      <w:marLeft w:val="0"/>
      <w:marRight w:val="0"/>
      <w:marTop w:val="0"/>
      <w:marBottom w:val="0"/>
      <w:divBdr>
        <w:top w:val="none" w:sz="0" w:space="0" w:color="auto"/>
        <w:left w:val="none" w:sz="0" w:space="0" w:color="auto"/>
        <w:bottom w:val="none" w:sz="0" w:space="0" w:color="auto"/>
        <w:right w:val="none" w:sz="0" w:space="0" w:color="auto"/>
      </w:divBdr>
    </w:div>
    <w:div w:id="112942648">
      <w:bodyDiv w:val="1"/>
      <w:marLeft w:val="0"/>
      <w:marRight w:val="0"/>
      <w:marTop w:val="0"/>
      <w:marBottom w:val="0"/>
      <w:divBdr>
        <w:top w:val="none" w:sz="0" w:space="0" w:color="auto"/>
        <w:left w:val="none" w:sz="0" w:space="0" w:color="auto"/>
        <w:bottom w:val="none" w:sz="0" w:space="0" w:color="auto"/>
        <w:right w:val="none" w:sz="0" w:space="0" w:color="auto"/>
      </w:divBdr>
    </w:div>
    <w:div w:id="173880937">
      <w:bodyDiv w:val="1"/>
      <w:marLeft w:val="0"/>
      <w:marRight w:val="0"/>
      <w:marTop w:val="0"/>
      <w:marBottom w:val="0"/>
      <w:divBdr>
        <w:top w:val="none" w:sz="0" w:space="0" w:color="auto"/>
        <w:left w:val="none" w:sz="0" w:space="0" w:color="auto"/>
        <w:bottom w:val="none" w:sz="0" w:space="0" w:color="auto"/>
        <w:right w:val="none" w:sz="0" w:space="0" w:color="auto"/>
      </w:divBdr>
    </w:div>
    <w:div w:id="244531717">
      <w:bodyDiv w:val="1"/>
      <w:marLeft w:val="0"/>
      <w:marRight w:val="0"/>
      <w:marTop w:val="0"/>
      <w:marBottom w:val="0"/>
      <w:divBdr>
        <w:top w:val="none" w:sz="0" w:space="0" w:color="auto"/>
        <w:left w:val="none" w:sz="0" w:space="0" w:color="auto"/>
        <w:bottom w:val="none" w:sz="0" w:space="0" w:color="auto"/>
        <w:right w:val="none" w:sz="0" w:space="0" w:color="auto"/>
      </w:divBdr>
      <w:divsChild>
        <w:div w:id="40447109">
          <w:marLeft w:val="0"/>
          <w:marRight w:val="0"/>
          <w:marTop w:val="0"/>
          <w:marBottom w:val="0"/>
          <w:divBdr>
            <w:top w:val="none" w:sz="0" w:space="0" w:color="auto"/>
            <w:left w:val="none" w:sz="0" w:space="0" w:color="auto"/>
            <w:bottom w:val="none" w:sz="0" w:space="0" w:color="auto"/>
            <w:right w:val="none" w:sz="0" w:space="0" w:color="auto"/>
          </w:divBdr>
        </w:div>
        <w:div w:id="171070482">
          <w:marLeft w:val="0"/>
          <w:marRight w:val="0"/>
          <w:marTop w:val="0"/>
          <w:marBottom w:val="0"/>
          <w:divBdr>
            <w:top w:val="none" w:sz="0" w:space="0" w:color="auto"/>
            <w:left w:val="none" w:sz="0" w:space="0" w:color="auto"/>
            <w:bottom w:val="none" w:sz="0" w:space="0" w:color="auto"/>
            <w:right w:val="none" w:sz="0" w:space="0" w:color="auto"/>
          </w:divBdr>
        </w:div>
        <w:div w:id="284390736">
          <w:marLeft w:val="0"/>
          <w:marRight w:val="0"/>
          <w:marTop w:val="0"/>
          <w:marBottom w:val="0"/>
          <w:divBdr>
            <w:top w:val="none" w:sz="0" w:space="0" w:color="auto"/>
            <w:left w:val="none" w:sz="0" w:space="0" w:color="auto"/>
            <w:bottom w:val="none" w:sz="0" w:space="0" w:color="auto"/>
            <w:right w:val="none" w:sz="0" w:space="0" w:color="auto"/>
          </w:divBdr>
        </w:div>
        <w:div w:id="336159764">
          <w:marLeft w:val="0"/>
          <w:marRight w:val="0"/>
          <w:marTop w:val="0"/>
          <w:marBottom w:val="0"/>
          <w:divBdr>
            <w:top w:val="none" w:sz="0" w:space="0" w:color="auto"/>
            <w:left w:val="none" w:sz="0" w:space="0" w:color="auto"/>
            <w:bottom w:val="none" w:sz="0" w:space="0" w:color="auto"/>
            <w:right w:val="none" w:sz="0" w:space="0" w:color="auto"/>
          </w:divBdr>
        </w:div>
        <w:div w:id="440147343">
          <w:marLeft w:val="0"/>
          <w:marRight w:val="0"/>
          <w:marTop w:val="0"/>
          <w:marBottom w:val="0"/>
          <w:divBdr>
            <w:top w:val="none" w:sz="0" w:space="0" w:color="auto"/>
            <w:left w:val="none" w:sz="0" w:space="0" w:color="auto"/>
            <w:bottom w:val="none" w:sz="0" w:space="0" w:color="auto"/>
            <w:right w:val="none" w:sz="0" w:space="0" w:color="auto"/>
          </w:divBdr>
        </w:div>
        <w:div w:id="670066081">
          <w:marLeft w:val="0"/>
          <w:marRight w:val="0"/>
          <w:marTop w:val="0"/>
          <w:marBottom w:val="0"/>
          <w:divBdr>
            <w:top w:val="none" w:sz="0" w:space="0" w:color="auto"/>
            <w:left w:val="none" w:sz="0" w:space="0" w:color="auto"/>
            <w:bottom w:val="none" w:sz="0" w:space="0" w:color="auto"/>
            <w:right w:val="none" w:sz="0" w:space="0" w:color="auto"/>
          </w:divBdr>
        </w:div>
        <w:div w:id="682977686">
          <w:marLeft w:val="0"/>
          <w:marRight w:val="0"/>
          <w:marTop w:val="0"/>
          <w:marBottom w:val="0"/>
          <w:divBdr>
            <w:top w:val="none" w:sz="0" w:space="0" w:color="auto"/>
            <w:left w:val="none" w:sz="0" w:space="0" w:color="auto"/>
            <w:bottom w:val="none" w:sz="0" w:space="0" w:color="auto"/>
            <w:right w:val="none" w:sz="0" w:space="0" w:color="auto"/>
          </w:divBdr>
        </w:div>
        <w:div w:id="953754452">
          <w:marLeft w:val="0"/>
          <w:marRight w:val="0"/>
          <w:marTop w:val="0"/>
          <w:marBottom w:val="0"/>
          <w:divBdr>
            <w:top w:val="none" w:sz="0" w:space="0" w:color="auto"/>
            <w:left w:val="none" w:sz="0" w:space="0" w:color="auto"/>
            <w:bottom w:val="none" w:sz="0" w:space="0" w:color="auto"/>
            <w:right w:val="none" w:sz="0" w:space="0" w:color="auto"/>
          </w:divBdr>
        </w:div>
        <w:div w:id="1095326340">
          <w:marLeft w:val="0"/>
          <w:marRight w:val="0"/>
          <w:marTop w:val="0"/>
          <w:marBottom w:val="0"/>
          <w:divBdr>
            <w:top w:val="none" w:sz="0" w:space="0" w:color="auto"/>
            <w:left w:val="none" w:sz="0" w:space="0" w:color="auto"/>
            <w:bottom w:val="none" w:sz="0" w:space="0" w:color="auto"/>
            <w:right w:val="none" w:sz="0" w:space="0" w:color="auto"/>
          </w:divBdr>
        </w:div>
        <w:div w:id="1278759121">
          <w:marLeft w:val="0"/>
          <w:marRight w:val="0"/>
          <w:marTop w:val="0"/>
          <w:marBottom w:val="0"/>
          <w:divBdr>
            <w:top w:val="none" w:sz="0" w:space="0" w:color="auto"/>
            <w:left w:val="none" w:sz="0" w:space="0" w:color="auto"/>
            <w:bottom w:val="none" w:sz="0" w:space="0" w:color="auto"/>
            <w:right w:val="none" w:sz="0" w:space="0" w:color="auto"/>
          </w:divBdr>
        </w:div>
        <w:div w:id="1705519804">
          <w:marLeft w:val="0"/>
          <w:marRight w:val="0"/>
          <w:marTop w:val="0"/>
          <w:marBottom w:val="0"/>
          <w:divBdr>
            <w:top w:val="none" w:sz="0" w:space="0" w:color="auto"/>
            <w:left w:val="none" w:sz="0" w:space="0" w:color="auto"/>
            <w:bottom w:val="none" w:sz="0" w:space="0" w:color="auto"/>
            <w:right w:val="none" w:sz="0" w:space="0" w:color="auto"/>
          </w:divBdr>
        </w:div>
        <w:div w:id="1737968864">
          <w:marLeft w:val="0"/>
          <w:marRight w:val="0"/>
          <w:marTop w:val="0"/>
          <w:marBottom w:val="0"/>
          <w:divBdr>
            <w:top w:val="none" w:sz="0" w:space="0" w:color="auto"/>
            <w:left w:val="none" w:sz="0" w:space="0" w:color="auto"/>
            <w:bottom w:val="none" w:sz="0" w:space="0" w:color="auto"/>
            <w:right w:val="none" w:sz="0" w:space="0" w:color="auto"/>
          </w:divBdr>
        </w:div>
        <w:div w:id="1747991109">
          <w:marLeft w:val="0"/>
          <w:marRight w:val="0"/>
          <w:marTop w:val="0"/>
          <w:marBottom w:val="0"/>
          <w:divBdr>
            <w:top w:val="none" w:sz="0" w:space="0" w:color="auto"/>
            <w:left w:val="none" w:sz="0" w:space="0" w:color="auto"/>
            <w:bottom w:val="none" w:sz="0" w:space="0" w:color="auto"/>
            <w:right w:val="none" w:sz="0" w:space="0" w:color="auto"/>
          </w:divBdr>
        </w:div>
        <w:div w:id="1792361808">
          <w:marLeft w:val="0"/>
          <w:marRight w:val="0"/>
          <w:marTop w:val="0"/>
          <w:marBottom w:val="0"/>
          <w:divBdr>
            <w:top w:val="none" w:sz="0" w:space="0" w:color="auto"/>
            <w:left w:val="none" w:sz="0" w:space="0" w:color="auto"/>
            <w:bottom w:val="none" w:sz="0" w:space="0" w:color="auto"/>
            <w:right w:val="none" w:sz="0" w:space="0" w:color="auto"/>
          </w:divBdr>
        </w:div>
        <w:div w:id="1938713324">
          <w:marLeft w:val="0"/>
          <w:marRight w:val="0"/>
          <w:marTop w:val="0"/>
          <w:marBottom w:val="0"/>
          <w:divBdr>
            <w:top w:val="none" w:sz="0" w:space="0" w:color="auto"/>
            <w:left w:val="none" w:sz="0" w:space="0" w:color="auto"/>
            <w:bottom w:val="none" w:sz="0" w:space="0" w:color="auto"/>
            <w:right w:val="none" w:sz="0" w:space="0" w:color="auto"/>
          </w:divBdr>
        </w:div>
        <w:div w:id="2045280044">
          <w:marLeft w:val="0"/>
          <w:marRight w:val="0"/>
          <w:marTop w:val="0"/>
          <w:marBottom w:val="0"/>
          <w:divBdr>
            <w:top w:val="none" w:sz="0" w:space="0" w:color="auto"/>
            <w:left w:val="none" w:sz="0" w:space="0" w:color="auto"/>
            <w:bottom w:val="none" w:sz="0" w:space="0" w:color="auto"/>
            <w:right w:val="none" w:sz="0" w:space="0" w:color="auto"/>
          </w:divBdr>
        </w:div>
        <w:div w:id="2062317142">
          <w:marLeft w:val="0"/>
          <w:marRight w:val="0"/>
          <w:marTop w:val="0"/>
          <w:marBottom w:val="0"/>
          <w:divBdr>
            <w:top w:val="none" w:sz="0" w:space="0" w:color="auto"/>
            <w:left w:val="none" w:sz="0" w:space="0" w:color="auto"/>
            <w:bottom w:val="none" w:sz="0" w:space="0" w:color="auto"/>
            <w:right w:val="none" w:sz="0" w:space="0" w:color="auto"/>
          </w:divBdr>
        </w:div>
        <w:div w:id="2094744525">
          <w:marLeft w:val="0"/>
          <w:marRight w:val="0"/>
          <w:marTop w:val="0"/>
          <w:marBottom w:val="0"/>
          <w:divBdr>
            <w:top w:val="none" w:sz="0" w:space="0" w:color="auto"/>
            <w:left w:val="none" w:sz="0" w:space="0" w:color="auto"/>
            <w:bottom w:val="none" w:sz="0" w:space="0" w:color="auto"/>
            <w:right w:val="none" w:sz="0" w:space="0" w:color="auto"/>
          </w:divBdr>
        </w:div>
        <w:div w:id="2108229429">
          <w:marLeft w:val="0"/>
          <w:marRight w:val="0"/>
          <w:marTop w:val="0"/>
          <w:marBottom w:val="0"/>
          <w:divBdr>
            <w:top w:val="none" w:sz="0" w:space="0" w:color="auto"/>
            <w:left w:val="none" w:sz="0" w:space="0" w:color="auto"/>
            <w:bottom w:val="none" w:sz="0" w:space="0" w:color="auto"/>
            <w:right w:val="none" w:sz="0" w:space="0" w:color="auto"/>
          </w:divBdr>
        </w:div>
      </w:divsChild>
    </w:div>
    <w:div w:id="261110462">
      <w:bodyDiv w:val="1"/>
      <w:marLeft w:val="0"/>
      <w:marRight w:val="0"/>
      <w:marTop w:val="0"/>
      <w:marBottom w:val="0"/>
      <w:divBdr>
        <w:top w:val="none" w:sz="0" w:space="0" w:color="auto"/>
        <w:left w:val="none" w:sz="0" w:space="0" w:color="auto"/>
        <w:bottom w:val="none" w:sz="0" w:space="0" w:color="auto"/>
        <w:right w:val="none" w:sz="0" w:space="0" w:color="auto"/>
      </w:divBdr>
    </w:div>
    <w:div w:id="304705324">
      <w:bodyDiv w:val="1"/>
      <w:marLeft w:val="0"/>
      <w:marRight w:val="0"/>
      <w:marTop w:val="0"/>
      <w:marBottom w:val="0"/>
      <w:divBdr>
        <w:top w:val="none" w:sz="0" w:space="0" w:color="auto"/>
        <w:left w:val="none" w:sz="0" w:space="0" w:color="auto"/>
        <w:bottom w:val="none" w:sz="0" w:space="0" w:color="auto"/>
        <w:right w:val="none" w:sz="0" w:space="0" w:color="auto"/>
      </w:divBdr>
    </w:div>
    <w:div w:id="358169144">
      <w:bodyDiv w:val="1"/>
      <w:marLeft w:val="0"/>
      <w:marRight w:val="0"/>
      <w:marTop w:val="0"/>
      <w:marBottom w:val="0"/>
      <w:divBdr>
        <w:top w:val="none" w:sz="0" w:space="0" w:color="auto"/>
        <w:left w:val="none" w:sz="0" w:space="0" w:color="auto"/>
        <w:bottom w:val="none" w:sz="0" w:space="0" w:color="auto"/>
        <w:right w:val="none" w:sz="0" w:space="0" w:color="auto"/>
      </w:divBdr>
    </w:div>
    <w:div w:id="407921682">
      <w:bodyDiv w:val="1"/>
      <w:marLeft w:val="0"/>
      <w:marRight w:val="0"/>
      <w:marTop w:val="0"/>
      <w:marBottom w:val="0"/>
      <w:divBdr>
        <w:top w:val="none" w:sz="0" w:space="0" w:color="auto"/>
        <w:left w:val="none" w:sz="0" w:space="0" w:color="auto"/>
        <w:bottom w:val="none" w:sz="0" w:space="0" w:color="auto"/>
        <w:right w:val="none" w:sz="0" w:space="0" w:color="auto"/>
      </w:divBdr>
    </w:div>
    <w:div w:id="514807850">
      <w:bodyDiv w:val="1"/>
      <w:marLeft w:val="0"/>
      <w:marRight w:val="0"/>
      <w:marTop w:val="0"/>
      <w:marBottom w:val="0"/>
      <w:divBdr>
        <w:top w:val="none" w:sz="0" w:space="0" w:color="auto"/>
        <w:left w:val="none" w:sz="0" w:space="0" w:color="auto"/>
        <w:bottom w:val="none" w:sz="0" w:space="0" w:color="auto"/>
        <w:right w:val="none" w:sz="0" w:space="0" w:color="auto"/>
      </w:divBdr>
    </w:div>
    <w:div w:id="669137155">
      <w:bodyDiv w:val="1"/>
      <w:marLeft w:val="0"/>
      <w:marRight w:val="0"/>
      <w:marTop w:val="0"/>
      <w:marBottom w:val="0"/>
      <w:divBdr>
        <w:top w:val="none" w:sz="0" w:space="0" w:color="auto"/>
        <w:left w:val="none" w:sz="0" w:space="0" w:color="auto"/>
        <w:bottom w:val="none" w:sz="0" w:space="0" w:color="auto"/>
        <w:right w:val="none" w:sz="0" w:space="0" w:color="auto"/>
      </w:divBdr>
    </w:div>
    <w:div w:id="693461843">
      <w:bodyDiv w:val="1"/>
      <w:marLeft w:val="0"/>
      <w:marRight w:val="0"/>
      <w:marTop w:val="0"/>
      <w:marBottom w:val="0"/>
      <w:divBdr>
        <w:top w:val="none" w:sz="0" w:space="0" w:color="auto"/>
        <w:left w:val="none" w:sz="0" w:space="0" w:color="auto"/>
        <w:bottom w:val="none" w:sz="0" w:space="0" w:color="auto"/>
        <w:right w:val="none" w:sz="0" w:space="0" w:color="auto"/>
      </w:divBdr>
      <w:divsChild>
        <w:div w:id="908885123">
          <w:marLeft w:val="0"/>
          <w:marRight w:val="0"/>
          <w:marTop w:val="0"/>
          <w:marBottom w:val="0"/>
          <w:divBdr>
            <w:top w:val="none" w:sz="0" w:space="0" w:color="auto"/>
            <w:left w:val="none" w:sz="0" w:space="0" w:color="auto"/>
            <w:bottom w:val="none" w:sz="0" w:space="0" w:color="auto"/>
            <w:right w:val="none" w:sz="0" w:space="0" w:color="auto"/>
          </w:divBdr>
        </w:div>
        <w:div w:id="1423137666">
          <w:marLeft w:val="0"/>
          <w:marRight w:val="0"/>
          <w:marTop w:val="0"/>
          <w:marBottom w:val="0"/>
          <w:divBdr>
            <w:top w:val="none" w:sz="0" w:space="0" w:color="auto"/>
            <w:left w:val="none" w:sz="0" w:space="0" w:color="auto"/>
            <w:bottom w:val="none" w:sz="0" w:space="0" w:color="auto"/>
            <w:right w:val="none" w:sz="0" w:space="0" w:color="auto"/>
          </w:divBdr>
        </w:div>
        <w:div w:id="1449467704">
          <w:marLeft w:val="0"/>
          <w:marRight w:val="0"/>
          <w:marTop w:val="0"/>
          <w:marBottom w:val="0"/>
          <w:divBdr>
            <w:top w:val="none" w:sz="0" w:space="0" w:color="auto"/>
            <w:left w:val="none" w:sz="0" w:space="0" w:color="auto"/>
            <w:bottom w:val="none" w:sz="0" w:space="0" w:color="auto"/>
            <w:right w:val="none" w:sz="0" w:space="0" w:color="auto"/>
          </w:divBdr>
        </w:div>
        <w:div w:id="1525703766">
          <w:marLeft w:val="0"/>
          <w:marRight w:val="0"/>
          <w:marTop w:val="0"/>
          <w:marBottom w:val="0"/>
          <w:divBdr>
            <w:top w:val="none" w:sz="0" w:space="0" w:color="auto"/>
            <w:left w:val="none" w:sz="0" w:space="0" w:color="auto"/>
            <w:bottom w:val="none" w:sz="0" w:space="0" w:color="auto"/>
            <w:right w:val="none" w:sz="0" w:space="0" w:color="auto"/>
          </w:divBdr>
        </w:div>
        <w:div w:id="1799764745">
          <w:marLeft w:val="0"/>
          <w:marRight w:val="0"/>
          <w:marTop w:val="0"/>
          <w:marBottom w:val="0"/>
          <w:divBdr>
            <w:top w:val="none" w:sz="0" w:space="0" w:color="auto"/>
            <w:left w:val="none" w:sz="0" w:space="0" w:color="auto"/>
            <w:bottom w:val="none" w:sz="0" w:space="0" w:color="auto"/>
            <w:right w:val="none" w:sz="0" w:space="0" w:color="auto"/>
          </w:divBdr>
        </w:div>
      </w:divsChild>
    </w:div>
    <w:div w:id="819619159">
      <w:bodyDiv w:val="1"/>
      <w:marLeft w:val="0"/>
      <w:marRight w:val="0"/>
      <w:marTop w:val="0"/>
      <w:marBottom w:val="0"/>
      <w:divBdr>
        <w:top w:val="none" w:sz="0" w:space="0" w:color="auto"/>
        <w:left w:val="none" w:sz="0" w:space="0" w:color="auto"/>
        <w:bottom w:val="none" w:sz="0" w:space="0" w:color="auto"/>
        <w:right w:val="none" w:sz="0" w:space="0" w:color="auto"/>
      </w:divBdr>
    </w:div>
    <w:div w:id="858278785">
      <w:bodyDiv w:val="1"/>
      <w:marLeft w:val="0"/>
      <w:marRight w:val="0"/>
      <w:marTop w:val="0"/>
      <w:marBottom w:val="0"/>
      <w:divBdr>
        <w:top w:val="none" w:sz="0" w:space="0" w:color="auto"/>
        <w:left w:val="none" w:sz="0" w:space="0" w:color="auto"/>
        <w:bottom w:val="none" w:sz="0" w:space="0" w:color="auto"/>
        <w:right w:val="none" w:sz="0" w:space="0" w:color="auto"/>
      </w:divBdr>
    </w:div>
    <w:div w:id="876700979">
      <w:bodyDiv w:val="1"/>
      <w:marLeft w:val="0"/>
      <w:marRight w:val="0"/>
      <w:marTop w:val="0"/>
      <w:marBottom w:val="0"/>
      <w:divBdr>
        <w:top w:val="none" w:sz="0" w:space="0" w:color="auto"/>
        <w:left w:val="none" w:sz="0" w:space="0" w:color="auto"/>
        <w:bottom w:val="none" w:sz="0" w:space="0" w:color="auto"/>
        <w:right w:val="none" w:sz="0" w:space="0" w:color="auto"/>
      </w:divBdr>
    </w:div>
    <w:div w:id="884021621">
      <w:bodyDiv w:val="1"/>
      <w:marLeft w:val="0"/>
      <w:marRight w:val="0"/>
      <w:marTop w:val="0"/>
      <w:marBottom w:val="0"/>
      <w:divBdr>
        <w:top w:val="none" w:sz="0" w:space="0" w:color="auto"/>
        <w:left w:val="none" w:sz="0" w:space="0" w:color="auto"/>
        <w:bottom w:val="none" w:sz="0" w:space="0" w:color="auto"/>
        <w:right w:val="none" w:sz="0" w:space="0" w:color="auto"/>
      </w:divBdr>
    </w:div>
    <w:div w:id="888151922">
      <w:bodyDiv w:val="1"/>
      <w:marLeft w:val="0"/>
      <w:marRight w:val="0"/>
      <w:marTop w:val="0"/>
      <w:marBottom w:val="0"/>
      <w:divBdr>
        <w:top w:val="none" w:sz="0" w:space="0" w:color="auto"/>
        <w:left w:val="none" w:sz="0" w:space="0" w:color="auto"/>
        <w:bottom w:val="none" w:sz="0" w:space="0" w:color="auto"/>
        <w:right w:val="none" w:sz="0" w:space="0" w:color="auto"/>
      </w:divBdr>
    </w:div>
    <w:div w:id="991248864">
      <w:bodyDiv w:val="1"/>
      <w:marLeft w:val="0"/>
      <w:marRight w:val="0"/>
      <w:marTop w:val="0"/>
      <w:marBottom w:val="0"/>
      <w:divBdr>
        <w:top w:val="none" w:sz="0" w:space="0" w:color="auto"/>
        <w:left w:val="none" w:sz="0" w:space="0" w:color="auto"/>
        <w:bottom w:val="none" w:sz="0" w:space="0" w:color="auto"/>
        <w:right w:val="none" w:sz="0" w:space="0" w:color="auto"/>
      </w:divBdr>
    </w:div>
    <w:div w:id="1035698038">
      <w:bodyDiv w:val="1"/>
      <w:marLeft w:val="0"/>
      <w:marRight w:val="0"/>
      <w:marTop w:val="0"/>
      <w:marBottom w:val="0"/>
      <w:divBdr>
        <w:top w:val="none" w:sz="0" w:space="0" w:color="auto"/>
        <w:left w:val="none" w:sz="0" w:space="0" w:color="auto"/>
        <w:bottom w:val="none" w:sz="0" w:space="0" w:color="auto"/>
        <w:right w:val="none" w:sz="0" w:space="0" w:color="auto"/>
      </w:divBdr>
    </w:div>
    <w:div w:id="1065226071">
      <w:bodyDiv w:val="1"/>
      <w:marLeft w:val="0"/>
      <w:marRight w:val="0"/>
      <w:marTop w:val="0"/>
      <w:marBottom w:val="0"/>
      <w:divBdr>
        <w:top w:val="none" w:sz="0" w:space="0" w:color="auto"/>
        <w:left w:val="none" w:sz="0" w:space="0" w:color="auto"/>
        <w:bottom w:val="none" w:sz="0" w:space="0" w:color="auto"/>
        <w:right w:val="none" w:sz="0" w:space="0" w:color="auto"/>
      </w:divBdr>
    </w:div>
    <w:div w:id="1070809706">
      <w:bodyDiv w:val="1"/>
      <w:marLeft w:val="0"/>
      <w:marRight w:val="0"/>
      <w:marTop w:val="0"/>
      <w:marBottom w:val="0"/>
      <w:divBdr>
        <w:top w:val="none" w:sz="0" w:space="0" w:color="auto"/>
        <w:left w:val="none" w:sz="0" w:space="0" w:color="auto"/>
        <w:bottom w:val="none" w:sz="0" w:space="0" w:color="auto"/>
        <w:right w:val="none" w:sz="0" w:space="0" w:color="auto"/>
      </w:divBdr>
    </w:div>
    <w:div w:id="1110396983">
      <w:bodyDiv w:val="1"/>
      <w:marLeft w:val="0"/>
      <w:marRight w:val="0"/>
      <w:marTop w:val="0"/>
      <w:marBottom w:val="0"/>
      <w:divBdr>
        <w:top w:val="none" w:sz="0" w:space="0" w:color="auto"/>
        <w:left w:val="none" w:sz="0" w:space="0" w:color="auto"/>
        <w:bottom w:val="none" w:sz="0" w:space="0" w:color="auto"/>
        <w:right w:val="none" w:sz="0" w:space="0" w:color="auto"/>
      </w:divBdr>
    </w:div>
    <w:div w:id="1186097341">
      <w:bodyDiv w:val="1"/>
      <w:marLeft w:val="0"/>
      <w:marRight w:val="0"/>
      <w:marTop w:val="0"/>
      <w:marBottom w:val="0"/>
      <w:divBdr>
        <w:top w:val="none" w:sz="0" w:space="0" w:color="auto"/>
        <w:left w:val="none" w:sz="0" w:space="0" w:color="auto"/>
        <w:bottom w:val="none" w:sz="0" w:space="0" w:color="auto"/>
        <w:right w:val="none" w:sz="0" w:space="0" w:color="auto"/>
      </w:divBdr>
    </w:div>
    <w:div w:id="1274286193">
      <w:bodyDiv w:val="1"/>
      <w:marLeft w:val="0"/>
      <w:marRight w:val="0"/>
      <w:marTop w:val="0"/>
      <w:marBottom w:val="0"/>
      <w:divBdr>
        <w:top w:val="none" w:sz="0" w:space="0" w:color="auto"/>
        <w:left w:val="none" w:sz="0" w:space="0" w:color="auto"/>
        <w:bottom w:val="none" w:sz="0" w:space="0" w:color="auto"/>
        <w:right w:val="none" w:sz="0" w:space="0" w:color="auto"/>
      </w:divBdr>
    </w:div>
    <w:div w:id="1274748720">
      <w:bodyDiv w:val="1"/>
      <w:marLeft w:val="0"/>
      <w:marRight w:val="0"/>
      <w:marTop w:val="0"/>
      <w:marBottom w:val="0"/>
      <w:divBdr>
        <w:top w:val="none" w:sz="0" w:space="0" w:color="auto"/>
        <w:left w:val="none" w:sz="0" w:space="0" w:color="auto"/>
        <w:bottom w:val="none" w:sz="0" w:space="0" w:color="auto"/>
        <w:right w:val="none" w:sz="0" w:space="0" w:color="auto"/>
      </w:divBdr>
    </w:div>
    <w:div w:id="1414007918">
      <w:bodyDiv w:val="1"/>
      <w:marLeft w:val="0"/>
      <w:marRight w:val="0"/>
      <w:marTop w:val="0"/>
      <w:marBottom w:val="0"/>
      <w:divBdr>
        <w:top w:val="none" w:sz="0" w:space="0" w:color="auto"/>
        <w:left w:val="none" w:sz="0" w:space="0" w:color="auto"/>
        <w:bottom w:val="none" w:sz="0" w:space="0" w:color="auto"/>
        <w:right w:val="none" w:sz="0" w:space="0" w:color="auto"/>
      </w:divBdr>
    </w:div>
    <w:div w:id="1572497206">
      <w:bodyDiv w:val="1"/>
      <w:marLeft w:val="0"/>
      <w:marRight w:val="0"/>
      <w:marTop w:val="0"/>
      <w:marBottom w:val="0"/>
      <w:divBdr>
        <w:top w:val="none" w:sz="0" w:space="0" w:color="auto"/>
        <w:left w:val="none" w:sz="0" w:space="0" w:color="auto"/>
        <w:bottom w:val="none" w:sz="0" w:space="0" w:color="auto"/>
        <w:right w:val="none" w:sz="0" w:space="0" w:color="auto"/>
      </w:divBdr>
    </w:div>
    <w:div w:id="1574464829">
      <w:bodyDiv w:val="1"/>
      <w:marLeft w:val="0"/>
      <w:marRight w:val="0"/>
      <w:marTop w:val="0"/>
      <w:marBottom w:val="0"/>
      <w:divBdr>
        <w:top w:val="none" w:sz="0" w:space="0" w:color="auto"/>
        <w:left w:val="none" w:sz="0" w:space="0" w:color="auto"/>
        <w:bottom w:val="none" w:sz="0" w:space="0" w:color="auto"/>
        <w:right w:val="none" w:sz="0" w:space="0" w:color="auto"/>
      </w:divBdr>
    </w:div>
    <w:div w:id="1593204877">
      <w:bodyDiv w:val="1"/>
      <w:marLeft w:val="0"/>
      <w:marRight w:val="0"/>
      <w:marTop w:val="0"/>
      <w:marBottom w:val="0"/>
      <w:divBdr>
        <w:top w:val="none" w:sz="0" w:space="0" w:color="auto"/>
        <w:left w:val="none" w:sz="0" w:space="0" w:color="auto"/>
        <w:bottom w:val="none" w:sz="0" w:space="0" w:color="auto"/>
        <w:right w:val="none" w:sz="0" w:space="0" w:color="auto"/>
      </w:divBdr>
    </w:div>
    <w:div w:id="1625230659">
      <w:bodyDiv w:val="1"/>
      <w:marLeft w:val="0"/>
      <w:marRight w:val="0"/>
      <w:marTop w:val="0"/>
      <w:marBottom w:val="0"/>
      <w:divBdr>
        <w:top w:val="none" w:sz="0" w:space="0" w:color="auto"/>
        <w:left w:val="none" w:sz="0" w:space="0" w:color="auto"/>
        <w:bottom w:val="none" w:sz="0" w:space="0" w:color="auto"/>
        <w:right w:val="none" w:sz="0" w:space="0" w:color="auto"/>
      </w:divBdr>
    </w:div>
    <w:div w:id="1646472085">
      <w:bodyDiv w:val="1"/>
      <w:marLeft w:val="0"/>
      <w:marRight w:val="0"/>
      <w:marTop w:val="0"/>
      <w:marBottom w:val="0"/>
      <w:divBdr>
        <w:top w:val="none" w:sz="0" w:space="0" w:color="auto"/>
        <w:left w:val="none" w:sz="0" w:space="0" w:color="auto"/>
        <w:bottom w:val="none" w:sz="0" w:space="0" w:color="auto"/>
        <w:right w:val="none" w:sz="0" w:space="0" w:color="auto"/>
      </w:divBdr>
    </w:div>
    <w:div w:id="1720477062">
      <w:bodyDiv w:val="1"/>
      <w:marLeft w:val="0"/>
      <w:marRight w:val="0"/>
      <w:marTop w:val="0"/>
      <w:marBottom w:val="0"/>
      <w:divBdr>
        <w:top w:val="none" w:sz="0" w:space="0" w:color="auto"/>
        <w:left w:val="none" w:sz="0" w:space="0" w:color="auto"/>
        <w:bottom w:val="none" w:sz="0" w:space="0" w:color="auto"/>
        <w:right w:val="none" w:sz="0" w:space="0" w:color="auto"/>
      </w:divBdr>
    </w:div>
    <w:div w:id="1763645704">
      <w:bodyDiv w:val="1"/>
      <w:marLeft w:val="0"/>
      <w:marRight w:val="0"/>
      <w:marTop w:val="0"/>
      <w:marBottom w:val="0"/>
      <w:divBdr>
        <w:top w:val="none" w:sz="0" w:space="0" w:color="auto"/>
        <w:left w:val="none" w:sz="0" w:space="0" w:color="auto"/>
        <w:bottom w:val="none" w:sz="0" w:space="0" w:color="auto"/>
        <w:right w:val="none" w:sz="0" w:space="0" w:color="auto"/>
      </w:divBdr>
    </w:div>
    <w:div w:id="1851488788">
      <w:bodyDiv w:val="1"/>
      <w:marLeft w:val="0"/>
      <w:marRight w:val="0"/>
      <w:marTop w:val="0"/>
      <w:marBottom w:val="0"/>
      <w:divBdr>
        <w:top w:val="none" w:sz="0" w:space="0" w:color="auto"/>
        <w:left w:val="none" w:sz="0" w:space="0" w:color="auto"/>
        <w:bottom w:val="none" w:sz="0" w:space="0" w:color="auto"/>
        <w:right w:val="none" w:sz="0" w:space="0" w:color="auto"/>
      </w:divBdr>
    </w:div>
    <w:div w:id="1897472649">
      <w:bodyDiv w:val="1"/>
      <w:marLeft w:val="0"/>
      <w:marRight w:val="0"/>
      <w:marTop w:val="0"/>
      <w:marBottom w:val="0"/>
      <w:divBdr>
        <w:top w:val="none" w:sz="0" w:space="0" w:color="auto"/>
        <w:left w:val="none" w:sz="0" w:space="0" w:color="auto"/>
        <w:bottom w:val="none" w:sz="0" w:space="0" w:color="auto"/>
        <w:right w:val="none" w:sz="0" w:space="0" w:color="auto"/>
      </w:divBdr>
    </w:div>
    <w:div w:id="1945723979">
      <w:bodyDiv w:val="1"/>
      <w:marLeft w:val="0"/>
      <w:marRight w:val="0"/>
      <w:marTop w:val="0"/>
      <w:marBottom w:val="0"/>
      <w:divBdr>
        <w:top w:val="none" w:sz="0" w:space="0" w:color="auto"/>
        <w:left w:val="none" w:sz="0" w:space="0" w:color="auto"/>
        <w:bottom w:val="none" w:sz="0" w:space="0" w:color="auto"/>
        <w:right w:val="none" w:sz="0" w:space="0" w:color="auto"/>
      </w:divBdr>
    </w:div>
    <w:div w:id="1999074859">
      <w:bodyDiv w:val="1"/>
      <w:marLeft w:val="0"/>
      <w:marRight w:val="0"/>
      <w:marTop w:val="0"/>
      <w:marBottom w:val="0"/>
      <w:divBdr>
        <w:top w:val="none" w:sz="0" w:space="0" w:color="auto"/>
        <w:left w:val="none" w:sz="0" w:space="0" w:color="auto"/>
        <w:bottom w:val="none" w:sz="0" w:space="0" w:color="auto"/>
        <w:right w:val="none" w:sz="0" w:space="0" w:color="auto"/>
      </w:divBdr>
    </w:div>
    <w:div w:id="211420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repositorio.pucp.edu.pe/index/bitstream/handle/123456789/47040/%20Cuadernos%20de%20investigaci%C3%B3n%2011.pdf?sequence=4" TargetMode="External"/><Relationship Id="rId3" Type="http://schemas.openxmlformats.org/officeDocument/2006/relationships/hyperlink" Target="https://www.inei.gob.pe/media/MenuRecursivo/boletines/lgbti.pdf" TargetMode="External"/><Relationship Id="rId7" Type="http://schemas.openxmlformats.org/officeDocument/2006/relationships/hyperlink" Target="https://defensoria.gob.pe/modules/Downloads/informes/defensoriales/%20Informe-175--Derechos-humanos-de-personas-LGBTI.pdf" TargetMode="External"/><Relationship Id="rId12" Type="http://schemas.openxmlformats.org/officeDocument/2006/relationships/hyperlink" Target="http://whqlibdoc.who.int/publications/2004/%20924154628X.pdf?ua=1" TargetMode="External"/><Relationship Id="rId2" Type="http://schemas.openxmlformats.org/officeDocument/2006/relationships/hyperlink" Target="http://www.corteidh.or.cr/docs/asuntos/rojas_26_08_19.pdf" TargetMode="External"/><Relationship Id="rId1" Type="http://schemas.openxmlformats.org/officeDocument/2006/relationships/hyperlink" Target="http://www.corteidh.or.cr/docs/asuntos/rojas_marin_10_07_19.pdf" TargetMode="External"/><Relationship Id="rId6" Type="http://schemas.openxmlformats.org/officeDocument/2006/relationships/hyperlink" Target="https://www.inei.gob.pe/media/MenuRecursivo/boletines/lgbti.pdf" TargetMode="External"/><Relationship Id="rId11" Type="http://schemas.openxmlformats.org/officeDocument/2006/relationships/hyperlink" Target="http://hrlibrary.umn.edu/iachr/series_A_OC-18.html" TargetMode="External"/><Relationship Id="rId5" Type="http://schemas.openxmlformats.org/officeDocument/2006/relationships/hyperlink" Target="https://www.inei.gob.pe/media/MenuRecursivo/boletines/lgbti.pdf" TargetMode="External"/><Relationship Id="rId10" Type="http://schemas.openxmlformats.org/officeDocument/2006/relationships/hyperlink" Target="https://defensoria.gob.pe/modules/Downloads/informes/defensoriales/%20Informe-175--Derechos-humanos-de-personas-LGBTI.pdf" TargetMode="External"/><Relationship Id="rId4" Type="http://schemas.openxmlformats.org/officeDocument/2006/relationships/hyperlink" Target="https://www.inei.gob.pe/media/MenuRecursivo/boletines/lgbti.pdf" TargetMode="External"/><Relationship Id="rId9" Type="http://schemas.openxmlformats.org/officeDocument/2006/relationships/hyperlink" Target="http://repositorio.pucp.edu.pe/index/bitstream/handle/123456789/47040/%20Cuadernos%20de%20investigaci%C3%B3n%2011.pdf?sequence=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C3008-882A-460B-82F5-64C28423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31668</Words>
  <Characters>174177</Characters>
  <Application>Microsoft Office Word</Application>
  <DocSecurity>0</DocSecurity>
  <Lines>1451</Lines>
  <Paragraphs>410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2</cp:revision>
  <cp:lastPrinted>2020-03-23T18:07:00Z</cp:lastPrinted>
  <dcterms:created xsi:type="dcterms:W3CDTF">2020-06-04T23:19:00Z</dcterms:created>
  <dcterms:modified xsi:type="dcterms:W3CDTF">2020-06-04T23:19:00Z</dcterms:modified>
</cp:coreProperties>
</file>