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B01E6" w14:textId="77777777" w:rsidR="00C254BF" w:rsidRPr="00915CFB" w:rsidRDefault="00C254BF" w:rsidP="00C254BF">
      <w:pPr>
        <w:rPr>
          <w:sz w:val="20"/>
          <w:szCs w:val="20"/>
          <w:lang w:val="en-US"/>
        </w:rPr>
      </w:pPr>
    </w:p>
    <w:p w14:paraId="2D04CC11" w14:textId="77777777" w:rsidR="00C254BF" w:rsidRPr="00915CFB" w:rsidRDefault="00C254BF" w:rsidP="00C254BF">
      <w:pPr>
        <w:rPr>
          <w:b/>
          <w:sz w:val="20"/>
          <w:szCs w:val="20"/>
          <w:lang w:val="en-US"/>
        </w:rPr>
      </w:pPr>
    </w:p>
    <w:p w14:paraId="2C15773A" w14:textId="77777777" w:rsidR="00C254BF" w:rsidRPr="00785D06" w:rsidRDefault="00C254BF" w:rsidP="00C254BF">
      <w:pPr>
        <w:pStyle w:val="Ttulo"/>
        <w:numPr>
          <w:ilvl w:val="0"/>
          <w:numId w:val="0"/>
        </w:numPr>
        <w:ind w:right="-138"/>
        <w:jc w:val="center"/>
        <w:rPr>
          <w:rFonts w:eastAsia="MS Mincho"/>
          <w:lang w:val="en-US"/>
        </w:rPr>
      </w:pPr>
      <w:r w:rsidRPr="00785D06">
        <w:rPr>
          <w:rFonts w:eastAsia="MS Mincho"/>
          <w:lang w:val="en-US"/>
        </w:rPr>
        <w:t>INTER-AMERICAN COURT OF HUMAN RIGHTS</w:t>
      </w:r>
    </w:p>
    <w:p w14:paraId="4E8BB7BF" w14:textId="77777777" w:rsidR="00C254BF" w:rsidRPr="00785D06" w:rsidRDefault="00C254BF" w:rsidP="00C254BF">
      <w:pPr>
        <w:rPr>
          <w:b/>
          <w:sz w:val="20"/>
          <w:szCs w:val="20"/>
          <w:lang w:val="en-US"/>
        </w:rPr>
      </w:pPr>
    </w:p>
    <w:p w14:paraId="611505C2" w14:textId="77777777" w:rsidR="00C254BF" w:rsidRPr="00785D06" w:rsidRDefault="00C254BF" w:rsidP="00C254BF">
      <w:pPr>
        <w:autoSpaceDE w:val="0"/>
        <w:autoSpaceDN w:val="0"/>
        <w:adjustRightInd w:val="0"/>
        <w:jc w:val="center"/>
        <w:rPr>
          <w:rFonts w:eastAsia="MS Mincho"/>
          <w:b/>
          <w:sz w:val="20"/>
          <w:szCs w:val="20"/>
          <w:lang w:val="en-US" w:eastAsia="es-ES" w:bidi="en-US"/>
        </w:rPr>
      </w:pPr>
      <w:r w:rsidRPr="00785D06">
        <w:rPr>
          <w:rFonts w:eastAsia="MS Mincho"/>
          <w:b/>
          <w:sz w:val="20"/>
          <w:szCs w:val="20"/>
          <w:lang w:val="en-US" w:eastAsia="es-ES" w:bidi="en-US"/>
        </w:rPr>
        <w:t>CASE OF GUZMÁN ALBARRACÍN ET AL. V. ECUADOR</w:t>
      </w:r>
    </w:p>
    <w:p w14:paraId="7E8AC87A" w14:textId="77777777" w:rsidR="00C254BF" w:rsidRPr="00785D06" w:rsidRDefault="00C254BF" w:rsidP="00C254BF">
      <w:pPr>
        <w:autoSpaceDE w:val="0"/>
        <w:autoSpaceDN w:val="0"/>
        <w:adjustRightInd w:val="0"/>
        <w:jc w:val="center"/>
        <w:rPr>
          <w:rFonts w:eastAsia="MS Mincho"/>
          <w:b/>
          <w:sz w:val="20"/>
          <w:szCs w:val="20"/>
          <w:lang w:val="en-US" w:eastAsia="es-ES" w:bidi="en-US"/>
        </w:rPr>
      </w:pPr>
    </w:p>
    <w:p w14:paraId="2D39EAD4" w14:textId="77777777" w:rsidR="00C254BF" w:rsidRPr="00785D06" w:rsidRDefault="00C254BF" w:rsidP="00C254BF">
      <w:pPr>
        <w:pStyle w:val="Ttulo"/>
        <w:numPr>
          <w:ilvl w:val="0"/>
          <w:numId w:val="0"/>
        </w:numPr>
        <w:ind w:right="-138"/>
        <w:jc w:val="center"/>
        <w:rPr>
          <w:rFonts w:eastAsia="MS Mincho"/>
          <w:lang w:val="en-US"/>
        </w:rPr>
      </w:pPr>
      <w:r w:rsidRPr="00785D06">
        <w:rPr>
          <w:rFonts w:eastAsia="MS Mincho"/>
          <w:lang w:val="en-US"/>
        </w:rPr>
        <w:t>JUDGMENT OF JUNE 24, 2020</w:t>
      </w:r>
    </w:p>
    <w:p w14:paraId="21F2A042" w14:textId="77777777" w:rsidR="00C254BF" w:rsidRPr="00785D06" w:rsidRDefault="0041003C" w:rsidP="00C254BF">
      <w:pPr>
        <w:pStyle w:val="Ttulo"/>
        <w:numPr>
          <w:ilvl w:val="0"/>
          <w:numId w:val="0"/>
        </w:numPr>
        <w:ind w:right="-138"/>
        <w:jc w:val="center"/>
        <w:rPr>
          <w:rFonts w:eastAsia="MS Mincho"/>
          <w:lang w:val="en-US"/>
        </w:rPr>
      </w:pPr>
      <w:r w:rsidRPr="00785D06">
        <w:rPr>
          <w:rFonts w:eastAsia="MS Mincho"/>
          <w:lang w:val="en-US"/>
        </w:rPr>
        <w:t>(Merits, reparations and c</w:t>
      </w:r>
      <w:r w:rsidR="00C254BF" w:rsidRPr="00785D06">
        <w:rPr>
          <w:rFonts w:eastAsia="MS Mincho"/>
          <w:lang w:val="en-US"/>
        </w:rPr>
        <w:t>osts)</w:t>
      </w:r>
    </w:p>
    <w:p w14:paraId="73FAC443" w14:textId="77777777" w:rsidR="00C254BF" w:rsidRPr="00785D06" w:rsidRDefault="00C254BF" w:rsidP="00C254BF">
      <w:pPr>
        <w:pStyle w:val="Ttulo"/>
        <w:numPr>
          <w:ilvl w:val="0"/>
          <w:numId w:val="0"/>
        </w:numPr>
        <w:ind w:left="-502" w:right="-138"/>
        <w:rPr>
          <w:rFonts w:eastAsia="MS Mincho"/>
          <w:lang w:val="en-US"/>
        </w:rPr>
      </w:pPr>
    </w:p>
    <w:p w14:paraId="764838B2" w14:textId="77777777" w:rsidR="00C254BF" w:rsidRPr="00785D06" w:rsidRDefault="00C254BF" w:rsidP="00C254BF">
      <w:pPr>
        <w:jc w:val="both"/>
        <w:rPr>
          <w:b/>
          <w:i/>
          <w:sz w:val="20"/>
          <w:szCs w:val="20"/>
          <w:lang w:val="en-US"/>
        </w:rPr>
      </w:pPr>
    </w:p>
    <w:p w14:paraId="4BB3F654" w14:textId="77777777" w:rsidR="00C254BF" w:rsidRPr="00785D06" w:rsidRDefault="00C254BF" w:rsidP="00C254BF">
      <w:pPr>
        <w:jc w:val="both"/>
        <w:rPr>
          <w:b/>
          <w:i/>
          <w:sz w:val="20"/>
          <w:szCs w:val="20"/>
          <w:lang w:val="en-US"/>
        </w:rPr>
      </w:pPr>
    </w:p>
    <w:p w14:paraId="51FDE37C" w14:textId="77777777" w:rsidR="00C254BF" w:rsidRPr="00785D06" w:rsidRDefault="00C254BF" w:rsidP="00C254BF">
      <w:pPr>
        <w:autoSpaceDE w:val="0"/>
        <w:autoSpaceDN w:val="0"/>
        <w:adjustRightInd w:val="0"/>
        <w:rPr>
          <w:rFonts w:eastAsia="MS Mincho"/>
          <w:b/>
          <w:sz w:val="20"/>
          <w:szCs w:val="20"/>
          <w:lang w:val="en-US" w:eastAsia="es-ES" w:bidi="en-US"/>
        </w:rPr>
      </w:pPr>
      <w:r w:rsidRPr="00785D06">
        <w:rPr>
          <w:sz w:val="20"/>
          <w:szCs w:val="20"/>
          <w:lang w:val="en-US"/>
        </w:rPr>
        <w:t xml:space="preserve">In the case of </w:t>
      </w:r>
      <w:r w:rsidRPr="00785D06">
        <w:rPr>
          <w:i/>
          <w:sz w:val="20"/>
          <w:szCs w:val="20"/>
          <w:lang w:val="en-US"/>
        </w:rPr>
        <w:t>Guzmán Albarracín et al.,</w:t>
      </w:r>
      <w:r w:rsidRPr="00785D06">
        <w:rPr>
          <w:rFonts w:eastAsia="MS Mincho"/>
          <w:b/>
          <w:sz w:val="20"/>
          <w:szCs w:val="20"/>
          <w:lang w:val="en-US" w:eastAsia="es-ES" w:bidi="en-US"/>
        </w:rPr>
        <w:t xml:space="preserve"> </w:t>
      </w:r>
    </w:p>
    <w:p w14:paraId="140CE643" w14:textId="77777777" w:rsidR="00C254BF" w:rsidRPr="00785D06" w:rsidRDefault="00C254BF" w:rsidP="00C254BF">
      <w:pPr>
        <w:autoSpaceDE w:val="0"/>
        <w:autoSpaceDN w:val="0"/>
        <w:adjustRightInd w:val="0"/>
        <w:rPr>
          <w:sz w:val="20"/>
          <w:szCs w:val="20"/>
          <w:lang w:val="en-US"/>
        </w:rPr>
      </w:pPr>
    </w:p>
    <w:p w14:paraId="4DEA667D" w14:textId="77777777" w:rsidR="00C254BF" w:rsidRPr="00785D06" w:rsidRDefault="00C254BF" w:rsidP="00C254BF">
      <w:pPr>
        <w:jc w:val="both"/>
        <w:rPr>
          <w:sz w:val="20"/>
          <w:szCs w:val="20"/>
          <w:lang w:val="en-US"/>
        </w:rPr>
      </w:pPr>
      <w:r w:rsidRPr="00785D06">
        <w:rPr>
          <w:sz w:val="20"/>
          <w:szCs w:val="20"/>
          <w:lang w:val="en-US"/>
        </w:rPr>
        <w:t>the Inter-American Court of Human Rights (hereinafter “the Inter-American Court” or “the Cour</w:t>
      </w:r>
      <w:r w:rsidR="006324B7" w:rsidRPr="00785D06">
        <w:rPr>
          <w:sz w:val="20"/>
          <w:szCs w:val="20"/>
          <w:lang w:val="en-US"/>
        </w:rPr>
        <w:t>t”), composed of the following j</w:t>
      </w:r>
      <w:r w:rsidRPr="00785D06">
        <w:rPr>
          <w:sz w:val="20"/>
          <w:szCs w:val="20"/>
          <w:lang w:val="en-US"/>
        </w:rPr>
        <w:t>udges</w:t>
      </w:r>
      <w:r w:rsidR="00EB49F1" w:rsidRPr="00785D06">
        <w:rPr>
          <w:sz w:val="20"/>
          <w:szCs w:val="20"/>
          <w:lang w:val="en-US"/>
        </w:rPr>
        <w:t>:</w:t>
      </w:r>
      <w:r w:rsidRPr="00785D06">
        <w:rPr>
          <w:rStyle w:val="Refdenotaalpie"/>
          <w:rFonts w:eastAsia="MS Mincho"/>
          <w:sz w:val="20"/>
          <w:szCs w:val="20"/>
          <w:lang w:val="en-US"/>
        </w:rPr>
        <w:footnoteReference w:customMarkFollows="1" w:id="1"/>
        <w:t>*</w:t>
      </w:r>
    </w:p>
    <w:p w14:paraId="346AB48F" w14:textId="77777777" w:rsidR="00C254BF" w:rsidRPr="00785D06" w:rsidRDefault="00C254BF" w:rsidP="00C254BF">
      <w:pPr>
        <w:jc w:val="both"/>
        <w:rPr>
          <w:sz w:val="20"/>
          <w:szCs w:val="20"/>
          <w:lang w:val="en-US"/>
        </w:rPr>
      </w:pPr>
    </w:p>
    <w:p w14:paraId="7C9DA20B" w14:textId="77777777" w:rsidR="00C254BF" w:rsidRPr="00785D06" w:rsidRDefault="00C254BF" w:rsidP="00C254BF">
      <w:pPr>
        <w:ind w:left="720"/>
        <w:jc w:val="both"/>
        <w:rPr>
          <w:rFonts w:eastAsia="Verdana" w:cs="Verdana"/>
          <w:sz w:val="20"/>
          <w:szCs w:val="20"/>
          <w:lang w:val="en-US"/>
        </w:rPr>
      </w:pPr>
      <w:r w:rsidRPr="00785D06">
        <w:rPr>
          <w:rFonts w:eastAsia="Verdana" w:cs="Verdana"/>
          <w:sz w:val="20"/>
          <w:szCs w:val="20"/>
          <w:lang w:val="en-US"/>
        </w:rPr>
        <w:t>E</w:t>
      </w:r>
      <w:r w:rsidR="00433C2D" w:rsidRPr="00785D06">
        <w:rPr>
          <w:rFonts w:eastAsia="Verdana" w:cs="Verdana"/>
          <w:sz w:val="20"/>
          <w:szCs w:val="20"/>
          <w:lang w:val="en-US"/>
        </w:rPr>
        <w:t>lizabeth Odio Benito, President</w:t>
      </w:r>
    </w:p>
    <w:p w14:paraId="465E86DE" w14:textId="77777777" w:rsidR="00C254BF" w:rsidRPr="00785D06" w:rsidRDefault="00433C2D" w:rsidP="00C254BF">
      <w:pPr>
        <w:ind w:left="720"/>
        <w:jc w:val="both"/>
        <w:rPr>
          <w:sz w:val="20"/>
          <w:szCs w:val="20"/>
          <w:lang w:val="en-US"/>
        </w:rPr>
      </w:pPr>
      <w:r w:rsidRPr="00785D06">
        <w:rPr>
          <w:sz w:val="20"/>
          <w:szCs w:val="20"/>
          <w:lang w:val="en-US"/>
        </w:rPr>
        <w:t>Eduardo Vio Grossi, Judge</w:t>
      </w:r>
    </w:p>
    <w:p w14:paraId="3368CAB1" w14:textId="77777777" w:rsidR="00C254BF" w:rsidRPr="00785D06" w:rsidRDefault="00C254BF" w:rsidP="00C254BF">
      <w:pPr>
        <w:ind w:left="720"/>
        <w:jc w:val="both"/>
        <w:rPr>
          <w:rFonts w:eastAsia="Verdana" w:cs="Verdana"/>
          <w:sz w:val="20"/>
          <w:szCs w:val="20"/>
          <w:lang w:val="en-US"/>
        </w:rPr>
      </w:pPr>
      <w:r w:rsidRPr="00785D06">
        <w:rPr>
          <w:rFonts w:eastAsia="Verdana" w:cs="Verdana"/>
          <w:sz w:val="20"/>
          <w:szCs w:val="20"/>
          <w:lang w:val="en-US"/>
        </w:rPr>
        <w:t>Humbe</w:t>
      </w:r>
      <w:r w:rsidR="00433C2D" w:rsidRPr="00785D06">
        <w:rPr>
          <w:rFonts w:eastAsia="Verdana" w:cs="Verdana"/>
          <w:sz w:val="20"/>
          <w:szCs w:val="20"/>
          <w:lang w:val="en-US"/>
        </w:rPr>
        <w:t>rto Antonio Sierra Porto, Judge</w:t>
      </w:r>
    </w:p>
    <w:p w14:paraId="5634AC2F" w14:textId="77777777" w:rsidR="00C254BF" w:rsidRPr="00785D06" w:rsidRDefault="00C254BF" w:rsidP="00C254BF">
      <w:pPr>
        <w:ind w:left="720"/>
        <w:jc w:val="both"/>
        <w:rPr>
          <w:sz w:val="20"/>
          <w:szCs w:val="20"/>
          <w:lang w:val="en-US"/>
        </w:rPr>
      </w:pPr>
      <w:r w:rsidRPr="00785D06">
        <w:rPr>
          <w:rFonts w:eastAsia="Verdana" w:cs="Verdana"/>
          <w:sz w:val="20"/>
          <w:szCs w:val="20"/>
          <w:lang w:val="en-US"/>
        </w:rPr>
        <w:t xml:space="preserve">Eduardo </w:t>
      </w:r>
      <w:r w:rsidR="00433C2D" w:rsidRPr="00785D06">
        <w:rPr>
          <w:rFonts w:eastAsia="Verdana" w:cs="Verdana"/>
          <w:sz w:val="20"/>
          <w:szCs w:val="20"/>
          <w:lang w:val="en-US"/>
        </w:rPr>
        <w:t>Ferrer Mac-Gregor Poisot, Judge</w:t>
      </w:r>
    </w:p>
    <w:p w14:paraId="3DBE76A5" w14:textId="77777777" w:rsidR="00C254BF" w:rsidRPr="00785D06" w:rsidRDefault="00C254BF" w:rsidP="00C254BF">
      <w:pPr>
        <w:ind w:left="720"/>
        <w:jc w:val="both"/>
        <w:rPr>
          <w:rFonts w:eastAsia="Verdana" w:cs="Verdana"/>
          <w:sz w:val="20"/>
          <w:szCs w:val="20"/>
          <w:lang w:val="en-US"/>
        </w:rPr>
      </w:pPr>
      <w:r w:rsidRPr="00785D06">
        <w:rPr>
          <w:rFonts w:eastAsia="Verdana" w:cs="Verdana"/>
          <w:sz w:val="20"/>
          <w:szCs w:val="20"/>
          <w:lang w:val="en-US"/>
        </w:rPr>
        <w:t>Eug</w:t>
      </w:r>
      <w:r w:rsidR="00433C2D" w:rsidRPr="00785D06">
        <w:rPr>
          <w:rFonts w:eastAsia="Verdana" w:cs="Verdana"/>
          <w:sz w:val="20"/>
          <w:szCs w:val="20"/>
          <w:lang w:val="en-US"/>
        </w:rPr>
        <w:t>enio Raúl Zaffaroni, Judge, and</w:t>
      </w:r>
    </w:p>
    <w:p w14:paraId="4EDA5D2D" w14:textId="77777777" w:rsidR="00C254BF" w:rsidRPr="00785D06" w:rsidRDefault="00C254BF" w:rsidP="00C254BF">
      <w:pPr>
        <w:ind w:left="720"/>
        <w:jc w:val="both"/>
        <w:rPr>
          <w:sz w:val="20"/>
          <w:szCs w:val="20"/>
          <w:lang w:val="en-US"/>
        </w:rPr>
      </w:pPr>
      <w:r w:rsidRPr="00785D06">
        <w:rPr>
          <w:rFonts w:eastAsia="Verdana" w:cs="Verdana"/>
          <w:sz w:val="20"/>
          <w:szCs w:val="20"/>
          <w:lang w:val="en-US"/>
        </w:rPr>
        <w:t>Ricardo Pérez Manrique, Judge,</w:t>
      </w:r>
    </w:p>
    <w:p w14:paraId="2A355AE5" w14:textId="77777777" w:rsidR="00C254BF" w:rsidRPr="00785D06" w:rsidRDefault="00C254BF" w:rsidP="00C254BF">
      <w:pPr>
        <w:widowControl w:val="0"/>
        <w:tabs>
          <w:tab w:val="left" w:pos="5670"/>
        </w:tabs>
        <w:ind w:left="100" w:right="4630"/>
        <w:rPr>
          <w:rFonts w:eastAsia="Verdana" w:cs="Verdana"/>
          <w:sz w:val="20"/>
          <w:szCs w:val="20"/>
          <w:lang w:val="en-US"/>
        </w:rPr>
      </w:pPr>
    </w:p>
    <w:p w14:paraId="5BECCAF9" w14:textId="77777777" w:rsidR="00C254BF" w:rsidRPr="00785D06" w:rsidRDefault="00C254BF" w:rsidP="00C254BF">
      <w:pPr>
        <w:jc w:val="both"/>
        <w:rPr>
          <w:sz w:val="20"/>
          <w:szCs w:val="20"/>
          <w:lang w:val="en-US"/>
        </w:rPr>
      </w:pPr>
      <w:r w:rsidRPr="00785D06">
        <w:rPr>
          <w:sz w:val="20"/>
          <w:szCs w:val="20"/>
          <w:lang w:val="en-US"/>
        </w:rPr>
        <w:t xml:space="preserve">also present, </w:t>
      </w:r>
    </w:p>
    <w:p w14:paraId="26338CBF" w14:textId="77777777" w:rsidR="00C254BF" w:rsidRPr="00785D06" w:rsidRDefault="00C254BF" w:rsidP="00C254BF">
      <w:pPr>
        <w:tabs>
          <w:tab w:val="left" w:pos="6195"/>
        </w:tabs>
        <w:jc w:val="both"/>
        <w:rPr>
          <w:sz w:val="20"/>
          <w:szCs w:val="20"/>
          <w:lang w:val="en-US"/>
        </w:rPr>
      </w:pPr>
      <w:r w:rsidRPr="00785D06">
        <w:rPr>
          <w:sz w:val="20"/>
          <w:szCs w:val="20"/>
          <w:lang w:val="en-US"/>
        </w:rPr>
        <w:tab/>
      </w:r>
    </w:p>
    <w:p w14:paraId="22AB5082" w14:textId="77777777" w:rsidR="00C254BF" w:rsidRPr="00785D06" w:rsidRDefault="00C254BF" w:rsidP="00C254BF">
      <w:pPr>
        <w:ind w:left="720"/>
        <w:jc w:val="both"/>
        <w:rPr>
          <w:sz w:val="20"/>
          <w:szCs w:val="20"/>
          <w:lang w:val="en-US"/>
        </w:rPr>
      </w:pPr>
      <w:r w:rsidRPr="00785D06">
        <w:rPr>
          <w:sz w:val="20"/>
          <w:szCs w:val="20"/>
          <w:lang w:val="en-US"/>
        </w:rPr>
        <w:t>Pablo Saavedra Alessandri, Secretary, and</w:t>
      </w:r>
    </w:p>
    <w:p w14:paraId="213C4BE4" w14:textId="77777777" w:rsidR="00C254BF" w:rsidRPr="00785D06" w:rsidRDefault="00C254BF" w:rsidP="00C254BF">
      <w:pPr>
        <w:ind w:left="720"/>
        <w:jc w:val="both"/>
        <w:rPr>
          <w:sz w:val="20"/>
          <w:szCs w:val="20"/>
          <w:lang w:val="en-US"/>
        </w:rPr>
      </w:pPr>
      <w:r w:rsidRPr="00785D06">
        <w:rPr>
          <w:sz w:val="20"/>
          <w:szCs w:val="20"/>
          <w:lang w:val="en-US"/>
        </w:rPr>
        <w:t>Romina I. Sijniensky, Deputy Secretary,</w:t>
      </w:r>
    </w:p>
    <w:p w14:paraId="21383A4E" w14:textId="77777777" w:rsidR="00C254BF" w:rsidRPr="00785D06" w:rsidRDefault="00C254BF" w:rsidP="00C254BF">
      <w:pPr>
        <w:ind w:left="720"/>
        <w:jc w:val="both"/>
        <w:rPr>
          <w:sz w:val="20"/>
          <w:szCs w:val="20"/>
          <w:lang w:val="en-US"/>
        </w:rPr>
      </w:pPr>
    </w:p>
    <w:p w14:paraId="052178F6" w14:textId="77777777" w:rsidR="00C254BF" w:rsidRPr="00785D06" w:rsidRDefault="00C254BF" w:rsidP="00C254BF">
      <w:pPr>
        <w:jc w:val="both"/>
        <w:rPr>
          <w:sz w:val="20"/>
          <w:szCs w:val="20"/>
          <w:lang w:val="en-US"/>
        </w:rPr>
      </w:pPr>
    </w:p>
    <w:p w14:paraId="702A38CD" w14:textId="77777777" w:rsidR="00C254BF" w:rsidRPr="00785D06" w:rsidRDefault="00433C2D" w:rsidP="00C254BF">
      <w:pPr>
        <w:jc w:val="both"/>
        <w:rPr>
          <w:sz w:val="20"/>
          <w:szCs w:val="20"/>
          <w:lang w:val="en-US"/>
        </w:rPr>
      </w:pPr>
      <w:r w:rsidRPr="00785D06">
        <w:rPr>
          <w:sz w:val="20"/>
          <w:szCs w:val="20"/>
          <w:lang w:val="en-US"/>
        </w:rPr>
        <w:t>p</w:t>
      </w:r>
      <w:r w:rsidR="00C254BF" w:rsidRPr="00785D06">
        <w:rPr>
          <w:sz w:val="20"/>
          <w:szCs w:val="20"/>
          <w:lang w:val="en-US"/>
        </w:rPr>
        <w:t xml:space="preserve">ursuant to Articles 62(3) and 63(1) of the American Convention on Human Rights (hereinafter “the </w:t>
      </w:r>
      <w:r w:rsidR="00EB49F1" w:rsidRPr="00785D06">
        <w:rPr>
          <w:sz w:val="20"/>
          <w:szCs w:val="20"/>
          <w:lang w:val="en-US"/>
        </w:rPr>
        <w:t xml:space="preserve">American </w:t>
      </w:r>
      <w:r w:rsidR="00C254BF" w:rsidRPr="00785D06">
        <w:rPr>
          <w:sz w:val="20"/>
          <w:szCs w:val="20"/>
          <w:lang w:val="en-US"/>
        </w:rPr>
        <w:t xml:space="preserve">Convention” or “the Convention”) and Articles 31, 32, 65 and 67 of the Rules of Procedure </w:t>
      </w:r>
      <w:r w:rsidR="00EB49F1" w:rsidRPr="00785D06">
        <w:rPr>
          <w:sz w:val="20"/>
          <w:szCs w:val="20"/>
          <w:lang w:val="en-US"/>
        </w:rPr>
        <w:t xml:space="preserve">of the Court </w:t>
      </w:r>
      <w:r w:rsidR="00C254BF" w:rsidRPr="00785D06">
        <w:rPr>
          <w:sz w:val="20"/>
          <w:szCs w:val="20"/>
          <w:lang w:val="en-US"/>
        </w:rPr>
        <w:t>(hereina</w:t>
      </w:r>
      <w:r w:rsidR="005E0CC4" w:rsidRPr="00785D06">
        <w:rPr>
          <w:sz w:val="20"/>
          <w:szCs w:val="20"/>
          <w:lang w:val="en-US"/>
        </w:rPr>
        <w:t>fter “the Rules</w:t>
      </w:r>
      <w:r w:rsidR="00EB49F1" w:rsidRPr="00785D06">
        <w:rPr>
          <w:sz w:val="20"/>
          <w:szCs w:val="20"/>
          <w:lang w:val="en-US"/>
        </w:rPr>
        <w:t xml:space="preserve"> of Procedure</w:t>
      </w:r>
      <w:r w:rsidR="005E0CC4" w:rsidRPr="00785D06">
        <w:rPr>
          <w:sz w:val="20"/>
          <w:szCs w:val="20"/>
          <w:lang w:val="en-US"/>
        </w:rPr>
        <w:t>”</w:t>
      </w:r>
      <w:r w:rsidR="00EB49F1" w:rsidRPr="00785D06">
        <w:rPr>
          <w:sz w:val="20"/>
          <w:szCs w:val="20"/>
          <w:lang w:val="en-US"/>
        </w:rPr>
        <w:t xml:space="preserve"> or “the Rules”</w:t>
      </w:r>
      <w:r w:rsidR="005E0CC4" w:rsidRPr="00785D06">
        <w:rPr>
          <w:sz w:val="20"/>
          <w:szCs w:val="20"/>
          <w:lang w:val="en-US"/>
        </w:rPr>
        <w:t xml:space="preserve">), </w:t>
      </w:r>
      <w:r w:rsidR="00EB49F1" w:rsidRPr="00785D06">
        <w:rPr>
          <w:sz w:val="20"/>
          <w:szCs w:val="20"/>
          <w:lang w:val="en-US"/>
        </w:rPr>
        <w:t xml:space="preserve">delivers </w:t>
      </w:r>
      <w:r w:rsidR="005E0CC4" w:rsidRPr="00785D06">
        <w:rPr>
          <w:sz w:val="20"/>
          <w:szCs w:val="20"/>
          <w:lang w:val="en-US"/>
        </w:rPr>
        <w:t>this j</w:t>
      </w:r>
      <w:r w:rsidR="006324B7" w:rsidRPr="00785D06">
        <w:rPr>
          <w:sz w:val="20"/>
          <w:szCs w:val="20"/>
          <w:lang w:val="en-US"/>
        </w:rPr>
        <w:t>udgment</w:t>
      </w:r>
      <w:r w:rsidR="00C254BF" w:rsidRPr="00785D06">
        <w:rPr>
          <w:sz w:val="20"/>
          <w:szCs w:val="20"/>
          <w:lang w:val="en-US"/>
        </w:rPr>
        <w:t xml:space="preserve"> </w:t>
      </w:r>
      <w:r w:rsidR="005E0CC4" w:rsidRPr="00785D06">
        <w:rPr>
          <w:sz w:val="20"/>
          <w:szCs w:val="20"/>
          <w:lang w:val="en-US"/>
        </w:rPr>
        <w:t xml:space="preserve">which is </w:t>
      </w:r>
      <w:r w:rsidR="00C254BF" w:rsidRPr="00785D06">
        <w:rPr>
          <w:sz w:val="20"/>
          <w:szCs w:val="20"/>
          <w:lang w:val="en-US"/>
        </w:rPr>
        <w:t>structured as follows:</w:t>
      </w:r>
    </w:p>
    <w:p w14:paraId="1ED1FC99" w14:textId="77777777" w:rsidR="00C254BF" w:rsidRPr="00785D06" w:rsidRDefault="00C254BF" w:rsidP="00C254BF">
      <w:pPr>
        <w:jc w:val="both"/>
        <w:rPr>
          <w:strike/>
          <w:sz w:val="20"/>
          <w:szCs w:val="20"/>
          <w:lang w:val="en-US"/>
        </w:rPr>
      </w:pPr>
    </w:p>
    <w:p w14:paraId="78D43140" w14:textId="77777777" w:rsidR="00C254BF" w:rsidRPr="00785D06" w:rsidRDefault="00C254BF" w:rsidP="00C254BF">
      <w:pPr>
        <w:rPr>
          <w:strike/>
          <w:sz w:val="20"/>
          <w:szCs w:val="20"/>
          <w:lang w:val="en-US"/>
        </w:rPr>
      </w:pPr>
      <w:r w:rsidRPr="00785D06">
        <w:rPr>
          <w:strike/>
          <w:sz w:val="20"/>
          <w:szCs w:val="20"/>
          <w:lang w:val="en-US"/>
        </w:rPr>
        <w:br w:type="page"/>
      </w:r>
    </w:p>
    <w:p w14:paraId="7F7262E0" w14:textId="77777777" w:rsidR="00C254BF" w:rsidRPr="00785D06" w:rsidRDefault="00C254BF" w:rsidP="00C254BF">
      <w:pPr>
        <w:pStyle w:val="TDC1"/>
        <w:rPr>
          <w:noProof w:val="0"/>
          <w:u w:val="single"/>
          <w:lang w:val="en-US"/>
        </w:rPr>
      </w:pPr>
      <w:r w:rsidRPr="00785D06">
        <w:rPr>
          <w:noProof w:val="0"/>
          <w:u w:val="single"/>
          <w:lang w:val="en-US"/>
        </w:rPr>
        <w:lastRenderedPageBreak/>
        <w:t>TABLE OF CONTENTS</w:t>
      </w:r>
    </w:p>
    <w:p w14:paraId="62482AAD" w14:textId="77777777" w:rsidR="00C254BF" w:rsidRPr="00785D06" w:rsidRDefault="00C254BF" w:rsidP="00C254BF">
      <w:pPr>
        <w:rPr>
          <w:lang w:val="en-US" w:eastAsia="es-ES" w:bidi="es-ES"/>
        </w:rPr>
      </w:pPr>
    </w:p>
    <w:p w14:paraId="059A2011" w14:textId="77777777" w:rsidR="00C254BF" w:rsidRPr="00785D06" w:rsidRDefault="00C254BF" w:rsidP="00C254BF">
      <w:pPr>
        <w:rPr>
          <w:lang w:val="en-US" w:eastAsia="es-ES" w:bidi="es-ES"/>
        </w:rPr>
      </w:pPr>
    </w:p>
    <w:p w14:paraId="04CCF143" w14:textId="77777777" w:rsidR="00C254BF" w:rsidRPr="00785D06" w:rsidRDefault="00C254BF" w:rsidP="00C254BF">
      <w:pPr>
        <w:rPr>
          <w:lang w:val="en-US" w:eastAsia="es-ES" w:bidi="es-ES"/>
        </w:rPr>
      </w:pPr>
    </w:p>
    <w:p w14:paraId="45505CF3" w14:textId="0F9A9A09" w:rsidR="00C254BF" w:rsidRPr="00785D06" w:rsidRDefault="00C254BF" w:rsidP="00C254BF">
      <w:pPr>
        <w:pStyle w:val="TDC1"/>
        <w:rPr>
          <w:rFonts w:eastAsiaTheme="minorEastAsia" w:cstheme="minorBidi"/>
          <w:noProof w:val="0"/>
          <w:lang w:val="en-US" w:eastAsia="es-CR"/>
        </w:rPr>
      </w:pPr>
      <w:r w:rsidRPr="00785D06">
        <w:rPr>
          <w:rFonts w:cstheme="majorHAnsi"/>
          <w:noProof w:val="0"/>
          <w:lang w:val="en-US"/>
        </w:rPr>
        <w:fldChar w:fldCharType="begin"/>
      </w:r>
      <w:r w:rsidRPr="00785D06">
        <w:rPr>
          <w:rFonts w:cstheme="majorHAnsi"/>
          <w:noProof w:val="0"/>
          <w:lang w:val="en-US"/>
        </w:rPr>
        <w:instrText xml:space="preserve"> TOC \o \h \z \u </w:instrText>
      </w:r>
      <w:r w:rsidRPr="00785D06">
        <w:rPr>
          <w:rFonts w:cstheme="majorHAnsi"/>
          <w:noProof w:val="0"/>
          <w:lang w:val="en-US"/>
        </w:rPr>
        <w:fldChar w:fldCharType="separate"/>
      </w:r>
      <w:hyperlink w:anchor="_Toc46937262" w:history="1">
        <w:r w:rsidRPr="00785D06">
          <w:rPr>
            <w:rStyle w:val="Hipervnculo"/>
            <w:noProof w:val="0"/>
            <w:color w:val="auto"/>
            <w:lang w:val="en-US"/>
          </w:rPr>
          <w:t>I INTRODUCTION OF THE CASE AND PURPOSE OF THE DISPUTE</w:t>
        </w:r>
        <w:r w:rsidRPr="00785D06">
          <w:rPr>
            <w:noProof w:val="0"/>
            <w:webHidden/>
            <w:lang w:val="en-US"/>
          </w:rPr>
          <w:tab/>
        </w:r>
        <w:r w:rsidRPr="00785D06">
          <w:rPr>
            <w:noProof w:val="0"/>
            <w:webHidden/>
            <w:lang w:val="en-US"/>
          </w:rPr>
          <w:fldChar w:fldCharType="begin"/>
        </w:r>
        <w:r w:rsidRPr="00785D06">
          <w:rPr>
            <w:noProof w:val="0"/>
            <w:webHidden/>
            <w:lang w:val="en-US"/>
          </w:rPr>
          <w:instrText xml:space="preserve"> PAGEREF _Toc46937262 \h </w:instrText>
        </w:r>
        <w:r w:rsidRPr="00785D06">
          <w:rPr>
            <w:noProof w:val="0"/>
            <w:webHidden/>
            <w:lang w:val="en-US"/>
          </w:rPr>
        </w:r>
        <w:r w:rsidRPr="00785D06">
          <w:rPr>
            <w:noProof w:val="0"/>
            <w:webHidden/>
            <w:lang w:val="en-US"/>
          </w:rPr>
          <w:fldChar w:fldCharType="separate"/>
        </w:r>
        <w:r w:rsidR="00C223D9">
          <w:rPr>
            <w:webHidden/>
            <w:lang w:val="en-US"/>
          </w:rPr>
          <w:t>4</w:t>
        </w:r>
        <w:r w:rsidRPr="00785D06">
          <w:rPr>
            <w:noProof w:val="0"/>
            <w:webHidden/>
            <w:lang w:val="en-US"/>
          </w:rPr>
          <w:fldChar w:fldCharType="end"/>
        </w:r>
      </w:hyperlink>
    </w:p>
    <w:p w14:paraId="370AA64D" w14:textId="77777777" w:rsidR="00C254BF" w:rsidRPr="00785D06" w:rsidRDefault="00C254BF" w:rsidP="00C254BF">
      <w:pPr>
        <w:pStyle w:val="TDC1"/>
        <w:rPr>
          <w:rStyle w:val="Hipervnculo"/>
          <w:noProof w:val="0"/>
          <w:color w:val="auto"/>
          <w:lang w:val="en-US"/>
        </w:rPr>
      </w:pPr>
    </w:p>
    <w:p w14:paraId="2E9AB183" w14:textId="4BCAC924" w:rsidR="00C254BF" w:rsidRPr="00785D06" w:rsidRDefault="008E6839" w:rsidP="00C254BF">
      <w:pPr>
        <w:pStyle w:val="TDC1"/>
        <w:rPr>
          <w:rFonts w:eastAsiaTheme="minorEastAsia" w:cstheme="minorBidi"/>
          <w:noProof w:val="0"/>
          <w:lang w:val="en-US" w:eastAsia="es-CR"/>
        </w:rPr>
      </w:pPr>
      <w:hyperlink w:anchor="_Toc46937269" w:history="1">
        <w:r w:rsidR="00C254BF" w:rsidRPr="00785D06">
          <w:rPr>
            <w:rStyle w:val="Hipervnculo"/>
            <w:noProof w:val="0"/>
            <w:color w:val="auto"/>
            <w:lang w:val="en-US"/>
          </w:rPr>
          <w:t>II</w:t>
        </w:r>
      </w:hyperlink>
      <w:r w:rsidR="00C254BF" w:rsidRPr="00785D06">
        <w:rPr>
          <w:rStyle w:val="Hipervnculo"/>
          <w:noProof w:val="0"/>
          <w:color w:val="auto"/>
          <w:u w:val="none"/>
          <w:lang w:val="en-US"/>
        </w:rPr>
        <w:t xml:space="preserve"> </w:t>
      </w:r>
      <w:hyperlink w:anchor="_Toc46937270" w:history="1">
        <w:r w:rsidR="00C254BF" w:rsidRPr="00785D06">
          <w:rPr>
            <w:rStyle w:val="Hipervnculo"/>
            <w:noProof w:val="0"/>
            <w:color w:val="auto"/>
            <w:lang w:val="en-US"/>
          </w:rPr>
          <w:t>PROCEEDINGS BEFORE THE COURT</w:t>
        </w:r>
        <w:r w:rsidR="00C254BF" w:rsidRPr="00785D06">
          <w:rPr>
            <w:noProof w:val="0"/>
            <w:webHidden/>
            <w:lang w:val="en-US"/>
          </w:rPr>
          <w:tab/>
        </w:r>
        <w:r w:rsidR="00C254BF" w:rsidRPr="00785D06">
          <w:rPr>
            <w:noProof w:val="0"/>
            <w:webHidden/>
            <w:lang w:val="en-US"/>
          </w:rPr>
          <w:fldChar w:fldCharType="begin"/>
        </w:r>
        <w:r w:rsidR="00C254BF" w:rsidRPr="00785D06">
          <w:rPr>
            <w:noProof w:val="0"/>
            <w:webHidden/>
            <w:lang w:val="en-US"/>
          </w:rPr>
          <w:instrText xml:space="preserve"> PAGEREF _Toc46937270 \h </w:instrText>
        </w:r>
        <w:r w:rsidR="00C254BF" w:rsidRPr="00785D06">
          <w:rPr>
            <w:noProof w:val="0"/>
            <w:webHidden/>
            <w:lang w:val="en-US"/>
          </w:rPr>
        </w:r>
        <w:r w:rsidR="00C254BF" w:rsidRPr="00785D06">
          <w:rPr>
            <w:noProof w:val="0"/>
            <w:webHidden/>
            <w:lang w:val="en-US"/>
          </w:rPr>
          <w:fldChar w:fldCharType="separate"/>
        </w:r>
        <w:r w:rsidR="00C223D9">
          <w:rPr>
            <w:webHidden/>
            <w:lang w:val="en-US"/>
          </w:rPr>
          <w:t>5</w:t>
        </w:r>
        <w:r w:rsidR="00C254BF" w:rsidRPr="00785D06">
          <w:rPr>
            <w:noProof w:val="0"/>
            <w:webHidden/>
            <w:lang w:val="en-US"/>
          </w:rPr>
          <w:fldChar w:fldCharType="end"/>
        </w:r>
      </w:hyperlink>
    </w:p>
    <w:p w14:paraId="7F98CAC0" w14:textId="77777777" w:rsidR="00C254BF" w:rsidRPr="00785D06" w:rsidRDefault="00C254BF" w:rsidP="00C254BF">
      <w:pPr>
        <w:pStyle w:val="TDC1"/>
        <w:rPr>
          <w:rStyle w:val="Hipervnculo"/>
          <w:noProof w:val="0"/>
          <w:color w:val="auto"/>
          <w:lang w:val="en-US"/>
        </w:rPr>
      </w:pPr>
    </w:p>
    <w:p w14:paraId="23A711A0" w14:textId="56C692DA" w:rsidR="00C254BF" w:rsidRPr="00785D06" w:rsidRDefault="008E6839" w:rsidP="00C254BF">
      <w:pPr>
        <w:pStyle w:val="TDC1"/>
        <w:rPr>
          <w:rFonts w:eastAsiaTheme="minorEastAsia" w:cstheme="minorBidi"/>
          <w:noProof w:val="0"/>
          <w:lang w:val="en-US" w:eastAsia="es-CR"/>
        </w:rPr>
      </w:pPr>
      <w:hyperlink w:anchor="_Toc46937271" w:history="1">
        <w:r w:rsidR="00C254BF" w:rsidRPr="00785D06">
          <w:rPr>
            <w:rStyle w:val="Hipervnculo"/>
            <w:noProof w:val="0"/>
            <w:color w:val="auto"/>
            <w:lang w:val="en-US"/>
          </w:rPr>
          <w:t>III</w:t>
        </w:r>
      </w:hyperlink>
      <w:r w:rsidR="00C254BF" w:rsidRPr="00785D06">
        <w:rPr>
          <w:rStyle w:val="Hipervnculo"/>
          <w:noProof w:val="0"/>
          <w:color w:val="auto"/>
          <w:u w:val="none"/>
          <w:lang w:val="en-US"/>
        </w:rPr>
        <w:t xml:space="preserve"> </w:t>
      </w:r>
      <w:hyperlink w:anchor="_Toc46937272" w:history="1">
        <w:r w:rsidR="00C254BF" w:rsidRPr="00785D06">
          <w:rPr>
            <w:rStyle w:val="Hipervnculo"/>
            <w:noProof w:val="0"/>
            <w:color w:val="auto"/>
            <w:lang w:val="en-US"/>
          </w:rPr>
          <w:t>JURISDICTION</w:t>
        </w:r>
        <w:r w:rsidR="00C254BF" w:rsidRPr="00785D06">
          <w:rPr>
            <w:noProof w:val="0"/>
            <w:webHidden/>
            <w:lang w:val="en-US"/>
          </w:rPr>
          <w:tab/>
        </w:r>
        <w:r w:rsidR="00C254BF" w:rsidRPr="00785D06">
          <w:rPr>
            <w:noProof w:val="0"/>
            <w:webHidden/>
            <w:lang w:val="en-US"/>
          </w:rPr>
          <w:fldChar w:fldCharType="begin"/>
        </w:r>
        <w:r w:rsidR="00C254BF" w:rsidRPr="00785D06">
          <w:rPr>
            <w:noProof w:val="0"/>
            <w:webHidden/>
            <w:lang w:val="en-US"/>
          </w:rPr>
          <w:instrText xml:space="preserve"> PAGEREF _Toc46937272 \h </w:instrText>
        </w:r>
        <w:r w:rsidR="00C254BF" w:rsidRPr="00785D06">
          <w:rPr>
            <w:noProof w:val="0"/>
            <w:webHidden/>
            <w:lang w:val="en-US"/>
          </w:rPr>
        </w:r>
        <w:r w:rsidR="00C254BF" w:rsidRPr="00785D06">
          <w:rPr>
            <w:noProof w:val="0"/>
            <w:webHidden/>
            <w:lang w:val="en-US"/>
          </w:rPr>
          <w:fldChar w:fldCharType="separate"/>
        </w:r>
        <w:r w:rsidR="00C223D9">
          <w:rPr>
            <w:webHidden/>
            <w:lang w:val="en-US"/>
          </w:rPr>
          <w:t>7</w:t>
        </w:r>
        <w:r w:rsidR="00C254BF" w:rsidRPr="00785D06">
          <w:rPr>
            <w:noProof w:val="0"/>
            <w:webHidden/>
            <w:lang w:val="en-US"/>
          </w:rPr>
          <w:fldChar w:fldCharType="end"/>
        </w:r>
      </w:hyperlink>
    </w:p>
    <w:p w14:paraId="5B5BF3ED" w14:textId="77777777" w:rsidR="00C254BF" w:rsidRPr="00785D06" w:rsidRDefault="00C254BF" w:rsidP="00C254BF">
      <w:pPr>
        <w:pStyle w:val="TDC1"/>
        <w:rPr>
          <w:rStyle w:val="Hipervnculo"/>
          <w:noProof w:val="0"/>
          <w:color w:val="auto"/>
          <w:lang w:val="en-US"/>
        </w:rPr>
      </w:pPr>
    </w:p>
    <w:p w14:paraId="71A9ABE7" w14:textId="66361BDF" w:rsidR="00C254BF" w:rsidRPr="00785D06" w:rsidRDefault="008E6839" w:rsidP="00C254BF">
      <w:pPr>
        <w:pStyle w:val="TDC1"/>
        <w:rPr>
          <w:rFonts w:eastAsiaTheme="minorEastAsia" w:cstheme="minorBidi"/>
          <w:noProof w:val="0"/>
          <w:lang w:val="en-US" w:eastAsia="es-CR"/>
        </w:rPr>
      </w:pPr>
      <w:hyperlink w:anchor="_Toc46937273" w:history="1">
        <w:r w:rsidR="00C254BF" w:rsidRPr="00785D06">
          <w:rPr>
            <w:rStyle w:val="Hipervnculo"/>
            <w:noProof w:val="0"/>
            <w:color w:val="auto"/>
            <w:lang w:val="en-US"/>
          </w:rPr>
          <w:t>IV</w:t>
        </w:r>
      </w:hyperlink>
      <w:r w:rsidR="00C254BF" w:rsidRPr="00785D06">
        <w:rPr>
          <w:rStyle w:val="Hipervnculo"/>
          <w:noProof w:val="0"/>
          <w:color w:val="auto"/>
          <w:u w:val="none"/>
          <w:lang w:val="en-US"/>
        </w:rPr>
        <w:t xml:space="preserve"> </w:t>
      </w:r>
      <w:hyperlink w:anchor="_Toc46937274" w:history="1">
        <w:r w:rsidR="005E0CC4" w:rsidRPr="00785D06">
          <w:rPr>
            <w:rStyle w:val="Hipervnculo"/>
            <w:noProof w:val="0"/>
            <w:color w:val="auto"/>
            <w:lang w:val="en-US"/>
          </w:rPr>
          <w:t>ACKNO</w:t>
        </w:r>
        <w:r w:rsidR="00C254BF" w:rsidRPr="00785D06">
          <w:rPr>
            <w:rStyle w:val="Hipervnculo"/>
            <w:noProof w:val="0"/>
            <w:color w:val="auto"/>
            <w:lang w:val="en-US"/>
          </w:rPr>
          <w:t>WLEDGMENT OF RESPONSIBILITY</w:t>
        </w:r>
        <w:r w:rsidR="00C254BF" w:rsidRPr="00785D06">
          <w:rPr>
            <w:noProof w:val="0"/>
            <w:webHidden/>
            <w:lang w:val="en-US"/>
          </w:rPr>
          <w:tab/>
        </w:r>
        <w:r w:rsidR="00C254BF" w:rsidRPr="00785D06">
          <w:rPr>
            <w:noProof w:val="0"/>
            <w:webHidden/>
            <w:lang w:val="en-US"/>
          </w:rPr>
          <w:fldChar w:fldCharType="begin"/>
        </w:r>
        <w:r w:rsidR="00C254BF" w:rsidRPr="00785D06">
          <w:rPr>
            <w:noProof w:val="0"/>
            <w:webHidden/>
            <w:lang w:val="en-US"/>
          </w:rPr>
          <w:instrText xml:space="preserve"> PAGEREF _Toc46937274 \h </w:instrText>
        </w:r>
        <w:r w:rsidR="00C254BF" w:rsidRPr="00785D06">
          <w:rPr>
            <w:noProof w:val="0"/>
            <w:webHidden/>
            <w:lang w:val="en-US"/>
          </w:rPr>
        </w:r>
        <w:r w:rsidR="00C254BF" w:rsidRPr="00785D06">
          <w:rPr>
            <w:noProof w:val="0"/>
            <w:webHidden/>
            <w:lang w:val="en-US"/>
          </w:rPr>
          <w:fldChar w:fldCharType="separate"/>
        </w:r>
        <w:r w:rsidR="00C223D9">
          <w:rPr>
            <w:webHidden/>
            <w:lang w:val="en-US"/>
          </w:rPr>
          <w:t>7</w:t>
        </w:r>
        <w:r w:rsidR="00C254BF" w:rsidRPr="00785D06">
          <w:rPr>
            <w:noProof w:val="0"/>
            <w:webHidden/>
            <w:lang w:val="en-US"/>
          </w:rPr>
          <w:fldChar w:fldCharType="end"/>
        </w:r>
      </w:hyperlink>
    </w:p>
    <w:p w14:paraId="1534B0D6" w14:textId="320B1205" w:rsidR="00C254BF" w:rsidRPr="00785D06" w:rsidRDefault="008E6839" w:rsidP="00C254BF">
      <w:pPr>
        <w:pStyle w:val="TDC2"/>
        <w:tabs>
          <w:tab w:val="left" w:pos="640"/>
          <w:tab w:val="right" w:leader="dot" w:pos="8828"/>
        </w:tabs>
        <w:jc w:val="both"/>
        <w:rPr>
          <w:rFonts w:ascii="Verdana" w:eastAsiaTheme="minorEastAsia" w:hAnsi="Verdana" w:cstheme="minorBidi"/>
          <w:smallCaps w:val="0"/>
          <w:lang w:val="en-US" w:eastAsia="es-CR"/>
        </w:rPr>
      </w:pPr>
      <w:hyperlink w:anchor="_Toc46937275" w:history="1">
        <w:r w:rsidR="00C254BF" w:rsidRPr="00785D06">
          <w:rPr>
            <w:rStyle w:val="Hipervnculo"/>
            <w:rFonts w:ascii="Verdana" w:hAnsi="Verdana"/>
            <w:b/>
            <w:i/>
            <w:snapToGrid w:val="0"/>
            <w:color w:val="auto"/>
            <w:spacing w:val="-2"/>
            <w:lang w:val="en-US" w:eastAsia="es-ES"/>
          </w:rPr>
          <w:t>A.</w:t>
        </w:r>
        <w:r w:rsidR="00C254BF" w:rsidRPr="00785D06">
          <w:rPr>
            <w:rFonts w:ascii="Verdana" w:eastAsiaTheme="minorEastAsia" w:hAnsi="Verdana" w:cstheme="minorBidi"/>
            <w:smallCaps w:val="0"/>
            <w:lang w:val="en-US" w:eastAsia="es-CR"/>
          </w:rPr>
          <w:tab/>
        </w:r>
        <w:r w:rsidR="005E0CC4" w:rsidRPr="00785D06">
          <w:rPr>
            <w:rStyle w:val="Hipervnculo"/>
            <w:rFonts w:ascii="Verdana" w:hAnsi="Verdana"/>
            <w:b/>
            <w:i/>
            <w:snapToGrid w:val="0"/>
            <w:color w:val="auto"/>
            <w:spacing w:val="-2"/>
            <w:lang w:val="en-US" w:eastAsia="es-ES"/>
          </w:rPr>
          <w:t>The State’s a</w:t>
        </w:r>
        <w:r w:rsidR="00C254BF" w:rsidRPr="00785D06">
          <w:rPr>
            <w:rStyle w:val="Hipervnculo"/>
            <w:rFonts w:ascii="Verdana" w:hAnsi="Verdana"/>
            <w:b/>
            <w:i/>
            <w:snapToGrid w:val="0"/>
            <w:color w:val="auto"/>
            <w:spacing w:val="-2"/>
            <w:lang w:val="en-US" w:eastAsia="es-ES"/>
          </w:rPr>
          <w:t>cknowledgment of responsibility and observations of the representatives and the Commission</w:t>
        </w:r>
        <w:r w:rsidR="00C254BF" w:rsidRPr="00785D06">
          <w:rPr>
            <w:rFonts w:ascii="Verdana" w:hAnsi="Verdana"/>
            <w:webHidden/>
            <w:lang w:val="en-US"/>
          </w:rPr>
          <w:tab/>
        </w:r>
        <w:r w:rsidR="00C254BF" w:rsidRPr="00785D06">
          <w:rPr>
            <w:rFonts w:ascii="Verdana" w:hAnsi="Verdana"/>
            <w:webHidden/>
            <w:lang w:val="en-US"/>
          </w:rPr>
          <w:fldChar w:fldCharType="begin"/>
        </w:r>
        <w:r w:rsidR="00C254BF" w:rsidRPr="00785D06">
          <w:rPr>
            <w:rFonts w:ascii="Verdana" w:hAnsi="Verdana"/>
            <w:webHidden/>
            <w:lang w:val="en-US"/>
          </w:rPr>
          <w:instrText xml:space="preserve"> PAGEREF _Toc46937275 \h </w:instrText>
        </w:r>
        <w:r w:rsidR="00C254BF" w:rsidRPr="00785D06">
          <w:rPr>
            <w:rFonts w:ascii="Verdana" w:hAnsi="Verdana"/>
            <w:webHidden/>
            <w:lang w:val="en-US"/>
          </w:rPr>
        </w:r>
        <w:r w:rsidR="00C254BF" w:rsidRPr="00785D06">
          <w:rPr>
            <w:rFonts w:ascii="Verdana" w:hAnsi="Verdana"/>
            <w:webHidden/>
            <w:lang w:val="en-US"/>
          </w:rPr>
          <w:fldChar w:fldCharType="separate"/>
        </w:r>
        <w:r w:rsidR="00C223D9">
          <w:rPr>
            <w:rFonts w:ascii="Verdana" w:hAnsi="Verdana"/>
            <w:noProof/>
            <w:webHidden/>
            <w:lang w:val="en-US"/>
          </w:rPr>
          <w:t>7</w:t>
        </w:r>
        <w:r w:rsidR="00C254BF" w:rsidRPr="00785D06">
          <w:rPr>
            <w:rFonts w:ascii="Verdana" w:hAnsi="Verdana"/>
            <w:webHidden/>
            <w:lang w:val="en-US"/>
          </w:rPr>
          <w:fldChar w:fldCharType="end"/>
        </w:r>
      </w:hyperlink>
    </w:p>
    <w:p w14:paraId="2170B538" w14:textId="59B92AD7" w:rsidR="00C254BF" w:rsidRPr="00785D06" w:rsidRDefault="008E6839" w:rsidP="00C254BF">
      <w:pPr>
        <w:pStyle w:val="TDC2"/>
        <w:tabs>
          <w:tab w:val="left" w:pos="640"/>
          <w:tab w:val="right" w:leader="dot" w:pos="8828"/>
        </w:tabs>
        <w:jc w:val="both"/>
        <w:rPr>
          <w:rFonts w:ascii="Verdana" w:eastAsiaTheme="minorEastAsia" w:hAnsi="Verdana" w:cstheme="minorBidi"/>
          <w:smallCaps w:val="0"/>
          <w:lang w:val="en-US" w:eastAsia="es-CR"/>
        </w:rPr>
      </w:pPr>
      <w:hyperlink w:anchor="_Toc46937276" w:history="1">
        <w:r w:rsidR="00C254BF" w:rsidRPr="00785D06">
          <w:rPr>
            <w:rStyle w:val="Hipervnculo"/>
            <w:rFonts w:ascii="Verdana" w:hAnsi="Verdana"/>
            <w:b/>
            <w:bCs/>
            <w:i/>
            <w:iCs/>
            <w:color w:val="auto"/>
            <w:lang w:val="en-US"/>
          </w:rPr>
          <w:t>B.</w:t>
        </w:r>
        <w:r w:rsidR="00C254BF" w:rsidRPr="00785D06">
          <w:rPr>
            <w:rFonts w:ascii="Verdana" w:eastAsiaTheme="minorEastAsia" w:hAnsi="Verdana" w:cstheme="minorBidi"/>
            <w:smallCaps w:val="0"/>
            <w:lang w:val="en-US" w:eastAsia="es-CR"/>
          </w:rPr>
          <w:tab/>
        </w:r>
        <w:r w:rsidR="00C254BF" w:rsidRPr="00785D06">
          <w:rPr>
            <w:rStyle w:val="Hipervnculo"/>
            <w:rFonts w:ascii="Verdana" w:hAnsi="Verdana"/>
            <w:b/>
            <w:bCs/>
            <w:i/>
            <w:iCs/>
            <w:color w:val="auto"/>
            <w:lang w:val="en-US"/>
          </w:rPr>
          <w:t>Considerations of the Court</w:t>
        </w:r>
        <w:r w:rsidR="00C254BF" w:rsidRPr="00785D06">
          <w:rPr>
            <w:rFonts w:ascii="Verdana" w:hAnsi="Verdana"/>
            <w:webHidden/>
            <w:lang w:val="en-US"/>
          </w:rPr>
          <w:tab/>
        </w:r>
        <w:r w:rsidR="00C254BF" w:rsidRPr="00785D06">
          <w:rPr>
            <w:rFonts w:ascii="Verdana" w:hAnsi="Verdana"/>
            <w:webHidden/>
            <w:lang w:val="en-US"/>
          </w:rPr>
          <w:fldChar w:fldCharType="begin"/>
        </w:r>
        <w:r w:rsidR="00C254BF" w:rsidRPr="00785D06">
          <w:rPr>
            <w:rFonts w:ascii="Verdana" w:hAnsi="Verdana"/>
            <w:webHidden/>
            <w:lang w:val="en-US"/>
          </w:rPr>
          <w:instrText xml:space="preserve"> PAGEREF _Toc46937276 \h </w:instrText>
        </w:r>
        <w:r w:rsidR="00C254BF" w:rsidRPr="00785D06">
          <w:rPr>
            <w:rFonts w:ascii="Verdana" w:hAnsi="Verdana"/>
            <w:webHidden/>
            <w:lang w:val="en-US"/>
          </w:rPr>
        </w:r>
        <w:r w:rsidR="00C254BF" w:rsidRPr="00785D06">
          <w:rPr>
            <w:rFonts w:ascii="Verdana" w:hAnsi="Verdana"/>
            <w:webHidden/>
            <w:lang w:val="en-US"/>
          </w:rPr>
          <w:fldChar w:fldCharType="separate"/>
        </w:r>
        <w:r w:rsidR="00C223D9">
          <w:rPr>
            <w:rFonts w:ascii="Verdana" w:hAnsi="Verdana"/>
            <w:noProof/>
            <w:webHidden/>
            <w:lang w:val="en-US"/>
          </w:rPr>
          <w:t>8</w:t>
        </w:r>
        <w:r w:rsidR="00C254BF" w:rsidRPr="00785D06">
          <w:rPr>
            <w:rFonts w:ascii="Verdana" w:hAnsi="Verdana"/>
            <w:webHidden/>
            <w:lang w:val="en-US"/>
          </w:rPr>
          <w:fldChar w:fldCharType="end"/>
        </w:r>
      </w:hyperlink>
    </w:p>
    <w:p w14:paraId="7BE4F703" w14:textId="274C3EA8" w:rsidR="00C254BF" w:rsidRPr="00785D06" w:rsidRDefault="008E6839" w:rsidP="00C254BF">
      <w:pPr>
        <w:pStyle w:val="TDC3"/>
        <w:tabs>
          <w:tab w:val="right" w:leader="dot" w:pos="8828"/>
        </w:tabs>
        <w:jc w:val="both"/>
        <w:rPr>
          <w:rFonts w:ascii="Verdana" w:eastAsiaTheme="minorEastAsia" w:hAnsi="Verdana" w:cstheme="minorBidi"/>
          <w:i w:val="0"/>
          <w:iCs w:val="0"/>
          <w:lang w:val="en-US" w:eastAsia="es-CR"/>
        </w:rPr>
      </w:pPr>
      <w:hyperlink w:anchor="_Toc46937277" w:history="1">
        <w:r w:rsidR="00C254BF" w:rsidRPr="00785D06">
          <w:rPr>
            <w:rStyle w:val="Hipervnculo"/>
            <w:rFonts w:ascii="Verdana" w:hAnsi="Verdana"/>
            <w:color w:val="auto"/>
            <w:lang w:val="en-US"/>
          </w:rPr>
          <w:t>B.1 Regarding the facts</w:t>
        </w:r>
        <w:r w:rsidR="00C254BF" w:rsidRPr="00785D06">
          <w:rPr>
            <w:rFonts w:ascii="Verdana" w:hAnsi="Verdana"/>
            <w:webHidden/>
            <w:lang w:val="en-US"/>
          </w:rPr>
          <w:tab/>
        </w:r>
        <w:r w:rsidR="00C254BF" w:rsidRPr="00785D06">
          <w:rPr>
            <w:rFonts w:ascii="Verdana" w:hAnsi="Verdana"/>
            <w:i w:val="0"/>
            <w:webHidden/>
            <w:lang w:val="en-US"/>
          </w:rPr>
          <w:fldChar w:fldCharType="begin"/>
        </w:r>
        <w:r w:rsidR="00C254BF" w:rsidRPr="00785D06">
          <w:rPr>
            <w:rFonts w:ascii="Verdana" w:hAnsi="Verdana"/>
            <w:i w:val="0"/>
            <w:webHidden/>
            <w:lang w:val="en-US"/>
          </w:rPr>
          <w:instrText xml:space="preserve"> PAGEREF _Toc46937277 \h </w:instrText>
        </w:r>
        <w:r w:rsidR="00C254BF" w:rsidRPr="00785D06">
          <w:rPr>
            <w:rFonts w:ascii="Verdana" w:hAnsi="Verdana"/>
            <w:i w:val="0"/>
            <w:webHidden/>
            <w:lang w:val="en-US"/>
          </w:rPr>
        </w:r>
        <w:r w:rsidR="00C254BF" w:rsidRPr="00785D06">
          <w:rPr>
            <w:rFonts w:ascii="Verdana" w:hAnsi="Verdana"/>
            <w:i w:val="0"/>
            <w:webHidden/>
            <w:lang w:val="en-US"/>
          </w:rPr>
          <w:fldChar w:fldCharType="separate"/>
        </w:r>
        <w:r w:rsidR="00C223D9">
          <w:rPr>
            <w:rFonts w:ascii="Verdana" w:hAnsi="Verdana"/>
            <w:i w:val="0"/>
            <w:noProof/>
            <w:webHidden/>
            <w:lang w:val="en-US"/>
          </w:rPr>
          <w:t>8</w:t>
        </w:r>
        <w:r w:rsidR="00C254BF" w:rsidRPr="00785D06">
          <w:rPr>
            <w:rFonts w:ascii="Verdana" w:hAnsi="Verdana"/>
            <w:i w:val="0"/>
            <w:webHidden/>
            <w:lang w:val="en-US"/>
          </w:rPr>
          <w:fldChar w:fldCharType="end"/>
        </w:r>
      </w:hyperlink>
    </w:p>
    <w:p w14:paraId="19E52DD8" w14:textId="01D5EC16" w:rsidR="00C254BF" w:rsidRPr="00785D06" w:rsidRDefault="008E6839" w:rsidP="00C254BF">
      <w:pPr>
        <w:pStyle w:val="TDC3"/>
        <w:tabs>
          <w:tab w:val="right" w:leader="dot" w:pos="8828"/>
        </w:tabs>
        <w:jc w:val="both"/>
        <w:rPr>
          <w:rFonts w:ascii="Verdana" w:eastAsiaTheme="minorEastAsia" w:hAnsi="Verdana" w:cstheme="minorBidi"/>
          <w:i w:val="0"/>
          <w:iCs w:val="0"/>
          <w:lang w:val="en-US" w:eastAsia="es-CR"/>
        </w:rPr>
      </w:pPr>
      <w:hyperlink w:anchor="_Toc46937278" w:history="1">
        <w:r w:rsidR="00C254BF" w:rsidRPr="00785D06">
          <w:rPr>
            <w:rStyle w:val="Hipervnculo"/>
            <w:rFonts w:ascii="Verdana" w:hAnsi="Verdana"/>
            <w:color w:val="auto"/>
            <w:lang w:val="en-US"/>
          </w:rPr>
          <w:t>B.2 Regarding the legal claims</w:t>
        </w:r>
        <w:r w:rsidR="00C254BF" w:rsidRPr="00785D06">
          <w:rPr>
            <w:rFonts w:ascii="Verdana" w:hAnsi="Verdana"/>
            <w:webHidden/>
            <w:lang w:val="en-US"/>
          </w:rPr>
          <w:tab/>
        </w:r>
        <w:r w:rsidR="00C254BF" w:rsidRPr="00785D06">
          <w:rPr>
            <w:rFonts w:ascii="Verdana" w:hAnsi="Verdana"/>
            <w:i w:val="0"/>
            <w:webHidden/>
            <w:lang w:val="en-US"/>
          </w:rPr>
          <w:fldChar w:fldCharType="begin"/>
        </w:r>
        <w:r w:rsidR="00C254BF" w:rsidRPr="00785D06">
          <w:rPr>
            <w:rFonts w:ascii="Verdana" w:hAnsi="Verdana"/>
            <w:i w:val="0"/>
            <w:webHidden/>
            <w:lang w:val="en-US"/>
          </w:rPr>
          <w:instrText xml:space="preserve"> PAGEREF _Toc46937278 \h </w:instrText>
        </w:r>
        <w:r w:rsidR="00C254BF" w:rsidRPr="00785D06">
          <w:rPr>
            <w:rFonts w:ascii="Verdana" w:hAnsi="Verdana"/>
            <w:i w:val="0"/>
            <w:webHidden/>
            <w:lang w:val="en-US"/>
          </w:rPr>
        </w:r>
        <w:r w:rsidR="00C254BF" w:rsidRPr="00785D06">
          <w:rPr>
            <w:rFonts w:ascii="Verdana" w:hAnsi="Verdana"/>
            <w:i w:val="0"/>
            <w:webHidden/>
            <w:lang w:val="en-US"/>
          </w:rPr>
          <w:fldChar w:fldCharType="separate"/>
        </w:r>
        <w:r w:rsidR="00C223D9">
          <w:rPr>
            <w:rFonts w:ascii="Verdana" w:hAnsi="Verdana"/>
            <w:i w:val="0"/>
            <w:noProof/>
            <w:webHidden/>
            <w:lang w:val="en-US"/>
          </w:rPr>
          <w:t>9</w:t>
        </w:r>
        <w:r w:rsidR="00C254BF" w:rsidRPr="00785D06">
          <w:rPr>
            <w:rFonts w:ascii="Verdana" w:hAnsi="Verdana"/>
            <w:i w:val="0"/>
            <w:webHidden/>
            <w:lang w:val="en-US"/>
          </w:rPr>
          <w:fldChar w:fldCharType="end"/>
        </w:r>
      </w:hyperlink>
    </w:p>
    <w:p w14:paraId="081C85C6" w14:textId="4490358B" w:rsidR="00C254BF" w:rsidRPr="00785D06" w:rsidRDefault="008E6839" w:rsidP="00C254BF">
      <w:pPr>
        <w:pStyle w:val="TDC3"/>
        <w:tabs>
          <w:tab w:val="right" w:leader="dot" w:pos="8828"/>
        </w:tabs>
        <w:jc w:val="both"/>
        <w:rPr>
          <w:rFonts w:ascii="Verdana" w:eastAsiaTheme="minorEastAsia" w:hAnsi="Verdana" w:cstheme="minorBidi"/>
          <w:i w:val="0"/>
          <w:iCs w:val="0"/>
          <w:lang w:val="en-US" w:eastAsia="es-CR"/>
        </w:rPr>
      </w:pPr>
      <w:hyperlink w:anchor="_Toc46937279" w:history="1">
        <w:r w:rsidR="00C254BF" w:rsidRPr="00785D06">
          <w:rPr>
            <w:rStyle w:val="Hipervnculo"/>
            <w:rFonts w:ascii="Verdana" w:hAnsi="Verdana"/>
            <w:color w:val="auto"/>
            <w:lang w:val="en-US"/>
          </w:rPr>
          <w:t>B.3 Regarding the reparations</w:t>
        </w:r>
        <w:r w:rsidR="00C254BF" w:rsidRPr="00785D06">
          <w:rPr>
            <w:rFonts w:ascii="Verdana" w:hAnsi="Verdana"/>
            <w:webHidden/>
            <w:lang w:val="en-US"/>
          </w:rPr>
          <w:tab/>
        </w:r>
        <w:r w:rsidR="00C254BF" w:rsidRPr="00785D06">
          <w:rPr>
            <w:rFonts w:ascii="Verdana" w:hAnsi="Verdana"/>
            <w:i w:val="0"/>
            <w:webHidden/>
            <w:lang w:val="en-US"/>
          </w:rPr>
          <w:fldChar w:fldCharType="begin"/>
        </w:r>
        <w:r w:rsidR="00C254BF" w:rsidRPr="00785D06">
          <w:rPr>
            <w:rFonts w:ascii="Verdana" w:hAnsi="Verdana"/>
            <w:i w:val="0"/>
            <w:webHidden/>
            <w:lang w:val="en-US"/>
          </w:rPr>
          <w:instrText xml:space="preserve"> PAGEREF _Toc46937279 \h </w:instrText>
        </w:r>
        <w:r w:rsidR="00C254BF" w:rsidRPr="00785D06">
          <w:rPr>
            <w:rFonts w:ascii="Verdana" w:hAnsi="Verdana"/>
            <w:i w:val="0"/>
            <w:webHidden/>
            <w:lang w:val="en-US"/>
          </w:rPr>
        </w:r>
        <w:r w:rsidR="00C254BF" w:rsidRPr="00785D06">
          <w:rPr>
            <w:rFonts w:ascii="Verdana" w:hAnsi="Verdana"/>
            <w:i w:val="0"/>
            <w:webHidden/>
            <w:lang w:val="en-US"/>
          </w:rPr>
          <w:fldChar w:fldCharType="separate"/>
        </w:r>
        <w:r w:rsidR="00C223D9">
          <w:rPr>
            <w:rFonts w:ascii="Verdana" w:hAnsi="Verdana"/>
            <w:i w:val="0"/>
            <w:noProof/>
            <w:webHidden/>
            <w:lang w:val="en-US"/>
          </w:rPr>
          <w:t>9</w:t>
        </w:r>
        <w:r w:rsidR="00C254BF" w:rsidRPr="00785D06">
          <w:rPr>
            <w:rFonts w:ascii="Verdana" w:hAnsi="Verdana"/>
            <w:i w:val="0"/>
            <w:webHidden/>
            <w:lang w:val="en-US"/>
          </w:rPr>
          <w:fldChar w:fldCharType="end"/>
        </w:r>
      </w:hyperlink>
    </w:p>
    <w:p w14:paraId="4944A949" w14:textId="4D870BC6" w:rsidR="00C254BF" w:rsidRPr="00785D06" w:rsidRDefault="008E6839" w:rsidP="00C254BF">
      <w:pPr>
        <w:pStyle w:val="TDC3"/>
        <w:tabs>
          <w:tab w:val="right" w:leader="dot" w:pos="8828"/>
        </w:tabs>
        <w:jc w:val="both"/>
        <w:rPr>
          <w:rFonts w:ascii="Verdana" w:eastAsiaTheme="minorEastAsia" w:hAnsi="Verdana" w:cstheme="minorBidi"/>
          <w:i w:val="0"/>
          <w:iCs w:val="0"/>
          <w:lang w:val="en-US" w:eastAsia="es-CR"/>
        </w:rPr>
      </w:pPr>
      <w:hyperlink w:anchor="_Toc46937280" w:history="1">
        <w:r w:rsidR="00C254BF" w:rsidRPr="00785D06">
          <w:rPr>
            <w:rStyle w:val="Hipervnculo"/>
            <w:rFonts w:ascii="Verdana" w:hAnsi="Verdana"/>
            <w:color w:val="auto"/>
            <w:lang w:val="en-US"/>
          </w:rPr>
          <w:t xml:space="preserve">B.4 Assessment of the </w:t>
        </w:r>
        <w:r w:rsidR="005E0CC4" w:rsidRPr="00785D06">
          <w:rPr>
            <w:rStyle w:val="Hipervnculo"/>
            <w:rFonts w:ascii="Verdana" w:hAnsi="Verdana"/>
            <w:color w:val="auto"/>
            <w:lang w:val="en-US"/>
          </w:rPr>
          <w:t xml:space="preserve">State’s </w:t>
        </w:r>
        <w:r w:rsidR="00C254BF" w:rsidRPr="00785D06">
          <w:rPr>
            <w:rStyle w:val="Hipervnculo"/>
            <w:rFonts w:ascii="Verdana" w:hAnsi="Verdana"/>
            <w:color w:val="auto"/>
            <w:lang w:val="en-US"/>
          </w:rPr>
          <w:t>ac</w:t>
        </w:r>
        <w:r w:rsidR="005E0CC4" w:rsidRPr="00785D06">
          <w:rPr>
            <w:rStyle w:val="Hipervnculo"/>
            <w:rFonts w:ascii="Verdana" w:hAnsi="Verdana"/>
            <w:color w:val="auto"/>
            <w:lang w:val="en-US"/>
          </w:rPr>
          <w:t>quiescence</w:t>
        </w:r>
        <w:r w:rsidR="00C254BF" w:rsidRPr="00785D06">
          <w:rPr>
            <w:rFonts w:ascii="Verdana" w:hAnsi="Verdana"/>
            <w:webHidden/>
            <w:lang w:val="en-US"/>
          </w:rPr>
          <w:tab/>
        </w:r>
        <w:r w:rsidR="00C254BF" w:rsidRPr="00785D06">
          <w:rPr>
            <w:rFonts w:ascii="Verdana" w:hAnsi="Verdana"/>
            <w:i w:val="0"/>
            <w:webHidden/>
            <w:lang w:val="en-US"/>
          </w:rPr>
          <w:fldChar w:fldCharType="begin"/>
        </w:r>
        <w:r w:rsidR="00C254BF" w:rsidRPr="00785D06">
          <w:rPr>
            <w:rFonts w:ascii="Verdana" w:hAnsi="Verdana"/>
            <w:i w:val="0"/>
            <w:webHidden/>
            <w:lang w:val="en-US"/>
          </w:rPr>
          <w:instrText xml:space="preserve"> PAGEREF _Toc46937280 \h </w:instrText>
        </w:r>
        <w:r w:rsidR="00C254BF" w:rsidRPr="00785D06">
          <w:rPr>
            <w:rFonts w:ascii="Verdana" w:hAnsi="Verdana"/>
            <w:i w:val="0"/>
            <w:webHidden/>
            <w:lang w:val="en-US"/>
          </w:rPr>
        </w:r>
        <w:r w:rsidR="00C254BF" w:rsidRPr="00785D06">
          <w:rPr>
            <w:rFonts w:ascii="Verdana" w:hAnsi="Verdana"/>
            <w:i w:val="0"/>
            <w:webHidden/>
            <w:lang w:val="en-US"/>
          </w:rPr>
          <w:fldChar w:fldCharType="separate"/>
        </w:r>
        <w:r w:rsidR="00C223D9">
          <w:rPr>
            <w:rFonts w:ascii="Verdana" w:hAnsi="Verdana"/>
            <w:i w:val="0"/>
            <w:noProof/>
            <w:webHidden/>
            <w:lang w:val="en-US"/>
          </w:rPr>
          <w:t>9</w:t>
        </w:r>
        <w:r w:rsidR="00C254BF" w:rsidRPr="00785D06">
          <w:rPr>
            <w:rFonts w:ascii="Verdana" w:hAnsi="Verdana"/>
            <w:i w:val="0"/>
            <w:webHidden/>
            <w:lang w:val="en-US"/>
          </w:rPr>
          <w:fldChar w:fldCharType="end"/>
        </w:r>
      </w:hyperlink>
    </w:p>
    <w:p w14:paraId="6A1F43BD" w14:textId="77777777" w:rsidR="00C254BF" w:rsidRPr="00785D06" w:rsidRDefault="00C254BF" w:rsidP="00C254BF">
      <w:pPr>
        <w:pStyle w:val="TDC1"/>
        <w:rPr>
          <w:rStyle w:val="Hipervnculo"/>
          <w:noProof w:val="0"/>
          <w:color w:val="auto"/>
          <w:lang w:val="en-US"/>
        </w:rPr>
      </w:pPr>
    </w:p>
    <w:p w14:paraId="4C768AEB" w14:textId="7254299A" w:rsidR="00C254BF" w:rsidRPr="00785D06" w:rsidRDefault="008E6839" w:rsidP="00C254BF">
      <w:pPr>
        <w:pStyle w:val="TDC1"/>
        <w:rPr>
          <w:rFonts w:eastAsiaTheme="minorEastAsia" w:cstheme="minorBidi"/>
          <w:noProof w:val="0"/>
          <w:lang w:val="en-US" w:eastAsia="es-CR"/>
        </w:rPr>
      </w:pPr>
      <w:hyperlink w:anchor="_Toc46937281" w:history="1">
        <w:r w:rsidR="00C254BF" w:rsidRPr="00785D06">
          <w:rPr>
            <w:rStyle w:val="Hipervnculo"/>
            <w:noProof w:val="0"/>
            <w:color w:val="auto"/>
            <w:bdr w:val="nil"/>
            <w:lang w:val="en-US"/>
          </w:rPr>
          <w:t>V</w:t>
        </w:r>
      </w:hyperlink>
      <w:r w:rsidR="00C254BF" w:rsidRPr="00785D06">
        <w:rPr>
          <w:rStyle w:val="Hipervnculo"/>
          <w:noProof w:val="0"/>
          <w:color w:val="auto"/>
          <w:u w:val="none"/>
          <w:lang w:val="en-US"/>
        </w:rPr>
        <w:t xml:space="preserve"> </w:t>
      </w:r>
      <w:hyperlink w:anchor="_Toc46937282" w:history="1">
        <w:r w:rsidR="00C254BF" w:rsidRPr="00785D06">
          <w:rPr>
            <w:rStyle w:val="Hipervnculo"/>
            <w:noProof w:val="0"/>
            <w:color w:val="auto"/>
            <w:bdr w:val="nil"/>
            <w:lang w:val="en-US"/>
          </w:rPr>
          <w:t>EVIDENCE</w:t>
        </w:r>
        <w:r w:rsidR="00C254BF" w:rsidRPr="00785D06">
          <w:rPr>
            <w:noProof w:val="0"/>
            <w:webHidden/>
            <w:lang w:val="en-US"/>
          </w:rPr>
          <w:tab/>
        </w:r>
        <w:r w:rsidR="00C254BF" w:rsidRPr="00785D06">
          <w:rPr>
            <w:noProof w:val="0"/>
            <w:webHidden/>
            <w:lang w:val="en-US"/>
          </w:rPr>
          <w:fldChar w:fldCharType="begin"/>
        </w:r>
        <w:r w:rsidR="00C254BF" w:rsidRPr="00785D06">
          <w:rPr>
            <w:noProof w:val="0"/>
            <w:webHidden/>
            <w:lang w:val="en-US"/>
          </w:rPr>
          <w:instrText xml:space="preserve"> PAGEREF _Toc46937282 \h </w:instrText>
        </w:r>
        <w:r w:rsidR="00C254BF" w:rsidRPr="00785D06">
          <w:rPr>
            <w:noProof w:val="0"/>
            <w:webHidden/>
            <w:lang w:val="en-US"/>
          </w:rPr>
          <w:fldChar w:fldCharType="separate"/>
        </w:r>
        <w:r w:rsidR="00C223D9">
          <w:rPr>
            <w:b w:val="0"/>
            <w:bCs w:val="0"/>
            <w:webHidden/>
            <w:lang w:val="es-ES"/>
          </w:rPr>
          <w:t>¡Error! Marcador no definido.</w:t>
        </w:r>
        <w:r w:rsidR="00C254BF" w:rsidRPr="00785D06">
          <w:rPr>
            <w:noProof w:val="0"/>
            <w:webHidden/>
            <w:lang w:val="en-US"/>
          </w:rPr>
          <w:fldChar w:fldCharType="end"/>
        </w:r>
      </w:hyperlink>
    </w:p>
    <w:p w14:paraId="7ABC2A5E" w14:textId="4DD58BB1" w:rsidR="00C254BF" w:rsidRPr="00785D06" w:rsidRDefault="008E6839" w:rsidP="00C254BF">
      <w:pPr>
        <w:pStyle w:val="TDC2"/>
        <w:tabs>
          <w:tab w:val="left" w:pos="640"/>
          <w:tab w:val="right" w:leader="dot" w:pos="8828"/>
        </w:tabs>
        <w:jc w:val="both"/>
        <w:rPr>
          <w:rFonts w:ascii="Verdana" w:eastAsiaTheme="minorEastAsia" w:hAnsi="Verdana" w:cstheme="minorBidi"/>
          <w:smallCaps w:val="0"/>
          <w:lang w:val="en-US" w:eastAsia="es-CR"/>
        </w:rPr>
      </w:pPr>
      <w:hyperlink w:anchor="_Toc46937283" w:history="1">
        <w:r w:rsidR="00C254BF" w:rsidRPr="00785D06">
          <w:rPr>
            <w:rStyle w:val="Hipervnculo"/>
            <w:rFonts w:ascii="Verdana" w:hAnsi="Verdana"/>
            <w:b/>
            <w:i/>
            <w:color w:val="auto"/>
            <w:bdr w:val="nil"/>
            <w:lang w:val="en-US"/>
          </w:rPr>
          <w:t>A.</w:t>
        </w:r>
        <w:r w:rsidR="00C254BF" w:rsidRPr="00785D06">
          <w:rPr>
            <w:rFonts w:ascii="Verdana" w:eastAsiaTheme="minorEastAsia" w:hAnsi="Verdana" w:cstheme="minorBidi"/>
            <w:smallCaps w:val="0"/>
            <w:lang w:val="en-US" w:eastAsia="es-CR"/>
          </w:rPr>
          <w:tab/>
        </w:r>
        <w:r w:rsidR="00C254BF" w:rsidRPr="00785D06">
          <w:rPr>
            <w:rStyle w:val="Hipervnculo"/>
            <w:rFonts w:ascii="Verdana" w:hAnsi="Verdana"/>
            <w:b/>
            <w:i/>
            <w:color w:val="auto"/>
            <w:bdr w:val="nil"/>
            <w:lang w:val="en-US"/>
          </w:rPr>
          <w:t>Admission of the documentary evidence</w:t>
        </w:r>
        <w:r w:rsidR="00C254BF" w:rsidRPr="00785D06">
          <w:rPr>
            <w:rFonts w:ascii="Verdana" w:hAnsi="Verdana"/>
            <w:webHidden/>
            <w:lang w:val="en-US"/>
          </w:rPr>
          <w:tab/>
        </w:r>
        <w:r w:rsidR="00C254BF" w:rsidRPr="00785D06">
          <w:rPr>
            <w:rFonts w:ascii="Verdana" w:hAnsi="Verdana"/>
            <w:webHidden/>
            <w:lang w:val="en-US"/>
          </w:rPr>
          <w:fldChar w:fldCharType="begin"/>
        </w:r>
        <w:r w:rsidR="00C254BF" w:rsidRPr="00785D06">
          <w:rPr>
            <w:rFonts w:ascii="Verdana" w:hAnsi="Verdana"/>
            <w:webHidden/>
            <w:lang w:val="en-US"/>
          </w:rPr>
          <w:instrText xml:space="preserve"> PAGEREF _Toc46937283 \h </w:instrText>
        </w:r>
        <w:r w:rsidR="00C254BF" w:rsidRPr="00785D06">
          <w:rPr>
            <w:rFonts w:ascii="Verdana" w:hAnsi="Verdana"/>
            <w:webHidden/>
            <w:lang w:val="en-US"/>
          </w:rPr>
        </w:r>
        <w:r w:rsidR="00C254BF" w:rsidRPr="00785D06">
          <w:rPr>
            <w:rFonts w:ascii="Verdana" w:hAnsi="Verdana"/>
            <w:webHidden/>
            <w:lang w:val="en-US"/>
          </w:rPr>
          <w:fldChar w:fldCharType="separate"/>
        </w:r>
        <w:r w:rsidR="00C223D9">
          <w:rPr>
            <w:rFonts w:ascii="Verdana" w:hAnsi="Verdana"/>
            <w:noProof/>
            <w:webHidden/>
            <w:lang w:val="en-US"/>
          </w:rPr>
          <w:t>10</w:t>
        </w:r>
        <w:r w:rsidR="00C254BF" w:rsidRPr="00785D06">
          <w:rPr>
            <w:rFonts w:ascii="Verdana" w:hAnsi="Verdana"/>
            <w:webHidden/>
            <w:lang w:val="en-US"/>
          </w:rPr>
          <w:fldChar w:fldCharType="end"/>
        </w:r>
      </w:hyperlink>
    </w:p>
    <w:p w14:paraId="1FB23F8D" w14:textId="4A4DD539" w:rsidR="00C254BF" w:rsidRPr="00785D06" w:rsidRDefault="008E6839" w:rsidP="00C254BF">
      <w:pPr>
        <w:pStyle w:val="TDC2"/>
        <w:tabs>
          <w:tab w:val="left" w:pos="640"/>
          <w:tab w:val="right" w:leader="dot" w:pos="8828"/>
        </w:tabs>
        <w:jc w:val="both"/>
        <w:rPr>
          <w:rFonts w:ascii="Verdana" w:eastAsiaTheme="minorEastAsia" w:hAnsi="Verdana" w:cstheme="minorBidi"/>
          <w:smallCaps w:val="0"/>
          <w:lang w:val="en-US" w:eastAsia="es-CR"/>
        </w:rPr>
      </w:pPr>
      <w:hyperlink w:anchor="_Toc46937284" w:history="1">
        <w:r w:rsidR="00C254BF" w:rsidRPr="00785D06">
          <w:rPr>
            <w:rStyle w:val="Hipervnculo"/>
            <w:rFonts w:ascii="Verdana" w:hAnsi="Verdana"/>
            <w:b/>
            <w:i/>
            <w:color w:val="auto"/>
            <w:lang w:val="en-US"/>
          </w:rPr>
          <w:t>B.</w:t>
        </w:r>
        <w:r w:rsidR="00C254BF" w:rsidRPr="00785D06">
          <w:rPr>
            <w:rFonts w:ascii="Verdana" w:eastAsiaTheme="minorEastAsia" w:hAnsi="Verdana" w:cstheme="minorBidi"/>
            <w:smallCaps w:val="0"/>
            <w:lang w:val="en-US" w:eastAsia="es-CR"/>
          </w:rPr>
          <w:tab/>
        </w:r>
        <w:r w:rsidR="00C254BF" w:rsidRPr="00785D06">
          <w:rPr>
            <w:rStyle w:val="Hipervnculo"/>
            <w:rFonts w:ascii="Verdana" w:hAnsi="Verdana"/>
            <w:b/>
            <w:i/>
            <w:color w:val="auto"/>
            <w:lang w:val="en-US"/>
          </w:rPr>
          <w:t>Admission of the testimonial and expert evidence</w:t>
        </w:r>
        <w:r w:rsidR="00C254BF" w:rsidRPr="00785D06">
          <w:rPr>
            <w:rFonts w:ascii="Verdana" w:hAnsi="Verdana"/>
            <w:webHidden/>
            <w:lang w:val="en-US"/>
          </w:rPr>
          <w:tab/>
        </w:r>
        <w:r w:rsidR="00C254BF" w:rsidRPr="00785D06">
          <w:rPr>
            <w:rFonts w:ascii="Verdana" w:hAnsi="Verdana"/>
            <w:webHidden/>
            <w:lang w:val="en-US"/>
          </w:rPr>
          <w:fldChar w:fldCharType="begin"/>
        </w:r>
        <w:r w:rsidR="00C254BF" w:rsidRPr="00785D06">
          <w:rPr>
            <w:rFonts w:ascii="Verdana" w:hAnsi="Verdana"/>
            <w:webHidden/>
            <w:lang w:val="en-US"/>
          </w:rPr>
          <w:instrText xml:space="preserve"> PAGEREF _Toc46937284 \h </w:instrText>
        </w:r>
        <w:r w:rsidR="00C254BF" w:rsidRPr="00785D06">
          <w:rPr>
            <w:rFonts w:ascii="Verdana" w:hAnsi="Verdana"/>
            <w:webHidden/>
            <w:lang w:val="en-US"/>
          </w:rPr>
        </w:r>
        <w:r w:rsidR="00C254BF" w:rsidRPr="00785D06">
          <w:rPr>
            <w:rFonts w:ascii="Verdana" w:hAnsi="Verdana"/>
            <w:webHidden/>
            <w:lang w:val="en-US"/>
          </w:rPr>
          <w:fldChar w:fldCharType="separate"/>
        </w:r>
        <w:r w:rsidR="00C223D9">
          <w:rPr>
            <w:rFonts w:ascii="Verdana" w:hAnsi="Verdana"/>
            <w:noProof/>
            <w:webHidden/>
            <w:lang w:val="en-US"/>
          </w:rPr>
          <w:t>12</w:t>
        </w:r>
        <w:r w:rsidR="00C254BF" w:rsidRPr="00785D06">
          <w:rPr>
            <w:rFonts w:ascii="Verdana" w:hAnsi="Verdana"/>
            <w:webHidden/>
            <w:lang w:val="en-US"/>
          </w:rPr>
          <w:fldChar w:fldCharType="end"/>
        </w:r>
      </w:hyperlink>
    </w:p>
    <w:p w14:paraId="143CD12D" w14:textId="77777777" w:rsidR="00C254BF" w:rsidRPr="00785D06" w:rsidRDefault="00C254BF" w:rsidP="00C254BF">
      <w:pPr>
        <w:pStyle w:val="TDC1"/>
        <w:rPr>
          <w:rStyle w:val="Hipervnculo"/>
          <w:noProof w:val="0"/>
          <w:color w:val="auto"/>
          <w:lang w:val="en-US"/>
        </w:rPr>
      </w:pPr>
    </w:p>
    <w:p w14:paraId="7C3173BA" w14:textId="1FA81F0F" w:rsidR="00C254BF" w:rsidRPr="00785D06" w:rsidRDefault="008E6839" w:rsidP="00C254BF">
      <w:pPr>
        <w:pStyle w:val="TDC1"/>
        <w:rPr>
          <w:rFonts w:eastAsiaTheme="minorEastAsia" w:cstheme="minorBidi"/>
          <w:noProof w:val="0"/>
          <w:lang w:val="en-US" w:eastAsia="es-CR"/>
        </w:rPr>
      </w:pPr>
      <w:hyperlink w:anchor="_Toc46937285" w:history="1">
        <w:r w:rsidR="00C254BF" w:rsidRPr="00785D06">
          <w:rPr>
            <w:rStyle w:val="Hipervnculo"/>
            <w:noProof w:val="0"/>
            <w:color w:val="auto"/>
            <w:lang w:val="en-US"/>
          </w:rPr>
          <w:t>VI</w:t>
        </w:r>
      </w:hyperlink>
      <w:r w:rsidR="00C254BF" w:rsidRPr="00785D06">
        <w:rPr>
          <w:rStyle w:val="Hipervnculo"/>
          <w:b w:val="0"/>
          <w:noProof w:val="0"/>
          <w:color w:val="auto"/>
          <w:u w:val="none"/>
          <w:lang w:val="en-US"/>
        </w:rPr>
        <w:t xml:space="preserve"> </w:t>
      </w:r>
      <w:hyperlink w:anchor="_Toc46937286" w:history="1">
        <w:r w:rsidR="00C254BF" w:rsidRPr="00785D06">
          <w:rPr>
            <w:rStyle w:val="Hipervnculo"/>
            <w:noProof w:val="0"/>
            <w:color w:val="auto"/>
            <w:lang w:val="en-US"/>
          </w:rPr>
          <w:t>FACTS</w:t>
        </w:r>
        <w:r w:rsidR="00C254BF" w:rsidRPr="00785D06">
          <w:rPr>
            <w:noProof w:val="0"/>
            <w:webHidden/>
            <w:lang w:val="en-US"/>
          </w:rPr>
          <w:tab/>
        </w:r>
        <w:r w:rsidR="00C254BF" w:rsidRPr="00785D06">
          <w:rPr>
            <w:noProof w:val="0"/>
            <w:webHidden/>
            <w:lang w:val="en-US"/>
          </w:rPr>
          <w:fldChar w:fldCharType="begin"/>
        </w:r>
        <w:r w:rsidR="00C254BF" w:rsidRPr="00785D06">
          <w:rPr>
            <w:noProof w:val="0"/>
            <w:webHidden/>
            <w:lang w:val="en-US"/>
          </w:rPr>
          <w:instrText xml:space="preserve"> PAGEREF _Toc46937286 \h </w:instrText>
        </w:r>
        <w:r w:rsidR="00C254BF" w:rsidRPr="00785D06">
          <w:rPr>
            <w:noProof w:val="0"/>
            <w:webHidden/>
            <w:lang w:val="en-US"/>
          </w:rPr>
          <w:fldChar w:fldCharType="separate"/>
        </w:r>
        <w:r w:rsidR="00C223D9">
          <w:rPr>
            <w:b w:val="0"/>
            <w:bCs w:val="0"/>
            <w:webHidden/>
            <w:lang w:val="es-ES"/>
          </w:rPr>
          <w:t>¡Error! Marcador no definido.</w:t>
        </w:r>
        <w:r w:rsidR="00C254BF" w:rsidRPr="00785D06">
          <w:rPr>
            <w:noProof w:val="0"/>
            <w:webHidden/>
            <w:lang w:val="en-US"/>
          </w:rPr>
          <w:fldChar w:fldCharType="end"/>
        </w:r>
      </w:hyperlink>
    </w:p>
    <w:p w14:paraId="1031923F" w14:textId="478F3BAB" w:rsidR="00C254BF" w:rsidRPr="00785D06" w:rsidRDefault="008E6839" w:rsidP="00C254BF">
      <w:pPr>
        <w:pStyle w:val="TDC2"/>
        <w:tabs>
          <w:tab w:val="left" w:pos="640"/>
          <w:tab w:val="right" w:leader="dot" w:pos="8828"/>
        </w:tabs>
        <w:jc w:val="both"/>
        <w:rPr>
          <w:rFonts w:ascii="Verdana" w:eastAsiaTheme="minorEastAsia" w:hAnsi="Verdana" w:cstheme="minorBidi"/>
          <w:smallCaps w:val="0"/>
          <w:lang w:val="en-US" w:eastAsia="es-CR"/>
        </w:rPr>
      </w:pPr>
      <w:hyperlink w:anchor="_Toc46937287" w:history="1">
        <w:r w:rsidR="00C254BF" w:rsidRPr="00785D06">
          <w:rPr>
            <w:rStyle w:val="Hipervnculo"/>
            <w:rFonts w:ascii="Verdana" w:hAnsi="Verdana" w:cs="Arial"/>
            <w:b/>
            <w:i/>
            <w:color w:val="auto"/>
            <w:lang w:val="en-US"/>
          </w:rPr>
          <w:t>A.</w:t>
        </w:r>
        <w:r w:rsidR="00C254BF" w:rsidRPr="00785D06">
          <w:rPr>
            <w:rFonts w:ascii="Verdana" w:eastAsiaTheme="minorEastAsia" w:hAnsi="Verdana" w:cstheme="minorBidi"/>
            <w:smallCaps w:val="0"/>
            <w:lang w:val="en-US" w:eastAsia="es-CR"/>
          </w:rPr>
          <w:tab/>
        </w:r>
        <w:r w:rsidR="00C254BF" w:rsidRPr="00785D06">
          <w:rPr>
            <w:rStyle w:val="Hipervnculo"/>
            <w:rFonts w:ascii="Verdana" w:hAnsi="Verdana" w:cs="Arial"/>
            <w:b/>
            <w:i/>
            <w:color w:val="auto"/>
            <w:lang w:val="en-US"/>
          </w:rPr>
          <w:t xml:space="preserve">Sexual violence in </w:t>
        </w:r>
        <w:r w:rsidR="006324B7" w:rsidRPr="00785D06">
          <w:rPr>
            <w:rStyle w:val="Hipervnculo"/>
            <w:rFonts w:ascii="Verdana" w:hAnsi="Verdana" w:cs="Arial"/>
            <w:b/>
            <w:i/>
            <w:color w:val="auto"/>
            <w:lang w:val="en-US"/>
          </w:rPr>
          <w:t>Ecuador’s</w:t>
        </w:r>
        <w:r w:rsidR="00EB49F1" w:rsidRPr="00785D06">
          <w:rPr>
            <w:rStyle w:val="Hipervnculo"/>
            <w:rFonts w:ascii="Verdana" w:hAnsi="Verdana" w:cs="Arial"/>
            <w:b/>
            <w:i/>
            <w:color w:val="auto"/>
            <w:lang w:val="en-US"/>
          </w:rPr>
          <w:t xml:space="preserve"> </w:t>
        </w:r>
        <w:r w:rsidR="005E0CC4" w:rsidRPr="00785D06">
          <w:rPr>
            <w:rStyle w:val="Hipervnculo"/>
            <w:rFonts w:ascii="Verdana" w:hAnsi="Verdana" w:cs="Arial"/>
            <w:b/>
            <w:i/>
            <w:color w:val="auto"/>
            <w:lang w:val="en-US"/>
          </w:rPr>
          <w:t xml:space="preserve">educational </w:t>
        </w:r>
        <w:r w:rsidR="00C254BF" w:rsidRPr="00785D06">
          <w:rPr>
            <w:rStyle w:val="Hipervnculo"/>
            <w:rFonts w:ascii="Verdana" w:hAnsi="Verdana" w:cs="Arial"/>
            <w:b/>
            <w:i/>
            <w:color w:val="auto"/>
            <w:lang w:val="en-US"/>
          </w:rPr>
          <w:t>institutions</w:t>
        </w:r>
        <w:r w:rsidR="00C254BF" w:rsidRPr="00785D06">
          <w:rPr>
            <w:rFonts w:ascii="Verdana" w:hAnsi="Verdana"/>
            <w:webHidden/>
            <w:lang w:val="en-US"/>
          </w:rPr>
          <w:tab/>
        </w:r>
        <w:r w:rsidR="00C254BF" w:rsidRPr="00785D06">
          <w:rPr>
            <w:rFonts w:ascii="Verdana" w:hAnsi="Verdana"/>
            <w:webHidden/>
            <w:lang w:val="en-US"/>
          </w:rPr>
          <w:fldChar w:fldCharType="begin"/>
        </w:r>
        <w:r w:rsidR="00C254BF" w:rsidRPr="00785D06">
          <w:rPr>
            <w:rFonts w:ascii="Verdana" w:hAnsi="Verdana"/>
            <w:webHidden/>
            <w:lang w:val="en-US"/>
          </w:rPr>
          <w:instrText xml:space="preserve"> PAGEREF _Toc46937287 \h </w:instrText>
        </w:r>
        <w:r w:rsidR="00C254BF" w:rsidRPr="00785D06">
          <w:rPr>
            <w:rFonts w:ascii="Verdana" w:hAnsi="Verdana"/>
            <w:webHidden/>
            <w:lang w:val="en-US"/>
          </w:rPr>
        </w:r>
        <w:r w:rsidR="00C254BF" w:rsidRPr="00785D06">
          <w:rPr>
            <w:rFonts w:ascii="Verdana" w:hAnsi="Verdana"/>
            <w:webHidden/>
            <w:lang w:val="en-US"/>
          </w:rPr>
          <w:fldChar w:fldCharType="separate"/>
        </w:r>
        <w:r w:rsidR="00C223D9">
          <w:rPr>
            <w:rFonts w:ascii="Verdana" w:hAnsi="Verdana"/>
            <w:noProof/>
            <w:webHidden/>
            <w:lang w:val="en-US"/>
          </w:rPr>
          <w:t>14</w:t>
        </w:r>
        <w:r w:rsidR="00C254BF" w:rsidRPr="00785D06">
          <w:rPr>
            <w:rFonts w:ascii="Verdana" w:hAnsi="Verdana"/>
            <w:webHidden/>
            <w:lang w:val="en-US"/>
          </w:rPr>
          <w:fldChar w:fldCharType="end"/>
        </w:r>
      </w:hyperlink>
    </w:p>
    <w:p w14:paraId="58C42F1C" w14:textId="208D9DE5" w:rsidR="00C254BF" w:rsidRPr="00785D06" w:rsidRDefault="008E6839" w:rsidP="00C254BF">
      <w:pPr>
        <w:pStyle w:val="TDC2"/>
        <w:tabs>
          <w:tab w:val="left" w:pos="640"/>
          <w:tab w:val="right" w:leader="dot" w:pos="8828"/>
        </w:tabs>
        <w:jc w:val="both"/>
        <w:rPr>
          <w:rFonts w:ascii="Verdana" w:eastAsiaTheme="minorEastAsia" w:hAnsi="Verdana" w:cstheme="minorBidi"/>
          <w:smallCaps w:val="0"/>
          <w:lang w:val="en-US" w:eastAsia="es-CR"/>
        </w:rPr>
      </w:pPr>
      <w:hyperlink w:anchor="_Toc46937288" w:history="1">
        <w:r w:rsidR="00C254BF" w:rsidRPr="00785D06">
          <w:rPr>
            <w:rStyle w:val="Hipervnculo"/>
            <w:rFonts w:ascii="Verdana" w:hAnsi="Verdana" w:cs="Arial"/>
            <w:b/>
            <w:i/>
            <w:color w:val="auto"/>
            <w:lang w:val="en-US"/>
          </w:rPr>
          <w:t>B.</w:t>
        </w:r>
        <w:r w:rsidR="00C254BF" w:rsidRPr="00785D06">
          <w:rPr>
            <w:rFonts w:ascii="Verdana" w:eastAsiaTheme="minorEastAsia" w:hAnsi="Verdana" w:cstheme="minorBidi"/>
            <w:smallCaps w:val="0"/>
            <w:lang w:val="en-US" w:eastAsia="es-CR"/>
          </w:rPr>
          <w:tab/>
        </w:r>
        <w:r w:rsidR="00310BFB" w:rsidRPr="00785D06">
          <w:rPr>
            <w:rStyle w:val="Hipervnculo"/>
            <w:rFonts w:ascii="Verdana" w:hAnsi="Verdana" w:cs="Arial"/>
            <w:b/>
            <w:i/>
            <w:color w:val="auto"/>
            <w:lang w:val="en-US"/>
          </w:rPr>
          <w:t>The s</w:t>
        </w:r>
        <w:r w:rsidR="005E0CC4" w:rsidRPr="00785D06">
          <w:rPr>
            <w:rStyle w:val="Hipervnculo"/>
            <w:rFonts w:ascii="Verdana" w:hAnsi="Verdana" w:cs="Arial"/>
            <w:b/>
            <w:i/>
            <w:color w:val="auto"/>
            <w:lang w:val="en-US"/>
          </w:rPr>
          <w:t xml:space="preserve">exual </w:t>
        </w:r>
        <w:r w:rsidR="00C254BF" w:rsidRPr="00785D06">
          <w:rPr>
            <w:rStyle w:val="Hipervnculo"/>
            <w:rFonts w:ascii="Verdana" w:hAnsi="Verdana" w:cs="Arial"/>
            <w:b/>
            <w:i/>
            <w:color w:val="auto"/>
            <w:lang w:val="en-US"/>
          </w:rPr>
          <w:t>violence suffered by Paola Guzmán and her subsequent suicide</w:t>
        </w:r>
        <w:r w:rsidR="00C254BF" w:rsidRPr="00785D06">
          <w:rPr>
            <w:rFonts w:ascii="Verdana" w:hAnsi="Verdana"/>
            <w:webHidden/>
            <w:lang w:val="en-US"/>
          </w:rPr>
          <w:tab/>
        </w:r>
        <w:r w:rsidR="00C254BF" w:rsidRPr="00785D06">
          <w:rPr>
            <w:rFonts w:ascii="Verdana" w:hAnsi="Verdana"/>
            <w:webHidden/>
            <w:lang w:val="en-US"/>
          </w:rPr>
          <w:fldChar w:fldCharType="begin"/>
        </w:r>
        <w:r w:rsidR="00C254BF" w:rsidRPr="00785D06">
          <w:rPr>
            <w:rFonts w:ascii="Verdana" w:hAnsi="Verdana"/>
            <w:webHidden/>
            <w:lang w:val="en-US"/>
          </w:rPr>
          <w:instrText xml:space="preserve"> PAGEREF _Toc46937288 \h </w:instrText>
        </w:r>
        <w:r w:rsidR="00C254BF" w:rsidRPr="00785D06">
          <w:rPr>
            <w:rFonts w:ascii="Verdana" w:hAnsi="Verdana"/>
            <w:webHidden/>
            <w:lang w:val="en-US"/>
          </w:rPr>
        </w:r>
        <w:r w:rsidR="00C254BF" w:rsidRPr="00785D06">
          <w:rPr>
            <w:rFonts w:ascii="Verdana" w:hAnsi="Verdana"/>
            <w:webHidden/>
            <w:lang w:val="en-US"/>
          </w:rPr>
          <w:fldChar w:fldCharType="separate"/>
        </w:r>
        <w:r w:rsidR="00C223D9">
          <w:rPr>
            <w:rFonts w:ascii="Verdana" w:hAnsi="Verdana"/>
            <w:noProof/>
            <w:webHidden/>
            <w:lang w:val="en-US"/>
          </w:rPr>
          <w:t>15</w:t>
        </w:r>
        <w:r w:rsidR="00C254BF" w:rsidRPr="00785D06">
          <w:rPr>
            <w:rFonts w:ascii="Verdana" w:hAnsi="Verdana"/>
            <w:webHidden/>
            <w:lang w:val="en-US"/>
          </w:rPr>
          <w:fldChar w:fldCharType="end"/>
        </w:r>
      </w:hyperlink>
    </w:p>
    <w:p w14:paraId="79503629" w14:textId="38D75DA9" w:rsidR="00C254BF" w:rsidRPr="00785D06" w:rsidRDefault="008E6839" w:rsidP="00C254BF">
      <w:pPr>
        <w:pStyle w:val="TDC2"/>
        <w:tabs>
          <w:tab w:val="left" w:pos="640"/>
          <w:tab w:val="right" w:leader="dot" w:pos="8828"/>
        </w:tabs>
        <w:jc w:val="both"/>
        <w:rPr>
          <w:rFonts w:ascii="Verdana" w:eastAsiaTheme="minorEastAsia" w:hAnsi="Verdana" w:cstheme="minorBidi"/>
          <w:smallCaps w:val="0"/>
          <w:lang w:val="en-US" w:eastAsia="es-CR"/>
        </w:rPr>
      </w:pPr>
      <w:hyperlink w:anchor="_Toc46937289" w:history="1">
        <w:r w:rsidR="00C254BF" w:rsidRPr="00785D06">
          <w:rPr>
            <w:rStyle w:val="Hipervnculo"/>
            <w:rFonts w:ascii="Verdana" w:hAnsi="Verdana" w:cs="Arial"/>
            <w:b/>
            <w:i/>
            <w:color w:val="auto"/>
            <w:lang w:val="en-US"/>
          </w:rPr>
          <w:t>C.</w:t>
        </w:r>
        <w:r w:rsidR="00C254BF" w:rsidRPr="00785D06">
          <w:rPr>
            <w:rFonts w:ascii="Verdana" w:eastAsiaTheme="minorEastAsia" w:hAnsi="Verdana" w:cstheme="minorBidi"/>
            <w:smallCaps w:val="0"/>
            <w:lang w:val="en-US" w:eastAsia="es-CR"/>
          </w:rPr>
          <w:tab/>
        </w:r>
        <w:r w:rsidR="00C254BF" w:rsidRPr="00785D06">
          <w:rPr>
            <w:rStyle w:val="Hipervnculo"/>
            <w:rFonts w:ascii="Verdana" w:hAnsi="Verdana" w:cs="Arial"/>
            <w:b/>
            <w:i/>
            <w:color w:val="auto"/>
            <w:lang w:val="en-US"/>
          </w:rPr>
          <w:t>Investigation and criminal proceedings after Paola Guzmán</w:t>
        </w:r>
        <w:r w:rsidR="006324B7" w:rsidRPr="00785D06">
          <w:rPr>
            <w:rStyle w:val="Hipervnculo"/>
            <w:rFonts w:ascii="Verdana" w:hAnsi="Verdana" w:cs="Arial"/>
            <w:b/>
            <w:i/>
            <w:color w:val="auto"/>
            <w:lang w:val="en-US"/>
          </w:rPr>
          <w:t>’s</w:t>
        </w:r>
        <w:r w:rsidR="00C254BF" w:rsidRPr="00785D06">
          <w:rPr>
            <w:rStyle w:val="Hipervnculo"/>
            <w:rFonts w:ascii="Verdana" w:hAnsi="Verdana" w:cs="Arial"/>
            <w:b/>
            <w:i/>
            <w:color w:val="auto"/>
            <w:lang w:val="en-US"/>
          </w:rPr>
          <w:t xml:space="preserve"> </w:t>
        </w:r>
        <w:r w:rsidR="006324B7" w:rsidRPr="00785D06">
          <w:rPr>
            <w:rStyle w:val="Hipervnculo"/>
            <w:rFonts w:ascii="Verdana" w:hAnsi="Verdana" w:cs="Arial"/>
            <w:b/>
            <w:i/>
            <w:color w:val="auto"/>
            <w:lang w:val="en-US"/>
          </w:rPr>
          <w:t xml:space="preserve"> death</w:t>
        </w:r>
        <w:r w:rsidR="00C254BF" w:rsidRPr="00785D06">
          <w:rPr>
            <w:rFonts w:ascii="Verdana" w:hAnsi="Verdana"/>
            <w:webHidden/>
            <w:lang w:val="en-US"/>
          </w:rPr>
          <w:tab/>
        </w:r>
        <w:r w:rsidR="00C254BF" w:rsidRPr="00785D06">
          <w:rPr>
            <w:rFonts w:ascii="Verdana" w:hAnsi="Verdana"/>
            <w:webHidden/>
            <w:lang w:val="en-US"/>
          </w:rPr>
          <w:fldChar w:fldCharType="begin"/>
        </w:r>
        <w:r w:rsidR="00C254BF" w:rsidRPr="00785D06">
          <w:rPr>
            <w:rFonts w:ascii="Verdana" w:hAnsi="Verdana"/>
            <w:webHidden/>
            <w:lang w:val="en-US"/>
          </w:rPr>
          <w:instrText xml:space="preserve"> PAGEREF _Toc46937289 \h </w:instrText>
        </w:r>
        <w:r w:rsidR="00C254BF" w:rsidRPr="00785D06">
          <w:rPr>
            <w:rFonts w:ascii="Verdana" w:hAnsi="Verdana"/>
            <w:webHidden/>
            <w:lang w:val="en-US"/>
          </w:rPr>
        </w:r>
        <w:r w:rsidR="00C254BF" w:rsidRPr="00785D06">
          <w:rPr>
            <w:rFonts w:ascii="Verdana" w:hAnsi="Verdana"/>
            <w:webHidden/>
            <w:lang w:val="en-US"/>
          </w:rPr>
          <w:fldChar w:fldCharType="separate"/>
        </w:r>
        <w:r w:rsidR="00C223D9">
          <w:rPr>
            <w:rFonts w:ascii="Verdana" w:hAnsi="Verdana"/>
            <w:noProof/>
            <w:webHidden/>
            <w:lang w:val="en-US"/>
          </w:rPr>
          <w:t>19</w:t>
        </w:r>
        <w:r w:rsidR="00C254BF" w:rsidRPr="00785D06">
          <w:rPr>
            <w:rFonts w:ascii="Verdana" w:hAnsi="Verdana"/>
            <w:webHidden/>
            <w:lang w:val="en-US"/>
          </w:rPr>
          <w:fldChar w:fldCharType="end"/>
        </w:r>
      </w:hyperlink>
    </w:p>
    <w:p w14:paraId="153ABFCE" w14:textId="23834E94" w:rsidR="00C254BF" w:rsidRPr="00785D06" w:rsidRDefault="008E6839" w:rsidP="00C254BF">
      <w:pPr>
        <w:pStyle w:val="TDC2"/>
        <w:tabs>
          <w:tab w:val="left" w:pos="640"/>
          <w:tab w:val="right" w:leader="dot" w:pos="8828"/>
        </w:tabs>
        <w:jc w:val="both"/>
        <w:rPr>
          <w:rFonts w:ascii="Verdana" w:eastAsiaTheme="minorEastAsia" w:hAnsi="Verdana" w:cstheme="minorBidi"/>
          <w:smallCaps w:val="0"/>
          <w:lang w:val="en-US" w:eastAsia="es-CR"/>
        </w:rPr>
      </w:pPr>
      <w:hyperlink w:anchor="_Toc46937290" w:history="1">
        <w:r w:rsidR="00C254BF" w:rsidRPr="00785D06">
          <w:rPr>
            <w:rStyle w:val="Hipervnculo"/>
            <w:rFonts w:ascii="Verdana" w:hAnsi="Verdana" w:cs="Arial"/>
            <w:b/>
            <w:i/>
            <w:color w:val="auto"/>
            <w:lang w:val="en-US"/>
          </w:rPr>
          <w:t>D.</w:t>
        </w:r>
        <w:r w:rsidR="00C254BF" w:rsidRPr="00785D06">
          <w:rPr>
            <w:rFonts w:ascii="Verdana" w:eastAsiaTheme="minorEastAsia" w:hAnsi="Verdana" w:cstheme="minorBidi"/>
            <w:smallCaps w:val="0"/>
            <w:lang w:val="en-US" w:eastAsia="es-CR"/>
          </w:rPr>
          <w:tab/>
        </w:r>
        <w:r w:rsidR="005E0CC4" w:rsidRPr="00785D06">
          <w:rPr>
            <w:rStyle w:val="Hipervnculo"/>
            <w:rFonts w:ascii="Verdana" w:hAnsi="Verdana" w:cs="Arial"/>
            <w:b/>
            <w:i/>
            <w:color w:val="auto"/>
            <w:lang w:val="en-US"/>
          </w:rPr>
          <w:t xml:space="preserve">Civil lawsuit for </w:t>
        </w:r>
        <w:r w:rsidR="005C1125" w:rsidRPr="00785D06">
          <w:rPr>
            <w:rStyle w:val="Hipervnculo"/>
            <w:rFonts w:ascii="Verdana" w:hAnsi="Verdana" w:cs="Arial"/>
            <w:b/>
            <w:i/>
            <w:color w:val="auto"/>
            <w:lang w:val="en-US"/>
          </w:rPr>
          <w:t xml:space="preserve">moral </w:t>
        </w:r>
        <w:r w:rsidR="00C254BF" w:rsidRPr="00785D06">
          <w:rPr>
            <w:rStyle w:val="Hipervnculo"/>
            <w:rFonts w:ascii="Verdana" w:hAnsi="Verdana" w:cs="Arial"/>
            <w:b/>
            <w:i/>
            <w:color w:val="auto"/>
            <w:lang w:val="en-US"/>
          </w:rPr>
          <w:t>damage</w:t>
        </w:r>
        <w:r w:rsidR="00504845" w:rsidRPr="00785D06">
          <w:rPr>
            <w:rStyle w:val="Hipervnculo"/>
            <w:rFonts w:ascii="Verdana" w:hAnsi="Verdana" w:cs="Arial"/>
            <w:b/>
            <w:i/>
            <w:color w:val="auto"/>
            <w:lang w:val="en-US"/>
          </w:rPr>
          <w:t>s</w:t>
        </w:r>
        <w:r w:rsidR="00C254BF" w:rsidRPr="00785D06">
          <w:rPr>
            <w:rStyle w:val="Hipervnculo"/>
            <w:rFonts w:ascii="Verdana" w:hAnsi="Verdana" w:cs="Arial"/>
            <w:b/>
            <w:i/>
            <w:color w:val="auto"/>
            <w:lang w:val="en-US"/>
          </w:rPr>
          <w:t xml:space="preserve"> and administrative actions</w:t>
        </w:r>
        <w:r w:rsidR="00C254BF" w:rsidRPr="00785D06">
          <w:rPr>
            <w:rFonts w:ascii="Verdana" w:hAnsi="Verdana"/>
            <w:webHidden/>
            <w:lang w:val="en-US"/>
          </w:rPr>
          <w:tab/>
        </w:r>
        <w:r w:rsidR="00C254BF" w:rsidRPr="00785D06">
          <w:rPr>
            <w:rFonts w:ascii="Verdana" w:hAnsi="Verdana"/>
            <w:webHidden/>
            <w:lang w:val="en-US"/>
          </w:rPr>
          <w:fldChar w:fldCharType="begin"/>
        </w:r>
        <w:r w:rsidR="00C254BF" w:rsidRPr="00785D06">
          <w:rPr>
            <w:rFonts w:ascii="Verdana" w:hAnsi="Verdana"/>
            <w:webHidden/>
            <w:lang w:val="en-US"/>
          </w:rPr>
          <w:instrText xml:space="preserve"> PAGEREF _Toc46937290 \h </w:instrText>
        </w:r>
        <w:r w:rsidR="00C254BF" w:rsidRPr="00785D06">
          <w:rPr>
            <w:rFonts w:ascii="Verdana" w:hAnsi="Verdana"/>
            <w:webHidden/>
            <w:lang w:val="en-US"/>
          </w:rPr>
        </w:r>
        <w:r w:rsidR="00C254BF" w:rsidRPr="00785D06">
          <w:rPr>
            <w:rFonts w:ascii="Verdana" w:hAnsi="Verdana"/>
            <w:webHidden/>
            <w:lang w:val="en-US"/>
          </w:rPr>
          <w:fldChar w:fldCharType="separate"/>
        </w:r>
        <w:r w:rsidR="00C223D9">
          <w:rPr>
            <w:rFonts w:ascii="Verdana" w:hAnsi="Verdana"/>
            <w:noProof/>
            <w:webHidden/>
            <w:lang w:val="en-US"/>
          </w:rPr>
          <w:t>24</w:t>
        </w:r>
        <w:r w:rsidR="00C254BF" w:rsidRPr="00785D06">
          <w:rPr>
            <w:rFonts w:ascii="Verdana" w:hAnsi="Verdana"/>
            <w:webHidden/>
            <w:lang w:val="en-US"/>
          </w:rPr>
          <w:fldChar w:fldCharType="end"/>
        </w:r>
      </w:hyperlink>
    </w:p>
    <w:p w14:paraId="09DCED86" w14:textId="77777777" w:rsidR="00C254BF" w:rsidRPr="00785D06" w:rsidRDefault="00C254BF" w:rsidP="00C254BF">
      <w:pPr>
        <w:pStyle w:val="TDC1"/>
        <w:rPr>
          <w:rStyle w:val="Hipervnculo"/>
          <w:noProof w:val="0"/>
          <w:color w:val="auto"/>
          <w:lang w:val="en-US"/>
        </w:rPr>
      </w:pPr>
    </w:p>
    <w:p w14:paraId="7B90DD2E" w14:textId="2BA4B6DE" w:rsidR="00C254BF" w:rsidRPr="00785D06" w:rsidRDefault="008E6839" w:rsidP="00C254BF">
      <w:pPr>
        <w:pStyle w:val="TDC1"/>
        <w:rPr>
          <w:rFonts w:eastAsiaTheme="minorEastAsia" w:cstheme="minorBidi"/>
          <w:noProof w:val="0"/>
          <w:lang w:val="en-US" w:eastAsia="es-CR"/>
        </w:rPr>
      </w:pPr>
      <w:hyperlink w:anchor="_Toc46937291" w:history="1">
        <w:r w:rsidR="00C254BF" w:rsidRPr="00785D06">
          <w:rPr>
            <w:rStyle w:val="Hipervnculo"/>
            <w:noProof w:val="0"/>
            <w:color w:val="auto"/>
            <w:lang w:val="en-US"/>
          </w:rPr>
          <w:t>VII</w:t>
        </w:r>
      </w:hyperlink>
      <w:r w:rsidR="00C254BF" w:rsidRPr="00785D06">
        <w:rPr>
          <w:rStyle w:val="Hipervnculo"/>
          <w:noProof w:val="0"/>
          <w:color w:val="auto"/>
          <w:u w:val="none"/>
          <w:lang w:val="en-US"/>
        </w:rPr>
        <w:t xml:space="preserve"> </w:t>
      </w:r>
      <w:hyperlink w:anchor="_Toc46937292" w:history="1">
        <w:r w:rsidR="00C254BF" w:rsidRPr="00785D06">
          <w:rPr>
            <w:rStyle w:val="Hipervnculo"/>
            <w:noProof w:val="0"/>
            <w:color w:val="auto"/>
            <w:lang w:val="en-US"/>
          </w:rPr>
          <w:t>MERITS</w:t>
        </w:r>
        <w:r w:rsidR="00C254BF" w:rsidRPr="00785D06">
          <w:rPr>
            <w:noProof w:val="0"/>
            <w:webHidden/>
            <w:lang w:val="en-US"/>
          </w:rPr>
          <w:tab/>
        </w:r>
        <w:r w:rsidR="00C254BF" w:rsidRPr="00785D06">
          <w:rPr>
            <w:noProof w:val="0"/>
            <w:webHidden/>
            <w:lang w:val="en-US"/>
          </w:rPr>
          <w:fldChar w:fldCharType="begin"/>
        </w:r>
        <w:r w:rsidR="00C254BF" w:rsidRPr="00785D06">
          <w:rPr>
            <w:noProof w:val="0"/>
            <w:webHidden/>
            <w:lang w:val="en-US"/>
          </w:rPr>
          <w:instrText xml:space="preserve"> PAGEREF _Toc46937292 \h </w:instrText>
        </w:r>
        <w:r w:rsidR="00C254BF" w:rsidRPr="00785D06">
          <w:rPr>
            <w:noProof w:val="0"/>
            <w:webHidden/>
            <w:lang w:val="en-US"/>
          </w:rPr>
        </w:r>
        <w:r w:rsidR="00C254BF" w:rsidRPr="00785D06">
          <w:rPr>
            <w:noProof w:val="0"/>
            <w:webHidden/>
            <w:lang w:val="en-US"/>
          </w:rPr>
          <w:fldChar w:fldCharType="separate"/>
        </w:r>
        <w:r w:rsidR="00C223D9">
          <w:rPr>
            <w:webHidden/>
            <w:lang w:val="en-US"/>
          </w:rPr>
          <w:t>25</w:t>
        </w:r>
        <w:r w:rsidR="00C254BF" w:rsidRPr="00785D06">
          <w:rPr>
            <w:noProof w:val="0"/>
            <w:webHidden/>
            <w:lang w:val="en-US"/>
          </w:rPr>
          <w:fldChar w:fldCharType="end"/>
        </w:r>
      </w:hyperlink>
    </w:p>
    <w:p w14:paraId="7F82340E" w14:textId="77777777" w:rsidR="00C254BF" w:rsidRPr="00785D06" w:rsidRDefault="00C254BF" w:rsidP="00C254BF">
      <w:pPr>
        <w:pStyle w:val="TDC1"/>
        <w:rPr>
          <w:rStyle w:val="Hipervnculo"/>
          <w:noProof w:val="0"/>
          <w:color w:val="auto"/>
          <w:lang w:val="en-US"/>
        </w:rPr>
      </w:pPr>
    </w:p>
    <w:p w14:paraId="4113F126" w14:textId="77091280" w:rsidR="00C254BF" w:rsidRPr="00785D06" w:rsidRDefault="008E6839" w:rsidP="00C254BF">
      <w:pPr>
        <w:pStyle w:val="TDC1"/>
        <w:rPr>
          <w:rFonts w:eastAsiaTheme="minorEastAsia" w:cstheme="minorBidi"/>
          <w:noProof w:val="0"/>
          <w:lang w:val="en-US" w:eastAsia="es-CR"/>
        </w:rPr>
      </w:pPr>
      <w:hyperlink w:anchor="_Toc46937293" w:history="1">
        <w:r w:rsidR="00C254BF" w:rsidRPr="00785D06">
          <w:rPr>
            <w:rStyle w:val="Hipervnculo"/>
            <w:noProof w:val="0"/>
            <w:color w:val="auto"/>
            <w:lang w:val="en-US"/>
          </w:rPr>
          <w:t>VII.1</w:t>
        </w:r>
      </w:hyperlink>
      <w:r w:rsidR="00971ADC" w:rsidRPr="00785D06">
        <w:rPr>
          <w:rStyle w:val="Hipervnculo"/>
          <w:noProof w:val="0"/>
          <w:color w:val="auto"/>
          <w:u w:val="none"/>
          <w:lang w:val="en-US"/>
        </w:rPr>
        <w:t xml:space="preserve"> </w:t>
      </w:r>
      <w:r w:rsidR="00485212" w:rsidRPr="00785D06">
        <w:rPr>
          <w:rStyle w:val="Hipervnculo"/>
          <w:noProof w:val="0"/>
          <w:color w:val="auto"/>
          <w:u w:val="none"/>
          <w:lang w:val="en-US"/>
        </w:rPr>
        <w:t xml:space="preserve">A </w:t>
      </w:r>
      <w:r w:rsidR="00C254BF" w:rsidRPr="00785D06">
        <w:rPr>
          <w:rStyle w:val="Hipervnculo"/>
          <w:noProof w:val="0"/>
          <w:color w:val="auto"/>
          <w:u w:val="none"/>
          <w:lang w:val="en-US"/>
        </w:rPr>
        <w:t>CHILD</w:t>
      </w:r>
      <w:r w:rsidR="00485212" w:rsidRPr="00785D06">
        <w:rPr>
          <w:rStyle w:val="Hipervnculo"/>
          <w:noProof w:val="0"/>
          <w:color w:val="auto"/>
          <w:u w:val="none"/>
          <w:lang w:val="en-US"/>
        </w:rPr>
        <w:t>'S RIGHT</w:t>
      </w:r>
      <w:r w:rsidR="00C254BF" w:rsidRPr="00785D06">
        <w:rPr>
          <w:rStyle w:val="Hipervnculo"/>
          <w:noProof w:val="0"/>
          <w:color w:val="auto"/>
          <w:u w:val="none"/>
          <w:lang w:val="en-US"/>
        </w:rPr>
        <w:t xml:space="preserve"> TO </w:t>
      </w:r>
      <w:hyperlink w:anchor="_Toc46937294" w:history="1">
        <w:r w:rsidR="00C254BF" w:rsidRPr="00785D06">
          <w:rPr>
            <w:rStyle w:val="Hipervnculo"/>
            <w:noProof w:val="0"/>
            <w:color w:val="auto"/>
            <w:lang w:val="en-US"/>
          </w:rPr>
          <w:t xml:space="preserve">A LIFE </w:t>
        </w:r>
        <w:r w:rsidR="00971ADC" w:rsidRPr="00785D06">
          <w:rPr>
            <w:rStyle w:val="Hipervnculo"/>
            <w:noProof w:val="0"/>
            <w:color w:val="auto"/>
            <w:lang w:val="en-US"/>
          </w:rPr>
          <w:t xml:space="preserve">FREE </w:t>
        </w:r>
        <w:r w:rsidR="006324B7" w:rsidRPr="00785D06">
          <w:rPr>
            <w:rStyle w:val="Hipervnculo"/>
            <w:noProof w:val="0"/>
            <w:color w:val="auto"/>
            <w:lang w:val="en-US"/>
          </w:rPr>
          <w:t>from</w:t>
        </w:r>
        <w:r w:rsidR="00971ADC" w:rsidRPr="00785D06">
          <w:rPr>
            <w:rStyle w:val="Hipervnculo"/>
            <w:noProof w:val="0"/>
            <w:color w:val="auto"/>
            <w:lang w:val="en-US"/>
          </w:rPr>
          <w:t xml:space="preserve"> SEXUA</w:t>
        </w:r>
        <w:r w:rsidR="006324B7" w:rsidRPr="00785D06">
          <w:rPr>
            <w:rStyle w:val="Hipervnculo"/>
            <w:noProof w:val="0"/>
            <w:color w:val="auto"/>
            <w:lang w:val="en-US"/>
          </w:rPr>
          <w:t xml:space="preserve">L VIOLENCE </w:t>
        </w:r>
        <w:r w:rsidR="00E50DB8" w:rsidRPr="00785D06">
          <w:rPr>
            <w:rStyle w:val="Hipervnculo"/>
            <w:noProof w:val="0"/>
            <w:color w:val="auto"/>
            <w:lang w:val="en-US"/>
          </w:rPr>
          <w:t>AT</w:t>
        </w:r>
        <w:r w:rsidR="006324B7" w:rsidRPr="00785D06">
          <w:rPr>
            <w:rStyle w:val="Hipervnculo"/>
            <w:noProof w:val="0"/>
            <w:color w:val="auto"/>
            <w:lang w:val="en-US"/>
          </w:rPr>
          <w:t xml:space="preserve"> SCH</w:t>
        </w:r>
        <w:r w:rsidR="00E50DB8" w:rsidRPr="00785D06">
          <w:rPr>
            <w:rStyle w:val="Hipervnculo"/>
            <w:noProof w:val="0"/>
            <w:color w:val="auto"/>
            <w:lang w:val="en-US"/>
          </w:rPr>
          <w:t xml:space="preserve">OOL </w:t>
        </w:r>
        <w:r w:rsidR="00C254BF" w:rsidRPr="00785D06">
          <w:rPr>
            <w:noProof w:val="0"/>
            <w:webHidden/>
            <w:lang w:val="en-US"/>
          </w:rPr>
          <w:tab/>
        </w:r>
        <w:r w:rsidR="00C254BF" w:rsidRPr="00785D06">
          <w:rPr>
            <w:noProof w:val="0"/>
            <w:webHidden/>
            <w:lang w:val="en-US"/>
          </w:rPr>
          <w:fldChar w:fldCharType="begin"/>
        </w:r>
        <w:r w:rsidR="00C254BF" w:rsidRPr="00785D06">
          <w:rPr>
            <w:noProof w:val="0"/>
            <w:webHidden/>
            <w:lang w:val="en-US"/>
          </w:rPr>
          <w:instrText xml:space="preserve"> PAGEREF _Toc46937294 \h </w:instrText>
        </w:r>
        <w:r w:rsidR="00C254BF" w:rsidRPr="00785D06">
          <w:rPr>
            <w:noProof w:val="0"/>
            <w:webHidden/>
            <w:lang w:val="en-US"/>
          </w:rPr>
        </w:r>
        <w:r w:rsidR="00C254BF" w:rsidRPr="00785D06">
          <w:rPr>
            <w:noProof w:val="0"/>
            <w:webHidden/>
            <w:lang w:val="en-US"/>
          </w:rPr>
          <w:fldChar w:fldCharType="separate"/>
        </w:r>
        <w:r w:rsidR="00C223D9">
          <w:rPr>
            <w:webHidden/>
            <w:lang w:val="en-US"/>
          </w:rPr>
          <w:t>26</w:t>
        </w:r>
        <w:r w:rsidR="00C254BF" w:rsidRPr="00785D06">
          <w:rPr>
            <w:noProof w:val="0"/>
            <w:webHidden/>
            <w:lang w:val="en-US"/>
          </w:rPr>
          <w:fldChar w:fldCharType="end"/>
        </w:r>
      </w:hyperlink>
    </w:p>
    <w:p w14:paraId="35172695" w14:textId="5143F816" w:rsidR="00C254BF" w:rsidRPr="00785D06" w:rsidRDefault="008E6839" w:rsidP="00C254BF">
      <w:pPr>
        <w:pStyle w:val="TDC2"/>
        <w:tabs>
          <w:tab w:val="left" w:pos="640"/>
          <w:tab w:val="right" w:leader="dot" w:pos="8828"/>
        </w:tabs>
        <w:jc w:val="both"/>
        <w:rPr>
          <w:rFonts w:ascii="Verdana" w:eastAsiaTheme="minorEastAsia" w:hAnsi="Verdana" w:cstheme="minorBidi"/>
          <w:smallCaps w:val="0"/>
          <w:lang w:val="en-US" w:eastAsia="es-CR"/>
        </w:rPr>
      </w:pPr>
      <w:hyperlink w:anchor="_Toc46937295" w:history="1">
        <w:r w:rsidR="00C254BF" w:rsidRPr="00785D06">
          <w:rPr>
            <w:rStyle w:val="Hipervnculo"/>
            <w:rFonts w:ascii="Verdana" w:hAnsi="Verdana"/>
            <w:b/>
            <w:i/>
            <w:color w:val="auto"/>
            <w:lang w:val="en-US"/>
          </w:rPr>
          <w:t>A.</w:t>
        </w:r>
        <w:r w:rsidR="00C254BF" w:rsidRPr="00785D06">
          <w:rPr>
            <w:rFonts w:ascii="Verdana" w:eastAsiaTheme="minorEastAsia" w:hAnsi="Verdana" w:cstheme="minorBidi"/>
            <w:smallCaps w:val="0"/>
            <w:lang w:val="en-US" w:eastAsia="es-CR"/>
          </w:rPr>
          <w:tab/>
        </w:r>
        <w:r w:rsidR="00C254BF" w:rsidRPr="00785D06">
          <w:rPr>
            <w:rStyle w:val="Hipervnculo"/>
            <w:rFonts w:ascii="Verdana" w:hAnsi="Verdana"/>
            <w:b/>
            <w:i/>
            <w:color w:val="auto"/>
            <w:lang w:val="en-US"/>
          </w:rPr>
          <w:t xml:space="preserve">Arguments of the </w:t>
        </w:r>
        <w:r w:rsidR="00485212" w:rsidRPr="00785D06">
          <w:rPr>
            <w:rStyle w:val="Hipervnculo"/>
            <w:rFonts w:ascii="Verdana" w:hAnsi="Verdana"/>
            <w:b/>
            <w:i/>
            <w:color w:val="auto"/>
            <w:lang w:val="en-US"/>
          </w:rPr>
          <w:t xml:space="preserve">parties and the </w:t>
        </w:r>
        <w:r w:rsidR="00C254BF" w:rsidRPr="00785D06">
          <w:rPr>
            <w:rStyle w:val="Hipervnculo"/>
            <w:rFonts w:ascii="Verdana" w:hAnsi="Verdana"/>
            <w:b/>
            <w:i/>
            <w:color w:val="auto"/>
            <w:lang w:val="en-US"/>
          </w:rPr>
          <w:t>Commission</w:t>
        </w:r>
        <w:r w:rsidR="00C254BF" w:rsidRPr="00785D06">
          <w:rPr>
            <w:rFonts w:ascii="Verdana" w:hAnsi="Verdana"/>
            <w:webHidden/>
            <w:lang w:val="en-US"/>
          </w:rPr>
          <w:tab/>
        </w:r>
        <w:r w:rsidR="00C254BF" w:rsidRPr="00785D06">
          <w:rPr>
            <w:rFonts w:ascii="Verdana" w:hAnsi="Verdana"/>
            <w:webHidden/>
            <w:lang w:val="en-US"/>
          </w:rPr>
          <w:fldChar w:fldCharType="begin"/>
        </w:r>
        <w:r w:rsidR="00C254BF" w:rsidRPr="00785D06">
          <w:rPr>
            <w:rFonts w:ascii="Verdana" w:hAnsi="Verdana"/>
            <w:webHidden/>
            <w:lang w:val="en-US"/>
          </w:rPr>
          <w:instrText xml:space="preserve"> PAGEREF _Toc46937295 \h </w:instrText>
        </w:r>
        <w:r w:rsidR="00C254BF" w:rsidRPr="00785D06">
          <w:rPr>
            <w:rFonts w:ascii="Verdana" w:hAnsi="Verdana"/>
            <w:webHidden/>
            <w:lang w:val="en-US"/>
          </w:rPr>
        </w:r>
        <w:r w:rsidR="00C254BF" w:rsidRPr="00785D06">
          <w:rPr>
            <w:rFonts w:ascii="Verdana" w:hAnsi="Verdana"/>
            <w:webHidden/>
            <w:lang w:val="en-US"/>
          </w:rPr>
          <w:fldChar w:fldCharType="separate"/>
        </w:r>
        <w:r w:rsidR="00C223D9">
          <w:rPr>
            <w:rFonts w:ascii="Verdana" w:hAnsi="Verdana"/>
            <w:noProof/>
            <w:webHidden/>
            <w:lang w:val="en-US"/>
          </w:rPr>
          <w:t>26</w:t>
        </w:r>
        <w:r w:rsidR="00C254BF" w:rsidRPr="00785D06">
          <w:rPr>
            <w:rFonts w:ascii="Verdana" w:hAnsi="Verdana"/>
            <w:webHidden/>
            <w:lang w:val="en-US"/>
          </w:rPr>
          <w:fldChar w:fldCharType="end"/>
        </w:r>
      </w:hyperlink>
    </w:p>
    <w:p w14:paraId="542FEB8F" w14:textId="5D482028" w:rsidR="00C254BF" w:rsidRPr="00785D06" w:rsidRDefault="008E6839" w:rsidP="00C254BF">
      <w:pPr>
        <w:pStyle w:val="TDC2"/>
        <w:tabs>
          <w:tab w:val="left" w:pos="640"/>
          <w:tab w:val="right" w:leader="dot" w:pos="8828"/>
        </w:tabs>
        <w:jc w:val="both"/>
        <w:rPr>
          <w:rFonts w:ascii="Verdana" w:eastAsiaTheme="minorEastAsia" w:hAnsi="Verdana" w:cstheme="minorBidi"/>
          <w:smallCaps w:val="0"/>
          <w:lang w:val="en-US" w:eastAsia="es-CR"/>
        </w:rPr>
      </w:pPr>
      <w:hyperlink w:anchor="_Toc46937296" w:history="1">
        <w:r w:rsidR="00C254BF" w:rsidRPr="00785D06">
          <w:rPr>
            <w:rStyle w:val="Hipervnculo"/>
            <w:rFonts w:ascii="Verdana" w:hAnsi="Verdana"/>
            <w:b/>
            <w:i/>
            <w:color w:val="auto"/>
            <w:lang w:val="en-US"/>
          </w:rPr>
          <w:t>B.</w:t>
        </w:r>
        <w:r w:rsidR="00C254BF" w:rsidRPr="00785D06">
          <w:rPr>
            <w:rFonts w:ascii="Verdana" w:eastAsiaTheme="minorEastAsia" w:hAnsi="Verdana" w:cstheme="minorBidi"/>
            <w:smallCaps w:val="0"/>
            <w:lang w:val="en-US" w:eastAsia="es-CR"/>
          </w:rPr>
          <w:tab/>
        </w:r>
        <w:r w:rsidR="00C254BF" w:rsidRPr="00785D06">
          <w:rPr>
            <w:rStyle w:val="Hipervnculo"/>
            <w:rFonts w:ascii="Verdana" w:hAnsi="Verdana"/>
            <w:b/>
            <w:i/>
            <w:color w:val="auto"/>
            <w:lang w:val="en-US"/>
          </w:rPr>
          <w:t>Considerations of the Court</w:t>
        </w:r>
        <w:r w:rsidR="00C254BF" w:rsidRPr="00785D06">
          <w:rPr>
            <w:rFonts w:ascii="Verdana" w:hAnsi="Verdana"/>
            <w:webHidden/>
            <w:lang w:val="en-US"/>
          </w:rPr>
          <w:tab/>
        </w:r>
        <w:r w:rsidR="00C254BF" w:rsidRPr="00785D06">
          <w:rPr>
            <w:rFonts w:ascii="Verdana" w:hAnsi="Verdana"/>
            <w:webHidden/>
            <w:lang w:val="en-US"/>
          </w:rPr>
          <w:fldChar w:fldCharType="begin"/>
        </w:r>
        <w:r w:rsidR="00C254BF" w:rsidRPr="00785D06">
          <w:rPr>
            <w:rFonts w:ascii="Verdana" w:hAnsi="Verdana"/>
            <w:webHidden/>
            <w:lang w:val="en-US"/>
          </w:rPr>
          <w:instrText xml:space="preserve"> PAGEREF _Toc46937296 \h </w:instrText>
        </w:r>
        <w:r w:rsidR="00C254BF" w:rsidRPr="00785D06">
          <w:rPr>
            <w:rFonts w:ascii="Verdana" w:hAnsi="Verdana"/>
            <w:webHidden/>
            <w:lang w:val="en-US"/>
          </w:rPr>
        </w:r>
        <w:r w:rsidR="00C254BF" w:rsidRPr="00785D06">
          <w:rPr>
            <w:rFonts w:ascii="Verdana" w:hAnsi="Verdana"/>
            <w:webHidden/>
            <w:lang w:val="en-US"/>
          </w:rPr>
          <w:fldChar w:fldCharType="separate"/>
        </w:r>
        <w:r w:rsidR="00C223D9">
          <w:rPr>
            <w:rFonts w:ascii="Verdana" w:hAnsi="Verdana"/>
            <w:noProof/>
            <w:webHidden/>
            <w:lang w:val="en-US"/>
          </w:rPr>
          <w:t>30</w:t>
        </w:r>
        <w:r w:rsidR="00C254BF" w:rsidRPr="00785D06">
          <w:rPr>
            <w:rFonts w:ascii="Verdana" w:hAnsi="Verdana"/>
            <w:webHidden/>
            <w:lang w:val="en-US"/>
          </w:rPr>
          <w:fldChar w:fldCharType="end"/>
        </w:r>
      </w:hyperlink>
    </w:p>
    <w:p w14:paraId="4D6CA716" w14:textId="1D38A42C" w:rsidR="00C254BF" w:rsidRPr="00785D06" w:rsidRDefault="008E6839" w:rsidP="00C254BF">
      <w:pPr>
        <w:pStyle w:val="TDC3"/>
        <w:tabs>
          <w:tab w:val="right" w:leader="dot" w:pos="8828"/>
        </w:tabs>
        <w:jc w:val="both"/>
        <w:rPr>
          <w:rFonts w:ascii="Verdana" w:eastAsiaTheme="minorEastAsia" w:hAnsi="Verdana" w:cstheme="minorBidi"/>
          <w:i w:val="0"/>
          <w:iCs w:val="0"/>
          <w:lang w:val="en-US" w:eastAsia="es-CR"/>
        </w:rPr>
      </w:pPr>
      <w:hyperlink w:anchor="_Toc46937297" w:history="1">
        <w:r w:rsidR="00C254BF" w:rsidRPr="00785D06">
          <w:rPr>
            <w:rStyle w:val="Hipervnculo"/>
            <w:rFonts w:ascii="Verdana" w:hAnsi="Verdana"/>
            <w:color w:val="auto"/>
            <w:lang w:val="en-US"/>
          </w:rPr>
          <w:t>B.1 The right of girls to a</w:t>
        </w:r>
        <w:r w:rsidR="004A7A7C" w:rsidRPr="00785D06">
          <w:rPr>
            <w:rStyle w:val="Hipervnculo"/>
            <w:rFonts w:ascii="Verdana" w:hAnsi="Verdana"/>
            <w:color w:val="auto"/>
            <w:lang w:val="en-US"/>
          </w:rPr>
          <w:t xml:space="preserve"> life free </w:t>
        </w:r>
        <w:r w:rsidR="00485212" w:rsidRPr="00785D06">
          <w:rPr>
            <w:rStyle w:val="Hipervnculo"/>
            <w:rFonts w:ascii="Verdana" w:hAnsi="Verdana"/>
            <w:color w:val="auto"/>
            <w:lang w:val="en-US"/>
          </w:rPr>
          <w:t>f</w:t>
        </w:r>
        <w:r w:rsidR="004A7A7C" w:rsidRPr="00785D06">
          <w:rPr>
            <w:rStyle w:val="Hipervnculo"/>
            <w:rFonts w:ascii="Verdana" w:hAnsi="Verdana"/>
            <w:color w:val="auto"/>
            <w:lang w:val="en-US"/>
          </w:rPr>
          <w:t>rom</w:t>
        </w:r>
        <w:r w:rsidR="00485212" w:rsidRPr="00785D06">
          <w:rPr>
            <w:rStyle w:val="Hipervnculo"/>
            <w:rFonts w:ascii="Verdana" w:hAnsi="Verdana"/>
            <w:color w:val="auto"/>
            <w:lang w:val="en-US"/>
          </w:rPr>
          <w:t xml:space="preserve"> sexual violence at</w:t>
        </w:r>
        <w:r w:rsidR="00C254BF" w:rsidRPr="00785D06">
          <w:rPr>
            <w:rStyle w:val="Hipervnculo"/>
            <w:rFonts w:ascii="Verdana" w:hAnsi="Verdana"/>
            <w:color w:val="auto"/>
            <w:lang w:val="en-US"/>
          </w:rPr>
          <w:t xml:space="preserve"> </w:t>
        </w:r>
        <w:r w:rsidR="00485212" w:rsidRPr="00785D06">
          <w:rPr>
            <w:rStyle w:val="Hipervnculo"/>
            <w:rFonts w:ascii="Verdana" w:hAnsi="Verdana"/>
            <w:color w:val="auto"/>
            <w:lang w:val="en-US"/>
          </w:rPr>
          <w:t>school</w:t>
        </w:r>
        <w:r w:rsidR="00C254BF" w:rsidRPr="00785D06">
          <w:rPr>
            <w:rFonts w:ascii="Verdana" w:hAnsi="Verdana"/>
            <w:webHidden/>
            <w:lang w:val="en-US"/>
          </w:rPr>
          <w:tab/>
        </w:r>
        <w:r w:rsidR="00C254BF" w:rsidRPr="00785D06">
          <w:rPr>
            <w:rFonts w:ascii="Verdana" w:hAnsi="Verdana"/>
            <w:i w:val="0"/>
            <w:webHidden/>
            <w:lang w:val="en-US"/>
          </w:rPr>
          <w:fldChar w:fldCharType="begin"/>
        </w:r>
        <w:r w:rsidR="00C254BF" w:rsidRPr="00785D06">
          <w:rPr>
            <w:rFonts w:ascii="Verdana" w:hAnsi="Verdana"/>
            <w:i w:val="0"/>
            <w:webHidden/>
            <w:lang w:val="en-US"/>
          </w:rPr>
          <w:instrText xml:space="preserve"> PAGEREF _Toc46937297 \h </w:instrText>
        </w:r>
        <w:r w:rsidR="00C254BF" w:rsidRPr="00785D06">
          <w:rPr>
            <w:rFonts w:ascii="Verdana" w:hAnsi="Verdana"/>
            <w:i w:val="0"/>
            <w:webHidden/>
            <w:lang w:val="en-US"/>
          </w:rPr>
        </w:r>
        <w:r w:rsidR="00C254BF" w:rsidRPr="00785D06">
          <w:rPr>
            <w:rFonts w:ascii="Verdana" w:hAnsi="Verdana"/>
            <w:i w:val="0"/>
            <w:webHidden/>
            <w:lang w:val="en-US"/>
          </w:rPr>
          <w:fldChar w:fldCharType="separate"/>
        </w:r>
        <w:r w:rsidR="00C223D9">
          <w:rPr>
            <w:rFonts w:ascii="Verdana" w:hAnsi="Verdana"/>
            <w:i w:val="0"/>
            <w:noProof/>
            <w:webHidden/>
            <w:lang w:val="en-US"/>
          </w:rPr>
          <w:t>31</w:t>
        </w:r>
        <w:r w:rsidR="00C254BF" w:rsidRPr="00785D06">
          <w:rPr>
            <w:rFonts w:ascii="Verdana" w:hAnsi="Verdana"/>
            <w:i w:val="0"/>
            <w:webHidden/>
            <w:lang w:val="en-US"/>
          </w:rPr>
          <w:fldChar w:fldCharType="end"/>
        </w:r>
      </w:hyperlink>
    </w:p>
    <w:p w14:paraId="5C52E489" w14:textId="710B32C8" w:rsidR="00C254BF" w:rsidRPr="00785D06" w:rsidRDefault="008E6839" w:rsidP="00C254BF">
      <w:pPr>
        <w:pStyle w:val="TDC3"/>
        <w:tabs>
          <w:tab w:val="right" w:leader="dot" w:pos="8828"/>
        </w:tabs>
        <w:jc w:val="both"/>
        <w:rPr>
          <w:rFonts w:ascii="Verdana" w:eastAsiaTheme="minorEastAsia" w:hAnsi="Verdana" w:cstheme="minorBidi"/>
          <w:i w:val="0"/>
          <w:iCs w:val="0"/>
          <w:lang w:val="en-US" w:eastAsia="es-CR"/>
        </w:rPr>
      </w:pPr>
      <w:hyperlink w:anchor="_Toc46937298" w:history="1">
        <w:r w:rsidR="00C254BF" w:rsidRPr="00785D06">
          <w:rPr>
            <w:rStyle w:val="Hipervnculo"/>
            <w:rFonts w:ascii="Verdana" w:hAnsi="Verdana"/>
            <w:color w:val="auto"/>
            <w:lang w:val="en-US"/>
          </w:rPr>
          <w:t>B.2 Sexual violence suffered by Paola Guzmán Albarracín</w:t>
        </w:r>
        <w:r w:rsidR="00C254BF" w:rsidRPr="00785D06">
          <w:rPr>
            <w:rFonts w:ascii="Verdana" w:hAnsi="Verdana"/>
            <w:webHidden/>
            <w:lang w:val="en-US"/>
          </w:rPr>
          <w:tab/>
        </w:r>
        <w:r w:rsidR="00C254BF" w:rsidRPr="00785D06">
          <w:rPr>
            <w:rFonts w:ascii="Verdana" w:hAnsi="Verdana"/>
            <w:i w:val="0"/>
            <w:webHidden/>
            <w:lang w:val="en-US"/>
          </w:rPr>
          <w:fldChar w:fldCharType="begin"/>
        </w:r>
        <w:r w:rsidR="00C254BF" w:rsidRPr="00785D06">
          <w:rPr>
            <w:rFonts w:ascii="Verdana" w:hAnsi="Verdana"/>
            <w:i w:val="0"/>
            <w:webHidden/>
            <w:lang w:val="en-US"/>
          </w:rPr>
          <w:instrText xml:space="preserve"> PAGEREF _Toc46937298 \h </w:instrText>
        </w:r>
        <w:r w:rsidR="00C254BF" w:rsidRPr="00785D06">
          <w:rPr>
            <w:rFonts w:ascii="Verdana" w:hAnsi="Verdana"/>
            <w:i w:val="0"/>
            <w:webHidden/>
            <w:lang w:val="en-US"/>
          </w:rPr>
        </w:r>
        <w:r w:rsidR="00C254BF" w:rsidRPr="00785D06">
          <w:rPr>
            <w:rFonts w:ascii="Verdana" w:hAnsi="Verdana"/>
            <w:i w:val="0"/>
            <w:webHidden/>
            <w:lang w:val="en-US"/>
          </w:rPr>
          <w:fldChar w:fldCharType="separate"/>
        </w:r>
        <w:r w:rsidR="00C223D9">
          <w:rPr>
            <w:rFonts w:ascii="Verdana" w:hAnsi="Verdana"/>
            <w:i w:val="0"/>
            <w:noProof/>
            <w:webHidden/>
            <w:lang w:val="en-US"/>
          </w:rPr>
          <w:t>37</w:t>
        </w:r>
        <w:r w:rsidR="00C254BF" w:rsidRPr="00785D06">
          <w:rPr>
            <w:rFonts w:ascii="Verdana" w:hAnsi="Verdana"/>
            <w:i w:val="0"/>
            <w:webHidden/>
            <w:lang w:val="en-US"/>
          </w:rPr>
          <w:fldChar w:fldCharType="end"/>
        </w:r>
      </w:hyperlink>
    </w:p>
    <w:p w14:paraId="73164B09" w14:textId="2B5FE580" w:rsidR="00C254BF" w:rsidRPr="00785D06" w:rsidRDefault="008E6839" w:rsidP="00C254BF">
      <w:pPr>
        <w:pStyle w:val="TDC4"/>
        <w:tabs>
          <w:tab w:val="right" w:leader="dot" w:pos="8828"/>
        </w:tabs>
        <w:jc w:val="both"/>
        <w:rPr>
          <w:rFonts w:ascii="Verdana" w:eastAsiaTheme="minorEastAsia" w:hAnsi="Verdana" w:cstheme="minorBidi"/>
          <w:sz w:val="20"/>
          <w:szCs w:val="20"/>
          <w:lang w:val="en-US" w:eastAsia="es-CR"/>
        </w:rPr>
      </w:pPr>
      <w:hyperlink w:anchor="_Toc46937299" w:history="1">
        <w:r w:rsidR="00C254BF" w:rsidRPr="00785D06">
          <w:rPr>
            <w:rStyle w:val="Hipervnculo"/>
            <w:rFonts w:ascii="Verdana" w:hAnsi="Verdana"/>
            <w:i/>
            <w:color w:val="auto"/>
            <w:sz w:val="20"/>
            <w:szCs w:val="20"/>
            <w:lang w:val="en-US"/>
          </w:rPr>
          <w:t xml:space="preserve">B.2.1 </w:t>
        </w:r>
        <w:r w:rsidR="00971ADC" w:rsidRPr="00785D06">
          <w:rPr>
            <w:rStyle w:val="Hipervnculo"/>
            <w:rFonts w:ascii="Verdana" w:hAnsi="Verdana"/>
            <w:i/>
            <w:color w:val="auto"/>
            <w:sz w:val="20"/>
            <w:szCs w:val="20"/>
            <w:lang w:val="en-US"/>
          </w:rPr>
          <w:t>E</w:t>
        </w:r>
        <w:r w:rsidR="005F5C83" w:rsidRPr="00785D06">
          <w:rPr>
            <w:rStyle w:val="Hipervnculo"/>
            <w:rFonts w:ascii="Verdana" w:hAnsi="Verdana"/>
            <w:i/>
            <w:color w:val="auto"/>
            <w:sz w:val="20"/>
            <w:szCs w:val="20"/>
            <w:lang w:val="en-US"/>
          </w:rPr>
          <w:t>xploitation</w:t>
        </w:r>
        <w:r w:rsidR="00C254BF" w:rsidRPr="00785D06">
          <w:rPr>
            <w:rStyle w:val="Hipervnculo"/>
            <w:rFonts w:ascii="Verdana" w:hAnsi="Verdana"/>
            <w:i/>
            <w:color w:val="auto"/>
            <w:sz w:val="20"/>
            <w:szCs w:val="20"/>
            <w:lang w:val="en-US"/>
          </w:rPr>
          <w:t xml:space="preserve"> of a relationship of power and </w:t>
        </w:r>
        <w:r w:rsidR="001218A0" w:rsidRPr="00785D06">
          <w:rPr>
            <w:rStyle w:val="Hipervnculo"/>
            <w:rFonts w:ascii="Verdana" w:hAnsi="Verdana"/>
            <w:i/>
            <w:color w:val="auto"/>
            <w:sz w:val="20"/>
            <w:szCs w:val="20"/>
            <w:lang w:val="en-US"/>
          </w:rPr>
          <w:t xml:space="preserve">a </w:t>
        </w:r>
        <w:r w:rsidR="00C254BF" w:rsidRPr="00785D06">
          <w:rPr>
            <w:rStyle w:val="Hipervnculo"/>
            <w:rFonts w:ascii="Verdana" w:hAnsi="Verdana"/>
            <w:i/>
            <w:color w:val="auto"/>
            <w:sz w:val="20"/>
            <w:szCs w:val="20"/>
            <w:lang w:val="en-US"/>
          </w:rPr>
          <w:t>situation of vulnerability</w:t>
        </w:r>
        <w:r w:rsidR="00C254BF" w:rsidRPr="00785D06">
          <w:rPr>
            <w:rFonts w:ascii="Verdana" w:hAnsi="Verdana"/>
            <w:webHidden/>
            <w:sz w:val="20"/>
            <w:szCs w:val="20"/>
            <w:lang w:val="en-US"/>
          </w:rPr>
          <w:tab/>
        </w:r>
        <w:r w:rsidR="00C254BF" w:rsidRPr="00785D06">
          <w:rPr>
            <w:rFonts w:ascii="Verdana" w:hAnsi="Verdana"/>
            <w:webHidden/>
            <w:sz w:val="20"/>
            <w:szCs w:val="20"/>
            <w:lang w:val="en-US"/>
          </w:rPr>
          <w:fldChar w:fldCharType="begin"/>
        </w:r>
        <w:r w:rsidR="00C254BF" w:rsidRPr="00785D06">
          <w:rPr>
            <w:rFonts w:ascii="Verdana" w:hAnsi="Verdana"/>
            <w:webHidden/>
            <w:sz w:val="20"/>
            <w:szCs w:val="20"/>
            <w:lang w:val="en-US"/>
          </w:rPr>
          <w:instrText xml:space="preserve"> PAGEREF _Toc46937299 \h </w:instrText>
        </w:r>
        <w:r w:rsidR="00C254BF" w:rsidRPr="00785D06">
          <w:rPr>
            <w:rFonts w:ascii="Verdana" w:hAnsi="Verdana"/>
            <w:webHidden/>
            <w:sz w:val="20"/>
            <w:szCs w:val="20"/>
            <w:lang w:val="en-US"/>
          </w:rPr>
        </w:r>
        <w:r w:rsidR="00C254BF" w:rsidRPr="00785D06">
          <w:rPr>
            <w:rFonts w:ascii="Verdana" w:hAnsi="Verdana"/>
            <w:webHidden/>
            <w:sz w:val="20"/>
            <w:szCs w:val="20"/>
            <w:lang w:val="en-US"/>
          </w:rPr>
          <w:fldChar w:fldCharType="separate"/>
        </w:r>
        <w:r w:rsidR="00C223D9">
          <w:rPr>
            <w:rFonts w:ascii="Verdana" w:hAnsi="Verdana"/>
            <w:noProof/>
            <w:webHidden/>
            <w:sz w:val="20"/>
            <w:szCs w:val="20"/>
            <w:lang w:val="en-US"/>
          </w:rPr>
          <w:t>39</w:t>
        </w:r>
        <w:r w:rsidR="00C254BF" w:rsidRPr="00785D06">
          <w:rPr>
            <w:rFonts w:ascii="Verdana" w:hAnsi="Verdana"/>
            <w:webHidden/>
            <w:sz w:val="20"/>
            <w:szCs w:val="20"/>
            <w:lang w:val="en-US"/>
          </w:rPr>
          <w:fldChar w:fldCharType="end"/>
        </w:r>
      </w:hyperlink>
    </w:p>
    <w:p w14:paraId="39498E5B" w14:textId="68C4D8C1" w:rsidR="00C254BF" w:rsidRPr="00785D06" w:rsidRDefault="008E6839" w:rsidP="00C254BF">
      <w:pPr>
        <w:pStyle w:val="TDC4"/>
        <w:tabs>
          <w:tab w:val="right" w:leader="dot" w:pos="8828"/>
        </w:tabs>
        <w:jc w:val="both"/>
        <w:rPr>
          <w:rFonts w:ascii="Verdana" w:eastAsiaTheme="minorEastAsia" w:hAnsi="Verdana" w:cstheme="minorBidi"/>
          <w:sz w:val="20"/>
          <w:szCs w:val="20"/>
          <w:lang w:val="en-US" w:eastAsia="es-CR"/>
        </w:rPr>
      </w:pPr>
      <w:hyperlink w:anchor="_Toc46937300" w:history="1">
        <w:r w:rsidR="00C254BF" w:rsidRPr="00785D06">
          <w:rPr>
            <w:rStyle w:val="Hipervnculo"/>
            <w:rFonts w:ascii="Verdana" w:hAnsi="Verdana"/>
            <w:i/>
            <w:color w:val="auto"/>
            <w:sz w:val="20"/>
            <w:szCs w:val="20"/>
            <w:lang w:val="en-US"/>
          </w:rPr>
          <w:t>B.2.2 T</w:t>
        </w:r>
        <w:r w:rsidR="00C61B03" w:rsidRPr="00785D06">
          <w:rPr>
            <w:rStyle w:val="Hipervnculo"/>
            <w:rFonts w:ascii="Verdana" w:hAnsi="Verdana"/>
            <w:i/>
            <w:color w:val="auto"/>
            <w:sz w:val="20"/>
            <w:szCs w:val="20"/>
            <w:lang w:val="en-US"/>
          </w:rPr>
          <w:t xml:space="preserve">he discriminatory nature of the </w:t>
        </w:r>
        <w:r w:rsidR="00C254BF" w:rsidRPr="00785D06">
          <w:rPr>
            <w:rStyle w:val="Hipervnculo"/>
            <w:rFonts w:ascii="Verdana" w:hAnsi="Verdana"/>
            <w:i/>
            <w:color w:val="auto"/>
            <w:sz w:val="20"/>
            <w:szCs w:val="20"/>
            <w:lang w:val="en-US"/>
          </w:rPr>
          <w:t>violence suffered</w:t>
        </w:r>
        <w:r w:rsidR="00C61B03" w:rsidRPr="00785D06">
          <w:rPr>
            <w:rStyle w:val="Hipervnculo"/>
            <w:rFonts w:ascii="Verdana" w:hAnsi="Verdana"/>
            <w:i/>
            <w:color w:val="auto"/>
            <w:sz w:val="20"/>
            <w:szCs w:val="20"/>
            <w:lang w:val="en-US"/>
          </w:rPr>
          <w:t xml:space="preserve"> by the victim</w:t>
        </w:r>
        <w:r w:rsidR="00C254BF" w:rsidRPr="00785D06">
          <w:rPr>
            <w:rFonts w:ascii="Verdana" w:hAnsi="Verdana"/>
            <w:webHidden/>
            <w:sz w:val="20"/>
            <w:szCs w:val="20"/>
            <w:lang w:val="en-US"/>
          </w:rPr>
          <w:tab/>
        </w:r>
        <w:r w:rsidR="00C254BF" w:rsidRPr="00785D06">
          <w:rPr>
            <w:rFonts w:ascii="Verdana" w:hAnsi="Verdana"/>
            <w:webHidden/>
            <w:sz w:val="20"/>
            <w:szCs w:val="20"/>
            <w:lang w:val="en-US"/>
          </w:rPr>
          <w:fldChar w:fldCharType="begin"/>
        </w:r>
        <w:r w:rsidR="00C254BF" w:rsidRPr="00785D06">
          <w:rPr>
            <w:rFonts w:ascii="Verdana" w:hAnsi="Verdana"/>
            <w:webHidden/>
            <w:sz w:val="20"/>
            <w:szCs w:val="20"/>
            <w:lang w:val="en-US"/>
          </w:rPr>
          <w:instrText xml:space="preserve"> PAGEREF _Toc46937300 \h </w:instrText>
        </w:r>
        <w:r w:rsidR="00C254BF" w:rsidRPr="00785D06">
          <w:rPr>
            <w:rFonts w:ascii="Verdana" w:hAnsi="Verdana"/>
            <w:webHidden/>
            <w:sz w:val="20"/>
            <w:szCs w:val="20"/>
            <w:lang w:val="en-US"/>
          </w:rPr>
        </w:r>
        <w:r w:rsidR="00C254BF" w:rsidRPr="00785D06">
          <w:rPr>
            <w:rFonts w:ascii="Verdana" w:hAnsi="Verdana"/>
            <w:webHidden/>
            <w:sz w:val="20"/>
            <w:szCs w:val="20"/>
            <w:lang w:val="en-US"/>
          </w:rPr>
          <w:fldChar w:fldCharType="separate"/>
        </w:r>
        <w:r w:rsidR="00C223D9">
          <w:rPr>
            <w:rFonts w:ascii="Verdana" w:hAnsi="Verdana"/>
            <w:noProof/>
            <w:webHidden/>
            <w:sz w:val="20"/>
            <w:szCs w:val="20"/>
            <w:lang w:val="en-US"/>
          </w:rPr>
          <w:t>43</w:t>
        </w:r>
        <w:r w:rsidR="00C254BF" w:rsidRPr="00785D06">
          <w:rPr>
            <w:rFonts w:ascii="Verdana" w:hAnsi="Verdana"/>
            <w:webHidden/>
            <w:sz w:val="20"/>
            <w:szCs w:val="20"/>
            <w:lang w:val="en-US"/>
          </w:rPr>
          <w:fldChar w:fldCharType="end"/>
        </w:r>
      </w:hyperlink>
    </w:p>
    <w:p w14:paraId="55E71D16" w14:textId="6E2542D5" w:rsidR="00C254BF" w:rsidRPr="00785D06" w:rsidRDefault="008E6839" w:rsidP="00C254BF">
      <w:pPr>
        <w:pStyle w:val="TDC4"/>
        <w:tabs>
          <w:tab w:val="right" w:leader="dot" w:pos="8828"/>
        </w:tabs>
        <w:jc w:val="both"/>
        <w:rPr>
          <w:rFonts w:ascii="Verdana" w:eastAsiaTheme="minorEastAsia" w:hAnsi="Verdana" w:cstheme="minorBidi"/>
          <w:sz w:val="20"/>
          <w:szCs w:val="20"/>
          <w:lang w:val="en-US" w:eastAsia="es-CR"/>
        </w:rPr>
      </w:pPr>
      <w:hyperlink w:anchor="_Toc46937301" w:history="1">
        <w:r w:rsidR="00C254BF" w:rsidRPr="00785D06">
          <w:rPr>
            <w:rStyle w:val="Hipervnculo"/>
            <w:rFonts w:ascii="Verdana" w:hAnsi="Verdana"/>
            <w:i/>
            <w:color w:val="auto"/>
            <w:sz w:val="20"/>
            <w:szCs w:val="20"/>
            <w:lang w:val="en-US"/>
          </w:rPr>
          <w:t>B.2.3 Conclusion</w:t>
        </w:r>
        <w:r w:rsidR="00EB49F1" w:rsidRPr="00785D06">
          <w:rPr>
            <w:rStyle w:val="Hipervnculo"/>
            <w:rFonts w:ascii="Verdana" w:hAnsi="Verdana"/>
            <w:i/>
            <w:color w:val="auto"/>
            <w:sz w:val="20"/>
            <w:szCs w:val="20"/>
            <w:lang w:val="en-US"/>
          </w:rPr>
          <w:t>s</w:t>
        </w:r>
        <w:r w:rsidR="00C254BF" w:rsidRPr="00785D06">
          <w:rPr>
            <w:rStyle w:val="Hipervnculo"/>
            <w:rFonts w:ascii="Verdana" w:hAnsi="Verdana"/>
            <w:i/>
            <w:color w:val="auto"/>
            <w:sz w:val="20"/>
            <w:szCs w:val="20"/>
            <w:lang w:val="en-US"/>
          </w:rPr>
          <w:t xml:space="preserve"> on sexual violence</w:t>
        </w:r>
        <w:r w:rsidR="00C254BF" w:rsidRPr="00785D06">
          <w:rPr>
            <w:rFonts w:ascii="Verdana" w:hAnsi="Verdana"/>
            <w:webHidden/>
            <w:sz w:val="20"/>
            <w:szCs w:val="20"/>
            <w:lang w:val="en-US"/>
          </w:rPr>
          <w:tab/>
        </w:r>
        <w:r w:rsidR="00C254BF" w:rsidRPr="00785D06">
          <w:rPr>
            <w:rFonts w:ascii="Verdana" w:hAnsi="Verdana"/>
            <w:webHidden/>
            <w:sz w:val="20"/>
            <w:szCs w:val="20"/>
            <w:lang w:val="en-US"/>
          </w:rPr>
          <w:fldChar w:fldCharType="begin"/>
        </w:r>
        <w:r w:rsidR="00C254BF" w:rsidRPr="00785D06">
          <w:rPr>
            <w:rFonts w:ascii="Verdana" w:hAnsi="Verdana"/>
            <w:webHidden/>
            <w:sz w:val="20"/>
            <w:szCs w:val="20"/>
            <w:lang w:val="en-US"/>
          </w:rPr>
          <w:instrText xml:space="preserve"> PAGEREF _Toc46937301 \h </w:instrText>
        </w:r>
        <w:r w:rsidR="00C254BF" w:rsidRPr="00785D06">
          <w:rPr>
            <w:rFonts w:ascii="Verdana" w:hAnsi="Verdana"/>
            <w:webHidden/>
            <w:sz w:val="20"/>
            <w:szCs w:val="20"/>
            <w:lang w:val="en-US"/>
          </w:rPr>
        </w:r>
        <w:r w:rsidR="00C254BF" w:rsidRPr="00785D06">
          <w:rPr>
            <w:rFonts w:ascii="Verdana" w:hAnsi="Verdana"/>
            <w:webHidden/>
            <w:sz w:val="20"/>
            <w:szCs w:val="20"/>
            <w:lang w:val="en-US"/>
          </w:rPr>
          <w:fldChar w:fldCharType="separate"/>
        </w:r>
        <w:r w:rsidR="00C223D9">
          <w:rPr>
            <w:rFonts w:ascii="Verdana" w:hAnsi="Verdana"/>
            <w:noProof/>
            <w:webHidden/>
            <w:sz w:val="20"/>
            <w:szCs w:val="20"/>
            <w:lang w:val="en-US"/>
          </w:rPr>
          <w:t>45</w:t>
        </w:r>
        <w:r w:rsidR="00C254BF" w:rsidRPr="00785D06">
          <w:rPr>
            <w:rFonts w:ascii="Verdana" w:hAnsi="Verdana"/>
            <w:webHidden/>
            <w:sz w:val="20"/>
            <w:szCs w:val="20"/>
            <w:lang w:val="en-US"/>
          </w:rPr>
          <w:fldChar w:fldCharType="end"/>
        </w:r>
      </w:hyperlink>
    </w:p>
    <w:p w14:paraId="1E53C1A4" w14:textId="5CAB20FB" w:rsidR="00C254BF" w:rsidRPr="00785D06" w:rsidRDefault="008E6839" w:rsidP="00C254BF">
      <w:pPr>
        <w:pStyle w:val="TDC3"/>
        <w:tabs>
          <w:tab w:val="right" w:leader="dot" w:pos="8828"/>
        </w:tabs>
        <w:jc w:val="both"/>
        <w:rPr>
          <w:rFonts w:ascii="Verdana" w:eastAsiaTheme="minorEastAsia" w:hAnsi="Verdana" w:cstheme="minorBidi"/>
          <w:i w:val="0"/>
          <w:iCs w:val="0"/>
          <w:lang w:val="en-US" w:eastAsia="es-CR"/>
        </w:rPr>
      </w:pPr>
      <w:hyperlink w:anchor="_Toc46937302" w:history="1">
        <w:r w:rsidR="00C254BF" w:rsidRPr="00785D06">
          <w:rPr>
            <w:rStyle w:val="Hipervnculo"/>
            <w:rFonts w:ascii="Verdana" w:hAnsi="Verdana"/>
            <w:color w:val="auto"/>
            <w:lang w:val="en-US"/>
          </w:rPr>
          <w:t>B.3 Regarding the alleged torture</w:t>
        </w:r>
        <w:r w:rsidR="00C254BF" w:rsidRPr="00785D06">
          <w:rPr>
            <w:rFonts w:ascii="Verdana" w:hAnsi="Verdana"/>
            <w:webHidden/>
            <w:lang w:val="en-US"/>
          </w:rPr>
          <w:tab/>
        </w:r>
        <w:r w:rsidR="00C254BF" w:rsidRPr="00785D06">
          <w:rPr>
            <w:rFonts w:ascii="Verdana" w:hAnsi="Verdana"/>
            <w:i w:val="0"/>
            <w:webHidden/>
            <w:lang w:val="en-US"/>
          </w:rPr>
          <w:fldChar w:fldCharType="begin"/>
        </w:r>
        <w:r w:rsidR="00C254BF" w:rsidRPr="00785D06">
          <w:rPr>
            <w:rFonts w:ascii="Verdana" w:hAnsi="Verdana"/>
            <w:i w:val="0"/>
            <w:webHidden/>
            <w:lang w:val="en-US"/>
          </w:rPr>
          <w:instrText xml:space="preserve"> PAGEREF _Toc46937302 \h </w:instrText>
        </w:r>
        <w:r w:rsidR="00C254BF" w:rsidRPr="00785D06">
          <w:rPr>
            <w:rFonts w:ascii="Verdana" w:hAnsi="Verdana"/>
            <w:i w:val="0"/>
            <w:webHidden/>
            <w:lang w:val="en-US"/>
          </w:rPr>
        </w:r>
        <w:r w:rsidR="00C254BF" w:rsidRPr="00785D06">
          <w:rPr>
            <w:rFonts w:ascii="Verdana" w:hAnsi="Verdana"/>
            <w:i w:val="0"/>
            <w:webHidden/>
            <w:lang w:val="en-US"/>
          </w:rPr>
          <w:fldChar w:fldCharType="separate"/>
        </w:r>
        <w:r w:rsidR="00C223D9">
          <w:rPr>
            <w:rFonts w:ascii="Verdana" w:hAnsi="Verdana"/>
            <w:i w:val="0"/>
            <w:noProof/>
            <w:webHidden/>
            <w:lang w:val="en-US"/>
          </w:rPr>
          <w:t>46</w:t>
        </w:r>
        <w:r w:rsidR="00C254BF" w:rsidRPr="00785D06">
          <w:rPr>
            <w:rFonts w:ascii="Verdana" w:hAnsi="Verdana"/>
            <w:i w:val="0"/>
            <w:webHidden/>
            <w:lang w:val="en-US"/>
          </w:rPr>
          <w:fldChar w:fldCharType="end"/>
        </w:r>
      </w:hyperlink>
    </w:p>
    <w:p w14:paraId="0E387298" w14:textId="748D2164" w:rsidR="00C254BF" w:rsidRPr="00785D06" w:rsidRDefault="008E6839" w:rsidP="00C254BF">
      <w:pPr>
        <w:pStyle w:val="TDC3"/>
        <w:tabs>
          <w:tab w:val="right" w:leader="dot" w:pos="8828"/>
        </w:tabs>
        <w:jc w:val="both"/>
        <w:rPr>
          <w:rFonts w:ascii="Verdana" w:eastAsiaTheme="minorEastAsia" w:hAnsi="Verdana" w:cstheme="minorBidi"/>
          <w:i w:val="0"/>
          <w:iCs w:val="0"/>
          <w:lang w:val="en-US" w:eastAsia="es-CR"/>
        </w:rPr>
      </w:pPr>
      <w:hyperlink w:anchor="_Toc46937303" w:history="1">
        <w:r w:rsidR="00C254BF" w:rsidRPr="00785D06">
          <w:rPr>
            <w:rStyle w:val="Hipervnculo"/>
            <w:rFonts w:ascii="Verdana" w:hAnsi="Verdana"/>
            <w:color w:val="auto"/>
            <w:lang w:val="en-US"/>
          </w:rPr>
          <w:t xml:space="preserve">B.4 </w:t>
        </w:r>
        <w:r w:rsidR="00485212" w:rsidRPr="00785D06">
          <w:rPr>
            <w:rStyle w:val="Hipervnculo"/>
            <w:rFonts w:ascii="Verdana" w:hAnsi="Verdana"/>
            <w:color w:val="auto"/>
            <w:lang w:val="en-US"/>
          </w:rPr>
          <w:t>The State’s r</w:t>
        </w:r>
        <w:r w:rsidR="00C254BF" w:rsidRPr="00785D06">
          <w:rPr>
            <w:rStyle w:val="Hipervnculo"/>
            <w:rFonts w:ascii="Verdana" w:hAnsi="Verdana"/>
            <w:color w:val="auto"/>
            <w:lang w:val="en-US"/>
          </w:rPr>
          <w:t>esponsibility for the violation of the right to life of Paola del Rosario Guzmán Albarracín</w:t>
        </w:r>
        <w:r w:rsidR="00C254BF" w:rsidRPr="00785D06">
          <w:rPr>
            <w:rFonts w:ascii="Verdana" w:hAnsi="Verdana"/>
            <w:webHidden/>
            <w:lang w:val="en-US"/>
          </w:rPr>
          <w:tab/>
        </w:r>
        <w:r w:rsidR="00C254BF" w:rsidRPr="00785D06">
          <w:rPr>
            <w:rFonts w:ascii="Verdana" w:hAnsi="Verdana"/>
            <w:i w:val="0"/>
            <w:webHidden/>
            <w:lang w:val="en-US"/>
          </w:rPr>
          <w:fldChar w:fldCharType="begin"/>
        </w:r>
        <w:r w:rsidR="00C254BF" w:rsidRPr="00785D06">
          <w:rPr>
            <w:rFonts w:ascii="Verdana" w:hAnsi="Verdana"/>
            <w:i w:val="0"/>
            <w:webHidden/>
            <w:lang w:val="en-US"/>
          </w:rPr>
          <w:instrText xml:space="preserve"> PAGEREF _Toc46937303 \h </w:instrText>
        </w:r>
        <w:r w:rsidR="00C254BF" w:rsidRPr="00785D06">
          <w:rPr>
            <w:rFonts w:ascii="Verdana" w:hAnsi="Verdana"/>
            <w:i w:val="0"/>
            <w:webHidden/>
            <w:lang w:val="en-US"/>
          </w:rPr>
        </w:r>
        <w:r w:rsidR="00C254BF" w:rsidRPr="00785D06">
          <w:rPr>
            <w:rFonts w:ascii="Verdana" w:hAnsi="Verdana"/>
            <w:i w:val="0"/>
            <w:webHidden/>
            <w:lang w:val="en-US"/>
          </w:rPr>
          <w:fldChar w:fldCharType="separate"/>
        </w:r>
        <w:r w:rsidR="00C223D9">
          <w:rPr>
            <w:rFonts w:ascii="Verdana" w:hAnsi="Verdana"/>
            <w:i w:val="0"/>
            <w:noProof/>
            <w:webHidden/>
            <w:lang w:val="en-US"/>
          </w:rPr>
          <w:t>48</w:t>
        </w:r>
        <w:r w:rsidR="00C254BF" w:rsidRPr="00785D06">
          <w:rPr>
            <w:rFonts w:ascii="Verdana" w:hAnsi="Verdana"/>
            <w:i w:val="0"/>
            <w:webHidden/>
            <w:lang w:val="en-US"/>
          </w:rPr>
          <w:fldChar w:fldCharType="end"/>
        </w:r>
      </w:hyperlink>
    </w:p>
    <w:p w14:paraId="2690E5AC" w14:textId="6BEBAA17" w:rsidR="00C254BF" w:rsidRPr="00785D06" w:rsidRDefault="008E6839" w:rsidP="00C254BF">
      <w:pPr>
        <w:pStyle w:val="TDC3"/>
        <w:tabs>
          <w:tab w:val="right" w:leader="dot" w:pos="8828"/>
        </w:tabs>
        <w:jc w:val="both"/>
        <w:rPr>
          <w:rFonts w:ascii="Verdana" w:eastAsiaTheme="minorEastAsia" w:hAnsi="Verdana" w:cstheme="minorBidi"/>
          <w:i w:val="0"/>
          <w:iCs w:val="0"/>
          <w:lang w:val="en-US" w:eastAsia="es-CR"/>
        </w:rPr>
      </w:pPr>
      <w:hyperlink w:anchor="_Toc46937304" w:history="1">
        <w:r w:rsidR="00C254BF" w:rsidRPr="00785D06">
          <w:rPr>
            <w:rStyle w:val="Hipervnculo"/>
            <w:rFonts w:ascii="Verdana" w:hAnsi="Verdana"/>
            <w:color w:val="auto"/>
            <w:lang w:val="en-US"/>
          </w:rPr>
          <w:t>B.5 Conclusion</w:t>
        </w:r>
        <w:r w:rsidR="00C254BF" w:rsidRPr="00785D06">
          <w:rPr>
            <w:rFonts w:ascii="Verdana" w:hAnsi="Verdana"/>
            <w:webHidden/>
            <w:lang w:val="en-US"/>
          </w:rPr>
          <w:tab/>
        </w:r>
        <w:r w:rsidR="00C254BF" w:rsidRPr="00785D06">
          <w:rPr>
            <w:rFonts w:ascii="Verdana" w:hAnsi="Verdana"/>
            <w:i w:val="0"/>
            <w:webHidden/>
            <w:lang w:val="en-US"/>
          </w:rPr>
          <w:fldChar w:fldCharType="begin"/>
        </w:r>
        <w:r w:rsidR="00C254BF" w:rsidRPr="00785D06">
          <w:rPr>
            <w:rFonts w:ascii="Verdana" w:hAnsi="Verdana"/>
            <w:i w:val="0"/>
            <w:webHidden/>
            <w:lang w:val="en-US"/>
          </w:rPr>
          <w:instrText xml:space="preserve"> PAGEREF _Toc46937304 \h </w:instrText>
        </w:r>
        <w:r w:rsidR="00C254BF" w:rsidRPr="00785D06">
          <w:rPr>
            <w:rFonts w:ascii="Verdana" w:hAnsi="Verdana"/>
            <w:i w:val="0"/>
            <w:webHidden/>
            <w:lang w:val="en-US"/>
          </w:rPr>
        </w:r>
        <w:r w:rsidR="00C254BF" w:rsidRPr="00785D06">
          <w:rPr>
            <w:rFonts w:ascii="Verdana" w:hAnsi="Verdana"/>
            <w:i w:val="0"/>
            <w:webHidden/>
            <w:lang w:val="en-US"/>
          </w:rPr>
          <w:fldChar w:fldCharType="separate"/>
        </w:r>
        <w:r w:rsidR="00C223D9">
          <w:rPr>
            <w:rFonts w:ascii="Verdana" w:hAnsi="Verdana"/>
            <w:i w:val="0"/>
            <w:noProof/>
            <w:webHidden/>
            <w:lang w:val="en-US"/>
          </w:rPr>
          <w:t>51</w:t>
        </w:r>
        <w:r w:rsidR="00C254BF" w:rsidRPr="00785D06">
          <w:rPr>
            <w:rFonts w:ascii="Verdana" w:hAnsi="Verdana"/>
            <w:i w:val="0"/>
            <w:webHidden/>
            <w:lang w:val="en-US"/>
          </w:rPr>
          <w:fldChar w:fldCharType="end"/>
        </w:r>
      </w:hyperlink>
    </w:p>
    <w:p w14:paraId="1FC7B0A8" w14:textId="77777777" w:rsidR="00C254BF" w:rsidRPr="00785D06" w:rsidRDefault="00C254BF" w:rsidP="00C254BF">
      <w:pPr>
        <w:pStyle w:val="TDC1"/>
        <w:rPr>
          <w:rStyle w:val="Hipervnculo"/>
          <w:noProof w:val="0"/>
          <w:color w:val="auto"/>
          <w:lang w:val="en-US"/>
        </w:rPr>
      </w:pPr>
    </w:p>
    <w:p w14:paraId="4AD0E736" w14:textId="6B33F614" w:rsidR="00C254BF" w:rsidRPr="00785D06" w:rsidRDefault="00C254BF" w:rsidP="00C254BF">
      <w:pPr>
        <w:pStyle w:val="TDC1"/>
        <w:jc w:val="left"/>
        <w:rPr>
          <w:rFonts w:eastAsiaTheme="minorEastAsia" w:cstheme="minorBidi"/>
          <w:noProof w:val="0"/>
          <w:lang w:val="en-US" w:eastAsia="es-CR"/>
        </w:rPr>
      </w:pPr>
      <w:r w:rsidRPr="00785D06">
        <w:rPr>
          <w:rStyle w:val="Hipervnculo"/>
          <w:noProof w:val="0"/>
          <w:color w:val="auto"/>
          <w:u w:val="none"/>
          <w:lang w:val="en-US"/>
        </w:rPr>
        <w:t xml:space="preserve"> </w:t>
      </w:r>
      <w:hyperlink w:anchor="_Toc46937305" w:history="1">
        <w:r w:rsidRPr="00785D06">
          <w:rPr>
            <w:rStyle w:val="Hipervnculo"/>
            <w:noProof w:val="0"/>
            <w:color w:val="auto"/>
            <w:lang w:val="en-US"/>
          </w:rPr>
          <w:t>VII.2</w:t>
        </w:r>
      </w:hyperlink>
      <w:r w:rsidRPr="00785D06">
        <w:rPr>
          <w:rStyle w:val="Hipervnculo"/>
          <w:noProof w:val="0"/>
          <w:color w:val="auto"/>
          <w:u w:val="none"/>
          <w:lang w:val="en-US"/>
        </w:rPr>
        <w:t xml:space="preserve"> RIGHTS TO </w:t>
      </w:r>
      <w:hyperlink w:anchor="_Toc46937306" w:history="1">
        <w:r w:rsidRPr="00785D06">
          <w:rPr>
            <w:rStyle w:val="Hipervnculo"/>
            <w:noProof w:val="0"/>
            <w:color w:val="auto"/>
            <w:lang w:val="en-US"/>
          </w:rPr>
          <w:t>JUDICIAL GUARANTEES and JUDICIAL PROTECTION</w:t>
        </w:r>
        <w:r w:rsidRPr="00785D06">
          <w:rPr>
            <w:noProof w:val="0"/>
            <w:webHidden/>
            <w:lang w:val="en-US"/>
          </w:rPr>
          <w:tab/>
        </w:r>
        <w:r w:rsidRPr="00785D06">
          <w:rPr>
            <w:noProof w:val="0"/>
            <w:webHidden/>
            <w:lang w:val="en-US"/>
          </w:rPr>
          <w:fldChar w:fldCharType="begin"/>
        </w:r>
        <w:r w:rsidRPr="00785D06">
          <w:rPr>
            <w:noProof w:val="0"/>
            <w:webHidden/>
            <w:lang w:val="en-US"/>
          </w:rPr>
          <w:instrText xml:space="preserve"> PAGEREF _Toc46937306 \h </w:instrText>
        </w:r>
        <w:r w:rsidRPr="00785D06">
          <w:rPr>
            <w:noProof w:val="0"/>
            <w:webHidden/>
            <w:lang w:val="en-US"/>
          </w:rPr>
        </w:r>
        <w:r w:rsidRPr="00785D06">
          <w:rPr>
            <w:noProof w:val="0"/>
            <w:webHidden/>
            <w:lang w:val="en-US"/>
          </w:rPr>
          <w:fldChar w:fldCharType="separate"/>
        </w:r>
        <w:r w:rsidR="00C223D9">
          <w:rPr>
            <w:webHidden/>
            <w:lang w:val="en-US"/>
          </w:rPr>
          <w:t>52</w:t>
        </w:r>
        <w:r w:rsidRPr="00785D06">
          <w:rPr>
            <w:noProof w:val="0"/>
            <w:webHidden/>
            <w:lang w:val="en-US"/>
          </w:rPr>
          <w:fldChar w:fldCharType="end"/>
        </w:r>
      </w:hyperlink>
    </w:p>
    <w:p w14:paraId="4B42D5B6" w14:textId="5D3EEF72" w:rsidR="00C254BF" w:rsidRPr="00785D06" w:rsidRDefault="008E6839" w:rsidP="00C254BF">
      <w:pPr>
        <w:pStyle w:val="TDC2"/>
        <w:tabs>
          <w:tab w:val="right" w:leader="dot" w:pos="8828"/>
        </w:tabs>
        <w:jc w:val="both"/>
        <w:rPr>
          <w:rFonts w:ascii="Verdana" w:eastAsiaTheme="minorEastAsia" w:hAnsi="Verdana" w:cstheme="minorBidi"/>
          <w:smallCaps w:val="0"/>
          <w:lang w:val="en-US" w:eastAsia="es-CR"/>
        </w:rPr>
      </w:pPr>
      <w:hyperlink w:anchor="_Toc46937307" w:history="1">
        <w:r w:rsidR="00C254BF" w:rsidRPr="00785D06">
          <w:rPr>
            <w:rStyle w:val="Hipervnculo"/>
            <w:rFonts w:ascii="Verdana" w:eastAsia="Times New Roman" w:hAnsi="Verdana"/>
            <w:b/>
            <w:i/>
            <w:color w:val="auto"/>
            <w:lang w:val="en-US"/>
          </w:rPr>
          <w:t xml:space="preserve">A. Arguments of the </w:t>
        </w:r>
        <w:r w:rsidR="00485212" w:rsidRPr="00785D06">
          <w:rPr>
            <w:rStyle w:val="Hipervnculo"/>
            <w:rFonts w:ascii="Verdana" w:eastAsia="Times New Roman" w:hAnsi="Verdana"/>
            <w:b/>
            <w:i/>
            <w:color w:val="auto"/>
            <w:lang w:val="en-US"/>
          </w:rPr>
          <w:t xml:space="preserve">parties and the </w:t>
        </w:r>
        <w:r w:rsidR="00C254BF" w:rsidRPr="00785D06">
          <w:rPr>
            <w:rStyle w:val="Hipervnculo"/>
            <w:rFonts w:ascii="Verdana" w:eastAsia="Times New Roman" w:hAnsi="Verdana"/>
            <w:b/>
            <w:i/>
            <w:color w:val="auto"/>
            <w:lang w:val="en-US"/>
          </w:rPr>
          <w:t>Commission</w:t>
        </w:r>
        <w:r w:rsidR="00C254BF" w:rsidRPr="00785D06">
          <w:rPr>
            <w:rFonts w:ascii="Verdana" w:hAnsi="Verdana"/>
            <w:webHidden/>
            <w:lang w:val="en-US"/>
          </w:rPr>
          <w:tab/>
        </w:r>
        <w:r w:rsidR="00C254BF" w:rsidRPr="00785D06">
          <w:rPr>
            <w:rFonts w:ascii="Verdana" w:hAnsi="Verdana"/>
            <w:webHidden/>
            <w:lang w:val="en-US"/>
          </w:rPr>
          <w:fldChar w:fldCharType="begin"/>
        </w:r>
        <w:r w:rsidR="00C254BF" w:rsidRPr="00785D06">
          <w:rPr>
            <w:rFonts w:ascii="Verdana" w:hAnsi="Verdana"/>
            <w:webHidden/>
            <w:lang w:val="en-US"/>
          </w:rPr>
          <w:instrText xml:space="preserve"> PAGEREF _Toc46937307 \h </w:instrText>
        </w:r>
        <w:r w:rsidR="00C254BF" w:rsidRPr="00785D06">
          <w:rPr>
            <w:rFonts w:ascii="Verdana" w:hAnsi="Verdana"/>
            <w:webHidden/>
            <w:lang w:val="en-US"/>
          </w:rPr>
        </w:r>
        <w:r w:rsidR="00C254BF" w:rsidRPr="00785D06">
          <w:rPr>
            <w:rFonts w:ascii="Verdana" w:hAnsi="Verdana"/>
            <w:webHidden/>
            <w:lang w:val="en-US"/>
          </w:rPr>
          <w:fldChar w:fldCharType="separate"/>
        </w:r>
        <w:r w:rsidR="00C223D9">
          <w:rPr>
            <w:rFonts w:ascii="Verdana" w:hAnsi="Verdana"/>
            <w:noProof/>
            <w:webHidden/>
            <w:lang w:val="en-US"/>
          </w:rPr>
          <w:t>53</w:t>
        </w:r>
        <w:r w:rsidR="00C254BF" w:rsidRPr="00785D06">
          <w:rPr>
            <w:rFonts w:ascii="Verdana" w:hAnsi="Verdana"/>
            <w:webHidden/>
            <w:lang w:val="en-US"/>
          </w:rPr>
          <w:fldChar w:fldCharType="end"/>
        </w:r>
      </w:hyperlink>
    </w:p>
    <w:p w14:paraId="5E0D91D0" w14:textId="6877794E" w:rsidR="00C254BF" w:rsidRPr="00785D06" w:rsidRDefault="008E6839" w:rsidP="00C254BF">
      <w:pPr>
        <w:pStyle w:val="TDC2"/>
        <w:tabs>
          <w:tab w:val="right" w:leader="dot" w:pos="8828"/>
        </w:tabs>
        <w:jc w:val="both"/>
        <w:rPr>
          <w:rFonts w:ascii="Verdana" w:eastAsiaTheme="minorEastAsia" w:hAnsi="Verdana" w:cstheme="minorBidi"/>
          <w:smallCaps w:val="0"/>
          <w:lang w:val="en-US" w:eastAsia="es-CR"/>
        </w:rPr>
      </w:pPr>
      <w:hyperlink w:anchor="_Toc46937308" w:history="1">
        <w:r w:rsidR="00C254BF" w:rsidRPr="00785D06">
          <w:rPr>
            <w:rStyle w:val="Hipervnculo"/>
            <w:rFonts w:ascii="Verdana" w:hAnsi="Verdana"/>
            <w:b/>
            <w:i/>
            <w:color w:val="auto"/>
            <w:lang w:val="en-US"/>
          </w:rPr>
          <w:t>B. Considerations of the Court</w:t>
        </w:r>
        <w:r w:rsidR="00C254BF" w:rsidRPr="00785D06">
          <w:rPr>
            <w:rFonts w:ascii="Verdana" w:hAnsi="Verdana"/>
            <w:webHidden/>
            <w:lang w:val="en-US"/>
          </w:rPr>
          <w:tab/>
        </w:r>
        <w:r w:rsidR="00C254BF" w:rsidRPr="00785D06">
          <w:rPr>
            <w:rFonts w:ascii="Verdana" w:hAnsi="Verdana"/>
            <w:webHidden/>
            <w:lang w:val="en-US"/>
          </w:rPr>
          <w:fldChar w:fldCharType="begin"/>
        </w:r>
        <w:r w:rsidR="00C254BF" w:rsidRPr="00785D06">
          <w:rPr>
            <w:rFonts w:ascii="Verdana" w:hAnsi="Verdana"/>
            <w:webHidden/>
            <w:lang w:val="en-US"/>
          </w:rPr>
          <w:instrText xml:space="preserve"> PAGEREF _Toc46937308 \h </w:instrText>
        </w:r>
        <w:r w:rsidR="00C254BF" w:rsidRPr="00785D06">
          <w:rPr>
            <w:rFonts w:ascii="Verdana" w:hAnsi="Verdana"/>
            <w:webHidden/>
            <w:lang w:val="en-US"/>
          </w:rPr>
        </w:r>
        <w:r w:rsidR="00C254BF" w:rsidRPr="00785D06">
          <w:rPr>
            <w:rFonts w:ascii="Verdana" w:hAnsi="Verdana"/>
            <w:webHidden/>
            <w:lang w:val="en-US"/>
          </w:rPr>
          <w:fldChar w:fldCharType="separate"/>
        </w:r>
        <w:r w:rsidR="00C223D9">
          <w:rPr>
            <w:rFonts w:ascii="Verdana" w:hAnsi="Verdana"/>
            <w:noProof/>
            <w:webHidden/>
            <w:lang w:val="en-US"/>
          </w:rPr>
          <w:t>54</w:t>
        </w:r>
        <w:r w:rsidR="00C254BF" w:rsidRPr="00785D06">
          <w:rPr>
            <w:rFonts w:ascii="Verdana" w:hAnsi="Verdana"/>
            <w:webHidden/>
            <w:lang w:val="en-US"/>
          </w:rPr>
          <w:fldChar w:fldCharType="end"/>
        </w:r>
      </w:hyperlink>
    </w:p>
    <w:p w14:paraId="499FCB94" w14:textId="19630A19" w:rsidR="00C254BF" w:rsidRPr="00785D06" w:rsidRDefault="008E6839" w:rsidP="00C254BF">
      <w:pPr>
        <w:pStyle w:val="TDC3"/>
        <w:tabs>
          <w:tab w:val="right" w:leader="dot" w:pos="8828"/>
        </w:tabs>
        <w:jc w:val="both"/>
        <w:rPr>
          <w:rFonts w:ascii="Verdana" w:eastAsiaTheme="minorEastAsia" w:hAnsi="Verdana" w:cstheme="minorBidi"/>
          <w:i w:val="0"/>
          <w:iCs w:val="0"/>
          <w:lang w:val="en-US" w:eastAsia="es-CR"/>
        </w:rPr>
      </w:pPr>
      <w:hyperlink w:anchor="_Toc46937309" w:history="1">
        <w:r w:rsidR="00C254BF" w:rsidRPr="00785D06">
          <w:rPr>
            <w:rStyle w:val="Hipervnculo"/>
            <w:rFonts w:ascii="Verdana" w:eastAsia="Times New Roman" w:hAnsi="Verdana"/>
            <w:color w:val="auto"/>
            <w:lang w:val="en-US" w:eastAsia="es-ES" w:bidi="es-ES"/>
          </w:rPr>
          <w:t>B.1 Reasonable time of the investigation</w:t>
        </w:r>
        <w:r w:rsidR="00C254BF" w:rsidRPr="00785D06">
          <w:rPr>
            <w:rFonts w:ascii="Verdana" w:hAnsi="Verdana"/>
            <w:webHidden/>
            <w:lang w:val="en-US"/>
          </w:rPr>
          <w:tab/>
        </w:r>
        <w:r w:rsidR="00C254BF" w:rsidRPr="00785D06">
          <w:rPr>
            <w:rFonts w:ascii="Verdana" w:hAnsi="Verdana"/>
            <w:i w:val="0"/>
            <w:webHidden/>
            <w:lang w:val="en-US"/>
          </w:rPr>
          <w:fldChar w:fldCharType="begin"/>
        </w:r>
        <w:r w:rsidR="00C254BF" w:rsidRPr="00785D06">
          <w:rPr>
            <w:rFonts w:ascii="Verdana" w:hAnsi="Verdana"/>
            <w:i w:val="0"/>
            <w:webHidden/>
            <w:lang w:val="en-US"/>
          </w:rPr>
          <w:instrText xml:space="preserve"> PAGEREF _Toc46937309 \h </w:instrText>
        </w:r>
        <w:r w:rsidR="00C254BF" w:rsidRPr="00785D06">
          <w:rPr>
            <w:rFonts w:ascii="Verdana" w:hAnsi="Verdana"/>
            <w:i w:val="0"/>
            <w:webHidden/>
            <w:lang w:val="en-US"/>
          </w:rPr>
        </w:r>
        <w:r w:rsidR="00C254BF" w:rsidRPr="00785D06">
          <w:rPr>
            <w:rFonts w:ascii="Verdana" w:hAnsi="Verdana"/>
            <w:i w:val="0"/>
            <w:webHidden/>
            <w:lang w:val="en-US"/>
          </w:rPr>
          <w:fldChar w:fldCharType="separate"/>
        </w:r>
        <w:r w:rsidR="00C223D9">
          <w:rPr>
            <w:rFonts w:ascii="Verdana" w:hAnsi="Verdana"/>
            <w:i w:val="0"/>
            <w:noProof/>
            <w:webHidden/>
            <w:lang w:val="en-US"/>
          </w:rPr>
          <w:t>55</w:t>
        </w:r>
        <w:r w:rsidR="00C254BF" w:rsidRPr="00785D06">
          <w:rPr>
            <w:rFonts w:ascii="Verdana" w:hAnsi="Verdana"/>
            <w:i w:val="0"/>
            <w:webHidden/>
            <w:lang w:val="en-US"/>
          </w:rPr>
          <w:fldChar w:fldCharType="end"/>
        </w:r>
      </w:hyperlink>
    </w:p>
    <w:p w14:paraId="1251BFA4" w14:textId="677C7D78" w:rsidR="00C254BF" w:rsidRPr="00785D06" w:rsidRDefault="008E6839" w:rsidP="00C254BF">
      <w:pPr>
        <w:pStyle w:val="TDC3"/>
        <w:tabs>
          <w:tab w:val="right" w:leader="dot" w:pos="8828"/>
        </w:tabs>
        <w:jc w:val="both"/>
        <w:rPr>
          <w:rFonts w:ascii="Verdana" w:eastAsiaTheme="minorEastAsia" w:hAnsi="Verdana" w:cstheme="minorBidi"/>
          <w:i w:val="0"/>
          <w:iCs w:val="0"/>
          <w:lang w:val="en-US" w:eastAsia="es-CR"/>
        </w:rPr>
      </w:pPr>
      <w:hyperlink w:anchor="_Toc46937310" w:history="1">
        <w:r w:rsidR="00C254BF" w:rsidRPr="00785D06">
          <w:rPr>
            <w:rStyle w:val="Hipervnculo"/>
            <w:rFonts w:ascii="Verdana" w:eastAsia="Times New Roman" w:hAnsi="Verdana"/>
            <w:color w:val="auto"/>
            <w:lang w:val="en-US" w:eastAsia="es-ES" w:bidi="es-ES"/>
          </w:rPr>
          <w:t>B.2 Use of gender stereotypes</w:t>
        </w:r>
        <w:r w:rsidR="00C254BF" w:rsidRPr="00785D06">
          <w:rPr>
            <w:rFonts w:ascii="Verdana" w:hAnsi="Verdana"/>
            <w:webHidden/>
            <w:lang w:val="en-US"/>
          </w:rPr>
          <w:tab/>
        </w:r>
        <w:r w:rsidR="00C254BF" w:rsidRPr="00785D06">
          <w:rPr>
            <w:rFonts w:ascii="Verdana" w:hAnsi="Verdana"/>
            <w:i w:val="0"/>
            <w:webHidden/>
            <w:lang w:val="en-US"/>
          </w:rPr>
          <w:fldChar w:fldCharType="begin"/>
        </w:r>
        <w:r w:rsidR="00C254BF" w:rsidRPr="00785D06">
          <w:rPr>
            <w:rFonts w:ascii="Verdana" w:hAnsi="Verdana"/>
            <w:i w:val="0"/>
            <w:webHidden/>
            <w:lang w:val="en-US"/>
          </w:rPr>
          <w:instrText xml:space="preserve"> PAGEREF _Toc46937310 \h </w:instrText>
        </w:r>
        <w:r w:rsidR="00C254BF" w:rsidRPr="00785D06">
          <w:rPr>
            <w:rFonts w:ascii="Verdana" w:hAnsi="Verdana"/>
            <w:i w:val="0"/>
            <w:webHidden/>
            <w:lang w:val="en-US"/>
          </w:rPr>
        </w:r>
        <w:r w:rsidR="00C254BF" w:rsidRPr="00785D06">
          <w:rPr>
            <w:rFonts w:ascii="Verdana" w:hAnsi="Verdana"/>
            <w:i w:val="0"/>
            <w:webHidden/>
            <w:lang w:val="en-US"/>
          </w:rPr>
          <w:fldChar w:fldCharType="separate"/>
        </w:r>
        <w:r w:rsidR="00C223D9">
          <w:rPr>
            <w:rFonts w:ascii="Verdana" w:hAnsi="Verdana"/>
            <w:i w:val="0"/>
            <w:noProof/>
            <w:webHidden/>
            <w:lang w:val="en-US"/>
          </w:rPr>
          <w:t>57</w:t>
        </w:r>
        <w:r w:rsidR="00C254BF" w:rsidRPr="00785D06">
          <w:rPr>
            <w:rFonts w:ascii="Verdana" w:hAnsi="Verdana"/>
            <w:i w:val="0"/>
            <w:webHidden/>
            <w:lang w:val="en-US"/>
          </w:rPr>
          <w:fldChar w:fldCharType="end"/>
        </w:r>
      </w:hyperlink>
    </w:p>
    <w:p w14:paraId="6531A601" w14:textId="76ADC635" w:rsidR="00C254BF" w:rsidRPr="00785D06" w:rsidRDefault="008E6839" w:rsidP="00C254BF">
      <w:pPr>
        <w:pStyle w:val="TDC3"/>
        <w:tabs>
          <w:tab w:val="right" w:leader="dot" w:pos="8828"/>
        </w:tabs>
        <w:jc w:val="both"/>
        <w:rPr>
          <w:rFonts w:ascii="Verdana" w:eastAsiaTheme="minorEastAsia" w:hAnsi="Verdana" w:cstheme="minorBidi"/>
          <w:i w:val="0"/>
          <w:iCs w:val="0"/>
          <w:lang w:val="en-US" w:eastAsia="es-CR"/>
        </w:rPr>
      </w:pPr>
      <w:hyperlink w:anchor="_Toc46937311" w:history="1">
        <w:r w:rsidR="00C61B03" w:rsidRPr="00785D06">
          <w:rPr>
            <w:rStyle w:val="Hipervnculo"/>
            <w:rFonts w:ascii="Verdana" w:eastAsia="Times New Roman" w:hAnsi="Verdana"/>
            <w:color w:val="auto"/>
            <w:lang w:val="en-US" w:eastAsia="es-ES" w:bidi="es-ES"/>
          </w:rPr>
          <w:t>B.3 C</w:t>
        </w:r>
        <w:r w:rsidR="00C254BF" w:rsidRPr="00785D06">
          <w:rPr>
            <w:rStyle w:val="Hipervnculo"/>
            <w:rFonts w:ascii="Verdana" w:eastAsia="Times New Roman" w:hAnsi="Verdana"/>
            <w:color w:val="auto"/>
            <w:lang w:val="en-US" w:eastAsia="es-ES" w:bidi="es-ES"/>
          </w:rPr>
          <w:t>ivil</w:t>
        </w:r>
        <w:r w:rsidR="00C61B03" w:rsidRPr="00785D06">
          <w:rPr>
            <w:rStyle w:val="Hipervnculo"/>
            <w:rFonts w:ascii="Verdana" w:eastAsia="Times New Roman" w:hAnsi="Verdana"/>
            <w:color w:val="auto"/>
            <w:lang w:val="en-US" w:eastAsia="es-ES" w:bidi="es-ES"/>
          </w:rPr>
          <w:t xml:space="preserve"> lawsuit</w:t>
        </w:r>
        <w:r w:rsidR="00C254BF" w:rsidRPr="00785D06">
          <w:rPr>
            <w:rStyle w:val="Hipervnculo"/>
            <w:rFonts w:ascii="Verdana" w:eastAsia="Times New Roman" w:hAnsi="Verdana"/>
            <w:color w:val="auto"/>
            <w:lang w:val="en-US" w:eastAsia="es-ES" w:bidi="es-ES"/>
          </w:rPr>
          <w:t xml:space="preserve"> </w:t>
        </w:r>
        <w:r w:rsidR="00C61B03" w:rsidRPr="00785D06">
          <w:rPr>
            <w:rStyle w:val="Hipervnculo"/>
            <w:rFonts w:ascii="Verdana" w:eastAsia="Times New Roman" w:hAnsi="Verdana"/>
            <w:color w:val="auto"/>
            <w:lang w:val="en-US" w:eastAsia="es-ES" w:bidi="es-ES"/>
          </w:rPr>
          <w:t xml:space="preserve">for </w:t>
        </w:r>
        <w:r w:rsidR="00C254BF" w:rsidRPr="00785D06">
          <w:rPr>
            <w:rStyle w:val="Hipervnculo"/>
            <w:rFonts w:ascii="Verdana" w:eastAsia="Times New Roman" w:hAnsi="Verdana"/>
            <w:color w:val="auto"/>
            <w:lang w:val="en-US" w:eastAsia="es-ES" w:bidi="es-ES"/>
          </w:rPr>
          <w:t>damage</w:t>
        </w:r>
        <w:r w:rsidR="00C61B03" w:rsidRPr="00785D06">
          <w:rPr>
            <w:rStyle w:val="Hipervnculo"/>
            <w:rFonts w:ascii="Verdana" w:eastAsia="Times New Roman" w:hAnsi="Verdana"/>
            <w:color w:val="auto"/>
            <w:lang w:val="en-US" w:eastAsia="es-ES" w:bidi="es-ES"/>
          </w:rPr>
          <w:t>s</w:t>
        </w:r>
        <w:r w:rsidR="00C254BF" w:rsidRPr="00785D06">
          <w:rPr>
            <w:rFonts w:ascii="Verdana" w:hAnsi="Verdana"/>
            <w:webHidden/>
            <w:lang w:val="en-US"/>
          </w:rPr>
          <w:tab/>
        </w:r>
        <w:r w:rsidR="00C254BF" w:rsidRPr="00785D06">
          <w:rPr>
            <w:rFonts w:ascii="Verdana" w:hAnsi="Verdana"/>
            <w:i w:val="0"/>
            <w:webHidden/>
            <w:lang w:val="en-US"/>
          </w:rPr>
          <w:fldChar w:fldCharType="begin"/>
        </w:r>
        <w:r w:rsidR="00C254BF" w:rsidRPr="00785D06">
          <w:rPr>
            <w:rFonts w:ascii="Verdana" w:hAnsi="Verdana"/>
            <w:i w:val="0"/>
            <w:webHidden/>
            <w:lang w:val="en-US"/>
          </w:rPr>
          <w:instrText xml:space="preserve"> PAGEREF _Toc46937311 \h </w:instrText>
        </w:r>
        <w:r w:rsidR="00C254BF" w:rsidRPr="00785D06">
          <w:rPr>
            <w:rFonts w:ascii="Verdana" w:hAnsi="Verdana"/>
            <w:i w:val="0"/>
            <w:webHidden/>
            <w:lang w:val="en-US"/>
          </w:rPr>
        </w:r>
        <w:r w:rsidR="00C254BF" w:rsidRPr="00785D06">
          <w:rPr>
            <w:rFonts w:ascii="Verdana" w:hAnsi="Verdana"/>
            <w:i w:val="0"/>
            <w:webHidden/>
            <w:lang w:val="en-US"/>
          </w:rPr>
          <w:fldChar w:fldCharType="separate"/>
        </w:r>
        <w:r w:rsidR="00C223D9">
          <w:rPr>
            <w:rFonts w:ascii="Verdana" w:hAnsi="Verdana"/>
            <w:i w:val="0"/>
            <w:noProof/>
            <w:webHidden/>
            <w:lang w:val="en-US"/>
          </w:rPr>
          <w:t>58</w:t>
        </w:r>
        <w:r w:rsidR="00C254BF" w:rsidRPr="00785D06">
          <w:rPr>
            <w:rFonts w:ascii="Verdana" w:hAnsi="Verdana"/>
            <w:i w:val="0"/>
            <w:webHidden/>
            <w:lang w:val="en-US"/>
          </w:rPr>
          <w:fldChar w:fldCharType="end"/>
        </w:r>
      </w:hyperlink>
    </w:p>
    <w:p w14:paraId="3CBA73BE" w14:textId="3E8C1AF1" w:rsidR="00C254BF" w:rsidRPr="00785D06" w:rsidRDefault="008E6839" w:rsidP="00C254BF">
      <w:pPr>
        <w:pStyle w:val="TDC3"/>
        <w:tabs>
          <w:tab w:val="right" w:leader="dot" w:pos="8828"/>
        </w:tabs>
        <w:jc w:val="both"/>
        <w:rPr>
          <w:rFonts w:ascii="Verdana" w:eastAsiaTheme="minorEastAsia" w:hAnsi="Verdana" w:cstheme="minorBidi"/>
          <w:i w:val="0"/>
          <w:iCs w:val="0"/>
          <w:lang w:val="en-US" w:eastAsia="es-CR"/>
        </w:rPr>
      </w:pPr>
      <w:hyperlink w:anchor="_Toc46937312" w:history="1">
        <w:r w:rsidR="00C254BF" w:rsidRPr="00785D06">
          <w:rPr>
            <w:rStyle w:val="Hipervnculo"/>
            <w:rFonts w:ascii="Verdana" w:eastAsia="Times New Roman" w:hAnsi="Verdana"/>
            <w:color w:val="auto"/>
            <w:lang w:val="en-US" w:eastAsia="es-ES" w:bidi="es-ES"/>
          </w:rPr>
          <w:t>B.4 Conclusion</w:t>
        </w:r>
        <w:r w:rsidR="00C254BF" w:rsidRPr="00785D06">
          <w:rPr>
            <w:rFonts w:ascii="Verdana" w:hAnsi="Verdana"/>
            <w:webHidden/>
            <w:lang w:val="en-US"/>
          </w:rPr>
          <w:tab/>
        </w:r>
        <w:r w:rsidR="00C254BF" w:rsidRPr="00785D06">
          <w:rPr>
            <w:rFonts w:ascii="Verdana" w:hAnsi="Verdana"/>
            <w:i w:val="0"/>
            <w:webHidden/>
            <w:lang w:val="en-US"/>
          </w:rPr>
          <w:fldChar w:fldCharType="begin"/>
        </w:r>
        <w:r w:rsidR="00C254BF" w:rsidRPr="00785D06">
          <w:rPr>
            <w:rFonts w:ascii="Verdana" w:hAnsi="Verdana"/>
            <w:i w:val="0"/>
            <w:webHidden/>
            <w:lang w:val="en-US"/>
          </w:rPr>
          <w:instrText xml:space="preserve"> PAGEREF _Toc46937312 \h </w:instrText>
        </w:r>
        <w:r w:rsidR="00C254BF" w:rsidRPr="00785D06">
          <w:rPr>
            <w:rFonts w:ascii="Verdana" w:hAnsi="Verdana"/>
            <w:i w:val="0"/>
            <w:webHidden/>
            <w:lang w:val="en-US"/>
          </w:rPr>
        </w:r>
        <w:r w:rsidR="00C254BF" w:rsidRPr="00785D06">
          <w:rPr>
            <w:rFonts w:ascii="Verdana" w:hAnsi="Verdana"/>
            <w:i w:val="0"/>
            <w:webHidden/>
            <w:lang w:val="en-US"/>
          </w:rPr>
          <w:fldChar w:fldCharType="separate"/>
        </w:r>
        <w:r w:rsidR="00C223D9">
          <w:rPr>
            <w:rFonts w:ascii="Verdana" w:hAnsi="Verdana"/>
            <w:i w:val="0"/>
            <w:noProof/>
            <w:webHidden/>
            <w:lang w:val="en-US"/>
          </w:rPr>
          <w:t>59</w:t>
        </w:r>
        <w:r w:rsidR="00C254BF" w:rsidRPr="00785D06">
          <w:rPr>
            <w:rFonts w:ascii="Verdana" w:hAnsi="Verdana"/>
            <w:i w:val="0"/>
            <w:webHidden/>
            <w:lang w:val="en-US"/>
          </w:rPr>
          <w:fldChar w:fldCharType="end"/>
        </w:r>
      </w:hyperlink>
    </w:p>
    <w:p w14:paraId="57F711C5" w14:textId="77777777" w:rsidR="00C254BF" w:rsidRPr="00785D06" w:rsidRDefault="00C254BF" w:rsidP="00C254BF">
      <w:pPr>
        <w:pStyle w:val="TDC1"/>
        <w:rPr>
          <w:rStyle w:val="Hipervnculo"/>
          <w:noProof w:val="0"/>
          <w:color w:val="auto"/>
          <w:lang w:val="en-US"/>
        </w:rPr>
      </w:pPr>
    </w:p>
    <w:p w14:paraId="3C7192ED" w14:textId="317A163C" w:rsidR="00C254BF" w:rsidRPr="00785D06" w:rsidRDefault="008E6839" w:rsidP="00C254BF">
      <w:pPr>
        <w:pStyle w:val="TDC1"/>
        <w:rPr>
          <w:rFonts w:eastAsiaTheme="minorEastAsia" w:cstheme="minorBidi"/>
          <w:noProof w:val="0"/>
          <w:lang w:val="en-US" w:eastAsia="es-CR"/>
        </w:rPr>
      </w:pPr>
      <w:hyperlink w:anchor="_Toc46937313" w:history="1">
        <w:r w:rsidR="00C254BF" w:rsidRPr="00785D06">
          <w:rPr>
            <w:rStyle w:val="Hipervnculo"/>
            <w:noProof w:val="0"/>
            <w:color w:val="auto"/>
            <w:lang w:val="en-US"/>
          </w:rPr>
          <w:t>VII.3</w:t>
        </w:r>
      </w:hyperlink>
      <w:r w:rsidR="00C254BF" w:rsidRPr="00785D06">
        <w:rPr>
          <w:rStyle w:val="Hipervnculo"/>
          <w:noProof w:val="0"/>
          <w:color w:val="auto"/>
          <w:u w:val="none"/>
          <w:lang w:val="en-US"/>
        </w:rPr>
        <w:t xml:space="preserve"> </w:t>
      </w:r>
      <w:hyperlink w:anchor="_Toc46937314" w:history="1">
        <w:r w:rsidR="00C61B03" w:rsidRPr="00785D06">
          <w:rPr>
            <w:rStyle w:val="Hipervnculo"/>
            <w:noProof w:val="0"/>
            <w:color w:val="auto"/>
            <w:lang w:val="en-US"/>
          </w:rPr>
          <w:t xml:space="preserve">RIGHT TO </w:t>
        </w:r>
        <w:r w:rsidR="00C254BF" w:rsidRPr="00785D06">
          <w:rPr>
            <w:rStyle w:val="Hipervnculo"/>
            <w:noProof w:val="0"/>
            <w:color w:val="auto"/>
            <w:lang w:val="en-US"/>
          </w:rPr>
          <w:t xml:space="preserve">PERSONAL INTEGRITY of </w:t>
        </w:r>
        <w:r w:rsidR="00961461" w:rsidRPr="00785D06">
          <w:rPr>
            <w:rStyle w:val="Hipervnculo"/>
            <w:noProof w:val="0"/>
            <w:color w:val="auto"/>
            <w:lang w:val="en-US"/>
          </w:rPr>
          <w:t xml:space="preserve">THE RELATIVES OF </w:t>
        </w:r>
        <w:r w:rsidR="00C254BF" w:rsidRPr="00785D06">
          <w:rPr>
            <w:rStyle w:val="Hipervnculo"/>
            <w:noProof w:val="0"/>
            <w:color w:val="auto"/>
            <w:lang w:val="en-US"/>
          </w:rPr>
          <w:t>PAOLA GUZMÁN</w:t>
        </w:r>
        <w:r w:rsidR="00C254BF" w:rsidRPr="00785D06">
          <w:rPr>
            <w:noProof w:val="0"/>
            <w:webHidden/>
            <w:lang w:val="en-US"/>
          </w:rPr>
          <w:tab/>
        </w:r>
        <w:r w:rsidR="00C254BF" w:rsidRPr="00785D06">
          <w:rPr>
            <w:noProof w:val="0"/>
            <w:webHidden/>
            <w:lang w:val="en-US"/>
          </w:rPr>
          <w:fldChar w:fldCharType="begin"/>
        </w:r>
        <w:r w:rsidR="00C254BF" w:rsidRPr="00785D06">
          <w:rPr>
            <w:noProof w:val="0"/>
            <w:webHidden/>
            <w:lang w:val="en-US"/>
          </w:rPr>
          <w:instrText xml:space="preserve"> PAGEREF _Toc46937314 \h </w:instrText>
        </w:r>
        <w:r w:rsidR="00C254BF" w:rsidRPr="00785D06">
          <w:rPr>
            <w:noProof w:val="0"/>
            <w:webHidden/>
            <w:lang w:val="en-US"/>
          </w:rPr>
        </w:r>
        <w:r w:rsidR="00C254BF" w:rsidRPr="00785D06">
          <w:rPr>
            <w:noProof w:val="0"/>
            <w:webHidden/>
            <w:lang w:val="en-US"/>
          </w:rPr>
          <w:fldChar w:fldCharType="separate"/>
        </w:r>
        <w:r w:rsidR="00C223D9">
          <w:rPr>
            <w:webHidden/>
            <w:lang w:val="en-US"/>
          </w:rPr>
          <w:t>60</w:t>
        </w:r>
        <w:r w:rsidR="00C254BF" w:rsidRPr="00785D06">
          <w:rPr>
            <w:noProof w:val="0"/>
            <w:webHidden/>
            <w:lang w:val="en-US"/>
          </w:rPr>
          <w:fldChar w:fldCharType="end"/>
        </w:r>
      </w:hyperlink>
    </w:p>
    <w:p w14:paraId="6C1E5833" w14:textId="1337957D" w:rsidR="00C254BF" w:rsidRPr="00785D06" w:rsidRDefault="008E6839" w:rsidP="00C254BF">
      <w:pPr>
        <w:pStyle w:val="TDC2"/>
        <w:tabs>
          <w:tab w:val="left" w:pos="640"/>
          <w:tab w:val="right" w:leader="dot" w:pos="8828"/>
        </w:tabs>
        <w:jc w:val="both"/>
        <w:rPr>
          <w:rFonts w:ascii="Verdana" w:eastAsiaTheme="minorEastAsia" w:hAnsi="Verdana" w:cstheme="minorBidi"/>
          <w:smallCaps w:val="0"/>
          <w:lang w:val="en-US" w:eastAsia="es-CR"/>
        </w:rPr>
      </w:pPr>
      <w:hyperlink w:anchor="_Toc46937315" w:history="1">
        <w:r w:rsidR="00C254BF" w:rsidRPr="00785D06">
          <w:rPr>
            <w:rStyle w:val="Hipervnculo"/>
            <w:rFonts w:ascii="Verdana" w:hAnsi="Verdana"/>
            <w:b/>
            <w:i/>
            <w:color w:val="auto"/>
            <w:lang w:val="en-US"/>
          </w:rPr>
          <w:t>A.</w:t>
        </w:r>
        <w:r w:rsidR="00C254BF" w:rsidRPr="00785D06">
          <w:rPr>
            <w:rFonts w:ascii="Verdana" w:eastAsiaTheme="minorEastAsia" w:hAnsi="Verdana" w:cstheme="minorBidi"/>
            <w:smallCaps w:val="0"/>
            <w:lang w:val="en-US" w:eastAsia="es-CR"/>
          </w:rPr>
          <w:tab/>
        </w:r>
        <w:r w:rsidR="00C254BF" w:rsidRPr="00785D06">
          <w:rPr>
            <w:rStyle w:val="Hipervnculo"/>
            <w:rFonts w:ascii="Verdana" w:hAnsi="Verdana"/>
            <w:b/>
            <w:i/>
            <w:color w:val="auto"/>
            <w:lang w:val="en-US"/>
          </w:rPr>
          <w:t xml:space="preserve">Arguments of the </w:t>
        </w:r>
        <w:r w:rsidR="00485212" w:rsidRPr="00785D06">
          <w:rPr>
            <w:rStyle w:val="Hipervnculo"/>
            <w:rFonts w:ascii="Verdana" w:hAnsi="Verdana"/>
            <w:b/>
            <w:i/>
            <w:color w:val="auto"/>
            <w:lang w:val="en-US"/>
          </w:rPr>
          <w:t xml:space="preserve">parties and the </w:t>
        </w:r>
        <w:r w:rsidR="00C254BF" w:rsidRPr="00785D06">
          <w:rPr>
            <w:rStyle w:val="Hipervnculo"/>
            <w:rFonts w:ascii="Verdana" w:hAnsi="Verdana"/>
            <w:b/>
            <w:i/>
            <w:color w:val="auto"/>
            <w:lang w:val="en-US"/>
          </w:rPr>
          <w:t>Commission</w:t>
        </w:r>
        <w:r w:rsidR="00C254BF" w:rsidRPr="00785D06">
          <w:rPr>
            <w:rFonts w:ascii="Verdana" w:hAnsi="Verdana"/>
            <w:webHidden/>
            <w:lang w:val="en-US"/>
          </w:rPr>
          <w:tab/>
        </w:r>
        <w:r w:rsidR="00C254BF" w:rsidRPr="00785D06">
          <w:rPr>
            <w:rFonts w:ascii="Verdana" w:hAnsi="Verdana"/>
            <w:webHidden/>
            <w:lang w:val="en-US"/>
          </w:rPr>
          <w:fldChar w:fldCharType="begin"/>
        </w:r>
        <w:r w:rsidR="00C254BF" w:rsidRPr="00785D06">
          <w:rPr>
            <w:rFonts w:ascii="Verdana" w:hAnsi="Verdana"/>
            <w:webHidden/>
            <w:lang w:val="en-US"/>
          </w:rPr>
          <w:instrText xml:space="preserve"> PAGEREF _Toc46937315 \h </w:instrText>
        </w:r>
        <w:r w:rsidR="00C254BF" w:rsidRPr="00785D06">
          <w:rPr>
            <w:rFonts w:ascii="Verdana" w:hAnsi="Verdana"/>
            <w:webHidden/>
            <w:lang w:val="en-US"/>
          </w:rPr>
        </w:r>
        <w:r w:rsidR="00C254BF" w:rsidRPr="00785D06">
          <w:rPr>
            <w:rFonts w:ascii="Verdana" w:hAnsi="Verdana"/>
            <w:webHidden/>
            <w:lang w:val="en-US"/>
          </w:rPr>
          <w:fldChar w:fldCharType="separate"/>
        </w:r>
        <w:r w:rsidR="00C223D9">
          <w:rPr>
            <w:rFonts w:ascii="Verdana" w:hAnsi="Verdana"/>
            <w:noProof/>
            <w:webHidden/>
            <w:lang w:val="en-US"/>
          </w:rPr>
          <w:t>60</w:t>
        </w:r>
        <w:r w:rsidR="00C254BF" w:rsidRPr="00785D06">
          <w:rPr>
            <w:rFonts w:ascii="Verdana" w:hAnsi="Verdana"/>
            <w:webHidden/>
            <w:lang w:val="en-US"/>
          </w:rPr>
          <w:fldChar w:fldCharType="end"/>
        </w:r>
      </w:hyperlink>
    </w:p>
    <w:p w14:paraId="632A8F04" w14:textId="6A286DEB" w:rsidR="00C254BF" w:rsidRPr="00785D06" w:rsidRDefault="008E6839" w:rsidP="00C254BF">
      <w:pPr>
        <w:pStyle w:val="TDC2"/>
        <w:tabs>
          <w:tab w:val="left" w:pos="640"/>
          <w:tab w:val="right" w:leader="dot" w:pos="8828"/>
        </w:tabs>
        <w:jc w:val="both"/>
        <w:rPr>
          <w:rFonts w:ascii="Verdana" w:eastAsiaTheme="minorEastAsia" w:hAnsi="Verdana" w:cstheme="minorBidi"/>
          <w:smallCaps w:val="0"/>
          <w:lang w:val="en-US" w:eastAsia="es-CR"/>
        </w:rPr>
      </w:pPr>
      <w:hyperlink w:anchor="_Toc46937316" w:history="1">
        <w:r w:rsidR="00C254BF" w:rsidRPr="00785D06">
          <w:rPr>
            <w:rStyle w:val="Hipervnculo"/>
            <w:rFonts w:ascii="Verdana" w:hAnsi="Verdana"/>
            <w:b/>
            <w:i/>
            <w:color w:val="auto"/>
            <w:lang w:val="en-US"/>
          </w:rPr>
          <w:t>B.</w:t>
        </w:r>
        <w:r w:rsidR="00C254BF" w:rsidRPr="00785D06">
          <w:rPr>
            <w:rFonts w:ascii="Verdana" w:eastAsiaTheme="minorEastAsia" w:hAnsi="Verdana" w:cstheme="minorBidi"/>
            <w:smallCaps w:val="0"/>
            <w:lang w:val="en-US" w:eastAsia="es-CR"/>
          </w:rPr>
          <w:tab/>
        </w:r>
        <w:r w:rsidR="00C254BF" w:rsidRPr="00785D06">
          <w:rPr>
            <w:rStyle w:val="Hipervnculo"/>
            <w:rFonts w:ascii="Verdana" w:hAnsi="Verdana"/>
            <w:b/>
            <w:i/>
            <w:color w:val="auto"/>
            <w:lang w:val="en-US"/>
          </w:rPr>
          <w:t>Considerations of the Court</w:t>
        </w:r>
        <w:r w:rsidR="00C254BF" w:rsidRPr="00785D06">
          <w:rPr>
            <w:rFonts w:ascii="Verdana" w:hAnsi="Verdana"/>
            <w:webHidden/>
            <w:lang w:val="en-US"/>
          </w:rPr>
          <w:tab/>
        </w:r>
        <w:r w:rsidR="00C254BF" w:rsidRPr="00785D06">
          <w:rPr>
            <w:rFonts w:ascii="Verdana" w:hAnsi="Verdana"/>
            <w:webHidden/>
            <w:lang w:val="en-US"/>
          </w:rPr>
          <w:fldChar w:fldCharType="begin"/>
        </w:r>
        <w:r w:rsidR="00C254BF" w:rsidRPr="00785D06">
          <w:rPr>
            <w:rFonts w:ascii="Verdana" w:hAnsi="Verdana"/>
            <w:webHidden/>
            <w:lang w:val="en-US"/>
          </w:rPr>
          <w:instrText xml:space="preserve"> PAGEREF _Toc46937316 \h </w:instrText>
        </w:r>
        <w:r w:rsidR="00C254BF" w:rsidRPr="00785D06">
          <w:rPr>
            <w:rFonts w:ascii="Verdana" w:hAnsi="Verdana"/>
            <w:webHidden/>
            <w:lang w:val="en-US"/>
          </w:rPr>
        </w:r>
        <w:r w:rsidR="00C254BF" w:rsidRPr="00785D06">
          <w:rPr>
            <w:rFonts w:ascii="Verdana" w:hAnsi="Verdana"/>
            <w:webHidden/>
            <w:lang w:val="en-US"/>
          </w:rPr>
          <w:fldChar w:fldCharType="separate"/>
        </w:r>
        <w:r w:rsidR="00C223D9">
          <w:rPr>
            <w:rFonts w:ascii="Verdana" w:hAnsi="Verdana"/>
            <w:noProof/>
            <w:webHidden/>
            <w:lang w:val="en-US"/>
          </w:rPr>
          <w:t>60</w:t>
        </w:r>
        <w:r w:rsidR="00C254BF" w:rsidRPr="00785D06">
          <w:rPr>
            <w:rFonts w:ascii="Verdana" w:hAnsi="Verdana"/>
            <w:webHidden/>
            <w:lang w:val="en-US"/>
          </w:rPr>
          <w:fldChar w:fldCharType="end"/>
        </w:r>
      </w:hyperlink>
    </w:p>
    <w:p w14:paraId="72BD7B45" w14:textId="77777777" w:rsidR="00C254BF" w:rsidRPr="00785D06" w:rsidRDefault="00C254BF" w:rsidP="00C254BF">
      <w:pPr>
        <w:pStyle w:val="TDC1"/>
        <w:rPr>
          <w:rStyle w:val="Hipervnculo"/>
          <w:noProof w:val="0"/>
          <w:color w:val="auto"/>
          <w:lang w:val="en-US"/>
        </w:rPr>
      </w:pPr>
    </w:p>
    <w:p w14:paraId="6A2EF8B4" w14:textId="28D0CB88" w:rsidR="00C254BF" w:rsidRPr="00785D06" w:rsidRDefault="008E6839" w:rsidP="00C254BF">
      <w:pPr>
        <w:pStyle w:val="TDC1"/>
        <w:rPr>
          <w:rFonts w:eastAsiaTheme="minorEastAsia" w:cstheme="minorBidi"/>
          <w:noProof w:val="0"/>
          <w:lang w:val="en-US" w:eastAsia="es-CR"/>
        </w:rPr>
      </w:pPr>
      <w:hyperlink w:anchor="_Toc46937317" w:history="1">
        <w:r w:rsidR="00C254BF" w:rsidRPr="00785D06">
          <w:rPr>
            <w:rStyle w:val="Hipervnculo"/>
            <w:noProof w:val="0"/>
            <w:color w:val="auto"/>
            <w:lang w:val="en-US"/>
          </w:rPr>
          <w:t>VIII</w:t>
        </w:r>
      </w:hyperlink>
      <w:r w:rsidR="00C254BF" w:rsidRPr="00785D06">
        <w:rPr>
          <w:rStyle w:val="Hipervnculo"/>
          <w:noProof w:val="0"/>
          <w:color w:val="auto"/>
          <w:u w:val="none"/>
          <w:lang w:val="en-US"/>
        </w:rPr>
        <w:t xml:space="preserve"> </w:t>
      </w:r>
      <w:hyperlink w:anchor="_Toc46937318" w:history="1">
        <w:r w:rsidR="00C254BF" w:rsidRPr="00785D06">
          <w:rPr>
            <w:rStyle w:val="Hipervnculo"/>
            <w:noProof w:val="0"/>
            <w:color w:val="auto"/>
            <w:lang w:val="en-US"/>
          </w:rPr>
          <w:t>REPARATIONS</w:t>
        </w:r>
        <w:r w:rsidR="00C254BF" w:rsidRPr="00785D06">
          <w:rPr>
            <w:noProof w:val="0"/>
            <w:webHidden/>
            <w:lang w:val="en-US"/>
          </w:rPr>
          <w:tab/>
        </w:r>
        <w:r w:rsidR="00C254BF" w:rsidRPr="00785D06">
          <w:rPr>
            <w:noProof w:val="0"/>
            <w:webHidden/>
            <w:lang w:val="en-US"/>
          </w:rPr>
          <w:fldChar w:fldCharType="begin"/>
        </w:r>
        <w:r w:rsidR="00C254BF" w:rsidRPr="00785D06">
          <w:rPr>
            <w:noProof w:val="0"/>
            <w:webHidden/>
            <w:lang w:val="en-US"/>
          </w:rPr>
          <w:instrText xml:space="preserve"> PAGEREF _Toc46937318 \h </w:instrText>
        </w:r>
        <w:r w:rsidR="00C254BF" w:rsidRPr="00785D06">
          <w:rPr>
            <w:noProof w:val="0"/>
            <w:webHidden/>
            <w:lang w:val="en-US"/>
          </w:rPr>
        </w:r>
        <w:r w:rsidR="00C254BF" w:rsidRPr="00785D06">
          <w:rPr>
            <w:noProof w:val="0"/>
            <w:webHidden/>
            <w:lang w:val="en-US"/>
          </w:rPr>
          <w:fldChar w:fldCharType="separate"/>
        </w:r>
        <w:r w:rsidR="00C223D9">
          <w:rPr>
            <w:webHidden/>
            <w:lang w:val="en-US"/>
          </w:rPr>
          <w:t>63</w:t>
        </w:r>
        <w:r w:rsidR="00C254BF" w:rsidRPr="00785D06">
          <w:rPr>
            <w:noProof w:val="0"/>
            <w:webHidden/>
            <w:lang w:val="en-US"/>
          </w:rPr>
          <w:fldChar w:fldCharType="end"/>
        </w:r>
      </w:hyperlink>
    </w:p>
    <w:p w14:paraId="27080E4C" w14:textId="0BE4329F" w:rsidR="00C254BF" w:rsidRPr="00785D06" w:rsidRDefault="008E6839" w:rsidP="00C254BF">
      <w:pPr>
        <w:pStyle w:val="TDC2"/>
        <w:tabs>
          <w:tab w:val="left" w:pos="640"/>
          <w:tab w:val="right" w:leader="dot" w:pos="8828"/>
        </w:tabs>
        <w:jc w:val="both"/>
        <w:rPr>
          <w:rFonts w:ascii="Verdana" w:eastAsiaTheme="minorEastAsia" w:hAnsi="Verdana" w:cstheme="minorBidi"/>
          <w:smallCaps w:val="0"/>
          <w:lang w:val="en-US" w:eastAsia="es-CR"/>
        </w:rPr>
      </w:pPr>
      <w:hyperlink w:anchor="_Toc46937319" w:history="1">
        <w:r w:rsidR="00C254BF" w:rsidRPr="00785D06">
          <w:rPr>
            <w:rStyle w:val="Hipervnculo"/>
            <w:rFonts w:ascii="Verdana" w:eastAsia="Times New Roman" w:hAnsi="Verdana"/>
            <w:b/>
            <w:bCs/>
            <w:i/>
            <w:color w:val="auto"/>
            <w:lang w:val="en-US" w:eastAsia="es-ES" w:bidi="es-ES"/>
          </w:rPr>
          <w:t>A.</w:t>
        </w:r>
        <w:r w:rsidR="00C254BF" w:rsidRPr="00785D06">
          <w:rPr>
            <w:rFonts w:ascii="Verdana" w:eastAsiaTheme="minorEastAsia" w:hAnsi="Verdana" w:cstheme="minorBidi"/>
            <w:smallCaps w:val="0"/>
            <w:lang w:val="en-US" w:eastAsia="es-CR"/>
          </w:rPr>
          <w:tab/>
        </w:r>
        <w:r w:rsidR="00C254BF" w:rsidRPr="00785D06">
          <w:rPr>
            <w:rStyle w:val="Hipervnculo"/>
            <w:rFonts w:ascii="Verdana" w:eastAsia="Times New Roman" w:hAnsi="Verdana"/>
            <w:b/>
            <w:bCs/>
            <w:i/>
            <w:color w:val="auto"/>
            <w:lang w:val="en-US" w:eastAsia="es-ES" w:bidi="es-ES"/>
          </w:rPr>
          <w:t>Injured Party</w:t>
        </w:r>
        <w:r w:rsidR="00C254BF" w:rsidRPr="00785D06">
          <w:rPr>
            <w:rFonts w:ascii="Verdana" w:hAnsi="Verdana"/>
            <w:webHidden/>
            <w:lang w:val="en-US"/>
          </w:rPr>
          <w:tab/>
        </w:r>
        <w:r w:rsidR="00C254BF" w:rsidRPr="00785D06">
          <w:rPr>
            <w:rFonts w:ascii="Verdana" w:hAnsi="Verdana"/>
            <w:webHidden/>
            <w:lang w:val="en-US"/>
          </w:rPr>
          <w:fldChar w:fldCharType="begin"/>
        </w:r>
        <w:r w:rsidR="00C254BF" w:rsidRPr="00785D06">
          <w:rPr>
            <w:rFonts w:ascii="Verdana" w:hAnsi="Verdana"/>
            <w:webHidden/>
            <w:lang w:val="en-US"/>
          </w:rPr>
          <w:instrText xml:space="preserve"> PAGEREF _Toc46937319 \h </w:instrText>
        </w:r>
        <w:r w:rsidR="00C254BF" w:rsidRPr="00785D06">
          <w:rPr>
            <w:rFonts w:ascii="Verdana" w:hAnsi="Verdana"/>
            <w:webHidden/>
            <w:lang w:val="en-US"/>
          </w:rPr>
        </w:r>
        <w:r w:rsidR="00C254BF" w:rsidRPr="00785D06">
          <w:rPr>
            <w:rFonts w:ascii="Verdana" w:hAnsi="Verdana"/>
            <w:webHidden/>
            <w:lang w:val="en-US"/>
          </w:rPr>
          <w:fldChar w:fldCharType="separate"/>
        </w:r>
        <w:r w:rsidR="00C223D9">
          <w:rPr>
            <w:rFonts w:ascii="Verdana" w:hAnsi="Verdana"/>
            <w:noProof/>
            <w:webHidden/>
            <w:lang w:val="en-US"/>
          </w:rPr>
          <w:t>63</w:t>
        </w:r>
        <w:r w:rsidR="00C254BF" w:rsidRPr="00785D06">
          <w:rPr>
            <w:rFonts w:ascii="Verdana" w:hAnsi="Verdana"/>
            <w:webHidden/>
            <w:lang w:val="en-US"/>
          </w:rPr>
          <w:fldChar w:fldCharType="end"/>
        </w:r>
      </w:hyperlink>
    </w:p>
    <w:p w14:paraId="7B194B94" w14:textId="02A7E9BF" w:rsidR="00C254BF" w:rsidRPr="00785D06" w:rsidRDefault="008E6839" w:rsidP="00C254BF">
      <w:pPr>
        <w:pStyle w:val="TDC2"/>
        <w:tabs>
          <w:tab w:val="left" w:pos="640"/>
          <w:tab w:val="right" w:leader="dot" w:pos="8828"/>
        </w:tabs>
        <w:jc w:val="both"/>
        <w:rPr>
          <w:rFonts w:ascii="Verdana" w:eastAsiaTheme="minorEastAsia" w:hAnsi="Verdana" w:cstheme="minorBidi"/>
          <w:smallCaps w:val="0"/>
          <w:lang w:val="en-US" w:eastAsia="es-CR"/>
        </w:rPr>
      </w:pPr>
      <w:hyperlink w:anchor="_Toc46937320" w:history="1">
        <w:r w:rsidR="00C254BF" w:rsidRPr="00785D06">
          <w:rPr>
            <w:rStyle w:val="Hipervnculo"/>
            <w:rFonts w:ascii="Verdana" w:eastAsia="Times New Roman" w:hAnsi="Verdana"/>
            <w:b/>
            <w:bCs/>
            <w:i/>
            <w:color w:val="auto"/>
            <w:lang w:val="en-US" w:eastAsia="es-ES" w:bidi="es-ES"/>
          </w:rPr>
          <w:t>B.</w:t>
        </w:r>
        <w:r w:rsidR="00C254BF" w:rsidRPr="00785D06">
          <w:rPr>
            <w:rFonts w:ascii="Verdana" w:eastAsiaTheme="minorEastAsia" w:hAnsi="Verdana" w:cstheme="minorBidi"/>
            <w:smallCaps w:val="0"/>
            <w:lang w:val="en-US" w:eastAsia="es-CR"/>
          </w:rPr>
          <w:tab/>
        </w:r>
        <w:r w:rsidR="00C254BF" w:rsidRPr="00785D06">
          <w:rPr>
            <w:rStyle w:val="Hipervnculo"/>
            <w:rFonts w:ascii="Verdana" w:eastAsia="Times New Roman" w:hAnsi="Verdana"/>
            <w:b/>
            <w:bCs/>
            <w:i/>
            <w:color w:val="auto"/>
            <w:lang w:val="en-US" w:eastAsia="es-ES" w:bidi="es-ES"/>
          </w:rPr>
          <w:t xml:space="preserve">Request for an investigation </w:t>
        </w:r>
        <w:r w:rsidR="00485212" w:rsidRPr="00785D06">
          <w:rPr>
            <w:rStyle w:val="Hipervnculo"/>
            <w:rFonts w:ascii="Verdana" w:eastAsia="Times New Roman" w:hAnsi="Verdana"/>
            <w:b/>
            <w:bCs/>
            <w:i/>
            <w:color w:val="auto"/>
            <w:lang w:val="en-US" w:eastAsia="es-ES" w:bidi="es-ES"/>
          </w:rPr>
          <w:t xml:space="preserve">into </w:t>
        </w:r>
        <w:r w:rsidR="00C254BF" w:rsidRPr="00785D06">
          <w:rPr>
            <w:rStyle w:val="Hipervnculo"/>
            <w:rFonts w:ascii="Verdana" w:eastAsia="Times New Roman" w:hAnsi="Verdana"/>
            <w:b/>
            <w:bCs/>
            <w:i/>
            <w:color w:val="auto"/>
            <w:lang w:val="en-US" w:eastAsia="es-ES" w:bidi="es-ES"/>
          </w:rPr>
          <w:t>the facts</w:t>
        </w:r>
        <w:r w:rsidR="00C254BF" w:rsidRPr="00785D06">
          <w:rPr>
            <w:rFonts w:ascii="Verdana" w:hAnsi="Verdana"/>
            <w:webHidden/>
            <w:lang w:val="en-US"/>
          </w:rPr>
          <w:tab/>
        </w:r>
        <w:r w:rsidR="00C254BF" w:rsidRPr="00785D06">
          <w:rPr>
            <w:rFonts w:ascii="Verdana" w:hAnsi="Verdana"/>
            <w:webHidden/>
            <w:lang w:val="en-US"/>
          </w:rPr>
          <w:fldChar w:fldCharType="begin"/>
        </w:r>
        <w:r w:rsidR="00C254BF" w:rsidRPr="00785D06">
          <w:rPr>
            <w:rFonts w:ascii="Verdana" w:hAnsi="Verdana"/>
            <w:webHidden/>
            <w:lang w:val="en-US"/>
          </w:rPr>
          <w:instrText xml:space="preserve"> PAGEREF _Toc46937320 \h </w:instrText>
        </w:r>
        <w:r w:rsidR="00C254BF" w:rsidRPr="00785D06">
          <w:rPr>
            <w:rFonts w:ascii="Verdana" w:hAnsi="Verdana"/>
            <w:webHidden/>
            <w:lang w:val="en-US"/>
          </w:rPr>
        </w:r>
        <w:r w:rsidR="00C254BF" w:rsidRPr="00785D06">
          <w:rPr>
            <w:rFonts w:ascii="Verdana" w:hAnsi="Verdana"/>
            <w:webHidden/>
            <w:lang w:val="en-US"/>
          </w:rPr>
          <w:fldChar w:fldCharType="separate"/>
        </w:r>
        <w:r w:rsidR="00C223D9">
          <w:rPr>
            <w:rFonts w:ascii="Verdana" w:hAnsi="Verdana"/>
            <w:noProof/>
            <w:webHidden/>
            <w:lang w:val="en-US"/>
          </w:rPr>
          <w:t>63</w:t>
        </w:r>
        <w:r w:rsidR="00C254BF" w:rsidRPr="00785D06">
          <w:rPr>
            <w:rFonts w:ascii="Verdana" w:hAnsi="Verdana"/>
            <w:webHidden/>
            <w:lang w:val="en-US"/>
          </w:rPr>
          <w:fldChar w:fldCharType="end"/>
        </w:r>
      </w:hyperlink>
    </w:p>
    <w:p w14:paraId="14756208" w14:textId="00122123" w:rsidR="00C254BF" w:rsidRPr="00785D06" w:rsidRDefault="008E6839" w:rsidP="00C254BF">
      <w:pPr>
        <w:pStyle w:val="TDC2"/>
        <w:tabs>
          <w:tab w:val="left" w:pos="640"/>
          <w:tab w:val="right" w:leader="dot" w:pos="8828"/>
        </w:tabs>
        <w:jc w:val="both"/>
        <w:rPr>
          <w:rFonts w:ascii="Verdana" w:eastAsiaTheme="minorEastAsia" w:hAnsi="Verdana" w:cstheme="minorBidi"/>
          <w:smallCaps w:val="0"/>
          <w:lang w:val="en-US" w:eastAsia="es-CR"/>
        </w:rPr>
      </w:pPr>
      <w:hyperlink w:anchor="_Toc46937321" w:history="1">
        <w:r w:rsidR="00C254BF" w:rsidRPr="00785D06">
          <w:rPr>
            <w:rStyle w:val="Hipervnculo"/>
            <w:rFonts w:ascii="Verdana" w:eastAsia="Times New Roman" w:hAnsi="Verdana"/>
            <w:b/>
            <w:bCs/>
            <w:i/>
            <w:color w:val="auto"/>
            <w:lang w:val="en-US" w:eastAsia="es-ES" w:bidi="es-ES"/>
          </w:rPr>
          <w:t>C.</w:t>
        </w:r>
        <w:r w:rsidR="00C254BF" w:rsidRPr="00785D06">
          <w:rPr>
            <w:rFonts w:ascii="Verdana" w:eastAsiaTheme="minorEastAsia" w:hAnsi="Verdana" w:cstheme="minorBidi"/>
            <w:smallCaps w:val="0"/>
            <w:lang w:val="en-US" w:eastAsia="es-CR"/>
          </w:rPr>
          <w:tab/>
        </w:r>
        <w:r w:rsidR="00C254BF" w:rsidRPr="00785D06">
          <w:rPr>
            <w:rStyle w:val="Hipervnculo"/>
            <w:rFonts w:ascii="Verdana" w:eastAsia="Times New Roman" w:hAnsi="Verdana"/>
            <w:b/>
            <w:i/>
            <w:color w:val="auto"/>
            <w:lang w:val="en-US" w:eastAsia="es-ES" w:bidi="es-ES"/>
          </w:rPr>
          <w:t>Measures of rehabilitation</w:t>
        </w:r>
        <w:r w:rsidR="00C254BF" w:rsidRPr="00785D06">
          <w:rPr>
            <w:rFonts w:ascii="Verdana" w:hAnsi="Verdana"/>
            <w:webHidden/>
            <w:lang w:val="en-US"/>
          </w:rPr>
          <w:tab/>
        </w:r>
        <w:r w:rsidR="00C254BF" w:rsidRPr="00785D06">
          <w:rPr>
            <w:rFonts w:ascii="Verdana" w:hAnsi="Verdana"/>
            <w:webHidden/>
            <w:lang w:val="en-US"/>
          </w:rPr>
          <w:fldChar w:fldCharType="begin"/>
        </w:r>
        <w:r w:rsidR="00C254BF" w:rsidRPr="00785D06">
          <w:rPr>
            <w:rFonts w:ascii="Verdana" w:hAnsi="Verdana"/>
            <w:webHidden/>
            <w:lang w:val="en-US"/>
          </w:rPr>
          <w:instrText xml:space="preserve"> PAGEREF _Toc46937321 \h </w:instrText>
        </w:r>
        <w:r w:rsidR="00C254BF" w:rsidRPr="00785D06">
          <w:rPr>
            <w:rFonts w:ascii="Verdana" w:hAnsi="Verdana"/>
            <w:webHidden/>
            <w:lang w:val="en-US"/>
          </w:rPr>
        </w:r>
        <w:r w:rsidR="00C254BF" w:rsidRPr="00785D06">
          <w:rPr>
            <w:rFonts w:ascii="Verdana" w:hAnsi="Verdana"/>
            <w:webHidden/>
            <w:lang w:val="en-US"/>
          </w:rPr>
          <w:fldChar w:fldCharType="separate"/>
        </w:r>
        <w:r w:rsidR="00C223D9">
          <w:rPr>
            <w:rFonts w:ascii="Verdana" w:hAnsi="Verdana"/>
            <w:noProof/>
            <w:webHidden/>
            <w:lang w:val="en-US"/>
          </w:rPr>
          <w:t>65</w:t>
        </w:r>
        <w:r w:rsidR="00C254BF" w:rsidRPr="00785D06">
          <w:rPr>
            <w:rFonts w:ascii="Verdana" w:hAnsi="Verdana"/>
            <w:webHidden/>
            <w:lang w:val="en-US"/>
          </w:rPr>
          <w:fldChar w:fldCharType="end"/>
        </w:r>
      </w:hyperlink>
    </w:p>
    <w:p w14:paraId="763E8AB8" w14:textId="26D0E27F" w:rsidR="00C254BF" w:rsidRPr="00785D06" w:rsidRDefault="008E6839" w:rsidP="00C254BF">
      <w:pPr>
        <w:pStyle w:val="TDC2"/>
        <w:tabs>
          <w:tab w:val="left" w:pos="640"/>
          <w:tab w:val="right" w:leader="dot" w:pos="8828"/>
        </w:tabs>
        <w:jc w:val="both"/>
        <w:rPr>
          <w:rFonts w:ascii="Verdana" w:eastAsiaTheme="minorEastAsia" w:hAnsi="Verdana" w:cstheme="minorBidi"/>
          <w:smallCaps w:val="0"/>
          <w:lang w:val="en-US" w:eastAsia="es-CR"/>
        </w:rPr>
      </w:pPr>
      <w:hyperlink w:anchor="_Toc46937322" w:history="1">
        <w:r w:rsidR="00C254BF" w:rsidRPr="00785D06">
          <w:rPr>
            <w:rStyle w:val="Hipervnculo"/>
            <w:rFonts w:ascii="Verdana" w:eastAsia="Times New Roman" w:hAnsi="Verdana"/>
            <w:b/>
            <w:bCs/>
            <w:i/>
            <w:color w:val="auto"/>
            <w:lang w:val="en-US" w:eastAsia="es-ES" w:bidi="es-ES"/>
          </w:rPr>
          <w:t>D.</w:t>
        </w:r>
        <w:r w:rsidR="00C254BF" w:rsidRPr="00785D06">
          <w:rPr>
            <w:rFonts w:ascii="Verdana" w:eastAsiaTheme="minorEastAsia" w:hAnsi="Verdana" w:cstheme="minorBidi"/>
            <w:smallCaps w:val="0"/>
            <w:lang w:val="en-US" w:eastAsia="es-CR"/>
          </w:rPr>
          <w:tab/>
        </w:r>
        <w:r w:rsidR="00C254BF" w:rsidRPr="00785D06">
          <w:rPr>
            <w:rStyle w:val="Hipervnculo"/>
            <w:rFonts w:ascii="Verdana" w:eastAsia="Times New Roman" w:hAnsi="Verdana"/>
            <w:b/>
            <w:i/>
            <w:color w:val="auto"/>
            <w:lang w:val="en-US" w:eastAsia="es-ES" w:bidi="es-ES"/>
          </w:rPr>
          <w:t>Measures of satisfaction</w:t>
        </w:r>
        <w:r w:rsidR="00C254BF" w:rsidRPr="00785D06">
          <w:rPr>
            <w:rFonts w:ascii="Verdana" w:hAnsi="Verdana"/>
            <w:webHidden/>
            <w:lang w:val="en-US"/>
          </w:rPr>
          <w:tab/>
        </w:r>
        <w:r w:rsidR="00C254BF" w:rsidRPr="00785D06">
          <w:rPr>
            <w:rFonts w:ascii="Verdana" w:hAnsi="Verdana"/>
            <w:webHidden/>
            <w:lang w:val="en-US"/>
          </w:rPr>
          <w:fldChar w:fldCharType="begin"/>
        </w:r>
        <w:r w:rsidR="00C254BF" w:rsidRPr="00785D06">
          <w:rPr>
            <w:rFonts w:ascii="Verdana" w:hAnsi="Verdana"/>
            <w:webHidden/>
            <w:lang w:val="en-US"/>
          </w:rPr>
          <w:instrText xml:space="preserve"> PAGEREF _Toc46937322 \h </w:instrText>
        </w:r>
        <w:r w:rsidR="00C254BF" w:rsidRPr="00785D06">
          <w:rPr>
            <w:rFonts w:ascii="Verdana" w:hAnsi="Verdana"/>
            <w:webHidden/>
            <w:lang w:val="en-US"/>
          </w:rPr>
        </w:r>
        <w:r w:rsidR="00C254BF" w:rsidRPr="00785D06">
          <w:rPr>
            <w:rFonts w:ascii="Verdana" w:hAnsi="Verdana"/>
            <w:webHidden/>
            <w:lang w:val="en-US"/>
          </w:rPr>
          <w:fldChar w:fldCharType="separate"/>
        </w:r>
        <w:r w:rsidR="00C223D9">
          <w:rPr>
            <w:rFonts w:ascii="Verdana" w:hAnsi="Verdana"/>
            <w:noProof/>
            <w:webHidden/>
            <w:lang w:val="en-US"/>
          </w:rPr>
          <w:t>65</w:t>
        </w:r>
        <w:r w:rsidR="00C254BF" w:rsidRPr="00785D06">
          <w:rPr>
            <w:rFonts w:ascii="Verdana" w:hAnsi="Verdana"/>
            <w:webHidden/>
            <w:lang w:val="en-US"/>
          </w:rPr>
          <w:fldChar w:fldCharType="end"/>
        </w:r>
      </w:hyperlink>
    </w:p>
    <w:p w14:paraId="585CAF6D" w14:textId="7F9B3C67" w:rsidR="00C254BF" w:rsidRPr="00785D06" w:rsidRDefault="008E6839" w:rsidP="00C254BF">
      <w:pPr>
        <w:pStyle w:val="TDC2"/>
        <w:tabs>
          <w:tab w:val="left" w:pos="640"/>
          <w:tab w:val="right" w:leader="dot" w:pos="8828"/>
        </w:tabs>
        <w:jc w:val="both"/>
        <w:rPr>
          <w:rFonts w:ascii="Verdana" w:eastAsiaTheme="minorEastAsia" w:hAnsi="Verdana" w:cstheme="minorBidi"/>
          <w:smallCaps w:val="0"/>
          <w:lang w:val="en-US" w:eastAsia="es-CR"/>
        </w:rPr>
      </w:pPr>
      <w:hyperlink w:anchor="_Toc46937323" w:history="1">
        <w:r w:rsidR="00C254BF" w:rsidRPr="00785D06">
          <w:rPr>
            <w:rStyle w:val="Hipervnculo"/>
            <w:rFonts w:ascii="Verdana" w:eastAsia="Times New Roman" w:hAnsi="Verdana"/>
            <w:b/>
            <w:bCs/>
            <w:i/>
            <w:color w:val="auto"/>
            <w:lang w:val="en-US" w:eastAsia="es-ES" w:bidi="es-ES"/>
          </w:rPr>
          <w:t>E.</w:t>
        </w:r>
        <w:r w:rsidR="00C254BF" w:rsidRPr="00785D06">
          <w:rPr>
            <w:rFonts w:ascii="Verdana" w:eastAsiaTheme="minorEastAsia" w:hAnsi="Verdana" w:cstheme="minorBidi"/>
            <w:smallCaps w:val="0"/>
            <w:lang w:val="en-US" w:eastAsia="es-CR"/>
          </w:rPr>
          <w:tab/>
        </w:r>
        <w:r w:rsidR="00C254BF" w:rsidRPr="00785D06">
          <w:rPr>
            <w:rStyle w:val="Hipervnculo"/>
            <w:rFonts w:ascii="Verdana" w:eastAsia="Times New Roman" w:hAnsi="Verdana"/>
            <w:b/>
            <w:i/>
            <w:color w:val="auto"/>
            <w:lang w:val="en-US" w:eastAsia="es-ES" w:bidi="es-ES"/>
          </w:rPr>
          <w:t>Guarantees of non-repetition</w:t>
        </w:r>
        <w:r w:rsidR="00C254BF" w:rsidRPr="00785D06">
          <w:rPr>
            <w:rFonts w:ascii="Verdana" w:hAnsi="Verdana"/>
            <w:webHidden/>
            <w:lang w:val="en-US"/>
          </w:rPr>
          <w:tab/>
        </w:r>
        <w:r w:rsidR="00C254BF" w:rsidRPr="00785D06">
          <w:rPr>
            <w:rFonts w:ascii="Verdana" w:hAnsi="Verdana"/>
            <w:webHidden/>
            <w:lang w:val="en-US"/>
          </w:rPr>
          <w:fldChar w:fldCharType="begin"/>
        </w:r>
        <w:r w:rsidR="00C254BF" w:rsidRPr="00785D06">
          <w:rPr>
            <w:rFonts w:ascii="Verdana" w:hAnsi="Verdana"/>
            <w:webHidden/>
            <w:lang w:val="en-US"/>
          </w:rPr>
          <w:instrText xml:space="preserve"> PAGEREF _Toc46937323 \h </w:instrText>
        </w:r>
        <w:r w:rsidR="00C254BF" w:rsidRPr="00785D06">
          <w:rPr>
            <w:rFonts w:ascii="Verdana" w:hAnsi="Verdana"/>
            <w:webHidden/>
            <w:lang w:val="en-US"/>
          </w:rPr>
        </w:r>
        <w:r w:rsidR="00C254BF" w:rsidRPr="00785D06">
          <w:rPr>
            <w:rFonts w:ascii="Verdana" w:hAnsi="Verdana"/>
            <w:webHidden/>
            <w:lang w:val="en-US"/>
          </w:rPr>
          <w:fldChar w:fldCharType="separate"/>
        </w:r>
        <w:r w:rsidR="00C223D9">
          <w:rPr>
            <w:rFonts w:ascii="Verdana" w:hAnsi="Verdana"/>
            <w:noProof/>
            <w:webHidden/>
            <w:lang w:val="en-US"/>
          </w:rPr>
          <w:t>66</w:t>
        </w:r>
        <w:r w:rsidR="00C254BF" w:rsidRPr="00785D06">
          <w:rPr>
            <w:rFonts w:ascii="Verdana" w:hAnsi="Verdana"/>
            <w:webHidden/>
            <w:lang w:val="en-US"/>
          </w:rPr>
          <w:fldChar w:fldCharType="end"/>
        </w:r>
      </w:hyperlink>
    </w:p>
    <w:p w14:paraId="76C2C8BA" w14:textId="3D888FDA" w:rsidR="00C254BF" w:rsidRPr="00785D06" w:rsidRDefault="008E6839" w:rsidP="00C254BF">
      <w:pPr>
        <w:pStyle w:val="TDC2"/>
        <w:tabs>
          <w:tab w:val="left" w:pos="640"/>
          <w:tab w:val="right" w:leader="dot" w:pos="8828"/>
        </w:tabs>
        <w:jc w:val="both"/>
        <w:rPr>
          <w:rFonts w:ascii="Verdana" w:eastAsiaTheme="minorEastAsia" w:hAnsi="Verdana" w:cstheme="minorBidi"/>
          <w:smallCaps w:val="0"/>
          <w:lang w:val="en-US" w:eastAsia="es-CR"/>
        </w:rPr>
      </w:pPr>
      <w:hyperlink w:anchor="_Toc46937324" w:history="1">
        <w:r w:rsidR="00C254BF" w:rsidRPr="00785D06">
          <w:rPr>
            <w:rStyle w:val="Hipervnculo"/>
            <w:rFonts w:ascii="Verdana" w:eastAsia="Times New Roman" w:hAnsi="Verdana"/>
            <w:b/>
            <w:bCs/>
            <w:i/>
            <w:color w:val="auto"/>
            <w:lang w:val="en-US" w:eastAsia="es-ES" w:bidi="es-ES"/>
          </w:rPr>
          <w:t>F.</w:t>
        </w:r>
        <w:r w:rsidR="00C254BF" w:rsidRPr="00785D06">
          <w:rPr>
            <w:rFonts w:ascii="Verdana" w:eastAsiaTheme="minorEastAsia" w:hAnsi="Verdana" w:cstheme="minorBidi"/>
            <w:i/>
            <w:smallCaps w:val="0"/>
            <w:lang w:val="en-US" w:eastAsia="es-CR"/>
          </w:rPr>
          <w:tab/>
        </w:r>
        <w:r w:rsidR="00C254BF" w:rsidRPr="00785D06">
          <w:rPr>
            <w:rStyle w:val="Hipervnculo"/>
            <w:rFonts w:ascii="Verdana" w:hAnsi="Verdana"/>
            <w:b/>
            <w:i/>
            <w:color w:val="auto"/>
            <w:lang w:val="en-US"/>
          </w:rPr>
          <w:t>Other measures requested</w:t>
        </w:r>
        <w:r w:rsidR="00C254BF" w:rsidRPr="00785D06">
          <w:rPr>
            <w:rFonts w:ascii="Verdana" w:hAnsi="Verdana"/>
            <w:webHidden/>
            <w:lang w:val="en-US"/>
          </w:rPr>
          <w:tab/>
        </w:r>
        <w:r w:rsidR="00C254BF" w:rsidRPr="00785D06">
          <w:rPr>
            <w:rFonts w:ascii="Verdana" w:hAnsi="Verdana"/>
            <w:webHidden/>
            <w:lang w:val="en-US"/>
          </w:rPr>
          <w:fldChar w:fldCharType="begin"/>
        </w:r>
        <w:r w:rsidR="00C254BF" w:rsidRPr="00785D06">
          <w:rPr>
            <w:rFonts w:ascii="Verdana" w:hAnsi="Verdana"/>
            <w:webHidden/>
            <w:lang w:val="en-US"/>
          </w:rPr>
          <w:instrText xml:space="preserve"> PAGEREF _Toc46937324 \h </w:instrText>
        </w:r>
        <w:r w:rsidR="00C254BF" w:rsidRPr="00785D06">
          <w:rPr>
            <w:rFonts w:ascii="Verdana" w:hAnsi="Verdana"/>
            <w:webHidden/>
            <w:lang w:val="en-US"/>
          </w:rPr>
        </w:r>
        <w:r w:rsidR="00C254BF" w:rsidRPr="00785D06">
          <w:rPr>
            <w:rFonts w:ascii="Verdana" w:hAnsi="Verdana"/>
            <w:webHidden/>
            <w:lang w:val="en-US"/>
          </w:rPr>
          <w:fldChar w:fldCharType="separate"/>
        </w:r>
        <w:r w:rsidR="00C223D9">
          <w:rPr>
            <w:rFonts w:ascii="Verdana" w:hAnsi="Verdana"/>
            <w:noProof/>
            <w:webHidden/>
            <w:lang w:val="en-US"/>
          </w:rPr>
          <w:t>73</w:t>
        </w:r>
        <w:r w:rsidR="00C254BF" w:rsidRPr="00785D06">
          <w:rPr>
            <w:rFonts w:ascii="Verdana" w:hAnsi="Verdana"/>
            <w:webHidden/>
            <w:lang w:val="en-US"/>
          </w:rPr>
          <w:fldChar w:fldCharType="end"/>
        </w:r>
      </w:hyperlink>
    </w:p>
    <w:p w14:paraId="299B897F" w14:textId="10DE5A5D" w:rsidR="00C254BF" w:rsidRPr="00785D06" w:rsidRDefault="008E6839" w:rsidP="00C254BF">
      <w:pPr>
        <w:pStyle w:val="TDC2"/>
        <w:tabs>
          <w:tab w:val="left" w:pos="640"/>
          <w:tab w:val="right" w:leader="dot" w:pos="8828"/>
        </w:tabs>
        <w:jc w:val="both"/>
        <w:rPr>
          <w:rFonts w:ascii="Verdana" w:eastAsiaTheme="minorEastAsia" w:hAnsi="Verdana" w:cstheme="minorBidi"/>
          <w:smallCaps w:val="0"/>
          <w:lang w:val="en-US" w:eastAsia="es-CR"/>
        </w:rPr>
      </w:pPr>
      <w:hyperlink w:anchor="_Toc46937325" w:history="1">
        <w:r w:rsidR="00C254BF" w:rsidRPr="00785D06">
          <w:rPr>
            <w:rStyle w:val="Hipervnculo"/>
            <w:rFonts w:ascii="Verdana" w:eastAsia="Times New Roman" w:hAnsi="Verdana"/>
            <w:b/>
            <w:bCs/>
            <w:i/>
            <w:color w:val="auto"/>
            <w:lang w:val="en-US" w:eastAsia="es-ES" w:bidi="es-ES"/>
          </w:rPr>
          <w:t>G.</w:t>
        </w:r>
        <w:r w:rsidR="00C254BF" w:rsidRPr="00785D06">
          <w:rPr>
            <w:rFonts w:ascii="Verdana" w:eastAsiaTheme="minorEastAsia" w:hAnsi="Verdana" w:cstheme="minorBidi"/>
            <w:smallCaps w:val="0"/>
            <w:lang w:val="en-US" w:eastAsia="es-CR"/>
          </w:rPr>
          <w:tab/>
        </w:r>
        <w:r w:rsidR="00C254BF" w:rsidRPr="00785D06">
          <w:rPr>
            <w:rStyle w:val="Hipervnculo"/>
            <w:rFonts w:ascii="Verdana" w:hAnsi="Verdana"/>
            <w:b/>
            <w:i/>
            <w:color w:val="auto"/>
            <w:lang w:val="en-US"/>
          </w:rPr>
          <w:t>Compensation</w:t>
        </w:r>
        <w:r w:rsidR="00C254BF" w:rsidRPr="00785D06">
          <w:rPr>
            <w:rFonts w:ascii="Verdana" w:hAnsi="Verdana"/>
            <w:webHidden/>
            <w:lang w:val="en-US"/>
          </w:rPr>
          <w:tab/>
        </w:r>
        <w:r w:rsidR="00C254BF" w:rsidRPr="00785D06">
          <w:rPr>
            <w:rFonts w:ascii="Verdana" w:hAnsi="Verdana"/>
            <w:webHidden/>
            <w:lang w:val="en-US"/>
          </w:rPr>
          <w:fldChar w:fldCharType="begin"/>
        </w:r>
        <w:r w:rsidR="00C254BF" w:rsidRPr="00785D06">
          <w:rPr>
            <w:rFonts w:ascii="Verdana" w:hAnsi="Verdana"/>
            <w:webHidden/>
            <w:lang w:val="en-US"/>
          </w:rPr>
          <w:instrText xml:space="preserve"> PAGEREF _Toc46937325 \h </w:instrText>
        </w:r>
        <w:r w:rsidR="00C254BF" w:rsidRPr="00785D06">
          <w:rPr>
            <w:rFonts w:ascii="Verdana" w:hAnsi="Verdana"/>
            <w:webHidden/>
            <w:lang w:val="en-US"/>
          </w:rPr>
        </w:r>
        <w:r w:rsidR="00C254BF" w:rsidRPr="00785D06">
          <w:rPr>
            <w:rFonts w:ascii="Verdana" w:hAnsi="Verdana"/>
            <w:webHidden/>
            <w:lang w:val="en-US"/>
          </w:rPr>
          <w:fldChar w:fldCharType="separate"/>
        </w:r>
        <w:r w:rsidR="00C223D9">
          <w:rPr>
            <w:rFonts w:ascii="Verdana" w:hAnsi="Verdana"/>
            <w:noProof/>
            <w:webHidden/>
            <w:lang w:val="en-US"/>
          </w:rPr>
          <w:t>74</w:t>
        </w:r>
        <w:r w:rsidR="00C254BF" w:rsidRPr="00785D06">
          <w:rPr>
            <w:rFonts w:ascii="Verdana" w:hAnsi="Verdana"/>
            <w:webHidden/>
            <w:lang w:val="en-US"/>
          </w:rPr>
          <w:fldChar w:fldCharType="end"/>
        </w:r>
      </w:hyperlink>
    </w:p>
    <w:p w14:paraId="4EF6A5C7" w14:textId="75BA7479" w:rsidR="00C254BF" w:rsidRPr="00785D06" w:rsidRDefault="008E6839" w:rsidP="00C254BF">
      <w:pPr>
        <w:pStyle w:val="TDC3"/>
        <w:tabs>
          <w:tab w:val="right" w:leader="dot" w:pos="8828"/>
        </w:tabs>
        <w:jc w:val="both"/>
        <w:rPr>
          <w:rFonts w:ascii="Verdana" w:eastAsiaTheme="minorEastAsia" w:hAnsi="Verdana" w:cstheme="minorBidi"/>
          <w:i w:val="0"/>
          <w:iCs w:val="0"/>
          <w:lang w:val="en-US" w:eastAsia="es-CR"/>
        </w:rPr>
      </w:pPr>
      <w:hyperlink w:anchor="_Toc46937326" w:history="1">
        <w:r w:rsidR="00C254BF" w:rsidRPr="00785D06">
          <w:rPr>
            <w:rStyle w:val="Hipervnculo"/>
            <w:rFonts w:ascii="Verdana" w:hAnsi="Verdana"/>
            <w:color w:val="auto"/>
            <w:lang w:val="en-US"/>
          </w:rPr>
          <w:t>G.1 Pecuniary damage</w:t>
        </w:r>
        <w:r w:rsidR="00C254BF" w:rsidRPr="00785D06">
          <w:rPr>
            <w:rFonts w:ascii="Verdana" w:hAnsi="Verdana"/>
            <w:webHidden/>
            <w:lang w:val="en-US"/>
          </w:rPr>
          <w:tab/>
        </w:r>
        <w:r w:rsidR="00C254BF" w:rsidRPr="00785D06">
          <w:rPr>
            <w:rFonts w:ascii="Verdana" w:hAnsi="Verdana"/>
            <w:i w:val="0"/>
            <w:webHidden/>
            <w:lang w:val="en-US"/>
          </w:rPr>
          <w:fldChar w:fldCharType="begin"/>
        </w:r>
        <w:r w:rsidR="00C254BF" w:rsidRPr="00785D06">
          <w:rPr>
            <w:rFonts w:ascii="Verdana" w:hAnsi="Verdana"/>
            <w:i w:val="0"/>
            <w:webHidden/>
            <w:lang w:val="en-US"/>
          </w:rPr>
          <w:instrText xml:space="preserve"> PAGEREF _Toc46937326 \h </w:instrText>
        </w:r>
        <w:r w:rsidR="00C254BF" w:rsidRPr="00785D06">
          <w:rPr>
            <w:rFonts w:ascii="Verdana" w:hAnsi="Verdana"/>
            <w:i w:val="0"/>
            <w:webHidden/>
            <w:lang w:val="en-US"/>
          </w:rPr>
        </w:r>
        <w:r w:rsidR="00C254BF" w:rsidRPr="00785D06">
          <w:rPr>
            <w:rFonts w:ascii="Verdana" w:hAnsi="Verdana"/>
            <w:i w:val="0"/>
            <w:webHidden/>
            <w:lang w:val="en-US"/>
          </w:rPr>
          <w:fldChar w:fldCharType="separate"/>
        </w:r>
        <w:r w:rsidR="00C223D9">
          <w:rPr>
            <w:rFonts w:ascii="Verdana" w:hAnsi="Verdana"/>
            <w:i w:val="0"/>
            <w:noProof/>
            <w:webHidden/>
            <w:lang w:val="en-US"/>
          </w:rPr>
          <w:t>74</w:t>
        </w:r>
        <w:r w:rsidR="00C254BF" w:rsidRPr="00785D06">
          <w:rPr>
            <w:rFonts w:ascii="Verdana" w:hAnsi="Verdana"/>
            <w:i w:val="0"/>
            <w:webHidden/>
            <w:lang w:val="en-US"/>
          </w:rPr>
          <w:fldChar w:fldCharType="end"/>
        </w:r>
      </w:hyperlink>
    </w:p>
    <w:p w14:paraId="6742988F" w14:textId="36E1EB5E" w:rsidR="00C254BF" w:rsidRPr="00785D06" w:rsidRDefault="008E6839" w:rsidP="00C254BF">
      <w:pPr>
        <w:pStyle w:val="TDC3"/>
        <w:tabs>
          <w:tab w:val="right" w:leader="dot" w:pos="8828"/>
        </w:tabs>
        <w:jc w:val="both"/>
        <w:rPr>
          <w:rFonts w:ascii="Verdana" w:eastAsiaTheme="minorEastAsia" w:hAnsi="Verdana" w:cstheme="minorBidi"/>
          <w:i w:val="0"/>
          <w:iCs w:val="0"/>
          <w:lang w:val="en-US" w:eastAsia="es-CR"/>
        </w:rPr>
      </w:pPr>
      <w:hyperlink w:anchor="_Toc46937327" w:history="1">
        <w:r w:rsidR="00C254BF" w:rsidRPr="00785D06">
          <w:rPr>
            <w:rStyle w:val="Hipervnculo"/>
            <w:rFonts w:ascii="Verdana" w:hAnsi="Verdana"/>
            <w:color w:val="auto"/>
            <w:lang w:val="en-US"/>
          </w:rPr>
          <w:t>G.2 Non-pecuniary damage</w:t>
        </w:r>
        <w:r w:rsidR="00C254BF" w:rsidRPr="00785D06">
          <w:rPr>
            <w:rFonts w:ascii="Verdana" w:hAnsi="Verdana"/>
            <w:webHidden/>
            <w:lang w:val="en-US"/>
          </w:rPr>
          <w:tab/>
        </w:r>
        <w:r w:rsidR="00C254BF" w:rsidRPr="00785D06">
          <w:rPr>
            <w:rFonts w:ascii="Verdana" w:hAnsi="Verdana"/>
            <w:i w:val="0"/>
            <w:webHidden/>
            <w:lang w:val="en-US"/>
          </w:rPr>
          <w:fldChar w:fldCharType="begin"/>
        </w:r>
        <w:r w:rsidR="00C254BF" w:rsidRPr="00785D06">
          <w:rPr>
            <w:rFonts w:ascii="Verdana" w:hAnsi="Verdana"/>
            <w:i w:val="0"/>
            <w:webHidden/>
            <w:lang w:val="en-US"/>
          </w:rPr>
          <w:instrText xml:space="preserve"> PAGEREF _Toc46937327 \h </w:instrText>
        </w:r>
        <w:r w:rsidR="00C254BF" w:rsidRPr="00785D06">
          <w:rPr>
            <w:rFonts w:ascii="Verdana" w:hAnsi="Verdana"/>
            <w:i w:val="0"/>
            <w:webHidden/>
            <w:lang w:val="en-US"/>
          </w:rPr>
        </w:r>
        <w:r w:rsidR="00C254BF" w:rsidRPr="00785D06">
          <w:rPr>
            <w:rFonts w:ascii="Verdana" w:hAnsi="Verdana"/>
            <w:i w:val="0"/>
            <w:webHidden/>
            <w:lang w:val="en-US"/>
          </w:rPr>
          <w:fldChar w:fldCharType="separate"/>
        </w:r>
        <w:r w:rsidR="00C223D9">
          <w:rPr>
            <w:rFonts w:ascii="Verdana" w:hAnsi="Verdana"/>
            <w:i w:val="0"/>
            <w:noProof/>
            <w:webHidden/>
            <w:lang w:val="en-US"/>
          </w:rPr>
          <w:t>75</w:t>
        </w:r>
        <w:r w:rsidR="00C254BF" w:rsidRPr="00785D06">
          <w:rPr>
            <w:rFonts w:ascii="Verdana" w:hAnsi="Verdana"/>
            <w:i w:val="0"/>
            <w:webHidden/>
            <w:lang w:val="en-US"/>
          </w:rPr>
          <w:fldChar w:fldCharType="end"/>
        </w:r>
      </w:hyperlink>
    </w:p>
    <w:p w14:paraId="00E39AEB" w14:textId="28EEC1C0" w:rsidR="00C254BF" w:rsidRPr="00785D06" w:rsidRDefault="008E6839" w:rsidP="00C254BF">
      <w:pPr>
        <w:pStyle w:val="TDC2"/>
        <w:tabs>
          <w:tab w:val="left" w:pos="640"/>
          <w:tab w:val="right" w:leader="dot" w:pos="8828"/>
        </w:tabs>
        <w:jc w:val="both"/>
        <w:rPr>
          <w:rFonts w:ascii="Verdana" w:eastAsiaTheme="minorEastAsia" w:hAnsi="Verdana" w:cstheme="minorBidi"/>
          <w:smallCaps w:val="0"/>
          <w:lang w:val="en-US" w:eastAsia="es-CR"/>
        </w:rPr>
      </w:pPr>
      <w:hyperlink w:anchor="_Toc46937328" w:history="1">
        <w:r w:rsidR="00C254BF" w:rsidRPr="00785D06">
          <w:rPr>
            <w:rStyle w:val="Hipervnculo"/>
            <w:rFonts w:ascii="Verdana" w:eastAsia="Times New Roman" w:hAnsi="Verdana"/>
            <w:b/>
            <w:bCs/>
            <w:i/>
            <w:color w:val="auto"/>
            <w:lang w:val="en-US" w:eastAsia="es-ES" w:bidi="es-ES"/>
          </w:rPr>
          <w:t>H</w:t>
        </w:r>
        <w:r w:rsidR="00C254BF" w:rsidRPr="00785D06">
          <w:rPr>
            <w:rStyle w:val="Hipervnculo"/>
            <w:rFonts w:ascii="Verdana" w:eastAsia="Times New Roman" w:hAnsi="Verdana"/>
            <w:b/>
            <w:bCs/>
            <w:color w:val="auto"/>
            <w:lang w:val="en-US" w:eastAsia="es-ES" w:bidi="es-ES"/>
          </w:rPr>
          <w:t>.</w:t>
        </w:r>
        <w:r w:rsidR="00C254BF" w:rsidRPr="00785D06">
          <w:rPr>
            <w:rFonts w:ascii="Verdana" w:eastAsiaTheme="minorEastAsia" w:hAnsi="Verdana" w:cstheme="minorBidi"/>
            <w:smallCaps w:val="0"/>
            <w:lang w:val="en-US" w:eastAsia="es-CR"/>
          </w:rPr>
          <w:tab/>
        </w:r>
        <w:r w:rsidR="00C254BF" w:rsidRPr="00785D06">
          <w:rPr>
            <w:rStyle w:val="Hipervnculo"/>
            <w:rFonts w:ascii="Verdana" w:hAnsi="Verdana"/>
            <w:b/>
            <w:color w:val="auto"/>
            <w:lang w:val="en-US"/>
          </w:rPr>
          <w:t>Costs and Expenses</w:t>
        </w:r>
        <w:r w:rsidR="00C254BF" w:rsidRPr="00785D06">
          <w:rPr>
            <w:rFonts w:ascii="Verdana" w:hAnsi="Verdana"/>
            <w:webHidden/>
            <w:lang w:val="en-US"/>
          </w:rPr>
          <w:tab/>
        </w:r>
        <w:r w:rsidR="00C254BF" w:rsidRPr="00785D06">
          <w:rPr>
            <w:rFonts w:ascii="Verdana" w:hAnsi="Verdana"/>
            <w:webHidden/>
            <w:lang w:val="en-US"/>
          </w:rPr>
          <w:fldChar w:fldCharType="begin"/>
        </w:r>
        <w:r w:rsidR="00C254BF" w:rsidRPr="00785D06">
          <w:rPr>
            <w:rFonts w:ascii="Verdana" w:hAnsi="Verdana"/>
            <w:webHidden/>
            <w:lang w:val="en-US"/>
          </w:rPr>
          <w:instrText xml:space="preserve"> PAGEREF _Toc46937328 \h </w:instrText>
        </w:r>
        <w:r w:rsidR="00C254BF" w:rsidRPr="00785D06">
          <w:rPr>
            <w:rFonts w:ascii="Verdana" w:hAnsi="Verdana"/>
            <w:webHidden/>
            <w:lang w:val="en-US"/>
          </w:rPr>
        </w:r>
        <w:r w:rsidR="00C254BF" w:rsidRPr="00785D06">
          <w:rPr>
            <w:rFonts w:ascii="Verdana" w:hAnsi="Verdana"/>
            <w:webHidden/>
            <w:lang w:val="en-US"/>
          </w:rPr>
          <w:fldChar w:fldCharType="separate"/>
        </w:r>
        <w:r w:rsidR="00C223D9">
          <w:rPr>
            <w:rFonts w:ascii="Verdana" w:hAnsi="Verdana"/>
            <w:noProof/>
            <w:webHidden/>
            <w:lang w:val="en-US"/>
          </w:rPr>
          <w:t>76</w:t>
        </w:r>
        <w:r w:rsidR="00C254BF" w:rsidRPr="00785D06">
          <w:rPr>
            <w:rFonts w:ascii="Verdana" w:hAnsi="Verdana"/>
            <w:webHidden/>
            <w:lang w:val="en-US"/>
          </w:rPr>
          <w:fldChar w:fldCharType="end"/>
        </w:r>
      </w:hyperlink>
    </w:p>
    <w:p w14:paraId="36BACB3D" w14:textId="0A734533" w:rsidR="00C254BF" w:rsidRPr="00785D06" w:rsidRDefault="008E6839" w:rsidP="00C254BF">
      <w:pPr>
        <w:pStyle w:val="TDC2"/>
        <w:tabs>
          <w:tab w:val="left" w:pos="640"/>
          <w:tab w:val="right" w:leader="dot" w:pos="8828"/>
        </w:tabs>
        <w:jc w:val="both"/>
        <w:rPr>
          <w:rFonts w:ascii="Verdana" w:eastAsiaTheme="minorEastAsia" w:hAnsi="Verdana" w:cstheme="minorBidi"/>
          <w:smallCaps w:val="0"/>
          <w:lang w:val="en-US" w:eastAsia="es-CR"/>
        </w:rPr>
      </w:pPr>
      <w:hyperlink w:anchor="_Toc46937329" w:history="1">
        <w:r w:rsidR="00C254BF" w:rsidRPr="00785D06">
          <w:rPr>
            <w:rStyle w:val="Hipervnculo"/>
            <w:rFonts w:ascii="Verdana" w:eastAsia="Times New Roman" w:hAnsi="Verdana" w:cs="Times New Roman"/>
            <w:b/>
            <w:bCs/>
            <w:i/>
            <w:color w:val="auto"/>
            <w:lang w:val="en-US" w:eastAsia="es-ES" w:bidi="es-ES"/>
          </w:rPr>
          <w:t>I.</w:t>
        </w:r>
        <w:r w:rsidR="00C254BF" w:rsidRPr="00785D06">
          <w:rPr>
            <w:rFonts w:ascii="Verdana" w:eastAsiaTheme="minorEastAsia" w:hAnsi="Verdana" w:cstheme="minorBidi"/>
            <w:smallCaps w:val="0"/>
            <w:lang w:val="en-US" w:eastAsia="es-CR"/>
          </w:rPr>
          <w:tab/>
        </w:r>
        <w:r w:rsidR="00C254BF" w:rsidRPr="00785D06">
          <w:rPr>
            <w:rStyle w:val="Hipervnculo"/>
            <w:rFonts w:ascii="Verdana" w:eastAsia="SimSun" w:hAnsi="Verdana"/>
            <w:b/>
            <w:i/>
            <w:color w:val="auto"/>
            <w:lang w:val="en-US"/>
          </w:rPr>
          <w:t>Method of compliance with the payments ordered</w:t>
        </w:r>
        <w:r w:rsidR="00C254BF" w:rsidRPr="00785D06">
          <w:rPr>
            <w:rFonts w:ascii="Verdana" w:hAnsi="Verdana"/>
            <w:webHidden/>
            <w:lang w:val="en-US"/>
          </w:rPr>
          <w:tab/>
        </w:r>
        <w:r w:rsidR="00C254BF" w:rsidRPr="00785D06">
          <w:rPr>
            <w:rFonts w:ascii="Verdana" w:hAnsi="Verdana"/>
            <w:webHidden/>
            <w:lang w:val="en-US"/>
          </w:rPr>
          <w:fldChar w:fldCharType="begin"/>
        </w:r>
        <w:r w:rsidR="00C254BF" w:rsidRPr="00785D06">
          <w:rPr>
            <w:rFonts w:ascii="Verdana" w:hAnsi="Verdana"/>
            <w:webHidden/>
            <w:lang w:val="en-US"/>
          </w:rPr>
          <w:instrText xml:space="preserve"> PAGEREF _Toc46937329 \h </w:instrText>
        </w:r>
        <w:r w:rsidR="00C254BF" w:rsidRPr="00785D06">
          <w:rPr>
            <w:rFonts w:ascii="Verdana" w:hAnsi="Verdana"/>
            <w:webHidden/>
            <w:lang w:val="en-US"/>
          </w:rPr>
        </w:r>
        <w:r w:rsidR="00C254BF" w:rsidRPr="00785D06">
          <w:rPr>
            <w:rFonts w:ascii="Verdana" w:hAnsi="Verdana"/>
            <w:webHidden/>
            <w:lang w:val="en-US"/>
          </w:rPr>
          <w:fldChar w:fldCharType="separate"/>
        </w:r>
        <w:r w:rsidR="00C223D9">
          <w:rPr>
            <w:rFonts w:ascii="Verdana" w:hAnsi="Verdana"/>
            <w:noProof/>
            <w:webHidden/>
            <w:lang w:val="en-US"/>
          </w:rPr>
          <w:t>78</w:t>
        </w:r>
        <w:r w:rsidR="00C254BF" w:rsidRPr="00785D06">
          <w:rPr>
            <w:rFonts w:ascii="Verdana" w:hAnsi="Verdana"/>
            <w:webHidden/>
            <w:lang w:val="en-US"/>
          </w:rPr>
          <w:fldChar w:fldCharType="end"/>
        </w:r>
      </w:hyperlink>
    </w:p>
    <w:p w14:paraId="3713C0E6" w14:textId="77777777" w:rsidR="00C254BF" w:rsidRPr="00785D06" w:rsidRDefault="00C254BF" w:rsidP="00C254BF">
      <w:pPr>
        <w:pStyle w:val="TDC1"/>
        <w:rPr>
          <w:rStyle w:val="Hipervnculo"/>
          <w:noProof w:val="0"/>
          <w:color w:val="auto"/>
          <w:lang w:val="en-US"/>
        </w:rPr>
      </w:pPr>
    </w:p>
    <w:p w14:paraId="0BDBFF6A" w14:textId="409135EC" w:rsidR="00C254BF" w:rsidRPr="00785D06" w:rsidRDefault="008E6839" w:rsidP="00C254BF">
      <w:pPr>
        <w:pStyle w:val="TDC1"/>
        <w:rPr>
          <w:rFonts w:eastAsiaTheme="minorEastAsia" w:cstheme="minorBidi"/>
          <w:noProof w:val="0"/>
          <w:lang w:val="en-US" w:eastAsia="es-CR"/>
        </w:rPr>
      </w:pPr>
      <w:hyperlink w:anchor="_Toc46937330" w:history="1">
        <w:r w:rsidR="00C254BF" w:rsidRPr="00785D06">
          <w:rPr>
            <w:rStyle w:val="Hipervnculo"/>
            <w:noProof w:val="0"/>
            <w:color w:val="auto"/>
            <w:lang w:val="en-US"/>
          </w:rPr>
          <w:t>IX</w:t>
        </w:r>
      </w:hyperlink>
      <w:r w:rsidR="00C254BF" w:rsidRPr="00785D06">
        <w:rPr>
          <w:rStyle w:val="Hipervnculo"/>
          <w:noProof w:val="0"/>
          <w:color w:val="auto"/>
          <w:u w:val="none"/>
          <w:lang w:val="en-US"/>
        </w:rPr>
        <w:t xml:space="preserve"> o</w:t>
      </w:r>
      <w:hyperlink w:anchor="_Toc46937331" w:history="1">
        <w:r w:rsidR="00C254BF" w:rsidRPr="00785D06">
          <w:rPr>
            <w:rStyle w:val="Hipervnculo"/>
            <w:noProof w:val="0"/>
            <w:color w:val="auto"/>
            <w:lang w:val="en-US"/>
          </w:rPr>
          <w:t>Perative paragraphs</w:t>
        </w:r>
        <w:r w:rsidR="00C254BF" w:rsidRPr="00785D06">
          <w:rPr>
            <w:noProof w:val="0"/>
            <w:webHidden/>
            <w:lang w:val="en-US"/>
          </w:rPr>
          <w:tab/>
        </w:r>
        <w:r w:rsidR="00C254BF" w:rsidRPr="00785D06">
          <w:rPr>
            <w:noProof w:val="0"/>
            <w:webHidden/>
            <w:lang w:val="en-US"/>
          </w:rPr>
          <w:fldChar w:fldCharType="begin"/>
        </w:r>
        <w:r w:rsidR="00C254BF" w:rsidRPr="00785D06">
          <w:rPr>
            <w:noProof w:val="0"/>
            <w:webHidden/>
            <w:lang w:val="en-US"/>
          </w:rPr>
          <w:instrText xml:space="preserve"> PAGEREF _Toc46937331 \h </w:instrText>
        </w:r>
        <w:r w:rsidR="00C254BF" w:rsidRPr="00785D06">
          <w:rPr>
            <w:noProof w:val="0"/>
            <w:webHidden/>
            <w:lang w:val="en-US"/>
          </w:rPr>
        </w:r>
        <w:r w:rsidR="00C254BF" w:rsidRPr="00785D06">
          <w:rPr>
            <w:noProof w:val="0"/>
            <w:webHidden/>
            <w:lang w:val="en-US"/>
          </w:rPr>
          <w:fldChar w:fldCharType="separate"/>
        </w:r>
        <w:r w:rsidR="00C223D9">
          <w:rPr>
            <w:webHidden/>
            <w:lang w:val="en-US"/>
          </w:rPr>
          <w:t>79</w:t>
        </w:r>
        <w:r w:rsidR="00C254BF" w:rsidRPr="00785D06">
          <w:rPr>
            <w:noProof w:val="0"/>
            <w:webHidden/>
            <w:lang w:val="en-US"/>
          </w:rPr>
          <w:fldChar w:fldCharType="end"/>
        </w:r>
      </w:hyperlink>
    </w:p>
    <w:p w14:paraId="11E24068" w14:textId="77777777" w:rsidR="00C254BF" w:rsidRPr="00785D06" w:rsidRDefault="00C254BF" w:rsidP="00C254BF">
      <w:pPr>
        <w:pStyle w:val="TDC1"/>
        <w:rPr>
          <w:noProof w:val="0"/>
          <w:lang w:val="en-US"/>
        </w:rPr>
      </w:pPr>
      <w:r w:rsidRPr="00785D06">
        <w:rPr>
          <w:rFonts w:cstheme="majorHAnsi"/>
          <w:noProof w:val="0"/>
          <w:lang w:val="en-US"/>
        </w:rPr>
        <w:fldChar w:fldCharType="end"/>
      </w:r>
      <w:r w:rsidRPr="00785D06">
        <w:rPr>
          <w:noProof w:val="0"/>
          <w:lang w:val="en-US"/>
        </w:rPr>
        <w:br w:type="page"/>
      </w:r>
    </w:p>
    <w:p w14:paraId="2FCD806B" w14:textId="77777777" w:rsidR="00C254BF" w:rsidRPr="00785D06" w:rsidRDefault="00C254BF" w:rsidP="00C254BF">
      <w:pPr>
        <w:rPr>
          <w:sz w:val="20"/>
          <w:szCs w:val="20"/>
          <w:lang w:val="en-US"/>
        </w:rPr>
      </w:pPr>
    </w:p>
    <w:p w14:paraId="79C449E8" w14:textId="77777777" w:rsidR="00C254BF" w:rsidRPr="00785D06" w:rsidRDefault="00C254BF" w:rsidP="00C254BF">
      <w:pPr>
        <w:pStyle w:val="Ttulo1"/>
        <w:spacing w:before="0"/>
        <w:jc w:val="center"/>
        <w:rPr>
          <w:rFonts w:ascii="Verdana" w:hAnsi="Verdana"/>
          <w:b/>
          <w:color w:val="auto"/>
          <w:sz w:val="20"/>
          <w:szCs w:val="20"/>
          <w:lang w:val="en-US"/>
        </w:rPr>
      </w:pPr>
      <w:bookmarkStart w:id="0" w:name="_Toc340752578"/>
      <w:bookmarkStart w:id="1" w:name="_Toc40466528"/>
      <w:bookmarkStart w:id="2" w:name="_Toc42498014"/>
      <w:bookmarkStart w:id="3" w:name="_Toc46937262"/>
      <w:r w:rsidRPr="00785D06">
        <w:rPr>
          <w:rFonts w:ascii="Verdana" w:hAnsi="Verdana"/>
          <w:b/>
          <w:color w:val="auto"/>
          <w:sz w:val="20"/>
          <w:szCs w:val="20"/>
          <w:lang w:val="en-US"/>
        </w:rPr>
        <w:t>I</w:t>
      </w:r>
      <w:r w:rsidRPr="00785D06">
        <w:rPr>
          <w:rFonts w:ascii="Verdana" w:hAnsi="Verdana"/>
          <w:b/>
          <w:color w:val="auto"/>
          <w:sz w:val="20"/>
          <w:szCs w:val="20"/>
          <w:lang w:val="en-US"/>
        </w:rPr>
        <w:br/>
        <w:t>INTRODUCTION OF THE CASE AND PURPOSE OF THE DISPUTE</w:t>
      </w:r>
      <w:bookmarkEnd w:id="0"/>
      <w:bookmarkEnd w:id="1"/>
      <w:bookmarkEnd w:id="2"/>
      <w:bookmarkEnd w:id="3"/>
    </w:p>
    <w:p w14:paraId="7A543C98" w14:textId="77777777" w:rsidR="00C254BF" w:rsidRPr="00785D06" w:rsidRDefault="00C254BF" w:rsidP="00C254BF">
      <w:pPr>
        <w:pStyle w:val="Ttulo1"/>
        <w:spacing w:before="0"/>
        <w:jc w:val="center"/>
        <w:rPr>
          <w:rFonts w:ascii="Verdana" w:hAnsi="Verdana"/>
          <w:b/>
          <w:color w:val="auto"/>
          <w:sz w:val="20"/>
          <w:szCs w:val="20"/>
          <w:lang w:val="en-US"/>
        </w:rPr>
      </w:pPr>
    </w:p>
    <w:p w14:paraId="0CA5820B" w14:textId="77777777" w:rsidR="00C254BF" w:rsidRPr="00785D06" w:rsidRDefault="00C254BF" w:rsidP="00C254BF">
      <w:pPr>
        <w:pStyle w:val="Prrafodelista"/>
        <w:numPr>
          <w:ilvl w:val="0"/>
          <w:numId w:val="2"/>
        </w:numPr>
        <w:ind w:left="0" w:firstLine="0"/>
        <w:contextualSpacing w:val="0"/>
        <w:jc w:val="both"/>
        <w:rPr>
          <w:rStyle w:val="Ttulo2Car"/>
          <w:rFonts w:ascii="Verdana" w:hAnsi="Verdana"/>
          <w:b/>
          <w:color w:val="auto"/>
          <w:sz w:val="20"/>
          <w:szCs w:val="20"/>
          <w:lang w:val="en-US"/>
        </w:rPr>
      </w:pPr>
      <w:bookmarkStart w:id="4" w:name="_Toc30065293"/>
      <w:bookmarkStart w:id="5" w:name="_Toc30174582"/>
      <w:bookmarkStart w:id="6" w:name="_Toc30175076"/>
      <w:bookmarkStart w:id="7" w:name="_Toc40466529"/>
      <w:bookmarkStart w:id="8" w:name="_Toc46937263"/>
      <w:bookmarkStart w:id="9" w:name="_Toc41560348"/>
      <w:bookmarkStart w:id="10" w:name="_Toc41906185"/>
      <w:bookmarkStart w:id="11" w:name="_Toc42432120"/>
      <w:bookmarkStart w:id="12" w:name="_Toc42498015"/>
      <w:r w:rsidRPr="00785D06">
        <w:rPr>
          <w:rStyle w:val="Ttulo2Car"/>
          <w:rFonts w:ascii="Verdana" w:hAnsi="Verdana"/>
          <w:i/>
          <w:color w:val="auto"/>
          <w:sz w:val="20"/>
          <w:szCs w:val="20"/>
          <w:lang w:val="en-US"/>
        </w:rPr>
        <w:t>The case submitted to the Court</w:t>
      </w:r>
      <w:r w:rsidRPr="00785D06">
        <w:rPr>
          <w:rStyle w:val="Ttulo2Car"/>
          <w:rFonts w:ascii="Verdana" w:hAnsi="Verdana"/>
          <w:color w:val="auto"/>
          <w:sz w:val="20"/>
          <w:szCs w:val="20"/>
          <w:lang w:val="en-US"/>
        </w:rPr>
        <w:t>. On February 7, 2019</w:t>
      </w:r>
      <w:r w:rsidR="00C61B03" w:rsidRPr="00785D06">
        <w:rPr>
          <w:rStyle w:val="Ttulo2Car"/>
          <w:rFonts w:ascii="Verdana" w:hAnsi="Verdana"/>
          <w:color w:val="auto"/>
          <w:sz w:val="20"/>
          <w:szCs w:val="20"/>
          <w:lang w:val="en-US"/>
        </w:rPr>
        <w:t>,</w:t>
      </w:r>
      <w:r w:rsidRPr="00785D06">
        <w:rPr>
          <w:rStyle w:val="Ttulo2Car"/>
          <w:rFonts w:ascii="Verdana" w:hAnsi="Verdana"/>
          <w:color w:val="auto"/>
          <w:sz w:val="20"/>
          <w:szCs w:val="20"/>
          <w:lang w:val="en-US"/>
        </w:rPr>
        <w:t xml:space="preserve"> the Inter-American Commission on Human Rights (hereinafter “the Inter-American Commission” or “the Commission”) submitted to the jurisdiction of the Court the case of </w:t>
      </w:r>
      <w:r w:rsidRPr="00785D06">
        <w:rPr>
          <w:rStyle w:val="Ttulo2Car"/>
          <w:rFonts w:ascii="Verdana" w:hAnsi="Verdana"/>
          <w:i/>
          <w:color w:val="auto"/>
          <w:sz w:val="20"/>
          <w:szCs w:val="20"/>
          <w:lang w:val="en-US"/>
        </w:rPr>
        <w:t>Guzmán Albarracín et al.</w:t>
      </w:r>
      <w:r w:rsidRPr="00785D06">
        <w:rPr>
          <w:rStyle w:val="Ttulo2Car"/>
          <w:rFonts w:ascii="Verdana" w:hAnsi="Verdana"/>
          <w:color w:val="auto"/>
          <w:sz w:val="20"/>
          <w:szCs w:val="20"/>
          <w:lang w:val="en-US"/>
        </w:rPr>
        <w:t xml:space="preserve"> against the Republic of Ecuador (hereinafter “</w:t>
      </w:r>
      <w:r w:rsidR="00485212" w:rsidRPr="00785D06">
        <w:rPr>
          <w:rStyle w:val="Ttulo2Car"/>
          <w:rFonts w:ascii="Verdana" w:hAnsi="Verdana"/>
          <w:color w:val="auto"/>
          <w:sz w:val="20"/>
          <w:szCs w:val="20"/>
          <w:lang w:val="en-US"/>
        </w:rPr>
        <w:t>the State” or “</w:t>
      </w:r>
      <w:r w:rsidRPr="00785D06">
        <w:rPr>
          <w:rStyle w:val="Ttulo2Car"/>
          <w:rFonts w:ascii="Verdana" w:hAnsi="Verdana"/>
          <w:color w:val="auto"/>
          <w:sz w:val="20"/>
          <w:szCs w:val="20"/>
          <w:lang w:val="en-US"/>
        </w:rPr>
        <w:t xml:space="preserve">Ecuador”). The Commission indicated that the case </w:t>
      </w:r>
      <w:r w:rsidR="004A7A7C" w:rsidRPr="00785D06">
        <w:rPr>
          <w:rStyle w:val="Ttulo2Car"/>
          <w:rFonts w:ascii="Verdana" w:hAnsi="Verdana"/>
          <w:color w:val="auto"/>
          <w:sz w:val="20"/>
          <w:szCs w:val="20"/>
          <w:lang w:val="en-US"/>
        </w:rPr>
        <w:t xml:space="preserve">concerns </w:t>
      </w:r>
      <w:r w:rsidRPr="00785D06">
        <w:rPr>
          <w:rStyle w:val="Ttulo2Car"/>
          <w:rFonts w:ascii="Verdana" w:hAnsi="Verdana"/>
          <w:color w:val="auto"/>
          <w:sz w:val="20"/>
          <w:szCs w:val="20"/>
          <w:lang w:val="en-US"/>
        </w:rPr>
        <w:t>the alleged sexual violence suffered by Paola del Rosario Guzmán Albarracín (hereinafter “Paola</w:t>
      </w:r>
      <w:r w:rsidR="00485212" w:rsidRPr="00785D06">
        <w:rPr>
          <w:rStyle w:val="Ttulo2Car"/>
          <w:rFonts w:ascii="Verdana" w:hAnsi="Verdana"/>
          <w:color w:val="auto"/>
          <w:sz w:val="20"/>
          <w:szCs w:val="20"/>
          <w:lang w:val="en-US"/>
        </w:rPr>
        <w:t>,”</w:t>
      </w:r>
      <w:r w:rsidRPr="00785D06">
        <w:rPr>
          <w:rStyle w:val="Ttulo2Car"/>
          <w:rFonts w:ascii="Verdana" w:hAnsi="Verdana"/>
          <w:color w:val="auto"/>
          <w:sz w:val="20"/>
          <w:szCs w:val="20"/>
          <w:lang w:val="en-US"/>
        </w:rPr>
        <w:t xml:space="preserve"> “Paola Guzmán” or “Paola Guzmán Albarracín”) </w:t>
      </w:r>
      <w:r w:rsidR="00485212" w:rsidRPr="00785D06">
        <w:rPr>
          <w:rStyle w:val="Ttulo2Car"/>
          <w:rFonts w:ascii="Verdana" w:hAnsi="Verdana"/>
          <w:color w:val="auto"/>
          <w:sz w:val="20"/>
          <w:szCs w:val="20"/>
          <w:lang w:val="en-US"/>
        </w:rPr>
        <w:t xml:space="preserve">while at school, when she was </w:t>
      </w:r>
      <w:r w:rsidRPr="00785D06">
        <w:rPr>
          <w:rStyle w:val="Ttulo2Car"/>
          <w:rFonts w:ascii="Verdana" w:hAnsi="Verdana"/>
          <w:color w:val="auto"/>
          <w:sz w:val="20"/>
          <w:szCs w:val="20"/>
          <w:lang w:val="en-US"/>
        </w:rPr>
        <w:t>between 14 and 16</w:t>
      </w:r>
      <w:r w:rsidR="004A7A7C" w:rsidRPr="00785D06">
        <w:rPr>
          <w:rStyle w:val="Ttulo2Car"/>
          <w:rFonts w:ascii="Verdana" w:hAnsi="Verdana"/>
          <w:color w:val="auto"/>
          <w:sz w:val="20"/>
          <w:szCs w:val="20"/>
          <w:lang w:val="en-US"/>
        </w:rPr>
        <w:t xml:space="preserve"> years</w:t>
      </w:r>
      <w:r w:rsidR="008B0476" w:rsidRPr="00785D06">
        <w:rPr>
          <w:rStyle w:val="Ttulo2Car"/>
          <w:rFonts w:ascii="Verdana" w:hAnsi="Verdana"/>
          <w:color w:val="auto"/>
          <w:sz w:val="20"/>
          <w:szCs w:val="20"/>
          <w:lang w:val="en-US"/>
        </w:rPr>
        <w:t xml:space="preserve"> old</w:t>
      </w:r>
      <w:r w:rsidRPr="00785D06">
        <w:rPr>
          <w:rStyle w:val="Ttulo2Car"/>
          <w:rFonts w:ascii="Verdana" w:hAnsi="Verdana"/>
          <w:color w:val="auto"/>
          <w:sz w:val="20"/>
          <w:szCs w:val="20"/>
          <w:lang w:val="en-US"/>
        </w:rPr>
        <w:t>, and her subsequent suicide by swallowing “</w:t>
      </w:r>
      <w:r w:rsidRPr="00785D06">
        <w:rPr>
          <w:rStyle w:val="Ttulo2Car"/>
          <w:rFonts w:ascii="Verdana" w:hAnsi="Verdana"/>
          <w:i/>
          <w:color w:val="auto"/>
          <w:sz w:val="20"/>
          <w:szCs w:val="20"/>
          <w:lang w:val="en-US"/>
        </w:rPr>
        <w:t>diablillos</w:t>
      </w:r>
      <w:r w:rsidR="00485212" w:rsidRPr="00785D06">
        <w:rPr>
          <w:rStyle w:val="Ttulo2Car"/>
          <w:rFonts w:ascii="Verdana" w:hAnsi="Verdana"/>
          <w:color w:val="auto"/>
          <w:sz w:val="20"/>
          <w:szCs w:val="20"/>
          <w:lang w:val="en-US"/>
        </w:rPr>
        <w:t>” (</w:t>
      </w:r>
      <w:r w:rsidR="004A7A7C" w:rsidRPr="00785D06">
        <w:rPr>
          <w:rStyle w:val="Ttulo2Car"/>
          <w:rFonts w:ascii="Verdana" w:hAnsi="Verdana"/>
          <w:color w:val="auto"/>
          <w:sz w:val="20"/>
          <w:szCs w:val="20"/>
          <w:lang w:val="en-US"/>
        </w:rPr>
        <w:t xml:space="preserve">white phosphorus </w:t>
      </w:r>
      <w:r w:rsidR="00485212" w:rsidRPr="00785D06">
        <w:rPr>
          <w:rStyle w:val="Ttulo2Car"/>
          <w:rFonts w:ascii="Verdana" w:hAnsi="Verdana"/>
          <w:color w:val="auto"/>
          <w:sz w:val="20"/>
          <w:szCs w:val="20"/>
          <w:lang w:val="en-US"/>
        </w:rPr>
        <w:t>firecracker pellets)</w:t>
      </w:r>
      <w:r w:rsidRPr="00785D06">
        <w:rPr>
          <w:rStyle w:val="Ttulo2Car"/>
          <w:rFonts w:ascii="Verdana" w:hAnsi="Verdana"/>
          <w:color w:val="auto"/>
          <w:sz w:val="20"/>
          <w:szCs w:val="20"/>
          <w:lang w:val="en-US"/>
        </w:rPr>
        <w:t xml:space="preserve"> on December 12, 2002, </w:t>
      </w:r>
      <w:r w:rsidR="00485212" w:rsidRPr="00785D06">
        <w:rPr>
          <w:rStyle w:val="Ttulo2Car"/>
          <w:rFonts w:ascii="Verdana" w:hAnsi="Verdana"/>
          <w:color w:val="auto"/>
          <w:sz w:val="20"/>
          <w:szCs w:val="20"/>
          <w:lang w:val="en-US"/>
        </w:rPr>
        <w:t xml:space="preserve">which </w:t>
      </w:r>
      <w:r w:rsidRPr="00785D06">
        <w:rPr>
          <w:rStyle w:val="Ttulo2Car"/>
          <w:rFonts w:ascii="Verdana" w:hAnsi="Verdana"/>
          <w:color w:val="auto"/>
          <w:sz w:val="20"/>
          <w:szCs w:val="20"/>
          <w:lang w:val="en-US"/>
        </w:rPr>
        <w:t>caused her death the following day</w:t>
      </w:r>
      <w:bookmarkEnd w:id="4"/>
      <w:bookmarkEnd w:id="5"/>
      <w:bookmarkEnd w:id="6"/>
      <w:r w:rsidRPr="00785D06">
        <w:rPr>
          <w:rStyle w:val="Ttulo2Car"/>
          <w:rFonts w:ascii="Verdana" w:hAnsi="Verdana"/>
          <w:color w:val="auto"/>
          <w:sz w:val="20"/>
          <w:szCs w:val="20"/>
          <w:lang w:val="en-US"/>
        </w:rPr>
        <w:t xml:space="preserve">. The Commission alleged that </w:t>
      </w:r>
      <w:r w:rsidR="008B0476" w:rsidRPr="00785D06">
        <w:rPr>
          <w:rStyle w:val="Ttulo2Car"/>
          <w:rFonts w:ascii="Verdana" w:hAnsi="Verdana"/>
          <w:color w:val="auto"/>
          <w:sz w:val="20"/>
          <w:szCs w:val="20"/>
          <w:lang w:val="en-US"/>
        </w:rPr>
        <w:t xml:space="preserve">Paola </w:t>
      </w:r>
      <w:r w:rsidR="004A7A7C" w:rsidRPr="00785D06">
        <w:rPr>
          <w:rStyle w:val="Ttulo2Car"/>
          <w:rFonts w:ascii="Verdana" w:hAnsi="Verdana"/>
          <w:color w:val="auto"/>
          <w:sz w:val="20"/>
          <w:szCs w:val="20"/>
          <w:lang w:val="en-US"/>
        </w:rPr>
        <w:t xml:space="preserve">was the victim of </w:t>
      </w:r>
      <w:r w:rsidRPr="00785D06">
        <w:rPr>
          <w:rStyle w:val="Ttulo2Car"/>
          <w:rFonts w:ascii="Verdana" w:hAnsi="Verdana"/>
          <w:color w:val="auto"/>
          <w:sz w:val="20"/>
          <w:szCs w:val="20"/>
          <w:lang w:val="en-US"/>
        </w:rPr>
        <w:t>sexual</w:t>
      </w:r>
      <w:r w:rsidR="00485212" w:rsidRPr="00785D06">
        <w:rPr>
          <w:rStyle w:val="Ttulo2Car"/>
          <w:rFonts w:ascii="Verdana" w:hAnsi="Verdana"/>
          <w:color w:val="auto"/>
          <w:sz w:val="20"/>
          <w:szCs w:val="20"/>
          <w:lang w:val="en-US"/>
        </w:rPr>
        <w:t xml:space="preserve"> </w:t>
      </w:r>
      <w:r w:rsidR="004A7A7C" w:rsidRPr="00785D06">
        <w:rPr>
          <w:rStyle w:val="Ttulo2Car"/>
          <w:rFonts w:ascii="Verdana" w:hAnsi="Verdana"/>
          <w:color w:val="auto"/>
          <w:sz w:val="20"/>
          <w:szCs w:val="20"/>
          <w:lang w:val="en-US"/>
        </w:rPr>
        <w:t xml:space="preserve">abuse committed by </w:t>
      </w:r>
      <w:r w:rsidR="00485212" w:rsidRPr="00785D06">
        <w:rPr>
          <w:rStyle w:val="Ttulo2Car"/>
          <w:rFonts w:ascii="Verdana" w:hAnsi="Verdana"/>
          <w:color w:val="auto"/>
          <w:sz w:val="20"/>
          <w:szCs w:val="20"/>
          <w:lang w:val="en-US"/>
        </w:rPr>
        <w:t xml:space="preserve">the </w:t>
      </w:r>
      <w:r w:rsidR="0097298A" w:rsidRPr="00785D06">
        <w:rPr>
          <w:rStyle w:val="Ttulo2Car"/>
          <w:rFonts w:ascii="Verdana" w:hAnsi="Verdana"/>
          <w:color w:val="auto"/>
          <w:sz w:val="20"/>
          <w:szCs w:val="20"/>
          <w:lang w:val="en-US"/>
        </w:rPr>
        <w:t>vice principal</w:t>
      </w:r>
      <w:r w:rsidRPr="00785D06">
        <w:rPr>
          <w:rStyle w:val="Ttulo2Car"/>
          <w:rFonts w:ascii="Verdana" w:hAnsi="Verdana"/>
          <w:color w:val="auto"/>
          <w:sz w:val="20"/>
          <w:szCs w:val="20"/>
          <w:lang w:val="en-US"/>
        </w:rPr>
        <w:t xml:space="preserve"> of the </w:t>
      </w:r>
      <w:r w:rsidR="004A7A7C" w:rsidRPr="00785D06">
        <w:rPr>
          <w:rStyle w:val="Ttulo2Car"/>
          <w:rFonts w:ascii="Verdana" w:hAnsi="Verdana"/>
          <w:color w:val="auto"/>
          <w:sz w:val="20"/>
          <w:szCs w:val="20"/>
          <w:lang w:val="en-US"/>
        </w:rPr>
        <w:t xml:space="preserve">public </w:t>
      </w:r>
      <w:r w:rsidRPr="00785D06">
        <w:rPr>
          <w:rStyle w:val="Ttulo2Car"/>
          <w:rFonts w:ascii="Verdana" w:hAnsi="Verdana"/>
          <w:color w:val="auto"/>
          <w:sz w:val="20"/>
          <w:szCs w:val="20"/>
          <w:lang w:val="en-US"/>
        </w:rPr>
        <w:t xml:space="preserve">school that she attended and </w:t>
      </w:r>
      <w:r w:rsidR="004A7A7C" w:rsidRPr="00785D06">
        <w:rPr>
          <w:rStyle w:val="Ttulo2Car"/>
          <w:rFonts w:ascii="Verdana" w:hAnsi="Verdana"/>
          <w:color w:val="auto"/>
          <w:sz w:val="20"/>
          <w:szCs w:val="20"/>
          <w:lang w:val="en-US"/>
        </w:rPr>
        <w:t xml:space="preserve">also </w:t>
      </w:r>
      <w:r w:rsidRPr="00785D06">
        <w:rPr>
          <w:rStyle w:val="Ttulo2Car"/>
          <w:rFonts w:ascii="Verdana" w:hAnsi="Verdana"/>
          <w:color w:val="auto"/>
          <w:sz w:val="20"/>
          <w:szCs w:val="20"/>
          <w:lang w:val="en-US"/>
        </w:rPr>
        <w:t xml:space="preserve">by the school’s doctor, and that </w:t>
      </w:r>
      <w:r w:rsidR="00485212" w:rsidRPr="00785D06">
        <w:rPr>
          <w:rStyle w:val="Ttulo2Car"/>
          <w:rFonts w:ascii="Verdana" w:hAnsi="Verdana"/>
          <w:color w:val="auto"/>
          <w:sz w:val="20"/>
          <w:szCs w:val="20"/>
          <w:lang w:val="en-US"/>
        </w:rPr>
        <w:t xml:space="preserve">these events had a </w:t>
      </w:r>
      <w:r w:rsidRPr="00785D06">
        <w:rPr>
          <w:rStyle w:val="Ttulo2Car"/>
          <w:rFonts w:ascii="Verdana" w:hAnsi="Verdana"/>
          <w:color w:val="auto"/>
          <w:sz w:val="20"/>
          <w:szCs w:val="20"/>
          <w:lang w:val="en-US"/>
        </w:rPr>
        <w:t xml:space="preserve">causal </w:t>
      </w:r>
      <w:r w:rsidR="005D0122" w:rsidRPr="00785D06">
        <w:rPr>
          <w:rStyle w:val="Ttulo2Car"/>
          <w:rFonts w:ascii="Verdana" w:hAnsi="Verdana"/>
          <w:color w:val="auto"/>
          <w:sz w:val="20"/>
          <w:szCs w:val="20"/>
          <w:lang w:val="en-US"/>
        </w:rPr>
        <w:t xml:space="preserve">link </w:t>
      </w:r>
      <w:r w:rsidRPr="00785D06">
        <w:rPr>
          <w:rStyle w:val="Ttulo2Car"/>
          <w:rFonts w:ascii="Verdana" w:hAnsi="Verdana"/>
          <w:color w:val="auto"/>
          <w:sz w:val="20"/>
          <w:szCs w:val="20"/>
          <w:lang w:val="en-US"/>
        </w:rPr>
        <w:t xml:space="preserve">with </w:t>
      </w:r>
      <w:r w:rsidR="00485212" w:rsidRPr="00785D06">
        <w:rPr>
          <w:rStyle w:val="Ttulo2Car"/>
          <w:rFonts w:ascii="Verdana" w:hAnsi="Verdana"/>
          <w:color w:val="auto"/>
          <w:sz w:val="20"/>
          <w:szCs w:val="20"/>
          <w:lang w:val="en-US"/>
        </w:rPr>
        <w:t xml:space="preserve">her </w:t>
      </w:r>
      <w:r w:rsidRPr="00785D06">
        <w:rPr>
          <w:rStyle w:val="Ttulo2Car"/>
          <w:rFonts w:ascii="Verdana" w:hAnsi="Verdana"/>
          <w:color w:val="auto"/>
          <w:sz w:val="20"/>
          <w:szCs w:val="20"/>
          <w:lang w:val="en-US"/>
        </w:rPr>
        <w:t>suicide.</w:t>
      </w:r>
      <w:bookmarkEnd w:id="7"/>
      <w:r w:rsidRPr="00785D06">
        <w:rPr>
          <w:rStyle w:val="Ttulo2Car"/>
          <w:rFonts w:ascii="Verdana" w:hAnsi="Verdana"/>
          <w:color w:val="auto"/>
          <w:sz w:val="20"/>
          <w:szCs w:val="20"/>
          <w:lang w:val="en-US"/>
        </w:rPr>
        <w:t xml:space="preserve"> </w:t>
      </w:r>
      <w:r w:rsidR="00485212" w:rsidRPr="00785D06">
        <w:rPr>
          <w:rStyle w:val="Ttulo2Car"/>
          <w:rFonts w:ascii="Verdana" w:hAnsi="Verdana"/>
          <w:color w:val="auto"/>
          <w:sz w:val="20"/>
          <w:szCs w:val="20"/>
          <w:lang w:val="en-US"/>
        </w:rPr>
        <w:t xml:space="preserve">The Commission also </w:t>
      </w:r>
      <w:r w:rsidRPr="00785D06">
        <w:rPr>
          <w:rStyle w:val="Ttulo2Car"/>
          <w:rFonts w:ascii="Verdana" w:hAnsi="Verdana"/>
          <w:color w:val="auto"/>
          <w:sz w:val="20"/>
          <w:szCs w:val="20"/>
          <w:lang w:val="en-US"/>
        </w:rPr>
        <w:t xml:space="preserve">indicated that criminal proceedings </w:t>
      </w:r>
      <w:r w:rsidR="00485212" w:rsidRPr="00785D06">
        <w:rPr>
          <w:rStyle w:val="Ttulo2Car"/>
          <w:rFonts w:ascii="Verdana" w:hAnsi="Verdana"/>
          <w:color w:val="auto"/>
          <w:sz w:val="20"/>
          <w:szCs w:val="20"/>
          <w:lang w:val="en-US"/>
        </w:rPr>
        <w:t xml:space="preserve">were instituted against the </w:t>
      </w:r>
      <w:r w:rsidR="0097298A" w:rsidRPr="00785D06">
        <w:rPr>
          <w:rStyle w:val="Ttulo2Car"/>
          <w:rFonts w:ascii="Verdana" w:hAnsi="Verdana"/>
          <w:color w:val="auto"/>
          <w:sz w:val="20"/>
          <w:szCs w:val="20"/>
          <w:lang w:val="en-US"/>
        </w:rPr>
        <w:t>vice principal</w:t>
      </w:r>
      <w:r w:rsidRPr="00785D06">
        <w:rPr>
          <w:rStyle w:val="Ttulo2Car"/>
          <w:rFonts w:ascii="Verdana" w:hAnsi="Verdana"/>
          <w:color w:val="auto"/>
          <w:sz w:val="20"/>
          <w:szCs w:val="20"/>
          <w:lang w:val="en-US"/>
        </w:rPr>
        <w:t xml:space="preserve">, who fled </w:t>
      </w:r>
      <w:r w:rsidR="003A2FD2" w:rsidRPr="00785D06">
        <w:rPr>
          <w:rStyle w:val="Ttulo2Car"/>
          <w:rFonts w:ascii="Verdana" w:hAnsi="Verdana"/>
          <w:color w:val="auto"/>
          <w:sz w:val="20"/>
          <w:szCs w:val="20"/>
          <w:lang w:val="en-US"/>
        </w:rPr>
        <w:t xml:space="preserve">prior to </w:t>
      </w:r>
      <w:r w:rsidR="00485212" w:rsidRPr="00785D06">
        <w:rPr>
          <w:rStyle w:val="Ttulo2Car"/>
          <w:rFonts w:ascii="Verdana" w:hAnsi="Verdana"/>
          <w:color w:val="auto"/>
          <w:sz w:val="20"/>
          <w:szCs w:val="20"/>
          <w:lang w:val="en-US"/>
        </w:rPr>
        <w:t>his arrest</w:t>
      </w:r>
      <w:r w:rsidR="008B0476" w:rsidRPr="00785D06">
        <w:rPr>
          <w:rStyle w:val="Ttulo2Car"/>
          <w:rFonts w:ascii="Verdana" w:hAnsi="Verdana"/>
          <w:color w:val="auto"/>
          <w:sz w:val="20"/>
          <w:szCs w:val="20"/>
          <w:lang w:val="en-US"/>
        </w:rPr>
        <w:t>, which was</w:t>
      </w:r>
      <w:r w:rsidR="00485212" w:rsidRPr="00785D06">
        <w:rPr>
          <w:rStyle w:val="Ttulo2Car"/>
          <w:rFonts w:ascii="Verdana" w:hAnsi="Verdana"/>
          <w:color w:val="auto"/>
          <w:sz w:val="20"/>
          <w:szCs w:val="20"/>
          <w:lang w:val="en-US"/>
        </w:rPr>
        <w:t xml:space="preserve"> </w:t>
      </w:r>
      <w:r w:rsidRPr="00785D06">
        <w:rPr>
          <w:rStyle w:val="Ttulo2Car"/>
          <w:rFonts w:ascii="Verdana" w:hAnsi="Verdana"/>
          <w:color w:val="auto"/>
          <w:sz w:val="20"/>
          <w:szCs w:val="20"/>
          <w:lang w:val="en-US"/>
        </w:rPr>
        <w:t xml:space="preserve">ordered on February 13, 2003, and that on September 18, 2008, </w:t>
      </w:r>
      <w:r w:rsidR="003C0316" w:rsidRPr="00785D06">
        <w:rPr>
          <w:rStyle w:val="Ttulo2Car"/>
          <w:rFonts w:ascii="Verdana" w:hAnsi="Verdana"/>
          <w:color w:val="auto"/>
          <w:sz w:val="20"/>
          <w:szCs w:val="20"/>
          <w:lang w:val="en-US"/>
        </w:rPr>
        <w:t xml:space="preserve">the criminal </w:t>
      </w:r>
      <w:r w:rsidR="005D0122" w:rsidRPr="00785D06">
        <w:rPr>
          <w:rStyle w:val="Ttulo2Car"/>
          <w:rFonts w:ascii="Verdana" w:hAnsi="Verdana"/>
          <w:color w:val="auto"/>
          <w:sz w:val="20"/>
          <w:szCs w:val="20"/>
          <w:lang w:val="en-US"/>
        </w:rPr>
        <w:t xml:space="preserve">action </w:t>
      </w:r>
      <w:r w:rsidR="002810F0" w:rsidRPr="00785D06">
        <w:rPr>
          <w:rStyle w:val="Ttulo2Car"/>
          <w:rFonts w:ascii="Verdana" w:hAnsi="Verdana"/>
          <w:color w:val="auto"/>
          <w:sz w:val="20"/>
          <w:szCs w:val="20"/>
          <w:lang w:val="en-US"/>
        </w:rPr>
        <w:t xml:space="preserve">was </w:t>
      </w:r>
      <w:r w:rsidR="005D0122" w:rsidRPr="00785D06">
        <w:rPr>
          <w:rStyle w:val="Ttulo2Car"/>
          <w:rFonts w:ascii="Verdana" w:hAnsi="Verdana"/>
          <w:color w:val="auto"/>
          <w:sz w:val="20"/>
          <w:szCs w:val="20"/>
          <w:lang w:val="en-US"/>
        </w:rPr>
        <w:t xml:space="preserve">declared </w:t>
      </w:r>
      <w:r w:rsidR="003C0316" w:rsidRPr="00785D06">
        <w:rPr>
          <w:rStyle w:val="Ttulo2Car"/>
          <w:rFonts w:ascii="Verdana" w:hAnsi="Verdana"/>
          <w:color w:val="auto"/>
          <w:sz w:val="20"/>
          <w:szCs w:val="20"/>
          <w:lang w:val="en-US"/>
        </w:rPr>
        <w:t>closed owing to the statute of limitations</w:t>
      </w:r>
      <w:r w:rsidRPr="00785D06">
        <w:rPr>
          <w:rStyle w:val="Ttulo2Car"/>
          <w:rFonts w:ascii="Verdana" w:hAnsi="Verdana"/>
          <w:color w:val="auto"/>
          <w:sz w:val="20"/>
          <w:szCs w:val="20"/>
          <w:lang w:val="en-US"/>
        </w:rPr>
        <w:t xml:space="preserve">. The Commission concluded that the State is responsible for the violation of several articles of the American Convention on Human Rights, </w:t>
      </w:r>
      <w:r w:rsidR="005D0122" w:rsidRPr="00785D06">
        <w:rPr>
          <w:rStyle w:val="Ttulo2Car"/>
          <w:rFonts w:ascii="Verdana" w:hAnsi="Verdana"/>
          <w:color w:val="auto"/>
          <w:sz w:val="20"/>
          <w:szCs w:val="20"/>
          <w:lang w:val="en-US"/>
        </w:rPr>
        <w:t xml:space="preserve">of </w:t>
      </w:r>
      <w:r w:rsidRPr="00785D06">
        <w:rPr>
          <w:rStyle w:val="Ttulo2Car"/>
          <w:rFonts w:ascii="Verdana" w:hAnsi="Verdana"/>
          <w:color w:val="auto"/>
          <w:sz w:val="20"/>
          <w:szCs w:val="20"/>
          <w:lang w:val="en-US"/>
        </w:rPr>
        <w:t>the Additional Protocol to the Convention on Econo</w:t>
      </w:r>
      <w:r w:rsidR="005D0122" w:rsidRPr="00785D06">
        <w:rPr>
          <w:rStyle w:val="Ttulo2Car"/>
          <w:rFonts w:ascii="Verdana" w:hAnsi="Verdana"/>
          <w:color w:val="auto"/>
          <w:sz w:val="20"/>
          <w:szCs w:val="20"/>
          <w:lang w:val="en-US"/>
        </w:rPr>
        <w:t>mic, Social and Cultural Rights or</w:t>
      </w:r>
      <w:r w:rsidRPr="00785D06">
        <w:rPr>
          <w:rStyle w:val="Ttulo2Car"/>
          <w:rFonts w:ascii="Verdana" w:hAnsi="Verdana"/>
          <w:color w:val="auto"/>
          <w:sz w:val="20"/>
          <w:szCs w:val="20"/>
          <w:lang w:val="en-US"/>
        </w:rPr>
        <w:t xml:space="preserve"> “</w:t>
      </w:r>
      <w:r w:rsidR="005D0122" w:rsidRPr="00785D06">
        <w:rPr>
          <w:rStyle w:val="Ttulo2Car"/>
          <w:rFonts w:ascii="Verdana" w:hAnsi="Verdana"/>
          <w:color w:val="auto"/>
          <w:sz w:val="20"/>
          <w:szCs w:val="20"/>
          <w:lang w:val="en-US"/>
        </w:rPr>
        <w:t>Protocol of San Salvador</w:t>
      </w:r>
      <w:r w:rsidRPr="00785D06">
        <w:rPr>
          <w:rStyle w:val="Ttulo2Car"/>
          <w:rFonts w:ascii="Verdana" w:hAnsi="Verdana"/>
          <w:color w:val="auto"/>
          <w:sz w:val="20"/>
          <w:szCs w:val="20"/>
          <w:lang w:val="en-US"/>
        </w:rPr>
        <w:t>” (hereinafter “</w:t>
      </w:r>
      <w:r w:rsidR="005D0122" w:rsidRPr="00785D06">
        <w:rPr>
          <w:rStyle w:val="Ttulo2Car"/>
          <w:rFonts w:ascii="Verdana" w:hAnsi="Verdana"/>
          <w:color w:val="auto"/>
          <w:sz w:val="20"/>
          <w:szCs w:val="20"/>
          <w:lang w:val="en-US"/>
        </w:rPr>
        <w:t>San Salvador Protocol</w:t>
      </w:r>
      <w:r w:rsidRPr="00785D06">
        <w:rPr>
          <w:rStyle w:val="Ttulo2Car"/>
          <w:rFonts w:ascii="Verdana" w:hAnsi="Verdana"/>
          <w:color w:val="auto"/>
          <w:sz w:val="20"/>
          <w:szCs w:val="20"/>
          <w:lang w:val="en-US"/>
        </w:rPr>
        <w:t xml:space="preserve">”), and </w:t>
      </w:r>
      <w:r w:rsidR="005D0122" w:rsidRPr="00785D06">
        <w:rPr>
          <w:rStyle w:val="Ttulo2Car"/>
          <w:rFonts w:ascii="Verdana" w:hAnsi="Verdana"/>
          <w:color w:val="auto"/>
          <w:sz w:val="20"/>
          <w:szCs w:val="20"/>
          <w:lang w:val="en-US"/>
        </w:rPr>
        <w:t xml:space="preserve">of </w:t>
      </w:r>
      <w:r w:rsidRPr="00785D06">
        <w:rPr>
          <w:rStyle w:val="Ttulo2Car"/>
          <w:rFonts w:ascii="Verdana" w:hAnsi="Verdana"/>
          <w:color w:val="auto"/>
          <w:sz w:val="20"/>
          <w:szCs w:val="20"/>
          <w:lang w:val="en-US"/>
        </w:rPr>
        <w:t>the Inter-American Convention to Prevent, Punish and Eradicate Violence against Women, “</w:t>
      </w:r>
      <w:r w:rsidR="005D0122" w:rsidRPr="00785D06">
        <w:rPr>
          <w:rStyle w:val="Ttulo2Car"/>
          <w:rFonts w:ascii="Verdana" w:hAnsi="Verdana"/>
          <w:color w:val="auto"/>
          <w:sz w:val="20"/>
          <w:szCs w:val="20"/>
          <w:lang w:val="en-US"/>
        </w:rPr>
        <w:t xml:space="preserve">Convention of </w:t>
      </w:r>
      <w:r w:rsidR="00B97F8F" w:rsidRPr="00785D06">
        <w:rPr>
          <w:rStyle w:val="Ttulo2Car"/>
          <w:rFonts w:ascii="Verdana" w:hAnsi="Verdana"/>
          <w:color w:val="auto"/>
          <w:sz w:val="20"/>
          <w:szCs w:val="20"/>
          <w:lang w:val="en-US"/>
        </w:rPr>
        <w:t>Belém do Pará</w:t>
      </w:r>
      <w:r w:rsidRPr="00785D06">
        <w:rPr>
          <w:rStyle w:val="Ttulo2Car"/>
          <w:rFonts w:ascii="Verdana" w:hAnsi="Verdana"/>
          <w:color w:val="auto"/>
          <w:sz w:val="20"/>
          <w:szCs w:val="20"/>
          <w:lang w:val="en-US"/>
        </w:rPr>
        <w:t>” (hereinafter “</w:t>
      </w:r>
      <w:r w:rsidR="00B97F8F" w:rsidRPr="00785D06">
        <w:rPr>
          <w:rStyle w:val="Ttulo2Car"/>
          <w:rFonts w:ascii="Verdana" w:hAnsi="Verdana"/>
          <w:color w:val="auto"/>
          <w:sz w:val="20"/>
          <w:szCs w:val="20"/>
          <w:lang w:val="en-US"/>
        </w:rPr>
        <w:t>Belém do Pará Convention</w:t>
      </w:r>
      <w:r w:rsidRPr="00785D06">
        <w:rPr>
          <w:rStyle w:val="Ttulo2Car"/>
          <w:rFonts w:ascii="Verdana" w:hAnsi="Verdana"/>
          <w:color w:val="auto"/>
          <w:sz w:val="20"/>
          <w:szCs w:val="20"/>
          <w:lang w:val="en-US"/>
        </w:rPr>
        <w:t>”).</w:t>
      </w:r>
      <w:bookmarkEnd w:id="8"/>
      <w:r w:rsidRPr="00785D06">
        <w:rPr>
          <w:rStyle w:val="Ttulo2Car"/>
          <w:rFonts w:ascii="Verdana" w:hAnsi="Verdana"/>
          <w:color w:val="auto"/>
          <w:sz w:val="20"/>
          <w:szCs w:val="20"/>
          <w:lang w:val="en-US"/>
        </w:rPr>
        <w:t xml:space="preserve"> </w:t>
      </w:r>
    </w:p>
    <w:bookmarkEnd w:id="9"/>
    <w:bookmarkEnd w:id="10"/>
    <w:bookmarkEnd w:id="11"/>
    <w:bookmarkEnd w:id="12"/>
    <w:p w14:paraId="447A85FC" w14:textId="77777777" w:rsidR="00C254BF" w:rsidRPr="00785D06" w:rsidRDefault="00C254BF" w:rsidP="00C254BF">
      <w:pPr>
        <w:pStyle w:val="Prrafodelista"/>
        <w:ind w:left="0"/>
        <w:contextualSpacing w:val="0"/>
        <w:jc w:val="both"/>
        <w:rPr>
          <w:rStyle w:val="Ttulo2Car"/>
          <w:rFonts w:ascii="Verdana" w:hAnsi="Verdana"/>
          <w:i/>
          <w:color w:val="auto"/>
          <w:sz w:val="20"/>
          <w:szCs w:val="20"/>
          <w:lang w:val="en-US"/>
        </w:rPr>
      </w:pPr>
    </w:p>
    <w:p w14:paraId="2B72F1E9" w14:textId="77777777" w:rsidR="00C254BF" w:rsidRPr="00785D06" w:rsidRDefault="00C254BF" w:rsidP="00C254BF">
      <w:pPr>
        <w:pStyle w:val="Prrafodelista"/>
        <w:numPr>
          <w:ilvl w:val="0"/>
          <w:numId w:val="2"/>
        </w:numPr>
        <w:ind w:left="0" w:firstLine="0"/>
        <w:contextualSpacing w:val="0"/>
        <w:jc w:val="both"/>
        <w:rPr>
          <w:rStyle w:val="Ttulo2Car"/>
          <w:rFonts w:ascii="Verdana" w:hAnsi="Verdana" w:cstheme="minorBidi"/>
          <w:b/>
          <w:color w:val="auto"/>
          <w:sz w:val="20"/>
          <w:szCs w:val="20"/>
          <w:lang w:val="en-US"/>
        </w:rPr>
      </w:pPr>
      <w:bookmarkStart w:id="13" w:name="_Toc40466530"/>
      <w:bookmarkStart w:id="14" w:name="_Toc41560349"/>
      <w:bookmarkStart w:id="15" w:name="_Toc41906186"/>
      <w:bookmarkStart w:id="16" w:name="_Toc42432121"/>
      <w:bookmarkStart w:id="17" w:name="_Toc42498016"/>
      <w:bookmarkStart w:id="18" w:name="_Toc46937264"/>
      <w:r w:rsidRPr="00785D06">
        <w:rPr>
          <w:rStyle w:val="Ttulo2Car"/>
          <w:rFonts w:ascii="Verdana" w:hAnsi="Verdana"/>
          <w:i/>
          <w:color w:val="auto"/>
          <w:sz w:val="20"/>
          <w:szCs w:val="20"/>
          <w:lang w:val="en-US"/>
        </w:rPr>
        <w:t>Procedure before the Commission</w:t>
      </w:r>
      <w:r w:rsidR="003C0316" w:rsidRPr="00785D06">
        <w:rPr>
          <w:rStyle w:val="Ttulo2Car"/>
          <w:rFonts w:ascii="Verdana" w:hAnsi="Verdana"/>
          <w:color w:val="auto"/>
          <w:sz w:val="20"/>
          <w:szCs w:val="20"/>
          <w:lang w:val="en-US"/>
        </w:rPr>
        <w:t xml:space="preserve">. </w:t>
      </w:r>
      <w:r w:rsidRPr="00785D06">
        <w:rPr>
          <w:rStyle w:val="Ttulo2Car"/>
          <w:rFonts w:ascii="Verdana" w:hAnsi="Verdana"/>
          <w:color w:val="auto"/>
          <w:sz w:val="20"/>
          <w:szCs w:val="20"/>
          <w:lang w:val="en-US"/>
        </w:rPr>
        <w:t>The procedure before the Commission was as follows:</w:t>
      </w:r>
      <w:bookmarkEnd w:id="13"/>
      <w:bookmarkEnd w:id="14"/>
      <w:bookmarkEnd w:id="15"/>
      <w:bookmarkEnd w:id="16"/>
      <w:bookmarkEnd w:id="17"/>
      <w:bookmarkEnd w:id="18"/>
      <w:r w:rsidRPr="00785D06">
        <w:rPr>
          <w:rStyle w:val="Ttulo2Car"/>
          <w:rFonts w:ascii="Verdana" w:hAnsi="Verdana"/>
          <w:color w:val="auto"/>
          <w:sz w:val="20"/>
          <w:szCs w:val="20"/>
          <w:lang w:val="en-US"/>
        </w:rPr>
        <w:t xml:space="preserve"> </w:t>
      </w:r>
    </w:p>
    <w:p w14:paraId="73B7378E" w14:textId="77777777" w:rsidR="00C254BF" w:rsidRPr="00785D06" w:rsidRDefault="00C254BF" w:rsidP="00C254BF">
      <w:pPr>
        <w:pStyle w:val="Prrafodelista"/>
        <w:ind w:left="0"/>
        <w:contextualSpacing w:val="0"/>
        <w:jc w:val="both"/>
        <w:rPr>
          <w:rStyle w:val="Ttulo2Car"/>
          <w:rFonts w:ascii="Verdana" w:hAnsi="Verdana" w:cstheme="minorBidi"/>
          <w:b/>
          <w:color w:val="auto"/>
          <w:sz w:val="20"/>
          <w:szCs w:val="20"/>
          <w:lang w:val="en-US"/>
        </w:rPr>
      </w:pPr>
    </w:p>
    <w:p w14:paraId="56DB4077" w14:textId="77777777" w:rsidR="00C254BF" w:rsidRPr="00785D06" w:rsidRDefault="00C254BF" w:rsidP="00C254BF">
      <w:pPr>
        <w:pStyle w:val="Prrafodelista"/>
        <w:numPr>
          <w:ilvl w:val="0"/>
          <w:numId w:val="7"/>
        </w:numPr>
        <w:ind w:left="1080"/>
        <w:contextualSpacing w:val="0"/>
        <w:jc w:val="both"/>
        <w:rPr>
          <w:b/>
          <w:sz w:val="20"/>
          <w:szCs w:val="20"/>
          <w:lang w:val="en-US"/>
        </w:rPr>
      </w:pPr>
      <w:bookmarkStart w:id="19" w:name="_Toc40466531"/>
      <w:bookmarkStart w:id="20" w:name="_Toc41560350"/>
      <w:bookmarkStart w:id="21" w:name="_Toc41906187"/>
      <w:bookmarkStart w:id="22" w:name="_Toc42432122"/>
      <w:bookmarkStart w:id="23" w:name="_Toc42498017"/>
      <w:bookmarkStart w:id="24" w:name="_Toc46937265"/>
      <w:r w:rsidRPr="00785D06">
        <w:rPr>
          <w:rStyle w:val="Ttulo2Car"/>
          <w:rFonts w:ascii="Verdana" w:hAnsi="Verdana" w:cstheme="minorBidi"/>
          <w:i/>
          <w:color w:val="auto"/>
          <w:sz w:val="20"/>
          <w:szCs w:val="20"/>
          <w:lang w:val="en-US"/>
        </w:rPr>
        <w:t>Petition</w:t>
      </w:r>
      <w:r w:rsidRPr="00785D06">
        <w:rPr>
          <w:rStyle w:val="Ttulo2Car"/>
          <w:rFonts w:ascii="Verdana" w:hAnsi="Verdana" w:cstheme="minorBidi"/>
          <w:color w:val="auto"/>
          <w:sz w:val="20"/>
          <w:szCs w:val="20"/>
          <w:lang w:val="en-US"/>
        </w:rPr>
        <w:t xml:space="preserve">. </w:t>
      </w:r>
      <w:bookmarkEnd w:id="19"/>
      <w:bookmarkEnd w:id="20"/>
      <w:bookmarkEnd w:id="21"/>
      <w:bookmarkEnd w:id="22"/>
      <w:bookmarkEnd w:id="23"/>
      <w:bookmarkEnd w:id="24"/>
      <w:r w:rsidRPr="00785D06">
        <w:rPr>
          <w:rStyle w:val="Ttulo2Car"/>
          <w:rFonts w:ascii="Verdana" w:hAnsi="Verdana" w:cstheme="minorBidi"/>
          <w:color w:val="auto"/>
          <w:sz w:val="20"/>
          <w:szCs w:val="20"/>
          <w:lang w:val="en-US"/>
        </w:rPr>
        <w:t xml:space="preserve">On </w:t>
      </w:r>
      <w:r w:rsidRPr="00785D06">
        <w:rPr>
          <w:sz w:val="20"/>
          <w:szCs w:val="20"/>
          <w:lang w:val="en-US"/>
        </w:rPr>
        <w:t>October 2, 2006</w:t>
      </w:r>
      <w:r w:rsidR="003C0316" w:rsidRPr="00785D06">
        <w:rPr>
          <w:sz w:val="20"/>
          <w:szCs w:val="20"/>
          <w:lang w:val="en-US"/>
        </w:rPr>
        <w:t>,</w:t>
      </w:r>
      <w:r w:rsidRPr="00785D06">
        <w:rPr>
          <w:sz w:val="20"/>
          <w:szCs w:val="20"/>
          <w:lang w:val="en-US"/>
        </w:rPr>
        <w:t xml:space="preserve"> the Commission received the initial petition.</w:t>
      </w:r>
      <w:r w:rsidRPr="00785D06">
        <w:rPr>
          <w:rStyle w:val="Refdenotaalpie"/>
          <w:sz w:val="20"/>
          <w:szCs w:val="20"/>
          <w:lang w:val="en-US"/>
        </w:rPr>
        <w:footnoteReference w:id="2"/>
      </w:r>
    </w:p>
    <w:p w14:paraId="3444F511" w14:textId="77777777" w:rsidR="00C254BF" w:rsidRPr="00785D06" w:rsidRDefault="00C254BF" w:rsidP="00C254BF">
      <w:pPr>
        <w:pStyle w:val="Prrafodelista"/>
        <w:ind w:left="1080"/>
        <w:contextualSpacing w:val="0"/>
        <w:jc w:val="both"/>
        <w:rPr>
          <w:b/>
          <w:sz w:val="20"/>
          <w:szCs w:val="20"/>
          <w:lang w:val="en-US"/>
        </w:rPr>
      </w:pPr>
    </w:p>
    <w:p w14:paraId="547A4CDD" w14:textId="77777777" w:rsidR="00C254BF" w:rsidRPr="00785D06" w:rsidRDefault="00C254BF" w:rsidP="00C254BF">
      <w:pPr>
        <w:pStyle w:val="Prrafodelista"/>
        <w:numPr>
          <w:ilvl w:val="0"/>
          <w:numId w:val="7"/>
        </w:numPr>
        <w:ind w:left="1077" w:hanging="357"/>
        <w:contextualSpacing w:val="0"/>
        <w:jc w:val="both"/>
        <w:rPr>
          <w:b/>
          <w:sz w:val="20"/>
          <w:szCs w:val="20"/>
          <w:lang w:val="en-US"/>
        </w:rPr>
      </w:pPr>
      <w:bookmarkStart w:id="25" w:name="_Toc40466532"/>
      <w:bookmarkStart w:id="26" w:name="_Toc41560351"/>
      <w:bookmarkStart w:id="27" w:name="_Toc41906188"/>
      <w:bookmarkStart w:id="28" w:name="_Toc42432123"/>
      <w:bookmarkStart w:id="29" w:name="_Toc42498018"/>
      <w:bookmarkStart w:id="30" w:name="_Toc46937266"/>
      <w:r w:rsidRPr="00785D06">
        <w:rPr>
          <w:rStyle w:val="Ttulo2Car"/>
          <w:rFonts w:ascii="Verdana" w:hAnsi="Verdana" w:cstheme="minorBidi"/>
          <w:i/>
          <w:color w:val="auto"/>
          <w:sz w:val="20"/>
          <w:szCs w:val="20"/>
          <w:lang w:val="en-US"/>
        </w:rPr>
        <w:t>Admissibility Report.</w:t>
      </w:r>
      <w:bookmarkEnd w:id="25"/>
      <w:bookmarkEnd w:id="26"/>
      <w:bookmarkEnd w:id="27"/>
      <w:bookmarkEnd w:id="28"/>
      <w:bookmarkEnd w:id="29"/>
      <w:bookmarkEnd w:id="30"/>
      <w:r w:rsidRPr="00785D06">
        <w:rPr>
          <w:rStyle w:val="Ttulo2Car"/>
          <w:rFonts w:ascii="Verdana" w:hAnsi="Verdana" w:cstheme="minorBidi"/>
          <w:i/>
          <w:color w:val="auto"/>
          <w:sz w:val="20"/>
          <w:szCs w:val="20"/>
          <w:lang w:val="en-US"/>
        </w:rPr>
        <w:t xml:space="preserve"> </w:t>
      </w:r>
      <w:r w:rsidRPr="00785D06">
        <w:rPr>
          <w:sz w:val="20"/>
          <w:szCs w:val="20"/>
          <w:lang w:val="en-US"/>
        </w:rPr>
        <w:t>On</w:t>
      </w:r>
      <w:r w:rsidRPr="00785D06">
        <w:rPr>
          <w:b/>
          <w:sz w:val="20"/>
          <w:szCs w:val="20"/>
          <w:lang w:val="en-US"/>
        </w:rPr>
        <w:t xml:space="preserve"> </w:t>
      </w:r>
      <w:r w:rsidRPr="00785D06">
        <w:rPr>
          <w:sz w:val="20"/>
          <w:szCs w:val="20"/>
          <w:lang w:val="en-US"/>
        </w:rPr>
        <w:t>October 17, 2008</w:t>
      </w:r>
      <w:r w:rsidR="003C0316" w:rsidRPr="00785D06">
        <w:rPr>
          <w:sz w:val="20"/>
          <w:szCs w:val="20"/>
          <w:lang w:val="en-US"/>
        </w:rPr>
        <w:t>,</w:t>
      </w:r>
      <w:r w:rsidRPr="00785D06">
        <w:rPr>
          <w:sz w:val="20"/>
          <w:szCs w:val="20"/>
          <w:lang w:val="en-US"/>
        </w:rPr>
        <w:t xml:space="preserve"> the Inter-American Commission a</w:t>
      </w:r>
      <w:r w:rsidR="003C0316" w:rsidRPr="00785D06">
        <w:rPr>
          <w:sz w:val="20"/>
          <w:szCs w:val="20"/>
          <w:lang w:val="en-US"/>
        </w:rPr>
        <w:t xml:space="preserve">dopted </w:t>
      </w:r>
      <w:r w:rsidRPr="00785D06">
        <w:rPr>
          <w:sz w:val="20"/>
          <w:szCs w:val="20"/>
          <w:lang w:val="en-US"/>
        </w:rPr>
        <w:t>Admissibility Report No. 76/08 (hereinafter “</w:t>
      </w:r>
      <w:r w:rsidR="003C0316" w:rsidRPr="00785D06">
        <w:rPr>
          <w:sz w:val="20"/>
          <w:szCs w:val="20"/>
          <w:lang w:val="en-US"/>
        </w:rPr>
        <w:t xml:space="preserve">the </w:t>
      </w:r>
      <w:r w:rsidRPr="00785D06">
        <w:rPr>
          <w:sz w:val="20"/>
          <w:szCs w:val="20"/>
          <w:lang w:val="en-US"/>
        </w:rPr>
        <w:t xml:space="preserve">Admissibility Report”). </w:t>
      </w:r>
    </w:p>
    <w:p w14:paraId="72E3A342" w14:textId="77777777" w:rsidR="00C254BF" w:rsidRPr="00785D06" w:rsidRDefault="00C254BF" w:rsidP="00C254BF">
      <w:pPr>
        <w:pStyle w:val="Prrafodelista"/>
        <w:ind w:left="1077"/>
        <w:contextualSpacing w:val="0"/>
        <w:jc w:val="both"/>
        <w:rPr>
          <w:rStyle w:val="Ttulo2Car"/>
          <w:rFonts w:ascii="Verdana" w:hAnsi="Verdana" w:cstheme="minorBidi"/>
          <w:b/>
          <w:color w:val="auto"/>
          <w:sz w:val="20"/>
          <w:szCs w:val="20"/>
          <w:lang w:val="en-US"/>
        </w:rPr>
      </w:pPr>
    </w:p>
    <w:p w14:paraId="21FB072D" w14:textId="77777777" w:rsidR="00C254BF" w:rsidRPr="00785D06" w:rsidRDefault="00A61F5F" w:rsidP="00C254BF">
      <w:pPr>
        <w:pStyle w:val="Prrafodelista"/>
        <w:numPr>
          <w:ilvl w:val="0"/>
          <w:numId w:val="7"/>
        </w:numPr>
        <w:ind w:left="1080"/>
        <w:contextualSpacing w:val="0"/>
        <w:jc w:val="both"/>
        <w:rPr>
          <w:b/>
          <w:sz w:val="20"/>
          <w:szCs w:val="20"/>
          <w:lang w:val="en-US"/>
        </w:rPr>
      </w:pPr>
      <w:bookmarkStart w:id="31" w:name="_Toc40466533"/>
      <w:bookmarkStart w:id="32" w:name="_Toc41560352"/>
      <w:bookmarkStart w:id="33" w:name="_Toc41906189"/>
      <w:bookmarkStart w:id="34" w:name="_Toc42432124"/>
      <w:bookmarkStart w:id="35" w:name="_Toc42498019"/>
      <w:bookmarkStart w:id="36" w:name="_Toc46937267"/>
      <w:r w:rsidRPr="00785D06">
        <w:rPr>
          <w:rStyle w:val="Ttulo2Car"/>
          <w:rFonts w:ascii="Verdana" w:hAnsi="Verdana" w:cstheme="minorBidi"/>
          <w:i/>
          <w:color w:val="auto"/>
          <w:sz w:val="20"/>
          <w:szCs w:val="20"/>
          <w:lang w:val="en-US"/>
        </w:rPr>
        <w:t>Friendly settlement procedure</w:t>
      </w:r>
      <w:r w:rsidR="00C254BF" w:rsidRPr="00785D06">
        <w:rPr>
          <w:rStyle w:val="Ttulo2Car"/>
          <w:rFonts w:ascii="Verdana" w:hAnsi="Verdana" w:cstheme="minorBidi"/>
          <w:color w:val="auto"/>
          <w:sz w:val="20"/>
          <w:szCs w:val="20"/>
          <w:lang w:val="en-US"/>
        </w:rPr>
        <w:t xml:space="preserve">. </w:t>
      </w:r>
      <w:bookmarkEnd w:id="31"/>
      <w:bookmarkEnd w:id="32"/>
      <w:bookmarkEnd w:id="33"/>
      <w:bookmarkEnd w:id="34"/>
      <w:bookmarkEnd w:id="35"/>
      <w:bookmarkEnd w:id="36"/>
      <w:r w:rsidR="00C254BF" w:rsidRPr="00785D06">
        <w:rPr>
          <w:rStyle w:val="Ttulo2Car"/>
          <w:rFonts w:ascii="Verdana" w:hAnsi="Verdana" w:cstheme="minorBidi"/>
          <w:color w:val="auto"/>
          <w:sz w:val="20"/>
          <w:szCs w:val="20"/>
          <w:lang w:val="en-US"/>
        </w:rPr>
        <w:t xml:space="preserve">Between </w:t>
      </w:r>
      <w:r w:rsidR="00C254BF" w:rsidRPr="00785D06">
        <w:rPr>
          <w:sz w:val="20"/>
          <w:szCs w:val="20"/>
          <w:lang w:val="en-US"/>
        </w:rPr>
        <w:t>2009 and 2014</w:t>
      </w:r>
      <w:r w:rsidR="003C0316" w:rsidRPr="00785D06">
        <w:rPr>
          <w:sz w:val="20"/>
          <w:szCs w:val="20"/>
          <w:lang w:val="en-US"/>
        </w:rPr>
        <w:t>,</w:t>
      </w:r>
      <w:r w:rsidR="00C254BF" w:rsidRPr="00785D06">
        <w:rPr>
          <w:sz w:val="20"/>
          <w:szCs w:val="20"/>
          <w:lang w:val="en-US"/>
        </w:rPr>
        <w:t xml:space="preserve"> </w:t>
      </w:r>
      <w:r w:rsidRPr="00785D06">
        <w:rPr>
          <w:sz w:val="20"/>
          <w:szCs w:val="20"/>
          <w:lang w:val="en-US"/>
        </w:rPr>
        <w:t>a friendly settlement procedure took place before the Commission in relation to this case.</w:t>
      </w:r>
      <w:r w:rsidR="00C254BF" w:rsidRPr="00785D06">
        <w:rPr>
          <w:sz w:val="20"/>
          <w:szCs w:val="20"/>
          <w:lang w:val="en-US"/>
        </w:rPr>
        <w:t xml:space="preserve"> </w:t>
      </w:r>
      <w:r w:rsidRPr="00785D06">
        <w:rPr>
          <w:sz w:val="20"/>
          <w:szCs w:val="20"/>
          <w:lang w:val="en-US"/>
        </w:rPr>
        <w:t>O</w:t>
      </w:r>
      <w:r w:rsidR="00C254BF" w:rsidRPr="00785D06">
        <w:rPr>
          <w:sz w:val="20"/>
          <w:szCs w:val="20"/>
          <w:lang w:val="en-US"/>
        </w:rPr>
        <w:t xml:space="preserve">n December 23, 2013, </w:t>
      </w:r>
      <w:r w:rsidRPr="00785D06">
        <w:rPr>
          <w:sz w:val="20"/>
          <w:szCs w:val="20"/>
          <w:lang w:val="en-US"/>
        </w:rPr>
        <w:t xml:space="preserve">the petitioners notified </w:t>
      </w:r>
      <w:r w:rsidR="00C254BF" w:rsidRPr="00785D06">
        <w:rPr>
          <w:sz w:val="20"/>
          <w:szCs w:val="20"/>
          <w:lang w:val="en-US"/>
        </w:rPr>
        <w:t>the</w:t>
      </w:r>
      <w:r w:rsidRPr="00785D06">
        <w:rPr>
          <w:sz w:val="20"/>
          <w:szCs w:val="20"/>
          <w:lang w:val="en-US"/>
        </w:rPr>
        <w:t xml:space="preserve"> Commission of the</w:t>
      </w:r>
      <w:r w:rsidR="00C254BF" w:rsidRPr="00785D06">
        <w:rPr>
          <w:sz w:val="20"/>
          <w:szCs w:val="20"/>
          <w:lang w:val="en-US"/>
        </w:rPr>
        <w:t xml:space="preserve">ir irrevocable decision to withdraw from the </w:t>
      </w:r>
      <w:r w:rsidRPr="00785D06">
        <w:rPr>
          <w:sz w:val="20"/>
          <w:szCs w:val="20"/>
          <w:lang w:val="en-US"/>
        </w:rPr>
        <w:t>friendly settlement procedure; therefore,</w:t>
      </w:r>
      <w:r w:rsidR="00C254BF" w:rsidRPr="00785D06">
        <w:rPr>
          <w:sz w:val="20"/>
          <w:szCs w:val="20"/>
          <w:lang w:val="en-US"/>
        </w:rPr>
        <w:t xml:space="preserve"> </w:t>
      </w:r>
      <w:r w:rsidRPr="00785D06">
        <w:rPr>
          <w:sz w:val="20"/>
          <w:szCs w:val="20"/>
          <w:lang w:val="en-US"/>
        </w:rPr>
        <w:t xml:space="preserve">on January 7, 2014, </w:t>
      </w:r>
      <w:r w:rsidR="00C254BF" w:rsidRPr="00785D06">
        <w:rPr>
          <w:sz w:val="20"/>
          <w:szCs w:val="20"/>
          <w:lang w:val="en-US"/>
        </w:rPr>
        <w:t xml:space="preserve">the Commission informed the parties that it would continue to examine the merits of the case. </w:t>
      </w:r>
    </w:p>
    <w:p w14:paraId="364F07EA" w14:textId="77777777" w:rsidR="00C254BF" w:rsidRPr="00785D06" w:rsidRDefault="00C254BF" w:rsidP="00C254BF">
      <w:pPr>
        <w:pStyle w:val="Prrafodelista"/>
        <w:ind w:left="1080"/>
        <w:contextualSpacing w:val="0"/>
        <w:jc w:val="both"/>
        <w:rPr>
          <w:rStyle w:val="Ttulo2Car"/>
          <w:rFonts w:ascii="Verdana" w:hAnsi="Verdana" w:cstheme="minorBidi"/>
          <w:b/>
          <w:color w:val="auto"/>
          <w:sz w:val="20"/>
          <w:szCs w:val="20"/>
          <w:lang w:val="en-US"/>
        </w:rPr>
      </w:pPr>
    </w:p>
    <w:p w14:paraId="10EF6930" w14:textId="77777777" w:rsidR="00C254BF" w:rsidRPr="00785D06" w:rsidRDefault="00C254BF" w:rsidP="00C254BF">
      <w:pPr>
        <w:pStyle w:val="Prrafodelista"/>
        <w:numPr>
          <w:ilvl w:val="0"/>
          <w:numId w:val="7"/>
        </w:numPr>
        <w:ind w:left="1080"/>
        <w:contextualSpacing w:val="0"/>
        <w:jc w:val="both"/>
        <w:rPr>
          <w:rStyle w:val="Ttulo2Car"/>
          <w:rFonts w:ascii="Verdana" w:hAnsi="Verdana"/>
          <w:b/>
          <w:color w:val="auto"/>
          <w:sz w:val="20"/>
          <w:szCs w:val="20"/>
          <w:lang w:val="en-US"/>
        </w:rPr>
      </w:pPr>
      <w:bookmarkStart w:id="37" w:name="_Toc40466534"/>
      <w:bookmarkStart w:id="38" w:name="_Toc41560353"/>
      <w:bookmarkStart w:id="39" w:name="_Toc41906190"/>
      <w:bookmarkStart w:id="40" w:name="_Toc42432125"/>
      <w:bookmarkStart w:id="41" w:name="_Toc42498020"/>
      <w:bookmarkStart w:id="42" w:name="_Toc46937268"/>
      <w:r w:rsidRPr="00785D06">
        <w:rPr>
          <w:rStyle w:val="Ttulo2Car"/>
          <w:rFonts w:ascii="Verdana" w:hAnsi="Verdana" w:cstheme="minorBidi"/>
          <w:i/>
          <w:color w:val="auto"/>
          <w:sz w:val="20"/>
          <w:szCs w:val="20"/>
          <w:lang w:val="en-US"/>
        </w:rPr>
        <w:t>Merits Report</w:t>
      </w:r>
      <w:r w:rsidRPr="00785D06">
        <w:rPr>
          <w:rStyle w:val="Ttulo2Car"/>
          <w:rFonts w:ascii="Verdana" w:hAnsi="Verdana" w:cstheme="minorBidi"/>
          <w:color w:val="auto"/>
          <w:sz w:val="20"/>
          <w:szCs w:val="20"/>
          <w:lang w:val="en-US"/>
        </w:rPr>
        <w:t xml:space="preserve">. </w:t>
      </w:r>
      <w:bookmarkEnd w:id="37"/>
      <w:bookmarkEnd w:id="38"/>
      <w:bookmarkEnd w:id="39"/>
      <w:bookmarkEnd w:id="40"/>
      <w:bookmarkEnd w:id="41"/>
      <w:bookmarkEnd w:id="42"/>
      <w:r w:rsidRPr="00785D06">
        <w:rPr>
          <w:rStyle w:val="Ttulo2Car"/>
          <w:rFonts w:ascii="Verdana" w:hAnsi="Verdana" w:cstheme="minorBidi"/>
          <w:color w:val="auto"/>
          <w:sz w:val="20"/>
          <w:szCs w:val="20"/>
          <w:lang w:val="en-US"/>
        </w:rPr>
        <w:t xml:space="preserve">On </w:t>
      </w:r>
      <w:r w:rsidRPr="00785D06">
        <w:rPr>
          <w:sz w:val="20"/>
          <w:szCs w:val="20"/>
          <w:lang w:val="en-US"/>
        </w:rPr>
        <w:t>October 5, 2018</w:t>
      </w:r>
      <w:r w:rsidR="00A61F5F" w:rsidRPr="00785D06">
        <w:rPr>
          <w:sz w:val="20"/>
          <w:szCs w:val="20"/>
          <w:lang w:val="en-US"/>
        </w:rPr>
        <w:t xml:space="preserve">, the Commission adopted </w:t>
      </w:r>
      <w:r w:rsidRPr="00785D06">
        <w:rPr>
          <w:sz w:val="20"/>
          <w:szCs w:val="20"/>
          <w:lang w:val="en-US"/>
        </w:rPr>
        <w:t xml:space="preserve">Merits Report No. </w:t>
      </w:r>
      <w:r w:rsidRPr="00785D06">
        <w:rPr>
          <w:rStyle w:val="Ttulo2Car"/>
          <w:rFonts w:ascii="Verdana" w:hAnsi="Verdana"/>
          <w:color w:val="auto"/>
          <w:sz w:val="20"/>
          <w:szCs w:val="20"/>
          <w:lang w:val="en-US"/>
        </w:rPr>
        <w:t>110/18 (hereinafter “Merits Report”), in which it reached a series of conclusions</w:t>
      </w:r>
      <w:r w:rsidRPr="00785D06">
        <w:rPr>
          <w:rStyle w:val="Refdenotaalpie"/>
          <w:sz w:val="20"/>
          <w:szCs w:val="20"/>
          <w:lang w:val="en-US"/>
        </w:rPr>
        <w:footnoteReference w:id="3"/>
      </w:r>
      <w:r w:rsidRPr="00785D06">
        <w:rPr>
          <w:rStyle w:val="Ttulo2Car"/>
          <w:rFonts w:ascii="Verdana" w:hAnsi="Verdana"/>
          <w:color w:val="auto"/>
          <w:sz w:val="20"/>
          <w:szCs w:val="20"/>
          <w:lang w:val="en-US"/>
        </w:rPr>
        <w:t xml:space="preserve"> and made several recommendations to the State. </w:t>
      </w:r>
    </w:p>
    <w:p w14:paraId="4BA30D5C" w14:textId="77777777" w:rsidR="00C254BF" w:rsidRPr="00785D06" w:rsidRDefault="002F5725" w:rsidP="00C254BF">
      <w:pPr>
        <w:pStyle w:val="Prrafodelista"/>
        <w:numPr>
          <w:ilvl w:val="0"/>
          <w:numId w:val="2"/>
        </w:numPr>
        <w:ind w:left="0" w:firstLine="0"/>
        <w:contextualSpacing w:val="0"/>
        <w:jc w:val="both"/>
        <w:rPr>
          <w:i/>
          <w:sz w:val="20"/>
          <w:szCs w:val="20"/>
          <w:lang w:val="en-US"/>
        </w:rPr>
      </w:pPr>
      <w:r w:rsidRPr="00785D06">
        <w:rPr>
          <w:i/>
          <w:sz w:val="20"/>
          <w:szCs w:val="20"/>
          <w:lang w:val="en-US"/>
        </w:rPr>
        <w:t xml:space="preserve">Notification to the State. </w:t>
      </w:r>
      <w:r w:rsidR="00C254BF" w:rsidRPr="00785D06">
        <w:rPr>
          <w:sz w:val="20"/>
          <w:szCs w:val="20"/>
          <w:lang w:val="en-US"/>
        </w:rPr>
        <w:t xml:space="preserve">The Merits Report was notified to the State </w:t>
      </w:r>
      <w:r w:rsidR="00F25813" w:rsidRPr="00785D06">
        <w:rPr>
          <w:sz w:val="20"/>
          <w:szCs w:val="20"/>
          <w:lang w:val="en-US"/>
        </w:rPr>
        <w:t xml:space="preserve">by </w:t>
      </w:r>
      <w:r w:rsidR="00C254BF" w:rsidRPr="00785D06">
        <w:rPr>
          <w:sz w:val="20"/>
          <w:szCs w:val="20"/>
          <w:lang w:val="en-US"/>
        </w:rPr>
        <w:t xml:space="preserve">the Inter-American Commission </w:t>
      </w:r>
      <w:r w:rsidR="00F25813" w:rsidRPr="00785D06">
        <w:rPr>
          <w:sz w:val="20"/>
          <w:szCs w:val="20"/>
          <w:lang w:val="en-US"/>
        </w:rPr>
        <w:t xml:space="preserve">on </w:t>
      </w:r>
      <w:r w:rsidR="00C254BF" w:rsidRPr="00785D06">
        <w:rPr>
          <w:sz w:val="20"/>
          <w:szCs w:val="20"/>
          <w:lang w:val="en-US"/>
        </w:rPr>
        <w:t xml:space="preserve">November 7, 2018, </w:t>
      </w:r>
      <w:r w:rsidR="002810F0" w:rsidRPr="00785D06">
        <w:rPr>
          <w:sz w:val="20"/>
          <w:szCs w:val="20"/>
          <w:lang w:val="en-US"/>
        </w:rPr>
        <w:t>which granted</w:t>
      </w:r>
      <w:r w:rsidR="00C254BF" w:rsidRPr="00785D06">
        <w:rPr>
          <w:sz w:val="20"/>
          <w:szCs w:val="20"/>
          <w:lang w:val="en-US"/>
        </w:rPr>
        <w:t xml:space="preserve"> </w:t>
      </w:r>
      <w:r w:rsidR="00F25813" w:rsidRPr="00785D06">
        <w:rPr>
          <w:sz w:val="20"/>
          <w:szCs w:val="20"/>
          <w:lang w:val="en-US"/>
        </w:rPr>
        <w:t xml:space="preserve">it </w:t>
      </w:r>
      <w:r w:rsidR="00C254BF" w:rsidRPr="00785D06">
        <w:rPr>
          <w:sz w:val="20"/>
          <w:szCs w:val="20"/>
          <w:lang w:val="en-US"/>
        </w:rPr>
        <w:t xml:space="preserve">two months to </w:t>
      </w:r>
      <w:r w:rsidR="00F25813" w:rsidRPr="00785D06">
        <w:rPr>
          <w:sz w:val="20"/>
          <w:szCs w:val="20"/>
          <w:lang w:val="en-US"/>
        </w:rPr>
        <w:t xml:space="preserve">provide a </w:t>
      </w:r>
      <w:r w:rsidR="00C254BF" w:rsidRPr="00785D06">
        <w:rPr>
          <w:sz w:val="20"/>
          <w:szCs w:val="20"/>
          <w:lang w:val="en-US"/>
        </w:rPr>
        <w:t>report on compliance with the recommendations.</w:t>
      </w:r>
      <w:r w:rsidR="003E3D69" w:rsidRPr="00785D06">
        <w:rPr>
          <w:sz w:val="20"/>
          <w:szCs w:val="20"/>
          <w:lang w:val="en-US"/>
        </w:rPr>
        <w:t xml:space="preserve"> </w:t>
      </w:r>
      <w:r w:rsidR="002810F0" w:rsidRPr="00785D06">
        <w:rPr>
          <w:sz w:val="20"/>
          <w:szCs w:val="20"/>
          <w:lang w:val="en-US"/>
        </w:rPr>
        <w:t>According to t</w:t>
      </w:r>
      <w:r w:rsidR="003E3D69" w:rsidRPr="00785D06">
        <w:rPr>
          <w:sz w:val="20"/>
          <w:szCs w:val="20"/>
          <w:lang w:val="en-US"/>
        </w:rPr>
        <w:t>he Commi</w:t>
      </w:r>
      <w:r w:rsidR="00F25813" w:rsidRPr="00785D06">
        <w:rPr>
          <w:sz w:val="20"/>
          <w:szCs w:val="20"/>
          <w:lang w:val="en-US"/>
        </w:rPr>
        <w:t>ssion</w:t>
      </w:r>
      <w:r w:rsidR="002810F0" w:rsidRPr="00785D06">
        <w:rPr>
          <w:sz w:val="20"/>
          <w:szCs w:val="20"/>
          <w:lang w:val="en-US"/>
        </w:rPr>
        <w:t>,</w:t>
      </w:r>
      <w:r w:rsidR="00F25813" w:rsidRPr="00785D06">
        <w:rPr>
          <w:sz w:val="20"/>
          <w:szCs w:val="20"/>
          <w:lang w:val="en-US"/>
        </w:rPr>
        <w:t xml:space="preserve"> on January 9, 2019, </w:t>
      </w:r>
      <w:r w:rsidR="00C254BF" w:rsidRPr="00785D06">
        <w:rPr>
          <w:sz w:val="20"/>
          <w:szCs w:val="20"/>
          <w:lang w:val="en-US"/>
        </w:rPr>
        <w:t xml:space="preserve">Ecuador presented a report on </w:t>
      </w:r>
      <w:r w:rsidR="002810F0" w:rsidRPr="00785D06">
        <w:rPr>
          <w:sz w:val="20"/>
          <w:szCs w:val="20"/>
          <w:lang w:val="en-US"/>
        </w:rPr>
        <w:t xml:space="preserve">its </w:t>
      </w:r>
      <w:r w:rsidR="00C254BF" w:rsidRPr="00785D06">
        <w:rPr>
          <w:sz w:val="20"/>
          <w:szCs w:val="20"/>
          <w:lang w:val="en-US"/>
        </w:rPr>
        <w:t>comp</w:t>
      </w:r>
      <w:r w:rsidR="008B0476" w:rsidRPr="00785D06">
        <w:rPr>
          <w:sz w:val="20"/>
          <w:szCs w:val="20"/>
          <w:lang w:val="en-US"/>
        </w:rPr>
        <w:t>liance with the recommendations;</w:t>
      </w:r>
      <w:r w:rsidR="00C254BF" w:rsidRPr="00785D06">
        <w:rPr>
          <w:sz w:val="20"/>
          <w:szCs w:val="20"/>
          <w:lang w:val="en-US"/>
        </w:rPr>
        <w:t xml:space="preserve"> </w:t>
      </w:r>
      <w:r w:rsidR="008B0476" w:rsidRPr="00785D06">
        <w:rPr>
          <w:sz w:val="20"/>
          <w:szCs w:val="20"/>
          <w:lang w:val="en-US"/>
        </w:rPr>
        <w:t xml:space="preserve">however, </w:t>
      </w:r>
      <w:r w:rsidR="008E7386" w:rsidRPr="00785D06">
        <w:rPr>
          <w:sz w:val="20"/>
          <w:szCs w:val="20"/>
          <w:lang w:val="en-US"/>
        </w:rPr>
        <w:t>with the “corresponding withdrawal of the preliminary objections [in this] regard,” it did not request</w:t>
      </w:r>
      <w:r w:rsidR="006A45DE" w:rsidRPr="00785D06">
        <w:rPr>
          <w:sz w:val="20"/>
          <w:szCs w:val="20"/>
          <w:lang w:val="en-US"/>
        </w:rPr>
        <w:t xml:space="preserve"> </w:t>
      </w:r>
      <w:r w:rsidR="00C254BF" w:rsidRPr="00785D06">
        <w:rPr>
          <w:sz w:val="20"/>
          <w:szCs w:val="20"/>
          <w:lang w:val="en-US"/>
        </w:rPr>
        <w:t>the suspension of the period contemplated in Article 51(1) of the Convention for the submission of the case before the Court.</w:t>
      </w:r>
    </w:p>
    <w:p w14:paraId="494461BB" w14:textId="77777777" w:rsidR="00C254BF" w:rsidRPr="00785D06" w:rsidRDefault="00C254BF" w:rsidP="00C254BF">
      <w:pPr>
        <w:pStyle w:val="Prrafodelista"/>
        <w:ind w:left="0"/>
        <w:contextualSpacing w:val="0"/>
        <w:jc w:val="both"/>
        <w:rPr>
          <w:i/>
          <w:sz w:val="20"/>
          <w:szCs w:val="20"/>
          <w:lang w:val="en-US"/>
        </w:rPr>
      </w:pPr>
      <w:r w:rsidRPr="00785D06">
        <w:rPr>
          <w:sz w:val="20"/>
          <w:szCs w:val="20"/>
          <w:lang w:val="en-US"/>
        </w:rPr>
        <w:t xml:space="preserve"> </w:t>
      </w:r>
    </w:p>
    <w:p w14:paraId="5F661E92" w14:textId="77777777" w:rsidR="00C254BF" w:rsidRPr="00785D06" w:rsidRDefault="00C254BF" w:rsidP="00C254BF">
      <w:pPr>
        <w:pStyle w:val="Prrafodelista"/>
        <w:numPr>
          <w:ilvl w:val="0"/>
          <w:numId w:val="2"/>
        </w:numPr>
        <w:ind w:left="0" w:firstLine="0"/>
        <w:contextualSpacing w:val="0"/>
        <w:jc w:val="both"/>
        <w:rPr>
          <w:sz w:val="20"/>
          <w:szCs w:val="20"/>
          <w:lang w:val="en-US"/>
        </w:rPr>
      </w:pPr>
      <w:r w:rsidRPr="00785D06">
        <w:rPr>
          <w:i/>
          <w:sz w:val="20"/>
          <w:szCs w:val="20"/>
          <w:lang w:val="en-US"/>
        </w:rPr>
        <w:t xml:space="preserve">Submission to the Court. </w:t>
      </w:r>
      <w:r w:rsidRPr="00785D06">
        <w:rPr>
          <w:sz w:val="20"/>
          <w:szCs w:val="20"/>
          <w:lang w:val="en-US"/>
        </w:rPr>
        <w:t>On February 7, 2</w:t>
      </w:r>
      <w:r w:rsidR="00F25813" w:rsidRPr="00785D06">
        <w:rPr>
          <w:sz w:val="20"/>
          <w:szCs w:val="20"/>
          <w:lang w:val="en-US"/>
        </w:rPr>
        <w:t>019</w:t>
      </w:r>
      <w:r w:rsidR="00B409F1" w:rsidRPr="00785D06">
        <w:rPr>
          <w:sz w:val="20"/>
          <w:szCs w:val="20"/>
          <w:lang w:val="en-US"/>
        </w:rPr>
        <w:t>,</w:t>
      </w:r>
      <w:r w:rsidR="0003793F" w:rsidRPr="00785D06">
        <w:rPr>
          <w:sz w:val="20"/>
          <w:szCs w:val="20"/>
          <w:lang w:val="en-US"/>
        </w:rPr>
        <w:t xml:space="preserve"> the Commission submitted the</w:t>
      </w:r>
      <w:r w:rsidRPr="00785D06">
        <w:rPr>
          <w:sz w:val="20"/>
          <w:szCs w:val="20"/>
          <w:lang w:val="en-US"/>
        </w:rPr>
        <w:t xml:space="preserve"> case to the Court </w:t>
      </w:r>
      <w:r w:rsidR="00F25813" w:rsidRPr="00785D06">
        <w:rPr>
          <w:sz w:val="20"/>
          <w:szCs w:val="20"/>
          <w:lang w:val="en-US"/>
        </w:rPr>
        <w:t xml:space="preserve">given </w:t>
      </w:r>
      <w:r w:rsidRPr="00785D06">
        <w:rPr>
          <w:sz w:val="20"/>
          <w:szCs w:val="20"/>
          <w:lang w:val="en-US"/>
        </w:rPr>
        <w:t>“the need to obtain justice and reparation</w:t>
      </w:r>
      <w:r w:rsidR="00F25813" w:rsidRPr="00785D06">
        <w:rPr>
          <w:sz w:val="20"/>
          <w:szCs w:val="20"/>
          <w:lang w:val="en-US"/>
        </w:rPr>
        <w:t>” for the victims</w:t>
      </w:r>
      <w:r w:rsidR="00F63DBE" w:rsidRPr="00785D06">
        <w:rPr>
          <w:sz w:val="20"/>
          <w:szCs w:val="20"/>
          <w:lang w:val="en-US"/>
        </w:rPr>
        <w:t>.</w:t>
      </w:r>
      <w:r w:rsidRPr="00785D06">
        <w:rPr>
          <w:sz w:val="20"/>
          <w:szCs w:val="20"/>
          <w:lang w:val="en-US"/>
        </w:rPr>
        <w:t xml:space="preserve"> </w:t>
      </w:r>
    </w:p>
    <w:p w14:paraId="6BAFA67F" w14:textId="77777777" w:rsidR="00C254BF" w:rsidRPr="00785D06" w:rsidRDefault="00C254BF" w:rsidP="00C254BF">
      <w:pPr>
        <w:pStyle w:val="Prrafodelista"/>
        <w:ind w:left="0"/>
        <w:contextualSpacing w:val="0"/>
        <w:jc w:val="both"/>
        <w:rPr>
          <w:i/>
          <w:sz w:val="20"/>
          <w:szCs w:val="20"/>
          <w:lang w:val="en-US"/>
        </w:rPr>
      </w:pPr>
    </w:p>
    <w:p w14:paraId="4C933FB6" w14:textId="77777777" w:rsidR="00C254BF" w:rsidRPr="00785D06" w:rsidRDefault="00C254BF" w:rsidP="00C254BF">
      <w:pPr>
        <w:pStyle w:val="Prrafodelista"/>
        <w:numPr>
          <w:ilvl w:val="0"/>
          <w:numId w:val="2"/>
        </w:numPr>
        <w:ind w:left="0" w:firstLine="0"/>
        <w:contextualSpacing w:val="0"/>
        <w:jc w:val="both"/>
        <w:rPr>
          <w:b/>
          <w:sz w:val="20"/>
          <w:szCs w:val="20"/>
          <w:lang w:val="en-US"/>
        </w:rPr>
      </w:pPr>
      <w:r w:rsidRPr="00785D06">
        <w:rPr>
          <w:i/>
          <w:sz w:val="20"/>
          <w:szCs w:val="20"/>
          <w:lang w:val="en-US"/>
        </w:rPr>
        <w:t>Requests of the Commission</w:t>
      </w:r>
      <w:r w:rsidR="00B409F1" w:rsidRPr="00785D06">
        <w:rPr>
          <w:i/>
          <w:sz w:val="20"/>
          <w:szCs w:val="20"/>
          <w:lang w:val="en-US"/>
        </w:rPr>
        <w:t xml:space="preserve">. </w:t>
      </w:r>
      <w:r w:rsidRPr="00785D06">
        <w:rPr>
          <w:sz w:val="20"/>
          <w:szCs w:val="20"/>
          <w:lang w:val="en-US"/>
        </w:rPr>
        <w:t>Based on the foregoing, the Inter-American Commission asked the Court t</w:t>
      </w:r>
      <w:r w:rsidR="00B409F1" w:rsidRPr="00785D06">
        <w:rPr>
          <w:sz w:val="20"/>
          <w:szCs w:val="20"/>
          <w:lang w:val="en-US"/>
        </w:rPr>
        <w:t xml:space="preserve">o find </w:t>
      </w:r>
      <w:r w:rsidRPr="00785D06">
        <w:rPr>
          <w:sz w:val="20"/>
          <w:szCs w:val="20"/>
          <w:lang w:val="en-US"/>
        </w:rPr>
        <w:t>and declare the international responsibility of the State for the violations contain</w:t>
      </w:r>
      <w:r w:rsidR="00B409F1" w:rsidRPr="00785D06">
        <w:rPr>
          <w:sz w:val="20"/>
          <w:szCs w:val="20"/>
          <w:lang w:val="en-US"/>
        </w:rPr>
        <w:t>ed in the Merits Report</w:t>
      </w:r>
      <w:r w:rsidRPr="00785D06">
        <w:rPr>
          <w:sz w:val="20"/>
          <w:szCs w:val="20"/>
          <w:lang w:val="en-US"/>
        </w:rPr>
        <w:t xml:space="preserve"> and </w:t>
      </w:r>
      <w:r w:rsidR="00B409F1" w:rsidRPr="00785D06">
        <w:rPr>
          <w:sz w:val="20"/>
          <w:szCs w:val="20"/>
          <w:lang w:val="en-US"/>
        </w:rPr>
        <w:t>to require the State, a</w:t>
      </w:r>
      <w:r w:rsidRPr="00785D06">
        <w:rPr>
          <w:sz w:val="20"/>
          <w:szCs w:val="20"/>
          <w:lang w:val="en-US"/>
        </w:rPr>
        <w:t>s measures of reparation, t</w:t>
      </w:r>
      <w:r w:rsidR="00B409F1" w:rsidRPr="00785D06">
        <w:rPr>
          <w:sz w:val="20"/>
          <w:szCs w:val="20"/>
          <w:lang w:val="en-US"/>
        </w:rPr>
        <w:t xml:space="preserve">o implement the </w:t>
      </w:r>
      <w:r w:rsidRPr="00785D06">
        <w:rPr>
          <w:sz w:val="20"/>
          <w:szCs w:val="20"/>
          <w:lang w:val="en-US"/>
        </w:rPr>
        <w:t xml:space="preserve">recommendations included therein. This Court notes, with concern, that </w:t>
      </w:r>
      <w:r w:rsidR="00B409F1" w:rsidRPr="00785D06">
        <w:rPr>
          <w:sz w:val="20"/>
          <w:szCs w:val="20"/>
          <w:lang w:val="en-US"/>
        </w:rPr>
        <w:t xml:space="preserve">more than twelve years have elapsed </w:t>
      </w:r>
      <w:r w:rsidR="003B282A" w:rsidRPr="00785D06">
        <w:rPr>
          <w:sz w:val="20"/>
          <w:szCs w:val="20"/>
          <w:lang w:val="en-US"/>
        </w:rPr>
        <w:t xml:space="preserve">between </w:t>
      </w:r>
      <w:r w:rsidRPr="00785D06">
        <w:rPr>
          <w:sz w:val="20"/>
          <w:szCs w:val="20"/>
          <w:lang w:val="en-US"/>
        </w:rPr>
        <w:t xml:space="preserve">the </w:t>
      </w:r>
      <w:r w:rsidR="003B282A" w:rsidRPr="00785D06">
        <w:rPr>
          <w:sz w:val="20"/>
          <w:szCs w:val="20"/>
          <w:lang w:val="en-US"/>
        </w:rPr>
        <w:t xml:space="preserve">presentation of the </w:t>
      </w:r>
      <w:r w:rsidRPr="00785D06">
        <w:rPr>
          <w:sz w:val="20"/>
          <w:szCs w:val="20"/>
          <w:lang w:val="en-US"/>
        </w:rPr>
        <w:t xml:space="preserve">initial application </w:t>
      </w:r>
      <w:r w:rsidR="003B282A" w:rsidRPr="00785D06">
        <w:rPr>
          <w:sz w:val="20"/>
          <w:szCs w:val="20"/>
          <w:lang w:val="en-US"/>
        </w:rPr>
        <w:t xml:space="preserve">to </w:t>
      </w:r>
      <w:r w:rsidRPr="00785D06">
        <w:rPr>
          <w:sz w:val="20"/>
          <w:szCs w:val="20"/>
          <w:lang w:val="en-US"/>
        </w:rPr>
        <w:t xml:space="preserve">the Commission and </w:t>
      </w:r>
      <w:r w:rsidR="003B282A" w:rsidRPr="00785D06">
        <w:rPr>
          <w:sz w:val="20"/>
          <w:szCs w:val="20"/>
          <w:lang w:val="en-US"/>
        </w:rPr>
        <w:t xml:space="preserve">the submission of this case to </w:t>
      </w:r>
      <w:r w:rsidRPr="00785D06">
        <w:rPr>
          <w:sz w:val="20"/>
          <w:szCs w:val="20"/>
          <w:lang w:val="en-US"/>
        </w:rPr>
        <w:t xml:space="preserve">the Court. </w:t>
      </w:r>
    </w:p>
    <w:p w14:paraId="48000069" w14:textId="77777777" w:rsidR="00C254BF" w:rsidRPr="00785D06" w:rsidRDefault="00C254BF" w:rsidP="00C254BF">
      <w:pPr>
        <w:pStyle w:val="Prrafodelista"/>
        <w:ind w:left="0"/>
        <w:contextualSpacing w:val="0"/>
        <w:jc w:val="center"/>
        <w:outlineLvl w:val="0"/>
        <w:rPr>
          <w:b/>
          <w:sz w:val="20"/>
          <w:szCs w:val="20"/>
          <w:lang w:val="en-US"/>
        </w:rPr>
      </w:pPr>
      <w:bookmarkStart w:id="43" w:name="_Toc42498021"/>
    </w:p>
    <w:p w14:paraId="431C8713" w14:textId="77777777" w:rsidR="00C254BF" w:rsidRPr="00785D06" w:rsidRDefault="00C254BF" w:rsidP="00C254BF">
      <w:pPr>
        <w:pStyle w:val="Prrafodelista"/>
        <w:ind w:left="0"/>
        <w:contextualSpacing w:val="0"/>
        <w:jc w:val="center"/>
        <w:outlineLvl w:val="0"/>
        <w:rPr>
          <w:b/>
          <w:sz w:val="20"/>
          <w:szCs w:val="20"/>
          <w:lang w:val="en-US"/>
        </w:rPr>
      </w:pPr>
      <w:bookmarkStart w:id="44" w:name="_Toc46937269"/>
      <w:r w:rsidRPr="00785D06">
        <w:rPr>
          <w:b/>
          <w:sz w:val="20"/>
          <w:szCs w:val="20"/>
          <w:lang w:val="en-US"/>
        </w:rPr>
        <w:t>II</w:t>
      </w:r>
      <w:bookmarkEnd w:id="43"/>
      <w:bookmarkEnd w:id="44"/>
      <w:r w:rsidRPr="00785D06">
        <w:rPr>
          <w:b/>
          <w:sz w:val="20"/>
          <w:szCs w:val="20"/>
          <w:lang w:val="en-US"/>
        </w:rPr>
        <w:t xml:space="preserve"> </w:t>
      </w:r>
    </w:p>
    <w:p w14:paraId="3876AFF5" w14:textId="77777777" w:rsidR="00C254BF" w:rsidRPr="00785D06" w:rsidRDefault="00C254BF" w:rsidP="00C254BF">
      <w:pPr>
        <w:pStyle w:val="Prrafodelista"/>
        <w:ind w:left="0"/>
        <w:contextualSpacing w:val="0"/>
        <w:jc w:val="center"/>
        <w:outlineLvl w:val="0"/>
        <w:rPr>
          <w:b/>
          <w:sz w:val="20"/>
          <w:szCs w:val="20"/>
          <w:lang w:val="en-US"/>
        </w:rPr>
      </w:pPr>
      <w:bookmarkStart w:id="45" w:name="_Toc42498022"/>
      <w:bookmarkStart w:id="46" w:name="_Toc46937270"/>
      <w:r w:rsidRPr="00785D06">
        <w:rPr>
          <w:b/>
          <w:sz w:val="20"/>
          <w:szCs w:val="20"/>
          <w:lang w:val="en-US"/>
        </w:rPr>
        <w:t>PROCEEDINGS BEFORE THE COURT</w:t>
      </w:r>
      <w:bookmarkEnd w:id="45"/>
      <w:bookmarkEnd w:id="46"/>
    </w:p>
    <w:p w14:paraId="3C490B7E" w14:textId="77777777" w:rsidR="00C254BF" w:rsidRPr="00785D06" w:rsidRDefault="00C254BF" w:rsidP="00C254BF">
      <w:pPr>
        <w:pStyle w:val="Prrafodelista"/>
        <w:ind w:left="0"/>
        <w:contextualSpacing w:val="0"/>
        <w:jc w:val="center"/>
        <w:outlineLvl w:val="0"/>
        <w:rPr>
          <w:b/>
          <w:sz w:val="20"/>
          <w:szCs w:val="20"/>
          <w:lang w:val="en-US"/>
        </w:rPr>
      </w:pPr>
    </w:p>
    <w:p w14:paraId="594AB12C" w14:textId="77777777" w:rsidR="00C254BF" w:rsidRPr="00785D06" w:rsidRDefault="00C254BF" w:rsidP="00C254BF">
      <w:pPr>
        <w:pStyle w:val="Prrafodelista"/>
        <w:numPr>
          <w:ilvl w:val="0"/>
          <w:numId w:val="2"/>
        </w:numPr>
        <w:ind w:left="0" w:firstLine="0"/>
        <w:contextualSpacing w:val="0"/>
        <w:jc w:val="both"/>
        <w:rPr>
          <w:sz w:val="20"/>
          <w:szCs w:val="20"/>
          <w:lang w:val="en-US"/>
        </w:rPr>
      </w:pPr>
      <w:r w:rsidRPr="00785D06">
        <w:rPr>
          <w:i/>
          <w:sz w:val="20"/>
          <w:szCs w:val="20"/>
          <w:lang w:val="en-US"/>
        </w:rPr>
        <w:t>Notification to the State and the representatives</w:t>
      </w:r>
      <w:r w:rsidR="00F25813" w:rsidRPr="00785D06">
        <w:rPr>
          <w:sz w:val="20"/>
          <w:szCs w:val="20"/>
          <w:lang w:val="en-US"/>
        </w:rPr>
        <w:t xml:space="preserve">. </w:t>
      </w:r>
      <w:r w:rsidRPr="00785D06">
        <w:rPr>
          <w:sz w:val="20"/>
          <w:szCs w:val="20"/>
          <w:lang w:val="en-US"/>
        </w:rPr>
        <w:t xml:space="preserve">The </w:t>
      </w:r>
      <w:r w:rsidR="00B409F1" w:rsidRPr="00785D06">
        <w:rPr>
          <w:sz w:val="20"/>
          <w:szCs w:val="20"/>
          <w:lang w:val="en-US"/>
        </w:rPr>
        <w:t xml:space="preserve">submission of the </w:t>
      </w:r>
      <w:r w:rsidRPr="00785D06">
        <w:rPr>
          <w:sz w:val="20"/>
          <w:szCs w:val="20"/>
          <w:lang w:val="en-US"/>
        </w:rPr>
        <w:t>case was notified to the parties on March 19, 2019</w:t>
      </w:r>
      <w:r w:rsidR="00F25813" w:rsidRPr="00785D06">
        <w:rPr>
          <w:sz w:val="20"/>
          <w:szCs w:val="20"/>
          <w:lang w:val="en-US"/>
        </w:rPr>
        <w:t>.</w:t>
      </w:r>
      <w:r w:rsidRPr="00785D06">
        <w:rPr>
          <w:rStyle w:val="Refdenotaalpie"/>
          <w:sz w:val="20"/>
          <w:szCs w:val="20"/>
          <w:lang w:val="en-US"/>
        </w:rPr>
        <w:footnoteReference w:id="4"/>
      </w:r>
    </w:p>
    <w:p w14:paraId="217BBB01" w14:textId="77777777" w:rsidR="00C254BF" w:rsidRPr="00785D06" w:rsidRDefault="00C254BF" w:rsidP="00C254BF">
      <w:pPr>
        <w:pStyle w:val="Prrafodelista"/>
        <w:ind w:left="0"/>
        <w:contextualSpacing w:val="0"/>
        <w:jc w:val="both"/>
        <w:rPr>
          <w:sz w:val="20"/>
          <w:szCs w:val="20"/>
          <w:lang w:val="en-US"/>
        </w:rPr>
      </w:pPr>
    </w:p>
    <w:p w14:paraId="22C1DCEC" w14:textId="77777777" w:rsidR="00C254BF" w:rsidRPr="00785D06" w:rsidRDefault="00C254BF" w:rsidP="00C254BF">
      <w:pPr>
        <w:pStyle w:val="Prrafodelista"/>
        <w:numPr>
          <w:ilvl w:val="0"/>
          <w:numId w:val="2"/>
        </w:numPr>
        <w:ind w:left="0" w:firstLine="0"/>
        <w:contextualSpacing w:val="0"/>
        <w:jc w:val="both"/>
        <w:rPr>
          <w:sz w:val="20"/>
          <w:szCs w:val="20"/>
          <w:lang w:val="en-US"/>
        </w:rPr>
      </w:pPr>
      <w:r w:rsidRPr="00785D06">
        <w:rPr>
          <w:i/>
          <w:sz w:val="20"/>
          <w:szCs w:val="20"/>
          <w:lang w:val="en-US"/>
        </w:rPr>
        <w:t xml:space="preserve">Brief </w:t>
      </w:r>
      <w:r w:rsidR="00B409F1" w:rsidRPr="00785D06">
        <w:rPr>
          <w:i/>
          <w:sz w:val="20"/>
          <w:szCs w:val="20"/>
          <w:lang w:val="en-US"/>
        </w:rPr>
        <w:t xml:space="preserve">with </w:t>
      </w:r>
      <w:r w:rsidRPr="00785D06">
        <w:rPr>
          <w:i/>
          <w:sz w:val="20"/>
          <w:szCs w:val="20"/>
          <w:lang w:val="en-US"/>
        </w:rPr>
        <w:t>ple</w:t>
      </w:r>
      <w:r w:rsidR="00B409F1" w:rsidRPr="00785D06">
        <w:rPr>
          <w:i/>
          <w:sz w:val="20"/>
          <w:szCs w:val="20"/>
          <w:lang w:val="en-US"/>
        </w:rPr>
        <w:t xml:space="preserve">adings, motions and evidence. </w:t>
      </w:r>
      <w:r w:rsidRPr="00785D06">
        <w:rPr>
          <w:sz w:val="20"/>
          <w:szCs w:val="20"/>
          <w:lang w:val="en-US"/>
        </w:rPr>
        <w:t>On May 21, 2019</w:t>
      </w:r>
      <w:r w:rsidR="00B409F1" w:rsidRPr="00785D06">
        <w:rPr>
          <w:sz w:val="20"/>
          <w:szCs w:val="20"/>
          <w:lang w:val="en-US"/>
        </w:rPr>
        <w:t>,</w:t>
      </w:r>
      <w:r w:rsidRPr="00785D06">
        <w:rPr>
          <w:sz w:val="20"/>
          <w:szCs w:val="20"/>
          <w:lang w:val="en-US"/>
        </w:rPr>
        <w:t xml:space="preserve"> the representatives </w:t>
      </w:r>
      <w:r w:rsidR="00404099" w:rsidRPr="00785D06">
        <w:rPr>
          <w:sz w:val="20"/>
          <w:szCs w:val="20"/>
          <w:lang w:val="en-US"/>
        </w:rPr>
        <w:t>submitted their brief with</w:t>
      </w:r>
      <w:r w:rsidRPr="00785D06">
        <w:rPr>
          <w:sz w:val="20"/>
          <w:szCs w:val="20"/>
          <w:lang w:val="en-US"/>
        </w:rPr>
        <w:t xml:space="preserve"> pleadings, motions and evidence (hereinafter “pleadings and motions brief”). They alleged violations of the same provisions </w:t>
      </w:r>
      <w:r w:rsidR="00DC4338" w:rsidRPr="00785D06">
        <w:rPr>
          <w:sz w:val="20"/>
          <w:szCs w:val="20"/>
          <w:lang w:val="en-US"/>
        </w:rPr>
        <w:t xml:space="preserve">as </w:t>
      </w:r>
      <w:r w:rsidRPr="00785D06">
        <w:rPr>
          <w:sz w:val="20"/>
          <w:szCs w:val="20"/>
          <w:lang w:val="en-US"/>
        </w:rPr>
        <w:t>the Commission (</w:t>
      </w:r>
      <w:r w:rsidRPr="00785D06">
        <w:rPr>
          <w:i/>
          <w:sz w:val="20"/>
          <w:szCs w:val="20"/>
          <w:lang w:val="en-US"/>
        </w:rPr>
        <w:t xml:space="preserve">supra </w:t>
      </w:r>
      <w:r w:rsidR="003B282A" w:rsidRPr="00785D06">
        <w:rPr>
          <w:sz w:val="20"/>
          <w:szCs w:val="20"/>
          <w:lang w:val="en-US"/>
        </w:rPr>
        <w:t xml:space="preserve">footnote </w:t>
      </w:r>
      <w:r w:rsidRPr="00785D06">
        <w:rPr>
          <w:sz w:val="20"/>
          <w:szCs w:val="20"/>
          <w:lang w:val="en-US"/>
        </w:rPr>
        <w:t>2), with the exception of Article 24 of the American Convention. The representatives also held that the State w</w:t>
      </w:r>
      <w:r w:rsidR="00DC4338" w:rsidRPr="00785D06">
        <w:rPr>
          <w:sz w:val="20"/>
          <w:szCs w:val="20"/>
          <w:lang w:val="en-US"/>
        </w:rPr>
        <w:t xml:space="preserve">as </w:t>
      </w:r>
      <w:r w:rsidRPr="00785D06">
        <w:rPr>
          <w:sz w:val="20"/>
          <w:szCs w:val="20"/>
          <w:lang w:val="en-US"/>
        </w:rPr>
        <w:t xml:space="preserve">responsible for acts of torture and for the violation of the rights to personal liberty and freedom of thought and expression, in violation of, respectively, Articles 5(2), 7 and 13(1) of the American Convention. They </w:t>
      </w:r>
      <w:r w:rsidR="00DC4338" w:rsidRPr="00785D06">
        <w:rPr>
          <w:sz w:val="20"/>
          <w:szCs w:val="20"/>
          <w:lang w:val="en-US"/>
        </w:rPr>
        <w:t xml:space="preserve">further </w:t>
      </w:r>
      <w:r w:rsidRPr="00785D06">
        <w:rPr>
          <w:sz w:val="20"/>
          <w:szCs w:val="20"/>
          <w:lang w:val="en-US"/>
        </w:rPr>
        <w:t>alleged that Ecuador violated Articles 1 and 8 of the Inter-American Convention to Prevent and Punish Torture.</w:t>
      </w:r>
    </w:p>
    <w:p w14:paraId="02450F1F" w14:textId="77777777" w:rsidR="00C254BF" w:rsidRPr="00785D06" w:rsidRDefault="00C254BF" w:rsidP="00C254BF">
      <w:pPr>
        <w:pStyle w:val="Prrafodelista"/>
        <w:ind w:left="0"/>
        <w:contextualSpacing w:val="0"/>
        <w:jc w:val="both"/>
        <w:rPr>
          <w:sz w:val="20"/>
          <w:szCs w:val="20"/>
          <w:lang w:val="en-US"/>
        </w:rPr>
      </w:pPr>
    </w:p>
    <w:p w14:paraId="2E61D362" w14:textId="77777777" w:rsidR="00C254BF" w:rsidRPr="00785D06" w:rsidRDefault="00C254BF" w:rsidP="00C254BF">
      <w:pPr>
        <w:pStyle w:val="Prrafodelista"/>
        <w:numPr>
          <w:ilvl w:val="0"/>
          <w:numId w:val="2"/>
        </w:numPr>
        <w:ind w:left="0" w:firstLine="0"/>
        <w:contextualSpacing w:val="0"/>
        <w:jc w:val="both"/>
        <w:rPr>
          <w:sz w:val="20"/>
          <w:szCs w:val="20"/>
          <w:lang w:val="en-US"/>
        </w:rPr>
      </w:pPr>
      <w:r w:rsidRPr="00785D06">
        <w:rPr>
          <w:i/>
          <w:sz w:val="20"/>
          <w:szCs w:val="20"/>
          <w:lang w:val="en-US"/>
        </w:rPr>
        <w:t>Answering brief.</w:t>
      </w:r>
      <w:r w:rsidRPr="00785D06">
        <w:rPr>
          <w:sz w:val="20"/>
          <w:szCs w:val="20"/>
          <w:lang w:val="en-US"/>
        </w:rPr>
        <w:t xml:space="preserve"> On September 9, 2019, the State </w:t>
      </w:r>
      <w:r w:rsidR="00DC4338" w:rsidRPr="00785D06">
        <w:rPr>
          <w:sz w:val="20"/>
          <w:szCs w:val="20"/>
          <w:lang w:val="en-US"/>
        </w:rPr>
        <w:t xml:space="preserve">submitted to the Court </w:t>
      </w:r>
      <w:r w:rsidRPr="00785D06">
        <w:rPr>
          <w:sz w:val="20"/>
          <w:szCs w:val="20"/>
          <w:lang w:val="en-US"/>
        </w:rPr>
        <w:t xml:space="preserve">its brief </w:t>
      </w:r>
      <w:r w:rsidR="003D7435" w:rsidRPr="00785D06">
        <w:rPr>
          <w:sz w:val="20"/>
          <w:szCs w:val="20"/>
          <w:lang w:val="en-US"/>
        </w:rPr>
        <w:t xml:space="preserve">containing </w:t>
      </w:r>
      <w:r w:rsidR="00DC4338" w:rsidRPr="00785D06">
        <w:rPr>
          <w:sz w:val="20"/>
          <w:szCs w:val="20"/>
          <w:lang w:val="en-US"/>
        </w:rPr>
        <w:t xml:space="preserve">a </w:t>
      </w:r>
      <w:r w:rsidRPr="00785D06">
        <w:rPr>
          <w:sz w:val="20"/>
          <w:szCs w:val="20"/>
          <w:lang w:val="en-US"/>
        </w:rPr>
        <w:t xml:space="preserve">preliminary objection and </w:t>
      </w:r>
      <w:r w:rsidR="00DC4338" w:rsidRPr="00785D06">
        <w:rPr>
          <w:sz w:val="20"/>
          <w:szCs w:val="20"/>
          <w:lang w:val="en-US"/>
        </w:rPr>
        <w:t xml:space="preserve">its </w:t>
      </w:r>
      <w:r w:rsidRPr="00785D06">
        <w:rPr>
          <w:sz w:val="20"/>
          <w:szCs w:val="20"/>
          <w:lang w:val="en-US"/>
        </w:rPr>
        <w:t xml:space="preserve">answer to the submission of the case by the Commission, </w:t>
      </w:r>
      <w:r w:rsidR="00DC4338" w:rsidRPr="00785D06">
        <w:rPr>
          <w:sz w:val="20"/>
          <w:szCs w:val="20"/>
          <w:lang w:val="en-US"/>
        </w:rPr>
        <w:t xml:space="preserve">together with </w:t>
      </w:r>
      <w:r w:rsidRPr="00785D06">
        <w:rPr>
          <w:sz w:val="20"/>
          <w:szCs w:val="20"/>
          <w:lang w:val="en-US"/>
        </w:rPr>
        <w:t>observations to the pleadings and motions brief (hereina</w:t>
      </w:r>
      <w:r w:rsidR="00DC4338" w:rsidRPr="00785D06">
        <w:rPr>
          <w:sz w:val="20"/>
          <w:szCs w:val="20"/>
          <w:lang w:val="en-US"/>
        </w:rPr>
        <w:t>fter “answering brief”). In this</w:t>
      </w:r>
      <w:r w:rsidR="009C4EE1" w:rsidRPr="00785D06">
        <w:rPr>
          <w:sz w:val="20"/>
          <w:szCs w:val="20"/>
          <w:lang w:val="en-US"/>
        </w:rPr>
        <w:t xml:space="preserve"> brief the State</w:t>
      </w:r>
      <w:r w:rsidRPr="00785D06">
        <w:rPr>
          <w:sz w:val="20"/>
          <w:szCs w:val="20"/>
          <w:lang w:val="en-US"/>
        </w:rPr>
        <w:t xml:space="preserve"> </w:t>
      </w:r>
      <w:r w:rsidR="00DC4338" w:rsidRPr="00785D06">
        <w:rPr>
          <w:sz w:val="20"/>
          <w:szCs w:val="20"/>
          <w:lang w:val="en-US"/>
        </w:rPr>
        <w:t xml:space="preserve">included </w:t>
      </w:r>
      <w:r w:rsidRPr="00785D06">
        <w:rPr>
          <w:sz w:val="20"/>
          <w:szCs w:val="20"/>
          <w:lang w:val="en-US"/>
        </w:rPr>
        <w:t xml:space="preserve">an argument </w:t>
      </w:r>
      <w:r w:rsidR="003A2FD2" w:rsidRPr="00785D06">
        <w:rPr>
          <w:sz w:val="20"/>
          <w:szCs w:val="20"/>
          <w:lang w:val="en-US"/>
        </w:rPr>
        <w:t xml:space="preserve">described as a </w:t>
      </w:r>
      <w:r w:rsidRPr="00785D06">
        <w:rPr>
          <w:sz w:val="20"/>
          <w:szCs w:val="20"/>
          <w:lang w:val="en-US"/>
        </w:rPr>
        <w:t>“preliminary objection” (</w:t>
      </w:r>
      <w:r w:rsidRPr="00785D06">
        <w:rPr>
          <w:i/>
          <w:sz w:val="20"/>
          <w:szCs w:val="20"/>
          <w:lang w:val="en-US"/>
        </w:rPr>
        <w:t xml:space="preserve">infra </w:t>
      </w:r>
      <w:r w:rsidRPr="00785D06">
        <w:rPr>
          <w:sz w:val="20"/>
          <w:szCs w:val="20"/>
          <w:lang w:val="en-US"/>
        </w:rPr>
        <w:t>para. 28)</w:t>
      </w:r>
      <w:r w:rsidR="00DC4338" w:rsidRPr="00785D06">
        <w:rPr>
          <w:sz w:val="20"/>
          <w:szCs w:val="20"/>
          <w:lang w:val="en-US"/>
        </w:rPr>
        <w:t>,</w:t>
      </w:r>
      <w:r w:rsidRPr="00785D06">
        <w:rPr>
          <w:sz w:val="20"/>
          <w:szCs w:val="20"/>
          <w:lang w:val="en-US"/>
        </w:rPr>
        <w:t xml:space="preserve"> </w:t>
      </w:r>
      <w:r w:rsidR="00DC4338" w:rsidRPr="00785D06">
        <w:rPr>
          <w:sz w:val="20"/>
          <w:szCs w:val="20"/>
          <w:lang w:val="en-US"/>
        </w:rPr>
        <w:t xml:space="preserve">denied its </w:t>
      </w:r>
      <w:r w:rsidRPr="00785D06">
        <w:rPr>
          <w:sz w:val="20"/>
          <w:szCs w:val="20"/>
          <w:lang w:val="en-US"/>
        </w:rPr>
        <w:t xml:space="preserve">responsibility and </w:t>
      </w:r>
      <w:r w:rsidR="00DC4338" w:rsidRPr="00785D06">
        <w:rPr>
          <w:sz w:val="20"/>
          <w:szCs w:val="20"/>
          <w:lang w:val="en-US"/>
        </w:rPr>
        <w:t xml:space="preserve">contested </w:t>
      </w:r>
      <w:r w:rsidRPr="00785D06">
        <w:rPr>
          <w:sz w:val="20"/>
          <w:szCs w:val="20"/>
          <w:lang w:val="en-US"/>
        </w:rPr>
        <w:t xml:space="preserve">the </w:t>
      </w:r>
      <w:r w:rsidR="00DC4338" w:rsidRPr="00785D06">
        <w:rPr>
          <w:sz w:val="20"/>
          <w:szCs w:val="20"/>
          <w:lang w:val="en-US"/>
        </w:rPr>
        <w:t xml:space="preserve">appropriateness of </w:t>
      </w:r>
      <w:r w:rsidRPr="00785D06">
        <w:rPr>
          <w:sz w:val="20"/>
          <w:szCs w:val="20"/>
          <w:lang w:val="en-US"/>
        </w:rPr>
        <w:t xml:space="preserve">the reparations. </w:t>
      </w:r>
    </w:p>
    <w:p w14:paraId="79F71624" w14:textId="77777777" w:rsidR="00C254BF" w:rsidRPr="00785D06" w:rsidRDefault="00C254BF" w:rsidP="00C254BF">
      <w:pPr>
        <w:pStyle w:val="Prrafodelista"/>
        <w:ind w:left="0"/>
        <w:contextualSpacing w:val="0"/>
        <w:jc w:val="both"/>
        <w:rPr>
          <w:sz w:val="20"/>
          <w:szCs w:val="20"/>
          <w:lang w:val="en-US"/>
        </w:rPr>
      </w:pPr>
    </w:p>
    <w:p w14:paraId="1719551F" w14:textId="77777777" w:rsidR="00C254BF" w:rsidRPr="00785D06" w:rsidRDefault="00C254BF" w:rsidP="00C254BF">
      <w:pPr>
        <w:pStyle w:val="Prrafodelista"/>
        <w:numPr>
          <w:ilvl w:val="0"/>
          <w:numId w:val="2"/>
        </w:numPr>
        <w:ind w:left="0" w:firstLine="0"/>
        <w:contextualSpacing w:val="0"/>
        <w:jc w:val="both"/>
        <w:rPr>
          <w:i/>
          <w:sz w:val="20"/>
          <w:szCs w:val="20"/>
          <w:lang w:val="en-US"/>
        </w:rPr>
      </w:pPr>
      <w:r w:rsidRPr="00785D06">
        <w:rPr>
          <w:i/>
          <w:sz w:val="20"/>
          <w:szCs w:val="20"/>
          <w:lang w:val="en-US"/>
        </w:rPr>
        <w:t>Observations to the “preliminary objection.”</w:t>
      </w:r>
      <w:r w:rsidRPr="00785D06">
        <w:rPr>
          <w:sz w:val="20"/>
          <w:szCs w:val="20"/>
          <w:lang w:val="en-US"/>
        </w:rPr>
        <w:t xml:space="preserve"> On October 24 and 30, 2019, the Commission and the representatives, respectively, </w:t>
      </w:r>
      <w:r w:rsidR="003D7435" w:rsidRPr="00785D06">
        <w:rPr>
          <w:sz w:val="20"/>
          <w:szCs w:val="20"/>
          <w:lang w:val="en-US"/>
        </w:rPr>
        <w:t xml:space="preserve">submitted their </w:t>
      </w:r>
      <w:r w:rsidRPr="00785D06">
        <w:rPr>
          <w:sz w:val="20"/>
          <w:szCs w:val="20"/>
          <w:lang w:val="en-US"/>
        </w:rPr>
        <w:t xml:space="preserve">observations on </w:t>
      </w:r>
      <w:r w:rsidR="003D7435" w:rsidRPr="00785D06">
        <w:rPr>
          <w:sz w:val="20"/>
          <w:szCs w:val="20"/>
          <w:lang w:val="en-US"/>
        </w:rPr>
        <w:t>Ecuador’s argument, characterized as a “preliminary objection,”</w:t>
      </w:r>
      <w:r w:rsidRPr="00785D06">
        <w:rPr>
          <w:sz w:val="20"/>
          <w:szCs w:val="20"/>
          <w:lang w:val="en-US"/>
        </w:rPr>
        <w:t xml:space="preserve"> request</w:t>
      </w:r>
      <w:r w:rsidR="009C4EE1" w:rsidRPr="00785D06">
        <w:rPr>
          <w:sz w:val="20"/>
          <w:szCs w:val="20"/>
          <w:lang w:val="en-US"/>
        </w:rPr>
        <w:t xml:space="preserve">ing </w:t>
      </w:r>
      <w:r w:rsidRPr="00785D06">
        <w:rPr>
          <w:sz w:val="20"/>
          <w:szCs w:val="20"/>
          <w:lang w:val="en-US"/>
        </w:rPr>
        <w:t xml:space="preserve">that it be dismissed. </w:t>
      </w:r>
    </w:p>
    <w:p w14:paraId="41E34B6C" w14:textId="77777777" w:rsidR="00C254BF" w:rsidRPr="00785D06" w:rsidRDefault="00C254BF" w:rsidP="00C254BF">
      <w:pPr>
        <w:pStyle w:val="Prrafodelista"/>
        <w:rPr>
          <w:i/>
          <w:sz w:val="20"/>
          <w:szCs w:val="20"/>
          <w:lang w:val="en-US"/>
        </w:rPr>
      </w:pPr>
    </w:p>
    <w:p w14:paraId="47D13AD0" w14:textId="77777777" w:rsidR="00C254BF" w:rsidRPr="00785D06" w:rsidRDefault="00C254BF" w:rsidP="00C254BF">
      <w:pPr>
        <w:pStyle w:val="Prrafodelista"/>
        <w:ind w:left="0"/>
        <w:contextualSpacing w:val="0"/>
        <w:jc w:val="both"/>
        <w:rPr>
          <w:i/>
          <w:sz w:val="20"/>
          <w:szCs w:val="20"/>
          <w:lang w:val="en-US"/>
        </w:rPr>
      </w:pPr>
    </w:p>
    <w:p w14:paraId="40CA0977" w14:textId="77777777" w:rsidR="00C254BF" w:rsidRPr="00785D06" w:rsidRDefault="00C254BF" w:rsidP="00C254BF">
      <w:pPr>
        <w:pStyle w:val="Prrafodelista"/>
        <w:numPr>
          <w:ilvl w:val="0"/>
          <w:numId w:val="2"/>
        </w:numPr>
        <w:ind w:left="0" w:firstLine="0"/>
        <w:contextualSpacing w:val="0"/>
        <w:jc w:val="both"/>
        <w:rPr>
          <w:sz w:val="20"/>
          <w:szCs w:val="20"/>
          <w:lang w:val="en-US"/>
        </w:rPr>
      </w:pPr>
      <w:r w:rsidRPr="00785D06">
        <w:rPr>
          <w:i/>
          <w:sz w:val="20"/>
          <w:szCs w:val="20"/>
          <w:lang w:val="en-US"/>
        </w:rPr>
        <w:t>Public hearing</w:t>
      </w:r>
      <w:r w:rsidRPr="00785D06">
        <w:rPr>
          <w:sz w:val="20"/>
          <w:szCs w:val="20"/>
          <w:lang w:val="en-US"/>
        </w:rPr>
        <w:t>. On December 10, 2019</w:t>
      </w:r>
      <w:r w:rsidR="003D7435" w:rsidRPr="00785D06">
        <w:rPr>
          <w:sz w:val="20"/>
          <w:szCs w:val="20"/>
          <w:lang w:val="en-US"/>
        </w:rPr>
        <w:t>,</w:t>
      </w:r>
      <w:r w:rsidRPr="00785D06">
        <w:rPr>
          <w:sz w:val="20"/>
          <w:szCs w:val="20"/>
          <w:lang w:val="en-US"/>
        </w:rPr>
        <w:t xml:space="preserve"> the </w:t>
      </w:r>
      <w:r w:rsidR="003D7435" w:rsidRPr="00785D06">
        <w:rPr>
          <w:sz w:val="20"/>
          <w:szCs w:val="20"/>
          <w:lang w:val="en-US"/>
        </w:rPr>
        <w:t xml:space="preserve">President of the Court </w:t>
      </w:r>
      <w:r w:rsidR="009D7E79" w:rsidRPr="00785D06">
        <w:rPr>
          <w:sz w:val="20"/>
          <w:szCs w:val="20"/>
          <w:lang w:val="en-US"/>
        </w:rPr>
        <w:t>at that</w:t>
      </w:r>
      <w:r w:rsidR="003D7435" w:rsidRPr="00785D06">
        <w:rPr>
          <w:sz w:val="20"/>
          <w:szCs w:val="20"/>
          <w:lang w:val="en-US"/>
        </w:rPr>
        <w:t xml:space="preserve"> time issued an order in which he summoned the </w:t>
      </w:r>
      <w:r w:rsidRPr="00785D06">
        <w:rPr>
          <w:sz w:val="20"/>
          <w:szCs w:val="20"/>
          <w:lang w:val="en-US"/>
        </w:rPr>
        <w:t>Commission and the parties to a public hearing.</w:t>
      </w:r>
      <w:r w:rsidRPr="00785D06">
        <w:rPr>
          <w:rStyle w:val="Refdenotaalpie"/>
          <w:sz w:val="20"/>
          <w:szCs w:val="20"/>
          <w:lang w:val="en-US"/>
        </w:rPr>
        <w:footnoteReference w:id="5"/>
      </w:r>
      <w:r w:rsidRPr="00785D06">
        <w:rPr>
          <w:sz w:val="20"/>
          <w:szCs w:val="20"/>
          <w:lang w:val="en-US"/>
        </w:rPr>
        <w:t xml:space="preserve"> On December 16, 2019</w:t>
      </w:r>
      <w:r w:rsidR="003D7435" w:rsidRPr="00785D06">
        <w:rPr>
          <w:sz w:val="20"/>
          <w:szCs w:val="20"/>
          <w:lang w:val="en-US"/>
        </w:rPr>
        <w:t>,</w:t>
      </w:r>
      <w:r w:rsidRPr="00785D06">
        <w:rPr>
          <w:sz w:val="20"/>
          <w:szCs w:val="20"/>
          <w:lang w:val="en-US"/>
        </w:rPr>
        <w:t xml:space="preserve"> Ecuador asked the Court to revoke and </w:t>
      </w:r>
      <w:r w:rsidR="003D7435" w:rsidRPr="00785D06">
        <w:rPr>
          <w:sz w:val="20"/>
          <w:szCs w:val="20"/>
          <w:lang w:val="en-US"/>
        </w:rPr>
        <w:t xml:space="preserve">amend </w:t>
      </w:r>
      <w:r w:rsidRPr="00785D06">
        <w:rPr>
          <w:sz w:val="20"/>
          <w:szCs w:val="20"/>
          <w:lang w:val="en-US"/>
        </w:rPr>
        <w:t xml:space="preserve">that </w:t>
      </w:r>
      <w:r w:rsidR="003D7435" w:rsidRPr="00785D06">
        <w:rPr>
          <w:sz w:val="20"/>
          <w:szCs w:val="20"/>
          <w:lang w:val="en-US"/>
        </w:rPr>
        <w:t>order</w:t>
      </w:r>
      <w:r w:rsidRPr="00785D06">
        <w:rPr>
          <w:sz w:val="20"/>
          <w:szCs w:val="20"/>
          <w:lang w:val="en-US"/>
        </w:rPr>
        <w:t>. On January 27, 2020</w:t>
      </w:r>
      <w:r w:rsidR="003D7435" w:rsidRPr="00785D06">
        <w:rPr>
          <w:sz w:val="20"/>
          <w:szCs w:val="20"/>
          <w:lang w:val="en-US"/>
        </w:rPr>
        <w:t>,</w:t>
      </w:r>
      <w:r w:rsidRPr="00785D06">
        <w:rPr>
          <w:sz w:val="20"/>
          <w:szCs w:val="20"/>
          <w:lang w:val="en-US"/>
        </w:rPr>
        <w:t xml:space="preserve"> this Court decided to reject the first request by the State, and admit the second.</w:t>
      </w:r>
      <w:r w:rsidRPr="00785D06">
        <w:rPr>
          <w:rStyle w:val="Refdenotaalpie"/>
          <w:sz w:val="20"/>
          <w:szCs w:val="20"/>
          <w:lang w:val="en-US"/>
        </w:rPr>
        <w:footnoteReference w:id="6"/>
      </w:r>
      <w:r w:rsidRPr="00785D06">
        <w:rPr>
          <w:sz w:val="20"/>
          <w:szCs w:val="20"/>
          <w:lang w:val="en-US"/>
        </w:rPr>
        <w:t xml:space="preserve"> The public he</w:t>
      </w:r>
      <w:r w:rsidR="003D7435" w:rsidRPr="00785D06">
        <w:rPr>
          <w:sz w:val="20"/>
          <w:szCs w:val="20"/>
          <w:lang w:val="en-US"/>
        </w:rPr>
        <w:t>aring took place on January 28,</w:t>
      </w:r>
      <w:r w:rsidRPr="00785D06">
        <w:rPr>
          <w:sz w:val="20"/>
          <w:szCs w:val="20"/>
          <w:lang w:val="en-US"/>
        </w:rPr>
        <w:t xml:space="preserve"> 2020</w:t>
      </w:r>
      <w:r w:rsidR="003D7435" w:rsidRPr="00785D06">
        <w:rPr>
          <w:sz w:val="20"/>
          <w:szCs w:val="20"/>
          <w:lang w:val="en-US"/>
        </w:rPr>
        <w:t>,</w:t>
      </w:r>
      <w:r w:rsidRPr="00785D06">
        <w:rPr>
          <w:sz w:val="20"/>
          <w:szCs w:val="20"/>
          <w:lang w:val="en-US"/>
        </w:rPr>
        <w:t xml:space="preserve"> at the seat of the Court in San José, Costa Rica, during the 133</w:t>
      </w:r>
      <w:r w:rsidRPr="00785D06">
        <w:rPr>
          <w:sz w:val="20"/>
          <w:szCs w:val="20"/>
          <w:vertAlign w:val="superscript"/>
          <w:lang w:val="en-US"/>
        </w:rPr>
        <w:t>rd</w:t>
      </w:r>
      <w:r w:rsidRPr="00785D06">
        <w:rPr>
          <w:sz w:val="20"/>
          <w:szCs w:val="20"/>
          <w:lang w:val="en-US"/>
        </w:rPr>
        <w:t xml:space="preserve"> Regular Session.</w:t>
      </w:r>
    </w:p>
    <w:p w14:paraId="21D9F426" w14:textId="77777777" w:rsidR="00C254BF" w:rsidRPr="00785D06" w:rsidRDefault="00C254BF" w:rsidP="00C254BF">
      <w:pPr>
        <w:pStyle w:val="Prrafodelista"/>
        <w:ind w:left="0"/>
        <w:contextualSpacing w:val="0"/>
        <w:jc w:val="both"/>
        <w:rPr>
          <w:sz w:val="20"/>
          <w:szCs w:val="20"/>
          <w:lang w:val="en-US"/>
        </w:rPr>
      </w:pPr>
    </w:p>
    <w:p w14:paraId="41780815" w14:textId="77777777" w:rsidR="00C254BF" w:rsidRPr="00785D06" w:rsidRDefault="00C254BF" w:rsidP="00C254BF">
      <w:pPr>
        <w:pStyle w:val="Prrafodelista"/>
        <w:numPr>
          <w:ilvl w:val="0"/>
          <w:numId w:val="2"/>
        </w:numPr>
        <w:ind w:left="0" w:firstLine="0"/>
        <w:contextualSpacing w:val="0"/>
        <w:jc w:val="both"/>
        <w:rPr>
          <w:sz w:val="20"/>
          <w:szCs w:val="20"/>
          <w:lang w:val="en-US"/>
        </w:rPr>
      </w:pPr>
      <w:r w:rsidRPr="00785D06">
        <w:rPr>
          <w:i/>
          <w:sz w:val="20"/>
          <w:szCs w:val="20"/>
          <w:lang w:val="en-US"/>
        </w:rPr>
        <w:t>Amici Curiae</w:t>
      </w:r>
      <w:r w:rsidR="003D7435" w:rsidRPr="00785D06">
        <w:rPr>
          <w:sz w:val="20"/>
          <w:szCs w:val="20"/>
          <w:lang w:val="en-US"/>
        </w:rPr>
        <w:t xml:space="preserve">. </w:t>
      </w:r>
      <w:r w:rsidRPr="00785D06">
        <w:rPr>
          <w:sz w:val="20"/>
          <w:szCs w:val="20"/>
          <w:lang w:val="en-US"/>
        </w:rPr>
        <w:t xml:space="preserve">The Court received nine </w:t>
      </w:r>
      <w:r w:rsidRPr="00785D06">
        <w:rPr>
          <w:i/>
          <w:sz w:val="20"/>
          <w:szCs w:val="20"/>
          <w:lang w:val="en-US"/>
        </w:rPr>
        <w:t>amicus curiae</w:t>
      </w:r>
      <w:r w:rsidRPr="00785D06">
        <w:rPr>
          <w:sz w:val="20"/>
          <w:szCs w:val="20"/>
          <w:lang w:val="en-US"/>
        </w:rPr>
        <w:t xml:space="preserve"> </w:t>
      </w:r>
      <w:r w:rsidR="003D7435" w:rsidRPr="00785D06">
        <w:rPr>
          <w:sz w:val="20"/>
          <w:szCs w:val="20"/>
          <w:lang w:val="en-US"/>
        </w:rPr>
        <w:t xml:space="preserve">briefs </w:t>
      </w:r>
      <w:r w:rsidR="009D7E79" w:rsidRPr="00785D06">
        <w:rPr>
          <w:sz w:val="20"/>
          <w:szCs w:val="20"/>
          <w:lang w:val="en-US"/>
        </w:rPr>
        <w:t xml:space="preserve">from </w:t>
      </w:r>
      <w:r w:rsidR="00527435" w:rsidRPr="00785D06">
        <w:rPr>
          <w:sz w:val="20"/>
          <w:szCs w:val="20"/>
          <w:lang w:val="en-US"/>
        </w:rPr>
        <w:t>the following organizations: 1) Human R</w:t>
      </w:r>
      <w:r w:rsidRPr="00785D06">
        <w:rPr>
          <w:sz w:val="20"/>
          <w:szCs w:val="20"/>
          <w:lang w:val="en-US"/>
        </w:rPr>
        <w:t xml:space="preserve">ights </w:t>
      </w:r>
      <w:r w:rsidR="00527435" w:rsidRPr="00785D06">
        <w:rPr>
          <w:sz w:val="20"/>
          <w:szCs w:val="20"/>
          <w:lang w:val="en-US"/>
        </w:rPr>
        <w:t xml:space="preserve">Club </w:t>
      </w:r>
      <w:r w:rsidRPr="00785D06">
        <w:rPr>
          <w:sz w:val="20"/>
          <w:szCs w:val="20"/>
          <w:lang w:val="en-US"/>
        </w:rPr>
        <w:t>of the Private Technical University of Loja and the Center for Social Action and Legal Policy</w:t>
      </w:r>
      <w:r w:rsidR="00527435" w:rsidRPr="00785D06">
        <w:rPr>
          <w:sz w:val="20"/>
          <w:szCs w:val="20"/>
          <w:lang w:val="en-US"/>
        </w:rPr>
        <w:t>;</w:t>
      </w:r>
      <w:r w:rsidRPr="00785D06">
        <w:rPr>
          <w:rStyle w:val="Refdenotaalpie"/>
          <w:sz w:val="20"/>
          <w:szCs w:val="20"/>
          <w:lang w:val="en-US"/>
        </w:rPr>
        <w:t xml:space="preserve"> </w:t>
      </w:r>
      <w:r w:rsidRPr="00785D06">
        <w:rPr>
          <w:rStyle w:val="Refdenotaalpie"/>
          <w:sz w:val="20"/>
          <w:szCs w:val="20"/>
          <w:lang w:val="en-US"/>
        </w:rPr>
        <w:footnoteReference w:id="7"/>
      </w:r>
      <w:r w:rsidR="00527435" w:rsidRPr="00785D06">
        <w:rPr>
          <w:sz w:val="20"/>
          <w:szCs w:val="20"/>
          <w:lang w:val="en-US"/>
        </w:rPr>
        <w:t xml:space="preserve"> 2) </w:t>
      </w:r>
      <w:r w:rsidRPr="00785D06">
        <w:rPr>
          <w:sz w:val="20"/>
          <w:szCs w:val="20"/>
          <w:lang w:val="en-US"/>
        </w:rPr>
        <w:t>Latin American Consortium against Unsafe Abortion (CLACAI)</w:t>
      </w:r>
      <w:r w:rsidR="00527435" w:rsidRPr="00785D06">
        <w:rPr>
          <w:sz w:val="20"/>
          <w:szCs w:val="20"/>
          <w:lang w:val="en-US"/>
        </w:rPr>
        <w:t>;</w:t>
      </w:r>
      <w:r w:rsidRPr="00785D06">
        <w:rPr>
          <w:rStyle w:val="Refdenotaalpie"/>
          <w:sz w:val="20"/>
          <w:szCs w:val="20"/>
          <w:lang w:val="en-US"/>
        </w:rPr>
        <w:footnoteReference w:id="8"/>
      </w:r>
      <w:r w:rsidRPr="00785D06">
        <w:rPr>
          <w:sz w:val="20"/>
          <w:szCs w:val="20"/>
          <w:lang w:val="en-US"/>
        </w:rPr>
        <w:t xml:space="preserve"> 3) </w:t>
      </w:r>
      <w:r w:rsidRPr="00785D06">
        <w:rPr>
          <w:i/>
          <w:sz w:val="20"/>
          <w:szCs w:val="20"/>
          <w:lang w:val="en-US"/>
        </w:rPr>
        <w:t>Fundación Desafío</w:t>
      </w:r>
      <w:r w:rsidR="00527435" w:rsidRPr="00785D06">
        <w:rPr>
          <w:i/>
          <w:sz w:val="20"/>
          <w:szCs w:val="20"/>
          <w:lang w:val="en-US"/>
        </w:rPr>
        <w:t>;</w:t>
      </w:r>
      <w:r w:rsidRPr="00785D06">
        <w:rPr>
          <w:rStyle w:val="Refdenotaalpie"/>
          <w:sz w:val="20"/>
          <w:szCs w:val="20"/>
          <w:lang w:val="en-US"/>
        </w:rPr>
        <w:footnoteReference w:id="9"/>
      </w:r>
      <w:r w:rsidR="00527435" w:rsidRPr="00785D06">
        <w:rPr>
          <w:sz w:val="20"/>
          <w:szCs w:val="20"/>
          <w:lang w:val="en-US"/>
        </w:rPr>
        <w:t xml:space="preserve"> 4) </w:t>
      </w:r>
      <w:r w:rsidR="009D7E79" w:rsidRPr="00785D06">
        <w:rPr>
          <w:sz w:val="20"/>
          <w:szCs w:val="20"/>
          <w:lang w:val="en-US"/>
        </w:rPr>
        <w:t xml:space="preserve">the </w:t>
      </w:r>
      <w:r w:rsidRPr="00785D06">
        <w:rPr>
          <w:sz w:val="20"/>
          <w:szCs w:val="20"/>
          <w:lang w:val="en-US"/>
        </w:rPr>
        <w:t xml:space="preserve">Committee of Experts of the Follow-up Mechanism of the </w:t>
      </w:r>
      <w:r w:rsidR="00B97F8F" w:rsidRPr="00785D06">
        <w:rPr>
          <w:sz w:val="20"/>
          <w:szCs w:val="20"/>
          <w:lang w:val="en-US"/>
        </w:rPr>
        <w:t>Belém do Pará Convention</w:t>
      </w:r>
      <w:r w:rsidRPr="00785D06">
        <w:rPr>
          <w:sz w:val="20"/>
          <w:szCs w:val="20"/>
          <w:lang w:val="en-US"/>
        </w:rPr>
        <w:t xml:space="preserve"> (MESECVI)</w:t>
      </w:r>
      <w:r w:rsidR="00527435" w:rsidRPr="00785D06">
        <w:rPr>
          <w:sz w:val="20"/>
          <w:szCs w:val="20"/>
          <w:lang w:val="en-US"/>
        </w:rPr>
        <w:t>;</w:t>
      </w:r>
      <w:r w:rsidRPr="00785D06">
        <w:rPr>
          <w:rStyle w:val="Refdenotaalpie"/>
          <w:sz w:val="20"/>
          <w:szCs w:val="20"/>
          <w:lang w:val="en-US"/>
        </w:rPr>
        <w:footnoteReference w:id="10"/>
      </w:r>
      <w:r w:rsidRPr="00785D06">
        <w:rPr>
          <w:sz w:val="20"/>
          <w:szCs w:val="20"/>
          <w:lang w:val="en-US"/>
        </w:rPr>
        <w:t xml:space="preserve"> 5) </w:t>
      </w:r>
      <w:r w:rsidR="009D7E79" w:rsidRPr="00785D06">
        <w:rPr>
          <w:sz w:val="20"/>
          <w:szCs w:val="20"/>
          <w:lang w:val="en-US"/>
        </w:rPr>
        <w:t xml:space="preserve">the </w:t>
      </w:r>
      <w:r w:rsidRPr="00785D06">
        <w:rPr>
          <w:sz w:val="20"/>
          <w:szCs w:val="20"/>
          <w:lang w:val="en-US"/>
        </w:rPr>
        <w:t xml:space="preserve">Center for </w:t>
      </w:r>
      <w:r w:rsidR="00527435" w:rsidRPr="00785D06">
        <w:rPr>
          <w:sz w:val="20"/>
          <w:szCs w:val="20"/>
          <w:lang w:val="en-US"/>
        </w:rPr>
        <w:t>the Study of Law</w:t>
      </w:r>
      <w:r w:rsidRPr="00785D06">
        <w:rPr>
          <w:sz w:val="20"/>
          <w:szCs w:val="20"/>
          <w:lang w:val="en-US"/>
        </w:rPr>
        <w:t>, Justice and Society (</w:t>
      </w:r>
      <w:r w:rsidRPr="00785D06">
        <w:rPr>
          <w:i/>
          <w:sz w:val="20"/>
          <w:szCs w:val="20"/>
          <w:lang w:val="en-US"/>
        </w:rPr>
        <w:t>DeJusticia</w:t>
      </w:r>
      <w:r w:rsidRPr="00785D06">
        <w:rPr>
          <w:sz w:val="20"/>
          <w:szCs w:val="20"/>
          <w:lang w:val="en-US"/>
        </w:rPr>
        <w:t>)</w:t>
      </w:r>
      <w:r w:rsidR="00527435" w:rsidRPr="00785D06">
        <w:rPr>
          <w:sz w:val="20"/>
          <w:szCs w:val="20"/>
          <w:lang w:val="en-US"/>
        </w:rPr>
        <w:t>;</w:t>
      </w:r>
      <w:r w:rsidRPr="00785D06">
        <w:rPr>
          <w:rStyle w:val="Refdenotaalpie"/>
          <w:sz w:val="20"/>
          <w:szCs w:val="20"/>
          <w:lang w:val="en-US"/>
        </w:rPr>
        <w:footnoteReference w:id="11"/>
      </w:r>
      <w:r w:rsidR="00527435" w:rsidRPr="00785D06">
        <w:rPr>
          <w:sz w:val="20"/>
          <w:szCs w:val="20"/>
          <w:lang w:val="en-US"/>
        </w:rPr>
        <w:t xml:space="preserve"> 6) </w:t>
      </w:r>
      <w:r w:rsidRPr="00785D06">
        <w:rPr>
          <w:sz w:val="20"/>
          <w:szCs w:val="20"/>
          <w:lang w:val="en-US"/>
        </w:rPr>
        <w:t>ECPAT</w:t>
      </w:r>
      <w:r w:rsidR="00527435" w:rsidRPr="00785D06">
        <w:rPr>
          <w:sz w:val="20"/>
          <w:szCs w:val="20"/>
          <w:lang w:val="en-US"/>
        </w:rPr>
        <w:t xml:space="preserve"> International;</w:t>
      </w:r>
      <w:r w:rsidRPr="00785D06">
        <w:rPr>
          <w:rStyle w:val="Refdenotaalpie"/>
          <w:sz w:val="20"/>
          <w:szCs w:val="20"/>
          <w:lang w:val="en-US"/>
        </w:rPr>
        <w:footnoteReference w:id="12"/>
      </w:r>
      <w:r w:rsidRPr="00785D06">
        <w:rPr>
          <w:sz w:val="20"/>
          <w:szCs w:val="20"/>
          <w:lang w:val="en-US"/>
        </w:rPr>
        <w:t xml:space="preserve"> 7) Human Rights Watch</w:t>
      </w:r>
      <w:r w:rsidR="00527435" w:rsidRPr="00785D06">
        <w:rPr>
          <w:i/>
          <w:sz w:val="20"/>
          <w:szCs w:val="20"/>
          <w:lang w:val="en-US"/>
        </w:rPr>
        <w:t>;</w:t>
      </w:r>
      <w:r w:rsidRPr="00785D06">
        <w:rPr>
          <w:rStyle w:val="Refdenotaalpie"/>
          <w:sz w:val="20"/>
          <w:szCs w:val="20"/>
          <w:lang w:val="en-US"/>
        </w:rPr>
        <w:footnoteReference w:id="13"/>
      </w:r>
      <w:r w:rsidR="00527435" w:rsidRPr="00785D06">
        <w:rPr>
          <w:sz w:val="20"/>
          <w:szCs w:val="20"/>
          <w:lang w:val="en-US"/>
        </w:rPr>
        <w:t xml:space="preserve"> 8) </w:t>
      </w:r>
      <w:r w:rsidR="009D7E79" w:rsidRPr="00785D06">
        <w:rPr>
          <w:sz w:val="20"/>
          <w:szCs w:val="20"/>
          <w:lang w:val="en-US"/>
        </w:rPr>
        <w:t xml:space="preserve">the </w:t>
      </w:r>
      <w:r w:rsidRPr="00785D06">
        <w:rPr>
          <w:sz w:val="20"/>
          <w:szCs w:val="20"/>
          <w:lang w:val="en-US"/>
        </w:rPr>
        <w:t>O’Neill Institute for National and Global Health Law</w:t>
      </w:r>
      <w:r w:rsidRPr="00785D06">
        <w:rPr>
          <w:rStyle w:val="Refdenotaalpie"/>
          <w:sz w:val="20"/>
          <w:szCs w:val="20"/>
          <w:lang w:val="en-US"/>
        </w:rPr>
        <w:footnoteReference w:id="14"/>
      </w:r>
      <w:r w:rsidRPr="00785D06">
        <w:rPr>
          <w:sz w:val="20"/>
          <w:szCs w:val="20"/>
          <w:lang w:val="en-US"/>
        </w:rPr>
        <w:t xml:space="preserve"> and 9) </w:t>
      </w:r>
      <w:r w:rsidR="009D7E79" w:rsidRPr="00785D06">
        <w:rPr>
          <w:sz w:val="20"/>
          <w:szCs w:val="20"/>
          <w:lang w:val="en-US"/>
        </w:rPr>
        <w:t xml:space="preserve">the </w:t>
      </w:r>
      <w:r w:rsidRPr="00785D06">
        <w:rPr>
          <w:sz w:val="20"/>
          <w:szCs w:val="20"/>
          <w:lang w:val="en-US"/>
        </w:rPr>
        <w:t>Center for Support and Protection of Human Rights SURKUNA</w:t>
      </w:r>
      <w:r w:rsidR="00527435" w:rsidRPr="00785D06">
        <w:rPr>
          <w:sz w:val="20"/>
          <w:szCs w:val="20"/>
          <w:lang w:val="en-US"/>
        </w:rPr>
        <w:t>.</w:t>
      </w:r>
      <w:r w:rsidRPr="00785D06">
        <w:rPr>
          <w:rStyle w:val="Refdenotaalpie"/>
          <w:sz w:val="20"/>
          <w:szCs w:val="20"/>
          <w:lang w:val="en-US"/>
        </w:rPr>
        <w:footnoteReference w:id="15"/>
      </w:r>
    </w:p>
    <w:p w14:paraId="34DAE2E6" w14:textId="77777777" w:rsidR="00C254BF" w:rsidRPr="00785D06" w:rsidRDefault="00C254BF" w:rsidP="00C254BF">
      <w:pPr>
        <w:pStyle w:val="Prrafodelista"/>
        <w:ind w:left="0"/>
        <w:contextualSpacing w:val="0"/>
        <w:jc w:val="both"/>
        <w:rPr>
          <w:sz w:val="20"/>
          <w:szCs w:val="20"/>
          <w:lang w:val="en-US"/>
        </w:rPr>
      </w:pPr>
    </w:p>
    <w:p w14:paraId="4C3F6027" w14:textId="77777777" w:rsidR="00C254BF" w:rsidRPr="00785D06" w:rsidRDefault="00C254BF" w:rsidP="00C254BF">
      <w:pPr>
        <w:pStyle w:val="Prrafodelista"/>
        <w:numPr>
          <w:ilvl w:val="0"/>
          <w:numId w:val="2"/>
        </w:numPr>
        <w:ind w:left="0" w:firstLine="0"/>
        <w:contextualSpacing w:val="0"/>
        <w:jc w:val="both"/>
        <w:rPr>
          <w:sz w:val="20"/>
          <w:szCs w:val="20"/>
          <w:lang w:val="en-US"/>
        </w:rPr>
      </w:pPr>
      <w:r w:rsidRPr="00785D06">
        <w:rPr>
          <w:i/>
          <w:sz w:val="20"/>
          <w:szCs w:val="20"/>
          <w:lang w:val="en-US"/>
        </w:rPr>
        <w:t>Final written arguments and observations</w:t>
      </w:r>
      <w:r w:rsidRPr="00785D06">
        <w:rPr>
          <w:sz w:val="20"/>
          <w:szCs w:val="20"/>
          <w:lang w:val="en-US"/>
        </w:rPr>
        <w:t>. On February 28, 2020, the State and the representatives presented their final written arguments</w:t>
      </w:r>
      <w:r w:rsidR="00C4686D" w:rsidRPr="00785D06">
        <w:rPr>
          <w:sz w:val="20"/>
          <w:szCs w:val="20"/>
          <w:lang w:val="en-US"/>
        </w:rPr>
        <w:t>, together with</w:t>
      </w:r>
      <w:r w:rsidR="00701589" w:rsidRPr="00785D06">
        <w:rPr>
          <w:sz w:val="20"/>
          <w:szCs w:val="20"/>
          <w:lang w:val="en-US"/>
        </w:rPr>
        <w:t xml:space="preserve"> the</w:t>
      </w:r>
      <w:r w:rsidRPr="00785D06">
        <w:rPr>
          <w:sz w:val="20"/>
          <w:szCs w:val="20"/>
          <w:lang w:val="en-US"/>
        </w:rPr>
        <w:t xml:space="preserve"> annexes, and the Inter-American Commission </w:t>
      </w:r>
      <w:r w:rsidR="00C4686D" w:rsidRPr="00785D06">
        <w:rPr>
          <w:sz w:val="20"/>
          <w:szCs w:val="20"/>
          <w:lang w:val="en-US"/>
        </w:rPr>
        <w:t xml:space="preserve">submitted its </w:t>
      </w:r>
      <w:r w:rsidRPr="00785D06">
        <w:rPr>
          <w:sz w:val="20"/>
          <w:szCs w:val="20"/>
          <w:lang w:val="en-US"/>
        </w:rPr>
        <w:t xml:space="preserve">final written observations. On March 23, April 7 and May 25, 2020, the Commission, the representatives and the State, respectively, </w:t>
      </w:r>
      <w:r w:rsidR="00C4686D" w:rsidRPr="00785D06">
        <w:rPr>
          <w:sz w:val="20"/>
          <w:szCs w:val="20"/>
          <w:lang w:val="en-US"/>
        </w:rPr>
        <w:t xml:space="preserve">forwarded </w:t>
      </w:r>
      <w:r w:rsidRPr="00785D06">
        <w:rPr>
          <w:sz w:val="20"/>
          <w:szCs w:val="20"/>
          <w:lang w:val="en-US"/>
        </w:rPr>
        <w:t>their</w:t>
      </w:r>
      <w:r w:rsidR="00C4686D" w:rsidRPr="00785D06">
        <w:rPr>
          <w:sz w:val="20"/>
          <w:szCs w:val="20"/>
          <w:lang w:val="en-US"/>
        </w:rPr>
        <w:t xml:space="preserve"> observations to</w:t>
      </w:r>
      <w:r w:rsidRPr="00785D06">
        <w:rPr>
          <w:sz w:val="20"/>
          <w:szCs w:val="20"/>
          <w:lang w:val="en-US"/>
        </w:rPr>
        <w:t xml:space="preserve"> the documents </w:t>
      </w:r>
      <w:r w:rsidR="001022C7" w:rsidRPr="00785D06">
        <w:rPr>
          <w:sz w:val="20"/>
          <w:szCs w:val="20"/>
          <w:lang w:val="en-US"/>
        </w:rPr>
        <w:t xml:space="preserve">attached to </w:t>
      </w:r>
      <w:r w:rsidRPr="00785D06">
        <w:rPr>
          <w:sz w:val="20"/>
          <w:szCs w:val="20"/>
          <w:lang w:val="en-US"/>
        </w:rPr>
        <w:t>the written arguments of the parties.</w:t>
      </w:r>
      <w:r w:rsidRPr="00785D06">
        <w:rPr>
          <w:rStyle w:val="Refdenotaalpie"/>
          <w:sz w:val="20"/>
          <w:szCs w:val="20"/>
          <w:lang w:val="en-US"/>
        </w:rPr>
        <w:footnoteReference w:id="16"/>
      </w:r>
      <w:r w:rsidRPr="00785D06">
        <w:rPr>
          <w:sz w:val="20"/>
          <w:szCs w:val="20"/>
          <w:lang w:val="en-US"/>
        </w:rPr>
        <w:t xml:space="preserve"> </w:t>
      </w:r>
    </w:p>
    <w:p w14:paraId="3658A6C3" w14:textId="77777777" w:rsidR="00C254BF" w:rsidRPr="00785D06" w:rsidRDefault="00C254BF" w:rsidP="00C254BF">
      <w:pPr>
        <w:pStyle w:val="Prrafodelista"/>
        <w:ind w:left="0"/>
        <w:contextualSpacing w:val="0"/>
        <w:jc w:val="both"/>
        <w:rPr>
          <w:sz w:val="20"/>
          <w:szCs w:val="20"/>
          <w:lang w:val="en-US"/>
        </w:rPr>
      </w:pPr>
    </w:p>
    <w:p w14:paraId="02026494" w14:textId="77777777" w:rsidR="00C254BF" w:rsidRPr="00785D06" w:rsidRDefault="00C254BF" w:rsidP="00C254BF">
      <w:pPr>
        <w:pStyle w:val="Prrafodelista"/>
        <w:numPr>
          <w:ilvl w:val="0"/>
          <w:numId w:val="2"/>
        </w:numPr>
        <w:ind w:left="0" w:firstLine="0"/>
        <w:contextualSpacing w:val="0"/>
        <w:jc w:val="both"/>
        <w:rPr>
          <w:sz w:val="20"/>
          <w:szCs w:val="20"/>
          <w:lang w:val="en-US"/>
        </w:rPr>
      </w:pPr>
      <w:r w:rsidRPr="00785D06">
        <w:rPr>
          <w:i/>
          <w:sz w:val="20"/>
          <w:szCs w:val="20"/>
          <w:lang w:val="en-US"/>
        </w:rPr>
        <w:t>Evidence reques</w:t>
      </w:r>
      <w:r w:rsidR="001022C7" w:rsidRPr="00785D06">
        <w:rPr>
          <w:i/>
          <w:sz w:val="20"/>
          <w:szCs w:val="20"/>
          <w:lang w:val="en-US"/>
        </w:rPr>
        <w:t xml:space="preserve">ted from the representatives. </w:t>
      </w:r>
      <w:r w:rsidRPr="00785D06">
        <w:rPr>
          <w:sz w:val="20"/>
          <w:szCs w:val="20"/>
          <w:lang w:val="en-US"/>
        </w:rPr>
        <w:t>On May 26, 2020, pursuant to Article 58(2) of the Rules</w:t>
      </w:r>
      <w:r w:rsidR="006442F2" w:rsidRPr="00785D06">
        <w:rPr>
          <w:sz w:val="20"/>
          <w:szCs w:val="20"/>
          <w:lang w:val="en-US"/>
        </w:rPr>
        <w:t>,</w:t>
      </w:r>
      <w:r w:rsidRPr="00785D06">
        <w:rPr>
          <w:sz w:val="20"/>
          <w:szCs w:val="20"/>
          <w:lang w:val="en-US"/>
        </w:rPr>
        <w:t xml:space="preserve"> </w:t>
      </w:r>
      <w:r w:rsidR="006442F2" w:rsidRPr="00785D06">
        <w:rPr>
          <w:sz w:val="20"/>
          <w:szCs w:val="20"/>
          <w:lang w:val="en-US"/>
        </w:rPr>
        <w:t>the Court ordered</w:t>
      </w:r>
      <w:r w:rsidRPr="00785D06">
        <w:rPr>
          <w:sz w:val="20"/>
          <w:szCs w:val="20"/>
          <w:lang w:val="en-US"/>
        </w:rPr>
        <w:t xml:space="preserve"> the representatives to forward a document mentioned in their pleadings and motions brief</w:t>
      </w:r>
      <w:r w:rsidR="006442F2" w:rsidRPr="00785D06">
        <w:rPr>
          <w:sz w:val="20"/>
          <w:szCs w:val="20"/>
          <w:lang w:val="en-US"/>
        </w:rPr>
        <w:t xml:space="preserve"> and available</w:t>
      </w:r>
      <w:r w:rsidRPr="00785D06">
        <w:rPr>
          <w:sz w:val="20"/>
          <w:szCs w:val="20"/>
          <w:lang w:val="en-US"/>
        </w:rPr>
        <w:t xml:space="preserve"> via an internet link, which had not been possible to access. The following day, the representatives forwarded the document requested (</w:t>
      </w:r>
      <w:r w:rsidRPr="00785D06">
        <w:rPr>
          <w:i/>
          <w:sz w:val="20"/>
          <w:szCs w:val="20"/>
          <w:lang w:val="en-US"/>
        </w:rPr>
        <w:t>infra</w:t>
      </w:r>
      <w:r w:rsidRPr="00785D06">
        <w:rPr>
          <w:sz w:val="20"/>
          <w:szCs w:val="20"/>
          <w:lang w:val="en-US"/>
        </w:rPr>
        <w:t xml:space="preserve"> para. 36 and footnote 25). </w:t>
      </w:r>
    </w:p>
    <w:p w14:paraId="30D93E29" w14:textId="77777777" w:rsidR="00C254BF" w:rsidRPr="00785D06" w:rsidRDefault="00C254BF" w:rsidP="00C254BF">
      <w:pPr>
        <w:pStyle w:val="Prrafodelista"/>
        <w:ind w:left="0"/>
        <w:contextualSpacing w:val="0"/>
        <w:jc w:val="both"/>
        <w:rPr>
          <w:sz w:val="20"/>
          <w:szCs w:val="20"/>
          <w:lang w:val="en-US"/>
        </w:rPr>
      </w:pPr>
    </w:p>
    <w:p w14:paraId="19326DCF" w14:textId="77777777" w:rsidR="00C254BF" w:rsidRPr="00785D06" w:rsidRDefault="00C254BF" w:rsidP="00C254BF">
      <w:pPr>
        <w:pStyle w:val="Prrafodelista"/>
        <w:numPr>
          <w:ilvl w:val="0"/>
          <w:numId w:val="2"/>
        </w:numPr>
        <w:ind w:left="0" w:firstLine="0"/>
        <w:contextualSpacing w:val="0"/>
        <w:jc w:val="both"/>
        <w:rPr>
          <w:sz w:val="20"/>
          <w:szCs w:val="20"/>
          <w:lang w:val="en-US"/>
        </w:rPr>
      </w:pPr>
      <w:r w:rsidRPr="00785D06">
        <w:rPr>
          <w:i/>
          <w:sz w:val="20"/>
          <w:szCs w:val="20"/>
          <w:lang w:val="en-US"/>
        </w:rPr>
        <w:t>Deliberation of this case</w:t>
      </w:r>
      <w:r w:rsidR="006442F2" w:rsidRPr="00785D06">
        <w:rPr>
          <w:sz w:val="20"/>
          <w:szCs w:val="20"/>
          <w:lang w:val="en-US"/>
        </w:rPr>
        <w:t xml:space="preserve">. </w:t>
      </w:r>
      <w:r w:rsidRPr="00785D06">
        <w:rPr>
          <w:sz w:val="20"/>
          <w:szCs w:val="20"/>
          <w:lang w:val="en-US"/>
        </w:rPr>
        <w:t>The Court</w:t>
      </w:r>
      <w:r w:rsidR="006442F2" w:rsidRPr="00785D06">
        <w:rPr>
          <w:sz w:val="20"/>
          <w:szCs w:val="20"/>
          <w:lang w:val="en-US"/>
        </w:rPr>
        <w:t xml:space="preserve"> deliberated this judgment during</w:t>
      </w:r>
      <w:r w:rsidRPr="00785D06">
        <w:rPr>
          <w:sz w:val="20"/>
          <w:szCs w:val="20"/>
          <w:lang w:val="en-US"/>
        </w:rPr>
        <w:t xml:space="preserve"> a virtual session </w:t>
      </w:r>
      <w:r w:rsidR="006442F2" w:rsidRPr="00785D06">
        <w:rPr>
          <w:sz w:val="20"/>
          <w:szCs w:val="20"/>
          <w:lang w:val="en-US"/>
        </w:rPr>
        <w:t xml:space="preserve">held </w:t>
      </w:r>
      <w:r w:rsidR="005F471F" w:rsidRPr="00785D06">
        <w:rPr>
          <w:sz w:val="20"/>
          <w:szCs w:val="20"/>
          <w:lang w:val="en-US"/>
        </w:rPr>
        <w:t xml:space="preserve">on </w:t>
      </w:r>
      <w:r w:rsidRPr="00785D06">
        <w:rPr>
          <w:sz w:val="20"/>
          <w:szCs w:val="20"/>
          <w:lang w:val="en-US"/>
        </w:rPr>
        <w:t>June 22 – 24, 2020.</w:t>
      </w:r>
      <w:r w:rsidRPr="00785D06">
        <w:rPr>
          <w:rStyle w:val="Refdenotaalpie"/>
          <w:sz w:val="20"/>
          <w:szCs w:val="20"/>
          <w:lang w:val="en-US"/>
        </w:rPr>
        <w:footnoteReference w:id="17"/>
      </w:r>
    </w:p>
    <w:p w14:paraId="3EAB708C" w14:textId="77777777" w:rsidR="00C254BF" w:rsidRPr="00785D06" w:rsidRDefault="00C254BF" w:rsidP="00C254BF">
      <w:pPr>
        <w:pStyle w:val="Prrafodelista"/>
        <w:ind w:left="0"/>
        <w:contextualSpacing w:val="0"/>
        <w:jc w:val="both"/>
        <w:rPr>
          <w:sz w:val="20"/>
          <w:szCs w:val="20"/>
          <w:lang w:val="en-US"/>
        </w:rPr>
      </w:pPr>
    </w:p>
    <w:p w14:paraId="5209763D" w14:textId="77777777" w:rsidR="00C254BF" w:rsidRPr="00785D06" w:rsidRDefault="00C254BF" w:rsidP="00C254BF">
      <w:pPr>
        <w:pStyle w:val="Prrafodelista"/>
        <w:ind w:left="0"/>
        <w:contextualSpacing w:val="0"/>
        <w:jc w:val="center"/>
        <w:outlineLvl w:val="0"/>
        <w:rPr>
          <w:b/>
          <w:sz w:val="20"/>
          <w:szCs w:val="20"/>
          <w:lang w:val="en-US"/>
        </w:rPr>
      </w:pPr>
      <w:bookmarkStart w:id="47" w:name="_Toc42498023"/>
      <w:bookmarkStart w:id="48" w:name="_Toc46937271"/>
      <w:r w:rsidRPr="00785D06">
        <w:rPr>
          <w:b/>
          <w:sz w:val="20"/>
          <w:szCs w:val="20"/>
          <w:lang w:val="en-US"/>
        </w:rPr>
        <w:t>III</w:t>
      </w:r>
      <w:bookmarkEnd w:id="47"/>
      <w:bookmarkEnd w:id="48"/>
    </w:p>
    <w:p w14:paraId="5009D1A9" w14:textId="77777777" w:rsidR="00C254BF" w:rsidRPr="00785D06" w:rsidRDefault="00C254BF" w:rsidP="00C254BF">
      <w:pPr>
        <w:pStyle w:val="Prrafodelista"/>
        <w:ind w:left="0"/>
        <w:contextualSpacing w:val="0"/>
        <w:jc w:val="center"/>
        <w:outlineLvl w:val="0"/>
        <w:rPr>
          <w:b/>
          <w:sz w:val="20"/>
          <w:szCs w:val="20"/>
          <w:lang w:val="en-US"/>
        </w:rPr>
      </w:pPr>
      <w:bookmarkStart w:id="49" w:name="_Toc42498024"/>
      <w:bookmarkStart w:id="50" w:name="_Toc46937272"/>
      <w:r w:rsidRPr="00785D06">
        <w:rPr>
          <w:b/>
          <w:sz w:val="20"/>
          <w:szCs w:val="20"/>
          <w:lang w:val="en-US"/>
        </w:rPr>
        <w:t xml:space="preserve">JURISDICTION </w:t>
      </w:r>
      <w:bookmarkEnd w:id="49"/>
      <w:bookmarkEnd w:id="50"/>
    </w:p>
    <w:p w14:paraId="23BD0F85" w14:textId="77777777" w:rsidR="00C254BF" w:rsidRPr="00785D06" w:rsidRDefault="00C254BF" w:rsidP="00C254BF">
      <w:pPr>
        <w:pStyle w:val="Prrafodelista"/>
        <w:ind w:left="0"/>
        <w:contextualSpacing w:val="0"/>
        <w:jc w:val="center"/>
        <w:outlineLvl w:val="0"/>
        <w:rPr>
          <w:sz w:val="20"/>
          <w:szCs w:val="20"/>
          <w:lang w:val="en-US"/>
        </w:rPr>
      </w:pPr>
    </w:p>
    <w:p w14:paraId="270933F7" w14:textId="77777777" w:rsidR="00C254BF" w:rsidRPr="00785D06" w:rsidRDefault="00C254BF" w:rsidP="00C254BF">
      <w:pPr>
        <w:pStyle w:val="Prrafodelista"/>
        <w:numPr>
          <w:ilvl w:val="0"/>
          <w:numId w:val="2"/>
        </w:numPr>
        <w:ind w:left="0" w:firstLine="0"/>
        <w:contextualSpacing w:val="0"/>
        <w:jc w:val="both"/>
        <w:rPr>
          <w:sz w:val="20"/>
          <w:szCs w:val="20"/>
          <w:lang w:val="en-US"/>
        </w:rPr>
      </w:pPr>
      <w:r w:rsidRPr="00785D06">
        <w:rPr>
          <w:sz w:val="20"/>
          <w:szCs w:val="20"/>
          <w:lang w:val="en-US"/>
        </w:rPr>
        <w:t>The Court has jurisdiction to hear this c</w:t>
      </w:r>
      <w:r w:rsidR="005F471F" w:rsidRPr="00785D06">
        <w:rPr>
          <w:sz w:val="20"/>
          <w:szCs w:val="20"/>
          <w:lang w:val="en-US"/>
        </w:rPr>
        <w:t>ase, pursuant to Article 62(</w:t>
      </w:r>
      <w:r w:rsidRPr="00785D06">
        <w:rPr>
          <w:sz w:val="20"/>
          <w:szCs w:val="20"/>
          <w:lang w:val="en-US"/>
        </w:rPr>
        <w:t>3</w:t>
      </w:r>
      <w:r w:rsidR="005F471F" w:rsidRPr="00785D06">
        <w:rPr>
          <w:sz w:val="20"/>
          <w:szCs w:val="20"/>
          <w:lang w:val="en-US"/>
        </w:rPr>
        <w:t>)</w:t>
      </w:r>
      <w:r w:rsidRPr="00785D06">
        <w:rPr>
          <w:sz w:val="20"/>
          <w:szCs w:val="20"/>
          <w:lang w:val="en-US"/>
        </w:rPr>
        <w:t xml:space="preserve"> of the </w:t>
      </w:r>
      <w:r w:rsidR="005F471F" w:rsidRPr="00785D06">
        <w:rPr>
          <w:sz w:val="20"/>
          <w:szCs w:val="20"/>
          <w:lang w:val="en-US"/>
        </w:rPr>
        <w:t xml:space="preserve">American </w:t>
      </w:r>
      <w:r w:rsidRPr="00785D06">
        <w:rPr>
          <w:sz w:val="20"/>
          <w:szCs w:val="20"/>
          <w:lang w:val="en-US"/>
        </w:rPr>
        <w:t xml:space="preserve">Convention, </w:t>
      </w:r>
      <w:r w:rsidR="00701589" w:rsidRPr="00785D06">
        <w:rPr>
          <w:sz w:val="20"/>
          <w:szCs w:val="20"/>
          <w:lang w:val="en-US"/>
        </w:rPr>
        <w:t xml:space="preserve">because </w:t>
      </w:r>
      <w:r w:rsidRPr="00785D06">
        <w:rPr>
          <w:sz w:val="20"/>
          <w:szCs w:val="20"/>
          <w:lang w:val="en-US"/>
        </w:rPr>
        <w:t>Ecuador has been a State Party to this instrument since December 28, 1977, and accepted the contentious jurisdiction of the Court on July 24, 1984.</w:t>
      </w:r>
    </w:p>
    <w:p w14:paraId="271B4B9F" w14:textId="77777777" w:rsidR="00C254BF" w:rsidRPr="00785D06" w:rsidRDefault="00C254BF" w:rsidP="00C254BF">
      <w:pPr>
        <w:pStyle w:val="Prrafodelista"/>
        <w:ind w:left="0"/>
        <w:contextualSpacing w:val="0"/>
        <w:jc w:val="both"/>
        <w:rPr>
          <w:sz w:val="20"/>
          <w:szCs w:val="20"/>
          <w:lang w:val="en-US"/>
        </w:rPr>
      </w:pPr>
    </w:p>
    <w:p w14:paraId="5D30D1C6" w14:textId="77777777" w:rsidR="00C254BF" w:rsidRPr="00785D06" w:rsidRDefault="00C254BF" w:rsidP="00C254BF">
      <w:pPr>
        <w:pStyle w:val="Default"/>
        <w:jc w:val="center"/>
        <w:outlineLvl w:val="0"/>
        <w:rPr>
          <w:b/>
          <w:bCs/>
          <w:color w:val="auto"/>
          <w:sz w:val="20"/>
          <w:szCs w:val="20"/>
        </w:rPr>
      </w:pPr>
      <w:bookmarkStart w:id="51" w:name="_Toc42498025"/>
      <w:bookmarkStart w:id="52" w:name="_Toc46937273"/>
      <w:r w:rsidRPr="00785D06">
        <w:rPr>
          <w:b/>
          <w:bCs/>
          <w:color w:val="auto"/>
          <w:sz w:val="20"/>
          <w:szCs w:val="20"/>
        </w:rPr>
        <w:t>IV</w:t>
      </w:r>
      <w:bookmarkEnd w:id="51"/>
      <w:bookmarkEnd w:id="52"/>
    </w:p>
    <w:p w14:paraId="34EC8FEB" w14:textId="77777777" w:rsidR="00C254BF" w:rsidRPr="00785D06" w:rsidRDefault="00C254BF" w:rsidP="00C254BF">
      <w:pPr>
        <w:pStyle w:val="Default"/>
        <w:jc w:val="center"/>
        <w:outlineLvl w:val="0"/>
        <w:rPr>
          <w:b/>
          <w:bCs/>
          <w:color w:val="auto"/>
          <w:sz w:val="20"/>
          <w:szCs w:val="20"/>
        </w:rPr>
      </w:pPr>
      <w:bookmarkStart w:id="53" w:name="_Toc42498026"/>
      <w:bookmarkStart w:id="54" w:name="_Toc46937274"/>
      <w:r w:rsidRPr="00785D06">
        <w:rPr>
          <w:b/>
          <w:bCs/>
          <w:color w:val="auto"/>
          <w:sz w:val="20"/>
          <w:szCs w:val="20"/>
        </w:rPr>
        <w:t>ACKNOWLEDGMENT OF RESPONSIBILITY</w:t>
      </w:r>
      <w:bookmarkEnd w:id="53"/>
      <w:bookmarkEnd w:id="54"/>
      <w:r w:rsidRPr="00785D06">
        <w:rPr>
          <w:b/>
          <w:bCs/>
          <w:color w:val="auto"/>
          <w:sz w:val="20"/>
          <w:szCs w:val="20"/>
        </w:rPr>
        <w:t xml:space="preserve"> </w:t>
      </w:r>
    </w:p>
    <w:p w14:paraId="7259EEEE" w14:textId="77777777" w:rsidR="00C254BF" w:rsidRPr="00785D06" w:rsidRDefault="00C254BF" w:rsidP="00C254BF">
      <w:pPr>
        <w:pStyle w:val="Default"/>
        <w:jc w:val="center"/>
        <w:outlineLvl w:val="0"/>
        <w:rPr>
          <w:color w:val="auto"/>
          <w:sz w:val="20"/>
          <w:szCs w:val="20"/>
        </w:rPr>
      </w:pPr>
    </w:p>
    <w:p w14:paraId="7F300204" w14:textId="77777777" w:rsidR="00C254BF" w:rsidRPr="00785D06" w:rsidRDefault="00C254BF" w:rsidP="00C254BF">
      <w:pPr>
        <w:pStyle w:val="Prrafodelista"/>
        <w:numPr>
          <w:ilvl w:val="0"/>
          <w:numId w:val="11"/>
        </w:numPr>
        <w:pBdr>
          <w:top w:val="nil"/>
        </w:pBdr>
        <w:ind w:left="284" w:firstLine="0"/>
        <w:contextualSpacing w:val="0"/>
        <w:jc w:val="both"/>
        <w:outlineLvl w:val="1"/>
        <w:rPr>
          <w:b/>
          <w:i/>
          <w:snapToGrid w:val="0"/>
          <w:spacing w:val="-2"/>
          <w:sz w:val="20"/>
          <w:szCs w:val="20"/>
          <w:lang w:val="en-US" w:eastAsia="es-ES"/>
        </w:rPr>
      </w:pPr>
      <w:bookmarkStart w:id="55" w:name="_Toc42498027"/>
      <w:bookmarkStart w:id="56" w:name="_Toc46937275"/>
      <w:r w:rsidRPr="00785D06">
        <w:rPr>
          <w:b/>
          <w:i/>
          <w:snapToGrid w:val="0"/>
          <w:spacing w:val="-2"/>
          <w:sz w:val="20"/>
          <w:szCs w:val="20"/>
          <w:lang w:val="en-US" w:eastAsia="es-ES"/>
        </w:rPr>
        <w:t>Acknowledgement of responsibility by the State and observation</w:t>
      </w:r>
      <w:r w:rsidR="005F7545" w:rsidRPr="00785D06">
        <w:rPr>
          <w:b/>
          <w:i/>
          <w:snapToGrid w:val="0"/>
          <w:spacing w:val="-2"/>
          <w:sz w:val="20"/>
          <w:szCs w:val="20"/>
          <w:lang w:val="en-US" w:eastAsia="es-ES"/>
        </w:rPr>
        <w:t xml:space="preserve">s of the representatives and </w:t>
      </w:r>
      <w:r w:rsidRPr="00785D06">
        <w:rPr>
          <w:b/>
          <w:i/>
          <w:snapToGrid w:val="0"/>
          <w:spacing w:val="-2"/>
          <w:sz w:val="20"/>
          <w:szCs w:val="20"/>
          <w:lang w:val="en-US" w:eastAsia="es-ES"/>
        </w:rPr>
        <w:t>the Commission</w:t>
      </w:r>
      <w:bookmarkEnd w:id="55"/>
      <w:bookmarkEnd w:id="56"/>
    </w:p>
    <w:p w14:paraId="6FCA4079" w14:textId="77777777" w:rsidR="00C254BF" w:rsidRPr="00785D06" w:rsidRDefault="00C254BF" w:rsidP="00C254BF">
      <w:pPr>
        <w:pStyle w:val="Prrafodelista"/>
        <w:pBdr>
          <w:top w:val="nil"/>
        </w:pBdr>
        <w:ind w:left="567"/>
        <w:contextualSpacing w:val="0"/>
        <w:jc w:val="both"/>
        <w:outlineLvl w:val="1"/>
        <w:rPr>
          <w:b/>
          <w:i/>
          <w:snapToGrid w:val="0"/>
          <w:spacing w:val="-2"/>
          <w:sz w:val="20"/>
          <w:szCs w:val="20"/>
          <w:lang w:val="en-US" w:eastAsia="es-ES"/>
        </w:rPr>
      </w:pPr>
    </w:p>
    <w:p w14:paraId="3D1846E3" w14:textId="77777777" w:rsidR="00C254BF" w:rsidRPr="00785D06" w:rsidRDefault="00C254BF" w:rsidP="00C254BF">
      <w:pPr>
        <w:pStyle w:val="Prrafodelista"/>
        <w:numPr>
          <w:ilvl w:val="0"/>
          <w:numId w:val="2"/>
        </w:numPr>
        <w:ind w:left="0" w:firstLine="0"/>
        <w:contextualSpacing w:val="0"/>
        <w:jc w:val="both"/>
        <w:rPr>
          <w:sz w:val="20"/>
          <w:szCs w:val="20"/>
          <w:lang w:val="en-US"/>
        </w:rPr>
      </w:pPr>
      <w:r w:rsidRPr="00785D06">
        <w:rPr>
          <w:bCs/>
          <w:iCs/>
          <w:sz w:val="20"/>
          <w:szCs w:val="20"/>
          <w:lang w:val="en-US"/>
        </w:rPr>
        <w:t xml:space="preserve">During the public hearing and in its written arguments, </w:t>
      </w:r>
      <w:r w:rsidRPr="00785D06">
        <w:rPr>
          <w:sz w:val="20"/>
          <w:szCs w:val="20"/>
          <w:lang w:val="en-US"/>
        </w:rPr>
        <w:t xml:space="preserve">the </w:t>
      </w:r>
      <w:r w:rsidRPr="00785D06">
        <w:rPr>
          <w:b/>
          <w:i/>
          <w:sz w:val="20"/>
          <w:szCs w:val="20"/>
          <w:lang w:val="en-US"/>
        </w:rPr>
        <w:t>State</w:t>
      </w:r>
      <w:r w:rsidRPr="00785D06">
        <w:rPr>
          <w:bCs/>
          <w:iCs/>
          <w:sz w:val="20"/>
          <w:szCs w:val="20"/>
          <w:lang w:val="en-US"/>
        </w:rPr>
        <w:t xml:space="preserve"> pr</w:t>
      </w:r>
      <w:r w:rsidR="005F7545" w:rsidRPr="00785D06">
        <w:rPr>
          <w:bCs/>
          <w:iCs/>
          <w:sz w:val="20"/>
          <w:szCs w:val="20"/>
          <w:lang w:val="en-US"/>
        </w:rPr>
        <w:t xml:space="preserve">esented the </w:t>
      </w:r>
      <w:r w:rsidR="00701589" w:rsidRPr="00785D06">
        <w:rPr>
          <w:bCs/>
          <w:iCs/>
          <w:sz w:val="20"/>
          <w:szCs w:val="20"/>
          <w:lang w:val="en-US"/>
        </w:rPr>
        <w:t xml:space="preserve">following </w:t>
      </w:r>
      <w:r w:rsidR="005F7545" w:rsidRPr="00785D06">
        <w:rPr>
          <w:bCs/>
          <w:iCs/>
          <w:sz w:val="20"/>
          <w:szCs w:val="20"/>
          <w:lang w:val="en-US"/>
        </w:rPr>
        <w:t xml:space="preserve">considerations as </w:t>
      </w:r>
      <w:r w:rsidRPr="00785D06">
        <w:rPr>
          <w:bCs/>
          <w:iCs/>
          <w:sz w:val="20"/>
          <w:szCs w:val="20"/>
          <w:lang w:val="en-US"/>
        </w:rPr>
        <w:t>an express “acknowledgement of certain facts</w:t>
      </w:r>
      <w:r w:rsidR="00701589" w:rsidRPr="00785D06">
        <w:rPr>
          <w:bCs/>
          <w:iCs/>
          <w:sz w:val="20"/>
          <w:szCs w:val="20"/>
          <w:lang w:val="en-US"/>
        </w:rPr>
        <w:t>”:</w:t>
      </w:r>
      <w:r w:rsidRPr="00785D06">
        <w:rPr>
          <w:sz w:val="20"/>
          <w:szCs w:val="20"/>
          <w:lang w:val="en-US"/>
        </w:rPr>
        <w:t xml:space="preserve"> </w:t>
      </w:r>
    </w:p>
    <w:p w14:paraId="67643FB7" w14:textId="77777777" w:rsidR="00C254BF" w:rsidRPr="00785D06" w:rsidRDefault="00C254BF" w:rsidP="00C254BF">
      <w:pPr>
        <w:pStyle w:val="Prrafodelista"/>
        <w:ind w:left="0"/>
        <w:contextualSpacing w:val="0"/>
        <w:jc w:val="both"/>
        <w:rPr>
          <w:sz w:val="20"/>
          <w:szCs w:val="20"/>
          <w:lang w:val="en-US"/>
        </w:rPr>
      </w:pPr>
    </w:p>
    <w:p w14:paraId="0BED33BD" w14:textId="77777777" w:rsidR="00C254BF" w:rsidRPr="00785D06" w:rsidRDefault="005F7545" w:rsidP="00C254BF">
      <w:pPr>
        <w:pStyle w:val="Prrafodelista"/>
        <w:numPr>
          <w:ilvl w:val="0"/>
          <w:numId w:val="5"/>
        </w:numPr>
        <w:ind w:left="284" w:firstLine="0"/>
        <w:jc w:val="both"/>
        <w:rPr>
          <w:rFonts w:cs="Verdana"/>
          <w:bCs/>
          <w:iCs/>
          <w:lang w:val="en-US"/>
        </w:rPr>
      </w:pPr>
      <w:r w:rsidRPr="00785D06">
        <w:rPr>
          <w:rFonts w:cs="Verdana"/>
          <w:bCs/>
          <w:iCs/>
          <w:lang w:val="en-US"/>
        </w:rPr>
        <w:t xml:space="preserve">In the </w:t>
      </w:r>
      <w:r w:rsidR="00C254BF" w:rsidRPr="00785D06">
        <w:rPr>
          <w:rFonts w:cs="Verdana"/>
          <w:bCs/>
          <w:iCs/>
          <w:lang w:val="en-US"/>
        </w:rPr>
        <w:t xml:space="preserve">administrative </w:t>
      </w:r>
      <w:r w:rsidRPr="00785D06">
        <w:rPr>
          <w:rFonts w:cs="Verdana"/>
          <w:bCs/>
          <w:iCs/>
          <w:lang w:val="en-US"/>
        </w:rPr>
        <w:t>a</w:t>
      </w:r>
      <w:r w:rsidR="00701589" w:rsidRPr="00785D06">
        <w:rPr>
          <w:rFonts w:cs="Verdana"/>
          <w:bCs/>
          <w:iCs/>
          <w:lang w:val="en-US"/>
        </w:rPr>
        <w:t>spect</w:t>
      </w:r>
      <w:r w:rsidR="00C254BF" w:rsidRPr="00785D06">
        <w:rPr>
          <w:rFonts w:cs="Verdana"/>
          <w:bCs/>
          <w:iCs/>
          <w:lang w:val="en-US"/>
        </w:rPr>
        <w:t xml:space="preserve">, </w:t>
      </w:r>
      <w:r w:rsidR="00701589" w:rsidRPr="00785D06">
        <w:rPr>
          <w:rFonts w:cs="Verdana"/>
          <w:bCs/>
          <w:iCs/>
          <w:lang w:val="en-US"/>
        </w:rPr>
        <w:t xml:space="preserve">and </w:t>
      </w:r>
      <w:r w:rsidR="002C4285" w:rsidRPr="00785D06">
        <w:rPr>
          <w:rFonts w:cs="Verdana"/>
          <w:bCs/>
          <w:iCs/>
          <w:lang w:val="en-US"/>
        </w:rPr>
        <w:t xml:space="preserve">in relation to </w:t>
      </w:r>
      <w:r w:rsidR="00C254BF" w:rsidRPr="00785D06">
        <w:rPr>
          <w:rFonts w:cs="Verdana"/>
          <w:bCs/>
          <w:iCs/>
          <w:lang w:val="en-US"/>
        </w:rPr>
        <w:t>reports of an alleged relationship between the [</w:t>
      </w:r>
      <w:r w:rsidR="0097298A" w:rsidRPr="00785D06">
        <w:rPr>
          <w:rFonts w:cs="Verdana"/>
          <w:bCs/>
          <w:iCs/>
          <w:lang w:val="en-US"/>
        </w:rPr>
        <w:t>vice principal</w:t>
      </w:r>
      <w:r w:rsidR="00C254BF" w:rsidRPr="00785D06">
        <w:rPr>
          <w:rFonts w:cs="Verdana"/>
          <w:bCs/>
          <w:iCs/>
          <w:lang w:val="en-US"/>
        </w:rPr>
        <w:t xml:space="preserve"> of the school attended by Paola del Rosario Guzmán Albarracín,] </w:t>
      </w:r>
      <w:r w:rsidR="002C4285" w:rsidRPr="00785D06">
        <w:rPr>
          <w:rFonts w:cs="Verdana"/>
          <w:bCs/>
          <w:iCs/>
          <w:lang w:val="en-US"/>
        </w:rPr>
        <w:t xml:space="preserve">professor </w:t>
      </w:r>
      <w:r w:rsidR="00C254BF" w:rsidRPr="00785D06">
        <w:rPr>
          <w:rFonts w:cs="Verdana"/>
          <w:bCs/>
          <w:iCs/>
          <w:lang w:val="en-US"/>
        </w:rPr>
        <w:t xml:space="preserve">Bolívar [Eduardo] Espín [Zurtía,] and the adolescent Paola Guzmán, at </w:t>
      </w:r>
      <w:r w:rsidRPr="00785D06">
        <w:rPr>
          <w:rFonts w:cs="Verdana"/>
          <w:bCs/>
          <w:iCs/>
          <w:lang w:val="en-US"/>
        </w:rPr>
        <w:t>the time of the events and in this</w:t>
      </w:r>
      <w:r w:rsidR="00C254BF" w:rsidRPr="00785D06">
        <w:rPr>
          <w:rFonts w:cs="Verdana"/>
          <w:bCs/>
          <w:iCs/>
          <w:lang w:val="en-US"/>
        </w:rPr>
        <w:t xml:space="preserve"> specific case, the State did not implement adequate and effective measures to investigate and </w:t>
      </w:r>
      <w:r w:rsidRPr="00785D06">
        <w:rPr>
          <w:rFonts w:cs="Verdana"/>
          <w:bCs/>
          <w:iCs/>
          <w:lang w:val="en-US"/>
        </w:rPr>
        <w:t xml:space="preserve">verify the facts denounced and, if appropriate, </w:t>
      </w:r>
      <w:r w:rsidR="00C254BF" w:rsidRPr="00785D06">
        <w:rPr>
          <w:rFonts w:cs="Verdana"/>
          <w:bCs/>
          <w:iCs/>
          <w:lang w:val="en-US"/>
        </w:rPr>
        <w:t xml:space="preserve">punish those responsible. </w:t>
      </w:r>
      <w:r w:rsidRPr="00785D06">
        <w:rPr>
          <w:rFonts w:cs="Verdana"/>
          <w:bCs/>
          <w:iCs/>
          <w:lang w:val="en-US"/>
        </w:rPr>
        <w:t>A</w:t>
      </w:r>
      <w:r w:rsidR="00C254BF" w:rsidRPr="00785D06">
        <w:rPr>
          <w:rFonts w:cs="Verdana"/>
          <w:bCs/>
          <w:iCs/>
          <w:lang w:val="en-US"/>
        </w:rPr>
        <w:t xml:space="preserve">lthough </w:t>
      </w:r>
      <w:r w:rsidR="00527B8F" w:rsidRPr="00785D06">
        <w:rPr>
          <w:rFonts w:cs="Verdana"/>
          <w:bCs/>
          <w:iCs/>
          <w:lang w:val="en-US"/>
        </w:rPr>
        <w:t xml:space="preserve">administrative </w:t>
      </w:r>
      <w:r w:rsidR="00C254BF" w:rsidRPr="00785D06">
        <w:rPr>
          <w:rFonts w:cs="Verdana"/>
          <w:bCs/>
          <w:iCs/>
          <w:lang w:val="en-US"/>
        </w:rPr>
        <w:t xml:space="preserve">proceedings were </w:t>
      </w:r>
      <w:r w:rsidR="00527B8F" w:rsidRPr="00785D06">
        <w:rPr>
          <w:rFonts w:cs="Verdana"/>
          <w:bCs/>
          <w:iCs/>
          <w:lang w:val="en-US"/>
        </w:rPr>
        <w:t>instituted</w:t>
      </w:r>
      <w:r w:rsidR="00C254BF" w:rsidRPr="00785D06">
        <w:rPr>
          <w:rFonts w:cs="Verdana"/>
          <w:bCs/>
          <w:iCs/>
          <w:lang w:val="en-US"/>
        </w:rPr>
        <w:t xml:space="preserve">, and </w:t>
      </w:r>
      <w:r w:rsidR="00527B8F" w:rsidRPr="00785D06">
        <w:rPr>
          <w:rFonts w:cs="Verdana"/>
          <w:bCs/>
          <w:iCs/>
          <w:lang w:val="en-US"/>
        </w:rPr>
        <w:t xml:space="preserve">the teacher </w:t>
      </w:r>
      <w:r w:rsidR="00C254BF" w:rsidRPr="00785D06">
        <w:rPr>
          <w:rFonts w:cs="Verdana"/>
          <w:bCs/>
          <w:iCs/>
          <w:lang w:val="en-US"/>
        </w:rPr>
        <w:t>Bolívar [Eduardo] Espín [Zurtía] was dismissed from the school, the complaint filed by Paola’s mother</w:t>
      </w:r>
      <w:r w:rsidR="00527B8F" w:rsidRPr="00785D06">
        <w:rPr>
          <w:rFonts w:cs="Verdana"/>
          <w:bCs/>
          <w:iCs/>
          <w:lang w:val="en-US"/>
        </w:rPr>
        <w:t xml:space="preserve"> was not resolved</w:t>
      </w:r>
      <w:r w:rsidR="00C254BF" w:rsidRPr="00785D06">
        <w:rPr>
          <w:rFonts w:cs="Verdana"/>
          <w:bCs/>
          <w:iCs/>
          <w:lang w:val="en-US"/>
        </w:rPr>
        <w:t>.</w:t>
      </w:r>
    </w:p>
    <w:p w14:paraId="25E68E7D" w14:textId="77777777" w:rsidR="00C254BF" w:rsidRPr="00785D06" w:rsidRDefault="00C254BF" w:rsidP="00C254BF">
      <w:pPr>
        <w:pStyle w:val="Prrafodelista"/>
        <w:ind w:left="284"/>
        <w:jc w:val="both"/>
        <w:rPr>
          <w:rFonts w:cs="Verdana"/>
          <w:bCs/>
          <w:iCs/>
          <w:lang w:val="en-US"/>
        </w:rPr>
      </w:pPr>
      <w:r w:rsidRPr="00785D06">
        <w:rPr>
          <w:rFonts w:cs="Verdana"/>
          <w:bCs/>
          <w:iCs/>
          <w:lang w:val="en-US"/>
        </w:rPr>
        <w:t xml:space="preserve"> </w:t>
      </w:r>
    </w:p>
    <w:p w14:paraId="18F50710" w14:textId="77777777" w:rsidR="00C254BF" w:rsidRPr="00785D06" w:rsidRDefault="009F7CAD" w:rsidP="00C254BF">
      <w:pPr>
        <w:pStyle w:val="Prrafodelista"/>
        <w:numPr>
          <w:ilvl w:val="0"/>
          <w:numId w:val="5"/>
        </w:numPr>
        <w:ind w:left="284" w:firstLine="0"/>
        <w:jc w:val="both"/>
        <w:rPr>
          <w:rFonts w:cs="Verdana"/>
          <w:bCs/>
          <w:iCs/>
          <w:lang w:val="en-US"/>
        </w:rPr>
      </w:pPr>
      <w:r w:rsidRPr="00785D06">
        <w:rPr>
          <w:rFonts w:cs="Verdana"/>
          <w:bCs/>
          <w:iCs/>
          <w:lang w:val="en-US"/>
        </w:rPr>
        <w:t xml:space="preserve">In </w:t>
      </w:r>
      <w:r w:rsidR="002C4285" w:rsidRPr="00785D06">
        <w:rPr>
          <w:rFonts w:cs="Verdana"/>
          <w:bCs/>
          <w:iCs/>
          <w:lang w:val="en-US"/>
        </w:rPr>
        <w:t xml:space="preserve">relation to </w:t>
      </w:r>
      <w:r w:rsidR="00C254BF" w:rsidRPr="00785D06">
        <w:rPr>
          <w:rFonts w:cs="Verdana"/>
          <w:bCs/>
          <w:iCs/>
          <w:lang w:val="en-US"/>
        </w:rPr>
        <w:t xml:space="preserve">possible </w:t>
      </w:r>
      <w:r w:rsidRPr="00785D06">
        <w:rPr>
          <w:rFonts w:cs="Verdana"/>
          <w:bCs/>
          <w:iCs/>
          <w:lang w:val="en-US"/>
        </w:rPr>
        <w:t xml:space="preserve">acts </w:t>
      </w:r>
      <w:r w:rsidR="00C254BF" w:rsidRPr="00785D06">
        <w:rPr>
          <w:rFonts w:cs="Verdana"/>
          <w:bCs/>
          <w:iCs/>
          <w:lang w:val="en-US"/>
        </w:rPr>
        <w:t xml:space="preserve">of sexual violence </w:t>
      </w:r>
      <w:r w:rsidRPr="00785D06">
        <w:rPr>
          <w:rFonts w:cs="Verdana"/>
          <w:bCs/>
          <w:iCs/>
          <w:lang w:val="en-US"/>
        </w:rPr>
        <w:t xml:space="preserve">at the </w:t>
      </w:r>
      <w:r w:rsidR="00C254BF" w:rsidRPr="00785D06">
        <w:rPr>
          <w:rFonts w:cs="Verdana"/>
          <w:bCs/>
          <w:iCs/>
          <w:lang w:val="en-US"/>
        </w:rPr>
        <w:t>educational institution in que</w:t>
      </w:r>
      <w:r w:rsidR="002C4285" w:rsidRPr="00785D06">
        <w:rPr>
          <w:rFonts w:cs="Verdana"/>
          <w:bCs/>
          <w:iCs/>
          <w:lang w:val="en-US"/>
        </w:rPr>
        <w:t>stion, at the time of the facts</w:t>
      </w:r>
      <w:r w:rsidR="00C254BF" w:rsidRPr="00785D06">
        <w:rPr>
          <w:rFonts w:cs="Verdana"/>
          <w:bCs/>
          <w:iCs/>
          <w:lang w:val="en-US"/>
        </w:rPr>
        <w:t xml:space="preserve"> the State did not implement an adequate and effective public policy to prevent </w:t>
      </w:r>
      <w:r w:rsidRPr="00785D06">
        <w:rPr>
          <w:rFonts w:cs="Verdana"/>
          <w:bCs/>
          <w:iCs/>
          <w:lang w:val="en-US"/>
        </w:rPr>
        <w:t xml:space="preserve">such </w:t>
      </w:r>
      <w:r w:rsidR="00C254BF" w:rsidRPr="00785D06">
        <w:rPr>
          <w:rFonts w:cs="Verdana"/>
          <w:bCs/>
          <w:iCs/>
          <w:lang w:val="en-US"/>
        </w:rPr>
        <w:t>acts from occurring. In th</w:t>
      </w:r>
      <w:r w:rsidRPr="00785D06">
        <w:rPr>
          <w:rFonts w:cs="Verdana"/>
          <w:bCs/>
          <w:iCs/>
          <w:lang w:val="en-US"/>
        </w:rPr>
        <w:t>is regard, the State recognizes th</w:t>
      </w:r>
      <w:r w:rsidR="002C4285" w:rsidRPr="00785D06">
        <w:rPr>
          <w:rFonts w:cs="Verdana"/>
          <w:bCs/>
          <w:iCs/>
          <w:lang w:val="en-US"/>
        </w:rPr>
        <w:t>at at that time, ther</w:t>
      </w:r>
      <w:r w:rsidRPr="00785D06">
        <w:rPr>
          <w:rFonts w:cs="Verdana"/>
          <w:bCs/>
          <w:iCs/>
          <w:lang w:val="en-US"/>
        </w:rPr>
        <w:t xml:space="preserve">e </w:t>
      </w:r>
      <w:r w:rsidR="002C4285" w:rsidRPr="00785D06">
        <w:rPr>
          <w:rFonts w:cs="Verdana"/>
          <w:bCs/>
          <w:iCs/>
          <w:lang w:val="en-US"/>
        </w:rPr>
        <w:t xml:space="preserve">were no </w:t>
      </w:r>
      <w:r w:rsidRPr="00785D06">
        <w:rPr>
          <w:rFonts w:cs="Verdana"/>
          <w:bCs/>
          <w:iCs/>
          <w:lang w:val="en-US"/>
        </w:rPr>
        <w:t xml:space="preserve">mechanisms </w:t>
      </w:r>
      <w:r w:rsidR="00C254BF" w:rsidRPr="00785D06">
        <w:rPr>
          <w:rFonts w:cs="Verdana"/>
          <w:bCs/>
          <w:iCs/>
          <w:lang w:val="en-US"/>
        </w:rPr>
        <w:t>for reporting, investigating and punishing</w:t>
      </w:r>
      <w:r w:rsidRPr="00785D06">
        <w:rPr>
          <w:rFonts w:cs="Verdana"/>
          <w:bCs/>
          <w:iCs/>
          <w:lang w:val="en-US"/>
        </w:rPr>
        <w:t xml:space="preserve"> such acts</w:t>
      </w:r>
      <w:r w:rsidR="00C254BF" w:rsidRPr="00785D06">
        <w:rPr>
          <w:rFonts w:cs="Verdana"/>
          <w:bCs/>
          <w:iCs/>
          <w:lang w:val="en-US"/>
        </w:rPr>
        <w:t xml:space="preserve">, </w:t>
      </w:r>
      <w:r w:rsidR="002C4285" w:rsidRPr="00785D06">
        <w:rPr>
          <w:rFonts w:cs="Verdana"/>
          <w:bCs/>
          <w:iCs/>
          <w:lang w:val="en-US"/>
        </w:rPr>
        <w:t xml:space="preserve">or </w:t>
      </w:r>
      <w:r w:rsidRPr="00785D06">
        <w:rPr>
          <w:rFonts w:cs="Verdana"/>
          <w:bCs/>
          <w:iCs/>
          <w:lang w:val="en-US"/>
        </w:rPr>
        <w:t>measures for</w:t>
      </w:r>
      <w:r w:rsidR="00C254BF" w:rsidRPr="00785D06">
        <w:rPr>
          <w:rFonts w:cs="Verdana"/>
          <w:bCs/>
          <w:iCs/>
          <w:lang w:val="en-US"/>
        </w:rPr>
        <w:t xml:space="preserve"> prevent</w:t>
      </w:r>
      <w:r w:rsidRPr="00785D06">
        <w:rPr>
          <w:rFonts w:cs="Verdana"/>
          <w:bCs/>
          <w:iCs/>
          <w:lang w:val="en-US"/>
        </w:rPr>
        <w:t>ing</w:t>
      </w:r>
      <w:r w:rsidR="00C254BF" w:rsidRPr="00785D06">
        <w:rPr>
          <w:rFonts w:cs="Verdana"/>
          <w:bCs/>
          <w:iCs/>
          <w:lang w:val="en-US"/>
        </w:rPr>
        <w:t xml:space="preserve"> situations of sexual violence within th</w:t>
      </w:r>
      <w:r w:rsidR="002C4285" w:rsidRPr="00785D06">
        <w:rPr>
          <w:rFonts w:cs="Verdana"/>
          <w:bCs/>
          <w:iCs/>
          <w:lang w:val="en-US"/>
        </w:rPr>
        <w:t>is institution</w:t>
      </w:r>
      <w:r w:rsidR="00C254BF" w:rsidRPr="00785D06">
        <w:rPr>
          <w:rFonts w:cs="Verdana"/>
          <w:bCs/>
          <w:iCs/>
          <w:lang w:val="en-US"/>
        </w:rPr>
        <w:t>.</w:t>
      </w:r>
    </w:p>
    <w:p w14:paraId="0B1CA664" w14:textId="77777777" w:rsidR="00C254BF" w:rsidRPr="00785D06" w:rsidRDefault="00C254BF" w:rsidP="00C254BF">
      <w:pPr>
        <w:pStyle w:val="Prrafodelista"/>
        <w:ind w:left="284"/>
        <w:jc w:val="both"/>
        <w:rPr>
          <w:rFonts w:cs="Verdana"/>
          <w:bCs/>
          <w:iCs/>
          <w:lang w:val="en-US"/>
        </w:rPr>
      </w:pPr>
    </w:p>
    <w:p w14:paraId="6527F8EE" w14:textId="77777777" w:rsidR="00C254BF" w:rsidRPr="00785D06" w:rsidRDefault="00C254BF" w:rsidP="00C254BF">
      <w:pPr>
        <w:pStyle w:val="Prrafodelista"/>
        <w:numPr>
          <w:ilvl w:val="0"/>
          <w:numId w:val="5"/>
        </w:numPr>
        <w:ind w:left="284" w:firstLine="0"/>
        <w:jc w:val="both"/>
        <w:rPr>
          <w:rFonts w:cs="Verdana"/>
          <w:bCs/>
          <w:iCs/>
          <w:strike/>
          <w:lang w:val="en-US"/>
        </w:rPr>
      </w:pPr>
      <w:r w:rsidRPr="00785D06">
        <w:rPr>
          <w:rFonts w:cs="Verdana"/>
          <w:bCs/>
          <w:iCs/>
          <w:lang w:val="en-US"/>
        </w:rPr>
        <w:t xml:space="preserve"> In relation to the criminal investigation, the State </w:t>
      </w:r>
      <w:r w:rsidR="00702A87" w:rsidRPr="00785D06">
        <w:rPr>
          <w:rFonts w:cs="Verdana"/>
          <w:bCs/>
          <w:iCs/>
          <w:lang w:val="en-US"/>
        </w:rPr>
        <w:t xml:space="preserve">acknowledges </w:t>
      </w:r>
      <w:r w:rsidRPr="00785D06">
        <w:rPr>
          <w:rFonts w:cs="Verdana"/>
          <w:bCs/>
          <w:iCs/>
          <w:lang w:val="en-US"/>
        </w:rPr>
        <w:t xml:space="preserve">that during the judicial proceedings in the domestic courts, it was not possible to determine whether the behavior denounced fitted a specific </w:t>
      </w:r>
      <w:r w:rsidR="00434832" w:rsidRPr="00785D06">
        <w:rPr>
          <w:rFonts w:cs="Verdana"/>
          <w:bCs/>
          <w:iCs/>
          <w:lang w:val="en-US"/>
        </w:rPr>
        <w:t>criminal definition</w:t>
      </w:r>
      <w:r w:rsidRPr="00785D06">
        <w:rPr>
          <w:rFonts w:cs="Verdana"/>
          <w:bCs/>
          <w:iCs/>
          <w:lang w:val="en-US"/>
        </w:rPr>
        <w:t xml:space="preserve">, owing to the lack of diligence </w:t>
      </w:r>
      <w:r w:rsidR="00702A87" w:rsidRPr="00785D06">
        <w:rPr>
          <w:rFonts w:cs="Verdana"/>
          <w:bCs/>
          <w:iCs/>
          <w:lang w:val="en-US"/>
        </w:rPr>
        <w:t xml:space="preserve">of the State authorities </w:t>
      </w:r>
      <w:r w:rsidRPr="00785D06">
        <w:rPr>
          <w:rFonts w:cs="Verdana"/>
          <w:bCs/>
          <w:iCs/>
          <w:lang w:val="en-US"/>
        </w:rPr>
        <w:t>in locat</w:t>
      </w:r>
      <w:r w:rsidR="00702A87" w:rsidRPr="00785D06">
        <w:rPr>
          <w:rFonts w:cs="Verdana"/>
          <w:bCs/>
          <w:iCs/>
          <w:lang w:val="en-US"/>
        </w:rPr>
        <w:t>ing and capturing the defendant.</w:t>
      </w:r>
      <w:r w:rsidRPr="00785D06">
        <w:rPr>
          <w:rFonts w:cs="Verdana"/>
          <w:bCs/>
          <w:iCs/>
          <w:lang w:val="en-US"/>
        </w:rPr>
        <w:t xml:space="preserve"> </w:t>
      </w:r>
      <w:r w:rsidR="00702A87" w:rsidRPr="00785D06">
        <w:rPr>
          <w:rFonts w:cs="Verdana"/>
          <w:bCs/>
          <w:iCs/>
          <w:lang w:val="en-US"/>
        </w:rPr>
        <w:t xml:space="preserve">This </w:t>
      </w:r>
      <w:r w:rsidRPr="00785D06">
        <w:rPr>
          <w:rFonts w:cs="Verdana"/>
          <w:bCs/>
          <w:iCs/>
          <w:lang w:val="en-US"/>
        </w:rPr>
        <w:t>resulted in the prescription of the criminal proceedings</w:t>
      </w:r>
      <w:r w:rsidR="00702A87" w:rsidRPr="00785D06">
        <w:rPr>
          <w:rFonts w:cs="Verdana"/>
          <w:bCs/>
          <w:iCs/>
          <w:lang w:val="en-US"/>
        </w:rPr>
        <w:t xml:space="preserve"> that had been suspended</w:t>
      </w:r>
      <w:r w:rsidRPr="00785D06">
        <w:rPr>
          <w:rFonts w:cs="Verdana"/>
          <w:bCs/>
          <w:iCs/>
          <w:lang w:val="en-US"/>
        </w:rPr>
        <w:t xml:space="preserve"> </w:t>
      </w:r>
      <w:r w:rsidR="000A509B" w:rsidRPr="00785D06">
        <w:rPr>
          <w:rFonts w:cs="Verdana"/>
          <w:bCs/>
          <w:iCs/>
          <w:lang w:val="en-US"/>
        </w:rPr>
        <w:t>at the summon</w:t>
      </w:r>
      <w:r w:rsidR="00702A87" w:rsidRPr="00785D06">
        <w:rPr>
          <w:rFonts w:cs="Verdana"/>
          <w:bCs/>
          <w:iCs/>
          <w:lang w:val="en-US"/>
        </w:rPr>
        <w:t>s</w:t>
      </w:r>
      <w:r w:rsidR="000A509B" w:rsidRPr="00785D06">
        <w:rPr>
          <w:rFonts w:cs="Verdana"/>
          <w:bCs/>
          <w:iCs/>
          <w:lang w:val="en-US"/>
        </w:rPr>
        <w:t xml:space="preserve"> stage, </w:t>
      </w:r>
      <w:r w:rsidR="00702A87" w:rsidRPr="00785D06">
        <w:rPr>
          <w:rFonts w:cs="Verdana"/>
          <w:bCs/>
          <w:iCs/>
          <w:lang w:val="en-US"/>
        </w:rPr>
        <w:t xml:space="preserve">due to </w:t>
      </w:r>
      <w:r w:rsidRPr="00785D06">
        <w:rPr>
          <w:rFonts w:cs="Verdana"/>
          <w:bCs/>
          <w:iCs/>
          <w:lang w:val="en-US"/>
        </w:rPr>
        <w:t xml:space="preserve">the absence of the accused. Therefore, the State recognizes that the </w:t>
      </w:r>
      <w:r w:rsidR="000A509B" w:rsidRPr="00785D06">
        <w:rPr>
          <w:rFonts w:cs="Verdana"/>
          <w:bCs/>
          <w:iCs/>
          <w:lang w:val="en-US"/>
        </w:rPr>
        <w:t xml:space="preserve">prescription of the criminal proceedings </w:t>
      </w:r>
      <w:r w:rsidRPr="00785D06">
        <w:rPr>
          <w:rFonts w:cs="Verdana"/>
          <w:bCs/>
          <w:iCs/>
          <w:lang w:val="en-US"/>
        </w:rPr>
        <w:t xml:space="preserve">is attributable to its officials. </w:t>
      </w:r>
    </w:p>
    <w:p w14:paraId="4985C1EA" w14:textId="77777777" w:rsidR="00C254BF" w:rsidRPr="00785D06" w:rsidRDefault="00C254BF" w:rsidP="00C254BF">
      <w:pPr>
        <w:pStyle w:val="Prrafodelista"/>
        <w:ind w:left="284"/>
        <w:jc w:val="both"/>
        <w:rPr>
          <w:sz w:val="20"/>
          <w:szCs w:val="20"/>
          <w:lang w:val="en-US"/>
        </w:rPr>
      </w:pPr>
    </w:p>
    <w:p w14:paraId="2B6D06B9" w14:textId="77777777" w:rsidR="00C254BF" w:rsidRPr="00785D06" w:rsidRDefault="00ED0917" w:rsidP="00C254BF">
      <w:pPr>
        <w:pStyle w:val="Prrafodelista"/>
        <w:numPr>
          <w:ilvl w:val="0"/>
          <w:numId w:val="2"/>
        </w:numPr>
        <w:ind w:left="0" w:firstLine="0"/>
        <w:contextualSpacing w:val="0"/>
        <w:jc w:val="both"/>
        <w:rPr>
          <w:sz w:val="20"/>
          <w:szCs w:val="20"/>
          <w:lang w:val="en-US"/>
        </w:rPr>
      </w:pPr>
      <w:r w:rsidRPr="00785D06">
        <w:rPr>
          <w:sz w:val="20"/>
          <w:szCs w:val="20"/>
          <w:lang w:val="en-US"/>
        </w:rPr>
        <w:t xml:space="preserve">During </w:t>
      </w:r>
      <w:r w:rsidR="00C254BF" w:rsidRPr="00785D06">
        <w:rPr>
          <w:sz w:val="20"/>
          <w:szCs w:val="20"/>
          <w:lang w:val="en-US"/>
        </w:rPr>
        <w:t>the public hearing, the State “ratified its willingness to provide re</w:t>
      </w:r>
      <w:r w:rsidRPr="00785D06">
        <w:rPr>
          <w:sz w:val="20"/>
          <w:szCs w:val="20"/>
          <w:lang w:val="en-US"/>
        </w:rPr>
        <w:t xml:space="preserve">dress </w:t>
      </w:r>
      <w:r w:rsidR="00C254BF" w:rsidRPr="00785D06">
        <w:rPr>
          <w:sz w:val="20"/>
          <w:szCs w:val="20"/>
          <w:lang w:val="en-US"/>
        </w:rPr>
        <w:t xml:space="preserve">for the </w:t>
      </w:r>
      <w:r w:rsidR="00CA1439" w:rsidRPr="00785D06">
        <w:rPr>
          <w:sz w:val="20"/>
          <w:szCs w:val="20"/>
          <w:lang w:val="en-US"/>
        </w:rPr>
        <w:t xml:space="preserve">human rights </w:t>
      </w:r>
      <w:r w:rsidR="00C254BF" w:rsidRPr="00785D06">
        <w:rPr>
          <w:sz w:val="20"/>
          <w:szCs w:val="20"/>
          <w:lang w:val="en-US"/>
        </w:rPr>
        <w:t xml:space="preserve">violations </w:t>
      </w:r>
      <w:r w:rsidRPr="00785D06">
        <w:rPr>
          <w:sz w:val="20"/>
          <w:szCs w:val="20"/>
          <w:lang w:val="en-US"/>
        </w:rPr>
        <w:t>in</w:t>
      </w:r>
      <w:r w:rsidR="00C254BF" w:rsidRPr="00785D06">
        <w:rPr>
          <w:sz w:val="20"/>
          <w:szCs w:val="20"/>
          <w:lang w:val="en-US"/>
        </w:rPr>
        <w:t xml:space="preserve"> this case</w:t>
      </w:r>
      <w:r w:rsidRPr="00785D06">
        <w:rPr>
          <w:sz w:val="20"/>
          <w:szCs w:val="20"/>
          <w:lang w:val="en-US"/>
        </w:rPr>
        <w:t>.”</w:t>
      </w:r>
      <w:r w:rsidR="00C254BF" w:rsidRPr="00785D06">
        <w:rPr>
          <w:sz w:val="20"/>
          <w:szCs w:val="20"/>
          <w:lang w:val="en-US"/>
        </w:rPr>
        <w:t xml:space="preserve"> </w:t>
      </w:r>
      <w:r w:rsidRPr="00785D06">
        <w:rPr>
          <w:sz w:val="20"/>
          <w:szCs w:val="20"/>
          <w:lang w:val="en-US"/>
        </w:rPr>
        <w:t>It “offer</w:t>
      </w:r>
      <w:r w:rsidR="00C254BF" w:rsidRPr="00785D06">
        <w:rPr>
          <w:sz w:val="20"/>
          <w:szCs w:val="20"/>
          <w:lang w:val="en-US"/>
        </w:rPr>
        <w:t>[ed] Mrs. Petita [Paulina] Albarracín [Albán] and Denisse [Selena] Guzmán [Albarracín]</w:t>
      </w:r>
      <w:r w:rsidRPr="00785D06">
        <w:rPr>
          <w:sz w:val="20"/>
          <w:szCs w:val="20"/>
          <w:lang w:val="en-US"/>
        </w:rPr>
        <w:t>,”</w:t>
      </w:r>
      <w:r w:rsidR="00C254BF" w:rsidRPr="00785D06">
        <w:rPr>
          <w:sz w:val="20"/>
          <w:szCs w:val="20"/>
          <w:lang w:val="en-US"/>
        </w:rPr>
        <w:t xml:space="preserve"> </w:t>
      </w:r>
      <w:r w:rsidR="00702A87" w:rsidRPr="00785D06">
        <w:rPr>
          <w:sz w:val="20"/>
          <w:szCs w:val="20"/>
          <w:lang w:val="en-US"/>
        </w:rPr>
        <w:t xml:space="preserve">the </w:t>
      </w:r>
      <w:r w:rsidR="00C254BF" w:rsidRPr="00785D06">
        <w:rPr>
          <w:sz w:val="20"/>
          <w:szCs w:val="20"/>
          <w:lang w:val="en-US"/>
        </w:rPr>
        <w:t xml:space="preserve">mother and sister of Paola, respectively, “a public apology for </w:t>
      </w:r>
      <w:r w:rsidRPr="00785D06">
        <w:rPr>
          <w:sz w:val="20"/>
          <w:szCs w:val="20"/>
          <w:lang w:val="en-US"/>
        </w:rPr>
        <w:t>any</w:t>
      </w:r>
      <w:r w:rsidR="00C254BF" w:rsidRPr="00785D06">
        <w:rPr>
          <w:sz w:val="20"/>
          <w:szCs w:val="20"/>
          <w:lang w:val="en-US"/>
        </w:rPr>
        <w:t xml:space="preserve"> actions or omissions </w:t>
      </w:r>
      <w:r w:rsidRPr="00785D06">
        <w:rPr>
          <w:sz w:val="20"/>
          <w:szCs w:val="20"/>
          <w:lang w:val="en-US"/>
        </w:rPr>
        <w:t xml:space="preserve">by </w:t>
      </w:r>
      <w:r w:rsidR="00C254BF" w:rsidRPr="00785D06">
        <w:rPr>
          <w:sz w:val="20"/>
          <w:szCs w:val="20"/>
          <w:lang w:val="en-US"/>
        </w:rPr>
        <w:t xml:space="preserve">the Ecuadorian State that </w:t>
      </w:r>
      <w:r w:rsidR="00702A87" w:rsidRPr="00785D06">
        <w:rPr>
          <w:sz w:val="20"/>
          <w:szCs w:val="20"/>
          <w:lang w:val="en-US"/>
        </w:rPr>
        <w:t xml:space="preserve">may have </w:t>
      </w:r>
      <w:r w:rsidR="00C254BF" w:rsidRPr="00785D06">
        <w:rPr>
          <w:sz w:val="20"/>
          <w:szCs w:val="20"/>
          <w:lang w:val="en-US"/>
        </w:rPr>
        <w:t>violated the</w:t>
      </w:r>
      <w:r w:rsidRPr="00785D06">
        <w:rPr>
          <w:sz w:val="20"/>
          <w:szCs w:val="20"/>
          <w:lang w:val="en-US"/>
        </w:rPr>
        <w:t xml:space="preserve"> rights of Paola Guzmán [and] for</w:t>
      </w:r>
      <w:r w:rsidR="00C254BF" w:rsidRPr="00785D06">
        <w:rPr>
          <w:sz w:val="20"/>
          <w:szCs w:val="20"/>
          <w:lang w:val="en-US"/>
        </w:rPr>
        <w:t xml:space="preserve"> those […] that violated their rights </w:t>
      </w:r>
      <w:r w:rsidR="00CA1439" w:rsidRPr="00785D06">
        <w:rPr>
          <w:sz w:val="20"/>
          <w:szCs w:val="20"/>
          <w:lang w:val="en-US"/>
        </w:rPr>
        <w:t xml:space="preserve">during </w:t>
      </w:r>
      <w:r w:rsidR="00C254BF" w:rsidRPr="00785D06">
        <w:rPr>
          <w:sz w:val="20"/>
          <w:szCs w:val="20"/>
          <w:lang w:val="en-US"/>
        </w:rPr>
        <w:t>the</w:t>
      </w:r>
      <w:r w:rsidRPr="00785D06">
        <w:rPr>
          <w:sz w:val="20"/>
          <w:szCs w:val="20"/>
          <w:lang w:val="en-US"/>
        </w:rPr>
        <w:t xml:space="preserve">ir search for </w:t>
      </w:r>
      <w:r w:rsidR="00C254BF" w:rsidRPr="00785D06">
        <w:rPr>
          <w:sz w:val="20"/>
          <w:szCs w:val="20"/>
          <w:lang w:val="en-US"/>
        </w:rPr>
        <w:t xml:space="preserve">truth and </w:t>
      </w:r>
      <w:r w:rsidR="00702A87" w:rsidRPr="00785D06">
        <w:rPr>
          <w:sz w:val="20"/>
          <w:szCs w:val="20"/>
          <w:lang w:val="en-US"/>
        </w:rPr>
        <w:t>acknowledgement</w:t>
      </w:r>
      <w:r w:rsidR="00C254BF" w:rsidRPr="00785D06">
        <w:rPr>
          <w:sz w:val="20"/>
          <w:szCs w:val="20"/>
          <w:lang w:val="en-US"/>
        </w:rPr>
        <w:t xml:space="preserve">.” The State </w:t>
      </w:r>
      <w:r w:rsidRPr="00785D06">
        <w:rPr>
          <w:sz w:val="20"/>
          <w:szCs w:val="20"/>
          <w:lang w:val="en-US"/>
        </w:rPr>
        <w:t xml:space="preserve">admitted </w:t>
      </w:r>
      <w:r w:rsidR="00C254BF" w:rsidRPr="00785D06">
        <w:rPr>
          <w:sz w:val="20"/>
          <w:szCs w:val="20"/>
          <w:lang w:val="en-US"/>
        </w:rPr>
        <w:t>that it “ha</w:t>
      </w:r>
      <w:r w:rsidRPr="00785D06">
        <w:rPr>
          <w:sz w:val="20"/>
          <w:szCs w:val="20"/>
          <w:lang w:val="en-GB"/>
        </w:rPr>
        <w:t>[</w:t>
      </w:r>
      <w:r w:rsidR="00C254BF" w:rsidRPr="00785D06">
        <w:rPr>
          <w:sz w:val="20"/>
          <w:szCs w:val="20"/>
          <w:lang w:val="en-US"/>
        </w:rPr>
        <w:t>d</w:t>
      </w:r>
      <w:r w:rsidRPr="00785D06">
        <w:rPr>
          <w:sz w:val="20"/>
          <w:szCs w:val="20"/>
          <w:lang w:val="en-US"/>
        </w:rPr>
        <w:t>]</w:t>
      </w:r>
      <w:r w:rsidR="00C254BF" w:rsidRPr="00785D06">
        <w:rPr>
          <w:sz w:val="20"/>
          <w:szCs w:val="20"/>
          <w:lang w:val="en-US"/>
        </w:rPr>
        <w:t xml:space="preserve"> made mistakes and that those failings </w:t>
      </w:r>
      <w:r w:rsidR="003D4669" w:rsidRPr="00785D06">
        <w:rPr>
          <w:sz w:val="20"/>
          <w:szCs w:val="20"/>
          <w:lang w:val="en-US"/>
        </w:rPr>
        <w:t xml:space="preserve">ha[d] </w:t>
      </w:r>
      <w:r w:rsidR="00C254BF" w:rsidRPr="00785D06">
        <w:rPr>
          <w:sz w:val="20"/>
          <w:szCs w:val="20"/>
          <w:lang w:val="en-US"/>
        </w:rPr>
        <w:t>resulted in the violation</w:t>
      </w:r>
      <w:r w:rsidR="00702A87" w:rsidRPr="00785D06">
        <w:rPr>
          <w:sz w:val="20"/>
          <w:szCs w:val="20"/>
          <w:lang w:val="en-US"/>
        </w:rPr>
        <w:t>,</w:t>
      </w:r>
      <w:r w:rsidR="00C254BF" w:rsidRPr="00785D06">
        <w:rPr>
          <w:sz w:val="20"/>
          <w:szCs w:val="20"/>
          <w:lang w:val="en-US"/>
        </w:rPr>
        <w:t xml:space="preserve"> </w:t>
      </w:r>
      <w:r w:rsidR="00702A87" w:rsidRPr="00785D06">
        <w:rPr>
          <w:sz w:val="20"/>
          <w:szCs w:val="20"/>
          <w:lang w:val="en-US"/>
        </w:rPr>
        <w:t>not only of Paola’s r</w:t>
      </w:r>
      <w:r w:rsidR="00C254BF" w:rsidRPr="00785D06">
        <w:rPr>
          <w:sz w:val="20"/>
          <w:szCs w:val="20"/>
          <w:lang w:val="en-US"/>
        </w:rPr>
        <w:t>ights, but also of Mrs. Petita [Paulina Albarracín Albán] and of Denisse [Selena] Guzmán [Albarracín]” (hereinafter, respectively, “Mrs. Albarracín</w:t>
      </w:r>
      <w:r w:rsidR="00702A87" w:rsidRPr="00785D06">
        <w:rPr>
          <w:sz w:val="20"/>
          <w:szCs w:val="20"/>
          <w:lang w:val="en-US"/>
        </w:rPr>
        <w:t>,”</w:t>
      </w:r>
      <w:r w:rsidR="00C254BF" w:rsidRPr="00785D06">
        <w:rPr>
          <w:sz w:val="20"/>
          <w:szCs w:val="20"/>
          <w:lang w:val="en-US"/>
        </w:rPr>
        <w:t xml:space="preserve"> “Mrs. Petita</w:t>
      </w:r>
      <w:r w:rsidR="00702A87" w:rsidRPr="00785D06">
        <w:rPr>
          <w:sz w:val="20"/>
          <w:szCs w:val="20"/>
          <w:lang w:val="en-US"/>
        </w:rPr>
        <w:t>,”</w:t>
      </w:r>
      <w:r w:rsidR="00C254BF" w:rsidRPr="00785D06">
        <w:rPr>
          <w:sz w:val="20"/>
          <w:szCs w:val="20"/>
          <w:lang w:val="en-US"/>
        </w:rPr>
        <w:t xml:space="preserve"> or “Petita Albarracín</w:t>
      </w:r>
      <w:r w:rsidRPr="00785D06">
        <w:rPr>
          <w:sz w:val="20"/>
          <w:szCs w:val="20"/>
          <w:lang w:val="en-US"/>
        </w:rPr>
        <w:t>,”</w:t>
      </w:r>
      <w:r w:rsidR="00C254BF" w:rsidRPr="00785D06">
        <w:rPr>
          <w:sz w:val="20"/>
          <w:szCs w:val="20"/>
          <w:lang w:val="en-US"/>
        </w:rPr>
        <w:t xml:space="preserve"> and “Denisse Guzmán” or “Denisse”). </w:t>
      </w:r>
      <w:r w:rsidRPr="00785D06">
        <w:rPr>
          <w:sz w:val="20"/>
          <w:szCs w:val="20"/>
          <w:lang w:val="en-US"/>
        </w:rPr>
        <w:t>A</w:t>
      </w:r>
      <w:r w:rsidR="00C254BF" w:rsidRPr="00785D06">
        <w:rPr>
          <w:rFonts w:eastAsia="Times New Roman"/>
          <w:sz w:val="20"/>
          <w:szCs w:val="20"/>
          <w:lang w:val="en-US" w:eastAsia="es-ES" w:bidi="es-ES"/>
        </w:rPr>
        <w:t xml:space="preserve">s measures of reparation, </w:t>
      </w:r>
      <w:r w:rsidR="00C254BF" w:rsidRPr="00785D06">
        <w:rPr>
          <w:sz w:val="20"/>
          <w:szCs w:val="20"/>
          <w:lang w:val="en-US"/>
        </w:rPr>
        <w:t xml:space="preserve">Ecuador </w:t>
      </w:r>
      <w:r w:rsidR="00CA1439" w:rsidRPr="00785D06">
        <w:rPr>
          <w:sz w:val="20"/>
          <w:szCs w:val="20"/>
          <w:lang w:val="en-US"/>
        </w:rPr>
        <w:t xml:space="preserve">offered to declare </w:t>
      </w:r>
      <w:r w:rsidR="00C254BF" w:rsidRPr="00785D06">
        <w:rPr>
          <w:rFonts w:eastAsia="Times New Roman"/>
          <w:sz w:val="20"/>
          <w:szCs w:val="20"/>
          <w:lang w:val="en-US" w:eastAsia="es-ES" w:bidi="es-ES"/>
        </w:rPr>
        <w:t xml:space="preserve">an official day against sexual violence in </w:t>
      </w:r>
      <w:r w:rsidRPr="00785D06">
        <w:rPr>
          <w:rFonts w:eastAsia="Times New Roman"/>
          <w:sz w:val="20"/>
          <w:szCs w:val="20"/>
          <w:lang w:val="en-US" w:eastAsia="es-ES" w:bidi="es-ES"/>
        </w:rPr>
        <w:t xml:space="preserve">schools </w:t>
      </w:r>
      <w:r w:rsidR="00C254BF" w:rsidRPr="00785D06">
        <w:rPr>
          <w:rFonts w:eastAsia="Times New Roman"/>
          <w:sz w:val="20"/>
          <w:szCs w:val="20"/>
          <w:lang w:val="en-US" w:eastAsia="es-ES" w:bidi="es-ES"/>
        </w:rPr>
        <w:t>and t</w:t>
      </w:r>
      <w:r w:rsidR="00CA1439" w:rsidRPr="00785D06">
        <w:rPr>
          <w:rFonts w:eastAsia="Times New Roman"/>
          <w:sz w:val="20"/>
          <w:szCs w:val="20"/>
          <w:lang w:val="en-US" w:eastAsia="es-ES" w:bidi="es-ES"/>
        </w:rPr>
        <w:t xml:space="preserve">o </w:t>
      </w:r>
      <w:r w:rsidR="00C254BF" w:rsidRPr="00785D06">
        <w:rPr>
          <w:rFonts w:eastAsia="Times New Roman"/>
          <w:sz w:val="20"/>
          <w:szCs w:val="20"/>
          <w:lang w:val="en-US" w:eastAsia="es-ES" w:bidi="es-ES"/>
        </w:rPr>
        <w:t xml:space="preserve">award </w:t>
      </w:r>
      <w:r w:rsidR="00CA1439" w:rsidRPr="00785D06">
        <w:rPr>
          <w:rFonts w:eastAsia="Times New Roman"/>
          <w:sz w:val="20"/>
          <w:szCs w:val="20"/>
          <w:lang w:val="en-US" w:eastAsia="es-ES" w:bidi="es-ES"/>
        </w:rPr>
        <w:t xml:space="preserve">Paola a </w:t>
      </w:r>
      <w:r w:rsidR="00C254BF" w:rsidRPr="00785D06">
        <w:rPr>
          <w:rFonts w:eastAsia="Times New Roman"/>
          <w:sz w:val="20"/>
          <w:szCs w:val="20"/>
          <w:lang w:val="en-US" w:eastAsia="es-ES" w:bidi="es-ES"/>
        </w:rPr>
        <w:t xml:space="preserve">posthumous high school diploma in the context of a public event. </w:t>
      </w:r>
    </w:p>
    <w:p w14:paraId="10A7C372" w14:textId="77777777" w:rsidR="00C254BF" w:rsidRPr="00785D06" w:rsidRDefault="00C254BF" w:rsidP="00C254BF">
      <w:pPr>
        <w:pStyle w:val="Prrafodelista"/>
        <w:ind w:left="0"/>
        <w:contextualSpacing w:val="0"/>
        <w:jc w:val="both"/>
        <w:rPr>
          <w:sz w:val="20"/>
          <w:szCs w:val="20"/>
          <w:lang w:val="en-US"/>
        </w:rPr>
      </w:pPr>
    </w:p>
    <w:p w14:paraId="0F01B6E5" w14:textId="77777777" w:rsidR="00C254BF" w:rsidRPr="00785D06" w:rsidRDefault="00C254BF" w:rsidP="00C254BF">
      <w:pPr>
        <w:pStyle w:val="Prrafodelista"/>
        <w:numPr>
          <w:ilvl w:val="0"/>
          <w:numId w:val="2"/>
        </w:numPr>
        <w:ind w:left="0" w:firstLine="0"/>
        <w:contextualSpacing w:val="0"/>
        <w:jc w:val="both"/>
        <w:rPr>
          <w:sz w:val="20"/>
          <w:szCs w:val="20"/>
          <w:lang w:val="en-US"/>
        </w:rPr>
      </w:pPr>
      <w:r w:rsidRPr="00785D06">
        <w:rPr>
          <w:sz w:val="20"/>
          <w:szCs w:val="20"/>
          <w:lang w:val="en-US"/>
        </w:rPr>
        <w:t xml:space="preserve">The </w:t>
      </w:r>
      <w:r w:rsidRPr="00785D06">
        <w:rPr>
          <w:b/>
          <w:i/>
          <w:sz w:val="20"/>
          <w:szCs w:val="20"/>
          <w:lang w:val="en-US"/>
        </w:rPr>
        <w:t>representatives</w:t>
      </w:r>
      <w:r w:rsidRPr="00785D06">
        <w:rPr>
          <w:sz w:val="20"/>
          <w:szCs w:val="20"/>
          <w:lang w:val="en-US"/>
        </w:rPr>
        <w:t xml:space="preserve"> pointed out that the State’s acknowledgement was made “under a confused </w:t>
      </w:r>
      <w:r w:rsidR="003D4669" w:rsidRPr="00785D06">
        <w:rPr>
          <w:sz w:val="20"/>
          <w:szCs w:val="20"/>
          <w:lang w:val="en-US"/>
        </w:rPr>
        <w:t>rationale</w:t>
      </w:r>
      <w:r w:rsidRPr="00785D06">
        <w:rPr>
          <w:sz w:val="20"/>
          <w:szCs w:val="20"/>
          <w:lang w:val="en-US"/>
        </w:rPr>
        <w:t xml:space="preserve">,” since Ecuador </w:t>
      </w:r>
      <w:r w:rsidR="00CA1439" w:rsidRPr="00785D06">
        <w:rPr>
          <w:sz w:val="20"/>
          <w:szCs w:val="20"/>
          <w:lang w:val="en-US"/>
        </w:rPr>
        <w:t xml:space="preserve">referred to </w:t>
      </w:r>
      <w:r w:rsidR="003D4669" w:rsidRPr="00785D06">
        <w:rPr>
          <w:sz w:val="20"/>
          <w:szCs w:val="20"/>
          <w:lang w:val="en-US"/>
        </w:rPr>
        <w:t xml:space="preserve">several </w:t>
      </w:r>
      <w:r w:rsidR="00CA1439" w:rsidRPr="00785D06">
        <w:rPr>
          <w:sz w:val="20"/>
          <w:szCs w:val="20"/>
          <w:lang w:val="en-US"/>
        </w:rPr>
        <w:t>facts of the case</w:t>
      </w:r>
      <w:r w:rsidRPr="00785D06">
        <w:rPr>
          <w:sz w:val="20"/>
          <w:szCs w:val="20"/>
          <w:lang w:val="en-US"/>
        </w:rPr>
        <w:t xml:space="preserve"> but without clarifying “the legal implications of that </w:t>
      </w:r>
      <w:r w:rsidR="003D4669" w:rsidRPr="00785D06">
        <w:rPr>
          <w:sz w:val="20"/>
          <w:szCs w:val="20"/>
          <w:lang w:val="en-US"/>
        </w:rPr>
        <w:t>acknowledgement</w:t>
      </w:r>
      <w:r w:rsidR="00D16F83" w:rsidRPr="00785D06">
        <w:rPr>
          <w:sz w:val="20"/>
          <w:szCs w:val="20"/>
          <w:lang w:val="en-US"/>
        </w:rPr>
        <w:t>.”</w:t>
      </w:r>
      <w:r w:rsidRPr="00785D06">
        <w:rPr>
          <w:sz w:val="20"/>
          <w:szCs w:val="20"/>
          <w:lang w:val="en-US"/>
        </w:rPr>
        <w:t xml:space="preserve"> The </w:t>
      </w:r>
      <w:r w:rsidRPr="00785D06">
        <w:rPr>
          <w:b/>
          <w:i/>
          <w:sz w:val="20"/>
          <w:szCs w:val="20"/>
          <w:lang w:val="en-US"/>
        </w:rPr>
        <w:t>Commission</w:t>
      </w:r>
      <w:r w:rsidRPr="00785D06">
        <w:rPr>
          <w:b/>
          <w:bCs/>
          <w:i/>
          <w:iCs/>
          <w:sz w:val="20"/>
          <w:szCs w:val="20"/>
          <w:lang w:val="en-US"/>
        </w:rPr>
        <w:t xml:space="preserve"> </w:t>
      </w:r>
      <w:r w:rsidRPr="00785D06">
        <w:rPr>
          <w:rFonts w:eastAsia="Calibri"/>
          <w:sz w:val="20"/>
          <w:szCs w:val="20"/>
          <w:lang w:val="en-US"/>
        </w:rPr>
        <w:t>a</w:t>
      </w:r>
      <w:r w:rsidR="00CA1439" w:rsidRPr="00785D06">
        <w:rPr>
          <w:rFonts w:eastAsia="Calibri"/>
          <w:sz w:val="20"/>
          <w:szCs w:val="20"/>
          <w:lang w:val="en-US"/>
        </w:rPr>
        <w:t>lso a</w:t>
      </w:r>
      <w:r w:rsidRPr="00785D06">
        <w:rPr>
          <w:rFonts w:eastAsia="Calibri"/>
          <w:sz w:val="20"/>
          <w:szCs w:val="20"/>
          <w:lang w:val="en-US"/>
        </w:rPr>
        <w:t xml:space="preserve">ssessed the </w:t>
      </w:r>
      <w:r w:rsidR="00CA1439" w:rsidRPr="00785D06">
        <w:rPr>
          <w:rFonts w:eastAsia="Calibri"/>
          <w:sz w:val="20"/>
          <w:szCs w:val="20"/>
          <w:lang w:val="en-US"/>
        </w:rPr>
        <w:t xml:space="preserve">State’s </w:t>
      </w:r>
      <w:r w:rsidR="00CA1439" w:rsidRPr="00785D06">
        <w:rPr>
          <w:sz w:val="20"/>
          <w:szCs w:val="20"/>
          <w:lang w:val="en-US"/>
        </w:rPr>
        <w:t>acquiescence</w:t>
      </w:r>
      <w:r w:rsidRPr="00785D06">
        <w:rPr>
          <w:rFonts w:eastAsia="Calibri"/>
          <w:sz w:val="20"/>
          <w:szCs w:val="20"/>
          <w:lang w:val="en-US"/>
        </w:rPr>
        <w:t xml:space="preserve">; however, given the lack of clarity, </w:t>
      </w:r>
      <w:r w:rsidR="00CA1439" w:rsidRPr="00785D06">
        <w:rPr>
          <w:rFonts w:eastAsia="Calibri"/>
          <w:sz w:val="20"/>
          <w:szCs w:val="20"/>
          <w:lang w:val="en-US"/>
        </w:rPr>
        <w:t xml:space="preserve">it </w:t>
      </w:r>
      <w:r w:rsidRPr="00785D06">
        <w:rPr>
          <w:rFonts w:eastAsia="Calibri"/>
          <w:sz w:val="20"/>
          <w:szCs w:val="20"/>
          <w:lang w:val="en-US"/>
        </w:rPr>
        <w:t xml:space="preserve">considered it necessary that the Court </w:t>
      </w:r>
      <w:r w:rsidR="003D4669" w:rsidRPr="00785D06">
        <w:rPr>
          <w:rFonts w:eastAsia="Calibri"/>
          <w:sz w:val="20"/>
          <w:szCs w:val="20"/>
          <w:lang w:val="en-US"/>
        </w:rPr>
        <w:t xml:space="preserve">resolve </w:t>
      </w:r>
      <w:r w:rsidRPr="00785D06">
        <w:rPr>
          <w:rFonts w:eastAsia="Calibri"/>
          <w:sz w:val="20"/>
          <w:szCs w:val="20"/>
          <w:lang w:val="en-US"/>
        </w:rPr>
        <w:t>th</w:t>
      </w:r>
      <w:r w:rsidR="003D4669" w:rsidRPr="00785D06">
        <w:rPr>
          <w:rFonts w:eastAsia="Calibri"/>
          <w:sz w:val="20"/>
          <w:szCs w:val="20"/>
          <w:lang w:val="en-US"/>
        </w:rPr>
        <w:t>os</w:t>
      </w:r>
      <w:r w:rsidRPr="00785D06">
        <w:rPr>
          <w:rFonts w:eastAsia="Calibri"/>
          <w:sz w:val="20"/>
          <w:szCs w:val="20"/>
          <w:lang w:val="en-US"/>
        </w:rPr>
        <w:t xml:space="preserve">e matters </w:t>
      </w:r>
      <w:r w:rsidR="003D4669" w:rsidRPr="00785D06">
        <w:rPr>
          <w:rFonts w:eastAsia="Calibri"/>
          <w:sz w:val="20"/>
          <w:szCs w:val="20"/>
          <w:lang w:val="en-US"/>
        </w:rPr>
        <w:t xml:space="preserve">still </w:t>
      </w:r>
      <w:r w:rsidRPr="00785D06">
        <w:rPr>
          <w:rFonts w:eastAsia="Calibri"/>
          <w:sz w:val="20"/>
          <w:szCs w:val="20"/>
          <w:lang w:val="en-US"/>
        </w:rPr>
        <w:t>in dispute</w:t>
      </w:r>
      <w:r w:rsidR="003D4669" w:rsidRPr="00785D06">
        <w:rPr>
          <w:rFonts w:eastAsia="Calibri"/>
          <w:sz w:val="20"/>
          <w:szCs w:val="20"/>
          <w:lang w:val="en-US"/>
        </w:rPr>
        <w:t xml:space="preserve"> in its judgment</w:t>
      </w:r>
      <w:r w:rsidRPr="00785D06">
        <w:rPr>
          <w:rFonts w:eastAsia="Calibri"/>
          <w:sz w:val="20"/>
          <w:szCs w:val="20"/>
          <w:lang w:val="en-US"/>
        </w:rPr>
        <w:t xml:space="preserve">. </w:t>
      </w:r>
      <w:r w:rsidR="00CA1439" w:rsidRPr="00785D06">
        <w:rPr>
          <w:rFonts w:eastAsia="Calibri"/>
          <w:sz w:val="20"/>
          <w:szCs w:val="20"/>
          <w:lang w:val="en-US"/>
        </w:rPr>
        <w:t>I</w:t>
      </w:r>
      <w:r w:rsidRPr="00785D06">
        <w:rPr>
          <w:sz w:val="20"/>
          <w:szCs w:val="20"/>
          <w:lang w:val="en-US"/>
        </w:rPr>
        <w:t xml:space="preserve">t </w:t>
      </w:r>
      <w:r w:rsidR="00CA1439" w:rsidRPr="00785D06">
        <w:rPr>
          <w:sz w:val="20"/>
          <w:szCs w:val="20"/>
          <w:lang w:val="en-US"/>
        </w:rPr>
        <w:t xml:space="preserve">also </w:t>
      </w:r>
      <w:r w:rsidRPr="00785D06">
        <w:rPr>
          <w:sz w:val="20"/>
          <w:szCs w:val="20"/>
          <w:lang w:val="en-US"/>
        </w:rPr>
        <w:t>considered that the State’s comments were not an acknowledgement of responsibility</w:t>
      </w:r>
      <w:r w:rsidR="003D4669" w:rsidRPr="00785D06">
        <w:rPr>
          <w:sz w:val="20"/>
          <w:szCs w:val="20"/>
          <w:lang w:val="en-US"/>
        </w:rPr>
        <w:t>,</w:t>
      </w:r>
      <w:r w:rsidRPr="00785D06">
        <w:rPr>
          <w:sz w:val="20"/>
          <w:szCs w:val="20"/>
          <w:lang w:val="en-US"/>
        </w:rPr>
        <w:t xml:space="preserve"> but </w:t>
      </w:r>
      <w:r w:rsidR="003D4669" w:rsidRPr="00785D06">
        <w:rPr>
          <w:sz w:val="20"/>
          <w:szCs w:val="20"/>
          <w:lang w:val="en-US"/>
        </w:rPr>
        <w:t xml:space="preserve">rather </w:t>
      </w:r>
      <w:r w:rsidRPr="00785D06">
        <w:rPr>
          <w:sz w:val="20"/>
          <w:szCs w:val="20"/>
          <w:lang w:val="en-US"/>
        </w:rPr>
        <w:t>an acknowledgement of facts.</w:t>
      </w:r>
    </w:p>
    <w:p w14:paraId="4FD237CC" w14:textId="77777777" w:rsidR="00C254BF" w:rsidRPr="00785D06" w:rsidRDefault="00C254BF" w:rsidP="00C254BF">
      <w:pPr>
        <w:pStyle w:val="Prrafodelista"/>
        <w:ind w:left="0"/>
        <w:contextualSpacing w:val="0"/>
        <w:jc w:val="both"/>
        <w:rPr>
          <w:sz w:val="20"/>
          <w:szCs w:val="20"/>
          <w:lang w:val="en-US"/>
        </w:rPr>
      </w:pPr>
      <w:r w:rsidRPr="00785D06">
        <w:rPr>
          <w:sz w:val="20"/>
          <w:szCs w:val="20"/>
          <w:lang w:val="en-US"/>
        </w:rPr>
        <w:t xml:space="preserve"> </w:t>
      </w:r>
    </w:p>
    <w:p w14:paraId="4EB36753" w14:textId="77777777" w:rsidR="00C254BF" w:rsidRPr="00785D06" w:rsidRDefault="00C254BF" w:rsidP="00C254BF">
      <w:pPr>
        <w:pStyle w:val="Prrafodelista"/>
        <w:numPr>
          <w:ilvl w:val="0"/>
          <w:numId w:val="11"/>
        </w:numPr>
        <w:ind w:left="284" w:firstLine="0"/>
        <w:jc w:val="both"/>
        <w:outlineLvl w:val="1"/>
        <w:rPr>
          <w:b/>
          <w:bCs/>
          <w:i/>
          <w:iCs/>
          <w:sz w:val="20"/>
          <w:szCs w:val="20"/>
          <w:lang w:val="en-US"/>
        </w:rPr>
      </w:pPr>
      <w:bookmarkStart w:id="57" w:name="_Toc42498028"/>
      <w:bookmarkStart w:id="58" w:name="_Toc46937276"/>
      <w:r w:rsidRPr="00785D06">
        <w:rPr>
          <w:b/>
          <w:bCs/>
          <w:i/>
          <w:iCs/>
          <w:sz w:val="20"/>
          <w:szCs w:val="20"/>
          <w:lang w:val="en-US"/>
        </w:rPr>
        <w:t>Considerations of the Court</w:t>
      </w:r>
      <w:bookmarkEnd w:id="57"/>
      <w:bookmarkEnd w:id="58"/>
    </w:p>
    <w:p w14:paraId="538FA94D" w14:textId="77777777" w:rsidR="00C254BF" w:rsidRPr="00785D06" w:rsidRDefault="00C254BF" w:rsidP="00C254BF">
      <w:pPr>
        <w:pStyle w:val="Prrafodelista"/>
        <w:ind w:left="1068"/>
        <w:rPr>
          <w:lang w:val="en-US"/>
        </w:rPr>
      </w:pPr>
    </w:p>
    <w:p w14:paraId="495EDA1F" w14:textId="77777777" w:rsidR="00C254BF" w:rsidRPr="00785D06" w:rsidRDefault="00D16F83" w:rsidP="00C254BF">
      <w:pPr>
        <w:pStyle w:val="Prrafodelista"/>
        <w:numPr>
          <w:ilvl w:val="0"/>
          <w:numId w:val="2"/>
        </w:numPr>
        <w:ind w:left="0" w:firstLine="0"/>
        <w:contextualSpacing w:val="0"/>
        <w:jc w:val="both"/>
        <w:rPr>
          <w:sz w:val="20"/>
          <w:szCs w:val="20"/>
          <w:lang w:val="en-US"/>
        </w:rPr>
      </w:pPr>
      <w:r w:rsidRPr="00785D06">
        <w:rPr>
          <w:sz w:val="20"/>
          <w:szCs w:val="20"/>
          <w:lang w:val="en-US"/>
        </w:rPr>
        <w:t xml:space="preserve">Pursuant to </w:t>
      </w:r>
      <w:r w:rsidR="00C254BF" w:rsidRPr="00785D06">
        <w:rPr>
          <w:spacing w:val="-2"/>
          <w:sz w:val="20"/>
          <w:szCs w:val="20"/>
          <w:lang w:val="en-US"/>
        </w:rPr>
        <w:t>Articles 62 and 64 of the Rules, a</w:t>
      </w:r>
      <w:r w:rsidRPr="00785D06">
        <w:rPr>
          <w:spacing w:val="-2"/>
          <w:sz w:val="20"/>
          <w:szCs w:val="20"/>
          <w:lang w:val="en-US"/>
        </w:rPr>
        <w:t xml:space="preserve">nd in exercise of its authority </w:t>
      </w:r>
      <w:r w:rsidR="00CA1439" w:rsidRPr="00785D06">
        <w:rPr>
          <w:spacing w:val="-2"/>
          <w:sz w:val="20"/>
          <w:szCs w:val="20"/>
          <w:lang w:val="en-US"/>
        </w:rPr>
        <w:t xml:space="preserve">in relation to the </w:t>
      </w:r>
      <w:r w:rsidR="00C254BF" w:rsidRPr="00785D06">
        <w:rPr>
          <w:spacing w:val="-2"/>
          <w:sz w:val="20"/>
          <w:szCs w:val="20"/>
          <w:lang w:val="en-US"/>
        </w:rPr>
        <w:t xml:space="preserve">international protection of human rights, </w:t>
      </w:r>
      <w:r w:rsidRPr="00785D06">
        <w:rPr>
          <w:spacing w:val="-2"/>
          <w:sz w:val="20"/>
          <w:szCs w:val="20"/>
          <w:lang w:val="en-US"/>
        </w:rPr>
        <w:t xml:space="preserve">a matter of </w:t>
      </w:r>
      <w:r w:rsidR="00C254BF" w:rsidRPr="00785D06">
        <w:rPr>
          <w:spacing w:val="-2"/>
          <w:sz w:val="20"/>
          <w:szCs w:val="20"/>
          <w:lang w:val="en-US"/>
        </w:rPr>
        <w:t xml:space="preserve">international public order, </w:t>
      </w:r>
      <w:r w:rsidRPr="00785D06">
        <w:rPr>
          <w:sz w:val="20"/>
          <w:szCs w:val="20"/>
          <w:lang w:val="en-US"/>
        </w:rPr>
        <w:t>the Court must ensure that such acts are acceptable for the purposes sought by the Inter-American System</w:t>
      </w:r>
      <w:r w:rsidRPr="00785D06">
        <w:rPr>
          <w:spacing w:val="-2"/>
          <w:sz w:val="20"/>
          <w:szCs w:val="20"/>
          <w:lang w:val="en-US"/>
        </w:rPr>
        <w:t>.</w:t>
      </w:r>
      <w:r w:rsidR="00C254BF" w:rsidRPr="00785D06">
        <w:rPr>
          <w:sz w:val="20"/>
          <w:szCs w:val="20"/>
          <w:vertAlign w:val="superscript"/>
          <w:lang w:val="en-US"/>
        </w:rPr>
        <w:footnoteReference w:id="18"/>
      </w:r>
      <w:r w:rsidR="00C254BF" w:rsidRPr="00785D06">
        <w:rPr>
          <w:spacing w:val="-2"/>
          <w:sz w:val="20"/>
          <w:szCs w:val="20"/>
          <w:lang w:val="en-US"/>
        </w:rPr>
        <w:t xml:space="preserve"> </w:t>
      </w:r>
      <w:r w:rsidR="00C254BF" w:rsidRPr="00785D06">
        <w:rPr>
          <w:sz w:val="20"/>
          <w:szCs w:val="20"/>
          <w:lang w:val="en-US"/>
        </w:rPr>
        <w:t xml:space="preserve">The Court will </w:t>
      </w:r>
      <w:r w:rsidR="00F67706" w:rsidRPr="00785D06">
        <w:rPr>
          <w:sz w:val="20"/>
          <w:szCs w:val="20"/>
          <w:lang w:val="en-US"/>
        </w:rPr>
        <w:t xml:space="preserve">now </w:t>
      </w:r>
      <w:r w:rsidR="00C254BF" w:rsidRPr="00785D06">
        <w:rPr>
          <w:sz w:val="20"/>
          <w:szCs w:val="20"/>
          <w:lang w:val="en-US"/>
        </w:rPr>
        <w:t>proceed to analyze the situation in this specific case.</w:t>
      </w:r>
    </w:p>
    <w:p w14:paraId="56E2A75C" w14:textId="77777777" w:rsidR="00C254BF" w:rsidRPr="00785D06" w:rsidRDefault="00C254BF" w:rsidP="00C254BF">
      <w:pPr>
        <w:pStyle w:val="Prrafodelista"/>
        <w:ind w:left="0"/>
        <w:contextualSpacing w:val="0"/>
        <w:jc w:val="both"/>
        <w:rPr>
          <w:sz w:val="20"/>
          <w:szCs w:val="20"/>
          <w:lang w:val="en-US"/>
        </w:rPr>
      </w:pPr>
    </w:p>
    <w:p w14:paraId="503B54EE" w14:textId="77777777" w:rsidR="00C254BF" w:rsidRPr="00785D06" w:rsidRDefault="00C254BF" w:rsidP="00C254BF">
      <w:pPr>
        <w:pStyle w:val="Prrafodelista"/>
        <w:numPr>
          <w:ilvl w:val="0"/>
          <w:numId w:val="2"/>
        </w:numPr>
        <w:ind w:left="0" w:firstLine="0"/>
        <w:contextualSpacing w:val="0"/>
        <w:jc w:val="both"/>
        <w:rPr>
          <w:sz w:val="20"/>
          <w:szCs w:val="20"/>
          <w:lang w:val="en-US"/>
        </w:rPr>
      </w:pPr>
      <w:r w:rsidRPr="00785D06">
        <w:rPr>
          <w:sz w:val="20"/>
          <w:szCs w:val="20"/>
          <w:lang w:val="en-US"/>
        </w:rPr>
        <w:t xml:space="preserve">The Court asked the State to specify the scope of </w:t>
      </w:r>
      <w:r w:rsidR="003D4669" w:rsidRPr="00785D06">
        <w:rPr>
          <w:sz w:val="20"/>
          <w:szCs w:val="20"/>
          <w:lang w:val="en-US"/>
        </w:rPr>
        <w:t xml:space="preserve">the </w:t>
      </w:r>
      <w:r w:rsidRPr="00785D06">
        <w:rPr>
          <w:sz w:val="20"/>
          <w:szCs w:val="20"/>
          <w:lang w:val="en-US"/>
        </w:rPr>
        <w:t xml:space="preserve">acknowledgement </w:t>
      </w:r>
      <w:r w:rsidR="00CA1439" w:rsidRPr="00785D06">
        <w:rPr>
          <w:sz w:val="20"/>
          <w:szCs w:val="20"/>
          <w:lang w:val="en-US"/>
        </w:rPr>
        <w:t xml:space="preserve">presented </w:t>
      </w:r>
      <w:r w:rsidRPr="00785D06">
        <w:rPr>
          <w:sz w:val="20"/>
          <w:szCs w:val="20"/>
          <w:lang w:val="en-US"/>
        </w:rPr>
        <w:t xml:space="preserve">in its final written arguments. The State </w:t>
      </w:r>
      <w:r w:rsidR="002810F0" w:rsidRPr="00785D06">
        <w:rPr>
          <w:sz w:val="20"/>
          <w:szCs w:val="20"/>
          <w:lang w:val="en-US"/>
        </w:rPr>
        <w:t xml:space="preserve">explained </w:t>
      </w:r>
      <w:r w:rsidRPr="00785D06">
        <w:rPr>
          <w:sz w:val="20"/>
          <w:szCs w:val="20"/>
          <w:lang w:val="en-US"/>
        </w:rPr>
        <w:t xml:space="preserve">that its intention was to </w:t>
      </w:r>
      <w:r w:rsidR="001F5502" w:rsidRPr="00785D06">
        <w:rPr>
          <w:sz w:val="20"/>
          <w:szCs w:val="20"/>
          <w:lang w:val="en-US"/>
        </w:rPr>
        <w:t xml:space="preserve">acknowledge </w:t>
      </w:r>
      <w:r w:rsidRPr="00785D06">
        <w:rPr>
          <w:sz w:val="20"/>
          <w:szCs w:val="20"/>
          <w:lang w:val="en-US"/>
        </w:rPr>
        <w:t xml:space="preserve">the facts </w:t>
      </w:r>
      <w:r w:rsidR="001F5502" w:rsidRPr="00785D06">
        <w:rPr>
          <w:sz w:val="20"/>
          <w:szCs w:val="20"/>
          <w:lang w:val="en-US"/>
        </w:rPr>
        <w:t xml:space="preserve">indicated </w:t>
      </w:r>
      <w:r w:rsidRPr="00785D06">
        <w:rPr>
          <w:sz w:val="20"/>
          <w:szCs w:val="20"/>
          <w:lang w:val="en-US"/>
        </w:rPr>
        <w:t xml:space="preserve">“for evidentiary purposes” and that the Court, pursuant to Article 62 of the Rules, </w:t>
      </w:r>
      <w:r w:rsidR="002810F0" w:rsidRPr="00785D06">
        <w:rPr>
          <w:sz w:val="20"/>
          <w:szCs w:val="20"/>
          <w:lang w:val="en-US"/>
        </w:rPr>
        <w:t>could co</w:t>
      </w:r>
      <w:r w:rsidR="003D4669" w:rsidRPr="00785D06">
        <w:rPr>
          <w:sz w:val="20"/>
          <w:szCs w:val="20"/>
          <w:lang w:val="en-US"/>
        </w:rPr>
        <w:t>nfer on tho</w:t>
      </w:r>
      <w:r w:rsidRPr="00785D06">
        <w:rPr>
          <w:sz w:val="20"/>
          <w:szCs w:val="20"/>
          <w:lang w:val="en-US"/>
        </w:rPr>
        <w:t xml:space="preserve">se </w:t>
      </w:r>
      <w:r w:rsidR="003D4669" w:rsidRPr="00785D06">
        <w:rPr>
          <w:sz w:val="20"/>
          <w:szCs w:val="20"/>
          <w:lang w:val="en-US"/>
        </w:rPr>
        <w:t xml:space="preserve">facts </w:t>
      </w:r>
      <w:r w:rsidRPr="00785D06">
        <w:rPr>
          <w:sz w:val="20"/>
          <w:szCs w:val="20"/>
          <w:lang w:val="en-US"/>
        </w:rPr>
        <w:t xml:space="preserve">the legal effects </w:t>
      </w:r>
      <w:r w:rsidR="001F5502" w:rsidRPr="00785D06">
        <w:rPr>
          <w:sz w:val="20"/>
          <w:szCs w:val="20"/>
          <w:lang w:val="en-US"/>
        </w:rPr>
        <w:t>it deemed pertinent</w:t>
      </w:r>
      <w:r w:rsidRPr="00785D06">
        <w:rPr>
          <w:sz w:val="20"/>
          <w:szCs w:val="20"/>
          <w:lang w:val="en-US"/>
        </w:rPr>
        <w:t xml:space="preserve">. </w:t>
      </w:r>
      <w:r w:rsidR="003C273A" w:rsidRPr="00785D06">
        <w:rPr>
          <w:sz w:val="20"/>
          <w:szCs w:val="20"/>
          <w:lang w:val="en-US"/>
        </w:rPr>
        <w:t xml:space="preserve">However, </w:t>
      </w:r>
      <w:r w:rsidRPr="00785D06">
        <w:rPr>
          <w:sz w:val="20"/>
          <w:szCs w:val="20"/>
          <w:lang w:val="en-US"/>
        </w:rPr>
        <w:t xml:space="preserve">from the </w:t>
      </w:r>
      <w:r w:rsidR="003B524F" w:rsidRPr="00785D06">
        <w:rPr>
          <w:sz w:val="20"/>
          <w:szCs w:val="20"/>
          <w:lang w:val="en-US"/>
        </w:rPr>
        <w:t xml:space="preserve">foregoing </w:t>
      </w:r>
      <w:r w:rsidR="003D4669" w:rsidRPr="00785D06">
        <w:rPr>
          <w:sz w:val="20"/>
          <w:szCs w:val="20"/>
          <w:lang w:val="en-US"/>
        </w:rPr>
        <w:t xml:space="preserve">arguments, </w:t>
      </w:r>
      <w:r w:rsidRPr="00785D06">
        <w:rPr>
          <w:sz w:val="20"/>
          <w:szCs w:val="20"/>
          <w:lang w:val="en-US"/>
        </w:rPr>
        <w:t xml:space="preserve">it appears that the State </w:t>
      </w:r>
      <w:r w:rsidR="003B524F" w:rsidRPr="00785D06">
        <w:rPr>
          <w:sz w:val="20"/>
          <w:szCs w:val="20"/>
          <w:lang w:val="en-US"/>
        </w:rPr>
        <w:t xml:space="preserve">acknowledged </w:t>
      </w:r>
      <w:r w:rsidR="00027FE6" w:rsidRPr="00785D06">
        <w:rPr>
          <w:sz w:val="20"/>
          <w:szCs w:val="20"/>
          <w:lang w:val="en-US"/>
        </w:rPr>
        <w:t xml:space="preserve">that it </w:t>
      </w:r>
      <w:r w:rsidRPr="00785D06">
        <w:rPr>
          <w:sz w:val="20"/>
          <w:szCs w:val="20"/>
          <w:lang w:val="en-US"/>
        </w:rPr>
        <w:t xml:space="preserve">committed human rights violations and </w:t>
      </w:r>
      <w:r w:rsidR="00EA1187" w:rsidRPr="00785D06">
        <w:rPr>
          <w:sz w:val="20"/>
          <w:szCs w:val="20"/>
          <w:lang w:val="en-US"/>
        </w:rPr>
        <w:t xml:space="preserve">considered </w:t>
      </w:r>
      <w:r w:rsidRPr="00785D06">
        <w:rPr>
          <w:sz w:val="20"/>
          <w:szCs w:val="20"/>
          <w:lang w:val="en-US"/>
        </w:rPr>
        <w:t>the measures of reparation</w:t>
      </w:r>
      <w:r w:rsidR="00EA1187" w:rsidRPr="00785D06">
        <w:rPr>
          <w:sz w:val="20"/>
          <w:szCs w:val="20"/>
          <w:lang w:val="en-US"/>
        </w:rPr>
        <w:t xml:space="preserve"> acceptable</w:t>
      </w:r>
      <w:r w:rsidRPr="00785D06">
        <w:rPr>
          <w:sz w:val="20"/>
          <w:szCs w:val="20"/>
          <w:lang w:val="en-US"/>
        </w:rPr>
        <w:t xml:space="preserve">. In the </w:t>
      </w:r>
      <w:r w:rsidR="0097298A" w:rsidRPr="00785D06">
        <w:rPr>
          <w:sz w:val="20"/>
          <w:szCs w:val="20"/>
          <w:lang w:val="en-US"/>
        </w:rPr>
        <w:t xml:space="preserve">Court’s </w:t>
      </w:r>
      <w:r w:rsidRPr="00785D06">
        <w:rPr>
          <w:sz w:val="20"/>
          <w:szCs w:val="20"/>
          <w:lang w:val="en-US"/>
        </w:rPr>
        <w:t>view</w:t>
      </w:r>
      <w:r w:rsidR="0097298A" w:rsidRPr="00785D06">
        <w:rPr>
          <w:sz w:val="20"/>
          <w:szCs w:val="20"/>
          <w:lang w:val="en-US"/>
        </w:rPr>
        <w:t>,</w:t>
      </w:r>
      <w:r w:rsidRPr="00785D06">
        <w:rPr>
          <w:sz w:val="20"/>
          <w:szCs w:val="20"/>
          <w:lang w:val="en-US"/>
        </w:rPr>
        <w:t xml:space="preserve"> </w:t>
      </w:r>
      <w:r w:rsidR="0097298A" w:rsidRPr="00785D06">
        <w:rPr>
          <w:sz w:val="20"/>
          <w:szCs w:val="20"/>
          <w:lang w:val="en-US"/>
        </w:rPr>
        <w:t>Ecuador’s</w:t>
      </w:r>
      <w:r w:rsidRPr="00785D06">
        <w:rPr>
          <w:sz w:val="20"/>
          <w:szCs w:val="20"/>
          <w:lang w:val="en-US"/>
        </w:rPr>
        <w:t xml:space="preserve"> acknowledgement </w:t>
      </w:r>
      <w:r w:rsidR="00027FE6" w:rsidRPr="00785D06">
        <w:rPr>
          <w:sz w:val="20"/>
          <w:szCs w:val="20"/>
          <w:lang w:val="en-US"/>
        </w:rPr>
        <w:t>o</w:t>
      </w:r>
      <w:r w:rsidR="0097298A" w:rsidRPr="00785D06">
        <w:rPr>
          <w:sz w:val="20"/>
          <w:szCs w:val="20"/>
          <w:lang w:val="en-US"/>
        </w:rPr>
        <w:t xml:space="preserve">f responsibility </w:t>
      </w:r>
      <w:r w:rsidRPr="00785D06">
        <w:rPr>
          <w:sz w:val="20"/>
          <w:szCs w:val="20"/>
          <w:lang w:val="en-US"/>
        </w:rPr>
        <w:t xml:space="preserve">is contradictory, </w:t>
      </w:r>
      <w:r w:rsidR="00C9586B" w:rsidRPr="00785D06">
        <w:rPr>
          <w:sz w:val="20"/>
          <w:szCs w:val="20"/>
          <w:lang w:val="en-US"/>
        </w:rPr>
        <w:t xml:space="preserve">because </w:t>
      </w:r>
      <w:r w:rsidRPr="00785D06">
        <w:rPr>
          <w:sz w:val="20"/>
          <w:szCs w:val="20"/>
          <w:lang w:val="en-US"/>
        </w:rPr>
        <w:t xml:space="preserve">while it </w:t>
      </w:r>
      <w:r w:rsidR="003C273A" w:rsidRPr="00785D06">
        <w:rPr>
          <w:sz w:val="20"/>
          <w:szCs w:val="20"/>
          <w:lang w:val="en-US"/>
        </w:rPr>
        <w:t>referred to</w:t>
      </w:r>
      <w:r w:rsidR="00027FE6" w:rsidRPr="00785D06">
        <w:rPr>
          <w:sz w:val="20"/>
          <w:szCs w:val="20"/>
          <w:lang w:val="en-US"/>
        </w:rPr>
        <w:t xml:space="preserve"> violations of rights during</w:t>
      </w:r>
      <w:r w:rsidRPr="00785D06">
        <w:rPr>
          <w:sz w:val="20"/>
          <w:szCs w:val="20"/>
          <w:lang w:val="en-US"/>
        </w:rPr>
        <w:t xml:space="preserve"> the public hearing, in its final written arguments it affirmed that it only recognized “facts</w:t>
      </w:r>
      <w:r w:rsidR="0097298A" w:rsidRPr="00785D06">
        <w:rPr>
          <w:sz w:val="20"/>
          <w:szCs w:val="20"/>
          <w:lang w:val="en-US"/>
        </w:rPr>
        <w:t>.”</w:t>
      </w:r>
      <w:r w:rsidRPr="00785D06">
        <w:rPr>
          <w:sz w:val="20"/>
          <w:szCs w:val="20"/>
          <w:lang w:val="en-US"/>
        </w:rPr>
        <w:t xml:space="preserve"> Despite the apology </w:t>
      </w:r>
      <w:r w:rsidR="003C273A" w:rsidRPr="00785D06">
        <w:rPr>
          <w:sz w:val="20"/>
          <w:szCs w:val="20"/>
          <w:lang w:val="en-US"/>
        </w:rPr>
        <w:t>presented by the State during</w:t>
      </w:r>
      <w:r w:rsidRPr="00785D06">
        <w:rPr>
          <w:sz w:val="20"/>
          <w:szCs w:val="20"/>
          <w:lang w:val="en-US"/>
        </w:rPr>
        <w:t xml:space="preserve"> the hearing, the State’s acquiescence cannot be </w:t>
      </w:r>
      <w:r w:rsidR="00C9586B" w:rsidRPr="00785D06">
        <w:rPr>
          <w:sz w:val="20"/>
          <w:szCs w:val="20"/>
          <w:lang w:val="en-US"/>
        </w:rPr>
        <w:t xml:space="preserve">regarded </w:t>
      </w:r>
      <w:r w:rsidRPr="00785D06">
        <w:rPr>
          <w:sz w:val="20"/>
          <w:szCs w:val="20"/>
          <w:lang w:val="en-US"/>
        </w:rPr>
        <w:t xml:space="preserve">as an act that, of itself, </w:t>
      </w:r>
      <w:r w:rsidR="00C9586B" w:rsidRPr="00785D06">
        <w:rPr>
          <w:sz w:val="20"/>
          <w:szCs w:val="20"/>
          <w:lang w:val="en-US"/>
        </w:rPr>
        <w:t xml:space="preserve">could offer </w:t>
      </w:r>
      <w:r w:rsidRPr="00785D06">
        <w:rPr>
          <w:sz w:val="20"/>
          <w:szCs w:val="20"/>
          <w:lang w:val="en-US"/>
        </w:rPr>
        <w:t>re</w:t>
      </w:r>
      <w:r w:rsidR="003C273A" w:rsidRPr="00785D06">
        <w:rPr>
          <w:sz w:val="20"/>
          <w:szCs w:val="20"/>
          <w:lang w:val="en-US"/>
        </w:rPr>
        <w:t xml:space="preserve">dress </w:t>
      </w:r>
      <w:r w:rsidR="003D4669" w:rsidRPr="00785D06">
        <w:rPr>
          <w:sz w:val="20"/>
          <w:szCs w:val="20"/>
          <w:lang w:val="en-US"/>
        </w:rPr>
        <w:t xml:space="preserve">to </w:t>
      </w:r>
      <w:r w:rsidRPr="00785D06">
        <w:rPr>
          <w:sz w:val="20"/>
          <w:szCs w:val="20"/>
          <w:lang w:val="en-US"/>
        </w:rPr>
        <w:t xml:space="preserve">the relatives of Paola Guzmán. Nevertheless, the Court will proceed to examine its scope. </w:t>
      </w:r>
    </w:p>
    <w:p w14:paraId="0F360681" w14:textId="77777777" w:rsidR="00C254BF" w:rsidRPr="00785D06" w:rsidRDefault="00C254BF" w:rsidP="00C254BF">
      <w:pPr>
        <w:pStyle w:val="Prrafodelista"/>
        <w:ind w:left="0"/>
        <w:contextualSpacing w:val="0"/>
        <w:jc w:val="both"/>
        <w:rPr>
          <w:sz w:val="20"/>
          <w:szCs w:val="20"/>
          <w:lang w:val="en-US"/>
        </w:rPr>
      </w:pPr>
    </w:p>
    <w:p w14:paraId="26A446C0" w14:textId="77777777" w:rsidR="00C254BF" w:rsidRPr="00785D06" w:rsidRDefault="00C254BF" w:rsidP="00C254BF">
      <w:pPr>
        <w:pStyle w:val="Prrafodelista"/>
        <w:ind w:left="567"/>
        <w:outlineLvl w:val="2"/>
        <w:rPr>
          <w:i/>
          <w:sz w:val="20"/>
          <w:szCs w:val="20"/>
          <w:u w:val="single"/>
          <w:lang w:val="en-US"/>
        </w:rPr>
      </w:pPr>
      <w:bookmarkStart w:id="59" w:name="_Toc42498029"/>
      <w:bookmarkStart w:id="60" w:name="_Toc46937277"/>
      <w:r w:rsidRPr="00785D06">
        <w:rPr>
          <w:i/>
          <w:sz w:val="20"/>
          <w:szCs w:val="20"/>
          <w:lang w:val="en-US"/>
        </w:rPr>
        <w:t>B.1 Regarding the facts</w:t>
      </w:r>
      <w:bookmarkEnd w:id="59"/>
      <w:bookmarkEnd w:id="60"/>
    </w:p>
    <w:p w14:paraId="073AFCF5" w14:textId="77777777" w:rsidR="00C254BF" w:rsidRPr="00785D06" w:rsidRDefault="00C254BF" w:rsidP="00C254BF">
      <w:pPr>
        <w:pStyle w:val="Prrafodelista"/>
        <w:ind w:left="1134"/>
        <w:outlineLvl w:val="2"/>
        <w:rPr>
          <w:sz w:val="20"/>
          <w:szCs w:val="20"/>
          <w:lang w:val="en-US"/>
        </w:rPr>
      </w:pPr>
    </w:p>
    <w:p w14:paraId="7D07083C" w14:textId="77777777" w:rsidR="00C254BF" w:rsidRPr="00785D06" w:rsidRDefault="00C254BF" w:rsidP="00C254BF">
      <w:pPr>
        <w:pStyle w:val="Prrafodelista"/>
        <w:numPr>
          <w:ilvl w:val="0"/>
          <w:numId w:val="2"/>
        </w:numPr>
        <w:ind w:left="0" w:firstLine="0"/>
        <w:contextualSpacing w:val="0"/>
        <w:jc w:val="both"/>
        <w:rPr>
          <w:sz w:val="20"/>
          <w:szCs w:val="20"/>
          <w:lang w:val="en-US"/>
        </w:rPr>
      </w:pPr>
      <w:r w:rsidRPr="00785D06">
        <w:rPr>
          <w:sz w:val="20"/>
          <w:szCs w:val="20"/>
          <w:lang w:val="en-US"/>
        </w:rPr>
        <w:t>As</w:t>
      </w:r>
      <w:r w:rsidR="0097298A" w:rsidRPr="00785D06">
        <w:rPr>
          <w:sz w:val="20"/>
          <w:szCs w:val="20"/>
          <w:lang w:val="en-US"/>
        </w:rPr>
        <w:t xml:space="preserve"> is apparent from</w:t>
      </w:r>
      <w:r w:rsidRPr="00785D06">
        <w:rPr>
          <w:sz w:val="20"/>
          <w:szCs w:val="20"/>
          <w:lang w:val="en-US"/>
        </w:rPr>
        <w:t xml:space="preserve"> the terms of its acknowledgement, the “facts” </w:t>
      </w:r>
      <w:r w:rsidR="00103E3F" w:rsidRPr="00785D06">
        <w:rPr>
          <w:sz w:val="20"/>
          <w:szCs w:val="20"/>
          <w:lang w:val="en-US"/>
        </w:rPr>
        <w:t xml:space="preserve">acknowledged </w:t>
      </w:r>
      <w:r w:rsidRPr="00785D06">
        <w:rPr>
          <w:sz w:val="20"/>
          <w:szCs w:val="20"/>
          <w:lang w:val="en-US"/>
        </w:rPr>
        <w:t xml:space="preserve">by Ecuador refer to acts of omission. Indeed, Ecuador recognized that: a) in the administrative sphere, it </w:t>
      </w:r>
      <w:r w:rsidR="0097298A" w:rsidRPr="00785D06">
        <w:rPr>
          <w:sz w:val="20"/>
          <w:szCs w:val="20"/>
          <w:lang w:val="en-US"/>
        </w:rPr>
        <w:t xml:space="preserve">failed </w:t>
      </w:r>
      <w:r w:rsidRPr="00785D06">
        <w:rPr>
          <w:sz w:val="20"/>
          <w:szCs w:val="20"/>
          <w:lang w:val="en-US"/>
        </w:rPr>
        <w:t xml:space="preserve">to implement measures to investigate and </w:t>
      </w:r>
      <w:r w:rsidR="0097298A" w:rsidRPr="00785D06">
        <w:rPr>
          <w:sz w:val="20"/>
          <w:szCs w:val="20"/>
          <w:lang w:val="en-US"/>
        </w:rPr>
        <w:t xml:space="preserve">verify </w:t>
      </w:r>
      <w:r w:rsidRPr="00785D06">
        <w:rPr>
          <w:sz w:val="20"/>
          <w:szCs w:val="20"/>
          <w:lang w:val="en-US"/>
        </w:rPr>
        <w:t xml:space="preserve">reports of the alleged relationship between Paola Guzmán Albarracín and the teacher Bolívar Eduardo Espín Zurtía, </w:t>
      </w:r>
      <w:r w:rsidR="00103E3F" w:rsidRPr="00785D06">
        <w:rPr>
          <w:sz w:val="20"/>
          <w:szCs w:val="20"/>
          <w:lang w:val="en-US"/>
        </w:rPr>
        <w:t>who was v</w:t>
      </w:r>
      <w:r w:rsidR="0097298A" w:rsidRPr="00785D06">
        <w:rPr>
          <w:sz w:val="20"/>
          <w:szCs w:val="20"/>
          <w:lang w:val="en-US"/>
        </w:rPr>
        <w:t>ice principal</w:t>
      </w:r>
      <w:r w:rsidRPr="00785D06">
        <w:rPr>
          <w:sz w:val="20"/>
          <w:szCs w:val="20"/>
          <w:lang w:val="en-US"/>
        </w:rPr>
        <w:t xml:space="preserve"> of the school that she attended (hereinafter “Bolívar Espín” or “the </w:t>
      </w:r>
      <w:r w:rsidR="00103E3F" w:rsidRPr="00785D06">
        <w:rPr>
          <w:sz w:val="20"/>
          <w:szCs w:val="20"/>
          <w:lang w:val="en-US"/>
        </w:rPr>
        <w:t>v</w:t>
      </w:r>
      <w:r w:rsidR="0097298A" w:rsidRPr="00785D06">
        <w:rPr>
          <w:sz w:val="20"/>
          <w:szCs w:val="20"/>
          <w:lang w:val="en-US"/>
        </w:rPr>
        <w:t>ice principal</w:t>
      </w:r>
      <w:r w:rsidRPr="00785D06">
        <w:rPr>
          <w:sz w:val="20"/>
          <w:szCs w:val="20"/>
          <w:lang w:val="en-US"/>
        </w:rPr>
        <w:t xml:space="preserve">”); b) it </w:t>
      </w:r>
      <w:r w:rsidR="0097298A" w:rsidRPr="00785D06">
        <w:rPr>
          <w:sz w:val="20"/>
          <w:szCs w:val="20"/>
          <w:lang w:val="en-US"/>
        </w:rPr>
        <w:t xml:space="preserve">failed to </w:t>
      </w:r>
      <w:r w:rsidRPr="00785D06">
        <w:rPr>
          <w:sz w:val="20"/>
          <w:szCs w:val="20"/>
          <w:lang w:val="en-US"/>
        </w:rPr>
        <w:t xml:space="preserve">adopt an adequate policy to prevent acts of sexual violence in </w:t>
      </w:r>
      <w:r w:rsidR="00103E3F" w:rsidRPr="00785D06">
        <w:rPr>
          <w:sz w:val="20"/>
          <w:szCs w:val="20"/>
          <w:lang w:val="en-US"/>
        </w:rPr>
        <w:t xml:space="preserve">Paola’s </w:t>
      </w:r>
      <w:r w:rsidRPr="00785D06">
        <w:rPr>
          <w:sz w:val="20"/>
          <w:szCs w:val="20"/>
          <w:lang w:val="en-US"/>
        </w:rPr>
        <w:t>school; c) there were no “</w:t>
      </w:r>
      <w:r w:rsidR="00103E3F" w:rsidRPr="00785D06">
        <w:rPr>
          <w:sz w:val="20"/>
          <w:szCs w:val="20"/>
          <w:lang w:val="en-US"/>
        </w:rPr>
        <w:t xml:space="preserve">mechanisms </w:t>
      </w:r>
      <w:r w:rsidRPr="00785D06">
        <w:rPr>
          <w:sz w:val="20"/>
          <w:szCs w:val="20"/>
          <w:lang w:val="en-US"/>
        </w:rPr>
        <w:t xml:space="preserve">to </w:t>
      </w:r>
      <w:r w:rsidR="0097298A" w:rsidRPr="00785D06">
        <w:rPr>
          <w:sz w:val="20"/>
          <w:szCs w:val="20"/>
          <w:lang w:val="en-US"/>
        </w:rPr>
        <w:t>report</w:t>
      </w:r>
      <w:r w:rsidRPr="00785D06">
        <w:rPr>
          <w:sz w:val="20"/>
          <w:szCs w:val="20"/>
          <w:lang w:val="en-US"/>
        </w:rPr>
        <w:t xml:space="preserve">, investigate and </w:t>
      </w:r>
      <w:r w:rsidR="0097298A" w:rsidRPr="00785D06">
        <w:rPr>
          <w:sz w:val="20"/>
          <w:szCs w:val="20"/>
          <w:lang w:val="en-US"/>
        </w:rPr>
        <w:t>sanction</w:t>
      </w:r>
      <w:r w:rsidRPr="00785D06">
        <w:rPr>
          <w:sz w:val="20"/>
          <w:szCs w:val="20"/>
          <w:lang w:val="en-US"/>
        </w:rPr>
        <w:t xml:space="preserve">” </w:t>
      </w:r>
      <w:r w:rsidR="0097298A" w:rsidRPr="00785D06">
        <w:rPr>
          <w:sz w:val="20"/>
          <w:szCs w:val="20"/>
          <w:lang w:val="en-US"/>
        </w:rPr>
        <w:t xml:space="preserve">abuse, </w:t>
      </w:r>
      <w:r w:rsidRPr="00785D06">
        <w:rPr>
          <w:sz w:val="20"/>
          <w:szCs w:val="20"/>
          <w:lang w:val="en-US"/>
        </w:rPr>
        <w:t>or measures to “prevent situations of sexual violence”</w:t>
      </w:r>
      <w:r w:rsidR="0097298A" w:rsidRPr="00785D06">
        <w:rPr>
          <w:sz w:val="20"/>
          <w:szCs w:val="20"/>
          <w:lang w:val="en-US"/>
        </w:rPr>
        <w:t xml:space="preserve"> in that educational institution</w:t>
      </w:r>
      <w:r w:rsidRPr="00785D06">
        <w:rPr>
          <w:sz w:val="20"/>
          <w:szCs w:val="20"/>
          <w:lang w:val="en-US"/>
        </w:rPr>
        <w:t xml:space="preserve">; d) the domestic courts </w:t>
      </w:r>
      <w:r w:rsidR="0097298A" w:rsidRPr="00785D06">
        <w:rPr>
          <w:sz w:val="20"/>
          <w:szCs w:val="20"/>
          <w:lang w:val="en-US"/>
        </w:rPr>
        <w:t xml:space="preserve">failed to determine </w:t>
      </w:r>
      <w:r w:rsidRPr="00785D06">
        <w:rPr>
          <w:sz w:val="20"/>
          <w:szCs w:val="20"/>
          <w:lang w:val="en-US"/>
        </w:rPr>
        <w:t xml:space="preserve">whether the </w:t>
      </w:r>
      <w:r w:rsidR="0097298A" w:rsidRPr="00785D06">
        <w:rPr>
          <w:sz w:val="20"/>
          <w:szCs w:val="20"/>
          <w:lang w:val="en-US"/>
        </w:rPr>
        <w:t xml:space="preserve">reported </w:t>
      </w:r>
      <w:r w:rsidRPr="00785D06">
        <w:rPr>
          <w:sz w:val="20"/>
          <w:szCs w:val="20"/>
          <w:lang w:val="en-US"/>
        </w:rPr>
        <w:t xml:space="preserve">behavior was classified as a crime, and e) the State authorities </w:t>
      </w:r>
      <w:r w:rsidR="0097298A" w:rsidRPr="00785D06">
        <w:rPr>
          <w:sz w:val="20"/>
          <w:szCs w:val="20"/>
          <w:lang w:val="en-US"/>
        </w:rPr>
        <w:t>failed to take the necessary action</w:t>
      </w:r>
      <w:r w:rsidRPr="00785D06">
        <w:rPr>
          <w:sz w:val="20"/>
          <w:szCs w:val="20"/>
          <w:lang w:val="en-US"/>
        </w:rPr>
        <w:t xml:space="preserve"> to locate and capture the </w:t>
      </w:r>
      <w:r w:rsidR="0097298A" w:rsidRPr="00785D06">
        <w:rPr>
          <w:sz w:val="20"/>
          <w:szCs w:val="20"/>
          <w:lang w:val="en-US"/>
        </w:rPr>
        <w:t>perpetrator</w:t>
      </w:r>
      <w:r w:rsidRPr="00785D06">
        <w:rPr>
          <w:sz w:val="20"/>
          <w:szCs w:val="20"/>
          <w:lang w:val="en-US"/>
        </w:rPr>
        <w:t>.</w:t>
      </w:r>
    </w:p>
    <w:p w14:paraId="11D3DFB5" w14:textId="77777777" w:rsidR="00C254BF" w:rsidRPr="00785D06" w:rsidRDefault="00C254BF" w:rsidP="00C254BF">
      <w:pPr>
        <w:pStyle w:val="Prrafodelista"/>
        <w:ind w:left="0"/>
        <w:contextualSpacing w:val="0"/>
        <w:jc w:val="both"/>
        <w:rPr>
          <w:sz w:val="20"/>
          <w:szCs w:val="20"/>
          <w:lang w:val="en-US"/>
        </w:rPr>
      </w:pPr>
    </w:p>
    <w:p w14:paraId="0839EA9D" w14:textId="77777777" w:rsidR="00C254BF" w:rsidRPr="00785D06" w:rsidRDefault="00103E3F" w:rsidP="00C254BF">
      <w:pPr>
        <w:pStyle w:val="Prrafodelista"/>
        <w:numPr>
          <w:ilvl w:val="0"/>
          <w:numId w:val="2"/>
        </w:numPr>
        <w:ind w:left="0" w:firstLine="0"/>
        <w:contextualSpacing w:val="0"/>
        <w:jc w:val="both"/>
        <w:rPr>
          <w:sz w:val="20"/>
          <w:szCs w:val="20"/>
          <w:lang w:val="en-US"/>
        </w:rPr>
      </w:pPr>
      <w:r w:rsidRPr="00785D06">
        <w:rPr>
          <w:sz w:val="20"/>
          <w:szCs w:val="20"/>
          <w:lang w:val="en-US"/>
        </w:rPr>
        <w:t>Furthermore, a</w:t>
      </w:r>
      <w:r w:rsidR="00C254BF" w:rsidRPr="00785D06">
        <w:rPr>
          <w:sz w:val="20"/>
          <w:szCs w:val="20"/>
          <w:lang w:val="en-US"/>
        </w:rPr>
        <w:t xml:space="preserve"> dispute </w:t>
      </w:r>
      <w:r w:rsidRPr="00785D06">
        <w:rPr>
          <w:sz w:val="20"/>
          <w:szCs w:val="20"/>
          <w:lang w:val="en-US"/>
        </w:rPr>
        <w:t xml:space="preserve">persists </w:t>
      </w:r>
      <w:r w:rsidR="00C254BF" w:rsidRPr="00785D06">
        <w:rPr>
          <w:sz w:val="20"/>
          <w:szCs w:val="20"/>
          <w:lang w:val="en-US"/>
        </w:rPr>
        <w:t xml:space="preserve">regarding </w:t>
      </w:r>
      <w:r w:rsidR="00F8732E" w:rsidRPr="00785D06">
        <w:rPr>
          <w:sz w:val="20"/>
          <w:szCs w:val="20"/>
          <w:lang w:val="en-US"/>
        </w:rPr>
        <w:t xml:space="preserve">certain </w:t>
      </w:r>
      <w:r w:rsidR="00C254BF" w:rsidRPr="00785D06">
        <w:rPr>
          <w:sz w:val="20"/>
          <w:szCs w:val="20"/>
          <w:lang w:val="en-US"/>
        </w:rPr>
        <w:t>facts that wer</w:t>
      </w:r>
      <w:r w:rsidR="0097298A" w:rsidRPr="00785D06">
        <w:rPr>
          <w:sz w:val="20"/>
          <w:szCs w:val="20"/>
          <w:lang w:val="en-US"/>
        </w:rPr>
        <w:t>e not accepted by the State, particularly</w:t>
      </w:r>
      <w:r w:rsidR="00C254BF" w:rsidRPr="00785D06">
        <w:rPr>
          <w:sz w:val="20"/>
          <w:szCs w:val="20"/>
          <w:lang w:val="en-US"/>
        </w:rPr>
        <w:t xml:space="preserve"> </w:t>
      </w:r>
      <w:r w:rsidR="00F8732E" w:rsidRPr="00785D06">
        <w:rPr>
          <w:sz w:val="20"/>
          <w:szCs w:val="20"/>
          <w:lang w:val="en-US"/>
        </w:rPr>
        <w:t xml:space="preserve">regarding </w:t>
      </w:r>
      <w:r w:rsidR="00C254BF" w:rsidRPr="00785D06">
        <w:rPr>
          <w:sz w:val="20"/>
          <w:szCs w:val="20"/>
          <w:lang w:val="en-US"/>
        </w:rPr>
        <w:t xml:space="preserve">the alleged </w:t>
      </w:r>
      <w:r w:rsidR="00C254BF" w:rsidRPr="00785D06">
        <w:rPr>
          <w:rFonts w:cs="Arial"/>
          <w:sz w:val="20"/>
          <w:szCs w:val="20"/>
          <w:lang w:val="en-US"/>
        </w:rPr>
        <w:t xml:space="preserve">pregnancy of Paola Guzmán Albarracín and the school doctor’s alleged </w:t>
      </w:r>
      <w:r w:rsidR="00F8732E" w:rsidRPr="00785D06">
        <w:rPr>
          <w:rFonts w:cs="Arial"/>
          <w:sz w:val="20"/>
          <w:szCs w:val="20"/>
          <w:lang w:val="en-US"/>
        </w:rPr>
        <w:t xml:space="preserve">involvement </w:t>
      </w:r>
      <w:r w:rsidR="00C254BF" w:rsidRPr="00785D06">
        <w:rPr>
          <w:rFonts w:cs="Arial"/>
          <w:sz w:val="20"/>
          <w:szCs w:val="20"/>
          <w:lang w:val="en-US"/>
        </w:rPr>
        <w:t xml:space="preserve">in sexual </w:t>
      </w:r>
      <w:r w:rsidR="0097298A" w:rsidRPr="00785D06">
        <w:rPr>
          <w:rFonts w:cs="Arial"/>
          <w:sz w:val="20"/>
          <w:szCs w:val="20"/>
          <w:lang w:val="en-US"/>
        </w:rPr>
        <w:t xml:space="preserve">abuse </w:t>
      </w:r>
      <w:r w:rsidR="00C254BF" w:rsidRPr="00785D06">
        <w:rPr>
          <w:rFonts w:cs="Arial"/>
          <w:sz w:val="20"/>
          <w:szCs w:val="20"/>
          <w:lang w:val="en-US"/>
        </w:rPr>
        <w:t xml:space="preserve">against </w:t>
      </w:r>
      <w:r w:rsidRPr="00785D06">
        <w:rPr>
          <w:rFonts w:cs="Arial"/>
          <w:sz w:val="20"/>
          <w:szCs w:val="20"/>
          <w:lang w:val="en-US"/>
        </w:rPr>
        <w:t>her</w:t>
      </w:r>
      <w:r w:rsidR="00C254BF" w:rsidRPr="00785D06">
        <w:rPr>
          <w:rFonts w:cs="Arial"/>
          <w:sz w:val="20"/>
          <w:szCs w:val="20"/>
          <w:lang w:val="en-US"/>
        </w:rPr>
        <w:t xml:space="preserve">, </w:t>
      </w:r>
      <w:r w:rsidR="0072703D" w:rsidRPr="00785D06">
        <w:rPr>
          <w:rFonts w:cs="Arial"/>
          <w:sz w:val="20"/>
          <w:szCs w:val="20"/>
          <w:lang w:val="en-US"/>
        </w:rPr>
        <w:t xml:space="preserve">which </w:t>
      </w:r>
      <w:r w:rsidR="00C254BF" w:rsidRPr="00785D06">
        <w:rPr>
          <w:rFonts w:cs="Arial"/>
          <w:sz w:val="20"/>
          <w:szCs w:val="20"/>
          <w:lang w:val="en-US"/>
        </w:rPr>
        <w:t xml:space="preserve">Ecuador </w:t>
      </w:r>
      <w:r w:rsidRPr="00785D06">
        <w:rPr>
          <w:rFonts w:cs="Arial"/>
          <w:sz w:val="20"/>
          <w:szCs w:val="20"/>
          <w:lang w:val="en-US"/>
        </w:rPr>
        <w:t xml:space="preserve">characterized </w:t>
      </w:r>
      <w:r w:rsidR="00C254BF" w:rsidRPr="00785D06">
        <w:rPr>
          <w:rFonts w:cs="Arial"/>
          <w:sz w:val="20"/>
          <w:szCs w:val="20"/>
          <w:lang w:val="en-US"/>
        </w:rPr>
        <w:t xml:space="preserve">as “facts not </w:t>
      </w:r>
      <w:r w:rsidR="00F8732E" w:rsidRPr="00785D06">
        <w:rPr>
          <w:rFonts w:cs="Arial"/>
          <w:sz w:val="20"/>
          <w:szCs w:val="20"/>
          <w:lang w:val="en-US"/>
        </w:rPr>
        <w:t>acknowledged</w:t>
      </w:r>
      <w:r w:rsidR="00C254BF" w:rsidRPr="00785D06">
        <w:rPr>
          <w:rFonts w:cs="Arial"/>
          <w:sz w:val="20"/>
          <w:szCs w:val="20"/>
          <w:lang w:val="en-US"/>
        </w:rPr>
        <w:t>” (</w:t>
      </w:r>
      <w:r w:rsidR="00C254BF" w:rsidRPr="00785D06">
        <w:rPr>
          <w:rFonts w:cs="Arial"/>
          <w:i/>
          <w:sz w:val="20"/>
          <w:szCs w:val="20"/>
          <w:lang w:val="en-US"/>
        </w:rPr>
        <w:t xml:space="preserve">infra </w:t>
      </w:r>
      <w:r w:rsidR="00C254BF" w:rsidRPr="00785D06">
        <w:rPr>
          <w:rFonts w:cs="Arial"/>
          <w:sz w:val="20"/>
          <w:szCs w:val="20"/>
          <w:lang w:val="en-US"/>
        </w:rPr>
        <w:t>para. 103).</w:t>
      </w:r>
    </w:p>
    <w:p w14:paraId="30EA43EE" w14:textId="77777777" w:rsidR="00C254BF" w:rsidRPr="00785D06" w:rsidRDefault="00C254BF" w:rsidP="00C254BF">
      <w:pPr>
        <w:pStyle w:val="Prrafodelista"/>
        <w:ind w:left="1134"/>
        <w:outlineLvl w:val="2"/>
        <w:rPr>
          <w:i/>
          <w:sz w:val="20"/>
          <w:szCs w:val="20"/>
          <w:lang w:val="en-US"/>
        </w:rPr>
      </w:pPr>
      <w:bookmarkStart w:id="61" w:name="_Toc42498030"/>
    </w:p>
    <w:p w14:paraId="263CD276" w14:textId="77777777" w:rsidR="00C254BF" w:rsidRPr="00785D06" w:rsidRDefault="0090680A" w:rsidP="00C254BF">
      <w:pPr>
        <w:pStyle w:val="Prrafodelista"/>
        <w:ind w:left="567"/>
        <w:outlineLvl w:val="2"/>
        <w:rPr>
          <w:i/>
          <w:sz w:val="20"/>
          <w:szCs w:val="20"/>
          <w:u w:val="single"/>
          <w:lang w:val="en-US"/>
        </w:rPr>
      </w:pPr>
      <w:bookmarkStart w:id="62" w:name="_Toc46937278"/>
      <w:r w:rsidRPr="00785D06">
        <w:rPr>
          <w:i/>
          <w:sz w:val="20"/>
          <w:szCs w:val="20"/>
          <w:lang w:val="en-US"/>
        </w:rPr>
        <w:t xml:space="preserve">B.2 Regarding the legal </w:t>
      </w:r>
      <w:r w:rsidR="00C254BF" w:rsidRPr="00785D06">
        <w:rPr>
          <w:i/>
          <w:sz w:val="20"/>
          <w:szCs w:val="20"/>
          <w:lang w:val="en-US"/>
        </w:rPr>
        <w:t xml:space="preserve">claims </w:t>
      </w:r>
      <w:bookmarkEnd w:id="61"/>
      <w:bookmarkEnd w:id="62"/>
    </w:p>
    <w:p w14:paraId="0662B9E9" w14:textId="77777777" w:rsidR="00C254BF" w:rsidRPr="00785D06" w:rsidRDefault="00C254BF" w:rsidP="00C254BF">
      <w:pPr>
        <w:pStyle w:val="Prrafodelista"/>
        <w:ind w:left="1134"/>
        <w:outlineLvl w:val="2"/>
        <w:rPr>
          <w:sz w:val="20"/>
          <w:szCs w:val="20"/>
          <w:lang w:val="en-US"/>
        </w:rPr>
      </w:pPr>
    </w:p>
    <w:p w14:paraId="1482C63C" w14:textId="77777777" w:rsidR="00C254BF" w:rsidRPr="00785D06" w:rsidRDefault="0072703D" w:rsidP="00C254BF">
      <w:pPr>
        <w:pStyle w:val="Prrafodelista"/>
        <w:numPr>
          <w:ilvl w:val="0"/>
          <w:numId w:val="2"/>
        </w:numPr>
        <w:ind w:left="0" w:firstLine="0"/>
        <w:contextualSpacing w:val="0"/>
        <w:jc w:val="both"/>
        <w:rPr>
          <w:sz w:val="20"/>
          <w:szCs w:val="20"/>
          <w:lang w:val="en-US"/>
        </w:rPr>
      </w:pPr>
      <w:r w:rsidRPr="00785D06">
        <w:rPr>
          <w:sz w:val="20"/>
          <w:szCs w:val="20"/>
          <w:lang w:val="en-US"/>
        </w:rPr>
        <w:t xml:space="preserve">The State </w:t>
      </w:r>
      <w:r w:rsidR="00C254BF" w:rsidRPr="00785D06">
        <w:rPr>
          <w:sz w:val="20"/>
          <w:szCs w:val="20"/>
          <w:lang w:val="en-US"/>
        </w:rPr>
        <w:t xml:space="preserve">did not expressly </w:t>
      </w:r>
      <w:r w:rsidRPr="00785D06">
        <w:rPr>
          <w:sz w:val="20"/>
          <w:szCs w:val="20"/>
          <w:lang w:val="en-US"/>
        </w:rPr>
        <w:t xml:space="preserve">acknowledge its </w:t>
      </w:r>
      <w:r w:rsidR="00C254BF" w:rsidRPr="00785D06">
        <w:rPr>
          <w:sz w:val="20"/>
          <w:szCs w:val="20"/>
          <w:lang w:val="en-US"/>
        </w:rPr>
        <w:t xml:space="preserve">violation of any conventional right or obligation. Nevertheless, </w:t>
      </w:r>
      <w:r w:rsidR="00813013" w:rsidRPr="00785D06">
        <w:rPr>
          <w:sz w:val="20"/>
          <w:szCs w:val="20"/>
          <w:lang w:val="en-US"/>
        </w:rPr>
        <w:t>it a</w:t>
      </w:r>
      <w:r w:rsidR="00C254BF" w:rsidRPr="00785D06">
        <w:rPr>
          <w:sz w:val="20"/>
          <w:szCs w:val="20"/>
          <w:lang w:val="en-US"/>
        </w:rPr>
        <w:t xml:space="preserve">ccepted its responsibility for: a) failure to adopt general and specific </w:t>
      </w:r>
      <w:r w:rsidRPr="00785D06">
        <w:rPr>
          <w:sz w:val="20"/>
          <w:szCs w:val="20"/>
          <w:lang w:val="en-US"/>
        </w:rPr>
        <w:t>measures to prevent</w:t>
      </w:r>
      <w:r w:rsidR="00C254BF" w:rsidRPr="00785D06">
        <w:rPr>
          <w:sz w:val="20"/>
          <w:szCs w:val="20"/>
          <w:lang w:val="en-US"/>
        </w:rPr>
        <w:t xml:space="preserve"> acts of sexual violence in the </w:t>
      </w:r>
      <w:r w:rsidRPr="00785D06">
        <w:rPr>
          <w:sz w:val="20"/>
          <w:szCs w:val="20"/>
          <w:lang w:val="en-US"/>
        </w:rPr>
        <w:t xml:space="preserve">public school </w:t>
      </w:r>
      <w:r w:rsidR="00C254BF" w:rsidRPr="00785D06">
        <w:rPr>
          <w:sz w:val="20"/>
          <w:szCs w:val="20"/>
          <w:lang w:val="en-US"/>
        </w:rPr>
        <w:t xml:space="preserve">that Paola Guzmán </w:t>
      </w:r>
      <w:r w:rsidRPr="00785D06">
        <w:rPr>
          <w:sz w:val="20"/>
          <w:szCs w:val="20"/>
          <w:lang w:val="en-US"/>
        </w:rPr>
        <w:t xml:space="preserve">Albarracín attended, and b) </w:t>
      </w:r>
      <w:r w:rsidR="00C254BF" w:rsidRPr="00785D06">
        <w:rPr>
          <w:sz w:val="20"/>
          <w:szCs w:val="20"/>
          <w:lang w:val="en-US"/>
        </w:rPr>
        <w:t xml:space="preserve">lack of due diligence in the administrative and judicial investigations, </w:t>
      </w:r>
      <w:r w:rsidR="00F8732E" w:rsidRPr="00785D06">
        <w:rPr>
          <w:sz w:val="20"/>
          <w:szCs w:val="20"/>
          <w:lang w:val="en-US"/>
        </w:rPr>
        <w:t xml:space="preserve">as well as </w:t>
      </w:r>
      <w:r w:rsidRPr="00785D06">
        <w:rPr>
          <w:sz w:val="20"/>
          <w:szCs w:val="20"/>
          <w:lang w:val="en-US"/>
        </w:rPr>
        <w:t xml:space="preserve">in </w:t>
      </w:r>
      <w:r w:rsidR="00C254BF" w:rsidRPr="00785D06">
        <w:rPr>
          <w:sz w:val="20"/>
          <w:szCs w:val="20"/>
          <w:lang w:val="en-US"/>
        </w:rPr>
        <w:t xml:space="preserve">the application of the </w:t>
      </w:r>
      <w:r w:rsidR="00F8732E" w:rsidRPr="00785D06">
        <w:rPr>
          <w:sz w:val="20"/>
          <w:szCs w:val="20"/>
          <w:lang w:val="en-US"/>
        </w:rPr>
        <w:t xml:space="preserve">criminal </w:t>
      </w:r>
      <w:r w:rsidR="00C254BF" w:rsidRPr="00785D06">
        <w:rPr>
          <w:sz w:val="20"/>
          <w:szCs w:val="20"/>
          <w:lang w:val="en-US"/>
        </w:rPr>
        <w:t xml:space="preserve">statute of limitations. </w:t>
      </w:r>
      <w:r w:rsidRPr="00785D06">
        <w:rPr>
          <w:sz w:val="20"/>
          <w:szCs w:val="20"/>
          <w:lang w:val="en-US"/>
        </w:rPr>
        <w:t xml:space="preserve">The </w:t>
      </w:r>
      <w:r w:rsidRPr="00785D06">
        <w:rPr>
          <w:rFonts w:eastAsia="Times New Roman"/>
          <w:sz w:val="20"/>
          <w:szCs w:val="20"/>
          <w:lang w:val="en-US"/>
        </w:rPr>
        <w:t>Court considers that</w:t>
      </w:r>
      <w:r w:rsidR="00C254BF" w:rsidRPr="00785D06">
        <w:rPr>
          <w:rFonts w:eastAsia="Times New Roman"/>
          <w:sz w:val="20"/>
          <w:szCs w:val="20"/>
          <w:lang w:val="en-US"/>
        </w:rPr>
        <w:t xml:space="preserve"> </w:t>
      </w:r>
      <w:r w:rsidRPr="00785D06">
        <w:rPr>
          <w:rFonts w:eastAsia="Times New Roman"/>
          <w:sz w:val="20"/>
          <w:szCs w:val="20"/>
          <w:lang w:val="en-US"/>
        </w:rPr>
        <w:t xml:space="preserve">this </w:t>
      </w:r>
      <w:r w:rsidR="00C254BF" w:rsidRPr="00785D06">
        <w:rPr>
          <w:rFonts w:eastAsia="Times New Roman"/>
          <w:sz w:val="20"/>
          <w:szCs w:val="20"/>
          <w:lang w:val="en-US"/>
        </w:rPr>
        <w:t xml:space="preserve">acknowledgement </w:t>
      </w:r>
      <w:r w:rsidRPr="00785D06">
        <w:rPr>
          <w:rFonts w:eastAsia="Times New Roman"/>
          <w:sz w:val="20"/>
          <w:szCs w:val="20"/>
          <w:lang w:val="en-US"/>
        </w:rPr>
        <w:t xml:space="preserve">is an </w:t>
      </w:r>
      <w:r w:rsidR="00813013" w:rsidRPr="00785D06">
        <w:rPr>
          <w:rFonts w:eastAsia="Times New Roman"/>
          <w:sz w:val="20"/>
          <w:szCs w:val="20"/>
          <w:lang w:val="en-US"/>
        </w:rPr>
        <w:t>admission by the State of its failure to ensure the rights to judicial guarantees and judicial protection through a lack of diligent action (Articles 8 and 25 of the Convention) in violation of its</w:t>
      </w:r>
      <w:r w:rsidR="00C254BF" w:rsidRPr="00785D06">
        <w:rPr>
          <w:rFonts w:eastAsia="Times New Roman"/>
          <w:sz w:val="20"/>
          <w:szCs w:val="20"/>
          <w:lang w:val="en-US"/>
        </w:rPr>
        <w:t xml:space="preserve"> obligations </w:t>
      </w:r>
      <w:r w:rsidR="00813013" w:rsidRPr="00785D06">
        <w:rPr>
          <w:rFonts w:eastAsia="Times New Roman"/>
          <w:sz w:val="20"/>
          <w:szCs w:val="20"/>
          <w:lang w:val="en-US"/>
        </w:rPr>
        <w:t xml:space="preserve">under </w:t>
      </w:r>
      <w:r w:rsidR="00C254BF" w:rsidRPr="00785D06">
        <w:rPr>
          <w:rFonts w:eastAsia="Times New Roman"/>
          <w:sz w:val="20"/>
          <w:szCs w:val="20"/>
          <w:lang w:val="en-US"/>
        </w:rPr>
        <w:t xml:space="preserve">Article 1(1) </w:t>
      </w:r>
      <w:r w:rsidR="00813013" w:rsidRPr="00785D06">
        <w:rPr>
          <w:rFonts w:eastAsia="Times New Roman"/>
          <w:sz w:val="20"/>
          <w:szCs w:val="20"/>
          <w:lang w:val="en-US"/>
        </w:rPr>
        <w:t>there</w:t>
      </w:r>
      <w:r w:rsidR="00C254BF" w:rsidRPr="00785D06">
        <w:rPr>
          <w:rFonts w:eastAsia="Times New Roman"/>
          <w:sz w:val="20"/>
          <w:szCs w:val="20"/>
          <w:lang w:val="en-US"/>
        </w:rPr>
        <w:t>of, a</w:t>
      </w:r>
      <w:r w:rsidR="00813013" w:rsidRPr="00785D06">
        <w:rPr>
          <w:rFonts w:eastAsia="Times New Roman"/>
          <w:sz w:val="20"/>
          <w:szCs w:val="20"/>
          <w:lang w:val="en-US"/>
        </w:rPr>
        <w:t>s well as an</w:t>
      </w:r>
      <w:r w:rsidR="00C254BF" w:rsidRPr="00785D06">
        <w:rPr>
          <w:rFonts w:eastAsia="Times New Roman"/>
          <w:sz w:val="20"/>
          <w:szCs w:val="20"/>
          <w:lang w:val="en-US"/>
        </w:rPr>
        <w:t xml:space="preserve"> acknowledgement that </w:t>
      </w:r>
      <w:r w:rsidR="00813013" w:rsidRPr="00785D06">
        <w:rPr>
          <w:rFonts w:eastAsia="Times New Roman"/>
          <w:sz w:val="20"/>
          <w:szCs w:val="20"/>
          <w:lang w:val="en-US"/>
        </w:rPr>
        <w:t xml:space="preserve">it </w:t>
      </w:r>
      <w:r w:rsidR="00C254BF" w:rsidRPr="00785D06">
        <w:rPr>
          <w:sz w:val="20"/>
          <w:szCs w:val="20"/>
          <w:lang w:val="en-US"/>
        </w:rPr>
        <w:t xml:space="preserve">failed </w:t>
      </w:r>
      <w:r w:rsidR="00813013" w:rsidRPr="00785D06">
        <w:rPr>
          <w:sz w:val="20"/>
          <w:szCs w:val="20"/>
          <w:lang w:val="en-US"/>
        </w:rPr>
        <w:t xml:space="preserve">in its </w:t>
      </w:r>
      <w:r w:rsidR="00C254BF" w:rsidRPr="00785D06">
        <w:rPr>
          <w:sz w:val="20"/>
          <w:szCs w:val="20"/>
          <w:lang w:val="en-US"/>
        </w:rPr>
        <w:t xml:space="preserve">duty to adopt measures </w:t>
      </w:r>
      <w:r w:rsidR="00813013" w:rsidRPr="00785D06">
        <w:rPr>
          <w:sz w:val="20"/>
          <w:szCs w:val="20"/>
          <w:lang w:val="en-US"/>
        </w:rPr>
        <w:t xml:space="preserve">to prevent and address </w:t>
      </w:r>
      <w:r w:rsidR="00C254BF" w:rsidRPr="00785D06">
        <w:rPr>
          <w:sz w:val="20"/>
          <w:szCs w:val="20"/>
          <w:lang w:val="en-US"/>
        </w:rPr>
        <w:t>acts of sexual violence (</w:t>
      </w:r>
      <w:r w:rsidR="00C254BF" w:rsidRPr="00785D06">
        <w:rPr>
          <w:rFonts w:eastAsia="Times New Roman"/>
          <w:sz w:val="20"/>
          <w:szCs w:val="20"/>
          <w:lang w:val="en-US"/>
        </w:rPr>
        <w:t>Article 7.c of the Belem do Pará</w:t>
      </w:r>
      <w:r w:rsidRPr="00785D06">
        <w:rPr>
          <w:rFonts w:eastAsia="Times New Roman"/>
          <w:sz w:val="20"/>
          <w:szCs w:val="20"/>
          <w:lang w:val="en-US"/>
        </w:rPr>
        <w:t xml:space="preserve"> Convention</w:t>
      </w:r>
      <w:r w:rsidR="00C254BF" w:rsidRPr="00785D06">
        <w:rPr>
          <w:rFonts w:eastAsia="Times New Roman"/>
          <w:sz w:val="20"/>
          <w:szCs w:val="20"/>
          <w:lang w:val="en-US"/>
        </w:rPr>
        <w:t>).</w:t>
      </w:r>
    </w:p>
    <w:p w14:paraId="77FBB42D" w14:textId="77777777" w:rsidR="00C254BF" w:rsidRPr="00785D06" w:rsidRDefault="00C254BF" w:rsidP="00C254BF">
      <w:pPr>
        <w:pStyle w:val="Prrafodelista"/>
        <w:ind w:left="0"/>
        <w:contextualSpacing w:val="0"/>
        <w:jc w:val="both"/>
        <w:rPr>
          <w:sz w:val="20"/>
          <w:szCs w:val="20"/>
          <w:lang w:val="en-US"/>
        </w:rPr>
      </w:pPr>
    </w:p>
    <w:p w14:paraId="0E3C0E06" w14:textId="77777777" w:rsidR="00C254BF" w:rsidRPr="00785D06" w:rsidRDefault="000F15CC" w:rsidP="00C254BF">
      <w:pPr>
        <w:pStyle w:val="Prrafodelista"/>
        <w:numPr>
          <w:ilvl w:val="0"/>
          <w:numId w:val="2"/>
        </w:numPr>
        <w:ind w:left="0" w:firstLine="0"/>
        <w:contextualSpacing w:val="0"/>
        <w:jc w:val="both"/>
        <w:rPr>
          <w:sz w:val="20"/>
          <w:szCs w:val="20"/>
          <w:lang w:val="en-US"/>
        </w:rPr>
      </w:pPr>
      <w:r w:rsidRPr="00785D06">
        <w:rPr>
          <w:sz w:val="20"/>
          <w:szCs w:val="20"/>
          <w:lang w:val="en-US"/>
        </w:rPr>
        <w:t xml:space="preserve">Based on </w:t>
      </w:r>
      <w:r w:rsidR="00C254BF" w:rsidRPr="00785D06">
        <w:rPr>
          <w:sz w:val="20"/>
          <w:szCs w:val="20"/>
          <w:lang w:val="en-US"/>
        </w:rPr>
        <w:t xml:space="preserve">the foregoing, the dispute </w:t>
      </w:r>
      <w:r w:rsidRPr="00785D06">
        <w:rPr>
          <w:sz w:val="20"/>
          <w:szCs w:val="20"/>
          <w:lang w:val="en-US"/>
        </w:rPr>
        <w:t xml:space="preserve">persists </w:t>
      </w:r>
      <w:r w:rsidR="00C254BF" w:rsidRPr="00785D06">
        <w:rPr>
          <w:sz w:val="20"/>
          <w:szCs w:val="20"/>
          <w:lang w:val="en-US"/>
        </w:rPr>
        <w:t xml:space="preserve">regarding the violation of the </w:t>
      </w:r>
      <w:r w:rsidR="004A636B" w:rsidRPr="00785D06">
        <w:rPr>
          <w:sz w:val="20"/>
          <w:szCs w:val="20"/>
          <w:lang w:val="en-US"/>
        </w:rPr>
        <w:t xml:space="preserve">following: the </w:t>
      </w:r>
      <w:r w:rsidR="00C254BF" w:rsidRPr="00785D06">
        <w:rPr>
          <w:sz w:val="20"/>
          <w:szCs w:val="20"/>
          <w:lang w:val="en-US"/>
        </w:rPr>
        <w:t xml:space="preserve">rights to life, personal integrity, personal liberty, protection of honor and dignity, freedom of thought and expression, the Rights of the Child, the right to health and the right to education, pursuant to Articles 4(1), 5(1), 5(2), 7, 11, 13, 19 and 26 of the American Convention and 13 of the Protocol of San Salvador; of the obligations </w:t>
      </w:r>
      <w:r w:rsidR="004A636B" w:rsidRPr="00785D06">
        <w:rPr>
          <w:sz w:val="20"/>
          <w:szCs w:val="20"/>
          <w:lang w:val="en-US"/>
        </w:rPr>
        <w:t xml:space="preserve">established </w:t>
      </w:r>
      <w:r w:rsidR="00C254BF" w:rsidRPr="00785D06">
        <w:rPr>
          <w:sz w:val="20"/>
          <w:szCs w:val="20"/>
          <w:lang w:val="en-US"/>
        </w:rPr>
        <w:t>in Article 1(1) of the American Convention in relation to such rights</w:t>
      </w:r>
      <w:r w:rsidR="004A636B" w:rsidRPr="00785D06">
        <w:rPr>
          <w:sz w:val="20"/>
          <w:szCs w:val="20"/>
          <w:lang w:val="en-US"/>
        </w:rPr>
        <w:t>;</w:t>
      </w:r>
      <w:r w:rsidR="00C254BF" w:rsidRPr="00785D06">
        <w:rPr>
          <w:sz w:val="20"/>
          <w:szCs w:val="20"/>
          <w:lang w:val="en-US"/>
        </w:rPr>
        <w:t xml:space="preserve"> and of those established in Articles 7(a) and 7(b) of the </w:t>
      </w:r>
      <w:r w:rsidR="00B97F8F" w:rsidRPr="00785D06">
        <w:rPr>
          <w:sz w:val="20"/>
          <w:szCs w:val="20"/>
          <w:lang w:val="en-US"/>
        </w:rPr>
        <w:t>Belém do Pará Convention</w:t>
      </w:r>
      <w:r w:rsidR="00C254BF" w:rsidRPr="00785D06">
        <w:rPr>
          <w:sz w:val="20"/>
          <w:szCs w:val="20"/>
          <w:lang w:val="en-US"/>
        </w:rPr>
        <w:t xml:space="preserve"> and 1 and 8 of the Inter-American Convention to Prevent and Punish Torture.</w:t>
      </w:r>
    </w:p>
    <w:p w14:paraId="30F2B068" w14:textId="77777777" w:rsidR="00C254BF" w:rsidRPr="00785D06" w:rsidRDefault="00C254BF" w:rsidP="00C254BF">
      <w:pPr>
        <w:pStyle w:val="Prrafodelista"/>
        <w:ind w:left="0"/>
        <w:contextualSpacing w:val="0"/>
        <w:jc w:val="both"/>
        <w:rPr>
          <w:sz w:val="20"/>
          <w:szCs w:val="20"/>
          <w:lang w:val="en-US"/>
        </w:rPr>
      </w:pPr>
    </w:p>
    <w:p w14:paraId="69665068" w14:textId="77777777" w:rsidR="00C254BF" w:rsidRPr="00785D06" w:rsidRDefault="00C254BF" w:rsidP="00C254BF">
      <w:pPr>
        <w:pStyle w:val="Prrafodelista"/>
        <w:ind w:left="0"/>
        <w:contextualSpacing w:val="0"/>
        <w:jc w:val="both"/>
        <w:rPr>
          <w:sz w:val="20"/>
          <w:szCs w:val="20"/>
          <w:lang w:val="en-US"/>
        </w:rPr>
      </w:pPr>
    </w:p>
    <w:p w14:paraId="1527A2B1" w14:textId="77777777" w:rsidR="00C254BF" w:rsidRPr="00785D06" w:rsidRDefault="00C254BF" w:rsidP="00C254BF">
      <w:pPr>
        <w:pStyle w:val="Prrafodelista"/>
        <w:ind w:left="567"/>
        <w:outlineLvl w:val="2"/>
        <w:rPr>
          <w:i/>
          <w:sz w:val="20"/>
          <w:szCs w:val="20"/>
          <w:u w:val="single"/>
          <w:lang w:val="en-US"/>
        </w:rPr>
      </w:pPr>
      <w:bookmarkStart w:id="63" w:name="_Toc42498031"/>
      <w:bookmarkStart w:id="64" w:name="_Toc46937279"/>
      <w:r w:rsidRPr="00785D06">
        <w:rPr>
          <w:i/>
          <w:sz w:val="20"/>
          <w:szCs w:val="20"/>
          <w:lang w:val="en-US"/>
        </w:rPr>
        <w:t>B.3 Regarding the reparations</w:t>
      </w:r>
      <w:bookmarkEnd w:id="63"/>
      <w:bookmarkEnd w:id="64"/>
    </w:p>
    <w:p w14:paraId="2C990BE9" w14:textId="77777777" w:rsidR="00C254BF" w:rsidRPr="00785D06" w:rsidRDefault="00C254BF" w:rsidP="00C254BF">
      <w:pPr>
        <w:pStyle w:val="Prrafodelista"/>
        <w:ind w:left="1134"/>
        <w:outlineLvl w:val="2"/>
        <w:rPr>
          <w:sz w:val="20"/>
          <w:szCs w:val="20"/>
          <w:lang w:val="en-US"/>
        </w:rPr>
      </w:pPr>
    </w:p>
    <w:p w14:paraId="066AB88C" w14:textId="77777777" w:rsidR="00C254BF" w:rsidRPr="00785D06" w:rsidRDefault="00C254BF" w:rsidP="00C254BF">
      <w:pPr>
        <w:pStyle w:val="Prrafodelista"/>
        <w:numPr>
          <w:ilvl w:val="0"/>
          <w:numId w:val="2"/>
        </w:numPr>
        <w:ind w:left="0" w:firstLine="0"/>
        <w:contextualSpacing w:val="0"/>
        <w:jc w:val="both"/>
        <w:rPr>
          <w:rFonts w:eastAsia="Times New Roman"/>
          <w:sz w:val="20"/>
          <w:szCs w:val="20"/>
          <w:lang w:val="en-US" w:eastAsia="es-ES" w:bidi="es-ES"/>
        </w:rPr>
      </w:pPr>
      <w:r w:rsidRPr="00785D06">
        <w:rPr>
          <w:sz w:val="20"/>
          <w:szCs w:val="20"/>
          <w:lang w:val="en-US"/>
        </w:rPr>
        <w:t xml:space="preserve">A dispute </w:t>
      </w:r>
      <w:r w:rsidR="000F15CC" w:rsidRPr="00785D06">
        <w:rPr>
          <w:sz w:val="20"/>
          <w:szCs w:val="20"/>
          <w:lang w:val="en-US"/>
        </w:rPr>
        <w:t xml:space="preserve">also </w:t>
      </w:r>
      <w:r w:rsidR="00B02C73" w:rsidRPr="00785D06">
        <w:rPr>
          <w:sz w:val="20"/>
          <w:szCs w:val="20"/>
          <w:lang w:val="en-US"/>
        </w:rPr>
        <w:t xml:space="preserve">persists </w:t>
      </w:r>
      <w:r w:rsidRPr="00785D06">
        <w:rPr>
          <w:sz w:val="20"/>
          <w:szCs w:val="20"/>
          <w:lang w:val="en-US"/>
        </w:rPr>
        <w:t xml:space="preserve">regarding the </w:t>
      </w:r>
      <w:r w:rsidR="00B02C73" w:rsidRPr="00785D06">
        <w:rPr>
          <w:sz w:val="20"/>
          <w:szCs w:val="20"/>
          <w:lang w:val="en-US"/>
        </w:rPr>
        <w:t xml:space="preserve">appropriateness </w:t>
      </w:r>
      <w:r w:rsidRPr="00785D06">
        <w:rPr>
          <w:sz w:val="20"/>
          <w:szCs w:val="20"/>
          <w:lang w:val="en-US"/>
        </w:rPr>
        <w:t xml:space="preserve">of the measures of reparation requested by the Commission and </w:t>
      </w:r>
      <w:r w:rsidR="00B02C73" w:rsidRPr="00785D06">
        <w:rPr>
          <w:sz w:val="20"/>
          <w:szCs w:val="20"/>
          <w:lang w:val="en-US"/>
        </w:rPr>
        <w:t xml:space="preserve">by </w:t>
      </w:r>
      <w:r w:rsidRPr="00785D06">
        <w:rPr>
          <w:sz w:val="20"/>
          <w:szCs w:val="20"/>
          <w:lang w:val="en-US"/>
        </w:rPr>
        <w:t xml:space="preserve">the representatives. Nevertheless, the State </w:t>
      </w:r>
      <w:r w:rsidR="00B02C73" w:rsidRPr="00785D06">
        <w:rPr>
          <w:sz w:val="20"/>
          <w:szCs w:val="20"/>
          <w:lang w:val="en-US"/>
        </w:rPr>
        <w:t xml:space="preserve">has </w:t>
      </w:r>
      <w:r w:rsidRPr="00785D06">
        <w:rPr>
          <w:sz w:val="20"/>
          <w:szCs w:val="20"/>
          <w:lang w:val="en-US"/>
        </w:rPr>
        <w:t xml:space="preserve">accepted the duty to provide redress and </w:t>
      </w:r>
      <w:r w:rsidR="00B02C73" w:rsidRPr="00785D06">
        <w:rPr>
          <w:sz w:val="20"/>
          <w:szCs w:val="20"/>
          <w:lang w:val="en-US"/>
        </w:rPr>
        <w:t xml:space="preserve">has </w:t>
      </w:r>
      <w:r w:rsidRPr="00785D06">
        <w:rPr>
          <w:sz w:val="20"/>
          <w:szCs w:val="20"/>
          <w:lang w:val="en-US"/>
        </w:rPr>
        <w:t>proposed two m</w:t>
      </w:r>
      <w:r w:rsidR="00B02C73" w:rsidRPr="00785D06">
        <w:rPr>
          <w:sz w:val="20"/>
          <w:szCs w:val="20"/>
          <w:lang w:val="en-US"/>
        </w:rPr>
        <w:t xml:space="preserve">easures for that purpose: a) to declare an official </w:t>
      </w:r>
      <w:r w:rsidR="00B02C73" w:rsidRPr="00785D06">
        <w:rPr>
          <w:rFonts w:eastAsia="Times New Roman"/>
          <w:sz w:val="20"/>
          <w:szCs w:val="20"/>
          <w:lang w:val="en-US" w:eastAsia="es-ES" w:bidi="es-ES"/>
        </w:rPr>
        <w:t>D</w:t>
      </w:r>
      <w:r w:rsidRPr="00785D06">
        <w:rPr>
          <w:rFonts w:eastAsia="Times New Roman"/>
          <w:sz w:val="20"/>
          <w:szCs w:val="20"/>
          <w:lang w:val="en-US" w:eastAsia="es-ES" w:bidi="es-ES"/>
        </w:rPr>
        <w:t xml:space="preserve">ay </w:t>
      </w:r>
      <w:r w:rsidR="00B02C73" w:rsidRPr="00785D06">
        <w:rPr>
          <w:rFonts w:eastAsia="Times New Roman"/>
          <w:sz w:val="20"/>
          <w:szCs w:val="20"/>
          <w:lang w:val="en-US" w:eastAsia="es-ES" w:bidi="es-ES"/>
        </w:rPr>
        <w:t>against Sexual V</w:t>
      </w:r>
      <w:r w:rsidRPr="00785D06">
        <w:rPr>
          <w:rFonts w:eastAsia="Times New Roman"/>
          <w:sz w:val="20"/>
          <w:szCs w:val="20"/>
          <w:lang w:val="en-US" w:eastAsia="es-ES" w:bidi="es-ES"/>
        </w:rPr>
        <w:t xml:space="preserve">iolence in </w:t>
      </w:r>
      <w:r w:rsidR="00B02C73" w:rsidRPr="00785D06">
        <w:rPr>
          <w:rFonts w:eastAsia="Times New Roman"/>
          <w:sz w:val="20"/>
          <w:szCs w:val="20"/>
          <w:lang w:val="en-US" w:eastAsia="es-ES" w:bidi="es-ES"/>
        </w:rPr>
        <w:t>Schools, and b) to posthumously award</w:t>
      </w:r>
      <w:r w:rsidRPr="00785D06">
        <w:rPr>
          <w:rFonts w:eastAsia="Times New Roman"/>
          <w:sz w:val="20"/>
          <w:szCs w:val="20"/>
          <w:lang w:val="en-US" w:eastAsia="es-ES" w:bidi="es-ES"/>
        </w:rPr>
        <w:t xml:space="preserve"> </w:t>
      </w:r>
      <w:r w:rsidR="00B02C73" w:rsidRPr="00785D06">
        <w:rPr>
          <w:rFonts w:eastAsia="Times New Roman"/>
          <w:sz w:val="20"/>
          <w:szCs w:val="20"/>
          <w:lang w:val="en-US" w:eastAsia="es-ES" w:bidi="es-ES"/>
        </w:rPr>
        <w:t xml:space="preserve">Paola Guzmán Albarracín a </w:t>
      </w:r>
      <w:r w:rsidRPr="00785D06">
        <w:rPr>
          <w:rFonts w:eastAsia="Times New Roman"/>
          <w:sz w:val="20"/>
          <w:szCs w:val="20"/>
          <w:lang w:val="en-US" w:eastAsia="es-ES" w:bidi="es-ES"/>
        </w:rPr>
        <w:t xml:space="preserve">high school diploma in the context of a public </w:t>
      </w:r>
      <w:r w:rsidR="000F15CC" w:rsidRPr="00785D06">
        <w:rPr>
          <w:rFonts w:eastAsia="Times New Roman"/>
          <w:sz w:val="20"/>
          <w:szCs w:val="20"/>
          <w:lang w:val="en-US" w:eastAsia="es-ES" w:bidi="es-ES"/>
        </w:rPr>
        <w:t>event</w:t>
      </w:r>
      <w:r w:rsidRPr="00785D06">
        <w:rPr>
          <w:rFonts w:eastAsia="Times New Roman"/>
          <w:sz w:val="20"/>
          <w:szCs w:val="20"/>
          <w:lang w:val="en-US" w:eastAsia="es-ES" w:bidi="es-ES"/>
        </w:rPr>
        <w:t>.</w:t>
      </w:r>
    </w:p>
    <w:p w14:paraId="4736909A" w14:textId="77777777" w:rsidR="00C254BF" w:rsidRPr="00785D06" w:rsidRDefault="00C254BF" w:rsidP="00C254BF">
      <w:pPr>
        <w:pStyle w:val="Prrafodelista"/>
        <w:ind w:left="0"/>
        <w:contextualSpacing w:val="0"/>
        <w:jc w:val="both"/>
        <w:rPr>
          <w:rFonts w:eastAsia="Times New Roman"/>
          <w:sz w:val="20"/>
          <w:szCs w:val="20"/>
          <w:lang w:val="en-US" w:eastAsia="es-ES" w:bidi="es-ES"/>
        </w:rPr>
      </w:pPr>
    </w:p>
    <w:p w14:paraId="13563133" w14:textId="77777777" w:rsidR="00C254BF" w:rsidRPr="00785D06" w:rsidRDefault="00C254BF" w:rsidP="00C254BF">
      <w:pPr>
        <w:pStyle w:val="Prrafodelista"/>
        <w:ind w:left="567"/>
        <w:outlineLvl w:val="2"/>
        <w:rPr>
          <w:i/>
          <w:sz w:val="20"/>
          <w:szCs w:val="20"/>
          <w:u w:val="single"/>
          <w:lang w:val="en-US"/>
        </w:rPr>
      </w:pPr>
      <w:bookmarkStart w:id="65" w:name="_Toc42498032"/>
      <w:bookmarkStart w:id="66" w:name="_Toc46937280"/>
      <w:r w:rsidRPr="00785D06">
        <w:rPr>
          <w:i/>
          <w:sz w:val="20"/>
          <w:szCs w:val="20"/>
          <w:lang w:val="en-US"/>
        </w:rPr>
        <w:t xml:space="preserve">B.4 </w:t>
      </w:r>
      <w:r w:rsidRPr="00785D06">
        <w:rPr>
          <w:i/>
          <w:sz w:val="20"/>
          <w:szCs w:val="20"/>
          <w:u w:val="single"/>
          <w:lang w:val="en-US"/>
        </w:rPr>
        <w:t xml:space="preserve">Assessment of the </w:t>
      </w:r>
      <w:r w:rsidR="00B02C73" w:rsidRPr="00785D06">
        <w:rPr>
          <w:i/>
          <w:sz w:val="20"/>
          <w:szCs w:val="20"/>
          <w:u w:val="single"/>
          <w:lang w:val="en-US"/>
        </w:rPr>
        <w:t xml:space="preserve">State’s </w:t>
      </w:r>
      <w:r w:rsidRPr="00785D06">
        <w:rPr>
          <w:i/>
          <w:sz w:val="20"/>
          <w:szCs w:val="20"/>
          <w:u w:val="single"/>
          <w:lang w:val="en-US"/>
        </w:rPr>
        <w:t>ac</w:t>
      </w:r>
      <w:r w:rsidR="00B02C73" w:rsidRPr="00785D06">
        <w:rPr>
          <w:i/>
          <w:sz w:val="20"/>
          <w:szCs w:val="20"/>
          <w:u w:val="single"/>
          <w:lang w:val="en-US"/>
        </w:rPr>
        <w:t xml:space="preserve">quiescence </w:t>
      </w:r>
      <w:bookmarkEnd w:id="65"/>
      <w:bookmarkEnd w:id="66"/>
    </w:p>
    <w:p w14:paraId="6CAA2F6A" w14:textId="77777777" w:rsidR="00C254BF" w:rsidRPr="00785D06" w:rsidRDefault="00C254BF" w:rsidP="00C254BF">
      <w:pPr>
        <w:rPr>
          <w:rFonts w:eastAsia="Times New Roman"/>
          <w:lang w:val="en-US" w:eastAsia="es-ES" w:bidi="es-ES"/>
        </w:rPr>
      </w:pPr>
    </w:p>
    <w:p w14:paraId="57E9F70F" w14:textId="77777777" w:rsidR="00C254BF" w:rsidRPr="00785D06" w:rsidRDefault="00C254BF" w:rsidP="00C254BF">
      <w:pPr>
        <w:pStyle w:val="Prrafodelista"/>
        <w:numPr>
          <w:ilvl w:val="0"/>
          <w:numId w:val="2"/>
        </w:numPr>
        <w:ind w:left="0" w:firstLine="0"/>
        <w:contextualSpacing w:val="0"/>
        <w:jc w:val="both"/>
        <w:rPr>
          <w:rFonts w:eastAsia="Times New Roman"/>
          <w:strike/>
          <w:sz w:val="20"/>
          <w:szCs w:val="20"/>
          <w:lang w:val="en-US" w:eastAsia="es-ES" w:bidi="es-ES"/>
        </w:rPr>
      </w:pPr>
      <w:r w:rsidRPr="00785D06">
        <w:rPr>
          <w:rFonts w:eastAsia="Times New Roman"/>
          <w:sz w:val="20"/>
          <w:szCs w:val="20"/>
          <w:lang w:val="en-US" w:eastAsia="es-ES" w:bidi="es-ES"/>
        </w:rPr>
        <w:t>As indicated</w:t>
      </w:r>
      <w:r w:rsidR="00A824C4" w:rsidRPr="00785D06">
        <w:rPr>
          <w:rFonts w:eastAsia="Times New Roman"/>
          <w:sz w:val="20"/>
          <w:szCs w:val="20"/>
          <w:lang w:val="en-US" w:eastAsia="es-ES" w:bidi="es-ES"/>
        </w:rPr>
        <w:t xml:space="preserve"> previously</w:t>
      </w:r>
      <w:r w:rsidRPr="00785D06">
        <w:rPr>
          <w:rFonts w:eastAsia="Times New Roman"/>
          <w:sz w:val="20"/>
          <w:szCs w:val="20"/>
          <w:lang w:val="en-US" w:eastAsia="es-ES" w:bidi="es-ES"/>
        </w:rPr>
        <w:t>, the State’s acquiescence was contradictory (</w:t>
      </w:r>
      <w:r w:rsidRPr="00785D06">
        <w:rPr>
          <w:rFonts w:eastAsia="Times New Roman"/>
          <w:i/>
          <w:sz w:val="20"/>
          <w:szCs w:val="20"/>
          <w:lang w:val="en-US" w:eastAsia="es-ES" w:bidi="es-ES"/>
        </w:rPr>
        <w:t>supra</w:t>
      </w:r>
      <w:r w:rsidRPr="00785D06">
        <w:rPr>
          <w:rFonts w:eastAsia="Times New Roman"/>
          <w:sz w:val="20"/>
          <w:szCs w:val="20"/>
          <w:lang w:val="en-US" w:eastAsia="es-ES" w:bidi="es-ES"/>
        </w:rPr>
        <w:t xml:space="preserve"> para. 20). </w:t>
      </w:r>
      <w:r w:rsidR="00B02C73" w:rsidRPr="00785D06">
        <w:rPr>
          <w:rFonts w:eastAsia="Times New Roman"/>
          <w:sz w:val="20"/>
          <w:szCs w:val="20"/>
          <w:lang w:val="en-US" w:eastAsia="es-ES" w:bidi="es-ES"/>
        </w:rPr>
        <w:t>N</w:t>
      </w:r>
      <w:r w:rsidR="00EA1187" w:rsidRPr="00785D06">
        <w:rPr>
          <w:rFonts w:eastAsia="Times New Roman"/>
          <w:sz w:val="20"/>
          <w:szCs w:val="20"/>
          <w:lang w:val="en-US" w:eastAsia="es-ES" w:bidi="es-ES"/>
        </w:rPr>
        <w:t>evertheless</w:t>
      </w:r>
      <w:r w:rsidR="00B02C73" w:rsidRPr="00785D06">
        <w:rPr>
          <w:rFonts w:eastAsia="Times New Roman"/>
          <w:sz w:val="20"/>
          <w:szCs w:val="20"/>
          <w:lang w:val="en-US" w:eastAsia="es-ES" w:bidi="es-ES"/>
        </w:rPr>
        <w:t xml:space="preserve">, it </w:t>
      </w:r>
      <w:r w:rsidRPr="00785D06">
        <w:rPr>
          <w:rFonts w:eastAsia="Times New Roman"/>
          <w:sz w:val="20"/>
          <w:szCs w:val="20"/>
          <w:lang w:val="en-US" w:eastAsia="es-ES" w:bidi="es-ES"/>
        </w:rPr>
        <w:t>produce</w:t>
      </w:r>
      <w:r w:rsidR="00B02C73" w:rsidRPr="00785D06">
        <w:rPr>
          <w:rFonts w:eastAsia="Times New Roman"/>
          <w:sz w:val="20"/>
          <w:szCs w:val="20"/>
          <w:lang w:val="en-US" w:eastAsia="es-ES" w:bidi="es-ES"/>
        </w:rPr>
        <w:t>s</w:t>
      </w:r>
      <w:r w:rsidRPr="00785D06">
        <w:rPr>
          <w:rFonts w:eastAsia="Times New Roman"/>
          <w:sz w:val="20"/>
          <w:szCs w:val="20"/>
          <w:lang w:val="en-US" w:eastAsia="es-ES" w:bidi="es-ES"/>
        </w:rPr>
        <w:t xml:space="preserve"> legal effects in the terms indicated. The Court will define the scope of such effects </w:t>
      </w:r>
      <w:r w:rsidR="0046243A" w:rsidRPr="00785D06">
        <w:rPr>
          <w:rFonts w:eastAsia="Times New Roman"/>
          <w:sz w:val="20"/>
          <w:szCs w:val="20"/>
          <w:lang w:val="en-US" w:eastAsia="es-ES" w:bidi="es-ES"/>
        </w:rPr>
        <w:t xml:space="preserve">when </w:t>
      </w:r>
      <w:r w:rsidRPr="00785D06">
        <w:rPr>
          <w:rFonts w:eastAsia="Times New Roman"/>
          <w:sz w:val="20"/>
          <w:szCs w:val="20"/>
          <w:lang w:val="en-US" w:eastAsia="es-ES" w:bidi="es-ES"/>
        </w:rPr>
        <w:t>examining the me</w:t>
      </w:r>
      <w:r w:rsidR="0046243A" w:rsidRPr="00785D06">
        <w:rPr>
          <w:rFonts w:eastAsia="Times New Roman"/>
          <w:sz w:val="20"/>
          <w:szCs w:val="20"/>
          <w:lang w:val="en-US" w:eastAsia="es-ES" w:bidi="es-ES"/>
        </w:rPr>
        <w:t>rits of the alleged human rights violations</w:t>
      </w:r>
      <w:r w:rsidRPr="00785D06">
        <w:rPr>
          <w:rFonts w:eastAsia="Times New Roman"/>
          <w:sz w:val="20"/>
          <w:szCs w:val="20"/>
          <w:lang w:val="en-US" w:eastAsia="es-ES" w:bidi="es-ES"/>
        </w:rPr>
        <w:t xml:space="preserve">. </w:t>
      </w:r>
      <w:r w:rsidR="00A824C4" w:rsidRPr="00785D06">
        <w:rPr>
          <w:rFonts w:eastAsia="Times New Roman"/>
          <w:sz w:val="20"/>
          <w:szCs w:val="20"/>
          <w:lang w:val="en-US" w:eastAsia="es-ES" w:bidi="es-ES"/>
        </w:rPr>
        <w:t>Although disputes persist regarding</w:t>
      </w:r>
      <w:r w:rsidRPr="00785D06">
        <w:rPr>
          <w:rFonts w:eastAsia="Times New Roman"/>
          <w:sz w:val="20"/>
          <w:szCs w:val="20"/>
          <w:lang w:val="en-US" w:eastAsia="es-ES" w:bidi="es-ES"/>
        </w:rPr>
        <w:t xml:space="preserve"> these </w:t>
      </w:r>
      <w:r w:rsidR="00A824C4" w:rsidRPr="00785D06">
        <w:rPr>
          <w:rFonts w:eastAsia="Times New Roman"/>
          <w:sz w:val="20"/>
          <w:szCs w:val="20"/>
          <w:lang w:val="en-US" w:eastAsia="es-ES" w:bidi="es-ES"/>
        </w:rPr>
        <w:t>violations</w:t>
      </w:r>
      <w:r w:rsidRPr="00785D06">
        <w:rPr>
          <w:rFonts w:eastAsia="Times New Roman"/>
          <w:sz w:val="20"/>
          <w:szCs w:val="20"/>
          <w:lang w:val="en-US" w:eastAsia="es-ES" w:bidi="es-ES"/>
        </w:rPr>
        <w:t xml:space="preserve">, the Court </w:t>
      </w:r>
      <w:r w:rsidR="00A824C4" w:rsidRPr="00785D06">
        <w:rPr>
          <w:rFonts w:eastAsia="Times New Roman"/>
          <w:sz w:val="20"/>
          <w:szCs w:val="20"/>
          <w:lang w:val="en-US" w:eastAsia="es-ES" w:bidi="es-ES"/>
        </w:rPr>
        <w:t xml:space="preserve">must deliver </w:t>
      </w:r>
      <w:r w:rsidRPr="00785D06">
        <w:rPr>
          <w:rFonts w:eastAsia="Times New Roman"/>
          <w:sz w:val="20"/>
          <w:szCs w:val="20"/>
          <w:lang w:val="en-US" w:eastAsia="es-ES" w:bidi="es-ES"/>
        </w:rPr>
        <w:t xml:space="preserve">a judgment </w:t>
      </w:r>
      <w:r w:rsidR="00A824C4" w:rsidRPr="00785D06">
        <w:rPr>
          <w:rFonts w:eastAsia="Times New Roman"/>
          <w:sz w:val="20"/>
          <w:szCs w:val="20"/>
          <w:lang w:val="en-US" w:eastAsia="es-ES" w:bidi="es-ES"/>
        </w:rPr>
        <w:t xml:space="preserve">in which the facts </w:t>
      </w:r>
      <w:r w:rsidR="002C622B" w:rsidRPr="00785D06">
        <w:rPr>
          <w:rFonts w:eastAsia="Times New Roman"/>
          <w:sz w:val="20"/>
          <w:szCs w:val="20"/>
          <w:lang w:val="en-US" w:eastAsia="es-ES" w:bidi="es-ES"/>
        </w:rPr>
        <w:t xml:space="preserve">are </w:t>
      </w:r>
      <w:r w:rsidRPr="00785D06">
        <w:rPr>
          <w:rFonts w:eastAsia="Times New Roman"/>
          <w:sz w:val="20"/>
          <w:szCs w:val="20"/>
          <w:lang w:val="en-US" w:eastAsia="es-ES" w:bidi="es-ES"/>
        </w:rPr>
        <w:t>determine</w:t>
      </w:r>
      <w:r w:rsidR="00A824C4" w:rsidRPr="00785D06">
        <w:rPr>
          <w:rFonts w:eastAsia="Times New Roman"/>
          <w:sz w:val="20"/>
          <w:szCs w:val="20"/>
          <w:lang w:val="en-US" w:eastAsia="es-ES" w:bidi="es-ES"/>
        </w:rPr>
        <w:t>d,</w:t>
      </w:r>
      <w:r w:rsidRPr="00785D06">
        <w:rPr>
          <w:rFonts w:eastAsia="Times New Roman"/>
          <w:sz w:val="20"/>
          <w:szCs w:val="20"/>
          <w:lang w:val="en-US" w:eastAsia="es-ES" w:bidi="es-ES"/>
        </w:rPr>
        <w:t xml:space="preserve"> based on the evidence gathered during the proceedings before this Court and the acceptance of </w:t>
      </w:r>
      <w:r w:rsidR="00A824C4" w:rsidRPr="00785D06">
        <w:rPr>
          <w:rFonts w:eastAsia="Times New Roman"/>
          <w:sz w:val="20"/>
          <w:szCs w:val="20"/>
          <w:lang w:val="en-US" w:eastAsia="es-ES" w:bidi="es-ES"/>
        </w:rPr>
        <w:t xml:space="preserve">those </w:t>
      </w:r>
      <w:r w:rsidRPr="00785D06">
        <w:rPr>
          <w:rFonts w:eastAsia="Times New Roman"/>
          <w:sz w:val="20"/>
          <w:szCs w:val="20"/>
          <w:lang w:val="en-US" w:eastAsia="es-ES" w:bidi="es-ES"/>
        </w:rPr>
        <w:t>facts, as well as their legal consequences.</w:t>
      </w:r>
    </w:p>
    <w:p w14:paraId="45B7D689" w14:textId="77777777" w:rsidR="00C254BF" w:rsidRPr="00785D06" w:rsidRDefault="00C254BF" w:rsidP="00C254BF">
      <w:pPr>
        <w:pStyle w:val="Prrafodelista"/>
        <w:ind w:left="0"/>
        <w:contextualSpacing w:val="0"/>
        <w:jc w:val="center"/>
        <w:outlineLvl w:val="0"/>
        <w:rPr>
          <w:b/>
          <w:sz w:val="20"/>
          <w:szCs w:val="20"/>
          <w:bdr w:val="nil"/>
          <w:lang w:val="en-US"/>
        </w:rPr>
      </w:pPr>
      <w:bookmarkStart w:id="67" w:name="_Toc42498033"/>
    </w:p>
    <w:p w14:paraId="38AE28AD" w14:textId="77777777" w:rsidR="00C254BF" w:rsidRPr="00785D06" w:rsidRDefault="00C254BF" w:rsidP="00C254BF">
      <w:pPr>
        <w:pStyle w:val="Prrafodelista"/>
        <w:ind w:left="0"/>
        <w:contextualSpacing w:val="0"/>
        <w:jc w:val="center"/>
        <w:outlineLvl w:val="0"/>
        <w:rPr>
          <w:b/>
          <w:sz w:val="20"/>
          <w:szCs w:val="20"/>
          <w:bdr w:val="nil"/>
          <w:lang w:val="en-US"/>
        </w:rPr>
      </w:pPr>
      <w:bookmarkStart w:id="68" w:name="_Toc46937281"/>
      <w:r w:rsidRPr="00785D06">
        <w:rPr>
          <w:b/>
          <w:sz w:val="20"/>
          <w:szCs w:val="20"/>
          <w:bdr w:val="nil"/>
          <w:lang w:val="en-US"/>
        </w:rPr>
        <w:t>V</w:t>
      </w:r>
      <w:bookmarkEnd w:id="67"/>
      <w:bookmarkEnd w:id="68"/>
    </w:p>
    <w:p w14:paraId="0C5B45B3" w14:textId="77777777" w:rsidR="00C254BF" w:rsidRPr="00785D06" w:rsidRDefault="00C254BF" w:rsidP="00C254BF">
      <w:pPr>
        <w:pStyle w:val="Prrafodelista"/>
        <w:ind w:left="0"/>
        <w:contextualSpacing w:val="0"/>
        <w:jc w:val="center"/>
        <w:outlineLvl w:val="0"/>
        <w:rPr>
          <w:b/>
          <w:sz w:val="20"/>
          <w:szCs w:val="20"/>
          <w:bdr w:val="nil"/>
          <w:lang w:val="en-US"/>
        </w:rPr>
      </w:pPr>
      <w:r w:rsidRPr="00785D06">
        <w:rPr>
          <w:b/>
          <w:sz w:val="20"/>
          <w:szCs w:val="20"/>
          <w:bdr w:val="nil"/>
          <w:lang w:val="en-US"/>
        </w:rPr>
        <w:t>EVIDENCE</w:t>
      </w:r>
    </w:p>
    <w:p w14:paraId="248D9721" w14:textId="77777777" w:rsidR="00C254BF" w:rsidRPr="00785D06" w:rsidRDefault="00C254BF" w:rsidP="00C254BF">
      <w:pPr>
        <w:pStyle w:val="Prrafodelista"/>
        <w:ind w:left="0"/>
        <w:contextualSpacing w:val="0"/>
        <w:jc w:val="center"/>
        <w:outlineLvl w:val="0"/>
        <w:rPr>
          <w:b/>
          <w:sz w:val="20"/>
          <w:szCs w:val="20"/>
          <w:bdr w:val="nil"/>
          <w:lang w:val="en-US"/>
        </w:rPr>
      </w:pPr>
    </w:p>
    <w:p w14:paraId="66EBA22E" w14:textId="77777777" w:rsidR="00C254BF" w:rsidRPr="00785D06" w:rsidRDefault="00C254BF" w:rsidP="00C254BF">
      <w:pPr>
        <w:pStyle w:val="Prrafodelista"/>
        <w:numPr>
          <w:ilvl w:val="0"/>
          <w:numId w:val="8"/>
        </w:numPr>
        <w:ind w:left="284" w:firstLine="0"/>
        <w:contextualSpacing w:val="0"/>
        <w:jc w:val="both"/>
        <w:outlineLvl w:val="1"/>
        <w:rPr>
          <w:b/>
          <w:i/>
          <w:sz w:val="20"/>
          <w:szCs w:val="20"/>
          <w:bdr w:val="nil"/>
          <w:lang w:val="en-US"/>
        </w:rPr>
      </w:pPr>
      <w:bookmarkStart w:id="69" w:name="_Toc42498035"/>
      <w:bookmarkStart w:id="70" w:name="_Toc46937283"/>
      <w:r w:rsidRPr="00785D06">
        <w:rPr>
          <w:b/>
          <w:i/>
          <w:sz w:val="20"/>
          <w:szCs w:val="20"/>
          <w:bdr w:val="nil"/>
          <w:lang w:val="en-US"/>
        </w:rPr>
        <w:t xml:space="preserve">Admission of the documentary evidence </w:t>
      </w:r>
      <w:bookmarkEnd w:id="69"/>
      <w:bookmarkEnd w:id="70"/>
    </w:p>
    <w:p w14:paraId="78B9ACB4" w14:textId="77777777" w:rsidR="00C254BF" w:rsidRPr="00785D06" w:rsidRDefault="00C254BF" w:rsidP="00C254BF">
      <w:pPr>
        <w:pStyle w:val="Prrafodelista"/>
        <w:ind w:left="927"/>
        <w:contextualSpacing w:val="0"/>
        <w:jc w:val="both"/>
        <w:outlineLvl w:val="1"/>
        <w:rPr>
          <w:b/>
          <w:sz w:val="20"/>
          <w:szCs w:val="20"/>
          <w:bdr w:val="nil"/>
          <w:lang w:val="en-US"/>
        </w:rPr>
      </w:pPr>
    </w:p>
    <w:p w14:paraId="0623681C" w14:textId="77777777" w:rsidR="00C254BF" w:rsidRPr="00785D06" w:rsidRDefault="00C254BF" w:rsidP="00C254BF">
      <w:pPr>
        <w:pStyle w:val="Prrafodelista"/>
        <w:numPr>
          <w:ilvl w:val="0"/>
          <w:numId w:val="2"/>
        </w:numPr>
        <w:ind w:left="0" w:firstLine="0"/>
        <w:contextualSpacing w:val="0"/>
        <w:jc w:val="both"/>
        <w:rPr>
          <w:sz w:val="20"/>
          <w:szCs w:val="20"/>
          <w:lang w:val="en-US"/>
        </w:rPr>
      </w:pPr>
      <w:r w:rsidRPr="00785D06">
        <w:rPr>
          <w:sz w:val="20"/>
          <w:szCs w:val="20"/>
          <w:lang w:val="en-US"/>
        </w:rPr>
        <w:t xml:space="preserve">The Court received documents presented as evidence by the </w:t>
      </w:r>
      <w:r w:rsidR="0046243A" w:rsidRPr="00785D06">
        <w:rPr>
          <w:sz w:val="20"/>
          <w:szCs w:val="20"/>
          <w:lang w:val="en-US"/>
        </w:rPr>
        <w:t xml:space="preserve">parties and the </w:t>
      </w:r>
      <w:r w:rsidRPr="00785D06">
        <w:rPr>
          <w:sz w:val="20"/>
          <w:szCs w:val="20"/>
          <w:lang w:val="en-US"/>
        </w:rPr>
        <w:t>Commission together with their main briefs (</w:t>
      </w:r>
      <w:r w:rsidRPr="00785D06">
        <w:rPr>
          <w:i/>
          <w:sz w:val="20"/>
          <w:szCs w:val="20"/>
          <w:lang w:val="en-US"/>
        </w:rPr>
        <w:t>supra</w:t>
      </w:r>
      <w:r w:rsidRPr="00785D06">
        <w:rPr>
          <w:sz w:val="20"/>
          <w:szCs w:val="20"/>
          <w:lang w:val="en-US"/>
        </w:rPr>
        <w:t xml:space="preserve"> paras. 1, 4, 7 and 8). </w:t>
      </w:r>
      <w:r w:rsidR="00D16F83" w:rsidRPr="00785D06">
        <w:rPr>
          <w:sz w:val="20"/>
          <w:szCs w:val="20"/>
          <w:lang w:val="en-US"/>
        </w:rPr>
        <w:t xml:space="preserve">It also </w:t>
      </w:r>
      <w:r w:rsidRPr="00785D06">
        <w:rPr>
          <w:sz w:val="20"/>
          <w:szCs w:val="20"/>
          <w:lang w:val="en-US"/>
        </w:rPr>
        <w:t>received documents attached to the final written arguments of the representatives and the State.</w:t>
      </w:r>
      <w:r w:rsidRPr="00785D06">
        <w:rPr>
          <w:rFonts w:eastAsia="Calibri"/>
          <w:sz w:val="20"/>
          <w:szCs w:val="20"/>
          <w:lang w:val="en-US"/>
        </w:rPr>
        <w:t xml:space="preserve"> </w:t>
      </w:r>
      <w:r w:rsidRPr="00785D06">
        <w:rPr>
          <w:sz w:val="20"/>
          <w:szCs w:val="20"/>
          <w:lang w:val="en-US"/>
        </w:rPr>
        <w:t>(</w:t>
      </w:r>
      <w:r w:rsidRPr="00785D06">
        <w:rPr>
          <w:i/>
          <w:sz w:val="20"/>
          <w:szCs w:val="20"/>
          <w:lang w:val="en-US"/>
        </w:rPr>
        <w:t>supra</w:t>
      </w:r>
      <w:r w:rsidR="00D16F83" w:rsidRPr="00785D06">
        <w:rPr>
          <w:sz w:val="20"/>
          <w:szCs w:val="20"/>
          <w:lang w:val="en-US"/>
        </w:rPr>
        <w:t xml:space="preserve"> para. 12) In this</w:t>
      </w:r>
      <w:r w:rsidRPr="00785D06">
        <w:rPr>
          <w:sz w:val="20"/>
          <w:szCs w:val="20"/>
          <w:lang w:val="en-US"/>
        </w:rPr>
        <w:t xml:space="preserve"> case, as in other</w:t>
      </w:r>
      <w:r w:rsidR="00D16F83" w:rsidRPr="00785D06">
        <w:rPr>
          <w:sz w:val="20"/>
          <w:szCs w:val="20"/>
          <w:lang w:val="en-US"/>
        </w:rPr>
        <w:t>s, the</w:t>
      </w:r>
      <w:r w:rsidRPr="00785D06">
        <w:rPr>
          <w:sz w:val="20"/>
          <w:szCs w:val="20"/>
          <w:lang w:val="en-US"/>
        </w:rPr>
        <w:t xml:space="preserve"> Court admit</w:t>
      </w:r>
      <w:r w:rsidR="00D16F83" w:rsidRPr="00785D06">
        <w:rPr>
          <w:sz w:val="20"/>
          <w:szCs w:val="20"/>
          <w:lang w:val="en-US"/>
        </w:rPr>
        <w:t>s</w:t>
      </w:r>
      <w:r w:rsidRPr="00785D06">
        <w:rPr>
          <w:sz w:val="20"/>
          <w:szCs w:val="20"/>
          <w:lang w:val="en-US"/>
        </w:rPr>
        <w:t xml:space="preserve"> those documents </w:t>
      </w:r>
      <w:r w:rsidR="0046243A" w:rsidRPr="00785D06">
        <w:rPr>
          <w:sz w:val="20"/>
          <w:szCs w:val="20"/>
          <w:lang w:val="en-US"/>
        </w:rPr>
        <w:t xml:space="preserve">that were </w:t>
      </w:r>
      <w:r w:rsidRPr="00785D06">
        <w:rPr>
          <w:sz w:val="20"/>
          <w:szCs w:val="20"/>
          <w:lang w:val="en-US"/>
        </w:rPr>
        <w:t xml:space="preserve">presented </w:t>
      </w:r>
      <w:r w:rsidR="0046243A" w:rsidRPr="00785D06">
        <w:rPr>
          <w:sz w:val="20"/>
          <w:szCs w:val="20"/>
          <w:lang w:val="en-US"/>
        </w:rPr>
        <w:t xml:space="preserve">at the proper procedural opportunity </w:t>
      </w:r>
      <w:r w:rsidRPr="00785D06">
        <w:rPr>
          <w:sz w:val="20"/>
          <w:szCs w:val="20"/>
          <w:lang w:val="en-US"/>
        </w:rPr>
        <w:t>by the parties and the Commission</w:t>
      </w:r>
      <w:r w:rsidR="0023121B" w:rsidRPr="00785D06">
        <w:rPr>
          <w:sz w:val="20"/>
          <w:szCs w:val="20"/>
          <w:lang w:val="en-US"/>
        </w:rPr>
        <w:t>,</w:t>
      </w:r>
      <w:r w:rsidRPr="00785D06">
        <w:rPr>
          <w:sz w:val="20"/>
          <w:szCs w:val="20"/>
          <w:lang w:val="en-US"/>
        </w:rPr>
        <w:t xml:space="preserve"> or </w:t>
      </w:r>
      <w:r w:rsidR="0046243A" w:rsidRPr="00785D06">
        <w:rPr>
          <w:sz w:val="20"/>
          <w:szCs w:val="20"/>
          <w:lang w:val="en-US"/>
        </w:rPr>
        <w:t xml:space="preserve">that were </w:t>
      </w:r>
      <w:r w:rsidRPr="00785D06">
        <w:rPr>
          <w:sz w:val="20"/>
          <w:szCs w:val="20"/>
          <w:lang w:val="en-US"/>
        </w:rPr>
        <w:t xml:space="preserve">requested as helpful evidence by the Court or its President, </w:t>
      </w:r>
      <w:r w:rsidR="0046243A" w:rsidRPr="00785D06">
        <w:rPr>
          <w:sz w:val="20"/>
          <w:szCs w:val="20"/>
          <w:lang w:val="en-US"/>
        </w:rPr>
        <w:t xml:space="preserve">and </w:t>
      </w:r>
      <w:r w:rsidRPr="00785D06">
        <w:rPr>
          <w:sz w:val="20"/>
          <w:szCs w:val="20"/>
          <w:lang w:val="en-US"/>
        </w:rPr>
        <w:t>the admissibility of which was not challenged or disputed.</w:t>
      </w:r>
      <w:r w:rsidRPr="00785D06">
        <w:rPr>
          <w:rStyle w:val="Refdenotaalpie"/>
          <w:sz w:val="20"/>
          <w:szCs w:val="20"/>
          <w:lang w:val="en-US"/>
        </w:rPr>
        <w:footnoteReference w:id="19"/>
      </w:r>
      <w:r w:rsidRPr="00785D06">
        <w:rPr>
          <w:sz w:val="20"/>
          <w:szCs w:val="20"/>
          <w:lang w:val="en-US"/>
        </w:rPr>
        <w:t xml:space="preserve"> </w:t>
      </w:r>
      <w:r w:rsidR="0046243A" w:rsidRPr="00785D06">
        <w:rPr>
          <w:sz w:val="20"/>
          <w:szCs w:val="20"/>
          <w:lang w:val="en-US"/>
        </w:rPr>
        <w:t xml:space="preserve">Also, pursuant to </w:t>
      </w:r>
      <w:r w:rsidRPr="00785D06">
        <w:rPr>
          <w:sz w:val="20"/>
          <w:szCs w:val="20"/>
          <w:lang w:val="en-US"/>
        </w:rPr>
        <w:t xml:space="preserve">Article 58 (a) of the Rules, </w:t>
      </w:r>
      <w:r w:rsidR="0046243A" w:rsidRPr="00785D06">
        <w:rPr>
          <w:sz w:val="20"/>
          <w:szCs w:val="20"/>
          <w:lang w:val="en-US"/>
        </w:rPr>
        <w:t xml:space="preserve">the Court includes </w:t>
      </w:r>
      <w:r w:rsidRPr="00785D06">
        <w:rPr>
          <w:sz w:val="20"/>
          <w:szCs w:val="20"/>
          <w:lang w:val="en-US"/>
        </w:rPr>
        <w:t xml:space="preserve">three documents containing </w:t>
      </w:r>
      <w:r w:rsidR="0046243A" w:rsidRPr="00785D06">
        <w:rPr>
          <w:sz w:val="20"/>
          <w:szCs w:val="20"/>
          <w:lang w:val="en-US"/>
        </w:rPr>
        <w:t xml:space="preserve">certain </w:t>
      </w:r>
      <w:r w:rsidRPr="00785D06">
        <w:rPr>
          <w:sz w:val="20"/>
          <w:szCs w:val="20"/>
          <w:lang w:val="en-US"/>
        </w:rPr>
        <w:t>domestic regulatory provisions</w:t>
      </w:r>
      <w:r w:rsidR="0046243A" w:rsidRPr="00785D06">
        <w:rPr>
          <w:sz w:val="20"/>
          <w:szCs w:val="20"/>
          <w:lang w:val="en-US"/>
        </w:rPr>
        <w:t xml:space="preserve"> considering them useful and of a public nature</w:t>
      </w:r>
      <w:r w:rsidRPr="00785D06">
        <w:rPr>
          <w:sz w:val="20"/>
          <w:szCs w:val="20"/>
          <w:lang w:val="en-US"/>
        </w:rPr>
        <w:t>.</w:t>
      </w:r>
      <w:r w:rsidRPr="00785D06">
        <w:rPr>
          <w:rStyle w:val="Refdenotaalpie"/>
          <w:sz w:val="20"/>
          <w:szCs w:val="20"/>
          <w:lang w:val="en-US"/>
        </w:rPr>
        <w:footnoteReference w:id="20"/>
      </w:r>
      <w:r w:rsidRPr="00785D06" w:rsidDel="0061594D">
        <w:rPr>
          <w:sz w:val="20"/>
          <w:szCs w:val="20"/>
          <w:lang w:val="en-US"/>
        </w:rPr>
        <w:t xml:space="preserve"> </w:t>
      </w:r>
    </w:p>
    <w:p w14:paraId="175DB13F" w14:textId="77777777" w:rsidR="00C254BF" w:rsidRPr="00785D06" w:rsidRDefault="00C254BF" w:rsidP="00C254BF">
      <w:pPr>
        <w:pStyle w:val="Prrafodelista"/>
        <w:rPr>
          <w:sz w:val="20"/>
          <w:szCs w:val="20"/>
          <w:lang w:val="en-US"/>
        </w:rPr>
      </w:pPr>
    </w:p>
    <w:p w14:paraId="006584C6" w14:textId="77777777" w:rsidR="00C254BF" w:rsidRPr="00785D06" w:rsidRDefault="0046243A" w:rsidP="00C254BF">
      <w:pPr>
        <w:pStyle w:val="Prrafodelista"/>
        <w:numPr>
          <w:ilvl w:val="0"/>
          <w:numId w:val="2"/>
        </w:numPr>
        <w:ind w:left="0" w:firstLine="0"/>
        <w:contextualSpacing w:val="0"/>
        <w:jc w:val="both"/>
        <w:rPr>
          <w:sz w:val="20"/>
          <w:szCs w:val="20"/>
          <w:lang w:val="en-US"/>
        </w:rPr>
      </w:pPr>
      <w:r w:rsidRPr="00785D06">
        <w:rPr>
          <w:sz w:val="20"/>
          <w:szCs w:val="20"/>
          <w:lang w:val="en-US"/>
        </w:rPr>
        <w:t>I</w:t>
      </w:r>
      <w:r w:rsidR="00C254BF" w:rsidRPr="00785D06">
        <w:rPr>
          <w:sz w:val="20"/>
          <w:szCs w:val="20"/>
          <w:lang w:val="en-US"/>
        </w:rPr>
        <w:t>n its answer</w:t>
      </w:r>
      <w:r w:rsidRPr="00785D06">
        <w:rPr>
          <w:sz w:val="20"/>
          <w:szCs w:val="20"/>
          <w:lang w:val="en-US"/>
        </w:rPr>
        <w:t>ing brief</w:t>
      </w:r>
      <w:r w:rsidR="00C254BF" w:rsidRPr="00785D06">
        <w:rPr>
          <w:sz w:val="20"/>
          <w:szCs w:val="20"/>
          <w:lang w:val="en-US"/>
        </w:rPr>
        <w:t xml:space="preserve">, </w:t>
      </w:r>
      <w:r w:rsidRPr="00785D06">
        <w:rPr>
          <w:sz w:val="20"/>
          <w:szCs w:val="20"/>
          <w:lang w:val="en-US"/>
        </w:rPr>
        <w:t xml:space="preserve">the </w:t>
      </w:r>
      <w:r w:rsidRPr="00785D06">
        <w:rPr>
          <w:b/>
          <w:i/>
          <w:sz w:val="20"/>
          <w:szCs w:val="20"/>
          <w:lang w:val="en-US"/>
        </w:rPr>
        <w:t>State</w:t>
      </w:r>
      <w:r w:rsidRPr="00785D06">
        <w:rPr>
          <w:sz w:val="20"/>
          <w:szCs w:val="20"/>
          <w:lang w:val="en-US"/>
        </w:rPr>
        <w:t xml:space="preserve"> </w:t>
      </w:r>
      <w:r w:rsidR="003F1A6F" w:rsidRPr="00785D06">
        <w:rPr>
          <w:sz w:val="20"/>
          <w:szCs w:val="20"/>
          <w:lang w:val="en-US"/>
        </w:rPr>
        <w:t xml:space="preserve">claimed </w:t>
      </w:r>
      <w:r w:rsidRPr="00785D06">
        <w:rPr>
          <w:sz w:val="20"/>
          <w:szCs w:val="20"/>
          <w:lang w:val="en-US"/>
        </w:rPr>
        <w:t>as a</w:t>
      </w:r>
      <w:r w:rsidR="00C254BF" w:rsidRPr="00785D06">
        <w:rPr>
          <w:sz w:val="20"/>
          <w:szCs w:val="20"/>
          <w:lang w:val="en-US"/>
        </w:rPr>
        <w:t xml:space="preserve"> “preliminary objection” that its right of defense was impaired by the</w:t>
      </w:r>
      <w:r w:rsidR="003F1A6F" w:rsidRPr="00785D06">
        <w:rPr>
          <w:sz w:val="20"/>
          <w:szCs w:val="20"/>
          <w:lang w:val="en-US"/>
        </w:rPr>
        <w:t xml:space="preserve"> Commission’s </w:t>
      </w:r>
      <w:r w:rsidR="00C254BF" w:rsidRPr="00785D06">
        <w:rPr>
          <w:sz w:val="20"/>
          <w:szCs w:val="20"/>
          <w:lang w:val="en-US"/>
        </w:rPr>
        <w:t>“irregular actions</w:t>
      </w:r>
      <w:r w:rsidR="003F1A6F" w:rsidRPr="00785D06">
        <w:rPr>
          <w:sz w:val="20"/>
          <w:szCs w:val="20"/>
          <w:lang w:val="en-US"/>
        </w:rPr>
        <w:t>.</w:t>
      </w:r>
      <w:r w:rsidR="00C254BF" w:rsidRPr="00785D06">
        <w:rPr>
          <w:sz w:val="20"/>
          <w:szCs w:val="20"/>
          <w:lang w:val="en-US"/>
        </w:rPr>
        <w:t xml:space="preserve">” </w:t>
      </w:r>
      <w:r w:rsidR="0023121B" w:rsidRPr="00785D06">
        <w:rPr>
          <w:sz w:val="20"/>
          <w:szCs w:val="20"/>
          <w:lang w:val="en-US"/>
        </w:rPr>
        <w:t xml:space="preserve">Subsequently, </w:t>
      </w:r>
      <w:r w:rsidR="00C254BF" w:rsidRPr="00785D06">
        <w:rPr>
          <w:rFonts w:eastAsia="Times New Roman"/>
          <w:sz w:val="20"/>
          <w:szCs w:val="20"/>
          <w:lang w:val="en-US" w:eastAsia="es-ES" w:bidi="es-ES"/>
        </w:rPr>
        <w:t xml:space="preserve">in its </w:t>
      </w:r>
      <w:r w:rsidR="00C254BF" w:rsidRPr="00785D06">
        <w:rPr>
          <w:sz w:val="20"/>
          <w:szCs w:val="20"/>
          <w:lang w:val="en-US"/>
        </w:rPr>
        <w:t xml:space="preserve">final written arguments, </w:t>
      </w:r>
      <w:r w:rsidR="003F1A6F" w:rsidRPr="00785D06">
        <w:rPr>
          <w:sz w:val="20"/>
          <w:szCs w:val="20"/>
          <w:lang w:val="en-US"/>
        </w:rPr>
        <w:t xml:space="preserve">it </w:t>
      </w:r>
      <w:r w:rsidR="00C254BF" w:rsidRPr="00785D06">
        <w:rPr>
          <w:sz w:val="20"/>
          <w:szCs w:val="20"/>
          <w:lang w:val="en-US"/>
        </w:rPr>
        <w:t xml:space="preserve">explained that its </w:t>
      </w:r>
      <w:r w:rsidR="0023121B" w:rsidRPr="00785D06">
        <w:rPr>
          <w:sz w:val="20"/>
          <w:szCs w:val="20"/>
          <w:lang w:val="en-US"/>
        </w:rPr>
        <w:t xml:space="preserve">claim </w:t>
      </w:r>
      <w:r w:rsidR="00C254BF" w:rsidRPr="00785D06">
        <w:rPr>
          <w:sz w:val="20"/>
          <w:szCs w:val="20"/>
          <w:lang w:val="en-US"/>
        </w:rPr>
        <w:t>did not constitute a preliminary objection, since it “[was] not questioning the Court’s jurisdiction to hear the case</w:t>
      </w:r>
      <w:r w:rsidR="00E37181" w:rsidRPr="00785D06">
        <w:rPr>
          <w:sz w:val="20"/>
          <w:szCs w:val="20"/>
          <w:lang w:val="en-US"/>
        </w:rPr>
        <w:t>;</w:t>
      </w:r>
      <w:r w:rsidR="003F1A6F" w:rsidRPr="00785D06">
        <w:rPr>
          <w:sz w:val="20"/>
          <w:szCs w:val="20"/>
          <w:lang w:val="en-US"/>
        </w:rPr>
        <w:t>”</w:t>
      </w:r>
      <w:r w:rsidR="00C254BF" w:rsidRPr="00785D06">
        <w:rPr>
          <w:sz w:val="20"/>
          <w:szCs w:val="20"/>
          <w:lang w:val="en-US"/>
        </w:rPr>
        <w:t xml:space="preserve"> </w:t>
      </w:r>
      <w:r w:rsidR="003F1A6F" w:rsidRPr="00785D06">
        <w:rPr>
          <w:sz w:val="20"/>
          <w:szCs w:val="20"/>
          <w:lang w:val="en-US"/>
        </w:rPr>
        <w:t xml:space="preserve">rather </w:t>
      </w:r>
      <w:r w:rsidR="00E37181" w:rsidRPr="00785D06">
        <w:rPr>
          <w:sz w:val="20"/>
          <w:szCs w:val="20"/>
          <w:lang w:val="en-US"/>
        </w:rPr>
        <w:t xml:space="preserve">it </w:t>
      </w:r>
      <w:r w:rsidR="00C254BF" w:rsidRPr="00785D06">
        <w:rPr>
          <w:sz w:val="20"/>
          <w:szCs w:val="20"/>
          <w:lang w:val="en-US"/>
        </w:rPr>
        <w:t xml:space="preserve">“[was] requesting that </w:t>
      </w:r>
      <w:r w:rsidR="003F1A6F" w:rsidRPr="00785D06">
        <w:rPr>
          <w:sz w:val="20"/>
          <w:szCs w:val="20"/>
          <w:lang w:val="en-US"/>
        </w:rPr>
        <w:t xml:space="preserve">the Court </w:t>
      </w:r>
      <w:r w:rsidR="00C254BF" w:rsidRPr="00785D06">
        <w:rPr>
          <w:sz w:val="20"/>
          <w:szCs w:val="20"/>
          <w:lang w:val="en-US"/>
        </w:rPr>
        <w:t xml:space="preserve">exclude evidence </w:t>
      </w:r>
      <w:r w:rsidR="00D04854" w:rsidRPr="00785D06">
        <w:rPr>
          <w:sz w:val="20"/>
          <w:szCs w:val="20"/>
          <w:lang w:val="en-US"/>
        </w:rPr>
        <w:t xml:space="preserve">gathered unlawfully </w:t>
      </w:r>
      <w:r w:rsidR="00C254BF" w:rsidRPr="00785D06">
        <w:rPr>
          <w:sz w:val="20"/>
          <w:szCs w:val="20"/>
          <w:lang w:val="en-US"/>
        </w:rPr>
        <w:t>that obligate</w:t>
      </w:r>
      <w:r w:rsidR="00E37181" w:rsidRPr="00785D06">
        <w:rPr>
          <w:sz w:val="20"/>
          <w:szCs w:val="20"/>
          <w:lang w:val="en-US"/>
        </w:rPr>
        <w:t>d</w:t>
      </w:r>
      <w:r w:rsidR="00C254BF" w:rsidRPr="00785D06">
        <w:rPr>
          <w:sz w:val="20"/>
          <w:szCs w:val="20"/>
          <w:lang w:val="en-US"/>
        </w:rPr>
        <w:t xml:space="preserve"> the Commission.” Specifically, it </w:t>
      </w:r>
      <w:r w:rsidR="00E37181" w:rsidRPr="00785D06">
        <w:rPr>
          <w:sz w:val="20"/>
          <w:szCs w:val="20"/>
          <w:lang w:val="en-US"/>
        </w:rPr>
        <w:t xml:space="preserve">alleged </w:t>
      </w:r>
      <w:r w:rsidR="00C254BF" w:rsidRPr="00785D06">
        <w:rPr>
          <w:sz w:val="20"/>
          <w:szCs w:val="20"/>
          <w:lang w:val="en-US"/>
        </w:rPr>
        <w:t xml:space="preserve">that the Commission held a hearing without </w:t>
      </w:r>
      <w:r w:rsidR="00D04854" w:rsidRPr="00785D06">
        <w:rPr>
          <w:sz w:val="20"/>
          <w:szCs w:val="20"/>
          <w:lang w:val="en-US"/>
        </w:rPr>
        <w:t xml:space="preserve">convening </w:t>
      </w:r>
      <w:r w:rsidR="00C254BF" w:rsidRPr="00785D06">
        <w:rPr>
          <w:sz w:val="20"/>
          <w:szCs w:val="20"/>
          <w:lang w:val="en-US"/>
        </w:rPr>
        <w:t>the State</w:t>
      </w:r>
      <w:r w:rsidR="00D04854" w:rsidRPr="00785D06">
        <w:rPr>
          <w:sz w:val="20"/>
          <w:szCs w:val="20"/>
          <w:lang w:val="en-US"/>
        </w:rPr>
        <w:t xml:space="preserve"> in a timely manner</w:t>
      </w:r>
      <w:r w:rsidR="00C254BF" w:rsidRPr="00785D06">
        <w:rPr>
          <w:sz w:val="20"/>
          <w:szCs w:val="20"/>
          <w:lang w:val="en-US"/>
        </w:rPr>
        <w:t>,</w:t>
      </w:r>
      <w:r w:rsidR="00C254BF" w:rsidRPr="00785D06">
        <w:rPr>
          <w:rStyle w:val="Refdenotaalpie"/>
          <w:sz w:val="20"/>
          <w:szCs w:val="20"/>
          <w:lang w:val="en-US"/>
        </w:rPr>
        <w:footnoteReference w:id="21"/>
      </w:r>
      <w:r w:rsidR="00C254BF" w:rsidRPr="00785D06">
        <w:rPr>
          <w:sz w:val="20"/>
          <w:szCs w:val="20"/>
          <w:lang w:val="en-US"/>
        </w:rPr>
        <w:t xml:space="preserve"> </w:t>
      </w:r>
      <w:r w:rsidR="0023121B" w:rsidRPr="00785D06">
        <w:rPr>
          <w:sz w:val="20"/>
          <w:szCs w:val="20"/>
          <w:lang w:val="en-US"/>
        </w:rPr>
        <w:t xml:space="preserve">and that it was unable to </w:t>
      </w:r>
      <w:r w:rsidR="00C254BF" w:rsidRPr="00785D06">
        <w:rPr>
          <w:sz w:val="20"/>
          <w:szCs w:val="20"/>
          <w:lang w:val="en-US"/>
        </w:rPr>
        <w:t xml:space="preserve">cross-examine the deponents, </w:t>
      </w:r>
      <w:r w:rsidR="00D04854" w:rsidRPr="00785D06">
        <w:rPr>
          <w:sz w:val="20"/>
          <w:szCs w:val="20"/>
          <w:lang w:val="en-US"/>
        </w:rPr>
        <w:t xml:space="preserve">namely, </w:t>
      </w:r>
      <w:r w:rsidR="00C254BF" w:rsidRPr="00785D06">
        <w:rPr>
          <w:sz w:val="20"/>
          <w:szCs w:val="20"/>
          <w:lang w:val="en-US"/>
        </w:rPr>
        <w:t xml:space="preserve">the mother of Paola Guzmán Albarracín and the expert witness Ximena </w:t>
      </w:r>
      <w:r w:rsidR="00D04854" w:rsidRPr="00785D06">
        <w:rPr>
          <w:sz w:val="20"/>
          <w:szCs w:val="20"/>
          <w:lang w:val="en-US"/>
        </w:rPr>
        <w:t>Cortés Castillo (hereinafter “M</w:t>
      </w:r>
      <w:r w:rsidR="00C254BF" w:rsidRPr="00785D06">
        <w:rPr>
          <w:sz w:val="20"/>
          <w:szCs w:val="20"/>
          <w:lang w:val="en-US"/>
        </w:rPr>
        <w:t>s. Cortés”).</w:t>
      </w:r>
      <w:r w:rsidR="00C254BF" w:rsidRPr="00785D06">
        <w:rPr>
          <w:b/>
          <w:sz w:val="20"/>
          <w:szCs w:val="20"/>
          <w:lang w:val="en-US"/>
        </w:rPr>
        <w:t xml:space="preserve"> </w:t>
      </w:r>
      <w:r w:rsidR="00D04854" w:rsidRPr="00785D06">
        <w:rPr>
          <w:sz w:val="20"/>
          <w:szCs w:val="20"/>
          <w:lang w:val="en-US"/>
        </w:rPr>
        <w:t>The State</w:t>
      </w:r>
      <w:r w:rsidR="00D04854" w:rsidRPr="00785D06">
        <w:rPr>
          <w:b/>
          <w:sz w:val="20"/>
          <w:szCs w:val="20"/>
          <w:lang w:val="en-US"/>
        </w:rPr>
        <w:t xml:space="preserve"> </w:t>
      </w:r>
      <w:r w:rsidR="00D04854" w:rsidRPr="00785D06">
        <w:rPr>
          <w:sz w:val="20"/>
          <w:szCs w:val="20"/>
          <w:lang w:val="en-US"/>
        </w:rPr>
        <w:t>a</w:t>
      </w:r>
      <w:r w:rsidR="00C254BF" w:rsidRPr="00785D06">
        <w:rPr>
          <w:sz w:val="20"/>
          <w:szCs w:val="20"/>
          <w:lang w:val="en-US"/>
        </w:rPr>
        <w:t xml:space="preserve">lso </w:t>
      </w:r>
      <w:r w:rsidR="00D04854" w:rsidRPr="00785D06">
        <w:rPr>
          <w:sz w:val="20"/>
          <w:szCs w:val="20"/>
          <w:lang w:val="en-US"/>
        </w:rPr>
        <w:t xml:space="preserve">pointed out </w:t>
      </w:r>
      <w:r w:rsidR="00C254BF" w:rsidRPr="00785D06">
        <w:rPr>
          <w:sz w:val="20"/>
          <w:szCs w:val="20"/>
          <w:lang w:val="en-US"/>
        </w:rPr>
        <w:t>that the Commission</w:t>
      </w:r>
      <w:r w:rsidR="00C254BF" w:rsidRPr="00785D06">
        <w:rPr>
          <w:b/>
          <w:sz w:val="20"/>
          <w:szCs w:val="20"/>
          <w:lang w:val="en-US"/>
        </w:rPr>
        <w:t xml:space="preserve"> </w:t>
      </w:r>
      <w:r w:rsidR="00C254BF" w:rsidRPr="00785D06">
        <w:rPr>
          <w:sz w:val="20"/>
          <w:szCs w:val="20"/>
          <w:lang w:val="en-US"/>
        </w:rPr>
        <w:t>inc</w:t>
      </w:r>
      <w:r w:rsidR="00D04854" w:rsidRPr="00785D06">
        <w:rPr>
          <w:sz w:val="20"/>
          <w:szCs w:val="20"/>
          <w:lang w:val="en-US"/>
        </w:rPr>
        <w:t>luded an expert witness, D</w:t>
      </w:r>
      <w:r w:rsidR="00C254BF" w:rsidRPr="00785D06">
        <w:rPr>
          <w:sz w:val="20"/>
          <w:szCs w:val="20"/>
          <w:lang w:val="en-US"/>
        </w:rPr>
        <w:t>r. José Ma</w:t>
      </w:r>
      <w:r w:rsidR="00D04854" w:rsidRPr="00785D06">
        <w:rPr>
          <w:sz w:val="20"/>
          <w:szCs w:val="20"/>
          <w:lang w:val="en-US"/>
        </w:rPr>
        <w:t>rio Nájera Ochoa (hereinafter “D</w:t>
      </w:r>
      <w:r w:rsidR="00C254BF" w:rsidRPr="00785D06">
        <w:rPr>
          <w:sz w:val="20"/>
          <w:szCs w:val="20"/>
          <w:lang w:val="en-US"/>
        </w:rPr>
        <w:t xml:space="preserve">r. Nájera Ochoa” or “the expert Nájera”), </w:t>
      </w:r>
      <w:r w:rsidR="00D04854" w:rsidRPr="00785D06">
        <w:rPr>
          <w:sz w:val="20"/>
          <w:szCs w:val="20"/>
          <w:lang w:val="en-US"/>
        </w:rPr>
        <w:t xml:space="preserve">who </w:t>
      </w:r>
      <w:r w:rsidR="00C254BF" w:rsidRPr="00785D06">
        <w:rPr>
          <w:sz w:val="20"/>
          <w:szCs w:val="20"/>
          <w:lang w:val="en-US"/>
        </w:rPr>
        <w:t xml:space="preserve">“was not proposed </w:t>
      </w:r>
      <w:r w:rsidR="00D04854" w:rsidRPr="00785D06">
        <w:rPr>
          <w:sz w:val="20"/>
          <w:szCs w:val="20"/>
          <w:lang w:val="en-US"/>
        </w:rPr>
        <w:t xml:space="preserve">and did not act </w:t>
      </w:r>
      <w:r w:rsidR="00E37181" w:rsidRPr="00785D06">
        <w:rPr>
          <w:sz w:val="20"/>
          <w:szCs w:val="20"/>
          <w:lang w:val="en-US"/>
        </w:rPr>
        <w:t xml:space="preserve">during </w:t>
      </w:r>
      <w:r w:rsidR="00D04854" w:rsidRPr="00785D06">
        <w:rPr>
          <w:sz w:val="20"/>
          <w:szCs w:val="20"/>
          <w:lang w:val="en-US"/>
        </w:rPr>
        <w:t xml:space="preserve">the aforementioned </w:t>
      </w:r>
      <w:r w:rsidR="00C254BF" w:rsidRPr="00785D06">
        <w:rPr>
          <w:sz w:val="20"/>
          <w:szCs w:val="20"/>
          <w:lang w:val="en-US"/>
        </w:rPr>
        <w:t xml:space="preserve">hearing.” </w:t>
      </w:r>
      <w:r w:rsidR="00E37181" w:rsidRPr="00785D06">
        <w:rPr>
          <w:sz w:val="20"/>
          <w:szCs w:val="20"/>
          <w:lang w:val="en-US"/>
        </w:rPr>
        <w:t>Therefore, i</w:t>
      </w:r>
      <w:r w:rsidR="00D04854" w:rsidRPr="00785D06">
        <w:rPr>
          <w:sz w:val="20"/>
          <w:szCs w:val="20"/>
          <w:lang w:val="en-US"/>
        </w:rPr>
        <w:t xml:space="preserve">t asked the Court </w:t>
      </w:r>
      <w:r w:rsidR="0023121B" w:rsidRPr="00785D06">
        <w:rPr>
          <w:sz w:val="20"/>
          <w:szCs w:val="20"/>
          <w:lang w:val="en-US"/>
        </w:rPr>
        <w:t xml:space="preserve">to </w:t>
      </w:r>
      <w:r w:rsidR="00C254BF" w:rsidRPr="00785D06">
        <w:rPr>
          <w:sz w:val="20"/>
          <w:szCs w:val="20"/>
          <w:lang w:val="en-US"/>
        </w:rPr>
        <w:t>exclude the evidence “</w:t>
      </w:r>
      <w:r w:rsidR="00E37181" w:rsidRPr="00785D06">
        <w:rPr>
          <w:sz w:val="20"/>
          <w:szCs w:val="20"/>
          <w:lang w:val="en-US"/>
        </w:rPr>
        <w:t>gathered unlawfully</w:t>
      </w:r>
      <w:r w:rsidR="00C254BF" w:rsidRPr="00785D06">
        <w:rPr>
          <w:sz w:val="20"/>
          <w:szCs w:val="20"/>
          <w:lang w:val="en-US"/>
        </w:rPr>
        <w:t>.”</w:t>
      </w:r>
    </w:p>
    <w:p w14:paraId="51A34CF6" w14:textId="77777777" w:rsidR="00C254BF" w:rsidRPr="00785D06" w:rsidRDefault="00C254BF" w:rsidP="00C254BF">
      <w:pPr>
        <w:pStyle w:val="Prrafodelista"/>
        <w:ind w:left="0"/>
        <w:contextualSpacing w:val="0"/>
        <w:jc w:val="both"/>
        <w:rPr>
          <w:sz w:val="20"/>
          <w:szCs w:val="20"/>
          <w:lang w:val="en-US"/>
        </w:rPr>
      </w:pPr>
    </w:p>
    <w:p w14:paraId="00CC5995" w14:textId="77777777" w:rsidR="00C254BF" w:rsidRPr="00785D06" w:rsidRDefault="00C254BF" w:rsidP="00C254BF">
      <w:pPr>
        <w:pStyle w:val="Prrafodelista"/>
        <w:numPr>
          <w:ilvl w:val="0"/>
          <w:numId w:val="2"/>
        </w:numPr>
        <w:ind w:left="0" w:firstLine="0"/>
        <w:contextualSpacing w:val="0"/>
        <w:jc w:val="both"/>
        <w:rPr>
          <w:sz w:val="20"/>
          <w:szCs w:val="20"/>
          <w:lang w:val="en-US"/>
        </w:rPr>
      </w:pPr>
      <w:r w:rsidRPr="00785D06">
        <w:rPr>
          <w:sz w:val="20"/>
          <w:szCs w:val="20"/>
          <w:lang w:val="en-US"/>
        </w:rPr>
        <w:t xml:space="preserve">The </w:t>
      </w:r>
      <w:r w:rsidRPr="00785D06">
        <w:rPr>
          <w:b/>
          <w:i/>
          <w:sz w:val="20"/>
          <w:szCs w:val="20"/>
          <w:lang w:val="en-US"/>
        </w:rPr>
        <w:t>Commission</w:t>
      </w:r>
      <w:r w:rsidRPr="00785D06">
        <w:rPr>
          <w:sz w:val="20"/>
          <w:szCs w:val="20"/>
          <w:lang w:val="en-US"/>
        </w:rPr>
        <w:t xml:space="preserve"> considered that Ecuador “has not proven serious </w:t>
      </w:r>
      <w:r w:rsidR="00E82AFF" w:rsidRPr="00785D06">
        <w:rPr>
          <w:sz w:val="20"/>
          <w:szCs w:val="20"/>
          <w:lang w:val="en-US"/>
        </w:rPr>
        <w:t>impairment of</w:t>
      </w:r>
      <w:r w:rsidR="00E37181" w:rsidRPr="00785D06">
        <w:rPr>
          <w:sz w:val="20"/>
          <w:szCs w:val="20"/>
          <w:lang w:val="en-US"/>
        </w:rPr>
        <w:t xml:space="preserve"> its </w:t>
      </w:r>
      <w:r w:rsidR="00E82AFF" w:rsidRPr="00785D06">
        <w:rPr>
          <w:sz w:val="20"/>
          <w:szCs w:val="20"/>
          <w:lang w:val="en-US"/>
        </w:rPr>
        <w:t xml:space="preserve">right to </w:t>
      </w:r>
      <w:r w:rsidRPr="00785D06">
        <w:rPr>
          <w:sz w:val="20"/>
          <w:szCs w:val="20"/>
          <w:lang w:val="en-US"/>
        </w:rPr>
        <w:t xml:space="preserve">defense.” </w:t>
      </w:r>
      <w:r w:rsidR="00E37181" w:rsidRPr="00785D06">
        <w:rPr>
          <w:sz w:val="20"/>
          <w:szCs w:val="20"/>
          <w:lang w:val="en-US"/>
        </w:rPr>
        <w:t xml:space="preserve">It argued </w:t>
      </w:r>
      <w:r w:rsidRPr="00785D06">
        <w:rPr>
          <w:sz w:val="20"/>
          <w:szCs w:val="20"/>
          <w:lang w:val="en-US"/>
        </w:rPr>
        <w:t xml:space="preserve">that the State was duly notified </w:t>
      </w:r>
      <w:r w:rsidR="00E37181" w:rsidRPr="00785D06">
        <w:rPr>
          <w:sz w:val="20"/>
          <w:szCs w:val="20"/>
          <w:lang w:val="en-US"/>
        </w:rPr>
        <w:t xml:space="preserve">of the hearing </w:t>
      </w:r>
      <w:r w:rsidRPr="00785D06">
        <w:rPr>
          <w:sz w:val="20"/>
          <w:szCs w:val="20"/>
          <w:lang w:val="en-US"/>
        </w:rPr>
        <w:t>and</w:t>
      </w:r>
      <w:r w:rsidR="00E37181" w:rsidRPr="00785D06">
        <w:rPr>
          <w:sz w:val="20"/>
          <w:szCs w:val="20"/>
          <w:lang w:val="en-US"/>
        </w:rPr>
        <w:t>,</w:t>
      </w:r>
      <w:r w:rsidRPr="00785D06">
        <w:rPr>
          <w:sz w:val="20"/>
          <w:szCs w:val="20"/>
          <w:lang w:val="en-US"/>
        </w:rPr>
        <w:t xml:space="preserve"> </w:t>
      </w:r>
      <w:r w:rsidR="00E37181" w:rsidRPr="00785D06">
        <w:rPr>
          <w:sz w:val="20"/>
          <w:szCs w:val="20"/>
          <w:lang w:val="en-US"/>
        </w:rPr>
        <w:t xml:space="preserve">in any case, </w:t>
      </w:r>
      <w:r w:rsidR="00E82AFF" w:rsidRPr="00785D06">
        <w:rPr>
          <w:sz w:val="20"/>
          <w:szCs w:val="20"/>
          <w:lang w:val="en-US"/>
        </w:rPr>
        <w:t xml:space="preserve">that </w:t>
      </w:r>
      <w:r w:rsidR="00E37181" w:rsidRPr="00785D06">
        <w:rPr>
          <w:sz w:val="20"/>
          <w:szCs w:val="20"/>
          <w:lang w:val="en-US"/>
        </w:rPr>
        <w:t>it had an</w:t>
      </w:r>
      <w:r w:rsidRPr="00785D06">
        <w:rPr>
          <w:sz w:val="20"/>
          <w:szCs w:val="20"/>
          <w:lang w:val="en-US"/>
        </w:rPr>
        <w:t xml:space="preserve"> opportunity to present observations on the merits a</w:t>
      </w:r>
      <w:r w:rsidR="00E37181" w:rsidRPr="00785D06">
        <w:rPr>
          <w:sz w:val="20"/>
          <w:szCs w:val="20"/>
          <w:lang w:val="en-US"/>
        </w:rPr>
        <w:t xml:space="preserve">t </w:t>
      </w:r>
      <w:r w:rsidRPr="00785D06">
        <w:rPr>
          <w:sz w:val="20"/>
          <w:szCs w:val="20"/>
          <w:lang w:val="en-US"/>
        </w:rPr>
        <w:t xml:space="preserve">the hearing (which was of a public nature). The </w:t>
      </w:r>
      <w:r w:rsidRPr="00785D06">
        <w:rPr>
          <w:b/>
          <w:i/>
          <w:sz w:val="20"/>
          <w:szCs w:val="20"/>
          <w:lang w:val="en-US"/>
        </w:rPr>
        <w:t>representatives</w:t>
      </w:r>
      <w:r w:rsidRPr="00785D06">
        <w:rPr>
          <w:sz w:val="20"/>
          <w:szCs w:val="20"/>
          <w:lang w:val="en-US"/>
        </w:rPr>
        <w:t xml:space="preserve"> agreed with the Commission’s arguments. </w:t>
      </w:r>
    </w:p>
    <w:p w14:paraId="3A954D52" w14:textId="77777777" w:rsidR="00C254BF" w:rsidRPr="00785D06" w:rsidRDefault="00C254BF" w:rsidP="00C254BF">
      <w:pPr>
        <w:pStyle w:val="Prrafodelista"/>
        <w:ind w:left="0"/>
        <w:contextualSpacing w:val="0"/>
        <w:jc w:val="both"/>
        <w:rPr>
          <w:sz w:val="20"/>
          <w:szCs w:val="20"/>
          <w:lang w:val="en-US"/>
        </w:rPr>
      </w:pPr>
    </w:p>
    <w:p w14:paraId="0CC4125E" w14:textId="77777777" w:rsidR="00C254BF" w:rsidRPr="00785D06" w:rsidRDefault="00C254BF" w:rsidP="00C254BF">
      <w:pPr>
        <w:pStyle w:val="Prrafodelista"/>
        <w:numPr>
          <w:ilvl w:val="0"/>
          <w:numId w:val="2"/>
        </w:numPr>
        <w:ind w:left="0" w:firstLine="0"/>
        <w:contextualSpacing w:val="0"/>
        <w:jc w:val="both"/>
        <w:rPr>
          <w:sz w:val="20"/>
          <w:szCs w:val="20"/>
          <w:lang w:val="en-US"/>
        </w:rPr>
      </w:pPr>
      <w:r w:rsidRPr="00785D06">
        <w:rPr>
          <w:sz w:val="20"/>
          <w:szCs w:val="20"/>
          <w:lang w:val="en-US"/>
        </w:rPr>
        <w:t xml:space="preserve">The </w:t>
      </w:r>
      <w:r w:rsidRPr="00785D06">
        <w:rPr>
          <w:b/>
          <w:i/>
          <w:sz w:val="20"/>
          <w:szCs w:val="20"/>
          <w:lang w:val="en-US"/>
        </w:rPr>
        <w:t>Court</w:t>
      </w:r>
      <w:r w:rsidRPr="00785D06">
        <w:rPr>
          <w:sz w:val="20"/>
          <w:szCs w:val="20"/>
          <w:lang w:val="en-US"/>
        </w:rPr>
        <w:t xml:space="preserve"> notes that the State itself has </w:t>
      </w:r>
      <w:r w:rsidR="00E37181" w:rsidRPr="00785D06">
        <w:rPr>
          <w:sz w:val="20"/>
          <w:szCs w:val="20"/>
          <w:lang w:val="en-US"/>
        </w:rPr>
        <w:t xml:space="preserve">admitted </w:t>
      </w:r>
      <w:r w:rsidRPr="00785D06">
        <w:rPr>
          <w:sz w:val="20"/>
          <w:szCs w:val="20"/>
          <w:lang w:val="en-US"/>
        </w:rPr>
        <w:t xml:space="preserve">that its argument does not constitute a preliminary objection, and therefore </w:t>
      </w:r>
      <w:r w:rsidR="00E37181" w:rsidRPr="00785D06">
        <w:rPr>
          <w:sz w:val="20"/>
          <w:szCs w:val="20"/>
          <w:lang w:val="en-US"/>
        </w:rPr>
        <w:t xml:space="preserve">the Court </w:t>
      </w:r>
      <w:r w:rsidRPr="00785D06">
        <w:rPr>
          <w:sz w:val="20"/>
          <w:szCs w:val="20"/>
          <w:lang w:val="en-US"/>
        </w:rPr>
        <w:t xml:space="preserve">will not analyze it as such. </w:t>
      </w:r>
      <w:r w:rsidR="006C2E97" w:rsidRPr="00785D06">
        <w:rPr>
          <w:sz w:val="20"/>
          <w:szCs w:val="20"/>
          <w:lang w:val="en-US"/>
        </w:rPr>
        <w:t>Moreover</w:t>
      </w:r>
      <w:r w:rsidR="00E37181" w:rsidRPr="00785D06">
        <w:rPr>
          <w:sz w:val="20"/>
          <w:szCs w:val="20"/>
          <w:lang w:val="en-US"/>
        </w:rPr>
        <w:t xml:space="preserve">, the Court </w:t>
      </w:r>
      <w:r w:rsidRPr="00785D06">
        <w:rPr>
          <w:sz w:val="20"/>
          <w:szCs w:val="20"/>
          <w:lang w:val="en-US"/>
        </w:rPr>
        <w:t xml:space="preserve">does not consider </w:t>
      </w:r>
      <w:r w:rsidR="00E37181" w:rsidRPr="00785D06">
        <w:rPr>
          <w:sz w:val="20"/>
          <w:szCs w:val="20"/>
          <w:lang w:val="en-US"/>
        </w:rPr>
        <w:t xml:space="preserve">it </w:t>
      </w:r>
      <w:r w:rsidRPr="00785D06">
        <w:rPr>
          <w:sz w:val="20"/>
          <w:szCs w:val="20"/>
          <w:lang w:val="en-US"/>
        </w:rPr>
        <w:t xml:space="preserve">necessary to determine when Ecuador </w:t>
      </w:r>
      <w:r w:rsidR="00E37181" w:rsidRPr="00785D06">
        <w:rPr>
          <w:sz w:val="20"/>
          <w:szCs w:val="20"/>
          <w:lang w:val="en-US"/>
        </w:rPr>
        <w:t xml:space="preserve">actually </w:t>
      </w:r>
      <w:r w:rsidRPr="00785D06">
        <w:rPr>
          <w:sz w:val="20"/>
          <w:szCs w:val="20"/>
          <w:lang w:val="en-US"/>
        </w:rPr>
        <w:t>received</w:t>
      </w:r>
      <w:r w:rsidR="006C2E97" w:rsidRPr="00785D06">
        <w:rPr>
          <w:sz w:val="20"/>
          <w:szCs w:val="20"/>
          <w:lang w:val="en-US"/>
        </w:rPr>
        <w:t xml:space="preserve"> the summons to that</w:t>
      </w:r>
      <w:r w:rsidRPr="00785D06">
        <w:rPr>
          <w:sz w:val="20"/>
          <w:szCs w:val="20"/>
          <w:lang w:val="en-US"/>
        </w:rPr>
        <w:t xml:space="preserve"> hearing. In this regard, the Court finds that the State had an opportunity, after the hearing, to refer to the statements made during it and </w:t>
      </w:r>
      <w:r w:rsidR="00E37181" w:rsidRPr="00785D06">
        <w:rPr>
          <w:sz w:val="20"/>
          <w:szCs w:val="20"/>
          <w:lang w:val="en-US"/>
        </w:rPr>
        <w:t xml:space="preserve">to </w:t>
      </w:r>
      <w:r w:rsidR="00E82AFF" w:rsidRPr="00785D06">
        <w:rPr>
          <w:sz w:val="20"/>
          <w:szCs w:val="20"/>
          <w:lang w:val="en-US"/>
        </w:rPr>
        <w:t xml:space="preserve">comment on </w:t>
      </w:r>
      <w:r w:rsidRPr="00785D06">
        <w:rPr>
          <w:sz w:val="20"/>
          <w:szCs w:val="20"/>
          <w:lang w:val="en-US"/>
        </w:rPr>
        <w:t xml:space="preserve">the statement </w:t>
      </w:r>
      <w:r w:rsidR="00E37181" w:rsidRPr="00785D06">
        <w:rPr>
          <w:sz w:val="20"/>
          <w:szCs w:val="20"/>
          <w:lang w:val="en-US"/>
        </w:rPr>
        <w:t xml:space="preserve">of </w:t>
      </w:r>
      <w:r w:rsidR="006C2E97" w:rsidRPr="00785D06">
        <w:rPr>
          <w:sz w:val="20"/>
          <w:szCs w:val="20"/>
          <w:lang w:val="en-US"/>
        </w:rPr>
        <w:t>D</w:t>
      </w:r>
      <w:r w:rsidRPr="00785D06">
        <w:rPr>
          <w:sz w:val="20"/>
          <w:szCs w:val="20"/>
          <w:lang w:val="en-US"/>
        </w:rPr>
        <w:t xml:space="preserve">r. Nájera Ochoa. Therefore, the Court does not find </w:t>
      </w:r>
      <w:r w:rsidR="006C2E97" w:rsidRPr="00785D06">
        <w:rPr>
          <w:sz w:val="20"/>
          <w:szCs w:val="20"/>
          <w:lang w:val="en-US"/>
        </w:rPr>
        <w:t xml:space="preserve">that the State’s right to defense was seriously impaired and that </w:t>
      </w:r>
      <w:r w:rsidR="00E82AFF" w:rsidRPr="00785D06">
        <w:rPr>
          <w:sz w:val="20"/>
          <w:szCs w:val="20"/>
          <w:lang w:val="en-US"/>
        </w:rPr>
        <w:t xml:space="preserve">it </w:t>
      </w:r>
      <w:r w:rsidR="006C2E97" w:rsidRPr="00785D06">
        <w:rPr>
          <w:sz w:val="20"/>
          <w:szCs w:val="20"/>
          <w:lang w:val="en-US"/>
        </w:rPr>
        <w:t xml:space="preserve">would warrant the exclusion of </w:t>
      </w:r>
      <w:r w:rsidRPr="00785D06">
        <w:rPr>
          <w:sz w:val="20"/>
          <w:szCs w:val="20"/>
          <w:lang w:val="en-US"/>
        </w:rPr>
        <w:t xml:space="preserve">the evidence </w:t>
      </w:r>
      <w:r w:rsidR="006C2E97" w:rsidRPr="00785D06">
        <w:rPr>
          <w:sz w:val="20"/>
          <w:szCs w:val="20"/>
          <w:lang w:val="en-US"/>
        </w:rPr>
        <w:t xml:space="preserve">mentioned, which was </w:t>
      </w:r>
      <w:r w:rsidRPr="00785D06">
        <w:rPr>
          <w:sz w:val="20"/>
          <w:szCs w:val="20"/>
          <w:lang w:val="en-US"/>
        </w:rPr>
        <w:t xml:space="preserve">produced </w:t>
      </w:r>
      <w:r w:rsidR="006C2E97" w:rsidRPr="00785D06">
        <w:rPr>
          <w:sz w:val="20"/>
          <w:szCs w:val="20"/>
          <w:lang w:val="en-US"/>
        </w:rPr>
        <w:t xml:space="preserve">at the hearing </w:t>
      </w:r>
      <w:r w:rsidRPr="00785D06">
        <w:rPr>
          <w:sz w:val="20"/>
          <w:szCs w:val="20"/>
          <w:lang w:val="en-US"/>
        </w:rPr>
        <w:t xml:space="preserve">before the Commission. Therefore, the Court rejects </w:t>
      </w:r>
      <w:r w:rsidR="006C2E97" w:rsidRPr="00785D06">
        <w:rPr>
          <w:sz w:val="20"/>
          <w:szCs w:val="20"/>
          <w:lang w:val="en-US"/>
        </w:rPr>
        <w:t xml:space="preserve">Ecuador’s </w:t>
      </w:r>
      <w:r w:rsidRPr="00785D06">
        <w:rPr>
          <w:sz w:val="20"/>
          <w:szCs w:val="20"/>
          <w:lang w:val="en-US"/>
        </w:rPr>
        <w:t xml:space="preserve">request to exclude </w:t>
      </w:r>
      <w:r w:rsidR="006C2E97" w:rsidRPr="00785D06">
        <w:rPr>
          <w:sz w:val="20"/>
          <w:szCs w:val="20"/>
          <w:lang w:val="en-US"/>
        </w:rPr>
        <w:t xml:space="preserve">said </w:t>
      </w:r>
      <w:r w:rsidRPr="00785D06">
        <w:rPr>
          <w:sz w:val="20"/>
          <w:szCs w:val="20"/>
          <w:lang w:val="en-US"/>
        </w:rPr>
        <w:t>evidence.</w:t>
      </w:r>
    </w:p>
    <w:p w14:paraId="59015B57" w14:textId="77777777" w:rsidR="00C254BF" w:rsidRPr="00785D06" w:rsidRDefault="00C254BF" w:rsidP="00C254BF">
      <w:pPr>
        <w:pStyle w:val="Prrafodelista"/>
        <w:ind w:left="0"/>
        <w:contextualSpacing w:val="0"/>
        <w:jc w:val="both"/>
        <w:rPr>
          <w:sz w:val="20"/>
          <w:szCs w:val="20"/>
          <w:lang w:val="en-US"/>
        </w:rPr>
      </w:pPr>
    </w:p>
    <w:p w14:paraId="241A057A" w14:textId="77777777" w:rsidR="00C254BF" w:rsidRPr="00785D06" w:rsidRDefault="00D5715D" w:rsidP="00C254BF">
      <w:pPr>
        <w:pStyle w:val="Prrafodelista"/>
        <w:numPr>
          <w:ilvl w:val="0"/>
          <w:numId w:val="2"/>
        </w:numPr>
        <w:ind w:left="0" w:firstLine="0"/>
        <w:contextualSpacing w:val="0"/>
        <w:jc w:val="both"/>
        <w:rPr>
          <w:sz w:val="20"/>
          <w:szCs w:val="20"/>
          <w:lang w:val="en-US"/>
        </w:rPr>
      </w:pPr>
      <w:r w:rsidRPr="00785D06">
        <w:rPr>
          <w:sz w:val="20"/>
          <w:szCs w:val="20"/>
          <w:lang w:val="en-US"/>
        </w:rPr>
        <w:t>T</w:t>
      </w:r>
      <w:r w:rsidR="00C254BF" w:rsidRPr="00785D06">
        <w:rPr>
          <w:sz w:val="20"/>
          <w:szCs w:val="20"/>
          <w:lang w:val="en-US"/>
        </w:rPr>
        <w:t xml:space="preserve">he </w:t>
      </w:r>
      <w:r w:rsidR="00C254BF" w:rsidRPr="00785D06">
        <w:rPr>
          <w:b/>
          <w:i/>
          <w:sz w:val="20"/>
          <w:szCs w:val="20"/>
          <w:lang w:val="en-US"/>
        </w:rPr>
        <w:t>State</w:t>
      </w:r>
      <w:r w:rsidRPr="00785D06">
        <w:rPr>
          <w:sz w:val="20"/>
          <w:szCs w:val="20"/>
          <w:lang w:val="en-US"/>
        </w:rPr>
        <w:t xml:space="preserve"> also</w:t>
      </w:r>
      <w:r w:rsidR="00C254BF" w:rsidRPr="00785D06">
        <w:rPr>
          <w:sz w:val="20"/>
          <w:szCs w:val="20"/>
          <w:lang w:val="en-US"/>
        </w:rPr>
        <w:t xml:space="preserve"> forwarded 11 documents</w:t>
      </w:r>
      <w:r w:rsidR="006C2E97" w:rsidRPr="00785D06">
        <w:rPr>
          <w:sz w:val="20"/>
          <w:szCs w:val="20"/>
          <w:lang w:val="en-US"/>
        </w:rPr>
        <w:t xml:space="preserve"> with its final written arguments, five of which </w:t>
      </w:r>
      <w:r w:rsidR="00C254BF" w:rsidRPr="00785D06">
        <w:rPr>
          <w:sz w:val="20"/>
          <w:szCs w:val="20"/>
          <w:lang w:val="en-US"/>
        </w:rPr>
        <w:t xml:space="preserve">were already included in the </w:t>
      </w:r>
      <w:r w:rsidR="00B71244" w:rsidRPr="00785D06">
        <w:rPr>
          <w:sz w:val="20"/>
          <w:szCs w:val="20"/>
          <w:lang w:val="en-US"/>
        </w:rPr>
        <w:t xml:space="preserve">case </w:t>
      </w:r>
      <w:r w:rsidR="00C254BF" w:rsidRPr="00785D06">
        <w:rPr>
          <w:sz w:val="20"/>
          <w:szCs w:val="20"/>
          <w:lang w:val="en-US"/>
        </w:rPr>
        <w:t xml:space="preserve">file. Regarding </w:t>
      </w:r>
      <w:r w:rsidR="004633DA" w:rsidRPr="00785D06">
        <w:rPr>
          <w:sz w:val="20"/>
          <w:szCs w:val="20"/>
          <w:lang w:val="en-US"/>
        </w:rPr>
        <w:t>five other documents</w:t>
      </w:r>
      <w:r w:rsidR="005A1BF8" w:rsidRPr="00785D06">
        <w:rPr>
          <w:sz w:val="20"/>
          <w:szCs w:val="20"/>
          <w:lang w:val="en-US"/>
        </w:rPr>
        <w:t>,</w:t>
      </w:r>
      <w:r w:rsidR="00C254BF" w:rsidRPr="00785D06">
        <w:rPr>
          <w:sz w:val="20"/>
          <w:szCs w:val="20"/>
          <w:lang w:val="en-US"/>
        </w:rPr>
        <w:t xml:space="preserve"> the </w:t>
      </w:r>
      <w:r w:rsidR="00C254BF" w:rsidRPr="00785D06">
        <w:rPr>
          <w:b/>
          <w:i/>
          <w:sz w:val="20"/>
          <w:szCs w:val="20"/>
          <w:lang w:val="en-US"/>
        </w:rPr>
        <w:t>representatives</w:t>
      </w:r>
      <w:r w:rsidR="00C254BF" w:rsidRPr="00785D06">
        <w:rPr>
          <w:i/>
          <w:sz w:val="20"/>
          <w:szCs w:val="20"/>
          <w:lang w:val="en-US"/>
        </w:rPr>
        <w:t xml:space="preserve"> </w:t>
      </w:r>
      <w:r w:rsidR="00C254BF" w:rsidRPr="00785D06">
        <w:rPr>
          <w:sz w:val="20"/>
          <w:szCs w:val="20"/>
          <w:lang w:val="en-US"/>
        </w:rPr>
        <w:t xml:space="preserve">argued that </w:t>
      </w:r>
      <w:r w:rsidR="004633DA" w:rsidRPr="00785D06">
        <w:rPr>
          <w:sz w:val="20"/>
          <w:szCs w:val="20"/>
          <w:lang w:val="en-US"/>
        </w:rPr>
        <w:t xml:space="preserve">these </w:t>
      </w:r>
      <w:r w:rsidR="00C254BF" w:rsidRPr="00785D06">
        <w:rPr>
          <w:sz w:val="20"/>
          <w:szCs w:val="20"/>
          <w:lang w:val="en-US"/>
        </w:rPr>
        <w:t xml:space="preserve">should be declared inadmissible, since they did not answer the questions raised by </w:t>
      </w:r>
      <w:r w:rsidRPr="00785D06">
        <w:rPr>
          <w:sz w:val="20"/>
          <w:szCs w:val="20"/>
          <w:lang w:val="en-US"/>
        </w:rPr>
        <w:t>the Court during</w:t>
      </w:r>
      <w:r w:rsidR="004633DA" w:rsidRPr="00785D06">
        <w:rPr>
          <w:sz w:val="20"/>
          <w:szCs w:val="20"/>
          <w:lang w:val="en-US"/>
        </w:rPr>
        <w:t xml:space="preserve"> the public hearing, a</w:t>
      </w:r>
      <w:r w:rsidRPr="00785D06">
        <w:rPr>
          <w:sz w:val="20"/>
          <w:szCs w:val="20"/>
          <w:lang w:val="en-US"/>
        </w:rPr>
        <w:t>dding t</w:t>
      </w:r>
      <w:r w:rsidR="00C254BF" w:rsidRPr="00785D06">
        <w:rPr>
          <w:sz w:val="20"/>
          <w:szCs w:val="20"/>
          <w:lang w:val="en-US"/>
        </w:rPr>
        <w:t xml:space="preserve">hat the remaining document was submitted extemporaneously. </w:t>
      </w:r>
      <w:r w:rsidRPr="00785D06">
        <w:rPr>
          <w:sz w:val="20"/>
          <w:szCs w:val="20"/>
          <w:lang w:val="en-US"/>
        </w:rPr>
        <w:t xml:space="preserve">As </w:t>
      </w:r>
      <w:r w:rsidR="004633DA" w:rsidRPr="00785D06">
        <w:rPr>
          <w:sz w:val="20"/>
          <w:szCs w:val="20"/>
          <w:lang w:val="en-US"/>
        </w:rPr>
        <w:t xml:space="preserve">to </w:t>
      </w:r>
      <w:r w:rsidRPr="00785D06">
        <w:rPr>
          <w:sz w:val="20"/>
          <w:szCs w:val="20"/>
          <w:lang w:val="en-US"/>
        </w:rPr>
        <w:t xml:space="preserve">the admissibility of </w:t>
      </w:r>
      <w:r w:rsidR="00C254BF" w:rsidRPr="00785D06">
        <w:rPr>
          <w:sz w:val="20"/>
          <w:szCs w:val="20"/>
          <w:lang w:val="en-US"/>
        </w:rPr>
        <w:t>the</w:t>
      </w:r>
      <w:r w:rsidR="004633DA" w:rsidRPr="00785D06">
        <w:rPr>
          <w:sz w:val="20"/>
          <w:szCs w:val="20"/>
          <w:lang w:val="en-US"/>
        </w:rPr>
        <w:t>se</w:t>
      </w:r>
      <w:r w:rsidR="00C254BF" w:rsidRPr="00785D06">
        <w:rPr>
          <w:sz w:val="20"/>
          <w:szCs w:val="20"/>
          <w:lang w:val="en-US"/>
        </w:rPr>
        <w:t xml:space="preserve"> six documents challenged by the representatives, the </w:t>
      </w:r>
      <w:r w:rsidR="00C254BF" w:rsidRPr="00785D06">
        <w:rPr>
          <w:b/>
          <w:i/>
          <w:sz w:val="20"/>
          <w:szCs w:val="20"/>
          <w:lang w:val="en-US"/>
        </w:rPr>
        <w:t>Court</w:t>
      </w:r>
      <w:r w:rsidR="00C254BF" w:rsidRPr="00785D06">
        <w:rPr>
          <w:sz w:val="20"/>
          <w:szCs w:val="20"/>
          <w:lang w:val="en-US"/>
        </w:rPr>
        <w:t xml:space="preserve"> finds that </w:t>
      </w:r>
      <w:r w:rsidR="004633DA" w:rsidRPr="00785D06">
        <w:rPr>
          <w:sz w:val="20"/>
          <w:szCs w:val="20"/>
          <w:lang w:val="en-US"/>
        </w:rPr>
        <w:t xml:space="preserve">these are related to </w:t>
      </w:r>
      <w:r w:rsidR="00C254BF" w:rsidRPr="00785D06">
        <w:rPr>
          <w:sz w:val="20"/>
          <w:szCs w:val="20"/>
          <w:lang w:val="en-US"/>
        </w:rPr>
        <w:t>the questions asked by this Court during the</w:t>
      </w:r>
      <w:r w:rsidR="004633DA" w:rsidRPr="00785D06">
        <w:rPr>
          <w:sz w:val="20"/>
          <w:szCs w:val="20"/>
          <w:lang w:val="en-US"/>
        </w:rPr>
        <w:t xml:space="preserve"> public hearing; therefore, the</w:t>
      </w:r>
      <w:r w:rsidR="0066019F" w:rsidRPr="00785D06">
        <w:rPr>
          <w:sz w:val="20"/>
          <w:szCs w:val="20"/>
          <w:lang w:val="en-US"/>
        </w:rPr>
        <w:t>y</w:t>
      </w:r>
      <w:r w:rsidR="004633DA" w:rsidRPr="00785D06">
        <w:rPr>
          <w:sz w:val="20"/>
          <w:szCs w:val="20"/>
          <w:lang w:val="en-US"/>
        </w:rPr>
        <w:t xml:space="preserve"> will be</w:t>
      </w:r>
      <w:r w:rsidR="00C254BF" w:rsidRPr="00785D06">
        <w:rPr>
          <w:sz w:val="20"/>
          <w:szCs w:val="20"/>
          <w:lang w:val="en-US"/>
        </w:rPr>
        <w:t xml:space="preserve"> admitted.</w:t>
      </w:r>
      <w:r w:rsidR="00C254BF" w:rsidRPr="00785D06">
        <w:rPr>
          <w:rStyle w:val="Refdenotaalpie"/>
          <w:sz w:val="20"/>
          <w:szCs w:val="20"/>
          <w:lang w:val="en-US"/>
        </w:rPr>
        <w:footnoteReference w:id="22"/>
      </w:r>
    </w:p>
    <w:p w14:paraId="1550F03D" w14:textId="77777777" w:rsidR="00C254BF" w:rsidRPr="00785D06" w:rsidRDefault="00C254BF" w:rsidP="00C254BF">
      <w:pPr>
        <w:pStyle w:val="Prrafodelista"/>
        <w:ind w:left="0"/>
        <w:contextualSpacing w:val="0"/>
        <w:jc w:val="both"/>
        <w:rPr>
          <w:sz w:val="20"/>
          <w:szCs w:val="20"/>
          <w:lang w:val="en-US"/>
        </w:rPr>
      </w:pPr>
    </w:p>
    <w:p w14:paraId="5D1D229C" w14:textId="77777777" w:rsidR="00C254BF" w:rsidRPr="00785D06" w:rsidRDefault="00C254BF" w:rsidP="00C254BF">
      <w:pPr>
        <w:pStyle w:val="Prrafodelista"/>
        <w:numPr>
          <w:ilvl w:val="0"/>
          <w:numId w:val="2"/>
        </w:numPr>
        <w:ind w:left="0" w:firstLine="0"/>
        <w:contextualSpacing w:val="0"/>
        <w:jc w:val="both"/>
        <w:rPr>
          <w:sz w:val="20"/>
          <w:szCs w:val="20"/>
          <w:lang w:val="en-US"/>
        </w:rPr>
      </w:pPr>
      <w:r w:rsidRPr="00785D06">
        <w:rPr>
          <w:sz w:val="20"/>
          <w:szCs w:val="20"/>
          <w:lang w:val="en-US"/>
        </w:rPr>
        <w:t xml:space="preserve">For their part, the </w:t>
      </w:r>
      <w:r w:rsidRPr="00785D06">
        <w:rPr>
          <w:b/>
          <w:i/>
          <w:sz w:val="20"/>
          <w:szCs w:val="20"/>
          <w:lang w:val="en-US"/>
        </w:rPr>
        <w:t>representatives</w:t>
      </w:r>
      <w:r w:rsidRPr="00785D06">
        <w:rPr>
          <w:sz w:val="20"/>
          <w:szCs w:val="20"/>
          <w:lang w:val="en-US"/>
        </w:rPr>
        <w:t xml:space="preserve"> </w:t>
      </w:r>
      <w:r w:rsidR="0066019F" w:rsidRPr="00785D06">
        <w:rPr>
          <w:sz w:val="20"/>
          <w:szCs w:val="20"/>
          <w:lang w:val="en-US"/>
        </w:rPr>
        <w:t xml:space="preserve">submitted </w:t>
      </w:r>
      <w:r w:rsidRPr="00785D06">
        <w:rPr>
          <w:sz w:val="20"/>
          <w:szCs w:val="20"/>
          <w:lang w:val="en-US"/>
        </w:rPr>
        <w:t>two statements and additional information on costs and expenses</w:t>
      </w:r>
      <w:r w:rsidR="0066019F" w:rsidRPr="00785D06">
        <w:rPr>
          <w:sz w:val="20"/>
          <w:szCs w:val="20"/>
          <w:lang w:val="en-US"/>
        </w:rPr>
        <w:t xml:space="preserve"> with their final written arguments</w:t>
      </w:r>
      <w:r w:rsidRPr="00785D06">
        <w:rPr>
          <w:sz w:val="20"/>
          <w:szCs w:val="20"/>
          <w:lang w:val="en-US"/>
        </w:rPr>
        <w:t xml:space="preserve">. They </w:t>
      </w:r>
      <w:r w:rsidR="0066019F" w:rsidRPr="00785D06">
        <w:rPr>
          <w:sz w:val="20"/>
          <w:szCs w:val="20"/>
          <w:lang w:val="en-US"/>
        </w:rPr>
        <w:t xml:space="preserve">explained </w:t>
      </w:r>
      <w:r w:rsidRPr="00785D06">
        <w:rPr>
          <w:sz w:val="20"/>
          <w:szCs w:val="20"/>
          <w:lang w:val="en-US"/>
        </w:rPr>
        <w:t>that the</w:t>
      </w:r>
      <w:r w:rsidR="0066019F" w:rsidRPr="00785D06">
        <w:rPr>
          <w:sz w:val="20"/>
          <w:szCs w:val="20"/>
          <w:lang w:val="en-US"/>
        </w:rPr>
        <w:t>se</w:t>
      </w:r>
      <w:r w:rsidRPr="00785D06">
        <w:rPr>
          <w:sz w:val="20"/>
          <w:szCs w:val="20"/>
          <w:lang w:val="en-US"/>
        </w:rPr>
        <w:t xml:space="preserve"> statements “could not be presented in advance for reasons of </w:t>
      </w:r>
      <w:r w:rsidRPr="00785D06">
        <w:rPr>
          <w:i/>
          <w:sz w:val="20"/>
          <w:szCs w:val="20"/>
          <w:lang w:val="en-US"/>
        </w:rPr>
        <w:t>force majeure</w:t>
      </w:r>
      <w:r w:rsidRPr="00785D06">
        <w:rPr>
          <w:sz w:val="20"/>
          <w:szCs w:val="20"/>
          <w:lang w:val="en-US"/>
        </w:rPr>
        <w:t xml:space="preserve"> and </w:t>
      </w:r>
      <w:r w:rsidR="00D5715D" w:rsidRPr="00785D06">
        <w:rPr>
          <w:sz w:val="20"/>
          <w:szCs w:val="20"/>
          <w:lang w:val="en-US"/>
        </w:rPr>
        <w:t xml:space="preserve">serious </w:t>
      </w:r>
      <w:r w:rsidRPr="00785D06">
        <w:rPr>
          <w:sz w:val="20"/>
          <w:szCs w:val="20"/>
          <w:lang w:val="en-US"/>
        </w:rPr>
        <w:t xml:space="preserve">impediment.” They also pointed out that the statements of I.I. and E.T. “are useful and relevant to </w:t>
      </w:r>
      <w:r w:rsidR="0066019F" w:rsidRPr="00785D06">
        <w:rPr>
          <w:sz w:val="20"/>
          <w:szCs w:val="20"/>
          <w:lang w:val="en-US"/>
        </w:rPr>
        <w:t>assist the Court in determining</w:t>
      </w:r>
      <w:r w:rsidRPr="00785D06">
        <w:rPr>
          <w:sz w:val="20"/>
          <w:szCs w:val="20"/>
          <w:lang w:val="en-US"/>
        </w:rPr>
        <w:t xml:space="preserve"> what happened</w:t>
      </w:r>
      <w:r w:rsidR="0066019F" w:rsidRPr="00785D06">
        <w:rPr>
          <w:sz w:val="20"/>
          <w:szCs w:val="20"/>
          <w:lang w:val="en-US"/>
        </w:rPr>
        <w:t>,”</w:t>
      </w:r>
      <w:r w:rsidRPr="00785D06">
        <w:rPr>
          <w:sz w:val="20"/>
          <w:szCs w:val="20"/>
          <w:lang w:val="en-US"/>
        </w:rPr>
        <w:t xml:space="preserve"> inasmuch as </w:t>
      </w:r>
      <w:r w:rsidR="00D5715D" w:rsidRPr="00785D06">
        <w:rPr>
          <w:sz w:val="20"/>
          <w:szCs w:val="20"/>
          <w:lang w:val="en-US"/>
        </w:rPr>
        <w:t>the</w:t>
      </w:r>
      <w:r w:rsidR="0066019F" w:rsidRPr="00785D06">
        <w:rPr>
          <w:sz w:val="20"/>
          <w:szCs w:val="20"/>
          <w:lang w:val="en-US"/>
        </w:rPr>
        <w:t xml:space="preserve"> </w:t>
      </w:r>
      <w:r w:rsidR="00D5715D" w:rsidRPr="00785D06">
        <w:rPr>
          <w:sz w:val="20"/>
          <w:szCs w:val="20"/>
          <w:lang w:val="en-US"/>
        </w:rPr>
        <w:t xml:space="preserve">deponents </w:t>
      </w:r>
      <w:r w:rsidR="0066019F" w:rsidRPr="00785D06">
        <w:rPr>
          <w:sz w:val="20"/>
          <w:szCs w:val="20"/>
          <w:lang w:val="en-US"/>
        </w:rPr>
        <w:t xml:space="preserve">were </w:t>
      </w:r>
      <w:r w:rsidRPr="00785D06">
        <w:rPr>
          <w:sz w:val="20"/>
          <w:szCs w:val="20"/>
          <w:lang w:val="en-US"/>
        </w:rPr>
        <w:t xml:space="preserve">both school friends of Paola at the </w:t>
      </w:r>
      <w:r w:rsidRPr="00785D06">
        <w:rPr>
          <w:rFonts w:cs="Arial"/>
          <w:sz w:val="20"/>
          <w:szCs w:val="20"/>
          <w:lang w:val="en-US"/>
        </w:rPr>
        <w:t xml:space="preserve">“Dr. Miguel Martínez Serrano” </w:t>
      </w:r>
      <w:r w:rsidRPr="00785D06">
        <w:rPr>
          <w:sz w:val="20"/>
          <w:szCs w:val="20"/>
          <w:lang w:val="en-US"/>
        </w:rPr>
        <w:t xml:space="preserve">National Technical High </w:t>
      </w:r>
      <w:r w:rsidRPr="00785D06">
        <w:rPr>
          <w:rFonts w:cs="Arial"/>
          <w:sz w:val="20"/>
          <w:szCs w:val="20"/>
          <w:lang w:val="en-US"/>
        </w:rPr>
        <w:t xml:space="preserve">School for Business and Administration (hereinafter “the school” or “the </w:t>
      </w:r>
      <w:r w:rsidR="003B1016" w:rsidRPr="00785D06">
        <w:rPr>
          <w:sz w:val="20"/>
          <w:szCs w:val="20"/>
          <w:lang w:val="en-US"/>
        </w:rPr>
        <w:t>Martínez Serrano High S</w:t>
      </w:r>
      <w:r w:rsidRPr="00785D06">
        <w:rPr>
          <w:sz w:val="20"/>
          <w:szCs w:val="20"/>
          <w:lang w:val="en-US"/>
        </w:rPr>
        <w:t xml:space="preserve">chool”) when the </w:t>
      </w:r>
      <w:r w:rsidR="0066019F" w:rsidRPr="00785D06">
        <w:rPr>
          <w:sz w:val="20"/>
          <w:szCs w:val="20"/>
          <w:lang w:val="en-US"/>
        </w:rPr>
        <w:t xml:space="preserve">events </w:t>
      </w:r>
      <w:r w:rsidRPr="00785D06">
        <w:rPr>
          <w:sz w:val="20"/>
          <w:szCs w:val="20"/>
          <w:lang w:val="en-US"/>
        </w:rPr>
        <w:t>of this case took place.</w:t>
      </w:r>
      <w:r w:rsidRPr="00785D06">
        <w:rPr>
          <w:rStyle w:val="Refdenotaalpie"/>
          <w:sz w:val="20"/>
          <w:szCs w:val="20"/>
          <w:lang w:val="en-US"/>
        </w:rPr>
        <w:footnoteReference w:id="23"/>
      </w:r>
      <w:r w:rsidRPr="00785D06">
        <w:rPr>
          <w:sz w:val="20"/>
          <w:szCs w:val="20"/>
          <w:lang w:val="en-US"/>
        </w:rPr>
        <w:t xml:space="preserve"> The </w:t>
      </w:r>
      <w:r w:rsidRPr="00785D06">
        <w:rPr>
          <w:b/>
          <w:i/>
          <w:sz w:val="20"/>
          <w:szCs w:val="20"/>
          <w:lang w:val="en-US"/>
        </w:rPr>
        <w:t>Commission</w:t>
      </w:r>
      <w:r w:rsidRPr="00785D06">
        <w:rPr>
          <w:sz w:val="20"/>
          <w:szCs w:val="20"/>
          <w:lang w:val="en-US"/>
        </w:rPr>
        <w:t xml:space="preserve"> considered it pertinent to admit the</w:t>
      </w:r>
      <w:r w:rsidR="0066019F" w:rsidRPr="00785D06">
        <w:rPr>
          <w:sz w:val="20"/>
          <w:szCs w:val="20"/>
          <w:lang w:val="en-US"/>
        </w:rPr>
        <w:t>se</w:t>
      </w:r>
      <w:r w:rsidRPr="00785D06">
        <w:rPr>
          <w:sz w:val="20"/>
          <w:szCs w:val="20"/>
          <w:lang w:val="en-US"/>
        </w:rPr>
        <w:t xml:space="preserve"> statements. </w:t>
      </w:r>
      <w:r w:rsidR="0066019F" w:rsidRPr="00785D06">
        <w:rPr>
          <w:sz w:val="20"/>
          <w:szCs w:val="20"/>
          <w:lang w:val="en-US"/>
        </w:rPr>
        <w:t xml:space="preserve">However, the </w:t>
      </w:r>
      <w:r w:rsidRPr="00785D06">
        <w:rPr>
          <w:b/>
          <w:i/>
          <w:sz w:val="20"/>
          <w:szCs w:val="20"/>
          <w:lang w:val="en-US"/>
        </w:rPr>
        <w:t>State</w:t>
      </w:r>
      <w:r w:rsidR="0066019F" w:rsidRPr="00785D06">
        <w:rPr>
          <w:sz w:val="20"/>
          <w:szCs w:val="20"/>
          <w:lang w:val="en-US"/>
        </w:rPr>
        <w:t xml:space="preserve"> argued </w:t>
      </w:r>
      <w:r w:rsidRPr="00785D06">
        <w:rPr>
          <w:sz w:val="20"/>
          <w:szCs w:val="20"/>
          <w:lang w:val="en-US"/>
        </w:rPr>
        <w:t>that the two statements pre</w:t>
      </w:r>
      <w:r w:rsidR="0066019F" w:rsidRPr="00785D06">
        <w:rPr>
          <w:sz w:val="20"/>
          <w:szCs w:val="20"/>
          <w:lang w:val="en-US"/>
        </w:rPr>
        <w:t>sented by the representatives did</w:t>
      </w:r>
      <w:r w:rsidRPr="00785D06">
        <w:rPr>
          <w:sz w:val="20"/>
          <w:szCs w:val="20"/>
          <w:lang w:val="en-US"/>
        </w:rPr>
        <w:t xml:space="preserve"> not </w:t>
      </w:r>
      <w:r w:rsidR="0066019F" w:rsidRPr="00785D06">
        <w:rPr>
          <w:sz w:val="20"/>
          <w:szCs w:val="20"/>
          <w:lang w:val="en-US"/>
        </w:rPr>
        <w:t xml:space="preserve">constitute supervening evidence and </w:t>
      </w:r>
      <w:r w:rsidRPr="00785D06">
        <w:rPr>
          <w:sz w:val="20"/>
          <w:szCs w:val="20"/>
          <w:lang w:val="en-US"/>
        </w:rPr>
        <w:t>noted that the</w:t>
      </w:r>
      <w:r w:rsidR="00E0779F" w:rsidRPr="00785D06">
        <w:rPr>
          <w:sz w:val="20"/>
          <w:szCs w:val="20"/>
          <w:lang w:val="en-US"/>
        </w:rPr>
        <w:t>y</w:t>
      </w:r>
      <w:r w:rsidRPr="00785D06">
        <w:rPr>
          <w:sz w:val="20"/>
          <w:szCs w:val="20"/>
          <w:lang w:val="en-US"/>
        </w:rPr>
        <w:t xml:space="preserve"> did not justify the reasons of “</w:t>
      </w:r>
      <w:r w:rsidRPr="00785D06">
        <w:rPr>
          <w:i/>
          <w:sz w:val="20"/>
          <w:szCs w:val="20"/>
          <w:lang w:val="en-US"/>
        </w:rPr>
        <w:t>force majeure</w:t>
      </w:r>
      <w:r w:rsidRPr="00785D06">
        <w:rPr>
          <w:sz w:val="20"/>
          <w:szCs w:val="20"/>
          <w:lang w:val="en-US"/>
        </w:rPr>
        <w:t>” or “serious impediment” that prevented those statements from being offered previously, at the proper procedural moment.</w:t>
      </w:r>
    </w:p>
    <w:p w14:paraId="41C59B54" w14:textId="77777777" w:rsidR="00C254BF" w:rsidRPr="00785D06" w:rsidRDefault="00C254BF" w:rsidP="00C254BF">
      <w:pPr>
        <w:pStyle w:val="Prrafodelista"/>
        <w:ind w:left="0"/>
        <w:contextualSpacing w:val="0"/>
        <w:jc w:val="both"/>
        <w:rPr>
          <w:sz w:val="20"/>
          <w:szCs w:val="20"/>
          <w:lang w:val="en-US"/>
        </w:rPr>
      </w:pPr>
    </w:p>
    <w:p w14:paraId="54E4CB7E" w14:textId="77777777" w:rsidR="00C254BF" w:rsidRPr="00785D06" w:rsidRDefault="00E0779F" w:rsidP="00C254BF">
      <w:pPr>
        <w:pStyle w:val="Prrafodelista"/>
        <w:numPr>
          <w:ilvl w:val="0"/>
          <w:numId w:val="2"/>
        </w:numPr>
        <w:ind w:left="0" w:firstLine="0"/>
        <w:contextualSpacing w:val="0"/>
        <w:jc w:val="both"/>
        <w:rPr>
          <w:sz w:val="20"/>
          <w:szCs w:val="20"/>
          <w:lang w:val="en-US"/>
        </w:rPr>
      </w:pPr>
      <w:r w:rsidRPr="00785D06">
        <w:rPr>
          <w:sz w:val="20"/>
          <w:szCs w:val="20"/>
          <w:lang w:val="en-US"/>
        </w:rPr>
        <w:t xml:space="preserve">Regarding </w:t>
      </w:r>
      <w:r w:rsidR="00C254BF" w:rsidRPr="00785D06">
        <w:rPr>
          <w:sz w:val="20"/>
          <w:szCs w:val="20"/>
          <w:lang w:val="en-US"/>
        </w:rPr>
        <w:t xml:space="preserve">the proper procedural opportunity </w:t>
      </w:r>
      <w:r w:rsidR="009F4C01" w:rsidRPr="00785D06">
        <w:rPr>
          <w:sz w:val="20"/>
          <w:szCs w:val="20"/>
          <w:lang w:val="en-US"/>
        </w:rPr>
        <w:t xml:space="preserve">granted to the parties </w:t>
      </w:r>
      <w:r w:rsidR="0066019F" w:rsidRPr="00785D06">
        <w:rPr>
          <w:sz w:val="20"/>
          <w:szCs w:val="20"/>
          <w:lang w:val="en-US"/>
        </w:rPr>
        <w:t xml:space="preserve">to submit </w:t>
      </w:r>
      <w:r w:rsidR="009F4C01" w:rsidRPr="00785D06">
        <w:rPr>
          <w:sz w:val="20"/>
          <w:szCs w:val="20"/>
          <w:lang w:val="en-US"/>
        </w:rPr>
        <w:t>documentary evidence</w:t>
      </w:r>
      <w:r w:rsidR="00C254BF" w:rsidRPr="00785D06">
        <w:rPr>
          <w:sz w:val="20"/>
          <w:szCs w:val="20"/>
          <w:lang w:val="en-US"/>
        </w:rPr>
        <w:t xml:space="preserve">, </w:t>
      </w:r>
      <w:r w:rsidRPr="00785D06">
        <w:rPr>
          <w:sz w:val="20"/>
          <w:szCs w:val="20"/>
          <w:lang w:val="en-US"/>
        </w:rPr>
        <w:t xml:space="preserve">pursuant </w:t>
      </w:r>
      <w:r w:rsidR="00C254BF" w:rsidRPr="00785D06">
        <w:rPr>
          <w:sz w:val="20"/>
          <w:szCs w:val="20"/>
          <w:lang w:val="en-US"/>
        </w:rPr>
        <w:t xml:space="preserve">to Article 57(2) of the Rules, this must </w:t>
      </w:r>
      <w:r w:rsidRPr="00785D06">
        <w:rPr>
          <w:sz w:val="20"/>
          <w:szCs w:val="20"/>
          <w:lang w:val="en-US"/>
        </w:rPr>
        <w:t xml:space="preserve">generally </w:t>
      </w:r>
      <w:r w:rsidR="00C254BF" w:rsidRPr="00785D06">
        <w:rPr>
          <w:sz w:val="20"/>
          <w:szCs w:val="20"/>
          <w:lang w:val="en-US"/>
        </w:rPr>
        <w:t>be presented</w:t>
      </w:r>
      <w:r w:rsidR="0066019F" w:rsidRPr="00785D06">
        <w:rPr>
          <w:sz w:val="20"/>
          <w:szCs w:val="20"/>
          <w:lang w:val="en-US"/>
        </w:rPr>
        <w:t xml:space="preserve"> </w:t>
      </w:r>
      <w:r w:rsidR="00C254BF" w:rsidRPr="00785D06">
        <w:rPr>
          <w:sz w:val="20"/>
          <w:szCs w:val="20"/>
          <w:lang w:val="en-US"/>
        </w:rPr>
        <w:t>together with the pleadings and motio</w:t>
      </w:r>
      <w:r w:rsidR="0066019F" w:rsidRPr="00785D06">
        <w:rPr>
          <w:sz w:val="20"/>
          <w:szCs w:val="20"/>
          <w:lang w:val="en-US"/>
        </w:rPr>
        <w:t>ns or</w:t>
      </w:r>
      <w:r w:rsidR="00C254BF" w:rsidRPr="00785D06">
        <w:rPr>
          <w:sz w:val="20"/>
          <w:szCs w:val="20"/>
          <w:lang w:val="en-US"/>
        </w:rPr>
        <w:t xml:space="preserve"> answering briefs, as appropriate. The Court recalls that </w:t>
      </w:r>
      <w:r w:rsidR="0066019F" w:rsidRPr="00785D06">
        <w:rPr>
          <w:sz w:val="20"/>
          <w:szCs w:val="20"/>
          <w:lang w:val="en-US"/>
        </w:rPr>
        <w:t xml:space="preserve">any </w:t>
      </w:r>
      <w:r w:rsidR="00C254BF" w:rsidRPr="00785D06">
        <w:rPr>
          <w:sz w:val="20"/>
          <w:szCs w:val="20"/>
          <w:lang w:val="en-US"/>
        </w:rPr>
        <w:t xml:space="preserve">evidence </w:t>
      </w:r>
      <w:r w:rsidR="009F4C01" w:rsidRPr="00785D06">
        <w:rPr>
          <w:sz w:val="20"/>
          <w:szCs w:val="20"/>
          <w:lang w:val="en-US"/>
        </w:rPr>
        <w:t xml:space="preserve">submitted </w:t>
      </w:r>
      <w:r w:rsidR="00C254BF" w:rsidRPr="00785D06">
        <w:rPr>
          <w:sz w:val="20"/>
          <w:szCs w:val="20"/>
          <w:lang w:val="en-US"/>
        </w:rPr>
        <w:t xml:space="preserve">outside the proper procedural </w:t>
      </w:r>
      <w:r w:rsidR="0066019F" w:rsidRPr="00785D06">
        <w:rPr>
          <w:sz w:val="20"/>
          <w:szCs w:val="20"/>
          <w:lang w:val="en-US"/>
        </w:rPr>
        <w:t xml:space="preserve">opportunities </w:t>
      </w:r>
      <w:r w:rsidR="009F4C01" w:rsidRPr="00785D06">
        <w:rPr>
          <w:sz w:val="20"/>
          <w:szCs w:val="20"/>
          <w:lang w:val="en-US"/>
        </w:rPr>
        <w:t>is not admissible</w:t>
      </w:r>
      <w:r w:rsidR="00C254BF" w:rsidRPr="00785D06">
        <w:rPr>
          <w:sz w:val="20"/>
          <w:szCs w:val="20"/>
          <w:lang w:val="en-US"/>
        </w:rPr>
        <w:t xml:space="preserve">, except in the circumstances established in </w:t>
      </w:r>
      <w:r w:rsidR="00DD66F9" w:rsidRPr="00785D06">
        <w:rPr>
          <w:sz w:val="20"/>
          <w:szCs w:val="20"/>
          <w:lang w:val="en-US"/>
        </w:rPr>
        <w:t>Article 57(2)</w:t>
      </w:r>
      <w:r w:rsidR="00C254BF" w:rsidRPr="00785D06">
        <w:rPr>
          <w:sz w:val="20"/>
          <w:szCs w:val="20"/>
          <w:lang w:val="en-US"/>
        </w:rPr>
        <w:t xml:space="preserve"> of the Rules, namely, </w:t>
      </w:r>
      <w:r w:rsidR="00C254BF" w:rsidRPr="00785D06">
        <w:rPr>
          <w:i/>
          <w:sz w:val="20"/>
          <w:szCs w:val="20"/>
          <w:lang w:val="en-US"/>
        </w:rPr>
        <w:t>force majeure</w:t>
      </w:r>
      <w:r w:rsidR="00C254BF" w:rsidRPr="00785D06">
        <w:rPr>
          <w:sz w:val="20"/>
          <w:szCs w:val="20"/>
          <w:lang w:val="en-US"/>
        </w:rPr>
        <w:t>, serious</w:t>
      </w:r>
      <w:r w:rsidR="00240E34" w:rsidRPr="00785D06">
        <w:rPr>
          <w:sz w:val="20"/>
          <w:szCs w:val="20"/>
          <w:lang w:val="en-US"/>
        </w:rPr>
        <w:t xml:space="preserve"> impediment or</w:t>
      </w:r>
      <w:r w:rsidR="00C254BF" w:rsidRPr="00785D06">
        <w:rPr>
          <w:sz w:val="20"/>
          <w:szCs w:val="20"/>
          <w:lang w:val="en-US"/>
        </w:rPr>
        <w:t xml:space="preserve"> if </w:t>
      </w:r>
      <w:r w:rsidR="00240E34" w:rsidRPr="00785D06">
        <w:rPr>
          <w:sz w:val="20"/>
          <w:szCs w:val="20"/>
          <w:lang w:val="en-US"/>
        </w:rPr>
        <w:t>the evidence concerns</w:t>
      </w:r>
      <w:r w:rsidR="00C254BF" w:rsidRPr="00785D06">
        <w:rPr>
          <w:sz w:val="20"/>
          <w:szCs w:val="20"/>
          <w:lang w:val="en-US"/>
        </w:rPr>
        <w:t xml:space="preserve"> a</w:t>
      </w:r>
      <w:r w:rsidR="00DD66F9" w:rsidRPr="00785D06">
        <w:rPr>
          <w:sz w:val="20"/>
          <w:szCs w:val="20"/>
          <w:lang w:val="en-US"/>
        </w:rPr>
        <w:t>n event</w:t>
      </w:r>
      <w:r w:rsidR="00C254BF" w:rsidRPr="00785D06">
        <w:rPr>
          <w:sz w:val="20"/>
          <w:szCs w:val="20"/>
          <w:lang w:val="en-US"/>
        </w:rPr>
        <w:t xml:space="preserve"> that occurred after those procedural </w:t>
      </w:r>
      <w:r w:rsidR="00DD66F9" w:rsidRPr="00785D06">
        <w:rPr>
          <w:sz w:val="20"/>
          <w:szCs w:val="20"/>
          <w:lang w:val="en-US"/>
        </w:rPr>
        <w:t>opportunities</w:t>
      </w:r>
      <w:r w:rsidR="009F4C01" w:rsidRPr="00785D06">
        <w:rPr>
          <w:sz w:val="20"/>
          <w:szCs w:val="20"/>
          <w:lang w:val="en-US"/>
        </w:rPr>
        <w:t>.</w:t>
      </w:r>
      <w:r w:rsidR="00C254BF" w:rsidRPr="00785D06">
        <w:rPr>
          <w:rStyle w:val="Refdenotaalpie"/>
          <w:sz w:val="20"/>
          <w:szCs w:val="20"/>
          <w:lang w:val="en-US"/>
        </w:rPr>
        <w:footnoteReference w:id="24"/>
      </w:r>
    </w:p>
    <w:p w14:paraId="685F82C7" w14:textId="77777777" w:rsidR="00C254BF" w:rsidRPr="00785D06" w:rsidRDefault="00C254BF" w:rsidP="00C254BF">
      <w:pPr>
        <w:pStyle w:val="Prrafodelista"/>
        <w:ind w:left="0"/>
        <w:contextualSpacing w:val="0"/>
        <w:jc w:val="both"/>
        <w:rPr>
          <w:sz w:val="20"/>
          <w:szCs w:val="20"/>
          <w:lang w:val="en-US"/>
        </w:rPr>
      </w:pPr>
    </w:p>
    <w:p w14:paraId="3328FC9D" w14:textId="77777777" w:rsidR="00C254BF" w:rsidRPr="00785D06" w:rsidRDefault="00C254BF" w:rsidP="00C254BF">
      <w:pPr>
        <w:pStyle w:val="Prrafodelista"/>
        <w:numPr>
          <w:ilvl w:val="0"/>
          <w:numId w:val="2"/>
        </w:numPr>
        <w:ind w:left="0" w:firstLine="0"/>
        <w:contextualSpacing w:val="0"/>
        <w:jc w:val="both"/>
        <w:rPr>
          <w:sz w:val="20"/>
          <w:szCs w:val="20"/>
          <w:lang w:val="en-US"/>
        </w:rPr>
      </w:pPr>
      <w:r w:rsidRPr="00785D06">
        <w:rPr>
          <w:sz w:val="20"/>
          <w:szCs w:val="20"/>
          <w:lang w:val="en-US"/>
        </w:rPr>
        <w:t xml:space="preserve">The Court observes that the representatives did not present arguments to </w:t>
      </w:r>
      <w:r w:rsidR="00D4262C" w:rsidRPr="00785D06">
        <w:rPr>
          <w:sz w:val="20"/>
          <w:szCs w:val="20"/>
          <w:lang w:val="en-US"/>
        </w:rPr>
        <w:t>justify</w:t>
      </w:r>
      <w:r w:rsidR="00240E34" w:rsidRPr="00785D06">
        <w:rPr>
          <w:sz w:val="20"/>
          <w:szCs w:val="20"/>
          <w:lang w:val="en-US"/>
        </w:rPr>
        <w:t xml:space="preserve"> that</w:t>
      </w:r>
      <w:r w:rsidR="00D4262C" w:rsidRPr="00785D06">
        <w:rPr>
          <w:sz w:val="20"/>
          <w:szCs w:val="20"/>
          <w:lang w:val="en-US"/>
        </w:rPr>
        <w:t xml:space="preserve">, for reasons of </w:t>
      </w:r>
      <w:r w:rsidRPr="00785D06">
        <w:rPr>
          <w:sz w:val="20"/>
          <w:szCs w:val="20"/>
          <w:lang w:val="en-US"/>
        </w:rPr>
        <w:t xml:space="preserve">serious impediment or </w:t>
      </w:r>
      <w:r w:rsidRPr="00785D06">
        <w:rPr>
          <w:i/>
          <w:sz w:val="20"/>
          <w:szCs w:val="20"/>
          <w:lang w:val="en-US"/>
        </w:rPr>
        <w:t>force majeure</w:t>
      </w:r>
      <w:r w:rsidRPr="00785D06">
        <w:rPr>
          <w:sz w:val="20"/>
          <w:szCs w:val="20"/>
          <w:lang w:val="en-US"/>
        </w:rPr>
        <w:t xml:space="preserve">, </w:t>
      </w:r>
      <w:r w:rsidR="00D4262C" w:rsidRPr="00785D06">
        <w:rPr>
          <w:sz w:val="20"/>
          <w:szCs w:val="20"/>
          <w:lang w:val="en-US"/>
        </w:rPr>
        <w:t>the</w:t>
      </w:r>
      <w:r w:rsidR="00240E34" w:rsidRPr="00785D06">
        <w:rPr>
          <w:sz w:val="20"/>
          <w:szCs w:val="20"/>
          <w:lang w:val="en-US"/>
        </w:rPr>
        <w:t xml:space="preserve">y were unable to </w:t>
      </w:r>
      <w:r w:rsidRPr="00785D06">
        <w:rPr>
          <w:sz w:val="20"/>
          <w:szCs w:val="20"/>
          <w:lang w:val="en-US"/>
        </w:rPr>
        <w:t xml:space="preserve">present the two statements </w:t>
      </w:r>
      <w:r w:rsidR="008409F1" w:rsidRPr="00785D06">
        <w:rPr>
          <w:sz w:val="20"/>
          <w:szCs w:val="20"/>
          <w:lang w:val="en-US"/>
        </w:rPr>
        <w:t>at the proper procedural moment. They merely stated</w:t>
      </w:r>
      <w:r w:rsidRPr="00785D06">
        <w:rPr>
          <w:sz w:val="20"/>
          <w:szCs w:val="20"/>
          <w:lang w:val="en-US"/>
        </w:rPr>
        <w:t xml:space="preserve"> </w:t>
      </w:r>
      <w:r w:rsidR="00D4262C" w:rsidRPr="00785D06">
        <w:rPr>
          <w:sz w:val="20"/>
          <w:szCs w:val="20"/>
          <w:lang w:val="en-US"/>
        </w:rPr>
        <w:t xml:space="preserve">that </w:t>
      </w:r>
      <w:r w:rsidRPr="00785D06">
        <w:rPr>
          <w:sz w:val="20"/>
          <w:szCs w:val="20"/>
          <w:lang w:val="en-US"/>
        </w:rPr>
        <w:t>the deponents had “</w:t>
      </w:r>
      <w:r w:rsidR="001C4342" w:rsidRPr="00785D06">
        <w:rPr>
          <w:sz w:val="20"/>
          <w:szCs w:val="20"/>
          <w:lang w:val="en-US"/>
        </w:rPr>
        <w:t>distanced themselves</w:t>
      </w:r>
      <w:r w:rsidRPr="00785D06">
        <w:rPr>
          <w:sz w:val="20"/>
          <w:szCs w:val="20"/>
          <w:lang w:val="en-US"/>
        </w:rPr>
        <w:t xml:space="preserve">” from Paola’s family, </w:t>
      </w:r>
      <w:r w:rsidR="001C4342" w:rsidRPr="00785D06">
        <w:rPr>
          <w:sz w:val="20"/>
          <w:szCs w:val="20"/>
          <w:lang w:val="en-US"/>
        </w:rPr>
        <w:t>and gave no reason</w:t>
      </w:r>
      <w:r w:rsidRPr="00785D06">
        <w:rPr>
          <w:sz w:val="20"/>
          <w:szCs w:val="20"/>
          <w:lang w:val="en-US"/>
        </w:rPr>
        <w:t xml:space="preserve"> to support the</w:t>
      </w:r>
      <w:r w:rsidR="001C4342" w:rsidRPr="00785D06">
        <w:rPr>
          <w:sz w:val="20"/>
          <w:szCs w:val="20"/>
          <w:lang w:val="en-US"/>
        </w:rPr>
        <w:t>ir</w:t>
      </w:r>
      <w:r w:rsidRPr="00785D06">
        <w:rPr>
          <w:sz w:val="20"/>
          <w:szCs w:val="20"/>
          <w:lang w:val="en-US"/>
        </w:rPr>
        <w:t xml:space="preserve"> i</w:t>
      </w:r>
      <w:r w:rsidR="001C4342" w:rsidRPr="00785D06">
        <w:rPr>
          <w:sz w:val="20"/>
          <w:szCs w:val="20"/>
          <w:lang w:val="en-US"/>
        </w:rPr>
        <w:t xml:space="preserve">nability to locate </w:t>
      </w:r>
      <w:r w:rsidRPr="00785D06">
        <w:rPr>
          <w:sz w:val="20"/>
          <w:szCs w:val="20"/>
          <w:lang w:val="en-US"/>
        </w:rPr>
        <w:t>them in a timely manner.</w:t>
      </w:r>
      <w:r w:rsidRPr="00785D06">
        <w:rPr>
          <w:rStyle w:val="Refdenotaalpie"/>
          <w:sz w:val="20"/>
          <w:szCs w:val="20"/>
          <w:lang w:val="en-US"/>
        </w:rPr>
        <w:footnoteReference w:id="25"/>
      </w:r>
      <w:r w:rsidRPr="00785D06">
        <w:rPr>
          <w:sz w:val="20"/>
          <w:szCs w:val="20"/>
          <w:lang w:val="en-US"/>
        </w:rPr>
        <w:t xml:space="preserve"> Therefore, the Court will not admit those statements.</w:t>
      </w:r>
    </w:p>
    <w:p w14:paraId="466FD13A" w14:textId="77777777" w:rsidR="00C254BF" w:rsidRPr="00785D06" w:rsidRDefault="00C254BF" w:rsidP="00C254BF">
      <w:pPr>
        <w:pStyle w:val="Prrafodelista"/>
        <w:ind w:left="0"/>
        <w:contextualSpacing w:val="0"/>
        <w:jc w:val="both"/>
        <w:rPr>
          <w:sz w:val="20"/>
          <w:szCs w:val="20"/>
          <w:lang w:val="en-US"/>
        </w:rPr>
      </w:pPr>
    </w:p>
    <w:p w14:paraId="4ABA6EC5" w14:textId="77777777" w:rsidR="00C254BF" w:rsidRPr="00785D06" w:rsidRDefault="001C4342" w:rsidP="00C254BF">
      <w:pPr>
        <w:pStyle w:val="Prrafodelista"/>
        <w:numPr>
          <w:ilvl w:val="0"/>
          <w:numId w:val="2"/>
        </w:numPr>
        <w:ind w:left="0" w:firstLine="0"/>
        <w:contextualSpacing w:val="0"/>
        <w:jc w:val="both"/>
        <w:rPr>
          <w:sz w:val="20"/>
          <w:szCs w:val="20"/>
          <w:lang w:val="en-US"/>
        </w:rPr>
      </w:pPr>
      <w:r w:rsidRPr="00785D06">
        <w:rPr>
          <w:sz w:val="20"/>
          <w:szCs w:val="20"/>
          <w:lang w:val="en-US"/>
        </w:rPr>
        <w:t xml:space="preserve">As to </w:t>
      </w:r>
      <w:r w:rsidR="00C254BF" w:rsidRPr="00785D06">
        <w:rPr>
          <w:sz w:val="20"/>
          <w:szCs w:val="20"/>
          <w:lang w:val="en-US"/>
        </w:rPr>
        <w:t xml:space="preserve">the evidence on expenses forwarded by the representatives together with their final written arguments, the Court considers </w:t>
      </w:r>
      <w:r w:rsidRPr="00785D06">
        <w:rPr>
          <w:sz w:val="20"/>
          <w:szCs w:val="20"/>
          <w:lang w:val="en-US"/>
        </w:rPr>
        <w:t xml:space="preserve">it </w:t>
      </w:r>
      <w:r w:rsidR="00240E34" w:rsidRPr="00785D06">
        <w:rPr>
          <w:sz w:val="20"/>
          <w:szCs w:val="20"/>
          <w:lang w:val="en-US"/>
        </w:rPr>
        <w:t>admissible</w:t>
      </w:r>
      <w:r w:rsidR="00C254BF" w:rsidRPr="00785D06">
        <w:rPr>
          <w:sz w:val="20"/>
          <w:szCs w:val="20"/>
          <w:lang w:val="en-US"/>
        </w:rPr>
        <w:t xml:space="preserve"> and will take </w:t>
      </w:r>
      <w:r w:rsidRPr="00785D06">
        <w:rPr>
          <w:sz w:val="20"/>
          <w:szCs w:val="20"/>
          <w:lang w:val="en-US"/>
        </w:rPr>
        <w:t xml:space="preserve">it </w:t>
      </w:r>
      <w:r w:rsidR="00C254BF" w:rsidRPr="00785D06">
        <w:rPr>
          <w:sz w:val="20"/>
          <w:szCs w:val="20"/>
          <w:lang w:val="en-US"/>
        </w:rPr>
        <w:t xml:space="preserve">into account when </w:t>
      </w:r>
      <w:r w:rsidRPr="00785D06">
        <w:rPr>
          <w:sz w:val="20"/>
          <w:szCs w:val="20"/>
          <w:lang w:val="en-US"/>
        </w:rPr>
        <w:t xml:space="preserve">considering </w:t>
      </w:r>
      <w:r w:rsidR="00C254BF" w:rsidRPr="00785D06">
        <w:rPr>
          <w:sz w:val="20"/>
          <w:szCs w:val="20"/>
          <w:lang w:val="en-US"/>
        </w:rPr>
        <w:t xml:space="preserve">any new costs and expenses incurred by the representatives during the proceedings before this Court, that is, those made after the presentation of the pleadings and motions brief. </w:t>
      </w:r>
    </w:p>
    <w:p w14:paraId="6D384717" w14:textId="77777777" w:rsidR="00C254BF" w:rsidRPr="00785D06" w:rsidRDefault="00C254BF" w:rsidP="00C254BF">
      <w:pPr>
        <w:pStyle w:val="Prrafodelista"/>
        <w:ind w:left="0"/>
        <w:contextualSpacing w:val="0"/>
        <w:jc w:val="both"/>
        <w:rPr>
          <w:sz w:val="20"/>
          <w:szCs w:val="20"/>
          <w:lang w:val="en-US"/>
        </w:rPr>
      </w:pPr>
    </w:p>
    <w:p w14:paraId="230C4128" w14:textId="77777777" w:rsidR="00C254BF" w:rsidRPr="00785D06" w:rsidRDefault="008202BA" w:rsidP="00C254BF">
      <w:pPr>
        <w:pStyle w:val="Prrafodelista"/>
        <w:numPr>
          <w:ilvl w:val="0"/>
          <w:numId w:val="2"/>
        </w:numPr>
        <w:ind w:left="0" w:firstLine="0"/>
        <w:contextualSpacing w:val="0"/>
        <w:jc w:val="both"/>
        <w:rPr>
          <w:sz w:val="20"/>
          <w:szCs w:val="20"/>
          <w:lang w:val="en-US"/>
        </w:rPr>
      </w:pPr>
      <w:r w:rsidRPr="00785D06">
        <w:rPr>
          <w:sz w:val="20"/>
          <w:szCs w:val="20"/>
          <w:lang w:val="en-US"/>
        </w:rPr>
        <w:t>T</w:t>
      </w:r>
      <w:r w:rsidR="00C254BF" w:rsidRPr="00785D06">
        <w:rPr>
          <w:sz w:val="20"/>
          <w:szCs w:val="20"/>
          <w:lang w:val="en-US"/>
        </w:rPr>
        <w:t>he Court a</w:t>
      </w:r>
      <w:r w:rsidRPr="00785D06">
        <w:rPr>
          <w:sz w:val="20"/>
          <w:szCs w:val="20"/>
          <w:lang w:val="en-US"/>
        </w:rPr>
        <w:t>lso a</w:t>
      </w:r>
      <w:r w:rsidR="00C254BF" w:rsidRPr="00785D06">
        <w:rPr>
          <w:sz w:val="20"/>
          <w:szCs w:val="20"/>
          <w:lang w:val="en-US"/>
        </w:rPr>
        <w:t>dmits the documentary evidence requested from the representatives on May 26, 2020 (</w:t>
      </w:r>
      <w:r w:rsidR="00C254BF" w:rsidRPr="00785D06">
        <w:rPr>
          <w:i/>
          <w:sz w:val="20"/>
          <w:szCs w:val="20"/>
          <w:lang w:val="en-US"/>
        </w:rPr>
        <w:t xml:space="preserve">supra </w:t>
      </w:r>
      <w:r w:rsidR="00C254BF" w:rsidRPr="00785D06">
        <w:rPr>
          <w:sz w:val="20"/>
          <w:szCs w:val="20"/>
          <w:lang w:val="en-US"/>
        </w:rPr>
        <w:t xml:space="preserve">para. 13). The document in question was </w:t>
      </w:r>
      <w:r w:rsidR="001C4342" w:rsidRPr="00785D06">
        <w:rPr>
          <w:sz w:val="20"/>
          <w:szCs w:val="20"/>
          <w:lang w:val="en-US"/>
        </w:rPr>
        <w:t xml:space="preserve">mentioned </w:t>
      </w:r>
      <w:r w:rsidR="00C254BF" w:rsidRPr="00785D06">
        <w:rPr>
          <w:sz w:val="20"/>
          <w:szCs w:val="20"/>
          <w:lang w:val="en-US"/>
        </w:rPr>
        <w:t xml:space="preserve">in the pleadings and motions brief, with instructions </w:t>
      </w:r>
      <w:r w:rsidR="001C4342" w:rsidRPr="00785D06">
        <w:rPr>
          <w:sz w:val="20"/>
          <w:szCs w:val="20"/>
          <w:lang w:val="en-US"/>
        </w:rPr>
        <w:t xml:space="preserve">on how </w:t>
      </w:r>
      <w:r w:rsidR="00C254BF" w:rsidRPr="00785D06">
        <w:rPr>
          <w:sz w:val="20"/>
          <w:szCs w:val="20"/>
          <w:lang w:val="en-US"/>
        </w:rPr>
        <w:t xml:space="preserve">to access it </w:t>
      </w:r>
      <w:r w:rsidR="001C4342" w:rsidRPr="00785D06">
        <w:rPr>
          <w:sz w:val="20"/>
          <w:szCs w:val="20"/>
          <w:lang w:val="en-US"/>
        </w:rPr>
        <w:t xml:space="preserve">via </w:t>
      </w:r>
      <w:r w:rsidR="00C254BF" w:rsidRPr="00785D06">
        <w:rPr>
          <w:sz w:val="20"/>
          <w:szCs w:val="20"/>
          <w:lang w:val="en-US"/>
        </w:rPr>
        <w:t>an electronic link.</w:t>
      </w:r>
      <w:r w:rsidR="00C254BF" w:rsidRPr="00785D06">
        <w:rPr>
          <w:rStyle w:val="Refdenotaalpie"/>
          <w:sz w:val="20"/>
          <w:szCs w:val="20"/>
          <w:lang w:val="en-US"/>
        </w:rPr>
        <w:footnoteReference w:id="26"/>
      </w:r>
      <w:r w:rsidR="00C254BF" w:rsidRPr="00785D06">
        <w:rPr>
          <w:sz w:val="20"/>
          <w:szCs w:val="20"/>
          <w:lang w:val="en-US"/>
        </w:rPr>
        <w:t xml:space="preserve"> The State did not make </w:t>
      </w:r>
      <w:r w:rsidR="001C4342" w:rsidRPr="00785D06">
        <w:rPr>
          <w:sz w:val="20"/>
          <w:szCs w:val="20"/>
          <w:lang w:val="en-US"/>
        </w:rPr>
        <w:t xml:space="preserve">observations </w:t>
      </w:r>
      <w:r w:rsidRPr="00785D06">
        <w:rPr>
          <w:sz w:val="20"/>
          <w:szCs w:val="20"/>
          <w:lang w:val="en-US"/>
        </w:rPr>
        <w:t>on the document requested by t</w:t>
      </w:r>
      <w:r w:rsidR="001C4342" w:rsidRPr="00785D06">
        <w:rPr>
          <w:sz w:val="20"/>
          <w:szCs w:val="20"/>
          <w:lang w:val="en-US"/>
        </w:rPr>
        <w:t xml:space="preserve">he Court from </w:t>
      </w:r>
      <w:r w:rsidR="00C254BF" w:rsidRPr="00785D06">
        <w:rPr>
          <w:sz w:val="20"/>
          <w:szCs w:val="20"/>
          <w:lang w:val="en-US"/>
        </w:rPr>
        <w:t>the representatives</w:t>
      </w:r>
      <w:r w:rsidR="001C4342" w:rsidRPr="00785D06">
        <w:rPr>
          <w:sz w:val="20"/>
          <w:szCs w:val="20"/>
          <w:lang w:val="en-US"/>
        </w:rPr>
        <w:t>, pursuant to</w:t>
      </w:r>
      <w:r w:rsidR="00C254BF" w:rsidRPr="00785D06">
        <w:rPr>
          <w:sz w:val="20"/>
          <w:szCs w:val="20"/>
          <w:lang w:val="en-US"/>
        </w:rPr>
        <w:t xml:space="preserve"> Article 58 (b) of </w:t>
      </w:r>
      <w:r w:rsidR="001C4342" w:rsidRPr="00785D06">
        <w:rPr>
          <w:sz w:val="20"/>
          <w:szCs w:val="20"/>
          <w:lang w:val="en-US"/>
        </w:rPr>
        <w:t xml:space="preserve">its </w:t>
      </w:r>
      <w:r w:rsidR="00C254BF" w:rsidRPr="00785D06">
        <w:rPr>
          <w:sz w:val="20"/>
          <w:szCs w:val="20"/>
          <w:lang w:val="en-US"/>
        </w:rPr>
        <w:t xml:space="preserve">Rules, after confirming that the electronic link </w:t>
      </w:r>
      <w:r w:rsidR="001C4342" w:rsidRPr="00785D06">
        <w:rPr>
          <w:sz w:val="20"/>
          <w:szCs w:val="20"/>
          <w:lang w:val="en-US"/>
        </w:rPr>
        <w:t xml:space="preserve">provided </w:t>
      </w:r>
      <w:r w:rsidR="00C254BF" w:rsidRPr="00785D06">
        <w:rPr>
          <w:sz w:val="20"/>
          <w:szCs w:val="20"/>
          <w:lang w:val="en-US"/>
        </w:rPr>
        <w:t>was not useful.</w:t>
      </w:r>
    </w:p>
    <w:p w14:paraId="282C627D" w14:textId="77777777" w:rsidR="00C254BF" w:rsidRPr="00785D06" w:rsidRDefault="00C254BF" w:rsidP="00C254BF">
      <w:pPr>
        <w:pStyle w:val="Prrafodelista"/>
        <w:ind w:left="0"/>
        <w:contextualSpacing w:val="0"/>
        <w:jc w:val="both"/>
        <w:rPr>
          <w:sz w:val="20"/>
          <w:szCs w:val="20"/>
          <w:lang w:val="en-US"/>
        </w:rPr>
      </w:pPr>
    </w:p>
    <w:p w14:paraId="49CB2FC6" w14:textId="77777777" w:rsidR="00C254BF" w:rsidRPr="00785D06" w:rsidRDefault="00C254BF" w:rsidP="00C254BF">
      <w:pPr>
        <w:pStyle w:val="Prrafodelista"/>
        <w:ind w:left="0"/>
        <w:contextualSpacing w:val="0"/>
        <w:jc w:val="both"/>
        <w:rPr>
          <w:sz w:val="20"/>
          <w:szCs w:val="20"/>
          <w:lang w:val="en-US"/>
        </w:rPr>
      </w:pPr>
    </w:p>
    <w:p w14:paraId="12F49B05" w14:textId="77777777" w:rsidR="00C254BF" w:rsidRPr="00785D06" w:rsidRDefault="00C254BF" w:rsidP="00C254BF">
      <w:pPr>
        <w:pStyle w:val="Prrafodelista"/>
        <w:numPr>
          <w:ilvl w:val="0"/>
          <w:numId w:val="8"/>
        </w:numPr>
        <w:ind w:left="284" w:firstLine="0"/>
        <w:jc w:val="both"/>
        <w:outlineLvl w:val="1"/>
        <w:rPr>
          <w:b/>
          <w:i/>
          <w:sz w:val="20"/>
          <w:szCs w:val="20"/>
          <w:lang w:val="en-US"/>
        </w:rPr>
      </w:pPr>
      <w:bookmarkStart w:id="71" w:name="_Toc42498036"/>
      <w:bookmarkStart w:id="72" w:name="_Toc46937284"/>
      <w:r w:rsidRPr="00785D06">
        <w:rPr>
          <w:b/>
          <w:i/>
          <w:sz w:val="20"/>
          <w:szCs w:val="20"/>
          <w:lang w:val="en-US"/>
        </w:rPr>
        <w:t xml:space="preserve">Admission of the testimonial and expert </w:t>
      </w:r>
      <w:bookmarkEnd w:id="71"/>
      <w:bookmarkEnd w:id="72"/>
      <w:r w:rsidRPr="00785D06">
        <w:rPr>
          <w:b/>
          <w:i/>
          <w:sz w:val="20"/>
          <w:szCs w:val="20"/>
          <w:lang w:val="en-US"/>
        </w:rPr>
        <w:t>evidence</w:t>
      </w:r>
    </w:p>
    <w:p w14:paraId="4CEBCB5C" w14:textId="77777777" w:rsidR="00C254BF" w:rsidRPr="00785D06" w:rsidRDefault="00C254BF" w:rsidP="00C254BF">
      <w:pPr>
        <w:pStyle w:val="Prrafodelista"/>
        <w:ind w:left="927"/>
        <w:jc w:val="both"/>
        <w:outlineLvl w:val="1"/>
        <w:rPr>
          <w:sz w:val="20"/>
          <w:szCs w:val="20"/>
          <w:lang w:val="en-US"/>
        </w:rPr>
      </w:pPr>
    </w:p>
    <w:p w14:paraId="0CE55946" w14:textId="77777777" w:rsidR="00C254BF" w:rsidRPr="00785D06" w:rsidRDefault="00C254BF" w:rsidP="00C254BF">
      <w:pPr>
        <w:pStyle w:val="Prrafodelista"/>
        <w:numPr>
          <w:ilvl w:val="0"/>
          <w:numId w:val="2"/>
        </w:numPr>
        <w:ind w:left="0" w:firstLine="0"/>
        <w:contextualSpacing w:val="0"/>
        <w:jc w:val="both"/>
        <w:rPr>
          <w:sz w:val="20"/>
          <w:szCs w:val="20"/>
          <w:lang w:val="en-US"/>
        </w:rPr>
      </w:pPr>
      <w:r w:rsidRPr="00785D06">
        <w:rPr>
          <w:sz w:val="20"/>
          <w:szCs w:val="20"/>
          <w:lang w:val="en-US"/>
        </w:rPr>
        <w:t xml:space="preserve">The Court </w:t>
      </w:r>
      <w:r w:rsidR="00FF2C58" w:rsidRPr="00785D06">
        <w:rPr>
          <w:sz w:val="20"/>
          <w:szCs w:val="20"/>
          <w:lang w:val="en-US"/>
        </w:rPr>
        <w:t xml:space="preserve">finds </w:t>
      </w:r>
      <w:r w:rsidRPr="00785D06">
        <w:rPr>
          <w:sz w:val="20"/>
          <w:szCs w:val="20"/>
          <w:lang w:val="en-US"/>
        </w:rPr>
        <w:t xml:space="preserve">it pertinent to admit the statements provided </w:t>
      </w:r>
      <w:r w:rsidR="00FF2C58" w:rsidRPr="00785D06">
        <w:rPr>
          <w:sz w:val="20"/>
          <w:szCs w:val="20"/>
          <w:lang w:val="en-US"/>
        </w:rPr>
        <w:t xml:space="preserve">during </w:t>
      </w:r>
      <w:r w:rsidRPr="00785D06">
        <w:rPr>
          <w:sz w:val="20"/>
          <w:szCs w:val="20"/>
          <w:lang w:val="en-US"/>
        </w:rPr>
        <w:t>the public hearing</w:t>
      </w:r>
      <w:r w:rsidRPr="00785D06">
        <w:rPr>
          <w:rStyle w:val="Refdenotaalpie"/>
          <w:iCs/>
          <w:sz w:val="20"/>
          <w:szCs w:val="20"/>
          <w:lang w:val="en-US"/>
        </w:rPr>
        <w:footnoteReference w:id="27"/>
      </w:r>
      <w:r w:rsidRPr="00785D06">
        <w:rPr>
          <w:iCs/>
          <w:sz w:val="20"/>
          <w:szCs w:val="20"/>
          <w:lang w:val="en-US"/>
        </w:rPr>
        <w:t xml:space="preserve"> and by affidavit,</w:t>
      </w:r>
      <w:r w:rsidRPr="00785D06">
        <w:rPr>
          <w:rStyle w:val="Refdenotaalpie"/>
          <w:iCs/>
          <w:sz w:val="20"/>
          <w:szCs w:val="20"/>
          <w:lang w:val="en-US"/>
        </w:rPr>
        <w:footnoteReference w:id="28"/>
      </w:r>
      <w:r w:rsidRPr="00785D06">
        <w:rPr>
          <w:sz w:val="20"/>
          <w:szCs w:val="20"/>
          <w:lang w:val="en-US"/>
        </w:rPr>
        <w:t xml:space="preserve"> insofar as these are in keeping with the purpose defined by the </w:t>
      </w:r>
      <w:r w:rsidR="00FF2C58" w:rsidRPr="00785D06">
        <w:rPr>
          <w:sz w:val="20"/>
          <w:szCs w:val="20"/>
          <w:lang w:val="en-US"/>
        </w:rPr>
        <w:t xml:space="preserve">Order that </w:t>
      </w:r>
      <w:r w:rsidRPr="00785D06">
        <w:rPr>
          <w:sz w:val="20"/>
          <w:szCs w:val="20"/>
          <w:lang w:val="en-US"/>
        </w:rPr>
        <w:t>required them (</w:t>
      </w:r>
      <w:r w:rsidRPr="00785D06">
        <w:rPr>
          <w:i/>
          <w:sz w:val="20"/>
          <w:szCs w:val="20"/>
          <w:lang w:val="en-US"/>
        </w:rPr>
        <w:t xml:space="preserve">supra </w:t>
      </w:r>
      <w:r w:rsidRPr="00785D06">
        <w:rPr>
          <w:sz w:val="20"/>
          <w:szCs w:val="20"/>
          <w:lang w:val="en-US"/>
        </w:rPr>
        <w:t xml:space="preserve">para. 10) and the </w:t>
      </w:r>
      <w:r w:rsidR="00FF2C58" w:rsidRPr="00785D06">
        <w:rPr>
          <w:sz w:val="20"/>
          <w:szCs w:val="20"/>
          <w:lang w:val="en-US"/>
        </w:rPr>
        <w:t xml:space="preserve">purpose </w:t>
      </w:r>
      <w:r w:rsidRPr="00785D06">
        <w:rPr>
          <w:sz w:val="20"/>
          <w:szCs w:val="20"/>
          <w:lang w:val="en-US"/>
        </w:rPr>
        <w:t>of this case</w:t>
      </w:r>
      <w:r w:rsidRPr="00785D06">
        <w:rPr>
          <w:iCs/>
          <w:sz w:val="20"/>
          <w:szCs w:val="20"/>
          <w:lang w:val="en-US"/>
        </w:rPr>
        <w:t>.</w:t>
      </w:r>
    </w:p>
    <w:p w14:paraId="559E8588" w14:textId="77777777" w:rsidR="00C254BF" w:rsidRPr="00785D06" w:rsidRDefault="00C254BF" w:rsidP="00C254BF">
      <w:pPr>
        <w:pStyle w:val="Prrafodelista"/>
        <w:ind w:left="0"/>
        <w:contextualSpacing w:val="0"/>
        <w:jc w:val="both"/>
        <w:rPr>
          <w:sz w:val="20"/>
          <w:szCs w:val="20"/>
          <w:lang w:val="en-US"/>
        </w:rPr>
      </w:pPr>
    </w:p>
    <w:p w14:paraId="3D75879A" w14:textId="77777777" w:rsidR="00C254BF" w:rsidRPr="00785D06" w:rsidRDefault="00C254BF" w:rsidP="00C254BF">
      <w:pPr>
        <w:pStyle w:val="Prrafodelista"/>
        <w:numPr>
          <w:ilvl w:val="0"/>
          <w:numId w:val="2"/>
        </w:numPr>
        <w:ind w:left="0" w:firstLine="0"/>
        <w:contextualSpacing w:val="0"/>
        <w:jc w:val="both"/>
        <w:rPr>
          <w:sz w:val="20"/>
          <w:szCs w:val="20"/>
          <w:lang w:val="en-US"/>
        </w:rPr>
      </w:pPr>
      <w:r w:rsidRPr="00785D06">
        <w:rPr>
          <w:sz w:val="20"/>
          <w:szCs w:val="20"/>
          <w:lang w:val="en-US"/>
        </w:rPr>
        <w:t xml:space="preserve">In its final written arguments, the </w:t>
      </w:r>
      <w:r w:rsidRPr="00785D06">
        <w:rPr>
          <w:b/>
          <w:i/>
          <w:sz w:val="20"/>
          <w:szCs w:val="20"/>
          <w:lang w:val="en-US"/>
        </w:rPr>
        <w:t xml:space="preserve">State </w:t>
      </w:r>
      <w:r w:rsidR="004B233C" w:rsidRPr="00785D06">
        <w:rPr>
          <w:sz w:val="20"/>
          <w:szCs w:val="20"/>
          <w:lang w:val="en-US"/>
        </w:rPr>
        <w:t>alleged</w:t>
      </w:r>
      <w:r w:rsidRPr="00785D06">
        <w:rPr>
          <w:sz w:val="20"/>
          <w:szCs w:val="20"/>
          <w:lang w:val="en-US"/>
        </w:rPr>
        <w:t xml:space="preserve"> that </w:t>
      </w:r>
      <w:r w:rsidR="00DE07E5" w:rsidRPr="00785D06">
        <w:rPr>
          <w:sz w:val="20"/>
          <w:szCs w:val="20"/>
          <w:lang w:val="en-US"/>
        </w:rPr>
        <w:t xml:space="preserve">it found </w:t>
      </w:r>
      <w:r w:rsidR="008202BA" w:rsidRPr="00785D06">
        <w:rPr>
          <w:sz w:val="20"/>
          <w:szCs w:val="20"/>
          <w:lang w:val="en-US"/>
        </w:rPr>
        <w:t xml:space="preserve">“several irregularities” </w:t>
      </w:r>
      <w:r w:rsidR="00DE07E5" w:rsidRPr="00785D06">
        <w:rPr>
          <w:sz w:val="20"/>
          <w:szCs w:val="20"/>
          <w:lang w:val="en-US"/>
        </w:rPr>
        <w:t xml:space="preserve">in </w:t>
      </w:r>
      <w:r w:rsidR="008202BA" w:rsidRPr="00785D06">
        <w:rPr>
          <w:sz w:val="20"/>
          <w:szCs w:val="20"/>
          <w:lang w:val="en-US"/>
        </w:rPr>
        <w:t>the expert opinion of Mrs. Lidia Casas,</w:t>
      </w:r>
      <w:r w:rsidRPr="00785D06">
        <w:rPr>
          <w:sz w:val="20"/>
          <w:szCs w:val="20"/>
          <w:lang w:val="en-US"/>
        </w:rPr>
        <w:t xml:space="preserve"> including the fact that the “document cites as </w:t>
      </w:r>
      <w:r w:rsidR="004B233C" w:rsidRPr="00785D06">
        <w:rPr>
          <w:sz w:val="20"/>
          <w:szCs w:val="20"/>
          <w:lang w:val="en-US"/>
        </w:rPr>
        <w:t>true</w:t>
      </w:r>
      <w:r w:rsidRPr="00785D06">
        <w:rPr>
          <w:sz w:val="20"/>
          <w:szCs w:val="20"/>
          <w:lang w:val="en-US"/>
        </w:rPr>
        <w:t xml:space="preserve"> </w:t>
      </w:r>
      <w:r w:rsidR="004B233C" w:rsidRPr="00785D06">
        <w:rPr>
          <w:sz w:val="20"/>
          <w:szCs w:val="20"/>
          <w:lang w:val="en-US"/>
        </w:rPr>
        <w:t xml:space="preserve">certain </w:t>
      </w:r>
      <w:r w:rsidRPr="00785D06">
        <w:rPr>
          <w:sz w:val="20"/>
          <w:szCs w:val="20"/>
          <w:lang w:val="en-US"/>
        </w:rPr>
        <w:t xml:space="preserve">facts that </w:t>
      </w:r>
      <w:r w:rsidR="008202BA" w:rsidRPr="00785D06">
        <w:rPr>
          <w:sz w:val="20"/>
          <w:szCs w:val="20"/>
          <w:lang w:val="en-US"/>
        </w:rPr>
        <w:t>a</w:t>
      </w:r>
      <w:r w:rsidR="003307B3" w:rsidRPr="00785D06">
        <w:rPr>
          <w:sz w:val="20"/>
          <w:szCs w:val="20"/>
          <w:lang w:val="en-US"/>
        </w:rPr>
        <w:t xml:space="preserve">re being challenged, such as </w:t>
      </w:r>
      <w:r w:rsidRPr="00785D06">
        <w:rPr>
          <w:sz w:val="20"/>
          <w:szCs w:val="20"/>
          <w:lang w:val="en-US"/>
        </w:rPr>
        <w:t xml:space="preserve">the alleged pregnancy and abortion” </w:t>
      </w:r>
      <w:r w:rsidR="008202BA" w:rsidRPr="00785D06">
        <w:rPr>
          <w:sz w:val="20"/>
          <w:szCs w:val="20"/>
          <w:lang w:val="en-US"/>
        </w:rPr>
        <w:t xml:space="preserve">of the victim, </w:t>
      </w:r>
      <w:r w:rsidRPr="00785D06">
        <w:rPr>
          <w:sz w:val="20"/>
          <w:szCs w:val="20"/>
          <w:lang w:val="en-US"/>
        </w:rPr>
        <w:t>and that “</w:t>
      </w:r>
      <w:r w:rsidR="004B233C" w:rsidRPr="00785D06">
        <w:rPr>
          <w:sz w:val="20"/>
          <w:szCs w:val="20"/>
          <w:lang w:val="en-US"/>
        </w:rPr>
        <w:t>she exceeds her remit in her expert opinion</w:t>
      </w:r>
      <w:r w:rsidR="0008623D" w:rsidRPr="00785D06">
        <w:rPr>
          <w:sz w:val="20"/>
          <w:szCs w:val="20"/>
          <w:lang w:val="en-US"/>
        </w:rPr>
        <w:t>.”</w:t>
      </w:r>
      <w:r w:rsidRPr="00785D06">
        <w:rPr>
          <w:sz w:val="20"/>
          <w:szCs w:val="20"/>
          <w:lang w:val="en-US"/>
        </w:rPr>
        <w:t xml:space="preserve"> </w:t>
      </w:r>
      <w:r w:rsidR="004B233C" w:rsidRPr="00785D06">
        <w:rPr>
          <w:sz w:val="20"/>
          <w:szCs w:val="20"/>
          <w:lang w:val="en-US"/>
        </w:rPr>
        <w:t xml:space="preserve">As to </w:t>
      </w:r>
      <w:r w:rsidRPr="00785D06">
        <w:rPr>
          <w:sz w:val="20"/>
          <w:szCs w:val="20"/>
          <w:lang w:val="en-US"/>
        </w:rPr>
        <w:t xml:space="preserve">the expert opinion of Mr. Vernor Muñoz Villalobos, Ecuador indicated </w:t>
      </w:r>
      <w:r w:rsidR="004B233C" w:rsidRPr="00785D06">
        <w:rPr>
          <w:sz w:val="20"/>
          <w:szCs w:val="20"/>
          <w:lang w:val="en-US"/>
        </w:rPr>
        <w:t>that his “expert report goes beyond its remit,</w:t>
      </w:r>
      <w:r w:rsidRPr="00785D06">
        <w:rPr>
          <w:sz w:val="20"/>
          <w:szCs w:val="20"/>
          <w:lang w:val="en-US"/>
        </w:rPr>
        <w:t xml:space="preserve"> since he makes judgments </w:t>
      </w:r>
      <w:r w:rsidR="004B233C" w:rsidRPr="00785D06">
        <w:rPr>
          <w:sz w:val="20"/>
          <w:szCs w:val="20"/>
          <w:lang w:val="en-US"/>
        </w:rPr>
        <w:t xml:space="preserve">as to whether or not </w:t>
      </w:r>
      <w:r w:rsidR="0008623D" w:rsidRPr="00785D06">
        <w:rPr>
          <w:sz w:val="20"/>
          <w:szCs w:val="20"/>
          <w:lang w:val="en-US"/>
        </w:rPr>
        <w:t>Paola’s rights</w:t>
      </w:r>
      <w:r w:rsidR="004B233C" w:rsidRPr="00785D06">
        <w:rPr>
          <w:sz w:val="20"/>
          <w:szCs w:val="20"/>
          <w:lang w:val="en-US"/>
        </w:rPr>
        <w:t xml:space="preserve"> were violated</w:t>
      </w:r>
      <w:r w:rsidR="0008623D" w:rsidRPr="00785D06">
        <w:rPr>
          <w:sz w:val="20"/>
          <w:szCs w:val="20"/>
          <w:lang w:val="en-US"/>
        </w:rPr>
        <w:t>”</w:t>
      </w:r>
      <w:r w:rsidRPr="00785D06">
        <w:rPr>
          <w:sz w:val="20"/>
          <w:szCs w:val="20"/>
          <w:lang w:val="en-US"/>
        </w:rPr>
        <w:t xml:space="preserve"> and also “accepts as true certain facts that are disputed.” </w:t>
      </w:r>
      <w:r w:rsidR="004B233C" w:rsidRPr="00785D06">
        <w:rPr>
          <w:sz w:val="20"/>
          <w:szCs w:val="20"/>
          <w:lang w:val="en-US"/>
        </w:rPr>
        <w:t xml:space="preserve">Regarding </w:t>
      </w:r>
      <w:r w:rsidRPr="00785D06">
        <w:rPr>
          <w:sz w:val="20"/>
          <w:szCs w:val="20"/>
          <w:lang w:val="en-US"/>
        </w:rPr>
        <w:t xml:space="preserve">the expert opinion of Mrs. Ximena Cortés Castillo, the State questioned </w:t>
      </w:r>
      <w:r w:rsidR="004B233C" w:rsidRPr="00785D06">
        <w:rPr>
          <w:sz w:val="20"/>
          <w:szCs w:val="20"/>
          <w:lang w:val="en-US"/>
        </w:rPr>
        <w:t xml:space="preserve">her </w:t>
      </w:r>
      <w:r w:rsidRPr="00785D06">
        <w:rPr>
          <w:sz w:val="20"/>
          <w:szCs w:val="20"/>
          <w:lang w:val="en-US"/>
        </w:rPr>
        <w:t>methodology</w:t>
      </w:r>
      <w:r w:rsidR="004B233C" w:rsidRPr="00785D06">
        <w:rPr>
          <w:sz w:val="20"/>
          <w:szCs w:val="20"/>
          <w:lang w:val="en-US"/>
        </w:rPr>
        <w:t xml:space="preserve"> in relation to</w:t>
      </w:r>
      <w:r w:rsidRPr="00785D06">
        <w:rPr>
          <w:sz w:val="20"/>
          <w:szCs w:val="20"/>
          <w:lang w:val="en-US"/>
        </w:rPr>
        <w:t xml:space="preserve"> the number of people interviewed and the time </w:t>
      </w:r>
      <w:r w:rsidR="004B233C" w:rsidRPr="00785D06">
        <w:rPr>
          <w:sz w:val="20"/>
          <w:szCs w:val="20"/>
          <w:lang w:val="en-US"/>
        </w:rPr>
        <w:t xml:space="preserve">that had </w:t>
      </w:r>
      <w:r w:rsidRPr="00785D06">
        <w:rPr>
          <w:sz w:val="20"/>
          <w:szCs w:val="20"/>
          <w:lang w:val="en-US"/>
        </w:rPr>
        <w:t xml:space="preserve">elapsed </w:t>
      </w:r>
      <w:r w:rsidR="004B233C" w:rsidRPr="00785D06">
        <w:rPr>
          <w:sz w:val="20"/>
          <w:szCs w:val="20"/>
          <w:lang w:val="en-US"/>
        </w:rPr>
        <w:t>since the event, arguing that this</w:t>
      </w:r>
      <w:r w:rsidRPr="00785D06">
        <w:rPr>
          <w:sz w:val="20"/>
          <w:szCs w:val="20"/>
          <w:lang w:val="en-US"/>
        </w:rPr>
        <w:t xml:space="preserve"> “weakens the precision” of </w:t>
      </w:r>
      <w:r w:rsidR="00DE07E5" w:rsidRPr="00785D06">
        <w:rPr>
          <w:sz w:val="20"/>
          <w:szCs w:val="20"/>
          <w:lang w:val="en-US"/>
        </w:rPr>
        <w:t>her assessment</w:t>
      </w:r>
      <w:r w:rsidRPr="00785D06">
        <w:rPr>
          <w:sz w:val="20"/>
          <w:szCs w:val="20"/>
          <w:lang w:val="en-US"/>
        </w:rPr>
        <w:t xml:space="preserve">. </w:t>
      </w:r>
      <w:r w:rsidR="004B233C" w:rsidRPr="00785D06">
        <w:rPr>
          <w:sz w:val="20"/>
          <w:szCs w:val="20"/>
          <w:lang w:val="en-US"/>
        </w:rPr>
        <w:t xml:space="preserve">The State also argued </w:t>
      </w:r>
      <w:r w:rsidRPr="00785D06">
        <w:rPr>
          <w:sz w:val="20"/>
          <w:szCs w:val="20"/>
          <w:lang w:val="en-US"/>
        </w:rPr>
        <w:t xml:space="preserve">that there was a “lack of scientific rigor </w:t>
      </w:r>
      <w:r w:rsidR="003307B3" w:rsidRPr="00785D06">
        <w:rPr>
          <w:sz w:val="20"/>
          <w:szCs w:val="20"/>
          <w:lang w:val="en-US"/>
        </w:rPr>
        <w:t xml:space="preserve">in the </w:t>
      </w:r>
      <w:r w:rsidRPr="00785D06">
        <w:rPr>
          <w:sz w:val="20"/>
          <w:szCs w:val="20"/>
          <w:lang w:val="en-US"/>
        </w:rPr>
        <w:t xml:space="preserve">psychological </w:t>
      </w:r>
      <w:r w:rsidR="003307B3" w:rsidRPr="00785D06">
        <w:rPr>
          <w:sz w:val="20"/>
          <w:szCs w:val="20"/>
          <w:lang w:val="en-US"/>
        </w:rPr>
        <w:t>autopsy</w:t>
      </w:r>
      <w:r w:rsidR="004B233C" w:rsidRPr="00785D06">
        <w:rPr>
          <w:sz w:val="20"/>
          <w:szCs w:val="20"/>
          <w:lang w:val="en-US"/>
        </w:rPr>
        <w:t xml:space="preserve"> carried out</w:t>
      </w:r>
      <w:r w:rsidRPr="00785D06">
        <w:rPr>
          <w:sz w:val="20"/>
          <w:szCs w:val="20"/>
          <w:lang w:val="en-US"/>
        </w:rPr>
        <w:t xml:space="preserve">.” With respect </w:t>
      </w:r>
      <w:r w:rsidR="003307B3" w:rsidRPr="00785D06">
        <w:rPr>
          <w:sz w:val="20"/>
          <w:szCs w:val="20"/>
          <w:lang w:val="en-US"/>
        </w:rPr>
        <w:t xml:space="preserve">to the </w:t>
      </w:r>
      <w:r w:rsidRPr="00785D06">
        <w:rPr>
          <w:sz w:val="20"/>
          <w:szCs w:val="20"/>
          <w:lang w:val="en-US"/>
        </w:rPr>
        <w:t xml:space="preserve">expert opinion of Mrs. Ximena Gauché Marchetti, Ecuador </w:t>
      </w:r>
      <w:r w:rsidR="00DE07E5" w:rsidRPr="00785D06">
        <w:rPr>
          <w:sz w:val="20"/>
          <w:szCs w:val="20"/>
          <w:lang w:val="en-US"/>
        </w:rPr>
        <w:t xml:space="preserve">requested that the Court, </w:t>
      </w:r>
      <w:r w:rsidR="003307B3" w:rsidRPr="00785D06">
        <w:rPr>
          <w:sz w:val="20"/>
          <w:szCs w:val="20"/>
          <w:lang w:val="en-US"/>
        </w:rPr>
        <w:t>“when reviewing the document</w:t>
      </w:r>
      <w:r w:rsidR="00DE07E5" w:rsidRPr="00785D06">
        <w:rPr>
          <w:sz w:val="20"/>
          <w:szCs w:val="20"/>
          <w:lang w:val="en-US"/>
        </w:rPr>
        <w:t>,</w:t>
      </w:r>
      <w:r w:rsidR="003307B3" w:rsidRPr="00785D06">
        <w:rPr>
          <w:sz w:val="20"/>
          <w:szCs w:val="20"/>
          <w:lang w:val="en-US"/>
        </w:rPr>
        <w:t xml:space="preserve"> </w:t>
      </w:r>
      <w:r w:rsidRPr="00785D06">
        <w:rPr>
          <w:sz w:val="20"/>
          <w:szCs w:val="20"/>
          <w:lang w:val="en-US"/>
        </w:rPr>
        <w:t xml:space="preserve">analyze exclusively </w:t>
      </w:r>
      <w:r w:rsidR="004B233C" w:rsidRPr="00785D06">
        <w:rPr>
          <w:sz w:val="20"/>
          <w:szCs w:val="20"/>
          <w:lang w:val="en-US"/>
        </w:rPr>
        <w:t>th</w:t>
      </w:r>
      <w:r w:rsidR="001A32AF" w:rsidRPr="00785D06">
        <w:rPr>
          <w:sz w:val="20"/>
          <w:szCs w:val="20"/>
          <w:lang w:val="en-US"/>
        </w:rPr>
        <w:t>os</w:t>
      </w:r>
      <w:r w:rsidR="004B233C" w:rsidRPr="00785D06">
        <w:rPr>
          <w:sz w:val="20"/>
          <w:szCs w:val="20"/>
          <w:lang w:val="en-US"/>
        </w:rPr>
        <w:t xml:space="preserve">e aspects </w:t>
      </w:r>
      <w:r w:rsidR="00DE07E5" w:rsidRPr="00785D06">
        <w:rPr>
          <w:sz w:val="20"/>
          <w:szCs w:val="20"/>
          <w:lang w:val="en-US"/>
        </w:rPr>
        <w:t xml:space="preserve">relevant to </w:t>
      </w:r>
      <w:r w:rsidRPr="00785D06">
        <w:rPr>
          <w:sz w:val="20"/>
          <w:szCs w:val="20"/>
          <w:lang w:val="en-US"/>
        </w:rPr>
        <w:t>the purpose of her expert opinion</w:t>
      </w:r>
      <w:r w:rsidR="001A32AF" w:rsidRPr="00785D06">
        <w:rPr>
          <w:sz w:val="20"/>
          <w:szCs w:val="20"/>
          <w:lang w:val="en-US"/>
        </w:rPr>
        <w:t>.”</w:t>
      </w:r>
      <w:r w:rsidRPr="00785D06">
        <w:rPr>
          <w:sz w:val="20"/>
          <w:szCs w:val="20"/>
          <w:lang w:val="en-US"/>
        </w:rPr>
        <w:t xml:space="preserve">  Finally, </w:t>
      </w:r>
      <w:r w:rsidR="001A32AF" w:rsidRPr="00785D06">
        <w:rPr>
          <w:sz w:val="20"/>
          <w:szCs w:val="20"/>
          <w:lang w:val="en-US"/>
        </w:rPr>
        <w:t xml:space="preserve">in relation to </w:t>
      </w:r>
      <w:r w:rsidRPr="00785D06">
        <w:rPr>
          <w:sz w:val="20"/>
          <w:szCs w:val="20"/>
          <w:lang w:val="en-US"/>
        </w:rPr>
        <w:t>the expert opinion of Mrs. Patricia Viseur Sellers</w:t>
      </w:r>
      <w:r w:rsidR="00DE07E5" w:rsidRPr="00785D06">
        <w:rPr>
          <w:sz w:val="20"/>
          <w:szCs w:val="20"/>
          <w:lang w:val="en-US"/>
        </w:rPr>
        <w:t>,</w:t>
      </w:r>
      <w:r w:rsidRPr="00785D06">
        <w:rPr>
          <w:sz w:val="20"/>
          <w:szCs w:val="20"/>
          <w:lang w:val="en-US"/>
        </w:rPr>
        <w:t xml:space="preserve"> </w:t>
      </w:r>
      <w:r w:rsidR="001A32AF" w:rsidRPr="00785D06">
        <w:rPr>
          <w:sz w:val="20"/>
          <w:szCs w:val="20"/>
          <w:lang w:val="en-US"/>
        </w:rPr>
        <w:t xml:space="preserve">the State argued </w:t>
      </w:r>
      <w:r w:rsidRPr="00785D06">
        <w:rPr>
          <w:sz w:val="20"/>
          <w:szCs w:val="20"/>
          <w:lang w:val="en-US"/>
        </w:rPr>
        <w:t>that “</w:t>
      </w:r>
      <w:r w:rsidR="003307B3" w:rsidRPr="00785D06">
        <w:rPr>
          <w:sz w:val="20"/>
          <w:szCs w:val="20"/>
          <w:lang w:val="en-US"/>
        </w:rPr>
        <w:t xml:space="preserve">the </w:t>
      </w:r>
      <w:r w:rsidRPr="00785D06">
        <w:rPr>
          <w:sz w:val="20"/>
          <w:szCs w:val="20"/>
          <w:lang w:val="en-US"/>
        </w:rPr>
        <w:t xml:space="preserve">document </w:t>
      </w:r>
      <w:r w:rsidR="001A32AF" w:rsidRPr="00785D06">
        <w:rPr>
          <w:sz w:val="20"/>
          <w:szCs w:val="20"/>
          <w:lang w:val="en-US"/>
        </w:rPr>
        <w:t xml:space="preserve">assumes as </w:t>
      </w:r>
      <w:r w:rsidRPr="00785D06">
        <w:rPr>
          <w:sz w:val="20"/>
          <w:szCs w:val="20"/>
          <w:lang w:val="en-US"/>
        </w:rPr>
        <w:t xml:space="preserve">true certain facts that are being disputed” and, furthermore, </w:t>
      </w:r>
      <w:r w:rsidR="00DE07E5" w:rsidRPr="00785D06">
        <w:rPr>
          <w:sz w:val="20"/>
          <w:szCs w:val="20"/>
          <w:lang w:val="en-US"/>
        </w:rPr>
        <w:t xml:space="preserve">noted </w:t>
      </w:r>
      <w:r w:rsidRPr="00785D06">
        <w:rPr>
          <w:sz w:val="20"/>
          <w:szCs w:val="20"/>
          <w:lang w:val="en-US"/>
        </w:rPr>
        <w:t xml:space="preserve">that the expert opinion was presented in English “without meeting the requirements of the Court” and </w:t>
      </w:r>
      <w:r w:rsidR="001A32AF" w:rsidRPr="00785D06">
        <w:rPr>
          <w:sz w:val="20"/>
          <w:szCs w:val="20"/>
          <w:lang w:val="en-US"/>
        </w:rPr>
        <w:t xml:space="preserve">was presented </w:t>
      </w:r>
      <w:r w:rsidRPr="00785D06">
        <w:rPr>
          <w:sz w:val="20"/>
          <w:szCs w:val="20"/>
          <w:lang w:val="en-US"/>
        </w:rPr>
        <w:t>extemporaneously, thereby affecting “the procedural equality of the parties.”</w:t>
      </w:r>
    </w:p>
    <w:p w14:paraId="60DFE693" w14:textId="77777777" w:rsidR="00C254BF" w:rsidRPr="00785D06" w:rsidRDefault="00C254BF" w:rsidP="00C254BF">
      <w:pPr>
        <w:pStyle w:val="Prrafodelista"/>
        <w:ind w:left="0"/>
        <w:contextualSpacing w:val="0"/>
        <w:jc w:val="both"/>
        <w:rPr>
          <w:sz w:val="20"/>
          <w:szCs w:val="20"/>
          <w:lang w:val="en-US"/>
        </w:rPr>
      </w:pPr>
    </w:p>
    <w:p w14:paraId="089D881F" w14:textId="77777777" w:rsidR="00C254BF" w:rsidRPr="00785D06" w:rsidRDefault="00A2200B" w:rsidP="00C254BF">
      <w:pPr>
        <w:pStyle w:val="Prrafodelista"/>
        <w:numPr>
          <w:ilvl w:val="0"/>
          <w:numId w:val="2"/>
        </w:numPr>
        <w:ind w:left="0" w:firstLine="0"/>
        <w:contextualSpacing w:val="0"/>
        <w:jc w:val="both"/>
        <w:rPr>
          <w:rFonts w:cstheme="minorBidi"/>
          <w:sz w:val="20"/>
          <w:szCs w:val="20"/>
          <w:lang w:val="en-US"/>
        </w:rPr>
      </w:pPr>
      <w:r w:rsidRPr="00785D06">
        <w:rPr>
          <w:sz w:val="20"/>
          <w:szCs w:val="20"/>
          <w:lang w:val="en-US"/>
        </w:rPr>
        <w:t xml:space="preserve">Based on </w:t>
      </w:r>
      <w:r w:rsidR="00C254BF" w:rsidRPr="00785D06">
        <w:rPr>
          <w:sz w:val="20"/>
          <w:szCs w:val="20"/>
          <w:lang w:val="en-US"/>
        </w:rPr>
        <w:t>prior decisions of a similar n</w:t>
      </w:r>
      <w:r w:rsidRPr="00785D06">
        <w:rPr>
          <w:sz w:val="20"/>
          <w:szCs w:val="20"/>
          <w:lang w:val="en-US"/>
        </w:rPr>
        <w:t xml:space="preserve">ature, this </w:t>
      </w:r>
      <w:r w:rsidRPr="00785D06">
        <w:rPr>
          <w:b/>
          <w:i/>
          <w:sz w:val="20"/>
          <w:szCs w:val="20"/>
          <w:lang w:val="en-US"/>
        </w:rPr>
        <w:t>Court</w:t>
      </w:r>
      <w:r w:rsidRPr="00785D06">
        <w:rPr>
          <w:sz w:val="20"/>
          <w:szCs w:val="20"/>
          <w:lang w:val="en-US"/>
        </w:rPr>
        <w:t xml:space="preserve"> decides to admit</w:t>
      </w:r>
      <w:r w:rsidR="00C254BF" w:rsidRPr="00785D06">
        <w:rPr>
          <w:sz w:val="20"/>
          <w:szCs w:val="20"/>
          <w:lang w:val="en-US"/>
        </w:rPr>
        <w:t xml:space="preserve"> the expert </w:t>
      </w:r>
      <w:r w:rsidR="00A62DEA" w:rsidRPr="00785D06">
        <w:rPr>
          <w:sz w:val="20"/>
          <w:szCs w:val="20"/>
          <w:lang w:val="en-US"/>
        </w:rPr>
        <w:t xml:space="preserve">report </w:t>
      </w:r>
      <w:r w:rsidR="00C254BF" w:rsidRPr="00785D06">
        <w:rPr>
          <w:sz w:val="20"/>
          <w:szCs w:val="20"/>
          <w:lang w:val="en-US"/>
        </w:rPr>
        <w:t xml:space="preserve">of Patricia Viseur Sellers, </w:t>
      </w:r>
      <w:r w:rsidRPr="00785D06">
        <w:rPr>
          <w:sz w:val="20"/>
          <w:szCs w:val="20"/>
          <w:lang w:val="en-US"/>
        </w:rPr>
        <w:t xml:space="preserve">considering that </w:t>
      </w:r>
      <w:r w:rsidR="00A62DEA" w:rsidRPr="00785D06">
        <w:rPr>
          <w:sz w:val="20"/>
          <w:szCs w:val="20"/>
          <w:lang w:val="en-US"/>
        </w:rPr>
        <w:t>the</w:t>
      </w:r>
      <w:r w:rsidR="00C254BF" w:rsidRPr="00785D06">
        <w:rPr>
          <w:sz w:val="20"/>
          <w:szCs w:val="20"/>
          <w:lang w:val="en-US"/>
        </w:rPr>
        <w:t xml:space="preserve"> </w:t>
      </w:r>
      <w:r w:rsidR="00A62DEA" w:rsidRPr="00785D06">
        <w:rPr>
          <w:sz w:val="20"/>
          <w:szCs w:val="20"/>
          <w:lang w:val="en-US"/>
        </w:rPr>
        <w:t xml:space="preserve">translation into </w:t>
      </w:r>
      <w:r w:rsidR="00C254BF" w:rsidRPr="00785D06">
        <w:rPr>
          <w:sz w:val="20"/>
          <w:szCs w:val="20"/>
          <w:lang w:val="en-US"/>
        </w:rPr>
        <w:t xml:space="preserve">Spanish </w:t>
      </w:r>
      <w:r w:rsidR="00A62DEA" w:rsidRPr="00785D06">
        <w:rPr>
          <w:sz w:val="20"/>
          <w:szCs w:val="20"/>
          <w:lang w:val="en-US"/>
        </w:rPr>
        <w:t xml:space="preserve">was received </w:t>
      </w:r>
      <w:r w:rsidR="00C254BF" w:rsidRPr="00785D06">
        <w:rPr>
          <w:sz w:val="20"/>
          <w:szCs w:val="20"/>
          <w:lang w:val="en-US"/>
        </w:rPr>
        <w:t xml:space="preserve">within the deadline </w:t>
      </w:r>
      <w:r w:rsidR="00DE07E5" w:rsidRPr="00785D06">
        <w:rPr>
          <w:sz w:val="20"/>
          <w:szCs w:val="20"/>
          <w:lang w:val="en-US"/>
        </w:rPr>
        <w:t xml:space="preserve">established </w:t>
      </w:r>
      <w:r w:rsidR="003307B3" w:rsidRPr="00785D06">
        <w:rPr>
          <w:sz w:val="20"/>
          <w:szCs w:val="20"/>
          <w:lang w:val="en-US"/>
        </w:rPr>
        <w:t>by this Court and th</w:t>
      </w:r>
      <w:r w:rsidR="00A62DEA" w:rsidRPr="00785D06">
        <w:rPr>
          <w:sz w:val="20"/>
          <w:szCs w:val="20"/>
          <w:lang w:val="en-US"/>
        </w:rPr>
        <w:t>at th</w:t>
      </w:r>
      <w:r w:rsidR="003307B3" w:rsidRPr="00785D06">
        <w:rPr>
          <w:sz w:val="20"/>
          <w:szCs w:val="20"/>
          <w:lang w:val="en-US"/>
        </w:rPr>
        <w:t>e State ha</w:t>
      </w:r>
      <w:r w:rsidR="00A62DEA" w:rsidRPr="00785D06">
        <w:rPr>
          <w:sz w:val="20"/>
          <w:szCs w:val="20"/>
          <w:lang w:val="en-US"/>
        </w:rPr>
        <w:t xml:space="preserve">d </w:t>
      </w:r>
      <w:r w:rsidR="003307B3" w:rsidRPr="00785D06">
        <w:rPr>
          <w:sz w:val="20"/>
          <w:szCs w:val="20"/>
          <w:lang w:val="en-US"/>
        </w:rPr>
        <w:t>ample</w:t>
      </w:r>
      <w:r w:rsidR="00C254BF" w:rsidRPr="00785D06">
        <w:rPr>
          <w:sz w:val="20"/>
          <w:szCs w:val="20"/>
          <w:lang w:val="en-US"/>
        </w:rPr>
        <w:t xml:space="preserve"> opportunity to review it</w:t>
      </w:r>
      <w:r w:rsidR="003307B3" w:rsidRPr="00785D06">
        <w:rPr>
          <w:sz w:val="20"/>
          <w:szCs w:val="20"/>
          <w:lang w:val="en-US"/>
        </w:rPr>
        <w:t>.</w:t>
      </w:r>
      <w:r w:rsidR="00C254BF" w:rsidRPr="00785D06">
        <w:rPr>
          <w:rStyle w:val="Refdenotaalpie"/>
          <w:sz w:val="20"/>
          <w:szCs w:val="20"/>
          <w:lang w:val="en-US"/>
        </w:rPr>
        <w:footnoteReference w:id="29"/>
      </w:r>
    </w:p>
    <w:p w14:paraId="1E7BC443" w14:textId="77777777" w:rsidR="00C254BF" w:rsidRPr="00785D06" w:rsidRDefault="00C254BF" w:rsidP="00C254BF">
      <w:pPr>
        <w:pStyle w:val="Prrafodelista"/>
        <w:ind w:left="0"/>
        <w:contextualSpacing w:val="0"/>
        <w:jc w:val="both"/>
        <w:rPr>
          <w:sz w:val="20"/>
          <w:szCs w:val="20"/>
          <w:lang w:val="en-US"/>
        </w:rPr>
      </w:pPr>
    </w:p>
    <w:p w14:paraId="0D24FE42" w14:textId="77777777" w:rsidR="00C254BF" w:rsidRPr="00785D06" w:rsidRDefault="00C254BF" w:rsidP="00C254BF">
      <w:pPr>
        <w:pStyle w:val="Prrafodelista"/>
        <w:numPr>
          <w:ilvl w:val="0"/>
          <w:numId w:val="2"/>
        </w:numPr>
        <w:ind w:left="0" w:firstLine="0"/>
        <w:contextualSpacing w:val="0"/>
        <w:jc w:val="both"/>
        <w:rPr>
          <w:rFonts w:cstheme="minorBidi"/>
          <w:sz w:val="20"/>
          <w:szCs w:val="20"/>
          <w:lang w:val="en-US"/>
        </w:rPr>
      </w:pPr>
      <w:r w:rsidRPr="00785D06">
        <w:rPr>
          <w:sz w:val="20"/>
          <w:szCs w:val="20"/>
          <w:lang w:val="en-US"/>
        </w:rPr>
        <w:t xml:space="preserve">The Court observes that other considerations </w:t>
      </w:r>
      <w:r w:rsidR="00431758" w:rsidRPr="00785D06">
        <w:rPr>
          <w:sz w:val="20"/>
          <w:szCs w:val="20"/>
          <w:lang w:val="en-US"/>
        </w:rPr>
        <w:t xml:space="preserve">of the State </w:t>
      </w:r>
      <w:r w:rsidRPr="00785D06">
        <w:rPr>
          <w:sz w:val="20"/>
          <w:szCs w:val="20"/>
          <w:lang w:val="en-US"/>
        </w:rPr>
        <w:t xml:space="preserve">regarding </w:t>
      </w:r>
      <w:r w:rsidR="00A62DEA" w:rsidRPr="00785D06">
        <w:rPr>
          <w:sz w:val="20"/>
          <w:szCs w:val="20"/>
          <w:lang w:val="en-US"/>
        </w:rPr>
        <w:t>t</w:t>
      </w:r>
      <w:r w:rsidRPr="00785D06">
        <w:rPr>
          <w:sz w:val="20"/>
          <w:szCs w:val="20"/>
          <w:lang w:val="en-US"/>
        </w:rPr>
        <w:t xml:space="preserve">his and other expert </w:t>
      </w:r>
      <w:r w:rsidR="00A62DEA" w:rsidRPr="00785D06">
        <w:rPr>
          <w:sz w:val="20"/>
          <w:szCs w:val="20"/>
          <w:lang w:val="en-US"/>
        </w:rPr>
        <w:t xml:space="preserve">opinions are related to their </w:t>
      </w:r>
      <w:r w:rsidRPr="00785D06">
        <w:rPr>
          <w:rFonts w:cs="Arial"/>
          <w:sz w:val="20"/>
          <w:szCs w:val="20"/>
          <w:lang w:val="en-US"/>
        </w:rPr>
        <w:t>evidentiary value, not to the admissibility of the evidence. The</w:t>
      </w:r>
      <w:r w:rsidR="00A62DEA" w:rsidRPr="00785D06">
        <w:rPr>
          <w:rFonts w:cs="Arial"/>
          <w:sz w:val="20"/>
          <w:szCs w:val="20"/>
          <w:lang w:val="en-US"/>
        </w:rPr>
        <w:t>refore, this Court decides to admit the</w:t>
      </w:r>
      <w:r w:rsidRPr="00785D06">
        <w:rPr>
          <w:rFonts w:cs="Arial"/>
          <w:sz w:val="20"/>
          <w:szCs w:val="20"/>
          <w:lang w:val="en-US"/>
        </w:rPr>
        <w:t xml:space="preserve">se expert reports. The </w:t>
      </w:r>
      <w:r w:rsidR="00A62DEA" w:rsidRPr="00785D06">
        <w:rPr>
          <w:rFonts w:cs="Arial"/>
          <w:sz w:val="20"/>
          <w:szCs w:val="20"/>
          <w:lang w:val="en-US"/>
        </w:rPr>
        <w:t xml:space="preserve">concerns </w:t>
      </w:r>
      <w:r w:rsidRPr="00785D06">
        <w:rPr>
          <w:rFonts w:cs="Arial"/>
          <w:sz w:val="20"/>
          <w:szCs w:val="20"/>
          <w:lang w:val="en-US"/>
        </w:rPr>
        <w:t xml:space="preserve">expressed by Ecuador will be taken into consideration in the assessment of the evidence. </w:t>
      </w:r>
    </w:p>
    <w:p w14:paraId="5F3ADB21" w14:textId="77777777" w:rsidR="00C254BF" w:rsidRPr="00785D06" w:rsidRDefault="00C254BF" w:rsidP="00C254BF">
      <w:pPr>
        <w:pStyle w:val="Prrafodelista"/>
        <w:ind w:left="0"/>
        <w:contextualSpacing w:val="0"/>
        <w:jc w:val="both"/>
        <w:rPr>
          <w:rFonts w:cstheme="minorBidi"/>
          <w:sz w:val="20"/>
          <w:szCs w:val="20"/>
          <w:lang w:val="en-US"/>
        </w:rPr>
      </w:pPr>
    </w:p>
    <w:p w14:paraId="6FF560D2" w14:textId="77777777" w:rsidR="00C254BF" w:rsidRPr="00785D06" w:rsidRDefault="00C254BF" w:rsidP="00C254BF">
      <w:pPr>
        <w:pStyle w:val="Ttulo1"/>
        <w:spacing w:before="0"/>
        <w:jc w:val="center"/>
        <w:rPr>
          <w:rFonts w:ascii="Verdana" w:hAnsi="Verdana" w:cstheme="minorBidi"/>
          <w:b/>
          <w:color w:val="auto"/>
          <w:sz w:val="20"/>
          <w:szCs w:val="20"/>
          <w:lang w:val="en-US"/>
        </w:rPr>
      </w:pPr>
      <w:bookmarkStart w:id="73" w:name="_Toc40466535"/>
      <w:bookmarkStart w:id="74" w:name="_Toc42498037"/>
      <w:bookmarkStart w:id="75" w:name="_Toc46937285"/>
      <w:r w:rsidRPr="00785D06">
        <w:rPr>
          <w:rFonts w:ascii="Verdana" w:hAnsi="Verdana" w:cstheme="minorBidi"/>
          <w:b/>
          <w:color w:val="auto"/>
          <w:sz w:val="20"/>
          <w:szCs w:val="20"/>
          <w:lang w:val="en-US"/>
        </w:rPr>
        <w:t>VI</w:t>
      </w:r>
      <w:bookmarkEnd w:id="73"/>
      <w:bookmarkEnd w:id="74"/>
      <w:bookmarkEnd w:id="75"/>
    </w:p>
    <w:p w14:paraId="33903E58" w14:textId="77777777" w:rsidR="00C254BF" w:rsidRPr="00785D06" w:rsidRDefault="00C254BF" w:rsidP="00C254BF">
      <w:pPr>
        <w:pStyle w:val="Ttulo1"/>
        <w:spacing w:before="0"/>
        <w:jc w:val="center"/>
        <w:rPr>
          <w:rFonts w:ascii="Verdana" w:hAnsi="Verdana" w:cstheme="minorBidi"/>
          <w:b/>
          <w:color w:val="auto"/>
          <w:sz w:val="20"/>
          <w:szCs w:val="20"/>
          <w:lang w:val="en-US"/>
        </w:rPr>
      </w:pPr>
      <w:r w:rsidRPr="00785D06">
        <w:rPr>
          <w:rFonts w:ascii="Verdana" w:hAnsi="Verdana" w:cstheme="minorBidi"/>
          <w:b/>
          <w:color w:val="auto"/>
          <w:sz w:val="20"/>
          <w:szCs w:val="20"/>
          <w:lang w:val="en-US"/>
        </w:rPr>
        <w:t>FACTS</w:t>
      </w:r>
    </w:p>
    <w:p w14:paraId="3FB478BB" w14:textId="77777777" w:rsidR="00C254BF" w:rsidRPr="00785D06" w:rsidRDefault="00C254BF" w:rsidP="00C254BF">
      <w:pPr>
        <w:pStyle w:val="Ttulo1"/>
        <w:spacing w:before="0"/>
        <w:jc w:val="center"/>
        <w:rPr>
          <w:rFonts w:ascii="Verdana" w:hAnsi="Verdana" w:cstheme="minorBidi"/>
          <w:color w:val="auto"/>
          <w:sz w:val="20"/>
          <w:szCs w:val="20"/>
          <w:lang w:val="en-US"/>
        </w:rPr>
      </w:pPr>
    </w:p>
    <w:p w14:paraId="098871B5" w14:textId="77777777" w:rsidR="00C254BF" w:rsidRPr="00785D06" w:rsidRDefault="00140D54" w:rsidP="00C254BF">
      <w:pPr>
        <w:pStyle w:val="Prrafodelista"/>
        <w:numPr>
          <w:ilvl w:val="0"/>
          <w:numId w:val="2"/>
        </w:numPr>
        <w:ind w:left="0" w:firstLine="0"/>
        <w:contextualSpacing w:val="0"/>
        <w:jc w:val="both"/>
        <w:rPr>
          <w:rFonts w:cstheme="minorBidi"/>
          <w:sz w:val="20"/>
          <w:szCs w:val="20"/>
          <w:lang w:val="en-US"/>
        </w:rPr>
      </w:pPr>
      <w:r w:rsidRPr="00785D06">
        <w:rPr>
          <w:rFonts w:cs="Arial"/>
          <w:sz w:val="20"/>
          <w:szCs w:val="20"/>
          <w:lang w:val="en-US"/>
        </w:rPr>
        <w:t>The facts of this</w:t>
      </w:r>
      <w:r w:rsidR="00C254BF" w:rsidRPr="00785D06">
        <w:rPr>
          <w:rFonts w:cs="Arial"/>
          <w:sz w:val="20"/>
          <w:szCs w:val="20"/>
          <w:lang w:val="en-US"/>
        </w:rPr>
        <w:t xml:space="preserve"> case are related to </w:t>
      </w:r>
      <w:r w:rsidR="000532C8" w:rsidRPr="00785D06">
        <w:rPr>
          <w:rFonts w:cs="Arial"/>
          <w:sz w:val="20"/>
          <w:szCs w:val="20"/>
          <w:lang w:val="en-US"/>
        </w:rPr>
        <w:t xml:space="preserve">the </w:t>
      </w:r>
      <w:r w:rsidR="00C254BF" w:rsidRPr="00785D06">
        <w:rPr>
          <w:rFonts w:cs="Arial"/>
          <w:sz w:val="20"/>
          <w:szCs w:val="20"/>
          <w:lang w:val="en-US"/>
        </w:rPr>
        <w:t xml:space="preserve">sexual violence committed against Paola del Rosario Guzmán Albarracín, </w:t>
      </w:r>
      <w:r w:rsidRPr="00785D06">
        <w:rPr>
          <w:rFonts w:cs="Arial"/>
          <w:sz w:val="20"/>
          <w:szCs w:val="20"/>
          <w:lang w:val="en-US"/>
        </w:rPr>
        <w:t xml:space="preserve">when she was </w:t>
      </w:r>
      <w:r w:rsidR="00C254BF" w:rsidRPr="00785D06">
        <w:rPr>
          <w:rFonts w:cs="Arial"/>
          <w:sz w:val="20"/>
          <w:szCs w:val="20"/>
          <w:lang w:val="en-US"/>
        </w:rPr>
        <w:t>between 14 and 16 years</w:t>
      </w:r>
      <w:r w:rsidR="003B1016" w:rsidRPr="00785D06">
        <w:rPr>
          <w:rFonts w:cs="Arial"/>
          <w:sz w:val="20"/>
          <w:szCs w:val="20"/>
          <w:lang w:val="en-US"/>
        </w:rPr>
        <w:t xml:space="preserve"> old</w:t>
      </w:r>
      <w:r w:rsidR="00C254BF" w:rsidRPr="00785D06">
        <w:rPr>
          <w:rFonts w:cs="Arial"/>
          <w:sz w:val="20"/>
          <w:szCs w:val="20"/>
          <w:lang w:val="en-US"/>
        </w:rPr>
        <w:t xml:space="preserve">, by </w:t>
      </w:r>
      <w:r w:rsidR="003B1016" w:rsidRPr="00785D06">
        <w:rPr>
          <w:rFonts w:cs="Arial"/>
          <w:sz w:val="20"/>
          <w:szCs w:val="20"/>
          <w:lang w:val="en-US"/>
        </w:rPr>
        <w:t xml:space="preserve">members of </w:t>
      </w:r>
      <w:r w:rsidR="00B7292A" w:rsidRPr="00785D06">
        <w:rPr>
          <w:rFonts w:cs="Arial"/>
          <w:sz w:val="20"/>
          <w:szCs w:val="20"/>
          <w:lang w:val="en-US"/>
        </w:rPr>
        <w:t xml:space="preserve">staff </w:t>
      </w:r>
      <w:r w:rsidR="003B1016" w:rsidRPr="00785D06">
        <w:rPr>
          <w:rFonts w:cs="Arial"/>
          <w:sz w:val="20"/>
          <w:szCs w:val="20"/>
          <w:lang w:val="en-US"/>
        </w:rPr>
        <w:t xml:space="preserve">at </w:t>
      </w:r>
      <w:r w:rsidR="00C254BF" w:rsidRPr="00785D06">
        <w:rPr>
          <w:rFonts w:cs="Arial"/>
          <w:sz w:val="20"/>
          <w:szCs w:val="20"/>
          <w:lang w:val="en-US"/>
        </w:rPr>
        <w:t xml:space="preserve">the </w:t>
      </w:r>
      <w:r w:rsidR="003B1016" w:rsidRPr="00785D06">
        <w:rPr>
          <w:rFonts w:cs="Arial"/>
          <w:sz w:val="20"/>
          <w:szCs w:val="20"/>
          <w:lang w:val="en-US"/>
        </w:rPr>
        <w:t xml:space="preserve">public </w:t>
      </w:r>
      <w:r w:rsidR="00C254BF" w:rsidRPr="00785D06">
        <w:rPr>
          <w:rFonts w:cs="Arial"/>
          <w:sz w:val="20"/>
          <w:szCs w:val="20"/>
          <w:lang w:val="en-US"/>
        </w:rPr>
        <w:t>school she attended, the Martínez Serrano High</w:t>
      </w:r>
      <w:r w:rsidRPr="00785D06">
        <w:rPr>
          <w:rFonts w:cs="Arial"/>
          <w:sz w:val="20"/>
          <w:szCs w:val="20"/>
          <w:lang w:val="en-US"/>
        </w:rPr>
        <w:t xml:space="preserve"> School, </w:t>
      </w:r>
      <w:r w:rsidR="003B1016" w:rsidRPr="00785D06">
        <w:rPr>
          <w:rFonts w:cs="Arial"/>
          <w:sz w:val="20"/>
          <w:szCs w:val="20"/>
          <w:lang w:val="en-US"/>
        </w:rPr>
        <w:t xml:space="preserve">and specifically by the </w:t>
      </w:r>
      <w:r w:rsidR="00B7292A" w:rsidRPr="00785D06">
        <w:rPr>
          <w:rFonts w:cs="Arial"/>
          <w:sz w:val="20"/>
          <w:szCs w:val="20"/>
          <w:lang w:val="en-US"/>
        </w:rPr>
        <w:t>v</w:t>
      </w:r>
      <w:r w:rsidR="0097298A" w:rsidRPr="00785D06">
        <w:rPr>
          <w:rFonts w:cs="Arial"/>
          <w:sz w:val="20"/>
          <w:szCs w:val="20"/>
          <w:lang w:val="en-US"/>
        </w:rPr>
        <w:t>ice principal</w:t>
      </w:r>
      <w:r w:rsidR="00C254BF" w:rsidRPr="00785D06">
        <w:rPr>
          <w:rFonts w:cs="Arial"/>
          <w:sz w:val="20"/>
          <w:szCs w:val="20"/>
          <w:lang w:val="en-US"/>
        </w:rPr>
        <w:t xml:space="preserve"> of that institution. They also include </w:t>
      </w:r>
      <w:r w:rsidRPr="00785D06">
        <w:rPr>
          <w:rFonts w:cs="Arial"/>
          <w:sz w:val="20"/>
          <w:szCs w:val="20"/>
          <w:lang w:val="en-US"/>
        </w:rPr>
        <w:t xml:space="preserve">her </w:t>
      </w:r>
      <w:r w:rsidR="00C254BF" w:rsidRPr="00785D06">
        <w:rPr>
          <w:rFonts w:cs="Arial"/>
          <w:sz w:val="20"/>
          <w:szCs w:val="20"/>
          <w:lang w:val="en-US"/>
        </w:rPr>
        <w:t>subsequent suicide, two days after her sixteenth birthday, and the judicial and administrative proceedings initiated after her death, which occurred in Guayaquil on December 13, 2002.</w:t>
      </w:r>
    </w:p>
    <w:p w14:paraId="527EE313" w14:textId="77777777" w:rsidR="00C254BF" w:rsidRPr="00785D06" w:rsidRDefault="00C254BF" w:rsidP="00C254BF">
      <w:pPr>
        <w:pStyle w:val="Prrafodelista"/>
        <w:ind w:left="0"/>
        <w:contextualSpacing w:val="0"/>
        <w:jc w:val="both"/>
        <w:rPr>
          <w:rFonts w:cs="Arial"/>
          <w:sz w:val="20"/>
          <w:szCs w:val="20"/>
          <w:lang w:val="en-US"/>
        </w:rPr>
      </w:pPr>
    </w:p>
    <w:p w14:paraId="68DA4430" w14:textId="77777777" w:rsidR="00C254BF" w:rsidRPr="00785D06" w:rsidRDefault="00B7292A" w:rsidP="00C254BF">
      <w:pPr>
        <w:pStyle w:val="Prrafodelista"/>
        <w:numPr>
          <w:ilvl w:val="0"/>
          <w:numId w:val="2"/>
        </w:numPr>
        <w:ind w:left="0" w:firstLine="0"/>
        <w:contextualSpacing w:val="0"/>
        <w:jc w:val="both"/>
        <w:rPr>
          <w:rFonts w:cstheme="minorBidi"/>
          <w:sz w:val="20"/>
          <w:szCs w:val="20"/>
          <w:lang w:val="en-US"/>
        </w:rPr>
      </w:pPr>
      <w:r w:rsidRPr="00785D06">
        <w:rPr>
          <w:rFonts w:cs="Arial"/>
          <w:sz w:val="20"/>
          <w:szCs w:val="20"/>
          <w:lang w:val="en-US"/>
        </w:rPr>
        <w:t>This section presents the</w:t>
      </w:r>
      <w:r w:rsidR="00C254BF" w:rsidRPr="00785D06">
        <w:rPr>
          <w:rFonts w:cs="Arial"/>
          <w:sz w:val="20"/>
          <w:szCs w:val="20"/>
          <w:lang w:val="en-US"/>
        </w:rPr>
        <w:t xml:space="preserve"> facts described by the Com</w:t>
      </w:r>
      <w:r w:rsidRPr="00785D06">
        <w:rPr>
          <w:rFonts w:cs="Arial"/>
          <w:sz w:val="20"/>
          <w:szCs w:val="20"/>
          <w:lang w:val="en-US"/>
        </w:rPr>
        <w:t xml:space="preserve">mission and </w:t>
      </w:r>
      <w:r w:rsidR="003B1016" w:rsidRPr="00785D06">
        <w:rPr>
          <w:rFonts w:cs="Arial"/>
          <w:sz w:val="20"/>
          <w:szCs w:val="20"/>
          <w:lang w:val="en-US"/>
        </w:rPr>
        <w:t xml:space="preserve">by </w:t>
      </w:r>
      <w:r w:rsidRPr="00785D06">
        <w:rPr>
          <w:rFonts w:cs="Arial"/>
          <w:sz w:val="20"/>
          <w:szCs w:val="20"/>
          <w:lang w:val="en-US"/>
        </w:rPr>
        <w:t>the representatives</w:t>
      </w:r>
      <w:r w:rsidR="00140D54" w:rsidRPr="00785D06">
        <w:rPr>
          <w:rFonts w:cs="Arial"/>
          <w:sz w:val="20"/>
          <w:szCs w:val="20"/>
          <w:lang w:val="en-US"/>
        </w:rPr>
        <w:t xml:space="preserve"> </w:t>
      </w:r>
      <w:r w:rsidRPr="00785D06">
        <w:rPr>
          <w:rFonts w:cs="Arial"/>
          <w:sz w:val="20"/>
          <w:szCs w:val="20"/>
          <w:lang w:val="en-US"/>
        </w:rPr>
        <w:t xml:space="preserve">regarding </w:t>
      </w:r>
      <w:r w:rsidR="00C254BF" w:rsidRPr="00785D06">
        <w:rPr>
          <w:rFonts w:cs="Arial"/>
          <w:sz w:val="20"/>
          <w:szCs w:val="20"/>
          <w:lang w:val="en-US"/>
        </w:rPr>
        <w:t xml:space="preserve">the sexual </w:t>
      </w:r>
      <w:r w:rsidR="003B1016" w:rsidRPr="00785D06">
        <w:rPr>
          <w:rFonts w:cs="Arial"/>
          <w:sz w:val="20"/>
          <w:szCs w:val="20"/>
          <w:lang w:val="en-US"/>
        </w:rPr>
        <w:t xml:space="preserve">violence </w:t>
      </w:r>
      <w:r w:rsidRPr="00785D06">
        <w:rPr>
          <w:rFonts w:cs="Arial"/>
          <w:sz w:val="20"/>
          <w:szCs w:val="20"/>
          <w:lang w:val="en-US"/>
        </w:rPr>
        <w:t xml:space="preserve">to which </w:t>
      </w:r>
      <w:r w:rsidR="00C254BF" w:rsidRPr="00785D06">
        <w:rPr>
          <w:rFonts w:cs="Arial"/>
          <w:sz w:val="20"/>
          <w:szCs w:val="20"/>
          <w:lang w:val="en-US"/>
        </w:rPr>
        <w:t xml:space="preserve">Paola Guzmán Albarracín </w:t>
      </w:r>
      <w:r w:rsidRPr="00785D06">
        <w:rPr>
          <w:rFonts w:cs="Arial"/>
          <w:sz w:val="20"/>
          <w:szCs w:val="20"/>
          <w:lang w:val="en-US"/>
        </w:rPr>
        <w:t>was subjected and her subsequent suicide</w:t>
      </w:r>
      <w:r w:rsidR="00C254BF" w:rsidRPr="00785D06">
        <w:rPr>
          <w:rFonts w:cs="Arial"/>
          <w:sz w:val="20"/>
          <w:szCs w:val="20"/>
          <w:lang w:val="en-US"/>
        </w:rPr>
        <w:t xml:space="preserve">, </w:t>
      </w:r>
      <w:r w:rsidR="00140D54" w:rsidRPr="00785D06">
        <w:rPr>
          <w:rFonts w:cs="Arial"/>
          <w:sz w:val="20"/>
          <w:szCs w:val="20"/>
          <w:lang w:val="en-US"/>
        </w:rPr>
        <w:t xml:space="preserve">as well as the facts </w:t>
      </w:r>
      <w:r w:rsidR="00C254BF" w:rsidRPr="00785D06">
        <w:rPr>
          <w:rFonts w:cs="Arial"/>
          <w:sz w:val="20"/>
          <w:szCs w:val="20"/>
          <w:lang w:val="en-US"/>
        </w:rPr>
        <w:t>related to the judicial and administrative procee</w:t>
      </w:r>
      <w:r w:rsidRPr="00785D06">
        <w:rPr>
          <w:rFonts w:cs="Arial"/>
          <w:sz w:val="20"/>
          <w:szCs w:val="20"/>
          <w:lang w:val="en-US"/>
        </w:rPr>
        <w:t>dings.</w:t>
      </w:r>
      <w:r w:rsidR="00C254BF" w:rsidRPr="00785D06">
        <w:rPr>
          <w:rFonts w:cs="Arial"/>
          <w:sz w:val="20"/>
          <w:szCs w:val="20"/>
          <w:lang w:val="en-US"/>
        </w:rPr>
        <w:t xml:space="preserve"> </w:t>
      </w:r>
      <w:r w:rsidRPr="00785D06">
        <w:rPr>
          <w:rFonts w:cs="Arial"/>
          <w:sz w:val="20"/>
          <w:szCs w:val="20"/>
          <w:lang w:val="en-US"/>
        </w:rPr>
        <w:t>T</w:t>
      </w:r>
      <w:r w:rsidR="00C254BF" w:rsidRPr="00785D06">
        <w:rPr>
          <w:rFonts w:cs="Arial"/>
          <w:sz w:val="20"/>
          <w:szCs w:val="20"/>
          <w:lang w:val="en-US"/>
        </w:rPr>
        <w:t xml:space="preserve">he Court will </w:t>
      </w:r>
      <w:r w:rsidRPr="00785D06">
        <w:rPr>
          <w:rFonts w:cs="Arial"/>
          <w:sz w:val="20"/>
          <w:szCs w:val="20"/>
          <w:lang w:val="en-US"/>
        </w:rPr>
        <w:t xml:space="preserve">then present the relevant legal </w:t>
      </w:r>
      <w:r w:rsidR="00140D54" w:rsidRPr="00785D06">
        <w:rPr>
          <w:rFonts w:cs="Arial"/>
          <w:sz w:val="20"/>
          <w:szCs w:val="20"/>
          <w:lang w:val="en-US"/>
        </w:rPr>
        <w:t>assessments</w:t>
      </w:r>
      <w:r w:rsidRPr="00785D06">
        <w:rPr>
          <w:rFonts w:cs="Arial"/>
          <w:sz w:val="20"/>
          <w:szCs w:val="20"/>
          <w:lang w:val="en-US"/>
        </w:rPr>
        <w:t xml:space="preserve"> (</w:t>
      </w:r>
      <w:r w:rsidRPr="00785D06">
        <w:rPr>
          <w:rFonts w:cs="Arial"/>
          <w:i/>
          <w:sz w:val="20"/>
          <w:szCs w:val="20"/>
          <w:lang w:val="en-US"/>
        </w:rPr>
        <w:t xml:space="preserve">infra </w:t>
      </w:r>
      <w:r w:rsidRPr="00785D06">
        <w:rPr>
          <w:rFonts w:cs="Arial"/>
          <w:sz w:val="20"/>
          <w:szCs w:val="20"/>
          <w:lang w:val="en-US"/>
        </w:rPr>
        <w:t>Chapter VII)</w:t>
      </w:r>
      <w:r w:rsidR="00C254BF" w:rsidRPr="00785D06">
        <w:rPr>
          <w:rFonts w:cs="Arial"/>
          <w:sz w:val="20"/>
          <w:szCs w:val="20"/>
          <w:lang w:val="en-US"/>
        </w:rPr>
        <w:t>.</w:t>
      </w:r>
    </w:p>
    <w:p w14:paraId="1876E20C" w14:textId="77777777" w:rsidR="00C254BF" w:rsidRPr="00785D06" w:rsidRDefault="00C254BF" w:rsidP="00C254BF">
      <w:pPr>
        <w:pStyle w:val="Prrafodelista"/>
        <w:ind w:left="0"/>
        <w:contextualSpacing w:val="0"/>
        <w:jc w:val="both"/>
        <w:rPr>
          <w:rFonts w:cs="Arial"/>
          <w:sz w:val="20"/>
          <w:szCs w:val="20"/>
          <w:lang w:val="en-US"/>
        </w:rPr>
      </w:pPr>
    </w:p>
    <w:p w14:paraId="23CA9C76" w14:textId="77777777" w:rsidR="00C254BF" w:rsidRPr="00785D06" w:rsidRDefault="00C254BF" w:rsidP="00C254BF">
      <w:pPr>
        <w:pStyle w:val="Prrafodelista"/>
        <w:numPr>
          <w:ilvl w:val="0"/>
          <w:numId w:val="2"/>
        </w:numPr>
        <w:ind w:left="0" w:firstLine="0"/>
        <w:contextualSpacing w:val="0"/>
        <w:jc w:val="both"/>
        <w:rPr>
          <w:rFonts w:cs="Arial"/>
          <w:sz w:val="20"/>
          <w:szCs w:val="20"/>
          <w:lang w:val="en-US"/>
        </w:rPr>
      </w:pPr>
      <w:r w:rsidRPr="00785D06">
        <w:rPr>
          <w:rFonts w:cs="Arial"/>
          <w:sz w:val="20"/>
          <w:szCs w:val="20"/>
          <w:lang w:val="en-US"/>
        </w:rPr>
        <w:t xml:space="preserve">In their pleadings and motions brief, the representatives alluded to </w:t>
      </w:r>
      <w:r w:rsidR="00FA7C8C" w:rsidRPr="00785D06">
        <w:rPr>
          <w:rFonts w:cs="Arial"/>
          <w:sz w:val="20"/>
          <w:szCs w:val="20"/>
          <w:lang w:val="en-US"/>
        </w:rPr>
        <w:t xml:space="preserve">a </w:t>
      </w:r>
      <w:r w:rsidR="00596725" w:rsidRPr="00785D06">
        <w:rPr>
          <w:rFonts w:cs="Arial"/>
          <w:sz w:val="20"/>
          <w:szCs w:val="20"/>
          <w:lang w:val="en-US"/>
        </w:rPr>
        <w:t xml:space="preserve">contextual </w:t>
      </w:r>
      <w:r w:rsidRPr="00785D06">
        <w:rPr>
          <w:rFonts w:cs="Arial"/>
          <w:sz w:val="20"/>
          <w:szCs w:val="20"/>
          <w:lang w:val="en-US"/>
        </w:rPr>
        <w:t>situation</w:t>
      </w:r>
      <w:r w:rsidR="00FA7C8C" w:rsidRPr="00785D06">
        <w:rPr>
          <w:rFonts w:cs="Arial"/>
          <w:sz w:val="20"/>
          <w:szCs w:val="20"/>
          <w:lang w:val="en-US"/>
        </w:rPr>
        <w:t xml:space="preserve"> </w:t>
      </w:r>
      <w:r w:rsidR="00044B34" w:rsidRPr="00785D06">
        <w:rPr>
          <w:rFonts w:cs="Arial"/>
          <w:sz w:val="20"/>
          <w:szCs w:val="20"/>
          <w:lang w:val="en-US"/>
        </w:rPr>
        <w:t xml:space="preserve">that is </w:t>
      </w:r>
      <w:r w:rsidR="00FA7C8C" w:rsidRPr="00785D06">
        <w:rPr>
          <w:rFonts w:cs="Arial"/>
          <w:sz w:val="20"/>
          <w:szCs w:val="20"/>
          <w:lang w:val="en-US"/>
        </w:rPr>
        <w:t>relevant to this case. The Court notes that this</w:t>
      </w:r>
      <w:r w:rsidRPr="00785D06">
        <w:rPr>
          <w:rFonts w:cs="Arial"/>
          <w:sz w:val="20"/>
          <w:szCs w:val="20"/>
          <w:lang w:val="en-US"/>
        </w:rPr>
        <w:t xml:space="preserve"> </w:t>
      </w:r>
      <w:r w:rsidR="00044B34" w:rsidRPr="00785D06">
        <w:rPr>
          <w:rFonts w:cs="Arial"/>
          <w:sz w:val="20"/>
          <w:szCs w:val="20"/>
          <w:lang w:val="en-US"/>
        </w:rPr>
        <w:t xml:space="preserve">background </w:t>
      </w:r>
      <w:r w:rsidRPr="00785D06">
        <w:rPr>
          <w:rFonts w:cs="Arial"/>
          <w:sz w:val="20"/>
          <w:szCs w:val="20"/>
          <w:lang w:val="en-US"/>
        </w:rPr>
        <w:t xml:space="preserve">was not </w:t>
      </w:r>
      <w:r w:rsidR="00FA7C8C" w:rsidRPr="00785D06">
        <w:rPr>
          <w:rFonts w:cs="Arial"/>
          <w:sz w:val="20"/>
          <w:szCs w:val="20"/>
          <w:lang w:val="en-US"/>
        </w:rPr>
        <w:t xml:space="preserve">mentioned </w:t>
      </w:r>
      <w:r w:rsidR="00596725" w:rsidRPr="00785D06">
        <w:rPr>
          <w:rFonts w:cs="Arial"/>
          <w:sz w:val="20"/>
          <w:szCs w:val="20"/>
          <w:lang w:val="en-US"/>
        </w:rPr>
        <w:t>by the Commission in its Merits R</w:t>
      </w:r>
      <w:r w:rsidR="00B37C9D" w:rsidRPr="00785D06">
        <w:rPr>
          <w:rFonts w:cs="Arial"/>
          <w:sz w:val="20"/>
          <w:szCs w:val="20"/>
          <w:lang w:val="en-US"/>
        </w:rPr>
        <w:t>eport. Nevertheless, the</w:t>
      </w:r>
      <w:r w:rsidRPr="00785D06">
        <w:rPr>
          <w:rFonts w:cs="Arial"/>
          <w:sz w:val="20"/>
          <w:szCs w:val="20"/>
          <w:lang w:val="en-US"/>
        </w:rPr>
        <w:t xml:space="preserve"> Court </w:t>
      </w:r>
      <w:r w:rsidR="00B37C9D" w:rsidRPr="00785D06">
        <w:rPr>
          <w:rFonts w:cs="Arial"/>
          <w:sz w:val="20"/>
          <w:szCs w:val="20"/>
          <w:lang w:val="en-US"/>
        </w:rPr>
        <w:t xml:space="preserve">finds </w:t>
      </w:r>
      <w:r w:rsidRPr="00785D06">
        <w:rPr>
          <w:rFonts w:cs="Arial"/>
          <w:sz w:val="20"/>
          <w:szCs w:val="20"/>
          <w:lang w:val="en-US"/>
        </w:rPr>
        <w:t>that some of the representatives</w:t>
      </w:r>
      <w:r w:rsidR="00596725" w:rsidRPr="00785D06">
        <w:rPr>
          <w:rFonts w:cs="Arial"/>
          <w:sz w:val="20"/>
          <w:szCs w:val="20"/>
          <w:lang w:val="en-US"/>
        </w:rPr>
        <w:t>’ statements</w:t>
      </w:r>
      <w:r w:rsidR="00044B34" w:rsidRPr="00785D06">
        <w:rPr>
          <w:rFonts w:cs="Arial"/>
          <w:sz w:val="20"/>
          <w:szCs w:val="20"/>
          <w:lang w:val="en-US"/>
        </w:rPr>
        <w:t>, which are</w:t>
      </w:r>
      <w:r w:rsidRPr="00785D06">
        <w:rPr>
          <w:rFonts w:cs="Arial"/>
          <w:sz w:val="20"/>
          <w:szCs w:val="20"/>
          <w:lang w:val="en-US"/>
        </w:rPr>
        <w:t xml:space="preserve"> based on reports by </w:t>
      </w:r>
      <w:r w:rsidR="00044B34" w:rsidRPr="00785D06">
        <w:rPr>
          <w:rFonts w:cs="Arial"/>
          <w:sz w:val="20"/>
          <w:szCs w:val="20"/>
          <w:lang w:val="en-US"/>
        </w:rPr>
        <w:t xml:space="preserve">governmental </w:t>
      </w:r>
      <w:r w:rsidR="00596725" w:rsidRPr="00785D06">
        <w:rPr>
          <w:rFonts w:cs="Arial"/>
          <w:sz w:val="20"/>
          <w:szCs w:val="20"/>
          <w:lang w:val="en-US"/>
        </w:rPr>
        <w:t xml:space="preserve">institutions </w:t>
      </w:r>
      <w:r w:rsidRPr="00785D06">
        <w:rPr>
          <w:rFonts w:cs="Arial"/>
          <w:sz w:val="20"/>
          <w:szCs w:val="20"/>
          <w:lang w:val="en-US"/>
        </w:rPr>
        <w:t>or international organi</w:t>
      </w:r>
      <w:r w:rsidR="00596725" w:rsidRPr="00785D06">
        <w:rPr>
          <w:rFonts w:cs="Arial"/>
          <w:sz w:val="20"/>
          <w:szCs w:val="20"/>
          <w:lang w:val="en-US"/>
        </w:rPr>
        <w:t>zations</w:t>
      </w:r>
      <w:r w:rsidR="00044B34" w:rsidRPr="00785D06">
        <w:rPr>
          <w:rFonts w:cs="Arial"/>
          <w:sz w:val="20"/>
          <w:szCs w:val="20"/>
          <w:lang w:val="en-US"/>
        </w:rPr>
        <w:t>,</w:t>
      </w:r>
      <w:r w:rsidRPr="00785D06">
        <w:rPr>
          <w:rFonts w:cs="Arial"/>
          <w:sz w:val="20"/>
          <w:szCs w:val="20"/>
          <w:lang w:val="en-US"/>
        </w:rPr>
        <w:t xml:space="preserve"> are linked </w:t>
      </w:r>
      <w:r w:rsidR="00044B34" w:rsidRPr="00785D06">
        <w:rPr>
          <w:rFonts w:cs="Arial"/>
          <w:sz w:val="20"/>
          <w:szCs w:val="20"/>
          <w:lang w:val="en-US"/>
        </w:rPr>
        <w:t xml:space="preserve">to the State’s </w:t>
      </w:r>
      <w:r w:rsidRPr="00785D06">
        <w:rPr>
          <w:rFonts w:cs="Arial"/>
          <w:sz w:val="20"/>
          <w:szCs w:val="20"/>
          <w:lang w:val="en-US"/>
        </w:rPr>
        <w:t xml:space="preserve">acknowledgement </w:t>
      </w:r>
      <w:r w:rsidR="00044B34" w:rsidRPr="00785D06">
        <w:rPr>
          <w:rFonts w:cs="Arial"/>
          <w:sz w:val="20"/>
          <w:szCs w:val="20"/>
          <w:lang w:val="en-US"/>
        </w:rPr>
        <w:t xml:space="preserve">of </w:t>
      </w:r>
      <w:r w:rsidR="00B37C9D" w:rsidRPr="00785D06">
        <w:rPr>
          <w:rFonts w:cs="Arial"/>
          <w:sz w:val="20"/>
          <w:szCs w:val="20"/>
          <w:lang w:val="en-US"/>
        </w:rPr>
        <w:t xml:space="preserve">the </w:t>
      </w:r>
      <w:r w:rsidR="00044B34" w:rsidRPr="00785D06">
        <w:rPr>
          <w:rFonts w:cs="Arial"/>
          <w:sz w:val="20"/>
          <w:szCs w:val="20"/>
          <w:lang w:val="en-US"/>
        </w:rPr>
        <w:t>lack of policies to address</w:t>
      </w:r>
      <w:r w:rsidRPr="00785D06">
        <w:rPr>
          <w:rFonts w:cs="Arial"/>
          <w:sz w:val="20"/>
          <w:szCs w:val="20"/>
          <w:lang w:val="en-US"/>
        </w:rPr>
        <w:t xml:space="preserve"> se</w:t>
      </w:r>
      <w:r w:rsidR="00044B34" w:rsidRPr="00785D06">
        <w:rPr>
          <w:rFonts w:cs="Arial"/>
          <w:sz w:val="20"/>
          <w:szCs w:val="20"/>
          <w:lang w:val="en-US"/>
        </w:rPr>
        <w:t>xual violence in the education system</w:t>
      </w:r>
      <w:r w:rsidRPr="00785D06">
        <w:rPr>
          <w:rFonts w:cs="Arial"/>
          <w:sz w:val="20"/>
          <w:szCs w:val="20"/>
          <w:lang w:val="en-US"/>
        </w:rPr>
        <w:t xml:space="preserve">. </w:t>
      </w:r>
      <w:r w:rsidR="00044B34" w:rsidRPr="00785D06">
        <w:rPr>
          <w:rFonts w:cs="Arial"/>
          <w:sz w:val="20"/>
          <w:szCs w:val="20"/>
          <w:lang w:val="en-US"/>
        </w:rPr>
        <w:t xml:space="preserve">To that extent, </w:t>
      </w:r>
      <w:r w:rsidRPr="00785D06">
        <w:rPr>
          <w:rFonts w:cs="Arial"/>
          <w:sz w:val="20"/>
          <w:szCs w:val="20"/>
          <w:lang w:val="en-US"/>
        </w:rPr>
        <w:t xml:space="preserve">they are useful </w:t>
      </w:r>
      <w:r w:rsidR="00044B34" w:rsidRPr="00785D06">
        <w:rPr>
          <w:rFonts w:cs="Arial"/>
          <w:sz w:val="20"/>
          <w:szCs w:val="20"/>
          <w:lang w:val="en-US"/>
        </w:rPr>
        <w:t xml:space="preserve">in </w:t>
      </w:r>
      <w:r w:rsidRPr="00785D06">
        <w:rPr>
          <w:rFonts w:cs="Arial"/>
          <w:sz w:val="20"/>
          <w:szCs w:val="20"/>
          <w:lang w:val="en-US"/>
        </w:rPr>
        <w:t>assess</w:t>
      </w:r>
      <w:r w:rsidR="00044B34" w:rsidRPr="00785D06">
        <w:rPr>
          <w:rFonts w:cs="Arial"/>
          <w:sz w:val="20"/>
          <w:szCs w:val="20"/>
          <w:lang w:val="en-US"/>
        </w:rPr>
        <w:t>ing</w:t>
      </w:r>
      <w:r w:rsidRPr="00785D06">
        <w:rPr>
          <w:rFonts w:cs="Arial"/>
          <w:sz w:val="20"/>
          <w:szCs w:val="20"/>
          <w:lang w:val="en-US"/>
        </w:rPr>
        <w:t xml:space="preserve"> the circumstances </w:t>
      </w:r>
      <w:r w:rsidR="00B37C9D" w:rsidRPr="00785D06">
        <w:rPr>
          <w:rFonts w:cs="Arial"/>
          <w:sz w:val="20"/>
          <w:szCs w:val="20"/>
          <w:lang w:val="en-US"/>
        </w:rPr>
        <w:t xml:space="preserve">surrounding the facts </w:t>
      </w:r>
      <w:r w:rsidR="00B37C9D" w:rsidRPr="00785D06">
        <w:rPr>
          <w:rFonts w:cs="Arial"/>
          <w:i/>
          <w:sz w:val="20"/>
          <w:szCs w:val="20"/>
          <w:lang w:val="en-US"/>
        </w:rPr>
        <w:t>sub judice</w:t>
      </w:r>
      <w:r w:rsidRPr="00785D06">
        <w:rPr>
          <w:rFonts w:cs="Arial"/>
          <w:sz w:val="20"/>
          <w:szCs w:val="20"/>
          <w:lang w:val="en-US"/>
        </w:rPr>
        <w:t xml:space="preserve">, and therefore </w:t>
      </w:r>
      <w:r w:rsidR="00B37C9D" w:rsidRPr="00785D06">
        <w:rPr>
          <w:rFonts w:cs="Arial"/>
          <w:sz w:val="20"/>
          <w:szCs w:val="20"/>
          <w:lang w:val="en-US"/>
        </w:rPr>
        <w:t>will be taken into</w:t>
      </w:r>
      <w:r w:rsidRPr="00785D06">
        <w:rPr>
          <w:rFonts w:cs="Arial"/>
          <w:sz w:val="20"/>
          <w:szCs w:val="20"/>
          <w:lang w:val="en-US"/>
        </w:rPr>
        <w:t xml:space="preserve"> consideration (</w:t>
      </w:r>
      <w:r w:rsidRPr="00785D06">
        <w:rPr>
          <w:rFonts w:cs="Arial"/>
          <w:i/>
          <w:sz w:val="20"/>
          <w:szCs w:val="20"/>
          <w:lang w:val="en-US"/>
        </w:rPr>
        <w:t>infra</w:t>
      </w:r>
      <w:r w:rsidRPr="00785D06">
        <w:rPr>
          <w:rFonts w:cs="Arial"/>
          <w:sz w:val="20"/>
          <w:szCs w:val="20"/>
          <w:lang w:val="en-US"/>
        </w:rPr>
        <w:t xml:space="preserve"> paras. 44 to 47)</w:t>
      </w:r>
      <w:r w:rsidR="00044B34" w:rsidRPr="00785D06">
        <w:rPr>
          <w:rFonts w:cs="Arial"/>
          <w:sz w:val="20"/>
          <w:szCs w:val="20"/>
          <w:lang w:val="en-US"/>
        </w:rPr>
        <w:t>.</w:t>
      </w:r>
      <w:r w:rsidRPr="00785D06">
        <w:rPr>
          <w:rStyle w:val="Refdenotaalpie"/>
          <w:rFonts w:cs="Arial"/>
          <w:sz w:val="20"/>
          <w:szCs w:val="20"/>
          <w:lang w:val="en-US"/>
        </w:rPr>
        <w:footnoteReference w:id="30"/>
      </w:r>
      <w:r w:rsidRPr="00785D06">
        <w:rPr>
          <w:rFonts w:cs="Arial"/>
          <w:sz w:val="20"/>
          <w:szCs w:val="20"/>
          <w:lang w:val="en-US"/>
        </w:rPr>
        <w:t xml:space="preserve"> Th</w:t>
      </w:r>
      <w:r w:rsidR="00044B34" w:rsidRPr="00785D06">
        <w:rPr>
          <w:rFonts w:cs="Arial"/>
          <w:sz w:val="20"/>
          <w:szCs w:val="20"/>
          <w:lang w:val="en-US"/>
        </w:rPr>
        <w:t>us</w:t>
      </w:r>
      <w:r w:rsidRPr="00785D06">
        <w:rPr>
          <w:rFonts w:cs="Arial"/>
          <w:sz w:val="20"/>
          <w:szCs w:val="20"/>
          <w:lang w:val="en-US"/>
        </w:rPr>
        <w:t xml:space="preserve">, the Court will consider the following: a) sexual violence in </w:t>
      </w:r>
      <w:r w:rsidR="00044B34" w:rsidRPr="00785D06">
        <w:rPr>
          <w:rFonts w:cs="Arial"/>
          <w:sz w:val="20"/>
          <w:szCs w:val="20"/>
          <w:lang w:val="en-US"/>
        </w:rPr>
        <w:t xml:space="preserve">Ecuador’s </w:t>
      </w:r>
      <w:r w:rsidR="00B37C9D" w:rsidRPr="00785D06">
        <w:rPr>
          <w:rFonts w:cs="Arial"/>
          <w:sz w:val="20"/>
          <w:szCs w:val="20"/>
          <w:lang w:val="en-US"/>
        </w:rPr>
        <w:t xml:space="preserve">educational institutions; b) </w:t>
      </w:r>
      <w:r w:rsidRPr="00785D06">
        <w:rPr>
          <w:rFonts w:cs="Arial"/>
          <w:sz w:val="20"/>
          <w:szCs w:val="20"/>
          <w:lang w:val="en-US"/>
        </w:rPr>
        <w:t>facts related to the sexual violence suffered by Paola Guzmán Albarracín and her subsequent s</w:t>
      </w:r>
      <w:r w:rsidR="00422516" w:rsidRPr="00785D06">
        <w:rPr>
          <w:rFonts w:cs="Arial"/>
          <w:sz w:val="20"/>
          <w:szCs w:val="20"/>
          <w:lang w:val="en-US"/>
        </w:rPr>
        <w:t xml:space="preserve">uicide; c) </w:t>
      </w:r>
      <w:r w:rsidRPr="00785D06">
        <w:rPr>
          <w:rFonts w:cs="Arial"/>
          <w:sz w:val="20"/>
          <w:szCs w:val="20"/>
          <w:lang w:val="en-US"/>
        </w:rPr>
        <w:t xml:space="preserve">investigations and criminal proceedings </w:t>
      </w:r>
      <w:r w:rsidR="00044B34" w:rsidRPr="00785D06">
        <w:rPr>
          <w:rFonts w:cs="Arial"/>
          <w:sz w:val="20"/>
          <w:szCs w:val="20"/>
          <w:lang w:val="en-US"/>
        </w:rPr>
        <w:t xml:space="preserve">pursued </w:t>
      </w:r>
      <w:r w:rsidRPr="00785D06">
        <w:rPr>
          <w:rFonts w:cs="Arial"/>
          <w:sz w:val="20"/>
          <w:szCs w:val="20"/>
          <w:lang w:val="en-US"/>
        </w:rPr>
        <w:t>after the death of Paola Guzmán Albarracín, and d) the civil lawsuit for moral damage</w:t>
      </w:r>
      <w:r w:rsidR="006074C9" w:rsidRPr="00785D06">
        <w:rPr>
          <w:rFonts w:cs="Arial"/>
          <w:sz w:val="20"/>
          <w:szCs w:val="20"/>
          <w:lang w:val="en-US"/>
        </w:rPr>
        <w:t>s</w:t>
      </w:r>
      <w:r w:rsidRPr="00785D06">
        <w:rPr>
          <w:rFonts w:cs="Arial"/>
          <w:sz w:val="20"/>
          <w:szCs w:val="20"/>
          <w:lang w:val="en-US"/>
        </w:rPr>
        <w:t xml:space="preserve"> and administrative actions re</w:t>
      </w:r>
      <w:r w:rsidR="006074C9" w:rsidRPr="00785D06">
        <w:rPr>
          <w:rFonts w:cs="Arial"/>
          <w:sz w:val="20"/>
          <w:szCs w:val="20"/>
          <w:lang w:val="en-US"/>
        </w:rPr>
        <w:t xml:space="preserve">lated to </w:t>
      </w:r>
      <w:r w:rsidRPr="00785D06">
        <w:rPr>
          <w:rFonts w:cs="Arial"/>
          <w:sz w:val="20"/>
          <w:szCs w:val="20"/>
          <w:lang w:val="en-US"/>
        </w:rPr>
        <w:t>the facts of this case.</w:t>
      </w:r>
    </w:p>
    <w:p w14:paraId="2EE113E4" w14:textId="77777777" w:rsidR="00C254BF" w:rsidRPr="00785D06" w:rsidRDefault="00C254BF" w:rsidP="00C254BF">
      <w:pPr>
        <w:pStyle w:val="Prrafodelista"/>
        <w:ind w:left="0"/>
        <w:contextualSpacing w:val="0"/>
        <w:jc w:val="both"/>
        <w:rPr>
          <w:rFonts w:cs="Arial"/>
          <w:sz w:val="20"/>
          <w:szCs w:val="20"/>
          <w:lang w:val="en-US"/>
        </w:rPr>
      </w:pPr>
    </w:p>
    <w:p w14:paraId="0BC4CE13" w14:textId="77777777" w:rsidR="00C254BF" w:rsidRPr="00785D06" w:rsidRDefault="0003793F" w:rsidP="00C254BF">
      <w:pPr>
        <w:pStyle w:val="Ttulo2"/>
        <w:numPr>
          <w:ilvl w:val="0"/>
          <w:numId w:val="16"/>
        </w:numPr>
        <w:spacing w:before="0" w:line="240" w:lineRule="auto"/>
        <w:ind w:left="284" w:firstLine="0"/>
        <w:rPr>
          <w:rFonts w:ascii="Verdana" w:hAnsi="Verdana" w:cs="Arial"/>
          <w:b/>
          <w:i/>
          <w:color w:val="auto"/>
          <w:sz w:val="20"/>
          <w:szCs w:val="20"/>
          <w:lang w:val="en-US"/>
        </w:rPr>
      </w:pPr>
      <w:bookmarkStart w:id="76" w:name="_Toc42498039"/>
      <w:bookmarkStart w:id="77" w:name="_Toc46937287"/>
      <w:bookmarkStart w:id="78" w:name="_Toc40466537"/>
      <w:r w:rsidRPr="00785D06">
        <w:rPr>
          <w:rFonts w:ascii="Verdana" w:hAnsi="Verdana" w:cs="Arial"/>
          <w:b/>
          <w:i/>
          <w:color w:val="auto"/>
          <w:sz w:val="20"/>
          <w:szCs w:val="20"/>
          <w:lang w:val="en-US"/>
        </w:rPr>
        <w:t>S</w:t>
      </w:r>
      <w:r w:rsidR="00C254BF" w:rsidRPr="00785D06">
        <w:rPr>
          <w:rFonts w:ascii="Verdana" w:hAnsi="Verdana" w:cs="Arial"/>
          <w:b/>
          <w:i/>
          <w:color w:val="auto"/>
          <w:sz w:val="20"/>
          <w:szCs w:val="20"/>
          <w:lang w:val="en-US"/>
        </w:rPr>
        <w:t xml:space="preserve">exual violence in </w:t>
      </w:r>
      <w:r w:rsidR="00422516" w:rsidRPr="00785D06">
        <w:rPr>
          <w:rFonts w:ascii="Verdana" w:hAnsi="Verdana" w:cs="Arial"/>
          <w:b/>
          <w:i/>
          <w:color w:val="auto"/>
          <w:sz w:val="20"/>
          <w:szCs w:val="20"/>
          <w:lang w:val="en-US"/>
        </w:rPr>
        <w:t xml:space="preserve">Ecuador’s </w:t>
      </w:r>
      <w:r w:rsidRPr="00785D06">
        <w:rPr>
          <w:rFonts w:ascii="Verdana" w:hAnsi="Verdana" w:cs="Arial"/>
          <w:b/>
          <w:i/>
          <w:color w:val="auto"/>
          <w:sz w:val="20"/>
          <w:szCs w:val="20"/>
          <w:lang w:val="en-US"/>
        </w:rPr>
        <w:t xml:space="preserve">educational </w:t>
      </w:r>
      <w:r w:rsidR="00C254BF" w:rsidRPr="00785D06">
        <w:rPr>
          <w:rFonts w:ascii="Verdana" w:hAnsi="Verdana" w:cs="Arial"/>
          <w:b/>
          <w:i/>
          <w:color w:val="auto"/>
          <w:sz w:val="20"/>
          <w:szCs w:val="20"/>
          <w:lang w:val="en-US"/>
        </w:rPr>
        <w:t xml:space="preserve">institutions </w:t>
      </w:r>
      <w:bookmarkEnd w:id="76"/>
      <w:bookmarkEnd w:id="77"/>
    </w:p>
    <w:p w14:paraId="182263E1" w14:textId="77777777" w:rsidR="00C254BF" w:rsidRPr="00785D06" w:rsidRDefault="00C254BF" w:rsidP="00C254BF">
      <w:pPr>
        <w:tabs>
          <w:tab w:val="left" w:pos="567"/>
        </w:tabs>
        <w:ind w:left="567"/>
        <w:jc w:val="both"/>
        <w:rPr>
          <w:sz w:val="20"/>
          <w:szCs w:val="20"/>
          <w:lang w:val="en-US"/>
        </w:rPr>
      </w:pPr>
    </w:p>
    <w:p w14:paraId="7A5E7252" w14:textId="77777777" w:rsidR="00C254BF" w:rsidRPr="00785D06" w:rsidRDefault="00C254BF" w:rsidP="00C254BF">
      <w:pPr>
        <w:jc w:val="both"/>
        <w:rPr>
          <w:rFonts w:eastAsia="Verdana" w:cs="Verdana"/>
          <w:sz w:val="20"/>
          <w:szCs w:val="20"/>
          <w:lang w:val="en-US"/>
        </w:rPr>
      </w:pPr>
      <w:r w:rsidRPr="00785D06">
        <w:rPr>
          <w:sz w:val="20"/>
          <w:szCs w:val="20"/>
          <w:lang w:val="en-US"/>
        </w:rPr>
        <w:t xml:space="preserve">44. </w:t>
      </w:r>
      <w:r w:rsidRPr="00785D06">
        <w:rPr>
          <w:sz w:val="20"/>
          <w:szCs w:val="20"/>
          <w:lang w:val="en-US"/>
        </w:rPr>
        <w:tab/>
        <w:t xml:space="preserve">At the time of the facts of this case, </w:t>
      </w:r>
      <w:r w:rsidR="00422516" w:rsidRPr="00785D06">
        <w:rPr>
          <w:sz w:val="20"/>
          <w:szCs w:val="20"/>
          <w:lang w:val="en-US"/>
        </w:rPr>
        <w:t xml:space="preserve">several </w:t>
      </w:r>
      <w:r w:rsidRPr="00785D06">
        <w:rPr>
          <w:sz w:val="20"/>
          <w:szCs w:val="20"/>
          <w:lang w:val="en-US"/>
        </w:rPr>
        <w:t xml:space="preserve">reports by </w:t>
      </w:r>
      <w:r w:rsidR="006074C9" w:rsidRPr="00785D06">
        <w:rPr>
          <w:sz w:val="20"/>
          <w:szCs w:val="20"/>
          <w:lang w:val="en-US"/>
        </w:rPr>
        <w:t xml:space="preserve">national and </w:t>
      </w:r>
      <w:r w:rsidRPr="00785D06">
        <w:rPr>
          <w:rFonts w:eastAsia="Verdana" w:cs="Verdana"/>
          <w:sz w:val="20"/>
          <w:szCs w:val="20"/>
          <w:lang w:val="en-US"/>
        </w:rPr>
        <w:t>international</w:t>
      </w:r>
      <w:r w:rsidRPr="00785D06">
        <w:rPr>
          <w:sz w:val="20"/>
          <w:szCs w:val="20"/>
          <w:lang w:val="en-US"/>
        </w:rPr>
        <w:t xml:space="preserve"> organizations </w:t>
      </w:r>
      <w:r w:rsidR="006074C9" w:rsidRPr="00785D06">
        <w:rPr>
          <w:sz w:val="20"/>
          <w:szCs w:val="20"/>
          <w:lang w:val="en-US"/>
        </w:rPr>
        <w:t xml:space="preserve">described </w:t>
      </w:r>
      <w:r w:rsidRPr="00785D06">
        <w:rPr>
          <w:sz w:val="20"/>
          <w:szCs w:val="20"/>
          <w:lang w:val="en-US"/>
        </w:rPr>
        <w:t xml:space="preserve">a situation of </w:t>
      </w:r>
      <w:r w:rsidR="006074C9" w:rsidRPr="00785D06">
        <w:rPr>
          <w:sz w:val="20"/>
          <w:szCs w:val="20"/>
          <w:lang w:val="en-US"/>
        </w:rPr>
        <w:t xml:space="preserve">sexual </w:t>
      </w:r>
      <w:r w:rsidRPr="00785D06">
        <w:rPr>
          <w:rFonts w:eastAsia="Verdana" w:cs="Verdana"/>
          <w:sz w:val="20"/>
          <w:szCs w:val="20"/>
          <w:lang w:val="en-US"/>
        </w:rPr>
        <w:t xml:space="preserve">violence, harassment and abuse in </w:t>
      </w:r>
      <w:r w:rsidR="006074C9" w:rsidRPr="00785D06">
        <w:rPr>
          <w:rFonts w:eastAsia="Verdana" w:cs="Verdana"/>
          <w:sz w:val="20"/>
          <w:szCs w:val="20"/>
          <w:lang w:val="en-US"/>
        </w:rPr>
        <w:t xml:space="preserve">Ecuador’s </w:t>
      </w:r>
      <w:r w:rsidRPr="00785D06">
        <w:rPr>
          <w:rFonts w:eastAsia="Verdana" w:cs="Verdana"/>
          <w:sz w:val="20"/>
          <w:szCs w:val="20"/>
          <w:lang w:val="en-US"/>
        </w:rPr>
        <w:t xml:space="preserve">educational institutions. </w:t>
      </w:r>
      <w:r w:rsidR="006074C9" w:rsidRPr="00785D06">
        <w:rPr>
          <w:rFonts w:eastAsia="Verdana" w:cs="Verdana"/>
          <w:sz w:val="20"/>
          <w:szCs w:val="20"/>
          <w:lang w:val="en-US"/>
        </w:rPr>
        <w:t>I</w:t>
      </w:r>
      <w:r w:rsidRPr="00785D06">
        <w:rPr>
          <w:rFonts w:eastAsia="Verdana" w:cs="Verdana"/>
          <w:sz w:val="20"/>
          <w:szCs w:val="20"/>
          <w:lang w:val="en-US"/>
        </w:rPr>
        <w:t xml:space="preserve">n 1998, the </w:t>
      </w:r>
      <w:r w:rsidR="0089489F" w:rsidRPr="00785D06">
        <w:rPr>
          <w:rFonts w:eastAsia="Verdana" w:cs="Verdana"/>
          <w:sz w:val="20"/>
          <w:szCs w:val="20"/>
          <w:lang w:val="en-US"/>
        </w:rPr>
        <w:t xml:space="preserve">Committee on the Rights of the Child </w:t>
      </w:r>
      <w:r w:rsidR="006074C9" w:rsidRPr="00785D06">
        <w:rPr>
          <w:rFonts w:eastAsia="Verdana" w:cs="Verdana"/>
          <w:sz w:val="20"/>
          <w:szCs w:val="20"/>
          <w:lang w:val="en-US"/>
        </w:rPr>
        <w:t xml:space="preserve">(CRC) </w:t>
      </w:r>
      <w:r w:rsidR="0089489F" w:rsidRPr="00785D06">
        <w:rPr>
          <w:rFonts w:eastAsia="Verdana" w:cs="Verdana"/>
          <w:sz w:val="20"/>
          <w:szCs w:val="20"/>
          <w:lang w:val="en-US"/>
        </w:rPr>
        <w:t xml:space="preserve">expressed </w:t>
      </w:r>
      <w:r w:rsidRPr="00785D06">
        <w:rPr>
          <w:rFonts w:eastAsia="Verdana" w:cs="Verdana"/>
          <w:sz w:val="20"/>
          <w:szCs w:val="20"/>
          <w:lang w:val="en-US"/>
        </w:rPr>
        <w:t>“concern” at the “practice” of child abuse in Ecuador, including sexual abuse</w:t>
      </w:r>
      <w:r w:rsidR="0089489F" w:rsidRPr="00785D06">
        <w:rPr>
          <w:rFonts w:eastAsia="Verdana" w:cs="Verdana"/>
          <w:sz w:val="20"/>
          <w:szCs w:val="20"/>
          <w:lang w:val="en-US"/>
        </w:rPr>
        <w:t xml:space="preserve"> in schools</w:t>
      </w:r>
      <w:r w:rsidRPr="00785D06">
        <w:rPr>
          <w:rFonts w:eastAsia="Verdana" w:cs="Verdana"/>
          <w:sz w:val="20"/>
          <w:szCs w:val="20"/>
          <w:lang w:val="en-US"/>
        </w:rPr>
        <w:t xml:space="preserve">. It </w:t>
      </w:r>
      <w:r w:rsidR="006074C9" w:rsidRPr="00785D06">
        <w:rPr>
          <w:rFonts w:eastAsia="Verdana" w:cs="Verdana"/>
          <w:sz w:val="20"/>
          <w:szCs w:val="20"/>
          <w:lang w:val="en-US"/>
        </w:rPr>
        <w:t xml:space="preserve">recommended that </w:t>
      </w:r>
      <w:r w:rsidRPr="00785D06">
        <w:rPr>
          <w:rFonts w:eastAsia="Verdana" w:cs="Verdana"/>
          <w:sz w:val="20"/>
          <w:szCs w:val="20"/>
          <w:lang w:val="en-US"/>
        </w:rPr>
        <w:t xml:space="preserve">adequate mechanisms </w:t>
      </w:r>
      <w:r w:rsidR="006074C9" w:rsidRPr="00785D06">
        <w:rPr>
          <w:rFonts w:eastAsia="Verdana" w:cs="Verdana"/>
          <w:sz w:val="20"/>
          <w:szCs w:val="20"/>
          <w:lang w:val="en-US"/>
        </w:rPr>
        <w:t xml:space="preserve">be </w:t>
      </w:r>
      <w:r w:rsidR="00422516" w:rsidRPr="00785D06">
        <w:rPr>
          <w:rFonts w:eastAsia="Verdana" w:cs="Verdana"/>
          <w:sz w:val="20"/>
          <w:szCs w:val="20"/>
          <w:lang w:val="en-US"/>
        </w:rPr>
        <w:t xml:space="preserve">established </w:t>
      </w:r>
      <w:r w:rsidRPr="00785D06">
        <w:rPr>
          <w:rFonts w:eastAsia="Verdana" w:cs="Verdana"/>
          <w:sz w:val="20"/>
          <w:szCs w:val="20"/>
          <w:lang w:val="en-US"/>
        </w:rPr>
        <w:t xml:space="preserve">to </w:t>
      </w:r>
      <w:r w:rsidR="00422516" w:rsidRPr="00785D06">
        <w:rPr>
          <w:rFonts w:eastAsia="Verdana" w:cs="Verdana"/>
          <w:sz w:val="20"/>
          <w:szCs w:val="20"/>
          <w:lang w:val="en-US"/>
        </w:rPr>
        <w:t xml:space="preserve">address </w:t>
      </w:r>
      <w:r w:rsidRPr="00785D06">
        <w:rPr>
          <w:rFonts w:eastAsia="Verdana" w:cs="Verdana"/>
          <w:sz w:val="20"/>
          <w:szCs w:val="20"/>
          <w:lang w:val="en-US"/>
        </w:rPr>
        <w:t>repo</w:t>
      </w:r>
      <w:r w:rsidR="006074C9" w:rsidRPr="00785D06">
        <w:rPr>
          <w:rFonts w:eastAsia="Verdana" w:cs="Verdana"/>
          <w:sz w:val="20"/>
          <w:szCs w:val="20"/>
          <w:lang w:val="en-US"/>
        </w:rPr>
        <w:t>rts of child abuse</w:t>
      </w:r>
      <w:r w:rsidR="0089489F" w:rsidRPr="00785D06">
        <w:rPr>
          <w:rFonts w:eastAsia="Verdana" w:cs="Verdana"/>
          <w:sz w:val="20"/>
          <w:szCs w:val="20"/>
          <w:lang w:val="en-US"/>
        </w:rPr>
        <w:t xml:space="preserve"> and</w:t>
      </w:r>
      <w:r w:rsidRPr="00785D06">
        <w:rPr>
          <w:rFonts w:eastAsia="Verdana" w:cs="Verdana"/>
          <w:sz w:val="20"/>
          <w:szCs w:val="20"/>
          <w:lang w:val="en-US"/>
        </w:rPr>
        <w:t xml:space="preserve"> also expressed concern at “the </w:t>
      </w:r>
      <w:r w:rsidRPr="00785D06">
        <w:rPr>
          <w:sz w:val="20"/>
          <w:szCs w:val="20"/>
          <w:lang w:val="en-US"/>
        </w:rPr>
        <w:t>incidence</w:t>
      </w:r>
      <w:r w:rsidRPr="00785D06">
        <w:rPr>
          <w:rFonts w:eastAsia="Verdana" w:cs="Verdana"/>
          <w:sz w:val="20"/>
          <w:szCs w:val="20"/>
          <w:lang w:val="en-US"/>
        </w:rPr>
        <w:t xml:space="preserve"> of sui</w:t>
      </w:r>
      <w:r w:rsidR="0089489F" w:rsidRPr="00785D06">
        <w:rPr>
          <w:rFonts w:eastAsia="Verdana" w:cs="Verdana"/>
          <w:sz w:val="20"/>
          <w:szCs w:val="20"/>
          <w:lang w:val="en-US"/>
        </w:rPr>
        <w:t xml:space="preserve">cides among young women and </w:t>
      </w:r>
      <w:r w:rsidRPr="00785D06">
        <w:rPr>
          <w:rFonts w:eastAsia="Verdana" w:cs="Verdana"/>
          <w:sz w:val="20"/>
          <w:szCs w:val="20"/>
          <w:lang w:val="en-US"/>
        </w:rPr>
        <w:t xml:space="preserve">insufficient access by adolescents to […] </w:t>
      </w:r>
      <w:r w:rsidR="00422516" w:rsidRPr="00785D06">
        <w:rPr>
          <w:rFonts w:eastAsia="Verdana" w:cs="Verdana"/>
          <w:sz w:val="20"/>
          <w:szCs w:val="20"/>
          <w:lang w:val="en-US"/>
        </w:rPr>
        <w:t xml:space="preserve">education on </w:t>
      </w:r>
      <w:r w:rsidRPr="00785D06">
        <w:rPr>
          <w:rFonts w:eastAsia="Verdana" w:cs="Verdana"/>
          <w:sz w:val="20"/>
          <w:szCs w:val="20"/>
          <w:lang w:val="en-US"/>
        </w:rPr>
        <w:t>reproductive health</w:t>
      </w:r>
      <w:r w:rsidR="00422516" w:rsidRPr="00785D06">
        <w:rPr>
          <w:rFonts w:eastAsia="Verdana" w:cs="Verdana"/>
          <w:sz w:val="20"/>
          <w:szCs w:val="20"/>
          <w:lang w:val="en-US"/>
        </w:rPr>
        <w:t>.</w:t>
      </w:r>
      <w:r w:rsidRPr="00785D06">
        <w:rPr>
          <w:rFonts w:eastAsia="Verdana" w:cs="Verdana"/>
          <w:sz w:val="20"/>
          <w:szCs w:val="20"/>
          <w:lang w:val="en-US"/>
        </w:rPr>
        <w:t>”</w:t>
      </w:r>
      <w:r w:rsidRPr="00785D06">
        <w:rPr>
          <w:rStyle w:val="Refdenotaalpie"/>
          <w:rFonts w:eastAsia="Verdana" w:cs="Verdana"/>
          <w:sz w:val="20"/>
          <w:szCs w:val="20"/>
          <w:lang w:val="en-US"/>
        </w:rPr>
        <w:footnoteReference w:id="31"/>
      </w:r>
    </w:p>
    <w:p w14:paraId="1454ADDA" w14:textId="77777777" w:rsidR="00C254BF" w:rsidRPr="00785D06" w:rsidRDefault="00C254BF" w:rsidP="00C254BF">
      <w:pPr>
        <w:jc w:val="both"/>
        <w:rPr>
          <w:lang w:val="en-US"/>
        </w:rPr>
      </w:pPr>
    </w:p>
    <w:p w14:paraId="0F9E33A1" w14:textId="77777777" w:rsidR="00C254BF" w:rsidRPr="00785D06" w:rsidRDefault="006074C9" w:rsidP="00C254BF">
      <w:pPr>
        <w:pStyle w:val="Prrafodelista"/>
        <w:ind w:left="0"/>
        <w:contextualSpacing w:val="0"/>
        <w:jc w:val="both"/>
        <w:rPr>
          <w:rFonts w:eastAsia="Verdana" w:cs="Verdana"/>
          <w:sz w:val="20"/>
          <w:szCs w:val="20"/>
          <w:lang w:val="en-US"/>
        </w:rPr>
      </w:pPr>
      <w:r w:rsidRPr="00785D06">
        <w:rPr>
          <w:rFonts w:eastAsia="Verdana" w:cs="Verdana"/>
          <w:sz w:val="20"/>
          <w:szCs w:val="20"/>
          <w:lang w:val="en-US"/>
        </w:rPr>
        <w:t>45.</w:t>
      </w:r>
      <w:r w:rsidRPr="00785D06">
        <w:rPr>
          <w:rFonts w:eastAsia="Verdana" w:cs="Verdana"/>
          <w:sz w:val="20"/>
          <w:szCs w:val="20"/>
          <w:lang w:val="en-US"/>
        </w:rPr>
        <w:tab/>
        <w:t>According to the</w:t>
      </w:r>
      <w:r w:rsidR="0089489F" w:rsidRPr="00785D06">
        <w:rPr>
          <w:rFonts w:eastAsia="Verdana" w:cs="Verdana"/>
          <w:sz w:val="20"/>
          <w:szCs w:val="20"/>
          <w:lang w:val="en-US"/>
        </w:rPr>
        <w:t xml:space="preserve"> C</w:t>
      </w:r>
      <w:r w:rsidRPr="00785D06">
        <w:rPr>
          <w:rFonts w:eastAsia="Verdana" w:cs="Verdana"/>
          <w:sz w:val="20"/>
          <w:szCs w:val="20"/>
          <w:lang w:val="en-US"/>
        </w:rPr>
        <w:t xml:space="preserve">RC, and to </w:t>
      </w:r>
      <w:r w:rsidR="0089489F" w:rsidRPr="00785D06">
        <w:rPr>
          <w:rFonts w:eastAsia="Verdana" w:cs="Verdana"/>
          <w:sz w:val="20"/>
          <w:szCs w:val="20"/>
          <w:lang w:val="en-US"/>
        </w:rPr>
        <w:t>other committees</w:t>
      </w:r>
      <w:r w:rsidR="00FC6C4A" w:rsidRPr="00785D06">
        <w:rPr>
          <w:rFonts w:eastAsia="Verdana" w:cs="Verdana"/>
          <w:sz w:val="20"/>
          <w:szCs w:val="20"/>
          <w:lang w:val="en-US"/>
        </w:rPr>
        <w:t xml:space="preserve"> of the United Nations system, such as </w:t>
      </w:r>
      <w:r w:rsidR="00C254BF" w:rsidRPr="00785D06">
        <w:rPr>
          <w:rFonts w:eastAsia="Verdana" w:cs="Verdana"/>
          <w:sz w:val="20"/>
          <w:szCs w:val="20"/>
          <w:lang w:val="en-US"/>
        </w:rPr>
        <w:t xml:space="preserve">the Human Rights Committee, the Committee against Torture, the Committee on Economic, Social and Cultural Rights (hereinafter “ESCR Committee”), and the Committee </w:t>
      </w:r>
      <w:r w:rsidR="0089489F" w:rsidRPr="00785D06">
        <w:rPr>
          <w:rFonts w:eastAsia="Verdana" w:cs="Verdana"/>
          <w:sz w:val="20"/>
          <w:szCs w:val="20"/>
          <w:lang w:val="en-US"/>
        </w:rPr>
        <w:t xml:space="preserve">for </w:t>
      </w:r>
      <w:r w:rsidR="00C254BF" w:rsidRPr="00785D06">
        <w:rPr>
          <w:rFonts w:eastAsia="Verdana" w:cs="Verdana"/>
          <w:sz w:val="20"/>
          <w:szCs w:val="20"/>
          <w:lang w:val="en-US"/>
        </w:rPr>
        <w:t xml:space="preserve">the Elimination of </w:t>
      </w:r>
      <w:r w:rsidR="00C254BF" w:rsidRPr="00785D06">
        <w:rPr>
          <w:sz w:val="20"/>
          <w:szCs w:val="20"/>
          <w:lang w:val="en-US"/>
        </w:rPr>
        <w:t>Discrimination</w:t>
      </w:r>
      <w:r w:rsidR="008A5463" w:rsidRPr="00785D06">
        <w:rPr>
          <w:rFonts w:eastAsia="Verdana" w:cs="Verdana"/>
          <w:sz w:val="20"/>
          <w:szCs w:val="20"/>
          <w:lang w:val="en-US"/>
        </w:rPr>
        <w:t xml:space="preserve"> A</w:t>
      </w:r>
      <w:r w:rsidR="00C254BF" w:rsidRPr="00785D06">
        <w:rPr>
          <w:rFonts w:eastAsia="Verdana" w:cs="Verdana"/>
          <w:sz w:val="20"/>
          <w:szCs w:val="20"/>
          <w:lang w:val="en-US"/>
        </w:rPr>
        <w:t>gainst Women (hereinafter, “</w:t>
      </w:r>
      <w:r w:rsidR="0089489F" w:rsidRPr="00785D06">
        <w:rPr>
          <w:rFonts w:eastAsia="Verdana" w:cs="Verdana"/>
          <w:sz w:val="20"/>
          <w:szCs w:val="20"/>
          <w:lang w:val="en-US"/>
        </w:rPr>
        <w:t xml:space="preserve">CEDAW </w:t>
      </w:r>
      <w:r w:rsidR="00C254BF" w:rsidRPr="00785D06">
        <w:rPr>
          <w:rFonts w:eastAsia="Verdana" w:cs="Verdana"/>
          <w:sz w:val="20"/>
          <w:szCs w:val="20"/>
          <w:lang w:val="en-US"/>
        </w:rPr>
        <w:t>Committee</w:t>
      </w:r>
      <w:r w:rsidR="0089489F" w:rsidRPr="00785D06">
        <w:rPr>
          <w:rFonts w:eastAsia="Verdana" w:cs="Verdana"/>
          <w:sz w:val="20"/>
          <w:szCs w:val="20"/>
          <w:lang w:val="en-US"/>
        </w:rPr>
        <w:t>”</w:t>
      </w:r>
      <w:r w:rsidR="003307B3" w:rsidRPr="00785D06">
        <w:rPr>
          <w:rFonts w:eastAsia="Verdana" w:cs="Verdana"/>
          <w:sz w:val="20"/>
          <w:szCs w:val="20"/>
          <w:lang w:val="en-US"/>
        </w:rPr>
        <w:t xml:space="preserve">), </w:t>
      </w:r>
      <w:r w:rsidR="00FC6C4A" w:rsidRPr="00785D06">
        <w:rPr>
          <w:rFonts w:eastAsia="Verdana" w:cs="Verdana"/>
          <w:sz w:val="20"/>
          <w:szCs w:val="20"/>
          <w:lang w:val="en-US"/>
        </w:rPr>
        <w:t>situations of ill-</w:t>
      </w:r>
      <w:r w:rsidR="00C254BF" w:rsidRPr="00785D06">
        <w:rPr>
          <w:rFonts w:eastAsia="Verdana" w:cs="Verdana"/>
          <w:sz w:val="20"/>
          <w:szCs w:val="20"/>
          <w:lang w:val="en-US"/>
        </w:rPr>
        <w:t xml:space="preserve">treatment and sexual violence, including in </w:t>
      </w:r>
      <w:r w:rsidR="003307B3" w:rsidRPr="00785D06">
        <w:rPr>
          <w:rFonts w:eastAsia="Verdana" w:cs="Verdana"/>
          <w:sz w:val="20"/>
          <w:szCs w:val="20"/>
          <w:lang w:val="en-US"/>
        </w:rPr>
        <w:t>schools</w:t>
      </w:r>
      <w:r w:rsidR="00C254BF" w:rsidRPr="00785D06">
        <w:rPr>
          <w:rFonts w:eastAsia="Verdana" w:cs="Verdana"/>
          <w:sz w:val="20"/>
          <w:szCs w:val="20"/>
          <w:lang w:val="en-US"/>
        </w:rPr>
        <w:t xml:space="preserve">, </w:t>
      </w:r>
      <w:r w:rsidR="008A5463" w:rsidRPr="00785D06">
        <w:rPr>
          <w:rFonts w:eastAsia="Verdana" w:cs="Verdana"/>
          <w:sz w:val="20"/>
          <w:szCs w:val="20"/>
          <w:lang w:val="en-US"/>
        </w:rPr>
        <w:t xml:space="preserve">as well as </w:t>
      </w:r>
      <w:r w:rsidR="00C254BF" w:rsidRPr="00785D06">
        <w:rPr>
          <w:rFonts w:eastAsia="Verdana" w:cs="Verdana"/>
          <w:sz w:val="20"/>
          <w:szCs w:val="20"/>
          <w:lang w:val="en-US"/>
        </w:rPr>
        <w:t xml:space="preserve">a lack of education on reproductive health, </w:t>
      </w:r>
      <w:r w:rsidR="00FC6C4A" w:rsidRPr="00785D06">
        <w:rPr>
          <w:rFonts w:eastAsia="Verdana" w:cs="Verdana"/>
          <w:sz w:val="20"/>
          <w:szCs w:val="20"/>
          <w:lang w:val="en-US"/>
        </w:rPr>
        <w:t xml:space="preserve">have </w:t>
      </w:r>
      <w:r w:rsidR="00C254BF" w:rsidRPr="00785D06">
        <w:rPr>
          <w:rFonts w:eastAsia="Verdana" w:cs="Verdana"/>
          <w:sz w:val="20"/>
          <w:szCs w:val="20"/>
          <w:lang w:val="en-US"/>
        </w:rPr>
        <w:t>continued to occur more recently (2008, 2010, 2015 and 2017).</w:t>
      </w:r>
      <w:r w:rsidR="00C254BF" w:rsidRPr="00785D06">
        <w:rPr>
          <w:rStyle w:val="Refdenotaalpie"/>
          <w:rFonts w:eastAsia="Verdana" w:cs="Verdana"/>
          <w:sz w:val="20"/>
          <w:szCs w:val="20"/>
          <w:lang w:val="en-US"/>
        </w:rPr>
        <w:footnoteReference w:id="32"/>
      </w:r>
      <w:r w:rsidR="00C254BF" w:rsidRPr="00785D06">
        <w:rPr>
          <w:rFonts w:eastAsia="Verdana" w:cs="Verdana"/>
          <w:sz w:val="20"/>
          <w:szCs w:val="20"/>
          <w:lang w:val="en-US"/>
        </w:rPr>
        <w:t xml:space="preserve"> </w:t>
      </w:r>
      <w:r w:rsidR="008A5463" w:rsidRPr="00785D06">
        <w:rPr>
          <w:rFonts w:eastAsia="Verdana" w:cs="Verdana"/>
          <w:sz w:val="20"/>
          <w:szCs w:val="20"/>
          <w:lang w:val="en-US"/>
        </w:rPr>
        <w:t>According to a study conducted by t</w:t>
      </w:r>
      <w:r w:rsidR="00C254BF" w:rsidRPr="00785D06">
        <w:rPr>
          <w:rFonts w:eastAsia="Verdana" w:cs="Verdana"/>
          <w:sz w:val="20"/>
          <w:szCs w:val="20"/>
          <w:lang w:val="en-US"/>
        </w:rPr>
        <w:t>he World Health Organization</w:t>
      </w:r>
      <w:r w:rsidR="008A5463" w:rsidRPr="00785D06">
        <w:rPr>
          <w:rFonts w:eastAsia="Verdana" w:cs="Verdana"/>
          <w:sz w:val="20"/>
          <w:szCs w:val="20"/>
          <w:lang w:val="en-US"/>
        </w:rPr>
        <w:t>,</w:t>
      </w:r>
      <w:r w:rsidR="00C254BF" w:rsidRPr="00785D06">
        <w:rPr>
          <w:rFonts w:eastAsia="Verdana" w:cs="Verdana"/>
          <w:sz w:val="20"/>
          <w:szCs w:val="20"/>
          <w:lang w:val="en-US"/>
        </w:rPr>
        <w:t xml:space="preserve"> </w:t>
      </w:r>
      <w:r w:rsidR="00FC6C4A" w:rsidRPr="00785D06">
        <w:rPr>
          <w:rFonts w:eastAsia="Verdana" w:cs="Verdana"/>
          <w:sz w:val="20"/>
          <w:szCs w:val="20"/>
          <w:lang w:val="en-US"/>
        </w:rPr>
        <w:t>in 1991 - many</w:t>
      </w:r>
      <w:r w:rsidR="00C254BF" w:rsidRPr="00785D06">
        <w:rPr>
          <w:rFonts w:eastAsia="Verdana" w:cs="Verdana"/>
          <w:sz w:val="20"/>
          <w:szCs w:val="20"/>
          <w:lang w:val="en-US"/>
        </w:rPr>
        <w:t xml:space="preserve"> years prior to the facts</w:t>
      </w:r>
      <w:r w:rsidR="00FC6C4A" w:rsidRPr="00785D06">
        <w:rPr>
          <w:rFonts w:eastAsia="Verdana" w:cs="Verdana"/>
          <w:sz w:val="20"/>
          <w:szCs w:val="20"/>
          <w:lang w:val="en-US"/>
        </w:rPr>
        <w:t xml:space="preserve"> of this case- </w:t>
      </w:r>
      <w:r w:rsidR="00C254BF" w:rsidRPr="00785D06">
        <w:rPr>
          <w:rFonts w:eastAsia="Verdana" w:cs="Verdana"/>
          <w:sz w:val="20"/>
          <w:szCs w:val="20"/>
          <w:lang w:val="en-US"/>
        </w:rPr>
        <w:t xml:space="preserve">three out of every ten children surveyed </w:t>
      </w:r>
      <w:r w:rsidR="008A5463" w:rsidRPr="00785D06">
        <w:rPr>
          <w:rFonts w:eastAsia="Verdana" w:cs="Verdana"/>
          <w:sz w:val="20"/>
          <w:szCs w:val="20"/>
          <w:lang w:val="en-US"/>
        </w:rPr>
        <w:t xml:space="preserve">said they </w:t>
      </w:r>
      <w:r w:rsidR="00C254BF" w:rsidRPr="00785D06">
        <w:rPr>
          <w:rFonts w:eastAsia="Verdana" w:cs="Verdana"/>
          <w:sz w:val="20"/>
          <w:szCs w:val="20"/>
          <w:lang w:val="en-US"/>
        </w:rPr>
        <w:t xml:space="preserve">had suffered sexual abuse </w:t>
      </w:r>
      <w:r w:rsidR="008A5463" w:rsidRPr="00785D06">
        <w:rPr>
          <w:rFonts w:eastAsia="Verdana" w:cs="Verdana"/>
          <w:sz w:val="20"/>
          <w:szCs w:val="20"/>
          <w:lang w:val="en-US"/>
        </w:rPr>
        <w:t xml:space="preserve">when they were aged </w:t>
      </w:r>
      <w:r w:rsidR="00C254BF" w:rsidRPr="00785D06">
        <w:rPr>
          <w:rFonts w:eastAsia="Verdana" w:cs="Verdana"/>
          <w:sz w:val="20"/>
          <w:szCs w:val="20"/>
          <w:lang w:val="en-US"/>
        </w:rPr>
        <w:t>between 11 and 16 years; and</w:t>
      </w:r>
      <w:r w:rsidR="00FC6C4A" w:rsidRPr="00785D06">
        <w:rPr>
          <w:rFonts w:eastAsia="Verdana" w:cs="Verdana"/>
          <w:sz w:val="20"/>
          <w:szCs w:val="20"/>
          <w:lang w:val="en-US"/>
        </w:rPr>
        <w:t>,</w:t>
      </w:r>
      <w:r w:rsidR="00C254BF" w:rsidRPr="00785D06">
        <w:rPr>
          <w:rFonts w:eastAsia="Verdana" w:cs="Verdana"/>
          <w:sz w:val="20"/>
          <w:szCs w:val="20"/>
          <w:lang w:val="en-US"/>
        </w:rPr>
        <w:t xml:space="preserve"> in 2008, 23.3% of the children </w:t>
      </w:r>
      <w:r w:rsidR="00FC6C4A" w:rsidRPr="00785D06">
        <w:rPr>
          <w:rFonts w:eastAsia="Verdana" w:cs="Verdana"/>
          <w:sz w:val="20"/>
          <w:szCs w:val="20"/>
          <w:lang w:val="en-US"/>
        </w:rPr>
        <w:t xml:space="preserve">surveyed </w:t>
      </w:r>
      <w:r w:rsidR="00C254BF" w:rsidRPr="00785D06">
        <w:rPr>
          <w:rFonts w:eastAsia="Verdana" w:cs="Verdana"/>
          <w:sz w:val="20"/>
          <w:szCs w:val="20"/>
          <w:lang w:val="en-US"/>
        </w:rPr>
        <w:t xml:space="preserve">in Guayaquil reported </w:t>
      </w:r>
      <w:r w:rsidR="00FC6C4A" w:rsidRPr="00785D06">
        <w:rPr>
          <w:rFonts w:eastAsia="Verdana" w:cs="Verdana"/>
          <w:sz w:val="20"/>
          <w:szCs w:val="20"/>
          <w:lang w:val="en-US"/>
        </w:rPr>
        <w:t>having been victims of some form</w:t>
      </w:r>
      <w:r w:rsidR="00C254BF" w:rsidRPr="00785D06">
        <w:rPr>
          <w:rFonts w:eastAsia="Verdana" w:cs="Verdana"/>
          <w:sz w:val="20"/>
          <w:szCs w:val="20"/>
          <w:lang w:val="en-US"/>
        </w:rPr>
        <w:t xml:space="preserve"> of sexual abuse</w:t>
      </w:r>
      <w:r w:rsidR="00FC6C4A" w:rsidRPr="00785D06">
        <w:rPr>
          <w:rFonts w:eastAsia="Verdana" w:cs="Verdana"/>
          <w:sz w:val="20"/>
          <w:szCs w:val="20"/>
          <w:lang w:val="en-US"/>
        </w:rPr>
        <w:t>.</w:t>
      </w:r>
      <w:r w:rsidR="00C254BF" w:rsidRPr="00785D06">
        <w:rPr>
          <w:rFonts w:eastAsia="Verdana" w:cs="Verdana"/>
          <w:sz w:val="20"/>
          <w:szCs w:val="20"/>
          <w:lang w:val="en-US"/>
        </w:rPr>
        <w:t xml:space="preserve"> </w:t>
      </w:r>
      <w:r w:rsidR="00FC6C4A" w:rsidRPr="00785D06">
        <w:rPr>
          <w:rFonts w:eastAsia="Verdana" w:cs="Verdana"/>
          <w:sz w:val="20"/>
          <w:szCs w:val="20"/>
          <w:lang w:val="en-US"/>
        </w:rPr>
        <w:t xml:space="preserve">The report considered </w:t>
      </w:r>
      <w:r w:rsidR="00C254BF" w:rsidRPr="00785D06">
        <w:rPr>
          <w:rFonts w:eastAsia="Verdana" w:cs="Verdana"/>
          <w:sz w:val="20"/>
          <w:szCs w:val="20"/>
          <w:lang w:val="en-US"/>
        </w:rPr>
        <w:t xml:space="preserve">that these figures would </w:t>
      </w:r>
      <w:r w:rsidR="00FC6C4A" w:rsidRPr="00785D06">
        <w:rPr>
          <w:rFonts w:eastAsia="Verdana" w:cs="Verdana"/>
          <w:sz w:val="20"/>
          <w:szCs w:val="20"/>
          <w:lang w:val="en-US"/>
        </w:rPr>
        <w:t xml:space="preserve">likely </w:t>
      </w:r>
      <w:r w:rsidR="00C254BF" w:rsidRPr="00785D06">
        <w:rPr>
          <w:rFonts w:eastAsia="Verdana" w:cs="Verdana"/>
          <w:sz w:val="20"/>
          <w:szCs w:val="20"/>
          <w:lang w:val="en-US"/>
        </w:rPr>
        <w:t>increas</w:t>
      </w:r>
      <w:r w:rsidR="00FC6C4A" w:rsidRPr="00785D06">
        <w:rPr>
          <w:rFonts w:eastAsia="Verdana" w:cs="Verdana"/>
          <w:sz w:val="20"/>
          <w:szCs w:val="20"/>
          <w:lang w:val="en-US"/>
        </w:rPr>
        <w:t>e i</w:t>
      </w:r>
      <w:r w:rsidR="00C254BF" w:rsidRPr="00785D06">
        <w:rPr>
          <w:rFonts w:eastAsia="Verdana" w:cs="Verdana"/>
          <w:sz w:val="20"/>
          <w:szCs w:val="20"/>
          <w:lang w:val="en-US"/>
        </w:rPr>
        <w:t xml:space="preserve">f no action were taken </w:t>
      </w:r>
      <w:r w:rsidR="008A5463" w:rsidRPr="00785D06">
        <w:rPr>
          <w:rFonts w:eastAsia="Verdana" w:cs="Verdana"/>
          <w:sz w:val="20"/>
          <w:szCs w:val="20"/>
          <w:lang w:val="en-US"/>
        </w:rPr>
        <w:t>to address t</w:t>
      </w:r>
      <w:r w:rsidR="006F33CB" w:rsidRPr="00785D06">
        <w:rPr>
          <w:rFonts w:eastAsia="Verdana" w:cs="Verdana"/>
          <w:sz w:val="20"/>
          <w:szCs w:val="20"/>
          <w:lang w:val="en-US"/>
        </w:rPr>
        <w:t>his issue</w:t>
      </w:r>
      <w:r w:rsidR="00C254BF" w:rsidRPr="00785D06">
        <w:rPr>
          <w:rFonts w:eastAsia="Verdana" w:cs="Verdana"/>
          <w:sz w:val="20"/>
          <w:szCs w:val="20"/>
          <w:lang w:val="en-US"/>
        </w:rPr>
        <w:t>.</w:t>
      </w:r>
      <w:r w:rsidR="00C254BF" w:rsidRPr="00785D06">
        <w:rPr>
          <w:rStyle w:val="Refdenotaalpie"/>
          <w:rFonts w:eastAsia="Verdana" w:cs="Verdana"/>
          <w:sz w:val="20"/>
          <w:szCs w:val="20"/>
          <w:lang w:val="en-US"/>
        </w:rPr>
        <w:footnoteReference w:id="33"/>
      </w:r>
    </w:p>
    <w:p w14:paraId="432F5A24" w14:textId="77777777" w:rsidR="00C254BF" w:rsidRPr="00785D06" w:rsidRDefault="00C254BF" w:rsidP="00C254BF">
      <w:pPr>
        <w:pStyle w:val="Prrafodelista"/>
        <w:ind w:left="0"/>
        <w:contextualSpacing w:val="0"/>
        <w:jc w:val="both"/>
        <w:rPr>
          <w:sz w:val="20"/>
          <w:szCs w:val="20"/>
          <w:lang w:val="en-US"/>
        </w:rPr>
      </w:pPr>
    </w:p>
    <w:p w14:paraId="0AA1E8D4" w14:textId="77777777" w:rsidR="00C254BF" w:rsidRPr="00785D06" w:rsidRDefault="00C254BF" w:rsidP="00C254BF">
      <w:pPr>
        <w:jc w:val="both"/>
        <w:rPr>
          <w:rFonts w:eastAsia="Verdana" w:cs="Verdana"/>
          <w:sz w:val="20"/>
          <w:szCs w:val="20"/>
          <w:lang w:val="en-US"/>
        </w:rPr>
      </w:pPr>
      <w:r w:rsidRPr="00785D06">
        <w:rPr>
          <w:sz w:val="20"/>
          <w:szCs w:val="20"/>
          <w:lang w:val="en-US"/>
        </w:rPr>
        <w:t>46.</w:t>
      </w:r>
      <w:r w:rsidRPr="00785D06">
        <w:rPr>
          <w:sz w:val="20"/>
          <w:szCs w:val="20"/>
          <w:lang w:val="en-US"/>
        </w:rPr>
        <w:tab/>
      </w:r>
      <w:r w:rsidR="00310BFB" w:rsidRPr="00785D06">
        <w:rPr>
          <w:sz w:val="20"/>
          <w:szCs w:val="20"/>
          <w:lang w:val="en-US"/>
        </w:rPr>
        <w:t>In addition, a</w:t>
      </w:r>
      <w:r w:rsidR="00FC6C4A" w:rsidRPr="00785D06">
        <w:rPr>
          <w:sz w:val="20"/>
          <w:szCs w:val="20"/>
          <w:lang w:val="en-US"/>
        </w:rPr>
        <w:t xml:space="preserve">ccording to </w:t>
      </w:r>
      <w:r w:rsidRPr="00785D06">
        <w:rPr>
          <w:sz w:val="20"/>
          <w:szCs w:val="20"/>
          <w:lang w:val="en-US"/>
        </w:rPr>
        <w:t xml:space="preserve">information </w:t>
      </w:r>
      <w:r w:rsidR="00310BFB" w:rsidRPr="00785D06">
        <w:rPr>
          <w:sz w:val="20"/>
          <w:szCs w:val="20"/>
          <w:lang w:val="en-US"/>
        </w:rPr>
        <w:t xml:space="preserve">produced by the State </w:t>
      </w:r>
      <w:r w:rsidRPr="00785D06">
        <w:rPr>
          <w:sz w:val="20"/>
          <w:szCs w:val="20"/>
          <w:lang w:val="en-US"/>
        </w:rPr>
        <w:t xml:space="preserve">in 2001, sexual </w:t>
      </w:r>
      <w:r w:rsidRPr="00785D06">
        <w:rPr>
          <w:rFonts w:eastAsia="Verdana" w:cs="Verdana"/>
          <w:sz w:val="20"/>
          <w:szCs w:val="20"/>
          <w:lang w:val="en-US"/>
        </w:rPr>
        <w:t xml:space="preserve">abuse and </w:t>
      </w:r>
      <w:r w:rsidR="00310BFB" w:rsidRPr="00785D06">
        <w:rPr>
          <w:rFonts w:eastAsia="Verdana" w:cs="Verdana"/>
          <w:sz w:val="20"/>
          <w:szCs w:val="20"/>
          <w:lang w:val="en-US"/>
        </w:rPr>
        <w:t xml:space="preserve">sexual </w:t>
      </w:r>
      <w:r w:rsidRPr="00785D06">
        <w:rPr>
          <w:rFonts w:eastAsia="Verdana" w:cs="Verdana"/>
          <w:sz w:val="20"/>
          <w:szCs w:val="20"/>
          <w:lang w:val="en-US"/>
        </w:rPr>
        <w:t>harassment were “</w:t>
      </w:r>
      <w:r w:rsidR="00FC6C4A" w:rsidRPr="00785D06">
        <w:rPr>
          <w:rFonts w:eastAsia="Verdana" w:cs="Verdana"/>
          <w:sz w:val="20"/>
          <w:szCs w:val="20"/>
          <w:lang w:val="en-US"/>
        </w:rPr>
        <w:t xml:space="preserve">known </w:t>
      </w:r>
      <w:r w:rsidRPr="00785D06">
        <w:rPr>
          <w:rFonts w:eastAsia="Verdana" w:cs="Verdana"/>
          <w:sz w:val="20"/>
          <w:szCs w:val="20"/>
          <w:lang w:val="en-US"/>
        </w:rPr>
        <w:t xml:space="preserve">problems in educational </w:t>
      </w:r>
      <w:r w:rsidR="00FC6C4A" w:rsidRPr="00785D06">
        <w:rPr>
          <w:rFonts w:eastAsia="Verdana" w:cs="Verdana"/>
          <w:sz w:val="20"/>
          <w:szCs w:val="20"/>
          <w:lang w:val="en-US"/>
        </w:rPr>
        <w:t xml:space="preserve">establishments, which </w:t>
      </w:r>
      <w:r w:rsidRPr="00785D06">
        <w:rPr>
          <w:rFonts w:eastAsia="Verdana" w:cs="Verdana"/>
          <w:sz w:val="20"/>
          <w:szCs w:val="20"/>
          <w:lang w:val="en-US"/>
        </w:rPr>
        <w:t>[had] not been systematically</w:t>
      </w:r>
      <w:r w:rsidR="00FC6C4A" w:rsidRPr="00785D06">
        <w:rPr>
          <w:rFonts w:eastAsia="Verdana" w:cs="Verdana"/>
          <w:sz w:val="20"/>
          <w:szCs w:val="20"/>
          <w:lang w:val="en-US"/>
        </w:rPr>
        <w:t xml:space="preserve"> addressed</w:t>
      </w:r>
      <w:r w:rsidRPr="00785D06">
        <w:rPr>
          <w:rFonts w:eastAsia="Verdana" w:cs="Verdana"/>
          <w:sz w:val="20"/>
          <w:szCs w:val="20"/>
          <w:lang w:val="en-US"/>
        </w:rPr>
        <w:t xml:space="preserve">, nor [had] there been sustained </w:t>
      </w:r>
      <w:r w:rsidR="00310BFB" w:rsidRPr="00785D06">
        <w:rPr>
          <w:rFonts w:eastAsia="Verdana" w:cs="Verdana"/>
          <w:sz w:val="20"/>
          <w:szCs w:val="20"/>
          <w:lang w:val="en-US"/>
        </w:rPr>
        <w:t xml:space="preserve">efforts </w:t>
      </w:r>
      <w:r w:rsidRPr="00785D06">
        <w:rPr>
          <w:rFonts w:eastAsia="Verdana" w:cs="Verdana"/>
          <w:sz w:val="20"/>
          <w:szCs w:val="20"/>
          <w:lang w:val="en-US"/>
        </w:rPr>
        <w:t>to prevent, report and punish</w:t>
      </w:r>
      <w:r w:rsidR="00FC6C4A" w:rsidRPr="00785D06">
        <w:rPr>
          <w:rFonts w:eastAsia="Verdana" w:cs="Verdana"/>
          <w:sz w:val="20"/>
          <w:szCs w:val="20"/>
          <w:lang w:val="en-US"/>
        </w:rPr>
        <w:t xml:space="preserve">” such </w:t>
      </w:r>
      <w:r w:rsidR="008520AA" w:rsidRPr="00785D06">
        <w:rPr>
          <w:rFonts w:eastAsia="Verdana" w:cs="Verdana"/>
          <w:sz w:val="20"/>
          <w:szCs w:val="20"/>
          <w:lang w:val="en-US"/>
        </w:rPr>
        <w:t>behavior</w:t>
      </w:r>
      <w:r w:rsidR="00FC6C4A" w:rsidRPr="00785D06">
        <w:rPr>
          <w:rFonts w:eastAsia="Verdana" w:cs="Verdana"/>
          <w:sz w:val="20"/>
          <w:szCs w:val="20"/>
          <w:lang w:val="en-US"/>
        </w:rPr>
        <w:t>.</w:t>
      </w:r>
      <w:r w:rsidRPr="00785D06">
        <w:rPr>
          <w:rFonts w:eastAsia="Verdana" w:cs="Verdana"/>
          <w:sz w:val="20"/>
          <w:szCs w:val="20"/>
          <w:lang w:val="en-US"/>
        </w:rPr>
        <w:t xml:space="preserve"> </w:t>
      </w:r>
      <w:r w:rsidR="008520AA" w:rsidRPr="00785D06">
        <w:rPr>
          <w:rFonts w:eastAsia="Verdana" w:cs="Verdana"/>
          <w:sz w:val="20"/>
          <w:szCs w:val="20"/>
          <w:lang w:val="en-US"/>
        </w:rPr>
        <w:t>At that time, the National Council for</w:t>
      </w:r>
      <w:r w:rsidRPr="00785D06">
        <w:rPr>
          <w:rFonts w:eastAsia="Verdana" w:cs="Verdana"/>
          <w:sz w:val="20"/>
          <w:szCs w:val="20"/>
          <w:lang w:val="en-US"/>
        </w:rPr>
        <w:t xml:space="preserve"> Women (CONAMU) concluded that “</w:t>
      </w:r>
      <w:r w:rsidR="008520AA" w:rsidRPr="00785D06">
        <w:rPr>
          <w:rFonts w:eastAsia="Verdana" w:cs="Verdana"/>
          <w:sz w:val="20"/>
          <w:szCs w:val="20"/>
          <w:lang w:val="en-US"/>
        </w:rPr>
        <w:t xml:space="preserve">sexual </w:t>
      </w:r>
      <w:r w:rsidRPr="00785D06">
        <w:rPr>
          <w:rFonts w:eastAsia="Verdana" w:cs="Verdana"/>
          <w:sz w:val="20"/>
          <w:szCs w:val="20"/>
          <w:lang w:val="en-US"/>
        </w:rPr>
        <w:t xml:space="preserve">harassment and sexual abuse are a reality in </w:t>
      </w:r>
      <w:r w:rsidR="008520AA" w:rsidRPr="00785D06">
        <w:rPr>
          <w:rFonts w:eastAsia="Verdana" w:cs="Verdana"/>
          <w:sz w:val="20"/>
          <w:szCs w:val="20"/>
          <w:lang w:val="en-US"/>
        </w:rPr>
        <w:t xml:space="preserve">the </w:t>
      </w:r>
      <w:r w:rsidRPr="00785D06">
        <w:rPr>
          <w:rFonts w:eastAsia="Verdana" w:cs="Verdana"/>
          <w:sz w:val="20"/>
          <w:szCs w:val="20"/>
          <w:lang w:val="en-US"/>
        </w:rPr>
        <w:t xml:space="preserve">educational </w:t>
      </w:r>
      <w:r w:rsidR="008520AA" w:rsidRPr="00785D06">
        <w:rPr>
          <w:rFonts w:eastAsia="Verdana" w:cs="Verdana"/>
          <w:sz w:val="20"/>
          <w:szCs w:val="20"/>
          <w:lang w:val="en-US"/>
        </w:rPr>
        <w:t>setting</w:t>
      </w:r>
      <w:r w:rsidRPr="00785D06">
        <w:rPr>
          <w:rFonts w:eastAsia="Verdana" w:cs="Verdana"/>
          <w:sz w:val="20"/>
          <w:szCs w:val="20"/>
          <w:lang w:val="en-US"/>
        </w:rPr>
        <w:t xml:space="preserve">” and </w:t>
      </w:r>
      <w:r w:rsidR="00310BFB" w:rsidRPr="00785D06">
        <w:rPr>
          <w:rFonts w:eastAsia="Verdana" w:cs="Verdana"/>
          <w:sz w:val="20"/>
          <w:szCs w:val="20"/>
          <w:lang w:val="en-US"/>
        </w:rPr>
        <w:t xml:space="preserve">noted </w:t>
      </w:r>
      <w:r w:rsidRPr="00785D06">
        <w:rPr>
          <w:rFonts w:eastAsia="Verdana" w:cs="Verdana"/>
          <w:sz w:val="20"/>
          <w:szCs w:val="20"/>
          <w:lang w:val="en-US"/>
        </w:rPr>
        <w:t>that teachers are “typical aggressors</w:t>
      </w:r>
      <w:r w:rsidR="00F63D47" w:rsidRPr="00785D06">
        <w:rPr>
          <w:rFonts w:eastAsia="Verdana" w:cs="Verdana"/>
          <w:sz w:val="20"/>
          <w:szCs w:val="20"/>
          <w:lang w:val="en-US"/>
        </w:rPr>
        <w:t>.”</w:t>
      </w:r>
      <w:r w:rsidRPr="00785D06">
        <w:rPr>
          <w:rStyle w:val="Refdenotaalpie"/>
          <w:rFonts w:eastAsia="Verdana" w:cs="Verdana"/>
          <w:sz w:val="20"/>
          <w:szCs w:val="20"/>
          <w:lang w:val="en-US"/>
        </w:rPr>
        <w:footnoteReference w:id="34"/>
      </w:r>
      <w:r w:rsidRPr="00785D06">
        <w:rPr>
          <w:rFonts w:eastAsia="Verdana" w:cs="Verdana"/>
          <w:sz w:val="20"/>
          <w:szCs w:val="20"/>
          <w:lang w:val="en-US"/>
        </w:rPr>
        <w:t xml:space="preserve"> </w:t>
      </w:r>
    </w:p>
    <w:p w14:paraId="006DC704" w14:textId="77777777" w:rsidR="00C254BF" w:rsidRPr="00785D06" w:rsidRDefault="00C254BF" w:rsidP="00C254BF">
      <w:pPr>
        <w:jc w:val="both"/>
        <w:rPr>
          <w:lang w:val="en-US"/>
        </w:rPr>
      </w:pPr>
    </w:p>
    <w:p w14:paraId="0E788833" w14:textId="77777777" w:rsidR="00C254BF" w:rsidRPr="00785D06" w:rsidRDefault="00C254BF" w:rsidP="00C254BF">
      <w:pPr>
        <w:jc w:val="both"/>
        <w:rPr>
          <w:sz w:val="20"/>
          <w:szCs w:val="20"/>
          <w:lang w:val="en-US"/>
        </w:rPr>
      </w:pPr>
      <w:r w:rsidRPr="00785D06">
        <w:rPr>
          <w:sz w:val="20"/>
          <w:szCs w:val="20"/>
          <w:lang w:val="en-US"/>
        </w:rPr>
        <w:t>47.</w:t>
      </w:r>
      <w:r w:rsidRPr="00785D06">
        <w:rPr>
          <w:sz w:val="20"/>
          <w:szCs w:val="20"/>
          <w:lang w:val="en-US"/>
        </w:rPr>
        <w:tab/>
      </w:r>
      <w:r w:rsidR="00F63D47" w:rsidRPr="00785D06">
        <w:rPr>
          <w:sz w:val="20"/>
          <w:szCs w:val="20"/>
          <w:lang w:val="en-US"/>
        </w:rPr>
        <w:t xml:space="preserve">Thus, </w:t>
      </w:r>
      <w:r w:rsidRPr="00785D06">
        <w:rPr>
          <w:sz w:val="20"/>
          <w:szCs w:val="20"/>
          <w:lang w:val="en-US"/>
        </w:rPr>
        <w:t xml:space="preserve">as </w:t>
      </w:r>
      <w:r w:rsidR="00F63D47" w:rsidRPr="00785D06">
        <w:rPr>
          <w:sz w:val="20"/>
          <w:szCs w:val="20"/>
          <w:lang w:val="en-US"/>
        </w:rPr>
        <w:t xml:space="preserve">is apparent from </w:t>
      </w:r>
      <w:r w:rsidRPr="00785D06">
        <w:rPr>
          <w:sz w:val="20"/>
          <w:szCs w:val="20"/>
          <w:lang w:val="en-US"/>
        </w:rPr>
        <w:t xml:space="preserve">the circumstances described </w:t>
      </w:r>
      <w:r w:rsidR="00310BFB" w:rsidRPr="00785D06">
        <w:rPr>
          <w:sz w:val="20"/>
          <w:szCs w:val="20"/>
          <w:lang w:val="en-US"/>
        </w:rPr>
        <w:t>below</w:t>
      </w:r>
      <w:r w:rsidRPr="00785D06">
        <w:rPr>
          <w:sz w:val="20"/>
          <w:szCs w:val="20"/>
          <w:lang w:val="en-US"/>
        </w:rPr>
        <w:t>, the facts of th</w:t>
      </w:r>
      <w:r w:rsidR="00F63D47" w:rsidRPr="00785D06">
        <w:rPr>
          <w:sz w:val="20"/>
          <w:szCs w:val="20"/>
          <w:lang w:val="en-US"/>
        </w:rPr>
        <w:t xml:space="preserve">is </w:t>
      </w:r>
      <w:r w:rsidRPr="00785D06">
        <w:rPr>
          <w:sz w:val="20"/>
          <w:szCs w:val="20"/>
          <w:lang w:val="en-US"/>
        </w:rPr>
        <w:t xml:space="preserve">case </w:t>
      </w:r>
      <w:r w:rsidR="00F63D47" w:rsidRPr="00785D06">
        <w:rPr>
          <w:sz w:val="20"/>
          <w:szCs w:val="20"/>
          <w:lang w:val="en-US"/>
        </w:rPr>
        <w:t xml:space="preserve">occurred </w:t>
      </w:r>
      <w:r w:rsidRPr="00785D06">
        <w:rPr>
          <w:sz w:val="20"/>
          <w:szCs w:val="20"/>
          <w:lang w:val="en-US"/>
        </w:rPr>
        <w:t xml:space="preserve">in a public </w:t>
      </w:r>
      <w:r w:rsidR="00F63D47" w:rsidRPr="00785D06">
        <w:rPr>
          <w:sz w:val="20"/>
          <w:szCs w:val="20"/>
          <w:lang w:val="en-US"/>
        </w:rPr>
        <w:t xml:space="preserve">school </w:t>
      </w:r>
      <w:r w:rsidR="00BB0BB9" w:rsidRPr="00785D06">
        <w:rPr>
          <w:sz w:val="20"/>
          <w:szCs w:val="20"/>
          <w:lang w:val="en-US"/>
        </w:rPr>
        <w:t xml:space="preserve">where there were no </w:t>
      </w:r>
      <w:r w:rsidRPr="00785D06">
        <w:rPr>
          <w:sz w:val="20"/>
          <w:szCs w:val="20"/>
          <w:lang w:val="en-US"/>
        </w:rPr>
        <w:t xml:space="preserve">measures </w:t>
      </w:r>
      <w:r w:rsidR="00BB0BB9" w:rsidRPr="00785D06">
        <w:rPr>
          <w:sz w:val="20"/>
          <w:szCs w:val="20"/>
          <w:lang w:val="en-US"/>
        </w:rPr>
        <w:t xml:space="preserve">in place </w:t>
      </w:r>
      <w:r w:rsidRPr="00785D06">
        <w:rPr>
          <w:sz w:val="20"/>
          <w:szCs w:val="20"/>
          <w:lang w:val="en-US"/>
        </w:rPr>
        <w:t xml:space="preserve">to prevent sexual violence, </w:t>
      </w:r>
      <w:r w:rsidR="00BB0BB9" w:rsidRPr="00785D06">
        <w:rPr>
          <w:sz w:val="20"/>
          <w:szCs w:val="20"/>
          <w:lang w:val="en-US"/>
        </w:rPr>
        <w:t xml:space="preserve">and where </w:t>
      </w:r>
      <w:r w:rsidRPr="00785D06">
        <w:rPr>
          <w:sz w:val="20"/>
          <w:szCs w:val="20"/>
          <w:lang w:val="en-US"/>
        </w:rPr>
        <w:t>such behavior w</w:t>
      </w:r>
      <w:r w:rsidR="00BB0BB9" w:rsidRPr="00785D06">
        <w:rPr>
          <w:sz w:val="20"/>
          <w:szCs w:val="20"/>
          <w:lang w:val="en-US"/>
        </w:rPr>
        <w:t>as normalized. I</w:t>
      </w:r>
      <w:r w:rsidRPr="00785D06">
        <w:rPr>
          <w:sz w:val="20"/>
          <w:szCs w:val="20"/>
          <w:lang w:val="en-US"/>
        </w:rPr>
        <w:t xml:space="preserve">n the case of Paola Guzmán, </w:t>
      </w:r>
      <w:r w:rsidR="00BB0BB9" w:rsidRPr="00785D06">
        <w:rPr>
          <w:sz w:val="20"/>
          <w:szCs w:val="20"/>
          <w:lang w:val="en-US"/>
        </w:rPr>
        <w:t xml:space="preserve">the abuse </w:t>
      </w:r>
      <w:r w:rsidRPr="00785D06">
        <w:rPr>
          <w:sz w:val="20"/>
          <w:szCs w:val="20"/>
          <w:lang w:val="en-US"/>
        </w:rPr>
        <w:t xml:space="preserve">occurred in a sustained manner </w:t>
      </w:r>
      <w:r w:rsidR="00310BFB" w:rsidRPr="00785D06">
        <w:rPr>
          <w:sz w:val="20"/>
          <w:szCs w:val="20"/>
          <w:lang w:val="en-US"/>
        </w:rPr>
        <w:t xml:space="preserve">and </w:t>
      </w:r>
      <w:r w:rsidRPr="00785D06">
        <w:rPr>
          <w:sz w:val="20"/>
          <w:szCs w:val="20"/>
          <w:lang w:val="en-US"/>
        </w:rPr>
        <w:t xml:space="preserve">over a </w:t>
      </w:r>
      <w:r w:rsidR="00BB0BB9" w:rsidRPr="00785D06">
        <w:rPr>
          <w:sz w:val="20"/>
          <w:szCs w:val="20"/>
          <w:lang w:val="en-US"/>
        </w:rPr>
        <w:t>long</w:t>
      </w:r>
      <w:r w:rsidRPr="00785D06">
        <w:rPr>
          <w:sz w:val="20"/>
          <w:szCs w:val="20"/>
          <w:lang w:val="en-US"/>
        </w:rPr>
        <w:t xml:space="preserve"> period of time. </w:t>
      </w:r>
    </w:p>
    <w:p w14:paraId="410DB24B" w14:textId="77777777" w:rsidR="00C254BF" w:rsidRPr="00785D06" w:rsidRDefault="00C254BF" w:rsidP="00C254BF">
      <w:pPr>
        <w:jc w:val="both"/>
        <w:rPr>
          <w:sz w:val="20"/>
          <w:szCs w:val="20"/>
          <w:lang w:val="en-US"/>
        </w:rPr>
      </w:pPr>
    </w:p>
    <w:p w14:paraId="457DBB34" w14:textId="77777777" w:rsidR="00C254BF" w:rsidRPr="00785D06" w:rsidRDefault="00C254BF" w:rsidP="00C254BF">
      <w:pPr>
        <w:pStyle w:val="Prrafodelista"/>
        <w:numPr>
          <w:ilvl w:val="0"/>
          <w:numId w:val="16"/>
        </w:numPr>
        <w:ind w:left="284" w:firstLine="0"/>
        <w:outlineLvl w:val="1"/>
        <w:rPr>
          <w:rFonts w:cs="Arial"/>
          <w:b/>
          <w:i/>
          <w:sz w:val="20"/>
          <w:szCs w:val="20"/>
          <w:lang w:val="en-US"/>
        </w:rPr>
      </w:pPr>
      <w:bookmarkStart w:id="79" w:name="_Toc42498040"/>
      <w:bookmarkStart w:id="80" w:name="_Toc46937288"/>
      <w:r w:rsidRPr="00785D06">
        <w:rPr>
          <w:rFonts w:cs="Arial"/>
          <w:b/>
          <w:i/>
          <w:sz w:val="20"/>
          <w:szCs w:val="20"/>
          <w:lang w:val="en-US"/>
        </w:rPr>
        <w:t>The sexual violence suffered by Paola Guzmán Albarracín and her subsequent suicide</w:t>
      </w:r>
      <w:bookmarkEnd w:id="78"/>
      <w:bookmarkEnd w:id="79"/>
      <w:bookmarkEnd w:id="80"/>
      <w:r w:rsidRPr="00785D06">
        <w:rPr>
          <w:rFonts w:cs="Arial"/>
          <w:b/>
          <w:i/>
          <w:sz w:val="20"/>
          <w:szCs w:val="20"/>
          <w:lang w:val="en-US"/>
        </w:rPr>
        <w:t xml:space="preserve"> </w:t>
      </w:r>
    </w:p>
    <w:p w14:paraId="038394DC" w14:textId="77777777" w:rsidR="00C254BF" w:rsidRPr="00785D06" w:rsidRDefault="00C254BF" w:rsidP="00C254BF">
      <w:pPr>
        <w:pStyle w:val="Prrafodelista"/>
        <w:ind w:left="927"/>
        <w:rPr>
          <w:lang w:val="en-US"/>
        </w:rPr>
      </w:pPr>
    </w:p>
    <w:p w14:paraId="69F25CAA" w14:textId="77777777" w:rsidR="00C254BF" w:rsidRPr="00785D06" w:rsidRDefault="00C254BF" w:rsidP="00C254BF">
      <w:pPr>
        <w:pStyle w:val="Prrafodelista"/>
        <w:ind w:left="0"/>
        <w:contextualSpacing w:val="0"/>
        <w:jc w:val="both"/>
        <w:rPr>
          <w:rFonts w:cs="Arial"/>
          <w:sz w:val="20"/>
          <w:szCs w:val="20"/>
          <w:lang w:val="en-US"/>
        </w:rPr>
      </w:pPr>
      <w:r w:rsidRPr="00785D06">
        <w:rPr>
          <w:rFonts w:cs="Arial"/>
          <w:sz w:val="20"/>
          <w:szCs w:val="20"/>
          <w:lang w:val="en-US"/>
        </w:rPr>
        <w:t>48.</w:t>
      </w:r>
      <w:r w:rsidRPr="00785D06">
        <w:rPr>
          <w:rFonts w:cs="Arial"/>
          <w:sz w:val="20"/>
          <w:szCs w:val="20"/>
          <w:lang w:val="en-US"/>
        </w:rPr>
        <w:tab/>
        <w:t>Paola del Rosario Guzmán Albarracín was born on December 10, 1986</w:t>
      </w:r>
      <w:r w:rsidR="00BB0BB9" w:rsidRPr="00785D06">
        <w:rPr>
          <w:rFonts w:cs="Arial"/>
          <w:sz w:val="20"/>
          <w:szCs w:val="20"/>
          <w:lang w:val="en-US"/>
        </w:rPr>
        <w:t>,</w:t>
      </w:r>
      <w:r w:rsidRPr="00785D06">
        <w:rPr>
          <w:rFonts w:cs="Arial"/>
          <w:sz w:val="20"/>
          <w:szCs w:val="20"/>
          <w:lang w:val="en-US"/>
        </w:rPr>
        <w:t xml:space="preserve"> in </w:t>
      </w:r>
      <w:r w:rsidR="00BB0BB9" w:rsidRPr="00785D06">
        <w:rPr>
          <w:rFonts w:cs="Arial"/>
          <w:sz w:val="20"/>
          <w:szCs w:val="20"/>
          <w:lang w:val="en-US"/>
        </w:rPr>
        <w:t xml:space="preserve">the city of </w:t>
      </w:r>
      <w:r w:rsidRPr="00785D06">
        <w:rPr>
          <w:rFonts w:cs="Arial"/>
          <w:sz w:val="20"/>
          <w:szCs w:val="20"/>
          <w:lang w:val="en-US"/>
        </w:rPr>
        <w:t xml:space="preserve">Guayaquil. </w:t>
      </w:r>
      <w:r w:rsidR="00BB0BB9" w:rsidRPr="00785D06">
        <w:rPr>
          <w:rFonts w:cs="Arial"/>
          <w:sz w:val="20"/>
          <w:szCs w:val="20"/>
          <w:lang w:val="en-US"/>
        </w:rPr>
        <w:t xml:space="preserve">She was the </w:t>
      </w:r>
      <w:r w:rsidRPr="00785D06">
        <w:rPr>
          <w:rFonts w:cs="Arial"/>
          <w:sz w:val="20"/>
          <w:szCs w:val="20"/>
          <w:lang w:val="en-US"/>
        </w:rPr>
        <w:t xml:space="preserve">daughter of Petita Paulina Albarracín Albán and Máximo Enrique Guzmán Bustos (hereinafter “Mr. Guzmán Bustos”). From the age of 12 she attended the </w:t>
      </w:r>
      <w:r w:rsidR="00BB0BB9" w:rsidRPr="00785D06">
        <w:rPr>
          <w:rFonts w:cs="Arial"/>
          <w:i/>
          <w:sz w:val="20"/>
          <w:szCs w:val="20"/>
          <w:lang w:val="en-US"/>
        </w:rPr>
        <w:t>Dr. Miguel Martínez Serrano</w:t>
      </w:r>
      <w:r w:rsidR="00BB0BB9" w:rsidRPr="00785D06">
        <w:rPr>
          <w:rFonts w:cs="Arial"/>
          <w:sz w:val="20"/>
          <w:szCs w:val="20"/>
          <w:lang w:val="en-US"/>
        </w:rPr>
        <w:t xml:space="preserve"> </w:t>
      </w:r>
      <w:r w:rsidRPr="00785D06">
        <w:rPr>
          <w:rFonts w:cs="Arial"/>
          <w:sz w:val="20"/>
          <w:szCs w:val="20"/>
          <w:lang w:val="en-US"/>
        </w:rPr>
        <w:t xml:space="preserve">National Technical High School for Business and Administration </w:t>
      </w:r>
      <w:r w:rsidR="00280E58" w:rsidRPr="00785D06">
        <w:rPr>
          <w:rFonts w:cs="Arial"/>
          <w:sz w:val="20"/>
          <w:szCs w:val="20"/>
          <w:lang w:val="en-US"/>
        </w:rPr>
        <w:t xml:space="preserve">in Guayaquil, </w:t>
      </w:r>
      <w:r w:rsidRPr="00785D06">
        <w:rPr>
          <w:rFonts w:cs="Arial"/>
          <w:sz w:val="20"/>
          <w:szCs w:val="20"/>
          <w:lang w:val="en-US"/>
        </w:rPr>
        <w:t>a</w:t>
      </w:r>
      <w:r w:rsidR="005C369A" w:rsidRPr="00785D06">
        <w:rPr>
          <w:rFonts w:cs="Arial"/>
          <w:sz w:val="20"/>
          <w:szCs w:val="20"/>
          <w:lang w:val="en-US"/>
        </w:rPr>
        <w:t xml:space="preserve"> public school </w:t>
      </w:r>
      <w:r w:rsidRPr="00785D06">
        <w:rPr>
          <w:rFonts w:cs="Arial"/>
          <w:sz w:val="20"/>
          <w:szCs w:val="20"/>
          <w:lang w:val="en-US"/>
        </w:rPr>
        <w:t>for girls</w:t>
      </w:r>
      <w:r w:rsidRPr="00785D06">
        <w:rPr>
          <w:rStyle w:val="Refdenotaalpie"/>
          <w:rFonts w:cs="Arial"/>
          <w:sz w:val="20"/>
          <w:szCs w:val="20"/>
          <w:lang w:val="en-US"/>
        </w:rPr>
        <w:footnoteReference w:id="35"/>
      </w:r>
      <w:r w:rsidRPr="00785D06">
        <w:rPr>
          <w:rFonts w:cs="Arial"/>
          <w:sz w:val="20"/>
          <w:szCs w:val="20"/>
          <w:lang w:val="en-US"/>
        </w:rPr>
        <w:t xml:space="preserve"> under the supervision of the Ministry of Education of </w:t>
      </w:r>
      <w:r w:rsidR="005C369A" w:rsidRPr="00785D06">
        <w:rPr>
          <w:rFonts w:cs="Arial"/>
          <w:sz w:val="20"/>
          <w:szCs w:val="20"/>
          <w:lang w:val="en-US"/>
        </w:rPr>
        <w:t>the Republic of Ecuador.</w:t>
      </w:r>
      <w:r w:rsidRPr="00785D06">
        <w:rPr>
          <w:rFonts w:cs="Arial"/>
          <w:sz w:val="20"/>
          <w:szCs w:val="20"/>
          <w:lang w:val="en-US"/>
        </w:rPr>
        <w:t xml:space="preserve"> Paola lived with her mother, her grandmother (now deceased) and her younger sister, Denisse Selena Guzmán Albarracín.</w:t>
      </w:r>
    </w:p>
    <w:p w14:paraId="11D9CE10" w14:textId="77777777" w:rsidR="00C254BF" w:rsidRPr="00785D06" w:rsidRDefault="00C254BF" w:rsidP="00C254BF">
      <w:pPr>
        <w:pStyle w:val="Prrafodelista"/>
        <w:ind w:left="0"/>
        <w:contextualSpacing w:val="0"/>
        <w:jc w:val="both"/>
        <w:rPr>
          <w:rFonts w:cstheme="minorBidi"/>
          <w:sz w:val="20"/>
          <w:szCs w:val="20"/>
          <w:lang w:val="en-US"/>
        </w:rPr>
      </w:pPr>
    </w:p>
    <w:p w14:paraId="6BC2E94B" w14:textId="77777777" w:rsidR="00C254BF" w:rsidRPr="00785D06" w:rsidRDefault="00C254BF" w:rsidP="00C254BF">
      <w:pPr>
        <w:jc w:val="both"/>
        <w:rPr>
          <w:rFonts w:cs="Arial"/>
          <w:b/>
          <w:sz w:val="20"/>
          <w:szCs w:val="20"/>
          <w:lang w:val="en-US"/>
        </w:rPr>
      </w:pPr>
      <w:r w:rsidRPr="00785D06">
        <w:rPr>
          <w:rFonts w:cs="Arial"/>
          <w:sz w:val="20"/>
          <w:szCs w:val="20"/>
          <w:lang w:val="en-US"/>
        </w:rPr>
        <w:t>49.</w:t>
      </w:r>
      <w:r w:rsidRPr="00785D06">
        <w:rPr>
          <w:rFonts w:cs="Arial"/>
          <w:sz w:val="20"/>
          <w:szCs w:val="20"/>
          <w:lang w:val="en-US"/>
        </w:rPr>
        <w:tab/>
        <w:t xml:space="preserve">According to the </w:t>
      </w:r>
      <w:r w:rsidR="00280E58" w:rsidRPr="00785D06">
        <w:rPr>
          <w:rFonts w:cs="Arial"/>
          <w:sz w:val="20"/>
          <w:szCs w:val="20"/>
          <w:lang w:val="en-US"/>
        </w:rPr>
        <w:t>evidence</w:t>
      </w:r>
      <w:r w:rsidRPr="00785D06">
        <w:rPr>
          <w:rFonts w:cs="Arial"/>
          <w:sz w:val="20"/>
          <w:szCs w:val="20"/>
          <w:lang w:val="en-US"/>
        </w:rPr>
        <w:t xml:space="preserve">, in 2001, when she was 14 years </w:t>
      </w:r>
      <w:r w:rsidR="005C369A" w:rsidRPr="00785D06">
        <w:rPr>
          <w:rFonts w:cs="Arial"/>
          <w:sz w:val="20"/>
          <w:szCs w:val="20"/>
          <w:lang w:val="en-US"/>
        </w:rPr>
        <w:t xml:space="preserve">old </w:t>
      </w:r>
      <w:r w:rsidRPr="00785D06">
        <w:rPr>
          <w:rFonts w:cs="Arial"/>
          <w:sz w:val="20"/>
          <w:szCs w:val="20"/>
          <w:lang w:val="en-US"/>
        </w:rPr>
        <w:t xml:space="preserve">and in </w:t>
      </w:r>
      <w:r w:rsidR="005C369A" w:rsidRPr="00785D06">
        <w:rPr>
          <w:rFonts w:cs="Arial"/>
          <w:sz w:val="20"/>
          <w:szCs w:val="20"/>
          <w:lang w:val="en-US"/>
        </w:rPr>
        <w:t xml:space="preserve">her </w:t>
      </w:r>
      <w:r w:rsidRPr="00785D06">
        <w:rPr>
          <w:rFonts w:cs="Arial"/>
          <w:sz w:val="20"/>
          <w:szCs w:val="20"/>
          <w:lang w:val="en-US"/>
        </w:rPr>
        <w:t xml:space="preserve">second year </w:t>
      </w:r>
      <w:r w:rsidR="005C369A" w:rsidRPr="00785D06">
        <w:rPr>
          <w:rFonts w:cs="Arial"/>
          <w:sz w:val="20"/>
          <w:szCs w:val="20"/>
          <w:lang w:val="en-US"/>
        </w:rPr>
        <w:t>at the school</w:t>
      </w:r>
      <w:r w:rsidRPr="00785D06">
        <w:rPr>
          <w:rFonts w:cs="Arial"/>
          <w:sz w:val="20"/>
          <w:szCs w:val="20"/>
          <w:lang w:val="en-US"/>
        </w:rPr>
        <w:t xml:space="preserve">, Paola began </w:t>
      </w:r>
      <w:r w:rsidR="005C369A" w:rsidRPr="00785D06">
        <w:rPr>
          <w:rFonts w:cs="Arial"/>
          <w:sz w:val="20"/>
          <w:szCs w:val="20"/>
          <w:lang w:val="en-US"/>
        </w:rPr>
        <w:t xml:space="preserve">having difficulties </w:t>
      </w:r>
      <w:r w:rsidRPr="00785D06">
        <w:rPr>
          <w:rFonts w:cs="Arial"/>
          <w:sz w:val="20"/>
          <w:szCs w:val="20"/>
          <w:lang w:val="en-US"/>
        </w:rPr>
        <w:t xml:space="preserve">with certain subjects and </w:t>
      </w:r>
      <w:r w:rsidR="005C369A" w:rsidRPr="00785D06">
        <w:rPr>
          <w:rFonts w:cs="Arial"/>
          <w:sz w:val="20"/>
          <w:szCs w:val="20"/>
          <w:lang w:val="en-US"/>
        </w:rPr>
        <w:t>faced the prospect of having to repeat the year. T</w:t>
      </w:r>
      <w:r w:rsidRPr="00785D06">
        <w:rPr>
          <w:rFonts w:cs="Arial"/>
          <w:sz w:val="20"/>
          <w:szCs w:val="20"/>
          <w:lang w:val="en-US"/>
        </w:rPr>
        <w:t xml:space="preserve">he </w:t>
      </w:r>
      <w:r w:rsidR="005C369A" w:rsidRPr="00785D06">
        <w:rPr>
          <w:rFonts w:cs="Arial"/>
          <w:sz w:val="20"/>
          <w:szCs w:val="20"/>
          <w:lang w:val="en-US"/>
        </w:rPr>
        <w:t>v</w:t>
      </w:r>
      <w:r w:rsidR="0097298A" w:rsidRPr="00785D06">
        <w:rPr>
          <w:rFonts w:cs="Arial"/>
          <w:sz w:val="20"/>
          <w:szCs w:val="20"/>
          <w:lang w:val="en-US"/>
        </w:rPr>
        <w:t>ice principal</w:t>
      </w:r>
      <w:r w:rsidRPr="00785D06">
        <w:rPr>
          <w:rFonts w:cs="Arial"/>
          <w:sz w:val="20"/>
          <w:szCs w:val="20"/>
          <w:lang w:val="en-US"/>
        </w:rPr>
        <w:t xml:space="preserve"> of the school, Bolívar Eduardo Espín Zurtía, offered to </w:t>
      </w:r>
      <w:r w:rsidR="005C369A" w:rsidRPr="00785D06">
        <w:rPr>
          <w:rFonts w:cs="Arial"/>
          <w:sz w:val="20"/>
          <w:szCs w:val="20"/>
          <w:lang w:val="en-US"/>
        </w:rPr>
        <w:t xml:space="preserve">help her </w:t>
      </w:r>
      <w:r w:rsidRPr="00785D06">
        <w:rPr>
          <w:rFonts w:cs="Arial"/>
          <w:sz w:val="20"/>
          <w:szCs w:val="20"/>
          <w:lang w:val="en-US"/>
        </w:rPr>
        <w:t xml:space="preserve">pass to the next grade, on condition </w:t>
      </w:r>
      <w:r w:rsidR="00DC24EC" w:rsidRPr="00785D06">
        <w:rPr>
          <w:rFonts w:cs="Arial"/>
          <w:sz w:val="20"/>
          <w:szCs w:val="20"/>
          <w:lang w:val="en-US"/>
        </w:rPr>
        <w:t xml:space="preserve">that she would have </w:t>
      </w:r>
      <w:r w:rsidRPr="00785D06">
        <w:rPr>
          <w:rFonts w:cs="Arial"/>
          <w:sz w:val="20"/>
          <w:szCs w:val="20"/>
          <w:lang w:val="en-US"/>
        </w:rPr>
        <w:t>sexual relations with him.</w:t>
      </w:r>
      <w:r w:rsidRPr="00785D06">
        <w:rPr>
          <w:rFonts w:cs="Arial"/>
          <w:sz w:val="20"/>
          <w:szCs w:val="20"/>
          <w:vertAlign w:val="superscript"/>
          <w:lang w:val="en-US"/>
        </w:rPr>
        <w:footnoteReference w:id="36"/>
      </w:r>
      <w:r w:rsidRPr="00785D06">
        <w:rPr>
          <w:rFonts w:cs="Arial"/>
          <w:sz w:val="20"/>
          <w:szCs w:val="20"/>
          <w:lang w:val="en-US"/>
        </w:rPr>
        <w:t xml:space="preserve"> At a public hearing before the Commission, Mrs. Albarracín mentioned that she noticed a change in Paola </w:t>
      </w:r>
      <w:r w:rsidR="0012398F" w:rsidRPr="00785D06">
        <w:rPr>
          <w:rFonts w:cs="Arial"/>
          <w:sz w:val="20"/>
          <w:szCs w:val="20"/>
          <w:lang w:val="en-US"/>
        </w:rPr>
        <w:t xml:space="preserve">around </w:t>
      </w:r>
      <w:r w:rsidRPr="00785D06">
        <w:rPr>
          <w:rFonts w:cs="Arial"/>
          <w:sz w:val="20"/>
          <w:szCs w:val="20"/>
          <w:lang w:val="en-US"/>
        </w:rPr>
        <w:t>October 2001.</w:t>
      </w:r>
      <w:r w:rsidRPr="00785D06">
        <w:rPr>
          <w:rStyle w:val="Refdenotaalpie"/>
          <w:rFonts w:cs="Arial"/>
          <w:sz w:val="20"/>
          <w:szCs w:val="20"/>
          <w:lang w:val="en-US"/>
        </w:rPr>
        <w:footnoteReference w:id="37"/>
      </w:r>
      <w:r w:rsidR="00DC24EC" w:rsidRPr="00785D06">
        <w:rPr>
          <w:rFonts w:cs="Arial"/>
          <w:sz w:val="20"/>
          <w:szCs w:val="20"/>
          <w:lang w:val="en-US"/>
        </w:rPr>
        <w:t xml:space="preserve"> </w:t>
      </w:r>
      <w:r w:rsidR="001F4609" w:rsidRPr="00785D06">
        <w:rPr>
          <w:rFonts w:cs="Arial"/>
          <w:sz w:val="20"/>
          <w:szCs w:val="20"/>
          <w:lang w:val="en-US"/>
        </w:rPr>
        <w:t xml:space="preserve">According to a statement </w:t>
      </w:r>
      <w:r w:rsidR="005D4F9D" w:rsidRPr="00785D06">
        <w:rPr>
          <w:rFonts w:cs="Arial"/>
          <w:sz w:val="20"/>
          <w:szCs w:val="20"/>
          <w:lang w:val="en-US"/>
        </w:rPr>
        <w:t xml:space="preserve">given </w:t>
      </w:r>
      <w:r w:rsidR="001F4609" w:rsidRPr="00785D06">
        <w:rPr>
          <w:rFonts w:cs="Arial"/>
          <w:sz w:val="20"/>
          <w:szCs w:val="20"/>
          <w:lang w:val="en-US"/>
        </w:rPr>
        <w:t xml:space="preserve">by </w:t>
      </w:r>
      <w:r w:rsidR="00DC24EC" w:rsidRPr="00785D06">
        <w:rPr>
          <w:rFonts w:cs="Arial"/>
          <w:sz w:val="20"/>
          <w:szCs w:val="20"/>
          <w:lang w:val="en-US"/>
        </w:rPr>
        <w:t xml:space="preserve">Paola’s </w:t>
      </w:r>
      <w:r w:rsidRPr="00785D06">
        <w:rPr>
          <w:rFonts w:cs="Arial"/>
          <w:sz w:val="20"/>
          <w:szCs w:val="20"/>
          <w:lang w:val="en-US"/>
        </w:rPr>
        <w:t xml:space="preserve">“cousin in law” </w:t>
      </w:r>
      <w:r w:rsidR="001F4609" w:rsidRPr="00785D06">
        <w:rPr>
          <w:rFonts w:cs="Arial"/>
          <w:sz w:val="20"/>
          <w:szCs w:val="20"/>
          <w:lang w:val="en-US"/>
        </w:rPr>
        <w:t xml:space="preserve">to </w:t>
      </w:r>
      <w:r w:rsidRPr="00785D06">
        <w:rPr>
          <w:rFonts w:cs="Arial"/>
          <w:sz w:val="20"/>
          <w:szCs w:val="20"/>
          <w:lang w:val="en-US"/>
        </w:rPr>
        <w:t xml:space="preserve">the </w:t>
      </w:r>
      <w:r w:rsidR="001F4609" w:rsidRPr="00785D06">
        <w:rPr>
          <w:rFonts w:cs="Arial"/>
          <w:sz w:val="20"/>
          <w:szCs w:val="20"/>
          <w:lang w:val="en-US"/>
        </w:rPr>
        <w:t xml:space="preserve">Prosecutor’s Office, Paola told her that she needed higher scores to move up to the next grade </w:t>
      </w:r>
      <w:r w:rsidRPr="00785D06">
        <w:rPr>
          <w:rFonts w:cs="Arial"/>
          <w:sz w:val="20"/>
          <w:szCs w:val="20"/>
          <w:lang w:val="en-US"/>
        </w:rPr>
        <w:t xml:space="preserve">but that “she was going to figure out how to </w:t>
      </w:r>
      <w:r w:rsidR="001F4609" w:rsidRPr="00785D06">
        <w:rPr>
          <w:rFonts w:cs="Arial"/>
          <w:sz w:val="20"/>
          <w:szCs w:val="20"/>
          <w:lang w:val="en-US"/>
        </w:rPr>
        <w:t xml:space="preserve">handle </w:t>
      </w:r>
      <w:r w:rsidR="005D4F9D" w:rsidRPr="00785D06">
        <w:rPr>
          <w:rFonts w:cs="Arial"/>
          <w:sz w:val="20"/>
          <w:szCs w:val="20"/>
          <w:lang w:val="en-US"/>
        </w:rPr>
        <w:t>it</w:t>
      </w:r>
      <w:r w:rsidR="001F4609" w:rsidRPr="00785D06">
        <w:rPr>
          <w:rFonts w:cs="Arial"/>
          <w:sz w:val="20"/>
          <w:szCs w:val="20"/>
          <w:lang w:val="en-US"/>
        </w:rPr>
        <w:t xml:space="preserve">, </w:t>
      </w:r>
      <w:r w:rsidR="005D4F9D" w:rsidRPr="00785D06">
        <w:rPr>
          <w:rFonts w:cs="Arial"/>
          <w:sz w:val="20"/>
          <w:szCs w:val="20"/>
          <w:lang w:val="en-US"/>
        </w:rPr>
        <w:t xml:space="preserve">and not to worry </w:t>
      </w:r>
      <w:r w:rsidRPr="00785D06">
        <w:rPr>
          <w:rFonts w:cs="Arial"/>
          <w:sz w:val="20"/>
          <w:szCs w:val="20"/>
          <w:lang w:val="en-US"/>
        </w:rPr>
        <w:t>because she had a</w:t>
      </w:r>
      <w:r w:rsidR="001F4609" w:rsidRPr="00785D06">
        <w:rPr>
          <w:rFonts w:cs="Arial"/>
          <w:sz w:val="20"/>
          <w:szCs w:val="20"/>
          <w:lang w:val="en-US"/>
        </w:rPr>
        <w:t xml:space="preserve"> ‘godfather’ at the</w:t>
      </w:r>
      <w:r w:rsidRPr="00785D06">
        <w:rPr>
          <w:rFonts w:cs="Arial"/>
          <w:sz w:val="20"/>
          <w:szCs w:val="20"/>
          <w:lang w:val="en-US"/>
        </w:rPr>
        <w:t xml:space="preserve"> school</w:t>
      </w:r>
      <w:r w:rsidR="001F4609" w:rsidRPr="00785D06">
        <w:rPr>
          <w:rFonts w:cs="Arial"/>
          <w:sz w:val="20"/>
          <w:szCs w:val="20"/>
          <w:lang w:val="en-US"/>
        </w:rPr>
        <w:t>.”</w:t>
      </w:r>
      <w:r w:rsidRPr="00785D06">
        <w:rPr>
          <w:rFonts w:cs="Arial"/>
          <w:sz w:val="20"/>
          <w:szCs w:val="20"/>
          <w:lang w:val="en-US"/>
        </w:rPr>
        <w:t xml:space="preserve"> </w:t>
      </w:r>
      <w:r w:rsidR="005D4F9D" w:rsidRPr="00785D06">
        <w:rPr>
          <w:rFonts w:cs="Arial"/>
          <w:sz w:val="20"/>
          <w:szCs w:val="20"/>
          <w:lang w:val="en-US"/>
        </w:rPr>
        <w:t xml:space="preserve">The cousin added </w:t>
      </w:r>
      <w:r w:rsidRPr="00785D06">
        <w:rPr>
          <w:rFonts w:cs="Arial"/>
          <w:sz w:val="20"/>
          <w:szCs w:val="20"/>
          <w:lang w:val="en-US"/>
        </w:rPr>
        <w:t xml:space="preserve">that she </w:t>
      </w:r>
      <w:r w:rsidR="005D4F9D" w:rsidRPr="00785D06">
        <w:rPr>
          <w:rFonts w:cs="Arial"/>
          <w:sz w:val="20"/>
          <w:szCs w:val="20"/>
          <w:lang w:val="en-US"/>
        </w:rPr>
        <w:t xml:space="preserve">accompanied </w:t>
      </w:r>
      <w:r w:rsidRPr="00785D06">
        <w:rPr>
          <w:rFonts w:cs="Arial"/>
          <w:sz w:val="20"/>
          <w:szCs w:val="20"/>
          <w:lang w:val="en-US"/>
        </w:rPr>
        <w:t xml:space="preserve">Mrs. Petita to speak to Mr. Bolívar Espín </w:t>
      </w:r>
      <w:r w:rsidR="001F4609" w:rsidRPr="00785D06">
        <w:rPr>
          <w:rFonts w:cs="Arial"/>
          <w:sz w:val="20"/>
          <w:szCs w:val="20"/>
          <w:lang w:val="en-US"/>
        </w:rPr>
        <w:t>about this matter and</w:t>
      </w:r>
      <w:r w:rsidRPr="00785D06">
        <w:rPr>
          <w:rFonts w:cs="Arial"/>
          <w:sz w:val="20"/>
          <w:szCs w:val="20"/>
          <w:lang w:val="en-US"/>
        </w:rPr>
        <w:t>, when Paola arrived, he t</w:t>
      </w:r>
      <w:r w:rsidR="005D4F9D" w:rsidRPr="00785D06">
        <w:rPr>
          <w:rFonts w:cs="Arial"/>
          <w:sz w:val="20"/>
          <w:szCs w:val="20"/>
          <w:lang w:val="en-US"/>
        </w:rPr>
        <w:t>urned to her and said: “but I</w:t>
      </w:r>
      <w:r w:rsidRPr="00785D06">
        <w:rPr>
          <w:rFonts w:cs="Arial"/>
          <w:sz w:val="20"/>
          <w:szCs w:val="20"/>
          <w:lang w:val="en-US"/>
        </w:rPr>
        <w:t xml:space="preserve"> already talked </w:t>
      </w:r>
      <w:r w:rsidR="00DA78BB" w:rsidRPr="00785D06">
        <w:rPr>
          <w:rFonts w:cs="Arial"/>
          <w:sz w:val="20"/>
          <w:szCs w:val="20"/>
          <w:lang w:val="en-US"/>
        </w:rPr>
        <w:t xml:space="preserve">with </w:t>
      </w:r>
      <w:r w:rsidRPr="00785D06">
        <w:rPr>
          <w:rFonts w:cs="Arial"/>
          <w:sz w:val="20"/>
          <w:szCs w:val="20"/>
          <w:lang w:val="en-US"/>
        </w:rPr>
        <w:t xml:space="preserve">you, right princess?” and took her by the shoulder. She added that Paola told her (the deponent) that the </w:t>
      </w:r>
      <w:r w:rsidR="0097298A" w:rsidRPr="00785D06">
        <w:rPr>
          <w:rFonts w:cs="Arial"/>
          <w:sz w:val="20"/>
          <w:szCs w:val="20"/>
          <w:lang w:val="en-US"/>
        </w:rPr>
        <w:t>vice principal</w:t>
      </w:r>
      <w:r w:rsidRPr="00785D06">
        <w:rPr>
          <w:rFonts w:cs="Arial"/>
          <w:sz w:val="20"/>
          <w:szCs w:val="20"/>
          <w:lang w:val="en-US"/>
        </w:rPr>
        <w:t xml:space="preserve"> always treated her </w:t>
      </w:r>
      <w:r w:rsidR="00DA78BB" w:rsidRPr="00785D06">
        <w:rPr>
          <w:rFonts w:cs="Arial"/>
          <w:sz w:val="20"/>
          <w:szCs w:val="20"/>
          <w:lang w:val="en-US"/>
        </w:rPr>
        <w:t>that way</w:t>
      </w:r>
      <w:r w:rsidRPr="00785D06">
        <w:rPr>
          <w:rFonts w:cs="Arial"/>
          <w:sz w:val="20"/>
          <w:szCs w:val="20"/>
          <w:lang w:val="en-US"/>
        </w:rPr>
        <w:t>, “affectionately.”</w:t>
      </w:r>
      <w:r w:rsidRPr="00785D06">
        <w:rPr>
          <w:rFonts w:cs="Arial"/>
          <w:sz w:val="20"/>
          <w:szCs w:val="20"/>
          <w:vertAlign w:val="superscript"/>
          <w:lang w:val="en-US"/>
        </w:rPr>
        <w:footnoteReference w:id="38"/>
      </w:r>
      <w:r w:rsidRPr="00785D06">
        <w:rPr>
          <w:rFonts w:cs="Arial"/>
          <w:sz w:val="20"/>
          <w:szCs w:val="20"/>
          <w:lang w:val="en-US"/>
        </w:rPr>
        <w:t xml:space="preserve"> </w:t>
      </w:r>
    </w:p>
    <w:p w14:paraId="2F7CC5E7" w14:textId="77777777" w:rsidR="00C254BF" w:rsidRPr="00785D06" w:rsidRDefault="00C254BF" w:rsidP="00C254BF">
      <w:pPr>
        <w:jc w:val="both"/>
        <w:rPr>
          <w:rFonts w:cs="Arial"/>
          <w:sz w:val="20"/>
          <w:szCs w:val="20"/>
          <w:lang w:val="en-US"/>
        </w:rPr>
      </w:pPr>
    </w:p>
    <w:p w14:paraId="60C0F8DF" w14:textId="77777777" w:rsidR="00C254BF" w:rsidRPr="00785D06" w:rsidRDefault="00C254BF" w:rsidP="00C254BF">
      <w:pPr>
        <w:jc w:val="both"/>
        <w:rPr>
          <w:rFonts w:cs="Arial"/>
          <w:sz w:val="20"/>
          <w:szCs w:val="20"/>
          <w:lang w:val="en-US"/>
        </w:rPr>
      </w:pPr>
      <w:r w:rsidRPr="00785D06">
        <w:rPr>
          <w:rFonts w:cs="Arial"/>
          <w:sz w:val="20"/>
          <w:szCs w:val="20"/>
          <w:lang w:val="en-US"/>
        </w:rPr>
        <w:t>50.</w:t>
      </w:r>
      <w:r w:rsidRPr="00785D06">
        <w:rPr>
          <w:rFonts w:cs="Arial"/>
          <w:sz w:val="20"/>
          <w:szCs w:val="20"/>
          <w:lang w:val="en-US"/>
        </w:rPr>
        <w:tab/>
        <w:t xml:space="preserve">There are also testimonies and indications of sexual acts carried out by the </w:t>
      </w:r>
      <w:r w:rsidR="0097298A" w:rsidRPr="00785D06">
        <w:rPr>
          <w:rFonts w:cs="Arial"/>
          <w:sz w:val="20"/>
          <w:szCs w:val="20"/>
          <w:lang w:val="en-US"/>
        </w:rPr>
        <w:t>vice principal</w:t>
      </w:r>
      <w:r w:rsidRPr="00785D06">
        <w:rPr>
          <w:rFonts w:cs="Arial"/>
          <w:sz w:val="20"/>
          <w:szCs w:val="20"/>
          <w:lang w:val="en-US"/>
        </w:rPr>
        <w:t xml:space="preserve"> with Paola,</w:t>
      </w:r>
      <w:r w:rsidRPr="00785D06">
        <w:rPr>
          <w:rStyle w:val="Refdenotaalpie"/>
          <w:rFonts w:cs="Arial"/>
          <w:sz w:val="20"/>
          <w:szCs w:val="20"/>
          <w:lang w:val="en-US"/>
        </w:rPr>
        <w:footnoteReference w:id="39"/>
      </w:r>
      <w:r w:rsidRPr="00785D06">
        <w:rPr>
          <w:rFonts w:cs="Arial"/>
          <w:sz w:val="20"/>
          <w:szCs w:val="20"/>
          <w:lang w:val="en-US"/>
        </w:rPr>
        <w:t xml:space="preserve"> as well as statements </w:t>
      </w:r>
      <w:r w:rsidR="005D4F9D" w:rsidRPr="00785D06">
        <w:rPr>
          <w:rFonts w:cs="Arial"/>
          <w:sz w:val="20"/>
          <w:szCs w:val="20"/>
          <w:lang w:val="en-US"/>
        </w:rPr>
        <w:t xml:space="preserve">suggesting </w:t>
      </w:r>
      <w:r w:rsidRPr="00785D06">
        <w:rPr>
          <w:rFonts w:cs="Arial"/>
          <w:sz w:val="20"/>
          <w:szCs w:val="20"/>
          <w:lang w:val="en-US"/>
        </w:rPr>
        <w:t xml:space="preserve">that the staff at the school knew about the relationship between the two, and that Paola had not been the only student with whom the </w:t>
      </w:r>
      <w:r w:rsidR="0097298A" w:rsidRPr="00785D06">
        <w:rPr>
          <w:rFonts w:cs="Arial"/>
          <w:sz w:val="20"/>
          <w:szCs w:val="20"/>
          <w:lang w:val="en-US"/>
        </w:rPr>
        <w:t>vice principal</w:t>
      </w:r>
      <w:r w:rsidRPr="00785D06">
        <w:rPr>
          <w:rFonts w:cs="Arial"/>
          <w:sz w:val="20"/>
          <w:szCs w:val="20"/>
          <w:lang w:val="en-US"/>
        </w:rPr>
        <w:t xml:space="preserve"> had had close contacts of that nature.</w:t>
      </w:r>
      <w:r w:rsidRPr="00785D06">
        <w:rPr>
          <w:rStyle w:val="Refdenotaalpie"/>
          <w:rFonts w:cs="Arial"/>
          <w:sz w:val="20"/>
          <w:szCs w:val="20"/>
          <w:lang w:val="en-US"/>
        </w:rPr>
        <w:footnoteReference w:id="40"/>
      </w:r>
      <w:r w:rsidRPr="00785D06">
        <w:rPr>
          <w:rFonts w:cs="Arial"/>
          <w:sz w:val="20"/>
          <w:szCs w:val="20"/>
          <w:lang w:val="en-US"/>
        </w:rPr>
        <w:t xml:space="preserve"> </w:t>
      </w:r>
      <w:r w:rsidR="00CB0B64" w:rsidRPr="00785D06">
        <w:rPr>
          <w:rFonts w:cs="Arial"/>
          <w:sz w:val="20"/>
          <w:szCs w:val="20"/>
          <w:lang w:val="en-US"/>
        </w:rPr>
        <w:t>E</w:t>
      </w:r>
      <w:r w:rsidRPr="00785D06">
        <w:rPr>
          <w:rFonts w:cs="Arial"/>
          <w:sz w:val="20"/>
          <w:szCs w:val="20"/>
          <w:lang w:val="en-US"/>
        </w:rPr>
        <w:t xml:space="preserve">vidence in the case file </w:t>
      </w:r>
      <w:r w:rsidR="00301A1E" w:rsidRPr="00785D06">
        <w:rPr>
          <w:rFonts w:cs="Arial"/>
          <w:sz w:val="20"/>
          <w:szCs w:val="20"/>
          <w:lang w:val="en-US"/>
        </w:rPr>
        <w:t xml:space="preserve">also shows </w:t>
      </w:r>
      <w:r w:rsidRPr="00785D06">
        <w:rPr>
          <w:rFonts w:cs="Arial"/>
          <w:sz w:val="20"/>
          <w:szCs w:val="20"/>
          <w:lang w:val="en-US"/>
        </w:rPr>
        <w:t xml:space="preserve">that the </w:t>
      </w:r>
      <w:r w:rsidR="0097298A" w:rsidRPr="00785D06">
        <w:rPr>
          <w:rFonts w:cs="Arial"/>
          <w:sz w:val="20"/>
          <w:szCs w:val="20"/>
          <w:lang w:val="en-US"/>
        </w:rPr>
        <w:t>vice principal</w:t>
      </w:r>
      <w:r w:rsidRPr="00785D06">
        <w:rPr>
          <w:rFonts w:cs="Arial"/>
          <w:sz w:val="20"/>
          <w:szCs w:val="20"/>
          <w:lang w:val="en-US"/>
        </w:rPr>
        <w:t xml:space="preserve"> had sexual relations with Paola, including vaginal </w:t>
      </w:r>
      <w:r w:rsidR="00EE2802" w:rsidRPr="00785D06">
        <w:rPr>
          <w:rFonts w:cs="Arial"/>
          <w:sz w:val="20"/>
          <w:szCs w:val="20"/>
          <w:lang w:val="en-US"/>
        </w:rPr>
        <w:t>intercourse.</w:t>
      </w:r>
      <w:r w:rsidRPr="00785D06">
        <w:rPr>
          <w:rStyle w:val="Refdenotaalpie"/>
          <w:rFonts w:cs="Arial"/>
          <w:sz w:val="20"/>
          <w:szCs w:val="20"/>
          <w:lang w:val="en-US"/>
        </w:rPr>
        <w:footnoteReference w:id="41"/>
      </w:r>
    </w:p>
    <w:p w14:paraId="66186790" w14:textId="77777777" w:rsidR="00C254BF" w:rsidRPr="00785D06" w:rsidRDefault="00C254BF" w:rsidP="00C254BF">
      <w:pPr>
        <w:jc w:val="both"/>
        <w:rPr>
          <w:rFonts w:cstheme="minorBidi"/>
          <w:lang w:val="en-US"/>
        </w:rPr>
      </w:pPr>
    </w:p>
    <w:p w14:paraId="5149F65F" w14:textId="77777777" w:rsidR="00C254BF" w:rsidRPr="00785D06" w:rsidRDefault="00C254BF" w:rsidP="00C254BF">
      <w:pPr>
        <w:jc w:val="both"/>
        <w:rPr>
          <w:sz w:val="20"/>
          <w:szCs w:val="20"/>
          <w:lang w:val="en-US"/>
        </w:rPr>
      </w:pPr>
      <w:r w:rsidRPr="00785D06">
        <w:rPr>
          <w:sz w:val="20"/>
          <w:szCs w:val="20"/>
          <w:lang w:val="en-US"/>
        </w:rPr>
        <w:t>51.</w:t>
      </w:r>
      <w:r w:rsidRPr="00785D06">
        <w:rPr>
          <w:sz w:val="20"/>
          <w:szCs w:val="20"/>
          <w:lang w:val="en-US"/>
        </w:rPr>
        <w:tab/>
        <w:t>Based on the a</w:t>
      </w:r>
      <w:r w:rsidR="00CB0B64" w:rsidRPr="00785D06">
        <w:rPr>
          <w:sz w:val="20"/>
          <w:szCs w:val="20"/>
          <w:lang w:val="en-US"/>
        </w:rPr>
        <w:t xml:space="preserve">bovementioned </w:t>
      </w:r>
      <w:r w:rsidRPr="00785D06">
        <w:rPr>
          <w:sz w:val="20"/>
          <w:szCs w:val="20"/>
          <w:lang w:val="en-US"/>
        </w:rPr>
        <w:t xml:space="preserve">statements it is clear that </w:t>
      </w:r>
      <w:r w:rsidR="00F36968" w:rsidRPr="00785D06">
        <w:rPr>
          <w:sz w:val="20"/>
          <w:szCs w:val="20"/>
          <w:lang w:val="en-US"/>
        </w:rPr>
        <w:t>a number of people</w:t>
      </w:r>
      <w:r w:rsidRPr="00785D06">
        <w:rPr>
          <w:sz w:val="20"/>
          <w:szCs w:val="20"/>
          <w:lang w:val="en-US"/>
        </w:rPr>
        <w:t xml:space="preserve"> associated with the school, including the principal, knew that the </w:t>
      </w:r>
      <w:r w:rsidR="0097298A" w:rsidRPr="00785D06">
        <w:rPr>
          <w:sz w:val="20"/>
          <w:szCs w:val="20"/>
          <w:lang w:val="en-US"/>
        </w:rPr>
        <w:t>vice principal</w:t>
      </w:r>
      <w:r w:rsidRPr="00785D06">
        <w:rPr>
          <w:sz w:val="20"/>
          <w:szCs w:val="20"/>
          <w:lang w:val="en-US"/>
        </w:rPr>
        <w:t xml:space="preserve"> was having sexual relations with Paola. </w:t>
      </w:r>
      <w:r w:rsidR="00CB0B64" w:rsidRPr="00785D06">
        <w:rPr>
          <w:sz w:val="20"/>
          <w:szCs w:val="20"/>
          <w:lang w:val="en-US"/>
        </w:rPr>
        <w:t>Also</w:t>
      </w:r>
      <w:r w:rsidRPr="00785D06">
        <w:rPr>
          <w:sz w:val="20"/>
          <w:szCs w:val="20"/>
          <w:lang w:val="en-US"/>
        </w:rPr>
        <w:t xml:space="preserve">, </w:t>
      </w:r>
      <w:r w:rsidR="00F36968" w:rsidRPr="00785D06">
        <w:rPr>
          <w:sz w:val="20"/>
          <w:szCs w:val="20"/>
          <w:lang w:val="en-US"/>
        </w:rPr>
        <w:t xml:space="preserve">based on </w:t>
      </w:r>
      <w:r w:rsidR="00CB0B64" w:rsidRPr="00785D06">
        <w:rPr>
          <w:sz w:val="20"/>
          <w:szCs w:val="20"/>
          <w:lang w:val="en-US"/>
        </w:rPr>
        <w:t xml:space="preserve">several </w:t>
      </w:r>
      <w:r w:rsidRPr="00785D06">
        <w:rPr>
          <w:sz w:val="20"/>
          <w:szCs w:val="20"/>
          <w:lang w:val="en-US"/>
        </w:rPr>
        <w:t xml:space="preserve">statements made by Paola’s school </w:t>
      </w:r>
      <w:r w:rsidR="00F36968" w:rsidRPr="00785D06">
        <w:rPr>
          <w:sz w:val="20"/>
          <w:szCs w:val="20"/>
          <w:lang w:val="en-US"/>
        </w:rPr>
        <w:t>friends</w:t>
      </w:r>
      <w:r w:rsidRPr="00785D06">
        <w:rPr>
          <w:sz w:val="20"/>
          <w:szCs w:val="20"/>
          <w:lang w:val="en-US"/>
        </w:rPr>
        <w:t xml:space="preserve">, and even </w:t>
      </w:r>
      <w:r w:rsidR="00F36968" w:rsidRPr="00785D06">
        <w:rPr>
          <w:sz w:val="20"/>
          <w:szCs w:val="20"/>
          <w:lang w:val="en-US"/>
        </w:rPr>
        <w:t xml:space="preserve">on the </w:t>
      </w:r>
      <w:r w:rsidRPr="00785D06">
        <w:rPr>
          <w:sz w:val="20"/>
          <w:szCs w:val="20"/>
          <w:lang w:val="en-US"/>
        </w:rPr>
        <w:t>anonymous survey carried out among the students (</w:t>
      </w:r>
      <w:r w:rsidRPr="00785D06">
        <w:rPr>
          <w:i/>
          <w:sz w:val="20"/>
          <w:szCs w:val="20"/>
          <w:lang w:val="en-US"/>
        </w:rPr>
        <w:t xml:space="preserve">infra </w:t>
      </w:r>
      <w:r w:rsidRPr="00785D06">
        <w:rPr>
          <w:sz w:val="20"/>
          <w:szCs w:val="20"/>
          <w:lang w:val="en-US"/>
        </w:rPr>
        <w:t xml:space="preserve">footnote 122), it may be inferred that the situation was widely known within the </w:t>
      </w:r>
      <w:r w:rsidR="00F36968" w:rsidRPr="00785D06">
        <w:rPr>
          <w:sz w:val="20"/>
          <w:szCs w:val="20"/>
          <w:lang w:val="en-US"/>
        </w:rPr>
        <w:t>school. Although</w:t>
      </w:r>
      <w:r w:rsidRPr="00785D06">
        <w:rPr>
          <w:sz w:val="20"/>
          <w:szCs w:val="20"/>
          <w:lang w:val="en-US"/>
        </w:rPr>
        <w:t xml:space="preserve"> is not known whether these facts were denounced by staff </w:t>
      </w:r>
      <w:r w:rsidR="00F36968" w:rsidRPr="00785D06">
        <w:rPr>
          <w:sz w:val="20"/>
          <w:szCs w:val="20"/>
          <w:lang w:val="en-US"/>
        </w:rPr>
        <w:t>members at the school,</w:t>
      </w:r>
      <w:r w:rsidRPr="00785D06">
        <w:rPr>
          <w:sz w:val="20"/>
          <w:szCs w:val="20"/>
          <w:lang w:val="en-US"/>
        </w:rPr>
        <w:t xml:space="preserve"> </w:t>
      </w:r>
      <w:r w:rsidR="00F36968" w:rsidRPr="00785D06">
        <w:rPr>
          <w:sz w:val="20"/>
          <w:szCs w:val="20"/>
          <w:lang w:val="en-US"/>
        </w:rPr>
        <w:t>there are reports of a different nature</w:t>
      </w:r>
      <w:r w:rsidRPr="00785D06">
        <w:rPr>
          <w:sz w:val="20"/>
          <w:szCs w:val="20"/>
          <w:lang w:val="en-US"/>
        </w:rPr>
        <w:t xml:space="preserve"> </w:t>
      </w:r>
      <w:r w:rsidR="00F36968" w:rsidRPr="00785D06">
        <w:rPr>
          <w:sz w:val="20"/>
          <w:szCs w:val="20"/>
          <w:lang w:val="en-US"/>
        </w:rPr>
        <w:t>regarding efforts to protect v</w:t>
      </w:r>
      <w:r w:rsidR="0097298A" w:rsidRPr="00785D06">
        <w:rPr>
          <w:sz w:val="20"/>
          <w:szCs w:val="20"/>
          <w:lang w:val="en-US"/>
        </w:rPr>
        <w:t>ice principal</w:t>
      </w:r>
      <w:r w:rsidRPr="00785D06">
        <w:rPr>
          <w:sz w:val="20"/>
          <w:szCs w:val="20"/>
          <w:lang w:val="en-US"/>
        </w:rPr>
        <w:t xml:space="preserve"> after Paola’s death (</w:t>
      </w:r>
      <w:r w:rsidRPr="00785D06">
        <w:rPr>
          <w:i/>
          <w:sz w:val="20"/>
          <w:szCs w:val="20"/>
          <w:lang w:val="en-US"/>
        </w:rPr>
        <w:t xml:space="preserve">infra </w:t>
      </w:r>
      <w:r w:rsidRPr="00785D06">
        <w:rPr>
          <w:sz w:val="20"/>
          <w:szCs w:val="20"/>
          <w:lang w:val="en-US"/>
        </w:rPr>
        <w:t>paras. 63, 65 and 137).</w:t>
      </w:r>
    </w:p>
    <w:p w14:paraId="1D7D8C68" w14:textId="77777777" w:rsidR="00C254BF" w:rsidRPr="00785D06" w:rsidRDefault="00C254BF" w:rsidP="00C254BF">
      <w:pPr>
        <w:jc w:val="both"/>
        <w:rPr>
          <w:rFonts w:cs="Arial"/>
          <w:sz w:val="20"/>
          <w:szCs w:val="20"/>
          <w:lang w:val="en-US"/>
        </w:rPr>
      </w:pPr>
    </w:p>
    <w:p w14:paraId="748028DA" w14:textId="77777777" w:rsidR="00C254BF" w:rsidRPr="00785D06" w:rsidRDefault="00C254BF" w:rsidP="00C254BF">
      <w:pPr>
        <w:jc w:val="both"/>
        <w:rPr>
          <w:rFonts w:cs="Arial"/>
          <w:sz w:val="20"/>
          <w:szCs w:val="20"/>
          <w:lang w:val="en-US"/>
        </w:rPr>
      </w:pPr>
      <w:r w:rsidRPr="00785D06">
        <w:rPr>
          <w:rFonts w:cs="Arial"/>
          <w:sz w:val="20"/>
          <w:szCs w:val="20"/>
          <w:lang w:val="en-US"/>
        </w:rPr>
        <w:t>5</w:t>
      </w:r>
      <w:r w:rsidR="00F36968" w:rsidRPr="00785D06">
        <w:rPr>
          <w:rFonts w:cs="Arial"/>
          <w:sz w:val="20"/>
          <w:szCs w:val="20"/>
          <w:lang w:val="en-US"/>
        </w:rPr>
        <w:t>2.</w:t>
      </w:r>
      <w:r w:rsidR="00F36968" w:rsidRPr="00785D06">
        <w:rPr>
          <w:rFonts w:cs="Arial"/>
          <w:sz w:val="20"/>
          <w:szCs w:val="20"/>
          <w:lang w:val="en-US"/>
        </w:rPr>
        <w:tab/>
        <w:t>On December 11, 2002, the inspector for Paola’s</w:t>
      </w:r>
      <w:r w:rsidRPr="00785D06">
        <w:rPr>
          <w:rFonts w:cs="Arial"/>
          <w:sz w:val="20"/>
          <w:szCs w:val="20"/>
          <w:lang w:val="en-US"/>
        </w:rPr>
        <w:t xml:space="preserve"> grade </w:t>
      </w:r>
      <w:r w:rsidR="00F36968" w:rsidRPr="00785D06">
        <w:rPr>
          <w:rFonts w:cs="Arial"/>
          <w:sz w:val="20"/>
          <w:szCs w:val="20"/>
          <w:lang w:val="en-US"/>
        </w:rPr>
        <w:t xml:space="preserve">summoned her </w:t>
      </w:r>
      <w:r w:rsidRPr="00785D06">
        <w:rPr>
          <w:rFonts w:cs="Arial"/>
          <w:sz w:val="20"/>
          <w:szCs w:val="20"/>
          <w:lang w:val="en-US"/>
        </w:rPr>
        <w:t>mother</w:t>
      </w:r>
      <w:r w:rsidR="001F4B79" w:rsidRPr="00785D06">
        <w:rPr>
          <w:rFonts w:cs="Arial"/>
          <w:sz w:val="20"/>
          <w:szCs w:val="20"/>
          <w:lang w:val="en-US"/>
        </w:rPr>
        <w:t xml:space="preserve">, Mrs. </w:t>
      </w:r>
      <w:r w:rsidR="00CB0B64" w:rsidRPr="00785D06">
        <w:rPr>
          <w:rFonts w:cs="Arial"/>
          <w:sz w:val="20"/>
          <w:szCs w:val="20"/>
          <w:lang w:val="en-US"/>
        </w:rPr>
        <w:t xml:space="preserve">Petita </w:t>
      </w:r>
      <w:r w:rsidR="001F4B79" w:rsidRPr="00785D06">
        <w:rPr>
          <w:rFonts w:cs="Arial"/>
          <w:sz w:val="20"/>
          <w:szCs w:val="20"/>
          <w:lang w:val="es-CR"/>
        </w:rPr>
        <w:t>Albarracín</w:t>
      </w:r>
      <w:r w:rsidRPr="00785D06">
        <w:rPr>
          <w:rFonts w:cs="Arial"/>
          <w:sz w:val="20"/>
          <w:szCs w:val="20"/>
          <w:lang w:val="en-US"/>
        </w:rPr>
        <w:t xml:space="preserve"> </w:t>
      </w:r>
      <w:r w:rsidR="00F36968" w:rsidRPr="00785D06">
        <w:rPr>
          <w:rFonts w:cs="Arial"/>
          <w:sz w:val="20"/>
          <w:szCs w:val="20"/>
          <w:lang w:val="en-US"/>
        </w:rPr>
        <w:t xml:space="preserve">to </w:t>
      </w:r>
      <w:r w:rsidR="001F4B79" w:rsidRPr="00785D06">
        <w:rPr>
          <w:rFonts w:cs="Arial"/>
          <w:sz w:val="20"/>
          <w:szCs w:val="20"/>
          <w:lang w:val="en-US"/>
        </w:rPr>
        <w:t xml:space="preserve">a meeting </w:t>
      </w:r>
      <w:r w:rsidR="00F36968" w:rsidRPr="00785D06">
        <w:rPr>
          <w:rFonts w:cs="Arial"/>
          <w:sz w:val="20"/>
          <w:szCs w:val="20"/>
          <w:lang w:val="en-US"/>
        </w:rPr>
        <w:t xml:space="preserve">at the </w:t>
      </w:r>
      <w:r w:rsidRPr="00785D06">
        <w:rPr>
          <w:rFonts w:cs="Arial"/>
          <w:sz w:val="20"/>
          <w:szCs w:val="20"/>
          <w:lang w:val="en-US"/>
        </w:rPr>
        <w:t xml:space="preserve">school the </w:t>
      </w:r>
      <w:r w:rsidR="001F4B79" w:rsidRPr="00785D06">
        <w:rPr>
          <w:rFonts w:cs="Arial"/>
          <w:sz w:val="20"/>
          <w:szCs w:val="20"/>
          <w:lang w:val="en-US"/>
        </w:rPr>
        <w:t xml:space="preserve">next </w:t>
      </w:r>
      <w:r w:rsidRPr="00785D06">
        <w:rPr>
          <w:rFonts w:cs="Arial"/>
          <w:sz w:val="20"/>
          <w:szCs w:val="20"/>
          <w:lang w:val="en-US"/>
        </w:rPr>
        <w:t>day.</w:t>
      </w:r>
      <w:r w:rsidRPr="00785D06">
        <w:rPr>
          <w:rFonts w:cs="Arial"/>
          <w:sz w:val="20"/>
          <w:szCs w:val="20"/>
          <w:vertAlign w:val="superscript"/>
          <w:lang w:val="en-US"/>
        </w:rPr>
        <w:footnoteReference w:id="42"/>
      </w:r>
      <w:r w:rsidRPr="00785D06">
        <w:rPr>
          <w:rFonts w:cs="Arial"/>
          <w:sz w:val="20"/>
          <w:szCs w:val="20"/>
          <w:lang w:val="en-US"/>
        </w:rPr>
        <w:t xml:space="preserve"> Acc</w:t>
      </w:r>
      <w:r w:rsidR="001F4B79" w:rsidRPr="00785D06">
        <w:rPr>
          <w:rFonts w:cs="Arial"/>
          <w:sz w:val="20"/>
          <w:szCs w:val="20"/>
          <w:lang w:val="en-US"/>
        </w:rPr>
        <w:t>ording to the statement of the i</w:t>
      </w:r>
      <w:r w:rsidRPr="00785D06">
        <w:rPr>
          <w:rFonts w:cs="Arial"/>
          <w:sz w:val="20"/>
          <w:szCs w:val="20"/>
          <w:lang w:val="en-US"/>
        </w:rPr>
        <w:t xml:space="preserve">nspector, I.M., </w:t>
      </w:r>
      <w:r w:rsidR="001F4B79" w:rsidRPr="00785D06">
        <w:rPr>
          <w:rFonts w:cs="Arial"/>
          <w:sz w:val="20"/>
          <w:szCs w:val="20"/>
          <w:lang w:val="en-US"/>
        </w:rPr>
        <w:t xml:space="preserve">she had called the mother because the </w:t>
      </w:r>
      <w:r w:rsidRPr="00785D06">
        <w:rPr>
          <w:rFonts w:cs="Arial"/>
          <w:sz w:val="20"/>
          <w:szCs w:val="20"/>
          <w:lang w:val="en-US"/>
        </w:rPr>
        <w:t xml:space="preserve">previous week </w:t>
      </w:r>
      <w:r w:rsidR="001F4B79" w:rsidRPr="00785D06">
        <w:rPr>
          <w:rFonts w:cs="Arial"/>
          <w:sz w:val="20"/>
          <w:szCs w:val="20"/>
          <w:lang w:val="en-US"/>
        </w:rPr>
        <w:t xml:space="preserve">Paola </w:t>
      </w:r>
      <w:r w:rsidRPr="00785D06">
        <w:rPr>
          <w:rFonts w:cs="Arial"/>
          <w:sz w:val="20"/>
          <w:szCs w:val="20"/>
          <w:lang w:val="en-US"/>
        </w:rPr>
        <w:t xml:space="preserve">had missed classes, and </w:t>
      </w:r>
      <w:r w:rsidR="001F4B79" w:rsidRPr="00785D06">
        <w:rPr>
          <w:rFonts w:cs="Arial"/>
          <w:sz w:val="20"/>
          <w:szCs w:val="20"/>
          <w:lang w:val="en-US"/>
        </w:rPr>
        <w:t xml:space="preserve">also </w:t>
      </w:r>
      <w:r w:rsidRPr="00785D06">
        <w:rPr>
          <w:rFonts w:cs="Arial"/>
          <w:sz w:val="20"/>
          <w:szCs w:val="20"/>
          <w:lang w:val="en-US"/>
        </w:rPr>
        <w:t xml:space="preserve">because </w:t>
      </w:r>
      <w:r w:rsidR="001F4B79" w:rsidRPr="00785D06">
        <w:rPr>
          <w:rFonts w:cs="Arial"/>
          <w:sz w:val="20"/>
          <w:szCs w:val="20"/>
          <w:lang w:val="en-US"/>
        </w:rPr>
        <w:t xml:space="preserve">the Inspector General often </w:t>
      </w:r>
      <w:r w:rsidRPr="00785D06">
        <w:rPr>
          <w:rFonts w:cs="Arial"/>
          <w:sz w:val="20"/>
          <w:szCs w:val="20"/>
          <w:lang w:val="en-US"/>
        </w:rPr>
        <w:t>found the girl in the patio during class</w:t>
      </w:r>
      <w:r w:rsidR="00CB0B64" w:rsidRPr="00785D06">
        <w:rPr>
          <w:rFonts w:cs="Arial"/>
          <w:sz w:val="20"/>
          <w:szCs w:val="20"/>
          <w:lang w:val="en-US"/>
        </w:rPr>
        <w:t>-time</w:t>
      </w:r>
      <w:r w:rsidRPr="00785D06">
        <w:rPr>
          <w:rFonts w:cs="Arial"/>
          <w:sz w:val="20"/>
          <w:szCs w:val="20"/>
          <w:lang w:val="en-US"/>
        </w:rPr>
        <w:t>, without permission.</w:t>
      </w:r>
      <w:r w:rsidRPr="00785D06">
        <w:rPr>
          <w:rStyle w:val="Refdenotaalpie"/>
          <w:rFonts w:cs="Arial"/>
          <w:sz w:val="20"/>
          <w:szCs w:val="20"/>
          <w:lang w:val="en-US"/>
        </w:rPr>
        <w:footnoteReference w:id="43"/>
      </w:r>
      <w:r w:rsidRPr="00785D06">
        <w:rPr>
          <w:rFonts w:cs="Arial"/>
          <w:sz w:val="20"/>
          <w:szCs w:val="20"/>
          <w:lang w:val="en-US"/>
        </w:rPr>
        <w:t xml:space="preserve"> </w:t>
      </w:r>
    </w:p>
    <w:p w14:paraId="73AC2070" w14:textId="77777777" w:rsidR="00C254BF" w:rsidRPr="00785D06" w:rsidRDefault="00C254BF" w:rsidP="00C254BF">
      <w:pPr>
        <w:jc w:val="both"/>
        <w:rPr>
          <w:rFonts w:cs="Arial"/>
          <w:sz w:val="20"/>
          <w:szCs w:val="20"/>
          <w:lang w:val="en-US"/>
        </w:rPr>
      </w:pPr>
    </w:p>
    <w:p w14:paraId="2D656299" w14:textId="77777777" w:rsidR="00C254BF" w:rsidRPr="00785D06" w:rsidRDefault="00C254BF" w:rsidP="00C254BF">
      <w:pPr>
        <w:jc w:val="both"/>
        <w:rPr>
          <w:rFonts w:cs="Arial"/>
          <w:sz w:val="20"/>
          <w:szCs w:val="20"/>
          <w:lang w:val="en-US"/>
        </w:rPr>
      </w:pPr>
      <w:r w:rsidRPr="00785D06">
        <w:rPr>
          <w:rFonts w:cs="Arial"/>
          <w:sz w:val="20"/>
          <w:szCs w:val="20"/>
          <w:lang w:val="en-US"/>
        </w:rPr>
        <w:t>53.</w:t>
      </w:r>
      <w:r w:rsidRPr="00785D06">
        <w:rPr>
          <w:rFonts w:cs="Arial"/>
          <w:sz w:val="20"/>
          <w:szCs w:val="20"/>
          <w:lang w:val="en-US"/>
        </w:rPr>
        <w:tab/>
        <w:t xml:space="preserve">On Thursday December 12, 2002, the </w:t>
      </w:r>
      <w:r w:rsidR="001F4B79" w:rsidRPr="00785D06">
        <w:rPr>
          <w:rFonts w:cs="Arial"/>
          <w:sz w:val="20"/>
          <w:szCs w:val="20"/>
          <w:lang w:val="en-US"/>
        </w:rPr>
        <w:t xml:space="preserve">same </w:t>
      </w:r>
      <w:r w:rsidRPr="00785D06">
        <w:rPr>
          <w:rFonts w:cs="Arial"/>
          <w:sz w:val="20"/>
          <w:szCs w:val="20"/>
          <w:lang w:val="en-US"/>
        </w:rPr>
        <w:t xml:space="preserve">day of the </w:t>
      </w:r>
      <w:r w:rsidR="001F4B79" w:rsidRPr="00785D06">
        <w:rPr>
          <w:rFonts w:cs="Arial"/>
          <w:sz w:val="20"/>
          <w:szCs w:val="20"/>
          <w:lang w:val="en-US"/>
        </w:rPr>
        <w:t>meeting a</w:t>
      </w:r>
      <w:r w:rsidRPr="00785D06">
        <w:rPr>
          <w:rFonts w:cs="Arial"/>
          <w:sz w:val="20"/>
          <w:szCs w:val="20"/>
          <w:lang w:val="en-US"/>
        </w:rPr>
        <w:t xml:space="preserve">nd </w:t>
      </w:r>
      <w:r w:rsidR="001F4B79" w:rsidRPr="00785D06">
        <w:rPr>
          <w:rFonts w:cs="Arial"/>
          <w:sz w:val="20"/>
          <w:szCs w:val="20"/>
          <w:lang w:val="en-US"/>
        </w:rPr>
        <w:t xml:space="preserve">just </w:t>
      </w:r>
      <w:r w:rsidRPr="00785D06">
        <w:rPr>
          <w:rFonts w:cs="Arial"/>
          <w:sz w:val="20"/>
          <w:szCs w:val="20"/>
          <w:lang w:val="en-US"/>
        </w:rPr>
        <w:t xml:space="preserve">two days after </w:t>
      </w:r>
      <w:r w:rsidR="001F4B79" w:rsidRPr="00785D06">
        <w:rPr>
          <w:rFonts w:cs="Arial"/>
          <w:sz w:val="20"/>
          <w:szCs w:val="20"/>
          <w:lang w:val="en-US"/>
        </w:rPr>
        <w:t xml:space="preserve">her </w:t>
      </w:r>
      <w:r w:rsidRPr="00785D06">
        <w:rPr>
          <w:rFonts w:cs="Arial"/>
          <w:sz w:val="20"/>
          <w:szCs w:val="20"/>
          <w:lang w:val="en-US"/>
        </w:rPr>
        <w:t xml:space="preserve">sixteenth birthday, </w:t>
      </w:r>
      <w:r w:rsidR="001F4B79" w:rsidRPr="00785D06">
        <w:rPr>
          <w:rFonts w:cs="Arial"/>
          <w:sz w:val="20"/>
          <w:szCs w:val="20"/>
          <w:lang w:val="en-US"/>
        </w:rPr>
        <w:t xml:space="preserve">Paola swallowed some pellets containing white phosphorus (known colloquially as “diablillos”) </w:t>
      </w:r>
      <w:r w:rsidRPr="00785D06">
        <w:rPr>
          <w:rFonts w:cs="Arial"/>
          <w:sz w:val="20"/>
          <w:szCs w:val="20"/>
          <w:lang w:val="en-US"/>
        </w:rPr>
        <w:t xml:space="preserve">at home, </w:t>
      </w:r>
      <w:r w:rsidR="001F4B79" w:rsidRPr="00785D06">
        <w:rPr>
          <w:rFonts w:cs="Arial"/>
          <w:sz w:val="20"/>
          <w:szCs w:val="20"/>
          <w:lang w:val="en-US"/>
        </w:rPr>
        <w:t xml:space="preserve">sometime </w:t>
      </w:r>
      <w:r w:rsidRPr="00785D06">
        <w:rPr>
          <w:rFonts w:cs="Arial"/>
          <w:sz w:val="20"/>
          <w:szCs w:val="20"/>
          <w:lang w:val="en-US"/>
        </w:rPr>
        <w:t>between 10:30</w:t>
      </w:r>
      <w:r w:rsidR="001F4B79" w:rsidRPr="00785D06">
        <w:rPr>
          <w:rFonts w:cs="Arial"/>
          <w:sz w:val="20"/>
          <w:szCs w:val="20"/>
          <w:lang w:val="en-US"/>
        </w:rPr>
        <w:t xml:space="preserve"> am</w:t>
      </w:r>
      <w:r w:rsidRPr="00785D06">
        <w:rPr>
          <w:rFonts w:cs="Arial"/>
          <w:sz w:val="20"/>
          <w:szCs w:val="20"/>
          <w:lang w:val="en-US"/>
        </w:rPr>
        <w:t xml:space="preserve">  and 11:00 am, (</w:t>
      </w:r>
      <w:r w:rsidRPr="00785D06">
        <w:rPr>
          <w:rFonts w:cs="Arial"/>
          <w:i/>
          <w:sz w:val="20"/>
          <w:szCs w:val="20"/>
          <w:lang w:val="en-US"/>
        </w:rPr>
        <w:t xml:space="preserve">supra </w:t>
      </w:r>
      <w:r w:rsidR="001F4B79" w:rsidRPr="00785D06">
        <w:rPr>
          <w:rFonts w:cs="Arial"/>
          <w:sz w:val="20"/>
          <w:szCs w:val="20"/>
          <w:lang w:val="en-US"/>
        </w:rPr>
        <w:t xml:space="preserve">para. 1). Then she went to school. On </w:t>
      </w:r>
      <w:r w:rsidR="003E0C89" w:rsidRPr="00785D06">
        <w:rPr>
          <w:rFonts w:cs="Arial"/>
          <w:sz w:val="20"/>
          <w:szCs w:val="20"/>
          <w:lang w:val="en-US"/>
        </w:rPr>
        <w:t xml:space="preserve">the </w:t>
      </w:r>
      <w:r w:rsidRPr="00785D06">
        <w:rPr>
          <w:rFonts w:cs="Arial"/>
          <w:sz w:val="20"/>
          <w:szCs w:val="20"/>
          <w:lang w:val="en-US"/>
        </w:rPr>
        <w:t>way she told her c</w:t>
      </w:r>
      <w:r w:rsidR="001F4B79" w:rsidRPr="00785D06">
        <w:rPr>
          <w:rFonts w:cs="Arial"/>
          <w:sz w:val="20"/>
          <w:szCs w:val="20"/>
          <w:lang w:val="en-US"/>
        </w:rPr>
        <w:t xml:space="preserve">lassmates </w:t>
      </w:r>
      <w:r w:rsidRPr="00785D06">
        <w:rPr>
          <w:rFonts w:cs="Arial"/>
          <w:sz w:val="20"/>
          <w:szCs w:val="20"/>
          <w:lang w:val="en-US"/>
        </w:rPr>
        <w:t>what she had done, and when she arrive</w:t>
      </w:r>
      <w:r w:rsidR="003E0C89" w:rsidRPr="00785D06">
        <w:rPr>
          <w:rFonts w:cs="Arial"/>
          <w:sz w:val="20"/>
          <w:szCs w:val="20"/>
          <w:lang w:val="en-US"/>
        </w:rPr>
        <w:t xml:space="preserve">d at </w:t>
      </w:r>
      <w:r w:rsidRPr="00785D06">
        <w:rPr>
          <w:rFonts w:cs="Arial"/>
          <w:sz w:val="20"/>
          <w:szCs w:val="20"/>
          <w:lang w:val="en-US"/>
        </w:rPr>
        <w:t>school</w:t>
      </w:r>
      <w:r w:rsidR="003E0C89" w:rsidRPr="00785D06">
        <w:rPr>
          <w:rFonts w:cs="Arial"/>
          <w:sz w:val="20"/>
          <w:szCs w:val="20"/>
          <w:lang w:val="en-US"/>
        </w:rPr>
        <w:t>,</w:t>
      </w:r>
      <w:r w:rsidRPr="00785D06">
        <w:rPr>
          <w:rFonts w:cs="Arial"/>
          <w:sz w:val="20"/>
          <w:szCs w:val="20"/>
          <w:lang w:val="en-US"/>
        </w:rPr>
        <w:t xml:space="preserve"> they took her to the infirmary. A</w:t>
      </w:r>
      <w:r w:rsidR="001F4B79" w:rsidRPr="00785D06">
        <w:rPr>
          <w:rFonts w:cs="Arial"/>
          <w:sz w:val="20"/>
          <w:szCs w:val="20"/>
          <w:lang w:val="en-US"/>
        </w:rPr>
        <w:t xml:space="preserve">round </w:t>
      </w:r>
      <w:r w:rsidRPr="00785D06">
        <w:rPr>
          <w:rFonts w:cs="Arial"/>
          <w:sz w:val="20"/>
          <w:szCs w:val="20"/>
          <w:lang w:val="en-US"/>
        </w:rPr>
        <w:t xml:space="preserve">midday, the Inspector General was </w:t>
      </w:r>
      <w:r w:rsidR="001F4B79" w:rsidRPr="00785D06">
        <w:rPr>
          <w:rFonts w:cs="Arial"/>
          <w:sz w:val="20"/>
          <w:szCs w:val="20"/>
          <w:lang w:val="en-US"/>
        </w:rPr>
        <w:t xml:space="preserve">informed </w:t>
      </w:r>
      <w:r w:rsidR="003E0C89" w:rsidRPr="00785D06">
        <w:rPr>
          <w:rFonts w:cs="Arial"/>
          <w:sz w:val="20"/>
          <w:szCs w:val="20"/>
          <w:lang w:val="en-US"/>
        </w:rPr>
        <w:t>of the situation</w:t>
      </w:r>
      <w:r w:rsidRPr="00785D06">
        <w:rPr>
          <w:rFonts w:cs="Arial"/>
          <w:sz w:val="20"/>
          <w:szCs w:val="20"/>
          <w:lang w:val="en-US"/>
        </w:rPr>
        <w:t xml:space="preserve"> and went to the infirmary, where she urged Paola to pray to God. The </w:t>
      </w:r>
      <w:r w:rsidR="001F4B79" w:rsidRPr="00785D06">
        <w:rPr>
          <w:rFonts w:cs="Arial"/>
          <w:sz w:val="20"/>
          <w:szCs w:val="20"/>
          <w:lang w:val="en-US"/>
        </w:rPr>
        <w:t>v</w:t>
      </w:r>
      <w:r w:rsidR="0097298A" w:rsidRPr="00785D06">
        <w:rPr>
          <w:rFonts w:cs="Arial"/>
          <w:sz w:val="20"/>
          <w:szCs w:val="20"/>
          <w:lang w:val="en-US"/>
        </w:rPr>
        <w:t>ice principal</w:t>
      </w:r>
      <w:r w:rsidRPr="00785D06">
        <w:rPr>
          <w:rFonts w:cs="Arial"/>
          <w:sz w:val="20"/>
          <w:szCs w:val="20"/>
          <w:lang w:val="en-US"/>
        </w:rPr>
        <w:t xml:space="preserve"> and the school doctor also went to the infirmary. According to statements </w:t>
      </w:r>
      <w:r w:rsidR="003E0C89" w:rsidRPr="00785D06">
        <w:rPr>
          <w:rFonts w:cs="Arial"/>
          <w:sz w:val="20"/>
          <w:szCs w:val="20"/>
          <w:lang w:val="en-US"/>
        </w:rPr>
        <w:t xml:space="preserve">from </w:t>
      </w:r>
      <w:r w:rsidR="001F4B79" w:rsidRPr="00785D06">
        <w:rPr>
          <w:rFonts w:cs="Arial"/>
          <w:sz w:val="20"/>
          <w:szCs w:val="20"/>
          <w:lang w:val="en-US"/>
        </w:rPr>
        <w:t>her classmates</w:t>
      </w:r>
      <w:r w:rsidRPr="00785D06">
        <w:rPr>
          <w:rFonts w:cs="Arial"/>
          <w:sz w:val="20"/>
          <w:szCs w:val="20"/>
          <w:lang w:val="en-US"/>
        </w:rPr>
        <w:t>, they called Paola’s mother, who arrived at the</w:t>
      </w:r>
      <w:r w:rsidR="00D64FB7" w:rsidRPr="00785D06">
        <w:rPr>
          <w:rFonts w:cs="Arial"/>
          <w:sz w:val="20"/>
          <w:szCs w:val="20"/>
          <w:lang w:val="en-US"/>
        </w:rPr>
        <w:t xml:space="preserve"> school nearly 30 minutes later</w:t>
      </w:r>
      <w:r w:rsidR="00C001B9" w:rsidRPr="00785D06">
        <w:rPr>
          <w:rFonts w:cs="Arial"/>
          <w:sz w:val="20"/>
          <w:szCs w:val="20"/>
          <w:lang w:val="en-US"/>
        </w:rPr>
        <w:t>,</w:t>
      </w:r>
      <w:r w:rsidRPr="00785D06">
        <w:rPr>
          <w:rFonts w:cs="Arial"/>
          <w:sz w:val="20"/>
          <w:szCs w:val="20"/>
          <w:lang w:val="en-US"/>
        </w:rPr>
        <w:t xml:space="preserve"> accompanied by two pe</w:t>
      </w:r>
      <w:r w:rsidR="00D64FB7" w:rsidRPr="00785D06">
        <w:rPr>
          <w:rFonts w:cs="Arial"/>
          <w:sz w:val="20"/>
          <w:szCs w:val="20"/>
          <w:lang w:val="en-US"/>
        </w:rPr>
        <w:t>ople</w:t>
      </w:r>
      <w:r w:rsidRPr="00785D06">
        <w:rPr>
          <w:rFonts w:cs="Arial"/>
          <w:sz w:val="20"/>
          <w:szCs w:val="20"/>
          <w:lang w:val="en-US"/>
        </w:rPr>
        <w:t xml:space="preserve">, and </w:t>
      </w:r>
      <w:r w:rsidR="00D64FB7" w:rsidRPr="00785D06">
        <w:rPr>
          <w:rFonts w:cs="Arial"/>
          <w:sz w:val="20"/>
          <w:szCs w:val="20"/>
          <w:lang w:val="en-US"/>
        </w:rPr>
        <w:t xml:space="preserve">then </w:t>
      </w:r>
      <w:r w:rsidRPr="00785D06">
        <w:rPr>
          <w:rFonts w:cs="Arial"/>
          <w:sz w:val="20"/>
          <w:szCs w:val="20"/>
          <w:lang w:val="en-US"/>
        </w:rPr>
        <w:t>took Paola away in a taxi (which had been ca</w:t>
      </w:r>
      <w:r w:rsidR="00D64FB7" w:rsidRPr="00785D06">
        <w:rPr>
          <w:rFonts w:cs="Arial"/>
          <w:sz w:val="20"/>
          <w:szCs w:val="20"/>
          <w:lang w:val="en-US"/>
        </w:rPr>
        <w:t>lled by the school authorities)</w:t>
      </w:r>
      <w:r w:rsidRPr="00785D06">
        <w:rPr>
          <w:rFonts w:cs="Arial"/>
          <w:sz w:val="20"/>
          <w:szCs w:val="20"/>
          <w:lang w:val="en-US"/>
        </w:rPr>
        <w:t xml:space="preserve"> to the Hospital Luis Vernaza, where they pumped her stomach. When she did not improve, they took Paola to the Clínica Kennedy</w:t>
      </w:r>
      <w:r w:rsidR="00D64FB7" w:rsidRPr="00785D06">
        <w:rPr>
          <w:rFonts w:cs="Arial"/>
          <w:sz w:val="20"/>
          <w:szCs w:val="20"/>
          <w:lang w:val="en-US"/>
        </w:rPr>
        <w:t>.</w:t>
      </w:r>
      <w:r w:rsidRPr="00785D06">
        <w:rPr>
          <w:rStyle w:val="Refdenotaalpie"/>
          <w:rFonts w:cs="Arial"/>
          <w:sz w:val="20"/>
          <w:szCs w:val="20"/>
          <w:lang w:val="en-US"/>
        </w:rPr>
        <w:footnoteReference w:id="44"/>
      </w:r>
      <w:r w:rsidRPr="00785D06">
        <w:rPr>
          <w:rFonts w:cs="Arial"/>
          <w:sz w:val="20"/>
          <w:szCs w:val="20"/>
          <w:lang w:val="en-US"/>
        </w:rPr>
        <w:t xml:space="preserve"> </w:t>
      </w:r>
    </w:p>
    <w:p w14:paraId="25844F71" w14:textId="77777777" w:rsidR="00C254BF" w:rsidRPr="00785D06" w:rsidRDefault="00C254BF" w:rsidP="00C254BF">
      <w:pPr>
        <w:jc w:val="both"/>
        <w:rPr>
          <w:rFonts w:cs="Arial"/>
          <w:sz w:val="20"/>
          <w:szCs w:val="20"/>
          <w:lang w:val="en-US"/>
        </w:rPr>
      </w:pPr>
    </w:p>
    <w:p w14:paraId="5FE85CF1" w14:textId="77777777" w:rsidR="00C254BF" w:rsidRPr="00785D06" w:rsidRDefault="00C254BF" w:rsidP="00C254BF">
      <w:pPr>
        <w:jc w:val="both"/>
        <w:rPr>
          <w:lang w:val="en-US"/>
        </w:rPr>
      </w:pPr>
      <w:r w:rsidRPr="00785D06">
        <w:rPr>
          <w:rFonts w:cs="Arial"/>
          <w:sz w:val="20"/>
          <w:szCs w:val="20"/>
          <w:lang w:val="en-US"/>
        </w:rPr>
        <w:t>54.</w:t>
      </w:r>
      <w:r w:rsidRPr="00785D06">
        <w:rPr>
          <w:rFonts w:cs="Arial"/>
          <w:sz w:val="20"/>
          <w:szCs w:val="20"/>
          <w:lang w:val="en-US"/>
        </w:rPr>
        <w:tab/>
        <w:t xml:space="preserve">On </w:t>
      </w:r>
      <w:r w:rsidR="00D64FB7" w:rsidRPr="00785D06">
        <w:rPr>
          <w:rFonts w:cs="Arial"/>
          <w:sz w:val="20"/>
          <w:szCs w:val="20"/>
          <w:lang w:val="en-US"/>
        </w:rPr>
        <w:t>the morning of December 13, 2002</w:t>
      </w:r>
      <w:r w:rsidRPr="00785D06">
        <w:rPr>
          <w:rFonts w:cs="Arial"/>
          <w:sz w:val="20"/>
          <w:szCs w:val="20"/>
          <w:lang w:val="en-US"/>
        </w:rPr>
        <w:t xml:space="preserve"> (</w:t>
      </w:r>
      <w:r w:rsidRPr="00785D06">
        <w:rPr>
          <w:rFonts w:cs="Arial"/>
          <w:i/>
          <w:sz w:val="20"/>
          <w:szCs w:val="20"/>
          <w:lang w:val="en-US"/>
        </w:rPr>
        <w:t xml:space="preserve">infra </w:t>
      </w:r>
      <w:r w:rsidRPr="00785D06">
        <w:rPr>
          <w:rFonts w:cs="Arial"/>
          <w:sz w:val="20"/>
          <w:szCs w:val="20"/>
          <w:lang w:val="en-US"/>
        </w:rPr>
        <w:t xml:space="preserve">para. 58), Paola del Rosario Guzmán Albarracín died at the Clínica Kennedy, in the city of Guayaquil, </w:t>
      </w:r>
      <w:r w:rsidR="00C001B9" w:rsidRPr="00785D06">
        <w:rPr>
          <w:rFonts w:cs="Arial"/>
          <w:sz w:val="20"/>
          <w:szCs w:val="20"/>
          <w:lang w:val="en-US"/>
        </w:rPr>
        <w:t xml:space="preserve">as a result of </w:t>
      </w:r>
      <w:r w:rsidR="00D64FB7" w:rsidRPr="00785D06">
        <w:rPr>
          <w:rFonts w:cs="Arial"/>
          <w:sz w:val="20"/>
          <w:szCs w:val="20"/>
          <w:lang w:val="en-US"/>
        </w:rPr>
        <w:t xml:space="preserve">poisoning caused by voluntary ingestion of </w:t>
      </w:r>
      <w:r w:rsidRPr="00785D06">
        <w:rPr>
          <w:rFonts w:cs="Arial"/>
          <w:sz w:val="20"/>
          <w:szCs w:val="20"/>
          <w:lang w:val="en-US"/>
        </w:rPr>
        <w:t>white phosphorus.</w:t>
      </w:r>
      <w:r w:rsidRPr="00785D06">
        <w:rPr>
          <w:rStyle w:val="Refdenotaalpie"/>
          <w:rFonts w:cs="Arial"/>
          <w:sz w:val="20"/>
          <w:szCs w:val="20"/>
          <w:lang w:val="en-US"/>
        </w:rPr>
        <w:footnoteReference w:id="45"/>
      </w:r>
      <w:r w:rsidRPr="00785D06">
        <w:rPr>
          <w:rFonts w:cs="Arial"/>
          <w:b/>
          <w:sz w:val="20"/>
          <w:szCs w:val="20"/>
          <w:lang w:val="en-US"/>
        </w:rPr>
        <w:t xml:space="preserve"> </w:t>
      </w:r>
    </w:p>
    <w:p w14:paraId="704280E9" w14:textId="77777777" w:rsidR="00C254BF" w:rsidRPr="00785D06" w:rsidRDefault="00C254BF" w:rsidP="00C254BF">
      <w:pPr>
        <w:jc w:val="both"/>
        <w:rPr>
          <w:rFonts w:cs="Arial"/>
          <w:sz w:val="20"/>
          <w:szCs w:val="20"/>
          <w:lang w:val="en-US"/>
        </w:rPr>
      </w:pPr>
    </w:p>
    <w:p w14:paraId="4258520C" w14:textId="77777777" w:rsidR="00C254BF" w:rsidRPr="00785D06" w:rsidRDefault="00C254BF" w:rsidP="00C254BF">
      <w:pPr>
        <w:jc w:val="both"/>
        <w:rPr>
          <w:rFonts w:cs="Arial"/>
          <w:sz w:val="20"/>
          <w:szCs w:val="20"/>
          <w:lang w:val="en-US"/>
        </w:rPr>
      </w:pPr>
      <w:r w:rsidRPr="00785D06">
        <w:rPr>
          <w:rFonts w:cs="Arial"/>
          <w:sz w:val="20"/>
          <w:szCs w:val="20"/>
          <w:lang w:val="en-US"/>
        </w:rPr>
        <w:t>55.</w:t>
      </w:r>
      <w:r w:rsidRPr="00785D06">
        <w:rPr>
          <w:rFonts w:cs="Arial"/>
          <w:sz w:val="20"/>
          <w:szCs w:val="20"/>
          <w:lang w:val="en-US"/>
        </w:rPr>
        <w:tab/>
      </w:r>
      <w:r w:rsidR="00D6290E" w:rsidRPr="00785D06">
        <w:rPr>
          <w:rFonts w:cs="Arial"/>
          <w:sz w:val="20"/>
          <w:szCs w:val="20"/>
          <w:lang w:val="en-US"/>
        </w:rPr>
        <w:t>During the public hearing, (</w:t>
      </w:r>
      <w:r w:rsidR="00D6290E" w:rsidRPr="00785D06">
        <w:rPr>
          <w:rFonts w:cs="Arial"/>
          <w:i/>
          <w:sz w:val="20"/>
          <w:szCs w:val="20"/>
          <w:lang w:val="en-US"/>
        </w:rPr>
        <w:t xml:space="preserve">supra </w:t>
      </w:r>
      <w:r w:rsidR="00D6290E" w:rsidRPr="00785D06">
        <w:rPr>
          <w:rFonts w:cs="Arial"/>
          <w:sz w:val="20"/>
          <w:szCs w:val="20"/>
          <w:lang w:val="en-US"/>
        </w:rPr>
        <w:t xml:space="preserve">para. 10) </w:t>
      </w:r>
      <w:r w:rsidRPr="00785D06">
        <w:rPr>
          <w:rFonts w:cs="Arial"/>
          <w:sz w:val="20"/>
          <w:szCs w:val="20"/>
          <w:lang w:val="en-US"/>
        </w:rPr>
        <w:t>Mrs.</w:t>
      </w:r>
      <w:r w:rsidRPr="00785D06">
        <w:rPr>
          <w:rFonts w:cs="Arial"/>
          <w:b/>
          <w:sz w:val="20"/>
          <w:szCs w:val="20"/>
          <w:lang w:val="en-US"/>
        </w:rPr>
        <w:t xml:space="preserve"> </w:t>
      </w:r>
      <w:r w:rsidRPr="00785D06">
        <w:rPr>
          <w:rFonts w:cs="Arial"/>
          <w:sz w:val="20"/>
          <w:szCs w:val="20"/>
          <w:lang w:val="en-US"/>
        </w:rPr>
        <w:t xml:space="preserve">Albarracín </w:t>
      </w:r>
      <w:r w:rsidR="00D6290E" w:rsidRPr="00785D06">
        <w:rPr>
          <w:rFonts w:cs="Arial"/>
          <w:sz w:val="20"/>
          <w:szCs w:val="20"/>
          <w:lang w:val="en-US"/>
        </w:rPr>
        <w:t xml:space="preserve">stated </w:t>
      </w:r>
      <w:r w:rsidRPr="00785D06">
        <w:rPr>
          <w:rFonts w:cs="Arial"/>
          <w:sz w:val="20"/>
          <w:szCs w:val="20"/>
          <w:lang w:val="en-US"/>
        </w:rPr>
        <w:t xml:space="preserve">that </w:t>
      </w:r>
      <w:r w:rsidR="00D6290E" w:rsidRPr="00785D06">
        <w:rPr>
          <w:rFonts w:cs="Arial"/>
          <w:sz w:val="20"/>
          <w:szCs w:val="20"/>
          <w:lang w:val="en-US"/>
        </w:rPr>
        <w:t>on the day</w:t>
      </w:r>
      <w:r w:rsidRPr="00785D06">
        <w:rPr>
          <w:rFonts w:cs="Arial"/>
          <w:sz w:val="20"/>
          <w:szCs w:val="20"/>
          <w:lang w:val="en-US"/>
        </w:rPr>
        <w:t xml:space="preserve"> after her daughter’s death, the </w:t>
      </w:r>
      <w:r w:rsidR="002C5C9C" w:rsidRPr="00785D06">
        <w:rPr>
          <w:rFonts w:cs="Arial"/>
          <w:sz w:val="20"/>
          <w:szCs w:val="20"/>
          <w:lang w:val="en-US"/>
        </w:rPr>
        <w:t xml:space="preserve">medical </w:t>
      </w:r>
      <w:r w:rsidRPr="00785D06">
        <w:rPr>
          <w:rFonts w:cs="Arial"/>
          <w:sz w:val="20"/>
          <w:szCs w:val="20"/>
          <w:lang w:val="en-US"/>
        </w:rPr>
        <w:t>examiner called her and showed her Paola’s body, naked and open</w:t>
      </w:r>
      <w:r w:rsidR="002C5C9C" w:rsidRPr="00785D06">
        <w:rPr>
          <w:rFonts w:cs="Arial"/>
          <w:sz w:val="20"/>
          <w:szCs w:val="20"/>
          <w:lang w:val="en-US"/>
        </w:rPr>
        <w:t>ed up</w:t>
      </w:r>
      <w:r w:rsidRPr="00785D06">
        <w:rPr>
          <w:rFonts w:cs="Arial"/>
          <w:sz w:val="20"/>
          <w:szCs w:val="20"/>
          <w:lang w:val="en-US"/>
        </w:rPr>
        <w:t xml:space="preserve">, with her organs exposed. According to the statement, the doctor “showed </w:t>
      </w:r>
      <w:r w:rsidRPr="00785D06">
        <w:rPr>
          <w:sz w:val="20"/>
          <w:szCs w:val="20"/>
          <w:lang w:val="en-US"/>
        </w:rPr>
        <w:t xml:space="preserve">[her] a small </w:t>
      </w:r>
      <w:r w:rsidR="006B0E93" w:rsidRPr="00785D06">
        <w:rPr>
          <w:sz w:val="20"/>
          <w:szCs w:val="20"/>
          <w:lang w:val="en-US"/>
        </w:rPr>
        <w:t xml:space="preserve">fleshy area </w:t>
      </w:r>
      <w:r w:rsidRPr="00785D06">
        <w:rPr>
          <w:sz w:val="20"/>
          <w:szCs w:val="20"/>
          <w:lang w:val="en-US"/>
        </w:rPr>
        <w:t>and said: ‘ma’am, this is your daughter’s uterus, there’s no pregnancy</w:t>
      </w:r>
      <w:r w:rsidR="002C5C9C" w:rsidRPr="00785D06">
        <w:rPr>
          <w:sz w:val="20"/>
          <w:szCs w:val="20"/>
          <w:lang w:val="en-US"/>
        </w:rPr>
        <w:t>.’”</w:t>
      </w:r>
      <w:r w:rsidRPr="00785D06">
        <w:rPr>
          <w:sz w:val="20"/>
          <w:szCs w:val="20"/>
          <w:lang w:val="en-US"/>
        </w:rPr>
        <w:t xml:space="preserve"> The State did not dispute these facts.</w:t>
      </w:r>
    </w:p>
    <w:p w14:paraId="5150634F" w14:textId="77777777" w:rsidR="00C254BF" w:rsidRPr="00785D06" w:rsidRDefault="00C254BF" w:rsidP="00C254BF">
      <w:pPr>
        <w:pStyle w:val="Prrafodelista"/>
        <w:autoSpaceDE w:val="0"/>
        <w:autoSpaceDN w:val="0"/>
        <w:adjustRightInd w:val="0"/>
        <w:ind w:left="0"/>
        <w:jc w:val="both"/>
        <w:rPr>
          <w:rFonts w:cs="Arial"/>
          <w:sz w:val="20"/>
          <w:szCs w:val="20"/>
          <w:lang w:val="en-US"/>
        </w:rPr>
      </w:pPr>
    </w:p>
    <w:p w14:paraId="13FEBC72" w14:textId="77777777" w:rsidR="00C254BF" w:rsidRPr="00785D06" w:rsidRDefault="00C254BF" w:rsidP="00C254BF">
      <w:pPr>
        <w:pStyle w:val="Prrafodelista"/>
        <w:autoSpaceDE w:val="0"/>
        <w:autoSpaceDN w:val="0"/>
        <w:adjustRightInd w:val="0"/>
        <w:ind w:left="0"/>
        <w:jc w:val="both"/>
        <w:rPr>
          <w:rFonts w:cs="Arial"/>
          <w:sz w:val="20"/>
          <w:szCs w:val="20"/>
          <w:lang w:val="en-US"/>
        </w:rPr>
      </w:pPr>
      <w:r w:rsidRPr="00785D06">
        <w:rPr>
          <w:rFonts w:cs="Arial"/>
          <w:sz w:val="20"/>
          <w:szCs w:val="20"/>
          <w:lang w:val="en-US"/>
        </w:rPr>
        <w:t>56.</w:t>
      </w:r>
      <w:r w:rsidRPr="00785D06">
        <w:rPr>
          <w:rFonts w:cs="Arial"/>
          <w:sz w:val="20"/>
          <w:szCs w:val="20"/>
          <w:lang w:val="en-US"/>
        </w:rPr>
        <w:tab/>
        <w:t xml:space="preserve">Paola left three letters before she died. </w:t>
      </w:r>
      <w:r w:rsidR="002C5C9C" w:rsidRPr="00785D06">
        <w:rPr>
          <w:rFonts w:cs="Arial"/>
          <w:sz w:val="20"/>
          <w:szCs w:val="20"/>
          <w:lang w:val="en-US"/>
        </w:rPr>
        <w:t xml:space="preserve">In </w:t>
      </w:r>
      <w:r w:rsidRPr="00785D06">
        <w:rPr>
          <w:rFonts w:cs="Arial"/>
          <w:sz w:val="20"/>
          <w:szCs w:val="20"/>
          <w:lang w:val="en-US"/>
        </w:rPr>
        <w:t xml:space="preserve">one letter, addressed to the </w:t>
      </w:r>
      <w:r w:rsidR="0097298A" w:rsidRPr="00785D06">
        <w:rPr>
          <w:rFonts w:cs="Arial"/>
          <w:sz w:val="20"/>
          <w:szCs w:val="20"/>
          <w:lang w:val="en-US"/>
        </w:rPr>
        <w:t>vice principal</w:t>
      </w:r>
      <w:r w:rsidRPr="00785D06">
        <w:rPr>
          <w:rFonts w:cs="Arial"/>
          <w:sz w:val="20"/>
          <w:szCs w:val="20"/>
          <w:lang w:val="en-US"/>
        </w:rPr>
        <w:t xml:space="preserve">, </w:t>
      </w:r>
      <w:r w:rsidR="002C5C9C" w:rsidRPr="00785D06">
        <w:rPr>
          <w:rFonts w:cs="Arial"/>
          <w:sz w:val="20"/>
          <w:szCs w:val="20"/>
          <w:lang w:val="en-US"/>
        </w:rPr>
        <w:t xml:space="preserve">Paola </w:t>
      </w:r>
      <w:r w:rsidRPr="00785D06">
        <w:rPr>
          <w:rFonts w:cs="Arial"/>
          <w:sz w:val="20"/>
          <w:szCs w:val="20"/>
          <w:lang w:val="en-US"/>
        </w:rPr>
        <w:t>s</w:t>
      </w:r>
      <w:r w:rsidR="00C001B9" w:rsidRPr="00785D06">
        <w:rPr>
          <w:rFonts w:cs="Arial"/>
          <w:sz w:val="20"/>
          <w:szCs w:val="20"/>
          <w:lang w:val="en-US"/>
        </w:rPr>
        <w:t xml:space="preserve">ays </w:t>
      </w:r>
      <w:r w:rsidRPr="00785D06">
        <w:rPr>
          <w:rFonts w:cs="Arial"/>
          <w:sz w:val="20"/>
          <w:szCs w:val="20"/>
          <w:lang w:val="en-US"/>
        </w:rPr>
        <w:t>that she felt “betrayed” by him, because he “had” many other women, and that she decided to take poison because she could no longer bear “all the things I’ve suffered.”</w:t>
      </w:r>
      <w:r w:rsidRPr="00785D06">
        <w:rPr>
          <w:rStyle w:val="Refdenotaalpie"/>
          <w:rFonts w:cs="Arial"/>
          <w:sz w:val="20"/>
          <w:szCs w:val="20"/>
          <w:lang w:val="en-US"/>
        </w:rPr>
        <w:footnoteReference w:id="46"/>
      </w:r>
      <w:r w:rsidRPr="00785D06">
        <w:rPr>
          <w:rFonts w:cs="Arial"/>
          <w:sz w:val="20"/>
          <w:szCs w:val="20"/>
          <w:lang w:val="en-US"/>
        </w:rPr>
        <w:t xml:space="preserve"> </w:t>
      </w:r>
    </w:p>
    <w:p w14:paraId="2E9026B9" w14:textId="77777777" w:rsidR="00C254BF" w:rsidRPr="00785D06" w:rsidRDefault="00C254BF" w:rsidP="00C254BF">
      <w:pPr>
        <w:pStyle w:val="Prrafodelista"/>
        <w:autoSpaceDE w:val="0"/>
        <w:autoSpaceDN w:val="0"/>
        <w:adjustRightInd w:val="0"/>
        <w:ind w:left="0"/>
        <w:jc w:val="both"/>
        <w:rPr>
          <w:rFonts w:cs="Arial"/>
          <w:i/>
          <w:sz w:val="20"/>
          <w:szCs w:val="20"/>
          <w:lang w:val="en-US"/>
        </w:rPr>
      </w:pPr>
    </w:p>
    <w:p w14:paraId="6B2A61B8" w14:textId="77777777" w:rsidR="00C254BF" w:rsidRPr="00785D06" w:rsidRDefault="00C254BF" w:rsidP="00C254BF">
      <w:pPr>
        <w:pStyle w:val="Prrafodelista"/>
        <w:numPr>
          <w:ilvl w:val="0"/>
          <w:numId w:val="16"/>
        </w:numPr>
        <w:ind w:left="284" w:firstLine="0"/>
        <w:contextualSpacing w:val="0"/>
        <w:jc w:val="both"/>
        <w:outlineLvl w:val="1"/>
        <w:rPr>
          <w:rFonts w:cs="Arial"/>
          <w:b/>
          <w:i/>
          <w:sz w:val="20"/>
          <w:szCs w:val="20"/>
          <w:lang w:val="en-US"/>
        </w:rPr>
      </w:pPr>
      <w:bookmarkStart w:id="81" w:name="_Toc30010291"/>
      <w:bookmarkStart w:id="82" w:name="_Toc40466538"/>
      <w:bookmarkStart w:id="83" w:name="_Toc42498041"/>
      <w:bookmarkStart w:id="84" w:name="_Toc46937289"/>
      <w:r w:rsidRPr="00785D06">
        <w:rPr>
          <w:rFonts w:cs="Arial"/>
          <w:b/>
          <w:i/>
          <w:sz w:val="20"/>
          <w:szCs w:val="20"/>
          <w:lang w:val="en-US"/>
        </w:rPr>
        <w:t>Investigation and criminal proceedings after the death of Paola Guzmán Albarracín</w:t>
      </w:r>
      <w:bookmarkEnd w:id="81"/>
      <w:bookmarkEnd w:id="82"/>
      <w:bookmarkEnd w:id="83"/>
      <w:bookmarkEnd w:id="84"/>
      <w:r w:rsidRPr="00785D06">
        <w:rPr>
          <w:rFonts w:cs="Arial"/>
          <w:b/>
          <w:i/>
          <w:sz w:val="20"/>
          <w:szCs w:val="20"/>
          <w:lang w:val="en-US"/>
        </w:rPr>
        <w:t xml:space="preserve"> </w:t>
      </w:r>
    </w:p>
    <w:p w14:paraId="53F3B9DE" w14:textId="77777777" w:rsidR="00C254BF" w:rsidRPr="00785D06" w:rsidRDefault="00C254BF" w:rsidP="00C254BF">
      <w:pPr>
        <w:pStyle w:val="Prrafodelista"/>
        <w:ind w:left="927"/>
        <w:contextualSpacing w:val="0"/>
        <w:jc w:val="both"/>
        <w:rPr>
          <w:rFonts w:cstheme="minorBidi"/>
          <w:sz w:val="20"/>
          <w:szCs w:val="20"/>
          <w:lang w:val="en-US"/>
        </w:rPr>
      </w:pPr>
    </w:p>
    <w:p w14:paraId="482E5463" w14:textId="77777777" w:rsidR="00C254BF" w:rsidRPr="00785D06" w:rsidRDefault="00C254BF" w:rsidP="00C254BF">
      <w:pPr>
        <w:pStyle w:val="Prrafodelista"/>
        <w:ind w:left="0"/>
        <w:contextualSpacing w:val="0"/>
        <w:jc w:val="both"/>
        <w:rPr>
          <w:rFonts w:cstheme="minorBidi"/>
          <w:sz w:val="20"/>
          <w:szCs w:val="20"/>
          <w:lang w:val="en-US"/>
        </w:rPr>
      </w:pPr>
      <w:r w:rsidRPr="00785D06">
        <w:rPr>
          <w:rFonts w:cs="Arial"/>
          <w:sz w:val="20"/>
          <w:szCs w:val="20"/>
          <w:lang w:val="en-US"/>
        </w:rPr>
        <w:t>57.</w:t>
      </w:r>
      <w:r w:rsidRPr="00785D06">
        <w:rPr>
          <w:rFonts w:cs="Arial"/>
          <w:sz w:val="20"/>
          <w:szCs w:val="20"/>
          <w:lang w:val="en-US"/>
        </w:rPr>
        <w:tab/>
        <w:t xml:space="preserve">On December 13, 2002, </w:t>
      </w:r>
      <w:r w:rsidR="006B0E93" w:rsidRPr="00785D06">
        <w:rPr>
          <w:rFonts w:cs="Arial"/>
          <w:sz w:val="20"/>
          <w:szCs w:val="20"/>
          <w:lang w:val="en-US"/>
        </w:rPr>
        <w:t xml:space="preserve">a </w:t>
      </w:r>
      <w:r w:rsidRPr="00785D06">
        <w:rPr>
          <w:rFonts w:cs="Arial"/>
          <w:sz w:val="20"/>
          <w:szCs w:val="20"/>
          <w:lang w:val="en-US"/>
        </w:rPr>
        <w:t xml:space="preserve">police report </w:t>
      </w:r>
      <w:r w:rsidR="006B0E93" w:rsidRPr="00785D06">
        <w:rPr>
          <w:rFonts w:cs="Arial"/>
          <w:sz w:val="20"/>
          <w:szCs w:val="20"/>
          <w:lang w:val="en-US"/>
        </w:rPr>
        <w:t xml:space="preserve">was </w:t>
      </w:r>
      <w:r w:rsidRPr="00785D06">
        <w:rPr>
          <w:rFonts w:cs="Arial"/>
          <w:sz w:val="20"/>
          <w:szCs w:val="20"/>
          <w:lang w:val="en-US"/>
        </w:rPr>
        <w:t xml:space="preserve">sent to the </w:t>
      </w:r>
      <w:r w:rsidR="00982285" w:rsidRPr="00785D06">
        <w:rPr>
          <w:rFonts w:cs="Arial"/>
          <w:sz w:val="20"/>
          <w:szCs w:val="20"/>
          <w:lang w:val="en-US"/>
        </w:rPr>
        <w:t xml:space="preserve">District </w:t>
      </w:r>
      <w:r w:rsidRPr="00785D06">
        <w:rPr>
          <w:rFonts w:cs="Arial"/>
          <w:sz w:val="20"/>
          <w:szCs w:val="20"/>
          <w:lang w:val="en-US"/>
        </w:rPr>
        <w:t xml:space="preserve">Prosecutor of Guayas, informing him </w:t>
      </w:r>
      <w:r w:rsidR="006B0E93" w:rsidRPr="00785D06">
        <w:rPr>
          <w:rFonts w:cs="Arial"/>
          <w:sz w:val="20"/>
          <w:szCs w:val="20"/>
          <w:lang w:val="en-US"/>
        </w:rPr>
        <w:t>of the official removal of Paola’s body from</w:t>
      </w:r>
      <w:r w:rsidRPr="00785D06">
        <w:rPr>
          <w:rFonts w:cs="Arial"/>
          <w:sz w:val="20"/>
          <w:szCs w:val="20"/>
          <w:lang w:val="en-US"/>
        </w:rPr>
        <w:t xml:space="preserve"> the morgue of the “Clínica Kennedy</w:t>
      </w:r>
      <w:r w:rsidR="0090680A" w:rsidRPr="00785D06">
        <w:rPr>
          <w:rFonts w:cs="Arial"/>
          <w:sz w:val="20"/>
          <w:szCs w:val="20"/>
          <w:lang w:val="en-US"/>
        </w:rPr>
        <w:t>.</w:t>
      </w:r>
      <w:r w:rsidRPr="00785D06">
        <w:rPr>
          <w:rFonts w:cs="Arial"/>
          <w:sz w:val="20"/>
          <w:szCs w:val="20"/>
          <w:lang w:val="en-US"/>
        </w:rPr>
        <w:t>”</w:t>
      </w:r>
      <w:r w:rsidRPr="00785D06">
        <w:rPr>
          <w:rStyle w:val="Refdenotaalpie"/>
          <w:rFonts w:cs="Arial"/>
          <w:sz w:val="20"/>
          <w:szCs w:val="20"/>
          <w:lang w:val="en-US"/>
        </w:rPr>
        <w:footnoteReference w:id="47"/>
      </w:r>
      <w:r w:rsidRPr="00785D06">
        <w:rPr>
          <w:rFonts w:cs="Arial"/>
          <w:b/>
          <w:sz w:val="20"/>
          <w:szCs w:val="20"/>
          <w:lang w:val="en-US"/>
        </w:rPr>
        <w:t xml:space="preserve"> </w:t>
      </w:r>
    </w:p>
    <w:p w14:paraId="34683288" w14:textId="77777777" w:rsidR="00C254BF" w:rsidRPr="00785D06" w:rsidRDefault="00C254BF" w:rsidP="00C254BF">
      <w:pPr>
        <w:jc w:val="both"/>
        <w:rPr>
          <w:rFonts w:cs="Arial"/>
          <w:sz w:val="20"/>
          <w:szCs w:val="20"/>
          <w:lang w:val="en-US"/>
        </w:rPr>
      </w:pPr>
    </w:p>
    <w:p w14:paraId="1C6759B5" w14:textId="77777777" w:rsidR="00C254BF" w:rsidRPr="00785D06" w:rsidRDefault="00C254BF" w:rsidP="00C254BF">
      <w:pPr>
        <w:jc w:val="both"/>
        <w:rPr>
          <w:rFonts w:cs="Arial"/>
          <w:sz w:val="20"/>
          <w:szCs w:val="20"/>
          <w:lang w:val="en-US"/>
        </w:rPr>
      </w:pPr>
      <w:r w:rsidRPr="00785D06">
        <w:rPr>
          <w:rFonts w:cs="Arial"/>
          <w:sz w:val="20"/>
          <w:szCs w:val="20"/>
          <w:lang w:val="en-US"/>
        </w:rPr>
        <w:t>58.</w:t>
      </w:r>
      <w:r w:rsidRPr="00785D06">
        <w:rPr>
          <w:rFonts w:cs="Arial"/>
          <w:sz w:val="20"/>
          <w:szCs w:val="20"/>
          <w:lang w:val="en-US"/>
        </w:rPr>
        <w:tab/>
        <w:t xml:space="preserve">That same day, the duty prosecutor </w:t>
      </w:r>
      <w:r w:rsidR="00982285" w:rsidRPr="00785D06">
        <w:rPr>
          <w:rFonts w:cs="Arial"/>
          <w:sz w:val="20"/>
          <w:szCs w:val="20"/>
          <w:lang w:val="en-US"/>
        </w:rPr>
        <w:t xml:space="preserve">for </w:t>
      </w:r>
      <w:r w:rsidRPr="00785D06">
        <w:rPr>
          <w:rFonts w:cs="Arial"/>
          <w:sz w:val="20"/>
          <w:szCs w:val="20"/>
          <w:lang w:val="en-US"/>
        </w:rPr>
        <w:t xml:space="preserve">homicides sent the Provincial Chief of the Civil Registry of Guayaquil the autopsy </w:t>
      </w:r>
      <w:r w:rsidR="00982285" w:rsidRPr="00785D06">
        <w:rPr>
          <w:rFonts w:cs="Arial"/>
          <w:sz w:val="20"/>
          <w:szCs w:val="20"/>
          <w:lang w:val="en-US"/>
        </w:rPr>
        <w:t xml:space="preserve">protocol in order </w:t>
      </w:r>
      <w:r w:rsidRPr="00785D06">
        <w:rPr>
          <w:rFonts w:cs="Arial"/>
          <w:sz w:val="20"/>
          <w:szCs w:val="20"/>
          <w:lang w:val="en-US"/>
        </w:rPr>
        <w:t xml:space="preserve">to register the death. </w:t>
      </w:r>
      <w:r w:rsidR="00982285" w:rsidRPr="00785D06">
        <w:rPr>
          <w:rFonts w:cs="Arial"/>
          <w:sz w:val="20"/>
          <w:szCs w:val="20"/>
          <w:lang w:val="en-US"/>
        </w:rPr>
        <w:t>B</w:t>
      </w:r>
      <w:r w:rsidRPr="00785D06">
        <w:rPr>
          <w:rFonts w:cs="Arial"/>
          <w:sz w:val="20"/>
          <w:szCs w:val="20"/>
          <w:lang w:val="en-US"/>
        </w:rPr>
        <w:t xml:space="preserve">ased on the autopsy </w:t>
      </w:r>
      <w:r w:rsidR="00982285" w:rsidRPr="00785D06">
        <w:rPr>
          <w:rFonts w:cs="Arial"/>
          <w:sz w:val="20"/>
          <w:szCs w:val="20"/>
          <w:lang w:val="en-US"/>
        </w:rPr>
        <w:t xml:space="preserve">conducted by </w:t>
      </w:r>
      <w:r w:rsidRPr="00785D06">
        <w:rPr>
          <w:rFonts w:cs="Arial"/>
          <w:sz w:val="20"/>
          <w:szCs w:val="20"/>
          <w:lang w:val="en-US"/>
        </w:rPr>
        <w:t xml:space="preserve">forensic </w:t>
      </w:r>
      <w:r w:rsidR="00982285" w:rsidRPr="00785D06">
        <w:rPr>
          <w:rFonts w:cs="Arial"/>
          <w:sz w:val="20"/>
          <w:szCs w:val="20"/>
          <w:lang w:val="en-US"/>
        </w:rPr>
        <w:t xml:space="preserve">doctors </w:t>
      </w:r>
      <w:r w:rsidRPr="00785D06">
        <w:rPr>
          <w:rFonts w:cs="Arial"/>
          <w:sz w:val="20"/>
          <w:szCs w:val="20"/>
          <w:lang w:val="en-US"/>
        </w:rPr>
        <w:t xml:space="preserve">of the National Police of Guayas, </w:t>
      </w:r>
      <w:r w:rsidR="00982285" w:rsidRPr="00785D06">
        <w:rPr>
          <w:rFonts w:cs="Arial"/>
          <w:sz w:val="20"/>
          <w:szCs w:val="20"/>
          <w:lang w:val="en-US"/>
        </w:rPr>
        <w:t xml:space="preserve">the death certificate stated that </w:t>
      </w:r>
      <w:r w:rsidRPr="00785D06">
        <w:rPr>
          <w:rFonts w:cs="Arial"/>
          <w:sz w:val="20"/>
          <w:szCs w:val="20"/>
          <w:lang w:val="en-US"/>
        </w:rPr>
        <w:t xml:space="preserve">the cause of death </w:t>
      </w:r>
      <w:r w:rsidR="00982285" w:rsidRPr="00785D06">
        <w:rPr>
          <w:rFonts w:cs="Arial"/>
          <w:sz w:val="20"/>
          <w:szCs w:val="20"/>
          <w:lang w:val="en-US"/>
        </w:rPr>
        <w:t xml:space="preserve">was </w:t>
      </w:r>
      <w:r w:rsidRPr="00785D06">
        <w:rPr>
          <w:rFonts w:cs="Arial"/>
          <w:sz w:val="20"/>
          <w:szCs w:val="20"/>
          <w:lang w:val="en-US"/>
        </w:rPr>
        <w:t>“acute pulmonary edema and hemorrhagic pancreatitis.”</w:t>
      </w:r>
      <w:r w:rsidRPr="00785D06">
        <w:rPr>
          <w:rFonts w:cs="Arial"/>
          <w:sz w:val="20"/>
          <w:szCs w:val="20"/>
          <w:vertAlign w:val="superscript"/>
          <w:lang w:val="en-US"/>
        </w:rPr>
        <w:footnoteReference w:id="48"/>
      </w:r>
      <w:r w:rsidRPr="00785D06">
        <w:rPr>
          <w:rFonts w:cs="Arial"/>
          <w:sz w:val="20"/>
          <w:szCs w:val="20"/>
          <w:lang w:val="en-US"/>
        </w:rPr>
        <w:t xml:space="preserve"> </w:t>
      </w:r>
      <w:r w:rsidR="009945B1" w:rsidRPr="00785D06">
        <w:rPr>
          <w:rFonts w:cs="Arial"/>
          <w:sz w:val="20"/>
          <w:szCs w:val="20"/>
          <w:lang w:val="en-US"/>
        </w:rPr>
        <w:t>The autopsy</w:t>
      </w:r>
      <w:r w:rsidR="00982285" w:rsidRPr="00785D06">
        <w:rPr>
          <w:rFonts w:cs="Arial"/>
          <w:sz w:val="20"/>
          <w:szCs w:val="20"/>
          <w:lang w:val="en-US"/>
        </w:rPr>
        <w:t xml:space="preserve"> performed </w:t>
      </w:r>
      <w:r w:rsidR="009945B1" w:rsidRPr="00785D06">
        <w:rPr>
          <w:rFonts w:cs="Arial"/>
          <w:sz w:val="20"/>
          <w:szCs w:val="20"/>
          <w:lang w:val="en-US"/>
        </w:rPr>
        <w:t xml:space="preserve">later </w:t>
      </w:r>
      <w:r w:rsidR="00982285" w:rsidRPr="00785D06">
        <w:rPr>
          <w:rFonts w:cs="Arial"/>
          <w:sz w:val="20"/>
          <w:szCs w:val="20"/>
          <w:lang w:val="en-US"/>
        </w:rPr>
        <w:t>that day (December 13)</w:t>
      </w:r>
      <w:r w:rsidRPr="00785D06">
        <w:rPr>
          <w:rFonts w:cs="Arial"/>
          <w:sz w:val="20"/>
          <w:szCs w:val="20"/>
          <w:lang w:val="en-US"/>
        </w:rPr>
        <w:t xml:space="preserve"> at 14:30, concluded that: “</w:t>
      </w:r>
      <w:r w:rsidR="003E3D69" w:rsidRPr="00785D06">
        <w:rPr>
          <w:rFonts w:cs="Arial"/>
          <w:sz w:val="20"/>
          <w:szCs w:val="20"/>
          <w:lang w:val="en-US"/>
        </w:rPr>
        <w:t xml:space="preserve">The cadaver is </w:t>
      </w:r>
      <w:r w:rsidR="00982285" w:rsidRPr="00785D06">
        <w:rPr>
          <w:rFonts w:cs="Arial"/>
          <w:sz w:val="20"/>
          <w:szCs w:val="20"/>
          <w:lang w:val="en-US"/>
        </w:rPr>
        <w:t xml:space="preserve">of </w:t>
      </w:r>
      <w:r w:rsidRPr="00785D06">
        <w:rPr>
          <w:rFonts w:cs="Arial"/>
          <w:sz w:val="20"/>
          <w:szCs w:val="20"/>
          <w:lang w:val="en-US"/>
        </w:rPr>
        <w:t>female sex, m</w:t>
      </w:r>
      <w:r w:rsidR="003E3D69" w:rsidRPr="00785D06">
        <w:rPr>
          <w:rFonts w:cs="Arial"/>
          <w:sz w:val="20"/>
          <w:szCs w:val="20"/>
          <w:lang w:val="en-US"/>
        </w:rPr>
        <w:t>ixed race, 16 years of age, 157 cms.</w:t>
      </w:r>
      <w:r w:rsidRPr="00785D06">
        <w:rPr>
          <w:rFonts w:cs="Arial"/>
          <w:sz w:val="20"/>
          <w:szCs w:val="20"/>
          <w:lang w:val="en-US"/>
        </w:rPr>
        <w:t xml:space="preserve"> </w:t>
      </w:r>
      <w:r w:rsidR="003E3D69" w:rsidRPr="00785D06">
        <w:rPr>
          <w:rFonts w:cs="Arial"/>
          <w:sz w:val="20"/>
          <w:szCs w:val="20"/>
          <w:lang w:val="en-US"/>
        </w:rPr>
        <w:t>tall</w:t>
      </w:r>
      <w:r w:rsidRPr="00785D06">
        <w:rPr>
          <w:rFonts w:cs="Arial"/>
          <w:sz w:val="20"/>
          <w:szCs w:val="20"/>
          <w:lang w:val="en-US"/>
        </w:rPr>
        <w:t xml:space="preserve">, </w:t>
      </w:r>
      <w:r w:rsidR="003E3D69" w:rsidRPr="00785D06">
        <w:rPr>
          <w:rFonts w:cs="Arial"/>
          <w:sz w:val="20"/>
          <w:szCs w:val="20"/>
          <w:lang w:val="en-US"/>
        </w:rPr>
        <w:t xml:space="preserve">and </w:t>
      </w:r>
      <w:r w:rsidRPr="00785D06">
        <w:rPr>
          <w:rFonts w:cs="Arial"/>
          <w:sz w:val="20"/>
          <w:szCs w:val="20"/>
          <w:lang w:val="en-US"/>
        </w:rPr>
        <w:t>died within the last 4 to 5 hours approximately, v</w:t>
      </w:r>
      <w:r w:rsidR="003E3D69" w:rsidRPr="00785D06">
        <w:rPr>
          <w:rFonts w:cs="Arial"/>
          <w:sz w:val="20"/>
          <w:szCs w:val="20"/>
          <w:lang w:val="en-US"/>
        </w:rPr>
        <w:t>ictim of: ACUTE PULMONARY EDEMA, which caused her</w:t>
      </w:r>
      <w:r w:rsidRPr="00785D06">
        <w:rPr>
          <w:rFonts w:cs="Arial"/>
          <w:sz w:val="20"/>
          <w:szCs w:val="20"/>
          <w:lang w:val="en-US"/>
        </w:rPr>
        <w:t xml:space="preserve"> death.”</w:t>
      </w:r>
      <w:r w:rsidRPr="00785D06">
        <w:rPr>
          <w:rFonts w:cs="Arial"/>
          <w:sz w:val="20"/>
          <w:szCs w:val="20"/>
          <w:vertAlign w:val="superscript"/>
          <w:lang w:val="en-US"/>
        </w:rPr>
        <w:footnoteReference w:id="49"/>
      </w:r>
      <w:r w:rsidRPr="00785D06">
        <w:rPr>
          <w:rFonts w:cs="Arial"/>
          <w:sz w:val="20"/>
          <w:szCs w:val="20"/>
          <w:lang w:val="en-US"/>
        </w:rPr>
        <w:t xml:space="preserve"> </w:t>
      </w:r>
    </w:p>
    <w:p w14:paraId="43E9477A" w14:textId="77777777" w:rsidR="00C254BF" w:rsidRPr="00785D06" w:rsidRDefault="00C254BF" w:rsidP="00C254BF">
      <w:pPr>
        <w:jc w:val="both"/>
        <w:rPr>
          <w:rFonts w:cs="Arial"/>
          <w:sz w:val="20"/>
          <w:szCs w:val="20"/>
          <w:lang w:val="en-US"/>
        </w:rPr>
      </w:pPr>
    </w:p>
    <w:p w14:paraId="6767DB2D" w14:textId="77777777" w:rsidR="00C254BF" w:rsidRPr="00785D06" w:rsidRDefault="00C254BF" w:rsidP="00C254BF">
      <w:pPr>
        <w:jc w:val="both"/>
        <w:rPr>
          <w:rFonts w:cs="Arial"/>
          <w:sz w:val="20"/>
          <w:szCs w:val="20"/>
          <w:lang w:val="en-US"/>
        </w:rPr>
      </w:pPr>
      <w:r w:rsidRPr="00785D06">
        <w:rPr>
          <w:rFonts w:cs="Arial"/>
          <w:sz w:val="20"/>
          <w:szCs w:val="20"/>
          <w:lang w:val="en-US"/>
        </w:rPr>
        <w:t>59.</w:t>
      </w:r>
      <w:r w:rsidRPr="00785D06">
        <w:rPr>
          <w:rFonts w:cs="Arial"/>
          <w:sz w:val="20"/>
          <w:szCs w:val="20"/>
          <w:lang w:val="en-US"/>
        </w:rPr>
        <w:tab/>
        <w:t xml:space="preserve">On December 17, 2002, Paola’s father filed a complaint </w:t>
      </w:r>
      <w:r w:rsidR="009945B1" w:rsidRPr="00785D06">
        <w:rPr>
          <w:rFonts w:cs="Arial"/>
          <w:sz w:val="20"/>
          <w:szCs w:val="20"/>
          <w:lang w:val="en-US"/>
        </w:rPr>
        <w:t xml:space="preserve">against the vice principal </w:t>
      </w:r>
      <w:r w:rsidRPr="00785D06">
        <w:rPr>
          <w:rFonts w:cs="Arial"/>
          <w:sz w:val="20"/>
          <w:szCs w:val="20"/>
          <w:lang w:val="en-US"/>
        </w:rPr>
        <w:t xml:space="preserve">before the </w:t>
      </w:r>
      <w:r w:rsidR="009945B1" w:rsidRPr="00785D06">
        <w:rPr>
          <w:rFonts w:cs="Arial"/>
          <w:sz w:val="20"/>
          <w:szCs w:val="20"/>
          <w:lang w:val="en-US"/>
        </w:rPr>
        <w:t xml:space="preserve">Office of </w:t>
      </w:r>
      <w:r w:rsidRPr="00785D06">
        <w:rPr>
          <w:rFonts w:cs="Arial"/>
          <w:sz w:val="20"/>
          <w:szCs w:val="20"/>
          <w:lang w:val="en-US"/>
        </w:rPr>
        <w:t>Prosec</w:t>
      </w:r>
      <w:r w:rsidR="009945B1" w:rsidRPr="00785D06">
        <w:rPr>
          <w:rFonts w:cs="Arial"/>
          <w:sz w:val="20"/>
          <w:szCs w:val="20"/>
          <w:lang w:val="en-US"/>
        </w:rPr>
        <w:t xml:space="preserve">utor </w:t>
      </w:r>
      <w:r w:rsidRPr="00785D06">
        <w:rPr>
          <w:rFonts w:cs="Arial"/>
          <w:sz w:val="20"/>
          <w:szCs w:val="20"/>
          <w:lang w:val="en-US"/>
        </w:rPr>
        <w:t xml:space="preserve">of Guayas </w:t>
      </w:r>
      <w:r w:rsidR="009945B1" w:rsidRPr="00785D06">
        <w:rPr>
          <w:rFonts w:cs="Arial"/>
          <w:sz w:val="20"/>
          <w:szCs w:val="20"/>
          <w:lang w:val="en-US"/>
        </w:rPr>
        <w:t xml:space="preserve">over </w:t>
      </w:r>
      <w:r w:rsidRPr="00785D06">
        <w:rPr>
          <w:rFonts w:cs="Arial"/>
          <w:sz w:val="20"/>
          <w:szCs w:val="20"/>
          <w:lang w:val="en-US"/>
        </w:rPr>
        <w:t xml:space="preserve">the death of his daughter, </w:t>
      </w:r>
      <w:r w:rsidR="009945B1" w:rsidRPr="00785D06">
        <w:rPr>
          <w:rFonts w:cs="Arial"/>
          <w:sz w:val="20"/>
          <w:szCs w:val="20"/>
          <w:lang w:val="en-US"/>
        </w:rPr>
        <w:t>requesting an investigation</w:t>
      </w:r>
      <w:r w:rsidRPr="00785D06">
        <w:rPr>
          <w:rFonts w:cs="Arial"/>
          <w:sz w:val="20"/>
          <w:szCs w:val="20"/>
          <w:lang w:val="en-US"/>
        </w:rPr>
        <w:t xml:space="preserve"> </w:t>
      </w:r>
      <w:r w:rsidR="009945B1" w:rsidRPr="00785D06">
        <w:rPr>
          <w:rFonts w:cs="Arial"/>
          <w:sz w:val="20"/>
          <w:szCs w:val="20"/>
          <w:lang w:val="en-US"/>
        </w:rPr>
        <w:t xml:space="preserve">of his </w:t>
      </w:r>
      <w:r w:rsidRPr="00785D06">
        <w:rPr>
          <w:rFonts w:cs="Arial"/>
          <w:sz w:val="20"/>
          <w:szCs w:val="20"/>
          <w:lang w:val="en-US"/>
        </w:rPr>
        <w:t xml:space="preserve">responsibility </w:t>
      </w:r>
      <w:r w:rsidR="009945B1" w:rsidRPr="00785D06">
        <w:rPr>
          <w:rFonts w:cs="Arial"/>
          <w:sz w:val="20"/>
          <w:szCs w:val="20"/>
          <w:lang w:val="en-US"/>
        </w:rPr>
        <w:t>for that event. In the</w:t>
      </w:r>
      <w:r w:rsidRPr="00785D06">
        <w:rPr>
          <w:rFonts w:cs="Arial"/>
          <w:sz w:val="20"/>
          <w:szCs w:val="20"/>
          <w:lang w:val="en-US"/>
        </w:rPr>
        <w:t xml:space="preserve"> complaint </w:t>
      </w:r>
      <w:r w:rsidR="009945B1" w:rsidRPr="00785D06">
        <w:rPr>
          <w:rFonts w:cs="Arial"/>
          <w:sz w:val="20"/>
          <w:szCs w:val="20"/>
          <w:lang w:val="en-US"/>
        </w:rPr>
        <w:t xml:space="preserve">Mr. Guzmán Bustos stated </w:t>
      </w:r>
      <w:r w:rsidRPr="00785D06">
        <w:rPr>
          <w:rFonts w:cs="Arial"/>
          <w:sz w:val="20"/>
          <w:szCs w:val="20"/>
          <w:lang w:val="en-US"/>
        </w:rPr>
        <w:t xml:space="preserve">that “it is public knowledge that [Paola’s] decision to swallow the poison in the </w:t>
      </w:r>
      <w:r w:rsidRPr="00785D06">
        <w:rPr>
          <w:rFonts w:cs="Arial"/>
          <w:i/>
          <w:sz w:val="20"/>
          <w:szCs w:val="20"/>
          <w:lang w:val="en-US"/>
        </w:rPr>
        <w:t>diablillos</w:t>
      </w:r>
      <w:r w:rsidRPr="00785D06">
        <w:rPr>
          <w:rFonts w:cs="Arial"/>
          <w:sz w:val="20"/>
          <w:szCs w:val="20"/>
          <w:lang w:val="en-US"/>
        </w:rPr>
        <w:t xml:space="preserve"> […] was </w:t>
      </w:r>
      <w:r w:rsidR="009945B1" w:rsidRPr="00785D06">
        <w:rPr>
          <w:rFonts w:cs="Arial"/>
          <w:sz w:val="20"/>
          <w:szCs w:val="20"/>
          <w:lang w:val="en-US"/>
        </w:rPr>
        <w:t xml:space="preserve">in response </w:t>
      </w:r>
      <w:r w:rsidRPr="00785D06">
        <w:rPr>
          <w:rFonts w:cs="Arial"/>
          <w:sz w:val="20"/>
          <w:szCs w:val="20"/>
          <w:lang w:val="en-US"/>
        </w:rPr>
        <w:t>to a</w:t>
      </w:r>
      <w:r w:rsidR="009945B1" w:rsidRPr="00785D06">
        <w:rPr>
          <w:rFonts w:cs="Arial"/>
          <w:sz w:val="20"/>
          <w:szCs w:val="20"/>
          <w:lang w:val="en-US"/>
        </w:rPr>
        <w:t xml:space="preserve"> romantic </w:t>
      </w:r>
      <w:r w:rsidRPr="00785D06">
        <w:rPr>
          <w:rFonts w:cs="Arial"/>
          <w:sz w:val="20"/>
          <w:szCs w:val="20"/>
          <w:lang w:val="en-US"/>
        </w:rPr>
        <w:t xml:space="preserve">disappointment, since the school’s </w:t>
      </w:r>
      <w:r w:rsidR="0097298A" w:rsidRPr="00785D06">
        <w:rPr>
          <w:rFonts w:cs="Arial"/>
          <w:sz w:val="20"/>
          <w:szCs w:val="20"/>
          <w:lang w:val="en-US"/>
        </w:rPr>
        <w:t>vice principal</w:t>
      </w:r>
      <w:r w:rsidRPr="00785D06">
        <w:rPr>
          <w:rFonts w:cs="Arial"/>
          <w:sz w:val="20"/>
          <w:szCs w:val="20"/>
          <w:lang w:val="en-US"/>
        </w:rPr>
        <w:t xml:space="preserve">, Mr. Bolívar [Eduardo] Espín Zurita, had seduced </w:t>
      </w:r>
      <w:r w:rsidR="009945B1" w:rsidRPr="00785D06">
        <w:rPr>
          <w:rFonts w:cs="Arial"/>
          <w:sz w:val="20"/>
          <w:szCs w:val="20"/>
          <w:lang w:val="en-US"/>
        </w:rPr>
        <w:t>my daughter</w:t>
      </w:r>
      <w:r w:rsidRPr="00785D06">
        <w:rPr>
          <w:rFonts w:cs="Arial"/>
          <w:sz w:val="20"/>
          <w:szCs w:val="20"/>
          <w:lang w:val="en-US"/>
        </w:rPr>
        <w:t xml:space="preserve">.” With the complaint, he attached </w:t>
      </w:r>
      <w:r w:rsidR="009945B1" w:rsidRPr="00785D06">
        <w:rPr>
          <w:rFonts w:cs="Arial"/>
          <w:sz w:val="20"/>
          <w:szCs w:val="20"/>
          <w:lang w:val="en-US"/>
        </w:rPr>
        <w:t xml:space="preserve">various </w:t>
      </w:r>
      <w:r w:rsidRPr="00785D06">
        <w:rPr>
          <w:rFonts w:cs="Arial"/>
          <w:sz w:val="20"/>
          <w:szCs w:val="20"/>
          <w:lang w:val="en-US"/>
        </w:rPr>
        <w:t>letters written by Paola to her mother and to Mr. Bolívar Espín</w:t>
      </w:r>
      <w:r w:rsidR="009945B1" w:rsidRPr="00785D06">
        <w:rPr>
          <w:rFonts w:cs="Arial"/>
          <w:sz w:val="20"/>
          <w:szCs w:val="20"/>
          <w:lang w:val="en-US"/>
        </w:rPr>
        <w:t>.</w:t>
      </w:r>
      <w:r w:rsidRPr="00785D06">
        <w:rPr>
          <w:rFonts w:cs="Arial"/>
          <w:sz w:val="20"/>
          <w:szCs w:val="20"/>
          <w:vertAlign w:val="superscript"/>
          <w:lang w:val="en-US"/>
        </w:rPr>
        <w:footnoteReference w:id="50"/>
      </w:r>
      <w:r w:rsidRPr="00785D06">
        <w:rPr>
          <w:rFonts w:cs="Arial"/>
          <w:sz w:val="20"/>
          <w:szCs w:val="20"/>
          <w:lang w:val="en-US"/>
        </w:rPr>
        <w:t xml:space="preserve"> </w:t>
      </w:r>
    </w:p>
    <w:p w14:paraId="16502E9C" w14:textId="77777777" w:rsidR="00C254BF" w:rsidRPr="00785D06" w:rsidRDefault="00C254BF" w:rsidP="00C254BF">
      <w:pPr>
        <w:jc w:val="both"/>
        <w:rPr>
          <w:rFonts w:cs="Arial"/>
          <w:sz w:val="20"/>
          <w:szCs w:val="20"/>
          <w:lang w:val="en-US"/>
        </w:rPr>
      </w:pPr>
    </w:p>
    <w:p w14:paraId="1D18C14F" w14:textId="77777777" w:rsidR="00C254BF" w:rsidRPr="00785D06" w:rsidRDefault="00C254BF" w:rsidP="00C254BF">
      <w:pPr>
        <w:jc w:val="both"/>
        <w:rPr>
          <w:rFonts w:cs="Arial"/>
          <w:sz w:val="20"/>
          <w:szCs w:val="20"/>
          <w:lang w:val="en-US"/>
        </w:rPr>
      </w:pPr>
      <w:r w:rsidRPr="00785D06">
        <w:rPr>
          <w:rFonts w:cs="Arial"/>
          <w:sz w:val="20"/>
          <w:szCs w:val="20"/>
          <w:lang w:val="en-US"/>
        </w:rPr>
        <w:t>60.</w:t>
      </w:r>
      <w:r w:rsidRPr="00785D06">
        <w:rPr>
          <w:rFonts w:cs="Arial"/>
          <w:sz w:val="20"/>
          <w:szCs w:val="20"/>
          <w:lang w:val="en-US"/>
        </w:rPr>
        <w:tab/>
        <w:t xml:space="preserve">On December 19, 2002, </w:t>
      </w:r>
      <w:r w:rsidR="009945B1" w:rsidRPr="00785D06">
        <w:rPr>
          <w:rFonts w:cs="Arial"/>
          <w:sz w:val="20"/>
          <w:szCs w:val="20"/>
          <w:lang w:val="en-US"/>
        </w:rPr>
        <w:t xml:space="preserve">the case was assigned to </w:t>
      </w:r>
      <w:r w:rsidRPr="00785D06">
        <w:rPr>
          <w:rFonts w:cs="Arial"/>
          <w:sz w:val="20"/>
          <w:szCs w:val="20"/>
          <w:lang w:val="en-US"/>
        </w:rPr>
        <w:t xml:space="preserve">a </w:t>
      </w:r>
      <w:r w:rsidR="009945B1" w:rsidRPr="00785D06">
        <w:rPr>
          <w:rFonts w:cs="Arial"/>
          <w:sz w:val="20"/>
          <w:szCs w:val="20"/>
          <w:lang w:val="en-US"/>
        </w:rPr>
        <w:t>Criminal P</w:t>
      </w:r>
      <w:r w:rsidRPr="00785D06">
        <w:rPr>
          <w:rFonts w:cs="Arial"/>
          <w:sz w:val="20"/>
          <w:szCs w:val="20"/>
          <w:lang w:val="en-US"/>
        </w:rPr>
        <w:t xml:space="preserve">rosecutor, who asked the Chief of the Judicial Police to appoint an agent to </w:t>
      </w:r>
      <w:r w:rsidR="009945B1" w:rsidRPr="00785D06">
        <w:rPr>
          <w:rFonts w:cs="Arial"/>
          <w:sz w:val="20"/>
          <w:szCs w:val="20"/>
          <w:lang w:val="en-US"/>
        </w:rPr>
        <w:t>investigate the facts of the case.</w:t>
      </w:r>
      <w:r w:rsidRPr="00785D06">
        <w:rPr>
          <w:rStyle w:val="Refdenotaalpie"/>
          <w:rFonts w:cs="Arial"/>
          <w:sz w:val="20"/>
          <w:szCs w:val="20"/>
          <w:lang w:val="en-US"/>
        </w:rPr>
        <w:footnoteReference w:id="51"/>
      </w:r>
      <w:r w:rsidRPr="00785D06">
        <w:rPr>
          <w:rFonts w:cs="Arial"/>
          <w:sz w:val="20"/>
          <w:szCs w:val="20"/>
          <w:lang w:val="en-US"/>
        </w:rPr>
        <w:t xml:space="preserve"> </w:t>
      </w:r>
    </w:p>
    <w:p w14:paraId="59BCB4BC" w14:textId="77777777" w:rsidR="00C254BF" w:rsidRPr="00785D06" w:rsidRDefault="00C254BF" w:rsidP="00C254BF">
      <w:pPr>
        <w:pStyle w:val="Prrafodelista"/>
        <w:ind w:left="0"/>
        <w:contextualSpacing w:val="0"/>
        <w:jc w:val="both"/>
        <w:rPr>
          <w:rFonts w:cs="Arial"/>
          <w:sz w:val="20"/>
          <w:szCs w:val="20"/>
          <w:lang w:val="en-US"/>
        </w:rPr>
      </w:pPr>
    </w:p>
    <w:p w14:paraId="376E839D" w14:textId="77777777" w:rsidR="00C254BF" w:rsidRPr="00785D06" w:rsidRDefault="00C254BF" w:rsidP="00C254BF">
      <w:pPr>
        <w:pStyle w:val="Prrafodelista"/>
        <w:ind w:left="0"/>
        <w:contextualSpacing w:val="0"/>
        <w:jc w:val="both"/>
        <w:rPr>
          <w:rFonts w:cstheme="minorBidi"/>
          <w:sz w:val="20"/>
          <w:szCs w:val="20"/>
          <w:lang w:val="en-US"/>
        </w:rPr>
      </w:pPr>
      <w:r w:rsidRPr="00785D06">
        <w:rPr>
          <w:rFonts w:cs="Arial"/>
          <w:sz w:val="20"/>
          <w:szCs w:val="20"/>
          <w:lang w:val="en-US"/>
        </w:rPr>
        <w:t>61.</w:t>
      </w:r>
      <w:r w:rsidRPr="00785D06">
        <w:rPr>
          <w:rFonts w:cs="Arial"/>
          <w:sz w:val="20"/>
          <w:szCs w:val="20"/>
          <w:lang w:val="en-US"/>
        </w:rPr>
        <w:tab/>
        <w:t>On January 2, 2003</w:t>
      </w:r>
      <w:r w:rsidR="009945B1" w:rsidRPr="00785D06">
        <w:rPr>
          <w:rFonts w:cs="Arial"/>
          <w:sz w:val="20"/>
          <w:szCs w:val="20"/>
          <w:lang w:val="en-US"/>
        </w:rPr>
        <w:t>,</w:t>
      </w:r>
      <w:r w:rsidRPr="00785D06">
        <w:rPr>
          <w:rFonts w:cs="Arial"/>
          <w:sz w:val="20"/>
          <w:szCs w:val="20"/>
          <w:lang w:val="en-US"/>
        </w:rPr>
        <w:t xml:space="preserve"> the </w:t>
      </w:r>
      <w:r w:rsidR="0097298A" w:rsidRPr="00785D06">
        <w:rPr>
          <w:rFonts w:cs="Arial"/>
          <w:sz w:val="20"/>
          <w:szCs w:val="20"/>
          <w:lang w:val="en-US"/>
        </w:rPr>
        <w:t>vice principal</w:t>
      </w:r>
      <w:r w:rsidR="009945B1" w:rsidRPr="00785D06">
        <w:rPr>
          <w:rFonts w:cs="Arial"/>
          <w:sz w:val="20"/>
          <w:szCs w:val="20"/>
          <w:lang w:val="en-US"/>
        </w:rPr>
        <w:t xml:space="preserve"> Bolíva</w:t>
      </w:r>
      <w:r w:rsidR="00E84939" w:rsidRPr="00785D06">
        <w:rPr>
          <w:rFonts w:cs="Arial"/>
          <w:sz w:val="20"/>
          <w:szCs w:val="20"/>
          <w:lang w:val="en-US"/>
        </w:rPr>
        <w:t>r</w:t>
      </w:r>
      <w:r w:rsidR="009945B1" w:rsidRPr="00785D06">
        <w:rPr>
          <w:rFonts w:cs="Arial"/>
          <w:sz w:val="20"/>
          <w:szCs w:val="20"/>
          <w:lang w:val="en-US"/>
        </w:rPr>
        <w:t xml:space="preserve"> Espín appeared before the Criminal P</w:t>
      </w:r>
      <w:r w:rsidRPr="00785D06">
        <w:rPr>
          <w:rFonts w:cs="Arial"/>
          <w:sz w:val="20"/>
          <w:szCs w:val="20"/>
          <w:lang w:val="en-US"/>
        </w:rPr>
        <w:t xml:space="preserve">rosecutor and </w:t>
      </w:r>
      <w:r w:rsidR="006C3198" w:rsidRPr="00785D06">
        <w:rPr>
          <w:rFonts w:cs="Arial"/>
          <w:sz w:val="20"/>
          <w:szCs w:val="20"/>
          <w:lang w:val="en-US"/>
        </w:rPr>
        <w:t xml:space="preserve">provided </w:t>
      </w:r>
      <w:r w:rsidRPr="00785D06">
        <w:rPr>
          <w:rFonts w:cs="Arial"/>
          <w:sz w:val="20"/>
          <w:szCs w:val="20"/>
          <w:lang w:val="en-US"/>
        </w:rPr>
        <w:t xml:space="preserve">a free and voluntary statement, in which he rejected the complaint </w:t>
      </w:r>
      <w:r w:rsidR="000254C2" w:rsidRPr="00785D06">
        <w:rPr>
          <w:rFonts w:cs="Arial"/>
          <w:sz w:val="20"/>
          <w:szCs w:val="20"/>
          <w:lang w:val="en-US"/>
        </w:rPr>
        <w:t xml:space="preserve">made </w:t>
      </w:r>
      <w:r w:rsidRPr="00785D06">
        <w:rPr>
          <w:rFonts w:cs="Arial"/>
          <w:sz w:val="20"/>
          <w:szCs w:val="20"/>
          <w:lang w:val="en-US"/>
        </w:rPr>
        <w:t>against him.</w:t>
      </w:r>
      <w:r w:rsidRPr="00785D06">
        <w:rPr>
          <w:rFonts w:cs="Arial"/>
          <w:sz w:val="20"/>
          <w:szCs w:val="20"/>
          <w:vertAlign w:val="superscript"/>
          <w:lang w:val="en-US"/>
        </w:rPr>
        <w:footnoteReference w:id="52"/>
      </w:r>
      <w:r w:rsidRPr="00785D06" w:rsidDel="00F140AB">
        <w:rPr>
          <w:rFonts w:cs="Arial"/>
          <w:b/>
          <w:sz w:val="20"/>
          <w:szCs w:val="20"/>
          <w:lang w:val="en-US"/>
        </w:rPr>
        <w:t xml:space="preserve"> </w:t>
      </w:r>
      <w:r w:rsidRPr="00785D06">
        <w:rPr>
          <w:rFonts w:cs="Arial"/>
          <w:b/>
          <w:sz w:val="20"/>
          <w:szCs w:val="20"/>
          <w:lang w:val="en-US"/>
        </w:rPr>
        <w:t xml:space="preserve"> </w:t>
      </w:r>
    </w:p>
    <w:p w14:paraId="25BBE66B" w14:textId="77777777" w:rsidR="00C254BF" w:rsidRPr="00785D06" w:rsidRDefault="00C254BF" w:rsidP="00C254BF">
      <w:pPr>
        <w:jc w:val="both"/>
        <w:rPr>
          <w:rFonts w:cs="Arial"/>
          <w:sz w:val="20"/>
          <w:szCs w:val="20"/>
          <w:lang w:val="en-US"/>
        </w:rPr>
      </w:pPr>
    </w:p>
    <w:p w14:paraId="34835C2E" w14:textId="77777777" w:rsidR="00C254BF" w:rsidRPr="00785D06" w:rsidRDefault="00C254BF" w:rsidP="00C254BF">
      <w:pPr>
        <w:jc w:val="both"/>
        <w:rPr>
          <w:rFonts w:cs="Arial"/>
          <w:sz w:val="20"/>
          <w:szCs w:val="20"/>
          <w:lang w:val="en-US"/>
        </w:rPr>
      </w:pPr>
      <w:r w:rsidRPr="00785D06">
        <w:rPr>
          <w:rFonts w:cs="Arial"/>
          <w:sz w:val="20"/>
          <w:szCs w:val="20"/>
          <w:lang w:val="en-US"/>
        </w:rPr>
        <w:t>62.</w:t>
      </w:r>
      <w:r w:rsidRPr="00785D06">
        <w:rPr>
          <w:rFonts w:cs="Arial"/>
          <w:sz w:val="20"/>
          <w:szCs w:val="20"/>
          <w:lang w:val="en-US"/>
        </w:rPr>
        <w:tab/>
        <w:t xml:space="preserve">On </w:t>
      </w:r>
      <w:r w:rsidR="006C3198" w:rsidRPr="00785D06">
        <w:rPr>
          <w:rFonts w:cs="Arial"/>
          <w:sz w:val="20"/>
          <w:szCs w:val="20"/>
          <w:lang w:val="en-US"/>
        </w:rPr>
        <w:t>January 3, 7 and 13, 2003, the Criminal P</w:t>
      </w:r>
      <w:r w:rsidRPr="00785D06">
        <w:rPr>
          <w:rFonts w:cs="Arial"/>
          <w:sz w:val="20"/>
          <w:szCs w:val="20"/>
          <w:lang w:val="en-US"/>
        </w:rPr>
        <w:t xml:space="preserve">rosecutor received </w:t>
      </w:r>
      <w:r w:rsidR="006C3198" w:rsidRPr="00785D06">
        <w:rPr>
          <w:rFonts w:cs="Arial"/>
          <w:sz w:val="20"/>
          <w:szCs w:val="20"/>
          <w:lang w:val="en-US"/>
        </w:rPr>
        <w:t xml:space="preserve">several witness </w:t>
      </w:r>
      <w:r w:rsidR="00D3435D" w:rsidRPr="00785D06">
        <w:rPr>
          <w:rFonts w:cs="Arial"/>
          <w:sz w:val="20"/>
          <w:szCs w:val="20"/>
          <w:lang w:val="en-US"/>
        </w:rPr>
        <w:t>statements. On t</w:t>
      </w:r>
      <w:r w:rsidRPr="00785D06">
        <w:rPr>
          <w:rFonts w:cs="Arial"/>
          <w:sz w:val="20"/>
          <w:szCs w:val="20"/>
          <w:lang w:val="en-US"/>
        </w:rPr>
        <w:t xml:space="preserve">he first day, </w:t>
      </w:r>
      <w:r w:rsidR="00D3435D" w:rsidRPr="00785D06">
        <w:rPr>
          <w:rFonts w:cs="Arial"/>
          <w:sz w:val="20"/>
          <w:szCs w:val="20"/>
          <w:lang w:val="en-US"/>
        </w:rPr>
        <w:t xml:space="preserve">he received the statements of </w:t>
      </w:r>
      <w:r w:rsidRPr="00785D06">
        <w:rPr>
          <w:rFonts w:cs="Arial"/>
          <w:sz w:val="20"/>
          <w:szCs w:val="20"/>
          <w:lang w:val="en-US"/>
        </w:rPr>
        <w:t>the school doctor</w:t>
      </w:r>
      <w:r w:rsidR="006C3198" w:rsidRPr="00785D06">
        <w:rPr>
          <w:rFonts w:cs="Arial"/>
          <w:sz w:val="20"/>
          <w:szCs w:val="20"/>
          <w:lang w:val="en-US"/>
        </w:rPr>
        <w:t>,</w:t>
      </w:r>
      <w:r w:rsidRPr="00785D06">
        <w:rPr>
          <w:rFonts w:cs="Arial"/>
          <w:sz w:val="20"/>
          <w:szCs w:val="20"/>
          <w:lang w:val="en-US"/>
        </w:rPr>
        <w:t xml:space="preserve"> the concierge, the scho</w:t>
      </w:r>
      <w:r w:rsidR="006C3198" w:rsidRPr="00785D06">
        <w:rPr>
          <w:rFonts w:cs="Arial"/>
          <w:sz w:val="20"/>
          <w:szCs w:val="20"/>
          <w:lang w:val="en-US"/>
        </w:rPr>
        <w:t>ol’s physical education teacher</w:t>
      </w:r>
      <w:r w:rsidRPr="00785D06">
        <w:rPr>
          <w:rFonts w:cs="Arial"/>
          <w:sz w:val="20"/>
          <w:szCs w:val="20"/>
          <w:lang w:val="en-US"/>
        </w:rPr>
        <w:t xml:space="preserve"> and the Inspector General</w:t>
      </w:r>
      <w:r w:rsidR="006C3198" w:rsidRPr="00785D06">
        <w:rPr>
          <w:rFonts w:cs="Arial"/>
          <w:sz w:val="20"/>
          <w:szCs w:val="20"/>
          <w:lang w:val="en-US"/>
        </w:rPr>
        <w:t>. On t</w:t>
      </w:r>
      <w:r w:rsidRPr="00785D06">
        <w:rPr>
          <w:rFonts w:cs="Arial"/>
          <w:sz w:val="20"/>
          <w:szCs w:val="20"/>
          <w:lang w:val="en-US"/>
        </w:rPr>
        <w:t xml:space="preserve">he second day, the grade inspector </w:t>
      </w:r>
      <w:r w:rsidR="006C3198" w:rsidRPr="00785D06">
        <w:rPr>
          <w:rFonts w:cs="Arial"/>
          <w:sz w:val="20"/>
          <w:szCs w:val="20"/>
          <w:lang w:val="en-US"/>
        </w:rPr>
        <w:t xml:space="preserve">made a statement </w:t>
      </w:r>
      <w:r w:rsidRPr="00785D06">
        <w:rPr>
          <w:rFonts w:cs="Arial"/>
          <w:sz w:val="20"/>
          <w:szCs w:val="20"/>
          <w:lang w:val="en-US"/>
        </w:rPr>
        <w:t>and on the third day a schoolmate of Paola did so.</w:t>
      </w:r>
      <w:r w:rsidRPr="00785D06">
        <w:rPr>
          <w:rFonts w:cs="Arial"/>
          <w:sz w:val="20"/>
          <w:szCs w:val="20"/>
          <w:vertAlign w:val="superscript"/>
          <w:lang w:val="en-US"/>
        </w:rPr>
        <w:footnoteReference w:id="53"/>
      </w:r>
    </w:p>
    <w:p w14:paraId="2E742B3A" w14:textId="77777777" w:rsidR="00C254BF" w:rsidRPr="00785D06" w:rsidRDefault="00C254BF" w:rsidP="00C254BF">
      <w:pPr>
        <w:jc w:val="both"/>
        <w:rPr>
          <w:rFonts w:cs="Arial"/>
          <w:sz w:val="20"/>
          <w:szCs w:val="20"/>
          <w:lang w:val="en-US"/>
        </w:rPr>
      </w:pPr>
    </w:p>
    <w:p w14:paraId="39AB13BB" w14:textId="77777777" w:rsidR="00C254BF" w:rsidRPr="00785D06" w:rsidRDefault="00C254BF" w:rsidP="00C254BF">
      <w:pPr>
        <w:jc w:val="both"/>
        <w:rPr>
          <w:rFonts w:cs="Arial"/>
          <w:sz w:val="20"/>
          <w:szCs w:val="20"/>
          <w:lang w:val="en-US"/>
        </w:rPr>
      </w:pPr>
      <w:r w:rsidRPr="00785D06">
        <w:rPr>
          <w:rFonts w:cs="Arial"/>
          <w:sz w:val="20"/>
          <w:szCs w:val="20"/>
          <w:lang w:val="en-US"/>
        </w:rPr>
        <w:t>63.</w:t>
      </w:r>
      <w:r w:rsidRPr="00785D06">
        <w:rPr>
          <w:rFonts w:cs="Arial"/>
          <w:sz w:val="20"/>
          <w:szCs w:val="20"/>
          <w:lang w:val="en-US"/>
        </w:rPr>
        <w:tab/>
        <w:t>On January 16, 2003, Paola’s father asked the Criminal Prosecutor to broaden the i</w:t>
      </w:r>
      <w:r w:rsidR="00DB3ED2" w:rsidRPr="00785D06">
        <w:rPr>
          <w:rFonts w:cs="Arial"/>
          <w:sz w:val="20"/>
          <w:szCs w:val="20"/>
          <w:lang w:val="en-US"/>
        </w:rPr>
        <w:t>nvestigation into Bolívar Espín</w:t>
      </w:r>
      <w:r w:rsidRPr="00785D06">
        <w:rPr>
          <w:rFonts w:cs="Arial"/>
          <w:sz w:val="20"/>
          <w:szCs w:val="20"/>
          <w:lang w:val="en-US"/>
        </w:rPr>
        <w:t xml:space="preserve"> to include “intimidation, seduction, deception, false promises and rape.” He also informed the Criminal Prosecutor that some students at the school were being pressured and threatened with expulsion to prevent them from </w:t>
      </w:r>
      <w:r w:rsidR="00DB3ED2" w:rsidRPr="00785D06">
        <w:rPr>
          <w:rFonts w:cs="Arial"/>
          <w:sz w:val="20"/>
          <w:szCs w:val="20"/>
          <w:lang w:val="en-US"/>
        </w:rPr>
        <w:t xml:space="preserve">testifying </w:t>
      </w:r>
      <w:r w:rsidRPr="00785D06">
        <w:rPr>
          <w:rFonts w:cs="Arial"/>
          <w:sz w:val="20"/>
          <w:szCs w:val="20"/>
          <w:lang w:val="en-US"/>
        </w:rPr>
        <w:t xml:space="preserve">in the criminal proceedings. A similar </w:t>
      </w:r>
      <w:r w:rsidR="006C3198" w:rsidRPr="00785D06">
        <w:rPr>
          <w:rFonts w:cs="Arial"/>
          <w:sz w:val="20"/>
          <w:szCs w:val="20"/>
          <w:lang w:val="en-US"/>
        </w:rPr>
        <w:t xml:space="preserve">allegation was made a few </w:t>
      </w:r>
      <w:r w:rsidR="00D3435D" w:rsidRPr="00785D06">
        <w:rPr>
          <w:rFonts w:cstheme="minorBidi"/>
          <w:sz w:val="20"/>
          <w:szCs w:val="20"/>
          <w:lang w:val="en-US"/>
        </w:rPr>
        <w:t>days later by one of Paola’s</w:t>
      </w:r>
      <w:r w:rsidRPr="00785D06">
        <w:rPr>
          <w:rFonts w:cstheme="minorBidi"/>
          <w:sz w:val="20"/>
          <w:szCs w:val="20"/>
          <w:lang w:val="en-US"/>
        </w:rPr>
        <w:t xml:space="preserve"> </w:t>
      </w:r>
      <w:r w:rsidR="00DB3ED2" w:rsidRPr="00785D06">
        <w:rPr>
          <w:rFonts w:cstheme="minorBidi"/>
          <w:sz w:val="20"/>
          <w:szCs w:val="20"/>
          <w:lang w:val="en-US"/>
        </w:rPr>
        <w:t>classmate</w:t>
      </w:r>
      <w:r w:rsidR="00D3435D" w:rsidRPr="00785D06">
        <w:rPr>
          <w:rFonts w:cstheme="minorBidi"/>
          <w:sz w:val="20"/>
          <w:szCs w:val="20"/>
          <w:lang w:val="en-US"/>
        </w:rPr>
        <w:t>s</w:t>
      </w:r>
      <w:r w:rsidRPr="00785D06">
        <w:rPr>
          <w:rFonts w:cstheme="minorBidi"/>
          <w:sz w:val="20"/>
          <w:szCs w:val="20"/>
          <w:lang w:val="en-US"/>
        </w:rPr>
        <w:t xml:space="preserve"> (</w:t>
      </w:r>
      <w:r w:rsidRPr="00785D06">
        <w:rPr>
          <w:rFonts w:cstheme="minorBidi"/>
          <w:i/>
          <w:sz w:val="20"/>
          <w:szCs w:val="20"/>
          <w:lang w:val="en-US"/>
        </w:rPr>
        <w:t>infra</w:t>
      </w:r>
      <w:r w:rsidRPr="00785D06">
        <w:rPr>
          <w:rFonts w:cstheme="minorBidi"/>
          <w:sz w:val="20"/>
          <w:szCs w:val="20"/>
          <w:lang w:val="en-US"/>
        </w:rPr>
        <w:t>, para. 65)</w:t>
      </w:r>
      <w:r w:rsidR="006C3198" w:rsidRPr="00785D06">
        <w:rPr>
          <w:rFonts w:cstheme="minorBidi"/>
          <w:sz w:val="20"/>
          <w:szCs w:val="20"/>
          <w:lang w:val="en-US"/>
        </w:rPr>
        <w:t>.</w:t>
      </w:r>
      <w:r w:rsidRPr="00785D06">
        <w:rPr>
          <w:rFonts w:cs="Arial"/>
          <w:sz w:val="20"/>
          <w:szCs w:val="20"/>
          <w:vertAlign w:val="superscript"/>
          <w:lang w:val="en-US"/>
        </w:rPr>
        <w:footnoteReference w:id="54"/>
      </w:r>
      <w:r w:rsidRPr="00785D06">
        <w:rPr>
          <w:rFonts w:cs="Arial"/>
          <w:sz w:val="20"/>
          <w:szCs w:val="20"/>
          <w:lang w:val="en-US"/>
        </w:rPr>
        <w:t xml:space="preserve"> </w:t>
      </w:r>
      <w:r w:rsidR="006C3198" w:rsidRPr="00785D06">
        <w:rPr>
          <w:rFonts w:cs="Arial"/>
          <w:sz w:val="20"/>
          <w:szCs w:val="20"/>
          <w:lang w:val="en-US"/>
        </w:rPr>
        <w:t>O</w:t>
      </w:r>
      <w:r w:rsidRPr="00785D06">
        <w:rPr>
          <w:rFonts w:cs="Arial"/>
          <w:sz w:val="20"/>
          <w:szCs w:val="20"/>
          <w:lang w:val="en-US"/>
        </w:rPr>
        <w:t xml:space="preserve">n January 22, 2003, Paola’s mother requested that statements be taken from some of the students at the school and that </w:t>
      </w:r>
      <w:r w:rsidR="00DB3ED2" w:rsidRPr="00785D06">
        <w:rPr>
          <w:rFonts w:cs="Arial"/>
          <w:sz w:val="20"/>
          <w:szCs w:val="20"/>
          <w:lang w:val="en-US"/>
        </w:rPr>
        <w:t xml:space="preserve">blood </w:t>
      </w:r>
      <w:r w:rsidRPr="00785D06">
        <w:rPr>
          <w:rFonts w:cs="Arial"/>
          <w:sz w:val="20"/>
          <w:szCs w:val="20"/>
          <w:lang w:val="en-US"/>
        </w:rPr>
        <w:t xml:space="preserve">tests be conducted </w:t>
      </w:r>
      <w:r w:rsidR="00D3435D" w:rsidRPr="00785D06">
        <w:rPr>
          <w:rFonts w:cs="Arial"/>
          <w:sz w:val="20"/>
          <w:szCs w:val="20"/>
          <w:lang w:val="en-US"/>
        </w:rPr>
        <w:t>on</w:t>
      </w:r>
      <w:r w:rsidR="00DB3ED2" w:rsidRPr="00785D06">
        <w:rPr>
          <w:rFonts w:cs="Arial"/>
          <w:sz w:val="20"/>
          <w:szCs w:val="20"/>
          <w:lang w:val="en-US"/>
        </w:rPr>
        <w:t xml:space="preserve"> the sample obtained from </w:t>
      </w:r>
      <w:r w:rsidRPr="00785D06">
        <w:rPr>
          <w:rFonts w:cs="Arial"/>
          <w:sz w:val="20"/>
          <w:szCs w:val="20"/>
          <w:lang w:val="en-US"/>
        </w:rPr>
        <w:t xml:space="preserve">Paola’s </w:t>
      </w:r>
      <w:r w:rsidR="00DB3ED2" w:rsidRPr="00785D06">
        <w:rPr>
          <w:rFonts w:cs="Arial"/>
          <w:sz w:val="20"/>
          <w:szCs w:val="20"/>
          <w:lang w:val="en-US"/>
        </w:rPr>
        <w:t>body</w:t>
      </w:r>
      <w:r w:rsidRPr="00785D06">
        <w:rPr>
          <w:rFonts w:cs="Arial"/>
          <w:sz w:val="20"/>
          <w:szCs w:val="20"/>
          <w:lang w:val="en-US"/>
        </w:rPr>
        <w:t>.</w:t>
      </w:r>
      <w:r w:rsidRPr="00785D06">
        <w:rPr>
          <w:rFonts w:cs="Arial"/>
          <w:sz w:val="20"/>
          <w:szCs w:val="20"/>
          <w:vertAlign w:val="superscript"/>
          <w:lang w:val="en-US"/>
        </w:rPr>
        <w:footnoteReference w:id="55"/>
      </w:r>
      <w:r w:rsidRPr="00785D06">
        <w:rPr>
          <w:rFonts w:cs="Arial"/>
          <w:sz w:val="20"/>
          <w:szCs w:val="20"/>
          <w:lang w:val="en-US"/>
        </w:rPr>
        <w:t xml:space="preserve"> </w:t>
      </w:r>
      <w:r w:rsidR="00BE3CE8" w:rsidRPr="00785D06">
        <w:rPr>
          <w:rFonts w:cs="Arial"/>
          <w:sz w:val="20"/>
          <w:szCs w:val="20"/>
          <w:lang w:val="en-US"/>
        </w:rPr>
        <w:t>During the months of January and February 2003, the mothers of several students at the school p</w:t>
      </w:r>
      <w:r w:rsidRPr="00785D06">
        <w:rPr>
          <w:rFonts w:cs="Arial"/>
          <w:sz w:val="20"/>
          <w:szCs w:val="20"/>
          <w:lang w:val="en-US"/>
        </w:rPr>
        <w:t>resented identical letters addre</w:t>
      </w:r>
      <w:r w:rsidR="00BE3CE8" w:rsidRPr="00785D06">
        <w:rPr>
          <w:rFonts w:cs="Arial"/>
          <w:sz w:val="20"/>
          <w:szCs w:val="20"/>
          <w:lang w:val="en-US"/>
        </w:rPr>
        <w:t>ssed to the Criminal Prosecutor</w:t>
      </w:r>
      <w:r w:rsidRPr="00785D06">
        <w:rPr>
          <w:rFonts w:cs="Arial"/>
          <w:sz w:val="20"/>
          <w:szCs w:val="20"/>
          <w:lang w:val="en-US"/>
        </w:rPr>
        <w:t xml:space="preserve"> stating that he </w:t>
      </w:r>
      <w:r w:rsidR="00691491" w:rsidRPr="00785D06">
        <w:rPr>
          <w:rFonts w:cs="Arial"/>
          <w:sz w:val="20"/>
          <w:szCs w:val="20"/>
          <w:lang w:val="en-US"/>
        </w:rPr>
        <w:t xml:space="preserve">could not take any </w:t>
      </w:r>
      <w:r w:rsidRPr="00785D06">
        <w:rPr>
          <w:rFonts w:cs="Arial"/>
          <w:sz w:val="20"/>
          <w:szCs w:val="20"/>
          <w:lang w:val="en-US"/>
        </w:rPr>
        <w:t>statements from their daughters.</w:t>
      </w:r>
      <w:r w:rsidRPr="00785D06">
        <w:rPr>
          <w:rStyle w:val="Refdenotaalpie"/>
          <w:rFonts w:cs="Arial"/>
          <w:sz w:val="20"/>
          <w:szCs w:val="20"/>
          <w:lang w:val="en-US"/>
        </w:rPr>
        <w:footnoteReference w:id="56"/>
      </w:r>
      <w:r w:rsidRPr="00785D06">
        <w:rPr>
          <w:rFonts w:cs="Arial"/>
          <w:sz w:val="20"/>
          <w:szCs w:val="20"/>
          <w:lang w:val="en-US"/>
        </w:rPr>
        <w:t xml:space="preserve"> </w:t>
      </w:r>
    </w:p>
    <w:p w14:paraId="7320C798" w14:textId="77777777" w:rsidR="00C254BF" w:rsidRPr="00785D06" w:rsidRDefault="00C254BF" w:rsidP="00C254BF">
      <w:pPr>
        <w:jc w:val="both"/>
        <w:rPr>
          <w:rFonts w:cs="Arial"/>
          <w:sz w:val="20"/>
          <w:szCs w:val="20"/>
          <w:lang w:val="en-US"/>
        </w:rPr>
      </w:pPr>
    </w:p>
    <w:p w14:paraId="4B960A2E" w14:textId="77777777" w:rsidR="00C254BF" w:rsidRPr="00785D06" w:rsidRDefault="00C254BF" w:rsidP="00C254BF">
      <w:pPr>
        <w:jc w:val="both"/>
        <w:rPr>
          <w:lang w:val="en-US"/>
        </w:rPr>
      </w:pPr>
      <w:r w:rsidRPr="00785D06">
        <w:rPr>
          <w:rFonts w:cs="Arial"/>
          <w:sz w:val="20"/>
          <w:szCs w:val="20"/>
          <w:lang w:val="en-US"/>
        </w:rPr>
        <w:t>64.</w:t>
      </w:r>
      <w:r w:rsidRPr="00785D06">
        <w:rPr>
          <w:rFonts w:cs="Arial"/>
          <w:sz w:val="20"/>
          <w:szCs w:val="20"/>
          <w:lang w:val="en-US"/>
        </w:rPr>
        <w:tab/>
        <w:t>On January 27, 2003, Paola’s father requested that a test be c</w:t>
      </w:r>
      <w:r w:rsidR="00E84939" w:rsidRPr="00785D06">
        <w:rPr>
          <w:rFonts w:cs="Arial"/>
          <w:sz w:val="20"/>
          <w:szCs w:val="20"/>
          <w:lang w:val="en-US"/>
        </w:rPr>
        <w:t xml:space="preserve">onducted </w:t>
      </w:r>
      <w:r w:rsidRPr="00785D06">
        <w:rPr>
          <w:rFonts w:cs="Arial"/>
          <w:sz w:val="20"/>
          <w:szCs w:val="20"/>
          <w:lang w:val="en-US"/>
        </w:rPr>
        <w:t xml:space="preserve">on </w:t>
      </w:r>
      <w:r w:rsidR="00E84939" w:rsidRPr="00785D06">
        <w:rPr>
          <w:rFonts w:cs="Arial"/>
          <w:sz w:val="20"/>
          <w:szCs w:val="20"/>
          <w:lang w:val="en-US"/>
        </w:rPr>
        <w:t xml:space="preserve">a blood sample taken from </w:t>
      </w:r>
      <w:r w:rsidRPr="00785D06">
        <w:rPr>
          <w:rFonts w:cs="Arial"/>
          <w:sz w:val="20"/>
          <w:szCs w:val="20"/>
          <w:lang w:val="en-US"/>
        </w:rPr>
        <w:t>his daughter’s b</w:t>
      </w:r>
      <w:r w:rsidR="00E84939" w:rsidRPr="00785D06">
        <w:rPr>
          <w:rFonts w:cs="Arial"/>
          <w:sz w:val="20"/>
          <w:szCs w:val="20"/>
          <w:lang w:val="en-US"/>
        </w:rPr>
        <w:t xml:space="preserve">ody to </w:t>
      </w:r>
      <w:r w:rsidR="00E73268" w:rsidRPr="00785D06">
        <w:rPr>
          <w:rFonts w:cs="Arial"/>
          <w:sz w:val="20"/>
          <w:szCs w:val="20"/>
          <w:lang w:val="en-US"/>
        </w:rPr>
        <w:t xml:space="preserve">determine whether or not </w:t>
      </w:r>
      <w:r w:rsidR="00E84939" w:rsidRPr="00785D06">
        <w:rPr>
          <w:rFonts w:cs="Arial"/>
          <w:sz w:val="20"/>
          <w:szCs w:val="20"/>
          <w:lang w:val="en-US"/>
        </w:rPr>
        <w:t>she was pregnant at the time of her death. The Criminal P</w:t>
      </w:r>
      <w:r w:rsidRPr="00785D06">
        <w:rPr>
          <w:rFonts w:cs="Arial"/>
          <w:sz w:val="20"/>
          <w:szCs w:val="20"/>
          <w:lang w:val="en-US"/>
        </w:rPr>
        <w:t xml:space="preserve">rosecutor ordered </w:t>
      </w:r>
      <w:r w:rsidR="00E84939" w:rsidRPr="00785D06">
        <w:rPr>
          <w:rFonts w:cs="Arial"/>
          <w:sz w:val="20"/>
          <w:szCs w:val="20"/>
          <w:lang w:val="en-US"/>
        </w:rPr>
        <w:t xml:space="preserve">a </w:t>
      </w:r>
      <w:r w:rsidRPr="00785D06">
        <w:rPr>
          <w:rFonts w:cs="Arial"/>
          <w:sz w:val="20"/>
          <w:szCs w:val="20"/>
          <w:lang w:val="en-US"/>
        </w:rPr>
        <w:t>test the following da</w:t>
      </w:r>
      <w:r w:rsidR="00E84939" w:rsidRPr="00785D06">
        <w:rPr>
          <w:rFonts w:cs="Arial"/>
          <w:sz w:val="20"/>
          <w:szCs w:val="20"/>
          <w:lang w:val="en-US"/>
        </w:rPr>
        <w:t xml:space="preserve">y and </w:t>
      </w:r>
      <w:r w:rsidR="00E73268" w:rsidRPr="00785D06">
        <w:rPr>
          <w:rFonts w:cs="Arial"/>
          <w:sz w:val="20"/>
          <w:szCs w:val="20"/>
          <w:lang w:val="en-US"/>
        </w:rPr>
        <w:t xml:space="preserve">also </w:t>
      </w:r>
      <w:r w:rsidR="00E84939" w:rsidRPr="00785D06">
        <w:rPr>
          <w:rFonts w:cs="Arial"/>
          <w:sz w:val="20"/>
          <w:szCs w:val="20"/>
          <w:lang w:val="en-US"/>
        </w:rPr>
        <w:t>on February 10, 2003;</w:t>
      </w:r>
      <w:r w:rsidRPr="00785D06">
        <w:rPr>
          <w:rFonts w:cs="Arial"/>
          <w:sz w:val="20"/>
          <w:szCs w:val="20"/>
          <w:lang w:val="en-US"/>
        </w:rPr>
        <w:t xml:space="preserve"> </w:t>
      </w:r>
      <w:r w:rsidR="00E84939" w:rsidRPr="00785D06">
        <w:rPr>
          <w:rFonts w:cs="Arial"/>
          <w:sz w:val="20"/>
          <w:szCs w:val="20"/>
          <w:lang w:val="en-US"/>
        </w:rPr>
        <w:t xml:space="preserve">these tests were </w:t>
      </w:r>
      <w:r w:rsidRPr="00785D06">
        <w:rPr>
          <w:rFonts w:cs="Arial"/>
          <w:sz w:val="20"/>
          <w:szCs w:val="20"/>
          <w:lang w:val="en-US"/>
        </w:rPr>
        <w:t>subsequently carr</w:t>
      </w:r>
      <w:r w:rsidR="00E84939" w:rsidRPr="00785D06">
        <w:rPr>
          <w:rFonts w:cs="Arial"/>
          <w:sz w:val="20"/>
          <w:szCs w:val="20"/>
          <w:lang w:val="en-US"/>
        </w:rPr>
        <w:t xml:space="preserve">ied </w:t>
      </w:r>
      <w:r w:rsidR="001B2C6E" w:rsidRPr="00785D06">
        <w:rPr>
          <w:rFonts w:cs="Arial"/>
          <w:sz w:val="20"/>
          <w:szCs w:val="20"/>
          <w:lang w:val="en-US"/>
        </w:rPr>
        <w:t xml:space="preserve">out </w:t>
      </w:r>
      <w:r w:rsidRPr="00785D06">
        <w:rPr>
          <w:rStyle w:val="Refdenotaalpie"/>
          <w:rFonts w:cs="Arial"/>
          <w:sz w:val="20"/>
          <w:szCs w:val="20"/>
          <w:lang w:val="en-US"/>
        </w:rPr>
        <w:footnoteReference w:id="57"/>
      </w:r>
      <w:r w:rsidRPr="00785D06">
        <w:rPr>
          <w:rStyle w:val="Refdenotaalpie"/>
          <w:lang w:val="en-US"/>
        </w:rPr>
        <w:t xml:space="preserve"> </w:t>
      </w:r>
      <w:r w:rsidRPr="00785D06">
        <w:rPr>
          <w:rFonts w:cs="Arial"/>
          <w:sz w:val="20"/>
          <w:szCs w:val="20"/>
          <w:lang w:val="en-US"/>
        </w:rPr>
        <w:t>(</w:t>
      </w:r>
      <w:r w:rsidRPr="00785D06">
        <w:rPr>
          <w:rFonts w:cs="Arial"/>
          <w:i/>
          <w:sz w:val="20"/>
          <w:szCs w:val="20"/>
          <w:lang w:val="en-US"/>
        </w:rPr>
        <w:t xml:space="preserve">infra </w:t>
      </w:r>
      <w:r w:rsidRPr="00785D06">
        <w:rPr>
          <w:rFonts w:cs="Arial"/>
          <w:sz w:val="20"/>
          <w:szCs w:val="20"/>
          <w:lang w:val="en-US"/>
        </w:rPr>
        <w:t xml:space="preserve">footnote 144). </w:t>
      </w:r>
    </w:p>
    <w:p w14:paraId="56115935" w14:textId="77777777" w:rsidR="00C254BF" w:rsidRPr="00785D06" w:rsidRDefault="00C254BF" w:rsidP="00C254BF">
      <w:pPr>
        <w:pStyle w:val="Prrafodelista"/>
        <w:ind w:left="0"/>
        <w:contextualSpacing w:val="0"/>
        <w:jc w:val="both"/>
        <w:rPr>
          <w:rFonts w:cs="Arial"/>
          <w:sz w:val="20"/>
          <w:szCs w:val="20"/>
          <w:lang w:val="en-US"/>
        </w:rPr>
      </w:pPr>
    </w:p>
    <w:p w14:paraId="72981F91" w14:textId="77777777" w:rsidR="00C254BF" w:rsidRPr="00785D06" w:rsidRDefault="00C254BF" w:rsidP="00C254BF">
      <w:pPr>
        <w:pStyle w:val="Prrafodelista"/>
        <w:ind w:left="0"/>
        <w:contextualSpacing w:val="0"/>
        <w:jc w:val="both"/>
        <w:rPr>
          <w:rFonts w:cstheme="minorBidi"/>
          <w:sz w:val="20"/>
          <w:szCs w:val="20"/>
          <w:lang w:val="en-US"/>
        </w:rPr>
      </w:pPr>
      <w:r w:rsidRPr="00785D06">
        <w:rPr>
          <w:rFonts w:cs="Arial"/>
          <w:sz w:val="20"/>
          <w:szCs w:val="20"/>
          <w:lang w:val="en-US"/>
        </w:rPr>
        <w:t>65.</w:t>
      </w:r>
      <w:r w:rsidRPr="00785D06">
        <w:rPr>
          <w:rFonts w:cs="Arial"/>
          <w:sz w:val="20"/>
          <w:szCs w:val="20"/>
          <w:lang w:val="en-US"/>
        </w:rPr>
        <w:tab/>
        <w:t>On January 28 and 31, 2003</w:t>
      </w:r>
      <w:r w:rsidR="00E84939" w:rsidRPr="00785D06">
        <w:rPr>
          <w:rFonts w:cs="Arial"/>
          <w:sz w:val="20"/>
          <w:szCs w:val="20"/>
          <w:lang w:val="en-US"/>
        </w:rPr>
        <w:t>,</w:t>
      </w:r>
      <w:r w:rsidR="000716EF" w:rsidRPr="00785D06">
        <w:rPr>
          <w:rFonts w:cs="Arial"/>
          <w:sz w:val="20"/>
          <w:szCs w:val="20"/>
          <w:lang w:val="en-US"/>
        </w:rPr>
        <w:t xml:space="preserve"> the Criminal Prosecutor received various statements: on t</w:t>
      </w:r>
      <w:r w:rsidRPr="00785D06">
        <w:rPr>
          <w:rFonts w:cs="Arial"/>
          <w:sz w:val="20"/>
          <w:szCs w:val="20"/>
          <w:lang w:val="en-US"/>
        </w:rPr>
        <w:t>he first day Paola’s mother presented her testimony and the</w:t>
      </w:r>
      <w:r w:rsidRPr="00785D06">
        <w:rPr>
          <w:rFonts w:cs="Arial"/>
          <w:b/>
          <w:sz w:val="20"/>
          <w:szCs w:val="20"/>
          <w:lang w:val="en-US"/>
        </w:rPr>
        <w:t xml:space="preserve"> </w:t>
      </w:r>
      <w:r w:rsidR="0097298A" w:rsidRPr="00785D06">
        <w:rPr>
          <w:rFonts w:cs="Arial"/>
          <w:sz w:val="20"/>
          <w:szCs w:val="20"/>
          <w:lang w:val="en-US"/>
        </w:rPr>
        <w:t>vice principal</w:t>
      </w:r>
      <w:r w:rsidRPr="00785D06">
        <w:rPr>
          <w:rFonts w:cs="Arial"/>
          <w:sz w:val="20"/>
          <w:szCs w:val="20"/>
          <w:lang w:val="en-US"/>
        </w:rPr>
        <w:t xml:space="preserve"> expanded his previous statement (</w:t>
      </w:r>
      <w:r w:rsidRPr="00785D06">
        <w:rPr>
          <w:rFonts w:cs="Arial"/>
          <w:i/>
          <w:sz w:val="20"/>
          <w:szCs w:val="20"/>
          <w:lang w:val="en-US"/>
        </w:rPr>
        <w:t xml:space="preserve">supra </w:t>
      </w:r>
      <w:r w:rsidRPr="00785D06">
        <w:rPr>
          <w:rFonts w:cs="Arial"/>
          <w:sz w:val="20"/>
          <w:szCs w:val="20"/>
          <w:lang w:val="en-US"/>
        </w:rPr>
        <w:t>para. 61)</w:t>
      </w:r>
      <w:r w:rsidR="000716EF" w:rsidRPr="00785D06">
        <w:rPr>
          <w:rFonts w:cs="Arial"/>
          <w:sz w:val="20"/>
          <w:szCs w:val="20"/>
          <w:lang w:val="en-US"/>
        </w:rPr>
        <w:t>.</w:t>
      </w:r>
      <w:r w:rsidRPr="00785D06">
        <w:rPr>
          <w:rFonts w:cs="Arial"/>
          <w:sz w:val="20"/>
          <w:szCs w:val="20"/>
          <w:vertAlign w:val="superscript"/>
          <w:lang w:val="en-US"/>
        </w:rPr>
        <w:footnoteReference w:id="58"/>
      </w:r>
      <w:r w:rsidRPr="00785D06">
        <w:rPr>
          <w:rFonts w:cs="Arial"/>
          <w:sz w:val="20"/>
          <w:szCs w:val="20"/>
          <w:lang w:val="en-US"/>
        </w:rPr>
        <w:t xml:space="preserve"> </w:t>
      </w:r>
      <w:r w:rsidR="000716EF" w:rsidRPr="00785D06">
        <w:rPr>
          <w:rFonts w:cs="Arial"/>
          <w:sz w:val="20"/>
          <w:szCs w:val="20"/>
          <w:lang w:val="en-US"/>
        </w:rPr>
        <w:t>On t</w:t>
      </w:r>
      <w:r w:rsidRPr="00785D06">
        <w:rPr>
          <w:rFonts w:cs="Arial"/>
          <w:sz w:val="20"/>
          <w:szCs w:val="20"/>
          <w:lang w:val="en-US"/>
        </w:rPr>
        <w:t xml:space="preserve">he second day two </w:t>
      </w:r>
      <w:r w:rsidR="00E73268" w:rsidRPr="00785D06">
        <w:rPr>
          <w:rFonts w:cs="Arial"/>
          <w:sz w:val="20"/>
          <w:szCs w:val="20"/>
          <w:lang w:val="en-US"/>
        </w:rPr>
        <w:t xml:space="preserve">of Paola’s </w:t>
      </w:r>
      <w:r w:rsidR="000716EF" w:rsidRPr="00785D06">
        <w:rPr>
          <w:rFonts w:cs="Arial"/>
          <w:sz w:val="20"/>
          <w:szCs w:val="20"/>
          <w:lang w:val="en-US"/>
        </w:rPr>
        <w:t>schoolmates</w:t>
      </w:r>
      <w:r w:rsidRPr="00785D06">
        <w:rPr>
          <w:rFonts w:cs="Arial"/>
          <w:sz w:val="20"/>
          <w:szCs w:val="20"/>
          <w:vertAlign w:val="superscript"/>
          <w:lang w:val="en-US"/>
        </w:rPr>
        <w:footnoteReference w:id="59"/>
      </w:r>
      <w:r w:rsidR="000716EF" w:rsidRPr="00785D06">
        <w:rPr>
          <w:rFonts w:cs="Arial"/>
          <w:sz w:val="20"/>
          <w:szCs w:val="20"/>
          <w:lang w:val="en-US"/>
        </w:rPr>
        <w:t xml:space="preserve"> made statements before the Criminal Prosecutor, </w:t>
      </w:r>
      <w:r w:rsidR="00E73268" w:rsidRPr="00785D06">
        <w:rPr>
          <w:rFonts w:cs="Arial"/>
          <w:sz w:val="20"/>
          <w:szCs w:val="20"/>
          <w:lang w:val="en-US"/>
        </w:rPr>
        <w:t xml:space="preserve">accompanied by </w:t>
      </w:r>
      <w:r w:rsidR="000716EF" w:rsidRPr="00785D06">
        <w:rPr>
          <w:rFonts w:cs="Arial"/>
          <w:sz w:val="20"/>
          <w:szCs w:val="20"/>
          <w:lang w:val="en-US"/>
        </w:rPr>
        <w:t>their representatives.</w:t>
      </w:r>
      <w:r w:rsidRPr="00785D06">
        <w:rPr>
          <w:rFonts w:cs="Arial"/>
          <w:sz w:val="20"/>
          <w:szCs w:val="20"/>
          <w:lang w:val="en-US"/>
        </w:rPr>
        <w:t xml:space="preserve"> </w:t>
      </w:r>
    </w:p>
    <w:p w14:paraId="50FFEB4C" w14:textId="77777777" w:rsidR="00C254BF" w:rsidRPr="00785D06" w:rsidRDefault="00C254BF" w:rsidP="00C254BF">
      <w:pPr>
        <w:jc w:val="both"/>
        <w:rPr>
          <w:rFonts w:cs="Arial"/>
          <w:sz w:val="20"/>
          <w:szCs w:val="20"/>
          <w:lang w:val="en-US"/>
        </w:rPr>
      </w:pPr>
    </w:p>
    <w:p w14:paraId="04F29290" w14:textId="77777777" w:rsidR="00C254BF" w:rsidRPr="00785D06" w:rsidRDefault="00C254BF" w:rsidP="00C254BF">
      <w:pPr>
        <w:jc w:val="both"/>
        <w:rPr>
          <w:sz w:val="20"/>
          <w:szCs w:val="20"/>
          <w:lang w:val="en-US"/>
        </w:rPr>
      </w:pPr>
      <w:r w:rsidRPr="00785D06">
        <w:rPr>
          <w:rFonts w:cs="Arial"/>
          <w:sz w:val="20"/>
          <w:szCs w:val="20"/>
          <w:lang w:val="en-US"/>
        </w:rPr>
        <w:t>66.</w:t>
      </w:r>
      <w:r w:rsidRPr="00785D06">
        <w:rPr>
          <w:rFonts w:cs="Arial"/>
          <w:sz w:val="20"/>
          <w:szCs w:val="20"/>
          <w:lang w:val="en-US"/>
        </w:rPr>
        <w:tab/>
        <w:t xml:space="preserve">On February 3 and 4, 2003, the </w:t>
      </w:r>
      <w:r w:rsidR="000716EF" w:rsidRPr="00785D06">
        <w:rPr>
          <w:rFonts w:cs="Arial"/>
          <w:sz w:val="20"/>
          <w:szCs w:val="20"/>
          <w:lang w:val="en-US"/>
        </w:rPr>
        <w:t xml:space="preserve">Criminal Prosecutor </w:t>
      </w:r>
      <w:r w:rsidRPr="00785D06">
        <w:rPr>
          <w:rFonts w:cs="Arial"/>
          <w:sz w:val="20"/>
          <w:szCs w:val="20"/>
          <w:lang w:val="en-US"/>
        </w:rPr>
        <w:t xml:space="preserve">requested the arrest of the </w:t>
      </w:r>
      <w:r w:rsidR="0097298A" w:rsidRPr="00785D06">
        <w:rPr>
          <w:rFonts w:cs="Arial"/>
          <w:sz w:val="20"/>
          <w:szCs w:val="20"/>
          <w:lang w:val="en-US"/>
        </w:rPr>
        <w:t>vice principal</w:t>
      </w:r>
      <w:r w:rsidRPr="00785D06">
        <w:rPr>
          <w:rFonts w:cs="Arial"/>
          <w:sz w:val="20"/>
          <w:szCs w:val="20"/>
          <w:lang w:val="en-US"/>
        </w:rPr>
        <w:t>. T</w:t>
      </w:r>
      <w:r w:rsidR="000716EF" w:rsidRPr="00785D06">
        <w:rPr>
          <w:rFonts w:cs="Arial"/>
          <w:sz w:val="20"/>
          <w:szCs w:val="20"/>
          <w:lang w:val="en-US"/>
        </w:rPr>
        <w:t>wo days later, on February 6, t</w:t>
      </w:r>
      <w:r w:rsidRPr="00785D06">
        <w:rPr>
          <w:rFonts w:cs="Arial"/>
          <w:sz w:val="20"/>
          <w:szCs w:val="20"/>
          <w:lang w:val="en-US"/>
        </w:rPr>
        <w:t xml:space="preserve">he Third Criminal Judge of Guayas </w:t>
      </w:r>
      <w:r w:rsidR="000716EF" w:rsidRPr="00785D06">
        <w:rPr>
          <w:rFonts w:cs="Arial"/>
          <w:sz w:val="20"/>
          <w:szCs w:val="20"/>
          <w:lang w:val="en-US"/>
        </w:rPr>
        <w:t xml:space="preserve">informed the judicial police that he had </w:t>
      </w:r>
      <w:r w:rsidRPr="00785D06">
        <w:rPr>
          <w:rFonts w:cs="Arial"/>
          <w:sz w:val="20"/>
          <w:szCs w:val="20"/>
          <w:lang w:val="en-US"/>
        </w:rPr>
        <w:t>issued a</w:t>
      </w:r>
      <w:r w:rsidR="000716EF" w:rsidRPr="00785D06">
        <w:rPr>
          <w:rFonts w:cs="Arial"/>
          <w:sz w:val="20"/>
          <w:szCs w:val="20"/>
          <w:lang w:val="en-US"/>
        </w:rPr>
        <w:t xml:space="preserve"> warrant for the arrest of the vice principal</w:t>
      </w:r>
      <w:r w:rsidRPr="00785D06">
        <w:rPr>
          <w:rFonts w:cs="Arial"/>
          <w:sz w:val="20"/>
          <w:szCs w:val="20"/>
          <w:lang w:val="en-US"/>
        </w:rPr>
        <w:t xml:space="preserve">. </w:t>
      </w:r>
      <w:r w:rsidR="000716EF" w:rsidRPr="00785D06">
        <w:rPr>
          <w:rFonts w:cs="Arial"/>
          <w:sz w:val="20"/>
          <w:szCs w:val="20"/>
          <w:lang w:val="en-US"/>
        </w:rPr>
        <w:t>O</w:t>
      </w:r>
      <w:r w:rsidRPr="00785D06">
        <w:rPr>
          <w:rFonts w:cs="Arial"/>
          <w:sz w:val="20"/>
          <w:szCs w:val="20"/>
          <w:lang w:val="en-US"/>
        </w:rPr>
        <w:t xml:space="preserve">n February 13, </w:t>
      </w:r>
      <w:r w:rsidR="000716EF" w:rsidRPr="00785D06">
        <w:rPr>
          <w:rFonts w:cs="Arial"/>
          <w:sz w:val="20"/>
          <w:szCs w:val="20"/>
          <w:lang w:val="en-US"/>
        </w:rPr>
        <w:t xml:space="preserve">the same judge </w:t>
      </w:r>
      <w:r w:rsidR="005B3FCF" w:rsidRPr="00785D06">
        <w:rPr>
          <w:rFonts w:cs="Arial"/>
          <w:sz w:val="20"/>
          <w:szCs w:val="20"/>
          <w:lang w:val="en-US"/>
        </w:rPr>
        <w:t xml:space="preserve">issued a warrant to search </w:t>
      </w:r>
      <w:r w:rsidRPr="00785D06">
        <w:rPr>
          <w:rFonts w:cs="Arial"/>
          <w:sz w:val="20"/>
          <w:szCs w:val="20"/>
          <w:lang w:val="en-US"/>
        </w:rPr>
        <w:t xml:space="preserve">the </w:t>
      </w:r>
      <w:r w:rsidR="0097298A" w:rsidRPr="00785D06">
        <w:rPr>
          <w:rFonts w:cs="Arial"/>
          <w:sz w:val="20"/>
          <w:szCs w:val="20"/>
          <w:lang w:val="en-US"/>
        </w:rPr>
        <w:t>vice principal</w:t>
      </w:r>
      <w:r w:rsidR="005B3FCF" w:rsidRPr="00785D06">
        <w:rPr>
          <w:rFonts w:cs="Arial"/>
          <w:sz w:val="20"/>
          <w:szCs w:val="20"/>
          <w:lang w:val="en-US"/>
        </w:rPr>
        <w:t>’s ho</w:t>
      </w:r>
      <w:r w:rsidR="00E73268" w:rsidRPr="00785D06">
        <w:rPr>
          <w:rFonts w:cs="Arial"/>
          <w:sz w:val="20"/>
          <w:szCs w:val="20"/>
          <w:lang w:val="en-US"/>
        </w:rPr>
        <w:t>me</w:t>
      </w:r>
      <w:r w:rsidR="005B3FCF" w:rsidRPr="00785D06">
        <w:rPr>
          <w:rFonts w:cs="Arial"/>
          <w:sz w:val="20"/>
          <w:szCs w:val="20"/>
          <w:lang w:val="en-US"/>
        </w:rPr>
        <w:t>; however, according to information presented to the Commission, by the time the search was conducted,</w:t>
      </w:r>
      <w:r w:rsidRPr="00785D06">
        <w:rPr>
          <w:rFonts w:cs="Arial"/>
          <w:sz w:val="20"/>
          <w:szCs w:val="20"/>
          <w:lang w:val="en-US"/>
        </w:rPr>
        <w:t xml:space="preserve"> </w:t>
      </w:r>
      <w:r w:rsidR="005B3FCF" w:rsidRPr="00785D06">
        <w:rPr>
          <w:rFonts w:cs="Arial"/>
          <w:sz w:val="20"/>
          <w:szCs w:val="20"/>
          <w:lang w:val="en-US"/>
        </w:rPr>
        <w:t>the suspect had fled</w:t>
      </w:r>
      <w:r w:rsidRPr="00785D06">
        <w:rPr>
          <w:rFonts w:cs="Arial"/>
          <w:sz w:val="20"/>
          <w:szCs w:val="20"/>
          <w:lang w:val="en-US"/>
        </w:rPr>
        <w:t>.</w:t>
      </w:r>
      <w:r w:rsidRPr="00785D06">
        <w:rPr>
          <w:rFonts w:cs="Arial"/>
          <w:sz w:val="20"/>
          <w:szCs w:val="20"/>
          <w:vertAlign w:val="superscript"/>
          <w:lang w:val="en-US"/>
        </w:rPr>
        <w:footnoteReference w:id="60"/>
      </w:r>
    </w:p>
    <w:p w14:paraId="68ED4A85" w14:textId="77777777" w:rsidR="00C254BF" w:rsidRPr="00785D06" w:rsidRDefault="00C254BF" w:rsidP="00C254BF">
      <w:pPr>
        <w:pStyle w:val="Prrafodelista"/>
        <w:ind w:left="0"/>
        <w:contextualSpacing w:val="0"/>
        <w:jc w:val="both"/>
        <w:rPr>
          <w:rFonts w:cs="Arial"/>
          <w:sz w:val="20"/>
          <w:szCs w:val="20"/>
          <w:lang w:val="en-US"/>
        </w:rPr>
      </w:pPr>
    </w:p>
    <w:p w14:paraId="7250B099" w14:textId="77777777" w:rsidR="00C254BF" w:rsidRPr="00785D06" w:rsidRDefault="00C254BF" w:rsidP="00C254BF">
      <w:pPr>
        <w:pStyle w:val="Prrafodelista"/>
        <w:ind w:left="0"/>
        <w:contextualSpacing w:val="0"/>
        <w:jc w:val="both"/>
        <w:rPr>
          <w:rFonts w:cs="Arial"/>
          <w:sz w:val="20"/>
          <w:szCs w:val="20"/>
          <w:lang w:val="en-US"/>
        </w:rPr>
      </w:pPr>
      <w:r w:rsidRPr="00785D06">
        <w:rPr>
          <w:rFonts w:cs="Arial"/>
          <w:sz w:val="20"/>
          <w:szCs w:val="20"/>
          <w:lang w:val="en-US"/>
        </w:rPr>
        <w:t>67.</w:t>
      </w:r>
      <w:r w:rsidRPr="00785D06">
        <w:rPr>
          <w:rFonts w:cs="Arial"/>
          <w:sz w:val="20"/>
          <w:szCs w:val="20"/>
          <w:lang w:val="en-US"/>
        </w:rPr>
        <w:tab/>
        <w:t xml:space="preserve">On February 14, March 14 and 20, and September 10, 2003, the </w:t>
      </w:r>
      <w:r w:rsidR="00A62636" w:rsidRPr="00785D06">
        <w:rPr>
          <w:rFonts w:cs="Arial"/>
          <w:sz w:val="20"/>
          <w:szCs w:val="20"/>
          <w:lang w:val="en-US"/>
        </w:rPr>
        <w:t xml:space="preserve">Criminal </w:t>
      </w:r>
      <w:r w:rsidRPr="00785D06">
        <w:rPr>
          <w:rFonts w:cs="Arial"/>
          <w:sz w:val="20"/>
          <w:szCs w:val="20"/>
          <w:lang w:val="en-US"/>
        </w:rPr>
        <w:t>Prosecutor t</w:t>
      </w:r>
      <w:r w:rsidR="00E73268" w:rsidRPr="00785D06">
        <w:rPr>
          <w:rFonts w:cs="Arial"/>
          <w:sz w:val="20"/>
          <w:szCs w:val="20"/>
          <w:lang w:val="en-US"/>
        </w:rPr>
        <w:t>ook statements from the school P</w:t>
      </w:r>
      <w:r w:rsidRPr="00785D06">
        <w:rPr>
          <w:rFonts w:cs="Arial"/>
          <w:sz w:val="20"/>
          <w:szCs w:val="20"/>
          <w:lang w:val="en-US"/>
        </w:rPr>
        <w:t xml:space="preserve">rincipal; from another </w:t>
      </w:r>
      <w:r w:rsidR="00E11964" w:rsidRPr="00785D06">
        <w:rPr>
          <w:rFonts w:cs="Arial"/>
          <w:sz w:val="20"/>
          <w:szCs w:val="20"/>
          <w:lang w:val="en-US"/>
        </w:rPr>
        <w:t xml:space="preserve">classmate of </w:t>
      </w:r>
      <w:r w:rsidR="00A62636" w:rsidRPr="00785D06">
        <w:rPr>
          <w:rFonts w:cs="Arial"/>
          <w:sz w:val="20"/>
          <w:szCs w:val="20"/>
          <w:lang w:val="en-US"/>
        </w:rPr>
        <w:t>Paola; from her “cousin in law;”</w:t>
      </w:r>
      <w:r w:rsidRPr="00785D06">
        <w:rPr>
          <w:rFonts w:cs="Arial"/>
          <w:sz w:val="20"/>
          <w:szCs w:val="20"/>
          <w:lang w:val="en-US"/>
        </w:rPr>
        <w:t xml:space="preserve"> and from the director of </w:t>
      </w:r>
      <w:r w:rsidR="00A62636" w:rsidRPr="00785D06">
        <w:rPr>
          <w:rFonts w:cs="Arial"/>
          <w:sz w:val="20"/>
          <w:szCs w:val="20"/>
          <w:lang w:val="en-US"/>
        </w:rPr>
        <w:t xml:space="preserve">Paola’s </w:t>
      </w:r>
      <w:r w:rsidRPr="00785D06">
        <w:rPr>
          <w:rFonts w:cs="Arial"/>
          <w:sz w:val="20"/>
          <w:szCs w:val="20"/>
          <w:lang w:val="en-US"/>
        </w:rPr>
        <w:t>grade</w:t>
      </w:r>
      <w:r w:rsidR="00A62636" w:rsidRPr="00785D06">
        <w:rPr>
          <w:rFonts w:cs="Arial"/>
          <w:sz w:val="20"/>
          <w:szCs w:val="20"/>
          <w:lang w:val="en-US"/>
        </w:rPr>
        <w:t>.</w:t>
      </w:r>
      <w:r w:rsidRPr="00785D06">
        <w:rPr>
          <w:rFonts w:cs="Arial"/>
          <w:sz w:val="20"/>
          <w:szCs w:val="20"/>
          <w:vertAlign w:val="superscript"/>
          <w:lang w:val="en-US"/>
        </w:rPr>
        <w:footnoteReference w:id="61"/>
      </w:r>
      <w:r w:rsidRPr="00785D06">
        <w:rPr>
          <w:rFonts w:cs="Arial"/>
          <w:sz w:val="20"/>
          <w:szCs w:val="20"/>
          <w:lang w:val="en-US"/>
        </w:rPr>
        <w:t xml:space="preserve"> </w:t>
      </w:r>
    </w:p>
    <w:p w14:paraId="1C93C715" w14:textId="77777777" w:rsidR="00C254BF" w:rsidRPr="00785D06" w:rsidRDefault="00C254BF" w:rsidP="00C254BF">
      <w:pPr>
        <w:jc w:val="both"/>
        <w:rPr>
          <w:rFonts w:cs="Arial"/>
          <w:sz w:val="20"/>
          <w:szCs w:val="20"/>
          <w:lang w:val="en-US"/>
        </w:rPr>
      </w:pPr>
    </w:p>
    <w:p w14:paraId="6C4940E0" w14:textId="77777777" w:rsidR="00C254BF" w:rsidRPr="00785D06" w:rsidRDefault="00C254BF" w:rsidP="00C254BF">
      <w:pPr>
        <w:jc w:val="both"/>
        <w:rPr>
          <w:rFonts w:cs="Arial"/>
          <w:sz w:val="20"/>
          <w:szCs w:val="20"/>
          <w:lang w:val="en-US"/>
        </w:rPr>
      </w:pPr>
      <w:r w:rsidRPr="00785D06">
        <w:rPr>
          <w:rFonts w:cs="Arial"/>
          <w:sz w:val="20"/>
          <w:szCs w:val="20"/>
          <w:lang w:val="en-US"/>
        </w:rPr>
        <w:t>68.</w:t>
      </w:r>
      <w:r w:rsidRPr="00785D06">
        <w:rPr>
          <w:rFonts w:cs="Arial"/>
          <w:sz w:val="20"/>
          <w:szCs w:val="20"/>
          <w:lang w:val="en-US"/>
        </w:rPr>
        <w:tab/>
        <w:t xml:space="preserve">On March 16, 2003, an investigator of the National </w:t>
      </w:r>
      <w:r w:rsidR="00E11964" w:rsidRPr="00785D06">
        <w:rPr>
          <w:rFonts w:cs="Arial"/>
          <w:sz w:val="20"/>
          <w:szCs w:val="20"/>
          <w:lang w:val="en-US"/>
        </w:rPr>
        <w:t xml:space="preserve">Office </w:t>
      </w:r>
      <w:r w:rsidRPr="00785D06">
        <w:rPr>
          <w:rFonts w:cs="Arial"/>
          <w:sz w:val="20"/>
          <w:szCs w:val="20"/>
          <w:lang w:val="en-US"/>
        </w:rPr>
        <w:t>of the National Police presented a report in which he concluded that Paola “poisoned herself to take her own life</w:t>
      </w:r>
      <w:r w:rsidR="00E11964" w:rsidRPr="00785D06">
        <w:rPr>
          <w:rFonts w:cs="Arial"/>
          <w:sz w:val="20"/>
          <w:szCs w:val="20"/>
          <w:lang w:val="en-US"/>
        </w:rPr>
        <w:t>.</w:t>
      </w:r>
      <w:r w:rsidRPr="00785D06">
        <w:rPr>
          <w:rFonts w:cs="Arial"/>
          <w:sz w:val="20"/>
          <w:szCs w:val="20"/>
          <w:lang w:val="en-US"/>
        </w:rPr>
        <w:t xml:space="preserve">” </w:t>
      </w:r>
      <w:r w:rsidR="00E11964" w:rsidRPr="00785D06">
        <w:rPr>
          <w:rFonts w:cs="Arial"/>
          <w:sz w:val="20"/>
          <w:szCs w:val="20"/>
          <w:lang w:val="en-US"/>
        </w:rPr>
        <w:t xml:space="preserve">It also stated that the motives were unknown but that </w:t>
      </w:r>
      <w:r w:rsidRPr="00785D06">
        <w:rPr>
          <w:rFonts w:cs="Arial"/>
          <w:sz w:val="20"/>
          <w:szCs w:val="20"/>
          <w:lang w:val="en-US"/>
        </w:rPr>
        <w:t xml:space="preserve">“the </w:t>
      </w:r>
      <w:r w:rsidR="0097298A" w:rsidRPr="00785D06">
        <w:rPr>
          <w:rFonts w:cs="Arial"/>
          <w:sz w:val="20"/>
          <w:szCs w:val="20"/>
          <w:lang w:val="en-US"/>
        </w:rPr>
        <w:t>vice principal</w:t>
      </w:r>
      <w:r w:rsidRPr="00785D06">
        <w:rPr>
          <w:rFonts w:cs="Arial"/>
          <w:sz w:val="20"/>
          <w:szCs w:val="20"/>
          <w:lang w:val="en-US"/>
        </w:rPr>
        <w:t xml:space="preserve"> Bolívar Espín ha[d] </w:t>
      </w:r>
      <w:r w:rsidR="00E11964" w:rsidRPr="00785D06">
        <w:rPr>
          <w:rFonts w:cs="Arial"/>
          <w:sz w:val="20"/>
          <w:szCs w:val="20"/>
          <w:lang w:val="en-US"/>
        </w:rPr>
        <w:t xml:space="preserve">been in a </w:t>
      </w:r>
      <w:r w:rsidRPr="00785D06">
        <w:rPr>
          <w:rFonts w:cs="Arial"/>
          <w:sz w:val="20"/>
          <w:szCs w:val="20"/>
          <w:lang w:val="en-US"/>
        </w:rPr>
        <w:t>romantic relations</w:t>
      </w:r>
      <w:r w:rsidR="00E11964" w:rsidRPr="00785D06">
        <w:rPr>
          <w:rFonts w:cs="Arial"/>
          <w:sz w:val="20"/>
          <w:szCs w:val="20"/>
          <w:lang w:val="en-US"/>
        </w:rPr>
        <w:t>hip” with Paola</w:t>
      </w:r>
      <w:r w:rsidRPr="00785D06">
        <w:rPr>
          <w:rFonts w:cs="Arial"/>
          <w:sz w:val="20"/>
          <w:szCs w:val="20"/>
          <w:lang w:val="en-US"/>
        </w:rPr>
        <w:t>.”</w:t>
      </w:r>
      <w:r w:rsidRPr="00785D06">
        <w:rPr>
          <w:rFonts w:cs="Arial"/>
          <w:sz w:val="20"/>
          <w:szCs w:val="20"/>
          <w:vertAlign w:val="superscript"/>
          <w:lang w:val="en-US"/>
        </w:rPr>
        <w:footnoteReference w:id="62"/>
      </w:r>
      <w:r w:rsidRPr="00785D06">
        <w:rPr>
          <w:rFonts w:cs="Arial"/>
          <w:sz w:val="20"/>
          <w:szCs w:val="20"/>
          <w:lang w:val="en-US"/>
        </w:rPr>
        <w:t xml:space="preserve"> </w:t>
      </w:r>
    </w:p>
    <w:p w14:paraId="514ABFD2" w14:textId="77777777" w:rsidR="00C254BF" w:rsidRPr="00785D06" w:rsidRDefault="00C254BF" w:rsidP="00C254BF">
      <w:pPr>
        <w:pStyle w:val="Prrafodelista"/>
        <w:ind w:left="0"/>
        <w:contextualSpacing w:val="0"/>
        <w:jc w:val="both"/>
        <w:rPr>
          <w:sz w:val="20"/>
          <w:szCs w:val="20"/>
          <w:lang w:val="en-US"/>
        </w:rPr>
      </w:pPr>
    </w:p>
    <w:p w14:paraId="3BADAB3D" w14:textId="77777777" w:rsidR="00C254BF" w:rsidRPr="00785D06" w:rsidRDefault="00C254BF" w:rsidP="00C254BF">
      <w:pPr>
        <w:pStyle w:val="Prrafodelista"/>
        <w:ind w:left="0"/>
        <w:contextualSpacing w:val="0"/>
        <w:jc w:val="both"/>
        <w:rPr>
          <w:rFonts w:cstheme="minorBidi"/>
          <w:sz w:val="20"/>
          <w:szCs w:val="20"/>
          <w:lang w:val="en-US"/>
        </w:rPr>
      </w:pPr>
      <w:r w:rsidRPr="00785D06">
        <w:rPr>
          <w:sz w:val="20"/>
          <w:szCs w:val="20"/>
          <w:lang w:val="en-US"/>
        </w:rPr>
        <w:t>69.</w:t>
      </w:r>
      <w:r w:rsidRPr="00785D06">
        <w:rPr>
          <w:sz w:val="20"/>
          <w:szCs w:val="20"/>
          <w:lang w:val="en-US"/>
        </w:rPr>
        <w:tab/>
        <w:t xml:space="preserve">On March 31, 2003, the </w:t>
      </w:r>
      <w:r w:rsidR="008E4A65" w:rsidRPr="00785D06">
        <w:rPr>
          <w:sz w:val="20"/>
          <w:szCs w:val="20"/>
          <w:lang w:val="en-US"/>
        </w:rPr>
        <w:t>prosecutor</w:t>
      </w:r>
      <w:r w:rsidRPr="00785D06">
        <w:rPr>
          <w:sz w:val="20"/>
          <w:szCs w:val="20"/>
          <w:lang w:val="en-US"/>
        </w:rPr>
        <w:t xml:space="preserve"> received the results of the analysis </w:t>
      </w:r>
      <w:r w:rsidR="00E23DE9" w:rsidRPr="00785D06">
        <w:rPr>
          <w:sz w:val="20"/>
          <w:szCs w:val="20"/>
          <w:lang w:val="en-US"/>
        </w:rPr>
        <w:t xml:space="preserve">of </w:t>
      </w:r>
      <w:r w:rsidRPr="00785D06">
        <w:rPr>
          <w:sz w:val="20"/>
          <w:szCs w:val="20"/>
          <w:lang w:val="en-US"/>
        </w:rPr>
        <w:t>the organ samples taken at the autopsy of Paola’s body (</w:t>
      </w:r>
      <w:r w:rsidRPr="00785D06">
        <w:rPr>
          <w:i/>
          <w:sz w:val="20"/>
          <w:szCs w:val="20"/>
          <w:lang w:val="en-US"/>
        </w:rPr>
        <w:t xml:space="preserve">infra </w:t>
      </w:r>
      <w:r w:rsidRPr="00785D06">
        <w:rPr>
          <w:sz w:val="20"/>
          <w:szCs w:val="20"/>
          <w:lang w:val="en-US"/>
        </w:rPr>
        <w:t>footnote 144)</w:t>
      </w:r>
      <w:r w:rsidR="00E23DE9" w:rsidRPr="00785D06">
        <w:rPr>
          <w:sz w:val="20"/>
          <w:szCs w:val="20"/>
          <w:lang w:val="en-US"/>
        </w:rPr>
        <w:t>.</w:t>
      </w:r>
      <w:r w:rsidRPr="00785D06">
        <w:rPr>
          <w:rStyle w:val="Refdenotaalpie"/>
          <w:sz w:val="20"/>
          <w:szCs w:val="20"/>
          <w:lang w:val="en-US"/>
        </w:rPr>
        <w:footnoteReference w:id="63"/>
      </w:r>
      <w:r w:rsidRPr="00785D06">
        <w:rPr>
          <w:sz w:val="20"/>
          <w:szCs w:val="20"/>
          <w:lang w:val="en-US"/>
        </w:rPr>
        <w:t xml:space="preserve"> </w:t>
      </w:r>
    </w:p>
    <w:p w14:paraId="108F15BC" w14:textId="77777777" w:rsidR="00C254BF" w:rsidRPr="00785D06" w:rsidRDefault="00C254BF" w:rsidP="00C254BF">
      <w:pPr>
        <w:jc w:val="both"/>
        <w:rPr>
          <w:rFonts w:cs="Arial"/>
          <w:sz w:val="20"/>
          <w:szCs w:val="20"/>
          <w:lang w:val="en-US"/>
        </w:rPr>
      </w:pPr>
    </w:p>
    <w:p w14:paraId="5C418737" w14:textId="77777777" w:rsidR="00C254BF" w:rsidRPr="00785D06" w:rsidRDefault="00C254BF" w:rsidP="00C254BF">
      <w:pPr>
        <w:jc w:val="both"/>
        <w:rPr>
          <w:rFonts w:cs="Arial"/>
          <w:sz w:val="20"/>
          <w:szCs w:val="20"/>
          <w:lang w:val="en-US"/>
        </w:rPr>
      </w:pPr>
      <w:r w:rsidRPr="00785D06">
        <w:rPr>
          <w:rFonts w:cs="Arial"/>
          <w:sz w:val="20"/>
          <w:szCs w:val="20"/>
          <w:lang w:val="en-US"/>
        </w:rPr>
        <w:t>70.</w:t>
      </w:r>
      <w:r w:rsidRPr="00785D06">
        <w:rPr>
          <w:rFonts w:cs="Arial"/>
          <w:sz w:val="20"/>
          <w:szCs w:val="20"/>
          <w:lang w:val="en-US"/>
        </w:rPr>
        <w:tab/>
        <w:t xml:space="preserve">On June 12, 2003, the </w:t>
      </w:r>
      <w:r w:rsidR="008E4A65" w:rsidRPr="00785D06">
        <w:rPr>
          <w:rFonts w:cs="Arial"/>
          <w:sz w:val="20"/>
          <w:szCs w:val="20"/>
          <w:lang w:val="en-US"/>
        </w:rPr>
        <w:t xml:space="preserve">Public </w:t>
      </w:r>
      <w:r w:rsidRPr="00785D06">
        <w:rPr>
          <w:rFonts w:cs="Arial"/>
          <w:sz w:val="20"/>
          <w:szCs w:val="20"/>
          <w:lang w:val="en-US"/>
        </w:rPr>
        <w:t xml:space="preserve">Prosecutor filed formal charges against </w:t>
      </w:r>
      <w:r w:rsidR="008E4A65" w:rsidRPr="00785D06">
        <w:rPr>
          <w:rFonts w:cs="Arial"/>
          <w:sz w:val="20"/>
          <w:szCs w:val="20"/>
          <w:lang w:val="en-US"/>
        </w:rPr>
        <w:t xml:space="preserve">Mr. Bolívar Espín </w:t>
      </w:r>
      <w:r w:rsidRPr="00785D06">
        <w:rPr>
          <w:rFonts w:cs="Arial"/>
          <w:sz w:val="20"/>
          <w:szCs w:val="20"/>
          <w:lang w:val="en-US"/>
        </w:rPr>
        <w:t>for the crime of sexual harassment</w:t>
      </w:r>
      <w:r w:rsidR="00481DF7" w:rsidRPr="00785D06">
        <w:rPr>
          <w:rFonts w:cs="Arial"/>
          <w:sz w:val="20"/>
          <w:szCs w:val="20"/>
          <w:lang w:val="en-US"/>
        </w:rPr>
        <w:t xml:space="preserve"> and</w:t>
      </w:r>
      <w:r w:rsidRPr="00785D06">
        <w:rPr>
          <w:rFonts w:cs="Arial"/>
          <w:sz w:val="20"/>
          <w:szCs w:val="20"/>
          <w:lang w:val="en-US"/>
        </w:rPr>
        <w:t xml:space="preserve"> </w:t>
      </w:r>
      <w:r w:rsidR="00481DF7" w:rsidRPr="00785D06">
        <w:rPr>
          <w:rFonts w:cs="Arial"/>
          <w:sz w:val="20"/>
          <w:szCs w:val="20"/>
          <w:lang w:val="en-US"/>
        </w:rPr>
        <w:t>o</w:t>
      </w:r>
      <w:r w:rsidRPr="00785D06">
        <w:rPr>
          <w:rFonts w:cs="Arial"/>
          <w:sz w:val="20"/>
          <w:szCs w:val="20"/>
          <w:lang w:val="en-US"/>
        </w:rPr>
        <w:t xml:space="preserve">n August 22, 2003, </w:t>
      </w:r>
      <w:r w:rsidR="008E4A65" w:rsidRPr="00785D06">
        <w:rPr>
          <w:rFonts w:cs="Arial"/>
          <w:sz w:val="20"/>
          <w:szCs w:val="20"/>
          <w:lang w:val="en-US"/>
        </w:rPr>
        <w:t xml:space="preserve">he </w:t>
      </w:r>
      <w:r w:rsidRPr="00785D06">
        <w:rPr>
          <w:rFonts w:cs="Arial"/>
          <w:sz w:val="20"/>
          <w:szCs w:val="20"/>
          <w:lang w:val="en-US"/>
        </w:rPr>
        <w:t xml:space="preserve">asked the </w:t>
      </w:r>
      <w:r w:rsidR="008E4A65" w:rsidRPr="00785D06">
        <w:rPr>
          <w:rFonts w:cs="Arial"/>
          <w:sz w:val="20"/>
          <w:szCs w:val="20"/>
          <w:lang w:val="en-US"/>
        </w:rPr>
        <w:t xml:space="preserve">judge of the </w:t>
      </w:r>
      <w:r w:rsidRPr="00785D06">
        <w:rPr>
          <w:rFonts w:cs="Arial"/>
          <w:sz w:val="20"/>
          <w:szCs w:val="20"/>
          <w:lang w:val="en-US"/>
        </w:rPr>
        <w:t>Twentieth C</w:t>
      </w:r>
      <w:r w:rsidR="008E4A65" w:rsidRPr="00785D06">
        <w:rPr>
          <w:rFonts w:cs="Arial"/>
          <w:sz w:val="20"/>
          <w:szCs w:val="20"/>
          <w:lang w:val="en-US"/>
        </w:rPr>
        <w:t>riminal C</w:t>
      </w:r>
      <w:r w:rsidRPr="00785D06">
        <w:rPr>
          <w:rFonts w:cs="Arial"/>
          <w:sz w:val="20"/>
          <w:szCs w:val="20"/>
          <w:lang w:val="en-US"/>
        </w:rPr>
        <w:t xml:space="preserve">ourt, which had been assigned the case, to order the pretrial detention of </w:t>
      </w:r>
      <w:r w:rsidR="008E4A65" w:rsidRPr="00785D06">
        <w:rPr>
          <w:rFonts w:cs="Arial"/>
          <w:sz w:val="20"/>
          <w:szCs w:val="20"/>
          <w:lang w:val="en-US"/>
        </w:rPr>
        <w:t>the vice principal</w:t>
      </w:r>
      <w:r w:rsidRPr="00785D06">
        <w:rPr>
          <w:rFonts w:cs="Arial"/>
          <w:sz w:val="20"/>
          <w:szCs w:val="20"/>
          <w:lang w:val="en-US"/>
        </w:rPr>
        <w:t>.</w:t>
      </w:r>
      <w:r w:rsidRPr="00785D06">
        <w:rPr>
          <w:rFonts w:cs="Arial"/>
          <w:sz w:val="20"/>
          <w:szCs w:val="20"/>
          <w:vertAlign w:val="superscript"/>
          <w:lang w:val="en-US"/>
        </w:rPr>
        <w:footnoteReference w:id="64"/>
      </w:r>
      <w:r w:rsidRPr="00785D06">
        <w:rPr>
          <w:rFonts w:cs="Arial"/>
          <w:sz w:val="20"/>
          <w:szCs w:val="20"/>
          <w:lang w:val="en-US"/>
        </w:rPr>
        <w:t xml:space="preserve"> </w:t>
      </w:r>
      <w:r w:rsidR="008E4A65" w:rsidRPr="00785D06">
        <w:rPr>
          <w:rFonts w:cs="Arial"/>
          <w:sz w:val="20"/>
          <w:szCs w:val="20"/>
          <w:lang w:val="en-US"/>
        </w:rPr>
        <w:t xml:space="preserve">According to </w:t>
      </w:r>
      <w:r w:rsidRPr="00785D06">
        <w:rPr>
          <w:rFonts w:cs="Arial"/>
          <w:sz w:val="20"/>
          <w:szCs w:val="20"/>
          <w:lang w:val="en-US"/>
        </w:rPr>
        <w:t>the State, this request w</w:t>
      </w:r>
      <w:r w:rsidR="008E4A65" w:rsidRPr="00785D06">
        <w:rPr>
          <w:rFonts w:cs="Arial"/>
          <w:sz w:val="20"/>
          <w:szCs w:val="20"/>
          <w:lang w:val="en-US"/>
        </w:rPr>
        <w:t>as denied on September 10, 2003; however,</w:t>
      </w:r>
      <w:r w:rsidRPr="00785D06">
        <w:rPr>
          <w:rFonts w:cs="Arial"/>
          <w:sz w:val="20"/>
          <w:szCs w:val="20"/>
          <w:lang w:val="en-US"/>
        </w:rPr>
        <w:t xml:space="preserve"> two days l</w:t>
      </w:r>
      <w:r w:rsidR="00717195" w:rsidRPr="00785D06">
        <w:rPr>
          <w:rFonts w:cs="Arial"/>
          <w:sz w:val="20"/>
          <w:szCs w:val="20"/>
          <w:lang w:val="en-US"/>
        </w:rPr>
        <w:t>ater the Prosecutor appealed that</w:t>
      </w:r>
      <w:r w:rsidRPr="00785D06">
        <w:rPr>
          <w:rFonts w:cs="Arial"/>
          <w:sz w:val="20"/>
          <w:szCs w:val="20"/>
          <w:lang w:val="en-US"/>
        </w:rPr>
        <w:t xml:space="preserve"> decision. The State </w:t>
      </w:r>
      <w:r w:rsidR="00717195" w:rsidRPr="00785D06">
        <w:rPr>
          <w:rFonts w:cs="Arial"/>
          <w:sz w:val="20"/>
          <w:szCs w:val="20"/>
          <w:lang w:val="en-US"/>
        </w:rPr>
        <w:t xml:space="preserve">added </w:t>
      </w:r>
      <w:r w:rsidRPr="00785D06">
        <w:rPr>
          <w:rFonts w:cs="Arial"/>
          <w:sz w:val="20"/>
          <w:szCs w:val="20"/>
          <w:lang w:val="en-US"/>
        </w:rPr>
        <w:t>that on September 17</w:t>
      </w:r>
      <w:r w:rsidR="008E4A65" w:rsidRPr="00785D06">
        <w:rPr>
          <w:rFonts w:cs="Arial"/>
          <w:sz w:val="20"/>
          <w:szCs w:val="20"/>
          <w:lang w:val="en-US"/>
        </w:rPr>
        <w:t>,</w:t>
      </w:r>
      <w:r w:rsidRPr="00785D06">
        <w:rPr>
          <w:rFonts w:cs="Arial"/>
          <w:sz w:val="20"/>
          <w:szCs w:val="20"/>
          <w:lang w:val="en-US"/>
        </w:rPr>
        <w:t xml:space="preserve"> </w:t>
      </w:r>
      <w:r w:rsidR="00717195" w:rsidRPr="00785D06">
        <w:rPr>
          <w:rFonts w:cs="Arial"/>
          <w:sz w:val="20"/>
          <w:szCs w:val="20"/>
          <w:lang w:val="en-US"/>
        </w:rPr>
        <w:t xml:space="preserve">the appeal was admitted and a ruling was issued </w:t>
      </w:r>
      <w:r w:rsidRPr="00785D06">
        <w:rPr>
          <w:rFonts w:cs="Arial"/>
          <w:sz w:val="20"/>
          <w:szCs w:val="20"/>
          <w:lang w:val="en-US"/>
        </w:rPr>
        <w:t>on December 16, 2003 (</w:t>
      </w:r>
      <w:r w:rsidRPr="00785D06">
        <w:rPr>
          <w:rFonts w:cs="Arial"/>
          <w:i/>
          <w:sz w:val="20"/>
          <w:szCs w:val="20"/>
          <w:lang w:val="en-US"/>
        </w:rPr>
        <w:t xml:space="preserve">infra </w:t>
      </w:r>
      <w:r w:rsidRPr="00785D06">
        <w:rPr>
          <w:rFonts w:cs="Arial"/>
          <w:sz w:val="20"/>
          <w:szCs w:val="20"/>
          <w:lang w:val="en-US"/>
        </w:rPr>
        <w:t xml:space="preserve">para. 73). </w:t>
      </w:r>
    </w:p>
    <w:p w14:paraId="58ED327A" w14:textId="77777777" w:rsidR="00C254BF" w:rsidRPr="00785D06" w:rsidRDefault="00C254BF" w:rsidP="00C254BF">
      <w:pPr>
        <w:pStyle w:val="Prrafodelista"/>
        <w:ind w:left="0"/>
        <w:contextualSpacing w:val="0"/>
        <w:jc w:val="both"/>
        <w:rPr>
          <w:rFonts w:cs="Arial"/>
          <w:sz w:val="20"/>
          <w:szCs w:val="20"/>
          <w:lang w:val="en-US"/>
        </w:rPr>
      </w:pPr>
    </w:p>
    <w:p w14:paraId="1EB668EF" w14:textId="77777777" w:rsidR="00C254BF" w:rsidRPr="00785D06" w:rsidRDefault="00C254BF" w:rsidP="00C254BF">
      <w:pPr>
        <w:pStyle w:val="Prrafodelista"/>
        <w:ind w:left="0"/>
        <w:contextualSpacing w:val="0"/>
        <w:jc w:val="both"/>
        <w:rPr>
          <w:rFonts w:cstheme="minorBidi"/>
          <w:sz w:val="20"/>
          <w:szCs w:val="20"/>
          <w:lang w:val="en-US"/>
        </w:rPr>
      </w:pPr>
      <w:r w:rsidRPr="00785D06">
        <w:rPr>
          <w:rFonts w:cs="Arial"/>
          <w:sz w:val="20"/>
          <w:szCs w:val="20"/>
          <w:lang w:val="en-US"/>
        </w:rPr>
        <w:t>71.</w:t>
      </w:r>
      <w:r w:rsidRPr="00785D06">
        <w:rPr>
          <w:rFonts w:cs="Arial"/>
          <w:sz w:val="20"/>
          <w:szCs w:val="20"/>
          <w:lang w:val="en-US"/>
        </w:rPr>
        <w:tab/>
        <w:t xml:space="preserve">On October 13, 2003, Mrs. Albarracín brought a private prosecution </w:t>
      </w:r>
      <w:r w:rsidR="00481DF7" w:rsidRPr="00785D06">
        <w:rPr>
          <w:rFonts w:cs="Arial"/>
          <w:sz w:val="20"/>
          <w:szCs w:val="20"/>
          <w:lang w:val="en-US"/>
        </w:rPr>
        <w:t xml:space="preserve">against </w:t>
      </w:r>
      <w:r w:rsidRPr="00785D06">
        <w:rPr>
          <w:rFonts w:cs="Arial"/>
          <w:sz w:val="20"/>
          <w:szCs w:val="20"/>
          <w:lang w:val="en-US"/>
        </w:rPr>
        <w:t xml:space="preserve">the </w:t>
      </w:r>
      <w:r w:rsidR="0097298A" w:rsidRPr="00785D06">
        <w:rPr>
          <w:rFonts w:cs="Arial"/>
          <w:sz w:val="20"/>
          <w:szCs w:val="20"/>
          <w:lang w:val="en-US"/>
        </w:rPr>
        <w:t>vice principal</w:t>
      </w:r>
      <w:r w:rsidRPr="00785D06">
        <w:rPr>
          <w:rFonts w:cs="Arial"/>
          <w:sz w:val="20"/>
          <w:szCs w:val="20"/>
          <w:lang w:val="en-US"/>
        </w:rPr>
        <w:t xml:space="preserve"> for the crimes of sexual harassment, rape and </w:t>
      </w:r>
      <w:r w:rsidR="00717195" w:rsidRPr="00785D06">
        <w:rPr>
          <w:rFonts w:cs="Arial"/>
          <w:sz w:val="20"/>
          <w:szCs w:val="20"/>
          <w:lang w:val="en-US"/>
        </w:rPr>
        <w:t xml:space="preserve">abetting </w:t>
      </w:r>
      <w:r w:rsidRPr="00785D06">
        <w:rPr>
          <w:rFonts w:cs="Arial"/>
          <w:sz w:val="20"/>
          <w:szCs w:val="20"/>
          <w:lang w:val="en-US"/>
        </w:rPr>
        <w:t xml:space="preserve">suicide. She alleged that her daughter had swallowed the </w:t>
      </w:r>
      <w:r w:rsidR="00352842" w:rsidRPr="00785D06">
        <w:rPr>
          <w:rFonts w:cs="Arial"/>
          <w:sz w:val="20"/>
          <w:szCs w:val="20"/>
          <w:lang w:val="en-US"/>
        </w:rPr>
        <w:t xml:space="preserve">poison </w:t>
      </w:r>
      <w:r w:rsidR="00717195" w:rsidRPr="00785D06">
        <w:rPr>
          <w:rFonts w:cs="Arial"/>
          <w:sz w:val="20"/>
          <w:szCs w:val="20"/>
          <w:lang w:val="en-US"/>
        </w:rPr>
        <w:t xml:space="preserve">because </w:t>
      </w:r>
      <w:r w:rsidRPr="00785D06">
        <w:rPr>
          <w:rFonts w:cs="Arial"/>
          <w:sz w:val="20"/>
          <w:szCs w:val="20"/>
          <w:lang w:val="en-US"/>
        </w:rPr>
        <w:t xml:space="preserve">Mr. Bolívar Espín </w:t>
      </w:r>
      <w:r w:rsidR="00717195" w:rsidRPr="00785D06">
        <w:rPr>
          <w:rFonts w:cs="Arial"/>
          <w:sz w:val="20"/>
          <w:szCs w:val="20"/>
          <w:lang w:val="en-US"/>
        </w:rPr>
        <w:t xml:space="preserve">had exerted psychological pressure on </w:t>
      </w:r>
      <w:r w:rsidR="004360AC" w:rsidRPr="00785D06">
        <w:rPr>
          <w:rFonts w:cs="Arial"/>
          <w:sz w:val="20"/>
          <w:szCs w:val="20"/>
          <w:lang w:val="en-US"/>
        </w:rPr>
        <w:t xml:space="preserve">her </w:t>
      </w:r>
      <w:r w:rsidR="00717195" w:rsidRPr="00785D06">
        <w:rPr>
          <w:rFonts w:cs="Arial"/>
          <w:sz w:val="20"/>
          <w:szCs w:val="20"/>
          <w:lang w:val="en-US"/>
        </w:rPr>
        <w:t xml:space="preserve">so that she would </w:t>
      </w:r>
      <w:r w:rsidRPr="00785D06">
        <w:rPr>
          <w:rFonts w:cs="Arial"/>
          <w:sz w:val="20"/>
          <w:szCs w:val="20"/>
          <w:lang w:val="en-US"/>
        </w:rPr>
        <w:t>have sexual relations with him.</w:t>
      </w:r>
      <w:r w:rsidRPr="00785D06">
        <w:rPr>
          <w:rFonts w:cs="Arial"/>
          <w:sz w:val="20"/>
          <w:szCs w:val="20"/>
          <w:vertAlign w:val="superscript"/>
          <w:lang w:val="en-US"/>
        </w:rPr>
        <w:footnoteReference w:id="65"/>
      </w:r>
      <w:r w:rsidRPr="00785D06">
        <w:rPr>
          <w:rFonts w:cs="Arial"/>
          <w:sz w:val="20"/>
          <w:szCs w:val="20"/>
          <w:lang w:val="en-US"/>
        </w:rPr>
        <w:t xml:space="preserve"> On October 28, the Prosecutor issued </w:t>
      </w:r>
      <w:r w:rsidR="00431A1E" w:rsidRPr="00785D06">
        <w:rPr>
          <w:rFonts w:cs="Arial"/>
          <w:sz w:val="20"/>
          <w:szCs w:val="20"/>
          <w:lang w:val="en-US"/>
        </w:rPr>
        <w:t xml:space="preserve">an indictment </w:t>
      </w:r>
      <w:r w:rsidRPr="00785D06">
        <w:rPr>
          <w:rFonts w:cs="Arial"/>
          <w:sz w:val="20"/>
          <w:szCs w:val="20"/>
          <w:lang w:val="en-US"/>
        </w:rPr>
        <w:t xml:space="preserve">against the </w:t>
      </w:r>
      <w:r w:rsidR="0097298A" w:rsidRPr="00785D06">
        <w:rPr>
          <w:rFonts w:cs="Arial"/>
          <w:sz w:val="20"/>
          <w:szCs w:val="20"/>
          <w:lang w:val="en-US"/>
        </w:rPr>
        <w:t>vice principal</w:t>
      </w:r>
      <w:r w:rsidRPr="00785D06">
        <w:rPr>
          <w:rFonts w:cs="Arial"/>
          <w:sz w:val="20"/>
          <w:szCs w:val="20"/>
          <w:lang w:val="en-US"/>
        </w:rPr>
        <w:t xml:space="preserve"> for the crime of sexual harassment</w:t>
      </w:r>
      <w:r w:rsidR="004360AC" w:rsidRPr="00785D06">
        <w:rPr>
          <w:rFonts w:cs="Arial"/>
          <w:sz w:val="20"/>
          <w:szCs w:val="20"/>
          <w:lang w:val="en-US"/>
        </w:rPr>
        <w:t>.</w:t>
      </w:r>
      <w:r w:rsidRPr="00785D06">
        <w:rPr>
          <w:rStyle w:val="Refdenotaalpie"/>
          <w:rFonts w:cs="Arial"/>
          <w:sz w:val="20"/>
          <w:szCs w:val="20"/>
          <w:lang w:val="en-US"/>
        </w:rPr>
        <w:footnoteReference w:id="66"/>
      </w:r>
      <w:r w:rsidRPr="00785D06">
        <w:rPr>
          <w:rFonts w:cs="Arial"/>
          <w:sz w:val="20"/>
          <w:szCs w:val="20"/>
          <w:lang w:val="en-US"/>
        </w:rPr>
        <w:t xml:space="preserve"> </w:t>
      </w:r>
    </w:p>
    <w:p w14:paraId="56E460E7" w14:textId="77777777" w:rsidR="00C254BF" w:rsidRPr="00785D06" w:rsidRDefault="00C254BF" w:rsidP="00C254BF">
      <w:pPr>
        <w:jc w:val="both"/>
        <w:rPr>
          <w:rFonts w:cs="Arial"/>
          <w:sz w:val="20"/>
          <w:szCs w:val="20"/>
          <w:lang w:val="en-US"/>
        </w:rPr>
      </w:pPr>
    </w:p>
    <w:p w14:paraId="12667415" w14:textId="77777777" w:rsidR="00C254BF" w:rsidRPr="00785D06" w:rsidRDefault="00C254BF" w:rsidP="00C254BF">
      <w:pPr>
        <w:jc w:val="both"/>
        <w:rPr>
          <w:rFonts w:cs="Arial"/>
          <w:sz w:val="20"/>
          <w:szCs w:val="20"/>
          <w:lang w:val="en-US"/>
        </w:rPr>
      </w:pPr>
      <w:r w:rsidRPr="00785D06">
        <w:rPr>
          <w:rFonts w:cs="Arial"/>
          <w:sz w:val="20"/>
          <w:szCs w:val="20"/>
          <w:lang w:val="en-US"/>
        </w:rPr>
        <w:t>72.</w:t>
      </w:r>
      <w:r w:rsidRPr="00785D06">
        <w:rPr>
          <w:rFonts w:cs="Arial"/>
          <w:sz w:val="20"/>
          <w:szCs w:val="20"/>
          <w:lang w:val="en-US"/>
        </w:rPr>
        <w:tab/>
        <w:t xml:space="preserve">According to the State, on November 10, 2003, Mrs. Albarracín </w:t>
      </w:r>
      <w:r w:rsidR="009F4C01" w:rsidRPr="00785D06">
        <w:rPr>
          <w:rFonts w:cs="Arial"/>
          <w:sz w:val="20"/>
          <w:szCs w:val="20"/>
          <w:lang w:val="en-US"/>
        </w:rPr>
        <w:t xml:space="preserve">filed a motion of recusal against </w:t>
      </w:r>
      <w:r w:rsidRPr="00785D06">
        <w:rPr>
          <w:rFonts w:cs="Arial"/>
          <w:sz w:val="20"/>
          <w:szCs w:val="20"/>
          <w:lang w:val="en-US"/>
        </w:rPr>
        <w:t xml:space="preserve">the judge </w:t>
      </w:r>
      <w:r w:rsidR="009F4C01" w:rsidRPr="00785D06">
        <w:rPr>
          <w:rFonts w:cs="Arial"/>
          <w:sz w:val="20"/>
          <w:szCs w:val="20"/>
          <w:lang w:val="en-US"/>
        </w:rPr>
        <w:t>hearing the case</w:t>
      </w:r>
      <w:r w:rsidRPr="00785D06">
        <w:rPr>
          <w:rFonts w:cs="Arial"/>
          <w:sz w:val="20"/>
          <w:szCs w:val="20"/>
          <w:lang w:val="en-US"/>
        </w:rPr>
        <w:t xml:space="preserve">, alleging </w:t>
      </w:r>
      <w:r w:rsidR="008B37E4" w:rsidRPr="00785D06">
        <w:rPr>
          <w:rFonts w:cs="Arial"/>
          <w:sz w:val="20"/>
          <w:szCs w:val="20"/>
          <w:lang w:val="en-US"/>
        </w:rPr>
        <w:t xml:space="preserve">that </w:t>
      </w:r>
      <w:r w:rsidRPr="00785D06">
        <w:rPr>
          <w:rFonts w:cs="Arial"/>
          <w:sz w:val="20"/>
          <w:szCs w:val="20"/>
          <w:lang w:val="en-US"/>
        </w:rPr>
        <w:t xml:space="preserve">an excessive period of time </w:t>
      </w:r>
      <w:r w:rsidR="009F4C01" w:rsidRPr="00785D06">
        <w:rPr>
          <w:rFonts w:cs="Arial"/>
          <w:sz w:val="20"/>
          <w:szCs w:val="20"/>
          <w:lang w:val="en-US"/>
        </w:rPr>
        <w:t>had elapsed without a</w:t>
      </w:r>
      <w:r w:rsidRPr="00785D06">
        <w:rPr>
          <w:rFonts w:cs="Arial"/>
          <w:sz w:val="20"/>
          <w:szCs w:val="20"/>
          <w:lang w:val="en-US"/>
        </w:rPr>
        <w:t xml:space="preserve"> ruling </w:t>
      </w:r>
      <w:r w:rsidR="009F4C01" w:rsidRPr="00785D06">
        <w:rPr>
          <w:rFonts w:cs="Arial"/>
          <w:sz w:val="20"/>
          <w:szCs w:val="20"/>
          <w:lang w:val="en-US"/>
        </w:rPr>
        <w:t>being issued. T</w:t>
      </w:r>
      <w:r w:rsidRPr="00785D06">
        <w:rPr>
          <w:rFonts w:cs="Arial"/>
          <w:sz w:val="20"/>
          <w:szCs w:val="20"/>
          <w:lang w:val="en-US"/>
        </w:rPr>
        <w:t xml:space="preserve">he Twentieth Judge </w:t>
      </w:r>
      <w:r w:rsidR="009F4C01" w:rsidRPr="00785D06">
        <w:rPr>
          <w:rFonts w:cs="Arial"/>
          <w:sz w:val="20"/>
          <w:szCs w:val="20"/>
          <w:lang w:val="en-US"/>
        </w:rPr>
        <w:t xml:space="preserve">then </w:t>
      </w:r>
      <w:r w:rsidRPr="00785D06">
        <w:rPr>
          <w:rFonts w:cs="Arial"/>
          <w:sz w:val="20"/>
          <w:szCs w:val="20"/>
          <w:lang w:val="en-US"/>
        </w:rPr>
        <w:t xml:space="preserve">excused himself and, on November 18, the </w:t>
      </w:r>
      <w:r w:rsidR="008B37E4" w:rsidRPr="00785D06">
        <w:rPr>
          <w:rFonts w:cs="Arial"/>
          <w:sz w:val="20"/>
          <w:szCs w:val="20"/>
          <w:lang w:val="en-US"/>
        </w:rPr>
        <w:t xml:space="preserve">criminal case was assigned to the </w:t>
      </w:r>
      <w:r w:rsidRPr="00785D06">
        <w:rPr>
          <w:rFonts w:cs="Arial"/>
          <w:sz w:val="20"/>
          <w:szCs w:val="20"/>
          <w:lang w:val="en-US"/>
        </w:rPr>
        <w:t>Fifth Criminal Judge of Guayas (hereinafter “Fifth Judge”).</w:t>
      </w:r>
    </w:p>
    <w:p w14:paraId="7F800E42" w14:textId="77777777" w:rsidR="00C254BF" w:rsidRPr="00785D06" w:rsidRDefault="00C254BF" w:rsidP="00C254BF">
      <w:pPr>
        <w:jc w:val="both"/>
        <w:rPr>
          <w:rFonts w:cs="Arial"/>
          <w:sz w:val="20"/>
          <w:szCs w:val="20"/>
          <w:lang w:val="en-US"/>
        </w:rPr>
      </w:pPr>
    </w:p>
    <w:p w14:paraId="6EB008DD" w14:textId="77777777" w:rsidR="00C254BF" w:rsidRPr="00785D06" w:rsidRDefault="00C254BF" w:rsidP="00C254BF">
      <w:pPr>
        <w:jc w:val="both"/>
        <w:rPr>
          <w:rFonts w:cs="Arial"/>
          <w:sz w:val="20"/>
          <w:szCs w:val="20"/>
          <w:lang w:val="en-US"/>
        </w:rPr>
      </w:pPr>
      <w:r w:rsidRPr="00785D06">
        <w:rPr>
          <w:rFonts w:cs="Arial"/>
          <w:sz w:val="20"/>
          <w:szCs w:val="20"/>
          <w:lang w:val="en-US"/>
        </w:rPr>
        <w:t>73.</w:t>
      </w:r>
      <w:r w:rsidRPr="00785D06">
        <w:rPr>
          <w:rFonts w:cs="Arial"/>
          <w:sz w:val="20"/>
          <w:szCs w:val="20"/>
          <w:lang w:val="en-US"/>
        </w:rPr>
        <w:tab/>
        <w:t>On December 16, 2003</w:t>
      </w:r>
      <w:r w:rsidR="009F4C01" w:rsidRPr="00785D06">
        <w:rPr>
          <w:rFonts w:cs="Arial"/>
          <w:sz w:val="20"/>
          <w:szCs w:val="20"/>
          <w:lang w:val="en-US"/>
        </w:rPr>
        <w:t>,</w:t>
      </w:r>
      <w:r w:rsidRPr="00785D06">
        <w:rPr>
          <w:rFonts w:cs="Arial"/>
          <w:sz w:val="20"/>
          <w:szCs w:val="20"/>
          <w:lang w:val="en-US"/>
        </w:rPr>
        <w:t xml:space="preserve"> the Superior Court of Justice of Guayaquil (hereinafter “Superior Court”) ordered the pre-trial detention of the </w:t>
      </w:r>
      <w:r w:rsidR="0097298A" w:rsidRPr="00785D06">
        <w:rPr>
          <w:rFonts w:cs="Arial"/>
          <w:sz w:val="20"/>
          <w:szCs w:val="20"/>
          <w:lang w:val="en-US"/>
        </w:rPr>
        <w:t>vice principal</w:t>
      </w:r>
      <w:r w:rsidRPr="00785D06">
        <w:rPr>
          <w:rFonts w:cs="Arial"/>
          <w:sz w:val="20"/>
          <w:szCs w:val="20"/>
          <w:lang w:val="en-US"/>
        </w:rPr>
        <w:t xml:space="preserve"> and on January 5, 2004, the Fifth Judge ordered that he be located and captured.</w:t>
      </w:r>
      <w:r w:rsidRPr="00785D06">
        <w:rPr>
          <w:sz w:val="20"/>
          <w:szCs w:val="20"/>
          <w:vertAlign w:val="superscript"/>
          <w:lang w:val="en-US"/>
        </w:rPr>
        <w:footnoteReference w:id="67"/>
      </w:r>
    </w:p>
    <w:p w14:paraId="7250EF1B" w14:textId="77777777" w:rsidR="00C254BF" w:rsidRPr="00785D06" w:rsidRDefault="00C254BF" w:rsidP="00C254BF">
      <w:pPr>
        <w:jc w:val="both"/>
        <w:rPr>
          <w:rFonts w:cs="Arial"/>
          <w:sz w:val="20"/>
          <w:szCs w:val="20"/>
          <w:lang w:val="en-US"/>
        </w:rPr>
      </w:pPr>
    </w:p>
    <w:p w14:paraId="25F1E382" w14:textId="77777777" w:rsidR="00C254BF" w:rsidRPr="00785D06" w:rsidRDefault="00C254BF" w:rsidP="00C254BF">
      <w:pPr>
        <w:jc w:val="both"/>
        <w:rPr>
          <w:rFonts w:cs="Arial"/>
          <w:sz w:val="20"/>
          <w:szCs w:val="20"/>
          <w:lang w:val="en-US"/>
        </w:rPr>
      </w:pPr>
      <w:r w:rsidRPr="00785D06">
        <w:rPr>
          <w:rFonts w:cs="Arial"/>
          <w:sz w:val="20"/>
          <w:szCs w:val="20"/>
          <w:lang w:val="en-US"/>
        </w:rPr>
        <w:t>74.</w:t>
      </w:r>
      <w:r w:rsidRPr="00785D06">
        <w:rPr>
          <w:rFonts w:cs="Arial"/>
          <w:sz w:val="20"/>
          <w:szCs w:val="20"/>
          <w:lang w:val="en-US"/>
        </w:rPr>
        <w:tab/>
        <w:t xml:space="preserve">On August 23, 2004, the Fifth Judge issued an order to </w:t>
      </w:r>
      <w:r w:rsidR="008B37E4" w:rsidRPr="00785D06">
        <w:rPr>
          <w:rFonts w:cs="Arial"/>
          <w:sz w:val="20"/>
          <w:szCs w:val="20"/>
          <w:lang w:val="en-US"/>
        </w:rPr>
        <w:t xml:space="preserve">initiate the trial against </w:t>
      </w:r>
      <w:r w:rsidRPr="00785D06">
        <w:rPr>
          <w:rFonts w:cs="Arial"/>
          <w:sz w:val="20"/>
          <w:szCs w:val="20"/>
          <w:lang w:val="en-US"/>
        </w:rPr>
        <w:t xml:space="preserve">the </w:t>
      </w:r>
      <w:r w:rsidR="0097298A" w:rsidRPr="00785D06">
        <w:rPr>
          <w:rFonts w:cs="Arial"/>
          <w:sz w:val="20"/>
          <w:szCs w:val="20"/>
          <w:lang w:val="en-US"/>
        </w:rPr>
        <w:t>vice principal</w:t>
      </w:r>
      <w:r w:rsidRPr="00785D06">
        <w:rPr>
          <w:rFonts w:cs="Arial"/>
          <w:sz w:val="20"/>
          <w:szCs w:val="20"/>
          <w:lang w:val="en-US"/>
        </w:rPr>
        <w:t xml:space="preserve"> as the alleged perpetrator</w:t>
      </w:r>
      <w:r w:rsidR="0083507D" w:rsidRPr="00785D06">
        <w:rPr>
          <w:rFonts w:cs="Arial"/>
          <w:sz w:val="20"/>
          <w:szCs w:val="20"/>
          <w:lang w:val="en-US"/>
        </w:rPr>
        <w:t xml:space="preserve"> of sexual harassment</w:t>
      </w:r>
      <w:r w:rsidRPr="00785D06">
        <w:rPr>
          <w:rFonts w:cs="Arial"/>
          <w:sz w:val="20"/>
          <w:szCs w:val="20"/>
          <w:lang w:val="en-US"/>
        </w:rPr>
        <w:t>.</w:t>
      </w:r>
      <w:r w:rsidRPr="00785D06">
        <w:rPr>
          <w:rStyle w:val="Refdenotaalpie"/>
          <w:rFonts w:cs="Arial"/>
          <w:sz w:val="20"/>
          <w:szCs w:val="20"/>
          <w:lang w:val="en-US"/>
        </w:rPr>
        <w:footnoteReference w:id="68"/>
      </w:r>
      <w:r w:rsidRPr="00785D06">
        <w:rPr>
          <w:rFonts w:cs="Arial"/>
          <w:sz w:val="20"/>
          <w:szCs w:val="20"/>
          <w:lang w:val="en-US"/>
        </w:rPr>
        <w:t xml:space="preserve"> On September 6, </w:t>
      </w:r>
      <w:r w:rsidR="0083507D" w:rsidRPr="00785D06">
        <w:rPr>
          <w:rFonts w:cs="Arial"/>
          <w:sz w:val="20"/>
          <w:szCs w:val="20"/>
          <w:lang w:val="en-US"/>
        </w:rPr>
        <w:t xml:space="preserve">the judge </w:t>
      </w:r>
      <w:r w:rsidRPr="00785D06">
        <w:rPr>
          <w:rFonts w:cs="Arial"/>
          <w:sz w:val="20"/>
          <w:szCs w:val="20"/>
          <w:lang w:val="en-US"/>
        </w:rPr>
        <w:t xml:space="preserve">ordered the </w:t>
      </w:r>
      <w:r w:rsidR="0083507D" w:rsidRPr="00785D06">
        <w:rPr>
          <w:rFonts w:cs="Arial"/>
          <w:sz w:val="20"/>
          <w:szCs w:val="20"/>
          <w:lang w:val="en-US"/>
        </w:rPr>
        <w:t>Judicial P</w:t>
      </w:r>
      <w:r w:rsidRPr="00785D06">
        <w:rPr>
          <w:rFonts w:cs="Arial"/>
          <w:sz w:val="20"/>
          <w:szCs w:val="20"/>
          <w:lang w:val="en-US"/>
        </w:rPr>
        <w:t xml:space="preserve">olice to </w:t>
      </w:r>
      <w:r w:rsidR="0083507D" w:rsidRPr="00785D06">
        <w:rPr>
          <w:rFonts w:cs="Arial"/>
          <w:sz w:val="20"/>
          <w:szCs w:val="20"/>
          <w:lang w:val="en-US"/>
        </w:rPr>
        <w:t xml:space="preserve">arrest </w:t>
      </w:r>
      <w:r w:rsidRPr="00785D06">
        <w:rPr>
          <w:rFonts w:cs="Arial"/>
          <w:sz w:val="20"/>
          <w:szCs w:val="20"/>
          <w:lang w:val="en-US"/>
        </w:rPr>
        <w:t>the suspect.</w:t>
      </w:r>
      <w:r w:rsidRPr="00785D06">
        <w:rPr>
          <w:rStyle w:val="Refdenotaalpie"/>
          <w:rFonts w:cs="Arial"/>
          <w:sz w:val="20"/>
          <w:szCs w:val="20"/>
          <w:lang w:val="en-US"/>
        </w:rPr>
        <w:footnoteReference w:id="69"/>
      </w:r>
      <w:r w:rsidRPr="00785D06">
        <w:rPr>
          <w:rFonts w:cs="Arial"/>
          <w:sz w:val="20"/>
          <w:szCs w:val="20"/>
          <w:lang w:val="en-US"/>
        </w:rPr>
        <w:t xml:space="preserve"> </w:t>
      </w:r>
    </w:p>
    <w:p w14:paraId="4BB1C014" w14:textId="77777777" w:rsidR="00C254BF" w:rsidRPr="00785D06" w:rsidRDefault="00C254BF" w:rsidP="00C254BF">
      <w:pPr>
        <w:jc w:val="both"/>
        <w:rPr>
          <w:rFonts w:cs="Arial"/>
          <w:sz w:val="20"/>
          <w:szCs w:val="20"/>
          <w:lang w:val="en-US"/>
        </w:rPr>
      </w:pPr>
    </w:p>
    <w:p w14:paraId="7D228E89" w14:textId="77777777" w:rsidR="00C254BF" w:rsidRPr="00785D06" w:rsidRDefault="00C254BF" w:rsidP="00C254BF">
      <w:pPr>
        <w:jc w:val="both"/>
        <w:rPr>
          <w:rFonts w:cs="Arial"/>
          <w:sz w:val="20"/>
          <w:szCs w:val="20"/>
          <w:lang w:val="en-US"/>
        </w:rPr>
      </w:pPr>
      <w:r w:rsidRPr="00785D06">
        <w:rPr>
          <w:rFonts w:cs="Arial"/>
          <w:sz w:val="20"/>
          <w:szCs w:val="20"/>
          <w:lang w:val="en-US"/>
        </w:rPr>
        <w:t>75.</w:t>
      </w:r>
      <w:r w:rsidRPr="00785D06">
        <w:rPr>
          <w:rFonts w:cs="Arial"/>
          <w:sz w:val="20"/>
          <w:szCs w:val="20"/>
          <w:lang w:val="en-US"/>
        </w:rPr>
        <w:tab/>
        <w:t xml:space="preserve">On September 22, 2004, the </w:t>
      </w:r>
      <w:r w:rsidR="0097298A" w:rsidRPr="00785D06">
        <w:rPr>
          <w:rFonts w:cs="Arial"/>
          <w:sz w:val="20"/>
          <w:szCs w:val="20"/>
          <w:lang w:val="en-US"/>
        </w:rPr>
        <w:t>vice principal</w:t>
      </w:r>
      <w:r w:rsidRPr="00785D06">
        <w:rPr>
          <w:rFonts w:cs="Arial"/>
          <w:sz w:val="20"/>
          <w:szCs w:val="20"/>
          <w:lang w:val="en-US"/>
        </w:rPr>
        <w:t>, represented by his lawyer, filed an appeal for the annulment of the summons to a trial.</w:t>
      </w:r>
      <w:r w:rsidRPr="00785D06">
        <w:rPr>
          <w:rStyle w:val="Refdenotaalpie"/>
          <w:rFonts w:cs="Arial"/>
          <w:sz w:val="20"/>
          <w:szCs w:val="20"/>
          <w:lang w:val="en-US"/>
        </w:rPr>
        <w:footnoteReference w:id="70"/>
      </w:r>
    </w:p>
    <w:p w14:paraId="31C324B7" w14:textId="77777777" w:rsidR="00C254BF" w:rsidRPr="00785D06" w:rsidRDefault="00C254BF" w:rsidP="00C254BF">
      <w:pPr>
        <w:jc w:val="both"/>
        <w:rPr>
          <w:rFonts w:cs="Arial"/>
          <w:sz w:val="20"/>
          <w:szCs w:val="20"/>
          <w:lang w:val="en-US"/>
        </w:rPr>
      </w:pPr>
    </w:p>
    <w:p w14:paraId="26645F91" w14:textId="77777777" w:rsidR="00C254BF" w:rsidRPr="00785D06" w:rsidRDefault="00C254BF" w:rsidP="00C254BF">
      <w:pPr>
        <w:jc w:val="both"/>
        <w:rPr>
          <w:rFonts w:cs="Arial"/>
          <w:sz w:val="20"/>
          <w:szCs w:val="20"/>
          <w:lang w:val="en-US"/>
        </w:rPr>
      </w:pPr>
      <w:r w:rsidRPr="00785D06">
        <w:rPr>
          <w:rFonts w:cs="Arial"/>
          <w:sz w:val="20"/>
          <w:szCs w:val="20"/>
          <w:lang w:val="en-US"/>
        </w:rPr>
        <w:t>76.</w:t>
      </w:r>
      <w:r w:rsidRPr="00785D06">
        <w:rPr>
          <w:rFonts w:cs="Arial"/>
          <w:sz w:val="20"/>
          <w:szCs w:val="20"/>
          <w:lang w:val="en-US"/>
        </w:rPr>
        <w:tab/>
        <w:t xml:space="preserve">On September 2, 2005, the Superior Court dismissed the </w:t>
      </w:r>
      <w:r w:rsidR="0083507D" w:rsidRPr="00785D06">
        <w:rPr>
          <w:rFonts w:cs="Arial"/>
          <w:sz w:val="20"/>
          <w:szCs w:val="20"/>
          <w:lang w:val="en-US"/>
        </w:rPr>
        <w:t xml:space="preserve">appeal </w:t>
      </w:r>
      <w:r w:rsidRPr="00785D06">
        <w:rPr>
          <w:rFonts w:cs="Arial"/>
          <w:sz w:val="20"/>
          <w:szCs w:val="20"/>
          <w:lang w:val="en-US"/>
        </w:rPr>
        <w:t>filed by the accused</w:t>
      </w:r>
      <w:r w:rsidR="0083507D" w:rsidRPr="00785D06">
        <w:rPr>
          <w:rFonts w:cs="Arial"/>
          <w:sz w:val="20"/>
          <w:szCs w:val="20"/>
          <w:lang w:val="en-US"/>
        </w:rPr>
        <w:t>,</w:t>
      </w:r>
      <w:r w:rsidRPr="00785D06">
        <w:rPr>
          <w:rFonts w:cs="Arial"/>
          <w:sz w:val="20"/>
          <w:szCs w:val="20"/>
          <w:lang w:val="en-US"/>
        </w:rPr>
        <w:t xml:space="preserve"> upheld </w:t>
      </w:r>
      <w:r w:rsidR="0083507D" w:rsidRPr="00785D06">
        <w:rPr>
          <w:rFonts w:cs="Arial"/>
          <w:sz w:val="20"/>
          <w:szCs w:val="20"/>
          <w:lang w:val="en-US"/>
        </w:rPr>
        <w:t>the order to initiate the trial and</w:t>
      </w:r>
      <w:r w:rsidRPr="00785D06">
        <w:rPr>
          <w:rFonts w:cs="Arial"/>
          <w:sz w:val="20"/>
          <w:szCs w:val="20"/>
          <w:lang w:val="en-US"/>
        </w:rPr>
        <w:t xml:space="preserve"> </w:t>
      </w:r>
      <w:r w:rsidR="0083507D" w:rsidRPr="00785D06">
        <w:rPr>
          <w:rFonts w:cs="Arial"/>
          <w:sz w:val="20"/>
          <w:szCs w:val="20"/>
          <w:lang w:val="en-US"/>
        </w:rPr>
        <w:t xml:space="preserve">amended the indictment to aggravated </w:t>
      </w:r>
      <w:r w:rsidRPr="00785D06">
        <w:rPr>
          <w:rFonts w:cs="Arial"/>
          <w:sz w:val="20"/>
          <w:szCs w:val="20"/>
          <w:lang w:val="en-US"/>
        </w:rPr>
        <w:t>s</w:t>
      </w:r>
      <w:r w:rsidR="0083507D" w:rsidRPr="00785D06">
        <w:rPr>
          <w:rFonts w:cs="Arial"/>
          <w:sz w:val="20"/>
          <w:szCs w:val="20"/>
          <w:lang w:val="en-US"/>
        </w:rPr>
        <w:t xml:space="preserve">tatutory rape. </w:t>
      </w:r>
      <w:r w:rsidRPr="00785D06">
        <w:rPr>
          <w:rFonts w:cs="Arial"/>
          <w:sz w:val="20"/>
          <w:szCs w:val="20"/>
          <w:lang w:val="en-US"/>
        </w:rPr>
        <w:t xml:space="preserve">Among the reasons given by the Court for that </w:t>
      </w:r>
      <w:r w:rsidR="0083507D" w:rsidRPr="00785D06">
        <w:rPr>
          <w:rFonts w:cs="Arial"/>
          <w:sz w:val="20"/>
          <w:szCs w:val="20"/>
          <w:lang w:val="en-US"/>
        </w:rPr>
        <w:t>amendment</w:t>
      </w:r>
      <w:r w:rsidRPr="00785D06">
        <w:rPr>
          <w:rFonts w:cs="Arial"/>
          <w:sz w:val="20"/>
          <w:szCs w:val="20"/>
          <w:lang w:val="en-US"/>
        </w:rPr>
        <w:t>, the following stands out: “</w:t>
      </w:r>
      <w:r w:rsidR="0083507D" w:rsidRPr="00785D06">
        <w:rPr>
          <w:rFonts w:cs="Arial"/>
          <w:sz w:val="20"/>
          <w:szCs w:val="20"/>
          <w:lang w:val="en-US"/>
        </w:rPr>
        <w:t xml:space="preserve">it is self-evident that </w:t>
      </w:r>
      <w:r w:rsidRPr="00785D06">
        <w:rPr>
          <w:rFonts w:cs="Arial"/>
          <w:sz w:val="20"/>
          <w:szCs w:val="20"/>
          <w:lang w:val="en-US"/>
        </w:rPr>
        <w:t>the elements of the crime alleged [sexual harassment] are not present […] Bolívar Espín did not pursue Paola Guzmán. Rather, she sought favors from him as an educator [because she was failing in a subject]. He […] offered [</w:t>
      </w:r>
      <w:r w:rsidR="0083507D" w:rsidRPr="00785D06">
        <w:rPr>
          <w:rFonts w:cs="Arial"/>
          <w:sz w:val="20"/>
          <w:szCs w:val="20"/>
          <w:lang w:val="en-US"/>
        </w:rPr>
        <w:t xml:space="preserve">to help </w:t>
      </w:r>
      <w:r w:rsidRPr="00785D06">
        <w:rPr>
          <w:rFonts w:cs="Arial"/>
          <w:sz w:val="20"/>
          <w:szCs w:val="20"/>
          <w:lang w:val="en-US"/>
        </w:rPr>
        <w:t xml:space="preserve">her] in </w:t>
      </w:r>
      <w:r w:rsidR="006815CC" w:rsidRPr="00785D06">
        <w:rPr>
          <w:rFonts w:cs="Arial"/>
          <w:sz w:val="20"/>
          <w:szCs w:val="20"/>
          <w:lang w:val="en-US"/>
        </w:rPr>
        <w:t>exchange for romantic relations.” T</w:t>
      </w:r>
      <w:r w:rsidRPr="00785D06">
        <w:rPr>
          <w:rFonts w:cs="Arial"/>
          <w:sz w:val="20"/>
          <w:szCs w:val="20"/>
          <w:lang w:val="en-US"/>
        </w:rPr>
        <w:t xml:space="preserve">his </w:t>
      </w:r>
      <w:r w:rsidR="006815CC" w:rsidRPr="00785D06">
        <w:rPr>
          <w:rFonts w:cs="Arial"/>
          <w:sz w:val="20"/>
          <w:szCs w:val="20"/>
          <w:lang w:val="en-US"/>
        </w:rPr>
        <w:t xml:space="preserve">was the </w:t>
      </w:r>
      <w:r w:rsidRPr="00785D06">
        <w:rPr>
          <w:rFonts w:cs="Arial"/>
          <w:sz w:val="20"/>
          <w:szCs w:val="20"/>
          <w:lang w:val="en-US"/>
        </w:rPr>
        <w:t>“</w:t>
      </w:r>
      <w:r w:rsidR="00913A41" w:rsidRPr="00785D06">
        <w:rPr>
          <w:rFonts w:cs="Arial"/>
          <w:sz w:val="20"/>
          <w:szCs w:val="20"/>
          <w:lang w:val="en-US"/>
        </w:rPr>
        <w:t xml:space="preserve">reason for </w:t>
      </w:r>
      <w:r w:rsidR="006815CC" w:rsidRPr="00785D06">
        <w:rPr>
          <w:rFonts w:cs="Arial"/>
          <w:sz w:val="20"/>
          <w:szCs w:val="20"/>
          <w:lang w:val="en-US"/>
        </w:rPr>
        <w:t xml:space="preserve">the </w:t>
      </w:r>
      <w:r w:rsidRPr="00785D06">
        <w:rPr>
          <w:rFonts w:cs="Arial"/>
          <w:sz w:val="20"/>
          <w:szCs w:val="20"/>
          <w:lang w:val="en-US"/>
        </w:rPr>
        <w:t xml:space="preserve">seduction.” The Superior Court considered that the conduct of the </w:t>
      </w:r>
      <w:r w:rsidR="0097298A" w:rsidRPr="00785D06">
        <w:rPr>
          <w:rFonts w:cs="Arial"/>
          <w:sz w:val="20"/>
          <w:szCs w:val="20"/>
          <w:lang w:val="en-US"/>
        </w:rPr>
        <w:t>vice principal</w:t>
      </w:r>
      <w:r w:rsidRPr="00785D06">
        <w:rPr>
          <w:rFonts w:cs="Arial"/>
          <w:sz w:val="20"/>
          <w:szCs w:val="20"/>
          <w:lang w:val="en-US"/>
        </w:rPr>
        <w:t xml:space="preserve"> was consistent with rape, based on the considerations </w:t>
      </w:r>
      <w:r w:rsidR="00913A41" w:rsidRPr="00785D06">
        <w:rPr>
          <w:rFonts w:cs="Arial"/>
          <w:sz w:val="20"/>
          <w:szCs w:val="20"/>
          <w:lang w:val="en-US"/>
        </w:rPr>
        <w:t xml:space="preserve">presented below </w:t>
      </w:r>
      <w:r w:rsidRPr="00785D06">
        <w:rPr>
          <w:rFonts w:cs="Arial"/>
          <w:sz w:val="20"/>
          <w:szCs w:val="20"/>
          <w:lang w:val="en-US"/>
        </w:rPr>
        <w:t>(</w:t>
      </w:r>
      <w:r w:rsidRPr="00785D06">
        <w:rPr>
          <w:rFonts w:cs="Arial"/>
          <w:i/>
          <w:sz w:val="20"/>
          <w:szCs w:val="20"/>
          <w:lang w:val="en-US"/>
        </w:rPr>
        <w:t xml:space="preserve">infra </w:t>
      </w:r>
      <w:r w:rsidRPr="00785D06">
        <w:rPr>
          <w:rFonts w:cs="Arial"/>
          <w:sz w:val="20"/>
          <w:szCs w:val="20"/>
          <w:lang w:val="en-US"/>
        </w:rPr>
        <w:t>para.190)</w:t>
      </w:r>
      <w:r w:rsidR="006815CC" w:rsidRPr="00785D06">
        <w:rPr>
          <w:rFonts w:cs="Arial"/>
          <w:sz w:val="20"/>
          <w:szCs w:val="20"/>
          <w:lang w:val="en-US"/>
        </w:rPr>
        <w:t>.</w:t>
      </w:r>
      <w:r w:rsidRPr="00785D06">
        <w:rPr>
          <w:rFonts w:cs="Arial"/>
          <w:sz w:val="20"/>
          <w:szCs w:val="20"/>
          <w:vertAlign w:val="superscript"/>
          <w:lang w:val="en-US"/>
        </w:rPr>
        <w:footnoteReference w:id="71"/>
      </w:r>
      <w:r w:rsidR="006815CC" w:rsidRPr="00785D06">
        <w:rPr>
          <w:rFonts w:cs="Arial"/>
          <w:sz w:val="20"/>
          <w:szCs w:val="20"/>
          <w:lang w:val="en-US"/>
        </w:rPr>
        <w:t xml:space="preserve"> </w:t>
      </w:r>
    </w:p>
    <w:p w14:paraId="73B30468" w14:textId="77777777" w:rsidR="00C254BF" w:rsidRPr="00785D06" w:rsidRDefault="00C254BF" w:rsidP="00C254BF">
      <w:pPr>
        <w:jc w:val="both"/>
        <w:rPr>
          <w:rFonts w:cs="Arial"/>
          <w:sz w:val="20"/>
          <w:szCs w:val="20"/>
          <w:lang w:val="en-US"/>
        </w:rPr>
      </w:pPr>
    </w:p>
    <w:p w14:paraId="35BCF59B" w14:textId="77777777" w:rsidR="00C254BF" w:rsidRPr="00785D06" w:rsidRDefault="00C254BF" w:rsidP="00C254BF">
      <w:pPr>
        <w:jc w:val="both"/>
        <w:rPr>
          <w:rFonts w:cs="Arial"/>
          <w:sz w:val="20"/>
          <w:szCs w:val="20"/>
          <w:lang w:val="en-US"/>
        </w:rPr>
      </w:pPr>
      <w:r w:rsidRPr="00785D06">
        <w:rPr>
          <w:rFonts w:cs="Arial"/>
          <w:sz w:val="20"/>
          <w:szCs w:val="20"/>
          <w:lang w:val="en-US"/>
        </w:rPr>
        <w:t>77.</w:t>
      </w:r>
      <w:r w:rsidRPr="00785D06">
        <w:rPr>
          <w:rFonts w:cs="Arial"/>
          <w:sz w:val="20"/>
          <w:szCs w:val="20"/>
          <w:lang w:val="en-US"/>
        </w:rPr>
        <w:tab/>
        <w:t xml:space="preserve">On October 5, 2005, the Fifth Criminal Judge of Guayas </w:t>
      </w:r>
      <w:r w:rsidR="00F73789" w:rsidRPr="00785D06">
        <w:rPr>
          <w:rFonts w:cs="Arial"/>
          <w:sz w:val="20"/>
          <w:szCs w:val="20"/>
          <w:lang w:val="en-US"/>
        </w:rPr>
        <w:t>decided to suspend</w:t>
      </w:r>
      <w:r w:rsidRPr="00785D06">
        <w:rPr>
          <w:rFonts w:cs="Arial"/>
          <w:sz w:val="20"/>
          <w:szCs w:val="20"/>
          <w:lang w:val="en-US"/>
        </w:rPr>
        <w:t xml:space="preserve"> the proceedings until the accused appeared or could be captured.</w:t>
      </w:r>
      <w:r w:rsidRPr="00785D06">
        <w:rPr>
          <w:rStyle w:val="Refdenotaalpie"/>
          <w:rFonts w:cs="Arial"/>
          <w:sz w:val="20"/>
          <w:szCs w:val="20"/>
          <w:lang w:val="en-US"/>
        </w:rPr>
        <w:footnoteReference w:id="72"/>
      </w:r>
      <w:r w:rsidRPr="00785D06">
        <w:rPr>
          <w:rFonts w:cs="Arial"/>
          <w:sz w:val="20"/>
          <w:szCs w:val="20"/>
          <w:lang w:val="en-US"/>
        </w:rPr>
        <w:t xml:space="preserve"> </w:t>
      </w:r>
    </w:p>
    <w:p w14:paraId="2D26FD79" w14:textId="77777777" w:rsidR="00C254BF" w:rsidRPr="00785D06" w:rsidRDefault="00C254BF" w:rsidP="00C254BF">
      <w:pPr>
        <w:jc w:val="both"/>
        <w:rPr>
          <w:rFonts w:cs="Arial"/>
          <w:sz w:val="20"/>
          <w:szCs w:val="20"/>
          <w:lang w:val="en-US"/>
        </w:rPr>
      </w:pPr>
    </w:p>
    <w:p w14:paraId="4BD6CD58" w14:textId="77777777" w:rsidR="00C254BF" w:rsidRPr="00785D06" w:rsidRDefault="00C254BF" w:rsidP="00C254BF">
      <w:pPr>
        <w:jc w:val="both"/>
        <w:rPr>
          <w:rFonts w:cs="Arial"/>
          <w:b/>
          <w:sz w:val="20"/>
          <w:szCs w:val="20"/>
          <w:lang w:val="en-US"/>
        </w:rPr>
      </w:pPr>
      <w:r w:rsidRPr="00785D06">
        <w:rPr>
          <w:rFonts w:cs="Arial"/>
          <w:sz w:val="20"/>
          <w:szCs w:val="20"/>
          <w:lang w:val="en-US"/>
        </w:rPr>
        <w:t>78.</w:t>
      </w:r>
      <w:r w:rsidRPr="00785D06">
        <w:rPr>
          <w:rFonts w:cs="Arial"/>
          <w:sz w:val="20"/>
          <w:szCs w:val="20"/>
          <w:lang w:val="en-US"/>
        </w:rPr>
        <w:tab/>
        <w:t xml:space="preserve">On September 18, 2008, </w:t>
      </w:r>
      <w:r w:rsidR="004E5A59" w:rsidRPr="00785D06">
        <w:rPr>
          <w:rFonts w:cs="Arial"/>
          <w:sz w:val="20"/>
          <w:szCs w:val="20"/>
          <w:lang w:val="en-US"/>
        </w:rPr>
        <w:t xml:space="preserve">at the request of the defense, the prescription of the criminal action was declared </w:t>
      </w:r>
      <w:r w:rsidRPr="00785D06">
        <w:rPr>
          <w:rFonts w:cs="Arial"/>
          <w:sz w:val="20"/>
          <w:szCs w:val="20"/>
          <w:lang w:val="en-US"/>
        </w:rPr>
        <w:t xml:space="preserve">and subsequently all measures against the </w:t>
      </w:r>
      <w:r w:rsidR="004E5A59" w:rsidRPr="00785D06">
        <w:rPr>
          <w:rFonts w:cs="Arial"/>
          <w:sz w:val="20"/>
          <w:szCs w:val="20"/>
          <w:lang w:val="en-US"/>
        </w:rPr>
        <w:t>accused were dropped</w:t>
      </w:r>
      <w:r w:rsidRPr="00785D06">
        <w:rPr>
          <w:rFonts w:cs="Arial"/>
          <w:sz w:val="20"/>
          <w:szCs w:val="20"/>
          <w:lang w:val="en-US"/>
        </w:rPr>
        <w:t>.</w:t>
      </w:r>
      <w:r w:rsidRPr="00785D06">
        <w:rPr>
          <w:rFonts w:cs="Arial"/>
          <w:sz w:val="20"/>
          <w:szCs w:val="20"/>
          <w:vertAlign w:val="superscript"/>
          <w:lang w:val="en-US"/>
        </w:rPr>
        <w:footnoteReference w:id="73"/>
      </w:r>
    </w:p>
    <w:p w14:paraId="0A908044" w14:textId="77777777" w:rsidR="00C254BF" w:rsidRPr="00785D06" w:rsidRDefault="00C254BF" w:rsidP="00C254BF">
      <w:pPr>
        <w:jc w:val="both"/>
        <w:rPr>
          <w:rFonts w:cs="Arial"/>
          <w:sz w:val="20"/>
          <w:szCs w:val="20"/>
          <w:lang w:val="en-US"/>
        </w:rPr>
      </w:pPr>
    </w:p>
    <w:p w14:paraId="64955544" w14:textId="77777777" w:rsidR="00C254BF" w:rsidRPr="00785D06" w:rsidRDefault="00C254BF" w:rsidP="00C254BF">
      <w:pPr>
        <w:pStyle w:val="Prrafodelista"/>
        <w:numPr>
          <w:ilvl w:val="0"/>
          <w:numId w:val="16"/>
        </w:numPr>
        <w:ind w:left="284" w:firstLine="0"/>
        <w:outlineLvl w:val="1"/>
        <w:rPr>
          <w:rFonts w:cs="Arial"/>
          <w:b/>
          <w:i/>
          <w:sz w:val="20"/>
          <w:szCs w:val="20"/>
          <w:lang w:val="en-US"/>
        </w:rPr>
      </w:pPr>
      <w:bookmarkStart w:id="85" w:name="_Toc30010292"/>
      <w:bookmarkStart w:id="86" w:name="_Toc40466539"/>
      <w:bookmarkStart w:id="87" w:name="_Toc42498042"/>
      <w:bookmarkStart w:id="88" w:name="_Toc46937290"/>
      <w:r w:rsidRPr="00785D06">
        <w:rPr>
          <w:rFonts w:cs="Arial"/>
          <w:b/>
          <w:i/>
          <w:sz w:val="20"/>
          <w:szCs w:val="20"/>
          <w:lang w:val="en-US"/>
        </w:rPr>
        <w:t>Civil lawsuit for moral damage</w:t>
      </w:r>
      <w:bookmarkEnd w:id="85"/>
      <w:bookmarkEnd w:id="86"/>
      <w:r w:rsidR="002C5C9C" w:rsidRPr="00785D06">
        <w:rPr>
          <w:rFonts w:cs="Arial"/>
          <w:b/>
          <w:i/>
          <w:sz w:val="20"/>
          <w:szCs w:val="20"/>
          <w:lang w:val="en-US"/>
        </w:rPr>
        <w:t>s</w:t>
      </w:r>
      <w:r w:rsidRPr="00785D06">
        <w:rPr>
          <w:rFonts w:cs="Arial"/>
          <w:b/>
          <w:i/>
          <w:sz w:val="20"/>
          <w:szCs w:val="20"/>
          <w:lang w:val="en-US"/>
        </w:rPr>
        <w:t xml:space="preserve"> and administrative</w:t>
      </w:r>
      <w:bookmarkEnd w:id="87"/>
      <w:bookmarkEnd w:id="88"/>
      <w:r w:rsidRPr="00785D06">
        <w:rPr>
          <w:rFonts w:cs="Arial"/>
          <w:b/>
          <w:i/>
          <w:sz w:val="20"/>
          <w:szCs w:val="20"/>
          <w:lang w:val="en-US"/>
        </w:rPr>
        <w:t xml:space="preserve"> actions</w:t>
      </w:r>
    </w:p>
    <w:p w14:paraId="4FF5041E" w14:textId="77777777" w:rsidR="00C254BF" w:rsidRPr="00785D06" w:rsidRDefault="00C254BF" w:rsidP="00C254BF">
      <w:pPr>
        <w:pStyle w:val="Prrafodelista"/>
        <w:ind w:left="927"/>
        <w:rPr>
          <w:lang w:val="en-US"/>
        </w:rPr>
      </w:pPr>
    </w:p>
    <w:p w14:paraId="05ABDAC1" w14:textId="77777777" w:rsidR="00C254BF" w:rsidRPr="00785D06" w:rsidRDefault="00C254BF" w:rsidP="00C254BF">
      <w:pPr>
        <w:pStyle w:val="Prrafodelista"/>
        <w:ind w:left="0"/>
        <w:contextualSpacing w:val="0"/>
        <w:jc w:val="both"/>
        <w:rPr>
          <w:rFonts w:cstheme="minorBidi"/>
          <w:sz w:val="20"/>
          <w:szCs w:val="20"/>
          <w:lang w:val="en-US"/>
        </w:rPr>
      </w:pPr>
      <w:r w:rsidRPr="00785D06">
        <w:rPr>
          <w:rFonts w:cstheme="minorBidi"/>
          <w:sz w:val="20"/>
          <w:szCs w:val="20"/>
          <w:lang w:val="en-US"/>
        </w:rPr>
        <w:t>79.</w:t>
      </w:r>
      <w:r w:rsidRPr="00785D06">
        <w:rPr>
          <w:rFonts w:cstheme="minorBidi"/>
          <w:sz w:val="20"/>
          <w:szCs w:val="20"/>
          <w:lang w:val="en-US"/>
        </w:rPr>
        <w:tab/>
        <w:t xml:space="preserve">In addition to the aforementioned criminal proceedings, </w:t>
      </w:r>
      <w:r w:rsidR="006728D2" w:rsidRPr="00785D06">
        <w:rPr>
          <w:rFonts w:cstheme="minorBidi"/>
          <w:sz w:val="20"/>
          <w:szCs w:val="20"/>
          <w:lang w:val="en-US"/>
        </w:rPr>
        <w:t xml:space="preserve">the plaintiffs filed </w:t>
      </w:r>
      <w:r w:rsidRPr="00785D06">
        <w:rPr>
          <w:rFonts w:cstheme="minorBidi"/>
          <w:sz w:val="20"/>
          <w:szCs w:val="20"/>
          <w:lang w:val="en-US"/>
        </w:rPr>
        <w:t xml:space="preserve">a civil lawsuit and administrative actions. Below is a summary of the main </w:t>
      </w:r>
      <w:r w:rsidR="002C5C9C" w:rsidRPr="00785D06">
        <w:rPr>
          <w:rFonts w:cstheme="minorBidi"/>
          <w:sz w:val="20"/>
          <w:szCs w:val="20"/>
          <w:lang w:val="en-US"/>
        </w:rPr>
        <w:t>events</w:t>
      </w:r>
      <w:r w:rsidRPr="00785D06">
        <w:rPr>
          <w:rFonts w:cstheme="minorBidi"/>
          <w:sz w:val="20"/>
          <w:szCs w:val="20"/>
          <w:lang w:val="en-US"/>
        </w:rPr>
        <w:t>.</w:t>
      </w:r>
    </w:p>
    <w:p w14:paraId="2CF3C826" w14:textId="77777777" w:rsidR="00C254BF" w:rsidRPr="00785D06" w:rsidRDefault="00C254BF" w:rsidP="00C254BF">
      <w:pPr>
        <w:pStyle w:val="Prrafodelista"/>
        <w:ind w:left="0"/>
        <w:contextualSpacing w:val="0"/>
        <w:jc w:val="both"/>
        <w:rPr>
          <w:rFonts w:cstheme="minorBidi"/>
          <w:sz w:val="20"/>
          <w:szCs w:val="20"/>
          <w:lang w:val="en-US"/>
        </w:rPr>
      </w:pPr>
    </w:p>
    <w:p w14:paraId="1F522FD3" w14:textId="77777777" w:rsidR="00C254BF" w:rsidRPr="00785D06" w:rsidRDefault="00C254BF" w:rsidP="00C254BF">
      <w:pPr>
        <w:jc w:val="both"/>
        <w:rPr>
          <w:rFonts w:cs="Arial"/>
          <w:sz w:val="20"/>
          <w:szCs w:val="20"/>
          <w:lang w:val="en-US"/>
        </w:rPr>
      </w:pPr>
      <w:r w:rsidRPr="00785D06">
        <w:rPr>
          <w:rFonts w:cs="Arial"/>
          <w:sz w:val="20"/>
          <w:szCs w:val="20"/>
          <w:lang w:val="en-US"/>
        </w:rPr>
        <w:t>80.</w:t>
      </w:r>
      <w:r w:rsidRPr="00785D06">
        <w:rPr>
          <w:rFonts w:cs="Arial"/>
          <w:i/>
          <w:sz w:val="20"/>
          <w:szCs w:val="20"/>
          <w:lang w:val="en-US"/>
        </w:rPr>
        <w:tab/>
        <w:t xml:space="preserve">Civil proceedings. </w:t>
      </w:r>
      <w:r w:rsidRPr="00785D06">
        <w:rPr>
          <w:rFonts w:cs="Arial"/>
          <w:sz w:val="20"/>
          <w:szCs w:val="20"/>
          <w:lang w:val="en-US"/>
        </w:rPr>
        <w:t>On October 13, 2003</w:t>
      </w:r>
      <w:r w:rsidR="0070638F" w:rsidRPr="00785D06">
        <w:rPr>
          <w:rFonts w:cs="Arial"/>
          <w:sz w:val="20"/>
          <w:szCs w:val="20"/>
          <w:lang w:val="en-US"/>
        </w:rPr>
        <w:t>,</w:t>
      </w:r>
      <w:r w:rsidRPr="00785D06">
        <w:rPr>
          <w:rFonts w:cs="Arial"/>
          <w:sz w:val="20"/>
          <w:szCs w:val="20"/>
          <w:lang w:val="en-US"/>
        </w:rPr>
        <w:t xml:space="preserve"> Mrs. Albarracín filed a civil lawsuit against the </w:t>
      </w:r>
      <w:r w:rsidR="0097298A" w:rsidRPr="00785D06">
        <w:rPr>
          <w:rFonts w:cs="Arial"/>
          <w:sz w:val="20"/>
          <w:szCs w:val="20"/>
          <w:lang w:val="en-US"/>
        </w:rPr>
        <w:t>vice principal</w:t>
      </w:r>
      <w:r w:rsidRPr="00785D06">
        <w:rPr>
          <w:rFonts w:cs="Arial"/>
          <w:sz w:val="20"/>
          <w:szCs w:val="20"/>
          <w:lang w:val="en-US"/>
        </w:rPr>
        <w:t xml:space="preserve"> for “moral damages resulting from </w:t>
      </w:r>
      <w:r w:rsidR="006728D2" w:rsidRPr="00785D06">
        <w:rPr>
          <w:rFonts w:cs="Arial"/>
          <w:sz w:val="20"/>
          <w:szCs w:val="20"/>
          <w:lang w:val="en-US"/>
        </w:rPr>
        <w:t xml:space="preserve">instigating [Paola’s] </w:t>
      </w:r>
      <w:r w:rsidRPr="00785D06">
        <w:rPr>
          <w:rFonts w:cs="Arial"/>
          <w:sz w:val="20"/>
          <w:szCs w:val="20"/>
          <w:lang w:val="en-US"/>
        </w:rPr>
        <w:t>suicide</w:t>
      </w:r>
      <w:r w:rsidR="005C1125" w:rsidRPr="00785D06">
        <w:rPr>
          <w:rFonts w:cs="Arial"/>
          <w:sz w:val="20"/>
          <w:szCs w:val="20"/>
          <w:lang w:val="en-US"/>
        </w:rPr>
        <w:t>.”</w:t>
      </w:r>
      <w:r w:rsidRPr="00785D06">
        <w:rPr>
          <w:rFonts w:cs="Arial"/>
          <w:sz w:val="20"/>
          <w:szCs w:val="20"/>
          <w:vertAlign w:val="superscript"/>
          <w:lang w:val="en-US"/>
        </w:rPr>
        <w:footnoteReference w:id="74"/>
      </w:r>
      <w:r w:rsidRPr="00785D06">
        <w:rPr>
          <w:rFonts w:cs="Arial"/>
          <w:sz w:val="20"/>
          <w:szCs w:val="20"/>
          <w:lang w:val="en-US"/>
        </w:rPr>
        <w:t xml:space="preserve"> After several </w:t>
      </w:r>
      <w:r w:rsidR="006728D2" w:rsidRPr="00785D06">
        <w:rPr>
          <w:rFonts w:cs="Arial"/>
          <w:sz w:val="20"/>
          <w:szCs w:val="20"/>
          <w:lang w:val="en-US"/>
        </w:rPr>
        <w:t xml:space="preserve">efforts </w:t>
      </w:r>
      <w:r w:rsidRPr="00785D06">
        <w:rPr>
          <w:rFonts w:cs="Arial"/>
          <w:sz w:val="20"/>
          <w:szCs w:val="20"/>
          <w:lang w:val="en-US"/>
        </w:rPr>
        <w:t>and difficulties in notifying the accused</w:t>
      </w:r>
      <w:r w:rsidR="006728D2" w:rsidRPr="00785D06">
        <w:rPr>
          <w:rFonts w:cs="Arial"/>
          <w:sz w:val="20"/>
          <w:szCs w:val="20"/>
          <w:lang w:val="en-US"/>
        </w:rPr>
        <w:t xml:space="preserve"> of the proceedings</w:t>
      </w:r>
      <w:r w:rsidRPr="00785D06">
        <w:rPr>
          <w:rFonts w:cs="Arial"/>
          <w:sz w:val="20"/>
          <w:szCs w:val="20"/>
          <w:lang w:val="en-US"/>
        </w:rPr>
        <w:t xml:space="preserve">, </w:t>
      </w:r>
      <w:r w:rsidR="006728D2" w:rsidRPr="00785D06">
        <w:rPr>
          <w:rFonts w:cs="Arial"/>
          <w:sz w:val="20"/>
          <w:szCs w:val="20"/>
          <w:lang w:val="en-US"/>
        </w:rPr>
        <w:t xml:space="preserve">on April 15, 2004, </w:t>
      </w:r>
      <w:r w:rsidRPr="00785D06">
        <w:rPr>
          <w:rFonts w:cs="Arial"/>
          <w:sz w:val="20"/>
          <w:szCs w:val="20"/>
          <w:lang w:val="en-US"/>
        </w:rPr>
        <w:t xml:space="preserve">he </w:t>
      </w:r>
      <w:r w:rsidR="006728D2" w:rsidRPr="00785D06">
        <w:rPr>
          <w:rFonts w:cs="Arial"/>
          <w:sz w:val="20"/>
          <w:szCs w:val="20"/>
          <w:lang w:val="en-US"/>
        </w:rPr>
        <w:t xml:space="preserve">filed a </w:t>
      </w:r>
      <w:r w:rsidRPr="00785D06">
        <w:rPr>
          <w:rFonts w:cs="Arial"/>
          <w:sz w:val="20"/>
          <w:szCs w:val="20"/>
          <w:lang w:val="en-US"/>
        </w:rPr>
        <w:t>respon</w:t>
      </w:r>
      <w:r w:rsidR="006728D2" w:rsidRPr="00785D06">
        <w:rPr>
          <w:rFonts w:cs="Arial"/>
          <w:sz w:val="20"/>
          <w:szCs w:val="20"/>
          <w:lang w:val="en-US"/>
        </w:rPr>
        <w:t>se to the lawsuit, through his representatives.</w:t>
      </w:r>
      <w:r w:rsidRPr="00785D06">
        <w:rPr>
          <w:rStyle w:val="Refdenotaalpie"/>
          <w:rFonts w:cs="Arial"/>
          <w:sz w:val="20"/>
          <w:szCs w:val="20"/>
          <w:lang w:val="en-US"/>
        </w:rPr>
        <w:footnoteReference w:id="75"/>
      </w:r>
      <w:r w:rsidRPr="00785D06">
        <w:rPr>
          <w:rFonts w:cs="Arial"/>
          <w:sz w:val="20"/>
          <w:szCs w:val="20"/>
          <w:lang w:val="en-US"/>
        </w:rPr>
        <w:t xml:space="preserve"> </w:t>
      </w:r>
      <w:r w:rsidR="00D01F90" w:rsidRPr="00785D06">
        <w:rPr>
          <w:rFonts w:cs="Arial"/>
          <w:sz w:val="20"/>
          <w:szCs w:val="20"/>
          <w:lang w:val="en-US"/>
        </w:rPr>
        <w:t>O</w:t>
      </w:r>
      <w:r w:rsidRPr="00785D06">
        <w:rPr>
          <w:rFonts w:cs="Arial"/>
          <w:sz w:val="20"/>
          <w:szCs w:val="20"/>
          <w:lang w:val="en-US"/>
        </w:rPr>
        <w:t xml:space="preserve">n September 14, 2004 the judge </w:t>
      </w:r>
      <w:r w:rsidR="00D01F90" w:rsidRPr="00785D06">
        <w:rPr>
          <w:rFonts w:cs="Arial"/>
          <w:sz w:val="20"/>
          <w:szCs w:val="20"/>
          <w:lang w:val="en-US"/>
        </w:rPr>
        <w:t xml:space="preserve">declared Mr. Espín </w:t>
      </w:r>
      <w:r w:rsidR="006728D2" w:rsidRPr="00785D06">
        <w:rPr>
          <w:rFonts w:cs="Arial"/>
          <w:sz w:val="20"/>
          <w:szCs w:val="20"/>
          <w:lang w:val="en-US"/>
        </w:rPr>
        <w:t xml:space="preserve">to have </w:t>
      </w:r>
      <w:r w:rsidRPr="00785D06">
        <w:rPr>
          <w:rFonts w:cs="Arial"/>
          <w:sz w:val="20"/>
          <w:szCs w:val="20"/>
          <w:lang w:val="en-US"/>
        </w:rPr>
        <w:t>confessed (</w:t>
      </w:r>
      <w:r w:rsidR="00D01F90" w:rsidRPr="00785D06">
        <w:rPr>
          <w:rFonts w:cs="Arial"/>
          <w:i/>
          <w:sz w:val="20"/>
          <w:szCs w:val="20"/>
          <w:lang w:val="en-US"/>
        </w:rPr>
        <w:t>declaró c</w:t>
      </w:r>
      <w:r w:rsidRPr="00785D06">
        <w:rPr>
          <w:rFonts w:cs="Arial"/>
          <w:i/>
          <w:sz w:val="20"/>
          <w:szCs w:val="20"/>
          <w:lang w:val="en-US"/>
        </w:rPr>
        <w:t>onfeso</w:t>
      </w:r>
      <w:r w:rsidR="00D01F90" w:rsidRPr="00785D06">
        <w:rPr>
          <w:rFonts w:cs="Arial"/>
          <w:sz w:val="20"/>
          <w:szCs w:val="20"/>
          <w:lang w:val="en-US"/>
        </w:rPr>
        <w:t>),</w:t>
      </w:r>
      <w:r w:rsidRPr="00785D06">
        <w:rPr>
          <w:rStyle w:val="Refdenotaalpie"/>
          <w:rFonts w:cs="Arial"/>
          <w:sz w:val="20"/>
          <w:szCs w:val="20"/>
          <w:lang w:val="en-US"/>
        </w:rPr>
        <w:footnoteReference w:id="76"/>
      </w:r>
      <w:r w:rsidR="00D01F90" w:rsidRPr="00785D06">
        <w:rPr>
          <w:rFonts w:cs="Arial"/>
          <w:sz w:val="20"/>
          <w:szCs w:val="20"/>
          <w:lang w:val="en-US"/>
        </w:rPr>
        <w:t xml:space="preserve"> for having failed to appear at a hearing to provide a “judicial confession” at the request of the petitioners.</w:t>
      </w:r>
      <w:r w:rsidRPr="00785D06">
        <w:rPr>
          <w:rFonts w:cs="Arial"/>
          <w:sz w:val="20"/>
          <w:szCs w:val="20"/>
          <w:lang w:val="en-US"/>
        </w:rPr>
        <w:t xml:space="preserve"> </w:t>
      </w:r>
    </w:p>
    <w:p w14:paraId="2F017936" w14:textId="77777777" w:rsidR="00C254BF" w:rsidRPr="00785D06" w:rsidRDefault="00C254BF" w:rsidP="00C254BF">
      <w:pPr>
        <w:jc w:val="both"/>
        <w:rPr>
          <w:rFonts w:cs="Arial"/>
          <w:sz w:val="20"/>
          <w:szCs w:val="20"/>
          <w:lang w:val="en-US"/>
        </w:rPr>
      </w:pPr>
    </w:p>
    <w:p w14:paraId="6693D200" w14:textId="77777777" w:rsidR="00C254BF" w:rsidRPr="00785D06" w:rsidRDefault="00C254BF" w:rsidP="00C254BF">
      <w:pPr>
        <w:jc w:val="both"/>
        <w:rPr>
          <w:rFonts w:cs="Arial"/>
          <w:sz w:val="20"/>
          <w:szCs w:val="20"/>
          <w:lang w:val="en-US"/>
        </w:rPr>
      </w:pPr>
      <w:r w:rsidRPr="00785D06">
        <w:rPr>
          <w:rFonts w:cs="Arial"/>
          <w:sz w:val="20"/>
          <w:szCs w:val="20"/>
          <w:lang w:val="en-US"/>
        </w:rPr>
        <w:t>81.</w:t>
      </w:r>
      <w:r w:rsidRPr="00785D06">
        <w:rPr>
          <w:rFonts w:cs="Arial"/>
          <w:sz w:val="20"/>
          <w:szCs w:val="20"/>
          <w:lang w:val="en-US"/>
        </w:rPr>
        <w:tab/>
        <w:t xml:space="preserve">On June 7, 2005, the </w:t>
      </w:r>
      <w:r w:rsidR="008A31CB" w:rsidRPr="00785D06">
        <w:rPr>
          <w:rFonts w:cs="Arial"/>
          <w:sz w:val="20"/>
          <w:szCs w:val="20"/>
          <w:lang w:val="en-US"/>
        </w:rPr>
        <w:t>Twenty-third J</w:t>
      </w:r>
      <w:r w:rsidRPr="00785D06">
        <w:rPr>
          <w:rFonts w:cs="Arial"/>
          <w:sz w:val="20"/>
          <w:szCs w:val="20"/>
          <w:lang w:val="en-US"/>
        </w:rPr>
        <w:t xml:space="preserve">udge </w:t>
      </w:r>
      <w:r w:rsidR="00D01F90" w:rsidRPr="00785D06">
        <w:rPr>
          <w:rFonts w:cs="Arial"/>
          <w:sz w:val="20"/>
          <w:szCs w:val="20"/>
          <w:lang w:val="en-US"/>
        </w:rPr>
        <w:t>ordered Mr. Bolívar Espín</w:t>
      </w:r>
      <w:r w:rsidRPr="00785D06">
        <w:rPr>
          <w:rFonts w:cs="Arial"/>
          <w:sz w:val="20"/>
          <w:szCs w:val="20"/>
          <w:lang w:val="en-US"/>
        </w:rPr>
        <w:t xml:space="preserve"> to pay compensation of USD$ 25,000.00 (twenty-five thousand United States dollars) </w:t>
      </w:r>
      <w:r w:rsidR="008A31CB" w:rsidRPr="00785D06">
        <w:rPr>
          <w:rFonts w:cs="Arial"/>
          <w:sz w:val="20"/>
          <w:szCs w:val="20"/>
          <w:lang w:val="en-US"/>
        </w:rPr>
        <w:t xml:space="preserve">to </w:t>
      </w:r>
      <w:r w:rsidR="00D01F90" w:rsidRPr="00785D06">
        <w:rPr>
          <w:rFonts w:cs="Arial"/>
          <w:sz w:val="20"/>
          <w:szCs w:val="20"/>
          <w:lang w:val="en-US"/>
        </w:rPr>
        <w:t xml:space="preserve">Mrs. Albarracín </w:t>
      </w:r>
      <w:r w:rsidRPr="00785D06">
        <w:rPr>
          <w:rFonts w:cs="Arial"/>
          <w:sz w:val="20"/>
          <w:szCs w:val="20"/>
          <w:lang w:val="en-US"/>
        </w:rPr>
        <w:t>for moral damage</w:t>
      </w:r>
      <w:r w:rsidR="008A31CB" w:rsidRPr="00785D06">
        <w:rPr>
          <w:rFonts w:cs="Arial"/>
          <w:sz w:val="20"/>
          <w:szCs w:val="20"/>
          <w:lang w:val="en-US"/>
        </w:rPr>
        <w:t>s</w:t>
      </w:r>
      <w:r w:rsidRPr="00785D06">
        <w:rPr>
          <w:rFonts w:cs="Arial"/>
          <w:sz w:val="20"/>
          <w:szCs w:val="20"/>
          <w:lang w:val="en-US"/>
        </w:rPr>
        <w:t xml:space="preserve">. On June 9, 2005, </w:t>
      </w:r>
      <w:r w:rsidR="00D01F90" w:rsidRPr="00785D06">
        <w:rPr>
          <w:rFonts w:cs="Arial"/>
          <w:sz w:val="20"/>
          <w:szCs w:val="20"/>
          <w:lang w:val="en-US"/>
        </w:rPr>
        <w:t xml:space="preserve">she also </w:t>
      </w:r>
      <w:r w:rsidRPr="00785D06">
        <w:rPr>
          <w:rFonts w:cs="Arial"/>
          <w:sz w:val="20"/>
          <w:szCs w:val="20"/>
          <w:lang w:val="en-US"/>
        </w:rPr>
        <w:t xml:space="preserve">requested the payment of legal costs, which was denied, </w:t>
      </w:r>
      <w:r w:rsidR="008A31CB" w:rsidRPr="00785D06">
        <w:rPr>
          <w:rFonts w:cs="Arial"/>
          <w:sz w:val="20"/>
          <w:szCs w:val="20"/>
          <w:lang w:val="en-US"/>
        </w:rPr>
        <w:t>prompting her to appeal</w:t>
      </w:r>
      <w:r w:rsidRPr="00785D06">
        <w:rPr>
          <w:rFonts w:cs="Arial"/>
          <w:sz w:val="20"/>
          <w:szCs w:val="20"/>
          <w:lang w:val="en-US"/>
        </w:rPr>
        <w:t xml:space="preserve"> that decision on May 15, 2006.</w:t>
      </w:r>
      <w:r w:rsidRPr="00785D06">
        <w:rPr>
          <w:rStyle w:val="Refdenotaalpie"/>
          <w:rFonts w:cs="Arial"/>
          <w:sz w:val="20"/>
          <w:szCs w:val="20"/>
          <w:lang w:val="en-US"/>
        </w:rPr>
        <w:footnoteReference w:id="77"/>
      </w:r>
      <w:r w:rsidRPr="00785D06">
        <w:rPr>
          <w:rFonts w:cs="Arial"/>
          <w:sz w:val="20"/>
          <w:szCs w:val="20"/>
          <w:lang w:val="en-US"/>
        </w:rPr>
        <w:t xml:space="preserve"> The </w:t>
      </w:r>
      <w:r w:rsidR="0079599C" w:rsidRPr="00785D06">
        <w:rPr>
          <w:rFonts w:cs="Arial"/>
          <w:sz w:val="20"/>
          <w:szCs w:val="20"/>
          <w:lang w:val="en-US"/>
        </w:rPr>
        <w:t xml:space="preserve">matter was then referred to </w:t>
      </w:r>
      <w:r w:rsidRPr="00785D06">
        <w:rPr>
          <w:rFonts w:cs="Arial"/>
          <w:sz w:val="20"/>
          <w:szCs w:val="20"/>
          <w:lang w:val="en-US"/>
        </w:rPr>
        <w:t xml:space="preserve">the Superior Court of Justice of Guayaquil which, on September 1, 2006, annulled </w:t>
      </w:r>
      <w:r w:rsidR="0079599C" w:rsidRPr="00785D06">
        <w:rPr>
          <w:rFonts w:cs="Arial"/>
          <w:sz w:val="20"/>
          <w:szCs w:val="20"/>
          <w:lang w:val="en-US"/>
        </w:rPr>
        <w:t xml:space="preserve">the proceedings </w:t>
      </w:r>
      <w:r w:rsidRPr="00785D06">
        <w:rPr>
          <w:rFonts w:cs="Arial"/>
          <w:sz w:val="20"/>
          <w:szCs w:val="20"/>
          <w:lang w:val="en-US"/>
        </w:rPr>
        <w:t xml:space="preserve">because an appeal filed by the </w:t>
      </w:r>
      <w:r w:rsidR="0097298A" w:rsidRPr="00785D06">
        <w:rPr>
          <w:rFonts w:cs="Arial"/>
          <w:sz w:val="20"/>
          <w:szCs w:val="20"/>
          <w:lang w:val="en-US"/>
        </w:rPr>
        <w:t>vice principal</w:t>
      </w:r>
      <w:r w:rsidRPr="00785D06">
        <w:rPr>
          <w:rFonts w:cs="Arial"/>
          <w:sz w:val="20"/>
          <w:szCs w:val="20"/>
          <w:lang w:val="en-US"/>
        </w:rPr>
        <w:t xml:space="preserve"> on June 10, 2005, had not been </w:t>
      </w:r>
      <w:r w:rsidR="0079599C" w:rsidRPr="00785D06">
        <w:rPr>
          <w:rFonts w:cs="Arial"/>
          <w:sz w:val="20"/>
          <w:szCs w:val="20"/>
          <w:lang w:val="en-US"/>
        </w:rPr>
        <w:t>resolved</w:t>
      </w:r>
      <w:r w:rsidRPr="00785D06">
        <w:rPr>
          <w:rFonts w:cs="Arial"/>
          <w:sz w:val="20"/>
          <w:szCs w:val="20"/>
          <w:lang w:val="en-US"/>
        </w:rPr>
        <w:t>.</w:t>
      </w:r>
      <w:r w:rsidRPr="00785D06">
        <w:rPr>
          <w:rStyle w:val="Refdenotaalpie"/>
          <w:rFonts w:cs="Arial"/>
          <w:sz w:val="20"/>
          <w:szCs w:val="20"/>
          <w:lang w:val="en-US"/>
        </w:rPr>
        <w:footnoteReference w:id="78"/>
      </w:r>
      <w:r w:rsidRPr="00785D06">
        <w:rPr>
          <w:rFonts w:cs="Arial"/>
          <w:sz w:val="20"/>
          <w:szCs w:val="20"/>
          <w:lang w:val="en-US"/>
        </w:rPr>
        <w:t xml:space="preserve"> </w:t>
      </w:r>
      <w:r w:rsidRPr="00785D06">
        <w:rPr>
          <w:rFonts w:cs="Arial"/>
          <w:b/>
          <w:sz w:val="20"/>
          <w:szCs w:val="20"/>
          <w:lang w:val="en-US"/>
        </w:rPr>
        <w:t xml:space="preserve"> </w:t>
      </w:r>
      <w:r w:rsidRPr="00785D06">
        <w:rPr>
          <w:rFonts w:cs="Arial"/>
          <w:sz w:val="20"/>
          <w:szCs w:val="20"/>
          <w:lang w:val="en-US"/>
        </w:rPr>
        <w:t xml:space="preserve">The Superior Court returned the </w:t>
      </w:r>
      <w:r w:rsidR="0079599C" w:rsidRPr="00785D06">
        <w:rPr>
          <w:rFonts w:cs="Arial"/>
          <w:sz w:val="20"/>
          <w:szCs w:val="20"/>
          <w:lang w:val="en-US"/>
        </w:rPr>
        <w:t xml:space="preserve">case </w:t>
      </w:r>
      <w:r w:rsidRPr="00785D06">
        <w:rPr>
          <w:rFonts w:cs="Arial"/>
          <w:sz w:val="20"/>
          <w:szCs w:val="20"/>
          <w:lang w:val="en-US"/>
        </w:rPr>
        <w:t>to the original court to consider</w:t>
      </w:r>
      <w:r w:rsidR="0079599C" w:rsidRPr="00785D06">
        <w:rPr>
          <w:rFonts w:cs="Arial"/>
          <w:sz w:val="20"/>
          <w:szCs w:val="20"/>
          <w:lang w:val="en-US"/>
        </w:rPr>
        <w:t xml:space="preserve"> </w:t>
      </w:r>
      <w:r w:rsidR="00D01F90" w:rsidRPr="00785D06">
        <w:rPr>
          <w:rFonts w:cs="Arial"/>
          <w:sz w:val="20"/>
          <w:szCs w:val="20"/>
          <w:lang w:val="en-US"/>
        </w:rPr>
        <w:t xml:space="preserve">the </w:t>
      </w:r>
      <w:r w:rsidRPr="00785D06">
        <w:rPr>
          <w:rFonts w:cs="Arial"/>
          <w:sz w:val="20"/>
          <w:szCs w:val="20"/>
          <w:lang w:val="en-US"/>
        </w:rPr>
        <w:t xml:space="preserve">appeal. On July 16, 2012, the Twenty-third Court declared the </w:t>
      </w:r>
      <w:r w:rsidR="0079599C" w:rsidRPr="00785D06">
        <w:rPr>
          <w:rFonts w:cs="Arial"/>
          <w:sz w:val="20"/>
          <w:szCs w:val="20"/>
          <w:lang w:val="en-US"/>
        </w:rPr>
        <w:t>proceedings “abandoned” and ordered that the case be archived</w:t>
      </w:r>
      <w:r w:rsidRPr="00785D06">
        <w:rPr>
          <w:rFonts w:cs="Arial"/>
          <w:sz w:val="20"/>
          <w:szCs w:val="20"/>
          <w:lang w:val="en-US"/>
        </w:rPr>
        <w:t>.</w:t>
      </w:r>
      <w:r w:rsidRPr="00785D06">
        <w:rPr>
          <w:rStyle w:val="Refdenotaalpie"/>
          <w:rFonts w:cs="Arial"/>
          <w:sz w:val="20"/>
          <w:szCs w:val="20"/>
          <w:lang w:val="en-US"/>
        </w:rPr>
        <w:footnoteReference w:id="79"/>
      </w:r>
      <w:r w:rsidRPr="00785D06">
        <w:rPr>
          <w:rFonts w:cs="Arial"/>
          <w:sz w:val="20"/>
          <w:szCs w:val="20"/>
          <w:lang w:val="en-US"/>
        </w:rPr>
        <w:t xml:space="preserve"> </w:t>
      </w:r>
    </w:p>
    <w:p w14:paraId="4FEC2B7B" w14:textId="77777777" w:rsidR="00C254BF" w:rsidRPr="00785D06" w:rsidRDefault="00C254BF" w:rsidP="00C254BF">
      <w:pPr>
        <w:pStyle w:val="Prrafodelista"/>
        <w:ind w:left="0"/>
        <w:contextualSpacing w:val="0"/>
        <w:jc w:val="both"/>
        <w:rPr>
          <w:rFonts w:cs="Arial"/>
          <w:iCs/>
          <w:sz w:val="20"/>
          <w:szCs w:val="20"/>
          <w:lang w:val="en-US"/>
        </w:rPr>
      </w:pPr>
    </w:p>
    <w:p w14:paraId="324CF396" w14:textId="77777777" w:rsidR="00C254BF" w:rsidRPr="00785D06" w:rsidRDefault="00C254BF" w:rsidP="00C254BF">
      <w:pPr>
        <w:pStyle w:val="Prrafodelista"/>
        <w:ind w:left="0"/>
        <w:contextualSpacing w:val="0"/>
        <w:jc w:val="both"/>
        <w:rPr>
          <w:rFonts w:cstheme="minorBidi"/>
          <w:sz w:val="20"/>
          <w:szCs w:val="20"/>
          <w:lang w:val="en-US"/>
        </w:rPr>
      </w:pPr>
      <w:r w:rsidRPr="00785D06">
        <w:rPr>
          <w:rFonts w:cs="Arial"/>
          <w:iCs/>
          <w:sz w:val="20"/>
          <w:szCs w:val="20"/>
          <w:lang w:val="en-US"/>
        </w:rPr>
        <w:t>82</w:t>
      </w:r>
      <w:r w:rsidRPr="00785D06">
        <w:rPr>
          <w:rFonts w:cs="Arial"/>
          <w:i/>
          <w:sz w:val="20"/>
          <w:szCs w:val="20"/>
          <w:lang w:val="en-US"/>
        </w:rPr>
        <w:t>.</w:t>
      </w:r>
      <w:r w:rsidRPr="00785D06">
        <w:rPr>
          <w:rFonts w:cs="Arial"/>
          <w:i/>
          <w:sz w:val="20"/>
          <w:szCs w:val="20"/>
          <w:lang w:val="en-US"/>
        </w:rPr>
        <w:tab/>
        <w:t xml:space="preserve">Administrative actions. </w:t>
      </w:r>
      <w:r w:rsidR="00504845" w:rsidRPr="00785D06">
        <w:rPr>
          <w:rFonts w:cs="Arial"/>
          <w:sz w:val="20"/>
          <w:szCs w:val="20"/>
          <w:lang w:val="en-US"/>
        </w:rPr>
        <w:t xml:space="preserve">Mrs. Albarracín </w:t>
      </w:r>
      <w:r w:rsidR="004533E2" w:rsidRPr="00785D06">
        <w:rPr>
          <w:rFonts w:cs="Arial"/>
          <w:sz w:val="20"/>
          <w:szCs w:val="20"/>
          <w:lang w:val="en-US"/>
        </w:rPr>
        <w:t xml:space="preserve">also sent several letters to the </w:t>
      </w:r>
      <w:r w:rsidR="00504845" w:rsidRPr="00785D06">
        <w:rPr>
          <w:rFonts w:cs="Arial"/>
          <w:sz w:val="20"/>
          <w:szCs w:val="20"/>
          <w:lang w:val="en-US"/>
        </w:rPr>
        <w:t>authorities of the Ministry of Education</w:t>
      </w:r>
      <w:r w:rsidR="004533E2" w:rsidRPr="00785D06">
        <w:rPr>
          <w:rFonts w:cs="Arial"/>
          <w:sz w:val="20"/>
          <w:szCs w:val="20"/>
          <w:lang w:val="en-US"/>
        </w:rPr>
        <w:t xml:space="preserve"> </w:t>
      </w:r>
      <w:r w:rsidR="00504845" w:rsidRPr="00785D06">
        <w:rPr>
          <w:rFonts w:cs="Arial"/>
          <w:sz w:val="20"/>
          <w:szCs w:val="20"/>
          <w:lang w:val="en-US"/>
        </w:rPr>
        <w:t xml:space="preserve">on </w:t>
      </w:r>
      <w:r w:rsidRPr="00785D06">
        <w:rPr>
          <w:rFonts w:cs="Arial"/>
          <w:sz w:val="20"/>
          <w:szCs w:val="20"/>
          <w:lang w:val="en-US"/>
        </w:rPr>
        <w:t xml:space="preserve">January 9 and August 19, 2003, and on January 14, 2004, </w:t>
      </w:r>
      <w:r w:rsidR="00504845" w:rsidRPr="00785D06">
        <w:rPr>
          <w:rFonts w:cs="Arial"/>
          <w:sz w:val="20"/>
          <w:szCs w:val="20"/>
          <w:lang w:val="en-US"/>
        </w:rPr>
        <w:t xml:space="preserve">as well as </w:t>
      </w:r>
      <w:r w:rsidR="00ED7C10" w:rsidRPr="00785D06">
        <w:rPr>
          <w:rFonts w:cs="Arial"/>
          <w:sz w:val="20"/>
          <w:szCs w:val="20"/>
          <w:lang w:val="en-US"/>
        </w:rPr>
        <w:t>undated communication</w:t>
      </w:r>
      <w:r w:rsidRPr="00785D06">
        <w:rPr>
          <w:rFonts w:cs="Arial"/>
          <w:sz w:val="20"/>
          <w:szCs w:val="20"/>
          <w:lang w:val="en-US"/>
        </w:rPr>
        <w:t xml:space="preserve"> </w:t>
      </w:r>
      <w:r w:rsidR="004533E2" w:rsidRPr="00785D06">
        <w:rPr>
          <w:rFonts w:cs="Arial"/>
          <w:sz w:val="20"/>
          <w:szCs w:val="20"/>
          <w:lang w:val="en-US"/>
        </w:rPr>
        <w:t xml:space="preserve">alleging </w:t>
      </w:r>
      <w:r w:rsidRPr="00785D06">
        <w:rPr>
          <w:rFonts w:cs="Arial"/>
          <w:sz w:val="20"/>
          <w:szCs w:val="20"/>
          <w:lang w:val="en-US"/>
        </w:rPr>
        <w:t xml:space="preserve">that the school authorities </w:t>
      </w:r>
      <w:r w:rsidR="004533E2" w:rsidRPr="00785D06">
        <w:rPr>
          <w:rFonts w:cs="Arial"/>
          <w:sz w:val="20"/>
          <w:szCs w:val="20"/>
          <w:lang w:val="en-US"/>
        </w:rPr>
        <w:t xml:space="preserve">had </w:t>
      </w:r>
      <w:r w:rsidR="00045853" w:rsidRPr="00785D06">
        <w:rPr>
          <w:rFonts w:cs="Arial"/>
          <w:sz w:val="20"/>
          <w:szCs w:val="20"/>
          <w:lang w:val="en-US"/>
        </w:rPr>
        <w:t xml:space="preserve">failed to </w:t>
      </w:r>
      <w:r w:rsidRPr="00785D06">
        <w:rPr>
          <w:rFonts w:cs="Arial"/>
          <w:sz w:val="20"/>
          <w:szCs w:val="20"/>
          <w:lang w:val="en-US"/>
        </w:rPr>
        <w:t xml:space="preserve">provide assistance to Paola and requesting that the </w:t>
      </w:r>
      <w:r w:rsidR="0097298A" w:rsidRPr="00785D06">
        <w:rPr>
          <w:rFonts w:cs="Arial"/>
          <w:sz w:val="20"/>
          <w:szCs w:val="20"/>
          <w:lang w:val="en-US"/>
        </w:rPr>
        <w:t>vice principal</w:t>
      </w:r>
      <w:r w:rsidRPr="00785D06">
        <w:rPr>
          <w:rFonts w:cs="Arial"/>
          <w:sz w:val="20"/>
          <w:szCs w:val="20"/>
          <w:lang w:val="en-US"/>
        </w:rPr>
        <w:t xml:space="preserve"> be punished for his </w:t>
      </w:r>
      <w:r w:rsidR="004533E2" w:rsidRPr="00785D06">
        <w:rPr>
          <w:rFonts w:cs="Arial"/>
          <w:sz w:val="20"/>
          <w:szCs w:val="20"/>
          <w:lang w:val="en-US"/>
        </w:rPr>
        <w:t xml:space="preserve">behavior </w:t>
      </w:r>
      <w:r w:rsidRPr="00785D06">
        <w:rPr>
          <w:rFonts w:cs="Arial"/>
          <w:sz w:val="20"/>
          <w:szCs w:val="20"/>
          <w:lang w:val="en-US"/>
        </w:rPr>
        <w:t xml:space="preserve">toward </w:t>
      </w:r>
      <w:r w:rsidR="00045853" w:rsidRPr="00785D06">
        <w:rPr>
          <w:rFonts w:cs="Arial"/>
          <w:sz w:val="20"/>
          <w:szCs w:val="20"/>
          <w:lang w:val="en-US"/>
        </w:rPr>
        <w:t>her.</w:t>
      </w:r>
      <w:r w:rsidRPr="00785D06">
        <w:rPr>
          <w:rFonts w:cs="Arial"/>
          <w:sz w:val="20"/>
          <w:szCs w:val="20"/>
          <w:vertAlign w:val="superscript"/>
          <w:lang w:val="en-US"/>
        </w:rPr>
        <w:footnoteReference w:id="80"/>
      </w:r>
      <w:r w:rsidRPr="00785D06">
        <w:rPr>
          <w:rFonts w:cs="Arial"/>
          <w:sz w:val="20"/>
          <w:szCs w:val="20"/>
          <w:lang w:val="en-US"/>
        </w:rPr>
        <w:t xml:space="preserve"> </w:t>
      </w:r>
    </w:p>
    <w:p w14:paraId="4D299C88" w14:textId="77777777" w:rsidR="00C254BF" w:rsidRPr="00785D06" w:rsidRDefault="00C254BF" w:rsidP="00C254BF">
      <w:pPr>
        <w:jc w:val="both"/>
        <w:rPr>
          <w:rFonts w:cs="Arial"/>
          <w:sz w:val="20"/>
          <w:szCs w:val="20"/>
          <w:lang w:val="en-US"/>
        </w:rPr>
      </w:pPr>
    </w:p>
    <w:p w14:paraId="5066DB7B" w14:textId="77777777" w:rsidR="00C254BF" w:rsidRPr="00785D06" w:rsidRDefault="00C254BF" w:rsidP="00C254BF">
      <w:pPr>
        <w:jc w:val="both"/>
        <w:rPr>
          <w:sz w:val="20"/>
          <w:szCs w:val="20"/>
          <w:lang w:val="en-US"/>
        </w:rPr>
      </w:pPr>
      <w:r w:rsidRPr="00785D06">
        <w:rPr>
          <w:rFonts w:cs="Arial"/>
          <w:sz w:val="20"/>
          <w:szCs w:val="20"/>
          <w:lang w:val="en-US"/>
        </w:rPr>
        <w:t>83.</w:t>
      </w:r>
      <w:r w:rsidRPr="00785D06">
        <w:rPr>
          <w:rFonts w:cs="Arial"/>
          <w:sz w:val="20"/>
          <w:szCs w:val="20"/>
          <w:lang w:val="en-US"/>
        </w:rPr>
        <w:tab/>
        <w:t>On December 22, 2002, and January 23, 2003</w:t>
      </w:r>
      <w:r w:rsidR="004533E2" w:rsidRPr="00785D06">
        <w:rPr>
          <w:rFonts w:cs="Arial"/>
          <w:sz w:val="20"/>
          <w:szCs w:val="20"/>
          <w:lang w:val="en-US"/>
        </w:rPr>
        <w:t>,</w:t>
      </w:r>
      <w:r w:rsidRPr="00785D06">
        <w:rPr>
          <w:rFonts w:cs="Arial"/>
          <w:sz w:val="20"/>
          <w:szCs w:val="20"/>
          <w:lang w:val="en-US"/>
        </w:rPr>
        <w:t xml:space="preserve"> the Provincial Superintendent of Education issued reports after interviewing a n</w:t>
      </w:r>
      <w:r w:rsidR="004533E2" w:rsidRPr="00785D06">
        <w:rPr>
          <w:rFonts w:cs="Arial"/>
          <w:sz w:val="20"/>
          <w:szCs w:val="20"/>
          <w:lang w:val="en-US"/>
        </w:rPr>
        <w:t>umber of students at the school, in which</w:t>
      </w:r>
      <w:r w:rsidRPr="00785D06">
        <w:rPr>
          <w:rFonts w:cs="Arial"/>
          <w:sz w:val="20"/>
          <w:szCs w:val="20"/>
          <w:lang w:val="en-US"/>
        </w:rPr>
        <w:t xml:space="preserve"> he concluded that “the supposed romantic relationship</w:t>
      </w:r>
      <w:r w:rsidR="004533E2" w:rsidRPr="00785D06">
        <w:rPr>
          <w:rFonts w:cs="Arial"/>
          <w:sz w:val="20"/>
          <w:szCs w:val="20"/>
          <w:lang w:val="en-US"/>
        </w:rPr>
        <w:t xml:space="preserve"> cannot be confirmed</w:t>
      </w:r>
      <w:r w:rsidRPr="00785D06">
        <w:rPr>
          <w:rFonts w:cs="Arial"/>
          <w:sz w:val="20"/>
          <w:szCs w:val="20"/>
          <w:lang w:val="en-US"/>
        </w:rPr>
        <w:t xml:space="preserve">” and </w:t>
      </w:r>
      <w:r w:rsidR="00B6049A" w:rsidRPr="00785D06">
        <w:rPr>
          <w:rFonts w:cs="Arial"/>
          <w:sz w:val="20"/>
          <w:szCs w:val="20"/>
          <w:lang w:val="en-US"/>
        </w:rPr>
        <w:t xml:space="preserve">found </w:t>
      </w:r>
      <w:r w:rsidRPr="00785D06">
        <w:rPr>
          <w:rFonts w:cs="Arial"/>
          <w:sz w:val="20"/>
          <w:szCs w:val="20"/>
          <w:lang w:val="en-US"/>
        </w:rPr>
        <w:t xml:space="preserve">that there was no evidence that the </w:t>
      </w:r>
      <w:r w:rsidR="0097298A" w:rsidRPr="00785D06">
        <w:rPr>
          <w:rFonts w:cs="Arial"/>
          <w:sz w:val="20"/>
          <w:szCs w:val="20"/>
          <w:lang w:val="en-US"/>
        </w:rPr>
        <w:t>vice principal</w:t>
      </w:r>
      <w:r w:rsidRPr="00785D06">
        <w:rPr>
          <w:rFonts w:cs="Arial"/>
          <w:sz w:val="20"/>
          <w:szCs w:val="20"/>
          <w:lang w:val="en-US"/>
        </w:rPr>
        <w:t xml:space="preserve"> had reciprocated Paola’s “infatuation.”</w:t>
      </w:r>
      <w:r w:rsidRPr="00785D06">
        <w:rPr>
          <w:rFonts w:cs="Arial"/>
          <w:sz w:val="20"/>
          <w:szCs w:val="20"/>
          <w:vertAlign w:val="superscript"/>
          <w:lang w:val="en-US"/>
        </w:rPr>
        <w:footnoteReference w:id="81"/>
      </w:r>
      <w:r w:rsidR="004533E2" w:rsidRPr="00785D06">
        <w:rPr>
          <w:rFonts w:cs="Arial"/>
          <w:sz w:val="20"/>
          <w:szCs w:val="20"/>
          <w:lang w:val="en-US"/>
        </w:rPr>
        <w:t xml:space="preserve"> A</w:t>
      </w:r>
      <w:r w:rsidRPr="00785D06">
        <w:rPr>
          <w:rFonts w:cs="Arial"/>
          <w:sz w:val="20"/>
          <w:szCs w:val="20"/>
          <w:lang w:val="en-US"/>
        </w:rPr>
        <w:t xml:space="preserve">ccording to the State, </w:t>
      </w:r>
      <w:r w:rsidR="004533E2" w:rsidRPr="00785D06">
        <w:rPr>
          <w:rFonts w:cs="Arial"/>
          <w:sz w:val="20"/>
          <w:szCs w:val="20"/>
          <w:lang w:val="en-US"/>
        </w:rPr>
        <w:t xml:space="preserve">on March 30, 2004, </w:t>
      </w:r>
      <w:r w:rsidRPr="00785D06">
        <w:rPr>
          <w:rFonts w:cs="Arial"/>
          <w:sz w:val="20"/>
          <w:szCs w:val="20"/>
          <w:lang w:val="en-US"/>
        </w:rPr>
        <w:t xml:space="preserve">a summary administrative proceeding was opened against the </w:t>
      </w:r>
      <w:r w:rsidR="0097298A" w:rsidRPr="00785D06">
        <w:rPr>
          <w:rFonts w:cs="Arial"/>
          <w:sz w:val="20"/>
          <w:szCs w:val="20"/>
          <w:lang w:val="en-US"/>
        </w:rPr>
        <w:t>vice principal</w:t>
      </w:r>
      <w:r w:rsidRPr="00785D06">
        <w:rPr>
          <w:rFonts w:cs="Arial"/>
          <w:sz w:val="20"/>
          <w:szCs w:val="20"/>
          <w:lang w:val="en-US"/>
        </w:rPr>
        <w:t xml:space="preserve"> for “</w:t>
      </w:r>
      <w:r w:rsidR="00EE71EA" w:rsidRPr="00785D06">
        <w:rPr>
          <w:rFonts w:cs="Arial"/>
          <w:sz w:val="20"/>
          <w:szCs w:val="20"/>
          <w:lang w:val="en-US"/>
        </w:rPr>
        <w:t xml:space="preserve">alleged </w:t>
      </w:r>
      <w:r w:rsidRPr="00785D06">
        <w:rPr>
          <w:rFonts w:cs="Arial"/>
          <w:sz w:val="20"/>
          <w:szCs w:val="20"/>
          <w:lang w:val="en-US"/>
        </w:rPr>
        <w:t xml:space="preserve">unjustified abandonment of his post.” </w:t>
      </w:r>
      <w:r w:rsidR="00EE71EA" w:rsidRPr="00785D06">
        <w:rPr>
          <w:rFonts w:cs="Arial"/>
          <w:sz w:val="20"/>
          <w:szCs w:val="20"/>
          <w:lang w:val="en-US"/>
        </w:rPr>
        <w:t xml:space="preserve">The vice principal was subsequently </w:t>
      </w:r>
      <w:r w:rsidR="00504845" w:rsidRPr="00785D06">
        <w:rPr>
          <w:rFonts w:cs="Arial"/>
          <w:sz w:val="20"/>
          <w:szCs w:val="20"/>
          <w:lang w:val="en-US"/>
        </w:rPr>
        <w:t>dismissed from his post on December 30, 2004.</w:t>
      </w:r>
      <w:r w:rsidRPr="00785D06">
        <w:rPr>
          <w:rFonts w:cs="Arial"/>
          <w:sz w:val="20"/>
          <w:szCs w:val="20"/>
          <w:vertAlign w:val="superscript"/>
          <w:lang w:val="en-US"/>
        </w:rPr>
        <w:footnoteReference w:id="82"/>
      </w:r>
    </w:p>
    <w:p w14:paraId="14FEE1DE" w14:textId="77777777" w:rsidR="00C254BF" w:rsidRPr="00785D06" w:rsidRDefault="00C254BF" w:rsidP="00C254BF">
      <w:pPr>
        <w:pStyle w:val="Ttulo1"/>
        <w:spacing w:before="0"/>
        <w:jc w:val="center"/>
        <w:rPr>
          <w:rFonts w:ascii="Verdana" w:hAnsi="Verdana"/>
          <w:b/>
          <w:color w:val="auto"/>
          <w:sz w:val="20"/>
          <w:szCs w:val="20"/>
          <w:lang w:val="en-US"/>
        </w:rPr>
      </w:pPr>
      <w:bookmarkStart w:id="89" w:name="_Toc40466541"/>
      <w:bookmarkStart w:id="90" w:name="_Toc42498043"/>
    </w:p>
    <w:p w14:paraId="112BAF82" w14:textId="77777777" w:rsidR="00C254BF" w:rsidRPr="00785D06" w:rsidRDefault="00C254BF" w:rsidP="00C254BF">
      <w:pPr>
        <w:pStyle w:val="Ttulo1"/>
        <w:spacing w:before="0"/>
        <w:jc w:val="center"/>
        <w:rPr>
          <w:rFonts w:ascii="Verdana" w:hAnsi="Verdana"/>
          <w:b/>
          <w:color w:val="auto"/>
          <w:sz w:val="20"/>
          <w:szCs w:val="20"/>
          <w:lang w:val="en-US"/>
        </w:rPr>
      </w:pPr>
      <w:bookmarkStart w:id="91" w:name="_Toc46937291"/>
      <w:r w:rsidRPr="00785D06">
        <w:rPr>
          <w:rFonts w:ascii="Verdana" w:hAnsi="Verdana"/>
          <w:b/>
          <w:color w:val="auto"/>
          <w:sz w:val="20"/>
          <w:szCs w:val="20"/>
          <w:lang w:val="en-US"/>
        </w:rPr>
        <w:t>VI</w:t>
      </w:r>
      <w:bookmarkEnd w:id="89"/>
      <w:r w:rsidRPr="00785D06">
        <w:rPr>
          <w:rFonts w:ascii="Verdana" w:hAnsi="Verdana"/>
          <w:b/>
          <w:color w:val="auto"/>
          <w:sz w:val="20"/>
          <w:szCs w:val="20"/>
          <w:lang w:val="en-US"/>
        </w:rPr>
        <w:t>I</w:t>
      </w:r>
      <w:bookmarkEnd w:id="90"/>
      <w:bookmarkEnd w:id="91"/>
    </w:p>
    <w:p w14:paraId="53F8C7FF" w14:textId="77777777" w:rsidR="00C254BF" w:rsidRPr="00785D06" w:rsidRDefault="00C254BF" w:rsidP="00C254BF">
      <w:pPr>
        <w:pStyle w:val="Ttulo1"/>
        <w:tabs>
          <w:tab w:val="left" w:pos="5935"/>
        </w:tabs>
        <w:spacing w:before="0"/>
        <w:jc w:val="center"/>
        <w:rPr>
          <w:lang w:val="en-US"/>
        </w:rPr>
      </w:pPr>
      <w:bookmarkStart w:id="92" w:name="_Toc40466542"/>
      <w:bookmarkStart w:id="93" w:name="_Toc42498044"/>
      <w:bookmarkStart w:id="94" w:name="_Toc46937292"/>
      <w:r w:rsidRPr="00785D06">
        <w:rPr>
          <w:rFonts w:ascii="Verdana" w:hAnsi="Verdana"/>
          <w:b/>
          <w:color w:val="auto"/>
          <w:sz w:val="20"/>
          <w:szCs w:val="20"/>
          <w:lang w:val="en-US"/>
        </w:rPr>
        <w:t xml:space="preserve">MERITS </w:t>
      </w:r>
      <w:bookmarkEnd w:id="92"/>
      <w:bookmarkEnd w:id="93"/>
      <w:bookmarkEnd w:id="94"/>
    </w:p>
    <w:p w14:paraId="0A1D5D34" w14:textId="77777777" w:rsidR="00C254BF" w:rsidRPr="00785D06" w:rsidRDefault="00C254BF" w:rsidP="00C254BF">
      <w:pPr>
        <w:jc w:val="both"/>
        <w:rPr>
          <w:rFonts w:cstheme="minorBidi"/>
          <w:sz w:val="20"/>
          <w:szCs w:val="20"/>
          <w:lang w:val="en-US"/>
        </w:rPr>
      </w:pPr>
    </w:p>
    <w:p w14:paraId="238D4605" w14:textId="77777777" w:rsidR="00C254BF" w:rsidRPr="00785D06" w:rsidRDefault="00B63CEE" w:rsidP="00C254BF">
      <w:pPr>
        <w:jc w:val="both"/>
        <w:rPr>
          <w:lang w:val="en-US"/>
        </w:rPr>
      </w:pPr>
      <w:r w:rsidRPr="00785D06">
        <w:rPr>
          <w:rFonts w:cstheme="minorBidi"/>
          <w:sz w:val="20"/>
          <w:szCs w:val="20"/>
          <w:lang w:val="en-US"/>
        </w:rPr>
        <w:t>84.</w:t>
      </w:r>
      <w:r w:rsidRPr="00785D06">
        <w:rPr>
          <w:rFonts w:cstheme="minorBidi"/>
          <w:sz w:val="20"/>
          <w:szCs w:val="20"/>
          <w:lang w:val="en-US"/>
        </w:rPr>
        <w:tab/>
        <w:t>This</w:t>
      </w:r>
      <w:r w:rsidR="00C254BF" w:rsidRPr="00785D06">
        <w:rPr>
          <w:rFonts w:cstheme="minorBidi"/>
          <w:sz w:val="20"/>
          <w:szCs w:val="20"/>
          <w:lang w:val="en-US"/>
        </w:rPr>
        <w:t xml:space="preserve"> case </w:t>
      </w:r>
      <w:r w:rsidR="00B6049A" w:rsidRPr="00785D06">
        <w:rPr>
          <w:rFonts w:cstheme="minorBidi"/>
          <w:sz w:val="20"/>
          <w:szCs w:val="20"/>
          <w:lang w:val="en-US"/>
        </w:rPr>
        <w:t xml:space="preserve">concerns </w:t>
      </w:r>
      <w:r w:rsidR="00504845" w:rsidRPr="00785D06">
        <w:rPr>
          <w:rFonts w:cstheme="minorBidi"/>
          <w:sz w:val="20"/>
          <w:szCs w:val="20"/>
          <w:lang w:val="en-US"/>
        </w:rPr>
        <w:t xml:space="preserve">the </w:t>
      </w:r>
      <w:r w:rsidR="00C254BF" w:rsidRPr="00785D06">
        <w:rPr>
          <w:rFonts w:cstheme="minorBidi"/>
          <w:sz w:val="20"/>
          <w:szCs w:val="20"/>
          <w:lang w:val="en-US"/>
        </w:rPr>
        <w:t xml:space="preserve">human rights violations </w:t>
      </w:r>
      <w:r w:rsidR="00B6049A" w:rsidRPr="00785D06">
        <w:rPr>
          <w:rFonts w:cstheme="minorBidi"/>
          <w:sz w:val="20"/>
          <w:szCs w:val="20"/>
          <w:lang w:val="en-US"/>
        </w:rPr>
        <w:t xml:space="preserve">perpetrated </w:t>
      </w:r>
      <w:r w:rsidR="00C254BF" w:rsidRPr="00785D06">
        <w:rPr>
          <w:rFonts w:cstheme="minorBidi"/>
          <w:sz w:val="20"/>
          <w:szCs w:val="20"/>
          <w:lang w:val="en-US"/>
        </w:rPr>
        <w:t xml:space="preserve">against </w:t>
      </w:r>
      <w:r w:rsidR="00B77CB6" w:rsidRPr="00785D06">
        <w:rPr>
          <w:rFonts w:cstheme="minorBidi"/>
          <w:sz w:val="20"/>
          <w:szCs w:val="20"/>
          <w:lang w:val="en-US"/>
        </w:rPr>
        <w:t xml:space="preserve">the minor, </w:t>
      </w:r>
      <w:r w:rsidR="00C254BF" w:rsidRPr="00785D06">
        <w:rPr>
          <w:rFonts w:cstheme="minorBidi"/>
          <w:sz w:val="20"/>
          <w:szCs w:val="20"/>
          <w:lang w:val="en-US"/>
        </w:rPr>
        <w:t xml:space="preserve">Paola del Rosario Guzmán Albarracín, her </w:t>
      </w:r>
      <w:r w:rsidR="00B77CB6" w:rsidRPr="00785D06">
        <w:rPr>
          <w:rFonts w:cstheme="minorBidi"/>
          <w:sz w:val="20"/>
          <w:szCs w:val="20"/>
          <w:lang w:val="en-US"/>
        </w:rPr>
        <w:t xml:space="preserve">younger </w:t>
      </w:r>
      <w:r w:rsidR="00C254BF" w:rsidRPr="00785D06">
        <w:rPr>
          <w:rFonts w:cstheme="minorBidi"/>
          <w:sz w:val="20"/>
          <w:szCs w:val="20"/>
          <w:lang w:val="en-US"/>
        </w:rPr>
        <w:t>sister Denisse Selena Guzmán Albarracín and their mother, Petita Paulina Albarracín Albán, based on alleg</w:t>
      </w:r>
      <w:r w:rsidR="00FB3B64" w:rsidRPr="00785D06">
        <w:rPr>
          <w:rFonts w:cstheme="minorBidi"/>
          <w:sz w:val="20"/>
          <w:szCs w:val="20"/>
          <w:lang w:val="en-US"/>
        </w:rPr>
        <w:t xml:space="preserve">ations of </w:t>
      </w:r>
      <w:r w:rsidR="00C254BF" w:rsidRPr="00785D06">
        <w:rPr>
          <w:rFonts w:cstheme="minorBidi"/>
          <w:sz w:val="20"/>
          <w:szCs w:val="20"/>
          <w:lang w:val="en-US"/>
        </w:rPr>
        <w:t>sexual violen</w:t>
      </w:r>
      <w:r w:rsidR="00FB3B64" w:rsidRPr="00785D06">
        <w:rPr>
          <w:rFonts w:cstheme="minorBidi"/>
          <w:sz w:val="20"/>
          <w:szCs w:val="20"/>
          <w:lang w:val="en-US"/>
        </w:rPr>
        <w:t>ce against the f</w:t>
      </w:r>
      <w:r w:rsidR="00B6049A" w:rsidRPr="00785D06">
        <w:rPr>
          <w:rFonts w:cstheme="minorBidi"/>
          <w:sz w:val="20"/>
          <w:szCs w:val="20"/>
          <w:lang w:val="en-US"/>
        </w:rPr>
        <w:t>irst</w:t>
      </w:r>
      <w:r w:rsidR="00FB3B64" w:rsidRPr="00785D06">
        <w:rPr>
          <w:rFonts w:cstheme="minorBidi"/>
          <w:sz w:val="20"/>
          <w:szCs w:val="20"/>
          <w:lang w:val="en-US"/>
        </w:rPr>
        <w:t>.</w:t>
      </w:r>
      <w:r w:rsidR="00C254BF" w:rsidRPr="00785D06">
        <w:rPr>
          <w:rFonts w:cstheme="minorBidi"/>
          <w:sz w:val="20"/>
          <w:szCs w:val="20"/>
          <w:lang w:val="en-US"/>
        </w:rPr>
        <w:t xml:space="preserve"> </w:t>
      </w:r>
      <w:r w:rsidR="00FB3B64" w:rsidRPr="00785D06">
        <w:rPr>
          <w:rFonts w:cstheme="minorBidi"/>
          <w:sz w:val="20"/>
          <w:szCs w:val="20"/>
          <w:lang w:val="en-US"/>
        </w:rPr>
        <w:t xml:space="preserve">It is alleged that these acts of violence, including torture, were </w:t>
      </w:r>
      <w:r w:rsidR="00C254BF" w:rsidRPr="00785D06">
        <w:rPr>
          <w:rFonts w:cstheme="minorBidi"/>
          <w:sz w:val="20"/>
          <w:szCs w:val="20"/>
          <w:lang w:val="en-US"/>
        </w:rPr>
        <w:t>committed by public officials</w:t>
      </w:r>
      <w:r w:rsidR="00FB3B64" w:rsidRPr="00785D06">
        <w:rPr>
          <w:rFonts w:cstheme="minorBidi"/>
          <w:sz w:val="20"/>
          <w:szCs w:val="20"/>
          <w:lang w:val="en-US"/>
        </w:rPr>
        <w:t xml:space="preserve"> against Paola Guzmán,</w:t>
      </w:r>
      <w:r w:rsidR="00C254BF" w:rsidRPr="00785D06">
        <w:rPr>
          <w:rFonts w:cstheme="minorBidi"/>
          <w:sz w:val="20"/>
          <w:szCs w:val="20"/>
          <w:lang w:val="en-US"/>
        </w:rPr>
        <w:t xml:space="preserve"> </w:t>
      </w:r>
      <w:r w:rsidR="00FB3B64" w:rsidRPr="00785D06">
        <w:rPr>
          <w:rFonts w:cstheme="minorBidi"/>
          <w:sz w:val="20"/>
          <w:szCs w:val="20"/>
          <w:lang w:val="en-US"/>
        </w:rPr>
        <w:t xml:space="preserve">resulting in her </w:t>
      </w:r>
      <w:r w:rsidR="00C254BF" w:rsidRPr="00785D06">
        <w:rPr>
          <w:rFonts w:cstheme="minorBidi"/>
          <w:sz w:val="20"/>
          <w:szCs w:val="20"/>
          <w:lang w:val="en-US"/>
        </w:rPr>
        <w:t>death by suicide. All the</w:t>
      </w:r>
      <w:r w:rsidR="00B77CB6" w:rsidRPr="00785D06">
        <w:rPr>
          <w:rFonts w:cstheme="minorBidi"/>
          <w:sz w:val="20"/>
          <w:szCs w:val="20"/>
          <w:lang w:val="en-US"/>
        </w:rPr>
        <w:t xml:space="preserve"> events</w:t>
      </w:r>
      <w:r w:rsidR="00C254BF" w:rsidRPr="00785D06">
        <w:rPr>
          <w:rFonts w:cstheme="minorBidi"/>
          <w:sz w:val="20"/>
          <w:szCs w:val="20"/>
          <w:lang w:val="en-US"/>
        </w:rPr>
        <w:t xml:space="preserve"> </w:t>
      </w:r>
      <w:r w:rsidR="00FB3B64" w:rsidRPr="00785D06">
        <w:rPr>
          <w:rFonts w:cstheme="minorBidi"/>
          <w:sz w:val="20"/>
          <w:szCs w:val="20"/>
          <w:lang w:val="en-US"/>
        </w:rPr>
        <w:t xml:space="preserve">described </w:t>
      </w:r>
      <w:r w:rsidR="00C254BF" w:rsidRPr="00785D06">
        <w:rPr>
          <w:rFonts w:cstheme="minorBidi"/>
          <w:sz w:val="20"/>
          <w:szCs w:val="20"/>
          <w:lang w:val="en-US"/>
        </w:rPr>
        <w:t xml:space="preserve">took place at the </w:t>
      </w:r>
      <w:r w:rsidR="00B6049A" w:rsidRPr="00785D06">
        <w:rPr>
          <w:rFonts w:cstheme="minorBidi"/>
          <w:sz w:val="20"/>
          <w:szCs w:val="20"/>
          <w:lang w:val="en-US"/>
        </w:rPr>
        <w:t xml:space="preserve">public </w:t>
      </w:r>
      <w:r w:rsidR="00C254BF" w:rsidRPr="00785D06">
        <w:rPr>
          <w:rFonts w:cstheme="minorBidi"/>
          <w:sz w:val="20"/>
          <w:szCs w:val="20"/>
          <w:lang w:val="en-US"/>
        </w:rPr>
        <w:t>school a</w:t>
      </w:r>
      <w:r w:rsidR="00FB3B64" w:rsidRPr="00785D06">
        <w:rPr>
          <w:rFonts w:cstheme="minorBidi"/>
          <w:sz w:val="20"/>
          <w:szCs w:val="20"/>
          <w:lang w:val="en-US"/>
        </w:rPr>
        <w:t xml:space="preserve">ttended by the adolescent. </w:t>
      </w:r>
      <w:r w:rsidR="00B6049A" w:rsidRPr="00785D06">
        <w:rPr>
          <w:rFonts w:cstheme="minorBidi"/>
          <w:sz w:val="20"/>
          <w:szCs w:val="20"/>
          <w:lang w:val="en-US"/>
        </w:rPr>
        <w:t>The plaintiffs also argue</w:t>
      </w:r>
      <w:r w:rsidR="00C254BF" w:rsidRPr="00785D06">
        <w:rPr>
          <w:rFonts w:cstheme="minorBidi"/>
          <w:sz w:val="20"/>
          <w:szCs w:val="20"/>
          <w:lang w:val="en-US"/>
        </w:rPr>
        <w:t xml:space="preserve"> that the judicial and administrative actions </w:t>
      </w:r>
      <w:r w:rsidR="00FB3B64" w:rsidRPr="00785D06">
        <w:rPr>
          <w:rFonts w:cstheme="minorBidi"/>
          <w:sz w:val="20"/>
          <w:szCs w:val="20"/>
          <w:lang w:val="en-US"/>
        </w:rPr>
        <w:t xml:space="preserve">undertaken </w:t>
      </w:r>
      <w:r w:rsidR="00B77CB6" w:rsidRPr="00785D06">
        <w:rPr>
          <w:rFonts w:cstheme="minorBidi"/>
          <w:sz w:val="20"/>
          <w:szCs w:val="20"/>
          <w:lang w:val="en-US"/>
        </w:rPr>
        <w:t>after</w:t>
      </w:r>
      <w:r w:rsidR="00C254BF" w:rsidRPr="00785D06">
        <w:rPr>
          <w:rFonts w:cstheme="minorBidi"/>
          <w:sz w:val="20"/>
          <w:szCs w:val="20"/>
          <w:lang w:val="en-US"/>
        </w:rPr>
        <w:t xml:space="preserve"> </w:t>
      </w:r>
      <w:r w:rsidR="00FB3B64" w:rsidRPr="00785D06">
        <w:rPr>
          <w:rFonts w:cstheme="minorBidi"/>
          <w:sz w:val="20"/>
          <w:szCs w:val="20"/>
          <w:lang w:val="en-US"/>
        </w:rPr>
        <w:t>Paola Guzmán’s death</w:t>
      </w:r>
      <w:r w:rsidR="00C254BF" w:rsidRPr="00785D06">
        <w:rPr>
          <w:rFonts w:cstheme="minorBidi"/>
          <w:sz w:val="20"/>
          <w:szCs w:val="20"/>
          <w:lang w:val="en-US"/>
        </w:rPr>
        <w:t xml:space="preserve"> were </w:t>
      </w:r>
      <w:r w:rsidR="00FB3B64" w:rsidRPr="00785D06">
        <w:rPr>
          <w:rFonts w:cstheme="minorBidi"/>
          <w:sz w:val="20"/>
          <w:szCs w:val="20"/>
          <w:lang w:val="en-US"/>
        </w:rPr>
        <w:t xml:space="preserve">ineffective </w:t>
      </w:r>
      <w:r w:rsidR="00C254BF" w:rsidRPr="00785D06">
        <w:rPr>
          <w:rFonts w:cstheme="minorBidi"/>
          <w:sz w:val="20"/>
          <w:szCs w:val="20"/>
          <w:lang w:val="en-US"/>
        </w:rPr>
        <w:t>and violated the rights to judicial guarantees and judicial protection of her mother and her sister, whose personal integrity was also impaired.</w:t>
      </w:r>
      <w:r w:rsidR="00C254BF" w:rsidRPr="00785D06">
        <w:rPr>
          <w:rFonts w:cstheme="minorBidi"/>
          <w:b/>
          <w:sz w:val="20"/>
          <w:szCs w:val="20"/>
          <w:lang w:val="en-US"/>
        </w:rPr>
        <w:t xml:space="preserve"> </w:t>
      </w:r>
    </w:p>
    <w:p w14:paraId="7DC3F525" w14:textId="77777777" w:rsidR="00C254BF" w:rsidRPr="00785D06" w:rsidRDefault="00C254BF" w:rsidP="00C254BF">
      <w:pPr>
        <w:jc w:val="both"/>
        <w:rPr>
          <w:rFonts w:cstheme="minorBidi"/>
          <w:sz w:val="20"/>
          <w:szCs w:val="20"/>
          <w:lang w:val="en-US"/>
        </w:rPr>
      </w:pPr>
    </w:p>
    <w:p w14:paraId="61A089A5" w14:textId="77777777" w:rsidR="00C254BF" w:rsidRPr="00785D06" w:rsidRDefault="00C254BF" w:rsidP="00C254BF">
      <w:pPr>
        <w:jc w:val="both"/>
        <w:rPr>
          <w:rFonts w:cstheme="minorBidi"/>
          <w:sz w:val="20"/>
          <w:szCs w:val="20"/>
          <w:lang w:val="en-US"/>
        </w:rPr>
      </w:pPr>
      <w:r w:rsidRPr="00785D06">
        <w:rPr>
          <w:rFonts w:cstheme="minorBidi"/>
          <w:sz w:val="20"/>
          <w:szCs w:val="20"/>
          <w:lang w:val="en-US"/>
        </w:rPr>
        <w:t>85.</w:t>
      </w:r>
      <w:r w:rsidRPr="00785D06">
        <w:rPr>
          <w:rFonts w:cstheme="minorBidi"/>
          <w:sz w:val="20"/>
          <w:szCs w:val="20"/>
          <w:lang w:val="en-US"/>
        </w:rPr>
        <w:tab/>
        <w:t xml:space="preserve">The Court will first examine the alleged human rights violations related to </w:t>
      </w:r>
      <w:r w:rsidR="007E58DA" w:rsidRPr="00785D06">
        <w:rPr>
          <w:rFonts w:cstheme="minorBidi"/>
          <w:sz w:val="20"/>
          <w:szCs w:val="20"/>
          <w:lang w:val="en-US"/>
        </w:rPr>
        <w:t xml:space="preserve">the </w:t>
      </w:r>
      <w:r w:rsidRPr="00785D06">
        <w:rPr>
          <w:rFonts w:cstheme="minorBidi"/>
          <w:sz w:val="20"/>
          <w:szCs w:val="20"/>
          <w:lang w:val="en-US"/>
        </w:rPr>
        <w:t xml:space="preserve">sexual </w:t>
      </w:r>
      <w:r w:rsidR="007E58DA" w:rsidRPr="00785D06">
        <w:rPr>
          <w:rFonts w:cstheme="minorBidi"/>
          <w:sz w:val="20"/>
          <w:szCs w:val="20"/>
          <w:lang w:val="en-US"/>
        </w:rPr>
        <w:t xml:space="preserve">violence suffered by </w:t>
      </w:r>
      <w:r w:rsidRPr="00785D06">
        <w:rPr>
          <w:rFonts w:cstheme="minorBidi"/>
          <w:sz w:val="20"/>
          <w:szCs w:val="20"/>
          <w:lang w:val="en-US"/>
        </w:rPr>
        <w:t xml:space="preserve">Paola Guzmán, which allegedly </w:t>
      </w:r>
      <w:r w:rsidR="007E58DA" w:rsidRPr="00785D06">
        <w:rPr>
          <w:rFonts w:cstheme="minorBidi"/>
          <w:sz w:val="20"/>
          <w:szCs w:val="20"/>
          <w:lang w:val="en-US"/>
        </w:rPr>
        <w:t xml:space="preserve">impaired </w:t>
      </w:r>
      <w:r w:rsidRPr="00785D06">
        <w:rPr>
          <w:rFonts w:cstheme="minorBidi"/>
          <w:sz w:val="20"/>
          <w:szCs w:val="20"/>
          <w:lang w:val="en-US"/>
        </w:rPr>
        <w:t>her right as a woman and a girl to live a</w:t>
      </w:r>
      <w:r w:rsidR="007E58DA" w:rsidRPr="00785D06">
        <w:rPr>
          <w:rFonts w:cstheme="minorBidi"/>
          <w:sz w:val="20"/>
          <w:szCs w:val="20"/>
          <w:lang w:val="en-US"/>
        </w:rPr>
        <w:t xml:space="preserve"> life free from</w:t>
      </w:r>
      <w:r w:rsidR="00B77CB6" w:rsidRPr="00785D06">
        <w:rPr>
          <w:rFonts w:cstheme="minorBidi"/>
          <w:sz w:val="20"/>
          <w:szCs w:val="20"/>
          <w:lang w:val="en-US"/>
        </w:rPr>
        <w:t xml:space="preserve"> sexual violence at</w:t>
      </w:r>
      <w:r w:rsidRPr="00785D06">
        <w:rPr>
          <w:rFonts w:cstheme="minorBidi"/>
          <w:sz w:val="20"/>
          <w:szCs w:val="20"/>
          <w:lang w:val="en-US"/>
        </w:rPr>
        <w:t xml:space="preserve"> </w:t>
      </w:r>
      <w:r w:rsidR="00B77CB6" w:rsidRPr="00785D06">
        <w:rPr>
          <w:rFonts w:cstheme="minorBidi"/>
          <w:sz w:val="20"/>
          <w:szCs w:val="20"/>
          <w:lang w:val="en-US"/>
        </w:rPr>
        <w:t>school</w:t>
      </w:r>
      <w:r w:rsidRPr="00785D06">
        <w:rPr>
          <w:rFonts w:cstheme="minorBidi"/>
          <w:sz w:val="20"/>
          <w:szCs w:val="20"/>
          <w:lang w:val="en-US"/>
        </w:rPr>
        <w:t xml:space="preserve">, including </w:t>
      </w:r>
      <w:r w:rsidR="007E58DA" w:rsidRPr="00785D06">
        <w:rPr>
          <w:rFonts w:cstheme="minorBidi"/>
          <w:sz w:val="20"/>
          <w:szCs w:val="20"/>
          <w:lang w:val="en-US"/>
        </w:rPr>
        <w:t xml:space="preserve">an </w:t>
      </w:r>
      <w:r w:rsidRPr="00785D06">
        <w:rPr>
          <w:rFonts w:cstheme="minorBidi"/>
          <w:sz w:val="20"/>
          <w:szCs w:val="20"/>
          <w:lang w:val="en-US"/>
        </w:rPr>
        <w:t>a</w:t>
      </w:r>
      <w:r w:rsidR="00FB3B64" w:rsidRPr="00785D06">
        <w:rPr>
          <w:rFonts w:cstheme="minorBidi"/>
          <w:sz w:val="20"/>
          <w:szCs w:val="20"/>
          <w:lang w:val="en-US"/>
        </w:rPr>
        <w:t>nalysis of the different rights</w:t>
      </w:r>
      <w:r w:rsidRPr="00785D06">
        <w:rPr>
          <w:rFonts w:cstheme="minorBidi"/>
          <w:sz w:val="20"/>
          <w:szCs w:val="20"/>
          <w:lang w:val="en-US"/>
        </w:rPr>
        <w:t xml:space="preserve"> </w:t>
      </w:r>
      <w:r w:rsidR="007E58DA" w:rsidRPr="00785D06">
        <w:rPr>
          <w:rFonts w:cstheme="minorBidi"/>
          <w:sz w:val="20"/>
          <w:szCs w:val="20"/>
          <w:lang w:val="en-US"/>
        </w:rPr>
        <w:t>affected as a result</w:t>
      </w:r>
      <w:r w:rsidRPr="00785D06">
        <w:rPr>
          <w:rFonts w:cstheme="minorBidi"/>
          <w:sz w:val="20"/>
          <w:szCs w:val="20"/>
          <w:lang w:val="en-US"/>
        </w:rPr>
        <w:t xml:space="preserve">. </w:t>
      </w:r>
      <w:r w:rsidR="00307BB8" w:rsidRPr="00785D06">
        <w:rPr>
          <w:rFonts w:cstheme="minorBidi"/>
          <w:sz w:val="20"/>
          <w:szCs w:val="20"/>
          <w:lang w:val="en-US"/>
        </w:rPr>
        <w:t>In second place</w:t>
      </w:r>
      <w:r w:rsidR="007E58DA" w:rsidRPr="00785D06">
        <w:rPr>
          <w:rFonts w:cstheme="minorBidi"/>
          <w:sz w:val="20"/>
          <w:szCs w:val="20"/>
          <w:lang w:val="en-US"/>
        </w:rPr>
        <w:t xml:space="preserve">, </w:t>
      </w:r>
      <w:r w:rsidRPr="00785D06">
        <w:rPr>
          <w:rFonts w:cstheme="minorBidi"/>
          <w:sz w:val="20"/>
          <w:szCs w:val="20"/>
          <w:lang w:val="en-US"/>
        </w:rPr>
        <w:t xml:space="preserve">the Court will analyze the rights to judicial guarantees and judicial protection </w:t>
      </w:r>
      <w:r w:rsidR="00FB3B64" w:rsidRPr="00785D06">
        <w:rPr>
          <w:rFonts w:cstheme="minorBidi"/>
          <w:sz w:val="20"/>
          <w:szCs w:val="20"/>
          <w:lang w:val="en-US"/>
        </w:rPr>
        <w:t xml:space="preserve">in </w:t>
      </w:r>
      <w:r w:rsidR="00E927DA" w:rsidRPr="00785D06">
        <w:rPr>
          <w:rFonts w:cstheme="minorBidi"/>
          <w:sz w:val="20"/>
          <w:szCs w:val="20"/>
          <w:lang w:val="en-US"/>
        </w:rPr>
        <w:t xml:space="preserve">connection with </w:t>
      </w:r>
      <w:r w:rsidRPr="00785D06">
        <w:rPr>
          <w:rFonts w:cstheme="minorBidi"/>
          <w:sz w:val="20"/>
          <w:szCs w:val="20"/>
          <w:lang w:val="en-US"/>
        </w:rPr>
        <w:t xml:space="preserve">the judicial and administrative actions linked to those circumstances. </w:t>
      </w:r>
      <w:r w:rsidR="00307BB8" w:rsidRPr="00785D06">
        <w:rPr>
          <w:rFonts w:cstheme="minorBidi"/>
          <w:sz w:val="20"/>
          <w:szCs w:val="20"/>
          <w:lang w:val="en-US"/>
        </w:rPr>
        <w:t>In third place</w:t>
      </w:r>
      <w:r w:rsidR="007E58DA" w:rsidRPr="00785D06">
        <w:rPr>
          <w:rFonts w:cstheme="minorBidi"/>
          <w:sz w:val="20"/>
          <w:szCs w:val="20"/>
          <w:lang w:val="en-US"/>
        </w:rPr>
        <w:t xml:space="preserve">, </w:t>
      </w:r>
      <w:r w:rsidR="00FB3B64" w:rsidRPr="00785D06">
        <w:rPr>
          <w:rFonts w:cstheme="minorBidi"/>
          <w:sz w:val="20"/>
          <w:szCs w:val="20"/>
          <w:lang w:val="en-US"/>
        </w:rPr>
        <w:t xml:space="preserve">the Court will consider </w:t>
      </w:r>
      <w:r w:rsidRPr="00785D06">
        <w:rPr>
          <w:rFonts w:cstheme="minorBidi"/>
          <w:sz w:val="20"/>
          <w:szCs w:val="20"/>
          <w:lang w:val="en-US"/>
        </w:rPr>
        <w:t>the arguments re</w:t>
      </w:r>
      <w:r w:rsidR="00307BB8" w:rsidRPr="00785D06">
        <w:rPr>
          <w:rFonts w:cstheme="minorBidi"/>
          <w:sz w:val="20"/>
          <w:szCs w:val="20"/>
          <w:lang w:val="en-US"/>
        </w:rPr>
        <w:t xml:space="preserve">garding </w:t>
      </w:r>
      <w:r w:rsidRPr="00785D06">
        <w:rPr>
          <w:rFonts w:cstheme="minorBidi"/>
          <w:sz w:val="20"/>
          <w:szCs w:val="20"/>
          <w:lang w:val="en-US"/>
        </w:rPr>
        <w:t>the violation of the right to personal integrity to the detriment of the mother and sister of Paola Guzmán Albarracín</w:t>
      </w:r>
      <w:r w:rsidR="00045853" w:rsidRPr="00785D06">
        <w:rPr>
          <w:rFonts w:cstheme="minorBidi"/>
          <w:sz w:val="20"/>
          <w:szCs w:val="20"/>
          <w:lang w:val="en-US"/>
        </w:rPr>
        <w:t>.</w:t>
      </w:r>
      <w:r w:rsidRPr="00785D06">
        <w:rPr>
          <w:rStyle w:val="Refdenotaalpie"/>
          <w:rFonts w:cstheme="minorBidi"/>
          <w:sz w:val="20"/>
          <w:szCs w:val="20"/>
          <w:lang w:val="en-US"/>
        </w:rPr>
        <w:footnoteReference w:id="83"/>
      </w:r>
      <w:r w:rsidRPr="00785D06">
        <w:rPr>
          <w:rFonts w:cstheme="minorBidi"/>
          <w:sz w:val="20"/>
          <w:szCs w:val="20"/>
          <w:lang w:val="en-US"/>
        </w:rPr>
        <w:t xml:space="preserve"> </w:t>
      </w:r>
    </w:p>
    <w:p w14:paraId="66CD6CDC" w14:textId="77777777" w:rsidR="00C254BF" w:rsidRPr="00785D06" w:rsidRDefault="00C254BF" w:rsidP="00C254BF">
      <w:pPr>
        <w:jc w:val="both"/>
        <w:rPr>
          <w:sz w:val="20"/>
          <w:szCs w:val="20"/>
          <w:lang w:val="en-US"/>
        </w:rPr>
      </w:pPr>
    </w:p>
    <w:p w14:paraId="71D61FAB" w14:textId="77777777" w:rsidR="00C254BF" w:rsidRPr="00785D06" w:rsidRDefault="00C254BF" w:rsidP="00C254BF">
      <w:pPr>
        <w:jc w:val="both"/>
        <w:rPr>
          <w:sz w:val="20"/>
          <w:szCs w:val="20"/>
          <w:lang w:val="en-US"/>
        </w:rPr>
      </w:pPr>
    </w:p>
    <w:p w14:paraId="3E89C49A" w14:textId="77777777" w:rsidR="00C254BF" w:rsidRPr="00785D06" w:rsidRDefault="00C254BF" w:rsidP="00C254BF">
      <w:pPr>
        <w:jc w:val="both"/>
        <w:rPr>
          <w:sz w:val="20"/>
          <w:szCs w:val="20"/>
          <w:lang w:val="en-US"/>
        </w:rPr>
      </w:pPr>
    </w:p>
    <w:p w14:paraId="46482DEC" w14:textId="77777777" w:rsidR="00C254BF" w:rsidRPr="00785D06" w:rsidRDefault="00C254BF" w:rsidP="00C254BF">
      <w:pPr>
        <w:jc w:val="both"/>
        <w:rPr>
          <w:sz w:val="20"/>
          <w:szCs w:val="20"/>
          <w:lang w:val="en-US"/>
        </w:rPr>
      </w:pPr>
    </w:p>
    <w:p w14:paraId="5A1698BD" w14:textId="77777777" w:rsidR="00C254BF" w:rsidRPr="00785D06" w:rsidRDefault="00C254BF" w:rsidP="00C254BF">
      <w:pPr>
        <w:jc w:val="both"/>
        <w:rPr>
          <w:sz w:val="20"/>
          <w:szCs w:val="20"/>
          <w:lang w:val="en-US"/>
        </w:rPr>
      </w:pPr>
    </w:p>
    <w:p w14:paraId="2FEE7AFB" w14:textId="77777777" w:rsidR="00C254BF" w:rsidRPr="00785D06" w:rsidRDefault="00C254BF" w:rsidP="00C254BF">
      <w:pPr>
        <w:pStyle w:val="Ttulo1"/>
        <w:spacing w:before="0"/>
        <w:jc w:val="center"/>
        <w:rPr>
          <w:rFonts w:ascii="Verdana" w:hAnsi="Verdana" w:cstheme="minorBidi"/>
          <w:b/>
          <w:color w:val="auto"/>
          <w:sz w:val="20"/>
          <w:szCs w:val="20"/>
          <w:lang w:val="en-US"/>
        </w:rPr>
      </w:pPr>
      <w:bookmarkStart w:id="95" w:name="_Toc40466543"/>
      <w:bookmarkStart w:id="96" w:name="_Toc42498045"/>
      <w:bookmarkStart w:id="97" w:name="_Toc46937293"/>
      <w:r w:rsidRPr="00785D06">
        <w:rPr>
          <w:rFonts w:ascii="Verdana" w:hAnsi="Verdana" w:cstheme="minorBidi"/>
          <w:b/>
          <w:color w:val="auto"/>
          <w:sz w:val="20"/>
          <w:szCs w:val="20"/>
          <w:lang w:val="en-US"/>
        </w:rPr>
        <w:t>VII.1</w:t>
      </w:r>
      <w:bookmarkEnd w:id="95"/>
      <w:bookmarkEnd w:id="96"/>
      <w:bookmarkEnd w:id="97"/>
    </w:p>
    <w:p w14:paraId="6AF0AD5F" w14:textId="77777777" w:rsidR="00C254BF" w:rsidRPr="00785D06" w:rsidRDefault="00E50DB8" w:rsidP="00C254BF">
      <w:pPr>
        <w:pStyle w:val="Ttulo1"/>
        <w:spacing w:before="0"/>
        <w:jc w:val="center"/>
        <w:rPr>
          <w:rFonts w:ascii="Verdana" w:hAnsi="Verdana" w:cstheme="minorBidi"/>
          <w:b/>
          <w:color w:val="auto"/>
          <w:sz w:val="20"/>
          <w:szCs w:val="20"/>
          <w:lang w:val="en-US"/>
        </w:rPr>
      </w:pPr>
      <w:bookmarkStart w:id="98" w:name="_Toc40466544"/>
      <w:bookmarkStart w:id="99" w:name="_Toc42498046"/>
      <w:bookmarkStart w:id="100" w:name="_Toc46937294"/>
      <w:r w:rsidRPr="00785D06">
        <w:rPr>
          <w:rFonts w:ascii="Verdana" w:hAnsi="Verdana" w:cstheme="minorBidi"/>
          <w:b/>
          <w:color w:val="auto"/>
          <w:sz w:val="20"/>
          <w:szCs w:val="20"/>
          <w:lang w:val="en-US"/>
        </w:rPr>
        <w:t xml:space="preserve">A CHILD’S RIGHT </w:t>
      </w:r>
      <w:r w:rsidR="00C254BF" w:rsidRPr="00785D06">
        <w:rPr>
          <w:rFonts w:ascii="Verdana" w:hAnsi="Verdana" w:cstheme="minorBidi"/>
          <w:b/>
          <w:color w:val="auto"/>
          <w:sz w:val="20"/>
          <w:szCs w:val="20"/>
          <w:lang w:val="en-US"/>
        </w:rPr>
        <w:t xml:space="preserve">TO A LIFE FREE </w:t>
      </w:r>
      <w:r w:rsidR="00853885" w:rsidRPr="00785D06">
        <w:rPr>
          <w:rFonts w:ascii="Verdana" w:hAnsi="Verdana" w:cstheme="minorBidi"/>
          <w:b/>
          <w:color w:val="auto"/>
          <w:sz w:val="20"/>
          <w:szCs w:val="20"/>
          <w:lang w:val="en-US"/>
        </w:rPr>
        <w:t xml:space="preserve">FROM </w:t>
      </w:r>
      <w:r w:rsidR="00C254BF" w:rsidRPr="00785D06">
        <w:rPr>
          <w:rFonts w:ascii="Verdana" w:hAnsi="Verdana" w:cstheme="minorBidi"/>
          <w:b/>
          <w:color w:val="auto"/>
          <w:sz w:val="20"/>
          <w:szCs w:val="20"/>
          <w:lang w:val="en-US"/>
        </w:rPr>
        <w:t>SEXUAL VIOLENCE AT SCHOOL</w:t>
      </w:r>
      <w:r w:rsidR="00C254BF" w:rsidRPr="00785D06">
        <w:rPr>
          <w:rStyle w:val="Refdenotaalpie"/>
          <w:rFonts w:ascii="Verdana" w:hAnsi="Verdana" w:cstheme="minorBidi"/>
          <w:color w:val="auto"/>
          <w:sz w:val="20"/>
          <w:szCs w:val="20"/>
          <w:lang w:val="en-US"/>
        </w:rPr>
        <w:footnoteReference w:id="84"/>
      </w:r>
      <w:bookmarkEnd w:id="98"/>
      <w:bookmarkEnd w:id="99"/>
      <w:bookmarkEnd w:id="100"/>
    </w:p>
    <w:p w14:paraId="2E380C93" w14:textId="77777777" w:rsidR="00C254BF" w:rsidRPr="00785D06" w:rsidRDefault="00C254BF" w:rsidP="00C254BF">
      <w:pPr>
        <w:ind w:left="284"/>
        <w:rPr>
          <w:rFonts w:cstheme="minorBidi"/>
          <w:b/>
          <w:i/>
          <w:sz w:val="20"/>
          <w:szCs w:val="20"/>
          <w:lang w:val="en-US"/>
        </w:rPr>
      </w:pPr>
      <w:bookmarkStart w:id="101" w:name="_Toc42498047"/>
    </w:p>
    <w:p w14:paraId="37472F01" w14:textId="77777777" w:rsidR="00C254BF" w:rsidRPr="00785D06" w:rsidRDefault="00C254BF" w:rsidP="00C254BF">
      <w:pPr>
        <w:pStyle w:val="Prrafodelista"/>
        <w:numPr>
          <w:ilvl w:val="0"/>
          <w:numId w:val="32"/>
        </w:numPr>
        <w:ind w:left="284" w:firstLine="5"/>
        <w:outlineLvl w:val="1"/>
        <w:rPr>
          <w:rFonts w:cstheme="minorBidi"/>
          <w:b/>
          <w:i/>
          <w:sz w:val="20"/>
          <w:szCs w:val="20"/>
          <w:lang w:val="en-US"/>
        </w:rPr>
      </w:pPr>
      <w:bookmarkStart w:id="102" w:name="_Toc46937295"/>
      <w:r w:rsidRPr="00785D06">
        <w:rPr>
          <w:rFonts w:cstheme="minorBidi"/>
          <w:b/>
          <w:i/>
          <w:sz w:val="20"/>
          <w:szCs w:val="20"/>
          <w:lang w:val="en-US"/>
        </w:rPr>
        <w:t>Arguments of the Commission and of the parties</w:t>
      </w:r>
      <w:bookmarkEnd w:id="101"/>
      <w:bookmarkEnd w:id="102"/>
    </w:p>
    <w:p w14:paraId="40E31DC4" w14:textId="77777777" w:rsidR="00C254BF" w:rsidRPr="00785D06" w:rsidRDefault="00C254BF" w:rsidP="00C254BF">
      <w:pPr>
        <w:pStyle w:val="Prrafodelista"/>
        <w:ind w:left="704"/>
        <w:rPr>
          <w:lang w:val="en-US"/>
        </w:rPr>
      </w:pPr>
    </w:p>
    <w:p w14:paraId="63F9D153" w14:textId="77777777" w:rsidR="00C254BF" w:rsidRPr="00785D06" w:rsidRDefault="00C254BF" w:rsidP="00C254BF">
      <w:pPr>
        <w:jc w:val="both"/>
        <w:rPr>
          <w:b/>
          <w:sz w:val="20"/>
          <w:szCs w:val="20"/>
          <w:lang w:val="en-US"/>
        </w:rPr>
      </w:pPr>
      <w:r w:rsidRPr="00785D06">
        <w:rPr>
          <w:sz w:val="20"/>
          <w:szCs w:val="20"/>
          <w:lang w:val="en-US"/>
        </w:rPr>
        <w:t>86.</w:t>
      </w:r>
      <w:r w:rsidRPr="00785D06">
        <w:rPr>
          <w:sz w:val="20"/>
          <w:szCs w:val="20"/>
          <w:lang w:val="en-US"/>
        </w:rPr>
        <w:tab/>
        <w:t xml:space="preserve">The </w:t>
      </w:r>
      <w:r w:rsidRPr="00785D06">
        <w:rPr>
          <w:b/>
          <w:i/>
          <w:sz w:val="20"/>
          <w:szCs w:val="20"/>
          <w:lang w:val="en-US"/>
        </w:rPr>
        <w:t xml:space="preserve">Commission </w:t>
      </w:r>
      <w:r w:rsidRPr="00785D06">
        <w:rPr>
          <w:sz w:val="20"/>
          <w:szCs w:val="20"/>
          <w:lang w:val="en-US"/>
        </w:rPr>
        <w:t>a</w:t>
      </w:r>
      <w:r w:rsidR="00B41224" w:rsidRPr="00785D06">
        <w:rPr>
          <w:sz w:val="20"/>
          <w:szCs w:val="20"/>
          <w:lang w:val="en-US"/>
        </w:rPr>
        <w:t xml:space="preserve">sserted </w:t>
      </w:r>
      <w:r w:rsidRPr="00785D06">
        <w:rPr>
          <w:sz w:val="20"/>
          <w:szCs w:val="20"/>
          <w:lang w:val="en-US"/>
        </w:rPr>
        <w:t xml:space="preserve">that “there are many elements </w:t>
      </w:r>
      <w:r w:rsidR="00A923BF" w:rsidRPr="00785D06">
        <w:rPr>
          <w:sz w:val="20"/>
          <w:szCs w:val="20"/>
          <w:lang w:val="en-US"/>
        </w:rPr>
        <w:t xml:space="preserve">to </w:t>
      </w:r>
      <w:r w:rsidRPr="00785D06">
        <w:rPr>
          <w:sz w:val="20"/>
          <w:szCs w:val="20"/>
          <w:lang w:val="en-US"/>
        </w:rPr>
        <w:t>conclude that Paola […] was a victim of sexual violence at school</w:t>
      </w:r>
      <w:r w:rsidR="00B77CB6" w:rsidRPr="00785D06">
        <w:rPr>
          <w:sz w:val="20"/>
          <w:szCs w:val="20"/>
          <w:lang w:val="en-US"/>
        </w:rPr>
        <w:t>.”</w:t>
      </w:r>
      <w:r w:rsidRPr="00785D06">
        <w:rPr>
          <w:sz w:val="20"/>
          <w:szCs w:val="20"/>
          <w:lang w:val="en-US"/>
        </w:rPr>
        <w:t xml:space="preserve"> </w:t>
      </w:r>
      <w:r w:rsidR="00B77CB6" w:rsidRPr="00785D06">
        <w:rPr>
          <w:sz w:val="20"/>
          <w:szCs w:val="20"/>
          <w:lang w:val="en-US"/>
        </w:rPr>
        <w:t xml:space="preserve">It </w:t>
      </w:r>
      <w:r w:rsidR="00A923BF" w:rsidRPr="00785D06">
        <w:rPr>
          <w:sz w:val="20"/>
          <w:szCs w:val="20"/>
          <w:lang w:val="en-US"/>
        </w:rPr>
        <w:t xml:space="preserve">emphasized </w:t>
      </w:r>
      <w:r w:rsidRPr="00785D06">
        <w:rPr>
          <w:sz w:val="20"/>
          <w:szCs w:val="20"/>
          <w:lang w:val="en-US"/>
        </w:rPr>
        <w:t xml:space="preserve">that </w:t>
      </w:r>
      <w:r w:rsidR="00B77CB6" w:rsidRPr="00785D06">
        <w:rPr>
          <w:sz w:val="20"/>
          <w:szCs w:val="20"/>
          <w:lang w:val="en-US"/>
        </w:rPr>
        <w:t xml:space="preserve">during </w:t>
      </w:r>
      <w:r w:rsidRPr="00785D06">
        <w:rPr>
          <w:sz w:val="20"/>
          <w:szCs w:val="20"/>
          <w:lang w:val="en-US"/>
        </w:rPr>
        <w:t xml:space="preserve">the admissibility stage, </w:t>
      </w:r>
      <w:r w:rsidR="00B77CB6" w:rsidRPr="00785D06">
        <w:rPr>
          <w:sz w:val="20"/>
          <w:szCs w:val="20"/>
          <w:lang w:val="en-US"/>
        </w:rPr>
        <w:t xml:space="preserve">the State itself </w:t>
      </w:r>
      <w:r w:rsidR="00A923BF" w:rsidRPr="00785D06">
        <w:rPr>
          <w:sz w:val="20"/>
          <w:szCs w:val="20"/>
          <w:lang w:val="en-US"/>
        </w:rPr>
        <w:t xml:space="preserve">had </w:t>
      </w:r>
      <w:r w:rsidR="00B77CB6" w:rsidRPr="00785D06">
        <w:rPr>
          <w:sz w:val="20"/>
          <w:szCs w:val="20"/>
          <w:lang w:val="en-US"/>
        </w:rPr>
        <w:t xml:space="preserve">acknowledged </w:t>
      </w:r>
      <w:r w:rsidRPr="00785D06">
        <w:rPr>
          <w:sz w:val="20"/>
          <w:szCs w:val="20"/>
          <w:lang w:val="en-US"/>
        </w:rPr>
        <w:t xml:space="preserve">that Paola Guzmán was the victim of sexual harassment and </w:t>
      </w:r>
      <w:r w:rsidR="00570C14" w:rsidRPr="00785D06">
        <w:rPr>
          <w:sz w:val="20"/>
          <w:szCs w:val="20"/>
          <w:lang w:val="en-US"/>
        </w:rPr>
        <w:t xml:space="preserve">statutory </w:t>
      </w:r>
      <w:r w:rsidRPr="00785D06">
        <w:rPr>
          <w:sz w:val="20"/>
          <w:szCs w:val="20"/>
          <w:lang w:val="en-US"/>
        </w:rPr>
        <w:t xml:space="preserve">rape by the </w:t>
      </w:r>
      <w:r w:rsidR="0097298A" w:rsidRPr="00785D06">
        <w:rPr>
          <w:sz w:val="20"/>
          <w:szCs w:val="20"/>
          <w:lang w:val="en-US"/>
        </w:rPr>
        <w:t>vice principal</w:t>
      </w:r>
      <w:r w:rsidR="00570C14" w:rsidRPr="00785D06">
        <w:rPr>
          <w:sz w:val="20"/>
          <w:szCs w:val="20"/>
          <w:lang w:val="en-US"/>
        </w:rPr>
        <w:t>.</w:t>
      </w:r>
      <w:r w:rsidRPr="00785D06">
        <w:rPr>
          <w:rStyle w:val="Refdenotaalpie"/>
          <w:sz w:val="20"/>
          <w:szCs w:val="20"/>
          <w:lang w:val="en-US"/>
        </w:rPr>
        <w:footnoteReference w:id="85"/>
      </w:r>
      <w:r w:rsidRPr="00785D06">
        <w:rPr>
          <w:sz w:val="20"/>
          <w:szCs w:val="20"/>
          <w:lang w:val="en-US"/>
        </w:rPr>
        <w:t xml:space="preserve"> The Commission </w:t>
      </w:r>
      <w:r w:rsidR="00A923BF" w:rsidRPr="00785D06">
        <w:rPr>
          <w:sz w:val="20"/>
          <w:szCs w:val="20"/>
          <w:lang w:val="en-US"/>
        </w:rPr>
        <w:t xml:space="preserve">argued </w:t>
      </w:r>
      <w:r w:rsidRPr="00785D06">
        <w:rPr>
          <w:sz w:val="20"/>
          <w:szCs w:val="20"/>
          <w:lang w:val="en-US"/>
        </w:rPr>
        <w:t xml:space="preserve">that Paola was </w:t>
      </w:r>
      <w:r w:rsidR="00A923BF" w:rsidRPr="00785D06">
        <w:rPr>
          <w:sz w:val="20"/>
          <w:szCs w:val="20"/>
          <w:lang w:val="en-US"/>
        </w:rPr>
        <w:t xml:space="preserve">the </w:t>
      </w:r>
      <w:r w:rsidRPr="00785D06">
        <w:rPr>
          <w:sz w:val="20"/>
          <w:szCs w:val="20"/>
          <w:lang w:val="en-US"/>
        </w:rPr>
        <w:t xml:space="preserve">victim “of violence based on her </w:t>
      </w:r>
      <w:r w:rsidR="00B77CB6" w:rsidRPr="00785D06">
        <w:rPr>
          <w:sz w:val="20"/>
          <w:szCs w:val="20"/>
          <w:lang w:val="en-US"/>
        </w:rPr>
        <w:t xml:space="preserve">being </w:t>
      </w:r>
      <w:r w:rsidR="00570C14" w:rsidRPr="00785D06">
        <w:rPr>
          <w:sz w:val="20"/>
          <w:szCs w:val="20"/>
          <w:lang w:val="en-US"/>
        </w:rPr>
        <w:t xml:space="preserve">a </w:t>
      </w:r>
      <w:r w:rsidRPr="00785D06">
        <w:rPr>
          <w:sz w:val="20"/>
          <w:szCs w:val="20"/>
          <w:lang w:val="en-US"/>
        </w:rPr>
        <w:t xml:space="preserve">woman and </w:t>
      </w:r>
      <w:r w:rsidR="00B77CB6" w:rsidRPr="00785D06">
        <w:rPr>
          <w:sz w:val="20"/>
          <w:szCs w:val="20"/>
          <w:lang w:val="en-US"/>
        </w:rPr>
        <w:t xml:space="preserve">a </w:t>
      </w:r>
      <w:r w:rsidRPr="00785D06">
        <w:rPr>
          <w:sz w:val="20"/>
          <w:szCs w:val="20"/>
          <w:lang w:val="en-US"/>
        </w:rPr>
        <w:t>girl</w:t>
      </w:r>
      <w:r w:rsidR="00B77CB6" w:rsidRPr="00785D06">
        <w:rPr>
          <w:sz w:val="20"/>
          <w:szCs w:val="20"/>
          <w:lang w:val="en-US"/>
        </w:rPr>
        <w:t xml:space="preserve">, […] </w:t>
      </w:r>
      <w:r w:rsidRPr="00785D06">
        <w:rPr>
          <w:sz w:val="20"/>
          <w:szCs w:val="20"/>
          <w:lang w:val="en-US"/>
        </w:rPr>
        <w:t xml:space="preserve">reflected […] in a relationship based on </w:t>
      </w:r>
      <w:r w:rsidR="00355BC2" w:rsidRPr="00785D06">
        <w:rPr>
          <w:sz w:val="20"/>
          <w:szCs w:val="20"/>
          <w:lang w:val="en-US"/>
        </w:rPr>
        <w:t xml:space="preserve">sexual </w:t>
      </w:r>
      <w:r w:rsidRPr="00785D06">
        <w:rPr>
          <w:sz w:val="20"/>
          <w:szCs w:val="20"/>
          <w:lang w:val="en-US"/>
        </w:rPr>
        <w:t xml:space="preserve">harassment which, in addition to </w:t>
      </w:r>
      <w:r w:rsidR="00A923BF" w:rsidRPr="00785D06">
        <w:rPr>
          <w:sz w:val="20"/>
          <w:szCs w:val="20"/>
          <w:lang w:val="en-US"/>
        </w:rPr>
        <w:t xml:space="preserve">being </w:t>
      </w:r>
      <w:r w:rsidRPr="00785D06">
        <w:rPr>
          <w:sz w:val="20"/>
          <w:szCs w:val="20"/>
          <w:lang w:val="en-US"/>
        </w:rPr>
        <w:t xml:space="preserve">gender-based violence, </w:t>
      </w:r>
      <w:r w:rsidR="00A923BF" w:rsidRPr="00785D06">
        <w:rPr>
          <w:sz w:val="20"/>
          <w:szCs w:val="20"/>
          <w:lang w:val="en-US"/>
        </w:rPr>
        <w:t xml:space="preserve">should be considered </w:t>
      </w:r>
      <w:r w:rsidRPr="00785D06">
        <w:rPr>
          <w:sz w:val="20"/>
          <w:szCs w:val="20"/>
          <w:lang w:val="en-US"/>
        </w:rPr>
        <w:t>as a serious situation of sexual violence</w:t>
      </w:r>
      <w:r w:rsidR="00570C14" w:rsidRPr="00785D06">
        <w:rPr>
          <w:sz w:val="20"/>
          <w:szCs w:val="20"/>
          <w:lang w:val="en-US"/>
        </w:rPr>
        <w:t>.”</w:t>
      </w:r>
      <w:r w:rsidRPr="00785D06">
        <w:rPr>
          <w:sz w:val="20"/>
          <w:szCs w:val="20"/>
          <w:lang w:val="en-US"/>
        </w:rPr>
        <w:t xml:space="preserve"> </w:t>
      </w:r>
      <w:r w:rsidR="00A923BF" w:rsidRPr="00785D06">
        <w:rPr>
          <w:sz w:val="20"/>
          <w:szCs w:val="20"/>
          <w:lang w:val="en-US"/>
        </w:rPr>
        <w:t>It h</w:t>
      </w:r>
      <w:r w:rsidRPr="00785D06">
        <w:rPr>
          <w:sz w:val="20"/>
          <w:szCs w:val="20"/>
          <w:lang w:val="en-US"/>
        </w:rPr>
        <w:t xml:space="preserve">eld that </w:t>
      </w:r>
      <w:r w:rsidR="00B41224" w:rsidRPr="00785D06">
        <w:rPr>
          <w:sz w:val="20"/>
          <w:szCs w:val="20"/>
          <w:lang w:val="en-US"/>
        </w:rPr>
        <w:t>similar violence was infli</w:t>
      </w:r>
      <w:r w:rsidR="00A923BF" w:rsidRPr="00785D06">
        <w:rPr>
          <w:sz w:val="20"/>
          <w:szCs w:val="20"/>
          <w:lang w:val="en-US"/>
        </w:rPr>
        <w:t xml:space="preserve">cted on her </w:t>
      </w:r>
      <w:r w:rsidRPr="00785D06">
        <w:rPr>
          <w:sz w:val="20"/>
          <w:szCs w:val="20"/>
          <w:lang w:val="en-US"/>
        </w:rPr>
        <w:t>by the school doctor who</w:t>
      </w:r>
      <w:r w:rsidR="00805936" w:rsidRPr="00785D06">
        <w:rPr>
          <w:sz w:val="20"/>
          <w:szCs w:val="20"/>
          <w:lang w:val="en-US"/>
        </w:rPr>
        <w:t xml:space="preserve"> allegedly </w:t>
      </w:r>
      <w:r w:rsidRPr="00785D06">
        <w:rPr>
          <w:sz w:val="20"/>
          <w:szCs w:val="20"/>
          <w:lang w:val="en-US"/>
        </w:rPr>
        <w:t>“forced [Paola] to have sexual relations with him in exchange for</w:t>
      </w:r>
      <w:r w:rsidR="0096626E" w:rsidRPr="00785D06">
        <w:rPr>
          <w:sz w:val="20"/>
          <w:szCs w:val="20"/>
          <w:lang w:val="en-US"/>
        </w:rPr>
        <w:t xml:space="preserve"> performing</w:t>
      </w:r>
      <w:r w:rsidRPr="00785D06">
        <w:rPr>
          <w:sz w:val="20"/>
          <w:szCs w:val="20"/>
          <w:lang w:val="en-US"/>
        </w:rPr>
        <w:t xml:space="preserve"> an abortion </w:t>
      </w:r>
      <w:r w:rsidR="00805936" w:rsidRPr="00785D06">
        <w:rPr>
          <w:sz w:val="20"/>
          <w:szCs w:val="20"/>
          <w:lang w:val="en-US"/>
        </w:rPr>
        <w:t xml:space="preserve">of </w:t>
      </w:r>
      <w:r w:rsidRPr="00785D06">
        <w:rPr>
          <w:sz w:val="20"/>
          <w:szCs w:val="20"/>
          <w:lang w:val="en-US"/>
        </w:rPr>
        <w:t>her possible pregnancy</w:t>
      </w:r>
      <w:r w:rsidR="00355BC2" w:rsidRPr="00785D06">
        <w:rPr>
          <w:sz w:val="20"/>
          <w:szCs w:val="20"/>
          <w:lang w:val="en-US"/>
        </w:rPr>
        <w:t>.”</w:t>
      </w:r>
      <w:r w:rsidRPr="00785D06">
        <w:rPr>
          <w:b/>
          <w:sz w:val="20"/>
          <w:szCs w:val="20"/>
          <w:lang w:val="en-US"/>
        </w:rPr>
        <w:t xml:space="preserve"> </w:t>
      </w:r>
      <w:r w:rsidR="00805936" w:rsidRPr="00785D06">
        <w:rPr>
          <w:sz w:val="20"/>
          <w:szCs w:val="20"/>
          <w:lang w:val="en-US"/>
        </w:rPr>
        <w:t>The Commission</w:t>
      </w:r>
      <w:r w:rsidR="00805936" w:rsidRPr="00785D06">
        <w:rPr>
          <w:b/>
          <w:sz w:val="20"/>
          <w:szCs w:val="20"/>
          <w:lang w:val="en-US"/>
        </w:rPr>
        <w:t xml:space="preserve"> </w:t>
      </w:r>
      <w:r w:rsidR="00805936" w:rsidRPr="00785D06">
        <w:rPr>
          <w:sz w:val="20"/>
          <w:szCs w:val="20"/>
          <w:lang w:val="en-US"/>
        </w:rPr>
        <w:t>considered</w:t>
      </w:r>
      <w:r w:rsidR="00805936" w:rsidRPr="00785D06">
        <w:rPr>
          <w:b/>
          <w:sz w:val="20"/>
          <w:szCs w:val="20"/>
          <w:lang w:val="en-US"/>
        </w:rPr>
        <w:t xml:space="preserve"> </w:t>
      </w:r>
      <w:r w:rsidR="00805936" w:rsidRPr="00785D06">
        <w:rPr>
          <w:sz w:val="20"/>
          <w:szCs w:val="20"/>
          <w:lang w:val="en-US"/>
        </w:rPr>
        <w:t xml:space="preserve">that this situation </w:t>
      </w:r>
      <w:r w:rsidR="007744AD" w:rsidRPr="00785D06">
        <w:rPr>
          <w:sz w:val="20"/>
          <w:szCs w:val="20"/>
          <w:lang w:val="en-US"/>
        </w:rPr>
        <w:t xml:space="preserve">impaired </w:t>
      </w:r>
      <w:r w:rsidR="00805936" w:rsidRPr="00785D06">
        <w:rPr>
          <w:sz w:val="20"/>
          <w:szCs w:val="20"/>
          <w:lang w:val="en-US"/>
        </w:rPr>
        <w:t>h</w:t>
      </w:r>
      <w:r w:rsidRPr="00785D06">
        <w:rPr>
          <w:sz w:val="20"/>
          <w:szCs w:val="20"/>
          <w:lang w:val="en-US"/>
        </w:rPr>
        <w:t xml:space="preserve">er “rights to health, personal integrity, honor and dignity, equality and non-discrimination, </w:t>
      </w:r>
      <w:r w:rsidR="007744AD" w:rsidRPr="00785D06">
        <w:rPr>
          <w:sz w:val="20"/>
          <w:szCs w:val="20"/>
          <w:lang w:val="en-US"/>
        </w:rPr>
        <w:t xml:space="preserve">to </w:t>
      </w:r>
      <w:r w:rsidR="006F097A" w:rsidRPr="00785D06">
        <w:rPr>
          <w:sz w:val="20"/>
          <w:szCs w:val="20"/>
          <w:lang w:val="en-US"/>
        </w:rPr>
        <w:t>live a life free from</w:t>
      </w:r>
      <w:r w:rsidRPr="00785D06">
        <w:rPr>
          <w:sz w:val="20"/>
          <w:szCs w:val="20"/>
          <w:lang w:val="en-US"/>
        </w:rPr>
        <w:t xml:space="preserve"> violence and the right to education,</w:t>
      </w:r>
      <w:r w:rsidR="007744AD" w:rsidRPr="00785D06">
        <w:rPr>
          <w:sz w:val="20"/>
          <w:szCs w:val="20"/>
          <w:lang w:val="en-US"/>
        </w:rPr>
        <w:t xml:space="preserve"> all </w:t>
      </w:r>
      <w:r w:rsidR="006F097A" w:rsidRPr="00785D06">
        <w:rPr>
          <w:sz w:val="20"/>
          <w:szCs w:val="20"/>
          <w:lang w:val="en-US"/>
        </w:rPr>
        <w:t xml:space="preserve">as a result of </w:t>
      </w:r>
      <w:r w:rsidRPr="00785D06">
        <w:rPr>
          <w:sz w:val="20"/>
          <w:szCs w:val="20"/>
          <w:lang w:val="en-US"/>
        </w:rPr>
        <w:t xml:space="preserve">violence </w:t>
      </w:r>
      <w:r w:rsidR="006F097A" w:rsidRPr="00785D06">
        <w:rPr>
          <w:sz w:val="20"/>
          <w:szCs w:val="20"/>
          <w:lang w:val="en-US"/>
        </w:rPr>
        <w:t>committed against Paola</w:t>
      </w:r>
      <w:r w:rsidR="0096626E" w:rsidRPr="00785D06">
        <w:rPr>
          <w:sz w:val="20"/>
          <w:szCs w:val="20"/>
          <w:lang w:val="en-US"/>
        </w:rPr>
        <w:t>,</w:t>
      </w:r>
      <w:r w:rsidR="006F097A" w:rsidRPr="00785D06">
        <w:rPr>
          <w:sz w:val="20"/>
          <w:szCs w:val="20"/>
          <w:lang w:val="en-US"/>
        </w:rPr>
        <w:t xml:space="preserve"> as a </w:t>
      </w:r>
      <w:r w:rsidRPr="00785D06">
        <w:rPr>
          <w:sz w:val="20"/>
          <w:szCs w:val="20"/>
          <w:lang w:val="en-US"/>
        </w:rPr>
        <w:t xml:space="preserve">woman and </w:t>
      </w:r>
      <w:r w:rsidR="0096626E" w:rsidRPr="00785D06">
        <w:rPr>
          <w:sz w:val="20"/>
          <w:szCs w:val="20"/>
          <w:lang w:val="en-US"/>
        </w:rPr>
        <w:t xml:space="preserve">a </w:t>
      </w:r>
      <w:r w:rsidRPr="00785D06">
        <w:rPr>
          <w:sz w:val="20"/>
          <w:szCs w:val="20"/>
          <w:lang w:val="en-US"/>
        </w:rPr>
        <w:t>girl, including sexual violence</w:t>
      </w:r>
      <w:r w:rsidR="00355BC2" w:rsidRPr="00785D06">
        <w:rPr>
          <w:sz w:val="20"/>
          <w:szCs w:val="20"/>
          <w:lang w:val="en-US"/>
        </w:rPr>
        <w:t>.”</w:t>
      </w:r>
      <w:r w:rsidRPr="00785D06">
        <w:rPr>
          <w:b/>
          <w:sz w:val="20"/>
          <w:szCs w:val="20"/>
          <w:lang w:val="en-US"/>
        </w:rPr>
        <w:t xml:space="preserve"> </w:t>
      </w:r>
    </w:p>
    <w:p w14:paraId="01E0574A" w14:textId="77777777" w:rsidR="00C254BF" w:rsidRPr="00785D06" w:rsidRDefault="00C254BF" w:rsidP="00C254BF">
      <w:pPr>
        <w:jc w:val="both"/>
        <w:rPr>
          <w:rFonts w:cstheme="minorBidi"/>
          <w:lang w:val="en-US"/>
        </w:rPr>
      </w:pPr>
    </w:p>
    <w:p w14:paraId="16816835" w14:textId="77777777" w:rsidR="00C254BF" w:rsidRPr="00785D06" w:rsidRDefault="00C254BF" w:rsidP="00C254BF">
      <w:pPr>
        <w:jc w:val="both"/>
        <w:rPr>
          <w:lang w:val="en-US"/>
        </w:rPr>
      </w:pPr>
      <w:r w:rsidRPr="00785D06">
        <w:rPr>
          <w:sz w:val="20"/>
          <w:szCs w:val="20"/>
          <w:lang w:val="en-US"/>
        </w:rPr>
        <w:t>87.</w:t>
      </w:r>
      <w:r w:rsidRPr="00785D06">
        <w:rPr>
          <w:sz w:val="20"/>
          <w:szCs w:val="20"/>
          <w:lang w:val="en-US"/>
        </w:rPr>
        <w:tab/>
        <w:t xml:space="preserve">The Commission </w:t>
      </w:r>
      <w:r w:rsidR="00CE508A" w:rsidRPr="00785D06">
        <w:rPr>
          <w:sz w:val="20"/>
          <w:szCs w:val="20"/>
          <w:lang w:val="en-US"/>
        </w:rPr>
        <w:t xml:space="preserve">argued </w:t>
      </w:r>
      <w:r w:rsidRPr="00785D06">
        <w:rPr>
          <w:sz w:val="20"/>
          <w:szCs w:val="20"/>
          <w:lang w:val="en-US"/>
        </w:rPr>
        <w:t xml:space="preserve">that </w:t>
      </w:r>
      <w:r w:rsidR="00CE508A" w:rsidRPr="00785D06">
        <w:rPr>
          <w:sz w:val="20"/>
          <w:szCs w:val="20"/>
          <w:lang w:val="en-US"/>
        </w:rPr>
        <w:t xml:space="preserve">there were “multiple indications of </w:t>
      </w:r>
      <w:r w:rsidR="00355BC2" w:rsidRPr="00785D06">
        <w:rPr>
          <w:sz w:val="20"/>
          <w:szCs w:val="20"/>
          <w:lang w:val="en-US"/>
        </w:rPr>
        <w:t xml:space="preserve">a </w:t>
      </w:r>
      <w:r w:rsidR="00CE508A" w:rsidRPr="00785D06">
        <w:rPr>
          <w:sz w:val="20"/>
          <w:szCs w:val="20"/>
          <w:lang w:val="en-US"/>
        </w:rPr>
        <w:t>causal link” between the</w:t>
      </w:r>
      <w:r w:rsidRPr="00785D06">
        <w:rPr>
          <w:sz w:val="20"/>
          <w:szCs w:val="20"/>
          <w:lang w:val="en-US"/>
        </w:rPr>
        <w:t xml:space="preserve"> situation </w:t>
      </w:r>
      <w:r w:rsidR="00CE508A" w:rsidRPr="00785D06">
        <w:rPr>
          <w:sz w:val="20"/>
          <w:szCs w:val="20"/>
          <w:lang w:val="en-US"/>
        </w:rPr>
        <w:t>of violence suffered by Paola and her</w:t>
      </w:r>
      <w:r w:rsidRPr="00785D06">
        <w:rPr>
          <w:sz w:val="20"/>
          <w:szCs w:val="20"/>
          <w:lang w:val="en-US"/>
        </w:rPr>
        <w:t xml:space="preserve"> suicide. It </w:t>
      </w:r>
      <w:r w:rsidR="00CE508A" w:rsidRPr="00785D06">
        <w:rPr>
          <w:sz w:val="20"/>
          <w:szCs w:val="20"/>
          <w:lang w:val="en-US"/>
        </w:rPr>
        <w:t xml:space="preserve">stressed </w:t>
      </w:r>
      <w:r w:rsidRPr="00785D06">
        <w:rPr>
          <w:sz w:val="20"/>
          <w:szCs w:val="20"/>
          <w:lang w:val="en-US"/>
        </w:rPr>
        <w:t xml:space="preserve">that </w:t>
      </w:r>
      <w:r w:rsidR="00CE508A" w:rsidRPr="00785D06">
        <w:rPr>
          <w:sz w:val="20"/>
          <w:szCs w:val="20"/>
          <w:lang w:val="en-US"/>
        </w:rPr>
        <w:t>“</w:t>
      </w:r>
      <w:r w:rsidRPr="00785D06">
        <w:rPr>
          <w:sz w:val="20"/>
          <w:szCs w:val="20"/>
          <w:lang w:val="en-US"/>
        </w:rPr>
        <w:t xml:space="preserve">the </w:t>
      </w:r>
      <w:r w:rsidR="00CE508A" w:rsidRPr="00785D06">
        <w:rPr>
          <w:sz w:val="20"/>
          <w:szCs w:val="20"/>
          <w:lang w:val="en-US"/>
        </w:rPr>
        <w:t xml:space="preserve">Ecuadorian </w:t>
      </w:r>
      <w:r w:rsidRPr="00785D06">
        <w:rPr>
          <w:sz w:val="20"/>
          <w:szCs w:val="20"/>
          <w:lang w:val="en-US"/>
        </w:rPr>
        <w:t xml:space="preserve">State did not deny </w:t>
      </w:r>
      <w:r w:rsidR="00CE508A" w:rsidRPr="00785D06">
        <w:rPr>
          <w:sz w:val="20"/>
          <w:szCs w:val="20"/>
          <w:lang w:val="en-US"/>
        </w:rPr>
        <w:t xml:space="preserve">this causal link” </w:t>
      </w:r>
      <w:r w:rsidRPr="00785D06">
        <w:rPr>
          <w:sz w:val="20"/>
          <w:szCs w:val="20"/>
          <w:lang w:val="en-US"/>
        </w:rPr>
        <w:t xml:space="preserve">(in the procedure before the Commission) and </w:t>
      </w:r>
      <w:r w:rsidR="00CE508A" w:rsidRPr="00785D06">
        <w:rPr>
          <w:sz w:val="20"/>
          <w:szCs w:val="20"/>
          <w:lang w:val="en-US"/>
        </w:rPr>
        <w:t xml:space="preserve">that no alternative hypothesis regarding her death emerged from </w:t>
      </w:r>
      <w:r w:rsidR="00805936" w:rsidRPr="00785D06">
        <w:rPr>
          <w:sz w:val="20"/>
          <w:szCs w:val="20"/>
          <w:lang w:val="en-US"/>
        </w:rPr>
        <w:t>the domestic investigations</w:t>
      </w:r>
      <w:r w:rsidRPr="00785D06">
        <w:rPr>
          <w:sz w:val="20"/>
          <w:szCs w:val="20"/>
          <w:lang w:val="en-US"/>
        </w:rPr>
        <w:t>. It a</w:t>
      </w:r>
      <w:r w:rsidR="00CE508A" w:rsidRPr="00785D06">
        <w:rPr>
          <w:sz w:val="20"/>
          <w:szCs w:val="20"/>
          <w:lang w:val="en-US"/>
        </w:rPr>
        <w:t>lso argued that the victim’s</w:t>
      </w:r>
      <w:r w:rsidR="0023686B" w:rsidRPr="00785D06">
        <w:rPr>
          <w:sz w:val="20"/>
          <w:szCs w:val="20"/>
          <w:lang w:val="en-US"/>
        </w:rPr>
        <w:t xml:space="preserve"> “possible pregnancy</w:t>
      </w:r>
      <w:r w:rsidR="00CE508A" w:rsidRPr="00785D06">
        <w:rPr>
          <w:sz w:val="20"/>
          <w:szCs w:val="20"/>
          <w:lang w:val="en-US"/>
        </w:rPr>
        <w:t xml:space="preserve"> </w:t>
      </w:r>
      <w:r w:rsidR="0023686B" w:rsidRPr="00785D06">
        <w:rPr>
          <w:sz w:val="20"/>
          <w:szCs w:val="20"/>
          <w:lang w:val="en-US"/>
        </w:rPr>
        <w:t>[…</w:t>
      </w:r>
      <w:r w:rsidR="00CE508A" w:rsidRPr="00785D06">
        <w:rPr>
          <w:sz w:val="20"/>
          <w:szCs w:val="20"/>
          <w:lang w:val="en-US"/>
        </w:rPr>
        <w:t>w</w:t>
      </w:r>
      <w:r w:rsidR="0023686B" w:rsidRPr="00785D06">
        <w:rPr>
          <w:sz w:val="20"/>
          <w:szCs w:val="20"/>
          <w:lang w:val="en-US"/>
        </w:rPr>
        <w:t xml:space="preserve">as] </w:t>
      </w:r>
      <w:r w:rsidRPr="00785D06">
        <w:rPr>
          <w:sz w:val="20"/>
          <w:szCs w:val="20"/>
          <w:lang w:val="en-US"/>
        </w:rPr>
        <w:t>a</w:t>
      </w:r>
      <w:r w:rsidR="00355BC2" w:rsidRPr="00785D06">
        <w:rPr>
          <w:sz w:val="20"/>
          <w:szCs w:val="20"/>
          <w:lang w:val="en-US"/>
        </w:rPr>
        <w:t xml:space="preserve">nother </w:t>
      </w:r>
      <w:r w:rsidR="00CE508A" w:rsidRPr="00785D06">
        <w:rPr>
          <w:sz w:val="20"/>
          <w:szCs w:val="20"/>
          <w:lang w:val="en-US"/>
        </w:rPr>
        <w:t xml:space="preserve">pointer to a </w:t>
      </w:r>
      <w:r w:rsidRPr="00785D06">
        <w:rPr>
          <w:sz w:val="20"/>
          <w:szCs w:val="20"/>
          <w:lang w:val="en-US"/>
        </w:rPr>
        <w:t xml:space="preserve">causal link between the violence </w:t>
      </w:r>
      <w:r w:rsidR="00CE508A" w:rsidRPr="00785D06">
        <w:rPr>
          <w:sz w:val="20"/>
          <w:szCs w:val="20"/>
          <w:lang w:val="en-US"/>
        </w:rPr>
        <w:t xml:space="preserve">endured </w:t>
      </w:r>
      <w:r w:rsidRPr="00785D06">
        <w:rPr>
          <w:sz w:val="20"/>
          <w:szCs w:val="20"/>
          <w:lang w:val="en-US"/>
        </w:rPr>
        <w:t xml:space="preserve">by Paola and her suicide.” The Commission </w:t>
      </w:r>
      <w:r w:rsidR="0023686B" w:rsidRPr="00785D06">
        <w:rPr>
          <w:sz w:val="20"/>
          <w:szCs w:val="20"/>
          <w:lang w:val="en-US"/>
        </w:rPr>
        <w:t xml:space="preserve">considered </w:t>
      </w:r>
      <w:r w:rsidRPr="00785D06">
        <w:rPr>
          <w:sz w:val="20"/>
          <w:szCs w:val="20"/>
          <w:lang w:val="en-US"/>
        </w:rPr>
        <w:t xml:space="preserve">that </w:t>
      </w:r>
      <w:r w:rsidR="0023686B" w:rsidRPr="00785D06">
        <w:rPr>
          <w:sz w:val="20"/>
          <w:szCs w:val="20"/>
          <w:lang w:val="en-US"/>
        </w:rPr>
        <w:t xml:space="preserve">her </w:t>
      </w:r>
      <w:r w:rsidRPr="00785D06">
        <w:rPr>
          <w:sz w:val="20"/>
          <w:szCs w:val="20"/>
          <w:lang w:val="en-US"/>
        </w:rPr>
        <w:t xml:space="preserve">death “and the circumstances that surrounded it” </w:t>
      </w:r>
      <w:r w:rsidR="00D17588" w:rsidRPr="00785D06">
        <w:rPr>
          <w:sz w:val="20"/>
          <w:szCs w:val="20"/>
          <w:lang w:val="en-US"/>
        </w:rPr>
        <w:t xml:space="preserve">constituted a </w:t>
      </w:r>
      <w:r w:rsidR="00A92657" w:rsidRPr="00785D06">
        <w:rPr>
          <w:sz w:val="20"/>
          <w:szCs w:val="20"/>
          <w:lang w:val="en-US"/>
        </w:rPr>
        <w:t>violat</w:t>
      </w:r>
      <w:r w:rsidR="00D17588" w:rsidRPr="00785D06">
        <w:rPr>
          <w:sz w:val="20"/>
          <w:szCs w:val="20"/>
          <w:lang w:val="en-US"/>
        </w:rPr>
        <w:t xml:space="preserve">ion of </w:t>
      </w:r>
      <w:r w:rsidRPr="00785D06">
        <w:rPr>
          <w:sz w:val="20"/>
          <w:szCs w:val="20"/>
          <w:lang w:val="en-US"/>
        </w:rPr>
        <w:t xml:space="preserve">Paola’s rights to life and personal integrity. </w:t>
      </w:r>
    </w:p>
    <w:p w14:paraId="7D87872E" w14:textId="77777777" w:rsidR="00C254BF" w:rsidRPr="00785D06" w:rsidRDefault="00C254BF" w:rsidP="00C254BF">
      <w:pPr>
        <w:jc w:val="both"/>
        <w:rPr>
          <w:sz w:val="20"/>
          <w:szCs w:val="20"/>
          <w:lang w:val="en-US"/>
        </w:rPr>
      </w:pPr>
    </w:p>
    <w:p w14:paraId="5359DCF5" w14:textId="77777777" w:rsidR="00C254BF" w:rsidRPr="00785D06" w:rsidRDefault="00C254BF" w:rsidP="00C254BF">
      <w:pPr>
        <w:jc w:val="both"/>
        <w:rPr>
          <w:b/>
          <w:lang w:val="en-US"/>
        </w:rPr>
      </w:pPr>
      <w:r w:rsidRPr="00785D06">
        <w:rPr>
          <w:sz w:val="20"/>
          <w:szCs w:val="20"/>
          <w:lang w:val="en-US"/>
        </w:rPr>
        <w:t>88.</w:t>
      </w:r>
      <w:r w:rsidRPr="00785D06">
        <w:rPr>
          <w:sz w:val="20"/>
          <w:szCs w:val="20"/>
          <w:lang w:val="en-US"/>
        </w:rPr>
        <w:tab/>
        <w:t>The Commission indicated that all the</w:t>
      </w:r>
      <w:r w:rsidR="00C26B16" w:rsidRPr="00785D06">
        <w:rPr>
          <w:sz w:val="20"/>
          <w:szCs w:val="20"/>
          <w:lang w:val="en-US"/>
        </w:rPr>
        <w:t>se circumstances are</w:t>
      </w:r>
      <w:r w:rsidRPr="00785D06">
        <w:rPr>
          <w:sz w:val="20"/>
          <w:szCs w:val="20"/>
          <w:lang w:val="en-US"/>
        </w:rPr>
        <w:t xml:space="preserve"> attributable to the State for i</w:t>
      </w:r>
      <w:r w:rsidR="0080770A" w:rsidRPr="00785D06">
        <w:rPr>
          <w:sz w:val="20"/>
          <w:szCs w:val="20"/>
          <w:lang w:val="en-US"/>
        </w:rPr>
        <w:t xml:space="preserve">ts “failure to comply with </w:t>
      </w:r>
      <w:r w:rsidR="00A366B8" w:rsidRPr="00785D06">
        <w:rPr>
          <w:sz w:val="20"/>
          <w:szCs w:val="20"/>
          <w:lang w:val="en-US"/>
        </w:rPr>
        <w:t xml:space="preserve">its </w:t>
      </w:r>
      <w:r w:rsidR="0080770A" w:rsidRPr="00785D06">
        <w:rPr>
          <w:sz w:val="20"/>
          <w:szCs w:val="20"/>
          <w:lang w:val="en-US"/>
        </w:rPr>
        <w:t>duty to</w:t>
      </w:r>
      <w:r w:rsidRPr="00785D06">
        <w:rPr>
          <w:sz w:val="20"/>
          <w:szCs w:val="20"/>
          <w:lang w:val="en-US"/>
        </w:rPr>
        <w:t xml:space="preserve"> respect</w:t>
      </w:r>
      <w:r w:rsidR="0080770A" w:rsidRPr="00785D06">
        <w:rPr>
          <w:sz w:val="20"/>
          <w:szCs w:val="20"/>
          <w:lang w:val="en-US"/>
        </w:rPr>
        <w:t xml:space="preserve"> [human rights]”</w:t>
      </w:r>
      <w:r w:rsidRPr="00785D06">
        <w:rPr>
          <w:sz w:val="20"/>
          <w:szCs w:val="20"/>
          <w:lang w:val="en-US"/>
        </w:rPr>
        <w:t xml:space="preserve"> a</w:t>
      </w:r>
      <w:r w:rsidR="0080770A" w:rsidRPr="00785D06">
        <w:rPr>
          <w:sz w:val="20"/>
          <w:szCs w:val="20"/>
          <w:lang w:val="en-US"/>
        </w:rPr>
        <w:t xml:space="preserve">nd to “abide by its </w:t>
      </w:r>
      <w:r w:rsidRPr="00785D06">
        <w:rPr>
          <w:sz w:val="20"/>
          <w:szCs w:val="20"/>
          <w:lang w:val="en-US"/>
        </w:rPr>
        <w:t>duty to guarantee</w:t>
      </w:r>
      <w:r w:rsidR="0080770A" w:rsidRPr="00785D06">
        <w:rPr>
          <w:sz w:val="20"/>
          <w:szCs w:val="20"/>
          <w:lang w:val="en-US"/>
        </w:rPr>
        <w:t xml:space="preserve"> those rights [prevention </w:t>
      </w:r>
      <w:r w:rsidRPr="00785D06">
        <w:rPr>
          <w:sz w:val="20"/>
          <w:szCs w:val="20"/>
          <w:lang w:val="en-US"/>
        </w:rPr>
        <w:t>component</w:t>
      </w:r>
      <w:r w:rsidR="00A366B8" w:rsidRPr="00785D06">
        <w:rPr>
          <w:sz w:val="20"/>
          <w:szCs w:val="20"/>
          <w:lang w:val="en-US"/>
        </w:rPr>
        <w:t>]</w:t>
      </w:r>
      <w:r w:rsidR="0080770A" w:rsidRPr="00785D06">
        <w:rPr>
          <w:sz w:val="20"/>
          <w:szCs w:val="20"/>
          <w:lang w:val="en-US"/>
        </w:rPr>
        <w:t>.</w:t>
      </w:r>
      <w:r w:rsidRPr="00785D06">
        <w:rPr>
          <w:sz w:val="20"/>
          <w:szCs w:val="20"/>
          <w:lang w:val="en-US"/>
        </w:rPr>
        <w:t xml:space="preserve">” It affirmed that both </w:t>
      </w:r>
      <w:r w:rsidR="0080770A" w:rsidRPr="00785D06">
        <w:rPr>
          <w:sz w:val="20"/>
          <w:szCs w:val="20"/>
          <w:lang w:val="en-US"/>
        </w:rPr>
        <w:t>of these obligations “converge” in this case. First, t</w:t>
      </w:r>
      <w:r w:rsidRPr="00785D06">
        <w:rPr>
          <w:sz w:val="20"/>
          <w:szCs w:val="20"/>
          <w:lang w:val="en-US"/>
        </w:rPr>
        <w:t>he duty</w:t>
      </w:r>
      <w:r w:rsidR="0080770A" w:rsidRPr="00785D06">
        <w:rPr>
          <w:sz w:val="20"/>
          <w:szCs w:val="20"/>
          <w:lang w:val="en-US"/>
        </w:rPr>
        <w:t xml:space="preserve"> to</w:t>
      </w:r>
      <w:r w:rsidRPr="00785D06">
        <w:rPr>
          <w:sz w:val="20"/>
          <w:szCs w:val="20"/>
          <w:lang w:val="en-US"/>
        </w:rPr>
        <w:t xml:space="preserve"> respect</w:t>
      </w:r>
      <w:r w:rsidR="0080770A" w:rsidRPr="00785D06">
        <w:rPr>
          <w:sz w:val="20"/>
          <w:szCs w:val="20"/>
          <w:lang w:val="en-US"/>
        </w:rPr>
        <w:t>, given that</w:t>
      </w:r>
      <w:r w:rsidRPr="00785D06">
        <w:rPr>
          <w:sz w:val="20"/>
          <w:szCs w:val="20"/>
          <w:lang w:val="en-US"/>
        </w:rPr>
        <w:t xml:space="preserve"> </w:t>
      </w:r>
      <w:r w:rsidR="0080770A" w:rsidRPr="00785D06">
        <w:rPr>
          <w:sz w:val="20"/>
          <w:szCs w:val="20"/>
          <w:lang w:val="en-US"/>
        </w:rPr>
        <w:t>Paola’s school was a State institution</w:t>
      </w:r>
      <w:r w:rsidRPr="00785D06">
        <w:rPr>
          <w:sz w:val="20"/>
          <w:szCs w:val="20"/>
          <w:lang w:val="en-US"/>
        </w:rPr>
        <w:t xml:space="preserve"> and the </w:t>
      </w:r>
      <w:r w:rsidR="0097298A" w:rsidRPr="00785D06">
        <w:rPr>
          <w:sz w:val="20"/>
          <w:szCs w:val="20"/>
          <w:lang w:val="en-US"/>
        </w:rPr>
        <w:t>vice principal</w:t>
      </w:r>
      <w:r w:rsidRPr="00785D06">
        <w:rPr>
          <w:sz w:val="20"/>
          <w:szCs w:val="20"/>
          <w:lang w:val="en-US"/>
        </w:rPr>
        <w:t xml:space="preserve"> and the school doctor were public officials who took advantage of the</w:t>
      </w:r>
      <w:r w:rsidR="00A1694C" w:rsidRPr="00785D06">
        <w:rPr>
          <w:sz w:val="20"/>
          <w:szCs w:val="20"/>
          <w:lang w:val="en-US"/>
        </w:rPr>
        <w:t>ir positions of</w:t>
      </w:r>
      <w:r w:rsidRPr="00785D06">
        <w:rPr>
          <w:sz w:val="20"/>
          <w:szCs w:val="20"/>
          <w:lang w:val="en-US"/>
        </w:rPr>
        <w:t xml:space="preserve"> </w:t>
      </w:r>
      <w:r w:rsidR="0080770A" w:rsidRPr="00785D06">
        <w:rPr>
          <w:sz w:val="20"/>
          <w:szCs w:val="20"/>
          <w:lang w:val="en-US"/>
        </w:rPr>
        <w:t>authority</w:t>
      </w:r>
      <w:r w:rsidR="00933894" w:rsidRPr="00785D06">
        <w:rPr>
          <w:sz w:val="20"/>
          <w:szCs w:val="20"/>
          <w:lang w:val="en-US"/>
        </w:rPr>
        <w:t>; and</w:t>
      </w:r>
      <w:r w:rsidR="0080770A" w:rsidRPr="00785D06">
        <w:rPr>
          <w:sz w:val="20"/>
          <w:szCs w:val="20"/>
          <w:lang w:val="en-US"/>
        </w:rPr>
        <w:t xml:space="preserve"> second, the</w:t>
      </w:r>
      <w:r w:rsidRPr="00785D06">
        <w:rPr>
          <w:sz w:val="20"/>
          <w:szCs w:val="20"/>
          <w:lang w:val="en-US"/>
        </w:rPr>
        <w:t xml:space="preserve"> </w:t>
      </w:r>
      <w:r w:rsidR="0080770A" w:rsidRPr="00785D06">
        <w:rPr>
          <w:sz w:val="20"/>
          <w:szCs w:val="20"/>
          <w:lang w:val="en-US"/>
        </w:rPr>
        <w:t>duty of</w:t>
      </w:r>
      <w:r w:rsidRPr="00785D06">
        <w:rPr>
          <w:sz w:val="20"/>
          <w:szCs w:val="20"/>
          <w:lang w:val="en-US"/>
        </w:rPr>
        <w:t xml:space="preserve"> prevention because: a) the State </w:t>
      </w:r>
      <w:r w:rsidR="00B72696" w:rsidRPr="00785D06">
        <w:rPr>
          <w:sz w:val="20"/>
          <w:szCs w:val="20"/>
          <w:lang w:val="en-US"/>
        </w:rPr>
        <w:t xml:space="preserve">should have </w:t>
      </w:r>
      <w:r w:rsidR="00D17588" w:rsidRPr="00785D06">
        <w:rPr>
          <w:sz w:val="20"/>
          <w:szCs w:val="20"/>
          <w:lang w:val="en-US"/>
        </w:rPr>
        <w:t>known</w:t>
      </w:r>
      <w:r w:rsidR="00B72696" w:rsidRPr="00785D06">
        <w:rPr>
          <w:sz w:val="20"/>
          <w:szCs w:val="20"/>
          <w:lang w:val="en-US"/>
        </w:rPr>
        <w:t xml:space="preserve">, </w:t>
      </w:r>
      <w:r w:rsidR="00D17588" w:rsidRPr="00785D06">
        <w:rPr>
          <w:sz w:val="20"/>
          <w:szCs w:val="20"/>
          <w:lang w:val="en-US"/>
        </w:rPr>
        <w:t xml:space="preserve">or </w:t>
      </w:r>
      <w:r w:rsidR="00B72696" w:rsidRPr="00785D06">
        <w:rPr>
          <w:sz w:val="20"/>
          <w:szCs w:val="20"/>
          <w:lang w:val="en-US"/>
        </w:rPr>
        <w:t>knew</w:t>
      </w:r>
      <w:r w:rsidR="00D17588" w:rsidRPr="00785D06">
        <w:rPr>
          <w:sz w:val="20"/>
          <w:szCs w:val="20"/>
          <w:lang w:val="en-US"/>
        </w:rPr>
        <w:t>,</w:t>
      </w:r>
      <w:r w:rsidR="00B72696" w:rsidRPr="00785D06">
        <w:rPr>
          <w:sz w:val="20"/>
          <w:szCs w:val="20"/>
          <w:lang w:val="en-US"/>
        </w:rPr>
        <w:t xml:space="preserve"> about </w:t>
      </w:r>
      <w:r w:rsidR="006B0E93" w:rsidRPr="00785D06">
        <w:rPr>
          <w:sz w:val="20"/>
          <w:szCs w:val="20"/>
          <w:lang w:val="en-US"/>
        </w:rPr>
        <w:t>the situation</w:t>
      </w:r>
      <w:r w:rsidR="00B72696" w:rsidRPr="00785D06">
        <w:rPr>
          <w:sz w:val="20"/>
          <w:szCs w:val="20"/>
          <w:lang w:val="en-US"/>
        </w:rPr>
        <w:t xml:space="preserve"> at the school</w:t>
      </w:r>
      <w:r w:rsidR="006B0E93" w:rsidRPr="00785D06">
        <w:rPr>
          <w:sz w:val="20"/>
          <w:szCs w:val="20"/>
          <w:lang w:val="en-US"/>
        </w:rPr>
        <w:t xml:space="preserve">, since: i. </w:t>
      </w:r>
      <w:r w:rsidRPr="00785D06">
        <w:rPr>
          <w:sz w:val="20"/>
          <w:szCs w:val="20"/>
          <w:lang w:val="en-US"/>
        </w:rPr>
        <w:t xml:space="preserve">the State education authorities should have </w:t>
      </w:r>
      <w:r w:rsidR="00D17588" w:rsidRPr="00785D06">
        <w:rPr>
          <w:sz w:val="20"/>
          <w:szCs w:val="20"/>
          <w:lang w:val="en-US"/>
        </w:rPr>
        <w:t xml:space="preserve">been aware of </w:t>
      </w:r>
      <w:r w:rsidRPr="00785D06">
        <w:rPr>
          <w:sz w:val="20"/>
          <w:szCs w:val="20"/>
          <w:lang w:val="en-US"/>
        </w:rPr>
        <w:t xml:space="preserve">what was happening in a </w:t>
      </w:r>
      <w:r w:rsidR="00B72696" w:rsidRPr="00785D06">
        <w:rPr>
          <w:sz w:val="20"/>
          <w:szCs w:val="20"/>
          <w:lang w:val="en-US"/>
        </w:rPr>
        <w:t xml:space="preserve">public </w:t>
      </w:r>
      <w:r w:rsidRPr="00785D06">
        <w:rPr>
          <w:sz w:val="20"/>
          <w:szCs w:val="20"/>
          <w:lang w:val="en-US"/>
        </w:rPr>
        <w:t>school, in fulfilment of the</w:t>
      </w:r>
      <w:r w:rsidR="00B72696" w:rsidRPr="00785D06">
        <w:rPr>
          <w:sz w:val="20"/>
          <w:szCs w:val="20"/>
          <w:lang w:val="en-US"/>
        </w:rPr>
        <w:t>ir</w:t>
      </w:r>
      <w:r w:rsidRPr="00785D06">
        <w:rPr>
          <w:sz w:val="20"/>
          <w:szCs w:val="20"/>
          <w:lang w:val="en-US"/>
        </w:rPr>
        <w:t xml:space="preserve"> duties of super</w:t>
      </w:r>
      <w:r w:rsidR="006B0E93" w:rsidRPr="00785D06">
        <w:rPr>
          <w:sz w:val="20"/>
          <w:szCs w:val="20"/>
          <w:lang w:val="en-US"/>
        </w:rPr>
        <w:t xml:space="preserve">vision and inspection; and ii. </w:t>
      </w:r>
      <w:r w:rsidRPr="00785D06">
        <w:rPr>
          <w:sz w:val="20"/>
          <w:szCs w:val="20"/>
          <w:lang w:val="en-US"/>
        </w:rPr>
        <w:t>it is “</w:t>
      </w:r>
      <w:r w:rsidR="00B72696" w:rsidRPr="00785D06">
        <w:rPr>
          <w:sz w:val="20"/>
          <w:szCs w:val="20"/>
          <w:lang w:val="en-US"/>
        </w:rPr>
        <w:t>accredited</w:t>
      </w:r>
      <w:r w:rsidRPr="00785D06">
        <w:rPr>
          <w:sz w:val="20"/>
          <w:szCs w:val="20"/>
          <w:lang w:val="en-US"/>
        </w:rPr>
        <w:t xml:space="preserve">” that </w:t>
      </w:r>
      <w:r w:rsidR="00B72696" w:rsidRPr="00785D06">
        <w:rPr>
          <w:sz w:val="20"/>
          <w:szCs w:val="20"/>
          <w:lang w:val="en-US"/>
        </w:rPr>
        <w:t xml:space="preserve">the State </w:t>
      </w:r>
      <w:r w:rsidRPr="00785D06">
        <w:rPr>
          <w:sz w:val="20"/>
          <w:szCs w:val="20"/>
          <w:lang w:val="en-US"/>
        </w:rPr>
        <w:t>“</w:t>
      </w:r>
      <w:r w:rsidR="00B72696" w:rsidRPr="00785D06">
        <w:rPr>
          <w:sz w:val="20"/>
          <w:szCs w:val="20"/>
          <w:lang w:val="en-US"/>
        </w:rPr>
        <w:t xml:space="preserve">via other </w:t>
      </w:r>
      <w:r w:rsidRPr="00785D06">
        <w:rPr>
          <w:sz w:val="20"/>
          <w:szCs w:val="20"/>
          <w:lang w:val="en-US"/>
        </w:rPr>
        <w:t xml:space="preserve">public officials and the school’s own authorities, </w:t>
      </w:r>
      <w:r w:rsidR="00B72696" w:rsidRPr="00785D06">
        <w:rPr>
          <w:sz w:val="20"/>
          <w:szCs w:val="20"/>
          <w:lang w:val="en-US"/>
        </w:rPr>
        <w:t xml:space="preserve">were aware of the </w:t>
      </w:r>
      <w:r w:rsidRPr="00785D06">
        <w:rPr>
          <w:sz w:val="20"/>
          <w:szCs w:val="20"/>
          <w:lang w:val="en-US"/>
        </w:rPr>
        <w:t xml:space="preserve">situation of violence, including </w:t>
      </w:r>
      <w:r w:rsidR="00B72696" w:rsidRPr="00785D06">
        <w:rPr>
          <w:sz w:val="20"/>
          <w:szCs w:val="20"/>
          <w:lang w:val="en-US"/>
        </w:rPr>
        <w:t xml:space="preserve">the </w:t>
      </w:r>
      <w:r w:rsidRPr="00785D06">
        <w:rPr>
          <w:sz w:val="20"/>
          <w:szCs w:val="20"/>
          <w:lang w:val="en-US"/>
        </w:rPr>
        <w:t xml:space="preserve">sexual </w:t>
      </w:r>
      <w:r w:rsidR="00B72696" w:rsidRPr="00785D06">
        <w:rPr>
          <w:sz w:val="20"/>
          <w:szCs w:val="20"/>
          <w:lang w:val="en-US"/>
        </w:rPr>
        <w:t>harassment that Paola was</w:t>
      </w:r>
      <w:r w:rsidRPr="00785D06">
        <w:rPr>
          <w:sz w:val="20"/>
          <w:szCs w:val="20"/>
          <w:lang w:val="en-US"/>
        </w:rPr>
        <w:t xml:space="preserve"> experienc</w:t>
      </w:r>
      <w:r w:rsidR="00B72696" w:rsidRPr="00785D06">
        <w:rPr>
          <w:sz w:val="20"/>
          <w:szCs w:val="20"/>
          <w:lang w:val="en-US"/>
        </w:rPr>
        <w:t>ing</w:t>
      </w:r>
      <w:r w:rsidR="0032156D" w:rsidRPr="00785D06">
        <w:rPr>
          <w:sz w:val="20"/>
          <w:szCs w:val="20"/>
          <w:lang w:val="en-US"/>
        </w:rPr>
        <w:t>,”</w:t>
      </w:r>
      <w:r w:rsidRPr="00785D06">
        <w:rPr>
          <w:sz w:val="20"/>
          <w:szCs w:val="20"/>
          <w:lang w:val="en-US"/>
        </w:rPr>
        <w:t xml:space="preserve"> and b) despite this fact, “no steps were taken to prevent or investigate the </w:t>
      </w:r>
      <w:r w:rsidR="0097298A" w:rsidRPr="00785D06">
        <w:rPr>
          <w:sz w:val="20"/>
          <w:szCs w:val="20"/>
          <w:lang w:val="en-US"/>
        </w:rPr>
        <w:t>vice principal</w:t>
      </w:r>
      <w:r w:rsidR="0032156D" w:rsidRPr="00785D06">
        <w:rPr>
          <w:sz w:val="20"/>
          <w:szCs w:val="20"/>
          <w:lang w:val="en-US"/>
        </w:rPr>
        <w:t>’s</w:t>
      </w:r>
      <w:r w:rsidR="00391BED" w:rsidRPr="00785D06">
        <w:rPr>
          <w:sz w:val="20"/>
          <w:szCs w:val="20"/>
          <w:lang w:val="en-US"/>
        </w:rPr>
        <w:t xml:space="preserve"> behavior</w:t>
      </w:r>
      <w:r w:rsidRPr="00785D06">
        <w:rPr>
          <w:sz w:val="20"/>
          <w:szCs w:val="20"/>
          <w:lang w:val="en-US"/>
        </w:rPr>
        <w:t>”</w:t>
      </w:r>
      <w:r w:rsidR="00391BED" w:rsidRPr="00785D06">
        <w:rPr>
          <w:sz w:val="20"/>
          <w:szCs w:val="20"/>
          <w:lang w:val="en-US"/>
        </w:rPr>
        <w:t xml:space="preserve"> prior to Paola’s death.</w:t>
      </w:r>
      <w:r w:rsidRPr="00785D06">
        <w:rPr>
          <w:sz w:val="20"/>
          <w:szCs w:val="20"/>
          <w:lang w:val="en-US"/>
        </w:rPr>
        <w:t xml:space="preserve"> On this last point, the Commission indicated that the State </w:t>
      </w:r>
      <w:r w:rsidR="0032156D" w:rsidRPr="00785D06">
        <w:rPr>
          <w:sz w:val="20"/>
          <w:szCs w:val="20"/>
          <w:lang w:val="en-US"/>
        </w:rPr>
        <w:t xml:space="preserve">of Ecuador </w:t>
      </w:r>
      <w:r w:rsidRPr="00785D06">
        <w:rPr>
          <w:sz w:val="20"/>
          <w:szCs w:val="20"/>
          <w:lang w:val="en-US"/>
        </w:rPr>
        <w:t xml:space="preserve">did not </w:t>
      </w:r>
      <w:r w:rsidR="0032156D" w:rsidRPr="00785D06">
        <w:rPr>
          <w:sz w:val="20"/>
          <w:szCs w:val="20"/>
          <w:lang w:val="en-US"/>
        </w:rPr>
        <w:t xml:space="preserve">report on any inspections carried out </w:t>
      </w:r>
      <w:r w:rsidRPr="00785D06">
        <w:rPr>
          <w:sz w:val="20"/>
          <w:szCs w:val="20"/>
          <w:lang w:val="en-US"/>
        </w:rPr>
        <w:t xml:space="preserve">at the school, and </w:t>
      </w:r>
      <w:r w:rsidR="0032156D" w:rsidRPr="00785D06">
        <w:rPr>
          <w:sz w:val="20"/>
          <w:szCs w:val="20"/>
          <w:lang w:val="en-US"/>
        </w:rPr>
        <w:t xml:space="preserve">had no </w:t>
      </w:r>
      <w:r w:rsidRPr="00785D06">
        <w:rPr>
          <w:sz w:val="20"/>
          <w:szCs w:val="20"/>
          <w:lang w:val="en-US"/>
        </w:rPr>
        <w:t>“</w:t>
      </w:r>
      <w:r w:rsidR="0032156D" w:rsidRPr="00785D06">
        <w:rPr>
          <w:sz w:val="20"/>
          <w:szCs w:val="20"/>
          <w:lang w:val="en-US"/>
        </w:rPr>
        <w:t>preventive or early warning tools</w:t>
      </w:r>
      <w:r w:rsidR="00E90BBF" w:rsidRPr="00785D06">
        <w:rPr>
          <w:sz w:val="20"/>
          <w:szCs w:val="20"/>
          <w:lang w:val="en-US"/>
        </w:rPr>
        <w:t>”</w:t>
      </w:r>
      <w:r w:rsidR="0032156D" w:rsidRPr="00785D06">
        <w:rPr>
          <w:sz w:val="20"/>
          <w:szCs w:val="20"/>
          <w:lang w:val="en-US"/>
        </w:rPr>
        <w:t xml:space="preserve"> to address such situations.</w:t>
      </w:r>
      <w:r w:rsidRPr="00785D06">
        <w:rPr>
          <w:sz w:val="20"/>
          <w:szCs w:val="20"/>
          <w:lang w:val="en-US"/>
        </w:rPr>
        <w:t xml:space="preserve"> </w:t>
      </w:r>
    </w:p>
    <w:p w14:paraId="397E768D" w14:textId="77777777" w:rsidR="00C254BF" w:rsidRPr="00785D06" w:rsidRDefault="00C254BF" w:rsidP="00C254BF">
      <w:pPr>
        <w:jc w:val="both"/>
        <w:rPr>
          <w:sz w:val="20"/>
          <w:szCs w:val="20"/>
          <w:lang w:val="en-US"/>
        </w:rPr>
      </w:pPr>
    </w:p>
    <w:p w14:paraId="4396C701" w14:textId="77777777" w:rsidR="00C254BF" w:rsidRPr="00785D06" w:rsidRDefault="00C254BF" w:rsidP="00C254BF">
      <w:pPr>
        <w:jc w:val="both"/>
        <w:rPr>
          <w:lang w:val="en-US"/>
        </w:rPr>
      </w:pPr>
      <w:r w:rsidRPr="00785D06">
        <w:rPr>
          <w:sz w:val="20"/>
          <w:szCs w:val="20"/>
          <w:lang w:val="en-US"/>
        </w:rPr>
        <w:t>89.</w:t>
      </w:r>
      <w:r w:rsidRPr="00785D06">
        <w:rPr>
          <w:sz w:val="20"/>
          <w:szCs w:val="20"/>
          <w:lang w:val="en-US"/>
        </w:rPr>
        <w:tab/>
        <w:t>The Commission added that</w:t>
      </w:r>
      <w:r w:rsidR="00D17588" w:rsidRPr="00785D06">
        <w:rPr>
          <w:sz w:val="20"/>
          <w:szCs w:val="20"/>
          <w:lang w:val="en-US"/>
        </w:rPr>
        <w:t>,</w:t>
      </w:r>
      <w:r w:rsidRPr="00785D06">
        <w:rPr>
          <w:sz w:val="20"/>
          <w:szCs w:val="20"/>
          <w:lang w:val="en-US"/>
        </w:rPr>
        <w:t xml:space="preserve"> after </w:t>
      </w:r>
      <w:r w:rsidR="0032156D" w:rsidRPr="00785D06">
        <w:rPr>
          <w:sz w:val="20"/>
          <w:szCs w:val="20"/>
          <w:lang w:val="en-US"/>
        </w:rPr>
        <w:t xml:space="preserve">learning </w:t>
      </w:r>
      <w:r w:rsidRPr="00785D06">
        <w:rPr>
          <w:sz w:val="20"/>
          <w:szCs w:val="20"/>
          <w:lang w:val="en-US"/>
        </w:rPr>
        <w:t>that P</w:t>
      </w:r>
      <w:r w:rsidR="0032156D" w:rsidRPr="00785D06">
        <w:rPr>
          <w:sz w:val="20"/>
          <w:szCs w:val="20"/>
          <w:lang w:val="en-US"/>
        </w:rPr>
        <w:t>aola had swallowed the white phosphorus pellets</w:t>
      </w:r>
      <w:r w:rsidR="00D17588" w:rsidRPr="00785D06">
        <w:rPr>
          <w:sz w:val="20"/>
          <w:szCs w:val="20"/>
          <w:lang w:val="en-US"/>
        </w:rPr>
        <w:t>,</w:t>
      </w:r>
      <w:r w:rsidR="0032156D" w:rsidRPr="00785D06">
        <w:rPr>
          <w:sz w:val="20"/>
          <w:szCs w:val="20"/>
          <w:lang w:val="en-US"/>
        </w:rPr>
        <w:t xml:space="preserve"> the school authorities</w:t>
      </w:r>
      <w:r w:rsidRPr="00785D06">
        <w:rPr>
          <w:sz w:val="20"/>
          <w:szCs w:val="20"/>
          <w:lang w:val="en-US"/>
        </w:rPr>
        <w:t xml:space="preserve"> </w:t>
      </w:r>
      <w:r w:rsidR="0032156D" w:rsidRPr="00785D06">
        <w:rPr>
          <w:sz w:val="20"/>
          <w:szCs w:val="20"/>
          <w:lang w:val="en-US"/>
        </w:rPr>
        <w:t xml:space="preserve">failed to take </w:t>
      </w:r>
      <w:r w:rsidRPr="00785D06">
        <w:rPr>
          <w:sz w:val="20"/>
          <w:szCs w:val="20"/>
          <w:lang w:val="en-US"/>
        </w:rPr>
        <w:t xml:space="preserve">the necessary </w:t>
      </w:r>
      <w:r w:rsidR="0032156D" w:rsidRPr="00785D06">
        <w:rPr>
          <w:sz w:val="20"/>
          <w:szCs w:val="20"/>
          <w:lang w:val="en-US"/>
        </w:rPr>
        <w:t xml:space="preserve">steps </w:t>
      </w:r>
      <w:r w:rsidRPr="00785D06">
        <w:rPr>
          <w:sz w:val="20"/>
          <w:szCs w:val="20"/>
          <w:lang w:val="en-US"/>
        </w:rPr>
        <w:t xml:space="preserve">to ensure that she was </w:t>
      </w:r>
      <w:r w:rsidR="0032156D" w:rsidRPr="00785D06">
        <w:rPr>
          <w:sz w:val="20"/>
          <w:szCs w:val="20"/>
          <w:lang w:val="en-US"/>
        </w:rPr>
        <w:t>immediately taken to a hospital. Instead, they</w:t>
      </w:r>
      <w:r w:rsidRPr="00785D06">
        <w:rPr>
          <w:sz w:val="20"/>
          <w:szCs w:val="20"/>
          <w:lang w:val="en-US"/>
        </w:rPr>
        <w:t xml:space="preserve"> waited until </w:t>
      </w:r>
      <w:r w:rsidR="0032156D" w:rsidRPr="00785D06">
        <w:rPr>
          <w:sz w:val="20"/>
          <w:szCs w:val="20"/>
          <w:lang w:val="en-US"/>
        </w:rPr>
        <w:t xml:space="preserve">Paola’s </w:t>
      </w:r>
      <w:r w:rsidRPr="00785D06">
        <w:rPr>
          <w:sz w:val="20"/>
          <w:szCs w:val="20"/>
          <w:lang w:val="en-US"/>
        </w:rPr>
        <w:t xml:space="preserve">mother arrived to </w:t>
      </w:r>
      <w:r w:rsidR="0032156D" w:rsidRPr="00785D06">
        <w:rPr>
          <w:sz w:val="20"/>
          <w:szCs w:val="20"/>
          <w:lang w:val="en-US"/>
        </w:rPr>
        <w:t xml:space="preserve">collect </w:t>
      </w:r>
      <w:r w:rsidRPr="00785D06">
        <w:rPr>
          <w:sz w:val="20"/>
          <w:szCs w:val="20"/>
          <w:lang w:val="en-US"/>
        </w:rPr>
        <w:t>her daughter, which delayed her treatment by nearly 30 minutes.</w:t>
      </w:r>
      <w:r w:rsidRPr="00785D06">
        <w:rPr>
          <w:b/>
          <w:sz w:val="20"/>
          <w:szCs w:val="20"/>
          <w:lang w:val="en-US"/>
        </w:rPr>
        <w:t xml:space="preserve"> </w:t>
      </w:r>
    </w:p>
    <w:p w14:paraId="0A5D4BA8" w14:textId="77777777" w:rsidR="00C254BF" w:rsidRPr="00785D06" w:rsidRDefault="00C254BF" w:rsidP="00C254BF">
      <w:pPr>
        <w:pStyle w:val="Textonotapie"/>
        <w:jc w:val="both"/>
        <w:rPr>
          <w:sz w:val="20"/>
          <w:szCs w:val="20"/>
          <w:lang w:val="en-US"/>
        </w:rPr>
      </w:pPr>
    </w:p>
    <w:p w14:paraId="382C1ACA" w14:textId="77777777" w:rsidR="00C254BF" w:rsidRPr="00785D06" w:rsidRDefault="00C254BF" w:rsidP="00C254BF">
      <w:pPr>
        <w:pStyle w:val="Textonotapie"/>
        <w:jc w:val="both"/>
        <w:rPr>
          <w:b/>
          <w:color w:val="000000" w:themeColor="text1"/>
          <w:lang w:val="en-US"/>
        </w:rPr>
      </w:pPr>
      <w:r w:rsidRPr="00785D06">
        <w:rPr>
          <w:sz w:val="20"/>
          <w:szCs w:val="20"/>
          <w:lang w:val="en-US"/>
        </w:rPr>
        <w:t>90.</w:t>
      </w:r>
      <w:r w:rsidRPr="00785D06">
        <w:rPr>
          <w:sz w:val="20"/>
          <w:szCs w:val="20"/>
          <w:lang w:val="en-US"/>
        </w:rPr>
        <w:tab/>
      </w:r>
      <w:r w:rsidR="00C2137B" w:rsidRPr="00785D06">
        <w:rPr>
          <w:sz w:val="20"/>
          <w:szCs w:val="20"/>
          <w:lang w:val="en-US"/>
        </w:rPr>
        <w:t>In light of the</w:t>
      </w:r>
      <w:r w:rsidR="00D17588" w:rsidRPr="00785D06">
        <w:rPr>
          <w:sz w:val="20"/>
          <w:szCs w:val="20"/>
          <w:lang w:val="en-US"/>
        </w:rPr>
        <w:t>se</w:t>
      </w:r>
      <w:r w:rsidR="00C2137B" w:rsidRPr="00785D06">
        <w:rPr>
          <w:sz w:val="20"/>
          <w:szCs w:val="20"/>
          <w:lang w:val="en-US"/>
        </w:rPr>
        <w:t xml:space="preserve"> considerations</w:t>
      </w:r>
      <w:r w:rsidRPr="00785D06">
        <w:rPr>
          <w:sz w:val="20"/>
          <w:szCs w:val="20"/>
          <w:lang w:val="en-US"/>
        </w:rPr>
        <w:t xml:space="preserve">, the Commission </w:t>
      </w:r>
      <w:r w:rsidR="00C2137B" w:rsidRPr="00785D06">
        <w:rPr>
          <w:sz w:val="20"/>
          <w:szCs w:val="20"/>
          <w:lang w:val="en-US"/>
        </w:rPr>
        <w:t xml:space="preserve">concluded </w:t>
      </w:r>
      <w:r w:rsidRPr="00785D06">
        <w:rPr>
          <w:sz w:val="20"/>
          <w:szCs w:val="20"/>
          <w:lang w:val="en-US"/>
        </w:rPr>
        <w:t xml:space="preserve">that the State </w:t>
      </w:r>
      <w:r w:rsidR="00C2137B" w:rsidRPr="00785D06">
        <w:rPr>
          <w:sz w:val="20"/>
          <w:szCs w:val="20"/>
          <w:lang w:val="en-US"/>
        </w:rPr>
        <w:t>i</w:t>
      </w:r>
      <w:r w:rsidR="00D17588" w:rsidRPr="00785D06">
        <w:rPr>
          <w:sz w:val="20"/>
          <w:szCs w:val="20"/>
          <w:lang w:val="en-US"/>
        </w:rPr>
        <w:t>s responsible for the violation</w:t>
      </w:r>
      <w:r w:rsidR="00C2137B" w:rsidRPr="00785D06">
        <w:rPr>
          <w:sz w:val="20"/>
          <w:szCs w:val="20"/>
          <w:lang w:val="en-US"/>
        </w:rPr>
        <w:t xml:space="preserve"> of </w:t>
      </w:r>
      <w:r w:rsidRPr="00785D06">
        <w:rPr>
          <w:sz w:val="20"/>
          <w:szCs w:val="20"/>
          <w:lang w:val="en-US"/>
        </w:rPr>
        <w:t xml:space="preserve">Articles 4(1), 5(1), 11, 19, 24 and 26 of the Convention, in </w:t>
      </w:r>
      <w:r w:rsidR="00C2137B" w:rsidRPr="00785D06">
        <w:rPr>
          <w:sz w:val="20"/>
          <w:szCs w:val="20"/>
          <w:lang w:val="en-US"/>
        </w:rPr>
        <w:t xml:space="preserve">conjunction with </w:t>
      </w:r>
      <w:r w:rsidRPr="00785D06">
        <w:rPr>
          <w:sz w:val="20"/>
          <w:szCs w:val="20"/>
          <w:lang w:val="en-US"/>
        </w:rPr>
        <w:t>the obligations establ</w:t>
      </w:r>
      <w:r w:rsidR="00C2137B" w:rsidRPr="00785D06">
        <w:rPr>
          <w:sz w:val="20"/>
          <w:szCs w:val="20"/>
          <w:lang w:val="en-US"/>
        </w:rPr>
        <w:t>ished in Article 1(1) thereof;</w:t>
      </w:r>
      <w:r w:rsidRPr="00785D06">
        <w:rPr>
          <w:sz w:val="20"/>
          <w:szCs w:val="20"/>
          <w:lang w:val="en-US"/>
        </w:rPr>
        <w:t xml:space="preserve"> </w:t>
      </w:r>
      <w:r w:rsidR="00C2137B" w:rsidRPr="00785D06">
        <w:rPr>
          <w:sz w:val="20"/>
          <w:szCs w:val="20"/>
          <w:lang w:val="en-US"/>
        </w:rPr>
        <w:t xml:space="preserve">of </w:t>
      </w:r>
      <w:r w:rsidRPr="00785D06">
        <w:rPr>
          <w:sz w:val="20"/>
          <w:szCs w:val="20"/>
          <w:lang w:val="en-US"/>
        </w:rPr>
        <w:t xml:space="preserve">Article 13 </w:t>
      </w:r>
      <w:r w:rsidR="00C2137B" w:rsidRPr="00785D06">
        <w:rPr>
          <w:sz w:val="20"/>
          <w:szCs w:val="20"/>
          <w:lang w:val="en-US"/>
        </w:rPr>
        <w:t xml:space="preserve">of the </w:t>
      </w:r>
      <w:r w:rsidRPr="00785D06">
        <w:rPr>
          <w:sz w:val="20"/>
          <w:szCs w:val="20"/>
          <w:lang w:val="en-US"/>
        </w:rPr>
        <w:t>Protocol of San Salvador</w:t>
      </w:r>
      <w:r w:rsidR="00C2137B" w:rsidRPr="00785D06">
        <w:rPr>
          <w:sz w:val="20"/>
          <w:szCs w:val="20"/>
          <w:lang w:val="en-US"/>
        </w:rPr>
        <w:t xml:space="preserve">; and of </w:t>
      </w:r>
      <w:r w:rsidRPr="00785D06">
        <w:rPr>
          <w:sz w:val="20"/>
          <w:szCs w:val="20"/>
          <w:lang w:val="en-US"/>
        </w:rPr>
        <w:t xml:space="preserve">Articles 7.a and 7.b of the </w:t>
      </w:r>
      <w:r w:rsidR="00B97F8F" w:rsidRPr="00785D06">
        <w:rPr>
          <w:sz w:val="20"/>
          <w:szCs w:val="20"/>
          <w:lang w:val="en-US"/>
        </w:rPr>
        <w:t>Belém do Pará Convention</w:t>
      </w:r>
      <w:r w:rsidR="00C2137B" w:rsidRPr="00785D06">
        <w:rPr>
          <w:sz w:val="20"/>
          <w:szCs w:val="20"/>
          <w:lang w:val="en-US"/>
        </w:rPr>
        <w:t>, to the detriment of Paola Guzmán.</w:t>
      </w:r>
      <w:r w:rsidRPr="00785D06">
        <w:rPr>
          <w:b/>
          <w:sz w:val="20"/>
          <w:szCs w:val="20"/>
          <w:lang w:val="en-US"/>
        </w:rPr>
        <w:t xml:space="preserve"> </w:t>
      </w:r>
    </w:p>
    <w:p w14:paraId="0F0C780D" w14:textId="77777777" w:rsidR="00C254BF" w:rsidRPr="00785D06" w:rsidRDefault="00C254BF" w:rsidP="00C254BF">
      <w:pPr>
        <w:jc w:val="both"/>
        <w:rPr>
          <w:lang w:val="en-US"/>
        </w:rPr>
      </w:pPr>
    </w:p>
    <w:p w14:paraId="6C6634D4" w14:textId="77777777" w:rsidR="00C254BF" w:rsidRPr="00785D06" w:rsidRDefault="00C254BF" w:rsidP="00C254BF">
      <w:pPr>
        <w:pStyle w:val="Prrafodelista"/>
        <w:numPr>
          <w:ilvl w:val="0"/>
          <w:numId w:val="35"/>
        </w:numPr>
        <w:ind w:left="0" w:firstLine="0"/>
        <w:contextualSpacing w:val="0"/>
        <w:jc w:val="both"/>
        <w:rPr>
          <w:b/>
          <w:lang w:val="en-US"/>
        </w:rPr>
      </w:pPr>
      <w:r w:rsidRPr="00785D06">
        <w:rPr>
          <w:sz w:val="20"/>
          <w:szCs w:val="20"/>
          <w:lang w:val="en-US"/>
        </w:rPr>
        <w:t xml:space="preserve">The </w:t>
      </w:r>
      <w:r w:rsidRPr="00785D06">
        <w:rPr>
          <w:b/>
          <w:i/>
          <w:sz w:val="20"/>
          <w:szCs w:val="20"/>
          <w:lang w:val="en-US"/>
        </w:rPr>
        <w:t>representatives</w:t>
      </w:r>
      <w:r w:rsidR="00C2137B" w:rsidRPr="00785D06">
        <w:rPr>
          <w:sz w:val="20"/>
          <w:szCs w:val="20"/>
          <w:lang w:val="en-US"/>
        </w:rPr>
        <w:t xml:space="preserve"> indicated </w:t>
      </w:r>
      <w:r w:rsidRPr="00785D06">
        <w:rPr>
          <w:sz w:val="20"/>
          <w:szCs w:val="20"/>
          <w:lang w:val="en-US"/>
        </w:rPr>
        <w:t xml:space="preserve">that two public officials at </w:t>
      </w:r>
      <w:r w:rsidR="00C2137B" w:rsidRPr="00785D06">
        <w:rPr>
          <w:sz w:val="20"/>
          <w:szCs w:val="20"/>
          <w:lang w:val="en-US"/>
        </w:rPr>
        <w:t xml:space="preserve">Paola’s </w:t>
      </w:r>
      <w:r w:rsidRPr="00785D06">
        <w:rPr>
          <w:sz w:val="20"/>
          <w:szCs w:val="20"/>
          <w:lang w:val="en-US"/>
        </w:rPr>
        <w:t xml:space="preserve">school, </w:t>
      </w:r>
      <w:r w:rsidR="00C2137B" w:rsidRPr="00785D06">
        <w:rPr>
          <w:sz w:val="20"/>
          <w:szCs w:val="20"/>
          <w:lang w:val="en-US"/>
        </w:rPr>
        <w:t xml:space="preserve">namely, </w:t>
      </w:r>
      <w:r w:rsidRPr="00785D06">
        <w:rPr>
          <w:sz w:val="20"/>
          <w:szCs w:val="20"/>
          <w:lang w:val="en-US"/>
        </w:rPr>
        <w:t xml:space="preserve">the </w:t>
      </w:r>
      <w:r w:rsidR="0097298A" w:rsidRPr="00785D06">
        <w:rPr>
          <w:sz w:val="20"/>
          <w:szCs w:val="20"/>
          <w:lang w:val="en-US"/>
        </w:rPr>
        <w:t>vice principal</w:t>
      </w:r>
      <w:r w:rsidRPr="00785D06">
        <w:rPr>
          <w:sz w:val="20"/>
          <w:szCs w:val="20"/>
          <w:lang w:val="en-US"/>
        </w:rPr>
        <w:t xml:space="preserve"> (“repeatedly”) and the doctor (“</w:t>
      </w:r>
      <w:r w:rsidR="00C2137B" w:rsidRPr="00785D06">
        <w:rPr>
          <w:sz w:val="20"/>
          <w:szCs w:val="20"/>
          <w:lang w:val="en-US"/>
        </w:rPr>
        <w:t>with</w:t>
      </w:r>
      <w:r w:rsidRPr="00785D06">
        <w:rPr>
          <w:sz w:val="20"/>
          <w:szCs w:val="20"/>
          <w:lang w:val="en-US"/>
        </w:rPr>
        <w:t>in the context of</w:t>
      </w:r>
      <w:r w:rsidR="00C2137B" w:rsidRPr="00785D06">
        <w:rPr>
          <w:sz w:val="20"/>
          <w:szCs w:val="20"/>
          <w:lang w:val="en-US"/>
        </w:rPr>
        <w:t xml:space="preserve"> the school’s health services”)</w:t>
      </w:r>
      <w:r w:rsidRPr="00785D06">
        <w:rPr>
          <w:sz w:val="20"/>
          <w:szCs w:val="20"/>
          <w:lang w:val="en-US"/>
        </w:rPr>
        <w:t xml:space="preserve"> committed acts of “sexual </w:t>
      </w:r>
      <w:r w:rsidR="00C2137B" w:rsidRPr="00785D06">
        <w:rPr>
          <w:sz w:val="20"/>
          <w:szCs w:val="20"/>
          <w:lang w:val="en-US"/>
        </w:rPr>
        <w:t xml:space="preserve">and gender-based </w:t>
      </w:r>
      <w:r w:rsidRPr="00785D06">
        <w:rPr>
          <w:sz w:val="20"/>
          <w:szCs w:val="20"/>
          <w:lang w:val="en-US"/>
        </w:rPr>
        <w:t>violence in the education and health</w:t>
      </w:r>
      <w:r w:rsidR="00C2137B" w:rsidRPr="00785D06">
        <w:rPr>
          <w:sz w:val="20"/>
          <w:szCs w:val="20"/>
          <w:lang w:val="en-US"/>
        </w:rPr>
        <w:t xml:space="preserve"> settings</w:t>
      </w:r>
      <w:r w:rsidRPr="00785D06">
        <w:rPr>
          <w:sz w:val="20"/>
          <w:szCs w:val="20"/>
          <w:lang w:val="en-US"/>
        </w:rPr>
        <w:t xml:space="preserve">” against Paola, </w:t>
      </w:r>
      <w:r w:rsidR="00C2137B" w:rsidRPr="00785D06">
        <w:rPr>
          <w:sz w:val="20"/>
          <w:szCs w:val="20"/>
          <w:lang w:val="en-US"/>
        </w:rPr>
        <w:t>specifically</w:t>
      </w:r>
      <w:r w:rsidR="00D17588" w:rsidRPr="00785D06">
        <w:rPr>
          <w:sz w:val="20"/>
          <w:szCs w:val="20"/>
          <w:lang w:val="en-US"/>
        </w:rPr>
        <w:t xml:space="preserve">, </w:t>
      </w:r>
      <w:r w:rsidRPr="00785D06">
        <w:rPr>
          <w:sz w:val="20"/>
          <w:szCs w:val="20"/>
          <w:lang w:val="en-US"/>
        </w:rPr>
        <w:t>“harassment, abuse and rape</w:t>
      </w:r>
      <w:r w:rsidR="00C2137B" w:rsidRPr="00785D06">
        <w:rPr>
          <w:sz w:val="20"/>
          <w:szCs w:val="20"/>
          <w:lang w:val="en-US"/>
        </w:rPr>
        <w:t>.”</w:t>
      </w:r>
      <w:r w:rsidRPr="00785D06">
        <w:rPr>
          <w:sz w:val="20"/>
          <w:szCs w:val="20"/>
          <w:lang w:val="en-US"/>
        </w:rPr>
        <w:t xml:space="preserve"> </w:t>
      </w:r>
      <w:r w:rsidR="00C2137B" w:rsidRPr="00785D06">
        <w:rPr>
          <w:sz w:val="20"/>
          <w:szCs w:val="20"/>
          <w:lang w:val="en-US"/>
        </w:rPr>
        <w:t>They c</w:t>
      </w:r>
      <w:r w:rsidRPr="00785D06">
        <w:rPr>
          <w:sz w:val="20"/>
          <w:szCs w:val="20"/>
          <w:lang w:val="en-US"/>
        </w:rPr>
        <w:t>onsidered that those acts violated Paola’s rights t</w:t>
      </w:r>
      <w:r w:rsidR="00C2137B" w:rsidRPr="00785D06">
        <w:rPr>
          <w:sz w:val="20"/>
          <w:szCs w:val="20"/>
          <w:lang w:val="en-US"/>
        </w:rPr>
        <w:t xml:space="preserve">o personal integrity, to “honor and </w:t>
      </w:r>
      <w:r w:rsidRPr="00785D06">
        <w:rPr>
          <w:sz w:val="20"/>
          <w:szCs w:val="20"/>
          <w:lang w:val="en-US"/>
        </w:rPr>
        <w:t>private life</w:t>
      </w:r>
      <w:r w:rsidR="00C2137B" w:rsidRPr="00785D06">
        <w:rPr>
          <w:sz w:val="20"/>
          <w:szCs w:val="20"/>
          <w:lang w:val="en-US"/>
        </w:rPr>
        <w:t>,”</w:t>
      </w:r>
      <w:r w:rsidRPr="00785D06">
        <w:rPr>
          <w:sz w:val="20"/>
          <w:szCs w:val="20"/>
          <w:lang w:val="en-US"/>
        </w:rPr>
        <w:t xml:space="preserve"> to health, education and “her right as </w:t>
      </w:r>
      <w:r w:rsidR="00D17588" w:rsidRPr="00785D06">
        <w:rPr>
          <w:sz w:val="20"/>
          <w:szCs w:val="20"/>
          <w:lang w:val="en-US"/>
        </w:rPr>
        <w:t xml:space="preserve">an </w:t>
      </w:r>
      <w:r w:rsidRPr="00785D06">
        <w:rPr>
          <w:sz w:val="20"/>
          <w:szCs w:val="20"/>
          <w:lang w:val="en-US"/>
        </w:rPr>
        <w:t xml:space="preserve">adolescent girl to </w:t>
      </w:r>
      <w:r w:rsidR="00D17588" w:rsidRPr="00785D06">
        <w:rPr>
          <w:sz w:val="20"/>
          <w:szCs w:val="20"/>
          <w:lang w:val="en-US"/>
        </w:rPr>
        <w:t>a lif</w:t>
      </w:r>
      <w:r w:rsidRPr="00785D06">
        <w:rPr>
          <w:sz w:val="20"/>
          <w:szCs w:val="20"/>
          <w:lang w:val="en-US"/>
        </w:rPr>
        <w:t>e free from gender-based violence</w:t>
      </w:r>
      <w:r w:rsidR="00C2137B" w:rsidRPr="00785D06">
        <w:rPr>
          <w:sz w:val="20"/>
          <w:szCs w:val="20"/>
          <w:lang w:val="en-US"/>
        </w:rPr>
        <w:t>.”</w:t>
      </w:r>
      <w:r w:rsidRPr="00785D06">
        <w:rPr>
          <w:sz w:val="20"/>
          <w:szCs w:val="20"/>
          <w:lang w:val="en-US"/>
        </w:rPr>
        <w:t xml:space="preserve"> </w:t>
      </w:r>
      <w:r w:rsidR="00C2137B" w:rsidRPr="00785D06">
        <w:rPr>
          <w:sz w:val="20"/>
          <w:szCs w:val="20"/>
          <w:lang w:val="en-US"/>
        </w:rPr>
        <w:t xml:space="preserve">Therefore, the State violated </w:t>
      </w:r>
      <w:r w:rsidRPr="00785D06">
        <w:rPr>
          <w:sz w:val="20"/>
          <w:szCs w:val="20"/>
          <w:lang w:val="en-US"/>
        </w:rPr>
        <w:t xml:space="preserve">Articles 5, 11, 19 and 26 of the American Convention, 7 of the </w:t>
      </w:r>
      <w:r w:rsidR="00B97F8F" w:rsidRPr="00785D06">
        <w:rPr>
          <w:sz w:val="20"/>
          <w:szCs w:val="20"/>
          <w:lang w:val="en-US"/>
        </w:rPr>
        <w:t>Belém do Pará Convention</w:t>
      </w:r>
      <w:r w:rsidRPr="00785D06">
        <w:rPr>
          <w:sz w:val="20"/>
          <w:szCs w:val="20"/>
          <w:lang w:val="en-US"/>
        </w:rPr>
        <w:t xml:space="preserve"> and 13 of the Protocol of San Salvador. </w:t>
      </w:r>
    </w:p>
    <w:p w14:paraId="2805AC5E" w14:textId="77777777" w:rsidR="00C254BF" w:rsidRPr="00785D06" w:rsidRDefault="00C254BF" w:rsidP="00C254BF">
      <w:pPr>
        <w:jc w:val="both"/>
        <w:rPr>
          <w:sz w:val="20"/>
          <w:szCs w:val="20"/>
          <w:lang w:val="en-US"/>
        </w:rPr>
      </w:pPr>
    </w:p>
    <w:p w14:paraId="7CB255A8" w14:textId="77777777" w:rsidR="00C254BF" w:rsidRPr="00785D06" w:rsidRDefault="00E32191" w:rsidP="00C254BF">
      <w:pPr>
        <w:pStyle w:val="Prrafodelista"/>
        <w:numPr>
          <w:ilvl w:val="0"/>
          <w:numId w:val="35"/>
        </w:numPr>
        <w:ind w:left="0" w:firstLine="0"/>
        <w:contextualSpacing w:val="0"/>
        <w:jc w:val="both"/>
        <w:rPr>
          <w:b/>
          <w:lang w:val="en-US"/>
        </w:rPr>
      </w:pPr>
      <w:r w:rsidRPr="00785D06">
        <w:rPr>
          <w:sz w:val="20"/>
          <w:szCs w:val="20"/>
          <w:lang w:val="en-US"/>
        </w:rPr>
        <w:t xml:space="preserve">The representatives </w:t>
      </w:r>
      <w:r w:rsidR="003C4876" w:rsidRPr="00785D06">
        <w:rPr>
          <w:sz w:val="20"/>
          <w:szCs w:val="20"/>
          <w:lang w:val="en-US"/>
        </w:rPr>
        <w:t xml:space="preserve">further </w:t>
      </w:r>
      <w:r w:rsidRPr="00785D06">
        <w:rPr>
          <w:sz w:val="20"/>
          <w:szCs w:val="20"/>
          <w:lang w:val="en-US"/>
        </w:rPr>
        <w:t xml:space="preserve">argued </w:t>
      </w:r>
      <w:r w:rsidR="00C254BF" w:rsidRPr="00785D06">
        <w:rPr>
          <w:sz w:val="20"/>
          <w:szCs w:val="20"/>
          <w:lang w:val="en-US"/>
        </w:rPr>
        <w:t xml:space="preserve">that the </w:t>
      </w:r>
      <w:r w:rsidR="0097298A" w:rsidRPr="00785D06">
        <w:rPr>
          <w:sz w:val="20"/>
          <w:szCs w:val="20"/>
          <w:lang w:val="en-US"/>
        </w:rPr>
        <w:t>vice principal</w:t>
      </w:r>
      <w:r w:rsidR="00C254BF" w:rsidRPr="00785D06">
        <w:rPr>
          <w:sz w:val="20"/>
          <w:szCs w:val="20"/>
          <w:lang w:val="en-US"/>
        </w:rPr>
        <w:t>’s relations</w:t>
      </w:r>
      <w:r w:rsidR="00D17588" w:rsidRPr="00785D06">
        <w:rPr>
          <w:sz w:val="20"/>
          <w:szCs w:val="20"/>
          <w:lang w:val="en-US"/>
        </w:rPr>
        <w:t>hip with Paola was</w:t>
      </w:r>
      <w:r w:rsidR="00C254BF" w:rsidRPr="00785D06">
        <w:rPr>
          <w:sz w:val="20"/>
          <w:szCs w:val="20"/>
          <w:lang w:val="en-US"/>
        </w:rPr>
        <w:t xml:space="preserve"> </w:t>
      </w:r>
      <w:r w:rsidRPr="00785D06">
        <w:rPr>
          <w:sz w:val="20"/>
          <w:szCs w:val="20"/>
          <w:lang w:val="en-US"/>
        </w:rPr>
        <w:t xml:space="preserve">based on </w:t>
      </w:r>
      <w:r w:rsidR="00C254BF" w:rsidRPr="00785D06">
        <w:rPr>
          <w:sz w:val="20"/>
          <w:szCs w:val="20"/>
          <w:lang w:val="en-US"/>
        </w:rPr>
        <w:t xml:space="preserve">“inequality of power,” because he </w:t>
      </w:r>
      <w:r w:rsidRPr="00785D06">
        <w:rPr>
          <w:sz w:val="20"/>
          <w:szCs w:val="20"/>
          <w:lang w:val="en-US"/>
        </w:rPr>
        <w:t xml:space="preserve">was both </w:t>
      </w:r>
      <w:r w:rsidR="00C254BF" w:rsidRPr="00785D06">
        <w:rPr>
          <w:sz w:val="20"/>
          <w:szCs w:val="20"/>
          <w:lang w:val="en-US"/>
        </w:rPr>
        <w:t xml:space="preserve">an “an authority figure” to “his </w:t>
      </w:r>
      <w:r w:rsidRPr="00785D06">
        <w:rPr>
          <w:sz w:val="20"/>
          <w:szCs w:val="20"/>
          <w:lang w:val="en-US"/>
        </w:rPr>
        <w:t>student</w:t>
      </w:r>
      <w:r w:rsidR="00C254BF" w:rsidRPr="00785D06">
        <w:rPr>
          <w:sz w:val="20"/>
          <w:szCs w:val="20"/>
          <w:lang w:val="en-US"/>
        </w:rPr>
        <w:t xml:space="preserve">” and because he was “at least five decades” older than her. They </w:t>
      </w:r>
      <w:r w:rsidRPr="00785D06">
        <w:rPr>
          <w:sz w:val="20"/>
          <w:szCs w:val="20"/>
          <w:lang w:val="en-US"/>
        </w:rPr>
        <w:t xml:space="preserve">stressed </w:t>
      </w:r>
      <w:r w:rsidR="00C254BF" w:rsidRPr="00785D06">
        <w:rPr>
          <w:sz w:val="20"/>
          <w:szCs w:val="20"/>
          <w:lang w:val="en-US"/>
        </w:rPr>
        <w:t>that</w:t>
      </w:r>
      <w:r w:rsidR="003C4876" w:rsidRPr="00785D06">
        <w:rPr>
          <w:sz w:val="20"/>
          <w:szCs w:val="20"/>
          <w:lang w:val="en-US"/>
        </w:rPr>
        <w:t>,</w:t>
      </w:r>
      <w:r w:rsidR="00C254BF" w:rsidRPr="00785D06">
        <w:rPr>
          <w:sz w:val="20"/>
          <w:szCs w:val="20"/>
          <w:lang w:val="en-US"/>
        </w:rPr>
        <w:t xml:space="preserve"> </w:t>
      </w:r>
      <w:r w:rsidR="00D17588" w:rsidRPr="00785D06">
        <w:rPr>
          <w:sz w:val="20"/>
          <w:szCs w:val="20"/>
          <w:lang w:val="en-US"/>
        </w:rPr>
        <w:t>as a victim</w:t>
      </w:r>
      <w:r w:rsidR="003C4876" w:rsidRPr="00785D06">
        <w:rPr>
          <w:sz w:val="20"/>
          <w:szCs w:val="20"/>
          <w:lang w:val="en-US"/>
        </w:rPr>
        <w:t>,</w:t>
      </w:r>
      <w:r w:rsidR="00D17588" w:rsidRPr="00785D06">
        <w:rPr>
          <w:sz w:val="20"/>
          <w:szCs w:val="20"/>
          <w:lang w:val="en-US"/>
        </w:rPr>
        <w:t xml:space="preserve"> she </w:t>
      </w:r>
      <w:r w:rsidRPr="00785D06">
        <w:rPr>
          <w:sz w:val="20"/>
          <w:szCs w:val="20"/>
          <w:lang w:val="en-US"/>
        </w:rPr>
        <w:t xml:space="preserve">could not have given her </w:t>
      </w:r>
      <w:r w:rsidR="00C254BF" w:rsidRPr="00785D06">
        <w:rPr>
          <w:sz w:val="20"/>
          <w:szCs w:val="20"/>
          <w:lang w:val="en-US"/>
        </w:rPr>
        <w:t xml:space="preserve">“valid […] consent” </w:t>
      </w:r>
      <w:r w:rsidRPr="00785D06">
        <w:rPr>
          <w:sz w:val="20"/>
          <w:szCs w:val="20"/>
          <w:lang w:val="en-US"/>
        </w:rPr>
        <w:t>to that relationship</w:t>
      </w:r>
      <w:r w:rsidR="00C254BF" w:rsidRPr="00785D06">
        <w:rPr>
          <w:sz w:val="20"/>
          <w:szCs w:val="20"/>
          <w:lang w:val="en-US"/>
        </w:rPr>
        <w:t xml:space="preserve">, in which the </w:t>
      </w:r>
      <w:r w:rsidR="0097298A" w:rsidRPr="00785D06">
        <w:rPr>
          <w:sz w:val="20"/>
          <w:szCs w:val="20"/>
          <w:lang w:val="en-US"/>
        </w:rPr>
        <w:t>vice principal</w:t>
      </w:r>
      <w:r w:rsidR="00C254BF" w:rsidRPr="00785D06">
        <w:rPr>
          <w:sz w:val="20"/>
          <w:szCs w:val="20"/>
          <w:lang w:val="en-US"/>
        </w:rPr>
        <w:t xml:space="preserve"> took advantage of Paola’s “academic vulnerability.” </w:t>
      </w:r>
      <w:r w:rsidRPr="00785D06">
        <w:rPr>
          <w:sz w:val="20"/>
          <w:szCs w:val="20"/>
          <w:lang w:val="en-US"/>
        </w:rPr>
        <w:t xml:space="preserve">As to </w:t>
      </w:r>
      <w:r w:rsidR="00C254BF" w:rsidRPr="00785D06">
        <w:rPr>
          <w:sz w:val="20"/>
          <w:szCs w:val="20"/>
          <w:lang w:val="en-US"/>
        </w:rPr>
        <w:t xml:space="preserve">the school doctor, they stated that, </w:t>
      </w:r>
      <w:r w:rsidR="00622CB4" w:rsidRPr="00785D06">
        <w:rPr>
          <w:sz w:val="20"/>
          <w:szCs w:val="20"/>
          <w:lang w:val="en-US"/>
        </w:rPr>
        <w:t>first</w:t>
      </w:r>
      <w:r w:rsidR="003C4876" w:rsidRPr="00785D06">
        <w:rPr>
          <w:sz w:val="20"/>
          <w:szCs w:val="20"/>
          <w:lang w:val="en-US"/>
        </w:rPr>
        <w:t>, there was “sexual harassment”</w:t>
      </w:r>
      <w:r w:rsidR="00C254BF" w:rsidRPr="00785D06">
        <w:rPr>
          <w:sz w:val="20"/>
          <w:szCs w:val="20"/>
          <w:lang w:val="en-US"/>
        </w:rPr>
        <w:t xml:space="preserve"> because he used his authority and power as </w:t>
      </w:r>
      <w:r w:rsidR="00622CB4" w:rsidRPr="00785D06">
        <w:rPr>
          <w:sz w:val="20"/>
          <w:szCs w:val="20"/>
          <w:lang w:val="en-US"/>
        </w:rPr>
        <w:t xml:space="preserve">an </w:t>
      </w:r>
      <w:r w:rsidR="00C254BF" w:rsidRPr="00785D06">
        <w:rPr>
          <w:sz w:val="20"/>
          <w:szCs w:val="20"/>
          <w:lang w:val="en-US"/>
        </w:rPr>
        <w:t xml:space="preserve">official, </w:t>
      </w:r>
      <w:r w:rsidR="00622CB4" w:rsidRPr="00785D06">
        <w:rPr>
          <w:sz w:val="20"/>
          <w:szCs w:val="20"/>
          <w:lang w:val="en-US"/>
        </w:rPr>
        <w:t xml:space="preserve">a </w:t>
      </w:r>
      <w:r w:rsidR="00C254BF" w:rsidRPr="00785D06">
        <w:rPr>
          <w:sz w:val="20"/>
          <w:szCs w:val="20"/>
          <w:lang w:val="en-US"/>
        </w:rPr>
        <w:t xml:space="preserve">health professional and </w:t>
      </w:r>
      <w:r w:rsidR="00622CB4" w:rsidRPr="00785D06">
        <w:rPr>
          <w:sz w:val="20"/>
          <w:szCs w:val="20"/>
          <w:lang w:val="en-US"/>
        </w:rPr>
        <w:t>an adult</w:t>
      </w:r>
      <w:r w:rsidR="00C254BF" w:rsidRPr="00785D06">
        <w:rPr>
          <w:sz w:val="20"/>
          <w:szCs w:val="20"/>
          <w:lang w:val="en-US"/>
        </w:rPr>
        <w:t xml:space="preserve"> to request “sexual favors” from Paola in exchange for </w:t>
      </w:r>
      <w:r w:rsidRPr="00785D06">
        <w:rPr>
          <w:sz w:val="20"/>
          <w:szCs w:val="20"/>
          <w:lang w:val="en-US"/>
        </w:rPr>
        <w:t xml:space="preserve">terminating her </w:t>
      </w:r>
      <w:r w:rsidR="00C254BF" w:rsidRPr="00785D06">
        <w:rPr>
          <w:sz w:val="20"/>
          <w:szCs w:val="20"/>
          <w:lang w:val="en-US"/>
        </w:rPr>
        <w:t>pregnancy</w:t>
      </w:r>
      <w:r w:rsidR="00802103" w:rsidRPr="00785D06">
        <w:rPr>
          <w:sz w:val="20"/>
          <w:szCs w:val="20"/>
          <w:lang w:val="en-US"/>
        </w:rPr>
        <w:t>.</w:t>
      </w:r>
      <w:r w:rsidR="00622CB4" w:rsidRPr="00785D06">
        <w:rPr>
          <w:sz w:val="20"/>
          <w:szCs w:val="20"/>
          <w:lang w:val="en-US"/>
        </w:rPr>
        <w:t xml:space="preserve"> </w:t>
      </w:r>
      <w:r w:rsidR="00802103" w:rsidRPr="00785D06">
        <w:rPr>
          <w:sz w:val="20"/>
          <w:szCs w:val="20"/>
          <w:lang w:val="en-US"/>
        </w:rPr>
        <w:t>I</w:t>
      </w:r>
      <w:r w:rsidR="00622CB4" w:rsidRPr="00785D06">
        <w:rPr>
          <w:sz w:val="20"/>
          <w:szCs w:val="20"/>
          <w:lang w:val="en-US"/>
        </w:rPr>
        <w:t xml:space="preserve">n </w:t>
      </w:r>
      <w:r w:rsidR="00C254BF" w:rsidRPr="00785D06">
        <w:rPr>
          <w:sz w:val="20"/>
          <w:szCs w:val="20"/>
          <w:lang w:val="en-US"/>
        </w:rPr>
        <w:t>add</w:t>
      </w:r>
      <w:r w:rsidR="00622CB4" w:rsidRPr="00785D06">
        <w:rPr>
          <w:sz w:val="20"/>
          <w:szCs w:val="20"/>
          <w:lang w:val="en-US"/>
        </w:rPr>
        <w:t xml:space="preserve">ition, there was “sexual abuse” </w:t>
      </w:r>
      <w:r w:rsidR="00802103" w:rsidRPr="00785D06">
        <w:rPr>
          <w:sz w:val="20"/>
          <w:szCs w:val="20"/>
          <w:lang w:val="en-US"/>
        </w:rPr>
        <w:t xml:space="preserve">since </w:t>
      </w:r>
      <w:r w:rsidR="00C254BF" w:rsidRPr="00785D06">
        <w:rPr>
          <w:sz w:val="20"/>
          <w:szCs w:val="20"/>
          <w:lang w:val="en-US"/>
        </w:rPr>
        <w:t>the doctor took advan</w:t>
      </w:r>
      <w:r w:rsidR="003C4876" w:rsidRPr="00785D06">
        <w:rPr>
          <w:sz w:val="20"/>
          <w:szCs w:val="20"/>
          <w:lang w:val="en-US"/>
        </w:rPr>
        <w:t>tage of his power</w:t>
      </w:r>
      <w:r w:rsidRPr="00785D06">
        <w:rPr>
          <w:sz w:val="20"/>
          <w:szCs w:val="20"/>
          <w:lang w:val="en-US"/>
        </w:rPr>
        <w:t xml:space="preserve"> a</w:t>
      </w:r>
      <w:r w:rsidR="00802103" w:rsidRPr="00785D06">
        <w:rPr>
          <w:sz w:val="20"/>
          <w:szCs w:val="20"/>
          <w:lang w:val="en-US"/>
        </w:rPr>
        <w:t xml:space="preserve">nd of Paola’s </w:t>
      </w:r>
      <w:r w:rsidR="00C254BF" w:rsidRPr="00785D06">
        <w:rPr>
          <w:sz w:val="20"/>
          <w:szCs w:val="20"/>
          <w:lang w:val="en-US"/>
        </w:rPr>
        <w:t>situation of vulnerability</w:t>
      </w:r>
      <w:r w:rsidR="00802103" w:rsidRPr="00785D06">
        <w:rPr>
          <w:sz w:val="20"/>
          <w:szCs w:val="20"/>
          <w:lang w:val="en-US"/>
        </w:rPr>
        <w:t xml:space="preserve"> to engage in “activities of a sexual nature with her.” </w:t>
      </w:r>
      <w:r w:rsidR="00C254BF" w:rsidRPr="00785D06">
        <w:rPr>
          <w:sz w:val="20"/>
          <w:szCs w:val="20"/>
          <w:lang w:val="en-US"/>
        </w:rPr>
        <w:t xml:space="preserve"> </w:t>
      </w:r>
    </w:p>
    <w:p w14:paraId="608D011F" w14:textId="77777777" w:rsidR="00C254BF" w:rsidRPr="00785D06" w:rsidRDefault="00C254BF" w:rsidP="00C254BF">
      <w:pPr>
        <w:jc w:val="both"/>
        <w:rPr>
          <w:sz w:val="20"/>
          <w:szCs w:val="20"/>
          <w:lang w:val="en-US"/>
        </w:rPr>
      </w:pPr>
    </w:p>
    <w:p w14:paraId="1C70DC1A" w14:textId="77777777" w:rsidR="00C254BF" w:rsidRPr="00785D06" w:rsidRDefault="00C254BF" w:rsidP="00C254BF">
      <w:pPr>
        <w:pStyle w:val="Prrafodelista"/>
        <w:numPr>
          <w:ilvl w:val="0"/>
          <w:numId w:val="35"/>
        </w:numPr>
        <w:ind w:left="0" w:firstLine="0"/>
        <w:contextualSpacing w:val="0"/>
        <w:jc w:val="both"/>
        <w:rPr>
          <w:b/>
          <w:lang w:val="en-US"/>
        </w:rPr>
      </w:pPr>
      <w:r w:rsidRPr="00785D06">
        <w:rPr>
          <w:sz w:val="20"/>
          <w:szCs w:val="20"/>
          <w:lang w:val="en-US"/>
        </w:rPr>
        <w:t xml:space="preserve">The representatives also alleged that Paola was </w:t>
      </w:r>
      <w:r w:rsidR="003C4876" w:rsidRPr="00785D06">
        <w:rPr>
          <w:sz w:val="20"/>
          <w:szCs w:val="20"/>
          <w:lang w:val="en-US"/>
        </w:rPr>
        <w:t xml:space="preserve">the </w:t>
      </w:r>
      <w:r w:rsidRPr="00785D06">
        <w:rPr>
          <w:sz w:val="20"/>
          <w:szCs w:val="20"/>
          <w:lang w:val="en-US"/>
        </w:rPr>
        <w:t xml:space="preserve">victim of rape, </w:t>
      </w:r>
      <w:r w:rsidR="00802103" w:rsidRPr="00785D06">
        <w:rPr>
          <w:sz w:val="20"/>
          <w:szCs w:val="20"/>
          <w:lang w:val="en-US"/>
        </w:rPr>
        <w:t xml:space="preserve">considering it </w:t>
      </w:r>
      <w:r w:rsidRPr="00785D06">
        <w:rPr>
          <w:sz w:val="20"/>
          <w:szCs w:val="20"/>
          <w:lang w:val="en-US"/>
        </w:rPr>
        <w:t xml:space="preserve">proven that the </w:t>
      </w:r>
      <w:r w:rsidR="0097298A" w:rsidRPr="00785D06">
        <w:rPr>
          <w:sz w:val="20"/>
          <w:szCs w:val="20"/>
          <w:lang w:val="en-US"/>
        </w:rPr>
        <w:t>vice principal</w:t>
      </w:r>
      <w:r w:rsidRPr="00785D06">
        <w:rPr>
          <w:sz w:val="20"/>
          <w:szCs w:val="20"/>
          <w:lang w:val="en-US"/>
        </w:rPr>
        <w:t xml:space="preserve"> had sexual </w:t>
      </w:r>
      <w:r w:rsidR="003C4876" w:rsidRPr="00785D06">
        <w:rPr>
          <w:sz w:val="20"/>
          <w:szCs w:val="20"/>
          <w:lang w:val="en-US"/>
        </w:rPr>
        <w:t xml:space="preserve">intercourse </w:t>
      </w:r>
      <w:r w:rsidRPr="00785D06">
        <w:rPr>
          <w:sz w:val="20"/>
          <w:szCs w:val="20"/>
          <w:lang w:val="en-US"/>
        </w:rPr>
        <w:t xml:space="preserve">with </w:t>
      </w:r>
      <w:r w:rsidR="003C4876" w:rsidRPr="00785D06">
        <w:rPr>
          <w:sz w:val="20"/>
          <w:szCs w:val="20"/>
          <w:lang w:val="en-US"/>
        </w:rPr>
        <w:t>her</w:t>
      </w:r>
      <w:r w:rsidRPr="00785D06">
        <w:rPr>
          <w:sz w:val="20"/>
          <w:szCs w:val="20"/>
          <w:lang w:val="en-US"/>
        </w:rPr>
        <w:t>, without her valid consent, as did the school doctor.</w:t>
      </w:r>
      <w:r w:rsidRPr="00785D06">
        <w:rPr>
          <w:rStyle w:val="Refdenotaalpie"/>
          <w:sz w:val="20"/>
          <w:szCs w:val="20"/>
          <w:lang w:val="en-US"/>
        </w:rPr>
        <w:footnoteReference w:id="86"/>
      </w:r>
      <w:r w:rsidRPr="00785D06">
        <w:rPr>
          <w:sz w:val="20"/>
          <w:szCs w:val="20"/>
          <w:lang w:val="en-US"/>
        </w:rPr>
        <w:t xml:space="preserve"> The</w:t>
      </w:r>
      <w:r w:rsidR="00802103" w:rsidRPr="00785D06">
        <w:rPr>
          <w:sz w:val="20"/>
          <w:szCs w:val="20"/>
          <w:lang w:val="en-US"/>
        </w:rPr>
        <w:t>y</w:t>
      </w:r>
      <w:r w:rsidRPr="00785D06">
        <w:rPr>
          <w:sz w:val="20"/>
          <w:szCs w:val="20"/>
          <w:lang w:val="en-US"/>
        </w:rPr>
        <w:t xml:space="preserve"> considered that “Paola’s spe</w:t>
      </w:r>
      <w:r w:rsidR="000F7CC0" w:rsidRPr="00785D06">
        <w:rPr>
          <w:sz w:val="20"/>
          <w:szCs w:val="20"/>
          <w:lang w:val="en-US"/>
        </w:rPr>
        <w:t>cial situation of vulnerability</w:t>
      </w:r>
      <w:r w:rsidRPr="00785D06">
        <w:rPr>
          <w:sz w:val="20"/>
          <w:szCs w:val="20"/>
          <w:lang w:val="en-US"/>
        </w:rPr>
        <w:t xml:space="preserve"> </w:t>
      </w:r>
      <w:r w:rsidR="000F7CC0" w:rsidRPr="00785D06">
        <w:rPr>
          <w:sz w:val="20"/>
          <w:szCs w:val="20"/>
          <w:lang w:val="en-US"/>
        </w:rPr>
        <w:t xml:space="preserve">meant that </w:t>
      </w:r>
      <w:r w:rsidRPr="00785D06">
        <w:rPr>
          <w:sz w:val="20"/>
          <w:szCs w:val="20"/>
          <w:lang w:val="en-US"/>
        </w:rPr>
        <w:t>her consent c</w:t>
      </w:r>
      <w:r w:rsidR="000F7CC0" w:rsidRPr="00785D06">
        <w:rPr>
          <w:sz w:val="20"/>
          <w:szCs w:val="20"/>
          <w:lang w:val="en-US"/>
        </w:rPr>
        <w:t xml:space="preserve">ould </w:t>
      </w:r>
      <w:r w:rsidRPr="00785D06">
        <w:rPr>
          <w:sz w:val="20"/>
          <w:szCs w:val="20"/>
          <w:lang w:val="en-US"/>
        </w:rPr>
        <w:t xml:space="preserve">not be considered valid and therefore, </w:t>
      </w:r>
      <w:r w:rsidR="00802103" w:rsidRPr="00785D06">
        <w:rPr>
          <w:sz w:val="20"/>
          <w:szCs w:val="20"/>
          <w:lang w:val="en-US"/>
        </w:rPr>
        <w:t xml:space="preserve">her </w:t>
      </w:r>
      <w:r w:rsidRPr="00785D06">
        <w:rPr>
          <w:sz w:val="20"/>
          <w:szCs w:val="20"/>
          <w:lang w:val="en-US"/>
        </w:rPr>
        <w:t xml:space="preserve">sexual encounters” </w:t>
      </w:r>
      <w:r w:rsidR="00802103" w:rsidRPr="00785D06">
        <w:rPr>
          <w:sz w:val="20"/>
          <w:szCs w:val="20"/>
          <w:lang w:val="en-US"/>
        </w:rPr>
        <w:t xml:space="preserve">with </w:t>
      </w:r>
      <w:r w:rsidRPr="00785D06">
        <w:rPr>
          <w:sz w:val="20"/>
          <w:szCs w:val="20"/>
          <w:lang w:val="en-US"/>
        </w:rPr>
        <w:t xml:space="preserve">the </w:t>
      </w:r>
      <w:r w:rsidR="0097298A" w:rsidRPr="00785D06">
        <w:rPr>
          <w:sz w:val="20"/>
          <w:szCs w:val="20"/>
          <w:lang w:val="en-US"/>
        </w:rPr>
        <w:t>vice principal</w:t>
      </w:r>
      <w:r w:rsidRPr="00785D06">
        <w:rPr>
          <w:sz w:val="20"/>
          <w:szCs w:val="20"/>
          <w:lang w:val="en-US"/>
        </w:rPr>
        <w:t xml:space="preserve"> “constituted rape.”</w:t>
      </w:r>
      <w:r w:rsidRPr="00785D06">
        <w:rPr>
          <w:rStyle w:val="Refdenotaalpie"/>
          <w:sz w:val="20"/>
          <w:szCs w:val="20"/>
          <w:lang w:val="en-US"/>
        </w:rPr>
        <w:footnoteReference w:id="87"/>
      </w:r>
      <w:r w:rsidRPr="00785D06">
        <w:rPr>
          <w:sz w:val="20"/>
          <w:szCs w:val="20"/>
          <w:lang w:val="en-US"/>
        </w:rPr>
        <w:t xml:space="preserve"> </w:t>
      </w:r>
    </w:p>
    <w:p w14:paraId="30B8A31E" w14:textId="77777777" w:rsidR="00C254BF" w:rsidRPr="00785D06" w:rsidRDefault="00C254BF" w:rsidP="00C254BF">
      <w:pPr>
        <w:jc w:val="both"/>
        <w:rPr>
          <w:sz w:val="20"/>
          <w:szCs w:val="20"/>
          <w:lang w:val="en-US"/>
        </w:rPr>
      </w:pPr>
    </w:p>
    <w:p w14:paraId="36568F4A" w14:textId="77777777" w:rsidR="00C254BF" w:rsidRPr="00785D06" w:rsidRDefault="00C90697" w:rsidP="00C254BF">
      <w:pPr>
        <w:pStyle w:val="Prrafodelista"/>
        <w:numPr>
          <w:ilvl w:val="0"/>
          <w:numId w:val="35"/>
        </w:numPr>
        <w:ind w:left="0" w:firstLine="0"/>
        <w:contextualSpacing w:val="0"/>
        <w:jc w:val="both"/>
        <w:rPr>
          <w:b/>
          <w:lang w:val="en-US"/>
        </w:rPr>
      </w:pPr>
      <w:r w:rsidRPr="00785D06">
        <w:rPr>
          <w:sz w:val="20"/>
          <w:szCs w:val="20"/>
          <w:lang w:val="en-US"/>
        </w:rPr>
        <w:t xml:space="preserve">They added that </w:t>
      </w:r>
      <w:r w:rsidR="00C254BF" w:rsidRPr="00785D06">
        <w:rPr>
          <w:sz w:val="20"/>
          <w:szCs w:val="20"/>
          <w:lang w:val="en-US"/>
        </w:rPr>
        <w:t xml:space="preserve">“harassment must be analyzed […] not only in terms of gender-based discrimination, but also as </w:t>
      </w:r>
      <w:r w:rsidR="009B2989" w:rsidRPr="00785D06">
        <w:rPr>
          <w:sz w:val="20"/>
          <w:szCs w:val="20"/>
          <w:lang w:val="en-US"/>
        </w:rPr>
        <w:t xml:space="preserve">a situation of </w:t>
      </w:r>
      <w:r w:rsidRPr="00785D06">
        <w:rPr>
          <w:sz w:val="20"/>
          <w:szCs w:val="20"/>
          <w:lang w:val="en-US"/>
        </w:rPr>
        <w:t>intersectional discrimination;</w:t>
      </w:r>
      <w:r w:rsidR="00C254BF" w:rsidRPr="00785D06">
        <w:rPr>
          <w:sz w:val="20"/>
          <w:szCs w:val="20"/>
          <w:lang w:val="en-US"/>
        </w:rPr>
        <w:t xml:space="preserve"> </w:t>
      </w:r>
      <w:r w:rsidRPr="00785D06">
        <w:rPr>
          <w:sz w:val="20"/>
          <w:szCs w:val="20"/>
          <w:lang w:val="en-US"/>
        </w:rPr>
        <w:t>in [that</w:t>
      </w:r>
      <w:r w:rsidR="00C254BF" w:rsidRPr="00785D06">
        <w:rPr>
          <w:sz w:val="20"/>
          <w:szCs w:val="20"/>
          <w:lang w:val="en-US"/>
        </w:rPr>
        <w:t xml:space="preserve">] </w:t>
      </w:r>
      <w:r w:rsidRPr="00785D06">
        <w:rPr>
          <w:sz w:val="20"/>
          <w:szCs w:val="20"/>
          <w:lang w:val="en-US"/>
        </w:rPr>
        <w:t xml:space="preserve">specific </w:t>
      </w:r>
      <w:r w:rsidR="00C254BF" w:rsidRPr="00785D06">
        <w:rPr>
          <w:sz w:val="20"/>
          <w:szCs w:val="20"/>
          <w:lang w:val="en-US"/>
        </w:rPr>
        <w:t>situation […]</w:t>
      </w:r>
      <w:r w:rsidR="00AE1BA9" w:rsidRPr="00785D06">
        <w:rPr>
          <w:sz w:val="20"/>
          <w:szCs w:val="20"/>
          <w:lang w:val="en-US"/>
        </w:rPr>
        <w:t xml:space="preserve"> </w:t>
      </w:r>
      <w:r w:rsidR="00C254BF" w:rsidRPr="00785D06">
        <w:rPr>
          <w:sz w:val="20"/>
          <w:szCs w:val="20"/>
          <w:lang w:val="en-US"/>
        </w:rPr>
        <w:t xml:space="preserve">various </w:t>
      </w:r>
      <w:r w:rsidRPr="00785D06">
        <w:rPr>
          <w:sz w:val="20"/>
          <w:szCs w:val="20"/>
          <w:lang w:val="en-US"/>
        </w:rPr>
        <w:t xml:space="preserve">factors increased Paola’s </w:t>
      </w:r>
      <w:r w:rsidR="00C254BF" w:rsidRPr="00785D06">
        <w:rPr>
          <w:sz w:val="20"/>
          <w:szCs w:val="20"/>
          <w:lang w:val="en-US"/>
        </w:rPr>
        <w:t>vulnerability to sexual violence.”</w:t>
      </w:r>
      <w:r w:rsidR="00C254BF" w:rsidRPr="00785D06">
        <w:rPr>
          <w:rStyle w:val="Refdenotaalpie"/>
          <w:sz w:val="20"/>
          <w:szCs w:val="20"/>
          <w:lang w:val="en-US"/>
        </w:rPr>
        <w:footnoteReference w:id="88"/>
      </w:r>
      <w:r w:rsidR="00C254BF" w:rsidRPr="00785D06">
        <w:rPr>
          <w:sz w:val="20"/>
          <w:szCs w:val="20"/>
          <w:lang w:val="en-US"/>
        </w:rPr>
        <w:t xml:space="preserve"> </w:t>
      </w:r>
    </w:p>
    <w:p w14:paraId="31C3D81C" w14:textId="77777777" w:rsidR="00C254BF" w:rsidRPr="00785D06" w:rsidRDefault="00C254BF" w:rsidP="00C254BF">
      <w:pPr>
        <w:jc w:val="both"/>
        <w:rPr>
          <w:sz w:val="20"/>
          <w:szCs w:val="20"/>
          <w:lang w:val="en-US"/>
        </w:rPr>
      </w:pPr>
    </w:p>
    <w:p w14:paraId="414675ED" w14:textId="77777777" w:rsidR="00C254BF" w:rsidRPr="00785D06" w:rsidRDefault="00C254BF" w:rsidP="00C254BF">
      <w:pPr>
        <w:pStyle w:val="Prrafodelista"/>
        <w:numPr>
          <w:ilvl w:val="0"/>
          <w:numId w:val="35"/>
        </w:numPr>
        <w:ind w:left="0" w:firstLine="0"/>
        <w:contextualSpacing w:val="0"/>
        <w:jc w:val="both"/>
        <w:rPr>
          <w:b/>
          <w:lang w:val="en-US"/>
        </w:rPr>
      </w:pPr>
      <w:r w:rsidRPr="00785D06">
        <w:rPr>
          <w:sz w:val="20"/>
          <w:szCs w:val="20"/>
          <w:lang w:val="en-US"/>
        </w:rPr>
        <w:t xml:space="preserve">The representatives </w:t>
      </w:r>
      <w:r w:rsidR="000F7CC0" w:rsidRPr="00785D06">
        <w:rPr>
          <w:sz w:val="20"/>
          <w:szCs w:val="20"/>
          <w:lang w:val="en-US"/>
        </w:rPr>
        <w:t xml:space="preserve">also alleged </w:t>
      </w:r>
      <w:r w:rsidRPr="00785D06">
        <w:rPr>
          <w:sz w:val="20"/>
          <w:szCs w:val="20"/>
          <w:lang w:val="en-US"/>
        </w:rPr>
        <w:t xml:space="preserve">that the State is responsible for </w:t>
      </w:r>
      <w:r w:rsidR="000F7CC0" w:rsidRPr="00785D06">
        <w:rPr>
          <w:sz w:val="20"/>
          <w:szCs w:val="20"/>
          <w:lang w:val="en-US"/>
        </w:rPr>
        <w:t xml:space="preserve">Paola’s </w:t>
      </w:r>
      <w:r w:rsidRPr="00785D06">
        <w:rPr>
          <w:sz w:val="20"/>
          <w:szCs w:val="20"/>
          <w:lang w:val="en-US"/>
        </w:rPr>
        <w:t>suicide, both by “action” a</w:t>
      </w:r>
      <w:r w:rsidR="00EA22D3" w:rsidRPr="00785D06">
        <w:rPr>
          <w:sz w:val="20"/>
          <w:szCs w:val="20"/>
          <w:lang w:val="en-US"/>
        </w:rPr>
        <w:t xml:space="preserve">nd </w:t>
      </w:r>
      <w:r w:rsidRPr="00785D06">
        <w:rPr>
          <w:sz w:val="20"/>
          <w:szCs w:val="20"/>
          <w:lang w:val="en-US"/>
        </w:rPr>
        <w:t>by “omission</w:t>
      </w:r>
      <w:r w:rsidR="00336DD3" w:rsidRPr="00785D06">
        <w:rPr>
          <w:sz w:val="20"/>
          <w:szCs w:val="20"/>
          <w:lang w:val="en-US"/>
        </w:rPr>
        <w:t>.”</w:t>
      </w:r>
      <w:r w:rsidRPr="00785D06">
        <w:rPr>
          <w:sz w:val="20"/>
          <w:szCs w:val="20"/>
          <w:lang w:val="en-US"/>
        </w:rPr>
        <w:t xml:space="preserve"> </w:t>
      </w:r>
      <w:r w:rsidR="009B2989" w:rsidRPr="00785D06">
        <w:rPr>
          <w:sz w:val="20"/>
          <w:szCs w:val="20"/>
          <w:lang w:val="en-US"/>
        </w:rPr>
        <w:t xml:space="preserve">In the first case, </w:t>
      </w:r>
      <w:r w:rsidRPr="00785D06">
        <w:rPr>
          <w:sz w:val="20"/>
          <w:szCs w:val="20"/>
          <w:lang w:val="en-US"/>
        </w:rPr>
        <w:t>the</w:t>
      </w:r>
      <w:r w:rsidR="00EA22D3" w:rsidRPr="00785D06">
        <w:rPr>
          <w:sz w:val="20"/>
          <w:szCs w:val="20"/>
          <w:lang w:val="en-US"/>
        </w:rPr>
        <w:t>y noted that her</w:t>
      </w:r>
      <w:r w:rsidRPr="00785D06">
        <w:rPr>
          <w:sz w:val="20"/>
          <w:szCs w:val="20"/>
          <w:lang w:val="en-US"/>
        </w:rPr>
        <w:t xml:space="preserve"> suicide was the “direct cons</w:t>
      </w:r>
      <w:r w:rsidR="009B2989" w:rsidRPr="00785D06">
        <w:rPr>
          <w:sz w:val="20"/>
          <w:szCs w:val="20"/>
          <w:lang w:val="en-US"/>
        </w:rPr>
        <w:t xml:space="preserve">equence” of the harassment </w:t>
      </w:r>
      <w:r w:rsidRPr="00785D06">
        <w:rPr>
          <w:sz w:val="20"/>
          <w:szCs w:val="20"/>
          <w:lang w:val="en-US"/>
        </w:rPr>
        <w:t xml:space="preserve">she suffered from the </w:t>
      </w:r>
      <w:r w:rsidR="0097298A" w:rsidRPr="00785D06">
        <w:rPr>
          <w:sz w:val="20"/>
          <w:szCs w:val="20"/>
          <w:lang w:val="en-US"/>
        </w:rPr>
        <w:t>vice principal</w:t>
      </w:r>
      <w:r w:rsidRPr="00785D06">
        <w:rPr>
          <w:sz w:val="20"/>
          <w:szCs w:val="20"/>
          <w:lang w:val="en-US"/>
        </w:rPr>
        <w:t xml:space="preserve"> and the doctor, both public officials. In </w:t>
      </w:r>
      <w:r w:rsidR="009B2989" w:rsidRPr="00785D06">
        <w:rPr>
          <w:sz w:val="20"/>
          <w:szCs w:val="20"/>
          <w:lang w:val="en-US"/>
        </w:rPr>
        <w:t xml:space="preserve">the </w:t>
      </w:r>
      <w:r w:rsidRPr="00785D06">
        <w:rPr>
          <w:sz w:val="20"/>
          <w:szCs w:val="20"/>
          <w:lang w:val="en-US"/>
        </w:rPr>
        <w:t xml:space="preserve">second </w:t>
      </w:r>
      <w:r w:rsidR="009B2989" w:rsidRPr="00785D06">
        <w:rPr>
          <w:sz w:val="20"/>
          <w:szCs w:val="20"/>
          <w:lang w:val="en-US"/>
        </w:rPr>
        <w:t>case</w:t>
      </w:r>
      <w:r w:rsidRPr="00785D06">
        <w:rPr>
          <w:sz w:val="20"/>
          <w:szCs w:val="20"/>
          <w:lang w:val="en-US"/>
        </w:rPr>
        <w:t xml:space="preserve">, the </w:t>
      </w:r>
      <w:r w:rsidR="0097298A" w:rsidRPr="00785D06">
        <w:rPr>
          <w:sz w:val="20"/>
          <w:szCs w:val="20"/>
          <w:lang w:val="en-US"/>
        </w:rPr>
        <w:t>vice principal</w:t>
      </w:r>
      <w:r w:rsidR="00EA22D3" w:rsidRPr="00785D06">
        <w:rPr>
          <w:sz w:val="20"/>
          <w:szCs w:val="20"/>
          <w:lang w:val="en-US"/>
        </w:rPr>
        <w:t>’s behavior</w:t>
      </w:r>
      <w:r w:rsidRPr="00785D06">
        <w:rPr>
          <w:sz w:val="20"/>
          <w:szCs w:val="20"/>
          <w:lang w:val="en-US"/>
        </w:rPr>
        <w:t xml:space="preserve"> toward her was “tolerated by the rest of the school community,” </w:t>
      </w:r>
      <w:r w:rsidR="00085186" w:rsidRPr="00785D06">
        <w:rPr>
          <w:sz w:val="20"/>
          <w:szCs w:val="20"/>
          <w:lang w:val="en-US"/>
        </w:rPr>
        <w:t xml:space="preserve">and therefore </w:t>
      </w:r>
      <w:r w:rsidRPr="00785D06">
        <w:rPr>
          <w:sz w:val="20"/>
          <w:szCs w:val="20"/>
          <w:lang w:val="en-US"/>
        </w:rPr>
        <w:t xml:space="preserve">the State “should have taken steps </w:t>
      </w:r>
      <w:r w:rsidR="00EA22D3" w:rsidRPr="00785D06">
        <w:rPr>
          <w:sz w:val="20"/>
          <w:szCs w:val="20"/>
          <w:lang w:val="en-US"/>
        </w:rPr>
        <w:t xml:space="preserve">to prevent </w:t>
      </w:r>
      <w:r w:rsidRPr="00785D06">
        <w:rPr>
          <w:sz w:val="20"/>
          <w:szCs w:val="20"/>
          <w:lang w:val="en-US"/>
        </w:rPr>
        <w:t xml:space="preserve">Paola’s suicide, </w:t>
      </w:r>
      <w:r w:rsidR="00085186" w:rsidRPr="00785D06">
        <w:rPr>
          <w:sz w:val="20"/>
          <w:szCs w:val="20"/>
          <w:lang w:val="en-US"/>
        </w:rPr>
        <w:t>given that the teachers at</w:t>
      </w:r>
      <w:r w:rsidRPr="00785D06">
        <w:rPr>
          <w:sz w:val="20"/>
          <w:szCs w:val="20"/>
          <w:lang w:val="en-US"/>
        </w:rPr>
        <w:t xml:space="preserve"> the school </w:t>
      </w:r>
      <w:r w:rsidR="00085186" w:rsidRPr="00785D06">
        <w:rPr>
          <w:sz w:val="20"/>
          <w:szCs w:val="20"/>
          <w:lang w:val="en-US"/>
        </w:rPr>
        <w:t xml:space="preserve">were aware of </w:t>
      </w:r>
      <w:r w:rsidRPr="00785D06">
        <w:rPr>
          <w:sz w:val="20"/>
          <w:szCs w:val="20"/>
          <w:lang w:val="en-US"/>
        </w:rPr>
        <w:t>the harassment she suffered</w:t>
      </w:r>
      <w:r w:rsidR="00085186" w:rsidRPr="00785D06">
        <w:rPr>
          <w:sz w:val="20"/>
          <w:szCs w:val="20"/>
          <w:lang w:val="en-US"/>
        </w:rPr>
        <w:t>.”</w:t>
      </w:r>
      <w:r w:rsidRPr="00785D06">
        <w:rPr>
          <w:sz w:val="20"/>
          <w:szCs w:val="20"/>
          <w:lang w:val="en-US"/>
        </w:rPr>
        <w:t xml:space="preserve"> </w:t>
      </w:r>
      <w:r w:rsidR="00455997" w:rsidRPr="00785D06">
        <w:rPr>
          <w:sz w:val="20"/>
          <w:szCs w:val="20"/>
          <w:lang w:val="en-US"/>
        </w:rPr>
        <w:t>T</w:t>
      </w:r>
      <w:r w:rsidR="00085186" w:rsidRPr="00785D06">
        <w:rPr>
          <w:sz w:val="20"/>
          <w:szCs w:val="20"/>
          <w:lang w:val="en-US"/>
        </w:rPr>
        <w:t xml:space="preserve">he representatives </w:t>
      </w:r>
      <w:r w:rsidR="00455997" w:rsidRPr="00785D06">
        <w:rPr>
          <w:sz w:val="20"/>
          <w:szCs w:val="20"/>
          <w:lang w:val="en-US"/>
        </w:rPr>
        <w:t xml:space="preserve">also </w:t>
      </w:r>
      <w:r w:rsidR="00085186" w:rsidRPr="00785D06">
        <w:rPr>
          <w:sz w:val="20"/>
          <w:szCs w:val="20"/>
          <w:lang w:val="en-US"/>
        </w:rPr>
        <w:t xml:space="preserve">alleged </w:t>
      </w:r>
      <w:r w:rsidRPr="00785D06">
        <w:rPr>
          <w:sz w:val="20"/>
          <w:szCs w:val="20"/>
          <w:lang w:val="en-US"/>
        </w:rPr>
        <w:t xml:space="preserve">that the State </w:t>
      </w:r>
      <w:r w:rsidR="00085186" w:rsidRPr="00785D06">
        <w:rPr>
          <w:sz w:val="20"/>
          <w:szCs w:val="20"/>
          <w:lang w:val="en-US"/>
        </w:rPr>
        <w:t xml:space="preserve">failed to </w:t>
      </w:r>
      <w:r w:rsidR="00455997" w:rsidRPr="00785D06">
        <w:rPr>
          <w:sz w:val="20"/>
          <w:szCs w:val="20"/>
          <w:lang w:val="en-US"/>
        </w:rPr>
        <w:t xml:space="preserve">take </w:t>
      </w:r>
      <w:r w:rsidRPr="00785D06">
        <w:rPr>
          <w:sz w:val="20"/>
          <w:szCs w:val="20"/>
          <w:lang w:val="en-US"/>
        </w:rPr>
        <w:t>“reasonable and diligent” measures to save the adolescent’s life after the school authorities found out that she had swallowed “diablillos</w:t>
      </w:r>
      <w:r w:rsidR="00085186" w:rsidRPr="00785D06">
        <w:rPr>
          <w:sz w:val="20"/>
          <w:szCs w:val="20"/>
          <w:lang w:val="en-US"/>
        </w:rPr>
        <w:t>.”</w:t>
      </w:r>
      <w:r w:rsidR="00455997" w:rsidRPr="00785D06">
        <w:rPr>
          <w:sz w:val="20"/>
          <w:szCs w:val="20"/>
          <w:lang w:val="en-US"/>
        </w:rPr>
        <w:t xml:space="preserve"> Thus,</w:t>
      </w:r>
      <w:r w:rsidR="00085186" w:rsidRPr="00785D06">
        <w:rPr>
          <w:sz w:val="20"/>
          <w:szCs w:val="20"/>
          <w:lang w:val="en-US"/>
        </w:rPr>
        <w:t xml:space="preserve"> the</w:t>
      </w:r>
      <w:r w:rsidRPr="00785D06">
        <w:rPr>
          <w:sz w:val="20"/>
          <w:szCs w:val="20"/>
          <w:lang w:val="en-US"/>
        </w:rPr>
        <w:t xml:space="preserve">y considered that the State violated Paola’s right to life, </w:t>
      </w:r>
      <w:r w:rsidR="00455997" w:rsidRPr="00785D06">
        <w:rPr>
          <w:sz w:val="20"/>
          <w:szCs w:val="20"/>
          <w:lang w:val="en-US"/>
        </w:rPr>
        <w:t xml:space="preserve">pursuant to </w:t>
      </w:r>
      <w:r w:rsidRPr="00785D06">
        <w:rPr>
          <w:sz w:val="20"/>
          <w:szCs w:val="20"/>
          <w:lang w:val="en-US"/>
        </w:rPr>
        <w:t xml:space="preserve">Article 4 of the Convention. </w:t>
      </w:r>
    </w:p>
    <w:p w14:paraId="4726D113" w14:textId="77777777" w:rsidR="00C254BF" w:rsidRPr="00785D06" w:rsidRDefault="00C254BF" w:rsidP="00C254BF">
      <w:pPr>
        <w:jc w:val="both"/>
        <w:rPr>
          <w:sz w:val="20"/>
          <w:szCs w:val="20"/>
          <w:lang w:val="en-US"/>
        </w:rPr>
      </w:pPr>
    </w:p>
    <w:p w14:paraId="372FA6C9" w14:textId="77777777" w:rsidR="00C254BF" w:rsidRPr="00785D06" w:rsidRDefault="00C254BF" w:rsidP="00C254BF">
      <w:pPr>
        <w:pStyle w:val="Prrafodelista"/>
        <w:numPr>
          <w:ilvl w:val="0"/>
          <w:numId w:val="35"/>
        </w:numPr>
        <w:ind w:left="0" w:firstLine="0"/>
        <w:contextualSpacing w:val="0"/>
        <w:jc w:val="both"/>
        <w:rPr>
          <w:b/>
          <w:lang w:val="en-US"/>
        </w:rPr>
      </w:pPr>
      <w:r w:rsidRPr="00785D06">
        <w:rPr>
          <w:sz w:val="20"/>
          <w:szCs w:val="20"/>
          <w:lang w:val="en-US"/>
        </w:rPr>
        <w:t xml:space="preserve">Regarding the </w:t>
      </w:r>
      <w:r w:rsidR="003D5357" w:rsidRPr="00785D06">
        <w:rPr>
          <w:sz w:val="20"/>
          <w:szCs w:val="20"/>
          <w:lang w:val="en-US"/>
        </w:rPr>
        <w:t xml:space="preserve">victim’s </w:t>
      </w:r>
      <w:r w:rsidRPr="00785D06">
        <w:rPr>
          <w:sz w:val="20"/>
          <w:szCs w:val="20"/>
          <w:lang w:val="en-US"/>
        </w:rPr>
        <w:t xml:space="preserve">right to education, </w:t>
      </w:r>
      <w:r w:rsidR="002E0837" w:rsidRPr="00785D06">
        <w:rPr>
          <w:sz w:val="20"/>
          <w:szCs w:val="20"/>
          <w:lang w:val="en-US"/>
        </w:rPr>
        <w:t>the representative</w:t>
      </w:r>
      <w:r w:rsidR="00AE1BA9" w:rsidRPr="00785D06">
        <w:rPr>
          <w:sz w:val="20"/>
          <w:szCs w:val="20"/>
          <w:lang w:val="en-US"/>
        </w:rPr>
        <w:t>s</w:t>
      </w:r>
      <w:r w:rsidR="002E0837" w:rsidRPr="00785D06">
        <w:rPr>
          <w:sz w:val="20"/>
          <w:szCs w:val="20"/>
          <w:lang w:val="en-US"/>
        </w:rPr>
        <w:t xml:space="preserve"> </w:t>
      </w:r>
      <w:r w:rsidR="00AE1BA9" w:rsidRPr="00785D06">
        <w:rPr>
          <w:sz w:val="20"/>
          <w:szCs w:val="20"/>
          <w:lang w:val="en-US"/>
        </w:rPr>
        <w:t xml:space="preserve">alleged </w:t>
      </w:r>
      <w:r w:rsidR="002E0837" w:rsidRPr="00785D06">
        <w:rPr>
          <w:sz w:val="20"/>
          <w:szCs w:val="20"/>
          <w:lang w:val="en-US"/>
        </w:rPr>
        <w:t xml:space="preserve">that </w:t>
      </w:r>
      <w:r w:rsidR="003D5357" w:rsidRPr="00785D06">
        <w:rPr>
          <w:sz w:val="20"/>
          <w:szCs w:val="20"/>
          <w:lang w:val="en-US"/>
        </w:rPr>
        <w:t xml:space="preserve">this </w:t>
      </w:r>
      <w:r w:rsidR="00AE1BA9" w:rsidRPr="00785D06">
        <w:rPr>
          <w:sz w:val="20"/>
          <w:szCs w:val="20"/>
          <w:lang w:val="en-US"/>
        </w:rPr>
        <w:t xml:space="preserve">was </w:t>
      </w:r>
      <w:r w:rsidR="002E0837" w:rsidRPr="00785D06">
        <w:rPr>
          <w:sz w:val="20"/>
          <w:szCs w:val="20"/>
          <w:lang w:val="en-US"/>
        </w:rPr>
        <w:t xml:space="preserve">impaired </w:t>
      </w:r>
      <w:r w:rsidR="003D5357" w:rsidRPr="00785D06">
        <w:rPr>
          <w:sz w:val="20"/>
          <w:szCs w:val="20"/>
          <w:lang w:val="en-US"/>
        </w:rPr>
        <w:t>in two ways: f</w:t>
      </w:r>
      <w:r w:rsidRPr="00785D06">
        <w:rPr>
          <w:sz w:val="20"/>
          <w:szCs w:val="20"/>
          <w:lang w:val="en-US"/>
        </w:rPr>
        <w:t xml:space="preserve">irst, </w:t>
      </w:r>
      <w:r w:rsidR="003D5357" w:rsidRPr="00785D06">
        <w:rPr>
          <w:sz w:val="20"/>
          <w:szCs w:val="20"/>
          <w:lang w:val="en-US"/>
        </w:rPr>
        <w:t xml:space="preserve">because it </w:t>
      </w:r>
      <w:r w:rsidR="00455997" w:rsidRPr="00785D06">
        <w:rPr>
          <w:sz w:val="20"/>
          <w:szCs w:val="20"/>
          <w:lang w:val="en-US"/>
        </w:rPr>
        <w:t xml:space="preserve">encompasses </w:t>
      </w:r>
      <w:r w:rsidRPr="00785D06">
        <w:rPr>
          <w:sz w:val="20"/>
          <w:szCs w:val="20"/>
          <w:lang w:val="en-US"/>
        </w:rPr>
        <w:t>the “right to sex</w:t>
      </w:r>
      <w:r w:rsidR="00AE1BA9" w:rsidRPr="00785D06">
        <w:rPr>
          <w:sz w:val="20"/>
          <w:szCs w:val="20"/>
          <w:lang w:val="en-US"/>
        </w:rPr>
        <w:t>ual</w:t>
      </w:r>
      <w:r w:rsidRPr="00785D06">
        <w:rPr>
          <w:sz w:val="20"/>
          <w:szCs w:val="20"/>
          <w:lang w:val="en-US"/>
        </w:rPr>
        <w:t xml:space="preserve"> education</w:t>
      </w:r>
      <w:r w:rsidR="00EA22D3" w:rsidRPr="00785D06">
        <w:rPr>
          <w:sz w:val="20"/>
          <w:szCs w:val="20"/>
          <w:lang w:val="en-US"/>
        </w:rPr>
        <w:t>,”</w:t>
      </w:r>
      <w:r w:rsidRPr="00785D06">
        <w:rPr>
          <w:sz w:val="20"/>
          <w:szCs w:val="20"/>
          <w:lang w:val="en-US"/>
        </w:rPr>
        <w:t xml:space="preserve"> </w:t>
      </w:r>
      <w:r w:rsidR="00AE1BA9" w:rsidRPr="00785D06">
        <w:rPr>
          <w:sz w:val="20"/>
          <w:szCs w:val="20"/>
          <w:lang w:val="en-US"/>
        </w:rPr>
        <w:t xml:space="preserve">which </w:t>
      </w:r>
      <w:r w:rsidRPr="00785D06">
        <w:rPr>
          <w:sz w:val="20"/>
          <w:szCs w:val="20"/>
          <w:lang w:val="en-US"/>
        </w:rPr>
        <w:t>is “a human right in itself</w:t>
      </w:r>
      <w:r w:rsidR="00AE1BA9" w:rsidRPr="00785D06">
        <w:rPr>
          <w:sz w:val="20"/>
          <w:szCs w:val="20"/>
          <w:lang w:val="en-US"/>
        </w:rPr>
        <w:t>,”</w:t>
      </w:r>
      <w:r w:rsidRPr="00785D06">
        <w:rPr>
          <w:sz w:val="20"/>
          <w:szCs w:val="20"/>
          <w:lang w:val="en-US"/>
        </w:rPr>
        <w:t xml:space="preserve"> and Ecuador </w:t>
      </w:r>
      <w:r w:rsidR="00172D44" w:rsidRPr="00785D06">
        <w:rPr>
          <w:sz w:val="20"/>
          <w:szCs w:val="20"/>
          <w:lang w:val="en-US"/>
        </w:rPr>
        <w:t xml:space="preserve">breached </w:t>
      </w:r>
      <w:r w:rsidRPr="00785D06">
        <w:rPr>
          <w:sz w:val="20"/>
          <w:szCs w:val="20"/>
          <w:lang w:val="en-US"/>
        </w:rPr>
        <w:t>this right</w:t>
      </w:r>
      <w:r w:rsidR="00AE1BA9" w:rsidRPr="00785D06">
        <w:rPr>
          <w:sz w:val="20"/>
          <w:szCs w:val="20"/>
          <w:lang w:val="en-US"/>
        </w:rPr>
        <w:t xml:space="preserve"> </w:t>
      </w:r>
      <w:r w:rsidR="003D5357" w:rsidRPr="00785D06">
        <w:rPr>
          <w:sz w:val="20"/>
          <w:szCs w:val="20"/>
          <w:lang w:val="en-US"/>
        </w:rPr>
        <w:t xml:space="preserve">given that </w:t>
      </w:r>
      <w:r w:rsidR="00AE1BA9" w:rsidRPr="00785D06">
        <w:rPr>
          <w:sz w:val="20"/>
          <w:szCs w:val="20"/>
          <w:lang w:val="en-US"/>
        </w:rPr>
        <w:t>the Martínez Serrano High S</w:t>
      </w:r>
      <w:r w:rsidRPr="00785D06">
        <w:rPr>
          <w:sz w:val="20"/>
          <w:szCs w:val="20"/>
          <w:lang w:val="en-US"/>
        </w:rPr>
        <w:t xml:space="preserve">chool “did not include sexual and reproductive health </w:t>
      </w:r>
      <w:r w:rsidR="00AE1BA9" w:rsidRPr="00785D06">
        <w:rPr>
          <w:sz w:val="20"/>
          <w:szCs w:val="20"/>
          <w:lang w:val="en-US"/>
        </w:rPr>
        <w:t xml:space="preserve">education in its </w:t>
      </w:r>
      <w:r w:rsidRPr="00785D06">
        <w:rPr>
          <w:sz w:val="20"/>
          <w:szCs w:val="20"/>
          <w:lang w:val="en-US"/>
        </w:rPr>
        <w:t>curriculum</w:t>
      </w:r>
      <w:r w:rsidR="00AE1BA9" w:rsidRPr="00785D06">
        <w:rPr>
          <w:sz w:val="20"/>
          <w:szCs w:val="20"/>
          <w:lang w:val="en-US"/>
        </w:rPr>
        <w:t>.”</w:t>
      </w:r>
      <w:r w:rsidRPr="00785D06">
        <w:rPr>
          <w:sz w:val="20"/>
          <w:szCs w:val="20"/>
          <w:lang w:val="en-US"/>
        </w:rPr>
        <w:t xml:space="preserve"> </w:t>
      </w:r>
      <w:r w:rsidR="003D5357" w:rsidRPr="00785D06">
        <w:rPr>
          <w:sz w:val="20"/>
          <w:szCs w:val="20"/>
          <w:lang w:val="en-US"/>
        </w:rPr>
        <w:t xml:space="preserve">In second place, the representatives argued </w:t>
      </w:r>
      <w:r w:rsidR="00AE1BA9" w:rsidRPr="00785D06">
        <w:rPr>
          <w:sz w:val="20"/>
          <w:szCs w:val="20"/>
          <w:lang w:val="en-US"/>
        </w:rPr>
        <w:t>that Paola’s right to “</w:t>
      </w:r>
      <w:r w:rsidR="00455997" w:rsidRPr="00785D06">
        <w:rPr>
          <w:sz w:val="20"/>
          <w:szCs w:val="20"/>
          <w:lang w:val="en-US"/>
        </w:rPr>
        <w:t xml:space="preserve">an </w:t>
      </w:r>
      <w:r w:rsidR="00AE1BA9" w:rsidRPr="00785D06">
        <w:rPr>
          <w:sz w:val="20"/>
          <w:szCs w:val="20"/>
          <w:lang w:val="en-US"/>
        </w:rPr>
        <w:t>education free from sexual violence”</w:t>
      </w:r>
      <w:r w:rsidR="003D5357" w:rsidRPr="00785D06">
        <w:rPr>
          <w:sz w:val="20"/>
          <w:szCs w:val="20"/>
          <w:lang w:val="en-US"/>
        </w:rPr>
        <w:t xml:space="preserve"> was impaired because “</w:t>
      </w:r>
      <w:r w:rsidRPr="00785D06">
        <w:rPr>
          <w:sz w:val="20"/>
          <w:szCs w:val="20"/>
          <w:lang w:val="en-US"/>
        </w:rPr>
        <w:t xml:space="preserve">acts of harassment and rape […] constitute[d] a violation of the right to education, recognized in Article 13 </w:t>
      </w:r>
      <w:r w:rsidR="00172D44" w:rsidRPr="00785D06">
        <w:rPr>
          <w:sz w:val="20"/>
          <w:szCs w:val="20"/>
          <w:lang w:val="en-US"/>
        </w:rPr>
        <w:t xml:space="preserve">of the </w:t>
      </w:r>
      <w:r w:rsidRPr="00785D06">
        <w:rPr>
          <w:sz w:val="20"/>
          <w:szCs w:val="20"/>
          <w:lang w:val="en-US"/>
        </w:rPr>
        <w:t xml:space="preserve">Protocol of San Salvador, </w:t>
      </w:r>
      <w:r w:rsidR="00172D44" w:rsidRPr="00785D06">
        <w:rPr>
          <w:sz w:val="20"/>
          <w:szCs w:val="20"/>
          <w:lang w:val="en-US"/>
        </w:rPr>
        <w:t xml:space="preserve">a right that is also protected under </w:t>
      </w:r>
      <w:r w:rsidRPr="00785D06">
        <w:rPr>
          <w:sz w:val="20"/>
          <w:szCs w:val="20"/>
          <w:lang w:val="en-US"/>
        </w:rPr>
        <w:t>Article 26 of the American Convention.”</w:t>
      </w:r>
      <w:r w:rsidRPr="00785D06">
        <w:rPr>
          <w:rStyle w:val="Refdenotaalpie"/>
          <w:sz w:val="20"/>
          <w:szCs w:val="20"/>
          <w:lang w:val="en-US"/>
        </w:rPr>
        <w:footnoteReference w:id="89"/>
      </w:r>
      <w:r w:rsidRPr="00785D06">
        <w:rPr>
          <w:sz w:val="20"/>
          <w:szCs w:val="20"/>
          <w:lang w:val="en-US"/>
        </w:rPr>
        <w:t xml:space="preserve"> </w:t>
      </w:r>
      <w:r w:rsidR="003D5357" w:rsidRPr="00785D06">
        <w:rPr>
          <w:sz w:val="20"/>
          <w:szCs w:val="20"/>
          <w:lang w:val="en-US"/>
        </w:rPr>
        <w:t xml:space="preserve">They emphasized that the </w:t>
      </w:r>
      <w:r w:rsidRPr="00785D06">
        <w:rPr>
          <w:sz w:val="20"/>
          <w:szCs w:val="20"/>
          <w:lang w:val="en-US"/>
        </w:rPr>
        <w:t xml:space="preserve">“sexual harassment and rape” </w:t>
      </w:r>
      <w:r w:rsidR="003D5357" w:rsidRPr="00785D06">
        <w:rPr>
          <w:sz w:val="20"/>
          <w:szCs w:val="20"/>
          <w:lang w:val="en-US"/>
        </w:rPr>
        <w:t xml:space="preserve">was committed </w:t>
      </w:r>
      <w:r w:rsidRPr="00785D06">
        <w:rPr>
          <w:sz w:val="20"/>
          <w:szCs w:val="20"/>
          <w:lang w:val="en-US"/>
        </w:rPr>
        <w:t xml:space="preserve">by public officials, and </w:t>
      </w:r>
      <w:r w:rsidR="00CC1558" w:rsidRPr="00785D06">
        <w:rPr>
          <w:sz w:val="20"/>
          <w:szCs w:val="20"/>
          <w:lang w:val="en-US"/>
        </w:rPr>
        <w:t xml:space="preserve">noted </w:t>
      </w:r>
      <w:r w:rsidRPr="00785D06">
        <w:rPr>
          <w:sz w:val="20"/>
          <w:szCs w:val="20"/>
          <w:lang w:val="en-US"/>
        </w:rPr>
        <w:t>the “tolerance” shown by the school staff. They added that “sexual harassment in a school constitutes a situation of discrimination that impedes access to education</w:t>
      </w:r>
      <w:r w:rsidR="00CC1558" w:rsidRPr="00785D06">
        <w:rPr>
          <w:sz w:val="20"/>
          <w:szCs w:val="20"/>
          <w:lang w:val="en-US"/>
        </w:rPr>
        <w:t>.”</w:t>
      </w:r>
      <w:r w:rsidRPr="00785D06">
        <w:rPr>
          <w:b/>
          <w:lang w:val="en-US"/>
        </w:rPr>
        <w:t xml:space="preserve"> </w:t>
      </w:r>
    </w:p>
    <w:p w14:paraId="3A1E418A" w14:textId="77777777" w:rsidR="00C254BF" w:rsidRPr="00785D06" w:rsidRDefault="00C254BF" w:rsidP="00C254BF">
      <w:pPr>
        <w:pStyle w:val="Prrafodelista"/>
        <w:ind w:left="0"/>
        <w:contextualSpacing w:val="0"/>
        <w:jc w:val="both"/>
        <w:rPr>
          <w:b/>
          <w:lang w:val="en-US"/>
        </w:rPr>
      </w:pPr>
    </w:p>
    <w:p w14:paraId="35C520C7"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The representatives </w:t>
      </w:r>
      <w:r w:rsidR="00455997" w:rsidRPr="00785D06">
        <w:rPr>
          <w:sz w:val="20"/>
          <w:szCs w:val="20"/>
          <w:lang w:val="en-US"/>
        </w:rPr>
        <w:t xml:space="preserve">further </w:t>
      </w:r>
      <w:r w:rsidR="00CC1558" w:rsidRPr="00785D06">
        <w:rPr>
          <w:sz w:val="20"/>
          <w:szCs w:val="20"/>
          <w:lang w:val="en-US"/>
        </w:rPr>
        <w:t xml:space="preserve">argued </w:t>
      </w:r>
      <w:r w:rsidRPr="00785D06">
        <w:rPr>
          <w:sz w:val="20"/>
          <w:szCs w:val="20"/>
          <w:lang w:val="en-US"/>
        </w:rPr>
        <w:t>that there was “arbitrary interference in [Paola’s] decisions on reproductive health</w:t>
      </w:r>
      <w:r w:rsidR="00C66EC1" w:rsidRPr="00785D06">
        <w:rPr>
          <w:sz w:val="20"/>
          <w:szCs w:val="20"/>
          <w:lang w:val="en-US"/>
        </w:rPr>
        <w:t>,”</w:t>
      </w:r>
      <w:r w:rsidRPr="00785D06">
        <w:rPr>
          <w:sz w:val="20"/>
          <w:szCs w:val="20"/>
          <w:lang w:val="en-US"/>
        </w:rPr>
        <w:t xml:space="preserve"> given that “the </w:t>
      </w:r>
      <w:r w:rsidR="0097298A" w:rsidRPr="00785D06">
        <w:rPr>
          <w:sz w:val="20"/>
          <w:szCs w:val="20"/>
          <w:lang w:val="en-US"/>
        </w:rPr>
        <w:t>vice principal</w:t>
      </w:r>
      <w:r w:rsidRPr="00785D06">
        <w:rPr>
          <w:sz w:val="20"/>
          <w:szCs w:val="20"/>
          <w:lang w:val="en-US"/>
        </w:rPr>
        <w:t xml:space="preserve"> force</w:t>
      </w:r>
      <w:r w:rsidR="00CC1558" w:rsidRPr="00785D06">
        <w:rPr>
          <w:sz w:val="20"/>
          <w:szCs w:val="20"/>
          <w:lang w:val="en-US"/>
        </w:rPr>
        <w:t>d</w:t>
      </w:r>
      <w:r w:rsidRPr="00785D06">
        <w:rPr>
          <w:sz w:val="20"/>
          <w:szCs w:val="20"/>
          <w:lang w:val="en-US"/>
        </w:rPr>
        <w:t xml:space="preserve"> [her] to have an abortion with the school doctor.” They </w:t>
      </w:r>
      <w:r w:rsidR="00C66EC1" w:rsidRPr="00785D06">
        <w:rPr>
          <w:sz w:val="20"/>
          <w:szCs w:val="20"/>
          <w:lang w:val="en-US"/>
        </w:rPr>
        <w:t xml:space="preserve">affirmed </w:t>
      </w:r>
      <w:r w:rsidRPr="00785D06">
        <w:rPr>
          <w:sz w:val="20"/>
          <w:szCs w:val="20"/>
          <w:lang w:val="en-US"/>
        </w:rPr>
        <w:t xml:space="preserve">that the </w:t>
      </w:r>
      <w:r w:rsidR="00CC1558" w:rsidRPr="00785D06">
        <w:rPr>
          <w:sz w:val="20"/>
          <w:szCs w:val="20"/>
          <w:lang w:val="en-US"/>
        </w:rPr>
        <w:t xml:space="preserve">adolescent’s </w:t>
      </w:r>
      <w:r w:rsidRPr="00785D06">
        <w:rPr>
          <w:sz w:val="20"/>
          <w:szCs w:val="20"/>
          <w:lang w:val="en-US"/>
        </w:rPr>
        <w:t xml:space="preserve">free choice to </w:t>
      </w:r>
      <w:r w:rsidR="00CC1558" w:rsidRPr="00785D06">
        <w:rPr>
          <w:sz w:val="20"/>
          <w:szCs w:val="20"/>
          <w:lang w:val="en-US"/>
        </w:rPr>
        <w:t xml:space="preserve">terminate </w:t>
      </w:r>
      <w:r w:rsidRPr="00785D06">
        <w:rPr>
          <w:sz w:val="20"/>
          <w:szCs w:val="20"/>
          <w:lang w:val="en-US"/>
        </w:rPr>
        <w:t xml:space="preserve">her pregnancy “was protected under the </w:t>
      </w:r>
      <w:r w:rsidR="00CC1558" w:rsidRPr="00785D06">
        <w:rPr>
          <w:sz w:val="20"/>
          <w:szCs w:val="20"/>
          <w:lang w:val="en-US"/>
        </w:rPr>
        <w:t xml:space="preserve">State’s </w:t>
      </w:r>
      <w:r w:rsidRPr="00785D06">
        <w:rPr>
          <w:sz w:val="20"/>
          <w:szCs w:val="20"/>
          <w:lang w:val="en-US"/>
        </w:rPr>
        <w:t>legal framework</w:t>
      </w:r>
      <w:r w:rsidR="00CC1558" w:rsidRPr="00785D06">
        <w:rPr>
          <w:sz w:val="20"/>
          <w:szCs w:val="20"/>
          <w:lang w:val="en-US"/>
        </w:rPr>
        <w:t>,”</w:t>
      </w:r>
      <w:r w:rsidRPr="00785D06">
        <w:rPr>
          <w:sz w:val="20"/>
          <w:szCs w:val="20"/>
          <w:lang w:val="en-US"/>
        </w:rPr>
        <w:t xml:space="preserve"> but </w:t>
      </w:r>
      <w:r w:rsidR="00CC1558" w:rsidRPr="00785D06">
        <w:rPr>
          <w:sz w:val="20"/>
          <w:szCs w:val="20"/>
          <w:lang w:val="en-US"/>
        </w:rPr>
        <w:t xml:space="preserve">that </w:t>
      </w:r>
      <w:r w:rsidRPr="00785D06">
        <w:rPr>
          <w:sz w:val="20"/>
          <w:szCs w:val="20"/>
          <w:lang w:val="en-US"/>
        </w:rPr>
        <w:t>in her case there was no free and informed choice, rather one imposed by Mr. Bolívar Espín “</w:t>
      </w:r>
      <w:r w:rsidR="00455997" w:rsidRPr="00785D06">
        <w:rPr>
          <w:sz w:val="20"/>
          <w:szCs w:val="20"/>
          <w:lang w:val="en-US"/>
        </w:rPr>
        <w:t xml:space="preserve">based on </w:t>
      </w:r>
      <w:r w:rsidRPr="00785D06">
        <w:rPr>
          <w:sz w:val="20"/>
          <w:szCs w:val="20"/>
          <w:lang w:val="en-US"/>
        </w:rPr>
        <w:t xml:space="preserve">a relationship of power within the school environment.” Therefore, they considered that her consent to the medical procedure was </w:t>
      </w:r>
      <w:r w:rsidR="002C5C9C" w:rsidRPr="00785D06">
        <w:rPr>
          <w:sz w:val="20"/>
          <w:szCs w:val="20"/>
          <w:lang w:val="en-US"/>
        </w:rPr>
        <w:t>invalid</w:t>
      </w:r>
      <w:r w:rsidRPr="00785D06">
        <w:rPr>
          <w:sz w:val="20"/>
          <w:szCs w:val="20"/>
          <w:lang w:val="en-US"/>
        </w:rPr>
        <w:t xml:space="preserve">. </w:t>
      </w:r>
    </w:p>
    <w:p w14:paraId="66873D5E" w14:textId="77777777" w:rsidR="00C254BF" w:rsidRPr="00785D06" w:rsidRDefault="00C254BF" w:rsidP="00C254BF">
      <w:pPr>
        <w:pStyle w:val="Prrafodelista"/>
        <w:ind w:left="0"/>
        <w:contextualSpacing w:val="0"/>
        <w:jc w:val="both"/>
        <w:rPr>
          <w:sz w:val="20"/>
          <w:szCs w:val="20"/>
          <w:lang w:val="en-US"/>
        </w:rPr>
      </w:pPr>
    </w:p>
    <w:p w14:paraId="6D4A3F80" w14:textId="77777777" w:rsidR="00C254BF" w:rsidRPr="00785D06" w:rsidRDefault="00363F6F" w:rsidP="00C254BF">
      <w:pPr>
        <w:pStyle w:val="Prrafodelista"/>
        <w:numPr>
          <w:ilvl w:val="0"/>
          <w:numId w:val="35"/>
        </w:numPr>
        <w:ind w:left="0" w:firstLine="0"/>
        <w:contextualSpacing w:val="0"/>
        <w:jc w:val="both"/>
        <w:rPr>
          <w:sz w:val="20"/>
          <w:szCs w:val="20"/>
          <w:lang w:val="en-US"/>
        </w:rPr>
      </w:pPr>
      <w:r w:rsidRPr="00785D06">
        <w:rPr>
          <w:sz w:val="20"/>
          <w:szCs w:val="20"/>
          <w:lang w:val="en-US"/>
        </w:rPr>
        <w:t>Similarly</w:t>
      </w:r>
      <w:r w:rsidR="00455997" w:rsidRPr="00785D06">
        <w:rPr>
          <w:sz w:val="20"/>
          <w:szCs w:val="20"/>
          <w:lang w:val="en-US"/>
        </w:rPr>
        <w:t xml:space="preserve">, they argued that </w:t>
      </w:r>
      <w:r w:rsidR="00C254BF" w:rsidRPr="00785D06">
        <w:rPr>
          <w:sz w:val="20"/>
          <w:szCs w:val="20"/>
          <w:lang w:val="en-US"/>
        </w:rPr>
        <w:t xml:space="preserve">lack of education and information on sexual and </w:t>
      </w:r>
      <w:r w:rsidR="00455997" w:rsidRPr="00785D06">
        <w:rPr>
          <w:sz w:val="20"/>
          <w:szCs w:val="20"/>
          <w:lang w:val="en-US"/>
        </w:rPr>
        <w:t xml:space="preserve">reproductive health and </w:t>
      </w:r>
      <w:r w:rsidR="00C254BF" w:rsidRPr="00785D06">
        <w:rPr>
          <w:sz w:val="20"/>
          <w:szCs w:val="20"/>
          <w:lang w:val="en-US"/>
        </w:rPr>
        <w:t xml:space="preserve">interference in that aspect of Paola’s health </w:t>
      </w:r>
      <w:r w:rsidR="00455997" w:rsidRPr="00785D06">
        <w:rPr>
          <w:sz w:val="20"/>
          <w:szCs w:val="20"/>
          <w:lang w:val="en-US"/>
        </w:rPr>
        <w:t xml:space="preserve">amounted to </w:t>
      </w:r>
      <w:r w:rsidRPr="00785D06">
        <w:rPr>
          <w:sz w:val="20"/>
          <w:szCs w:val="20"/>
          <w:lang w:val="en-US"/>
        </w:rPr>
        <w:t>violations</w:t>
      </w:r>
      <w:r w:rsidR="00455997" w:rsidRPr="00785D06">
        <w:rPr>
          <w:sz w:val="20"/>
          <w:szCs w:val="20"/>
          <w:lang w:val="en-US"/>
        </w:rPr>
        <w:t>,</w:t>
      </w:r>
      <w:r w:rsidRPr="00785D06">
        <w:rPr>
          <w:sz w:val="20"/>
          <w:szCs w:val="20"/>
          <w:lang w:val="en-US"/>
        </w:rPr>
        <w:t xml:space="preserve"> on the part of</w:t>
      </w:r>
      <w:r w:rsidR="00C254BF" w:rsidRPr="00785D06">
        <w:rPr>
          <w:sz w:val="20"/>
          <w:szCs w:val="20"/>
          <w:lang w:val="en-US"/>
        </w:rPr>
        <w:t xml:space="preserve"> </w:t>
      </w:r>
      <w:r w:rsidRPr="00785D06">
        <w:rPr>
          <w:sz w:val="20"/>
          <w:szCs w:val="20"/>
          <w:lang w:val="en-US"/>
        </w:rPr>
        <w:t>Ecuador</w:t>
      </w:r>
      <w:r w:rsidR="00455997" w:rsidRPr="00785D06">
        <w:rPr>
          <w:sz w:val="20"/>
          <w:szCs w:val="20"/>
          <w:lang w:val="en-US"/>
        </w:rPr>
        <w:t>,</w:t>
      </w:r>
      <w:r w:rsidR="00C254BF" w:rsidRPr="00785D06">
        <w:rPr>
          <w:sz w:val="20"/>
          <w:szCs w:val="20"/>
          <w:lang w:val="en-US"/>
        </w:rPr>
        <w:t xml:space="preserve"> of </w:t>
      </w:r>
      <w:r w:rsidRPr="00785D06">
        <w:rPr>
          <w:sz w:val="20"/>
          <w:szCs w:val="20"/>
          <w:lang w:val="en-US"/>
        </w:rPr>
        <w:t xml:space="preserve">Paola’s </w:t>
      </w:r>
      <w:r w:rsidR="00C254BF" w:rsidRPr="00785D06">
        <w:rPr>
          <w:sz w:val="20"/>
          <w:szCs w:val="20"/>
          <w:lang w:val="en-US"/>
        </w:rPr>
        <w:t>rights to “personal integrity, progressive autonomy, reproducti</w:t>
      </w:r>
      <w:r w:rsidR="00455997" w:rsidRPr="00785D06">
        <w:rPr>
          <w:sz w:val="20"/>
          <w:szCs w:val="20"/>
          <w:lang w:val="en-US"/>
        </w:rPr>
        <w:t>ve freedom [,] to a life free from</w:t>
      </w:r>
      <w:r w:rsidR="00C254BF" w:rsidRPr="00785D06">
        <w:rPr>
          <w:sz w:val="20"/>
          <w:szCs w:val="20"/>
          <w:lang w:val="en-US"/>
        </w:rPr>
        <w:t xml:space="preserve"> gender-based violence,”  to health and to education, enshrined in Articles 5, 7, 11, 13, 19 an</w:t>
      </w:r>
      <w:r w:rsidRPr="00785D06">
        <w:rPr>
          <w:sz w:val="20"/>
          <w:szCs w:val="20"/>
          <w:lang w:val="en-US"/>
        </w:rPr>
        <w:t>d 26 of the American Convention;</w:t>
      </w:r>
      <w:r w:rsidR="00C254BF" w:rsidRPr="00785D06">
        <w:rPr>
          <w:sz w:val="20"/>
          <w:szCs w:val="20"/>
          <w:lang w:val="en-US"/>
        </w:rPr>
        <w:t xml:space="preserve"> 13 of the Protocol of San Salvador</w:t>
      </w:r>
      <w:r w:rsidRPr="00785D06">
        <w:rPr>
          <w:sz w:val="20"/>
          <w:szCs w:val="20"/>
          <w:lang w:val="en-US"/>
        </w:rPr>
        <w:t>;</w:t>
      </w:r>
      <w:r w:rsidR="00C254BF" w:rsidRPr="00785D06">
        <w:rPr>
          <w:b/>
          <w:lang w:val="en-US"/>
        </w:rPr>
        <w:t xml:space="preserve"> </w:t>
      </w:r>
      <w:r w:rsidR="00C254BF" w:rsidRPr="00785D06">
        <w:rPr>
          <w:sz w:val="20"/>
          <w:szCs w:val="20"/>
          <w:lang w:val="en-US"/>
        </w:rPr>
        <w:t xml:space="preserve">and 7 of the </w:t>
      </w:r>
      <w:r w:rsidR="00B97F8F" w:rsidRPr="00785D06">
        <w:rPr>
          <w:sz w:val="20"/>
          <w:szCs w:val="20"/>
          <w:lang w:val="en-US"/>
        </w:rPr>
        <w:t>Belém do Pará Convention</w:t>
      </w:r>
      <w:r w:rsidR="00C254BF" w:rsidRPr="00785D06">
        <w:rPr>
          <w:sz w:val="20"/>
          <w:szCs w:val="20"/>
          <w:lang w:val="en-US"/>
        </w:rPr>
        <w:t xml:space="preserve">. In their final written arguments </w:t>
      </w:r>
      <w:r w:rsidRPr="00785D06">
        <w:rPr>
          <w:sz w:val="20"/>
          <w:szCs w:val="20"/>
          <w:lang w:val="en-US"/>
        </w:rPr>
        <w:t xml:space="preserve">they </w:t>
      </w:r>
      <w:r w:rsidR="00C254BF" w:rsidRPr="00785D06">
        <w:rPr>
          <w:sz w:val="20"/>
          <w:szCs w:val="20"/>
          <w:lang w:val="en-US"/>
        </w:rPr>
        <w:t xml:space="preserve">alleged that Article 13 of the American Convention, </w:t>
      </w:r>
      <w:r w:rsidRPr="00785D06">
        <w:rPr>
          <w:sz w:val="20"/>
          <w:szCs w:val="20"/>
          <w:lang w:val="en-US"/>
        </w:rPr>
        <w:t xml:space="preserve">which </w:t>
      </w:r>
      <w:r w:rsidR="00C254BF" w:rsidRPr="00785D06">
        <w:rPr>
          <w:sz w:val="20"/>
          <w:szCs w:val="20"/>
          <w:lang w:val="en-US"/>
        </w:rPr>
        <w:t xml:space="preserve">recognizes the “right to freedom of thought and expression,” was </w:t>
      </w:r>
      <w:r w:rsidRPr="00785D06">
        <w:rPr>
          <w:sz w:val="20"/>
          <w:szCs w:val="20"/>
          <w:lang w:val="en-US"/>
        </w:rPr>
        <w:t xml:space="preserve">also </w:t>
      </w:r>
      <w:r w:rsidR="00C254BF" w:rsidRPr="00785D06">
        <w:rPr>
          <w:sz w:val="20"/>
          <w:szCs w:val="20"/>
          <w:lang w:val="en-US"/>
        </w:rPr>
        <w:t>violated</w:t>
      </w:r>
      <w:r w:rsidRPr="00785D06">
        <w:rPr>
          <w:sz w:val="20"/>
          <w:szCs w:val="20"/>
          <w:lang w:val="en-US"/>
        </w:rPr>
        <w:t>,</w:t>
      </w:r>
      <w:r w:rsidR="00C254BF" w:rsidRPr="00785D06">
        <w:rPr>
          <w:sz w:val="20"/>
          <w:szCs w:val="20"/>
          <w:lang w:val="en-US"/>
        </w:rPr>
        <w:t xml:space="preserve"> </w:t>
      </w:r>
      <w:r w:rsidRPr="00785D06">
        <w:rPr>
          <w:sz w:val="20"/>
          <w:szCs w:val="20"/>
          <w:lang w:val="en-US"/>
        </w:rPr>
        <w:t xml:space="preserve">through </w:t>
      </w:r>
      <w:r w:rsidR="00060237" w:rsidRPr="00785D06">
        <w:rPr>
          <w:sz w:val="20"/>
          <w:szCs w:val="20"/>
          <w:lang w:val="en-US"/>
        </w:rPr>
        <w:t xml:space="preserve">her </w:t>
      </w:r>
      <w:r w:rsidR="00C254BF" w:rsidRPr="00785D06">
        <w:rPr>
          <w:sz w:val="20"/>
          <w:szCs w:val="20"/>
          <w:lang w:val="en-US"/>
        </w:rPr>
        <w:t>stigmatiz</w:t>
      </w:r>
      <w:r w:rsidRPr="00785D06">
        <w:rPr>
          <w:sz w:val="20"/>
          <w:szCs w:val="20"/>
          <w:lang w:val="en-US"/>
        </w:rPr>
        <w:t xml:space="preserve">ation in </w:t>
      </w:r>
      <w:r w:rsidR="00C254BF" w:rsidRPr="00785D06">
        <w:rPr>
          <w:sz w:val="20"/>
          <w:szCs w:val="20"/>
          <w:lang w:val="en-US"/>
        </w:rPr>
        <w:t xml:space="preserve">the media </w:t>
      </w:r>
      <w:r w:rsidR="00060237" w:rsidRPr="00785D06">
        <w:rPr>
          <w:sz w:val="20"/>
          <w:szCs w:val="20"/>
          <w:lang w:val="en-US"/>
        </w:rPr>
        <w:t>based on the events</w:t>
      </w:r>
      <w:r w:rsidR="00C254BF" w:rsidRPr="00785D06">
        <w:rPr>
          <w:sz w:val="20"/>
          <w:szCs w:val="20"/>
          <w:lang w:val="en-US"/>
        </w:rPr>
        <w:t xml:space="preserve">. They </w:t>
      </w:r>
      <w:r w:rsidR="00060237" w:rsidRPr="00785D06">
        <w:rPr>
          <w:sz w:val="20"/>
          <w:szCs w:val="20"/>
          <w:lang w:val="en-US"/>
        </w:rPr>
        <w:t xml:space="preserve">supported their assertion by citing, </w:t>
      </w:r>
      <w:r w:rsidR="00060237" w:rsidRPr="00785D06">
        <w:rPr>
          <w:i/>
          <w:sz w:val="20"/>
          <w:szCs w:val="20"/>
          <w:lang w:val="en-US"/>
        </w:rPr>
        <w:t>inter alia</w:t>
      </w:r>
      <w:r w:rsidR="00060237" w:rsidRPr="00785D06">
        <w:rPr>
          <w:sz w:val="20"/>
          <w:szCs w:val="20"/>
          <w:lang w:val="en-US"/>
        </w:rPr>
        <w:t>, the duty</w:t>
      </w:r>
      <w:r w:rsidR="00C254BF" w:rsidRPr="00785D06">
        <w:rPr>
          <w:sz w:val="20"/>
          <w:szCs w:val="20"/>
          <w:lang w:val="en-US"/>
        </w:rPr>
        <w:t xml:space="preserve"> of journalists “to confirm, in a reasonable manner, the facts on which their opinion</w:t>
      </w:r>
      <w:r w:rsidR="00060237" w:rsidRPr="00785D06">
        <w:rPr>
          <w:sz w:val="20"/>
          <w:szCs w:val="20"/>
          <w:lang w:val="en-US"/>
        </w:rPr>
        <w:t>s</w:t>
      </w:r>
      <w:r w:rsidR="00C254BF" w:rsidRPr="00785D06">
        <w:rPr>
          <w:sz w:val="20"/>
          <w:szCs w:val="20"/>
          <w:lang w:val="en-US"/>
        </w:rPr>
        <w:t xml:space="preserve"> are based.” </w:t>
      </w:r>
    </w:p>
    <w:p w14:paraId="5472F11C" w14:textId="77777777" w:rsidR="00C254BF" w:rsidRPr="00785D06" w:rsidRDefault="00C254BF" w:rsidP="00C254BF">
      <w:pPr>
        <w:jc w:val="both"/>
        <w:rPr>
          <w:sz w:val="20"/>
          <w:szCs w:val="20"/>
          <w:lang w:val="en-US"/>
        </w:rPr>
      </w:pPr>
    </w:p>
    <w:p w14:paraId="58989051"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The representatives also alleged that Paola suffered torture. They argued that “</w:t>
      </w:r>
      <w:r w:rsidR="00CE4495" w:rsidRPr="00785D06">
        <w:rPr>
          <w:sz w:val="20"/>
          <w:szCs w:val="20"/>
          <w:lang w:val="en-US"/>
        </w:rPr>
        <w:t>the</w:t>
      </w:r>
      <w:r w:rsidRPr="00785D06">
        <w:rPr>
          <w:sz w:val="20"/>
          <w:szCs w:val="20"/>
          <w:lang w:val="en-US"/>
        </w:rPr>
        <w:t xml:space="preserve"> constant sexual harassment [she] </w:t>
      </w:r>
      <w:r w:rsidR="00CE4495" w:rsidRPr="00785D06">
        <w:rPr>
          <w:sz w:val="20"/>
          <w:szCs w:val="20"/>
          <w:lang w:val="en-US"/>
        </w:rPr>
        <w:t>endured</w:t>
      </w:r>
      <w:r w:rsidRPr="00785D06">
        <w:rPr>
          <w:sz w:val="20"/>
          <w:szCs w:val="20"/>
          <w:lang w:val="en-US"/>
        </w:rPr>
        <w:t xml:space="preserve">, perpetrated by the </w:t>
      </w:r>
      <w:r w:rsidR="0097298A" w:rsidRPr="00785D06">
        <w:rPr>
          <w:sz w:val="20"/>
          <w:szCs w:val="20"/>
          <w:lang w:val="en-US"/>
        </w:rPr>
        <w:t>vice principal</w:t>
      </w:r>
      <w:r w:rsidRPr="00785D06">
        <w:rPr>
          <w:sz w:val="20"/>
          <w:szCs w:val="20"/>
          <w:lang w:val="en-US"/>
        </w:rPr>
        <w:t xml:space="preserve"> […] qualifies as an act of torture that culminated </w:t>
      </w:r>
      <w:r w:rsidR="00CE4495" w:rsidRPr="00785D06">
        <w:rPr>
          <w:sz w:val="20"/>
          <w:szCs w:val="20"/>
          <w:lang w:val="en-US"/>
        </w:rPr>
        <w:t xml:space="preserve">in </w:t>
      </w:r>
      <w:r w:rsidR="001D630A" w:rsidRPr="00785D06">
        <w:rPr>
          <w:sz w:val="20"/>
          <w:szCs w:val="20"/>
          <w:lang w:val="en-US"/>
        </w:rPr>
        <w:t xml:space="preserve">the ultimate </w:t>
      </w:r>
      <w:r w:rsidRPr="00785D06">
        <w:rPr>
          <w:sz w:val="20"/>
          <w:szCs w:val="20"/>
          <w:lang w:val="en-US"/>
        </w:rPr>
        <w:t xml:space="preserve">expression of </w:t>
      </w:r>
      <w:r w:rsidR="00CE4495" w:rsidRPr="00785D06">
        <w:rPr>
          <w:sz w:val="20"/>
          <w:szCs w:val="20"/>
          <w:lang w:val="en-US"/>
        </w:rPr>
        <w:t xml:space="preserve">Paola’s </w:t>
      </w:r>
      <w:r w:rsidRPr="00785D06">
        <w:rPr>
          <w:sz w:val="20"/>
          <w:szCs w:val="20"/>
          <w:lang w:val="en-US"/>
        </w:rPr>
        <w:t>suffering: her suicide</w:t>
      </w:r>
      <w:r w:rsidR="00622CB4" w:rsidRPr="00785D06">
        <w:rPr>
          <w:sz w:val="20"/>
          <w:szCs w:val="20"/>
          <w:lang w:val="en-US"/>
        </w:rPr>
        <w:t>.”</w:t>
      </w:r>
      <w:r w:rsidRPr="00785D06">
        <w:rPr>
          <w:sz w:val="20"/>
          <w:szCs w:val="20"/>
          <w:lang w:val="en-US"/>
        </w:rPr>
        <w:t xml:space="preserve"> They considered that </w:t>
      </w:r>
      <w:r w:rsidR="00060237" w:rsidRPr="00785D06">
        <w:rPr>
          <w:sz w:val="20"/>
          <w:szCs w:val="20"/>
          <w:lang w:val="en-US"/>
        </w:rPr>
        <w:t xml:space="preserve">in this case </w:t>
      </w:r>
      <w:r w:rsidRPr="00785D06">
        <w:rPr>
          <w:sz w:val="20"/>
          <w:szCs w:val="20"/>
          <w:lang w:val="en-US"/>
        </w:rPr>
        <w:t>the “constituent elements” of torture</w:t>
      </w:r>
      <w:r w:rsidR="00060237" w:rsidRPr="00785D06">
        <w:rPr>
          <w:sz w:val="20"/>
          <w:szCs w:val="20"/>
          <w:lang w:val="en-US"/>
        </w:rPr>
        <w:t xml:space="preserve"> were present, namely</w:t>
      </w:r>
      <w:r w:rsidRPr="00785D06">
        <w:rPr>
          <w:sz w:val="20"/>
          <w:szCs w:val="20"/>
          <w:lang w:val="en-US"/>
        </w:rPr>
        <w:t xml:space="preserve">: a) an intentional act; b) </w:t>
      </w:r>
      <w:r w:rsidR="00060237" w:rsidRPr="00785D06">
        <w:rPr>
          <w:sz w:val="20"/>
          <w:szCs w:val="20"/>
          <w:lang w:val="en-US"/>
        </w:rPr>
        <w:t xml:space="preserve">one </w:t>
      </w:r>
      <w:r w:rsidRPr="00785D06">
        <w:rPr>
          <w:sz w:val="20"/>
          <w:szCs w:val="20"/>
          <w:lang w:val="en-US"/>
        </w:rPr>
        <w:t>that cause</w:t>
      </w:r>
      <w:r w:rsidR="00060237" w:rsidRPr="00785D06">
        <w:rPr>
          <w:sz w:val="20"/>
          <w:szCs w:val="20"/>
          <w:lang w:val="en-US"/>
        </w:rPr>
        <w:t>s</w:t>
      </w:r>
      <w:r w:rsidRPr="00785D06">
        <w:rPr>
          <w:sz w:val="20"/>
          <w:szCs w:val="20"/>
          <w:lang w:val="en-US"/>
        </w:rPr>
        <w:t xml:space="preserve"> severe suffering, and c) committed with a specific aim or purpose. </w:t>
      </w:r>
      <w:r w:rsidR="00060237" w:rsidRPr="00785D06">
        <w:rPr>
          <w:sz w:val="20"/>
          <w:szCs w:val="20"/>
          <w:lang w:val="en-US"/>
        </w:rPr>
        <w:t>They e</w:t>
      </w:r>
      <w:r w:rsidRPr="00785D06">
        <w:rPr>
          <w:sz w:val="20"/>
          <w:szCs w:val="20"/>
          <w:lang w:val="en-US"/>
        </w:rPr>
        <w:t xml:space="preserve">xplained </w:t>
      </w:r>
      <w:r w:rsidR="00060237" w:rsidRPr="00785D06">
        <w:rPr>
          <w:sz w:val="20"/>
          <w:szCs w:val="20"/>
          <w:lang w:val="en-US"/>
        </w:rPr>
        <w:t>that</w:t>
      </w:r>
      <w:r w:rsidRPr="00785D06">
        <w:rPr>
          <w:sz w:val="20"/>
          <w:szCs w:val="20"/>
          <w:lang w:val="en-US"/>
        </w:rPr>
        <w:t xml:space="preserve">: a) the acts of </w:t>
      </w:r>
      <w:r w:rsidR="00060237" w:rsidRPr="00785D06">
        <w:rPr>
          <w:sz w:val="20"/>
          <w:szCs w:val="20"/>
          <w:lang w:val="en-US"/>
        </w:rPr>
        <w:t xml:space="preserve">harassment perpetrated against </w:t>
      </w:r>
      <w:r w:rsidRPr="00785D06">
        <w:rPr>
          <w:sz w:val="20"/>
          <w:szCs w:val="20"/>
          <w:lang w:val="en-US"/>
        </w:rPr>
        <w:t>Paola were intentional; b) the</w:t>
      </w:r>
      <w:r w:rsidR="00060237" w:rsidRPr="00785D06">
        <w:rPr>
          <w:sz w:val="20"/>
          <w:szCs w:val="20"/>
          <w:lang w:val="en-US"/>
        </w:rPr>
        <w:t>ir</w:t>
      </w:r>
      <w:r w:rsidRPr="00785D06">
        <w:rPr>
          <w:sz w:val="20"/>
          <w:szCs w:val="20"/>
          <w:lang w:val="en-US"/>
        </w:rPr>
        <w:t xml:space="preserve"> “severity” “was reflected (1) in the nature of the acts to which she was subjected, (2) [in] the victim’s situation of special vulnerability and (3) [in] her suicide as the final </w:t>
      </w:r>
      <w:r w:rsidR="00455997" w:rsidRPr="00785D06">
        <w:rPr>
          <w:sz w:val="20"/>
          <w:szCs w:val="20"/>
          <w:lang w:val="en-US"/>
        </w:rPr>
        <w:t xml:space="preserve">expression </w:t>
      </w:r>
      <w:r w:rsidRPr="00785D06">
        <w:rPr>
          <w:sz w:val="20"/>
          <w:szCs w:val="20"/>
          <w:lang w:val="en-US"/>
        </w:rPr>
        <w:t xml:space="preserve">of suffering to which an adolescent girl, in her </w:t>
      </w:r>
      <w:r w:rsidR="00060237" w:rsidRPr="00785D06">
        <w:rPr>
          <w:sz w:val="20"/>
          <w:szCs w:val="20"/>
          <w:lang w:val="en-US"/>
        </w:rPr>
        <w:t>situation</w:t>
      </w:r>
      <w:r w:rsidRPr="00785D06">
        <w:rPr>
          <w:sz w:val="20"/>
          <w:szCs w:val="20"/>
          <w:lang w:val="en-US"/>
        </w:rPr>
        <w:t xml:space="preserve">, </w:t>
      </w:r>
      <w:r w:rsidR="00060237" w:rsidRPr="00785D06">
        <w:rPr>
          <w:sz w:val="20"/>
          <w:szCs w:val="20"/>
          <w:lang w:val="en-US"/>
        </w:rPr>
        <w:t>was subjected</w:t>
      </w:r>
      <w:r w:rsidRPr="00785D06">
        <w:rPr>
          <w:sz w:val="20"/>
          <w:szCs w:val="20"/>
          <w:lang w:val="en-US"/>
        </w:rPr>
        <w:t xml:space="preserve">,” and c) the “specific purpose” of the </w:t>
      </w:r>
      <w:r w:rsidR="0097298A" w:rsidRPr="00785D06">
        <w:rPr>
          <w:sz w:val="20"/>
          <w:szCs w:val="20"/>
          <w:lang w:val="en-US"/>
        </w:rPr>
        <w:t>vice principal</w:t>
      </w:r>
      <w:r w:rsidRPr="00785D06">
        <w:rPr>
          <w:sz w:val="20"/>
          <w:szCs w:val="20"/>
          <w:lang w:val="en-US"/>
        </w:rPr>
        <w:t xml:space="preserve"> was to “sexually abuse Paola, taking advantage of the relationship of power </w:t>
      </w:r>
      <w:r w:rsidR="00060237" w:rsidRPr="00785D06">
        <w:rPr>
          <w:sz w:val="20"/>
          <w:szCs w:val="20"/>
          <w:lang w:val="en-US"/>
        </w:rPr>
        <w:t xml:space="preserve">that existed </w:t>
      </w:r>
      <w:r w:rsidRPr="00785D06">
        <w:rPr>
          <w:sz w:val="20"/>
          <w:szCs w:val="20"/>
          <w:lang w:val="en-US"/>
        </w:rPr>
        <w:t>between them.”</w:t>
      </w:r>
      <w:r w:rsidRPr="00785D06">
        <w:rPr>
          <w:b/>
          <w:lang w:val="en-US"/>
        </w:rPr>
        <w:t xml:space="preserve"> </w:t>
      </w:r>
      <w:r w:rsidRPr="00785D06">
        <w:rPr>
          <w:sz w:val="20"/>
          <w:szCs w:val="20"/>
          <w:lang w:val="en-US"/>
        </w:rPr>
        <w:t>The</w:t>
      </w:r>
      <w:r w:rsidR="00060237" w:rsidRPr="00785D06">
        <w:rPr>
          <w:sz w:val="20"/>
          <w:szCs w:val="20"/>
          <w:lang w:val="en-US"/>
        </w:rPr>
        <w:t xml:space="preserve"> representatives </w:t>
      </w:r>
      <w:r w:rsidRPr="00785D06">
        <w:rPr>
          <w:sz w:val="20"/>
          <w:szCs w:val="20"/>
          <w:lang w:val="en-US"/>
        </w:rPr>
        <w:t>considered</w:t>
      </w:r>
      <w:r w:rsidRPr="00785D06">
        <w:rPr>
          <w:b/>
          <w:lang w:val="en-US"/>
        </w:rPr>
        <w:t xml:space="preserve"> </w:t>
      </w:r>
      <w:r w:rsidRPr="00785D06">
        <w:rPr>
          <w:sz w:val="20"/>
          <w:szCs w:val="20"/>
          <w:lang w:val="en-US"/>
        </w:rPr>
        <w:t xml:space="preserve">that the State violated her right to personal integrity </w:t>
      </w:r>
      <w:r w:rsidR="00060237" w:rsidRPr="00785D06">
        <w:rPr>
          <w:sz w:val="20"/>
          <w:szCs w:val="20"/>
          <w:lang w:val="en-US"/>
        </w:rPr>
        <w:t xml:space="preserve">in relation to </w:t>
      </w:r>
      <w:r w:rsidRPr="00785D06">
        <w:rPr>
          <w:sz w:val="20"/>
          <w:szCs w:val="20"/>
          <w:lang w:val="en-US"/>
        </w:rPr>
        <w:t>the prohibition of torture, in breach of Articles 5(2) of the Convention and 1 of the Inter-American Convention to Prevent and Punish Torture.</w:t>
      </w:r>
      <w:r w:rsidRPr="00785D06">
        <w:rPr>
          <w:b/>
          <w:lang w:val="en-US"/>
        </w:rPr>
        <w:t xml:space="preserve"> </w:t>
      </w:r>
    </w:p>
    <w:p w14:paraId="6FE568C3" w14:textId="77777777" w:rsidR="00C254BF" w:rsidRPr="00785D06" w:rsidRDefault="00C254BF" w:rsidP="00C254BF">
      <w:pPr>
        <w:pStyle w:val="Prrafodelista"/>
        <w:ind w:left="0"/>
        <w:contextualSpacing w:val="0"/>
        <w:jc w:val="both"/>
        <w:rPr>
          <w:sz w:val="20"/>
          <w:szCs w:val="20"/>
          <w:lang w:val="en-US"/>
        </w:rPr>
      </w:pPr>
    </w:p>
    <w:p w14:paraId="4EF0EBE9"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Regarding the alleged sexual violence </w:t>
      </w:r>
      <w:r w:rsidR="00034C44" w:rsidRPr="00785D06">
        <w:rPr>
          <w:sz w:val="20"/>
          <w:szCs w:val="20"/>
          <w:lang w:val="en-US"/>
        </w:rPr>
        <w:t xml:space="preserve">perpetrated </w:t>
      </w:r>
      <w:r w:rsidRPr="00785D06">
        <w:rPr>
          <w:sz w:val="20"/>
          <w:szCs w:val="20"/>
          <w:lang w:val="en-US"/>
        </w:rPr>
        <w:t>against Paola,</w:t>
      </w:r>
      <w:r w:rsidRPr="00785D06">
        <w:rPr>
          <w:b/>
          <w:i/>
          <w:sz w:val="20"/>
          <w:szCs w:val="20"/>
          <w:lang w:val="en-US"/>
        </w:rPr>
        <w:t xml:space="preserve"> </w:t>
      </w:r>
      <w:r w:rsidRPr="00785D06">
        <w:rPr>
          <w:sz w:val="20"/>
          <w:szCs w:val="20"/>
          <w:lang w:val="en-US"/>
        </w:rPr>
        <w:t xml:space="preserve">the </w:t>
      </w:r>
      <w:r w:rsidRPr="00785D06">
        <w:rPr>
          <w:b/>
          <w:i/>
          <w:sz w:val="20"/>
          <w:szCs w:val="20"/>
          <w:lang w:val="en-US"/>
        </w:rPr>
        <w:t>State</w:t>
      </w:r>
      <w:r w:rsidRPr="00785D06">
        <w:rPr>
          <w:sz w:val="20"/>
          <w:szCs w:val="20"/>
          <w:lang w:val="en-US"/>
        </w:rPr>
        <w:t xml:space="preserve"> argued that it c</w:t>
      </w:r>
      <w:r w:rsidR="00034C44" w:rsidRPr="00785D06">
        <w:rPr>
          <w:sz w:val="20"/>
          <w:szCs w:val="20"/>
          <w:lang w:val="en-US"/>
        </w:rPr>
        <w:t>ould not “offer a legal definition” of</w:t>
      </w:r>
      <w:r w:rsidRPr="00785D06">
        <w:rPr>
          <w:sz w:val="20"/>
          <w:szCs w:val="20"/>
          <w:lang w:val="en-US"/>
        </w:rPr>
        <w:t xml:space="preserve"> the relationship between her and the </w:t>
      </w:r>
      <w:r w:rsidR="0097298A" w:rsidRPr="00785D06">
        <w:rPr>
          <w:sz w:val="20"/>
          <w:szCs w:val="20"/>
          <w:lang w:val="en-US"/>
        </w:rPr>
        <w:t>vice principal</w:t>
      </w:r>
      <w:r w:rsidR="007E086F" w:rsidRPr="00785D06">
        <w:rPr>
          <w:sz w:val="20"/>
          <w:szCs w:val="20"/>
          <w:lang w:val="en-US"/>
        </w:rPr>
        <w:t>;</w:t>
      </w:r>
      <w:r w:rsidRPr="00785D06">
        <w:rPr>
          <w:sz w:val="20"/>
          <w:szCs w:val="20"/>
          <w:lang w:val="en-US"/>
        </w:rPr>
        <w:t xml:space="preserve"> </w:t>
      </w:r>
      <w:r w:rsidR="00034C44" w:rsidRPr="00785D06">
        <w:rPr>
          <w:sz w:val="20"/>
          <w:szCs w:val="20"/>
          <w:lang w:val="en-US"/>
        </w:rPr>
        <w:t xml:space="preserve">therefore </w:t>
      </w:r>
      <w:r w:rsidR="007E086F" w:rsidRPr="00785D06">
        <w:rPr>
          <w:sz w:val="20"/>
          <w:szCs w:val="20"/>
          <w:lang w:val="en-US"/>
        </w:rPr>
        <w:t>it c</w:t>
      </w:r>
      <w:r w:rsidR="00034C44" w:rsidRPr="00785D06">
        <w:rPr>
          <w:sz w:val="20"/>
          <w:szCs w:val="20"/>
          <w:lang w:val="en-US"/>
        </w:rPr>
        <w:t xml:space="preserve">ould not accept </w:t>
      </w:r>
      <w:r w:rsidRPr="00785D06">
        <w:rPr>
          <w:sz w:val="20"/>
          <w:szCs w:val="20"/>
          <w:lang w:val="en-US"/>
        </w:rPr>
        <w:t>or deny that th</w:t>
      </w:r>
      <w:r w:rsidR="00034C44" w:rsidRPr="00785D06">
        <w:rPr>
          <w:sz w:val="20"/>
          <w:szCs w:val="20"/>
          <w:lang w:val="en-US"/>
        </w:rPr>
        <w:t xml:space="preserve">eir </w:t>
      </w:r>
      <w:r w:rsidRPr="00785D06">
        <w:rPr>
          <w:sz w:val="20"/>
          <w:szCs w:val="20"/>
          <w:lang w:val="en-US"/>
        </w:rPr>
        <w:t xml:space="preserve">relationship was “improper” or constituted sexual harassment, or </w:t>
      </w:r>
      <w:r w:rsidR="00034C44" w:rsidRPr="00785D06">
        <w:rPr>
          <w:sz w:val="20"/>
          <w:szCs w:val="20"/>
          <w:lang w:val="en-US"/>
        </w:rPr>
        <w:t xml:space="preserve">harassment </w:t>
      </w:r>
      <w:r w:rsidRPr="00785D06">
        <w:rPr>
          <w:sz w:val="20"/>
          <w:szCs w:val="20"/>
          <w:lang w:val="en-US"/>
        </w:rPr>
        <w:t>of another type.</w:t>
      </w:r>
      <w:r w:rsidRPr="00785D06">
        <w:rPr>
          <w:rStyle w:val="Refdenotaalpie"/>
          <w:sz w:val="20"/>
          <w:szCs w:val="20"/>
          <w:lang w:val="en-US"/>
        </w:rPr>
        <w:footnoteReference w:id="90"/>
      </w:r>
      <w:r w:rsidRPr="00785D06">
        <w:rPr>
          <w:sz w:val="20"/>
          <w:szCs w:val="20"/>
          <w:lang w:val="en-US"/>
        </w:rPr>
        <w:t xml:space="preserve">  </w:t>
      </w:r>
    </w:p>
    <w:p w14:paraId="0B973937" w14:textId="77777777" w:rsidR="00C254BF" w:rsidRPr="00785D06" w:rsidRDefault="00C254BF" w:rsidP="00C254BF">
      <w:pPr>
        <w:jc w:val="both"/>
        <w:rPr>
          <w:rFonts w:eastAsia="Verdana" w:cs="Verdana"/>
          <w:color w:val="000000"/>
          <w:sz w:val="20"/>
          <w:szCs w:val="20"/>
          <w:lang w:val="en-US"/>
        </w:rPr>
      </w:pPr>
    </w:p>
    <w:p w14:paraId="437AB837"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Verdana" w:cs="Verdana"/>
          <w:color w:val="000000"/>
          <w:sz w:val="20"/>
          <w:szCs w:val="20"/>
          <w:lang w:val="en-US"/>
        </w:rPr>
        <w:t xml:space="preserve">Nevertheless, the State </w:t>
      </w:r>
      <w:r w:rsidR="00034C44" w:rsidRPr="00785D06">
        <w:rPr>
          <w:rFonts w:eastAsia="Verdana" w:cs="Verdana"/>
          <w:color w:val="000000"/>
          <w:sz w:val="20"/>
          <w:szCs w:val="20"/>
          <w:lang w:val="en-US"/>
        </w:rPr>
        <w:t xml:space="preserve">acknowledged </w:t>
      </w:r>
      <w:r w:rsidRPr="00785D06">
        <w:rPr>
          <w:rFonts w:eastAsia="Verdana" w:cs="Verdana"/>
          <w:color w:val="000000"/>
          <w:sz w:val="20"/>
          <w:szCs w:val="20"/>
          <w:lang w:val="en-US"/>
        </w:rPr>
        <w:t>that,</w:t>
      </w:r>
      <w:r w:rsidR="00034C44" w:rsidRPr="00785D06">
        <w:rPr>
          <w:rFonts w:eastAsia="Verdana" w:cs="Verdana"/>
          <w:color w:val="000000"/>
          <w:sz w:val="20"/>
          <w:szCs w:val="20"/>
          <w:lang w:val="en-US"/>
        </w:rPr>
        <w:t xml:space="preserve"> at the time of the facts of this</w:t>
      </w:r>
      <w:r w:rsidRPr="00785D06">
        <w:rPr>
          <w:rFonts w:eastAsia="Verdana" w:cs="Verdana"/>
          <w:color w:val="000000"/>
          <w:sz w:val="20"/>
          <w:szCs w:val="20"/>
          <w:lang w:val="en-US"/>
        </w:rPr>
        <w:t xml:space="preserve"> case, </w:t>
      </w:r>
      <w:r w:rsidR="00034C44" w:rsidRPr="00785D06">
        <w:rPr>
          <w:rFonts w:eastAsia="Verdana" w:cs="Verdana"/>
          <w:color w:val="000000"/>
          <w:sz w:val="20"/>
          <w:szCs w:val="20"/>
          <w:lang w:val="en-US"/>
        </w:rPr>
        <w:t xml:space="preserve">it had </w:t>
      </w:r>
      <w:r w:rsidRPr="00785D06">
        <w:rPr>
          <w:rFonts w:eastAsia="Verdana" w:cs="Verdana"/>
          <w:color w:val="000000"/>
          <w:sz w:val="20"/>
          <w:szCs w:val="20"/>
          <w:lang w:val="en-US"/>
        </w:rPr>
        <w:t>“no</w:t>
      </w:r>
      <w:r w:rsidR="00034C44" w:rsidRPr="00785D06">
        <w:rPr>
          <w:rFonts w:eastAsia="Verdana" w:cs="Verdana"/>
          <w:color w:val="000000"/>
          <w:sz w:val="20"/>
          <w:szCs w:val="20"/>
          <w:lang w:val="en-US"/>
        </w:rPr>
        <w:t>t</w:t>
      </w:r>
      <w:r w:rsidRPr="00785D06">
        <w:rPr>
          <w:rFonts w:eastAsia="Verdana" w:cs="Verdana"/>
          <w:color w:val="000000"/>
          <w:sz w:val="20"/>
          <w:szCs w:val="20"/>
          <w:lang w:val="en-US"/>
        </w:rPr>
        <w:t xml:space="preserve"> </w:t>
      </w:r>
      <w:r w:rsidR="00034C44" w:rsidRPr="00785D06">
        <w:rPr>
          <w:rFonts w:eastAsia="Verdana" w:cs="Verdana"/>
          <w:color w:val="000000"/>
          <w:sz w:val="20"/>
          <w:szCs w:val="20"/>
          <w:lang w:val="en-US"/>
        </w:rPr>
        <w:t xml:space="preserve">implemented </w:t>
      </w:r>
      <w:r w:rsidRPr="00785D06">
        <w:rPr>
          <w:rFonts w:eastAsia="Verdana" w:cs="Verdana"/>
          <w:color w:val="000000"/>
          <w:sz w:val="20"/>
          <w:szCs w:val="20"/>
          <w:lang w:val="en-US"/>
        </w:rPr>
        <w:t xml:space="preserve">an adequate and effective public policy” to prevent sexual </w:t>
      </w:r>
      <w:r w:rsidR="007E086F" w:rsidRPr="00785D06">
        <w:rPr>
          <w:rFonts w:eastAsia="Verdana" w:cs="Verdana"/>
          <w:color w:val="000000"/>
          <w:sz w:val="20"/>
          <w:szCs w:val="20"/>
          <w:lang w:val="en-US"/>
        </w:rPr>
        <w:t xml:space="preserve">abuse </w:t>
      </w:r>
      <w:r w:rsidRPr="00785D06">
        <w:rPr>
          <w:rFonts w:eastAsia="Verdana" w:cs="Verdana"/>
          <w:color w:val="000000"/>
          <w:sz w:val="20"/>
          <w:szCs w:val="20"/>
          <w:lang w:val="en-US"/>
        </w:rPr>
        <w:t>“at the school in question</w:t>
      </w:r>
      <w:r w:rsidR="00034C44" w:rsidRPr="00785D06">
        <w:rPr>
          <w:rFonts w:eastAsia="Verdana" w:cs="Verdana"/>
          <w:color w:val="000000"/>
          <w:sz w:val="20"/>
          <w:szCs w:val="20"/>
          <w:lang w:val="en-US"/>
        </w:rPr>
        <w:t>.”</w:t>
      </w:r>
      <w:r w:rsidRPr="00785D06">
        <w:rPr>
          <w:rFonts w:eastAsia="Verdana" w:cs="Verdana"/>
          <w:color w:val="000000"/>
          <w:sz w:val="20"/>
          <w:szCs w:val="20"/>
          <w:lang w:val="en-US"/>
        </w:rPr>
        <w:t xml:space="preserve"> I</w:t>
      </w:r>
      <w:r w:rsidR="00034C44" w:rsidRPr="00785D06">
        <w:rPr>
          <w:rFonts w:eastAsia="Verdana" w:cs="Verdana"/>
          <w:color w:val="000000"/>
          <w:sz w:val="20"/>
          <w:szCs w:val="20"/>
          <w:lang w:val="en-US"/>
        </w:rPr>
        <w:t>t also recognized</w:t>
      </w:r>
      <w:r w:rsidRPr="00785D06">
        <w:rPr>
          <w:rFonts w:eastAsia="Verdana" w:cs="Verdana"/>
          <w:color w:val="000000"/>
          <w:sz w:val="20"/>
          <w:szCs w:val="20"/>
          <w:lang w:val="en-US"/>
        </w:rPr>
        <w:t xml:space="preserve"> “the absence of mechanisms </w:t>
      </w:r>
      <w:r w:rsidR="00034C44" w:rsidRPr="00785D06">
        <w:rPr>
          <w:rFonts w:eastAsia="Verdana" w:cs="Verdana"/>
          <w:color w:val="000000"/>
          <w:sz w:val="20"/>
          <w:szCs w:val="20"/>
          <w:lang w:val="en-US"/>
        </w:rPr>
        <w:t xml:space="preserve">for </w:t>
      </w:r>
      <w:r w:rsidRPr="00785D06">
        <w:rPr>
          <w:rFonts w:eastAsia="Verdana" w:cs="Verdana"/>
          <w:color w:val="000000"/>
          <w:sz w:val="20"/>
          <w:szCs w:val="20"/>
          <w:lang w:val="en-US"/>
        </w:rPr>
        <w:t>report</w:t>
      </w:r>
      <w:r w:rsidR="00034C44" w:rsidRPr="00785D06">
        <w:rPr>
          <w:rFonts w:eastAsia="Verdana" w:cs="Verdana"/>
          <w:color w:val="000000"/>
          <w:sz w:val="20"/>
          <w:szCs w:val="20"/>
          <w:lang w:val="en-US"/>
        </w:rPr>
        <w:t>ing, investigating</w:t>
      </w:r>
      <w:r w:rsidRPr="00785D06">
        <w:rPr>
          <w:rFonts w:eastAsia="Verdana" w:cs="Verdana"/>
          <w:color w:val="000000"/>
          <w:sz w:val="20"/>
          <w:szCs w:val="20"/>
          <w:lang w:val="en-US"/>
        </w:rPr>
        <w:t xml:space="preserve"> and punish</w:t>
      </w:r>
      <w:r w:rsidR="00034C44" w:rsidRPr="00785D06">
        <w:rPr>
          <w:rFonts w:eastAsia="Verdana" w:cs="Verdana"/>
          <w:color w:val="000000"/>
          <w:sz w:val="20"/>
          <w:szCs w:val="20"/>
          <w:lang w:val="en-US"/>
        </w:rPr>
        <w:t>ing</w:t>
      </w:r>
      <w:r w:rsidRPr="00785D06">
        <w:rPr>
          <w:rFonts w:eastAsia="Verdana" w:cs="Verdana"/>
          <w:color w:val="000000"/>
          <w:sz w:val="20"/>
          <w:szCs w:val="20"/>
          <w:lang w:val="en-US"/>
        </w:rPr>
        <w:t xml:space="preserve"> </w:t>
      </w:r>
      <w:r w:rsidR="00034C44" w:rsidRPr="00785D06">
        <w:rPr>
          <w:rFonts w:eastAsia="Verdana" w:cs="Verdana"/>
          <w:color w:val="000000"/>
          <w:sz w:val="20"/>
          <w:szCs w:val="20"/>
          <w:lang w:val="en-US"/>
        </w:rPr>
        <w:t>[such behavior]</w:t>
      </w:r>
      <w:r w:rsidRPr="00785D06">
        <w:rPr>
          <w:rFonts w:eastAsia="Verdana" w:cs="Verdana"/>
          <w:color w:val="000000"/>
          <w:sz w:val="20"/>
          <w:szCs w:val="20"/>
          <w:lang w:val="en-US"/>
        </w:rPr>
        <w:t>, and the lack of measures to prevent situations of sexual violence within [that] institution” (</w:t>
      </w:r>
      <w:r w:rsidRPr="00785D06">
        <w:rPr>
          <w:rFonts w:eastAsia="Verdana" w:cs="Verdana"/>
          <w:i/>
          <w:color w:val="000000"/>
          <w:sz w:val="20"/>
          <w:szCs w:val="20"/>
          <w:lang w:val="en-US"/>
        </w:rPr>
        <w:t xml:space="preserve">supra </w:t>
      </w:r>
      <w:r w:rsidRPr="00785D06">
        <w:rPr>
          <w:rFonts w:eastAsia="Verdana" w:cs="Verdana"/>
          <w:color w:val="000000"/>
          <w:sz w:val="20"/>
          <w:szCs w:val="20"/>
          <w:lang w:val="en-US"/>
        </w:rPr>
        <w:t>para. 16).</w:t>
      </w:r>
    </w:p>
    <w:p w14:paraId="55F9E986" w14:textId="77777777" w:rsidR="00C254BF" w:rsidRPr="00785D06" w:rsidRDefault="00C254BF" w:rsidP="00C254BF">
      <w:pPr>
        <w:jc w:val="both"/>
        <w:rPr>
          <w:sz w:val="20"/>
          <w:szCs w:val="20"/>
          <w:lang w:val="en-US"/>
        </w:rPr>
      </w:pPr>
    </w:p>
    <w:p w14:paraId="6F80A7D2" w14:textId="77777777" w:rsidR="00C254BF" w:rsidRPr="00785D06" w:rsidRDefault="00034C44"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The State </w:t>
      </w:r>
      <w:r w:rsidR="00C254BF" w:rsidRPr="00785D06">
        <w:rPr>
          <w:sz w:val="20"/>
          <w:szCs w:val="20"/>
          <w:lang w:val="en-US"/>
        </w:rPr>
        <w:t xml:space="preserve">also </w:t>
      </w:r>
      <w:r w:rsidR="00AF0C3E" w:rsidRPr="00785D06">
        <w:rPr>
          <w:sz w:val="20"/>
          <w:szCs w:val="20"/>
          <w:lang w:val="en-US"/>
        </w:rPr>
        <w:t xml:space="preserve">argued </w:t>
      </w:r>
      <w:r w:rsidR="00C254BF" w:rsidRPr="00785D06">
        <w:rPr>
          <w:sz w:val="20"/>
          <w:szCs w:val="20"/>
          <w:lang w:val="en-US"/>
        </w:rPr>
        <w:t xml:space="preserve">that </w:t>
      </w:r>
      <w:r w:rsidR="00AF0C3E" w:rsidRPr="00785D06">
        <w:rPr>
          <w:sz w:val="20"/>
          <w:szCs w:val="20"/>
          <w:lang w:val="en-US"/>
        </w:rPr>
        <w:t xml:space="preserve">it could </w:t>
      </w:r>
      <w:r w:rsidR="00C254BF" w:rsidRPr="00785D06">
        <w:rPr>
          <w:sz w:val="20"/>
          <w:szCs w:val="20"/>
          <w:lang w:val="en-US"/>
        </w:rPr>
        <w:t xml:space="preserve">not be held responsible for </w:t>
      </w:r>
      <w:r w:rsidR="00AF0C3E" w:rsidRPr="00785D06">
        <w:rPr>
          <w:sz w:val="20"/>
          <w:szCs w:val="20"/>
          <w:lang w:val="en-US"/>
        </w:rPr>
        <w:t xml:space="preserve">Paola’s </w:t>
      </w:r>
      <w:r w:rsidR="00C254BF" w:rsidRPr="00785D06">
        <w:rPr>
          <w:sz w:val="20"/>
          <w:szCs w:val="20"/>
          <w:lang w:val="en-US"/>
        </w:rPr>
        <w:t>suicide. First</w:t>
      </w:r>
      <w:r w:rsidR="00414030" w:rsidRPr="00785D06">
        <w:rPr>
          <w:sz w:val="20"/>
          <w:szCs w:val="20"/>
          <w:lang w:val="en-US"/>
        </w:rPr>
        <w:t xml:space="preserve">, it </w:t>
      </w:r>
      <w:r w:rsidR="00DA45ED" w:rsidRPr="00785D06">
        <w:rPr>
          <w:sz w:val="20"/>
          <w:szCs w:val="20"/>
          <w:lang w:val="en-US"/>
        </w:rPr>
        <w:t xml:space="preserve">considered </w:t>
      </w:r>
      <w:r w:rsidR="00414030" w:rsidRPr="00785D06">
        <w:rPr>
          <w:sz w:val="20"/>
          <w:szCs w:val="20"/>
          <w:lang w:val="en-US"/>
        </w:rPr>
        <w:t xml:space="preserve">that </w:t>
      </w:r>
      <w:r w:rsidR="006B13C6" w:rsidRPr="00785D06">
        <w:rPr>
          <w:sz w:val="20"/>
          <w:szCs w:val="20"/>
          <w:lang w:val="en-US"/>
        </w:rPr>
        <w:t>it could not be held acco</w:t>
      </w:r>
      <w:r w:rsidR="007E086F" w:rsidRPr="00785D06">
        <w:rPr>
          <w:sz w:val="20"/>
          <w:szCs w:val="20"/>
          <w:lang w:val="en-US"/>
        </w:rPr>
        <w:t>untable for causing her suicide</w:t>
      </w:r>
      <w:r w:rsidR="006B13C6" w:rsidRPr="00785D06">
        <w:rPr>
          <w:sz w:val="20"/>
          <w:szCs w:val="20"/>
          <w:lang w:val="en-US"/>
        </w:rPr>
        <w:t xml:space="preserve"> because </w:t>
      </w:r>
      <w:r w:rsidR="00C254BF" w:rsidRPr="00785D06">
        <w:rPr>
          <w:sz w:val="20"/>
          <w:szCs w:val="20"/>
          <w:lang w:val="en-US"/>
        </w:rPr>
        <w:t xml:space="preserve">“suicides do not have a single cause [,] but </w:t>
      </w:r>
      <w:r w:rsidR="00DA45ED" w:rsidRPr="00785D06">
        <w:rPr>
          <w:sz w:val="20"/>
          <w:szCs w:val="20"/>
          <w:lang w:val="en-US"/>
        </w:rPr>
        <w:t xml:space="preserve">are the </w:t>
      </w:r>
      <w:r w:rsidR="00414030" w:rsidRPr="00785D06">
        <w:rPr>
          <w:sz w:val="20"/>
          <w:szCs w:val="20"/>
          <w:lang w:val="en-US"/>
        </w:rPr>
        <w:t xml:space="preserve">result </w:t>
      </w:r>
      <w:r w:rsidR="00DA45ED" w:rsidRPr="00785D06">
        <w:rPr>
          <w:sz w:val="20"/>
          <w:szCs w:val="20"/>
          <w:lang w:val="en-US"/>
        </w:rPr>
        <w:t xml:space="preserve">of </w:t>
      </w:r>
      <w:r w:rsidR="00C254BF" w:rsidRPr="00785D06">
        <w:rPr>
          <w:sz w:val="20"/>
          <w:szCs w:val="20"/>
          <w:lang w:val="en-US"/>
        </w:rPr>
        <w:t>a sequence of events</w:t>
      </w:r>
      <w:r w:rsidR="00DA45ED" w:rsidRPr="00785D06">
        <w:rPr>
          <w:sz w:val="20"/>
          <w:szCs w:val="20"/>
          <w:lang w:val="en-US"/>
        </w:rPr>
        <w:t>.</w:t>
      </w:r>
      <w:r w:rsidR="00414030" w:rsidRPr="00785D06">
        <w:rPr>
          <w:sz w:val="20"/>
          <w:szCs w:val="20"/>
          <w:lang w:val="en-US"/>
        </w:rPr>
        <w:t>”</w:t>
      </w:r>
      <w:r w:rsidR="00C254BF" w:rsidRPr="00785D06">
        <w:rPr>
          <w:sz w:val="20"/>
          <w:szCs w:val="20"/>
          <w:lang w:val="en-US"/>
        </w:rPr>
        <w:t xml:space="preserve"> </w:t>
      </w:r>
      <w:r w:rsidR="00DA45ED" w:rsidRPr="00785D06">
        <w:rPr>
          <w:sz w:val="20"/>
          <w:szCs w:val="20"/>
          <w:lang w:val="en-US"/>
        </w:rPr>
        <w:t xml:space="preserve">It </w:t>
      </w:r>
      <w:r w:rsidR="00414030" w:rsidRPr="00785D06">
        <w:rPr>
          <w:sz w:val="20"/>
          <w:szCs w:val="20"/>
          <w:lang w:val="en-US"/>
        </w:rPr>
        <w:t>add</w:t>
      </w:r>
      <w:r w:rsidR="00DA45ED" w:rsidRPr="00785D06">
        <w:rPr>
          <w:sz w:val="20"/>
          <w:szCs w:val="20"/>
          <w:lang w:val="en-US"/>
        </w:rPr>
        <w:t xml:space="preserve">ed </w:t>
      </w:r>
      <w:r w:rsidR="00414030" w:rsidRPr="00785D06">
        <w:rPr>
          <w:sz w:val="20"/>
          <w:szCs w:val="20"/>
          <w:lang w:val="en-US"/>
        </w:rPr>
        <w:t>that “it is</w:t>
      </w:r>
      <w:r w:rsidR="006B13C6" w:rsidRPr="00785D06">
        <w:rPr>
          <w:sz w:val="20"/>
          <w:szCs w:val="20"/>
          <w:lang w:val="en-US"/>
        </w:rPr>
        <w:t xml:space="preserve"> the individual who takes the</w:t>
      </w:r>
      <w:r w:rsidR="00C254BF" w:rsidRPr="00785D06">
        <w:rPr>
          <w:sz w:val="20"/>
          <w:szCs w:val="20"/>
          <w:lang w:val="en-US"/>
        </w:rPr>
        <w:t xml:space="preserve"> decision and </w:t>
      </w:r>
      <w:r w:rsidR="006B13C6" w:rsidRPr="00785D06">
        <w:rPr>
          <w:sz w:val="20"/>
          <w:szCs w:val="20"/>
          <w:lang w:val="en-US"/>
        </w:rPr>
        <w:t>acts to cause his own</w:t>
      </w:r>
      <w:r w:rsidR="00C254BF" w:rsidRPr="00785D06">
        <w:rPr>
          <w:sz w:val="20"/>
          <w:szCs w:val="20"/>
          <w:lang w:val="en-US"/>
        </w:rPr>
        <w:t xml:space="preserve"> physical death</w:t>
      </w:r>
      <w:r w:rsidR="006B13C6" w:rsidRPr="00785D06">
        <w:rPr>
          <w:sz w:val="20"/>
          <w:szCs w:val="20"/>
          <w:lang w:val="en-US"/>
        </w:rPr>
        <w:t>.”</w:t>
      </w:r>
      <w:r w:rsidR="00C254BF" w:rsidRPr="00785D06">
        <w:rPr>
          <w:sz w:val="20"/>
          <w:szCs w:val="20"/>
          <w:lang w:val="en-US"/>
        </w:rPr>
        <w:t xml:space="preserve"> </w:t>
      </w:r>
      <w:r w:rsidR="006B13C6" w:rsidRPr="00785D06">
        <w:rPr>
          <w:sz w:val="20"/>
          <w:szCs w:val="20"/>
          <w:lang w:val="en-US"/>
        </w:rPr>
        <w:t xml:space="preserve">Therefore, </w:t>
      </w:r>
      <w:r w:rsidR="00C254BF" w:rsidRPr="00785D06">
        <w:rPr>
          <w:sz w:val="20"/>
          <w:szCs w:val="20"/>
          <w:lang w:val="en-US"/>
        </w:rPr>
        <w:t xml:space="preserve">“it cannot be affirmed that the girl’s suicide was solely the result of the </w:t>
      </w:r>
      <w:r w:rsidR="003F3DC9" w:rsidRPr="00785D06">
        <w:rPr>
          <w:sz w:val="20"/>
          <w:szCs w:val="20"/>
          <w:lang w:val="en-US"/>
        </w:rPr>
        <w:t xml:space="preserve">alleged </w:t>
      </w:r>
      <w:r w:rsidR="00C254BF" w:rsidRPr="00785D06">
        <w:rPr>
          <w:sz w:val="20"/>
          <w:szCs w:val="20"/>
          <w:lang w:val="en-US"/>
        </w:rPr>
        <w:t>sexual aggression suffered at the school.” Furthermore, the State</w:t>
      </w:r>
      <w:r w:rsidR="003F3DC9" w:rsidRPr="00785D06">
        <w:rPr>
          <w:sz w:val="20"/>
          <w:szCs w:val="20"/>
          <w:lang w:val="en-US"/>
        </w:rPr>
        <w:t xml:space="preserve"> insisted that</w:t>
      </w:r>
      <w:r w:rsidR="00C254BF" w:rsidRPr="00785D06">
        <w:rPr>
          <w:sz w:val="20"/>
          <w:szCs w:val="20"/>
          <w:lang w:val="en-US"/>
        </w:rPr>
        <w:t xml:space="preserve">: a) </w:t>
      </w:r>
      <w:r w:rsidR="003F3DC9" w:rsidRPr="00785D06">
        <w:rPr>
          <w:sz w:val="20"/>
          <w:szCs w:val="20"/>
          <w:lang w:val="en-US"/>
        </w:rPr>
        <w:t xml:space="preserve">it </w:t>
      </w:r>
      <w:r w:rsidR="00C254BF" w:rsidRPr="00785D06">
        <w:rPr>
          <w:sz w:val="20"/>
          <w:szCs w:val="20"/>
          <w:lang w:val="en-US"/>
        </w:rPr>
        <w:t>fulfilled i</w:t>
      </w:r>
      <w:r w:rsidR="003F3DC9" w:rsidRPr="00785D06">
        <w:rPr>
          <w:sz w:val="20"/>
          <w:szCs w:val="20"/>
          <w:lang w:val="en-US"/>
        </w:rPr>
        <w:t xml:space="preserve">ts duty of “protection” since it </w:t>
      </w:r>
      <w:r w:rsidR="00C254BF" w:rsidRPr="00785D06">
        <w:rPr>
          <w:sz w:val="20"/>
          <w:szCs w:val="20"/>
          <w:lang w:val="en-US"/>
        </w:rPr>
        <w:t xml:space="preserve">has a regulatory system </w:t>
      </w:r>
      <w:r w:rsidR="00DA45ED" w:rsidRPr="00785D06">
        <w:rPr>
          <w:sz w:val="20"/>
          <w:szCs w:val="20"/>
          <w:lang w:val="en-US"/>
        </w:rPr>
        <w:t xml:space="preserve">that protects </w:t>
      </w:r>
      <w:r w:rsidR="00C254BF" w:rsidRPr="00785D06">
        <w:rPr>
          <w:sz w:val="20"/>
          <w:szCs w:val="20"/>
          <w:lang w:val="en-US"/>
        </w:rPr>
        <w:t xml:space="preserve">the right to life, and b) </w:t>
      </w:r>
      <w:r w:rsidR="00DA45ED" w:rsidRPr="00785D06">
        <w:rPr>
          <w:sz w:val="20"/>
          <w:szCs w:val="20"/>
          <w:lang w:val="en-US"/>
        </w:rPr>
        <w:t>it fulfilled its duty of “care” because</w:t>
      </w:r>
      <w:r w:rsidR="00C254BF" w:rsidRPr="00785D06">
        <w:rPr>
          <w:sz w:val="20"/>
          <w:szCs w:val="20"/>
          <w:lang w:val="en-US"/>
        </w:rPr>
        <w:t xml:space="preserve"> Paola “received emergency medical </w:t>
      </w:r>
      <w:r w:rsidR="00DA45ED" w:rsidRPr="00785D06">
        <w:rPr>
          <w:sz w:val="20"/>
          <w:szCs w:val="20"/>
          <w:lang w:val="en-US"/>
        </w:rPr>
        <w:t xml:space="preserve">assistance </w:t>
      </w:r>
      <w:r w:rsidR="00C254BF" w:rsidRPr="00785D06">
        <w:rPr>
          <w:sz w:val="20"/>
          <w:szCs w:val="20"/>
          <w:lang w:val="en-US"/>
        </w:rPr>
        <w:t xml:space="preserve">approximately four hours after </w:t>
      </w:r>
      <w:r w:rsidR="00DA45ED" w:rsidRPr="00785D06">
        <w:rPr>
          <w:sz w:val="20"/>
          <w:szCs w:val="20"/>
          <w:lang w:val="en-US"/>
        </w:rPr>
        <w:t xml:space="preserve">she swallowed </w:t>
      </w:r>
      <w:r w:rsidR="00C254BF" w:rsidRPr="00785D06">
        <w:rPr>
          <w:sz w:val="20"/>
          <w:szCs w:val="20"/>
          <w:lang w:val="en-US"/>
        </w:rPr>
        <w:t xml:space="preserve">the white phosphorus, and less than an hour </w:t>
      </w:r>
      <w:r w:rsidR="00DA45ED" w:rsidRPr="00785D06">
        <w:rPr>
          <w:sz w:val="20"/>
          <w:szCs w:val="20"/>
          <w:lang w:val="en-US"/>
        </w:rPr>
        <w:t xml:space="preserve">after </w:t>
      </w:r>
      <w:r w:rsidR="00C254BF" w:rsidRPr="00785D06">
        <w:rPr>
          <w:sz w:val="20"/>
          <w:szCs w:val="20"/>
          <w:lang w:val="en-US"/>
        </w:rPr>
        <w:t xml:space="preserve">the school authorities were </w:t>
      </w:r>
      <w:r w:rsidR="00DA45ED" w:rsidRPr="00785D06">
        <w:rPr>
          <w:sz w:val="20"/>
          <w:szCs w:val="20"/>
          <w:lang w:val="en-US"/>
        </w:rPr>
        <w:t xml:space="preserve">made </w:t>
      </w:r>
      <w:r w:rsidR="00C254BF" w:rsidRPr="00785D06">
        <w:rPr>
          <w:sz w:val="20"/>
          <w:szCs w:val="20"/>
          <w:lang w:val="en-US"/>
        </w:rPr>
        <w:t>aware of the fact.”</w:t>
      </w:r>
      <w:r w:rsidR="00C254BF" w:rsidRPr="00785D06">
        <w:rPr>
          <w:b/>
          <w:lang w:val="en-US"/>
        </w:rPr>
        <w:t xml:space="preserve"> </w:t>
      </w:r>
      <w:r w:rsidR="00C254BF" w:rsidRPr="00785D06">
        <w:rPr>
          <w:sz w:val="20"/>
          <w:szCs w:val="20"/>
          <w:lang w:val="en-US"/>
        </w:rPr>
        <w:t>Regarding the latter, Ecuador emphasized that: i.- “owing to the amount of white phosphorus swallowed, the</w:t>
      </w:r>
      <w:r w:rsidR="00DA45ED" w:rsidRPr="00785D06">
        <w:rPr>
          <w:sz w:val="20"/>
          <w:szCs w:val="20"/>
          <w:lang w:val="en-US"/>
        </w:rPr>
        <w:t>re was a high</w:t>
      </w:r>
      <w:r w:rsidR="00C254BF" w:rsidRPr="00785D06">
        <w:rPr>
          <w:sz w:val="20"/>
          <w:szCs w:val="20"/>
          <w:lang w:val="en-US"/>
        </w:rPr>
        <w:t xml:space="preserve"> probability of a </w:t>
      </w:r>
      <w:r w:rsidR="00DA45ED" w:rsidRPr="00785D06">
        <w:rPr>
          <w:sz w:val="20"/>
          <w:szCs w:val="20"/>
          <w:lang w:val="en-US"/>
        </w:rPr>
        <w:t>fatal outcome,</w:t>
      </w:r>
      <w:r w:rsidR="00C254BF" w:rsidRPr="00785D06">
        <w:rPr>
          <w:sz w:val="20"/>
          <w:szCs w:val="20"/>
          <w:lang w:val="en-US"/>
        </w:rPr>
        <w:t xml:space="preserve"> even if [Paola] had received immediate </w:t>
      </w:r>
      <w:r w:rsidR="00DA45ED" w:rsidRPr="00785D06">
        <w:rPr>
          <w:sz w:val="20"/>
          <w:szCs w:val="20"/>
          <w:lang w:val="en-US"/>
        </w:rPr>
        <w:t xml:space="preserve">medical care </w:t>
      </w:r>
      <w:r w:rsidR="00C254BF" w:rsidRPr="00785D06">
        <w:rPr>
          <w:sz w:val="20"/>
          <w:szCs w:val="20"/>
          <w:lang w:val="en-US"/>
        </w:rPr>
        <w:t>after swallowing the poison</w:t>
      </w:r>
      <w:r w:rsidR="007E086F" w:rsidRPr="00785D06">
        <w:rPr>
          <w:sz w:val="20"/>
          <w:szCs w:val="20"/>
          <w:lang w:val="en-US"/>
        </w:rPr>
        <w:t>,”</w:t>
      </w:r>
      <w:r w:rsidR="00C254BF" w:rsidRPr="00785D06">
        <w:rPr>
          <w:sz w:val="20"/>
          <w:szCs w:val="20"/>
          <w:lang w:val="en-US"/>
        </w:rPr>
        <w:t xml:space="preserve"> and ii.- “the duty of care of an educational institution cannot be </w:t>
      </w:r>
      <w:r w:rsidR="00DA45ED" w:rsidRPr="00785D06">
        <w:rPr>
          <w:sz w:val="20"/>
          <w:szCs w:val="20"/>
          <w:lang w:val="en-US"/>
        </w:rPr>
        <w:t xml:space="preserve">equated with the </w:t>
      </w:r>
      <w:r w:rsidR="00C254BF" w:rsidRPr="00785D06">
        <w:rPr>
          <w:sz w:val="20"/>
          <w:szCs w:val="20"/>
          <w:lang w:val="en-US"/>
        </w:rPr>
        <w:t xml:space="preserve">duty of care </w:t>
      </w:r>
      <w:r w:rsidR="00DA45ED" w:rsidRPr="00785D06">
        <w:rPr>
          <w:sz w:val="20"/>
          <w:szCs w:val="20"/>
          <w:lang w:val="en-US"/>
        </w:rPr>
        <w:t xml:space="preserve">of </w:t>
      </w:r>
      <w:r w:rsidR="00C254BF" w:rsidRPr="00785D06">
        <w:rPr>
          <w:sz w:val="20"/>
          <w:szCs w:val="20"/>
          <w:lang w:val="en-US"/>
        </w:rPr>
        <w:t>a health institution.”</w:t>
      </w:r>
      <w:r w:rsidR="00C254BF" w:rsidRPr="00785D06">
        <w:rPr>
          <w:b/>
          <w:lang w:val="en-US"/>
        </w:rPr>
        <w:t xml:space="preserve"> </w:t>
      </w:r>
      <w:r w:rsidR="00DA45ED" w:rsidRPr="00785D06">
        <w:rPr>
          <w:sz w:val="20"/>
          <w:szCs w:val="20"/>
          <w:lang w:val="en-US"/>
        </w:rPr>
        <w:t>Consequently</w:t>
      </w:r>
      <w:r w:rsidR="00C254BF" w:rsidRPr="00785D06">
        <w:rPr>
          <w:sz w:val="20"/>
          <w:szCs w:val="20"/>
          <w:lang w:val="en-US"/>
        </w:rPr>
        <w:t>, Ecuador denied its responsibility for the violation of the right to life established in Article 4 of the Convention.</w:t>
      </w:r>
      <w:r w:rsidR="00C254BF" w:rsidRPr="00785D06">
        <w:rPr>
          <w:b/>
          <w:lang w:val="en-US"/>
        </w:rPr>
        <w:t xml:space="preserve"> </w:t>
      </w:r>
    </w:p>
    <w:p w14:paraId="35B323F1" w14:textId="77777777" w:rsidR="00C254BF" w:rsidRPr="00785D06" w:rsidRDefault="00C254BF" w:rsidP="00C254BF">
      <w:pPr>
        <w:pStyle w:val="Prrafodelista"/>
        <w:ind w:left="0"/>
        <w:contextualSpacing w:val="0"/>
        <w:jc w:val="both"/>
        <w:rPr>
          <w:sz w:val="20"/>
          <w:szCs w:val="20"/>
          <w:lang w:val="en-US"/>
        </w:rPr>
      </w:pPr>
    </w:p>
    <w:p w14:paraId="3476A9BF" w14:textId="77777777" w:rsidR="00C254BF" w:rsidRPr="00785D06" w:rsidRDefault="00B864F9"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As to </w:t>
      </w:r>
      <w:r w:rsidR="00C254BF" w:rsidRPr="00785D06">
        <w:rPr>
          <w:sz w:val="20"/>
          <w:szCs w:val="20"/>
          <w:lang w:val="en-US"/>
        </w:rPr>
        <w:t xml:space="preserve">the representatives’ arguments </w:t>
      </w:r>
      <w:r w:rsidRPr="00785D06">
        <w:rPr>
          <w:sz w:val="20"/>
          <w:szCs w:val="20"/>
          <w:lang w:val="en-US"/>
        </w:rPr>
        <w:t xml:space="preserve">regarding </w:t>
      </w:r>
      <w:r w:rsidR="00C254BF" w:rsidRPr="00785D06">
        <w:rPr>
          <w:sz w:val="20"/>
          <w:szCs w:val="20"/>
          <w:lang w:val="en-US"/>
        </w:rPr>
        <w:t xml:space="preserve">the supposed effects on </w:t>
      </w:r>
      <w:r w:rsidR="007C331F" w:rsidRPr="00785D06">
        <w:rPr>
          <w:sz w:val="20"/>
          <w:szCs w:val="20"/>
          <w:lang w:val="en-US"/>
        </w:rPr>
        <w:t xml:space="preserve">the victim’s </w:t>
      </w:r>
      <w:r w:rsidR="00C254BF" w:rsidRPr="00785D06">
        <w:rPr>
          <w:sz w:val="20"/>
          <w:szCs w:val="20"/>
          <w:lang w:val="en-US"/>
        </w:rPr>
        <w:t xml:space="preserve">reproductive health, Ecuador denied the </w:t>
      </w:r>
      <w:r w:rsidR="00C66F59" w:rsidRPr="00785D06">
        <w:rPr>
          <w:sz w:val="20"/>
          <w:szCs w:val="20"/>
          <w:lang w:val="en-US"/>
        </w:rPr>
        <w:t xml:space="preserve">factual grounds for assuming </w:t>
      </w:r>
      <w:r w:rsidR="00C254BF" w:rsidRPr="00785D06">
        <w:rPr>
          <w:sz w:val="20"/>
          <w:szCs w:val="20"/>
          <w:lang w:val="en-US"/>
        </w:rPr>
        <w:t xml:space="preserve">that Paola had been coerced into </w:t>
      </w:r>
      <w:r w:rsidR="00C66F59" w:rsidRPr="00785D06">
        <w:rPr>
          <w:sz w:val="20"/>
          <w:szCs w:val="20"/>
          <w:lang w:val="en-US"/>
        </w:rPr>
        <w:t xml:space="preserve">terminating </w:t>
      </w:r>
      <w:r w:rsidR="00C254BF" w:rsidRPr="00785D06">
        <w:rPr>
          <w:sz w:val="20"/>
          <w:szCs w:val="20"/>
          <w:lang w:val="en-US"/>
        </w:rPr>
        <w:t>her pregnancy, given that, according to the relevant documentary evidence, “</w:t>
      </w:r>
      <w:r w:rsidR="007C331F" w:rsidRPr="00785D06">
        <w:rPr>
          <w:sz w:val="20"/>
          <w:szCs w:val="20"/>
          <w:lang w:val="en-US"/>
        </w:rPr>
        <w:t>it is not possible to establish</w:t>
      </w:r>
      <w:r w:rsidR="00C254BF" w:rsidRPr="00785D06">
        <w:rPr>
          <w:sz w:val="20"/>
          <w:szCs w:val="20"/>
          <w:lang w:val="en-US"/>
        </w:rPr>
        <w:t xml:space="preserve"> or </w:t>
      </w:r>
      <w:r w:rsidR="007C331F" w:rsidRPr="00785D06">
        <w:rPr>
          <w:sz w:val="20"/>
          <w:szCs w:val="20"/>
          <w:lang w:val="en-US"/>
        </w:rPr>
        <w:t xml:space="preserve">determine </w:t>
      </w:r>
      <w:r w:rsidR="00C254BF" w:rsidRPr="00785D06">
        <w:rPr>
          <w:sz w:val="20"/>
          <w:szCs w:val="20"/>
          <w:lang w:val="en-US"/>
        </w:rPr>
        <w:t xml:space="preserve">the existence of </w:t>
      </w:r>
      <w:r w:rsidR="00BA139B" w:rsidRPr="00785D06">
        <w:rPr>
          <w:sz w:val="20"/>
          <w:szCs w:val="20"/>
          <w:lang w:val="en-GB"/>
        </w:rPr>
        <w:t xml:space="preserve">[her] </w:t>
      </w:r>
      <w:r w:rsidR="00C254BF" w:rsidRPr="00785D06">
        <w:rPr>
          <w:sz w:val="20"/>
          <w:szCs w:val="20"/>
          <w:lang w:val="en-US"/>
        </w:rPr>
        <w:t>pregnancy</w:t>
      </w:r>
      <w:r w:rsidR="00BA139B" w:rsidRPr="00785D06">
        <w:rPr>
          <w:sz w:val="20"/>
          <w:szCs w:val="20"/>
          <w:lang w:val="en-US"/>
        </w:rPr>
        <w:t>.</w:t>
      </w:r>
      <w:r w:rsidR="00C254BF" w:rsidRPr="00785D06">
        <w:rPr>
          <w:sz w:val="20"/>
          <w:szCs w:val="20"/>
          <w:lang w:val="en-US"/>
        </w:rPr>
        <w:t xml:space="preserve">” </w:t>
      </w:r>
      <w:r w:rsidR="007C331F" w:rsidRPr="00785D06">
        <w:rPr>
          <w:sz w:val="20"/>
          <w:szCs w:val="20"/>
          <w:lang w:val="en-US"/>
        </w:rPr>
        <w:t xml:space="preserve">The State </w:t>
      </w:r>
      <w:r w:rsidR="00C254BF" w:rsidRPr="00785D06">
        <w:rPr>
          <w:sz w:val="20"/>
          <w:szCs w:val="20"/>
          <w:lang w:val="en-US"/>
        </w:rPr>
        <w:t xml:space="preserve">also held that it had fulfilled its duty </w:t>
      </w:r>
      <w:r w:rsidR="007C331F" w:rsidRPr="00785D06">
        <w:rPr>
          <w:sz w:val="20"/>
          <w:szCs w:val="20"/>
          <w:lang w:val="en-US"/>
        </w:rPr>
        <w:t xml:space="preserve">to be transparent </w:t>
      </w:r>
      <w:r w:rsidR="00C254BF" w:rsidRPr="00785D06">
        <w:rPr>
          <w:sz w:val="20"/>
          <w:szCs w:val="20"/>
          <w:lang w:val="en-US"/>
        </w:rPr>
        <w:t xml:space="preserve">in providing information on sexual and reproductive health, </w:t>
      </w:r>
      <w:r w:rsidR="007C331F" w:rsidRPr="00785D06">
        <w:rPr>
          <w:sz w:val="20"/>
          <w:szCs w:val="20"/>
          <w:lang w:val="en-US"/>
        </w:rPr>
        <w:t xml:space="preserve">and therefore did not violate </w:t>
      </w:r>
      <w:r w:rsidR="00C254BF" w:rsidRPr="00785D06">
        <w:rPr>
          <w:sz w:val="20"/>
          <w:szCs w:val="20"/>
          <w:lang w:val="en-US"/>
        </w:rPr>
        <w:t xml:space="preserve">the right </w:t>
      </w:r>
      <w:r w:rsidR="007C331F" w:rsidRPr="00785D06">
        <w:rPr>
          <w:sz w:val="20"/>
          <w:szCs w:val="20"/>
          <w:lang w:val="en-US"/>
        </w:rPr>
        <w:t xml:space="preserve">of </w:t>
      </w:r>
      <w:r w:rsidR="00C254BF" w:rsidRPr="00785D06">
        <w:rPr>
          <w:sz w:val="20"/>
          <w:szCs w:val="20"/>
          <w:lang w:val="en-US"/>
        </w:rPr>
        <w:t xml:space="preserve">access </w:t>
      </w:r>
      <w:r w:rsidR="007C331F" w:rsidRPr="00785D06">
        <w:rPr>
          <w:sz w:val="20"/>
          <w:szCs w:val="20"/>
          <w:lang w:val="en-US"/>
        </w:rPr>
        <w:t xml:space="preserve">to </w:t>
      </w:r>
      <w:r w:rsidR="00C254BF" w:rsidRPr="00785D06">
        <w:rPr>
          <w:sz w:val="20"/>
          <w:szCs w:val="20"/>
          <w:lang w:val="en-US"/>
        </w:rPr>
        <w:t xml:space="preserve">information. </w:t>
      </w:r>
    </w:p>
    <w:p w14:paraId="475ACC05" w14:textId="77777777" w:rsidR="00C254BF" w:rsidRPr="00785D06" w:rsidRDefault="00C254BF" w:rsidP="00C254BF">
      <w:pPr>
        <w:jc w:val="both"/>
        <w:rPr>
          <w:sz w:val="20"/>
          <w:szCs w:val="20"/>
          <w:lang w:val="en-US"/>
        </w:rPr>
      </w:pPr>
    </w:p>
    <w:p w14:paraId="0151A82C" w14:textId="77777777" w:rsidR="00C254BF" w:rsidRPr="00785D06" w:rsidRDefault="00412A29"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With respect to </w:t>
      </w:r>
      <w:r w:rsidR="00C254BF" w:rsidRPr="00785D06">
        <w:rPr>
          <w:sz w:val="20"/>
          <w:szCs w:val="20"/>
          <w:lang w:val="en-US"/>
        </w:rPr>
        <w:t xml:space="preserve">the arguments related to health and education, </w:t>
      </w:r>
      <w:r w:rsidR="003834B5" w:rsidRPr="00785D06">
        <w:rPr>
          <w:sz w:val="20"/>
          <w:szCs w:val="20"/>
          <w:lang w:val="en-US"/>
        </w:rPr>
        <w:t>the State argued</w:t>
      </w:r>
      <w:r w:rsidR="00C254BF" w:rsidRPr="00785D06">
        <w:rPr>
          <w:sz w:val="20"/>
          <w:szCs w:val="20"/>
          <w:lang w:val="en-US"/>
        </w:rPr>
        <w:t xml:space="preserve"> that it did not violate Article 26 of the Convention. </w:t>
      </w:r>
      <w:r w:rsidR="003834B5" w:rsidRPr="00785D06">
        <w:rPr>
          <w:sz w:val="20"/>
          <w:szCs w:val="20"/>
          <w:lang w:val="en-US"/>
        </w:rPr>
        <w:t>It c</w:t>
      </w:r>
      <w:r w:rsidR="00C254BF" w:rsidRPr="00785D06">
        <w:rPr>
          <w:sz w:val="20"/>
          <w:szCs w:val="20"/>
          <w:lang w:val="en-US"/>
        </w:rPr>
        <w:t>onsidered that the “controllable</w:t>
      </w:r>
      <w:r w:rsidR="003834B5" w:rsidRPr="00785D06">
        <w:rPr>
          <w:sz w:val="20"/>
          <w:szCs w:val="20"/>
          <w:lang w:val="en-US"/>
        </w:rPr>
        <w:t xml:space="preserve"> condition” of said a</w:t>
      </w:r>
      <w:r w:rsidR="00C254BF" w:rsidRPr="00785D06">
        <w:rPr>
          <w:sz w:val="20"/>
          <w:szCs w:val="20"/>
          <w:lang w:val="en-US"/>
        </w:rPr>
        <w:t xml:space="preserve">rticle by the Court is the </w:t>
      </w:r>
      <w:r w:rsidR="003C5F5F" w:rsidRPr="00785D06">
        <w:rPr>
          <w:sz w:val="20"/>
          <w:szCs w:val="20"/>
          <w:lang w:val="en-US"/>
        </w:rPr>
        <w:t xml:space="preserve">obligation of progressive development </w:t>
      </w:r>
      <w:r w:rsidR="00C254BF" w:rsidRPr="00785D06">
        <w:rPr>
          <w:sz w:val="20"/>
          <w:szCs w:val="20"/>
          <w:lang w:val="en-US"/>
        </w:rPr>
        <w:t xml:space="preserve">and the consequent </w:t>
      </w:r>
      <w:r w:rsidR="003C5F5F" w:rsidRPr="00785D06">
        <w:rPr>
          <w:sz w:val="20"/>
          <w:szCs w:val="20"/>
          <w:lang w:val="en-US"/>
        </w:rPr>
        <w:t>duty of non-retrogression</w:t>
      </w:r>
      <w:r w:rsidR="00C254BF" w:rsidRPr="00785D06">
        <w:rPr>
          <w:sz w:val="20"/>
          <w:szCs w:val="20"/>
          <w:lang w:val="en-US"/>
        </w:rPr>
        <w:t xml:space="preserve">. In that </w:t>
      </w:r>
      <w:r w:rsidR="003834B5" w:rsidRPr="00785D06">
        <w:rPr>
          <w:sz w:val="20"/>
          <w:szCs w:val="20"/>
          <w:lang w:val="en-US"/>
        </w:rPr>
        <w:t>regard</w:t>
      </w:r>
      <w:r w:rsidR="00C254BF" w:rsidRPr="00785D06">
        <w:rPr>
          <w:sz w:val="20"/>
          <w:szCs w:val="20"/>
          <w:lang w:val="en-US"/>
        </w:rPr>
        <w:t xml:space="preserve">, in its answering brief </w:t>
      </w:r>
      <w:r w:rsidR="003834B5" w:rsidRPr="00785D06">
        <w:rPr>
          <w:sz w:val="20"/>
          <w:szCs w:val="20"/>
          <w:lang w:val="en-US"/>
        </w:rPr>
        <w:t xml:space="preserve">it mentioned various </w:t>
      </w:r>
      <w:r w:rsidR="00C254BF" w:rsidRPr="00785D06">
        <w:rPr>
          <w:sz w:val="20"/>
          <w:szCs w:val="20"/>
          <w:lang w:val="en-US"/>
        </w:rPr>
        <w:t xml:space="preserve">policies </w:t>
      </w:r>
      <w:r w:rsidRPr="00785D06">
        <w:rPr>
          <w:sz w:val="20"/>
          <w:szCs w:val="20"/>
          <w:lang w:val="en-US"/>
        </w:rPr>
        <w:t xml:space="preserve">implemented </w:t>
      </w:r>
      <w:r w:rsidR="00C254BF" w:rsidRPr="00785D06">
        <w:rPr>
          <w:sz w:val="20"/>
          <w:szCs w:val="20"/>
          <w:lang w:val="en-US"/>
        </w:rPr>
        <w:t>in relation to rights of the child, health and education</w:t>
      </w:r>
      <w:r w:rsidR="00C66F59" w:rsidRPr="00785D06">
        <w:rPr>
          <w:sz w:val="20"/>
          <w:szCs w:val="20"/>
          <w:lang w:val="en-US"/>
        </w:rPr>
        <w:t>.</w:t>
      </w:r>
      <w:r w:rsidR="00C254BF" w:rsidRPr="00785D06">
        <w:rPr>
          <w:rStyle w:val="Refdenotaalpie"/>
          <w:sz w:val="20"/>
          <w:szCs w:val="20"/>
          <w:lang w:val="en-US"/>
        </w:rPr>
        <w:footnoteReference w:id="91"/>
      </w:r>
      <w:r w:rsidR="00C254BF" w:rsidRPr="00785D06">
        <w:rPr>
          <w:sz w:val="20"/>
          <w:szCs w:val="20"/>
          <w:lang w:val="en-US"/>
        </w:rPr>
        <w:t xml:space="preserve">  </w:t>
      </w:r>
    </w:p>
    <w:p w14:paraId="34AD56FC" w14:textId="77777777" w:rsidR="00C254BF" w:rsidRPr="00785D06" w:rsidRDefault="00C254BF" w:rsidP="00C254BF">
      <w:pPr>
        <w:jc w:val="both"/>
        <w:rPr>
          <w:sz w:val="20"/>
          <w:szCs w:val="20"/>
          <w:lang w:val="en-US"/>
        </w:rPr>
      </w:pPr>
    </w:p>
    <w:p w14:paraId="78EEC175"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Ecuador </w:t>
      </w:r>
      <w:r w:rsidR="00BA139B" w:rsidRPr="00785D06">
        <w:rPr>
          <w:sz w:val="20"/>
          <w:szCs w:val="20"/>
          <w:lang w:val="en-US"/>
        </w:rPr>
        <w:t xml:space="preserve">further argued </w:t>
      </w:r>
      <w:r w:rsidRPr="00785D06">
        <w:rPr>
          <w:sz w:val="20"/>
          <w:szCs w:val="20"/>
          <w:lang w:val="en-US"/>
        </w:rPr>
        <w:t>that is not responsible for acts of torture. It pointed out that the facts to which the case refers (</w:t>
      </w:r>
      <w:r w:rsidR="00412A29" w:rsidRPr="00785D06">
        <w:rPr>
          <w:sz w:val="20"/>
          <w:szCs w:val="20"/>
          <w:lang w:val="en-US"/>
        </w:rPr>
        <w:t xml:space="preserve">which </w:t>
      </w:r>
      <w:r w:rsidRPr="00785D06">
        <w:rPr>
          <w:sz w:val="20"/>
          <w:szCs w:val="20"/>
          <w:lang w:val="en-US"/>
        </w:rPr>
        <w:t xml:space="preserve">have been investigated </w:t>
      </w:r>
      <w:r w:rsidR="00412A29" w:rsidRPr="00785D06">
        <w:rPr>
          <w:sz w:val="20"/>
          <w:szCs w:val="20"/>
          <w:lang w:val="en-US"/>
        </w:rPr>
        <w:t xml:space="preserve">by the </w:t>
      </w:r>
      <w:r w:rsidRPr="00785D06">
        <w:rPr>
          <w:sz w:val="20"/>
          <w:szCs w:val="20"/>
          <w:lang w:val="en-US"/>
        </w:rPr>
        <w:t>domestic system) refer to “alleged sexual harassment</w:t>
      </w:r>
      <w:r w:rsidR="00412A29" w:rsidRPr="00785D06">
        <w:rPr>
          <w:sz w:val="20"/>
          <w:szCs w:val="20"/>
          <w:lang w:val="en-US"/>
        </w:rPr>
        <w:t>,”</w:t>
      </w:r>
      <w:r w:rsidRPr="00785D06">
        <w:rPr>
          <w:sz w:val="20"/>
          <w:szCs w:val="20"/>
          <w:lang w:val="en-US"/>
        </w:rPr>
        <w:t xml:space="preserve"> not to the “alleged crime of rape.” It argued that, although sexual harassment is an act of violence against women, it is not a “serious human rights violation.” It argued that the CEDAW Committee “has indicated that sexual violence may constitute torture or cruel, inhuman or degrading treatment, particularly in cases of rape, domestic violence or harmful traditional practices</w:t>
      </w:r>
      <w:r w:rsidR="00412A29" w:rsidRPr="00785D06">
        <w:rPr>
          <w:sz w:val="20"/>
          <w:szCs w:val="20"/>
          <w:lang w:val="en-US"/>
        </w:rPr>
        <w:t>,”</w:t>
      </w:r>
      <w:r w:rsidRPr="00785D06">
        <w:rPr>
          <w:sz w:val="20"/>
          <w:szCs w:val="20"/>
          <w:lang w:val="en-US"/>
        </w:rPr>
        <w:t xml:space="preserve"> circumstances that did not occur in this case.</w:t>
      </w:r>
      <w:r w:rsidRPr="00785D06">
        <w:rPr>
          <w:b/>
          <w:lang w:val="en-US"/>
        </w:rPr>
        <w:t xml:space="preserve"> </w:t>
      </w:r>
      <w:r w:rsidRPr="00785D06">
        <w:rPr>
          <w:sz w:val="20"/>
          <w:szCs w:val="20"/>
          <w:lang w:val="en-US"/>
        </w:rPr>
        <w:t>Therefore, the State held that it did not violate Article 5(2) of the Convention.</w:t>
      </w:r>
      <w:r w:rsidRPr="00785D06">
        <w:rPr>
          <w:b/>
          <w:lang w:val="en-US"/>
        </w:rPr>
        <w:t xml:space="preserve"> </w:t>
      </w:r>
    </w:p>
    <w:p w14:paraId="7A80AEE2" w14:textId="77777777" w:rsidR="00C254BF" w:rsidRPr="00785D06" w:rsidRDefault="00C254BF" w:rsidP="00C254BF">
      <w:pPr>
        <w:pStyle w:val="Prrafodelista"/>
        <w:ind w:left="0"/>
        <w:contextualSpacing w:val="0"/>
        <w:jc w:val="both"/>
        <w:rPr>
          <w:rFonts w:cstheme="minorBidi"/>
          <w:sz w:val="20"/>
          <w:szCs w:val="20"/>
          <w:lang w:val="en-US"/>
        </w:rPr>
      </w:pPr>
    </w:p>
    <w:p w14:paraId="35C2029F" w14:textId="77777777" w:rsidR="00C254BF" w:rsidRPr="00785D06" w:rsidRDefault="00C254BF" w:rsidP="00C254BF">
      <w:pPr>
        <w:pStyle w:val="Prrafodelista"/>
        <w:numPr>
          <w:ilvl w:val="0"/>
          <w:numId w:val="33"/>
        </w:numPr>
        <w:ind w:left="284" w:firstLine="0"/>
        <w:jc w:val="both"/>
        <w:outlineLvl w:val="1"/>
        <w:rPr>
          <w:b/>
          <w:i/>
          <w:sz w:val="20"/>
          <w:szCs w:val="20"/>
          <w:lang w:val="en-US"/>
        </w:rPr>
      </w:pPr>
      <w:bookmarkStart w:id="103" w:name="_Toc41906220"/>
      <w:bookmarkStart w:id="104" w:name="_Toc42498048"/>
      <w:bookmarkStart w:id="105" w:name="_Toc46937296"/>
      <w:r w:rsidRPr="00785D06">
        <w:rPr>
          <w:b/>
          <w:i/>
          <w:sz w:val="20"/>
          <w:szCs w:val="20"/>
          <w:lang w:val="en-US"/>
        </w:rPr>
        <w:t>Considerations of the Court</w:t>
      </w:r>
      <w:bookmarkEnd w:id="103"/>
      <w:bookmarkEnd w:id="104"/>
      <w:bookmarkEnd w:id="105"/>
    </w:p>
    <w:p w14:paraId="6EEB649A" w14:textId="77777777" w:rsidR="00C254BF" w:rsidRPr="00785D06" w:rsidRDefault="00C254BF" w:rsidP="00C254BF">
      <w:pPr>
        <w:pStyle w:val="Prrafodelista"/>
        <w:ind w:left="0"/>
        <w:contextualSpacing w:val="0"/>
        <w:jc w:val="both"/>
        <w:rPr>
          <w:sz w:val="20"/>
          <w:szCs w:val="20"/>
          <w:lang w:val="en-US"/>
        </w:rPr>
      </w:pPr>
    </w:p>
    <w:p w14:paraId="577F55CA"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The Court has already heard several cases related to acts of violence </w:t>
      </w:r>
      <w:r w:rsidR="00412A29" w:rsidRPr="00785D06">
        <w:rPr>
          <w:sz w:val="20"/>
          <w:szCs w:val="20"/>
          <w:lang w:val="en-US"/>
        </w:rPr>
        <w:t>perpetrated against women</w:t>
      </w:r>
      <w:r w:rsidRPr="00785D06">
        <w:rPr>
          <w:rStyle w:val="Refdenotaalpie"/>
          <w:sz w:val="20"/>
          <w:szCs w:val="20"/>
          <w:lang w:val="en-US"/>
        </w:rPr>
        <w:footnoteReference w:id="92"/>
      </w:r>
      <w:r w:rsidRPr="00785D06">
        <w:rPr>
          <w:sz w:val="20"/>
          <w:szCs w:val="20"/>
          <w:lang w:val="en-US"/>
        </w:rPr>
        <w:t xml:space="preserve"> a</w:t>
      </w:r>
      <w:r w:rsidR="00412A29" w:rsidRPr="00785D06">
        <w:rPr>
          <w:sz w:val="20"/>
          <w:szCs w:val="20"/>
          <w:lang w:val="en-US"/>
        </w:rPr>
        <w:t xml:space="preserve">nd </w:t>
      </w:r>
      <w:r w:rsidRPr="00785D06">
        <w:rPr>
          <w:sz w:val="20"/>
          <w:szCs w:val="20"/>
          <w:lang w:val="en-US"/>
        </w:rPr>
        <w:t xml:space="preserve">children in different situations, </w:t>
      </w:r>
      <w:r w:rsidR="00412A29" w:rsidRPr="00785D06">
        <w:rPr>
          <w:sz w:val="20"/>
          <w:szCs w:val="20"/>
          <w:lang w:val="en-US"/>
        </w:rPr>
        <w:t>including those deprived of their liberty,</w:t>
      </w:r>
      <w:r w:rsidRPr="00785D06">
        <w:rPr>
          <w:rStyle w:val="Refdenotaalpie"/>
          <w:sz w:val="20"/>
          <w:szCs w:val="20"/>
          <w:lang w:val="en-US"/>
        </w:rPr>
        <w:footnoteReference w:id="93"/>
      </w:r>
      <w:r w:rsidRPr="00785D06">
        <w:rPr>
          <w:sz w:val="20"/>
          <w:szCs w:val="20"/>
          <w:lang w:val="en-US"/>
        </w:rPr>
        <w:t xml:space="preserve"> armed conflicts</w:t>
      </w:r>
      <w:r w:rsidR="00B85055" w:rsidRPr="00785D06">
        <w:rPr>
          <w:sz w:val="20"/>
          <w:szCs w:val="20"/>
          <w:lang w:val="en-US"/>
        </w:rPr>
        <w:t xml:space="preserve">, </w:t>
      </w:r>
      <w:r w:rsidRPr="00785D06">
        <w:rPr>
          <w:rStyle w:val="Refdenotaalpie"/>
          <w:sz w:val="20"/>
          <w:szCs w:val="20"/>
          <w:lang w:val="en-US"/>
        </w:rPr>
        <w:footnoteReference w:id="94"/>
      </w:r>
      <w:r w:rsidRPr="00785D06">
        <w:rPr>
          <w:sz w:val="20"/>
          <w:szCs w:val="20"/>
          <w:lang w:val="en-US"/>
        </w:rPr>
        <w:t>operations by security forces</w:t>
      </w:r>
      <w:r w:rsidRPr="00785D06">
        <w:rPr>
          <w:rStyle w:val="Refdenotaalpie"/>
          <w:sz w:val="20"/>
          <w:szCs w:val="20"/>
          <w:lang w:val="en-US"/>
        </w:rPr>
        <w:footnoteReference w:id="95"/>
      </w:r>
      <w:r w:rsidR="00AE29C0" w:rsidRPr="00785D06">
        <w:rPr>
          <w:sz w:val="20"/>
          <w:szCs w:val="20"/>
          <w:lang w:val="en-US"/>
        </w:rPr>
        <w:t xml:space="preserve"> and</w:t>
      </w:r>
      <w:r w:rsidRPr="00785D06">
        <w:rPr>
          <w:sz w:val="20"/>
          <w:szCs w:val="20"/>
          <w:lang w:val="en-US"/>
        </w:rPr>
        <w:t xml:space="preserve"> in the context of human migration.</w:t>
      </w:r>
      <w:r w:rsidRPr="00785D06">
        <w:rPr>
          <w:rStyle w:val="Refdenotaalpie"/>
          <w:sz w:val="20"/>
          <w:szCs w:val="20"/>
          <w:lang w:val="en-US"/>
        </w:rPr>
        <w:footnoteReference w:id="96"/>
      </w:r>
      <w:r w:rsidRPr="00785D06">
        <w:rPr>
          <w:sz w:val="20"/>
          <w:szCs w:val="20"/>
          <w:lang w:val="en-US"/>
        </w:rPr>
        <w:t xml:space="preserve"> </w:t>
      </w:r>
      <w:r w:rsidR="00412A29" w:rsidRPr="00785D06">
        <w:rPr>
          <w:sz w:val="20"/>
          <w:szCs w:val="20"/>
          <w:lang w:val="en-US"/>
        </w:rPr>
        <w:t xml:space="preserve">It has also </w:t>
      </w:r>
      <w:r w:rsidRPr="00785D06">
        <w:rPr>
          <w:sz w:val="20"/>
          <w:szCs w:val="20"/>
          <w:lang w:val="en-US"/>
        </w:rPr>
        <w:t>had an opportunity to consider cases of sexual violence against girls</w:t>
      </w:r>
      <w:r w:rsidR="00355BC2" w:rsidRPr="00785D06">
        <w:rPr>
          <w:sz w:val="20"/>
          <w:szCs w:val="20"/>
          <w:lang w:val="en-US"/>
        </w:rPr>
        <w:t>.</w:t>
      </w:r>
      <w:r w:rsidRPr="00785D06">
        <w:rPr>
          <w:rStyle w:val="Refdenotaalpie"/>
          <w:sz w:val="20"/>
          <w:szCs w:val="20"/>
          <w:lang w:val="en-US"/>
        </w:rPr>
        <w:footnoteReference w:id="97"/>
      </w:r>
      <w:r w:rsidRPr="00785D06">
        <w:rPr>
          <w:sz w:val="20"/>
          <w:szCs w:val="20"/>
          <w:lang w:val="en-US"/>
        </w:rPr>
        <w:t xml:space="preserve"> However, this is the first </w:t>
      </w:r>
      <w:r w:rsidR="00AE29C0" w:rsidRPr="00785D06">
        <w:rPr>
          <w:sz w:val="20"/>
          <w:szCs w:val="20"/>
          <w:lang w:val="en-US"/>
        </w:rPr>
        <w:t xml:space="preserve">time that the Court addresses a </w:t>
      </w:r>
      <w:r w:rsidRPr="00785D06">
        <w:rPr>
          <w:sz w:val="20"/>
          <w:szCs w:val="20"/>
          <w:lang w:val="en-US"/>
        </w:rPr>
        <w:t xml:space="preserve">case of sexual violence specifically against a girl in </w:t>
      </w:r>
      <w:r w:rsidR="00AE29C0" w:rsidRPr="00785D06">
        <w:rPr>
          <w:sz w:val="20"/>
          <w:szCs w:val="20"/>
          <w:lang w:val="en-US"/>
        </w:rPr>
        <w:t xml:space="preserve">an </w:t>
      </w:r>
      <w:r w:rsidRPr="00785D06">
        <w:rPr>
          <w:sz w:val="20"/>
          <w:szCs w:val="20"/>
          <w:lang w:val="en-US"/>
        </w:rPr>
        <w:t xml:space="preserve">educational </w:t>
      </w:r>
      <w:r w:rsidR="00AE29C0" w:rsidRPr="00785D06">
        <w:rPr>
          <w:sz w:val="20"/>
          <w:szCs w:val="20"/>
          <w:lang w:val="en-US"/>
        </w:rPr>
        <w:t>setting</w:t>
      </w:r>
      <w:r w:rsidRPr="00785D06">
        <w:rPr>
          <w:sz w:val="20"/>
          <w:szCs w:val="20"/>
          <w:lang w:val="en-US"/>
        </w:rPr>
        <w:t xml:space="preserve">. </w:t>
      </w:r>
    </w:p>
    <w:p w14:paraId="4B0B0B50" w14:textId="77777777" w:rsidR="00C254BF" w:rsidRPr="00785D06" w:rsidRDefault="00C254BF" w:rsidP="00C254BF">
      <w:pPr>
        <w:pStyle w:val="Prrafodelista"/>
        <w:rPr>
          <w:sz w:val="20"/>
          <w:szCs w:val="20"/>
          <w:lang w:val="en-US"/>
        </w:rPr>
      </w:pPr>
    </w:p>
    <w:p w14:paraId="01BDC93E" w14:textId="77777777" w:rsidR="00C254BF" w:rsidRPr="00785D06" w:rsidRDefault="00412A29" w:rsidP="00C254BF">
      <w:pPr>
        <w:pStyle w:val="Prrafodelista"/>
        <w:numPr>
          <w:ilvl w:val="0"/>
          <w:numId w:val="35"/>
        </w:numPr>
        <w:ind w:left="0" w:firstLine="0"/>
        <w:contextualSpacing w:val="0"/>
        <w:jc w:val="both"/>
        <w:rPr>
          <w:sz w:val="20"/>
          <w:szCs w:val="20"/>
          <w:lang w:val="en-US"/>
        </w:rPr>
      </w:pPr>
      <w:r w:rsidRPr="00785D06">
        <w:rPr>
          <w:sz w:val="20"/>
          <w:szCs w:val="20"/>
          <w:lang w:val="en-US"/>
        </w:rPr>
        <w:t>Furthermore</w:t>
      </w:r>
      <w:r w:rsidR="00C254BF" w:rsidRPr="00785D06">
        <w:rPr>
          <w:sz w:val="20"/>
          <w:szCs w:val="20"/>
          <w:lang w:val="en-US"/>
        </w:rPr>
        <w:t xml:space="preserve">, the Court </w:t>
      </w:r>
      <w:r w:rsidR="00AE29C0" w:rsidRPr="00785D06">
        <w:rPr>
          <w:sz w:val="20"/>
          <w:szCs w:val="20"/>
          <w:lang w:val="en-US"/>
        </w:rPr>
        <w:t>finds that this</w:t>
      </w:r>
      <w:r w:rsidR="00C254BF" w:rsidRPr="00785D06">
        <w:rPr>
          <w:sz w:val="20"/>
          <w:szCs w:val="20"/>
          <w:lang w:val="en-US"/>
        </w:rPr>
        <w:t xml:space="preserve"> case </w:t>
      </w:r>
      <w:r w:rsidR="00E367BC" w:rsidRPr="00785D06">
        <w:rPr>
          <w:sz w:val="20"/>
          <w:szCs w:val="20"/>
          <w:lang w:val="en-US"/>
        </w:rPr>
        <w:t xml:space="preserve">presents a number of </w:t>
      </w:r>
      <w:r w:rsidR="00C254BF" w:rsidRPr="00785D06">
        <w:rPr>
          <w:sz w:val="20"/>
          <w:szCs w:val="20"/>
          <w:lang w:val="en-US"/>
        </w:rPr>
        <w:t>circumstances</w:t>
      </w:r>
      <w:r w:rsidR="00E367BC" w:rsidRPr="00785D06">
        <w:rPr>
          <w:sz w:val="20"/>
          <w:szCs w:val="20"/>
          <w:lang w:val="en-US"/>
        </w:rPr>
        <w:t xml:space="preserve"> that are </w:t>
      </w:r>
      <w:r w:rsidR="00765893" w:rsidRPr="00785D06">
        <w:rPr>
          <w:sz w:val="20"/>
          <w:szCs w:val="20"/>
          <w:lang w:val="en-US"/>
        </w:rPr>
        <w:t xml:space="preserve">connected with </w:t>
      </w:r>
      <w:r w:rsidR="00E367BC" w:rsidRPr="00785D06">
        <w:rPr>
          <w:sz w:val="20"/>
          <w:szCs w:val="20"/>
          <w:lang w:val="en-US"/>
        </w:rPr>
        <w:t>each other</w:t>
      </w:r>
      <w:r w:rsidR="00C254BF" w:rsidRPr="00785D06">
        <w:rPr>
          <w:sz w:val="20"/>
          <w:szCs w:val="20"/>
          <w:lang w:val="en-US"/>
        </w:rPr>
        <w:t xml:space="preserve">. The </w:t>
      </w:r>
      <w:r w:rsidR="00E367BC" w:rsidRPr="00785D06">
        <w:rPr>
          <w:sz w:val="20"/>
          <w:szCs w:val="20"/>
          <w:lang w:val="en-US"/>
        </w:rPr>
        <w:t xml:space="preserve">various </w:t>
      </w:r>
      <w:r w:rsidR="00C254BF" w:rsidRPr="00785D06">
        <w:rPr>
          <w:sz w:val="20"/>
          <w:szCs w:val="20"/>
          <w:lang w:val="en-US"/>
        </w:rPr>
        <w:t>human rights viol</w:t>
      </w:r>
      <w:r w:rsidR="00E367BC" w:rsidRPr="00785D06">
        <w:rPr>
          <w:sz w:val="20"/>
          <w:szCs w:val="20"/>
          <w:lang w:val="en-US"/>
        </w:rPr>
        <w:t>ations alleged ar</w:t>
      </w:r>
      <w:r w:rsidR="00765893" w:rsidRPr="00785D06">
        <w:rPr>
          <w:sz w:val="20"/>
          <w:szCs w:val="20"/>
          <w:lang w:val="en-US"/>
        </w:rPr>
        <w:t>e interrelated; thus</w:t>
      </w:r>
      <w:r w:rsidR="00E367BC" w:rsidRPr="00785D06">
        <w:rPr>
          <w:sz w:val="20"/>
          <w:szCs w:val="20"/>
          <w:lang w:val="en-US"/>
        </w:rPr>
        <w:t>,</w:t>
      </w:r>
      <w:r w:rsidR="00C254BF" w:rsidRPr="00785D06">
        <w:rPr>
          <w:sz w:val="20"/>
          <w:szCs w:val="20"/>
          <w:lang w:val="en-US"/>
        </w:rPr>
        <w:t xml:space="preserve"> in part, each </w:t>
      </w:r>
      <w:r w:rsidR="00E367BC" w:rsidRPr="00785D06">
        <w:rPr>
          <w:sz w:val="20"/>
          <w:szCs w:val="20"/>
          <w:lang w:val="en-US"/>
        </w:rPr>
        <w:t xml:space="preserve">of the violations </w:t>
      </w:r>
      <w:r w:rsidR="00C254BF" w:rsidRPr="00785D06">
        <w:rPr>
          <w:sz w:val="20"/>
          <w:szCs w:val="20"/>
          <w:lang w:val="en-US"/>
        </w:rPr>
        <w:t xml:space="preserve">was </w:t>
      </w:r>
      <w:r w:rsidR="00765893" w:rsidRPr="00785D06">
        <w:rPr>
          <w:sz w:val="20"/>
          <w:szCs w:val="20"/>
          <w:lang w:val="en-US"/>
        </w:rPr>
        <w:t xml:space="preserve">caused </w:t>
      </w:r>
      <w:r w:rsidR="00E367BC" w:rsidRPr="00785D06">
        <w:rPr>
          <w:sz w:val="20"/>
          <w:szCs w:val="20"/>
          <w:lang w:val="en-US"/>
        </w:rPr>
        <w:t xml:space="preserve">by </w:t>
      </w:r>
      <w:r w:rsidR="00C254BF" w:rsidRPr="00785D06">
        <w:rPr>
          <w:sz w:val="20"/>
          <w:szCs w:val="20"/>
          <w:lang w:val="en-US"/>
        </w:rPr>
        <w:t xml:space="preserve">another or is the result </w:t>
      </w:r>
      <w:r w:rsidR="00765893" w:rsidRPr="00785D06">
        <w:rPr>
          <w:sz w:val="20"/>
          <w:szCs w:val="20"/>
          <w:lang w:val="en-US"/>
        </w:rPr>
        <w:t>of it</w:t>
      </w:r>
      <w:r w:rsidR="00C254BF" w:rsidRPr="00785D06">
        <w:rPr>
          <w:sz w:val="20"/>
          <w:szCs w:val="20"/>
          <w:lang w:val="en-US"/>
        </w:rPr>
        <w:t xml:space="preserve">. </w:t>
      </w:r>
      <w:r w:rsidR="00E367BC" w:rsidRPr="00785D06">
        <w:rPr>
          <w:sz w:val="20"/>
          <w:szCs w:val="20"/>
          <w:lang w:val="en-US"/>
        </w:rPr>
        <w:t xml:space="preserve">In other words, </w:t>
      </w:r>
      <w:r w:rsidR="00C254BF" w:rsidRPr="00785D06">
        <w:rPr>
          <w:sz w:val="20"/>
          <w:szCs w:val="20"/>
          <w:lang w:val="en-US"/>
        </w:rPr>
        <w:t xml:space="preserve">there is a close </w:t>
      </w:r>
      <w:r w:rsidR="00765893" w:rsidRPr="00785D06">
        <w:rPr>
          <w:sz w:val="20"/>
          <w:szCs w:val="20"/>
          <w:lang w:val="en-US"/>
        </w:rPr>
        <w:t xml:space="preserve">link </w:t>
      </w:r>
      <w:r w:rsidR="00C254BF" w:rsidRPr="00785D06">
        <w:rPr>
          <w:sz w:val="20"/>
          <w:szCs w:val="20"/>
          <w:lang w:val="en-US"/>
        </w:rPr>
        <w:t xml:space="preserve">between </w:t>
      </w:r>
      <w:r w:rsidR="00E367BC" w:rsidRPr="00785D06">
        <w:rPr>
          <w:sz w:val="20"/>
          <w:szCs w:val="20"/>
          <w:lang w:val="en-US"/>
        </w:rPr>
        <w:t xml:space="preserve">the </w:t>
      </w:r>
      <w:r w:rsidR="00C254BF" w:rsidRPr="00785D06">
        <w:rPr>
          <w:sz w:val="20"/>
          <w:szCs w:val="20"/>
          <w:lang w:val="en-US"/>
        </w:rPr>
        <w:t xml:space="preserve">different human rights </w:t>
      </w:r>
      <w:r w:rsidR="00355BC2" w:rsidRPr="00785D06">
        <w:rPr>
          <w:sz w:val="20"/>
          <w:szCs w:val="20"/>
          <w:lang w:val="en-US"/>
        </w:rPr>
        <w:t xml:space="preserve">violations </w:t>
      </w:r>
      <w:r w:rsidR="00765893" w:rsidRPr="00785D06">
        <w:rPr>
          <w:sz w:val="20"/>
          <w:szCs w:val="20"/>
          <w:lang w:val="en-US"/>
        </w:rPr>
        <w:t xml:space="preserve">implied </w:t>
      </w:r>
      <w:r w:rsidR="00C254BF" w:rsidRPr="00785D06">
        <w:rPr>
          <w:sz w:val="20"/>
          <w:szCs w:val="20"/>
          <w:lang w:val="en-US"/>
        </w:rPr>
        <w:t>in acts of sexual violence and the correlative obligations to ensure a</w:t>
      </w:r>
      <w:r w:rsidR="00E367BC" w:rsidRPr="00785D06">
        <w:rPr>
          <w:sz w:val="20"/>
          <w:szCs w:val="20"/>
          <w:lang w:val="en-US"/>
        </w:rPr>
        <w:t xml:space="preserve"> woman’s right to a life free from</w:t>
      </w:r>
      <w:r w:rsidR="00C254BF" w:rsidRPr="00785D06">
        <w:rPr>
          <w:sz w:val="20"/>
          <w:szCs w:val="20"/>
          <w:lang w:val="en-US"/>
        </w:rPr>
        <w:t xml:space="preserve"> violence and those related to the protection of children and the right to education.  </w:t>
      </w:r>
    </w:p>
    <w:p w14:paraId="68DE0672" w14:textId="77777777" w:rsidR="00C254BF" w:rsidRPr="00785D06" w:rsidRDefault="00C254BF" w:rsidP="00C254BF">
      <w:pPr>
        <w:pStyle w:val="Prrafodelista"/>
        <w:rPr>
          <w:sz w:val="20"/>
          <w:szCs w:val="20"/>
          <w:lang w:val="en-US"/>
        </w:rPr>
      </w:pPr>
    </w:p>
    <w:p w14:paraId="28AA22BA" w14:textId="77777777" w:rsidR="00C254BF" w:rsidRPr="00785D06" w:rsidRDefault="00717D5A" w:rsidP="00C254BF">
      <w:pPr>
        <w:pStyle w:val="Prrafodelista"/>
        <w:numPr>
          <w:ilvl w:val="0"/>
          <w:numId w:val="35"/>
        </w:numPr>
        <w:ind w:left="0" w:firstLine="0"/>
        <w:contextualSpacing w:val="0"/>
        <w:jc w:val="both"/>
        <w:rPr>
          <w:sz w:val="20"/>
          <w:szCs w:val="20"/>
          <w:lang w:val="en-US"/>
        </w:rPr>
      </w:pPr>
      <w:r w:rsidRPr="00785D06">
        <w:rPr>
          <w:sz w:val="20"/>
          <w:szCs w:val="20"/>
          <w:lang w:val="en-US"/>
        </w:rPr>
        <w:t>Bearing this in mind, the</w:t>
      </w:r>
      <w:r w:rsidR="00C254BF" w:rsidRPr="00785D06">
        <w:rPr>
          <w:sz w:val="20"/>
          <w:szCs w:val="20"/>
          <w:lang w:val="en-US"/>
        </w:rPr>
        <w:t xml:space="preserve"> Court will </w:t>
      </w:r>
      <w:r w:rsidRPr="00785D06">
        <w:rPr>
          <w:sz w:val="20"/>
          <w:szCs w:val="20"/>
          <w:lang w:val="en-US"/>
        </w:rPr>
        <w:t xml:space="preserve">proceed as follows: </w:t>
      </w:r>
      <w:r w:rsidR="00493771" w:rsidRPr="00785D06">
        <w:rPr>
          <w:sz w:val="20"/>
          <w:szCs w:val="20"/>
          <w:lang w:val="en-US"/>
        </w:rPr>
        <w:t>first</w:t>
      </w:r>
      <w:r w:rsidRPr="00785D06">
        <w:rPr>
          <w:sz w:val="20"/>
          <w:szCs w:val="20"/>
          <w:lang w:val="en-US"/>
        </w:rPr>
        <w:t>, it will</w:t>
      </w:r>
      <w:r w:rsidR="00493771" w:rsidRPr="00785D06">
        <w:rPr>
          <w:sz w:val="20"/>
          <w:szCs w:val="20"/>
          <w:lang w:val="en-US"/>
        </w:rPr>
        <w:t xml:space="preserve"> </w:t>
      </w:r>
      <w:r w:rsidR="00C254BF" w:rsidRPr="00785D06">
        <w:rPr>
          <w:sz w:val="20"/>
          <w:szCs w:val="20"/>
          <w:lang w:val="en-US"/>
        </w:rPr>
        <w:t xml:space="preserve">enumerate the </w:t>
      </w:r>
      <w:r w:rsidRPr="00785D06">
        <w:rPr>
          <w:sz w:val="20"/>
          <w:szCs w:val="20"/>
          <w:lang w:val="en-US"/>
        </w:rPr>
        <w:t xml:space="preserve">various </w:t>
      </w:r>
      <w:r w:rsidR="00C254BF" w:rsidRPr="00785D06">
        <w:rPr>
          <w:sz w:val="20"/>
          <w:szCs w:val="20"/>
          <w:lang w:val="en-US"/>
        </w:rPr>
        <w:t>rights and obligations relevant to this situation</w:t>
      </w:r>
      <w:r w:rsidRPr="00785D06">
        <w:rPr>
          <w:sz w:val="20"/>
          <w:szCs w:val="20"/>
          <w:lang w:val="en-US"/>
        </w:rPr>
        <w:t>;</w:t>
      </w:r>
      <w:r w:rsidR="00C254BF" w:rsidRPr="00785D06">
        <w:rPr>
          <w:sz w:val="20"/>
          <w:szCs w:val="20"/>
          <w:lang w:val="en-US"/>
        </w:rPr>
        <w:t xml:space="preserve"> </w:t>
      </w:r>
      <w:r w:rsidRPr="00785D06">
        <w:rPr>
          <w:sz w:val="20"/>
          <w:szCs w:val="20"/>
          <w:lang w:val="en-US"/>
        </w:rPr>
        <w:t xml:space="preserve">second, it will address </w:t>
      </w:r>
      <w:r w:rsidR="00C254BF" w:rsidRPr="00785D06">
        <w:rPr>
          <w:sz w:val="20"/>
          <w:szCs w:val="20"/>
          <w:lang w:val="en-US"/>
        </w:rPr>
        <w:t>the sexual violence suffered by Paol</w:t>
      </w:r>
      <w:r w:rsidRPr="00785D06">
        <w:rPr>
          <w:sz w:val="20"/>
          <w:szCs w:val="20"/>
          <w:lang w:val="en-US"/>
        </w:rPr>
        <w:t>a del Rosario Guzmán Albarracín; third,</w:t>
      </w:r>
      <w:r w:rsidR="00C254BF" w:rsidRPr="00785D06">
        <w:rPr>
          <w:sz w:val="20"/>
          <w:szCs w:val="20"/>
          <w:lang w:val="en-US"/>
        </w:rPr>
        <w:t xml:space="preserve"> </w:t>
      </w:r>
      <w:r w:rsidRPr="00785D06">
        <w:rPr>
          <w:sz w:val="20"/>
          <w:szCs w:val="20"/>
          <w:lang w:val="en-US"/>
        </w:rPr>
        <w:t xml:space="preserve">it </w:t>
      </w:r>
      <w:r w:rsidR="00C254BF" w:rsidRPr="00785D06">
        <w:rPr>
          <w:sz w:val="20"/>
          <w:szCs w:val="20"/>
          <w:lang w:val="en-US"/>
        </w:rPr>
        <w:t xml:space="preserve">will </w:t>
      </w:r>
      <w:r w:rsidRPr="00785D06">
        <w:rPr>
          <w:sz w:val="20"/>
          <w:szCs w:val="20"/>
          <w:lang w:val="en-US"/>
        </w:rPr>
        <w:t xml:space="preserve">consider </w:t>
      </w:r>
      <w:r w:rsidR="00C254BF" w:rsidRPr="00785D06">
        <w:rPr>
          <w:sz w:val="20"/>
          <w:szCs w:val="20"/>
          <w:lang w:val="en-US"/>
        </w:rPr>
        <w:t>the representatives</w:t>
      </w:r>
      <w:r w:rsidRPr="00785D06">
        <w:rPr>
          <w:sz w:val="20"/>
          <w:szCs w:val="20"/>
          <w:lang w:val="en-US"/>
        </w:rPr>
        <w:t>’</w:t>
      </w:r>
      <w:r w:rsidR="00C254BF" w:rsidRPr="00785D06">
        <w:rPr>
          <w:sz w:val="20"/>
          <w:szCs w:val="20"/>
          <w:lang w:val="en-US"/>
        </w:rPr>
        <w:t xml:space="preserve"> </w:t>
      </w:r>
      <w:r w:rsidRPr="00785D06">
        <w:rPr>
          <w:sz w:val="20"/>
          <w:szCs w:val="20"/>
          <w:lang w:val="en-US"/>
        </w:rPr>
        <w:t>arguments re</w:t>
      </w:r>
      <w:r w:rsidR="00C5211D" w:rsidRPr="00785D06">
        <w:rPr>
          <w:sz w:val="20"/>
          <w:szCs w:val="20"/>
          <w:lang w:val="en-US"/>
        </w:rPr>
        <w:t xml:space="preserve">garding </w:t>
      </w:r>
      <w:r w:rsidR="00C254BF" w:rsidRPr="00785D06">
        <w:rPr>
          <w:sz w:val="20"/>
          <w:szCs w:val="20"/>
          <w:lang w:val="en-US"/>
        </w:rPr>
        <w:t>the definition of the act</w:t>
      </w:r>
      <w:r w:rsidRPr="00785D06">
        <w:rPr>
          <w:sz w:val="20"/>
          <w:szCs w:val="20"/>
          <w:lang w:val="en-US"/>
        </w:rPr>
        <w:t xml:space="preserve">s </w:t>
      </w:r>
      <w:r w:rsidR="00765893" w:rsidRPr="00785D06">
        <w:rPr>
          <w:sz w:val="20"/>
          <w:szCs w:val="20"/>
          <w:lang w:val="en-US"/>
        </w:rPr>
        <w:t xml:space="preserve">committed </w:t>
      </w:r>
      <w:r w:rsidRPr="00785D06">
        <w:rPr>
          <w:sz w:val="20"/>
          <w:szCs w:val="20"/>
          <w:lang w:val="en-US"/>
        </w:rPr>
        <w:t xml:space="preserve">against </w:t>
      </w:r>
      <w:r w:rsidR="00C5211D" w:rsidRPr="00785D06">
        <w:rPr>
          <w:sz w:val="20"/>
          <w:szCs w:val="20"/>
          <w:lang w:val="en-US"/>
        </w:rPr>
        <w:t xml:space="preserve">Paola </w:t>
      </w:r>
      <w:r w:rsidRPr="00785D06">
        <w:rPr>
          <w:sz w:val="20"/>
          <w:szCs w:val="20"/>
          <w:lang w:val="en-US"/>
        </w:rPr>
        <w:t xml:space="preserve">as </w:t>
      </w:r>
      <w:r w:rsidR="00765893" w:rsidRPr="00785D06">
        <w:rPr>
          <w:sz w:val="20"/>
          <w:szCs w:val="20"/>
          <w:lang w:val="en-GB"/>
        </w:rPr>
        <w:t>‘</w:t>
      </w:r>
      <w:r w:rsidRPr="00785D06">
        <w:rPr>
          <w:sz w:val="20"/>
          <w:szCs w:val="20"/>
          <w:lang w:val="en-US"/>
        </w:rPr>
        <w:t>torture</w:t>
      </w:r>
      <w:r w:rsidR="00765893" w:rsidRPr="00785D06">
        <w:rPr>
          <w:sz w:val="20"/>
          <w:szCs w:val="20"/>
          <w:lang w:val="en-US"/>
        </w:rPr>
        <w:t>’</w:t>
      </w:r>
      <w:r w:rsidRPr="00785D06">
        <w:rPr>
          <w:sz w:val="20"/>
          <w:szCs w:val="20"/>
          <w:lang w:val="en-US"/>
        </w:rPr>
        <w:t xml:space="preserve">; fourth, it </w:t>
      </w:r>
      <w:r w:rsidR="00C5211D" w:rsidRPr="00785D06">
        <w:rPr>
          <w:sz w:val="20"/>
          <w:szCs w:val="20"/>
          <w:lang w:val="en-US"/>
        </w:rPr>
        <w:t xml:space="preserve">will examine </w:t>
      </w:r>
      <w:r w:rsidR="00C254BF" w:rsidRPr="00785D06">
        <w:rPr>
          <w:sz w:val="20"/>
          <w:szCs w:val="20"/>
          <w:lang w:val="en-US"/>
        </w:rPr>
        <w:t xml:space="preserve">arguments </w:t>
      </w:r>
      <w:r w:rsidRPr="00785D06">
        <w:rPr>
          <w:sz w:val="20"/>
          <w:szCs w:val="20"/>
          <w:lang w:val="en-US"/>
        </w:rPr>
        <w:t xml:space="preserve">related to </w:t>
      </w:r>
      <w:r w:rsidR="00C254BF" w:rsidRPr="00785D06">
        <w:rPr>
          <w:sz w:val="20"/>
          <w:szCs w:val="20"/>
          <w:lang w:val="en-US"/>
        </w:rPr>
        <w:t>the</w:t>
      </w:r>
      <w:r w:rsidRPr="00785D06">
        <w:rPr>
          <w:sz w:val="20"/>
          <w:szCs w:val="20"/>
          <w:lang w:val="en-US"/>
        </w:rPr>
        <w:t xml:space="preserve"> violation of the right to life.  Finally, the Court will</w:t>
      </w:r>
      <w:r w:rsidR="00C254BF" w:rsidRPr="00785D06">
        <w:rPr>
          <w:sz w:val="20"/>
          <w:szCs w:val="20"/>
          <w:lang w:val="en-US"/>
        </w:rPr>
        <w:t xml:space="preserve"> </w:t>
      </w:r>
      <w:r w:rsidRPr="00785D06">
        <w:rPr>
          <w:sz w:val="20"/>
          <w:szCs w:val="20"/>
          <w:lang w:val="en-US"/>
        </w:rPr>
        <w:t xml:space="preserve">present </w:t>
      </w:r>
      <w:r w:rsidR="00C254BF" w:rsidRPr="00785D06">
        <w:rPr>
          <w:sz w:val="20"/>
          <w:szCs w:val="20"/>
          <w:lang w:val="en-US"/>
        </w:rPr>
        <w:t xml:space="preserve">its conclusion. </w:t>
      </w:r>
    </w:p>
    <w:p w14:paraId="220305D9" w14:textId="77777777" w:rsidR="00C254BF" w:rsidRPr="00785D06" w:rsidRDefault="00C254BF" w:rsidP="00C254BF">
      <w:pPr>
        <w:tabs>
          <w:tab w:val="left" w:pos="3168"/>
        </w:tabs>
        <w:jc w:val="both"/>
        <w:rPr>
          <w:sz w:val="20"/>
          <w:szCs w:val="20"/>
          <w:lang w:val="en-US"/>
        </w:rPr>
      </w:pPr>
    </w:p>
    <w:p w14:paraId="69042C39" w14:textId="77777777" w:rsidR="00C254BF" w:rsidRPr="00785D06" w:rsidRDefault="00C254BF" w:rsidP="00C254BF">
      <w:pPr>
        <w:pStyle w:val="Ttulo3"/>
        <w:spacing w:before="0"/>
        <w:ind w:left="567"/>
        <w:jc w:val="both"/>
        <w:rPr>
          <w:rFonts w:ascii="Verdana" w:hAnsi="Verdana"/>
          <w:i/>
          <w:color w:val="auto"/>
          <w:sz w:val="20"/>
          <w:szCs w:val="20"/>
          <w:lang w:val="en-US"/>
        </w:rPr>
      </w:pPr>
      <w:bookmarkStart w:id="106" w:name="_Toc41906221"/>
      <w:bookmarkStart w:id="107" w:name="_Toc42498049"/>
      <w:bookmarkStart w:id="108" w:name="_Toc46937297"/>
      <w:r w:rsidRPr="00785D06">
        <w:rPr>
          <w:rFonts w:ascii="Verdana" w:hAnsi="Verdana"/>
          <w:i/>
          <w:color w:val="auto"/>
          <w:sz w:val="20"/>
          <w:szCs w:val="20"/>
          <w:lang w:val="en-US"/>
        </w:rPr>
        <w:t xml:space="preserve">B.1 </w:t>
      </w:r>
      <w:r w:rsidRPr="00785D06">
        <w:rPr>
          <w:rFonts w:ascii="Verdana" w:hAnsi="Verdana"/>
          <w:i/>
          <w:color w:val="auto"/>
          <w:sz w:val="20"/>
          <w:szCs w:val="20"/>
          <w:u w:val="single"/>
          <w:lang w:val="en-US"/>
        </w:rPr>
        <w:t xml:space="preserve">The </w:t>
      </w:r>
      <w:r w:rsidR="00765893" w:rsidRPr="00785D06">
        <w:rPr>
          <w:rFonts w:ascii="Verdana" w:hAnsi="Verdana"/>
          <w:i/>
          <w:color w:val="auto"/>
          <w:sz w:val="20"/>
          <w:szCs w:val="20"/>
          <w:u w:val="single"/>
          <w:lang w:val="en-US"/>
        </w:rPr>
        <w:t>right of girls to a life free from</w:t>
      </w:r>
      <w:r w:rsidRPr="00785D06">
        <w:rPr>
          <w:rFonts w:ascii="Verdana" w:hAnsi="Verdana"/>
          <w:i/>
          <w:color w:val="auto"/>
          <w:sz w:val="20"/>
          <w:szCs w:val="20"/>
          <w:u w:val="single"/>
          <w:lang w:val="en-US"/>
        </w:rPr>
        <w:t xml:space="preserve"> sexual violence </w:t>
      </w:r>
      <w:r w:rsidR="00355BC2" w:rsidRPr="00785D06">
        <w:rPr>
          <w:rFonts w:ascii="Verdana" w:hAnsi="Verdana"/>
          <w:i/>
          <w:color w:val="auto"/>
          <w:sz w:val="20"/>
          <w:szCs w:val="20"/>
          <w:u w:val="single"/>
          <w:lang w:val="en-US"/>
        </w:rPr>
        <w:t xml:space="preserve">at school </w:t>
      </w:r>
      <w:bookmarkEnd w:id="106"/>
      <w:bookmarkEnd w:id="107"/>
      <w:bookmarkEnd w:id="108"/>
    </w:p>
    <w:p w14:paraId="6021711B" w14:textId="77777777" w:rsidR="00C254BF" w:rsidRPr="00785D06" w:rsidRDefault="00C254BF" w:rsidP="00C254BF">
      <w:pPr>
        <w:pStyle w:val="Prrafodelista"/>
        <w:ind w:left="0"/>
        <w:contextualSpacing w:val="0"/>
        <w:jc w:val="both"/>
        <w:rPr>
          <w:sz w:val="20"/>
          <w:szCs w:val="20"/>
          <w:lang w:val="en-US"/>
        </w:rPr>
      </w:pPr>
    </w:p>
    <w:p w14:paraId="7DFCEFF2"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The rights to personal integrity and to private life, recognized in Articles 5 and 11 of </w:t>
      </w:r>
      <w:r w:rsidR="00C5211D" w:rsidRPr="00785D06">
        <w:rPr>
          <w:sz w:val="20"/>
          <w:szCs w:val="20"/>
          <w:lang w:val="en-US"/>
        </w:rPr>
        <w:t>the American Convention, entail</w:t>
      </w:r>
      <w:r w:rsidRPr="00785D06">
        <w:rPr>
          <w:sz w:val="20"/>
          <w:szCs w:val="20"/>
          <w:lang w:val="en-US"/>
        </w:rPr>
        <w:t xml:space="preserve"> </w:t>
      </w:r>
      <w:r w:rsidR="00C5211D" w:rsidRPr="00785D06">
        <w:rPr>
          <w:sz w:val="20"/>
          <w:szCs w:val="20"/>
          <w:lang w:val="en-US"/>
        </w:rPr>
        <w:t xml:space="preserve">certain </w:t>
      </w:r>
      <w:r w:rsidRPr="00785D06">
        <w:rPr>
          <w:sz w:val="20"/>
          <w:szCs w:val="20"/>
          <w:lang w:val="en-US"/>
        </w:rPr>
        <w:t xml:space="preserve">freedoms, including sexual freedom and control over </w:t>
      </w:r>
      <w:r w:rsidR="00C5211D" w:rsidRPr="00785D06">
        <w:rPr>
          <w:sz w:val="20"/>
          <w:szCs w:val="20"/>
          <w:lang w:val="en-US"/>
        </w:rPr>
        <w:t>one’s own body.</w:t>
      </w:r>
      <w:r w:rsidRPr="00785D06">
        <w:rPr>
          <w:sz w:val="20"/>
          <w:szCs w:val="20"/>
          <w:lang w:val="en-US"/>
        </w:rPr>
        <w:t xml:space="preserve"> </w:t>
      </w:r>
      <w:r w:rsidR="00C5211D" w:rsidRPr="00785D06">
        <w:rPr>
          <w:sz w:val="20"/>
          <w:szCs w:val="20"/>
          <w:lang w:val="en-US"/>
        </w:rPr>
        <w:t xml:space="preserve">These rights may </w:t>
      </w:r>
      <w:r w:rsidRPr="00785D06">
        <w:rPr>
          <w:sz w:val="20"/>
          <w:szCs w:val="20"/>
          <w:lang w:val="en-US"/>
        </w:rPr>
        <w:t>be exercised by adolescents in the measure that they develop the capacity and maturity to do so.</w:t>
      </w:r>
      <w:r w:rsidRPr="00785D06">
        <w:rPr>
          <w:rStyle w:val="Refdenotaalpie"/>
          <w:sz w:val="20"/>
          <w:szCs w:val="20"/>
          <w:lang w:val="en-US"/>
        </w:rPr>
        <w:footnoteReference w:id="98"/>
      </w:r>
      <w:r w:rsidRPr="00785D06">
        <w:rPr>
          <w:sz w:val="20"/>
          <w:szCs w:val="20"/>
          <w:lang w:val="en-US"/>
        </w:rPr>
        <w:t xml:space="preserve"> </w:t>
      </w:r>
    </w:p>
    <w:p w14:paraId="6B8E20A1" w14:textId="77777777" w:rsidR="00C254BF" w:rsidRPr="00785D06" w:rsidRDefault="00C254BF" w:rsidP="00C254BF">
      <w:pPr>
        <w:jc w:val="both"/>
        <w:rPr>
          <w:rFonts w:eastAsia="Times New Roman"/>
          <w:color w:val="000000"/>
          <w:sz w:val="20"/>
          <w:szCs w:val="20"/>
          <w:lang w:val="en-US" w:eastAsia="es-ES_tradnl"/>
        </w:rPr>
      </w:pPr>
    </w:p>
    <w:p w14:paraId="4686BB4C"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Times New Roman"/>
          <w:color w:val="000000"/>
          <w:sz w:val="20"/>
          <w:szCs w:val="20"/>
          <w:lang w:val="en-US" w:eastAsia="es-ES_tradnl"/>
        </w:rPr>
        <w:t xml:space="preserve">In addition, </w:t>
      </w:r>
      <w:r w:rsidRPr="00785D06">
        <w:rPr>
          <w:sz w:val="20"/>
          <w:szCs w:val="20"/>
          <w:lang w:val="en-US"/>
        </w:rPr>
        <w:t xml:space="preserve">Article 3 of </w:t>
      </w:r>
      <w:r w:rsidRPr="00785D06">
        <w:rPr>
          <w:rFonts w:eastAsia="Times New Roman"/>
          <w:color w:val="000000"/>
          <w:sz w:val="20"/>
          <w:szCs w:val="20"/>
          <w:lang w:val="en-US" w:eastAsia="es-ES_tradnl"/>
        </w:rPr>
        <w:t xml:space="preserve">the </w:t>
      </w:r>
      <w:r w:rsidR="00B97F8F" w:rsidRPr="00785D06">
        <w:rPr>
          <w:sz w:val="20"/>
          <w:szCs w:val="20"/>
          <w:lang w:val="en-US"/>
        </w:rPr>
        <w:t>Belém do Pará Convention</w:t>
      </w:r>
      <w:r w:rsidRPr="00785D06">
        <w:rPr>
          <w:sz w:val="20"/>
          <w:szCs w:val="20"/>
          <w:lang w:val="en-US"/>
        </w:rPr>
        <w:t xml:space="preserve"> establishes the right of every woman to a life free </w:t>
      </w:r>
      <w:r w:rsidR="00393DEA" w:rsidRPr="00785D06">
        <w:rPr>
          <w:sz w:val="20"/>
          <w:szCs w:val="20"/>
          <w:lang w:val="en-US"/>
        </w:rPr>
        <w:t xml:space="preserve">from </w:t>
      </w:r>
      <w:r w:rsidRPr="00785D06">
        <w:rPr>
          <w:sz w:val="20"/>
          <w:szCs w:val="20"/>
          <w:lang w:val="en-US"/>
        </w:rPr>
        <w:t xml:space="preserve">violence. </w:t>
      </w:r>
    </w:p>
    <w:p w14:paraId="39CC215C" w14:textId="77777777" w:rsidR="00C254BF" w:rsidRPr="00785D06" w:rsidRDefault="00C254BF" w:rsidP="00C254BF">
      <w:pPr>
        <w:pStyle w:val="Prrafodelista"/>
        <w:rPr>
          <w:b/>
          <w:sz w:val="20"/>
          <w:szCs w:val="20"/>
          <w:lang w:val="en-US"/>
        </w:rPr>
      </w:pPr>
    </w:p>
    <w:p w14:paraId="67289C96"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In this regard, the Court finds it necessary to stress that the concept of “violence” used to examine the Stat</w:t>
      </w:r>
      <w:r w:rsidR="00DE1ABD" w:rsidRPr="00785D06">
        <w:rPr>
          <w:sz w:val="20"/>
          <w:szCs w:val="20"/>
          <w:lang w:val="en-US"/>
        </w:rPr>
        <w:t>e’s responsibility in this case</w:t>
      </w:r>
      <w:r w:rsidRPr="00785D06">
        <w:rPr>
          <w:sz w:val="20"/>
          <w:szCs w:val="20"/>
          <w:lang w:val="en-US"/>
        </w:rPr>
        <w:t xml:space="preserve"> is not limited to physical violenc</w:t>
      </w:r>
      <w:r w:rsidR="00DE1ABD" w:rsidRPr="00785D06">
        <w:rPr>
          <w:sz w:val="20"/>
          <w:szCs w:val="20"/>
          <w:lang w:val="en-US"/>
        </w:rPr>
        <w:t>e, but also includes “any act</w:t>
      </w:r>
      <w:r w:rsidRPr="00785D06">
        <w:rPr>
          <w:sz w:val="20"/>
          <w:szCs w:val="20"/>
          <w:lang w:val="en-US"/>
        </w:rPr>
        <w:t xml:space="preserve"> or conduct, based on gender, </w:t>
      </w:r>
      <w:r w:rsidR="00DE1ABD" w:rsidRPr="00785D06">
        <w:rPr>
          <w:sz w:val="20"/>
          <w:szCs w:val="20"/>
          <w:lang w:val="en-US"/>
        </w:rPr>
        <w:t>which causes death or</w:t>
      </w:r>
      <w:r w:rsidRPr="00785D06">
        <w:rPr>
          <w:sz w:val="20"/>
          <w:szCs w:val="20"/>
          <w:lang w:val="en-US"/>
        </w:rPr>
        <w:t xml:space="preserve"> physical, sexual or psychological </w:t>
      </w:r>
      <w:r w:rsidR="00DE1ABD" w:rsidRPr="00785D06">
        <w:rPr>
          <w:sz w:val="20"/>
          <w:szCs w:val="20"/>
          <w:lang w:val="en-US"/>
        </w:rPr>
        <w:t xml:space="preserve">harm or </w:t>
      </w:r>
      <w:r w:rsidRPr="00785D06">
        <w:rPr>
          <w:sz w:val="20"/>
          <w:szCs w:val="20"/>
          <w:lang w:val="en-US"/>
        </w:rPr>
        <w:t xml:space="preserve">suffering to women, </w:t>
      </w:r>
      <w:r w:rsidR="00DE1ABD" w:rsidRPr="00785D06">
        <w:rPr>
          <w:sz w:val="20"/>
          <w:szCs w:val="20"/>
          <w:lang w:val="en-US"/>
        </w:rPr>
        <w:t xml:space="preserve">whether </w:t>
      </w:r>
      <w:r w:rsidRPr="00785D06">
        <w:rPr>
          <w:sz w:val="20"/>
          <w:szCs w:val="20"/>
          <w:lang w:val="en-US"/>
        </w:rPr>
        <w:t xml:space="preserve">in the public </w:t>
      </w:r>
      <w:r w:rsidR="00DE1ABD" w:rsidRPr="00785D06">
        <w:rPr>
          <w:sz w:val="20"/>
          <w:szCs w:val="20"/>
          <w:lang w:val="en-US"/>
        </w:rPr>
        <w:t xml:space="preserve">or </w:t>
      </w:r>
      <w:r w:rsidRPr="00785D06">
        <w:rPr>
          <w:sz w:val="20"/>
          <w:szCs w:val="20"/>
          <w:lang w:val="en-US"/>
        </w:rPr>
        <w:t>the private sph</w:t>
      </w:r>
      <w:r w:rsidR="00DE1ABD" w:rsidRPr="00785D06">
        <w:rPr>
          <w:sz w:val="20"/>
          <w:szCs w:val="20"/>
          <w:lang w:val="en-US"/>
        </w:rPr>
        <w:t>ere</w:t>
      </w:r>
      <w:r w:rsidRPr="00785D06">
        <w:rPr>
          <w:sz w:val="20"/>
          <w:szCs w:val="20"/>
          <w:lang w:val="en-US"/>
        </w:rPr>
        <w:t xml:space="preserve">,” pursuant to Article 1 of the </w:t>
      </w:r>
      <w:r w:rsidR="00B97F8F" w:rsidRPr="00785D06">
        <w:rPr>
          <w:sz w:val="20"/>
          <w:szCs w:val="20"/>
          <w:lang w:val="en-US"/>
        </w:rPr>
        <w:t>Belém do Pará Convention</w:t>
      </w:r>
      <w:r w:rsidRPr="00785D06">
        <w:rPr>
          <w:sz w:val="20"/>
          <w:szCs w:val="20"/>
          <w:lang w:val="en-US"/>
        </w:rPr>
        <w:t xml:space="preserve">. Article 6 of the same </w:t>
      </w:r>
      <w:r w:rsidR="00F61EF6" w:rsidRPr="00785D06">
        <w:rPr>
          <w:sz w:val="20"/>
          <w:szCs w:val="20"/>
          <w:lang w:val="en-US"/>
        </w:rPr>
        <w:t xml:space="preserve">treaty </w:t>
      </w:r>
      <w:r w:rsidRPr="00785D06">
        <w:rPr>
          <w:sz w:val="20"/>
          <w:szCs w:val="20"/>
          <w:lang w:val="en-US"/>
        </w:rPr>
        <w:t xml:space="preserve">establishes that </w:t>
      </w:r>
      <w:r w:rsidR="00F61EF6" w:rsidRPr="00785D06">
        <w:rPr>
          <w:sz w:val="20"/>
          <w:szCs w:val="20"/>
          <w:lang w:val="en-US"/>
        </w:rPr>
        <w:t xml:space="preserve">the right of every </w:t>
      </w:r>
      <w:r w:rsidRPr="00785D06">
        <w:rPr>
          <w:sz w:val="20"/>
          <w:szCs w:val="20"/>
          <w:lang w:val="en-US"/>
        </w:rPr>
        <w:t>woman</w:t>
      </w:r>
      <w:r w:rsidR="00F61EF6" w:rsidRPr="00785D06">
        <w:rPr>
          <w:sz w:val="20"/>
          <w:szCs w:val="20"/>
          <w:lang w:val="en-US"/>
        </w:rPr>
        <w:t xml:space="preserve"> to be free from violence </w:t>
      </w:r>
      <w:r w:rsidRPr="00785D06">
        <w:rPr>
          <w:sz w:val="20"/>
          <w:szCs w:val="20"/>
          <w:lang w:val="en-US"/>
        </w:rPr>
        <w:t xml:space="preserve">includes her right to “be free </w:t>
      </w:r>
      <w:r w:rsidR="00F61EF6" w:rsidRPr="00785D06">
        <w:rPr>
          <w:sz w:val="20"/>
          <w:szCs w:val="20"/>
          <w:lang w:val="en-US"/>
        </w:rPr>
        <w:t xml:space="preserve">from </w:t>
      </w:r>
      <w:r w:rsidRPr="00785D06">
        <w:rPr>
          <w:sz w:val="20"/>
          <w:szCs w:val="20"/>
          <w:lang w:val="en-US"/>
        </w:rPr>
        <w:t>all forms of discrimination” and to “be valued and educated free of stereotyped patterns of behavior and social and cultural practices based on concepts of inferiority or subordination</w:t>
      </w:r>
      <w:r w:rsidR="00F61EF6" w:rsidRPr="00785D06">
        <w:rPr>
          <w:sz w:val="20"/>
          <w:szCs w:val="20"/>
          <w:lang w:val="en-US"/>
        </w:rPr>
        <w:t>.”</w:t>
      </w:r>
      <w:r w:rsidRPr="00785D06">
        <w:rPr>
          <w:sz w:val="20"/>
          <w:szCs w:val="20"/>
          <w:lang w:val="en-US"/>
        </w:rPr>
        <w:t xml:space="preserve"> </w:t>
      </w:r>
      <w:r w:rsidR="00F61EF6" w:rsidRPr="00785D06">
        <w:rPr>
          <w:sz w:val="20"/>
          <w:szCs w:val="20"/>
          <w:lang w:val="en-US"/>
        </w:rPr>
        <w:t>Similarly</w:t>
      </w:r>
      <w:r w:rsidRPr="00785D06">
        <w:rPr>
          <w:sz w:val="20"/>
          <w:szCs w:val="20"/>
          <w:lang w:val="en-US"/>
        </w:rPr>
        <w:t xml:space="preserve">, Article 2 of that international </w:t>
      </w:r>
      <w:r w:rsidR="00F61EF6" w:rsidRPr="00785D06">
        <w:rPr>
          <w:sz w:val="20"/>
          <w:szCs w:val="20"/>
          <w:lang w:val="en-US"/>
        </w:rPr>
        <w:t xml:space="preserve">instrument specifically </w:t>
      </w:r>
      <w:r w:rsidRPr="00785D06">
        <w:rPr>
          <w:sz w:val="20"/>
          <w:szCs w:val="20"/>
          <w:lang w:val="en-US"/>
        </w:rPr>
        <w:t xml:space="preserve">mentions sexual harassment in </w:t>
      </w:r>
      <w:r w:rsidR="00F61EF6" w:rsidRPr="00785D06">
        <w:rPr>
          <w:sz w:val="20"/>
          <w:szCs w:val="20"/>
          <w:lang w:val="en-US"/>
        </w:rPr>
        <w:t xml:space="preserve">educational </w:t>
      </w:r>
      <w:r w:rsidRPr="00785D06">
        <w:rPr>
          <w:sz w:val="20"/>
          <w:szCs w:val="20"/>
          <w:lang w:val="en-US"/>
        </w:rPr>
        <w:t>institutions as a form of violence against women</w:t>
      </w:r>
      <w:r w:rsidR="00A63A91" w:rsidRPr="00785D06">
        <w:rPr>
          <w:sz w:val="20"/>
          <w:szCs w:val="20"/>
          <w:lang w:val="en-US"/>
        </w:rPr>
        <w:t>.</w:t>
      </w:r>
      <w:r w:rsidRPr="00785D06">
        <w:rPr>
          <w:rStyle w:val="Refdenotaalpie"/>
          <w:sz w:val="20"/>
          <w:szCs w:val="20"/>
          <w:lang w:val="en-US"/>
        </w:rPr>
        <w:footnoteReference w:id="99"/>
      </w:r>
    </w:p>
    <w:p w14:paraId="1C0C225A" w14:textId="77777777" w:rsidR="00C254BF" w:rsidRPr="00785D06" w:rsidRDefault="00C254BF" w:rsidP="00C254BF">
      <w:pPr>
        <w:pStyle w:val="Prrafodelista"/>
        <w:rPr>
          <w:sz w:val="20"/>
          <w:szCs w:val="20"/>
          <w:lang w:val="en-US"/>
        </w:rPr>
      </w:pPr>
    </w:p>
    <w:p w14:paraId="188E93D7" w14:textId="77777777" w:rsidR="00C254BF" w:rsidRPr="00785D06" w:rsidRDefault="00F61EF6" w:rsidP="00C254BF">
      <w:pPr>
        <w:pStyle w:val="Prrafodelista"/>
        <w:numPr>
          <w:ilvl w:val="0"/>
          <w:numId w:val="35"/>
        </w:numPr>
        <w:ind w:left="0" w:firstLine="0"/>
        <w:contextualSpacing w:val="0"/>
        <w:jc w:val="both"/>
        <w:rPr>
          <w:sz w:val="20"/>
          <w:szCs w:val="20"/>
          <w:lang w:val="en-US"/>
        </w:rPr>
      </w:pPr>
      <w:r w:rsidRPr="00785D06">
        <w:rPr>
          <w:sz w:val="20"/>
          <w:szCs w:val="20"/>
          <w:lang w:val="en-US"/>
        </w:rPr>
        <w:t>Article 7 of t</w:t>
      </w:r>
      <w:r w:rsidR="00C254BF" w:rsidRPr="00785D06">
        <w:rPr>
          <w:sz w:val="20"/>
          <w:szCs w:val="20"/>
          <w:lang w:val="en-US"/>
        </w:rPr>
        <w:t xml:space="preserve">he </w:t>
      </w:r>
      <w:r w:rsidR="00B97F8F" w:rsidRPr="00785D06">
        <w:rPr>
          <w:sz w:val="20"/>
          <w:szCs w:val="20"/>
          <w:lang w:val="en-US"/>
        </w:rPr>
        <w:t>Belém do Pará Convention</w:t>
      </w:r>
      <w:r w:rsidR="00C254BF" w:rsidRPr="00785D06">
        <w:rPr>
          <w:sz w:val="20"/>
          <w:szCs w:val="20"/>
          <w:lang w:val="en-US"/>
        </w:rPr>
        <w:t xml:space="preserve"> also </w:t>
      </w:r>
      <w:r w:rsidR="00D44949" w:rsidRPr="00785D06">
        <w:rPr>
          <w:sz w:val="20"/>
          <w:szCs w:val="20"/>
          <w:lang w:val="en-US"/>
        </w:rPr>
        <w:t xml:space="preserve">imposes specific obligations on </w:t>
      </w:r>
      <w:r w:rsidRPr="00785D06">
        <w:rPr>
          <w:sz w:val="20"/>
          <w:szCs w:val="20"/>
          <w:lang w:val="en-US"/>
        </w:rPr>
        <w:t xml:space="preserve">States </w:t>
      </w:r>
      <w:r w:rsidR="00D44949" w:rsidRPr="00785D06">
        <w:rPr>
          <w:sz w:val="20"/>
          <w:szCs w:val="20"/>
          <w:lang w:val="en-US"/>
        </w:rPr>
        <w:t xml:space="preserve">to </w:t>
      </w:r>
      <w:r w:rsidR="00C254BF" w:rsidRPr="00785D06">
        <w:rPr>
          <w:sz w:val="20"/>
          <w:szCs w:val="20"/>
          <w:lang w:val="en-US"/>
        </w:rPr>
        <w:t xml:space="preserve">pursue </w:t>
      </w:r>
      <w:r w:rsidRPr="00785D06">
        <w:rPr>
          <w:sz w:val="20"/>
          <w:szCs w:val="20"/>
          <w:lang w:val="en-US"/>
        </w:rPr>
        <w:t xml:space="preserve">policies to prevent violence </w:t>
      </w:r>
      <w:r w:rsidR="00C254BF" w:rsidRPr="00785D06">
        <w:rPr>
          <w:sz w:val="20"/>
          <w:szCs w:val="20"/>
          <w:lang w:val="en-US"/>
        </w:rPr>
        <w:t xml:space="preserve">“by all appropriate means and without delay,” </w:t>
      </w:r>
      <w:r w:rsidRPr="00785D06">
        <w:rPr>
          <w:sz w:val="20"/>
          <w:szCs w:val="20"/>
          <w:lang w:val="en-US"/>
        </w:rPr>
        <w:t xml:space="preserve">and </w:t>
      </w:r>
      <w:r w:rsidR="00D44949" w:rsidRPr="00785D06">
        <w:rPr>
          <w:sz w:val="20"/>
          <w:szCs w:val="20"/>
          <w:lang w:val="en-US"/>
        </w:rPr>
        <w:t xml:space="preserve">to </w:t>
      </w:r>
      <w:r w:rsidR="00C254BF" w:rsidRPr="00785D06">
        <w:rPr>
          <w:sz w:val="20"/>
          <w:szCs w:val="20"/>
          <w:lang w:val="en-US"/>
        </w:rPr>
        <w:t xml:space="preserve">“refrain </w:t>
      </w:r>
      <w:r w:rsidRPr="00785D06">
        <w:rPr>
          <w:sz w:val="20"/>
          <w:szCs w:val="20"/>
          <w:lang w:val="en-US"/>
        </w:rPr>
        <w:t xml:space="preserve">from </w:t>
      </w:r>
      <w:r w:rsidR="00C254BF" w:rsidRPr="00785D06">
        <w:rPr>
          <w:sz w:val="20"/>
          <w:szCs w:val="20"/>
          <w:lang w:val="en-US"/>
        </w:rPr>
        <w:t>engaging in any act or practice of violence against women</w:t>
      </w:r>
      <w:r w:rsidRPr="00785D06">
        <w:rPr>
          <w:sz w:val="20"/>
          <w:szCs w:val="20"/>
          <w:lang w:val="en-US"/>
        </w:rPr>
        <w:t xml:space="preserve">” and </w:t>
      </w:r>
      <w:r w:rsidR="00C254BF" w:rsidRPr="00785D06">
        <w:rPr>
          <w:sz w:val="20"/>
          <w:szCs w:val="20"/>
          <w:lang w:val="en-US"/>
        </w:rPr>
        <w:t>“ensur</w:t>
      </w:r>
      <w:r w:rsidR="00A63A91" w:rsidRPr="00785D06">
        <w:rPr>
          <w:sz w:val="20"/>
          <w:szCs w:val="20"/>
          <w:lang w:val="en-US"/>
        </w:rPr>
        <w:t>e that their authorities</w:t>
      </w:r>
      <w:r w:rsidR="00C254BF" w:rsidRPr="00785D06">
        <w:rPr>
          <w:sz w:val="20"/>
          <w:szCs w:val="20"/>
          <w:lang w:val="en-US"/>
        </w:rPr>
        <w:t xml:space="preserve"> [and] officials” act in conformity with this obligation</w:t>
      </w:r>
      <w:r w:rsidR="00D44949" w:rsidRPr="00785D06">
        <w:rPr>
          <w:sz w:val="20"/>
          <w:szCs w:val="20"/>
          <w:lang w:val="en-US"/>
        </w:rPr>
        <w:t>.</w:t>
      </w:r>
      <w:r w:rsidR="00C254BF" w:rsidRPr="00785D06">
        <w:rPr>
          <w:sz w:val="20"/>
          <w:szCs w:val="20"/>
          <w:lang w:val="en-US"/>
        </w:rPr>
        <w:t xml:space="preserve"> </w:t>
      </w:r>
      <w:r w:rsidR="00D44949" w:rsidRPr="00785D06">
        <w:rPr>
          <w:sz w:val="20"/>
          <w:szCs w:val="20"/>
          <w:lang w:val="en-US"/>
        </w:rPr>
        <w:t xml:space="preserve">They must also </w:t>
      </w:r>
      <w:r w:rsidR="00C254BF" w:rsidRPr="00785D06">
        <w:rPr>
          <w:sz w:val="20"/>
          <w:szCs w:val="20"/>
          <w:lang w:val="en-US"/>
        </w:rPr>
        <w:t>“apply due diligence to prevent, investigate and imp</w:t>
      </w:r>
      <w:r w:rsidRPr="00785D06">
        <w:rPr>
          <w:sz w:val="20"/>
          <w:szCs w:val="20"/>
          <w:lang w:val="en-US"/>
        </w:rPr>
        <w:t>ose penalties” for such conduct</w:t>
      </w:r>
      <w:r w:rsidR="00D44949" w:rsidRPr="00785D06">
        <w:rPr>
          <w:sz w:val="20"/>
          <w:szCs w:val="20"/>
          <w:lang w:val="en-US"/>
        </w:rPr>
        <w:t>,</w:t>
      </w:r>
      <w:r w:rsidR="00C254BF" w:rsidRPr="00785D06">
        <w:rPr>
          <w:sz w:val="20"/>
          <w:szCs w:val="20"/>
          <w:lang w:val="en-US"/>
        </w:rPr>
        <w:t xml:space="preserve"> </w:t>
      </w:r>
      <w:r w:rsidR="00D44949" w:rsidRPr="00785D06">
        <w:rPr>
          <w:sz w:val="20"/>
          <w:szCs w:val="20"/>
          <w:lang w:val="en-US"/>
        </w:rPr>
        <w:t xml:space="preserve">and take all appropriate measures, including legislative and administrative or other measures </w:t>
      </w:r>
      <w:r w:rsidR="00C254BF" w:rsidRPr="00785D06">
        <w:rPr>
          <w:sz w:val="20"/>
          <w:szCs w:val="20"/>
          <w:lang w:val="en-US"/>
        </w:rPr>
        <w:t xml:space="preserve">to “prevent, punish and eradicate violence against women.” </w:t>
      </w:r>
    </w:p>
    <w:p w14:paraId="30CA5AF9" w14:textId="77777777" w:rsidR="00C254BF" w:rsidRPr="00785D06" w:rsidRDefault="00C254BF" w:rsidP="00C254BF">
      <w:pPr>
        <w:pStyle w:val="Prrafodelista"/>
        <w:rPr>
          <w:sz w:val="20"/>
          <w:szCs w:val="20"/>
          <w:lang w:val="en-US"/>
        </w:rPr>
      </w:pPr>
    </w:p>
    <w:p w14:paraId="5E10E151"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Bearing in mind these provisions, the Court has </w:t>
      </w:r>
      <w:r w:rsidR="00D44949" w:rsidRPr="00785D06">
        <w:rPr>
          <w:sz w:val="20"/>
          <w:szCs w:val="20"/>
          <w:lang w:val="en-US"/>
        </w:rPr>
        <w:t xml:space="preserve">considered </w:t>
      </w:r>
      <w:r w:rsidRPr="00785D06">
        <w:rPr>
          <w:sz w:val="20"/>
          <w:szCs w:val="20"/>
          <w:lang w:val="en-US"/>
        </w:rPr>
        <w:t>that “violence directed against a woman for being a woman or violence that disproportionately affects women, is a form of discrimination against women,”</w:t>
      </w:r>
      <w:r w:rsidRPr="00785D06">
        <w:rPr>
          <w:rStyle w:val="Refdenotaalpie"/>
          <w:sz w:val="20"/>
          <w:szCs w:val="20"/>
          <w:lang w:val="en-US"/>
        </w:rPr>
        <w:footnoteReference w:id="100"/>
      </w:r>
      <w:r w:rsidRPr="00785D06">
        <w:rPr>
          <w:sz w:val="20"/>
          <w:szCs w:val="20"/>
          <w:lang w:val="en-US"/>
        </w:rPr>
        <w:t xml:space="preserve"> </w:t>
      </w:r>
      <w:r w:rsidR="0057027E" w:rsidRPr="00785D06">
        <w:rPr>
          <w:sz w:val="20"/>
          <w:szCs w:val="20"/>
          <w:lang w:val="en-US"/>
        </w:rPr>
        <w:t xml:space="preserve">associated with </w:t>
      </w:r>
      <w:r w:rsidRPr="00785D06">
        <w:rPr>
          <w:sz w:val="20"/>
          <w:szCs w:val="20"/>
          <w:lang w:val="en-US"/>
        </w:rPr>
        <w:t>the “manifestation of the historically unequal relations of power between women and men.”</w:t>
      </w:r>
      <w:r w:rsidRPr="00785D06">
        <w:rPr>
          <w:rStyle w:val="Refdenotaalpie"/>
          <w:sz w:val="20"/>
          <w:szCs w:val="20"/>
          <w:lang w:val="en-US"/>
        </w:rPr>
        <w:footnoteReference w:id="101"/>
      </w:r>
      <w:r w:rsidRPr="00785D06">
        <w:rPr>
          <w:sz w:val="20"/>
          <w:szCs w:val="20"/>
          <w:lang w:val="en-US"/>
        </w:rPr>
        <w:t xml:space="preserve"> The duties </w:t>
      </w:r>
      <w:r w:rsidR="0057027E" w:rsidRPr="00785D06">
        <w:rPr>
          <w:sz w:val="20"/>
          <w:szCs w:val="20"/>
          <w:lang w:val="en-US"/>
        </w:rPr>
        <w:t xml:space="preserve">set forth </w:t>
      </w:r>
      <w:r w:rsidRPr="00785D06">
        <w:rPr>
          <w:sz w:val="20"/>
          <w:szCs w:val="20"/>
          <w:lang w:val="en-US"/>
        </w:rPr>
        <w:t xml:space="preserve">in the </w:t>
      </w:r>
      <w:r w:rsidR="00B97F8F" w:rsidRPr="00785D06">
        <w:rPr>
          <w:sz w:val="20"/>
          <w:szCs w:val="20"/>
          <w:lang w:val="en-US"/>
        </w:rPr>
        <w:t>Belém do Pará Convention</w:t>
      </w:r>
      <w:r w:rsidRPr="00785D06">
        <w:rPr>
          <w:sz w:val="20"/>
          <w:szCs w:val="20"/>
          <w:lang w:val="en-US"/>
        </w:rPr>
        <w:t xml:space="preserve"> complement and </w:t>
      </w:r>
      <w:r w:rsidR="00523B26" w:rsidRPr="00785D06">
        <w:rPr>
          <w:sz w:val="20"/>
          <w:szCs w:val="20"/>
          <w:lang w:val="en-US"/>
        </w:rPr>
        <w:t xml:space="preserve">reinforce </w:t>
      </w:r>
      <w:r w:rsidRPr="00785D06">
        <w:rPr>
          <w:sz w:val="20"/>
          <w:szCs w:val="20"/>
          <w:lang w:val="en-US"/>
        </w:rPr>
        <w:t xml:space="preserve">the obligations established in the American Convention to </w:t>
      </w:r>
      <w:r w:rsidR="00F717FC" w:rsidRPr="00785D06">
        <w:rPr>
          <w:sz w:val="20"/>
          <w:szCs w:val="20"/>
          <w:lang w:val="en-US"/>
        </w:rPr>
        <w:t xml:space="preserve">ensure </w:t>
      </w:r>
      <w:r w:rsidRPr="00785D06">
        <w:rPr>
          <w:sz w:val="20"/>
          <w:szCs w:val="20"/>
          <w:lang w:val="en-US"/>
        </w:rPr>
        <w:t xml:space="preserve">the rights established in this treaty. In this regard, the Court has </w:t>
      </w:r>
      <w:r w:rsidR="0057027E" w:rsidRPr="00785D06">
        <w:rPr>
          <w:sz w:val="20"/>
          <w:szCs w:val="20"/>
          <w:lang w:val="en-US"/>
        </w:rPr>
        <w:t xml:space="preserve">indicated </w:t>
      </w:r>
      <w:r w:rsidRPr="00785D06">
        <w:rPr>
          <w:sz w:val="20"/>
          <w:szCs w:val="20"/>
          <w:lang w:val="en-US"/>
        </w:rPr>
        <w:t xml:space="preserve">that “the States </w:t>
      </w:r>
      <w:r w:rsidR="00C04826" w:rsidRPr="00785D06">
        <w:rPr>
          <w:sz w:val="20"/>
          <w:szCs w:val="20"/>
          <w:lang w:val="en-US"/>
        </w:rPr>
        <w:t xml:space="preserve">should </w:t>
      </w:r>
      <w:r w:rsidRPr="00785D06">
        <w:rPr>
          <w:sz w:val="20"/>
          <w:szCs w:val="20"/>
          <w:lang w:val="en-US"/>
        </w:rPr>
        <w:t xml:space="preserve">adopt comprehensive measures to </w:t>
      </w:r>
      <w:r w:rsidR="00C04826" w:rsidRPr="00785D06">
        <w:rPr>
          <w:sz w:val="20"/>
          <w:szCs w:val="20"/>
          <w:lang w:val="en-US"/>
        </w:rPr>
        <w:t xml:space="preserve">comply with </w:t>
      </w:r>
      <w:r w:rsidRPr="00785D06">
        <w:rPr>
          <w:sz w:val="20"/>
          <w:szCs w:val="20"/>
          <w:lang w:val="en-US"/>
        </w:rPr>
        <w:t>due diligence in cases of violence against women</w:t>
      </w:r>
      <w:r w:rsidR="0057027E" w:rsidRPr="00785D06">
        <w:rPr>
          <w:sz w:val="20"/>
          <w:szCs w:val="20"/>
          <w:lang w:val="en-US"/>
        </w:rPr>
        <w:t>,”</w:t>
      </w:r>
      <w:r w:rsidRPr="00785D06">
        <w:rPr>
          <w:sz w:val="20"/>
          <w:szCs w:val="20"/>
          <w:lang w:val="en-US"/>
        </w:rPr>
        <w:t xml:space="preserve"> which includes </w:t>
      </w:r>
      <w:r w:rsidR="00C04826" w:rsidRPr="00785D06">
        <w:rPr>
          <w:sz w:val="20"/>
          <w:szCs w:val="20"/>
          <w:lang w:val="en-US"/>
        </w:rPr>
        <w:t xml:space="preserve">having </w:t>
      </w:r>
      <w:r w:rsidRPr="00785D06">
        <w:rPr>
          <w:sz w:val="20"/>
          <w:szCs w:val="20"/>
          <w:lang w:val="en-US"/>
        </w:rPr>
        <w:t>“an a</w:t>
      </w:r>
      <w:r w:rsidR="00C04826" w:rsidRPr="00785D06">
        <w:rPr>
          <w:sz w:val="20"/>
          <w:szCs w:val="20"/>
          <w:lang w:val="en-US"/>
        </w:rPr>
        <w:t>ppropriate legal framework for protection</w:t>
      </w:r>
      <w:r w:rsidRPr="00785D06">
        <w:rPr>
          <w:sz w:val="20"/>
          <w:szCs w:val="20"/>
          <w:lang w:val="en-US"/>
        </w:rPr>
        <w:t xml:space="preserve"> that is </w:t>
      </w:r>
      <w:r w:rsidR="00C04826" w:rsidRPr="00785D06">
        <w:rPr>
          <w:sz w:val="20"/>
          <w:szCs w:val="20"/>
          <w:lang w:val="en-US"/>
        </w:rPr>
        <w:t xml:space="preserve">enforced </w:t>
      </w:r>
      <w:r w:rsidRPr="00785D06">
        <w:rPr>
          <w:sz w:val="20"/>
          <w:szCs w:val="20"/>
          <w:lang w:val="en-US"/>
        </w:rPr>
        <w:t>effectively</w:t>
      </w:r>
      <w:r w:rsidR="00C04826" w:rsidRPr="00785D06">
        <w:rPr>
          <w:sz w:val="20"/>
          <w:szCs w:val="20"/>
          <w:lang w:val="en-US"/>
        </w:rPr>
        <w:t>,</w:t>
      </w:r>
      <w:r w:rsidRPr="00785D06">
        <w:rPr>
          <w:sz w:val="20"/>
          <w:szCs w:val="20"/>
          <w:lang w:val="en-US"/>
        </w:rPr>
        <w:t xml:space="preserve"> and </w:t>
      </w:r>
      <w:r w:rsidR="00C04826" w:rsidRPr="00785D06">
        <w:rPr>
          <w:sz w:val="20"/>
          <w:szCs w:val="20"/>
          <w:lang w:val="en-US"/>
        </w:rPr>
        <w:t xml:space="preserve">prevention </w:t>
      </w:r>
      <w:r w:rsidRPr="00785D06">
        <w:rPr>
          <w:sz w:val="20"/>
          <w:szCs w:val="20"/>
          <w:lang w:val="en-US"/>
        </w:rPr>
        <w:t xml:space="preserve">policies and practices </w:t>
      </w:r>
      <w:r w:rsidR="00336101" w:rsidRPr="00785D06">
        <w:rPr>
          <w:sz w:val="20"/>
          <w:szCs w:val="20"/>
          <w:lang w:val="en-US"/>
        </w:rPr>
        <w:t>that allow effective measures to be taken in response to the respective complaints</w:t>
      </w:r>
      <w:r w:rsidRPr="00785D06">
        <w:rPr>
          <w:sz w:val="20"/>
          <w:szCs w:val="20"/>
          <w:lang w:val="en-US"/>
        </w:rPr>
        <w:t>.”</w:t>
      </w:r>
      <w:r w:rsidRPr="00785D06">
        <w:rPr>
          <w:rStyle w:val="Refdenotaalpie"/>
          <w:sz w:val="20"/>
          <w:szCs w:val="20"/>
          <w:lang w:val="en-US"/>
        </w:rPr>
        <w:footnoteReference w:id="102"/>
      </w:r>
      <w:r w:rsidRPr="00785D06">
        <w:rPr>
          <w:sz w:val="20"/>
          <w:szCs w:val="20"/>
          <w:lang w:val="en-US"/>
        </w:rPr>
        <w:t xml:space="preserve"> The “</w:t>
      </w:r>
      <w:r w:rsidR="00336101" w:rsidRPr="00785D06">
        <w:rPr>
          <w:sz w:val="20"/>
          <w:szCs w:val="20"/>
          <w:lang w:val="en-US"/>
        </w:rPr>
        <w:t>comprehensive</w:t>
      </w:r>
      <w:r w:rsidRPr="00785D06">
        <w:rPr>
          <w:sz w:val="20"/>
          <w:szCs w:val="20"/>
          <w:lang w:val="en-US"/>
        </w:rPr>
        <w:t>” nature of the prevention strategy</w:t>
      </w:r>
      <w:r w:rsidR="00336101" w:rsidRPr="00785D06">
        <w:rPr>
          <w:sz w:val="20"/>
          <w:szCs w:val="20"/>
          <w:lang w:val="en-US"/>
        </w:rPr>
        <w:t xml:space="preserve"> should</w:t>
      </w:r>
      <w:r w:rsidRPr="00785D06">
        <w:rPr>
          <w:sz w:val="20"/>
          <w:szCs w:val="20"/>
          <w:lang w:val="en-US"/>
        </w:rPr>
        <w:t xml:space="preserve"> </w:t>
      </w:r>
      <w:r w:rsidR="00336101" w:rsidRPr="00785D06">
        <w:rPr>
          <w:sz w:val="20"/>
          <w:szCs w:val="20"/>
          <w:lang w:val="en-US"/>
        </w:rPr>
        <w:t>prevent the risk factors and, at the same time, strengthen the institutions that can provide an effective response in cases of violence against women</w:t>
      </w:r>
      <w:r w:rsidRPr="00785D06">
        <w:rPr>
          <w:sz w:val="20"/>
          <w:szCs w:val="20"/>
          <w:lang w:val="en-US"/>
        </w:rPr>
        <w:t>.”</w:t>
      </w:r>
      <w:r w:rsidRPr="00785D06">
        <w:rPr>
          <w:rStyle w:val="Refdenotaalpie"/>
          <w:sz w:val="20"/>
          <w:szCs w:val="20"/>
          <w:lang w:val="en-US"/>
        </w:rPr>
        <w:footnoteReference w:id="103"/>
      </w:r>
    </w:p>
    <w:p w14:paraId="48A0B89E" w14:textId="77777777" w:rsidR="00C254BF" w:rsidRPr="00785D06" w:rsidRDefault="00C254BF" w:rsidP="00C254BF">
      <w:pPr>
        <w:pStyle w:val="Prrafodelista"/>
        <w:ind w:left="0"/>
        <w:contextualSpacing w:val="0"/>
        <w:jc w:val="both"/>
        <w:rPr>
          <w:sz w:val="20"/>
          <w:szCs w:val="20"/>
          <w:lang w:val="en-US"/>
        </w:rPr>
      </w:pPr>
    </w:p>
    <w:p w14:paraId="58D75738" w14:textId="77777777" w:rsidR="00C254BF" w:rsidRPr="00785D06" w:rsidRDefault="00336101" w:rsidP="00C254BF">
      <w:pPr>
        <w:pStyle w:val="Prrafodelista"/>
        <w:numPr>
          <w:ilvl w:val="0"/>
          <w:numId w:val="35"/>
        </w:numPr>
        <w:ind w:left="0" w:firstLine="0"/>
        <w:contextualSpacing w:val="0"/>
        <w:jc w:val="both"/>
        <w:rPr>
          <w:sz w:val="20"/>
          <w:szCs w:val="20"/>
          <w:lang w:val="en-US"/>
        </w:rPr>
      </w:pPr>
      <w:r w:rsidRPr="00785D06">
        <w:rPr>
          <w:sz w:val="20"/>
          <w:szCs w:val="20"/>
          <w:lang w:val="en-US"/>
        </w:rPr>
        <w:t>I</w:t>
      </w:r>
      <w:r w:rsidR="00F96849" w:rsidRPr="00785D06">
        <w:rPr>
          <w:sz w:val="20"/>
          <w:szCs w:val="20"/>
          <w:lang w:val="en-US"/>
        </w:rPr>
        <w:t>n the instant</w:t>
      </w:r>
      <w:r w:rsidR="00C254BF" w:rsidRPr="00785D06">
        <w:rPr>
          <w:sz w:val="20"/>
          <w:szCs w:val="20"/>
          <w:lang w:val="en-US"/>
        </w:rPr>
        <w:t xml:space="preserve"> case</w:t>
      </w:r>
      <w:r w:rsidRPr="00785D06">
        <w:rPr>
          <w:sz w:val="20"/>
          <w:szCs w:val="20"/>
          <w:lang w:val="en-US"/>
        </w:rPr>
        <w:t>,</w:t>
      </w:r>
      <w:r w:rsidR="00C254BF" w:rsidRPr="00785D06">
        <w:rPr>
          <w:sz w:val="20"/>
          <w:szCs w:val="20"/>
          <w:lang w:val="en-US"/>
        </w:rPr>
        <w:t xml:space="preserve"> </w:t>
      </w:r>
      <w:r w:rsidR="00F96849" w:rsidRPr="00785D06">
        <w:rPr>
          <w:sz w:val="20"/>
          <w:szCs w:val="20"/>
          <w:lang w:val="en-US"/>
        </w:rPr>
        <w:t xml:space="preserve">the Court </w:t>
      </w:r>
      <w:r w:rsidRPr="00785D06">
        <w:rPr>
          <w:sz w:val="20"/>
          <w:szCs w:val="20"/>
          <w:lang w:val="en-US"/>
        </w:rPr>
        <w:t xml:space="preserve">also </w:t>
      </w:r>
      <w:r w:rsidR="00F96849" w:rsidRPr="00785D06">
        <w:rPr>
          <w:sz w:val="20"/>
          <w:szCs w:val="20"/>
          <w:lang w:val="en-US"/>
        </w:rPr>
        <w:t xml:space="preserve">finds it relevant </w:t>
      </w:r>
      <w:r w:rsidR="00C254BF" w:rsidRPr="00785D06">
        <w:rPr>
          <w:sz w:val="20"/>
          <w:szCs w:val="20"/>
          <w:lang w:val="en-US"/>
        </w:rPr>
        <w:t>to consider the Convention on the Rights of th</w:t>
      </w:r>
      <w:r w:rsidRPr="00785D06">
        <w:rPr>
          <w:sz w:val="20"/>
          <w:szCs w:val="20"/>
          <w:lang w:val="en-US"/>
        </w:rPr>
        <w:t>e Child</w:t>
      </w:r>
      <w:r w:rsidR="00C254BF" w:rsidRPr="00785D06">
        <w:rPr>
          <w:sz w:val="20"/>
          <w:szCs w:val="20"/>
          <w:lang w:val="en-US"/>
        </w:rPr>
        <w:t xml:space="preserve"> </w:t>
      </w:r>
      <w:r w:rsidR="00F96849" w:rsidRPr="00785D06">
        <w:rPr>
          <w:sz w:val="20"/>
          <w:szCs w:val="20"/>
          <w:lang w:val="en-US"/>
        </w:rPr>
        <w:t xml:space="preserve">as part of </w:t>
      </w:r>
      <w:r w:rsidR="00C254BF" w:rsidRPr="00785D06">
        <w:rPr>
          <w:sz w:val="20"/>
          <w:szCs w:val="20"/>
          <w:lang w:val="en-US"/>
        </w:rPr>
        <w:t xml:space="preserve">a “very comprehensive international </w:t>
      </w:r>
      <w:r w:rsidR="00C254BF" w:rsidRPr="00785D06">
        <w:rPr>
          <w:i/>
          <w:sz w:val="20"/>
          <w:szCs w:val="20"/>
          <w:lang w:val="en-US"/>
        </w:rPr>
        <w:t>corpus iuris</w:t>
      </w:r>
      <w:r w:rsidR="00C254BF" w:rsidRPr="00785D06">
        <w:rPr>
          <w:sz w:val="20"/>
          <w:szCs w:val="20"/>
          <w:lang w:val="en-US"/>
        </w:rPr>
        <w:t xml:space="preserve"> for the protection of children and adolescents</w:t>
      </w:r>
      <w:r w:rsidR="00542B4C" w:rsidRPr="00785D06">
        <w:rPr>
          <w:sz w:val="20"/>
          <w:szCs w:val="20"/>
          <w:lang w:val="en-US"/>
        </w:rPr>
        <w:t>,”</w:t>
      </w:r>
      <w:r w:rsidR="00C254BF" w:rsidRPr="00785D06">
        <w:rPr>
          <w:sz w:val="20"/>
          <w:szCs w:val="20"/>
          <w:lang w:val="en-US"/>
        </w:rPr>
        <w:t xml:space="preserve"> </w:t>
      </w:r>
      <w:r w:rsidR="00F96849" w:rsidRPr="00785D06">
        <w:rPr>
          <w:sz w:val="20"/>
          <w:szCs w:val="20"/>
          <w:lang w:val="en-US"/>
        </w:rPr>
        <w:t xml:space="preserve">since it is important to </w:t>
      </w:r>
      <w:r w:rsidR="00C254BF" w:rsidRPr="00785D06">
        <w:rPr>
          <w:sz w:val="20"/>
          <w:szCs w:val="20"/>
          <w:lang w:val="en-US"/>
        </w:rPr>
        <w:t>“establish the content and scope” of Articl</w:t>
      </w:r>
      <w:r w:rsidR="00542B4C" w:rsidRPr="00785D06">
        <w:rPr>
          <w:sz w:val="20"/>
          <w:szCs w:val="20"/>
          <w:lang w:val="en-US"/>
        </w:rPr>
        <w:t>e 19 of the American Convention that</w:t>
      </w:r>
      <w:r w:rsidR="00F96849" w:rsidRPr="00785D06">
        <w:rPr>
          <w:sz w:val="20"/>
          <w:szCs w:val="20"/>
          <w:lang w:val="en-US"/>
        </w:rPr>
        <w:t xml:space="preserve"> </w:t>
      </w:r>
      <w:r w:rsidR="00C254BF" w:rsidRPr="00785D06">
        <w:rPr>
          <w:sz w:val="20"/>
          <w:szCs w:val="20"/>
          <w:lang w:val="en-US"/>
        </w:rPr>
        <w:t xml:space="preserve">requires </w:t>
      </w:r>
      <w:r w:rsidR="00542B4C" w:rsidRPr="00785D06">
        <w:rPr>
          <w:sz w:val="20"/>
          <w:szCs w:val="20"/>
          <w:lang w:val="en-US"/>
        </w:rPr>
        <w:t>States to adopt</w:t>
      </w:r>
      <w:r w:rsidR="00C254BF" w:rsidRPr="00785D06">
        <w:rPr>
          <w:sz w:val="20"/>
          <w:szCs w:val="20"/>
          <w:lang w:val="en-US"/>
        </w:rPr>
        <w:t xml:space="preserve"> “measures of protection” for children.</w:t>
      </w:r>
      <w:r w:rsidR="00C254BF" w:rsidRPr="00785D06">
        <w:rPr>
          <w:rStyle w:val="Refdenotaalpie"/>
          <w:sz w:val="20"/>
          <w:szCs w:val="20"/>
          <w:lang w:val="en-US"/>
        </w:rPr>
        <w:footnoteReference w:id="104"/>
      </w:r>
      <w:r w:rsidR="00C254BF" w:rsidRPr="00785D06">
        <w:rPr>
          <w:sz w:val="20"/>
          <w:szCs w:val="20"/>
          <w:lang w:val="en-US"/>
        </w:rPr>
        <w:t xml:space="preserve"> Article 19 of the Convention on the Rights of the Child requires States Parties to take all appropriate measures to “protect</w:t>
      </w:r>
      <w:r w:rsidR="00C254BF" w:rsidRPr="00785D06">
        <w:rPr>
          <w:color w:val="000000"/>
          <w:sz w:val="20"/>
          <w:szCs w:val="20"/>
          <w:shd w:val="clear" w:color="auto" w:fill="FFFFFF"/>
          <w:lang w:val="en-US"/>
        </w:rPr>
        <w:t xml:space="preserve"> the child from all forms of physical or mental violence, injury or abuse, neglect or negligent treatment, maltreatment or exploitation, including sexual abuse, while in the care of parent(s), legal guardian(s) or any other person who has the care of the child.”</w:t>
      </w:r>
    </w:p>
    <w:p w14:paraId="5839E6AB" w14:textId="77777777" w:rsidR="00C254BF" w:rsidRPr="00785D06" w:rsidRDefault="00C254BF" w:rsidP="00C254BF">
      <w:pPr>
        <w:pStyle w:val="Prrafodelista"/>
        <w:rPr>
          <w:sz w:val="20"/>
          <w:szCs w:val="20"/>
          <w:lang w:val="en-US"/>
        </w:rPr>
      </w:pPr>
    </w:p>
    <w:p w14:paraId="40531A78"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The Committee on the Rights of the Child </w:t>
      </w:r>
      <w:r w:rsidR="00542B4C" w:rsidRPr="00785D06">
        <w:rPr>
          <w:sz w:val="20"/>
          <w:szCs w:val="20"/>
          <w:lang w:val="en-US"/>
        </w:rPr>
        <w:t xml:space="preserve">has </w:t>
      </w:r>
      <w:r w:rsidRPr="00785D06">
        <w:rPr>
          <w:sz w:val="20"/>
          <w:szCs w:val="20"/>
          <w:lang w:val="en-US"/>
        </w:rPr>
        <w:t xml:space="preserve">understood that the term “violence” encompasses “all forms of damage to children enumerated in Article 19, paragraph 1” of the Convention on the Rights of the Child. </w:t>
      </w:r>
      <w:r w:rsidR="00C261B4" w:rsidRPr="00785D06">
        <w:rPr>
          <w:sz w:val="20"/>
          <w:szCs w:val="20"/>
          <w:lang w:val="en-US"/>
        </w:rPr>
        <w:t xml:space="preserve">It </w:t>
      </w:r>
      <w:r w:rsidR="00336101" w:rsidRPr="00785D06">
        <w:rPr>
          <w:sz w:val="20"/>
          <w:szCs w:val="20"/>
          <w:lang w:val="en-US"/>
        </w:rPr>
        <w:t xml:space="preserve">has </w:t>
      </w:r>
      <w:r w:rsidR="00C261B4" w:rsidRPr="00785D06">
        <w:rPr>
          <w:sz w:val="20"/>
          <w:szCs w:val="20"/>
          <w:lang w:val="en-US"/>
        </w:rPr>
        <w:t>e</w:t>
      </w:r>
      <w:r w:rsidRPr="00785D06">
        <w:rPr>
          <w:sz w:val="20"/>
          <w:szCs w:val="20"/>
          <w:lang w:val="en-US"/>
        </w:rPr>
        <w:t xml:space="preserve">xplained that, </w:t>
      </w:r>
      <w:r w:rsidR="00C261B4" w:rsidRPr="00785D06">
        <w:rPr>
          <w:sz w:val="20"/>
          <w:szCs w:val="20"/>
          <w:lang w:val="en-US"/>
        </w:rPr>
        <w:t xml:space="preserve">while </w:t>
      </w:r>
      <w:r w:rsidRPr="00785D06">
        <w:rPr>
          <w:sz w:val="20"/>
          <w:szCs w:val="20"/>
          <w:lang w:val="en-US"/>
        </w:rPr>
        <w:t>“</w:t>
      </w:r>
      <w:r w:rsidR="00FF59E3" w:rsidRPr="00785D06">
        <w:rPr>
          <w:sz w:val="20"/>
          <w:szCs w:val="20"/>
          <w:lang w:val="en-US"/>
        </w:rPr>
        <w:t>in common parlance the term violence is often understood to mean only physical harm and/or intentional harm</w:t>
      </w:r>
      <w:r w:rsidR="00336101" w:rsidRPr="00785D06">
        <w:rPr>
          <w:sz w:val="20"/>
          <w:szCs w:val="20"/>
          <w:lang w:val="en-US"/>
        </w:rPr>
        <w:t>,</w:t>
      </w:r>
      <w:r w:rsidRPr="00785D06">
        <w:rPr>
          <w:sz w:val="20"/>
          <w:szCs w:val="20"/>
          <w:lang w:val="en-US"/>
        </w:rPr>
        <w:t xml:space="preserve">” the Committee’s use of the word “violence” should not be </w:t>
      </w:r>
      <w:r w:rsidR="00FF59E3" w:rsidRPr="00785D06">
        <w:rPr>
          <w:sz w:val="20"/>
          <w:szCs w:val="20"/>
          <w:lang w:val="en-US"/>
        </w:rPr>
        <w:t xml:space="preserve">interpreted as a </w:t>
      </w:r>
      <w:r w:rsidRPr="00785D06">
        <w:rPr>
          <w:sz w:val="20"/>
          <w:szCs w:val="20"/>
          <w:lang w:val="en-US"/>
        </w:rPr>
        <w:t xml:space="preserve">way </w:t>
      </w:r>
      <w:r w:rsidR="00FF59E3" w:rsidRPr="00785D06">
        <w:rPr>
          <w:sz w:val="20"/>
          <w:szCs w:val="20"/>
          <w:lang w:val="en-US"/>
        </w:rPr>
        <w:t xml:space="preserve">to </w:t>
      </w:r>
      <w:r w:rsidRPr="00785D06">
        <w:rPr>
          <w:sz w:val="20"/>
          <w:szCs w:val="20"/>
          <w:lang w:val="en-US"/>
        </w:rPr>
        <w:t>“minimiz</w:t>
      </w:r>
      <w:r w:rsidR="00FF59E3" w:rsidRPr="00785D06">
        <w:rPr>
          <w:sz w:val="20"/>
          <w:szCs w:val="20"/>
          <w:lang w:val="en-US"/>
        </w:rPr>
        <w:t xml:space="preserve">e the impact </w:t>
      </w:r>
      <w:r w:rsidRPr="00785D06">
        <w:rPr>
          <w:sz w:val="20"/>
          <w:szCs w:val="20"/>
          <w:lang w:val="en-US"/>
        </w:rPr>
        <w:t>of</w:t>
      </w:r>
      <w:r w:rsidR="00FF59E3" w:rsidRPr="00785D06">
        <w:rPr>
          <w:sz w:val="20"/>
          <w:szCs w:val="20"/>
          <w:lang w:val="en-US"/>
        </w:rPr>
        <w:t>, and need to address,</w:t>
      </w:r>
      <w:r w:rsidRPr="00785D06">
        <w:rPr>
          <w:sz w:val="20"/>
          <w:szCs w:val="20"/>
          <w:lang w:val="en-US"/>
        </w:rPr>
        <w:t xml:space="preserve"> non-physical and/or </w:t>
      </w:r>
      <w:r w:rsidR="00FF59E3" w:rsidRPr="00785D06">
        <w:rPr>
          <w:sz w:val="20"/>
          <w:szCs w:val="20"/>
          <w:lang w:val="en-US"/>
        </w:rPr>
        <w:t>non-</w:t>
      </w:r>
      <w:r w:rsidRPr="00785D06">
        <w:rPr>
          <w:sz w:val="20"/>
          <w:szCs w:val="20"/>
          <w:lang w:val="en-US"/>
        </w:rPr>
        <w:t>intentional forms of harm (such as</w:t>
      </w:r>
      <w:r w:rsidR="00FF59E3" w:rsidRPr="00785D06">
        <w:rPr>
          <w:sz w:val="20"/>
          <w:szCs w:val="20"/>
          <w:lang w:val="en-US"/>
        </w:rPr>
        <w:t xml:space="preserve">, </w:t>
      </w:r>
      <w:r w:rsidR="00FF59E3" w:rsidRPr="00785D06">
        <w:rPr>
          <w:i/>
          <w:sz w:val="20"/>
          <w:szCs w:val="20"/>
          <w:lang w:val="en-US"/>
        </w:rPr>
        <w:t>inter alia</w:t>
      </w:r>
      <w:r w:rsidR="00FF59E3" w:rsidRPr="00785D06">
        <w:rPr>
          <w:sz w:val="20"/>
          <w:szCs w:val="20"/>
          <w:lang w:val="en-US"/>
        </w:rPr>
        <w:t>, neglect and psychological maltreatment).</w:t>
      </w:r>
      <w:r w:rsidRPr="00785D06">
        <w:rPr>
          <w:sz w:val="20"/>
          <w:szCs w:val="20"/>
          <w:lang w:val="en-US"/>
        </w:rPr>
        <w:t>”</w:t>
      </w:r>
      <w:r w:rsidRPr="00785D06">
        <w:rPr>
          <w:rStyle w:val="Refdenotaalpie"/>
          <w:sz w:val="20"/>
          <w:szCs w:val="20"/>
          <w:lang w:val="en-US"/>
        </w:rPr>
        <w:footnoteReference w:id="105"/>
      </w:r>
      <w:r w:rsidRPr="00785D06">
        <w:rPr>
          <w:sz w:val="20"/>
          <w:szCs w:val="20"/>
          <w:lang w:val="en-US"/>
        </w:rPr>
        <w:t xml:space="preserve"> </w:t>
      </w:r>
      <w:r w:rsidR="00336101" w:rsidRPr="00785D06">
        <w:rPr>
          <w:sz w:val="20"/>
          <w:szCs w:val="20"/>
          <w:lang w:val="en-US"/>
        </w:rPr>
        <w:t>Similarly</w:t>
      </w:r>
      <w:r w:rsidRPr="00785D06">
        <w:rPr>
          <w:sz w:val="20"/>
          <w:szCs w:val="20"/>
          <w:lang w:val="en-US"/>
        </w:rPr>
        <w:t>, the independent</w:t>
      </w:r>
      <w:r w:rsidR="00012205" w:rsidRPr="00785D06">
        <w:rPr>
          <w:sz w:val="20"/>
          <w:szCs w:val="20"/>
          <w:lang w:val="en-US"/>
        </w:rPr>
        <w:t xml:space="preserve"> expert for the United Nations Study on Violence against C</w:t>
      </w:r>
      <w:r w:rsidR="00336101" w:rsidRPr="00785D06">
        <w:rPr>
          <w:sz w:val="20"/>
          <w:szCs w:val="20"/>
          <w:lang w:val="en-US"/>
        </w:rPr>
        <w:t>hildren</w:t>
      </w:r>
      <w:r w:rsidRPr="00785D06">
        <w:rPr>
          <w:sz w:val="20"/>
          <w:szCs w:val="20"/>
          <w:lang w:val="en-US"/>
        </w:rPr>
        <w:t xml:space="preserve"> </w:t>
      </w:r>
      <w:r w:rsidR="00012205" w:rsidRPr="00785D06">
        <w:rPr>
          <w:sz w:val="20"/>
          <w:szCs w:val="20"/>
          <w:lang w:val="en-US"/>
        </w:rPr>
        <w:t xml:space="preserve">adopts </w:t>
      </w:r>
      <w:r w:rsidRPr="00785D06">
        <w:rPr>
          <w:sz w:val="20"/>
          <w:szCs w:val="20"/>
          <w:lang w:val="en-US"/>
        </w:rPr>
        <w:t xml:space="preserve">the concept of “violence” against children </w:t>
      </w:r>
      <w:r w:rsidR="00012205" w:rsidRPr="00785D06">
        <w:rPr>
          <w:sz w:val="20"/>
          <w:szCs w:val="20"/>
          <w:lang w:val="en-US"/>
        </w:rPr>
        <w:t>contained i</w:t>
      </w:r>
      <w:r w:rsidRPr="00785D06">
        <w:rPr>
          <w:sz w:val="20"/>
          <w:szCs w:val="20"/>
          <w:lang w:val="en-US"/>
        </w:rPr>
        <w:t xml:space="preserve">n Article 19 of the Convention on the Rights of the Child, </w:t>
      </w:r>
      <w:r w:rsidR="00012205" w:rsidRPr="00785D06">
        <w:rPr>
          <w:sz w:val="20"/>
          <w:szCs w:val="20"/>
          <w:lang w:val="en-US"/>
        </w:rPr>
        <w:t xml:space="preserve">also drawing on </w:t>
      </w:r>
      <w:r w:rsidRPr="00785D06">
        <w:rPr>
          <w:sz w:val="20"/>
          <w:szCs w:val="20"/>
          <w:lang w:val="en-US"/>
        </w:rPr>
        <w:t xml:space="preserve">the “definition </w:t>
      </w:r>
      <w:r w:rsidR="00012205" w:rsidRPr="00785D06">
        <w:rPr>
          <w:sz w:val="20"/>
          <w:szCs w:val="20"/>
          <w:lang w:val="en-US"/>
        </w:rPr>
        <w:t>provided in the ‘World Report on Violence and H</w:t>
      </w:r>
      <w:r w:rsidRPr="00785D06">
        <w:rPr>
          <w:sz w:val="20"/>
          <w:szCs w:val="20"/>
          <w:lang w:val="en-US"/>
        </w:rPr>
        <w:t>ealth’ (2002)</w:t>
      </w:r>
      <w:r w:rsidR="00012205" w:rsidRPr="00785D06">
        <w:rPr>
          <w:sz w:val="20"/>
          <w:szCs w:val="20"/>
          <w:lang w:val="en-US"/>
        </w:rPr>
        <w:t xml:space="preserve">: </w:t>
      </w:r>
      <w:r w:rsidRPr="00785D06">
        <w:rPr>
          <w:sz w:val="20"/>
          <w:szCs w:val="20"/>
          <w:lang w:val="en-US"/>
        </w:rPr>
        <w:t xml:space="preserve">the </w:t>
      </w:r>
      <w:r w:rsidR="00012205" w:rsidRPr="00785D06">
        <w:rPr>
          <w:sz w:val="20"/>
          <w:szCs w:val="20"/>
          <w:lang w:val="en-US"/>
        </w:rPr>
        <w:t xml:space="preserve">intentional </w:t>
      </w:r>
      <w:r w:rsidRPr="00785D06">
        <w:rPr>
          <w:sz w:val="20"/>
          <w:szCs w:val="20"/>
          <w:lang w:val="en-US"/>
        </w:rPr>
        <w:t xml:space="preserve">use of physical force or power, </w:t>
      </w:r>
      <w:r w:rsidR="00012205" w:rsidRPr="00785D06">
        <w:rPr>
          <w:sz w:val="20"/>
          <w:szCs w:val="20"/>
          <w:lang w:val="en-US"/>
        </w:rPr>
        <w:t>threatened or actual</w:t>
      </w:r>
      <w:r w:rsidRPr="00785D06">
        <w:rPr>
          <w:sz w:val="20"/>
          <w:szCs w:val="20"/>
          <w:lang w:val="en-US"/>
        </w:rPr>
        <w:t>, against a child, by a</w:t>
      </w:r>
      <w:r w:rsidR="00012205" w:rsidRPr="00785D06">
        <w:rPr>
          <w:sz w:val="20"/>
          <w:szCs w:val="20"/>
          <w:lang w:val="en-US"/>
        </w:rPr>
        <w:t>n individual</w:t>
      </w:r>
      <w:r w:rsidRPr="00785D06">
        <w:rPr>
          <w:sz w:val="20"/>
          <w:szCs w:val="20"/>
          <w:lang w:val="en-US"/>
        </w:rPr>
        <w:t xml:space="preserve"> </w:t>
      </w:r>
      <w:r w:rsidR="00012205" w:rsidRPr="00785D06">
        <w:rPr>
          <w:sz w:val="20"/>
          <w:szCs w:val="20"/>
          <w:lang w:val="en-US"/>
        </w:rPr>
        <w:t xml:space="preserve">or </w:t>
      </w:r>
      <w:r w:rsidRPr="00785D06">
        <w:rPr>
          <w:sz w:val="20"/>
          <w:szCs w:val="20"/>
          <w:lang w:val="en-US"/>
        </w:rPr>
        <w:t xml:space="preserve">group, </w:t>
      </w:r>
      <w:r w:rsidR="00012205" w:rsidRPr="00785D06">
        <w:rPr>
          <w:sz w:val="20"/>
          <w:szCs w:val="20"/>
          <w:lang w:val="en-US"/>
        </w:rPr>
        <w:t>that either results in or has a high likelihood of resulting in actual or potential harm to the child’s health, survival, development or dignity</w:t>
      </w:r>
      <w:r w:rsidRPr="00785D06">
        <w:rPr>
          <w:sz w:val="20"/>
          <w:szCs w:val="20"/>
          <w:lang w:val="en-US"/>
        </w:rPr>
        <w:t>.”</w:t>
      </w:r>
      <w:r w:rsidRPr="00785D06">
        <w:rPr>
          <w:rStyle w:val="Refdenotaalpie"/>
          <w:sz w:val="20"/>
          <w:szCs w:val="20"/>
          <w:lang w:val="en-US"/>
        </w:rPr>
        <w:footnoteReference w:id="106"/>
      </w:r>
      <w:r w:rsidRPr="00785D06">
        <w:rPr>
          <w:b/>
          <w:sz w:val="20"/>
          <w:szCs w:val="20"/>
          <w:lang w:val="en-US"/>
        </w:rPr>
        <w:t xml:space="preserve"> </w:t>
      </w:r>
    </w:p>
    <w:p w14:paraId="4F2B3A18" w14:textId="77777777" w:rsidR="00C254BF" w:rsidRPr="00785D06" w:rsidRDefault="00C254BF" w:rsidP="00C254BF">
      <w:pPr>
        <w:pStyle w:val="Prrafodelista"/>
        <w:ind w:left="0"/>
        <w:contextualSpacing w:val="0"/>
        <w:jc w:val="both"/>
        <w:rPr>
          <w:sz w:val="20"/>
          <w:szCs w:val="20"/>
          <w:lang w:val="en-US"/>
        </w:rPr>
      </w:pPr>
    </w:p>
    <w:p w14:paraId="48609604"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In addition</w:t>
      </w:r>
      <w:r w:rsidR="002F2AC1" w:rsidRPr="00785D06">
        <w:rPr>
          <w:sz w:val="20"/>
          <w:szCs w:val="20"/>
          <w:lang w:val="en-US"/>
        </w:rPr>
        <w:t xml:space="preserve"> to the above, and</w:t>
      </w:r>
      <w:r w:rsidRPr="00785D06">
        <w:rPr>
          <w:sz w:val="20"/>
          <w:szCs w:val="20"/>
          <w:lang w:val="en-US"/>
        </w:rPr>
        <w:t xml:space="preserve"> as </w:t>
      </w:r>
      <w:r w:rsidR="00174C01" w:rsidRPr="00785D06">
        <w:rPr>
          <w:sz w:val="20"/>
          <w:szCs w:val="20"/>
          <w:lang w:val="en-US"/>
        </w:rPr>
        <w:t xml:space="preserve">mentioned previously </w:t>
      </w:r>
      <w:r w:rsidRPr="00785D06">
        <w:rPr>
          <w:sz w:val="20"/>
          <w:szCs w:val="20"/>
          <w:lang w:val="en-US"/>
        </w:rPr>
        <w:t>(</w:t>
      </w:r>
      <w:r w:rsidRPr="00785D06">
        <w:rPr>
          <w:i/>
          <w:sz w:val="20"/>
          <w:szCs w:val="20"/>
          <w:lang w:val="en-US"/>
        </w:rPr>
        <w:t xml:space="preserve">supra </w:t>
      </w:r>
      <w:r w:rsidRPr="00785D06">
        <w:rPr>
          <w:sz w:val="20"/>
          <w:szCs w:val="20"/>
          <w:lang w:val="en-US"/>
        </w:rPr>
        <w:t xml:space="preserve">para. 114), </w:t>
      </w:r>
      <w:r w:rsidR="002F2AC1" w:rsidRPr="00785D06">
        <w:rPr>
          <w:sz w:val="20"/>
          <w:szCs w:val="20"/>
          <w:lang w:val="en-US"/>
        </w:rPr>
        <w:t xml:space="preserve">Article 19 of the American Convention </w:t>
      </w:r>
      <w:r w:rsidRPr="00785D06">
        <w:rPr>
          <w:sz w:val="20"/>
          <w:szCs w:val="20"/>
          <w:lang w:val="en-US"/>
        </w:rPr>
        <w:t xml:space="preserve">requires </w:t>
      </w:r>
      <w:r w:rsidR="00C261B4" w:rsidRPr="00785D06">
        <w:rPr>
          <w:sz w:val="20"/>
          <w:szCs w:val="20"/>
          <w:lang w:val="en-US"/>
        </w:rPr>
        <w:t xml:space="preserve">States to adopt </w:t>
      </w:r>
      <w:r w:rsidRPr="00785D06">
        <w:rPr>
          <w:sz w:val="20"/>
          <w:szCs w:val="20"/>
          <w:lang w:val="en-US"/>
        </w:rPr>
        <w:t>“measures of protection” for children.</w:t>
      </w:r>
      <w:r w:rsidRPr="00785D06">
        <w:rPr>
          <w:rStyle w:val="Refdenotaalpie"/>
          <w:sz w:val="20"/>
          <w:szCs w:val="20"/>
          <w:lang w:val="en-US"/>
        </w:rPr>
        <w:footnoteReference w:id="107"/>
      </w:r>
      <w:r w:rsidRPr="00785D06">
        <w:rPr>
          <w:sz w:val="20"/>
          <w:szCs w:val="20"/>
          <w:lang w:val="en-US"/>
        </w:rPr>
        <w:t xml:space="preserve"> </w:t>
      </w:r>
      <w:r w:rsidR="00A71380" w:rsidRPr="00785D06">
        <w:rPr>
          <w:sz w:val="20"/>
          <w:szCs w:val="20"/>
          <w:lang w:val="en-US"/>
        </w:rPr>
        <w:t>Accordingly</w:t>
      </w:r>
      <w:r w:rsidR="00174C01" w:rsidRPr="00785D06">
        <w:rPr>
          <w:sz w:val="20"/>
          <w:szCs w:val="20"/>
          <w:lang w:val="en-US"/>
        </w:rPr>
        <w:t xml:space="preserve">, </w:t>
      </w:r>
      <w:r w:rsidRPr="00785D06">
        <w:rPr>
          <w:sz w:val="20"/>
          <w:szCs w:val="20"/>
          <w:lang w:val="en-US"/>
        </w:rPr>
        <w:t xml:space="preserve">the Court has indicated that States, </w:t>
      </w:r>
    </w:p>
    <w:p w14:paraId="3C67F57D" w14:textId="77777777" w:rsidR="00C254BF" w:rsidRPr="00785D06" w:rsidRDefault="00C254BF" w:rsidP="00C254BF">
      <w:pPr>
        <w:pStyle w:val="Prrafodelista"/>
        <w:ind w:left="0"/>
        <w:contextualSpacing w:val="0"/>
        <w:jc w:val="both"/>
        <w:rPr>
          <w:sz w:val="20"/>
          <w:szCs w:val="20"/>
          <w:lang w:val="en-US"/>
        </w:rPr>
      </w:pPr>
    </w:p>
    <w:p w14:paraId="7B4194AC" w14:textId="77777777" w:rsidR="00C254BF" w:rsidRPr="00785D06" w:rsidRDefault="00C254BF" w:rsidP="00C254BF">
      <w:pPr>
        <w:pStyle w:val="Prrafodelista"/>
        <w:ind w:left="284" w:right="333"/>
        <w:jc w:val="both"/>
        <w:rPr>
          <w:sz w:val="20"/>
          <w:szCs w:val="20"/>
          <w:lang w:val="en-US"/>
        </w:rPr>
      </w:pPr>
      <w:r w:rsidRPr="00785D06">
        <w:rPr>
          <w:lang w:val="en-US"/>
        </w:rPr>
        <w:t>[…] are required to promote special measures of protection based on the principle of the best inte</w:t>
      </w:r>
      <w:r w:rsidR="00A71380" w:rsidRPr="00785D06">
        <w:rPr>
          <w:lang w:val="en-US"/>
        </w:rPr>
        <w:t>rests of the child, assuming their</w:t>
      </w:r>
      <w:r w:rsidRPr="00785D06">
        <w:rPr>
          <w:lang w:val="en-US"/>
        </w:rPr>
        <w:t xml:space="preserve"> role as guarantor with </w:t>
      </w:r>
      <w:r w:rsidR="00A71380" w:rsidRPr="00785D06">
        <w:rPr>
          <w:lang w:val="en-US"/>
        </w:rPr>
        <w:t xml:space="preserve">greater </w:t>
      </w:r>
      <w:r w:rsidRPr="00785D06">
        <w:rPr>
          <w:lang w:val="en-US"/>
        </w:rPr>
        <w:t xml:space="preserve">diligence and responsibility in consideration of </w:t>
      </w:r>
      <w:r w:rsidR="0006375F" w:rsidRPr="00785D06">
        <w:rPr>
          <w:lang w:val="en-US"/>
        </w:rPr>
        <w:t xml:space="preserve">a child’s </w:t>
      </w:r>
      <w:r w:rsidRPr="00785D06">
        <w:rPr>
          <w:lang w:val="en-US"/>
        </w:rPr>
        <w:t xml:space="preserve">special </w:t>
      </w:r>
      <w:r w:rsidR="00A71380" w:rsidRPr="00785D06">
        <w:rPr>
          <w:lang w:val="en-US"/>
        </w:rPr>
        <w:t xml:space="preserve">situation </w:t>
      </w:r>
      <w:r w:rsidRPr="00785D06">
        <w:rPr>
          <w:lang w:val="en-US"/>
        </w:rPr>
        <w:t xml:space="preserve">of vulnerability. The Court has established that children have special rights derived from their condition, and </w:t>
      </w:r>
      <w:r w:rsidR="00A71380" w:rsidRPr="00785D06">
        <w:rPr>
          <w:lang w:val="en-US"/>
        </w:rPr>
        <w:t xml:space="preserve">that </w:t>
      </w:r>
      <w:r w:rsidRPr="00785D06">
        <w:rPr>
          <w:lang w:val="en-US"/>
        </w:rPr>
        <w:t xml:space="preserve">these are accompanied by specific duties of the family, society, and the State. </w:t>
      </w:r>
      <w:r w:rsidR="00801F81" w:rsidRPr="00785D06">
        <w:rPr>
          <w:lang w:val="en-US"/>
        </w:rPr>
        <w:t xml:space="preserve">Also, </w:t>
      </w:r>
      <w:r w:rsidR="00A71380" w:rsidRPr="00785D06">
        <w:rPr>
          <w:lang w:val="en-US"/>
        </w:rPr>
        <w:t xml:space="preserve">their condition requires </w:t>
      </w:r>
      <w:r w:rsidR="00761462" w:rsidRPr="00785D06">
        <w:rPr>
          <w:lang w:val="en-US"/>
        </w:rPr>
        <w:t>s</w:t>
      </w:r>
      <w:r w:rsidRPr="00785D06">
        <w:rPr>
          <w:lang w:val="en-US"/>
        </w:rPr>
        <w:t xml:space="preserve">pecial protection </w:t>
      </w:r>
      <w:r w:rsidR="00A71380" w:rsidRPr="00785D06">
        <w:rPr>
          <w:lang w:val="en-US"/>
        </w:rPr>
        <w:t xml:space="preserve">that </w:t>
      </w:r>
      <w:r w:rsidRPr="00785D06">
        <w:rPr>
          <w:lang w:val="en-US"/>
        </w:rPr>
        <w:t xml:space="preserve">must be understood as a right </w:t>
      </w:r>
      <w:r w:rsidR="00761462" w:rsidRPr="00785D06">
        <w:rPr>
          <w:lang w:val="en-US"/>
        </w:rPr>
        <w:t xml:space="preserve">that is </w:t>
      </w:r>
      <w:r w:rsidRPr="00785D06">
        <w:rPr>
          <w:lang w:val="en-US"/>
        </w:rPr>
        <w:t>additional</w:t>
      </w:r>
      <w:r w:rsidR="00A71380" w:rsidRPr="00785D06">
        <w:rPr>
          <w:lang w:val="en-US"/>
        </w:rPr>
        <w:t xml:space="preserve"> and complementary to </w:t>
      </w:r>
      <w:r w:rsidRPr="00785D06">
        <w:rPr>
          <w:lang w:val="en-US"/>
        </w:rPr>
        <w:t xml:space="preserve">other rights </w:t>
      </w:r>
      <w:r w:rsidR="00761462" w:rsidRPr="00785D06">
        <w:rPr>
          <w:lang w:val="en-US"/>
        </w:rPr>
        <w:t xml:space="preserve">recognized by </w:t>
      </w:r>
      <w:r w:rsidRPr="00785D06">
        <w:rPr>
          <w:lang w:val="en-US"/>
        </w:rPr>
        <w:t xml:space="preserve">the Convention </w:t>
      </w:r>
      <w:r w:rsidR="00761462" w:rsidRPr="00785D06">
        <w:rPr>
          <w:lang w:val="en-US"/>
        </w:rPr>
        <w:t>to every individual</w:t>
      </w:r>
      <w:r w:rsidRPr="00785D06">
        <w:rPr>
          <w:lang w:val="en-US"/>
        </w:rPr>
        <w:t xml:space="preserve">. Likewise, the </w:t>
      </w:r>
      <w:r w:rsidR="00801F81" w:rsidRPr="00785D06">
        <w:rPr>
          <w:lang w:val="en-US"/>
        </w:rPr>
        <w:t xml:space="preserve">State has the duty to adopt positive </w:t>
      </w:r>
      <w:r w:rsidRPr="00785D06">
        <w:rPr>
          <w:lang w:val="en-US"/>
        </w:rPr>
        <w:t xml:space="preserve">measures to </w:t>
      </w:r>
      <w:r w:rsidR="00801F81" w:rsidRPr="00785D06">
        <w:rPr>
          <w:lang w:val="en-US"/>
        </w:rPr>
        <w:t xml:space="preserve">fully </w:t>
      </w:r>
      <w:r w:rsidRPr="00785D06">
        <w:rPr>
          <w:lang w:val="en-US"/>
        </w:rPr>
        <w:t xml:space="preserve">ensure the </w:t>
      </w:r>
      <w:r w:rsidR="00707D69" w:rsidRPr="00785D06">
        <w:rPr>
          <w:lang w:val="en-US"/>
        </w:rPr>
        <w:t xml:space="preserve">effective </w:t>
      </w:r>
      <w:r w:rsidRPr="00785D06">
        <w:rPr>
          <w:lang w:val="en-US"/>
        </w:rPr>
        <w:t>exercise of the rights of the child.</w:t>
      </w:r>
      <w:r w:rsidRPr="00785D06">
        <w:rPr>
          <w:rStyle w:val="Refdenotaalpie"/>
          <w:lang w:val="en-US"/>
        </w:rPr>
        <w:footnoteReference w:id="108"/>
      </w:r>
    </w:p>
    <w:p w14:paraId="1DF189A4" w14:textId="77777777" w:rsidR="00C254BF" w:rsidRPr="00785D06" w:rsidRDefault="00C254BF" w:rsidP="00C254BF">
      <w:pPr>
        <w:pStyle w:val="Prrafodelista"/>
        <w:ind w:firstLine="708"/>
        <w:rPr>
          <w:sz w:val="20"/>
          <w:szCs w:val="20"/>
          <w:lang w:val="en-US"/>
        </w:rPr>
      </w:pPr>
    </w:p>
    <w:p w14:paraId="563A157E"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The Court has indicated that “</w:t>
      </w:r>
      <w:r w:rsidR="00761462" w:rsidRPr="00785D06">
        <w:rPr>
          <w:sz w:val="20"/>
          <w:szCs w:val="20"/>
          <w:lang w:val="en-US"/>
        </w:rPr>
        <w:t>the right to education, which contributes to the possibility of enjoying a dignified life and prevent</w:t>
      </w:r>
      <w:r w:rsidR="00FF579E" w:rsidRPr="00785D06">
        <w:rPr>
          <w:sz w:val="20"/>
          <w:szCs w:val="20"/>
          <w:lang w:val="en-US"/>
        </w:rPr>
        <w:t>ing</w:t>
      </w:r>
      <w:r w:rsidR="00761462" w:rsidRPr="00785D06">
        <w:rPr>
          <w:sz w:val="20"/>
          <w:szCs w:val="20"/>
          <w:lang w:val="en-US"/>
        </w:rPr>
        <w:t xml:space="preserve"> unfavorable situations for the minor and for society itself, stands out among the special measures of protection for children and among the rights recognized for them in Article 19 of the American Convention</w:t>
      </w:r>
      <w:r w:rsidRPr="00785D06">
        <w:rPr>
          <w:sz w:val="20"/>
          <w:szCs w:val="20"/>
          <w:lang w:val="en-US"/>
        </w:rPr>
        <w:t>.”</w:t>
      </w:r>
      <w:r w:rsidRPr="00785D06">
        <w:rPr>
          <w:rStyle w:val="Refdenotaalpie"/>
          <w:sz w:val="20"/>
          <w:szCs w:val="20"/>
          <w:lang w:val="en-US"/>
        </w:rPr>
        <w:footnoteReference w:id="109"/>
      </w:r>
      <w:r w:rsidRPr="00785D06">
        <w:rPr>
          <w:sz w:val="20"/>
          <w:szCs w:val="20"/>
          <w:lang w:val="en-US"/>
        </w:rPr>
        <w:t xml:space="preserve"> </w:t>
      </w:r>
      <w:r w:rsidR="00B9786E" w:rsidRPr="00785D06">
        <w:rPr>
          <w:sz w:val="20"/>
          <w:szCs w:val="20"/>
          <w:lang w:val="en-US"/>
        </w:rPr>
        <w:t xml:space="preserve">It has also </w:t>
      </w:r>
      <w:r w:rsidRPr="00785D06">
        <w:rPr>
          <w:sz w:val="20"/>
          <w:szCs w:val="20"/>
          <w:lang w:val="en-US"/>
        </w:rPr>
        <w:t xml:space="preserve">explained that this right, </w:t>
      </w:r>
      <w:r w:rsidR="00FF579E" w:rsidRPr="00785D06">
        <w:rPr>
          <w:sz w:val="20"/>
          <w:szCs w:val="20"/>
          <w:lang w:val="en-US"/>
        </w:rPr>
        <w:t xml:space="preserve">in </w:t>
      </w:r>
      <w:r w:rsidRPr="00785D06">
        <w:rPr>
          <w:sz w:val="20"/>
          <w:szCs w:val="20"/>
          <w:lang w:val="en-US"/>
        </w:rPr>
        <w:t xml:space="preserve">respect of children, </w:t>
      </w:r>
      <w:r w:rsidR="00FF579E" w:rsidRPr="00785D06">
        <w:rPr>
          <w:sz w:val="20"/>
          <w:szCs w:val="20"/>
          <w:lang w:val="en-US"/>
        </w:rPr>
        <w:t>is derived from th</w:t>
      </w:r>
      <w:r w:rsidR="005258B4" w:rsidRPr="00785D06">
        <w:rPr>
          <w:sz w:val="20"/>
          <w:szCs w:val="20"/>
          <w:lang w:val="en-US"/>
        </w:rPr>
        <w:t xml:space="preserve">e aforementioned </w:t>
      </w:r>
      <w:r w:rsidR="00FF579E" w:rsidRPr="00785D06">
        <w:rPr>
          <w:sz w:val="20"/>
          <w:szCs w:val="20"/>
          <w:lang w:val="en-US"/>
        </w:rPr>
        <w:t xml:space="preserve">provision </w:t>
      </w:r>
      <w:r w:rsidRPr="00785D06">
        <w:rPr>
          <w:sz w:val="20"/>
          <w:szCs w:val="20"/>
          <w:lang w:val="en-US"/>
        </w:rPr>
        <w:t>interpreted in accordance with the Convention on the Rights of the Child, Article 26 of the American Convention and the Protocol of San Salvador.</w:t>
      </w:r>
      <w:r w:rsidRPr="00785D06">
        <w:rPr>
          <w:rStyle w:val="Refdenotaalpie"/>
          <w:sz w:val="20"/>
          <w:szCs w:val="20"/>
          <w:lang w:val="en-US"/>
        </w:rPr>
        <w:footnoteReference w:id="110"/>
      </w:r>
      <w:r w:rsidRPr="00785D06">
        <w:rPr>
          <w:sz w:val="20"/>
          <w:szCs w:val="20"/>
          <w:lang w:val="en-US"/>
        </w:rPr>
        <w:t xml:space="preserve"> </w:t>
      </w:r>
      <w:r w:rsidR="00FF579E" w:rsidRPr="00785D06">
        <w:rPr>
          <w:sz w:val="20"/>
          <w:szCs w:val="20"/>
          <w:lang w:val="en-US"/>
        </w:rPr>
        <w:t>Th</w:t>
      </w:r>
      <w:r w:rsidR="005258B4" w:rsidRPr="00785D06">
        <w:rPr>
          <w:sz w:val="20"/>
          <w:szCs w:val="20"/>
          <w:lang w:val="en-US"/>
        </w:rPr>
        <w:t xml:space="preserve">e latter recognizes the right to education in Article 13, </w:t>
      </w:r>
      <w:r w:rsidR="00B9786E" w:rsidRPr="00785D06">
        <w:rPr>
          <w:sz w:val="20"/>
          <w:szCs w:val="20"/>
          <w:lang w:val="en-US"/>
        </w:rPr>
        <w:t xml:space="preserve">a matter </w:t>
      </w:r>
      <w:r w:rsidR="005258B4" w:rsidRPr="00785D06">
        <w:rPr>
          <w:sz w:val="20"/>
          <w:szCs w:val="20"/>
          <w:lang w:val="en-US"/>
        </w:rPr>
        <w:t xml:space="preserve">upon which the </w:t>
      </w:r>
      <w:r w:rsidR="00FF579E" w:rsidRPr="00785D06">
        <w:rPr>
          <w:sz w:val="20"/>
          <w:szCs w:val="20"/>
          <w:lang w:val="en-US"/>
        </w:rPr>
        <w:t xml:space="preserve">Court </w:t>
      </w:r>
      <w:r w:rsidR="005258B4" w:rsidRPr="00785D06">
        <w:rPr>
          <w:sz w:val="20"/>
          <w:szCs w:val="20"/>
          <w:lang w:val="en-US"/>
        </w:rPr>
        <w:t>can exercise its jurisdiction</w:t>
      </w:r>
      <w:r w:rsidR="00103799" w:rsidRPr="00785D06">
        <w:t>;</w:t>
      </w:r>
      <w:r w:rsidRPr="00785D06">
        <w:rPr>
          <w:rStyle w:val="Refdenotaalpie"/>
          <w:sz w:val="20"/>
          <w:szCs w:val="20"/>
          <w:lang w:val="en-US"/>
        </w:rPr>
        <w:footnoteReference w:id="111"/>
      </w:r>
      <w:r w:rsidRPr="00785D06">
        <w:rPr>
          <w:sz w:val="20"/>
          <w:szCs w:val="20"/>
          <w:lang w:val="en-US"/>
        </w:rPr>
        <w:t xml:space="preserve"> </w:t>
      </w:r>
      <w:r w:rsidR="00103799" w:rsidRPr="00785D06">
        <w:rPr>
          <w:sz w:val="20"/>
          <w:szCs w:val="20"/>
          <w:lang w:val="en-US"/>
        </w:rPr>
        <w:t>th</w:t>
      </w:r>
      <w:r w:rsidR="00B9786E" w:rsidRPr="00785D06">
        <w:rPr>
          <w:sz w:val="20"/>
          <w:szCs w:val="20"/>
          <w:lang w:val="en-US"/>
        </w:rPr>
        <w:t>us</w:t>
      </w:r>
      <w:r w:rsidR="00103799" w:rsidRPr="00785D06">
        <w:rPr>
          <w:sz w:val="20"/>
          <w:szCs w:val="20"/>
          <w:lang w:val="en-US"/>
        </w:rPr>
        <w:t xml:space="preserve">, in the instant case, the Court does not consider it </w:t>
      </w:r>
      <w:r w:rsidRPr="00785D06">
        <w:rPr>
          <w:sz w:val="20"/>
          <w:szCs w:val="20"/>
          <w:lang w:val="en-US"/>
        </w:rPr>
        <w:t xml:space="preserve">necessary to rule on the alleged violation of the right to education based on Article 26 of the Convention. </w:t>
      </w:r>
      <w:r w:rsidR="00103799" w:rsidRPr="00785D06">
        <w:rPr>
          <w:sz w:val="20"/>
          <w:szCs w:val="20"/>
          <w:lang w:val="en-US"/>
        </w:rPr>
        <w:t xml:space="preserve">Moreover, </w:t>
      </w:r>
      <w:r w:rsidRPr="00785D06">
        <w:rPr>
          <w:sz w:val="20"/>
          <w:szCs w:val="20"/>
          <w:lang w:val="en-US"/>
        </w:rPr>
        <w:t xml:space="preserve">the right to education is recognized in Article 28 of the Convention on the Rights of the Child. </w:t>
      </w:r>
    </w:p>
    <w:p w14:paraId="0D577677" w14:textId="77777777" w:rsidR="00C254BF" w:rsidRPr="00785D06" w:rsidRDefault="00C254BF" w:rsidP="00C254BF">
      <w:pPr>
        <w:pStyle w:val="Prrafodelista"/>
        <w:rPr>
          <w:rFonts w:eastAsia="Times New Roman"/>
          <w:color w:val="000000"/>
          <w:sz w:val="20"/>
          <w:szCs w:val="20"/>
          <w:lang w:val="en-US"/>
        </w:rPr>
      </w:pPr>
    </w:p>
    <w:p w14:paraId="6F687816" w14:textId="77777777" w:rsidR="00C254BF" w:rsidRPr="00785D06" w:rsidRDefault="00C254BF" w:rsidP="00C254BF">
      <w:pPr>
        <w:pStyle w:val="Prrafodelista"/>
        <w:numPr>
          <w:ilvl w:val="0"/>
          <w:numId w:val="35"/>
        </w:numPr>
        <w:ind w:left="0" w:firstLine="0"/>
        <w:contextualSpacing w:val="0"/>
        <w:jc w:val="both"/>
        <w:rPr>
          <w:rFonts w:eastAsia="Times New Roman"/>
          <w:color w:val="000000"/>
          <w:sz w:val="20"/>
          <w:szCs w:val="20"/>
          <w:lang w:val="en-US" w:eastAsia="es-ES_tradnl"/>
        </w:rPr>
      </w:pPr>
      <w:r w:rsidRPr="00785D06">
        <w:rPr>
          <w:rFonts w:eastAsia="Times New Roman"/>
          <w:color w:val="000000"/>
          <w:sz w:val="20"/>
          <w:szCs w:val="20"/>
          <w:lang w:val="en-US"/>
        </w:rPr>
        <w:t xml:space="preserve">That said, </w:t>
      </w:r>
      <w:r w:rsidR="00103799" w:rsidRPr="00785D06">
        <w:rPr>
          <w:rFonts w:eastAsia="Times New Roman"/>
          <w:color w:val="000000"/>
          <w:sz w:val="20"/>
          <w:szCs w:val="20"/>
          <w:lang w:val="en-US"/>
        </w:rPr>
        <w:t xml:space="preserve">an </w:t>
      </w:r>
      <w:r w:rsidRPr="00785D06">
        <w:rPr>
          <w:rFonts w:eastAsia="Times New Roman"/>
          <w:color w:val="000000"/>
          <w:sz w:val="20"/>
          <w:szCs w:val="20"/>
          <w:lang w:val="en-US"/>
        </w:rPr>
        <w:t xml:space="preserve">education imparted in </w:t>
      </w:r>
      <w:r w:rsidR="002F4C1E" w:rsidRPr="00785D06">
        <w:rPr>
          <w:rFonts w:eastAsia="Times New Roman"/>
          <w:color w:val="000000"/>
          <w:sz w:val="20"/>
          <w:szCs w:val="20"/>
          <w:lang w:val="en-US"/>
        </w:rPr>
        <w:t xml:space="preserve">a manner that </w:t>
      </w:r>
      <w:r w:rsidRPr="00785D06">
        <w:rPr>
          <w:rFonts w:eastAsia="Times New Roman"/>
          <w:color w:val="000000"/>
          <w:sz w:val="20"/>
          <w:szCs w:val="20"/>
          <w:lang w:val="en-US"/>
        </w:rPr>
        <w:t>breach</w:t>
      </w:r>
      <w:r w:rsidR="002F4C1E" w:rsidRPr="00785D06">
        <w:rPr>
          <w:rFonts w:eastAsia="Times New Roman"/>
          <w:color w:val="000000"/>
          <w:sz w:val="20"/>
          <w:szCs w:val="20"/>
          <w:lang w:val="en-US"/>
        </w:rPr>
        <w:t>es</w:t>
      </w:r>
      <w:r w:rsidRPr="00785D06">
        <w:rPr>
          <w:rFonts w:eastAsia="Times New Roman"/>
          <w:color w:val="000000"/>
          <w:sz w:val="20"/>
          <w:szCs w:val="20"/>
          <w:lang w:val="en-US"/>
        </w:rPr>
        <w:t xml:space="preserve"> human rights </w:t>
      </w:r>
      <w:r w:rsidR="00103799" w:rsidRPr="00785D06">
        <w:rPr>
          <w:rFonts w:eastAsia="Times New Roman"/>
          <w:color w:val="000000"/>
          <w:sz w:val="20"/>
          <w:szCs w:val="20"/>
          <w:lang w:val="en-US"/>
        </w:rPr>
        <w:t xml:space="preserve">does not </w:t>
      </w:r>
      <w:r w:rsidRPr="00785D06">
        <w:rPr>
          <w:rFonts w:eastAsia="Times New Roman"/>
          <w:color w:val="000000"/>
          <w:sz w:val="20"/>
          <w:szCs w:val="20"/>
          <w:lang w:val="en-US"/>
        </w:rPr>
        <w:t>achieve the</w:t>
      </w:r>
      <w:r w:rsidR="009F758D" w:rsidRPr="00785D06">
        <w:rPr>
          <w:rFonts w:eastAsia="Times New Roman"/>
          <w:color w:val="000000"/>
          <w:sz w:val="20"/>
          <w:szCs w:val="20"/>
          <w:lang w:val="en-US"/>
        </w:rPr>
        <w:t xml:space="preserve"> stated</w:t>
      </w:r>
      <w:r w:rsidRPr="00785D06">
        <w:rPr>
          <w:rFonts w:eastAsia="Times New Roman"/>
          <w:color w:val="000000"/>
          <w:sz w:val="20"/>
          <w:szCs w:val="20"/>
          <w:lang w:val="en-US"/>
        </w:rPr>
        <w:t xml:space="preserve"> objectiv</w:t>
      </w:r>
      <w:r w:rsidR="009F758D" w:rsidRPr="00785D06">
        <w:rPr>
          <w:rFonts w:eastAsia="Times New Roman"/>
          <w:color w:val="000000"/>
          <w:sz w:val="20"/>
          <w:szCs w:val="20"/>
          <w:lang w:val="en-US"/>
        </w:rPr>
        <w:t>es</w:t>
      </w:r>
      <w:r w:rsidRPr="00785D06">
        <w:rPr>
          <w:rFonts w:eastAsia="Times New Roman"/>
          <w:color w:val="000000"/>
          <w:sz w:val="20"/>
          <w:szCs w:val="20"/>
          <w:lang w:val="en-US"/>
        </w:rPr>
        <w:t xml:space="preserve">, is </w:t>
      </w:r>
      <w:r w:rsidR="00B9786E" w:rsidRPr="00785D06">
        <w:rPr>
          <w:rFonts w:eastAsia="Times New Roman"/>
          <w:color w:val="000000"/>
          <w:sz w:val="20"/>
          <w:szCs w:val="20"/>
          <w:lang w:val="en-US"/>
        </w:rPr>
        <w:t xml:space="preserve">wholly </w:t>
      </w:r>
      <w:r w:rsidRPr="00785D06">
        <w:rPr>
          <w:rFonts w:eastAsia="Times New Roman"/>
          <w:color w:val="000000"/>
          <w:sz w:val="20"/>
          <w:szCs w:val="20"/>
          <w:lang w:val="en-US"/>
        </w:rPr>
        <w:t xml:space="preserve">contrary to these and, </w:t>
      </w:r>
      <w:r w:rsidR="008C5776" w:rsidRPr="00785D06">
        <w:rPr>
          <w:rFonts w:eastAsia="Times New Roman"/>
          <w:color w:val="000000"/>
          <w:sz w:val="20"/>
          <w:szCs w:val="20"/>
          <w:lang w:val="en-US"/>
        </w:rPr>
        <w:t>consequently</w:t>
      </w:r>
      <w:r w:rsidRPr="00785D06">
        <w:rPr>
          <w:rFonts w:eastAsia="Times New Roman"/>
          <w:color w:val="000000"/>
          <w:sz w:val="20"/>
          <w:szCs w:val="20"/>
          <w:lang w:val="en-US"/>
        </w:rPr>
        <w:t>, violate</w:t>
      </w:r>
      <w:r w:rsidR="009F758D" w:rsidRPr="00785D06">
        <w:rPr>
          <w:rFonts w:eastAsia="Times New Roman"/>
          <w:color w:val="000000"/>
          <w:sz w:val="20"/>
          <w:szCs w:val="20"/>
          <w:lang w:val="en-US"/>
        </w:rPr>
        <w:t>s</w:t>
      </w:r>
      <w:r w:rsidR="00103799" w:rsidRPr="00785D06">
        <w:rPr>
          <w:rFonts w:eastAsia="Times New Roman"/>
          <w:color w:val="000000"/>
          <w:sz w:val="20"/>
          <w:szCs w:val="20"/>
          <w:lang w:val="en-US"/>
        </w:rPr>
        <w:t xml:space="preserve"> the right to education. </w:t>
      </w:r>
      <w:r w:rsidRPr="00785D06">
        <w:rPr>
          <w:rFonts w:eastAsia="Times New Roman"/>
          <w:color w:val="000000"/>
          <w:sz w:val="20"/>
          <w:szCs w:val="20"/>
          <w:lang w:val="en-US"/>
        </w:rPr>
        <w:t xml:space="preserve">States must </w:t>
      </w:r>
      <w:r w:rsidR="00103799" w:rsidRPr="00785D06">
        <w:rPr>
          <w:rFonts w:eastAsia="Times New Roman"/>
          <w:color w:val="000000"/>
          <w:sz w:val="20"/>
          <w:szCs w:val="20"/>
          <w:lang w:val="en-US"/>
        </w:rPr>
        <w:t xml:space="preserve">therefore </w:t>
      </w:r>
      <w:r w:rsidR="002F4C1E" w:rsidRPr="00785D06">
        <w:rPr>
          <w:rFonts w:eastAsia="Times New Roman"/>
          <w:color w:val="000000"/>
          <w:sz w:val="20"/>
          <w:szCs w:val="20"/>
          <w:lang w:val="en-US"/>
        </w:rPr>
        <w:t xml:space="preserve">take appropriate steps </w:t>
      </w:r>
      <w:r w:rsidRPr="00785D06">
        <w:rPr>
          <w:rFonts w:eastAsia="Times New Roman"/>
          <w:color w:val="000000"/>
          <w:sz w:val="20"/>
          <w:szCs w:val="20"/>
          <w:lang w:val="en-US"/>
        </w:rPr>
        <w:t xml:space="preserve">to prevent human rights violations in the course of </w:t>
      </w:r>
      <w:r w:rsidR="00103799" w:rsidRPr="00785D06">
        <w:rPr>
          <w:rFonts w:eastAsia="Times New Roman"/>
          <w:color w:val="000000"/>
          <w:sz w:val="20"/>
          <w:szCs w:val="20"/>
          <w:lang w:val="en-US"/>
        </w:rPr>
        <w:t>a child</w:t>
      </w:r>
      <w:r w:rsidRPr="00785D06">
        <w:rPr>
          <w:rFonts w:eastAsia="Times New Roman"/>
          <w:color w:val="000000"/>
          <w:sz w:val="20"/>
          <w:szCs w:val="20"/>
          <w:lang w:val="en-US"/>
        </w:rPr>
        <w:t>’s educational process.</w:t>
      </w:r>
      <w:r w:rsidRPr="00785D06">
        <w:rPr>
          <w:rStyle w:val="Refdenotaalpie"/>
          <w:rFonts w:eastAsia="Times New Roman"/>
          <w:color w:val="000000"/>
          <w:sz w:val="20"/>
          <w:szCs w:val="20"/>
          <w:lang w:val="en-US"/>
        </w:rPr>
        <w:footnoteReference w:id="112"/>
      </w:r>
      <w:r w:rsidRPr="00785D06">
        <w:rPr>
          <w:rFonts w:eastAsia="Times New Roman"/>
          <w:color w:val="000000"/>
          <w:sz w:val="20"/>
          <w:szCs w:val="20"/>
          <w:lang w:val="en-US" w:eastAsia="es-ES_tradnl"/>
        </w:rPr>
        <w:t xml:space="preserve"> </w:t>
      </w:r>
      <w:r w:rsidR="00103799" w:rsidRPr="00785D06">
        <w:rPr>
          <w:rFonts w:eastAsia="Times New Roman"/>
          <w:color w:val="000000"/>
          <w:sz w:val="20"/>
          <w:szCs w:val="20"/>
          <w:lang w:val="en-US" w:eastAsia="es-ES_tradnl"/>
        </w:rPr>
        <w:t xml:space="preserve">To comply </w:t>
      </w:r>
      <w:r w:rsidRPr="00785D06">
        <w:rPr>
          <w:rFonts w:eastAsia="Times New Roman"/>
          <w:color w:val="000000"/>
          <w:sz w:val="20"/>
          <w:szCs w:val="20"/>
          <w:lang w:val="en-US" w:eastAsia="es-ES_tradnl"/>
        </w:rPr>
        <w:t xml:space="preserve">with these duties, States must take into consideration the </w:t>
      </w:r>
      <w:r w:rsidR="00103799" w:rsidRPr="00785D06">
        <w:rPr>
          <w:rFonts w:eastAsia="Times New Roman"/>
          <w:color w:val="000000"/>
          <w:sz w:val="20"/>
          <w:szCs w:val="20"/>
          <w:lang w:val="en-US" w:eastAsia="es-ES_tradnl"/>
        </w:rPr>
        <w:t xml:space="preserve">serious nature </w:t>
      </w:r>
      <w:r w:rsidRPr="00785D06">
        <w:rPr>
          <w:rFonts w:eastAsia="Times New Roman"/>
          <w:color w:val="000000"/>
          <w:sz w:val="20"/>
          <w:szCs w:val="20"/>
          <w:lang w:val="en-US" w:eastAsia="es-ES_tradnl"/>
        </w:rPr>
        <w:t>and specific features of gender-based violence, sexual violence and violence against women, all which are a form of discrimination.</w:t>
      </w:r>
      <w:r w:rsidRPr="00785D06">
        <w:rPr>
          <w:rStyle w:val="Refdenotaalpie"/>
          <w:rFonts w:eastAsia="Times New Roman"/>
          <w:color w:val="000000"/>
          <w:sz w:val="20"/>
          <w:szCs w:val="20"/>
          <w:lang w:val="en-US" w:eastAsia="es-ES_tradnl"/>
        </w:rPr>
        <w:footnoteReference w:id="113"/>
      </w:r>
      <w:r w:rsidRPr="00785D06">
        <w:rPr>
          <w:rFonts w:eastAsia="Times New Roman"/>
          <w:color w:val="000000"/>
          <w:sz w:val="20"/>
          <w:szCs w:val="20"/>
          <w:lang w:val="en-US" w:eastAsia="es-ES_tradnl"/>
        </w:rPr>
        <w:t xml:space="preserve"> Thus, children have the right to a safe </w:t>
      </w:r>
      <w:r w:rsidR="00103799" w:rsidRPr="00785D06">
        <w:rPr>
          <w:rFonts w:eastAsia="Times New Roman"/>
          <w:color w:val="000000"/>
          <w:sz w:val="20"/>
          <w:szCs w:val="20"/>
          <w:lang w:val="en-US" w:eastAsia="es-ES_tradnl"/>
        </w:rPr>
        <w:t xml:space="preserve">school </w:t>
      </w:r>
      <w:r w:rsidRPr="00785D06">
        <w:rPr>
          <w:rFonts w:eastAsia="Times New Roman"/>
          <w:color w:val="000000"/>
          <w:sz w:val="20"/>
          <w:szCs w:val="20"/>
          <w:lang w:val="en-US" w:eastAsia="es-ES_tradnl"/>
        </w:rPr>
        <w:t xml:space="preserve">environment and </w:t>
      </w:r>
      <w:r w:rsidR="00103799" w:rsidRPr="00785D06">
        <w:rPr>
          <w:rFonts w:eastAsia="Times New Roman"/>
          <w:color w:val="000000"/>
          <w:sz w:val="20"/>
          <w:szCs w:val="20"/>
          <w:lang w:val="en-US" w:eastAsia="es-ES_tradnl"/>
        </w:rPr>
        <w:t xml:space="preserve">to </w:t>
      </w:r>
      <w:r w:rsidRPr="00785D06">
        <w:rPr>
          <w:rFonts w:eastAsia="Times New Roman"/>
          <w:color w:val="000000"/>
          <w:sz w:val="20"/>
          <w:szCs w:val="20"/>
          <w:lang w:val="en-US" w:eastAsia="es-ES_tradnl"/>
        </w:rPr>
        <w:t xml:space="preserve">an education free </w:t>
      </w:r>
      <w:r w:rsidR="00103799" w:rsidRPr="00785D06">
        <w:rPr>
          <w:rFonts w:eastAsia="Times New Roman"/>
          <w:color w:val="000000"/>
          <w:sz w:val="20"/>
          <w:szCs w:val="20"/>
          <w:lang w:val="en-US" w:eastAsia="es-ES_tradnl"/>
        </w:rPr>
        <w:t xml:space="preserve">from </w:t>
      </w:r>
      <w:r w:rsidRPr="00785D06">
        <w:rPr>
          <w:rFonts w:eastAsia="Times New Roman"/>
          <w:color w:val="000000"/>
          <w:sz w:val="20"/>
          <w:szCs w:val="20"/>
          <w:lang w:val="en-US" w:eastAsia="es-ES_tradnl"/>
        </w:rPr>
        <w:t>sexual violence. Furthermore, as the ESCR Committee</w:t>
      </w:r>
      <w:r w:rsidR="00A217D8" w:rsidRPr="00785D06">
        <w:rPr>
          <w:rFonts w:eastAsia="Times New Roman"/>
          <w:color w:val="000000"/>
          <w:sz w:val="20"/>
          <w:szCs w:val="20"/>
          <w:lang w:val="en-US" w:eastAsia="es-ES_tradnl"/>
        </w:rPr>
        <w:t xml:space="preserve"> has indicated</w:t>
      </w:r>
      <w:r w:rsidRPr="00785D06">
        <w:rPr>
          <w:rFonts w:eastAsia="Times New Roman"/>
          <w:color w:val="000000"/>
          <w:sz w:val="20"/>
          <w:szCs w:val="20"/>
          <w:lang w:val="en-US" w:eastAsia="es-ES_tradnl"/>
        </w:rPr>
        <w:t>, education must be “accessible” to everyone</w:t>
      </w:r>
      <w:r w:rsidRPr="00785D06">
        <w:rPr>
          <w:sz w:val="20"/>
          <w:szCs w:val="20"/>
          <w:lang w:val="en-US"/>
        </w:rPr>
        <w:t xml:space="preserve">, “especially the most vulnerable groups, </w:t>
      </w:r>
      <w:r w:rsidR="00A217D8" w:rsidRPr="00785D06">
        <w:rPr>
          <w:sz w:val="20"/>
          <w:szCs w:val="20"/>
          <w:lang w:val="en-US"/>
        </w:rPr>
        <w:t>in law and fact</w:t>
      </w:r>
      <w:r w:rsidRPr="00785D06">
        <w:rPr>
          <w:sz w:val="20"/>
          <w:szCs w:val="20"/>
          <w:lang w:val="en-US"/>
        </w:rPr>
        <w:t xml:space="preserve">, without discrimination </w:t>
      </w:r>
      <w:r w:rsidR="00A217D8" w:rsidRPr="00785D06">
        <w:rPr>
          <w:sz w:val="20"/>
          <w:szCs w:val="20"/>
          <w:lang w:val="en-US"/>
        </w:rPr>
        <w:t>on any of the prohibited grounds</w:t>
      </w:r>
      <w:r w:rsidRPr="00785D06">
        <w:rPr>
          <w:sz w:val="20"/>
          <w:szCs w:val="20"/>
          <w:lang w:val="en-US"/>
        </w:rPr>
        <w:t xml:space="preserve">.” The Committee </w:t>
      </w:r>
      <w:r w:rsidR="008C5776" w:rsidRPr="00785D06">
        <w:rPr>
          <w:sz w:val="20"/>
          <w:szCs w:val="20"/>
          <w:lang w:val="en-US"/>
        </w:rPr>
        <w:t xml:space="preserve">has </w:t>
      </w:r>
      <w:r w:rsidRPr="00785D06">
        <w:rPr>
          <w:sz w:val="20"/>
          <w:szCs w:val="20"/>
          <w:lang w:val="en-US"/>
        </w:rPr>
        <w:t xml:space="preserve">also emphasized that the prohibition </w:t>
      </w:r>
      <w:r w:rsidR="00A217D8" w:rsidRPr="00785D06">
        <w:rPr>
          <w:sz w:val="20"/>
          <w:szCs w:val="20"/>
          <w:lang w:val="en-US"/>
        </w:rPr>
        <w:t xml:space="preserve">against </w:t>
      </w:r>
      <w:r w:rsidRPr="00785D06">
        <w:rPr>
          <w:sz w:val="20"/>
          <w:szCs w:val="20"/>
          <w:lang w:val="en-US"/>
        </w:rPr>
        <w:t xml:space="preserve">discrimination in education “applies </w:t>
      </w:r>
      <w:r w:rsidR="002F4C1E" w:rsidRPr="00785D06">
        <w:rPr>
          <w:sz w:val="20"/>
          <w:szCs w:val="20"/>
          <w:lang w:val="en-US"/>
        </w:rPr>
        <w:t xml:space="preserve">fully </w:t>
      </w:r>
      <w:r w:rsidRPr="00785D06">
        <w:rPr>
          <w:sz w:val="20"/>
          <w:szCs w:val="20"/>
          <w:lang w:val="en-US"/>
        </w:rPr>
        <w:t xml:space="preserve">and immediately to all aspects of education and encompasses all </w:t>
      </w:r>
      <w:r w:rsidR="00A217D8" w:rsidRPr="00785D06">
        <w:rPr>
          <w:sz w:val="20"/>
          <w:szCs w:val="20"/>
          <w:lang w:val="en-US"/>
        </w:rPr>
        <w:t xml:space="preserve">internationally prohibited grounds for </w:t>
      </w:r>
      <w:r w:rsidRPr="00785D06">
        <w:rPr>
          <w:sz w:val="20"/>
          <w:szCs w:val="20"/>
          <w:lang w:val="en-US"/>
        </w:rPr>
        <w:t>discrimination</w:t>
      </w:r>
      <w:r w:rsidR="00A217D8" w:rsidRPr="00785D06">
        <w:rPr>
          <w:sz w:val="20"/>
          <w:szCs w:val="20"/>
          <w:lang w:val="en-US"/>
        </w:rPr>
        <w:t>.</w:t>
      </w:r>
      <w:r w:rsidRPr="00785D06">
        <w:rPr>
          <w:sz w:val="20"/>
          <w:szCs w:val="20"/>
          <w:lang w:val="en-US"/>
        </w:rPr>
        <w:t>”</w:t>
      </w:r>
      <w:r w:rsidRPr="00785D06">
        <w:rPr>
          <w:rStyle w:val="Refdenotaalpie"/>
          <w:sz w:val="20"/>
          <w:szCs w:val="20"/>
          <w:lang w:val="en-US"/>
        </w:rPr>
        <w:footnoteReference w:id="114"/>
      </w:r>
    </w:p>
    <w:p w14:paraId="15D3E16D" w14:textId="77777777" w:rsidR="00C254BF" w:rsidRPr="00785D06" w:rsidRDefault="00C254BF" w:rsidP="00C254BF">
      <w:pPr>
        <w:pStyle w:val="Prrafodelista"/>
        <w:rPr>
          <w:sz w:val="20"/>
          <w:szCs w:val="20"/>
          <w:lang w:val="en-US"/>
        </w:rPr>
      </w:pPr>
    </w:p>
    <w:p w14:paraId="7C7BC8C4" w14:textId="77777777" w:rsidR="00C254BF" w:rsidRPr="00785D06" w:rsidRDefault="00566E9E"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Consequently, </w:t>
      </w:r>
      <w:r w:rsidR="00C254BF" w:rsidRPr="00785D06">
        <w:rPr>
          <w:rFonts w:eastAsia="Times New Roman"/>
          <w:color w:val="000000"/>
          <w:sz w:val="20"/>
          <w:szCs w:val="20"/>
          <w:lang w:val="en-US"/>
        </w:rPr>
        <w:t>States must “</w:t>
      </w:r>
      <w:r w:rsidR="008C5776" w:rsidRPr="00785D06">
        <w:rPr>
          <w:rFonts w:eastAsia="Times New Roman"/>
          <w:color w:val="000000"/>
          <w:sz w:val="20"/>
          <w:szCs w:val="20"/>
          <w:lang w:val="en-US"/>
        </w:rPr>
        <w:t xml:space="preserve">take </w:t>
      </w:r>
      <w:r w:rsidR="00EC6BF6" w:rsidRPr="00785D06">
        <w:rPr>
          <w:rFonts w:eastAsia="Times New Roman"/>
          <w:color w:val="000000"/>
          <w:sz w:val="20"/>
          <w:szCs w:val="20"/>
          <w:lang w:val="en-US"/>
        </w:rPr>
        <w:t xml:space="preserve">the </w:t>
      </w:r>
      <w:r w:rsidR="00C254BF" w:rsidRPr="00785D06">
        <w:rPr>
          <w:rFonts w:eastAsia="Times New Roman"/>
          <w:color w:val="000000"/>
          <w:sz w:val="20"/>
          <w:szCs w:val="20"/>
          <w:lang w:val="en-US"/>
        </w:rPr>
        <w:t xml:space="preserve">necessary </w:t>
      </w:r>
      <w:r w:rsidR="008C5776" w:rsidRPr="00785D06">
        <w:rPr>
          <w:rFonts w:eastAsia="Times New Roman"/>
          <w:color w:val="000000"/>
          <w:sz w:val="20"/>
          <w:szCs w:val="20"/>
          <w:lang w:val="en-US"/>
        </w:rPr>
        <w:t xml:space="preserve">measures </w:t>
      </w:r>
      <w:r w:rsidR="00C02228" w:rsidRPr="00785D06">
        <w:rPr>
          <w:rFonts w:eastAsia="Times New Roman"/>
          <w:color w:val="000000"/>
          <w:sz w:val="20"/>
          <w:szCs w:val="20"/>
          <w:lang w:val="en-US"/>
        </w:rPr>
        <w:t xml:space="preserve">to prevent </w:t>
      </w:r>
      <w:r w:rsidR="00C254BF" w:rsidRPr="00785D06">
        <w:rPr>
          <w:rFonts w:eastAsia="Times New Roman"/>
          <w:color w:val="000000"/>
          <w:sz w:val="20"/>
          <w:szCs w:val="20"/>
          <w:lang w:val="en-US"/>
        </w:rPr>
        <w:t>and prohibit all forms of violence and abuse</w:t>
      </w:r>
      <w:r w:rsidR="00406B82" w:rsidRPr="00785D06">
        <w:rPr>
          <w:rFonts w:eastAsia="Times New Roman"/>
          <w:color w:val="000000"/>
          <w:sz w:val="20"/>
          <w:szCs w:val="20"/>
          <w:lang w:val="en-US"/>
        </w:rPr>
        <w:t>, including sexual abuse</w:t>
      </w:r>
      <w:r w:rsidR="00EC6BF6" w:rsidRPr="00785D06">
        <w:rPr>
          <w:rFonts w:eastAsia="Times New Roman"/>
          <w:color w:val="000000"/>
          <w:sz w:val="20"/>
          <w:szCs w:val="20"/>
          <w:lang w:val="en-US"/>
        </w:rPr>
        <w:t xml:space="preserve"> […] by school personnel</w:t>
      </w:r>
      <w:r w:rsidR="00C254BF" w:rsidRPr="00785D06">
        <w:rPr>
          <w:rFonts w:eastAsia="Times New Roman"/>
          <w:color w:val="000000"/>
          <w:sz w:val="20"/>
          <w:szCs w:val="20"/>
          <w:lang w:val="en-US"/>
        </w:rPr>
        <w:t>,”</w:t>
      </w:r>
      <w:r w:rsidR="00C254BF" w:rsidRPr="00785D06">
        <w:rPr>
          <w:rStyle w:val="Refdenotaalpie"/>
          <w:rFonts w:eastAsia="Times New Roman"/>
          <w:color w:val="000000"/>
          <w:sz w:val="20"/>
          <w:szCs w:val="20"/>
          <w:lang w:val="en-US"/>
        </w:rPr>
        <w:footnoteReference w:id="115"/>
      </w:r>
      <w:r w:rsidR="00C254BF" w:rsidRPr="00785D06">
        <w:rPr>
          <w:rFonts w:eastAsia="Times New Roman"/>
          <w:color w:val="000000"/>
          <w:sz w:val="20"/>
          <w:szCs w:val="20"/>
          <w:lang w:val="en-US"/>
        </w:rPr>
        <w:t xml:space="preserve"> </w:t>
      </w:r>
      <w:r w:rsidR="002F4C1E" w:rsidRPr="00785D06">
        <w:rPr>
          <w:rFonts w:eastAsia="Times New Roman"/>
          <w:color w:val="000000"/>
          <w:sz w:val="20"/>
          <w:szCs w:val="20"/>
          <w:lang w:val="en-US"/>
        </w:rPr>
        <w:t xml:space="preserve">who are in a position of </w:t>
      </w:r>
      <w:r w:rsidR="00C254BF" w:rsidRPr="00785D06">
        <w:rPr>
          <w:rFonts w:eastAsia="Times New Roman"/>
          <w:color w:val="000000"/>
          <w:sz w:val="20"/>
          <w:szCs w:val="20"/>
          <w:lang w:val="en-US"/>
        </w:rPr>
        <w:t xml:space="preserve">authority and trust </w:t>
      </w:r>
      <w:r w:rsidR="002F4C1E" w:rsidRPr="00785D06">
        <w:rPr>
          <w:rFonts w:eastAsia="Times New Roman"/>
          <w:color w:val="000000"/>
          <w:sz w:val="20"/>
          <w:szCs w:val="20"/>
          <w:lang w:val="en-US"/>
        </w:rPr>
        <w:t xml:space="preserve">in relation to </w:t>
      </w:r>
      <w:r w:rsidR="00C254BF" w:rsidRPr="00785D06">
        <w:rPr>
          <w:rFonts w:eastAsia="Times New Roman"/>
          <w:color w:val="000000"/>
          <w:sz w:val="20"/>
          <w:szCs w:val="20"/>
          <w:lang w:val="en-US"/>
        </w:rPr>
        <w:t>students and even their parents. In this regard, it should be borne in mind that girls and adolescents are in a particular s</w:t>
      </w:r>
      <w:r w:rsidRPr="00785D06">
        <w:rPr>
          <w:rFonts w:eastAsia="Times New Roman"/>
          <w:color w:val="000000"/>
          <w:sz w:val="20"/>
          <w:szCs w:val="20"/>
          <w:lang w:val="en-US"/>
        </w:rPr>
        <w:t xml:space="preserve">ituation </w:t>
      </w:r>
      <w:r w:rsidR="00C254BF" w:rsidRPr="00785D06">
        <w:rPr>
          <w:rFonts w:eastAsia="Times New Roman"/>
          <w:color w:val="000000"/>
          <w:sz w:val="20"/>
          <w:szCs w:val="20"/>
          <w:lang w:val="en-US"/>
        </w:rPr>
        <w:t>of vulnerability,</w:t>
      </w:r>
      <w:r w:rsidR="00C254BF" w:rsidRPr="00785D06">
        <w:rPr>
          <w:rStyle w:val="Refdenotaalpie"/>
          <w:sz w:val="20"/>
          <w:szCs w:val="20"/>
          <w:lang w:val="en-US"/>
        </w:rPr>
        <w:t xml:space="preserve"> </w:t>
      </w:r>
      <w:r w:rsidR="00C254BF" w:rsidRPr="00785D06">
        <w:rPr>
          <w:rStyle w:val="Refdenotaalpie"/>
          <w:sz w:val="20"/>
          <w:szCs w:val="20"/>
          <w:lang w:val="en-US"/>
        </w:rPr>
        <w:footnoteReference w:id="116"/>
      </w:r>
      <w:r w:rsidR="00C254BF" w:rsidRPr="00785D06">
        <w:rPr>
          <w:rFonts w:eastAsia="Times New Roman"/>
          <w:color w:val="000000"/>
          <w:sz w:val="20"/>
          <w:szCs w:val="20"/>
          <w:lang w:val="en-US"/>
        </w:rPr>
        <w:t xml:space="preserve"> </w:t>
      </w:r>
      <w:r w:rsidR="00AC0963" w:rsidRPr="00785D06">
        <w:rPr>
          <w:rFonts w:eastAsia="Times New Roman"/>
          <w:color w:val="000000"/>
          <w:sz w:val="20"/>
          <w:szCs w:val="20"/>
          <w:lang w:val="en-US"/>
        </w:rPr>
        <w:t xml:space="preserve">since </w:t>
      </w:r>
      <w:r w:rsidR="00C02228" w:rsidRPr="00785D06">
        <w:rPr>
          <w:rFonts w:eastAsia="Times New Roman"/>
          <w:color w:val="000000"/>
          <w:sz w:val="20"/>
          <w:szCs w:val="20"/>
          <w:lang w:val="en-US"/>
        </w:rPr>
        <w:t xml:space="preserve">they “are often </w:t>
      </w:r>
      <w:r w:rsidR="00C254BF" w:rsidRPr="00785D06">
        <w:rPr>
          <w:rFonts w:eastAsia="Times New Roman"/>
          <w:color w:val="000000"/>
          <w:sz w:val="20"/>
          <w:szCs w:val="20"/>
          <w:lang w:val="en-US"/>
        </w:rPr>
        <w:t>vulnerable to sexual abuse by […]</w:t>
      </w:r>
      <w:r w:rsidR="00C02228" w:rsidRPr="00785D06">
        <w:rPr>
          <w:rFonts w:eastAsia="Times New Roman"/>
          <w:color w:val="000000"/>
          <w:sz w:val="20"/>
          <w:szCs w:val="20"/>
          <w:lang w:val="en-US"/>
        </w:rPr>
        <w:t xml:space="preserve"> </w:t>
      </w:r>
      <w:r w:rsidR="00C254BF" w:rsidRPr="00785D06">
        <w:rPr>
          <w:rFonts w:eastAsia="Times New Roman"/>
          <w:color w:val="000000"/>
          <w:sz w:val="20"/>
          <w:szCs w:val="20"/>
          <w:lang w:val="en-US"/>
        </w:rPr>
        <w:t>older men.”</w:t>
      </w:r>
      <w:r w:rsidR="00C254BF" w:rsidRPr="00785D06">
        <w:rPr>
          <w:rStyle w:val="Refdenotaalpie"/>
          <w:rFonts w:eastAsia="Times New Roman"/>
          <w:color w:val="000000"/>
          <w:sz w:val="20"/>
          <w:szCs w:val="20"/>
          <w:lang w:val="en-US"/>
        </w:rPr>
        <w:footnoteReference w:id="117"/>
      </w:r>
      <w:r w:rsidR="00C254BF" w:rsidRPr="00785D06">
        <w:rPr>
          <w:rFonts w:eastAsia="Times New Roman"/>
          <w:color w:val="000000"/>
          <w:sz w:val="20"/>
          <w:szCs w:val="20"/>
          <w:lang w:val="en-US"/>
        </w:rPr>
        <w:t xml:space="preserve"> In </w:t>
      </w:r>
      <w:r w:rsidR="00AC0963" w:rsidRPr="00785D06">
        <w:rPr>
          <w:rFonts w:eastAsia="Times New Roman"/>
          <w:color w:val="000000"/>
          <w:sz w:val="20"/>
          <w:szCs w:val="20"/>
          <w:lang w:val="en-US"/>
        </w:rPr>
        <w:t xml:space="preserve">this regard, </w:t>
      </w:r>
      <w:r w:rsidR="00C254BF" w:rsidRPr="00785D06">
        <w:rPr>
          <w:rFonts w:eastAsia="Times New Roman"/>
          <w:color w:val="000000"/>
          <w:sz w:val="20"/>
          <w:szCs w:val="20"/>
          <w:lang w:val="en-US"/>
        </w:rPr>
        <w:t xml:space="preserve">the Committee on the Rights of the Child has indicated that States have the “strict obligation” to </w:t>
      </w:r>
      <w:r w:rsidR="00AC0963" w:rsidRPr="00785D06">
        <w:rPr>
          <w:rFonts w:eastAsia="Times New Roman"/>
          <w:color w:val="000000"/>
          <w:sz w:val="20"/>
          <w:szCs w:val="20"/>
          <w:lang w:val="en-US"/>
        </w:rPr>
        <w:t xml:space="preserve">take </w:t>
      </w:r>
      <w:r w:rsidR="00C254BF" w:rsidRPr="00785D06">
        <w:rPr>
          <w:rFonts w:eastAsia="Times New Roman"/>
          <w:color w:val="000000"/>
          <w:sz w:val="20"/>
          <w:szCs w:val="20"/>
          <w:lang w:val="en-US"/>
        </w:rPr>
        <w:t xml:space="preserve">all appropriate </w:t>
      </w:r>
      <w:r w:rsidR="00AC0963" w:rsidRPr="00785D06">
        <w:rPr>
          <w:rFonts w:eastAsia="Times New Roman"/>
          <w:color w:val="000000"/>
          <w:sz w:val="20"/>
          <w:szCs w:val="20"/>
          <w:lang w:val="en-US"/>
        </w:rPr>
        <w:t xml:space="preserve">measures </w:t>
      </w:r>
      <w:r w:rsidR="00C254BF" w:rsidRPr="00785D06">
        <w:rPr>
          <w:rFonts w:eastAsia="Times New Roman"/>
          <w:color w:val="000000"/>
          <w:sz w:val="20"/>
          <w:szCs w:val="20"/>
          <w:lang w:val="en-US"/>
        </w:rPr>
        <w:t>to address violence against childr</w:t>
      </w:r>
      <w:r w:rsidR="00AC0963" w:rsidRPr="00785D06">
        <w:rPr>
          <w:rFonts w:eastAsia="Times New Roman"/>
          <w:color w:val="000000"/>
          <w:sz w:val="20"/>
          <w:szCs w:val="20"/>
          <w:lang w:val="en-US"/>
        </w:rPr>
        <w:t>en. This obligation “refers to the broad range</w:t>
      </w:r>
      <w:r w:rsidR="00C254BF" w:rsidRPr="00785D06">
        <w:rPr>
          <w:rFonts w:eastAsia="Times New Roman"/>
          <w:color w:val="000000"/>
          <w:sz w:val="20"/>
          <w:szCs w:val="20"/>
          <w:lang w:val="en-US"/>
        </w:rPr>
        <w:t xml:space="preserve"> of measures </w:t>
      </w:r>
      <w:r w:rsidR="00AC0963" w:rsidRPr="00785D06">
        <w:rPr>
          <w:rFonts w:eastAsia="Times New Roman"/>
          <w:color w:val="000000"/>
          <w:sz w:val="20"/>
          <w:szCs w:val="20"/>
          <w:lang w:val="en-US"/>
        </w:rPr>
        <w:t xml:space="preserve">cutting across </w:t>
      </w:r>
      <w:r w:rsidR="00AC0963" w:rsidRPr="00785D06">
        <w:rPr>
          <w:sz w:val="20"/>
          <w:szCs w:val="20"/>
          <w:lang w:val="en-US"/>
        </w:rPr>
        <w:t>all sectors of Government, which must be used and be effective in order to prevent and respond to all forms of violence</w:t>
      </w:r>
      <w:r w:rsidR="00AA6EBE" w:rsidRPr="00785D06">
        <w:rPr>
          <w:sz w:val="20"/>
          <w:szCs w:val="20"/>
          <w:lang w:val="en-US"/>
        </w:rPr>
        <w:t>,</w:t>
      </w:r>
      <w:r w:rsidR="00AA6EBE" w:rsidRPr="00785D06">
        <w:rPr>
          <w:rFonts w:eastAsia="Times New Roman"/>
          <w:color w:val="000000"/>
          <w:sz w:val="20"/>
          <w:szCs w:val="20"/>
          <w:lang w:val="en-US"/>
        </w:rPr>
        <w:t>”</w:t>
      </w:r>
      <w:r w:rsidR="00C254BF" w:rsidRPr="00785D06">
        <w:rPr>
          <w:rFonts w:eastAsia="Times New Roman"/>
          <w:color w:val="000000"/>
          <w:sz w:val="20"/>
          <w:szCs w:val="20"/>
          <w:lang w:val="en-US"/>
        </w:rPr>
        <w:t xml:space="preserve"> including </w:t>
      </w:r>
      <w:r w:rsidR="008D3CB4" w:rsidRPr="00785D06">
        <w:rPr>
          <w:sz w:val="20"/>
          <w:szCs w:val="20"/>
          <w:lang w:val="en-US"/>
        </w:rPr>
        <w:t>effective and appropriate sanctions against perpetrators</w:t>
      </w:r>
      <w:r w:rsidR="00C254BF" w:rsidRPr="00785D06">
        <w:rPr>
          <w:rFonts w:eastAsia="Times New Roman"/>
          <w:color w:val="000000"/>
          <w:sz w:val="20"/>
          <w:szCs w:val="20"/>
          <w:lang w:val="en-US"/>
        </w:rPr>
        <w:t>.</w:t>
      </w:r>
      <w:r w:rsidR="00C254BF" w:rsidRPr="00785D06">
        <w:rPr>
          <w:rStyle w:val="Refdenotaalpie"/>
          <w:rFonts w:eastAsia="Times New Roman"/>
          <w:color w:val="000000"/>
          <w:sz w:val="20"/>
          <w:szCs w:val="20"/>
          <w:lang w:val="en-US"/>
        </w:rPr>
        <w:footnoteReference w:id="118"/>
      </w:r>
      <w:r w:rsidR="00C254BF" w:rsidRPr="00785D06">
        <w:rPr>
          <w:rFonts w:eastAsia="Times New Roman"/>
          <w:color w:val="000000"/>
          <w:sz w:val="20"/>
          <w:szCs w:val="20"/>
          <w:lang w:val="en-US"/>
        </w:rPr>
        <w:t xml:space="preserve">  </w:t>
      </w:r>
    </w:p>
    <w:p w14:paraId="33D213EB" w14:textId="77777777" w:rsidR="00C254BF" w:rsidRPr="00785D06" w:rsidRDefault="00C254BF" w:rsidP="00C254BF">
      <w:pPr>
        <w:jc w:val="both"/>
        <w:rPr>
          <w:rFonts w:eastAsia="Times New Roman"/>
          <w:color w:val="000000"/>
          <w:sz w:val="20"/>
          <w:szCs w:val="20"/>
          <w:lang w:val="en-US"/>
        </w:rPr>
      </w:pPr>
    </w:p>
    <w:p w14:paraId="1D52FD02" w14:textId="77777777" w:rsidR="00C254BF" w:rsidRPr="00785D06" w:rsidRDefault="00C02228" w:rsidP="00C254BF">
      <w:pPr>
        <w:pStyle w:val="Prrafodelista"/>
        <w:numPr>
          <w:ilvl w:val="0"/>
          <w:numId w:val="35"/>
        </w:numPr>
        <w:ind w:left="0" w:firstLine="0"/>
        <w:contextualSpacing w:val="0"/>
        <w:jc w:val="both"/>
        <w:rPr>
          <w:sz w:val="20"/>
          <w:szCs w:val="20"/>
          <w:lang w:val="en-US"/>
        </w:rPr>
      </w:pPr>
      <w:r w:rsidRPr="00785D06">
        <w:rPr>
          <w:rFonts w:eastAsia="Times New Roman"/>
          <w:color w:val="000000"/>
          <w:sz w:val="20"/>
          <w:szCs w:val="20"/>
          <w:lang w:val="en-US" w:eastAsia="es-ES_tradnl"/>
        </w:rPr>
        <w:t xml:space="preserve">Based on </w:t>
      </w:r>
      <w:r w:rsidR="009B7131" w:rsidRPr="00785D06">
        <w:rPr>
          <w:rFonts w:eastAsia="Times New Roman"/>
          <w:color w:val="000000"/>
          <w:sz w:val="20"/>
          <w:szCs w:val="20"/>
          <w:lang w:val="en-US" w:eastAsia="es-ES_tradnl"/>
        </w:rPr>
        <w:t>all the foregoing</w:t>
      </w:r>
      <w:r w:rsidR="00C254BF" w:rsidRPr="00785D06">
        <w:rPr>
          <w:rFonts w:eastAsia="Times New Roman"/>
          <w:color w:val="000000"/>
          <w:sz w:val="20"/>
          <w:szCs w:val="20"/>
          <w:lang w:val="en-US" w:eastAsia="es-ES_tradnl"/>
        </w:rPr>
        <w:t xml:space="preserve"> </w:t>
      </w:r>
      <w:r w:rsidR="009B7131" w:rsidRPr="00785D06">
        <w:rPr>
          <w:rFonts w:eastAsia="Times New Roman"/>
          <w:color w:val="000000"/>
          <w:sz w:val="20"/>
          <w:szCs w:val="20"/>
          <w:lang w:val="en-US" w:eastAsia="es-ES_tradnl"/>
        </w:rPr>
        <w:t>considerations</w:t>
      </w:r>
      <w:r w:rsidRPr="00785D06">
        <w:rPr>
          <w:rFonts w:eastAsia="Times New Roman"/>
          <w:color w:val="000000"/>
          <w:sz w:val="20"/>
          <w:szCs w:val="20"/>
          <w:lang w:val="en-US" w:eastAsia="es-ES_tradnl"/>
        </w:rPr>
        <w:t xml:space="preserve">, it is clear </w:t>
      </w:r>
      <w:r w:rsidR="008D3CB4" w:rsidRPr="00785D06">
        <w:rPr>
          <w:rFonts w:eastAsia="Times New Roman"/>
          <w:color w:val="000000"/>
          <w:sz w:val="20"/>
          <w:szCs w:val="20"/>
          <w:lang w:val="en-US" w:eastAsia="es-ES_tradnl"/>
        </w:rPr>
        <w:t>that the duties</w:t>
      </w:r>
      <w:r w:rsidR="00C254BF" w:rsidRPr="00785D06">
        <w:rPr>
          <w:rFonts w:eastAsia="Times New Roman"/>
          <w:color w:val="000000"/>
          <w:sz w:val="20"/>
          <w:szCs w:val="20"/>
          <w:lang w:val="en-US" w:eastAsia="es-ES_tradnl"/>
        </w:rPr>
        <w:t xml:space="preserve"> to prevent, </w:t>
      </w:r>
      <w:r w:rsidR="008D3CB4" w:rsidRPr="00785D06">
        <w:rPr>
          <w:rFonts w:eastAsia="Times New Roman"/>
          <w:color w:val="000000"/>
          <w:sz w:val="20"/>
          <w:szCs w:val="20"/>
          <w:lang w:val="en-US" w:eastAsia="es-ES_tradnl"/>
        </w:rPr>
        <w:t xml:space="preserve">eradicate and </w:t>
      </w:r>
      <w:r w:rsidR="00C254BF" w:rsidRPr="00785D06">
        <w:rPr>
          <w:rFonts w:eastAsia="Times New Roman"/>
          <w:color w:val="000000"/>
          <w:sz w:val="20"/>
          <w:szCs w:val="20"/>
          <w:lang w:val="en-US" w:eastAsia="es-ES_tradnl"/>
        </w:rPr>
        <w:t>punish violence against women and to adopt measures of prote</w:t>
      </w:r>
      <w:r w:rsidRPr="00785D06">
        <w:rPr>
          <w:rFonts w:eastAsia="Times New Roman"/>
          <w:color w:val="000000"/>
          <w:sz w:val="20"/>
          <w:szCs w:val="20"/>
          <w:lang w:val="en-US" w:eastAsia="es-ES_tradnl"/>
        </w:rPr>
        <w:t xml:space="preserve">ction for children, </w:t>
      </w:r>
      <w:r w:rsidR="009B7131" w:rsidRPr="00785D06">
        <w:rPr>
          <w:rFonts w:eastAsia="Times New Roman"/>
          <w:color w:val="000000"/>
          <w:sz w:val="20"/>
          <w:szCs w:val="20"/>
          <w:lang w:val="en-US" w:eastAsia="es-ES_tradnl"/>
        </w:rPr>
        <w:t xml:space="preserve">together with </w:t>
      </w:r>
      <w:r w:rsidR="00C254BF" w:rsidRPr="00785D06">
        <w:rPr>
          <w:rFonts w:eastAsia="Times New Roman"/>
          <w:color w:val="000000"/>
          <w:sz w:val="20"/>
          <w:szCs w:val="20"/>
          <w:lang w:val="en-US" w:eastAsia="es-ES_tradnl"/>
        </w:rPr>
        <w:t>the right to education, imply the obligation to protect girls</w:t>
      </w:r>
      <w:r w:rsidR="008D3CB4" w:rsidRPr="00785D06">
        <w:rPr>
          <w:rFonts w:eastAsia="Times New Roman"/>
          <w:color w:val="000000"/>
          <w:sz w:val="20"/>
          <w:szCs w:val="20"/>
          <w:lang w:val="en-US" w:eastAsia="es-ES_tradnl"/>
        </w:rPr>
        <w:t xml:space="preserve"> and adolescents against </w:t>
      </w:r>
      <w:r w:rsidR="00C254BF" w:rsidRPr="00785D06">
        <w:rPr>
          <w:rFonts w:eastAsia="Times New Roman"/>
          <w:color w:val="000000"/>
          <w:sz w:val="20"/>
          <w:szCs w:val="20"/>
          <w:lang w:val="en-US" w:eastAsia="es-ES_tradnl"/>
        </w:rPr>
        <w:t>sexual violence</w:t>
      </w:r>
      <w:r w:rsidR="008D3CB4" w:rsidRPr="00785D06">
        <w:rPr>
          <w:rFonts w:eastAsia="Times New Roman"/>
          <w:color w:val="000000"/>
          <w:sz w:val="20"/>
          <w:szCs w:val="20"/>
          <w:lang w:val="en-US" w:eastAsia="es-ES_tradnl"/>
        </w:rPr>
        <w:t xml:space="preserve"> at school and, of course,</w:t>
      </w:r>
      <w:r w:rsidR="00C254BF" w:rsidRPr="00785D06">
        <w:rPr>
          <w:rFonts w:eastAsia="Times New Roman"/>
          <w:color w:val="000000"/>
          <w:sz w:val="20"/>
          <w:szCs w:val="20"/>
          <w:lang w:val="en-US" w:eastAsia="es-ES_tradnl"/>
        </w:rPr>
        <w:t xml:space="preserve"> not </w:t>
      </w:r>
      <w:r w:rsidR="008D3CB4" w:rsidRPr="00785D06">
        <w:rPr>
          <w:rFonts w:eastAsia="Times New Roman"/>
          <w:color w:val="000000"/>
          <w:sz w:val="20"/>
          <w:szCs w:val="20"/>
          <w:lang w:val="en-US" w:eastAsia="es-ES_tradnl"/>
        </w:rPr>
        <w:t xml:space="preserve">to </w:t>
      </w:r>
      <w:r w:rsidR="009B7131" w:rsidRPr="00785D06">
        <w:rPr>
          <w:rFonts w:eastAsia="Times New Roman"/>
          <w:color w:val="000000"/>
          <w:sz w:val="20"/>
          <w:szCs w:val="20"/>
          <w:lang w:val="en-US" w:eastAsia="es-ES_tradnl"/>
        </w:rPr>
        <w:t xml:space="preserve">allow the </w:t>
      </w:r>
      <w:r w:rsidR="00C254BF" w:rsidRPr="00785D06">
        <w:rPr>
          <w:rFonts w:eastAsia="Times New Roman"/>
          <w:color w:val="000000"/>
          <w:sz w:val="20"/>
          <w:szCs w:val="20"/>
          <w:lang w:val="en-US" w:eastAsia="es-ES_tradnl"/>
        </w:rPr>
        <w:t xml:space="preserve">exercise </w:t>
      </w:r>
      <w:r w:rsidR="009B7131" w:rsidRPr="00785D06">
        <w:rPr>
          <w:rFonts w:eastAsia="Times New Roman"/>
          <w:color w:val="000000"/>
          <w:sz w:val="20"/>
          <w:szCs w:val="20"/>
          <w:lang w:val="en-US" w:eastAsia="es-ES_tradnl"/>
        </w:rPr>
        <w:t xml:space="preserve">of </w:t>
      </w:r>
      <w:r w:rsidR="00C254BF" w:rsidRPr="00785D06">
        <w:rPr>
          <w:rFonts w:eastAsia="Times New Roman"/>
          <w:color w:val="000000"/>
          <w:sz w:val="20"/>
          <w:szCs w:val="20"/>
          <w:lang w:val="en-US" w:eastAsia="es-ES_tradnl"/>
        </w:rPr>
        <w:t xml:space="preserve">such violence in </w:t>
      </w:r>
      <w:r w:rsidR="008D3CB4" w:rsidRPr="00785D06">
        <w:rPr>
          <w:rFonts w:eastAsia="Times New Roman"/>
          <w:color w:val="000000"/>
          <w:sz w:val="20"/>
          <w:szCs w:val="20"/>
          <w:lang w:val="en-US" w:eastAsia="es-ES_tradnl"/>
        </w:rPr>
        <w:t xml:space="preserve">that </w:t>
      </w:r>
      <w:r w:rsidR="009B7131" w:rsidRPr="00785D06">
        <w:rPr>
          <w:rFonts w:eastAsia="Times New Roman"/>
          <w:color w:val="000000"/>
          <w:sz w:val="20"/>
          <w:szCs w:val="20"/>
          <w:lang w:val="en-US" w:eastAsia="es-ES_tradnl"/>
        </w:rPr>
        <w:t>environment</w:t>
      </w:r>
      <w:r w:rsidR="00C254BF" w:rsidRPr="00785D06">
        <w:rPr>
          <w:rFonts w:eastAsia="Times New Roman"/>
          <w:color w:val="000000"/>
          <w:sz w:val="20"/>
          <w:szCs w:val="20"/>
          <w:lang w:val="en-US" w:eastAsia="es-ES_tradnl"/>
        </w:rPr>
        <w:t xml:space="preserve">. </w:t>
      </w:r>
      <w:r w:rsidR="008D3CB4" w:rsidRPr="00785D06">
        <w:rPr>
          <w:rFonts w:eastAsia="Times New Roman"/>
          <w:color w:val="000000"/>
          <w:sz w:val="20"/>
          <w:szCs w:val="20"/>
          <w:lang w:val="en-US" w:eastAsia="es-ES_tradnl"/>
        </w:rPr>
        <w:t xml:space="preserve">In that regard, it </w:t>
      </w:r>
      <w:r w:rsidR="00C254BF" w:rsidRPr="00785D06">
        <w:rPr>
          <w:rFonts w:eastAsia="Times New Roman"/>
          <w:color w:val="000000"/>
          <w:sz w:val="20"/>
          <w:szCs w:val="20"/>
          <w:lang w:val="en-US" w:eastAsia="es-ES_tradnl"/>
        </w:rPr>
        <w:t xml:space="preserve">should be borne in mind that adolescents, and girls in particular, are more likely to suffer </w:t>
      </w:r>
      <w:r w:rsidR="009B7131" w:rsidRPr="00785D06">
        <w:rPr>
          <w:rFonts w:eastAsia="Times New Roman"/>
          <w:color w:val="000000"/>
          <w:sz w:val="20"/>
          <w:szCs w:val="20"/>
          <w:lang w:val="en-US" w:eastAsia="es-ES_tradnl"/>
        </w:rPr>
        <w:t xml:space="preserve">acts of </w:t>
      </w:r>
      <w:r w:rsidR="00C254BF" w:rsidRPr="00785D06">
        <w:rPr>
          <w:rFonts w:eastAsia="Times New Roman"/>
          <w:color w:val="000000"/>
          <w:sz w:val="20"/>
          <w:szCs w:val="20"/>
          <w:lang w:val="en-US" w:eastAsia="es-ES_tradnl"/>
        </w:rPr>
        <w:t>violence, coercion and discrimination.</w:t>
      </w:r>
      <w:r w:rsidR="00C254BF" w:rsidRPr="00785D06">
        <w:rPr>
          <w:rStyle w:val="Refdenotaalpie"/>
          <w:rFonts w:eastAsia="Times New Roman"/>
          <w:color w:val="000000"/>
          <w:sz w:val="20"/>
          <w:szCs w:val="20"/>
          <w:lang w:val="en-US" w:eastAsia="es-ES_tradnl"/>
        </w:rPr>
        <w:footnoteReference w:id="119"/>
      </w:r>
      <w:r w:rsidR="00C254BF" w:rsidRPr="00785D06">
        <w:rPr>
          <w:rFonts w:eastAsia="Times New Roman"/>
          <w:color w:val="000000"/>
          <w:sz w:val="20"/>
          <w:szCs w:val="20"/>
          <w:lang w:val="en-US" w:eastAsia="es-ES_tradnl"/>
        </w:rPr>
        <w:t xml:space="preserve"> </w:t>
      </w:r>
      <w:r w:rsidR="00C254BF" w:rsidRPr="00785D06">
        <w:rPr>
          <w:sz w:val="20"/>
          <w:szCs w:val="20"/>
          <w:lang w:val="en-US"/>
        </w:rPr>
        <w:t xml:space="preserve">States must </w:t>
      </w:r>
      <w:r w:rsidR="008D3CB4" w:rsidRPr="00785D06">
        <w:rPr>
          <w:sz w:val="20"/>
          <w:szCs w:val="20"/>
          <w:lang w:val="en-US"/>
        </w:rPr>
        <w:t xml:space="preserve">therefore </w:t>
      </w:r>
      <w:r w:rsidR="00C254BF" w:rsidRPr="00785D06">
        <w:rPr>
          <w:sz w:val="20"/>
          <w:szCs w:val="20"/>
          <w:lang w:val="en-US"/>
        </w:rPr>
        <w:t xml:space="preserve">take steps to </w:t>
      </w:r>
      <w:r w:rsidR="00413AA9" w:rsidRPr="00785D06">
        <w:rPr>
          <w:sz w:val="20"/>
          <w:szCs w:val="20"/>
          <w:lang w:val="en-US"/>
        </w:rPr>
        <w:t xml:space="preserve">detect </w:t>
      </w:r>
      <w:r w:rsidR="00C254BF" w:rsidRPr="00785D06">
        <w:rPr>
          <w:sz w:val="20"/>
          <w:szCs w:val="20"/>
          <w:lang w:val="en-US"/>
        </w:rPr>
        <w:t xml:space="preserve">or monitor the problem of sexual violence in </w:t>
      </w:r>
      <w:r w:rsidR="00413AA9" w:rsidRPr="00785D06">
        <w:rPr>
          <w:sz w:val="20"/>
          <w:szCs w:val="20"/>
          <w:lang w:val="en-US"/>
        </w:rPr>
        <w:t xml:space="preserve">educational </w:t>
      </w:r>
      <w:r w:rsidR="00C254BF" w:rsidRPr="00785D06">
        <w:rPr>
          <w:sz w:val="20"/>
          <w:szCs w:val="20"/>
          <w:lang w:val="en-US"/>
        </w:rPr>
        <w:t xml:space="preserve">institutions and develop policies </w:t>
      </w:r>
      <w:r w:rsidR="00413AA9" w:rsidRPr="00785D06">
        <w:rPr>
          <w:sz w:val="20"/>
          <w:szCs w:val="20"/>
          <w:lang w:val="en-US"/>
        </w:rPr>
        <w:t>to prevent it</w:t>
      </w:r>
      <w:r w:rsidR="00C254BF" w:rsidRPr="00785D06">
        <w:rPr>
          <w:sz w:val="20"/>
          <w:szCs w:val="20"/>
          <w:lang w:val="en-US"/>
        </w:rPr>
        <w:t>.</w:t>
      </w:r>
      <w:r w:rsidR="00C254BF" w:rsidRPr="00785D06">
        <w:rPr>
          <w:rStyle w:val="Refdenotaalpie"/>
          <w:sz w:val="20"/>
          <w:szCs w:val="20"/>
          <w:lang w:val="en-US"/>
        </w:rPr>
        <w:footnoteReference w:id="120"/>
      </w:r>
      <w:r w:rsidR="00C254BF" w:rsidRPr="00785D06">
        <w:rPr>
          <w:sz w:val="20"/>
          <w:szCs w:val="20"/>
          <w:lang w:val="en-US"/>
        </w:rPr>
        <w:t xml:space="preserve"> </w:t>
      </w:r>
      <w:r w:rsidR="005A03C1" w:rsidRPr="00785D06">
        <w:rPr>
          <w:sz w:val="20"/>
          <w:szCs w:val="20"/>
          <w:lang w:val="en-US"/>
        </w:rPr>
        <w:t>S</w:t>
      </w:r>
      <w:r w:rsidR="00C254BF" w:rsidRPr="00785D06">
        <w:rPr>
          <w:sz w:val="20"/>
          <w:szCs w:val="20"/>
          <w:lang w:val="en-US"/>
        </w:rPr>
        <w:t xml:space="preserve">imple, accessible and safe mechanisms </w:t>
      </w:r>
      <w:r w:rsidR="005A03C1" w:rsidRPr="00785D06">
        <w:rPr>
          <w:sz w:val="20"/>
          <w:szCs w:val="20"/>
          <w:lang w:val="en-US"/>
        </w:rPr>
        <w:t xml:space="preserve">must also be provided </w:t>
      </w:r>
      <w:r w:rsidR="00C254BF" w:rsidRPr="00785D06">
        <w:rPr>
          <w:sz w:val="20"/>
          <w:szCs w:val="20"/>
          <w:lang w:val="en-US"/>
        </w:rPr>
        <w:t>so that incidents can be reported, investigated and punished.</w:t>
      </w:r>
      <w:r w:rsidR="00C254BF" w:rsidRPr="00785D06">
        <w:rPr>
          <w:rStyle w:val="Refdenotaalpie"/>
          <w:sz w:val="20"/>
          <w:szCs w:val="20"/>
          <w:lang w:val="en-US"/>
        </w:rPr>
        <w:footnoteReference w:id="121"/>
      </w:r>
      <w:r w:rsidR="00C254BF" w:rsidRPr="00785D06">
        <w:rPr>
          <w:sz w:val="20"/>
          <w:szCs w:val="20"/>
          <w:lang w:val="en-US"/>
        </w:rPr>
        <w:t xml:space="preserve"> </w:t>
      </w:r>
    </w:p>
    <w:p w14:paraId="13C0F904" w14:textId="77777777" w:rsidR="00C254BF" w:rsidRPr="00785D06" w:rsidRDefault="00C254BF" w:rsidP="00C254BF">
      <w:pPr>
        <w:pStyle w:val="Prrafodelista"/>
        <w:rPr>
          <w:sz w:val="20"/>
          <w:szCs w:val="20"/>
          <w:lang w:val="en-US"/>
        </w:rPr>
      </w:pPr>
    </w:p>
    <w:p w14:paraId="6D1DC646"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The Cou</w:t>
      </w:r>
      <w:r w:rsidR="005A03C1" w:rsidRPr="00785D06">
        <w:rPr>
          <w:sz w:val="20"/>
          <w:szCs w:val="20"/>
          <w:lang w:val="en-US"/>
        </w:rPr>
        <w:t xml:space="preserve">rt will </w:t>
      </w:r>
      <w:r w:rsidR="00F12D19" w:rsidRPr="00785D06">
        <w:rPr>
          <w:sz w:val="20"/>
          <w:szCs w:val="20"/>
          <w:lang w:val="en-US"/>
        </w:rPr>
        <w:t xml:space="preserve">now </w:t>
      </w:r>
      <w:r w:rsidR="005A03C1" w:rsidRPr="00785D06">
        <w:rPr>
          <w:sz w:val="20"/>
          <w:szCs w:val="20"/>
          <w:lang w:val="en-US"/>
        </w:rPr>
        <w:t>examine the facts of this</w:t>
      </w:r>
      <w:r w:rsidR="00F12D19" w:rsidRPr="00785D06">
        <w:rPr>
          <w:sz w:val="20"/>
          <w:szCs w:val="20"/>
          <w:lang w:val="en-US"/>
        </w:rPr>
        <w:t xml:space="preserve"> case based on the afor</w:t>
      </w:r>
      <w:r w:rsidRPr="00785D06">
        <w:rPr>
          <w:sz w:val="20"/>
          <w:szCs w:val="20"/>
          <w:lang w:val="en-US"/>
        </w:rPr>
        <w:t>e</w:t>
      </w:r>
      <w:r w:rsidR="005A03C1" w:rsidRPr="00785D06">
        <w:rPr>
          <w:sz w:val="20"/>
          <w:szCs w:val="20"/>
          <w:lang w:val="en-US"/>
        </w:rPr>
        <w:t>mentioned</w:t>
      </w:r>
      <w:r w:rsidRPr="00785D06">
        <w:rPr>
          <w:sz w:val="20"/>
          <w:szCs w:val="20"/>
          <w:lang w:val="en-US"/>
        </w:rPr>
        <w:t xml:space="preserve"> guidelines. </w:t>
      </w:r>
    </w:p>
    <w:p w14:paraId="2A4C51A2" w14:textId="77777777" w:rsidR="00C254BF" w:rsidRPr="00785D06" w:rsidRDefault="00C254BF" w:rsidP="00C254BF">
      <w:pPr>
        <w:pStyle w:val="Prrafodelista"/>
        <w:rPr>
          <w:sz w:val="20"/>
          <w:szCs w:val="20"/>
          <w:lang w:val="en-US"/>
        </w:rPr>
      </w:pPr>
    </w:p>
    <w:p w14:paraId="4CE48466" w14:textId="77777777" w:rsidR="00C254BF" w:rsidRPr="00785D06" w:rsidRDefault="00C254BF" w:rsidP="00C254BF">
      <w:pPr>
        <w:pStyle w:val="Ttulo3"/>
        <w:spacing w:before="0"/>
        <w:ind w:left="567"/>
        <w:rPr>
          <w:rFonts w:ascii="Verdana" w:hAnsi="Verdana"/>
          <w:i/>
          <w:color w:val="auto"/>
          <w:sz w:val="20"/>
          <w:szCs w:val="20"/>
          <w:lang w:val="en-US"/>
        </w:rPr>
      </w:pPr>
      <w:bookmarkStart w:id="109" w:name="_Toc42498050"/>
      <w:bookmarkStart w:id="110" w:name="_Toc46937298"/>
      <w:r w:rsidRPr="00785D06">
        <w:rPr>
          <w:rFonts w:ascii="Verdana" w:hAnsi="Verdana"/>
          <w:i/>
          <w:color w:val="auto"/>
          <w:sz w:val="20"/>
          <w:szCs w:val="20"/>
          <w:lang w:val="en-US"/>
        </w:rPr>
        <w:t xml:space="preserve">B.2 </w:t>
      </w:r>
      <w:r w:rsidRPr="00785D06">
        <w:rPr>
          <w:rFonts w:ascii="Verdana" w:hAnsi="Verdana"/>
          <w:i/>
          <w:color w:val="auto"/>
          <w:sz w:val="20"/>
          <w:szCs w:val="20"/>
          <w:u w:val="single"/>
          <w:lang w:val="en-US"/>
        </w:rPr>
        <w:t>Sexual violence suffered by Paola Guzmán Albarracín</w:t>
      </w:r>
      <w:bookmarkEnd w:id="109"/>
      <w:bookmarkEnd w:id="110"/>
    </w:p>
    <w:p w14:paraId="75B82102" w14:textId="77777777" w:rsidR="00C254BF" w:rsidRPr="00785D06" w:rsidRDefault="00C254BF" w:rsidP="00C254BF">
      <w:pPr>
        <w:pStyle w:val="Prrafodelista"/>
        <w:ind w:left="0"/>
        <w:contextualSpacing w:val="0"/>
        <w:jc w:val="both"/>
        <w:rPr>
          <w:sz w:val="20"/>
          <w:szCs w:val="20"/>
          <w:lang w:val="en-US"/>
        </w:rPr>
      </w:pPr>
    </w:p>
    <w:p w14:paraId="33D72F68"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According </w:t>
      </w:r>
      <w:r w:rsidR="00F12D19" w:rsidRPr="00785D06">
        <w:rPr>
          <w:sz w:val="20"/>
          <w:szCs w:val="20"/>
          <w:lang w:val="en-US"/>
        </w:rPr>
        <w:t>to the facts of the</w:t>
      </w:r>
      <w:r w:rsidR="00A216E9" w:rsidRPr="00785D06">
        <w:rPr>
          <w:sz w:val="20"/>
          <w:szCs w:val="20"/>
          <w:lang w:val="en-US"/>
        </w:rPr>
        <w:t xml:space="preserve"> case</w:t>
      </w:r>
      <w:r w:rsidRPr="00785D06">
        <w:rPr>
          <w:sz w:val="20"/>
          <w:szCs w:val="20"/>
          <w:lang w:val="en-US"/>
        </w:rPr>
        <w:t xml:space="preserve">, </w:t>
      </w:r>
      <w:r w:rsidR="00A216E9" w:rsidRPr="00785D06">
        <w:rPr>
          <w:sz w:val="20"/>
          <w:szCs w:val="20"/>
          <w:lang w:val="en-US"/>
        </w:rPr>
        <w:t xml:space="preserve">for more than one year, </w:t>
      </w:r>
      <w:r w:rsidR="00C02228" w:rsidRPr="00785D06">
        <w:rPr>
          <w:sz w:val="20"/>
          <w:szCs w:val="20"/>
          <w:lang w:val="en-US"/>
        </w:rPr>
        <w:t xml:space="preserve">Paola del Rosario Guzmán Albarracín </w:t>
      </w:r>
      <w:r w:rsidRPr="00785D06">
        <w:rPr>
          <w:sz w:val="20"/>
          <w:szCs w:val="20"/>
          <w:lang w:val="en-US"/>
        </w:rPr>
        <w:t xml:space="preserve">had a sexual relationship with the </w:t>
      </w:r>
      <w:r w:rsidR="0097298A" w:rsidRPr="00785D06">
        <w:rPr>
          <w:sz w:val="20"/>
          <w:szCs w:val="20"/>
          <w:lang w:val="en-US"/>
        </w:rPr>
        <w:t>vice principal</w:t>
      </w:r>
      <w:r w:rsidRPr="00785D06">
        <w:rPr>
          <w:sz w:val="20"/>
          <w:szCs w:val="20"/>
          <w:lang w:val="en-US"/>
        </w:rPr>
        <w:t xml:space="preserve"> of her</w:t>
      </w:r>
      <w:r w:rsidR="00A216E9" w:rsidRPr="00785D06">
        <w:rPr>
          <w:sz w:val="20"/>
          <w:szCs w:val="20"/>
          <w:lang w:val="en-US"/>
        </w:rPr>
        <w:t xml:space="preserve"> school when she was between 14 and 16 years old. </w:t>
      </w:r>
      <w:r w:rsidRPr="00785D06">
        <w:rPr>
          <w:sz w:val="20"/>
          <w:szCs w:val="20"/>
          <w:lang w:val="en-US"/>
        </w:rPr>
        <w:t xml:space="preserve"> </w:t>
      </w:r>
    </w:p>
    <w:p w14:paraId="61426EFD" w14:textId="77777777" w:rsidR="00C254BF" w:rsidRPr="00785D06" w:rsidRDefault="00C254BF" w:rsidP="00C254BF">
      <w:pPr>
        <w:pStyle w:val="Prrafodelista"/>
        <w:ind w:left="0"/>
        <w:contextualSpacing w:val="0"/>
        <w:jc w:val="both"/>
        <w:rPr>
          <w:sz w:val="20"/>
          <w:szCs w:val="20"/>
          <w:lang w:val="en-US"/>
        </w:rPr>
      </w:pPr>
    </w:p>
    <w:p w14:paraId="4CA8C151"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In </w:t>
      </w:r>
      <w:r w:rsidR="00A216E9" w:rsidRPr="00785D06">
        <w:rPr>
          <w:sz w:val="20"/>
          <w:szCs w:val="20"/>
          <w:lang w:val="en-US"/>
        </w:rPr>
        <w:t xml:space="preserve">order to </w:t>
      </w:r>
      <w:r w:rsidR="00C02228" w:rsidRPr="00785D06">
        <w:rPr>
          <w:sz w:val="20"/>
          <w:szCs w:val="20"/>
          <w:lang w:val="en-US"/>
        </w:rPr>
        <w:t xml:space="preserve">assess the </w:t>
      </w:r>
      <w:r w:rsidR="00A216E9" w:rsidRPr="00785D06">
        <w:rPr>
          <w:sz w:val="20"/>
          <w:szCs w:val="20"/>
          <w:lang w:val="en-US"/>
        </w:rPr>
        <w:t xml:space="preserve">elements </w:t>
      </w:r>
      <w:r w:rsidR="00B21479" w:rsidRPr="00785D06">
        <w:rPr>
          <w:sz w:val="20"/>
          <w:szCs w:val="20"/>
          <w:lang w:val="en-US"/>
        </w:rPr>
        <w:t xml:space="preserve">that </w:t>
      </w:r>
      <w:r w:rsidR="00A216E9" w:rsidRPr="00785D06">
        <w:rPr>
          <w:sz w:val="20"/>
          <w:szCs w:val="20"/>
          <w:lang w:val="en-US"/>
        </w:rPr>
        <w:t xml:space="preserve">suggest </w:t>
      </w:r>
      <w:r w:rsidRPr="00785D06">
        <w:rPr>
          <w:sz w:val="20"/>
          <w:szCs w:val="20"/>
          <w:lang w:val="en-US"/>
        </w:rPr>
        <w:t xml:space="preserve">that this </w:t>
      </w:r>
      <w:r w:rsidR="00A216E9" w:rsidRPr="00785D06">
        <w:rPr>
          <w:sz w:val="20"/>
          <w:szCs w:val="20"/>
          <w:lang w:val="en-US"/>
        </w:rPr>
        <w:t xml:space="preserve">relationship involved </w:t>
      </w:r>
      <w:r w:rsidRPr="00785D06">
        <w:rPr>
          <w:sz w:val="20"/>
          <w:szCs w:val="20"/>
          <w:lang w:val="en-US"/>
        </w:rPr>
        <w:t>Paola’s subjection to repeated and continued acts of sexual violence, it is essential to establish four important as</w:t>
      </w:r>
      <w:r w:rsidR="00F12D19" w:rsidRPr="00785D06">
        <w:rPr>
          <w:sz w:val="20"/>
          <w:szCs w:val="20"/>
          <w:lang w:val="en-US"/>
        </w:rPr>
        <w:t>pects that help to characterize</w:t>
      </w:r>
      <w:r w:rsidRPr="00785D06">
        <w:rPr>
          <w:sz w:val="20"/>
          <w:szCs w:val="20"/>
          <w:lang w:val="en-US"/>
        </w:rPr>
        <w:t xml:space="preserve"> the facts.  </w:t>
      </w:r>
    </w:p>
    <w:p w14:paraId="010D1F5D" w14:textId="77777777" w:rsidR="00C254BF" w:rsidRPr="00785D06" w:rsidRDefault="00C254BF" w:rsidP="00C254BF">
      <w:pPr>
        <w:pStyle w:val="Prrafodelista"/>
        <w:rPr>
          <w:sz w:val="20"/>
          <w:szCs w:val="20"/>
          <w:lang w:val="en-US"/>
        </w:rPr>
      </w:pPr>
    </w:p>
    <w:p w14:paraId="6F78EB94" w14:textId="77777777" w:rsidR="00C254BF" w:rsidRPr="00785D06" w:rsidRDefault="00A216E9"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 First</w:t>
      </w:r>
      <w:r w:rsidR="00C254BF" w:rsidRPr="00785D06">
        <w:rPr>
          <w:sz w:val="20"/>
          <w:szCs w:val="20"/>
          <w:lang w:val="en-US"/>
        </w:rPr>
        <w:t xml:space="preserve">, based on the guidelines </w:t>
      </w:r>
      <w:r w:rsidR="00F12D19" w:rsidRPr="00785D06">
        <w:rPr>
          <w:sz w:val="20"/>
          <w:szCs w:val="20"/>
          <w:lang w:val="en-US"/>
        </w:rPr>
        <w:t xml:space="preserve">outlined </w:t>
      </w:r>
      <w:r w:rsidRPr="00785D06">
        <w:rPr>
          <w:sz w:val="20"/>
          <w:szCs w:val="20"/>
          <w:lang w:val="en-US"/>
        </w:rPr>
        <w:t xml:space="preserve">in the preceding section </w:t>
      </w:r>
      <w:r w:rsidR="00C254BF" w:rsidRPr="00785D06">
        <w:rPr>
          <w:sz w:val="20"/>
          <w:szCs w:val="20"/>
          <w:lang w:val="en-US"/>
        </w:rPr>
        <w:t>(</w:t>
      </w:r>
      <w:r w:rsidR="00C254BF" w:rsidRPr="00785D06">
        <w:rPr>
          <w:i/>
          <w:sz w:val="20"/>
          <w:szCs w:val="20"/>
          <w:lang w:val="en-US"/>
        </w:rPr>
        <w:t xml:space="preserve">supra </w:t>
      </w:r>
      <w:r w:rsidR="00C254BF" w:rsidRPr="00785D06">
        <w:rPr>
          <w:sz w:val="20"/>
          <w:szCs w:val="20"/>
          <w:lang w:val="en-US"/>
        </w:rPr>
        <w:t xml:space="preserve">paras. 110, 111 and 113 to 115), </w:t>
      </w:r>
      <w:r w:rsidR="00B21479" w:rsidRPr="00785D06">
        <w:rPr>
          <w:sz w:val="20"/>
          <w:szCs w:val="20"/>
          <w:lang w:val="en-US"/>
        </w:rPr>
        <w:t xml:space="preserve">under </w:t>
      </w:r>
      <w:r w:rsidR="007E2971" w:rsidRPr="00785D06">
        <w:rPr>
          <w:sz w:val="20"/>
          <w:szCs w:val="20"/>
          <w:lang w:val="en-US"/>
        </w:rPr>
        <w:t xml:space="preserve">international law, </w:t>
      </w:r>
      <w:r w:rsidRPr="00785D06">
        <w:rPr>
          <w:sz w:val="20"/>
          <w:szCs w:val="20"/>
          <w:lang w:val="en-US"/>
        </w:rPr>
        <w:t xml:space="preserve">specifically </w:t>
      </w:r>
      <w:r w:rsidR="00C254BF" w:rsidRPr="00785D06">
        <w:rPr>
          <w:sz w:val="20"/>
          <w:szCs w:val="20"/>
          <w:lang w:val="en-US"/>
        </w:rPr>
        <w:t xml:space="preserve">the </w:t>
      </w:r>
      <w:r w:rsidR="00B97F8F" w:rsidRPr="00785D06">
        <w:rPr>
          <w:sz w:val="20"/>
          <w:szCs w:val="20"/>
          <w:lang w:val="en-US"/>
        </w:rPr>
        <w:t>Belém do Pará Convention</w:t>
      </w:r>
      <w:r w:rsidR="00C254BF" w:rsidRPr="00785D06">
        <w:rPr>
          <w:sz w:val="20"/>
          <w:szCs w:val="20"/>
          <w:lang w:val="en-US"/>
        </w:rPr>
        <w:t xml:space="preserve"> and the Convention on the Rights of the Child, sexual violence against women or</w:t>
      </w:r>
      <w:r w:rsidRPr="00785D06">
        <w:rPr>
          <w:sz w:val="20"/>
          <w:szCs w:val="20"/>
          <w:lang w:val="en-US"/>
        </w:rPr>
        <w:t xml:space="preserve"> girls</w:t>
      </w:r>
      <w:r w:rsidR="00C254BF" w:rsidRPr="00785D06">
        <w:rPr>
          <w:sz w:val="20"/>
          <w:szCs w:val="20"/>
          <w:lang w:val="en-US"/>
        </w:rPr>
        <w:t xml:space="preserve"> should not be understood solely as acts of a sexual nature carried out through physical violence, but also those committed by other means, </w:t>
      </w:r>
      <w:r w:rsidR="0005076E" w:rsidRPr="00785D06">
        <w:rPr>
          <w:sz w:val="20"/>
          <w:szCs w:val="20"/>
          <w:lang w:val="en-US"/>
        </w:rPr>
        <w:t xml:space="preserve">which </w:t>
      </w:r>
      <w:r w:rsidR="00C254BF" w:rsidRPr="00785D06">
        <w:rPr>
          <w:sz w:val="20"/>
          <w:szCs w:val="20"/>
          <w:lang w:val="en-US"/>
        </w:rPr>
        <w:t xml:space="preserve">are equally </w:t>
      </w:r>
      <w:r w:rsidR="0005076E" w:rsidRPr="00785D06">
        <w:rPr>
          <w:sz w:val="20"/>
          <w:szCs w:val="20"/>
          <w:lang w:val="en-US"/>
        </w:rPr>
        <w:t xml:space="preserve">detrimental to </w:t>
      </w:r>
      <w:r w:rsidR="00C254BF" w:rsidRPr="00785D06">
        <w:rPr>
          <w:sz w:val="20"/>
          <w:szCs w:val="20"/>
          <w:lang w:val="en-US"/>
        </w:rPr>
        <w:t>the</w:t>
      </w:r>
      <w:r w:rsidR="007E2971" w:rsidRPr="00785D06">
        <w:rPr>
          <w:sz w:val="20"/>
          <w:szCs w:val="20"/>
          <w:lang w:val="en-US"/>
        </w:rPr>
        <w:t>ir</w:t>
      </w:r>
      <w:r w:rsidR="00C254BF" w:rsidRPr="00785D06">
        <w:rPr>
          <w:sz w:val="20"/>
          <w:szCs w:val="20"/>
          <w:lang w:val="en-US"/>
        </w:rPr>
        <w:t xml:space="preserve"> rights or cause them harm or suffering. N</w:t>
      </w:r>
      <w:r w:rsidR="0005076E" w:rsidRPr="00785D06">
        <w:rPr>
          <w:sz w:val="20"/>
          <w:szCs w:val="20"/>
          <w:lang w:val="en-US"/>
        </w:rPr>
        <w:t>evertheless</w:t>
      </w:r>
      <w:r w:rsidR="00C254BF" w:rsidRPr="00785D06">
        <w:rPr>
          <w:sz w:val="20"/>
          <w:szCs w:val="20"/>
          <w:lang w:val="en-US"/>
        </w:rPr>
        <w:t>, sexual violence against women</w:t>
      </w:r>
      <w:r w:rsidR="00E90325" w:rsidRPr="00785D06">
        <w:rPr>
          <w:sz w:val="20"/>
          <w:szCs w:val="20"/>
          <w:lang w:val="en-US"/>
        </w:rPr>
        <w:t xml:space="preserve"> </w:t>
      </w:r>
      <w:r w:rsidR="00E536E6" w:rsidRPr="00785D06">
        <w:rPr>
          <w:sz w:val="20"/>
          <w:szCs w:val="20"/>
          <w:lang w:val="en-US"/>
        </w:rPr>
        <w:t xml:space="preserve">or girls </w:t>
      </w:r>
      <w:r w:rsidR="00E90325" w:rsidRPr="00785D06">
        <w:rPr>
          <w:sz w:val="20"/>
          <w:szCs w:val="20"/>
          <w:lang w:val="en-US"/>
        </w:rPr>
        <w:t>may involve different degrees of abuse</w:t>
      </w:r>
      <w:r w:rsidR="00C254BF" w:rsidRPr="00785D06">
        <w:rPr>
          <w:sz w:val="20"/>
          <w:szCs w:val="20"/>
          <w:lang w:val="en-US"/>
        </w:rPr>
        <w:t xml:space="preserve">, </w:t>
      </w:r>
      <w:r w:rsidR="00E90325" w:rsidRPr="00785D06">
        <w:rPr>
          <w:sz w:val="20"/>
          <w:szCs w:val="20"/>
          <w:lang w:val="en-US"/>
        </w:rPr>
        <w:t xml:space="preserve">depending on </w:t>
      </w:r>
      <w:r w:rsidR="00C254BF" w:rsidRPr="00785D06">
        <w:rPr>
          <w:sz w:val="20"/>
          <w:szCs w:val="20"/>
          <w:lang w:val="en-US"/>
        </w:rPr>
        <w:t xml:space="preserve">the circumstances of </w:t>
      </w:r>
      <w:r w:rsidR="00E90325" w:rsidRPr="00785D06">
        <w:rPr>
          <w:sz w:val="20"/>
          <w:szCs w:val="20"/>
          <w:lang w:val="en-US"/>
        </w:rPr>
        <w:t xml:space="preserve">each </w:t>
      </w:r>
      <w:r w:rsidR="00C254BF" w:rsidRPr="00785D06">
        <w:rPr>
          <w:sz w:val="20"/>
          <w:szCs w:val="20"/>
          <w:lang w:val="en-US"/>
        </w:rPr>
        <w:t xml:space="preserve">case and various factors, including the characteristics of the acts committed, </w:t>
      </w:r>
      <w:r w:rsidR="00E90325" w:rsidRPr="00785D06">
        <w:rPr>
          <w:sz w:val="20"/>
          <w:szCs w:val="20"/>
          <w:lang w:val="en-US"/>
        </w:rPr>
        <w:t xml:space="preserve">their </w:t>
      </w:r>
      <w:r w:rsidR="00C254BF" w:rsidRPr="00785D06">
        <w:rPr>
          <w:sz w:val="20"/>
          <w:szCs w:val="20"/>
          <w:lang w:val="en-US"/>
        </w:rPr>
        <w:t>re</w:t>
      </w:r>
      <w:r w:rsidR="00E90325" w:rsidRPr="00785D06">
        <w:rPr>
          <w:sz w:val="20"/>
          <w:szCs w:val="20"/>
          <w:lang w:val="en-US"/>
        </w:rPr>
        <w:t xml:space="preserve">iteration or continuity and the </w:t>
      </w:r>
      <w:r w:rsidR="00C254BF" w:rsidRPr="00785D06">
        <w:rPr>
          <w:sz w:val="20"/>
          <w:szCs w:val="20"/>
          <w:lang w:val="en-US"/>
        </w:rPr>
        <w:t xml:space="preserve">preexisting personal </w:t>
      </w:r>
      <w:r w:rsidR="00E90325" w:rsidRPr="00785D06">
        <w:rPr>
          <w:sz w:val="20"/>
          <w:szCs w:val="20"/>
          <w:lang w:val="en-US"/>
        </w:rPr>
        <w:t xml:space="preserve">connection </w:t>
      </w:r>
      <w:r w:rsidR="00C254BF" w:rsidRPr="00785D06">
        <w:rPr>
          <w:sz w:val="20"/>
          <w:szCs w:val="20"/>
          <w:lang w:val="en-US"/>
        </w:rPr>
        <w:t xml:space="preserve">between </w:t>
      </w:r>
      <w:r w:rsidR="00E536E6" w:rsidRPr="00785D06">
        <w:rPr>
          <w:sz w:val="20"/>
          <w:szCs w:val="20"/>
          <w:lang w:val="en-US"/>
        </w:rPr>
        <w:t xml:space="preserve">the victim </w:t>
      </w:r>
      <w:r w:rsidR="00C254BF" w:rsidRPr="00785D06">
        <w:rPr>
          <w:sz w:val="20"/>
          <w:szCs w:val="20"/>
          <w:lang w:val="en-US"/>
        </w:rPr>
        <w:t>and her aggressor, or her subordination based on a relationship of power. A</w:t>
      </w:r>
      <w:r w:rsidR="00E90325" w:rsidRPr="00785D06">
        <w:rPr>
          <w:sz w:val="20"/>
          <w:szCs w:val="20"/>
          <w:lang w:val="en-US"/>
        </w:rPr>
        <w:t>nother relevant factor</w:t>
      </w:r>
      <w:r w:rsidR="00C254BF" w:rsidRPr="00785D06">
        <w:rPr>
          <w:sz w:val="20"/>
          <w:szCs w:val="20"/>
          <w:lang w:val="en-US"/>
        </w:rPr>
        <w:t xml:space="preserve">, depending on </w:t>
      </w:r>
      <w:r w:rsidR="00E90325" w:rsidRPr="00785D06">
        <w:rPr>
          <w:sz w:val="20"/>
          <w:szCs w:val="20"/>
          <w:lang w:val="en-US"/>
        </w:rPr>
        <w:t xml:space="preserve">each </w:t>
      </w:r>
      <w:r w:rsidR="00C254BF" w:rsidRPr="00785D06">
        <w:rPr>
          <w:sz w:val="20"/>
          <w:szCs w:val="20"/>
          <w:lang w:val="en-US"/>
        </w:rPr>
        <w:t xml:space="preserve">case, </w:t>
      </w:r>
      <w:r w:rsidR="00B85055" w:rsidRPr="00785D06">
        <w:rPr>
          <w:sz w:val="20"/>
          <w:szCs w:val="20"/>
          <w:lang w:val="en-US"/>
        </w:rPr>
        <w:t xml:space="preserve">is </w:t>
      </w:r>
      <w:r w:rsidR="00C254BF" w:rsidRPr="00785D06">
        <w:rPr>
          <w:sz w:val="20"/>
          <w:szCs w:val="20"/>
          <w:lang w:val="en-US"/>
        </w:rPr>
        <w:t xml:space="preserve">the victim’s personal </w:t>
      </w:r>
      <w:r w:rsidR="00E90325" w:rsidRPr="00785D06">
        <w:rPr>
          <w:sz w:val="20"/>
          <w:szCs w:val="20"/>
          <w:lang w:val="en-US"/>
        </w:rPr>
        <w:t>situation</w:t>
      </w:r>
      <w:r w:rsidR="00C254BF" w:rsidRPr="00785D06">
        <w:rPr>
          <w:sz w:val="20"/>
          <w:szCs w:val="20"/>
          <w:lang w:val="en-US"/>
        </w:rPr>
        <w:t xml:space="preserve">, </w:t>
      </w:r>
      <w:r w:rsidR="00B85055" w:rsidRPr="00785D06">
        <w:rPr>
          <w:sz w:val="20"/>
          <w:szCs w:val="20"/>
          <w:lang w:val="en-US"/>
        </w:rPr>
        <w:t xml:space="preserve">i.e. </w:t>
      </w:r>
      <w:r w:rsidR="00221E6B" w:rsidRPr="00785D06">
        <w:rPr>
          <w:sz w:val="20"/>
          <w:szCs w:val="20"/>
          <w:lang w:val="en-US"/>
        </w:rPr>
        <w:t>being a girl;</w:t>
      </w:r>
      <w:r w:rsidR="00C254BF" w:rsidRPr="00785D06">
        <w:rPr>
          <w:sz w:val="20"/>
          <w:szCs w:val="20"/>
          <w:lang w:val="en-US"/>
        </w:rPr>
        <w:t xml:space="preserve"> </w:t>
      </w:r>
      <w:r w:rsidR="00221E6B" w:rsidRPr="00785D06">
        <w:rPr>
          <w:sz w:val="20"/>
          <w:szCs w:val="20"/>
          <w:lang w:val="en-US"/>
        </w:rPr>
        <w:t>a</w:t>
      </w:r>
      <w:r w:rsidR="00DE1BEC" w:rsidRPr="00785D06">
        <w:rPr>
          <w:sz w:val="20"/>
          <w:szCs w:val="20"/>
          <w:lang w:val="en-US"/>
        </w:rPr>
        <w:t xml:space="preserve">nd, although children and adolescents have </w:t>
      </w:r>
      <w:r w:rsidR="00C254BF" w:rsidRPr="00785D06">
        <w:rPr>
          <w:sz w:val="20"/>
          <w:szCs w:val="20"/>
          <w:lang w:val="en-US"/>
        </w:rPr>
        <w:t>progressive autonomy in the exercise of their rights, that does not deprive them of their right to measures of protection.</w:t>
      </w:r>
    </w:p>
    <w:p w14:paraId="0CF280D6" w14:textId="77777777" w:rsidR="00C254BF" w:rsidRPr="00785D06" w:rsidRDefault="00C254BF" w:rsidP="00C254BF">
      <w:pPr>
        <w:pStyle w:val="Prrafodelista"/>
        <w:ind w:left="0"/>
        <w:contextualSpacing w:val="0"/>
        <w:jc w:val="both"/>
        <w:rPr>
          <w:sz w:val="20"/>
          <w:szCs w:val="20"/>
          <w:lang w:val="en-US"/>
        </w:rPr>
      </w:pPr>
    </w:p>
    <w:p w14:paraId="4E453854" w14:textId="77777777" w:rsidR="00C254BF" w:rsidRPr="00785D06" w:rsidRDefault="00260845" w:rsidP="00C254BF">
      <w:pPr>
        <w:pStyle w:val="Prrafodelista"/>
        <w:numPr>
          <w:ilvl w:val="0"/>
          <w:numId w:val="35"/>
        </w:numPr>
        <w:ind w:left="0" w:firstLine="0"/>
        <w:contextualSpacing w:val="0"/>
        <w:jc w:val="both"/>
        <w:rPr>
          <w:b/>
          <w:lang w:val="en-US"/>
        </w:rPr>
      </w:pPr>
      <w:r w:rsidRPr="00785D06">
        <w:rPr>
          <w:sz w:val="20"/>
          <w:szCs w:val="20"/>
          <w:lang w:val="en-US"/>
        </w:rPr>
        <w:t>In second place</w:t>
      </w:r>
      <w:r w:rsidR="00DE1BEC" w:rsidRPr="00785D06">
        <w:rPr>
          <w:sz w:val="20"/>
          <w:szCs w:val="20"/>
          <w:lang w:val="en-US"/>
        </w:rPr>
        <w:t xml:space="preserve">, there is evidence that in this case </w:t>
      </w:r>
      <w:r w:rsidR="00C254BF" w:rsidRPr="00785D06">
        <w:rPr>
          <w:sz w:val="20"/>
          <w:szCs w:val="20"/>
          <w:lang w:val="en-US"/>
        </w:rPr>
        <w:t>vaginal copulation</w:t>
      </w:r>
      <w:r w:rsidR="00DE1BEC" w:rsidRPr="00785D06">
        <w:rPr>
          <w:sz w:val="20"/>
          <w:szCs w:val="20"/>
          <w:lang w:val="en-US"/>
        </w:rPr>
        <w:t xml:space="preserve"> occurred</w:t>
      </w:r>
      <w:r w:rsidR="00C254BF" w:rsidRPr="00785D06">
        <w:rPr>
          <w:sz w:val="20"/>
          <w:szCs w:val="20"/>
          <w:lang w:val="en-US"/>
        </w:rPr>
        <w:t xml:space="preserve">. </w:t>
      </w:r>
      <w:r w:rsidR="00ED7904" w:rsidRPr="00785D06">
        <w:rPr>
          <w:sz w:val="20"/>
          <w:szCs w:val="20"/>
          <w:lang w:val="en-US"/>
        </w:rPr>
        <w:t>Thus</w:t>
      </w:r>
      <w:r w:rsidR="00C254BF" w:rsidRPr="00785D06">
        <w:rPr>
          <w:sz w:val="20"/>
          <w:szCs w:val="20"/>
          <w:lang w:val="en-US"/>
        </w:rPr>
        <w:t xml:space="preserve">, </w:t>
      </w:r>
      <w:r w:rsidR="00DE1BEC" w:rsidRPr="00785D06">
        <w:rPr>
          <w:sz w:val="20"/>
          <w:szCs w:val="20"/>
          <w:lang w:val="en-US"/>
        </w:rPr>
        <w:t xml:space="preserve">based </w:t>
      </w:r>
      <w:r w:rsidR="00E630C6" w:rsidRPr="00785D06">
        <w:rPr>
          <w:sz w:val="20"/>
          <w:szCs w:val="20"/>
          <w:lang w:val="en-US"/>
        </w:rPr>
        <w:t xml:space="preserve">on the </w:t>
      </w:r>
      <w:r w:rsidR="00C254BF" w:rsidRPr="00785D06">
        <w:rPr>
          <w:sz w:val="20"/>
          <w:szCs w:val="20"/>
          <w:lang w:val="en-US"/>
        </w:rPr>
        <w:t xml:space="preserve">guidelines </w:t>
      </w:r>
      <w:r w:rsidR="00DE1BEC" w:rsidRPr="00785D06">
        <w:rPr>
          <w:sz w:val="20"/>
          <w:szCs w:val="20"/>
          <w:lang w:val="en-US"/>
        </w:rPr>
        <w:t xml:space="preserve">for the </w:t>
      </w:r>
      <w:r w:rsidR="00C254BF" w:rsidRPr="00785D06">
        <w:rPr>
          <w:sz w:val="20"/>
          <w:szCs w:val="20"/>
          <w:lang w:val="en-US"/>
        </w:rPr>
        <w:t>a</w:t>
      </w:r>
      <w:r w:rsidR="00DE1BEC" w:rsidRPr="00785D06">
        <w:rPr>
          <w:sz w:val="20"/>
          <w:szCs w:val="20"/>
          <w:lang w:val="en-US"/>
        </w:rPr>
        <w:t xml:space="preserve">ssessment </w:t>
      </w:r>
      <w:r w:rsidR="00C254BF" w:rsidRPr="00785D06">
        <w:rPr>
          <w:sz w:val="20"/>
          <w:szCs w:val="20"/>
          <w:lang w:val="en-US"/>
        </w:rPr>
        <w:t>evidence</w:t>
      </w:r>
      <w:r w:rsidR="00E630C6" w:rsidRPr="00785D06">
        <w:rPr>
          <w:sz w:val="20"/>
          <w:szCs w:val="20"/>
          <w:lang w:val="en-US"/>
        </w:rPr>
        <w:t xml:space="preserve"> </w:t>
      </w:r>
      <w:r w:rsidR="00492275" w:rsidRPr="00785D06">
        <w:rPr>
          <w:sz w:val="20"/>
          <w:szCs w:val="20"/>
          <w:lang w:val="en-US"/>
        </w:rPr>
        <w:t xml:space="preserve">established </w:t>
      </w:r>
      <w:r w:rsidR="00E630C6" w:rsidRPr="00785D06">
        <w:rPr>
          <w:sz w:val="20"/>
          <w:szCs w:val="20"/>
          <w:lang w:val="en-US"/>
        </w:rPr>
        <w:t>in its case law,</w:t>
      </w:r>
      <w:r w:rsidR="00C254BF" w:rsidRPr="00785D06">
        <w:rPr>
          <w:rStyle w:val="Refdenotaalpie"/>
          <w:sz w:val="20"/>
          <w:szCs w:val="20"/>
          <w:lang w:val="en-US"/>
        </w:rPr>
        <w:footnoteReference w:id="122"/>
      </w:r>
      <w:r w:rsidR="00C254BF" w:rsidRPr="00785D06">
        <w:rPr>
          <w:sz w:val="20"/>
          <w:szCs w:val="20"/>
          <w:lang w:val="en-US"/>
        </w:rPr>
        <w:t xml:space="preserve"> </w:t>
      </w:r>
      <w:r w:rsidR="00E630C6" w:rsidRPr="00785D06">
        <w:rPr>
          <w:sz w:val="20"/>
          <w:szCs w:val="20"/>
          <w:lang w:val="en-US"/>
        </w:rPr>
        <w:t xml:space="preserve">the Court understands that </w:t>
      </w:r>
      <w:r w:rsidR="00D84FCF" w:rsidRPr="00785D06">
        <w:rPr>
          <w:sz w:val="20"/>
          <w:szCs w:val="20"/>
          <w:lang w:val="en-US"/>
        </w:rPr>
        <w:t xml:space="preserve">because of </w:t>
      </w:r>
      <w:r w:rsidR="00E630C6" w:rsidRPr="00785D06">
        <w:rPr>
          <w:sz w:val="20"/>
          <w:szCs w:val="20"/>
          <w:lang w:val="en-US"/>
        </w:rPr>
        <w:t xml:space="preserve">the </w:t>
      </w:r>
      <w:r w:rsidR="00D84FCF" w:rsidRPr="00785D06">
        <w:rPr>
          <w:sz w:val="20"/>
          <w:szCs w:val="20"/>
          <w:lang w:val="en-US"/>
        </w:rPr>
        <w:t xml:space="preserve">nature of the </w:t>
      </w:r>
      <w:r w:rsidR="00C254BF" w:rsidRPr="00785D06">
        <w:rPr>
          <w:sz w:val="20"/>
          <w:szCs w:val="20"/>
          <w:lang w:val="en-US"/>
        </w:rPr>
        <w:t xml:space="preserve">acts involved, </w:t>
      </w:r>
      <w:r w:rsidR="00D84FCF" w:rsidRPr="00785D06">
        <w:rPr>
          <w:sz w:val="20"/>
          <w:szCs w:val="20"/>
          <w:lang w:val="en-US"/>
        </w:rPr>
        <w:t>the existence of documentary evidence or direct testimonies cannot be expected</w:t>
      </w:r>
      <w:r w:rsidR="003A7A6F" w:rsidRPr="00785D06">
        <w:rPr>
          <w:sz w:val="20"/>
          <w:szCs w:val="20"/>
          <w:lang w:val="en-US"/>
        </w:rPr>
        <w:t>. In the instant</w:t>
      </w:r>
      <w:r w:rsidR="00C254BF" w:rsidRPr="00785D06">
        <w:rPr>
          <w:sz w:val="20"/>
          <w:szCs w:val="20"/>
          <w:lang w:val="en-US"/>
        </w:rPr>
        <w:t xml:space="preserve"> case it is not possi</w:t>
      </w:r>
      <w:r w:rsidR="003A7A6F" w:rsidRPr="00785D06">
        <w:rPr>
          <w:sz w:val="20"/>
          <w:szCs w:val="20"/>
          <w:lang w:val="en-US"/>
        </w:rPr>
        <w:t>ble to obtain Paola’s statement;</w:t>
      </w:r>
      <w:r w:rsidR="00C254BF" w:rsidRPr="00785D06">
        <w:rPr>
          <w:sz w:val="20"/>
          <w:szCs w:val="20"/>
          <w:lang w:val="en-US"/>
        </w:rPr>
        <w:t xml:space="preserve"> </w:t>
      </w:r>
      <w:r w:rsidR="003A7A6F" w:rsidRPr="00785D06">
        <w:rPr>
          <w:sz w:val="20"/>
          <w:szCs w:val="20"/>
          <w:lang w:val="en-US"/>
        </w:rPr>
        <w:t>h</w:t>
      </w:r>
      <w:r w:rsidR="00D84FCF" w:rsidRPr="00785D06">
        <w:rPr>
          <w:sz w:val="20"/>
          <w:szCs w:val="20"/>
          <w:lang w:val="en-US"/>
        </w:rPr>
        <w:t xml:space="preserve">owever, this </w:t>
      </w:r>
      <w:r w:rsidR="00C254BF" w:rsidRPr="00785D06">
        <w:rPr>
          <w:sz w:val="20"/>
          <w:szCs w:val="20"/>
          <w:lang w:val="en-US"/>
        </w:rPr>
        <w:t xml:space="preserve">cannot </w:t>
      </w:r>
      <w:r w:rsidR="00E630C6" w:rsidRPr="00785D06">
        <w:rPr>
          <w:sz w:val="20"/>
          <w:szCs w:val="20"/>
          <w:lang w:val="en-US"/>
        </w:rPr>
        <w:t xml:space="preserve">prevent the </w:t>
      </w:r>
      <w:r w:rsidR="00C254BF" w:rsidRPr="00785D06">
        <w:rPr>
          <w:sz w:val="20"/>
          <w:szCs w:val="20"/>
          <w:lang w:val="en-US"/>
        </w:rPr>
        <w:t xml:space="preserve">Court from ruling appropriately. Therefore, </w:t>
      </w:r>
      <w:r w:rsidR="000A4A94" w:rsidRPr="00785D06">
        <w:rPr>
          <w:sz w:val="20"/>
          <w:szCs w:val="20"/>
          <w:lang w:val="en-US"/>
        </w:rPr>
        <w:t xml:space="preserve">the fact that </w:t>
      </w:r>
      <w:r w:rsidR="00E630C6" w:rsidRPr="00785D06">
        <w:rPr>
          <w:sz w:val="20"/>
          <w:szCs w:val="20"/>
          <w:lang w:val="en-US"/>
        </w:rPr>
        <w:t xml:space="preserve">clear </w:t>
      </w:r>
      <w:r w:rsidR="000A4A94" w:rsidRPr="00785D06">
        <w:rPr>
          <w:sz w:val="20"/>
          <w:szCs w:val="20"/>
          <w:lang w:val="en-US"/>
        </w:rPr>
        <w:t xml:space="preserve">evidence </w:t>
      </w:r>
      <w:r w:rsidR="00E630C6" w:rsidRPr="00785D06">
        <w:rPr>
          <w:sz w:val="20"/>
          <w:szCs w:val="20"/>
          <w:lang w:val="en-US"/>
        </w:rPr>
        <w:t>exist</w:t>
      </w:r>
      <w:r w:rsidR="000A4A94" w:rsidRPr="00785D06">
        <w:rPr>
          <w:sz w:val="20"/>
          <w:szCs w:val="20"/>
          <w:lang w:val="en-US"/>
        </w:rPr>
        <w:t>s</w:t>
      </w:r>
      <w:r w:rsidR="00C254BF" w:rsidRPr="00785D06">
        <w:rPr>
          <w:sz w:val="20"/>
          <w:szCs w:val="20"/>
          <w:lang w:val="en-US"/>
        </w:rPr>
        <w:t xml:space="preserve"> in this case</w:t>
      </w:r>
      <w:r w:rsidR="00C254BF" w:rsidRPr="00785D06">
        <w:rPr>
          <w:rStyle w:val="Refdenotaalpie"/>
          <w:sz w:val="20"/>
          <w:szCs w:val="20"/>
          <w:lang w:val="en-US"/>
        </w:rPr>
        <w:footnoteReference w:id="123"/>
      </w:r>
      <w:r w:rsidR="00C254BF" w:rsidRPr="00785D06">
        <w:rPr>
          <w:sz w:val="20"/>
          <w:szCs w:val="20"/>
          <w:lang w:val="en-US"/>
        </w:rPr>
        <w:t xml:space="preserve"> should be </w:t>
      </w:r>
      <w:r w:rsidR="000A4A94" w:rsidRPr="00785D06">
        <w:rPr>
          <w:sz w:val="20"/>
          <w:szCs w:val="20"/>
          <w:lang w:val="en-US"/>
        </w:rPr>
        <w:t xml:space="preserve">considered </w:t>
      </w:r>
      <w:r w:rsidR="003A7A6F" w:rsidRPr="00785D06">
        <w:rPr>
          <w:sz w:val="20"/>
          <w:szCs w:val="20"/>
          <w:lang w:val="en-US"/>
        </w:rPr>
        <w:t>sufficient to prove such acts</w:t>
      </w:r>
      <w:r w:rsidR="00C254BF" w:rsidRPr="00785D06">
        <w:rPr>
          <w:sz w:val="20"/>
          <w:szCs w:val="20"/>
          <w:lang w:val="en-US"/>
        </w:rPr>
        <w:t xml:space="preserve"> in order to deter</w:t>
      </w:r>
      <w:r w:rsidR="000A4A94" w:rsidRPr="00785D06">
        <w:rPr>
          <w:sz w:val="20"/>
          <w:szCs w:val="20"/>
          <w:lang w:val="en-US"/>
        </w:rPr>
        <w:t xml:space="preserve">mine the State’s responsibility, especially because the State’s </w:t>
      </w:r>
      <w:r w:rsidR="00C254BF" w:rsidRPr="00785D06">
        <w:rPr>
          <w:sz w:val="20"/>
          <w:szCs w:val="20"/>
          <w:lang w:val="en-US"/>
        </w:rPr>
        <w:t xml:space="preserve">lack of diligence in </w:t>
      </w:r>
      <w:r w:rsidR="000A4A94" w:rsidRPr="00785D06">
        <w:rPr>
          <w:sz w:val="20"/>
          <w:szCs w:val="20"/>
          <w:lang w:val="en-US"/>
        </w:rPr>
        <w:t>investigating the case -</w:t>
      </w:r>
      <w:r w:rsidR="00C254BF" w:rsidRPr="00785D06">
        <w:rPr>
          <w:sz w:val="20"/>
          <w:szCs w:val="20"/>
          <w:lang w:val="en-US"/>
        </w:rPr>
        <w:t xml:space="preserve"> which </w:t>
      </w:r>
      <w:r w:rsidR="000A4A94" w:rsidRPr="00785D06">
        <w:rPr>
          <w:sz w:val="20"/>
          <w:szCs w:val="20"/>
          <w:lang w:val="en-US"/>
        </w:rPr>
        <w:t xml:space="preserve">Ecuador </w:t>
      </w:r>
      <w:r w:rsidR="00C254BF" w:rsidRPr="00785D06">
        <w:rPr>
          <w:sz w:val="20"/>
          <w:szCs w:val="20"/>
          <w:lang w:val="en-US"/>
        </w:rPr>
        <w:t xml:space="preserve">has </w:t>
      </w:r>
      <w:r w:rsidR="003A7A6F" w:rsidRPr="00785D06">
        <w:rPr>
          <w:sz w:val="20"/>
          <w:szCs w:val="20"/>
          <w:lang w:val="en-US"/>
        </w:rPr>
        <w:t xml:space="preserve">already </w:t>
      </w:r>
      <w:r w:rsidR="000A4A94" w:rsidRPr="00785D06">
        <w:rPr>
          <w:sz w:val="20"/>
          <w:szCs w:val="20"/>
          <w:lang w:val="en-US"/>
        </w:rPr>
        <w:t>acknowledged -</w:t>
      </w:r>
      <w:r w:rsidR="00C254BF" w:rsidRPr="00785D06">
        <w:rPr>
          <w:sz w:val="20"/>
          <w:szCs w:val="20"/>
          <w:lang w:val="en-US"/>
        </w:rPr>
        <w:t xml:space="preserve"> has allowed this crime to go unpunished.</w:t>
      </w:r>
    </w:p>
    <w:p w14:paraId="508EDD42" w14:textId="77777777" w:rsidR="00C254BF" w:rsidRPr="00785D06" w:rsidRDefault="00C254BF" w:rsidP="00C254BF">
      <w:pPr>
        <w:pStyle w:val="Prrafodelista"/>
        <w:rPr>
          <w:b/>
          <w:sz w:val="20"/>
          <w:szCs w:val="20"/>
          <w:lang w:val="en-US"/>
        </w:rPr>
      </w:pPr>
    </w:p>
    <w:p w14:paraId="13CB18A7" w14:textId="77777777" w:rsidR="00C254BF" w:rsidRPr="00785D06" w:rsidRDefault="000A4A94" w:rsidP="00C254BF">
      <w:pPr>
        <w:pStyle w:val="Prrafodelista"/>
        <w:numPr>
          <w:ilvl w:val="0"/>
          <w:numId w:val="35"/>
        </w:numPr>
        <w:ind w:left="0" w:firstLine="0"/>
        <w:contextualSpacing w:val="0"/>
        <w:jc w:val="both"/>
        <w:rPr>
          <w:lang w:val="en-US"/>
        </w:rPr>
      </w:pPr>
      <w:r w:rsidRPr="00785D06">
        <w:rPr>
          <w:sz w:val="20"/>
          <w:szCs w:val="20"/>
          <w:lang w:val="en-US"/>
        </w:rPr>
        <w:t xml:space="preserve">Third, it should be noted that </w:t>
      </w:r>
      <w:r w:rsidR="00C254BF" w:rsidRPr="00785D06">
        <w:rPr>
          <w:sz w:val="20"/>
          <w:szCs w:val="20"/>
          <w:lang w:val="en-US"/>
        </w:rPr>
        <w:t>under domestic l</w:t>
      </w:r>
      <w:r w:rsidRPr="00785D06">
        <w:rPr>
          <w:sz w:val="20"/>
          <w:szCs w:val="20"/>
          <w:lang w:val="en-US"/>
        </w:rPr>
        <w:t>aw</w:t>
      </w:r>
      <w:r w:rsidR="00C254BF" w:rsidRPr="00785D06">
        <w:rPr>
          <w:sz w:val="20"/>
          <w:szCs w:val="20"/>
          <w:lang w:val="en-US"/>
        </w:rPr>
        <w:t xml:space="preserve">, the conduct of an adult person who </w:t>
      </w:r>
      <w:r w:rsidRPr="00785D06">
        <w:rPr>
          <w:sz w:val="20"/>
          <w:szCs w:val="20"/>
          <w:lang w:val="en-US"/>
        </w:rPr>
        <w:t xml:space="preserve">engages in </w:t>
      </w:r>
      <w:r w:rsidR="003A7A6F" w:rsidRPr="00785D06">
        <w:rPr>
          <w:sz w:val="20"/>
          <w:szCs w:val="20"/>
          <w:lang w:val="en-US"/>
        </w:rPr>
        <w:t xml:space="preserve">sexual </w:t>
      </w:r>
      <w:r w:rsidR="00D23BDB" w:rsidRPr="00785D06">
        <w:rPr>
          <w:sz w:val="20"/>
          <w:szCs w:val="20"/>
          <w:lang w:val="en-US"/>
        </w:rPr>
        <w:t xml:space="preserve">acts </w:t>
      </w:r>
      <w:r w:rsidR="00C254BF" w:rsidRPr="00785D06">
        <w:rPr>
          <w:sz w:val="20"/>
          <w:szCs w:val="20"/>
          <w:lang w:val="en-US"/>
        </w:rPr>
        <w:t xml:space="preserve">with </w:t>
      </w:r>
      <w:r w:rsidRPr="00785D06">
        <w:rPr>
          <w:sz w:val="20"/>
          <w:szCs w:val="20"/>
          <w:lang w:val="en-US"/>
        </w:rPr>
        <w:t xml:space="preserve">a </w:t>
      </w:r>
      <w:r w:rsidR="003A7A6F" w:rsidRPr="00785D06">
        <w:rPr>
          <w:sz w:val="20"/>
          <w:szCs w:val="20"/>
          <w:lang w:val="en-US"/>
        </w:rPr>
        <w:t>minor under 18 years of age -</w:t>
      </w:r>
      <w:r w:rsidR="00C254BF" w:rsidRPr="00785D06">
        <w:rPr>
          <w:sz w:val="20"/>
          <w:szCs w:val="20"/>
          <w:lang w:val="en-US"/>
        </w:rPr>
        <w:t xml:space="preserve"> as </w:t>
      </w:r>
      <w:r w:rsidR="00236F9B" w:rsidRPr="00785D06">
        <w:rPr>
          <w:sz w:val="20"/>
          <w:szCs w:val="20"/>
          <w:lang w:val="en-US"/>
        </w:rPr>
        <w:t xml:space="preserve">in </w:t>
      </w:r>
      <w:r w:rsidR="003A7A6F" w:rsidRPr="00785D06">
        <w:rPr>
          <w:sz w:val="20"/>
          <w:szCs w:val="20"/>
          <w:lang w:val="en-US"/>
        </w:rPr>
        <w:t xml:space="preserve">Paola’s case - </w:t>
      </w:r>
      <w:r w:rsidRPr="00785D06">
        <w:rPr>
          <w:sz w:val="20"/>
          <w:szCs w:val="20"/>
          <w:lang w:val="en-US"/>
        </w:rPr>
        <w:t xml:space="preserve">is defined as a </w:t>
      </w:r>
      <w:r w:rsidR="00C254BF" w:rsidRPr="00785D06">
        <w:rPr>
          <w:sz w:val="20"/>
          <w:szCs w:val="20"/>
          <w:lang w:val="en-US"/>
        </w:rPr>
        <w:t xml:space="preserve">crime. </w:t>
      </w:r>
      <w:r w:rsidR="003A7A6F" w:rsidRPr="00785D06">
        <w:rPr>
          <w:sz w:val="20"/>
          <w:szCs w:val="20"/>
          <w:lang w:val="en-US"/>
        </w:rPr>
        <w:t>In particular</w:t>
      </w:r>
      <w:r w:rsidR="00C254BF" w:rsidRPr="00785D06">
        <w:rPr>
          <w:sz w:val="20"/>
          <w:szCs w:val="20"/>
          <w:lang w:val="en-US"/>
        </w:rPr>
        <w:t>, Ecuador</w:t>
      </w:r>
      <w:r w:rsidR="00D23BDB" w:rsidRPr="00785D06">
        <w:rPr>
          <w:sz w:val="20"/>
          <w:szCs w:val="20"/>
          <w:lang w:val="en-US"/>
        </w:rPr>
        <w:t>ian</w:t>
      </w:r>
      <w:r w:rsidR="00C254BF" w:rsidRPr="00785D06">
        <w:rPr>
          <w:sz w:val="20"/>
          <w:szCs w:val="20"/>
          <w:lang w:val="en-US"/>
        </w:rPr>
        <w:t xml:space="preserve"> </w:t>
      </w:r>
      <w:r w:rsidR="00D23BDB" w:rsidRPr="00785D06">
        <w:rPr>
          <w:sz w:val="20"/>
          <w:szCs w:val="20"/>
          <w:lang w:val="en-US"/>
        </w:rPr>
        <w:t xml:space="preserve">law at the time </w:t>
      </w:r>
      <w:r w:rsidR="003A7A6F" w:rsidRPr="00785D06">
        <w:rPr>
          <w:sz w:val="20"/>
          <w:szCs w:val="20"/>
          <w:lang w:val="en-US"/>
        </w:rPr>
        <w:t xml:space="preserve">of the events </w:t>
      </w:r>
      <w:r w:rsidR="00D23BDB" w:rsidRPr="00785D06">
        <w:rPr>
          <w:sz w:val="20"/>
          <w:szCs w:val="20"/>
          <w:lang w:val="en-US"/>
        </w:rPr>
        <w:t xml:space="preserve">contemplated the crime of </w:t>
      </w:r>
      <w:r w:rsidR="00C254BF" w:rsidRPr="00785D06">
        <w:rPr>
          <w:sz w:val="20"/>
          <w:szCs w:val="20"/>
          <w:lang w:val="en-US"/>
        </w:rPr>
        <w:t>“</w:t>
      </w:r>
      <w:r w:rsidR="00D23BDB" w:rsidRPr="00785D06">
        <w:rPr>
          <w:sz w:val="20"/>
          <w:szCs w:val="20"/>
          <w:lang w:val="en-US"/>
        </w:rPr>
        <w:t xml:space="preserve">statutory </w:t>
      </w:r>
      <w:r w:rsidR="00C254BF" w:rsidRPr="00785D06">
        <w:rPr>
          <w:sz w:val="20"/>
          <w:szCs w:val="20"/>
          <w:lang w:val="en-US"/>
        </w:rPr>
        <w:t>rape”</w:t>
      </w:r>
      <w:r w:rsidR="00D913EE" w:rsidRPr="00785D06">
        <w:rPr>
          <w:sz w:val="20"/>
          <w:szCs w:val="20"/>
          <w:lang w:val="en-US"/>
        </w:rPr>
        <w:t xml:space="preserve"> </w:t>
      </w:r>
      <w:r w:rsidR="003A7A6F" w:rsidRPr="00785D06">
        <w:rPr>
          <w:sz w:val="20"/>
          <w:szCs w:val="20"/>
          <w:lang w:val="en-US"/>
        </w:rPr>
        <w:t xml:space="preserve">in </w:t>
      </w:r>
      <w:r w:rsidR="00D23BDB" w:rsidRPr="00785D06">
        <w:rPr>
          <w:sz w:val="20"/>
          <w:szCs w:val="20"/>
          <w:lang w:val="en-US"/>
        </w:rPr>
        <w:t xml:space="preserve">cases </w:t>
      </w:r>
      <w:r w:rsidR="00CA1589" w:rsidRPr="00785D06">
        <w:rPr>
          <w:sz w:val="20"/>
          <w:szCs w:val="20"/>
          <w:lang w:val="en-US"/>
        </w:rPr>
        <w:t xml:space="preserve">involving </w:t>
      </w:r>
      <w:r w:rsidR="00D23BDB" w:rsidRPr="00785D06">
        <w:rPr>
          <w:sz w:val="20"/>
          <w:szCs w:val="20"/>
          <w:lang w:val="en-US"/>
        </w:rPr>
        <w:t xml:space="preserve">different elements </w:t>
      </w:r>
      <w:r w:rsidR="003A7A6F" w:rsidRPr="00785D06">
        <w:rPr>
          <w:sz w:val="20"/>
          <w:szCs w:val="20"/>
          <w:lang w:val="en-US"/>
        </w:rPr>
        <w:t xml:space="preserve">specified </w:t>
      </w:r>
      <w:r w:rsidR="00D23BDB" w:rsidRPr="00785D06">
        <w:rPr>
          <w:sz w:val="20"/>
          <w:szCs w:val="20"/>
          <w:lang w:val="en-US"/>
        </w:rPr>
        <w:t>in the legal definition, and allowed</w:t>
      </w:r>
      <w:r w:rsidR="00D913EE" w:rsidRPr="00785D06">
        <w:rPr>
          <w:sz w:val="20"/>
          <w:szCs w:val="20"/>
          <w:lang w:val="en-US"/>
        </w:rPr>
        <w:t xml:space="preserve"> for </w:t>
      </w:r>
      <w:r w:rsidR="00C254BF" w:rsidRPr="00785D06">
        <w:rPr>
          <w:sz w:val="20"/>
          <w:szCs w:val="20"/>
          <w:lang w:val="en-US"/>
        </w:rPr>
        <w:t>the criminal prosecution of anyone who, wi</w:t>
      </w:r>
      <w:r w:rsidR="00D23BDB" w:rsidRPr="00785D06">
        <w:rPr>
          <w:sz w:val="20"/>
          <w:szCs w:val="20"/>
          <w:lang w:val="en-US"/>
        </w:rPr>
        <w:t xml:space="preserve">thout physical violence, </w:t>
      </w:r>
      <w:r w:rsidR="00C254BF" w:rsidRPr="00785D06">
        <w:rPr>
          <w:sz w:val="20"/>
          <w:szCs w:val="20"/>
          <w:lang w:val="en-US"/>
        </w:rPr>
        <w:t>engage</w:t>
      </w:r>
      <w:r w:rsidR="00D23BDB" w:rsidRPr="00785D06">
        <w:rPr>
          <w:sz w:val="20"/>
          <w:szCs w:val="20"/>
          <w:lang w:val="en-US"/>
        </w:rPr>
        <w:t>s</w:t>
      </w:r>
      <w:r w:rsidR="00C254BF" w:rsidRPr="00785D06">
        <w:rPr>
          <w:sz w:val="20"/>
          <w:szCs w:val="20"/>
          <w:lang w:val="en-US"/>
        </w:rPr>
        <w:t xml:space="preserve"> in such conduct. Th</w:t>
      </w:r>
      <w:r w:rsidR="00023F61" w:rsidRPr="00785D06">
        <w:rPr>
          <w:sz w:val="20"/>
          <w:szCs w:val="20"/>
          <w:lang w:val="en-US"/>
        </w:rPr>
        <w:t>e definition of th</w:t>
      </w:r>
      <w:r w:rsidR="00C254BF" w:rsidRPr="00785D06">
        <w:rPr>
          <w:sz w:val="20"/>
          <w:szCs w:val="20"/>
          <w:lang w:val="en-US"/>
        </w:rPr>
        <w:t xml:space="preserve">is crime, </w:t>
      </w:r>
      <w:r w:rsidR="00D23BDB" w:rsidRPr="00785D06">
        <w:rPr>
          <w:sz w:val="20"/>
          <w:szCs w:val="20"/>
          <w:lang w:val="en-US"/>
        </w:rPr>
        <w:t xml:space="preserve">under </w:t>
      </w:r>
      <w:r w:rsidR="00C254BF" w:rsidRPr="00785D06">
        <w:rPr>
          <w:sz w:val="20"/>
          <w:szCs w:val="20"/>
          <w:lang w:val="en-US"/>
        </w:rPr>
        <w:t xml:space="preserve">the legislation in force at the time of the facts, </w:t>
      </w:r>
      <w:r w:rsidR="00D23BDB" w:rsidRPr="00785D06">
        <w:rPr>
          <w:sz w:val="20"/>
          <w:szCs w:val="20"/>
          <w:lang w:val="en-US"/>
        </w:rPr>
        <w:t xml:space="preserve">was </w:t>
      </w:r>
      <w:r w:rsidR="00C254BF" w:rsidRPr="00785D06">
        <w:rPr>
          <w:sz w:val="20"/>
          <w:szCs w:val="20"/>
          <w:lang w:val="en-US"/>
        </w:rPr>
        <w:t xml:space="preserve">based on stereotyped gender guidelines that were discriminatory, </w:t>
      </w:r>
      <w:r w:rsidR="00D23BDB" w:rsidRPr="00785D06">
        <w:rPr>
          <w:sz w:val="20"/>
          <w:szCs w:val="20"/>
          <w:lang w:val="en-US"/>
        </w:rPr>
        <w:t>an aspect that is e</w:t>
      </w:r>
      <w:r w:rsidR="00C254BF" w:rsidRPr="00785D06">
        <w:rPr>
          <w:sz w:val="20"/>
          <w:szCs w:val="20"/>
          <w:lang w:val="en-US"/>
        </w:rPr>
        <w:t xml:space="preserve">xamined </w:t>
      </w:r>
      <w:r w:rsidR="00D23BDB" w:rsidRPr="00785D06">
        <w:rPr>
          <w:sz w:val="20"/>
          <w:szCs w:val="20"/>
          <w:lang w:val="en-US"/>
        </w:rPr>
        <w:t xml:space="preserve">in the section below </w:t>
      </w:r>
      <w:r w:rsidR="00C254BF" w:rsidRPr="00785D06">
        <w:rPr>
          <w:sz w:val="20"/>
          <w:szCs w:val="20"/>
          <w:lang w:val="en-US"/>
        </w:rPr>
        <w:t>(</w:t>
      </w:r>
      <w:r w:rsidR="00C254BF" w:rsidRPr="00785D06">
        <w:rPr>
          <w:i/>
          <w:sz w:val="20"/>
          <w:szCs w:val="20"/>
          <w:lang w:val="en-US"/>
        </w:rPr>
        <w:t>infra</w:t>
      </w:r>
      <w:r w:rsidR="00C254BF" w:rsidRPr="00785D06">
        <w:rPr>
          <w:sz w:val="20"/>
          <w:szCs w:val="20"/>
          <w:lang w:val="en-US"/>
        </w:rPr>
        <w:t xml:space="preserve"> Chapter VII.2). However, it is important to </w:t>
      </w:r>
      <w:r w:rsidR="000B2E8E" w:rsidRPr="00785D06">
        <w:rPr>
          <w:sz w:val="20"/>
          <w:szCs w:val="20"/>
          <w:lang w:val="en-US"/>
        </w:rPr>
        <w:t xml:space="preserve">stress </w:t>
      </w:r>
      <w:r w:rsidR="00C254BF" w:rsidRPr="00785D06">
        <w:rPr>
          <w:sz w:val="20"/>
          <w:szCs w:val="20"/>
          <w:lang w:val="en-US"/>
        </w:rPr>
        <w:t xml:space="preserve">that the </w:t>
      </w:r>
      <w:r w:rsidR="00924968" w:rsidRPr="00785D06">
        <w:rPr>
          <w:sz w:val="20"/>
          <w:szCs w:val="20"/>
          <w:lang w:val="en-US"/>
        </w:rPr>
        <w:t xml:space="preserve">characterization </w:t>
      </w:r>
      <w:r w:rsidR="00C254BF" w:rsidRPr="00785D06">
        <w:rPr>
          <w:sz w:val="20"/>
          <w:szCs w:val="20"/>
          <w:lang w:val="en-US"/>
        </w:rPr>
        <w:t xml:space="preserve">of the acts committed against Paola as </w:t>
      </w:r>
      <w:r w:rsidR="00924968" w:rsidRPr="00785D06">
        <w:rPr>
          <w:sz w:val="20"/>
          <w:szCs w:val="20"/>
          <w:lang w:val="en-US"/>
        </w:rPr>
        <w:t>‘</w:t>
      </w:r>
      <w:r w:rsidR="00C254BF" w:rsidRPr="00785D06">
        <w:rPr>
          <w:sz w:val="20"/>
          <w:szCs w:val="20"/>
          <w:lang w:val="en-US"/>
        </w:rPr>
        <w:t>unlawful acts of serious sexual violence</w:t>
      </w:r>
      <w:r w:rsidR="00924968" w:rsidRPr="00785D06">
        <w:rPr>
          <w:sz w:val="20"/>
          <w:szCs w:val="20"/>
          <w:lang w:val="en-US"/>
        </w:rPr>
        <w:t>’</w:t>
      </w:r>
      <w:r w:rsidR="00C254BF" w:rsidRPr="00785D06">
        <w:rPr>
          <w:sz w:val="20"/>
          <w:szCs w:val="20"/>
          <w:lang w:val="en-US"/>
        </w:rPr>
        <w:t xml:space="preserve"> </w:t>
      </w:r>
      <w:r w:rsidR="00990A71" w:rsidRPr="00785D06">
        <w:rPr>
          <w:sz w:val="20"/>
          <w:szCs w:val="20"/>
          <w:lang w:val="en-US"/>
        </w:rPr>
        <w:t>is based both on the</w:t>
      </w:r>
      <w:r w:rsidR="00C254BF" w:rsidRPr="00785D06">
        <w:rPr>
          <w:sz w:val="20"/>
          <w:szCs w:val="20"/>
          <w:lang w:val="en-US"/>
        </w:rPr>
        <w:t xml:space="preserve"> </w:t>
      </w:r>
      <w:r w:rsidR="00990A71" w:rsidRPr="00785D06">
        <w:rPr>
          <w:sz w:val="20"/>
          <w:szCs w:val="20"/>
          <w:lang w:val="en-US"/>
        </w:rPr>
        <w:t xml:space="preserve">provisions of </w:t>
      </w:r>
      <w:r w:rsidR="00C254BF" w:rsidRPr="00785D06">
        <w:rPr>
          <w:sz w:val="20"/>
          <w:szCs w:val="20"/>
          <w:lang w:val="en-US"/>
        </w:rPr>
        <w:t>domestic l</w:t>
      </w:r>
      <w:r w:rsidR="00990A71" w:rsidRPr="00785D06">
        <w:rPr>
          <w:sz w:val="20"/>
          <w:szCs w:val="20"/>
          <w:lang w:val="en-US"/>
        </w:rPr>
        <w:t xml:space="preserve">aw in force in </w:t>
      </w:r>
      <w:r w:rsidR="00C254BF" w:rsidRPr="00785D06">
        <w:rPr>
          <w:sz w:val="20"/>
          <w:szCs w:val="20"/>
          <w:lang w:val="en-US"/>
        </w:rPr>
        <w:t xml:space="preserve">Ecuador </w:t>
      </w:r>
      <w:r w:rsidR="00990A71" w:rsidRPr="00785D06">
        <w:rPr>
          <w:sz w:val="20"/>
          <w:szCs w:val="20"/>
          <w:lang w:val="en-US"/>
        </w:rPr>
        <w:t xml:space="preserve">at the time of the </w:t>
      </w:r>
      <w:r w:rsidR="00924968" w:rsidRPr="00785D06">
        <w:rPr>
          <w:sz w:val="20"/>
          <w:szCs w:val="20"/>
          <w:lang w:val="en-US"/>
        </w:rPr>
        <w:t>events</w:t>
      </w:r>
      <w:r w:rsidR="00990A71" w:rsidRPr="00785D06">
        <w:rPr>
          <w:sz w:val="20"/>
          <w:szCs w:val="20"/>
          <w:lang w:val="en-US"/>
        </w:rPr>
        <w:t xml:space="preserve">, and on </w:t>
      </w:r>
      <w:r w:rsidR="00C254BF" w:rsidRPr="00785D06">
        <w:rPr>
          <w:sz w:val="20"/>
          <w:szCs w:val="20"/>
          <w:lang w:val="en-US"/>
        </w:rPr>
        <w:t xml:space="preserve">international law. </w:t>
      </w:r>
    </w:p>
    <w:p w14:paraId="717D72D1" w14:textId="77777777" w:rsidR="00C254BF" w:rsidRPr="00785D06" w:rsidRDefault="00C254BF" w:rsidP="00C254BF">
      <w:pPr>
        <w:pStyle w:val="Prrafodelista"/>
        <w:rPr>
          <w:b/>
          <w:sz w:val="20"/>
          <w:szCs w:val="20"/>
          <w:lang w:val="en-US"/>
        </w:rPr>
      </w:pPr>
    </w:p>
    <w:p w14:paraId="74AAA5F2" w14:textId="77777777" w:rsidR="00C254BF" w:rsidRPr="00785D06" w:rsidRDefault="00C254BF" w:rsidP="00C254BF">
      <w:pPr>
        <w:pStyle w:val="Prrafodelista"/>
        <w:numPr>
          <w:ilvl w:val="0"/>
          <w:numId w:val="35"/>
        </w:numPr>
        <w:ind w:left="0" w:firstLine="0"/>
        <w:contextualSpacing w:val="0"/>
        <w:jc w:val="both"/>
        <w:rPr>
          <w:lang w:val="en-US"/>
        </w:rPr>
      </w:pPr>
      <w:r w:rsidRPr="00785D06">
        <w:rPr>
          <w:sz w:val="20"/>
          <w:szCs w:val="20"/>
          <w:lang w:val="en-US"/>
        </w:rPr>
        <w:t xml:space="preserve">Fourth, </w:t>
      </w:r>
      <w:r w:rsidR="00DB1215" w:rsidRPr="00785D06">
        <w:rPr>
          <w:sz w:val="20"/>
          <w:szCs w:val="20"/>
          <w:lang w:val="en-US"/>
        </w:rPr>
        <w:t xml:space="preserve">as explained below, in this </w:t>
      </w:r>
      <w:r w:rsidRPr="00785D06">
        <w:rPr>
          <w:sz w:val="20"/>
          <w:szCs w:val="20"/>
          <w:lang w:val="en-US"/>
        </w:rPr>
        <w:t xml:space="preserve">case the abuse occurred </w:t>
      </w:r>
      <w:r w:rsidR="00D913EE" w:rsidRPr="00785D06">
        <w:rPr>
          <w:sz w:val="20"/>
          <w:szCs w:val="20"/>
          <w:lang w:val="en-US"/>
        </w:rPr>
        <w:t xml:space="preserve">in the context of </w:t>
      </w:r>
      <w:r w:rsidRPr="00785D06">
        <w:rPr>
          <w:sz w:val="20"/>
          <w:szCs w:val="20"/>
          <w:lang w:val="en-US"/>
        </w:rPr>
        <w:t xml:space="preserve">a </w:t>
      </w:r>
      <w:r w:rsidR="00805F99" w:rsidRPr="00785D06">
        <w:rPr>
          <w:sz w:val="20"/>
          <w:szCs w:val="20"/>
          <w:lang w:val="en-US"/>
        </w:rPr>
        <w:t xml:space="preserve">relationship of power and trust, </w:t>
      </w:r>
      <w:r w:rsidRPr="00785D06">
        <w:rPr>
          <w:sz w:val="20"/>
          <w:szCs w:val="20"/>
          <w:lang w:val="en-US"/>
        </w:rPr>
        <w:t>committed by someone who</w:t>
      </w:r>
      <w:r w:rsidR="000B2E8E" w:rsidRPr="00785D06">
        <w:rPr>
          <w:sz w:val="20"/>
          <w:szCs w:val="20"/>
          <w:lang w:val="en-US"/>
        </w:rPr>
        <w:t xml:space="preserve"> had a duty of care with</w:t>
      </w:r>
      <w:r w:rsidR="00805F99" w:rsidRPr="00785D06">
        <w:rPr>
          <w:sz w:val="20"/>
          <w:szCs w:val="20"/>
          <w:lang w:val="en-US"/>
        </w:rPr>
        <w:t xml:space="preserve">in a </w:t>
      </w:r>
      <w:r w:rsidR="000B2E8E" w:rsidRPr="00785D06">
        <w:rPr>
          <w:sz w:val="20"/>
          <w:szCs w:val="20"/>
          <w:lang w:val="en-US"/>
        </w:rPr>
        <w:t>school,</w:t>
      </w:r>
      <w:r w:rsidRPr="00785D06">
        <w:rPr>
          <w:rStyle w:val="Refdenotaalpie"/>
          <w:sz w:val="20"/>
          <w:szCs w:val="20"/>
          <w:lang w:val="en-US"/>
        </w:rPr>
        <w:footnoteReference w:id="124"/>
      </w:r>
      <w:r w:rsidRPr="00785D06">
        <w:rPr>
          <w:b/>
          <w:sz w:val="20"/>
          <w:szCs w:val="20"/>
          <w:lang w:val="en-US"/>
        </w:rPr>
        <w:t xml:space="preserve"> </w:t>
      </w:r>
      <w:r w:rsidR="00805F99" w:rsidRPr="00785D06">
        <w:rPr>
          <w:sz w:val="20"/>
          <w:szCs w:val="20"/>
          <w:lang w:val="en-US"/>
        </w:rPr>
        <w:t xml:space="preserve">toward a person </w:t>
      </w:r>
      <w:r w:rsidR="00D913EE" w:rsidRPr="00785D06">
        <w:rPr>
          <w:sz w:val="20"/>
          <w:szCs w:val="20"/>
          <w:lang w:val="en-US"/>
        </w:rPr>
        <w:t xml:space="preserve">in </w:t>
      </w:r>
      <w:r w:rsidRPr="00785D06">
        <w:rPr>
          <w:sz w:val="20"/>
          <w:szCs w:val="20"/>
          <w:lang w:val="en-US"/>
        </w:rPr>
        <w:t xml:space="preserve">a </w:t>
      </w:r>
      <w:r w:rsidR="000B2E8E" w:rsidRPr="00785D06">
        <w:rPr>
          <w:sz w:val="20"/>
          <w:szCs w:val="20"/>
          <w:lang w:val="en-US"/>
        </w:rPr>
        <w:t>vulnerable situation</w:t>
      </w:r>
      <w:r w:rsidRPr="00785D06">
        <w:rPr>
          <w:sz w:val="20"/>
          <w:szCs w:val="20"/>
          <w:lang w:val="en-US"/>
        </w:rPr>
        <w:t xml:space="preserve">, which </w:t>
      </w:r>
      <w:r w:rsidR="00805F99" w:rsidRPr="00785D06">
        <w:rPr>
          <w:sz w:val="20"/>
          <w:szCs w:val="20"/>
          <w:lang w:val="en-US"/>
        </w:rPr>
        <w:t xml:space="preserve">allowed </w:t>
      </w:r>
      <w:r w:rsidRPr="00785D06">
        <w:rPr>
          <w:sz w:val="20"/>
          <w:szCs w:val="20"/>
          <w:lang w:val="en-US"/>
        </w:rPr>
        <w:t>the consummation of acts of sexual violence</w:t>
      </w:r>
      <w:r w:rsidR="00D913EE" w:rsidRPr="00785D06">
        <w:rPr>
          <w:sz w:val="20"/>
          <w:szCs w:val="20"/>
          <w:lang w:val="en-US"/>
        </w:rPr>
        <w:t>.</w:t>
      </w:r>
      <w:r w:rsidRPr="00785D06">
        <w:rPr>
          <w:rStyle w:val="Refdenotaalpie"/>
          <w:sz w:val="20"/>
          <w:szCs w:val="20"/>
          <w:lang w:val="en-US"/>
        </w:rPr>
        <w:footnoteReference w:id="125"/>
      </w:r>
      <w:r w:rsidRPr="00785D06">
        <w:rPr>
          <w:sz w:val="20"/>
          <w:szCs w:val="20"/>
          <w:lang w:val="en-US"/>
        </w:rPr>
        <w:t xml:space="preserve"> </w:t>
      </w:r>
    </w:p>
    <w:p w14:paraId="51AD3604" w14:textId="77777777" w:rsidR="00C254BF" w:rsidRPr="00785D06" w:rsidRDefault="00C254BF" w:rsidP="00C254BF">
      <w:pPr>
        <w:pStyle w:val="Prrafodelista"/>
        <w:rPr>
          <w:sz w:val="20"/>
          <w:szCs w:val="20"/>
          <w:lang w:val="en-US"/>
        </w:rPr>
      </w:pPr>
    </w:p>
    <w:p w14:paraId="7CFE1017" w14:textId="77777777" w:rsidR="00C254BF" w:rsidRPr="00785D06" w:rsidRDefault="00805F99" w:rsidP="00C254BF">
      <w:pPr>
        <w:pStyle w:val="Prrafodelista"/>
        <w:numPr>
          <w:ilvl w:val="0"/>
          <w:numId w:val="35"/>
        </w:numPr>
        <w:ind w:left="0" w:firstLine="0"/>
        <w:contextualSpacing w:val="0"/>
        <w:jc w:val="both"/>
        <w:rPr>
          <w:lang w:val="en-US"/>
        </w:rPr>
      </w:pPr>
      <w:r w:rsidRPr="00785D06">
        <w:rPr>
          <w:sz w:val="20"/>
          <w:szCs w:val="20"/>
          <w:lang w:val="en-US"/>
        </w:rPr>
        <w:t xml:space="preserve">The Court will consider the </w:t>
      </w:r>
      <w:r w:rsidR="001218A0" w:rsidRPr="00785D06">
        <w:rPr>
          <w:sz w:val="20"/>
          <w:szCs w:val="20"/>
          <w:lang w:val="en-US"/>
        </w:rPr>
        <w:t xml:space="preserve">foregoing </w:t>
      </w:r>
      <w:r w:rsidRPr="00785D06">
        <w:rPr>
          <w:sz w:val="20"/>
          <w:szCs w:val="20"/>
          <w:lang w:val="en-US"/>
        </w:rPr>
        <w:t xml:space="preserve">points and will then refer to </w:t>
      </w:r>
      <w:r w:rsidR="00C254BF" w:rsidRPr="00785D06">
        <w:rPr>
          <w:sz w:val="20"/>
          <w:szCs w:val="20"/>
          <w:lang w:val="en-US"/>
        </w:rPr>
        <w:t>the discriminatory nature of the violence</w:t>
      </w:r>
      <w:r w:rsidRPr="00785D06">
        <w:rPr>
          <w:sz w:val="20"/>
          <w:szCs w:val="20"/>
          <w:lang w:val="en-US"/>
        </w:rPr>
        <w:t xml:space="preserve">. Finally, it will </w:t>
      </w:r>
      <w:r w:rsidR="00C254BF" w:rsidRPr="00785D06">
        <w:rPr>
          <w:sz w:val="20"/>
          <w:szCs w:val="20"/>
          <w:lang w:val="en-US"/>
        </w:rPr>
        <w:t xml:space="preserve">present </w:t>
      </w:r>
      <w:r w:rsidRPr="00785D06">
        <w:rPr>
          <w:sz w:val="20"/>
          <w:szCs w:val="20"/>
          <w:lang w:val="en-US"/>
        </w:rPr>
        <w:t xml:space="preserve">its </w:t>
      </w:r>
      <w:r w:rsidR="00C254BF" w:rsidRPr="00785D06">
        <w:rPr>
          <w:sz w:val="20"/>
          <w:szCs w:val="20"/>
          <w:lang w:val="en-US"/>
        </w:rPr>
        <w:t xml:space="preserve">conclusion. </w:t>
      </w:r>
    </w:p>
    <w:p w14:paraId="39BC3DFD" w14:textId="77777777" w:rsidR="00C254BF" w:rsidRPr="00785D06" w:rsidRDefault="00C254BF" w:rsidP="00C254BF">
      <w:pPr>
        <w:pStyle w:val="Prrafodelista"/>
        <w:rPr>
          <w:sz w:val="20"/>
          <w:szCs w:val="20"/>
          <w:lang w:val="en-US"/>
        </w:rPr>
      </w:pPr>
    </w:p>
    <w:p w14:paraId="05A2E1AA" w14:textId="77777777" w:rsidR="00C254BF" w:rsidRPr="00785D06" w:rsidRDefault="00C254BF" w:rsidP="00C254BF">
      <w:pPr>
        <w:pStyle w:val="Prrafodelista"/>
        <w:ind w:left="851"/>
        <w:jc w:val="both"/>
        <w:outlineLvl w:val="3"/>
        <w:rPr>
          <w:i/>
          <w:sz w:val="20"/>
          <w:szCs w:val="20"/>
          <w:lang w:val="en-US"/>
        </w:rPr>
      </w:pPr>
      <w:bookmarkStart w:id="111" w:name="_Toc42498051"/>
      <w:bookmarkStart w:id="112" w:name="_Toc46937299"/>
      <w:r w:rsidRPr="00785D06">
        <w:rPr>
          <w:i/>
          <w:sz w:val="20"/>
          <w:szCs w:val="20"/>
          <w:lang w:val="en-US"/>
        </w:rPr>
        <w:t xml:space="preserve">B.2.1 </w:t>
      </w:r>
      <w:r w:rsidR="00C175E7" w:rsidRPr="00785D06">
        <w:rPr>
          <w:i/>
          <w:sz w:val="20"/>
          <w:szCs w:val="20"/>
          <w:lang w:val="en-US"/>
        </w:rPr>
        <w:t xml:space="preserve">Exploitation of </w:t>
      </w:r>
      <w:r w:rsidR="00654D1F" w:rsidRPr="00785D06">
        <w:rPr>
          <w:i/>
          <w:sz w:val="20"/>
          <w:szCs w:val="20"/>
          <w:lang w:val="en-US"/>
        </w:rPr>
        <w:t xml:space="preserve">a relationship of power and </w:t>
      </w:r>
      <w:r w:rsidR="00C175E7" w:rsidRPr="00785D06">
        <w:rPr>
          <w:i/>
          <w:sz w:val="20"/>
          <w:szCs w:val="20"/>
          <w:lang w:val="en-US"/>
        </w:rPr>
        <w:t xml:space="preserve">a </w:t>
      </w:r>
      <w:r w:rsidRPr="00785D06">
        <w:rPr>
          <w:i/>
          <w:sz w:val="20"/>
          <w:szCs w:val="20"/>
          <w:lang w:val="en-US"/>
        </w:rPr>
        <w:t>situation of vulnerability</w:t>
      </w:r>
      <w:bookmarkEnd w:id="111"/>
      <w:bookmarkEnd w:id="112"/>
    </w:p>
    <w:p w14:paraId="54B7E690" w14:textId="77777777" w:rsidR="00C254BF" w:rsidRPr="00785D06" w:rsidRDefault="00C254BF" w:rsidP="00C254BF">
      <w:pPr>
        <w:pStyle w:val="Prrafodelista"/>
        <w:rPr>
          <w:sz w:val="20"/>
          <w:szCs w:val="20"/>
          <w:lang w:val="en-US"/>
        </w:rPr>
      </w:pPr>
    </w:p>
    <w:p w14:paraId="2E14F7CF" w14:textId="77777777" w:rsidR="00C254BF" w:rsidRPr="00785D06" w:rsidRDefault="00C175E7" w:rsidP="00C254BF">
      <w:pPr>
        <w:pStyle w:val="Prrafodelista"/>
        <w:numPr>
          <w:ilvl w:val="0"/>
          <w:numId w:val="35"/>
        </w:numPr>
        <w:ind w:left="0" w:firstLine="0"/>
        <w:contextualSpacing w:val="0"/>
        <w:jc w:val="both"/>
        <w:rPr>
          <w:sz w:val="20"/>
          <w:szCs w:val="20"/>
          <w:lang w:val="en-US"/>
        </w:rPr>
      </w:pPr>
      <w:r w:rsidRPr="00785D06">
        <w:rPr>
          <w:sz w:val="20"/>
          <w:szCs w:val="20"/>
          <w:lang w:val="en-US"/>
        </w:rPr>
        <w:t>As a first element, i</w:t>
      </w:r>
      <w:r w:rsidR="00C254BF" w:rsidRPr="00785D06">
        <w:rPr>
          <w:sz w:val="20"/>
          <w:szCs w:val="20"/>
          <w:lang w:val="en-US"/>
        </w:rPr>
        <w:t>t is important to stress</w:t>
      </w:r>
      <w:r w:rsidRPr="00785D06">
        <w:rPr>
          <w:sz w:val="20"/>
          <w:szCs w:val="20"/>
          <w:lang w:val="en-US"/>
        </w:rPr>
        <w:t xml:space="preserve"> </w:t>
      </w:r>
      <w:r w:rsidR="00C254BF" w:rsidRPr="00785D06">
        <w:rPr>
          <w:sz w:val="20"/>
          <w:szCs w:val="20"/>
          <w:lang w:val="en-US"/>
        </w:rPr>
        <w:t xml:space="preserve">that </w:t>
      </w:r>
      <w:r w:rsidR="00780C5B" w:rsidRPr="00785D06">
        <w:rPr>
          <w:sz w:val="20"/>
          <w:szCs w:val="20"/>
          <w:lang w:val="en-US"/>
        </w:rPr>
        <w:t xml:space="preserve">from </w:t>
      </w:r>
      <w:r w:rsidR="00C254BF" w:rsidRPr="00785D06">
        <w:rPr>
          <w:sz w:val="20"/>
          <w:szCs w:val="20"/>
          <w:lang w:val="en-US"/>
        </w:rPr>
        <w:t xml:space="preserve">the circumstances of this case </w:t>
      </w:r>
      <w:r w:rsidR="00780C5B" w:rsidRPr="00785D06">
        <w:rPr>
          <w:sz w:val="20"/>
          <w:szCs w:val="20"/>
          <w:lang w:val="en-US"/>
        </w:rPr>
        <w:t xml:space="preserve">it is clear </w:t>
      </w:r>
      <w:r w:rsidR="00C254BF" w:rsidRPr="00785D06">
        <w:rPr>
          <w:sz w:val="20"/>
          <w:szCs w:val="20"/>
          <w:lang w:val="en-US"/>
        </w:rPr>
        <w:t>that Paola’s subjectio</w:t>
      </w:r>
      <w:r w:rsidR="00F34EA1" w:rsidRPr="00785D06">
        <w:rPr>
          <w:sz w:val="20"/>
          <w:szCs w:val="20"/>
          <w:lang w:val="en-US"/>
        </w:rPr>
        <w:t xml:space="preserve">n to a sexual relationship with </w:t>
      </w:r>
      <w:r w:rsidR="00780C5B" w:rsidRPr="00785D06">
        <w:rPr>
          <w:sz w:val="20"/>
          <w:szCs w:val="20"/>
          <w:lang w:val="en-US"/>
        </w:rPr>
        <w:t xml:space="preserve">the </w:t>
      </w:r>
      <w:r w:rsidR="0097298A" w:rsidRPr="00785D06">
        <w:rPr>
          <w:sz w:val="20"/>
          <w:szCs w:val="20"/>
          <w:lang w:val="en-US"/>
        </w:rPr>
        <w:t>vice principal</w:t>
      </w:r>
      <w:r w:rsidR="00C254BF" w:rsidRPr="00785D06">
        <w:rPr>
          <w:sz w:val="20"/>
          <w:szCs w:val="20"/>
          <w:lang w:val="en-US"/>
        </w:rPr>
        <w:t xml:space="preserve"> occurred </w:t>
      </w:r>
      <w:r w:rsidR="00780C5B" w:rsidRPr="00785D06">
        <w:rPr>
          <w:sz w:val="20"/>
          <w:szCs w:val="20"/>
          <w:lang w:val="en-US"/>
        </w:rPr>
        <w:t>with</w:t>
      </w:r>
      <w:r w:rsidR="00C254BF" w:rsidRPr="00785D06">
        <w:rPr>
          <w:sz w:val="20"/>
          <w:szCs w:val="20"/>
          <w:lang w:val="en-US"/>
        </w:rPr>
        <w:t xml:space="preserve">in the context of his </w:t>
      </w:r>
      <w:r w:rsidR="008140B9" w:rsidRPr="00785D06">
        <w:rPr>
          <w:sz w:val="20"/>
          <w:szCs w:val="20"/>
          <w:lang w:val="en-US"/>
        </w:rPr>
        <w:t>position</w:t>
      </w:r>
      <w:r w:rsidR="00E66937" w:rsidRPr="00785D06">
        <w:rPr>
          <w:sz w:val="20"/>
          <w:szCs w:val="20"/>
          <w:lang w:val="en-US"/>
        </w:rPr>
        <w:t xml:space="preserve"> and role </w:t>
      </w:r>
      <w:r w:rsidR="00780C5B" w:rsidRPr="00785D06">
        <w:rPr>
          <w:sz w:val="20"/>
          <w:szCs w:val="20"/>
          <w:lang w:val="en-US"/>
        </w:rPr>
        <w:t>at the school</w:t>
      </w:r>
      <w:r w:rsidR="00E66937" w:rsidRPr="00785D06">
        <w:rPr>
          <w:sz w:val="20"/>
          <w:szCs w:val="20"/>
          <w:lang w:val="en-US"/>
        </w:rPr>
        <w:t xml:space="preserve">. This implies that he acted </w:t>
      </w:r>
      <w:r w:rsidR="00C254BF" w:rsidRPr="00785D06">
        <w:rPr>
          <w:sz w:val="20"/>
          <w:szCs w:val="20"/>
          <w:lang w:val="en-US"/>
        </w:rPr>
        <w:t xml:space="preserve">as </w:t>
      </w:r>
      <w:r w:rsidR="00E66937" w:rsidRPr="00785D06">
        <w:rPr>
          <w:sz w:val="20"/>
          <w:szCs w:val="20"/>
          <w:lang w:val="en-US"/>
        </w:rPr>
        <w:t xml:space="preserve">a </w:t>
      </w:r>
      <w:r w:rsidR="00C254BF" w:rsidRPr="00785D06">
        <w:rPr>
          <w:sz w:val="20"/>
          <w:szCs w:val="20"/>
          <w:lang w:val="en-US"/>
        </w:rPr>
        <w:t xml:space="preserve">public official, </w:t>
      </w:r>
      <w:r w:rsidR="00BC3806" w:rsidRPr="00785D06">
        <w:rPr>
          <w:sz w:val="20"/>
          <w:szCs w:val="20"/>
          <w:lang w:val="en-US"/>
        </w:rPr>
        <w:t xml:space="preserve">which </w:t>
      </w:r>
      <w:r w:rsidR="00780C5B" w:rsidRPr="00785D06">
        <w:rPr>
          <w:sz w:val="20"/>
          <w:szCs w:val="20"/>
          <w:lang w:val="en-US"/>
        </w:rPr>
        <w:t>compromi</w:t>
      </w:r>
      <w:r w:rsidR="00BC3806" w:rsidRPr="00785D06">
        <w:rPr>
          <w:sz w:val="20"/>
          <w:szCs w:val="20"/>
          <w:lang w:val="en-US"/>
        </w:rPr>
        <w:t>ses</w:t>
      </w:r>
      <w:r w:rsidR="00C254BF" w:rsidRPr="00785D06">
        <w:rPr>
          <w:sz w:val="20"/>
          <w:szCs w:val="20"/>
          <w:lang w:val="en-US"/>
        </w:rPr>
        <w:t xml:space="preserve"> the State’s responsibility.</w:t>
      </w:r>
      <w:r w:rsidR="00C254BF" w:rsidRPr="00785D06">
        <w:rPr>
          <w:rStyle w:val="Refdenotaalpie"/>
          <w:sz w:val="20"/>
          <w:szCs w:val="20"/>
          <w:lang w:val="en-US"/>
        </w:rPr>
        <w:footnoteReference w:id="126"/>
      </w:r>
    </w:p>
    <w:p w14:paraId="75737D56" w14:textId="77777777" w:rsidR="00C254BF" w:rsidRPr="00785D06" w:rsidRDefault="00C254BF" w:rsidP="00C254BF">
      <w:pPr>
        <w:pStyle w:val="Prrafodelista"/>
        <w:rPr>
          <w:sz w:val="20"/>
          <w:szCs w:val="20"/>
          <w:lang w:val="en-US"/>
        </w:rPr>
      </w:pPr>
    </w:p>
    <w:p w14:paraId="6A9C54D6"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The </w:t>
      </w:r>
      <w:r w:rsidR="0097298A" w:rsidRPr="00785D06">
        <w:rPr>
          <w:sz w:val="20"/>
          <w:szCs w:val="20"/>
          <w:lang w:val="en-US"/>
        </w:rPr>
        <w:t>vice principal</w:t>
      </w:r>
      <w:r w:rsidRPr="00785D06">
        <w:rPr>
          <w:sz w:val="20"/>
          <w:szCs w:val="20"/>
          <w:lang w:val="en-US"/>
        </w:rPr>
        <w:t xml:space="preserve"> was not only an adult man who had sexual relations with a </w:t>
      </w:r>
      <w:r w:rsidR="00BC3806" w:rsidRPr="00785D06">
        <w:rPr>
          <w:sz w:val="20"/>
          <w:szCs w:val="20"/>
          <w:lang w:val="en-US"/>
        </w:rPr>
        <w:t>girl under 18</w:t>
      </w:r>
      <w:r w:rsidRPr="00785D06">
        <w:rPr>
          <w:sz w:val="20"/>
          <w:szCs w:val="20"/>
          <w:lang w:val="en-US"/>
        </w:rPr>
        <w:t>, with whom he had an ag</w:t>
      </w:r>
      <w:r w:rsidR="00E755A3" w:rsidRPr="00785D06">
        <w:rPr>
          <w:sz w:val="20"/>
          <w:szCs w:val="20"/>
          <w:lang w:val="en-US"/>
        </w:rPr>
        <w:t>e difference of nearly 40 years;</w:t>
      </w:r>
      <w:r w:rsidRPr="00785D06">
        <w:rPr>
          <w:sz w:val="20"/>
          <w:szCs w:val="20"/>
          <w:lang w:val="en-US"/>
        </w:rPr>
        <w:t xml:space="preserve"> </w:t>
      </w:r>
      <w:r w:rsidR="00E755A3" w:rsidRPr="00785D06">
        <w:rPr>
          <w:sz w:val="20"/>
          <w:szCs w:val="20"/>
          <w:lang w:val="en-US"/>
        </w:rPr>
        <w:t xml:space="preserve">he also </w:t>
      </w:r>
      <w:r w:rsidRPr="00785D06">
        <w:rPr>
          <w:sz w:val="20"/>
          <w:szCs w:val="20"/>
          <w:lang w:val="en-US"/>
        </w:rPr>
        <w:t xml:space="preserve">had a role of power and </w:t>
      </w:r>
      <w:r w:rsidR="00E66937" w:rsidRPr="00785D06">
        <w:rPr>
          <w:sz w:val="20"/>
          <w:szCs w:val="20"/>
          <w:lang w:val="en-US"/>
        </w:rPr>
        <w:t xml:space="preserve">a </w:t>
      </w:r>
      <w:r w:rsidRPr="00785D06">
        <w:rPr>
          <w:sz w:val="20"/>
          <w:szCs w:val="20"/>
          <w:lang w:val="en-US"/>
        </w:rPr>
        <w:t>duty of care</w:t>
      </w:r>
      <w:r w:rsidRPr="00785D06">
        <w:rPr>
          <w:b/>
          <w:sz w:val="20"/>
          <w:szCs w:val="20"/>
          <w:lang w:val="en-US"/>
        </w:rPr>
        <w:t xml:space="preserve"> </w:t>
      </w:r>
      <w:r w:rsidR="00BC3806" w:rsidRPr="00785D06">
        <w:rPr>
          <w:sz w:val="20"/>
          <w:szCs w:val="20"/>
          <w:lang w:val="en-US"/>
        </w:rPr>
        <w:t>in relation to</w:t>
      </w:r>
      <w:r w:rsidR="00BC3806" w:rsidRPr="00785D06">
        <w:rPr>
          <w:b/>
          <w:sz w:val="20"/>
          <w:szCs w:val="20"/>
          <w:lang w:val="en-US"/>
        </w:rPr>
        <w:t xml:space="preserve"> </w:t>
      </w:r>
      <w:r w:rsidR="00E66937" w:rsidRPr="00785D06">
        <w:rPr>
          <w:sz w:val="20"/>
          <w:szCs w:val="20"/>
          <w:lang w:val="en-US"/>
        </w:rPr>
        <w:t xml:space="preserve">her. Obviously, this aspect </w:t>
      </w:r>
      <w:r w:rsidR="00803EC8" w:rsidRPr="00785D06">
        <w:rPr>
          <w:sz w:val="20"/>
          <w:szCs w:val="20"/>
          <w:lang w:val="en-US"/>
        </w:rPr>
        <w:t xml:space="preserve">is central </w:t>
      </w:r>
      <w:r w:rsidR="00E66937" w:rsidRPr="00785D06">
        <w:rPr>
          <w:sz w:val="20"/>
          <w:szCs w:val="20"/>
          <w:lang w:val="en-US"/>
        </w:rPr>
        <w:t>to the case because, as</w:t>
      </w:r>
      <w:r w:rsidRPr="00785D06">
        <w:rPr>
          <w:sz w:val="20"/>
          <w:szCs w:val="20"/>
          <w:lang w:val="en-US"/>
        </w:rPr>
        <w:t xml:space="preserve"> an academic authority at </w:t>
      </w:r>
      <w:r w:rsidR="00E66937" w:rsidRPr="00785D06">
        <w:rPr>
          <w:sz w:val="20"/>
          <w:szCs w:val="20"/>
          <w:lang w:val="en-US"/>
        </w:rPr>
        <w:t xml:space="preserve">Paola’s </w:t>
      </w:r>
      <w:r w:rsidRPr="00785D06">
        <w:rPr>
          <w:sz w:val="20"/>
          <w:szCs w:val="20"/>
          <w:lang w:val="en-US"/>
        </w:rPr>
        <w:t>school</w:t>
      </w:r>
      <w:r w:rsidR="00803EC8" w:rsidRPr="00785D06">
        <w:rPr>
          <w:sz w:val="20"/>
          <w:szCs w:val="20"/>
          <w:lang w:val="en-US"/>
        </w:rPr>
        <w:t>, he</w:t>
      </w:r>
      <w:r w:rsidRPr="00785D06">
        <w:rPr>
          <w:sz w:val="20"/>
          <w:szCs w:val="20"/>
          <w:lang w:val="en-US"/>
        </w:rPr>
        <w:t xml:space="preserve"> </w:t>
      </w:r>
      <w:r w:rsidR="00803EC8" w:rsidRPr="00785D06">
        <w:rPr>
          <w:sz w:val="20"/>
          <w:szCs w:val="20"/>
          <w:lang w:val="en-US"/>
        </w:rPr>
        <w:t>was required not only to respect</w:t>
      </w:r>
      <w:r w:rsidRPr="00785D06">
        <w:rPr>
          <w:sz w:val="20"/>
          <w:szCs w:val="20"/>
          <w:lang w:val="en-US"/>
        </w:rPr>
        <w:t xml:space="preserve"> the girl’s rights, </w:t>
      </w:r>
      <w:r w:rsidR="00803EC8" w:rsidRPr="00785D06">
        <w:rPr>
          <w:sz w:val="20"/>
          <w:szCs w:val="20"/>
          <w:lang w:val="en-US"/>
        </w:rPr>
        <w:t xml:space="preserve">but </w:t>
      </w:r>
      <w:r w:rsidRPr="00785D06">
        <w:rPr>
          <w:sz w:val="20"/>
          <w:szCs w:val="20"/>
          <w:lang w:val="en-US"/>
        </w:rPr>
        <w:t xml:space="preserve">also, </w:t>
      </w:r>
      <w:r w:rsidR="00803EC8" w:rsidRPr="00785D06">
        <w:rPr>
          <w:sz w:val="20"/>
          <w:szCs w:val="20"/>
          <w:lang w:val="en-US"/>
        </w:rPr>
        <w:t xml:space="preserve">in </w:t>
      </w:r>
      <w:r w:rsidRPr="00785D06">
        <w:rPr>
          <w:sz w:val="20"/>
          <w:szCs w:val="20"/>
          <w:lang w:val="en-US"/>
        </w:rPr>
        <w:t xml:space="preserve">his role as educator, </w:t>
      </w:r>
      <w:r w:rsidR="00803EC8" w:rsidRPr="00785D06">
        <w:rPr>
          <w:sz w:val="20"/>
          <w:szCs w:val="20"/>
          <w:lang w:val="en-US"/>
        </w:rPr>
        <w:t xml:space="preserve">he </w:t>
      </w:r>
      <w:r w:rsidRPr="00785D06">
        <w:rPr>
          <w:sz w:val="20"/>
          <w:szCs w:val="20"/>
          <w:lang w:val="en-US"/>
        </w:rPr>
        <w:t>should have offered her guidance and education in a manner consistent with her rights and ensur</w:t>
      </w:r>
      <w:r w:rsidR="00803EC8" w:rsidRPr="00785D06">
        <w:rPr>
          <w:sz w:val="20"/>
          <w:szCs w:val="20"/>
          <w:lang w:val="en-US"/>
        </w:rPr>
        <w:t xml:space="preserve">ed </w:t>
      </w:r>
      <w:r w:rsidRPr="00785D06">
        <w:rPr>
          <w:sz w:val="20"/>
          <w:szCs w:val="20"/>
          <w:lang w:val="en-US"/>
        </w:rPr>
        <w:t xml:space="preserve">that these were </w:t>
      </w:r>
      <w:r w:rsidR="00313BE6" w:rsidRPr="00785D06">
        <w:rPr>
          <w:sz w:val="20"/>
          <w:szCs w:val="20"/>
          <w:lang w:val="en-US"/>
        </w:rPr>
        <w:t>protected</w:t>
      </w:r>
      <w:r w:rsidRPr="00785D06">
        <w:rPr>
          <w:sz w:val="20"/>
          <w:szCs w:val="20"/>
          <w:lang w:val="en-US"/>
        </w:rPr>
        <w:t>.</w:t>
      </w:r>
      <w:r w:rsidRPr="00785D06">
        <w:rPr>
          <w:rStyle w:val="Refdenotaalpie"/>
          <w:sz w:val="20"/>
          <w:szCs w:val="20"/>
          <w:lang w:val="en-US"/>
        </w:rPr>
        <w:footnoteReference w:id="127"/>
      </w:r>
      <w:r w:rsidRPr="00785D06">
        <w:rPr>
          <w:sz w:val="20"/>
          <w:szCs w:val="20"/>
          <w:lang w:val="en-US"/>
        </w:rPr>
        <w:t xml:space="preserve"> The</w:t>
      </w:r>
      <w:r w:rsidR="00313BE6" w:rsidRPr="00785D06">
        <w:rPr>
          <w:sz w:val="20"/>
          <w:szCs w:val="20"/>
          <w:lang w:val="en-US"/>
        </w:rPr>
        <w:t xml:space="preserve">ir sexual </w:t>
      </w:r>
      <w:r w:rsidR="00E1716E" w:rsidRPr="00785D06">
        <w:rPr>
          <w:sz w:val="20"/>
          <w:szCs w:val="20"/>
          <w:lang w:val="en-US"/>
        </w:rPr>
        <w:t xml:space="preserve">liaison </w:t>
      </w:r>
      <w:r w:rsidRPr="00785D06">
        <w:rPr>
          <w:sz w:val="20"/>
          <w:szCs w:val="20"/>
          <w:lang w:val="en-US"/>
        </w:rPr>
        <w:t xml:space="preserve">also </w:t>
      </w:r>
      <w:r w:rsidR="00313BE6" w:rsidRPr="00785D06">
        <w:rPr>
          <w:sz w:val="20"/>
          <w:szCs w:val="20"/>
          <w:lang w:val="en-US"/>
        </w:rPr>
        <w:t xml:space="preserve">took place </w:t>
      </w:r>
      <w:r w:rsidRPr="00785D06">
        <w:rPr>
          <w:sz w:val="20"/>
          <w:szCs w:val="20"/>
          <w:lang w:val="en-US"/>
        </w:rPr>
        <w:t xml:space="preserve">in the context of a </w:t>
      </w:r>
      <w:r w:rsidR="00803EC8" w:rsidRPr="00785D06">
        <w:rPr>
          <w:sz w:val="20"/>
          <w:szCs w:val="20"/>
          <w:lang w:val="en-US"/>
        </w:rPr>
        <w:t xml:space="preserve">clearly </w:t>
      </w:r>
      <w:r w:rsidRPr="00785D06">
        <w:rPr>
          <w:sz w:val="20"/>
          <w:szCs w:val="20"/>
          <w:lang w:val="en-US"/>
        </w:rPr>
        <w:t xml:space="preserve">unequal relationship, in which the </w:t>
      </w:r>
      <w:r w:rsidR="0097298A" w:rsidRPr="00785D06">
        <w:rPr>
          <w:sz w:val="20"/>
          <w:szCs w:val="20"/>
          <w:lang w:val="en-US"/>
        </w:rPr>
        <w:t>vice principal</w:t>
      </w:r>
      <w:r w:rsidRPr="00785D06">
        <w:rPr>
          <w:sz w:val="20"/>
          <w:szCs w:val="20"/>
          <w:lang w:val="en-US"/>
        </w:rPr>
        <w:t>, as a</w:t>
      </w:r>
      <w:r w:rsidR="00E755A3" w:rsidRPr="00785D06">
        <w:rPr>
          <w:sz w:val="20"/>
          <w:szCs w:val="20"/>
          <w:lang w:val="en-US"/>
        </w:rPr>
        <w:t>n a</w:t>
      </w:r>
      <w:r w:rsidRPr="00785D06">
        <w:rPr>
          <w:sz w:val="20"/>
          <w:szCs w:val="20"/>
          <w:lang w:val="en-US"/>
        </w:rPr>
        <w:t xml:space="preserve">cademic authority, </w:t>
      </w:r>
      <w:r w:rsidR="00313BE6" w:rsidRPr="00785D06">
        <w:rPr>
          <w:sz w:val="20"/>
          <w:szCs w:val="20"/>
          <w:lang w:val="en-US"/>
        </w:rPr>
        <w:t xml:space="preserve">enjoyed </w:t>
      </w:r>
      <w:r w:rsidRPr="00785D06">
        <w:rPr>
          <w:sz w:val="20"/>
          <w:szCs w:val="20"/>
          <w:lang w:val="en-US"/>
        </w:rPr>
        <w:t xml:space="preserve">a situation of superiority </w:t>
      </w:r>
      <w:r w:rsidR="00E1716E" w:rsidRPr="00785D06">
        <w:rPr>
          <w:i/>
          <w:sz w:val="20"/>
          <w:szCs w:val="20"/>
          <w:lang w:val="en-US"/>
        </w:rPr>
        <w:t>vis-à-vis</w:t>
      </w:r>
      <w:r w:rsidR="00E1716E" w:rsidRPr="00785D06">
        <w:rPr>
          <w:sz w:val="20"/>
          <w:szCs w:val="20"/>
          <w:lang w:val="en-US"/>
        </w:rPr>
        <w:t xml:space="preserve"> </w:t>
      </w:r>
      <w:r w:rsidR="00E755A3" w:rsidRPr="00785D06">
        <w:rPr>
          <w:sz w:val="20"/>
          <w:szCs w:val="20"/>
          <w:lang w:val="en-US"/>
        </w:rPr>
        <w:t xml:space="preserve">a female </w:t>
      </w:r>
      <w:r w:rsidRPr="00785D06">
        <w:rPr>
          <w:sz w:val="20"/>
          <w:szCs w:val="20"/>
          <w:lang w:val="en-US"/>
        </w:rPr>
        <w:t>student.</w:t>
      </w:r>
    </w:p>
    <w:p w14:paraId="0A6F74AE" w14:textId="77777777" w:rsidR="00C254BF" w:rsidRPr="00785D06" w:rsidRDefault="00C254BF" w:rsidP="00C254BF">
      <w:pPr>
        <w:pStyle w:val="Prrafodelista"/>
        <w:ind w:left="0"/>
        <w:contextualSpacing w:val="0"/>
        <w:jc w:val="both"/>
        <w:rPr>
          <w:sz w:val="20"/>
          <w:szCs w:val="20"/>
          <w:lang w:val="en-US"/>
        </w:rPr>
      </w:pPr>
    </w:p>
    <w:p w14:paraId="70DBF001"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Thus, the </w:t>
      </w:r>
      <w:r w:rsidR="008E14AA" w:rsidRPr="00785D06">
        <w:rPr>
          <w:sz w:val="20"/>
          <w:szCs w:val="20"/>
          <w:lang w:val="en-US"/>
        </w:rPr>
        <w:t xml:space="preserve">vice principle </w:t>
      </w:r>
      <w:r w:rsidR="00E1716E" w:rsidRPr="00785D06">
        <w:rPr>
          <w:sz w:val="20"/>
          <w:szCs w:val="20"/>
          <w:lang w:val="en-US"/>
        </w:rPr>
        <w:t xml:space="preserve">obtained </w:t>
      </w:r>
      <w:r w:rsidR="008E14AA" w:rsidRPr="00785D06">
        <w:rPr>
          <w:sz w:val="20"/>
          <w:szCs w:val="20"/>
          <w:lang w:val="en-US"/>
        </w:rPr>
        <w:t xml:space="preserve">a </w:t>
      </w:r>
      <w:r w:rsidRPr="00785D06">
        <w:rPr>
          <w:sz w:val="20"/>
          <w:szCs w:val="20"/>
          <w:lang w:val="en-US"/>
        </w:rPr>
        <w:t>sexual relationship by taki</w:t>
      </w:r>
      <w:r w:rsidR="00803EC8" w:rsidRPr="00785D06">
        <w:rPr>
          <w:sz w:val="20"/>
          <w:szCs w:val="20"/>
          <w:lang w:val="en-US"/>
        </w:rPr>
        <w:t xml:space="preserve">ng advantage of </w:t>
      </w:r>
      <w:r w:rsidR="008E14AA" w:rsidRPr="00785D06">
        <w:rPr>
          <w:sz w:val="20"/>
          <w:szCs w:val="20"/>
          <w:lang w:val="en-US"/>
        </w:rPr>
        <w:t xml:space="preserve">his position of </w:t>
      </w:r>
      <w:r w:rsidRPr="00785D06">
        <w:rPr>
          <w:sz w:val="20"/>
          <w:szCs w:val="20"/>
          <w:lang w:val="en-US"/>
        </w:rPr>
        <w:t xml:space="preserve">power and trust. </w:t>
      </w:r>
      <w:r w:rsidR="008E14AA" w:rsidRPr="00785D06">
        <w:rPr>
          <w:sz w:val="20"/>
          <w:szCs w:val="20"/>
          <w:lang w:val="en-US"/>
        </w:rPr>
        <w:t xml:space="preserve">This is </w:t>
      </w:r>
      <w:r w:rsidR="00E1716E" w:rsidRPr="00785D06">
        <w:rPr>
          <w:sz w:val="20"/>
          <w:szCs w:val="20"/>
          <w:lang w:val="en-US"/>
        </w:rPr>
        <w:t>obvious</w:t>
      </w:r>
      <w:r w:rsidR="008E14AA" w:rsidRPr="00785D06">
        <w:rPr>
          <w:sz w:val="20"/>
          <w:szCs w:val="20"/>
          <w:lang w:val="en-US"/>
        </w:rPr>
        <w:t>, i</w:t>
      </w:r>
      <w:r w:rsidR="00803EC8" w:rsidRPr="00785D06">
        <w:rPr>
          <w:sz w:val="20"/>
          <w:szCs w:val="20"/>
          <w:lang w:val="en-US"/>
        </w:rPr>
        <w:t xml:space="preserve">n concrete terms, because the </w:t>
      </w:r>
      <w:r w:rsidR="008E14AA" w:rsidRPr="00785D06">
        <w:rPr>
          <w:sz w:val="20"/>
          <w:szCs w:val="20"/>
          <w:lang w:val="en-US"/>
        </w:rPr>
        <w:t xml:space="preserve">evidence indicates </w:t>
      </w:r>
      <w:r w:rsidRPr="00785D06">
        <w:rPr>
          <w:sz w:val="20"/>
          <w:szCs w:val="20"/>
          <w:lang w:val="en-US"/>
        </w:rPr>
        <w:t xml:space="preserve">that </w:t>
      </w:r>
      <w:r w:rsidR="008E14AA" w:rsidRPr="00785D06">
        <w:rPr>
          <w:sz w:val="20"/>
          <w:szCs w:val="20"/>
          <w:lang w:val="en-US"/>
        </w:rPr>
        <w:t xml:space="preserve">the </w:t>
      </w:r>
      <w:r w:rsidRPr="00785D06">
        <w:rPr>
          <w:sz w:val="20"/>
          <w:szCs w:val="20"/>
          <w:lang w:val="en-US"/>
        </w:rPr>
        <w:t xml:space="preserve">sexual acts </w:t>
      </w:r>
      <w:r w:rsidR="008E14AA" w:rsidRPr="00785D06">
        <w:rPr>
          <w:sz w:val="20"/>
          <w:szCs w:val="20"/>
          <w:lang w:val="en-US"/>
        </w:rPr>
        <w:t xml:space="preserve">between </w:t>
      </w:r>
      <w:r w:rsidRPr="00785D06">
        <w:rPr>
          <w:sz w:val="20"/>
          <w:szCs w:val="20"/>
          <w:lang w:val="en-US"/>
        </w:rPr>
        <w:t xml:space="preserve">the </w:t>
      </w:r>
      <w:r w:rsidR="0097298A" w:rsidRPr="00785D06">
        <w:rPr>
          <w:sz w:val="20"/>
          <w:szCs w:val="20"/>
          <w:lang w:val="en-US"/>
        </w:rPr>
        <w:t>vice principal</w:t>
      </w:r>
      <w:r w:rsidRPr="00785D06">
        <w:rPr>
          <w:sz w:val="20"/>
          <w:szCs w:val="20"/>
          <w:lang w:val="en-US"/>
        </w:rPr>
        <w:t xml:space="preserve"> </w:t>
      </w:r>
      <w:r w:rsidR="008E14AA" w:rsidRPr="00785D06">
        <w:rPr>
          <w:sz w:val="20"/>
          <w:szCs w:val="20"/>
          <w:lang w:val="en-US"/>
        </w:rPr>
        <w:t xml:space="preserve">and </w:t>
      </w:r>
      <w:r w:rsidRPr="00785D06">
        <w:rPr>
          <w:sz w:val="20"/>
          <w:szCs w:val="20"/>
          <w:lang w:val="en-US"/>
        </w:rPr>
        <w:t xml:space="preserve">Paola began as a condition </w:t>
      </w:r>
      <w:r w:rsidR="008E14AA" w:rsidRPr="00785D06">
        <w:rPr>
          <w:sz w:val="20"/>
          <w:szCs w:val="20"/>
          <w:lang w:val="en-US"/>
        </w:rPr>
        <w:t xml:space="preserve">for him to help her </w:t>
      </w:r>
      <w:r w:rsidRPr="00785D06">
        <w:rPr>
          <w:sz w:val="20"/>
          <w:szCs w:val="20"/>
          <w:lang w:val="en-US"/>
        </w:rPr>
        <w:t xml:space="preserve">so that </w:t>
      </w:r>
      <w:r w:rsidR="00E1716E" w:rsidRPr="00785D06">
        <w:rPr>
          <w:sz w:val="20"/>
          <w:szCs w:val="20"/>
          <w:lang w:val="en-US"/>
        </w:rPr>
        <w:t>she w</w:t>
      </w:r>
      <w:r w:rsidRPr="00785D06">
        <w:rPr>
          <w:sz w:val="20"/>
          <w:szCs w:val="20"/>
          <w:lang w:val="en-US"/>
        </w:rPr>
        <w:t>ould pass the school year.</w:t>
      </w:r>
      <w:r w:rsidRPr="00785D06">
        <w:rPr>
          <w:rStyle w:val="Refdenotaalpie"/>
          <w:sz w:val="20"/>
          <w:szCs w:val="20"/>
          <w:lang w:val="en-US"/>
        </w:rPr>
        <w:footnoteReference w:id="128"/>
      </w:r>
      <w:r w:rsidRPr="00785D06">
        <w:rPr>
          <w:sz w:val="20"/>
          <w:szCs w:val="20"/>
          <w:lang w:val="en-US"/>
        </w:rPr>
        <w:t xml:space="preserve"> In that </w:t>
      </w:r>
      <w:r w:rsidR="008F2423" w:rsidRPr="00785D06">
        <w:rPr>
          <w:sz w:val="20"/>
          <w:szCs w:val="20"/>
          <w:lang w:val="en-US"/>
        </w:rPr>
        <w:t>situation</w:t>
      </w:r>
      <w:r w:rsidR="00E1716E" w:rsidRPr="00785D06">
        <w:rPr>
          <w:sz w:val="20"/>
          <w:szCs w:val="20"/>
          <w:lang w:val="en-US"/>
        </w:rPr>
        <w:t>,</w:t>
      </w:r>
      <w:r w:rsidR="008F2423" w:rsidRPr="00785D06">
        <w:rPr>
          <w:sz w:val="20"/>
          <w:szCs w:val="20"/>
          <w:lang w:val="en-US"/>
        </w:rPr>
        <w:t xml:space="preserve"> and in the </w:t>
      </w:r>
      <w:r w:rsidRPr="00785D06">
        <w:rPr>
          <w:sz w:val="20"/>
          <w:szCs w:val="20"/>
          <w:lang w:val="en-US"/>
        </w:rPr>
        <w:t>context</w:t>
      </w:r>
      <w:r w:rsidR="008F2423" w:rsidRPr="00785D06">
        <w:rPr>
          <w:sz w:val="20"/>
          <w:szCs w:val="20"/>
          <w:lang w:val="en-US"/>
        </w:rPr>
        <w:t xml:space="preserve"> of </w:t>
      </w:r>
      <w:r w:rsidRPr="00785D06">
        <w:rPr>
          <w:sz w:val="20"/>
          <w:szCs w:val="20"/>
          <w:lang w:val="en-US"/>
        </w:rPr>
        <w:t>harmful gender stereotype</w:t>
      </w:r>
      <w:r w:rsidR="008F2423" w:rsidRPr="00785D06">
        <w:rPr>
          <w:sz w:val="20"/>
          <w:szCs w:val="20"/>
          <w:lang w:val="en-US"/>
        </w:rPr>
        <w:t>s that tend to blame the victim,</w:t>
      </w:r>
      <w:r w:rsidRPr="00785D06">
        <w:rPr>
          <w:sz w:val="20"/>
          <w:szCs w:val="20"/>
          <w:lang w:val="en-US"/>
        </w:rPr>
        <w:t xml:space="preserve"> </w:t>
      </w:r>
      <w:r w:rsidR="008F2423" w:rsidRPr="00785D06">
        <w:rPr>
          <w:sz w:val="20"/>
          <w:szCs w:val="20"/>
          <w:lang w:val="en-US"/>
        </w:rPr>
        <w:t>the vice princip</w:t>
      </w:r>
      <w:r w:rsidR="003E6F1A" w:rsidRPr="00785D06">
        <w:rPr>
          <w:sz w:val="20"/>
          <w:szCs w:val="20"/>
          <w:lang w:val="en-US"/>
        </w:rPr>
        <w:t>al</w:t>
      </w:r>
      <w:r w:rsidR="008F2423" w:rsidRPr="00785D06">
        <w:rPr>
          <w:sz w:val="20"/>
          <w:szCs w:val="20"/>
          <w:lang w:val="en-US"/>
        </w:rPr>
        <w:t xml:space="preserve"> was able to </w:t>
      </w:r>
      <w:r w:rsidRPr="00785D06">
        <w:rPr>
          <w:sz w:val="20"/>
          <w:szCs w:val="20"/>
          <w:lang w:val="en-US"/>
        </w:rPr>
        <w:t>exercise</w:t>
      </w:r>
      <w:r w:rsidR="003E6F1A" w:rsidRPr="00785D06">
        <w:rPr>
          <w:sz w:val="20"/>
          <w:szCs w:val="20"/>
          <w:lang w:val="en-US"/>
        </w:rPr>
        <w:t xml:space="preserve"> power and take advantage of a</w:t>
      </w:r>
      <w:r w:rsidRPr="00785D06">
        <w:rPr>
          <w:sz w:val="20"/>
          <w:szCs w:val="20"/>
          <w:lang w:val="en-US"/>
        </w:rPr>
        <w:t xml:space="preserve"> relation</w:t>
      </w:r>
      <w:r w:rsidR="008E14AA" w:rsidRPr="00785D06">
        <w:rPr>
          <w:sz w:val="20"/>
          <w:szCs w:val="20"/>
          <w:lang w:val="en-US"/>
        </w:rPr>
        <w:t>ship</w:t>
      </w:r>
      <w:r w:rsidR="003E6F1A" w:rsidRPr="00785D06">
        <w:rPr>
          <w:sz w:val="20"/>
          <w:szCs w:val="20"/>
          <w:lang w:val="en-US"/>
        </w:rPr>
        <w:t xml:space="preserve"> of trust</w:t>
      </w:r>
      <w:r w:rsidRPr="00785D06">
        <w:rPr>
          <w:sz w:val="20"/>
          <w:szCs w:val="20"/>
          <w:lang w:val="en-US"/>
        </w:rPr>
        <w:t xml:space="preserve"> </w:t>
      </w:r>
      <w:r w:rsidR="008F2423" w:rsidRPr="00785D06">
        <w:rPr>
          <w:sz w:val="20"/>
          <w:szCs w:val="20"/>
          <w:lang w:val="en-US"/>
        </w:rPr>
        <w:t xml:space="preserve">in order </w:t>
      </w:r>
      <w:r w:rsidRPr="00785D06">
        <w:rPr>
          <w:sz w:val="20"/>
          <w:szCs w:val="20"/>
          <w:lang w:val="en-US"/>
        </w:rPr>
        <w:t xml:space="preserve">to normalize acts that were improper and </w:t>
      </w:r>
      <w:r w:rsidR="008F2423" w:rsidRPr="00785D06">
        <w:rPr>
          <w:sz w:val="20"/>
          <w:szCs w:val="20"/>
          <w:lang w:val="en-US"/>
        </w:rPr>
        <w:t xml:space="preserve">injurious </w:t>
      </w:r>
      <w:r w:rsidRPr="00785D06">
        <w:rPr>
          <w:sz w:val="20"/>
          <w:szCs w:val="20"/>
          <w:lang w:val="en-US"/>
        </w:rPr>
        <w:t xml:space="preserve">to the </w:t>
      </w:r>
      <w:r w:rsidR="008F2423" w:rsidRPr="00785D06">
        <w:rPr>
          <w:sz w:val="20"/>
          <w:szCs w:val="20"/>
          <w:lang w:val="en-US"/>
        </w:rPr>
        <w:t xml:space="preserve">adolescent’s </w:t>
      </w:r>
      <w:r w:rsidRPr="00785D06">
        <w:rPr>
          <w:sz w:val="20"/>
          <w:szCs w:val="20"/>
          <w:lang w:val="en-US"/>
        </w:rPr>
        <w:t>rights</w:t>
      </w:r>
      <w:r w:rsidR="008F2423" w:rsidRPr="00785D06">
        <w:rPr>
          <w:sz w:val="20"/>
          <w:szCs w:val="20"/>
          <w:lang w:val="en-US"/>
        </w:rPr>
        <w:t>.</w:t>
      </w:r>
      <w:r w:rsidRPr="00785D06">
        <w:rPr>
          <w:rStyle w:val="Refdenotaalpie"/>
          <w:sz w:val="20"/>
          <w:szCs w:val="20"/>
          <w:lang w:val="en-US"/>
        </w:rPr>
        <w:footnoteReference w:id="129"/>
      </w:r>
      <w:r w:rsidRPr="00785D06">
        <w:rPr>
          <w:sz w:val="20"/>
          <w:szCs w:val="20"/>
          <w:lang w:val="en-US"/>
        </w:rPr>
        <w:t xml:space="preserve"> </w:t>
      </w:r>
    </w:p>
    <w:p w14:paraId="40934A6D" w14:textId="77777777" w:rsidR="00C254BF" w:rsidRPr="00785D06" w:rsidRDefault="00C254BF" w:rsidP="00C254BF">
      <w:pPr>
        <w:pStyle w:val="Prrafodelista"/>
        <w:rPr>
          <w:lang w:val="en-US"/>
        </w:rPr>
      </w:pPr>
    </w:p>
    <w:p w14:paraId="6D9B1F5F"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In this regard, the expert </w:t>
      </w:r>
      <w:r w:rsidR="005A03C1" w:rsidRPr="00785D06">
        <w:rPr>
          <w:sz w:val="20"/>
          <w:szCs w:val="20"/>
          <w:lang w:val="en-US"/>
        </w:rPr>
        <w:t xml:space="preserve">witness </w:t>
      </w:r>
      <w:r w:rsidRPr="00785D06">
        <w:rPr>
          <w:sz w:val="20"/>
          <w:szCs w:val="20"/>
          <w:lang w:val="en-US"/>
        </w:rPr>
        <w:t xml:space="preserve">Casas indicated that the promise to </w:t>
      </w:r>
      <w:r w:rsidR="003E6F1A" w:rsidRPr="00785D06">
        <w:rPr>
          <w:sz w:val="20"/>
          <w:szCs w:val="20"/>
          <w:lang w:val="en-US"/>
        </w:rPr>
        <w:t xml:space="preserve">help Paola </w:t>
      </w:r>
      <w:r w:rsidR="003673FE" w:rsidRPr="00785D06">
        <w:rPr>
          <w:sz w:val="20"/>
          <w:szCs w:val="20"/>
          <w:lang w:val="en-US"/>
        </w:rPr>
        <w:t xml:space="preserve">move up to the next grade or </w:t>
      </w:r>
      <w:r w:rsidR="006B16CC" w:rsidRPr="00785D06">
        <w:rPr>
          <w:sz w:val="20"/>
          <w:szCs w:val="20"/>
          <w:lang w:val="en-US"/>
        </w:rPr>
        <w:t>“</w:t>
      </w:r>
      <w:r w:rsidRPr="00785D06">
        <w:rPr>
          <w:sz w:val="20"/>
          <w:szCs w:val="20"/>
          <w:lang w:val="en-US"/>
        </w:rPr>
        <w:t>pass the year</w:t>
      </w:r>
      <w:r w:rsidR="006B16CC" w:rsidRPr="00785D06">
        <w:rPr>
          <w:sz w:val="20"/>
          <w:szCs w:val="20"/>
          <w:lang w:val="en-US"/>
        </w:rPr>
        <w:t>”</w:t>
      </w:r>
      <w:r w:rsidRPr="00785D06">
        <w:rPr>
          <w:sz w:val="20"/>
          <w:szCs w:val="20"/>
          <w:lang w:val="en-US"/>
        </w:rPr>
        <w:t xml:space="preserve"> </w:t>
      </w:r>
    </w:p>
    <w:p w14:paraId="730F6F4D" w14:textId="77777777" w:rsidR="00C254BF" w:rsidRPr="00785D06" w:rsidRDefault="00C254BF" w:rsidP="00C254BF">
      <w:pPr>
        <w:pStyle w:val="Prrafodelista"/>
        <w:rPr>
          <w:sz w:val="20"/>
          <w:szCs w:val="20"/>
          <w:lang w:val="en-US"/>
        </w:rPr>
      </w:pPr>
    </w:p>
    <w:p w14:paraId="322DDD7A" w14:textId="77777777" w:rsidR="00C254BF" w:rsidRPr="00785D06" w:rsidRDefault="003673FE" w:rsidP="00C254BF">
      <w:pPr>
        <w:pStyle w:val="Prrafodelista"/>
        <w:ind w:left="284" w:right="333"/>
        <w:contextualSpacing w:val="0"/>
        <w:jc w:val="both"/>
        <w:rPr>
          <w:lang w:val="en-US"/>
        </w:rPr>
      </w:pPr>
      <w:r w:rsidRPr="00785D06">
        <w:rPr>
          <w:lang w:val="en-US"/>
        </w:rPr>
        <w:t>o</w:t>
      </w:r>
      <w:r w:rsidR="00C254BF" w:rsidRPr="00785D06">
        <w:rPr>
          <w:lang w:val="en-US"/>
        </w:rPr>
        <w:t>perates as a form of “grooming</w:t>
      </w:r>
      <w:r w:rsidRPr="00785D06">
        <w:rPr>
          <w:lang w:val="en-US"/>
        </w:rPr>
        <w:t>,”</w:t>
      </w:r>
      <w:r w:rsidR="00C254BF" w:rsidRPr="00785D06">
        <w:rPr>
          <w:lang w:val="en-US"/>
        </w:rPr>
        <w:t xml:space="preserve"> a certain preparation […] to create conditions </w:t>
      </w:r>
      <w:r w:rsidR="005A03C1" w:rsidRPr="00785D06">
        <w:rPr>
          <w:lang w:val="en-US"/>
        </w:rPr>
        <w:t>for an emotional and a</w:t>
      </w:r>
      <w:r w:rsidR="00C254BF" w:rsidRPr="00785D06">
        <w:rPr>
          <w:lang w:val="en-US"/>
        </w:rPr>
        <w:t xml:space="preserve">ffective closeness, in </w:t>
      </w:r>
      <w:r w:rsidR="005A03C1" w:rsidRPr="00785D06">
        <w:rPr>
          <w:lang w:val="en-US"/>
        </w:rPr>
        <w:t>which the public official – the teacher –</w:t>
      </w:r>
      <w:r w:rsidR="00C254BF" w:rsidRPr="00785D06">
        <w:rPr>
          <w:lang w:val="en-US"/>
        </w:rPr>
        <w:t xml:space="preserve"> </w:t>
      </w:r>
      <w:r w:rsidR="005A03C1" w:rsidRPr="00785D06">
        <w:rPr>
          <w:lang w:val="en-US"/>
        </w:rPr>
        <w:t xml:space="preserve">has </w:t>
      </w:r>
      <w:r w:rsidR="00C254BF" w:rsidRPr="00785D06">
        <w:rPr>
          <w:lang w:val="en-US"/>
        </w:rPr>
        <w:t xml:space="preserve">clear superiority not only because </w:t>
      </w:r>
      <w:r w:rsidRPr="00785D06">
        <w:rPr>
          <w:lang w:val="en-US"/>
        </w:rPr>
        <w:t xml:space="preserve">of </w:t>
      </w:r>
      <w:r w:rsidR="00C254BF" w:rsidRPr="00785D06">
        <w:rPr>
          <w:lang w:val="en-US"/>
        </w:rPr>
        <w:t xml:space="preserve">his position, but </w:t>
      </w:r>
      <w:r w:rsidRPr="00785D06">
        <w:rPr>
          <w:lang w:val="en-US"/>
        </w:rPr>
        <w:t>also because of his age. Paola [wa</w:t>
      </w:r>
      <w:r w:rsidR="00C254BF" w:rsidRPr="00785D06">
        <w:rPr>
          <w:lang w:val="en-US"/>
        </w:rPr>
        <w:t>s</w:t>
      </w:r>
      <w:r w:rsidRPr="00785D06">
        <w:rPr>
          <w:lang w:val="en-US"/>
        </w:rPr>
        <w:t>]</w:t>
      </w:r>
      <w:r w:rsidR="00C254BF" w:rsidRPr="00785D06">
        <w:rPr>
          <w:lang w:val="en-US"/>
        </w:rPr>
        <w:t xml:space="preserve"> his target, identified as such not only by her </w:t>
      </w:r>
      <w:r w:rsidRPr="00785D06">
        <w:rPr>
          <w:lang w:val="en-US"/>
        </w:rPr>
        <w:t xml:space="preserve">age and </w:t>
      </w:r>
      <w:r w:rsidR="00C254BF" w:rsidRPr="00785D06">
        <w:rPr>
          <w:lang w:val="en-US"/>
        </w:rPr>
        <w:t xml:space="preserve">vulnerability </w:t>
      </w:r>
      <w:r w:rsidRPr="00785D06">
        <w:rPr>
          <w:lang w:val="en-US"/>
        </w:rPr>
        <w:t xml:space="preserve">as </w:t>
      </w:r>
      <w:r w:rsidR="00C254BF" w:rsidRPr="00785D06">
        <w:rPr>
          <w:lang w:val="en-US"/>
        </w:rPr>
        <w:t>a</w:t>
      </w:r>
      <w:r w:rsidRPr="00785D06">
        <w:rPr>
          <w:lang w:val="en-US"/>
        </w:rPr>
        <w:t>n adolescent</w:t>
      </w:r>
      <w:r w:rsidR="00C254BF" w:rsidRPr="00785D06">
        <w:rPr>
          <w:lang w:val="en-US"/>
        </w:rPr>
        <w:t xml:space="preserve"> girl but </w:t>
      </w:r>
      <w:r w:rsidR="00682841" w:rsidRPr="00785D06">
        <w:rPr>
          <w:lang w:val="en-US"/>
        </w:rPr>
        <w:t xml:space="preserve">specifically </w:t>
      </w:r>
      <w:r w:rsidR="00C254BF" w:rsidRPr="00785D06">
        <w:rPr>
          <w:lang w:val="en-US"/>
        </w:rPr>
        <w:t>b</w:t>
      </w:r>
      <w:r w:rsidR="005A03C1" w:rsidRPr="00785D06">
        <w:rPr>
          <w:lang w:val="en-US"/>
        </w:rPr>
        <w:t xml:space="preserve">ecause she </w:t>
      </w:r>
      <w:r w:rsidR="003E6F1A" w:rsidRPr="00785D06">
        <w:rPr>
          <w:lang w:val="en-US"/>
        </w:rPr>
        <w:t xml:space="preserve">had a </w:t>
      </w:r>
      <w:r w:rsidR="005A03C1" w:rsidRPr="00785D06">
        <w:rPr>
          <w:lang w:val="en-US"/>
        </w:rPr>
        <w:t xml:space="preserve">poor (academic) </w:t>
      </w:r>
      <w:r w:rsidR="00C254BF" w:rsidRPr="00785D06">
        <w:rPr>
          <w:lang w:val="en-US"/>
        </w:rPr>
        <w:t>performance. […</w:t>
      </w:r>
      <w:r w:rsidR="00C278BC" w:rsidRPr="00785D06">
        <w:rPr>
          <w:lang w:val="en-US"/>
        </w:rPr>
        <w:t>T]hese p</w:t>
      </w:r>
      <w:r w:rsidR="00C254BF" w:rsidRPr="00785D06">
        <w:rPr>
          <w:lang w:val="en-US"/>
        </w:rPr>
        <w:t xml:space="preserve">romises can </w:t>
      </w:r>
      <w:r w:rsidR="00C278BC" w:rsidRPr="00785D06">
        <w:rPr>
          <w:lang w:val="en-US"/>
        </w:rPr>
        <w:t xml:space="preserve">turn into </w:t>
      </w:r>
      <w:r w:rsidR="00C254BF" w:rsidRPr="00785D06">
        <w:rPr>
          <w:lang w:val="en-US"/>
        </w:rPr>
        <w:t>blackmail, “you give me</w:t>
      </w:r>
      <w:r w:rsidR="00682841" w:rsidRPr="00785D06">
        <w:rPr>
          <w:lang w:val="en-US"/>
        </w:rPr>
        <w:t xml:space="preserve"> something</w:t>
      </w:r>
      <w:r w:rsidR="00C254BF" w:rsidRPr="00785D06">
        <w:rPr>
          <w:lang w:val="en-US"/>
        </w:rPr>
        <w:t>, I give you</w:t>
      </w:r>
      <w:r w:rsidR="00682841" w:rsidRPr="00785D06">
        <w:rPr>
          <w:lang w:val="en-US"/>
        </w:rPr>
        <w:t xml:space="preserve"> something</w:t>
      </w:r>
      <w:r w:rsidR="00C278BC" w:rsidRPr="00785D06">
        <w:rPr>
          <w:lang w:val="en-US"/>
        </w:rPr>
        <w:t>,”</w:t>
      </w:r>
      <w:r w:rsidR="00C254BF" w:rsidRPr="00785D06">
        <w:rPr>
          <w:lang w:val="en-US"/>
        </w:rPr>
        <w:t xml:space="preserve"> in a conte</w:t>
      </w:r>
      <w:r w:rsidR="00C278BC" w:rsidRPr="00785D06">
        <w:rPr>
          <w:lang w:val="en-US"/>
        </w:rPr>
        <w:t xml:space="preserve">xt of </w:t>
      </w:r>
      <w:r w:rsidR="00E755A3" w:rsidRPr="00785D06">
        <w:rPr>
          <w:lang w:val="en-US"/>
        </w:rPr>
        <w:t xml:space="preserve">sexual harassment by </w:t>
      </w:r>
      <w:r w:rsidR="00C254BF" w:rsidRPr="00785D06">
        <w:rPr>
          <w:lang w:val="en-US"/>
        </w:rPr>
        <w:t xml:space="preserve">deception. </w:t>
      </w:r>
    </w:p>
    <w:p w14:paraId="24965894" w14:textId="77777777" w:rsidR="00C254BF" w:rsidRPr="00785D06" w:rsidRDefault="00C254BF" w:rsidP="00C254BF">
      <w:pPr>
        <w:pStyle w:val="Prrafodelista"/>
        <w:rPr>
          <w:sz w:val="20"/>
          <w:szCs w:val="20"/>
          <w:lang w:val="en-US"/>
        </w:rPr>
      </w:pPr>
    </w:p>
    <w:p w14:paraId="36D0F5A4" w14:textId="77777777" w:rsidR="00C254BF" w:rsidRPr="00785D06" w:rsidRDefault="003673FE"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In its </w:t>
      </w:r>
      <w:r w:rsidR="00C254BF" w:rsidRPr="00785D06">
        <w:rPr>
          <w:i/>
          <w:sz w:val="20"/>
          <w:szCs w:val="20"/>
          <w:lang w:val="en-US"/>
        </w:rPr>
        <w:t>amicus curiae</w:t>
      </w:r>
      <w:r w:rsidR="00C254BF" w:rsidRPr="00785D06">
        <w:rPr>
          <w:sz w:val="20"/>
          <w:szCs w:val="20"/>
          <w:lang w:val="en-US"/>
        </w:rPr>
        <w:t xml:space="preserve"> brief</w:t>
      </w:r>
      <w:r w:rsidRPr="00785D06">
        <w:rPr>
          <w:sz w:val="20"/>
          <w:szCs w:val="20"/>
          <w:lang w:val="en-US"/>
        </w:rPr>
        <w:t>,</w:t>
      </w:r>
      <w:r w:rsidR="00C254BF" w:rsidRPr="00785D06">
        <w:rPr>
          <w:sz w:val="20"/>
          <w:szCs w:val="20"/>
          <w:lang w:val="en-US"/>
        </w:rPr>
        <w:t xml:space="preserve"> the Committee of Experts of the Follow-up Mechanism to the </w:t>
      </w:r>
      <w:r w:rsidR="00B97F8F" w:rsidRPr="00785D06">
        <w:rPr>
          <w:sz w:val="20"/>
          <w:szCs w:val="20"/>
          <w:lang w:val="en-US"/>
        </w:rPr>
        <w:t>Belém do Pará Convention</w:t>
      </w:r>
      <w:r w:rsidR="00C254BF" w:rsidRPr="00785D06">
        <w:rPr>
          <w:sz w:val="20"/>
          <w:szCs w:val="20"/>
          <w:lang w:val="en-US"/>
        </w:rPr>
        <w:t xml:space="preserve"> (MESECVI), explained that sexual harassment may </w:t>
      </w:r>
      <w:r w:rsidR="00C278BC" w:rsidRPr="00785D06">
        <w:rPr>
          <w:sz w:val="20"/>
          <w:szCs w:val="20"/>
          <w:lang w:val="en-US"/>
        </w:rPr>
        <w:t xml:space="preserve">involve </w:t>
      </w:r>
      <w:r w:rsidR="00E52247" w:rsidRPr="00785D06">
        <w:rPr>
          <w:sz w:val="20"/>
          <w:szCs w:val="20"/>
          <w:lang w:val="en-US"/>
        </w:rPr>
        <w:t xml:space="preserve">a single act or </w:t>
      </w:r>
      <w:r w:rsidR="00C254BF" w:rsidRPr="00785D06">
        <w:rPr>
          <w:sz w:val="20"/>
          <w:szCs w:val="20"/>
          <w:lang w:val="en-US"/>
        </w:rPr>
        <w:t>several</w:t>
      </w:r>
      <w:r w:rsidR="00E52247" w:rsidRPr="00785D06">
        <w:rPr>
          <w:sz w:val="20"/>
          <w:szCs w:val="20"/>
          <w:lang w:val="en-US"/>
        </w:rPr>
        <w:t xml:space="preserve"> acts</w:t>
      </w:r>
      <w:r w:rsidR="00C254BF" w:rsidRPr="00785D06">
        <w:rPr>
          <w:sz w:val="20"/>
          <w:szCs w:val="20"/>
          <w:lang w:val="en-US"/>
        </w:rPr>
        <w:t>,</w:t>
      </w:r>
      <w:r w:rsidR="00E52247" w:rsidRPr="00785D06">
        <w:rPr>
          <w:sz w:val="20"/>
          <w:szCs w:val="20"/>
          <w:lang w:val="en-US"/>
        </w:rPr>
        <w:t xml:space="preserve"> the latter being more frequent. It added</w:t>
      </w:r>
      <w:r w:rsidR="00C254BF" w:rsidRPr="00785D06">
        <w:rPr>
          <w:sz w:val="20"/>
          <w:szCs w:val="20"/>
          <w:lang w:val="en-US"/>
        </w:rPr>
        <w:t xml:space="preserve"> that “when sexual violence i</w:t>
      </w:r>
      <w:r w:rsidR="00C278BC" w:rsidRPr="00785D06">
        <w:rPr>
          <w:sz w:val="20"/>
          <w:szCs w:val="20"/>
          <w:lang w:val="en-US"/>
        </w:rPr>
        <w:t xml:space="preserve">mplies </w:t>
      </w:r>
      <w:r w:rsidR="00C254BF" w:rsidRPr="00785D06">
        <w:rPr>
          <w:sz w:val="20"/>
          <w:szCs w:val="20"/>
          <w:lang w:val="en-US"/>
        </w:rPr>
        <w:t>a series of acts</w:t>
      </w:r>
      <w:r w:rsidR="003D3B93" w:rsidRPr="00785D06">
        <w:rPr>
          <w:sz w:val="20"/>
          <w:szCs w:val="20"/>
          <w:lang w:val="en-US"/>
        </w:rPr>
        <w:t>,”</w:t>
      </w:r>
      <w:r w:rsidR="00E52247" w:rsidRPr="00785D06">
        <w:rPr>
          <w:sz w:val="20"/>
          <w:szCs w:val="20"/>
          <w:lang w:val="en-US"/>
        </w:rPr>
        <w:t xml:space="preserve"> it is common to</w:t>
      </w:r>
      <w:r w:rsidR="00C254BF" w:rsidRPr="00785D06">
        <w:rPr>
          <w:sz w:val="20"/>
          <w:szCs w:val="20"/>
          <w:lang w:val="en-US"/>
        </w:rPr>
        <w:t xml:space="preserve"> </w:t>
      </w:r>
      <w:r w:rsidR="00E52247" w:rsidRPr="00785D06">
        <w:rPr>
          <w:sz w:val="20"/>
          <w:szCs w:val="20"/>
          <w:lang w:val="en-US"/>
        </w:rPr>
        <w:t xml:space="preserve">“make the </w:t>
      </w:r>
      <w:r w:rsidR="00C254BF" w:rsidRPr="00785D06">
        <w:rPr>
          <w:sz w:val="20"/>
          <w:szCs w:val="20"/>
          <w:lang w:val="en-US"/>
        </w:rPr>
        <w:t>violence invisible</w:t>
      </w:r>
      <w:r w:rsidR="003D3B93" w:rsidRPr="00785D06">
        <w:rPr>
          <w:sz w:val="20"/>
          <w:szCs w:val="20"/>
          <w:lang w:val="en-US"/>
        </w:rPr>
        <w:t>”</w:t>
      </w:r>
      <w:r w:rsidR="00C254BF" w:rsidRPr="00785D06">
        <w:rPr>
          <w:sz w:val="20"/>
          <w:szCs w:val="20"/>
          <w:lang w:val="en-US"/>
        </w:rPr>
        <w:t xml:space="preserve"> </w:t>
      </w:r>
      <w:r w:rsidR="003D3B93" w:rsidRPr="00785D06">
        <w:rPr>
          <w:sz w:val="20"/>
          <w:szCs w:val="20"/>
          <w:lang w:val="en-US"/>
        </w:rPr>
        <w:t>and to blame</w:t>
      </w:r>
      <w:r w:rsidR="00C254BF" w:rsidRPr="00785D06">
        <w:rPr>
          <w:sz w:val="20"/>
          <w:szCs w:val="20"/>
          <w:lang w:val="en-US"/>
        </w:rPr>
        <w:t xml:space="preserve"> the </w:t>
      </w:r>
      <w:r w:rsidR="003D3B93" w:rsidRPr="00785D06">
        <w:rPr>
          <w:sz w:val="20"/>
          <w:szCs w:val="20"/>
          <w:lang w:val="en-US"/>
        </w:rPr>
        <w:t xml:space="preserve">victims </w:t>
      </w:r>
      <w:r w:rsidR="00E52247" w:rsidRPr="00785D06">
        <w:rPr>
          <w:sz w:val="20"/>
          <w:szCs w:val="20"/>
          <w:lang w:val="en-US"/>
        </w:rPr>
        <w:t>–</w:t>
      </w:r>
      <w:r w:rsidR="003D3B93" w:rsidRPr="00785D06">
        <w:rPr>
          <w:sz w:val="20"/>
          <w:szCs w:val="20"/>
          <w:lang w:val="en-US"/>
        </w:rPr>
        <w:t xml:space="preserve"> </w:t>
      </w:r>
      <w:r w:rsidR="00E52247" w:rsidRPr="00785D06">
        <w:rPr>
          <w:sz w:val="20"/>
          <w:szCs w:val="20"/>
          <w:lang w:val="en-US"/>
        </w:rPr>
        <w:t>the women or</w:t>
      </w:r>
      <w:r w:rsidR="00C254BF" w:rsidRPr="00785D06">
        <w:rPr>
          <w:sz w:val="20"/>
          <w:szCs w:val="20"/>
          <w:lang w:val="en-US"/>
        </w:rPr>
        <w:t xml:space="preserve"> girls</w:t>
      </w:r>
      <w:r w:rsidR="003D3B93" w:rsidRPr="00785D06">
        <w:rPr>
          <w:sz w:val="20"/>
          <w:szCs w:val="20"/>
          <w:lang w:val="en-US"/>
        </w:rPr>
        <w:t xml:space="preserve"> –</w:t>
      </w:r>
      <w:r w:rsidR="00C254BF" w:rsidRPr="00785D06">
        <w:rPr>
          <w:sz w:val="20"/>
          <w:szCs w:val="20"/>
          <w:lang w:val="en-US"/>
        </w:rPr>
        <w:t xml:space="preserve"> </w:t>
      </w:r>
      <w:r w:rsidR="003D3B93" w:rsidRPr="00785D06">
        <w:rPr>
          <w:sz w:val="20"/>
          <w:szCs w:val="20"/>
          <w:lang w:val="en-US"/>
        </w:rPr>
        <w:t xml:space="preserve">for </w:t>
      </w:r>
      <w:r w:rsidR="00C254BF" w:rsidRPr="00785D06">
        <w:rPr>
          <w:sz w:val="20"/>
          <w:szCs w:val="20"/>
          <w:lang w:val="en-US"/>
        </w:rPr>
        <w:t>what happens (“because of the way th</w:t>
      </w:r>
      <w:r w:rsidR="00E52247" w:rsidRPr="00785D06">
        <w:rPr>
          <w:sz w:val="20"/>
          <w:szCs w:val="20"/>
          <w:lang w:val="en-US"/>
        </w:rPr>
        <w:t>ey behave, dress, or act;</w:t>
      </w:r>
      <w:r w:rsidR="00C254BF" w:rsidRPr="00785D06">
        <w:rPr>
          <w:sz w:val="20"/>
          <w:szCs w:val="20"/>
          <w:lang w:val="en-US"/>
        </w:rPr>
        <w:t xml:space="preserve"> because </w:t>
      </w:r>
      <w:r w:rsidR="00E52247" w:rsidRPr="00785D06">
        <w:rPr>
          <w:sz w:val="20"/>
          <w:szCs w:val="20"/>
          <w:lang w:val="en-US"/>
        </w:rPr>
        <w:t>a superior-subordinate</w:t>
      </w:r>
      <w:r w:rsidR="00C254BF" w:rsidRPr="00785D06">
        <w:rPr>
          <w:sz w:val="20"/>
          <w:szCs w:val="20"/>
          <w:lang w:val="en-US"/>
        </w:rPr>
        <w:t xml:space="preserve"> </w:t>
      </w:r>
      <w:r w:rsidR="00E52247" w:rsidRPr="00785D06">
        <w:rPr>
          <w:sz w:val="20"/>
          <w:szCs w:val="20"/>
          <w:lang w:val="en-US"/>
        </w:rPr>
        <w:t xml:space="preserve">relationship exists from which they may obtain a </w:t>
      </w:r>
      <w:r w:rsidR="00C254BF" w:rsidRPr="00785D06">
        <w:rPr>
          <w:sz w:val="20"/>
          <w:szCs w:val="20"/>
          <w:lang w:val="en-US"/>
        </w:rPr>
        <w:t>personal benefit</w:t>
      </w:r>
      <w:r w:rsidR="00E52247" w:rsidRPr="00785D06">
        <w:rPr>
          <w:sz w:val="20"/>
          <w:szCs w:val="20"/>
          <w:lang w:val="en-US"/>
        </w:rPr>
        <w:t xml:space="preserve"> [,] or for</w:t>
      </w:r>
      <w:r w:rsidR="00C254BF" w:rsidRPr="00785D06">
        <w:rPr>
          <w:sz w:val="20"/>
          <w:szCs w:val="20"/>
          <w:lang w:val="en-US"/>
        </w:rPr>
        <w:t xml:space="preserve"> any other subjective </w:t>
      </w:r>
      <w:r w:rsidR="00E52247" w:rsidRPr="00785D06">
        <w:rPr>
          <w:sz w:val="20"/>
          <w:szCs w:val="20"/>
          <w:lang w:val="en-US"/>
        </w:rPr>
        <w:t>reason</w:t>
      </w:r>
      <w:r w:rsidR="00C254BF" w:rsidRPr="00785D06">
        <w:rPr>
          <w:sz w:val="20"/>
          <w:szCs w:val="20"/>
          <w:lang w:val="en-US"/>
        </w:rPr>
        <w:t>”).</w:t>
      </w:r>
    </w:p>
    <w:p w14:paraId="096C602F" w14:textId="77777777" w:rsidR="00C254BF" w:rsidRPr="00785D06" w:rsidRDefault="00C254BF" w:rsidP="00C254BF">
      <w:pPr>
        <w:pStyle w:val="Prrafodelista"/>
        <w:rPr>
          <w:sz w:val="20"/>
          <w:szCs w:val="20"/>
          <w:lang w:val="en-US"/>
        </w:rPr>
      </w:pPr>
      <w:r w:rsidRPr="00785D06">
        <w:rPr>
          <w:sz w:val="20"/>
          <w:szCs w:val="20"/>
          <w:lang w:val="en-US"/>
        </w:rPr>
        <w:tab/>
      </w:r>
    </w:p>
    <w:p w14:paraId="1DB2A91E" w14:textId="77777777" w:rsidR="00C254BF" w:rsidRPr="00785D06" w:rsidRDefault="00E11A63" w:rsidP="00C254BF">
      <w:pPr>
        <w:pStyle w:val="Prrafodelista"/>
        <w:numPr>
          <w:ilvl w:val="0"/>
          <w:numId w:val="35"/>
        </w:numPr>
        <w:ind w:left="0" w:firstLine="0"/>
        <w:contextualSpacing w:val="0"/>
        <w:jc w:val="both"/>
        <w:rPr>
          <w:sz w:val="20"/>
          <w:szCs w:val="20"/>
          <w:lang w:val="en-US"/>
        </w:rPr>
      </w:pPr>
      <w:r w:rsidRPr="00785D06">
        <w:rPr>
          <w:sz w:val="20"/>
          <w:szCs w:val="20"/>
          <w:lang w:val="en-US"/>
        </w:rPr>
        <w:t>Indeed, t</w:t>
      </w:r>
      <w:r w:rsidR="00D6589A" w:rsidRPr="00785D06">
        <w:rPr>
          <w:sz w:val="20"/>
          <w:szCs w:val="20"/>
          <w:lang w:val="en-US"/>
        </w:rPr>
        <w:t>he</w:t>
      </w:r>
      <w:r w:rsidR="00C254BF" w:rsidRPr="00785D06">
        <w:rPr>
          <w:sz w:val="20"/>
          <w:szCs w:val="20"/>
          <w:lang w:val="en-US"/>
        </w:rPr>
        <w:t xml:space="preserve"> </w:t>
      </w:r>
      <w:r w:rsidR="00C278BC" w:rsidRPr="00785D06">
        <w:rPr>
          <w:sz w:val="20"/>
          <w:szCs w:val="20"/>
          <w:lang w:val="en-US"/>
        </w:rPr>
        <w:t xml:space="preserve">facts </w:t>
      </w:r>
      <w:r w:rsidR="00D6589A" w:rsidRPr="00785D06">
        <w:rPr>
          <w:sz w:val="20"/>
          <w:szCs w:val="20"/>
          <w:lang w:val="en-US"/>
        </w:rPr>
        <w:t xml:space="preserve">of this case and the </w:t>
      </w:r>
      <w:r w:rsidR="00C254BF" w:rsidRPr="00785D06">
        <w:rPr>
          <w:sz w:val="20"/>
          <w:szCs w:val="20"/>
          <w:lang w:val="en-US"/>
        </w:rPr>
        <w:t xml:space="preserve">concepts </w:t>
      </w:r>
      <w:r w:rsidR="00C278BC" w:rsidRPr="00785D06">
        <w:rPr>
          <w:sz w:val="20"/>
          <w:szCs w:val="20"/>
          <w:lang w:val="en-US"/>
        </w:rPr>
        <w:t xml:space="preserve">mentioned previously </w:t>
      </w:r>
      <w:r w:rsidRPr="00785D06">
        <w:rPr>
          <w:sz w:val="20"/>
          <w:szCs w:val="20"/>
          <w:lang w:val="en-US"/>
        </w:rPr>
        <w:t xml:space="preserve">indicate </w:t>
      </w:r>
      <w:r w:rsidR="00C254BF" w:rsidRPr="00785D06">
        <w:rPr>
          <w:sz w:val="20"/>
          <w:szCs w:val="20"/>
          <w:lang w:val="en-US"/>
        </w:rPr>
        <w:t xml:space="preserve">that not only </w:t>
      </w:r>
      <w:r w:rsidR="002A32CE" w:rsidRPr="00785D06">
        <w:rPr>
          <w:sz w:val="20"/>
          <w:szCs w:val="20"/>
          <w:lang w:val="en-US"/>
        </w:rPr>
        <w:t xml:space="preserve">was there </w:t>
      </w:r>
      <w:r w:rsidR="00C254BF" w:rsidRPr="00785D06">
        <w:rPr>
          <w:sz w:val="20"/>
          <w:szCs w:val="20"/>
          <w:lang w:val="en-US"/>
        </w:rPr>
        <w:t xml:space="preserve">prior </w:t>
      </w:r>
      <w:r w:rsidR="00B52756" w:rsidRPr="00785D06">
        <w:rPr>
          <w:sz w:val="20"/>
          <w:szCs w:val="20"/>
          <w:lang w:val="en-US"/>
        </w:rPr>
        <w:t>sexual harassment and abuse</w:t>
      </w:r>
      <w:r w:rsidR="00C254BF" w:rsidRPr="00785D06">
        <w:rPr>
          <w:sz w:val="20"/>
          <w:szCs w:val="20"/>
          <w:lang w:val="en-US"/>
        </w:rPr>
        <w:t>, but also sexual intercourse and</w:t>
      </w:r>
      <w:r w:rsidR="00B52756" w:rsidRPr="00785D06">
        <w:rPr>
          <w:sz w:val="20"/>
          <w:szCs w:val="20"/>
          <w:lang w:val="en-US"/>
        </w:rPr>
        <w:t xml:space="preserve"> that </w:t>
      </w:r>
      <w:r w:rsidR="00D6589A" w:rsidRPr="00785D06">
        <w:rPr>
          <w:sz w:val="20"/>
          <w:szCs w:val="20"/>
          <w:lang w:val="en-US"/>
        </w:rPr>
        <w:t>th</w:t>
      </w:r>
      <w:r w:rsidR="00B52756" w:rsidRPr="00785D06">
        <w:rPr>
          <w:sz w:val="20"/>
          <w:szCs w:val="20"/>
          <w:lang w:val="en-US"/>
        </w:rPr>
        <w:t>is</w:t>
      </w:r>
      <w:r w:rsidR="00C254BF" w:rsidRPr="00785D06">
        <w:rPr>
          <w:sz w:val="20"/>
          <w:szCs w:val="20"/>
          <w:lang w:val="en-US"/>
        </w:rPr>
        <w:t xml:space="preserve"> behavior </w:t>
      </w:r>
      <w:r w:rsidR="00D6589A" w:rsidRPr="00785D06">
        <w:rPr>
          <w:sz w:val="20"/>
          <w:szCs w:val="20"/>
          <w:lang w:val="en-US"/>
        </w:rPr>
        <w:t xml:space="preserve">occurred over a period of </w:t>
      </w:r>
      <w:r w:rsidR="00C254BF" w:rsidRPr="00785D06">
        <w:rPr>
          <w:sz w:val="20"/>
          <w:szCs w:val="20"/>
          <w:lang w:val="en-US"/>
        </w:rPr>
        <w:t>time (</w:t>
      </w:r>
      <w:r w:rsidR="00C254BF" w:rsidRPr="00785D06">
        <w:rPr>
          <w:i/>
          <w:sz w:val="20"/>
          <w:szCs w:val="20"/>
          <w:lang w:val="en-US"/>
        </w:rPr>
        <w:t xml:space="preserve">supra </w:t>
      </w:r>
      <w:r w:rsidR="00C254BF" w:rsidRPr="00785D06">
        <w:rPr>
          <w:sz w:val="20"/>
          <w:szCs w:val="20"/>
          <w:lang w:val="en-US"/>
        </w:rPr>
        <w:t xml:space="preserve">para. 122), </w:t>
      </w:r>
      <w:r w:rsidR="002A32CE" w:rsidRPr="00785D06">
        <w:rPr>
          <w:sz w:val="20"/>
          <w:szCs w:val="20"/>
          <w:lang w:val="en-US"/>
        </w:rPr>
        <w:t xml:space="preserve">involving </w:t>
      </w:r>
      <w:r w:rsidR="00C254BF" w:rsidRPr="00785D06">
        <w:rPr>
          <w:sz w:val="20"/>
          <w:szCs w:val="20"/>
          <w:lang w:val="en-US"/>
        </w:rPr>
        <w:t>the continuity or reiteration of serious acts of sexual violence</w:t>
      </w:r>
      <w:r w:rsidR="009F758D" w:rsidRPr="00785D06">
        <w:rPr>
          <w:sz w:val="20"/>
          <w:szCs w:val="20"/>
          <w:lang w:val="en-US"/>
        </w:rPr>
        <w:t>.</w:t>
      </w:r>
      <w:r w:rsidR="00C254BF" w:rsidRPr="00785D06">
        <w:rPr>
          <w:rStyle w:val="Refdenotaalpie"/>
          <w:sz w:val="20"/>
          <w:szCs w:val="20"/>
          <w:lang w:val="en-US"/>
        </w:rPr>
        <w:footnoteReference w:id="130"/>
      </w:r>
    </w:p>
    <w:p w14:paraId="6A0EA6A8" w14:textId="77777777" w:rsidR="00C254BF" w:rsidRPr="00785D06" w:rsidRDefault="00C254BF" w:rsidP="00C254BF">
      <w:pPr>
        <w:pStyle w:val="Prrafodelista"/>
        <w:rPr>
          <w:sz w:val="20"/>
          <w:szCs w:val="20"/>
          <w:lang w:val="en-US"/>
        </w:rPr>
      </w:pPr>
    </w:p>
    <w:p w14:paraId="4F1C752A" w14:textId="77777777" w:rsidR="00C254BF" w:rsidRPr="00785D06" w:rsidRDefault="00B52756" w:rsidP="00C254BF">
      <w:pPr>
        <w:pStyle w:val="Prrafodelista"/>
        <w:numPr>
          <w:ilvl w:val="0"/>
          <w:numId w:val="35"/>
        </w:numPr>
        <w:ind w:left="0" w:firstLine="0"/>
        <w:contextualSpacing w:val="0"/>
        <w:jc w:val="both"/>
        <w:rPr>
          <w:sz w:val="20"/>
          <w:szCs w:val="20"/>
          <w:lang w:val="en-US"/>
        </w:rPr>
      </w:pPr>
      <w:r w:rsidRPr="00785D06">
        <w:rPr>
          <w:sz w:val="20"/>
          <w:szCs w:val="20"/>
          <w:lang w:val="en-US"/>
        </w:rPr>
        <w:t>Furt</w:t>
      </w:r>
      <w:r w:rsidR="00C45962" w:rsidRPr="00785D06">
        <w:rPr>
          <w:sz w:val="20"/>
          <w:szCs w:val="20"/>
          <w:lang w:val="en-US"/>
        </w:rPr>
        <w:t>hermore, these</w:t>
      </w:r>
      <w:r w:rsidRPr="00785D06">
        <w:rPr>
          <w:sz w:val="20"/>
          <w:szCs w:val="20"/>
          <w:lang w:val="en-US"/>
        </w:rPr>
        <w:t xml:space="preserve"> acts</w:t>
      </w:r>
      <w:r w:rsidR="00C254BF" w:rsidRPr="00785D06">
        <w:rPr>
          <w:sz w:val="20"/>
          <w:szCs w:val="20"/>
          <w:lang w:val="en-US"/>
        </w:rPr>
        <w:t xml:space="preserve"> occurred in a context in which Paola’s vuln</w:t>
      </w:r>
      <w:r w:rsidRPr="00785D06">
        <w:rPr>
          <w:sz w:val="20"/>
          <w:szCs w:val="20"/>
          <w:lang w:val="en-US"/>
        </w:rPr>
        <w:t>erability as an adolescent girl was heightened by a situation</w:t>
      </w:r>
      <w:r w:rsidR="005F371A" w:rsidRPr="00785D06">
        <w:rPr>
          <w:sz w:val="20"/>
          <w:szCs w:val="20"/>
          <w:lang w:val="en-US"/>
        </w:rPr>
        <w:t>, which was not</w:t>
      </w:r>
      <w:r w:rsidRPr="00785D06">
        <w:rPr>
          <w:sz w:val="20"/>
          <w:szCs w:val="20"/>
          <w:lang w:val="en-US"/>
        </w:rPr>
        <w:t xml:space="preserve"> exceptional</w:t>
      </w:r>
      <w:r w:rsidR="005F371A" w:rsidRPr="00785D06">
        <w:rPr>
          <w:sz w:val="20"/>
          <w:szCs w:val="20"/>
          <w:lang w:val="en-US"/>
        </w:rPr>
        <w:t>,</w:t>
      </w:r>
      <w:r w:rsidR="00C254BF" w:rsidRPr="00785D06">
        <w:rPr>
          <w:sz w:val="20"/>
          <w:szCs w:val="20"/>
          <w:lang w:val="en-US"/>
        </w:rPr>
        <w:t xml:space="preserve"> of </w:t>
      </w:r>
      <w:r w:rsidRPr="00785D06">
        <w:rPr>
          <w:sz w:val="20"/>
          <w:szCs w:val="20"/>
          <w:lang w:val="en-US"/>
        </w:rPr>
        <w:t>a</w:t>
      </w:r>
      <w:r w:rsidR="005F371A" w:rsidRPr="00785D06">
        <w:rPr>
          <w:sz w:val="20"/>
          <w:szCs w:val="20"/>
          <w:lang w:val="en-US"/>
        </w:rPr>
        <w:t xml:space="preserve"> lack </w:t>
      </w:r>
      <w:r w:rsidR="00C254BF" w:rsidRPr="00785D06">
        <w:rPr>
          <w:sz w:val="20"/>
          <w:szCs w:val="20"/>
          <w:lang w:val="en-US"/>
        </w:rPr>
        <w:t xml:space="preserve">of effective actions to prevent sexual violence in schools and </w:t>
      </w:r>
      <w:r w:rsidR="005F371A" w:rsidRPr="00785D06">
        <w:rPr>
          <w:sz w:val="20"/>
          <w:szCs w:val="20"/>
          <w:lang w:val="en-US"/>
        </w:rPr>
        <w:t xml:space="preserve">address </w:t>
      </w:r>
      <w:r w:rsidR="00C254BF" w:rsidRPr="00785D06">
        <w:rPr>
          <w:sz w:val="20"/>
          <w:szCs w:val="20"/>
          <w:lang w:val="en-US"/>
        </w:rPr>
        <w:t xml:space="preserve">institutional tolerance. </w:t>
      </w:r>
    </w:p>
    <w:p w14:paraId="11C7A8F2" w14:textId="77777777" w:rsidR="00C254BF" w:rsidRPr="00785D06" w:rsidRDefault="00C254BF" w:rsidP="00C254BF">
      <w:pPr>
        <w:pStyle w:val="Prrafodelista"/>
        <w:ind w:left="0"/>
        <w:contextualSpacing w:val="0"/>
        <w:jc w:val="both"/>
        <w:rPr>
          <w:sz w:val="20"/>
          <w:szCs w:val="20"/>
          <w:lang w:val="en-US"/>
        </w:rPr>
      </w:pPr>
    </w:p>
    <w:p w14:paraId="33A919D7" w14:textId="77777777" w:rsidR="00C254BF" w:rsidRPr="00785D06" w:rsidRDefault="00B52756" w:rsidP="00C254BF">
      <w:pPr>
        <w:pStyle w:val="Prrafodelista"/>
        <w:numPr>
          <w:ilvl w:val="0"/>
          <w:numId w:val="35"/>
        </w:numPr>
        <w:ind w:left="0" w:firstLine="0"/>
        <w:contextualSpacing w:val="0"/>
        <w:jc w:val="both"/>
        <w:rPr>
          <w:sz w:val="20"/>
          <w:szCs w:val="20"/>
          <w:lang w:val="en-US"/>
        </w:rPr>
      </w:pPr>
      <w:r w:rsidRPr="00785D06">
        <w:rPr>
          <w:sz w:val="20"/>
          <w:szCs w:val="20"/>
          <w:lang w:val="en-US"/>
        </w:rPr>
        <w:t>I</w:t>
      </w:r>
      <w:r w:rsidR="00C254BF" w:rsidRPr="00785D06">
        <w:rPr>
          <w:sz w:val="20"/>
          <w:szCs w:val="20"/>
          <w:lang w:val="en-US"/>
        </w:rPr>
        <w:t xml:space="preserve">t has </w:t>
      </w:r>
      <w:r w:rsidRPr="00785D06">
        <w:rPr>
          <w:sz w:val="20"/>
          <w:szCs w:val="20"/>
          <w:lang w:val="en-US"/>
        </w:rPr>
        <w:t xml:space="preserve">already </w:t>
      </w:r>
      <w:r w:rsidR="00C254BF" w:rsidRPr="00785D06">
        <w:rPr>
          <w:sz w:val="20"/>
          <w:szCs w:val="20"/>
          <w:lang w:val="en-US"/>
        </w:rPr>
        <w:t xml:space="preserve">been noted that sexual harassment and abuse in </w:t>
      </w:r>
      <w:r w:rsidR="0083214B" w:rsidRPr="00785D06">
        <w:rPr>
          <w:sz w:val="20"/>
          <w:szCs w:val="20"/>
          <w:lang w:val="en-US"/>
        </w:rPr>
        <w:t xml:space="preserve">schools </w:t>
      </w:r>
      <w:r w:rsidR="00C254BF" w:rsidRPr="00785D06">
        <w:rPr>
          <w:sz w:val="20"/>
          <w:szCs w:val="20"/>
          <w:lang w:val="en-US"/>
        </w:rPr>
        <w:t>w</w:t>
      </w:r>
      <w:r w:rsidRPr="00785D06">
        <w:rPr>
          <w:sz w:val="20"/>
          <w:szCs w:val="20"/>
          <w:lang w:val="en-US"/>
        </w:rPr>
        <w:t xml:space="preserve">as </w:t>
      </w:r>
      <w:r w:rsidR="00C254BF" w:rsidRPr="00785D06">
        <w:rPr>
          <w:sz w:val="20"/>
          <w:szCs w:val="20"/>
          <w:lang w:val="en-US"/>
        </w:rPr>
        <w:t>a “known problem</w:t>
      </w:r>
      <w:r w:rsidR="00E11A63" w:rsidRPr="00785D06">
        <w:rPr>
          <w:sz w:val="20"/>
          <w:szCs w:val="20"/>
          <w:lang w:val="en-US"/>
        </w:rPr>
        <w:t>”</w:t>
      </w:r>
      <w:r w:rsidR="00C254BF" w:rsidRPr="00785D06">
        <w:rPr>
          <w:sz w:val="20"/>
          <w:szCs w:val="20"/>
          <w:lang w:val="en-US"/>
        </w:rPr>
        <w:t xml:space="preserve"> and yet</w:t>
      </w:r>
      <w:r w:rsidRPr="00785D06">
        <w:rPr>
          <w:sz w:val="20"/>
          <w:szCs w:val="20"/>
          <w:lang w:val="en-US"/>
        </w:rPr>
        <w:t>,</w:t>
      </w:r>
      <w:r w:rsidR="00C254BF" w:rsidRPr="00785D06">
        <w:rPr>
          <w:sz w:val="20"/>
          <w:szCs w:val="20"/>
          <w:lang w:val="en-US"/>
        </w:rPr>
        <w:t xml:space="preserve"> at the time of the facts, no effective measures </w:t>
      </w:r>
      <w:r w:rsidR="00C67357" w:rsidRPr="00785D06">
        <w:rPr>
          <w:sz w:val="20"/>
          <w:szCs w:val="20"/>
          <w:lang w:val="en-US"/>
        </w:rPr>
        <w:t xml:space="preserve">were </w:t>
      </w:r>
      <w:r w:rsidRPr="00785D06">
        <w:rPr>
          <w:sz w:val="20"/>
          <w:szCs w:val="20"/>
          <w:lang w:val="en-US"/>
        </w:rPr>
        <w:t>taken to prevent and punish this behavior</w:t>
      </w:r>
      <w:r w:rsidR="00C254BF" w:rsidRPr="00785D06">
        <w:rPr>
          <w:sz w:val="20"/>
          <w:szCs w:val="20"/>
          <w:lang w:val="en-US"/>
        </w:rPr>
        <w:t xml:space="preserve"> (</w:t>
      </w:r>
      <w:r w:rsidR="00C254BF" w:rsidRPr="00785D06">
        <w:rPr>
          <w:i/>
          <w:sz w:val="20"/>
          <w:szCs w:val="20"/>
          <w:lang w:val="en-US"/>
        </w:rPr>
        <w:t xml:space="preserve">supra </w:t>
      </w:r>
      <w:r w:rsidR="00C254BF" w:rsidRPr="00785D06">
        <w:rPr>
          <w:sz w:val="20"/>
          <w:szCs w:val="20"/>
          <w:lang w:val="en-US"/>
        </w:rPr>
        <w:t xml:space="preserve">paras. 44 to 47). The State </w:t>
      </w:r>
      <w:r w:rsidR="00F20D60" w:rsidRPr="00785D06">
        <w:rPr>
          <w:sz w:val="20"/>
          <w:szCs w:val="20"/>
          <w:lang w:val="en-US"/>
        </w:rPr>
        <w:t>a</w:t>
      </w:r>
      <w:r w:rsidRPr="00785D06">
        <w:rPr>
          <w:sz w:val="20"/>
          <w:szCs w:val="20"/>
          <w:lang w:val="en-US"/>
        </w:rPr>
        <w:t>lso a</w:t>
      </w:r>
      <w:r w:rsidR="00F20D60" w:rsidRPr="00785D06">
        <w:rPr>
          <w:sz w:val="20"/>
          <w:szCs w:val="20"/>
          <w:lang w:val="en-US"/>
        </w:rPr>
        <w:t xml:space="preserve">dmitted </w:t>
      </w:r>
      <w:r w:rsidRPr="00785D06">
        <w:rPr>
          <w:sz w:val="20"/>
          <w:szCs w:val="20"/>
          <w:lang w:val="en-US"/>
        </w:rPr>
        <w:t>that,</w:t>
      </w:r>
      <w:r w:rsidR="00C254BF" w:rsidRPr="00785D06">
        <w:rPr>
          <w:sz w:val="20"/>
          <w:szCs w:val="20"/>
          <w:lang w:val="en-US"/>
        </w:rPr>
        <w:t xml:space="preserve"> a</w:t>
      </w:r>
      <w:r w:rsidR="00C67357" w:rsidRPr="00785D06">
        <w:rPr>
          <w:sz w:val="20"/>
          <w:szCs w:val="20"/>
          <w:lang w:val="en-US"/>
        </w:rPr>
        <w:t>t that</w:t>
      </w:r>
      <w:r w:rsidR="00F20D60" w:rsidRPr="00785D06">
        <w:rPr>
          <w:sz w:val="20"/>
          <w:szCs w:val="20"/>
          <w:lang w:val="en-US"/>
        </w:rPr>
        <w:t xml:space="preserve"> time</w:t>
      </w:r>
      <w:r w:rsidR="00C254BF" w:rsidRPr="00785D06">
        <w:rPr>
          <w:sz w:val="20"/>
          <w:szCs w:val="20"/>
          <w:lang w:val="en-US"/>
        </w:rPr>
        <w:t xml:space="preserve">, </w:t>
      </w:r>
      <w:r w:rsidRPr="00785D06">
        <w:rPr>
          <w:sz w:val="20"/>
          <w:szCs w:val="20"/>
          <w:lang w:val="en-US"/>
        </w:rPr>
        <w:t xml:space="preserve">there were no </w:t>
      </w:r>
      <w:r w:rsidR="00C254BF" w:rsidRPr="00785D06">
        <w:rPr>
          <w:sz w:val="20"/>
          <w:szCs w:val="20"/>
          <w:lang w:val="en-US"/>
        </w:rPr>
        <w:t xml:space="preserve">adequate public policies </w:t>
      </w:r>
      <w:r w:rsidRPr="00785D06">
        <w:rPr>
          <w:sz w:val="20"/>
          <w:szCs w:val="20"/>
          <w:lang w:val="en-US"/>
        </w:rPr>
        <w:t xml:space="preserve">for </w:t>
      </w:r>
      <w:r w:rsidR="00F20D60" w:rsidRPr="00785D06">
        <w:rPr>
          <w:sz w:val="20"/>
          <w:szCs w:val="20"/>
          <w:lang w:val="en-US"/>
        </w:rPr>
        <w:t>prevent</w:t>
      </w:r>
      <w:r w:rsidRPr="00785D06">
        <w:rPr>
          <w:sz w:val="20"/>
          <w:szCs w:val="20"/>
          <w:lang w:val="en-US"/>
        </w:rPr>
        <w:t>ing</w:t>
      </w:r>
      <w:r w:rsidR="00F20D60" w:rsidRPr="00785D06">
        <w:rPr>
          <w:sz w:val="20"/>
          <w:szCs w:val="20"/>
          <w:lang w:val="en-US"/>
        </w:rPr>
        <w:t xml:space="preserve"> such </w:t>
      </w:r>
      <w:r w:rsidR="005448DF" w:rsidRPr="00785D06">
        <w:rPr>
          <w:sz w:val="20"/>
          <w:szCs w:val="20"/>
          <w:lang w:val="en-US"/>
        </w:rPr>
        <w:t xml:space="preserve">behavior or for </w:t>
      </w:r>
      <w:r w:rsidR="00C254BF" w:rsidRPr="00785D06">
        <w:rPr>
          <w:sz w:val="20"/>
          <w:szCs w:val="20"/>
          <w:lang w:val="en-US"/>
        </w:rPr>
        <w:t>reporting, investigati</w:t>
      </w:r>
      <w:r w:rsidR="00F20D60" w:rsidRPr="00785D06">
        <w:rPr>
          <w:sz w:val="20"/>
          <w:szCs w:val="20"/>
          <w:lang w:val="en-US"/>
        </w:rPr>
        <w:t xml:space="preserve">ng and punishing </w:t>
      </w:r>
      <w:r w:rsidR="00C254BF" w:rsidRPr="00785D06">
        <w:rPr>
          <w:sz w:val="20"/>
          <w:szCs w:val="20"/>
          <w:lang w:val="en-US"/>
        </w:rPr>
        <w:t>acts of sexual violence in educational institution</w:t>
      </w:r>
      <w:r w:rsidR="00F20D60" w:rsidRPr="00785D06">
        <w:rPr>
          <w:sz w:val="20"/>
          <w:szCs w:val="20"/>
          <w:lang w:val="en-US"/>
        </w:rPr>
        <w:t>s</w:t>
      </w:r>
      <w:r w:rsidR="00C254BF" w:rsidRPr="00785D06">
        <w:rPr>
          <w:sz w:val="20"/>
          <w:szCs w:val="20"/>
          <w:lang w:val="en-US"/>
        </w:rPr>
        <w:t xml:space="preserve"> (</w:t>
      </w:r>
      <w:r w:rsidR="00C254BF" w:rsidRPr="00785D06">
        <w:rPr>
          <w:i/>
          <w:sz w:val="20"/>
          <w:szCs w:val="20"/>
          <w:lang w:val="en-US"/>
        </w:rPr>
        <w:t xml:space="preserve">supra </w:t>
      </w:r>
      <w:r w:rsidR="00C254BF" w:rsidRPr="00785D06">
        <w:rPr>
          <w:sz w:val="20"/>
          <w:szCs w:val="20"/>
          <w:lang w:val="en-US"/>
        </w:rPr>
        <w:t>paras. 16, 21, 23)</w:t>
      </w:r>
      <w:r w:rsidR="0083214B" w:rsidRPr="00785D06">
        <w:rPr>
          <w:sz w:val="20"/>
          <w:szCs w:val="20"/>
          <w:lang w:val="en-US"/>
        </w:rPr>
        <w:t>.</w:t>
      </w:r>
      <w:r w:rsidR="00C254BF" w:rsidRPr="00785D06">
        <w:rPr>
          <w:rStyle w:val="Refdenotaalpie"/>
          <w:sz w:val="20"/>
          <w:szCs w:val="20"/>
          <w:lang w:val="en-US"/>
        </w:rPr>
        <w:footnoteReference w:id="131"/>
      </w:r>
    </w:p>
    <w:p w14:paraId="79512358" w14:textId="77777777" w:rsidR="00C254BF" w:rsidRPr="00785D06" w:rsidRDefault="00C254BF" w:rsidP="00C254BF">
      <w:pPr>
        <w:pStyle w:val="Prrafodelista"/>
        <w:rPr>
          <w:sz w:val="20"/>
          <w:szCs w:val="20"/>
          <w:lang w:val="en-US"/>
        </w:rPr>
      </w:pPr>
    </w:p>
    <w:p w14:paraId="38C5E9CB"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The Court </w:t>
      </w:r>
      <w:r w:rsidR="00B52756" w:rsidRPr="00785D06">
        <w:rPr>
          <w:sz w:val="20"/>
          <w:szCs w:val="20"/>
          <w:lang w:val="en-US"/>
        </w:rPr>
        <w:t xml:space="preserve">notes </w:t>
      </w:r>
      <w:r w:rsidRPr="00785D06">
        <w:rPr>
          <w:sz w:val="20"/>
          <w:szCs w:val="20"/>
          <w:lang w:val="en-US"/>
        </w:rPr>
        <w:t>that the expert witness Ximena</w:t>
      </w:r>
      <w:r w:rsidR="00F20D60" w:rsidRPr="00785D06">
        <w:rPr>
          <w:sz w:val="20"/>
          <w:szCs w:val="20"/>
          <w:lang w:val="en-US"/>
        </w:rPr>
        <w:t xml:space="preserve"> Cortés Castillo </w:t>
      </w:r>
      <w:r w:rsidR="00B52756" w:rsidRPr="00785D06">
        <w:rPr>
          <w:sz w:val="20"/>
          <w:szCs w:val="20"/>
          <w:lang w:val="en-US"/>
        </w:rPr>
        <w:t xml:space="preserve">considered </w:t>
      </w:r>
      <w:r w:rsidR="005448DF" w:rsidRPr="00785D06">
        <w:rPr>
          <w:sz w:val="20"/>
          <w:szCs w:val="20"/>
          <w:lang w:val="en-US"/>
        </w:rPr>
        <w:t xml:space="preserve">that </w:t>
      </w:r>
      <w:r w:rsidR="00F20D60" w:rsidRPr="00785D06">
        <w:rPr>
          <w:sz w:val="20"/>
          <w:szCs w:val="20"/>
          <w:lang w:val="en-US"/>
        </w:rPr>
        <w:t xml:space="preserve">Paola </w:t>
      </w:r>
      <w:r w:rsidRPr="00785D06">
        <w:rPr>
          <w:sz w:val="20"/>
          <w:szCs w:val="20"/>
          <w:lang w:val="en-US"/>
        </w:rPr>
        <w:t xml:space="preserve">belonged to a “vulnerable </w:t>
      </w:r>
      <w:r w:rsidR="006D2FEA" w:rsidRPr="00785D06">
        <w:rPr>
          <w:sz w:val="20"/>
          <w:szCs w:val="20"/>
          <w:lang w:val="en-US"/>
        </w:rPr>
        <w:t>school community” because of her</w:t>
      </w:r>
      <w:r w:rsidRPr="00785D06">
        <w:rPr>
          <w:sz w:val="20"/>
          <w:szCs w:val="20"/>
          <w:lang w:val="en-US"/>
        </w:rPr>
        <w:t xml:space="preserve"> </w:t>
      </w:r>
      <w:r w:rsidR="006D2FEA" w:rsidRPr="00785D06">
        <w:rPr>
          <w:sz w:val="20"/>
          <w:szCs w:val="20"/>
          <w:lang w:val="en-US"/>
        </w:rPr>
        <w:t xml:space="preserve">social situation and the conditions </w:t>
      </w:r>
      <w:r w:rsidR="00B52756" w:rsidRPr="00785D06">
        <w:rPr>
          <w:sz w:val="20"/>
          <w:szCs w:val="20"/>
          <w:lang w:val="en-US"/>
        </w:rPr>
        <w:t xml:space="preserve">at </w:t>
      </w:r>
      <w:r w:rsidR="00B85055" w:rsidRPr="00785D06">
        <w:rPr>
          <w:sz w:val="20"/>
          <w:szCs w:val="20"/>
          <w:lang w:val="en-US"/>
        </w:rPr>
        <w:t xml:space="preserve">her </w:t>
      </w:r>
      <w:r w:rsidRPr="00785D06">
        <w:rPr>
          <w:sz w:val="20"/>
          <w:szCs w:val="20"/>
          <w:lang w:val="en-US"/>
        </w:rPr>
        <w:t>school.</w:t>
      </w:r>
      <w:r w:rsidRPr="00785D06">
        <w:rPr>
          <w:rStyle w:val="Refdenotaalpie"/>
          <w:sz w:val="20"/>
          <w:szCs w:val="20"/>
          <w:lang w:val="en-US"/>
        </w:rPr>
        <w:footnoteReference w:id="132"/>
      </w:r>
      <w:r w:rsidRPr="00785D06">
        <w:rPr>
          <w:sz w:val="20"/>
          <w:szCs w:val="20"/>
          <w:lang w:val="en-US"/>
        </w:rPr>
        <w:t xml:space="preserve"> </w:t>
      </w:r>
      <w:r w:rsidR="00F20D60" w:rsidRPr="00785D06">
        <w:rPr>
          <w:sz w:val="20"/>
          <w:szCs w:val="20"/>
          <w:lang w:val="en-US"/>
        </w:rPr>
        <w:t xml:space="preserve">Moreover, this “school community” </w:t>
      </w:r>
      <w:r w:rsidRPr="00785D06">
        <w:rPr>
          <w:sz w:val="20"/>
          <w:szCs w:val="20"/>
          <w:lang w:val="en-US"/>
        </w:rPr>
        <w:t xml:space="preserve">tolerated the </w:t>
      </w:r>
      <w:r w:rsidR="00F20D60" w:rsidRPr="00785D06">
        <w:rPr>
          <w:sz w:val="20"/>
          <w:szCs w:val="20"/>
          <w:lang w:val="en-US"/>
        </w:rPr>
        <w:t xml:space="preserve">behavior </w:t>
      </w:r>
      <w:r w:rsidRPr="00785D06">
        <w:rPr>
          <w:sz w:val="20"/>
          <w:szCs w:val="20"/>
          <w:lang w:val="en-US"/>
        </w:rPr>
        <w:t xml:space="preserve">of the </w:t>
      </w:r>
      <w:r w:rsidR="0097298A" w:rsidRPr="00785D06">
        <w:rPr>
          <w:sz w:val="20"/>
          <w:szCs w:val="20"/>
          <w:lang w:val="en-US"/>
        </w:rPr>
        <w:t>vice principal</w:t>
      </w:r>
      <w:r w:rsidRPr="00785D06">
        <w:rPr>
          <w:sz w:val="20"/>
          <w:szCs w:val="20"/>
          <w:lang w:val="en-US"/>
        </w:rPr>
        <w:t xml:space="preserve"> </w:t>
      </w:r>
      <w:r w:rsidR="00B52756" w:rsidRPr="00785D06">
        <w:rPr>
          <w:sz w:val="20"/>
          <w:szCs w:val="20"/>
          <w:lang w:val="en-US"/>
        </w:rPr>
        <w:t xml:space="preserve">who </w:t>
      </w:r>
      <w:r w:rsidRPr="00785D06">
        <w:rPr>
          <w:sz w:val="20"/>
          <w:szCs w:val="20"/>
          <w:lang w:val="en-US"/>
        </w:rPr>
        <w:t xml:space="preserve">victimized Paola. </w:t>
      </w:r>
      <w:r w:rsidR="00B85055" w:rsidRPr="00785D06">
        <w:rPr>
          <w:sz w:val="20"/>
          <w:szCs w:val="20"/>
          <w:lang w:val="en-US"/>
        </w:rPr>
        <w:t xml:space="preserve">Consistent </w:t>
      </w:r>
      <w:r w:rsidRPr="00785D06">
        <w:rPr>
          <w:sz w:val="20"/>
          <w:szCs w:val="20"/>
          <w:lang w:val="en-US"/>
        </w:rPr>
        <w:t>with the situation described above (</w:t>
      </w:r>
      <w:r w:rsidRPr="00785D06">
        <w:rPr>
          <w:i/>
          <w:sz w:val="20"/>
          <w:szCs w:val="20"/>
          <w:lang w:val="en-US"/>
        </w:rPr>
        <w:t xml:space="preserve">supra </w:t>
      </w:r>
      <w:r w:rsidRPr="00785D06">
        <w:rPr>
          <w:sz w:val="20"/>
          <w:szCs w:val="20"/>
          <w:lang w:val="en-US"/>
        </w:rPr>
        <w:t xml:space="preserve">paras. 135 and 136), the Court </w:t>
      </w:r>
      <w:r w:rsidR="00B85055" w:rsidRPr="00785D06">
        <w:rPr>
          <w:sz w:val="20"/>
          <w:szCs w:val="20"/>
          <w:lang w:val="en-US"/>
        </w:rPr>
        <w:t xml:space="preserve">also </w:t>
      </w:r>
      <w:r w:rsidRPr="00785D06">
        <w:rPr>
          <w:sz w:val="20"/>
          <w:szCs w:val="20"/>
          <w:lang w:val="en-US"/>
        </w:rPr>
        <w:t xml:space="preserve">notes that various </w:t>
      </w:r>
      <w:r w:rsidR="00B85055" w:rsidRPr="00785D06">
        <w:rPr>
          <w:sz w:val="20"/>
          <w:szCs w:val="20"/>
          <w:lang w:val="en-US"/>
        </w:rPr>
        <w:t xml:space="preserve">witnesses </w:t>
      </w:r>
      <w:r w:rsidRPr="00785D06">
        <w:rPr>
          <w:sz w:val="20"/>
          <w:szCs w:val="20"/>
          <w:lang w:val="en-US"/>
        </w:rPr>
        <w:t>indicate</w:t>
      </w:r>
      <w:r w:rsidR="00B85055" w:rsidRPr="00785D06">
        <w:rPr>
          <w:sz w:val="20"/>
          <w:szCs w:val="20"/>
          <w:lang w:val="en-US"/>
        </w:rPr>
        <w:t>d</w:t>
      </w:r>
      <w:r w:rsidRPr="00785D06">
        <w:rPr>
          <w:sz w:val="20"/>
          <w:szCs w:val="20"/>
          <w:lang w:val="en-US"/>
        </w:rPr>
        <w:t xml:space="preserve"> that the </w:t>
      </w:r>
      <w:r w:rsidR="00042F20" w:rsidRPr="00785D06">
        <w:rPr>
          <w:sz w:val="20"/>
          <w:szCs w:val="20"/>
          <w:lang w:val="en-US"/>
        </w:rPr>
        <w:t xml:space="preserve">abuse </w:t>
      </w:r>
      <w:r w:rsidRPr="00785D06">
        <w:rPr>
          <w:sz w:val="20"/>
          <w:szCs w:val="20"/>
          <w:lang w:val="en-US"/>
        </w:rPr>
        <w:t xml:space="preserve">suffered by Paola was not isolated, since other similar cases had </w:t>
      </w:r>
      <w:r w:rsidR="00B85055" w:rsidRPr="00785D06">
        <w:rPr>
          <w:sz w:val="20"/>
          <w:szCs w:val="20"/>
          <w:lang w:val="en-US"/>
        </w:rPr>
        <w:t xml:space="preserve">occurred at </w:t>
      </w:r>
      <w:r w:rsidRPr="00785D06">
        <w:rPr>
          <w:sz w:val="20"/>
          <w:szCs w:val="20"/>
          <w:lang w:val="en-US"/>
        </w:rPr>
        <w:t xml:space="preserve">the school, and that the school’s staff, including the principal, knew about Paola’s relationship with the </w:t>
      </w:r>
      <w:r w:rsidR="0097298A" w:rsidRPr="00785D06">
        <w:rPr>
          <w:sz w:val="20"/>
          <w:szCs w:val="20"/>
          <w:lang w:val="en-US"/>
        </w:rPr>
        <w:t>vice principal</w:t>
      </w:r>
      <w:r w:rsidRPr="00785D06">
        <w:rPr>
          <w:sz w:val="20"/>
          <w:szCs w:val="20"/>
          <w:lang w:val="en-US"/>
        </w:rPr>
        <w:t>, or of its possib</w:t>
      </w:r>
      <w:r w:rsidR="00B85055" w:rsidRPr="00785D06">
        <w:rPr>
          <w:sz w:val="20"/>
          <w:szCs w:val="20"/>
          <w:lang w:val="en-US"/>
        </w:rPr>
        <w:t>le existence</w:t>
      </w:r>
      <w:r w:rsidRPr="00785D06">
        <w:rPr>
          <w:sz w:val="20"/>
          <w:szCs w:val="20"/>
          <w:lang w:val="en-US"/>
        </w:rPr>
        <w:t xml:space="preserve"> (</w:t>
      </w:r>
      <w:r w:rsidRPr="00785D06">
        <w:rPr>
          <w:i/>
          <w:sz w:val="20"/>
          <w:szCs w:val="20"/>
          <w:lang w:val="en-US"/>
        </w:rPr>
        <w:t>supra</w:t>
      </w:r>
      <w:r w:rsidRPr="00785D06">
        <w:rPr>
          <w:sz w:val="20"/>
          <w:szCs w:val="20"/>
          <w:lang w:val="en-US"/>
        </w:rPr>
        <w:t xml:space="preserve"> paras. 50 and 51). However, there is no evidence t</w:t>
      </w:r>
      <w:r w:rsidR="00B85055" w:rsidRPr="00785D06">
        <w:rPr>
          <w:sz w:val="20"/>
          <w:szCs w:val="20"/>
          <w:lang w:val="en-US"/>
        </w:rPr>
        <w:t>o suggest t</w:t>
      </w:r>
      <w:r w:rsidRPr="00785D06">
        <w:rPr>
          <w:sz w:val="20"/>
          <w:szCs w:val="20"/>
          <w:lang w:val="en-US"/>
        </w:rPr>
        <w:t xml:space="preserve">hat any action was taken to </w:t>
      </w:r>
      <w:r w:rsidR="00E1422D" w:rsidRPr="00785D06">
        <w:rPr>
          <w:sz w:val="20"/>
          <w:szCs w:val="20"/>
          <w:lang w:val="en-US"/>
        </w:rPr>
        <w:t xml:space="preserve">report </w:t>
      </w:r>
      <w:r w:rsidRPr="00785D06">
        <w:rPr>
          <w:sz w:val="20"/>
          <w:szCs w:val="20"/>
          <w:lang w:val="en-US"/>
        </w:rPr>
        <w:t>th</w:t>
      </w:r>
      <w:r w:rsidR="00B85055" w:rsidRPr="00785D06">
        <w:rPr>
          <w:sz w:val="20"/>
          <w:szCs w:val="20"/>
          <w:lang w:val="en-US"/>
        </w:rPr>
        <w:t>at</w:t>
      </w:r>
      <w:r w:rsidR="00E1422D" w:rsidRPr="00785D06">
        <w:rPr>
          <w:sz w:val="20"/>
          <w:szCs w:val="20"/>
          <w:lang w:val="en-US"/>
        </w:rPr>
        <w:t xml:space="preserve"> situation</w:t>
      </w:r>
      <w:r w:rsidRPr="00785D06">
        <w:rPr>
          <w:sz w:val="20"/>
          <w:szCs w:val="20"/>
          <w:lang w:val="en-US"/>
        </w:rPr>
        <w:t xml:space="preserve"> </w:t>
      </w:r>
      <w:r w:rsidR="00042F20" w:rsidRPr="00785D06">
        <w:rPr>
          <w:sz w:val="20"/>
          <w:szCs w:val="20"/>
          <w:lang w:val="en-US"/>
        </w:rPr>
        <w:t xml:space="preserve">or </w:t>
      </w:r>
      <w:r w:rsidRPr="00785D06">
        <w:rPr>
          <w:sz w:val="20"/>
          <w:szCs w:val="20"/>
          <w:lang w:val="en-US"/>
        </w:rPr>
        <w:t xml:space="preserve">to prevent its continuation or the consummation of acts injurious to the </w:t>
      </w:r>
      <w:r w:rsidR="00E1422D" w:rsidRPr="00785D06">
        <w:rPr>
          <w:sz w:val="20"/>
          <w:szCs w:val="20"/>
          <w:lang w:val="en-US"/>
        </w:rPr>
        <w:t xml:space="preserve">girl’s </w:t>
      </w:r>
      <w:r w:rsidRPr="00785D06">
        <w:rPr>
          <w:sz w:val="20"/>
          <w:szCs w:val="20"/>
          <w:lang w:val="en-US"/>
        </w:rPr>
        <w:t xml:space="preserve">rights. </w:t>
      </w:r>
      <w:r w:rsidR="004D56C4" w:rsidRPr="00785D06">
        <w:rPr>
          <w:sz w:val="20"/>
          <w:szCs w:val="20"/>
          <w:lang w:val="en-US"/>
        </w:rPr>
        <w:t xml:space="preserve">This, </w:t>
      </w:r>
      <w:r w:rsidRPr="00785D06">
        <w:rPr>
          <w:sz w:val="20"/>
          <w:szCs w:val="20"/>
          <w:lang w:val="en-US"/>
        </w:rPr>
        <w:t xml:space="preserve">despite the fact that the </w:t>
      </w:r>
      <w:r w:rsidR="0097298A" w:rsidRPr="00785D06">
        <w:rPr>
          <w:sz w:val="20"/>
          <w:szCs w:val="20"/>
          <w:lang w:val="en-US"/>
        </w:rPr>
        <w:t>vice principal</w:t>
      </w:r>
      <w:r w:rsidR="004D56C4" w:rsidRPr="00785D06">
        <w:rPr>
          <w:sz w:val="20"/>
          <w:szCs w:val="20"/>
          <w:lang w:val="en-US"/>
        </w:rPr>
        <w:t>’s conduct</w:t>
      </w:r>
      <w:r w:rsidRPr="00785D06">
        <w:rPr>
          <w:sz w:val="20"/>
          <w:szCs w:val="20"/>
          <w:lang w:val="en-US"/>
        </w:rPr>
        <w:t xml:space="preserve"> </w:t>
      </w:r>
      <w:r w:rsidR="004D56C4" w:rsidRPr="00785D06">
        <w:rPr>
          <w:sz w:val="20"/>
          <w:szCs w:val="20"/>
          <w:lang w:val="en-US"/>
        </w:rPr>
        <w:t>would constitute an unlawful act</w:t>
      </w:r>
      <w:r w:rsidRPr="00785D06">
        <w:rPr>
          <w:sz w:val="20"/>
          <w:szCs w:val="20"/>
          <w:lang w:val="en-US"/>
        </w:rPr>
        <w:t xml:space="preserve"> as defined by the State’s legislation (</w:t>
      </w:r>
      <w:r w:rsidRPr="00785D06">
        <w:rPr>
          <w:i/>
          <w:sz w:val="20"/>
          <w:szCs w:val="20"/>
          <w:lang w:val="en-US"/>
        </w:rPr>
        <w:t xml:space="preserve">supra </w:t>
      </w:r>
      <w:r w:rsidRPr="00785D06">
        <w:rPr>
          <w:sz w:val="20"/>
          <w:szCs w:val="20"/>
          <w:lang w:val="en-US"/>
        </w:rPr>
        <w:t xml:space="preserve">para. 126). To the contrary, there are indications </w:t>
      </w:r>
      <w:r w:rsidR="00A00282" w:rsidRPr="00785D06">
        <w:rPr>
          <w:sz w:val="20"/>
          <w:szCs w:val="20"/>
          <w:lang w:val="en-US"/>
        </w:rPr>
        <w:t xml:space="preserve">of </w:t>
      </w:r>
      <w:r w:rsidR="004D56C4" w:rsidRPr="00785D06">
        <w:rPr>
          <w:sz w:val="20"/>
          <w:szCs w:val="20"/>
          <w:lang w:val="en-US"/>
        </w:rPr>
        <w:t xml:space="preserve">initial </w:t>
      </w:r>
      <w:r w:rsidR="00A00282" w:rsidRPr="00785D06">
        <w:rPr>
          <w:sz w:val="20"/>
          <w:szCs w:val="20"/>
          <w:lang w:val="en-US"/>
        </w:rPr>
        <w:t xml:space="preserve">attempts </w:t>
      </w:r>
      <w:r w:rsidR="004D56C4" w:rsidRPr="00785D06">
        <w:rPr>
          <w:sz w:val="20"/>
          <w:szCs w:val="20"/>
          <w:lang w:val="en-US"/>
        </w:rPr>
        <w:t xml:space="preserve">by </w:t>
      </w:r>
      <w:r w:rsidRPr="00785D06">
        <w:rPr>
          <w:sz w:val="20"/>
          <w:szCs w:val="20"/>
          <w:lang w:val="en-US"/>
        </w:rPr>
        <w:t xml:space="preserve">the school </w:t>
      </w:r>
      <w:r w:rsidR="00A00282" w:rsidRPr="00785D06">
        <w:rPr>
          <w:sz w:val="20"/>
          <w:szCs w:val="20"/>
          <w:lang w:val="en-US"/>
        </w:rPr>
        <w:t xml:space="preserve">to conceal </w:t>
      </w:r>
      <w:r w:rsidRPr="00785D06">
        <w:rPr>
          <w:sz w:val="20"/>
          <w:szCs w:val="20"/>
          <w:lang w:val="en-US"/>
        </w:rPr>
        <w:t>what was happening and even to blame and stigmatize Paola for it, saying that she was provoking the relations</w:t>
      </w:r>
      <w:r w:rsidR="00A00282" w:rsidRPr="00785D06">
        <w:rPr>
          <w:sz w:val="20"/>
          <w:szCs w:val="20"/>
          <w:lang w:val="en-US"/>
        </w:rPr>
        <w:t>hip</w:t>
      </w:r>
      <w:r w:rsidRPr="00785D06">
        <w:rPr>
          <w:sz w:val="20"/>
          <w:szCs w:val="20"/>
          <w:lang w:val="en-US"/>
        </w:rPr>
        <w:t xml:space="preserve"> with the </w:t>
      </w:r>
      <w:r w:rsidR="0097298A" w:rsidRPr="00785D06">
        <w:rPr>
          <w:sz w:val="20"/>
          <w:szCs w:val="20"/>
          <w:lang w:val="en-US"/>
        </w:rPr>
        <w:t>vice principal</w:t>
      </w:r>
      <w:r w:rsidR="00A00282" w:rsidRPr="00785D06">
        <w:rPr>
          <w:sz w:val="20"/>
          <w:szCs w:val="20"/>
          <w:lang w:val="en-US"/>
        </w:rPr>
        <w:t>. Also,</w:t>
      </w:r>
      <w:r w:rsidRPr="00785D06">
        <w:rPr>
          <w:sz w:val="20"/>
          <w:szCs w:val="20"/>
          <w:lang w:val="en-US"/>
        </w:rPr>
        <w:t xml:space="preserve"> after her death, </w:t>
      </w:r>
      <w:r w:rsidR="00A00282" w:rsidRPr="00785D06">
        <w:rPr>
          <w:sz w:val="20"/>
          <w:szCs w:val="20"/>
          <w:lang w:val="en-US"/>
        </w:rPr>
        <w:t xml:space="preserve">there were </w:t>
      </w:r>
      <w:r w:rsidR="005C48BC" w:rsidRPr="00785D06">
        <w:rPr>
          <w:sz w:val="20"/>
          <w:szCs w:val="20"/>
          <w:lang w:val="en-US"/>
        </w:rPr>
        <w:t xml:space="preserve">even </w:t>
      </w:r>
      <w:r w:rsidRPr="00785D06">
        <w:rPr>
          <w:sz w:val="20"/>
          <w:szCs w:val="20"/>
          <w:lang w:val="en-US"/>
        </w:rPr>
        <w:t xml:space="preserve">efforts </w:t>
      </w:r>
      <w:r w:rsidR="00A00282" w:rsidRPr="00785D06">
        <w:rPr>
          <w:sz w:val="20"/>
          <w:szCs w:val="20"/>
          <w:lang w:val="en-US"/>
        </w:rPr>
        <w:t xml:space="preserve">to ensure </w:t>
      </w:r>
      <w:r w:rsidR="005C48BC" w:rsidRPr="00785D06">
        <w:rPr>
          <w:sz w:val="20"/>
          <w:szCs w:val="20"/>
          <w:lang w:val="en-US"/>
        </w:rPr>
        <w:t xml:space="preserve">his </w:t>
      </w:r>
      <w:r w:rsidRPr="00785D06">
        <w:rPr>
          <w:sz w:val="20"/>
          <w:szCs w:val="20"/>
          <w:lang w:val="en-US"/>
        </w:rPr>
        <w:t>impunity.</w:t>
      </w:r>
      <w:r w:rsidRPr="00785D06">
        <w:rPr>
          <w:rStyle w:val="Refdenotaalpie"/>
          <w:sz w:val="20"/>
          <w:szCs w:val="20"/>
          <w:lang w:val="en-US"/>
        </w:rPr>
        <w:footnoteReference w:id="133"/>
      </w:r>
      <w:r w:rsidRPr="00785D06">
        <w:rPr>
          <w:sz w:val="20"/>
          <w:szCs w:val="20"/>
          <w:lang w:val="en-US"/>
        </w:rPr>
        <w:t xml:space="preserve"> </w:t>
      </w:r>
      <w:r w:rsidR="005C48BC" w:rsidRPr="00785D06">
        <w:rPr>
          <w:sz w:val="20"/>
          <w:szCs w:val="20"/>
          <w:lang w:val="en-US"/>
        </w:rPr>
        <w:t>A</w:t>
      </w:r>
      <w:r w:rsidR="00A00282" w:rsidRPr="00785D06">
        <w:rPr>
          <w:sz w:val="20"/>
          <w:szCs w:val="20"/>
          <w:lang w:val="en-US"/>
        </w:rPr>
        <w:t>ccording to</w:t>
      </w:r>
      <w:r w:rsidRPr="00785D06">
        <w:rPr>
          <w:sz w:val="20"/>
          <w:szCs w:val="20"/>
          <w:lang w:val="en-US"/>
        </w:rPr>
        <w:t xml:space="preserve"> </w:t>
      </w:r>
      <w:r w:rsidR="00A00282" w:rsidRPr="00785D06">
        <w:rPr>
          <w:sz w:val="20"/>
          <w:szCs w:val="20"/>
          <w:lang w:val="en-US"/>
        </w:rPr>
        <w:t xml:space="preserve">a </w:t>
      </w:r>
      <w:r w:rsidRPr="00785D06">
        <w:rPr>
          <w:sz w:val="20"/>
          <w:szCs w:val="20"/>
          <w:lang w:val="en-US"/>
        </w:rPr>
        <w:t>statement by one of Paola’s classmates</w:t>
      </w:r>
      <w:r w:rsidR="00042F20" w:rsidRPr="00785D06">
        <w:rPr>
          <w:sz w:val="20"/>
          <w:szCs w:val="20"/>
          <w:lang w:val="en-US"/>
        </w:rPr>
        <w:t>, the students</w:t>
      </w:r>
      <w:r w:rsidRPr="00785D06">
        <w:rPr>
          <w:sz w:val="20"/>
          <w:szCs w:val="20"/>
          <w:lang w:val="en-US"/>
        </w:rPr>
        <w:t xml:space="preserve"> </w:t>
      </w:r>
      <w:r w:rsidR="00AB741D" w:rsidRPr="00785D06">
        <w:rPr>
          <w:sz w:val="20"/>
          <w:szCs w:val="20"/>
          <w:lang w:val="en-US"/>
        </w:rPr>
        <w:t xml:space="preserve">at the school were “pressured by </w:t>
      </w:r>
      <w:r w:rsidRPr="00785D06">
        <w:rPr>
          <w:sz w:val="20"/>
          <w:szCs w:val="20"/>
          <w:lang w:val="en-US"/>
        </w:rPr>
        <w:t xml:space="preserve">the president of the Teachers’ Association” to “support” the </w:t>
      </w:r>
      <w:r w:rsidR="0097298A" w:rsidRPr="00785D06">
        <w:rPr>
          <w:sz w:val="20"/>
          <w:szCs w:val="20"/>
          <w:lang w:val="en-US"/>
        </w:rPr>
        <w:t>vice principal</w:t>
      </w:r>
      <w:r w:rsidRPr="00785D06">
        <w:rPr>
          <w:sz w:val="20"/>
          <w:szCs w:val="20"/>
          <w:lang w:val="en-US"/>
        </w:rPr>
        <w:t xml:space="preserve"> (</w:t>
      </w:r>
      <w:r w:rsidRPr="00785D06">
        <w:rPr>
          <w:i/>
          <w:sz w:val="20"/>
          <w:szCs w:val="20"/>
          <w:lang w:val="en-US"/>
        </w:rPr>
        <w:t xml:space="preserve">supra </w:t>
      </w:r>
      <w:r w:rsidRPr="00785D06">
        <w:rPr>
          <w:sz w:val="20"/>
          <w:szCs w:val="20"/>
          <w:lang w:val="en-US"/>
        </w:rPr>
        <w:t xml:space="preserve">paras. 63 and 65). This tolerance implied a failure </w:t>
      </w:r>
      <w:r w:rsidR="005C48BC" w:rsidRPr="00785D06">
        <w:rPr>
          <w:sz w:val="20"/>
          <w:szCs w:val="20"/>
          <w:lang w:val="en-US"/>
        </w:rPr>
        <w:t xml:space="preserve">to comply with </w:t>
      </w:r>
      <w:r w:rsidRPr="00785D06">
        <w:rPr>
          <w:sz w:val="20"/>
          <w:szCs w:val="20"/>
          <w:lang w:val="en-US"/>
        </w:rPr>
        <w:t>the</w:t>
      </w:r>
      <w:r w:rsidR="00A00282" w:rsidRPr="00785D06">
        <w:rPr>
          <w:sz w:val="20"/>
          <w:szCs w:val="20"/>
          <w:lang w:val="en-US"/>
        </w:rPr>
        <w:t xml:space="preserve"> obligation to</w:t>
      </w:r>
      <w:r w:rsidRPr="00785D06">
        <w:rPr>
          <w:sz w:val="20"/>
          <w:szCs w:val="20"/>
          <w:lang w:val="en-US"/>
        </w:rPr>
        <w:t xml:space="preserve"> respect the human rights of Paola Guzmán Albarracín. </w:t>
      </w:r>
    </w:p>
    <w:p w14:paraId="1BA6F048" w14:textId="77777777" w:rsidR="00C254BF" w:rsidRPr="00785D06" w:rsidRDefault="00C254BF" w:rsidP="00C254BF">
      <w:pPr>
        <w:pStyle w:val="Prrafodelista"/>
        <w:ind w:left="0"/>
        <w:contextualSpacing w:val="0"/>
        <w:jc w:val="both"/>
        <w:rPr>
          <w:sz w:val="20"/>
          <w:szCs w:val="20"/>
          <w:lang w:val="en-US"/>
        </w:rPr>
      </w:pPr>
    </w:p>
    <w:p w14:paraId="6E5CC455" w14:textId="77777777" w:rsidR="00C254BF" w:rsidRPr="00785D06" w:rsidRDefault="00A00282"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For their part, </w:t>
      </w:r>
      <w:r w:rsidR="00C254BF" w:rsidRPr="00785D06">
        <w:rPr>
          <w:sz w:val="20"/>
          <w:szCs w:val="20"/>
          <w:lang w:val="en-US"/>
        </w:rPr>
        <w:t>the representatives have affirmed that “the education received by Paola Guzmán did not include concepts rel</w:t>
      </w:r>
      <w:r w:rsidRPr="00785D06">
        <w:rPr>
          <w:sz w:val="20"/>
          <w:szCs w:val="20"/>
          <w:lang w:val="en-US"/>
        </w:rPr>
        <w:t>ated to her reproductive health or</w:t>
      </w:r>
      <w:r w:rsidR="00C254BF" w:rsidRPr="00785D06">
        <w:rPr>
          <w:sz w:val="20"/>
          <w:szCs w:val="20"/>
          <w:lang w:val="en-US"/>
        </w:rPr>
        <w:t xml:space="preserve"> </w:t>
      </w:r>
      <w:r w:rsidRPr="00785D06">
        <w:rPr>
          <w:sz w:val="20"/>
          <w:szCs w:val="20"/>
          <w:lang w:val="en-US"/>
        </w:rPr>
        <w:t xml:space="preserve">her </w:t>
      </w:r>
      <w:r w:rsidR="00C254BF" w:rsidRPr="00785D06">
        <w:rPr>
          <w:sz w:val="20"/>
          <w:szCs w:val="20"/>
          <w:lang w:val="en-US"/>
        </w:rPr>
        <w:t xml:space="preserve">right to autonomy and informed consent.” The State did not comment specifically on this </w:t>
      </w:r>
      <w:r w:rsidRPr="00785D06">
        <w:rPr>
          <w:sz w:val="20"/>
          <w:szCs w:val="20"/>
          <w:lang w:val="en-US"/>
        </w:rPr>
        <w:t>point</w:t>
      </w:r>
      <w:r w:rsidR="00C254BF" w:rsidRPr="00785D06">
        <w:rPr>
          <w:sz w:val="20"/>
          <w:szCs w:val="20"/>
          <w:lang w:val="en-US"/>
        </w:rPr>
        <w:t xml:space="preserve">, but mentioned </w:t>
      </w:r>
      <w:r w:rsidR="00832DF9" w:rsidRPr="00785D06">
        <w:rPr>
          <w:sz w:val="20"/>
          <w:szCs w:val="20"/>
          <w:lang w:val="en-US"/>
        </w:rPr>
        <w:t xml:space="preserve">various </w:t>
      </w:r>
      <w:r w:rsidR="00C254BF" w:rsidRPr="00785D06">
        <w:rPr>
          <w:sz w:val="20"/>
          <w:szCs w:val="20"/>
          <w:lang w:val="en-US"/>
        </w:rPr>
        <w:t xml:space="preserve">policies </w:t>
      </w:r>
      <w:r w:rsidR="00F75B54" w:rsidRPr="00785D06">
        <w:rPr>
          <w:sz w:val="20"/>
          <w:szCs w:val="20"/>
          <w:lang w:val="en-US"/>
        </w:rPr>
        <w:t xml:space="preserve">it had </w:t>
      </w:r>
      <w:r w:rsidR="00832DF9" w:rsidRPr="00785D06">
        <w:rPr>
          <w:sz w:val="20"/>
          <w:szCs w:val="20"/>
          <w:lang w:val="en-US"/>
        </w:rPr>
        <w:t>implemented</w:t>
      </w:r>
      <w:r w:rsidR="00F75B54" w:rsidRPr="00785D06">
        <w:rPr>
          <w:sz w:val="20"/>
          <w:szCs w:val="20"/>
          <w:lang w:val="en-US"/>
        </w:rPr>
        <w:t xml:space="preserve"> in this regard. </w:t>
      </w:r>
      <w:r w:rsidR="00C254BF" w:rsidRPr="00785D06">
        <w:rPr>
          <w:sz w:val="20"/>
          <w:szCs w:val="20"/>
          <w:lang w:val="en-US"/>
        </w:rPr>
        <w:t xml:space="preserve">For the most part, these </w:t>
      </w:r>
      <w:r w:rsidR="00832DF9" w:rsidRPr="00785D06">
        <w:rPr>
          <w:sz w:val="20"/>
          <w:szCs w:val="20"/>
          <w:lang w:val="en-US"/>
        </w:rPr>
        <w:t xml:space="preserve">were introduced after </w:t>
      </w:r>
      <w:r w:rsidR="00C254BF" w:rsidRPr="00785D06">
        <w:rPr>
          <w:sz w:val="20"/>
          <w:szCs w:val="20"/>
          <w:lang w:val="en-US"/>
        </w:rPr>
        <w:t>the facts of the case, and the</w:t>
      </w:r>
      <w:r w:rsidR="003261E8" w:rsidRPr="00785D06">
        <w:rPr>
          <w:sz w:val="20"/>
          <w:szCs w:val="20"/>
          <w:lang w:val="en-US"/>
        </w:rPr>
        <w:t>re is insufficient</w:t>
      </w:r>
      <w:r w:rsidR="00C254BF" w:rsidRPr="00785D06">
        <w:rPr>
          <w:sz w:val="20"/>
          <w:szCs w:val="20"/>
          <w:lang w:val="en-US"/>
        </w:rPr>
        <w:t xml:space="preserve"> information on previous actions. </w:t>
      </w:r>
      <w:r w:rsidR="00C254BF" w:rsidRPr="00785D06">
        <w:rPr>
          <w:rStyle w:val="Refdenotaalpie"/>
          <w:sz w:val="20"/>
          <w:szCs w:val="20"/>
          <w:lang w:val="en-US"/>
        </w:rPr>
        <w:footnoteReference w:id="134"/>
      </w:r>
      <w:r w:rsidR="00F75B54" w:rsidRPr="00785D06">
        <w:rPr>
          <w:sz w:val="20"/>
          <w:szCs w:val="20"/>
          <w:lang w:val="en-US"/>
        </w:rPr>
        <w:t xml:space="preserve"> T</w:t>
      </w:r>
      <w:r w:rsidR="00C254BF" w:rsidRPr="00785D06">
        <w:rPr>
          <w:sz w:val="20"/>
          <w:szCs w:val="20"/>
          <w:lang w:val="en-US"/>
        </w:rPr>
        <w:t xml:space="preserve">herefore </w:t>
      </w:r>
      <w:r w:rsidR="00F75B54" w:rsidRPr="00785D06">
        <w:rPr>
          <w:sz w:val="20"/>
          <w:szCs w:val="20"/>
          <w:lang w:val="en-US"/>
        </w:rPr>
        <w:t xml:space="preserve">it </w:t>
      </w:r>
      <w:r w:rsidR="00C254BF" w:rsidRPr="00785D06">
        <w:rPr>
          <w:sz w:val="20"/>
          <w:szCs w:val="20"/>
          <w:lang w:val="en-US"/>
        </w:rPr>
        <w:t xml:space="preserve">cannot be </w:t>
      </w:r>
      <w:r w:rsidR="003261E8" w:rsidRPr="00785D06">
        <w:rPr>
          <w:sz w:val="20"/>
          <w:szCs w:val="20"/>
          <w:lang w:val="en-US"/>
        </w:rPr>
        <w:t xml:space="preserve">ascertained </w:t>
      </w:r>
      <w:r w:rsidR="00DC48D6" w:rsidRPr="00785D06">
        <w:rPr>
          <w:sz w:val="20"/>
          <w:szCs w:val="20"/>
          <w:lang w:val="en-US"/>
        </w:rPr>
        <w:t>that Paola received</w:t>
      </w:r>
      <w:r w:rsidR="00C254BF" w:rsidRPr="00785D06">
        <w:rPr>
          <w:sz w:val="20"/>
          <w:szCs w:val="20"/>
          <w:lang w:val="en-US"/>
        </w:rPr>
        <w:t xml:space="preserve"> education or information on sexual or reproductive rights</w:t>
      </w:r>
      <w:r w:rsidR="00DC48D6" w:rsidRPr="00785D06">
        <w:rPr>
          <w:sz w:val="20"/>
          <w:szCs w:val="20"/>
          <w:lang w:val="en-US"/>
        </w:rPr>
        <w:t xml:space="preserve"> at school</w:t>
      </w:r>
      <w:r w:rsidR="00C254BF" w:rsidRPr="00785D06">
        <w:rPr>
          <w:sz w:val="20"/>
          <w:szCs w:val="20"/>
          <w:lang w:val="en-US"/>
        </w:rPr>
        <w:t>.</w:t>
      </w:r>
      <w:r w:rsidR="00C254BF" w:rsidRPr="00785D06">
        <w:rPr>
          <w:b/>
          <w:sz w:val="20"/>
          <w:szCs w:val="20"/>
          <w:lang w:val="en-US"/>
        </w:rPr>
        <w:t xml:space="preserve"> </w:t>
      </w:r>
    </w:p>
    <w:p w14:paraId="77E4EA56" w14:textId="77777777" w:rsidR="00C254BF" w:rsidRPr="00785D06" w:rsidRDefault="00C254BF" w:rsidP="00C254BF">
      <w:pPr>
        <w:pStyle w:val="Prrafodelista"/>
        <w:rPr>
          <w:sz w:val="20"/>
          <w:szCs w:val="20"/>
          <w:lang w:val="en-US"/>
        </w:rPr>
      </w:pPr>
    </w:p>
    <w:p w14:paraId="23FED004"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In this regard, the expert Muñoz Villalobos has emphasized the import</w:t>
      </w:r>
      <w:r w:rsidR="00F75B54" w:rsidRPr="00785D06">
        <w:rPr>
          <w:sz w:val="20"/>
          <w:szCs w:val="20"/>
          <w:lang w:val="en-US"/>
        </w:rPr>
        <w:t>ance of sexual education</w:t>
      </w:r>
      <w:r w:rsidRPr="00785D06">
        <w:rPr>
          <w:sz w:val="20"/>
          <w:szCs w:val="20"/>
          <w:lang w:val="en-US"/>
        </w:rPr>
        <w:t xml:space="preserve"> and has indicated that, </w:t>
      </w:r>
      <w:r w:rsidR="00F75B54" w:rsidRPr="00785D06">
        <w:rPr>
          <w:sz w:val="20"/>
          <w:szCs w:val="20"/>
          <w:lang w:val="en-US"/>
        </w:rPr>
        <w:t>under current international standards, this</w:t>
      </w:r>
      <w:r w:rsidRPr="00785D06">
        <w:rPr>
          <w:sz w:val="20"/>
          <w:szCs w:val="20"/>
          <w:lang w:val="en-US"/>
        </w:rPr>
        <w:t xml:space="preserve"> may be considered as a human right in itself and an essential means to strengthen education in general. He added that </w:t>
      </w:r>
      <w:r w:rsidR="00F75B54" w:rsidRPr="00785D06">
        <w:rPr>
          <w:sz w:val="20"/>
          <w:szCs w:val="20"/>
          <w:lang w:val="en-US"/>
        </w:rPr>
        <w:t xml:space="preserve">several </w:t>
      </w:r>
      <w:r w:rsidRPr="00785D06">
        <w:rPr>
          <w:sz w:val="20"/>
          <w:szCs w:val="20"/>
          <w:lang w:val="en-US"/>
        </w:rPr>
        <w:t xml:space="preserve">United Nations bodies have recognized the human right to </w:t>
      </w:r>
      <w:r w:rsidR="00F75B54" w:rsidRPr="00785D06">
        <w:rPr>
          <w:sz w:val="20"/>
          <w:szCs w:val="20"/>
          <w:lang w:val="en-US"/>
        </w:rPr>
        <w:t xml:space="preserve">a </w:t>
      </w:r>
      <w:r w:rsidRPr="00785D06">
        <w:rPr>
          <w:sz w:val="20"/>
          <w:szCs w:val="20"/>
          <w:lang w:val="en-US"/>
        </w:rPr>
        <w:t xml:space="preserve">comprehensive sexual education and </w:t>
      </w:r>
      <w:r w:rsidR="0009653D" w:rsidRPr="00785D06">
        <w:rPr>
          <w:sz w:val="20"/>
          <w:szCs w:val="20"/>
          <w:lang w:val="en-US"/>
        </w:rPr>
        <w:t>consider</w:t>
      </w:r>
      <w:r w:rsidRPr="00785D06">
        <w:rPr>
          <w:sz w:val="20"/>
          <w:szCs w:val="20"/>
          <w:lang w:val="en-US"/>
        </w:rPr>
        <w:t xml:space="preserve"> that </w:t>
      </w:r>
      <w:r w:rsidR="0009653D" w:rsidRPr="00785D06">
        <w:rPr>
          <w:sz w:val="20"/>
          <w:szCs w:val="20"/>
          <w:lang w:val="en-US"/>
        </w:rPr>
        <w:t xml:space="preserve">it </w:t>
      </w:r>
      <w:r w:rsidRPr="00785D06">
        <w:rPr>
          <w:sz w:val="20"/>
          <w:szCs w:val="20"/>
          <w:lang w:val="en-US"/>
        </w:rPr>
        <w:t>should be a mandatory component of schooling.</w:t>
      </w:r>
      <w:r w:rsidRPr="00785D06">
        <w:rPr>
          <w:rStyle w:val="Refdenotaalpie"/>
          <w:sz w:val="20"/>
          <w:szCs w:val="20"/>
          <w:lang w:val="en-US"/>
        </w:rPr>
        <w:footnoteReference w:id="135"/>
      </w:r>
      <w:r w:rsidR="00377ACA" w:rsidRPr="00785D06">
        <w:rPr>
          <w:sz w:val="20"/>
          <w:szCs w:val="20"/>
          <w:lang w:val="en-US"/>
        </w:rPr>
        <w:t xml:space="preserve">Thus, the right to education </w:t>
      </w:r>
      <w:r w:rsidR="0009653D" w:rsidRPr="00785D06">
        <w:rPr>
          <w:sz w:val="20"/>
          <w:szCs w:val="20"/>
          <w:lang w:val="en-US"/>
        </w:rPr>
        <w:t xml:space="preserve">encompasses </w:t>
      </w:r>
      <w:r w:rsidRPr="00785D06">
        <w:rPr>
          <w:sz w:val="20"/>
          <w:szCs w:val="20"/>
          <w:lang w:val="en-US"/>
        </w:rPr>
        <w:t xml:space="preserve">education </w:t>
      </w:r>
      <w:r w:rsidR="00DC48D6" w:rsidRPr="00785D06">
        <w:rPr>
          <w:sz w:val="20"/>
          <w:szCs w:val="20"/>
          <w:lang w:val="en-US"/>
        </w:rPr>
        <w:t xml:space="preserve">on </w:t>
      </w:r>
      <w:r w:rsidRPr="00785D06">
        <w:rPr>
          <w:sz w:val="20"/>
          <w:szCs w:val="20"/>
          <w:lang w:val="en-US"/>
        </w:rPr>
        <w:t xml:space="preserve">sexual and reproductive </w:t>
      </w:r>
      <w:r w:rsidR="00DC48D6" w:rsidRPr="00785D06">
        <w:rPr>
          <w:sz w:val="20"/>
          <w:szCs w:val="20"/>
          <w:lang w:val="en-US"/>
        </w:rPr>
        <w:t>rights</w:t>
      </w:r>
      <w:r w:rsidR="00377ACA" w:rsidRPr="00785D06">
        <w:rPr>
          <w:sz w:val="20"/>
          <w:szCs w:val="20"/>
          <w:lang w:val="en-US"/>
        </w:rPr>
        <w:t xml:space="preserve">. According to </w:t>
      </w:r>
      <w:r w:rsidRPr="00785D06">
        <w:rPr>
          <w:rFonts w:eastAsia="Times New Roman"/>
          <w:color w:val="000000"/>
          <w:sz w:val="20"/>
          <w:szCs w:val="20"/>
          <w:lang w:val="en-US" w:eastAsia="es-ES_tradnl"/>
        </w:rPr>
        <w:t xml:space="preserve">the ESCR Committee, </w:t>
      </w:r>
      <w:r w:rsidR="00377ACA" w:rsidRPr="00785D06">
        <w:rPr>
          <w:rFonts w:eastAsia="Times New Roman"/>
          <w:color w:val="000000"/>
          <w:sz w:val="20"/>
          <w:szCs w:val="20"/>
          <w:lang w:val="en-US" w:eastAsia="es-ES_tradnl"/>
        </w:rPr>
        <w:t xml:space="preserve">it </w:t>
      </w:r>
      <w:r w:rsidRPr="00785D06">
        <w:rPr>
          <w:rFonts w:eastAsia="Times New Roman"/>
          <w:color w:val="000000"/>
          <w:sz w:val="20"/>
          <w:szCs w:val="20"/>
          <w:lang w:val="en-US" w:eastAsia="es-ES_tradnl"/>
        </w:rPr>
        <w:t>“</w:t>
      </w:r>
      <w:r w:rsidR="00182375" w:rsidRPr="00785D06">
        <w:rPr>
          <w:sz w:val="20"/>
          <w:szCs w:val="20"/>
          <w:lang w:val="en-US"/>
        </w:rPr>
        <w:t>entails a</w:t>
      </w:r>
      <w:r w:rsidR="0009653D" w:rsidRPr="00785D06">
        <w:rPr>
          <w:sz w:val="20"/>
          <w:szCs w:val="20"/>
          <w:lang w:val="en-US"/>
        </w:rPr>
        <w:t xml:space="preserve"> right to education on sexuality and reproduction that is comprehensive, non-discriminatory, evidence-based, scientifically accurate and age appropriate</w:t>
      </w:r>
      <w:r w:rsidR="00E45C33" w:rsidRPr="00785D06">
        <w:rPr>
          <w:rFonts w:eastAsia="Times New Roman"/>
          <w:color w:val="000000"/>
          <w:sz w:val="20"/>
          <w:szCs w:val="20"/>
          <w:lang w:val="en-US" w:eastAsia="es-ES_tradnl"/>
        </w:rPr>
        <w:t>.”</w:t>
      </w:r>
      <w:r w:rsidRPr="00785D06">
        <w:rPr>
          <w:rFonts w:eastAsia="Times New Roman"/>
          <w:color w:val="000000"/>
          <w:sz w:val="20"/>
          <w:szCs w:val="20"/>
          <w:lang w:val="en-US" w:eastAsia="es-ES_tradnl"/>
        </w:rPr>
        <w:t xml:space="preserve"> </w:t>
      </w:r>
      <w:r w:rsidR="00182375" w:rsidRPr="00785D06">
        <w:rPr>
          <w:rFonts w:eastAsia="Times New Roman"/>
          <w:color w:val="000000"/>
          <w:sz w:val="20"/>
          <w:szCs w:val="20"/>
          <w:lang w:val="en-US" w:eastAsia="es-ES_tradnl"/>
        </w:rPr>
        <w:t>Also</w:t>
      </w:r>
      <w:r w:rsidR="005A31B4" w:rsidRPr="00785D06">
        <w:rPr>
          <w:rFonts w:eastAsia="Times New Roman"/>
          <w:color w:val="000000"/>
          <w:sz w:val="20"/>
          <w:szCs w:val="20"/>
          <w:lang w:val="en-US" w:eastAsia="es-ES_tradnl"/>
        </w:rPr>
        <w:t>, i</w:t>
      </w:r>
      <w:r w:rsidR="0009653D" w:rsidRPr="00785D06">
        <w:rPr>
          <w:rFonts w:eastAsia="Times New Roman"/>
          <w:color w:val="000000"/>
          <w:sz w:val="20"/>
          <w:szCs w:val="20"/>
          <w:lang w:val="en-US" w:eastAsia="es-ES_tradnl"/>
        </w:rPr>
        <w:t xml:space="preserve">n </w:t>
      </w:r>
      <w:r w:rsidRPr="00785D06">
        <w:rPr>
          <w:rFonts w:eastAsia="Times New Roman"/>
          <w:color w:val="000000"/>
          <w:sz w:val="20"/>
          <w:szCs w:val="20"/>
          <w:lang w:val="en-US" w:eastAsia="es-ES_tradnl"/>
        </w:rPr>
        <w:t>relat</w:t>
      </w:r>
      <w:r w:rsidR="0009653D" w:rsidRPr="00785D06">
        <w:rPr>
          <w:rFonts w:eastAsia="Times New Roman"/>
          <w:color w:val="000000"/>
          <w:sz w:val="20"/>
          <w:szCs w:val="20"/>
          <w:lang w:val="en-US" w:eastAsia="es-ES_tradnl"/>
        </w:rPr>
        <w:t xml:space="preserve">ion </w:t>
      </w:r>
      <w:r w:rsidRPr="00785D06">
        <w:rPr>
          <w:rFonts w:eastAsia="Times New Roman"/>
          <w:color w:val="000000"/>
          <w:sz w:val="20"/>
          <w:szCs w:val="20"/>
          <w:lang w:val="en-US" w:eastAsia="es-ES_tradnl"/>
        </w:rPr>
        <w:t>to th</w:t>
      </w:r>
      <w:r w:rsidR="0009653D" w:rsidRPr="00785D06">
        <w:rPr>
          <w:rFonts w:eastAsia="Times New Roman"/>
          <w:color w:val="000000"/>
          <w:sz w:val="20"/>
          <w:szCs w:val="20"/>
          <w:lang w:val="en-US" w:eastAsia="es-ES_tradnl"/>
        </w:rPr>
        <w:t xml:space="preserve">is </w:t>
      </w:r>
      <w:r w:rsidRPr="00785D06">
        <w:rPr>
          <w:rFonts w:eastAsia="Times New Roman"/>
          <w:color w:val="000000"/>
          <w:sz w:val="20"/>
          <w:szCs w:val="20"/>
          <w:lang w:val="en-US" w:eastAsia="es-ES_tradnl"/>
        </w:rPr>
        <w:t>right</w:t>
      </w:r>
      <w:r w:rsidR="00182375" w:rsidRPr="00785D06">
        <w:rPr>
          <w:rFonts w:eastAsia="Times New Roman"/>
          <w:color w:val="000000"/>
          <w:sz w:val="20"/>
          <w:szCs w:val="20"/>
          <w:lang w:val="en-US" w:eastAsia="es-ES_tradnl"/>
        </w:rPr>
        <w:t>,</w:t>
      </w:r>
      <w:r w:rsidRPr="00785D06">
        <w:rPr>
          <w:rFonts w:eastAsia="Times New Roman"/>
          <w:color w:val="000000"/>
          <w:sz w:val="20"/>
          <w:szCs w:val="20"/>
          <w:lang w:val="en-US" w:eastAsia="es-ES_tradnl"/>
        </w:rPr>
        <w:t xml:space="preserve"> </w:t>
      </w:r>
      <w:r w:rsidR="0009653D" w:rsidRPr="00785D06">
        <w:rPr>
          <w:rFonts w:eastAsia="Times New Roman"/>
          <w:color w:val="000000"/>
          <w:sz w:val="20"/>
          <w:szCs w:val="20"/>
          <w:lang w:val="en-US" w:eastAsia="es-ES_tradnl"/>
        </w:rPr>
        <w:t xml:space="preserve">States have an obligation to </w:t>
      </w:r>
      <w:r w:rsidRPr="00785D06">
        <w:rPr>
          <w:rFonts w:eastAsia="Times New Roman"/>
          <w:color w:val="000000"/>
          <w:sz w:val="20"/>
          <w:szCs w:val="20"/>
          <w:lang w:val="en-US" w:eastAsia="es-ES_tradnl"/>
        </w:rPr>
        <w:t>provide “comprehensiv</w:t>
      </w:r>
      <w:r w:rsidR="0009653D" w:rsidRPr="00785D06">
        <w:rPr>
          <w:rFonts w:eastAsia="Times New Roman"/>
          <w:color w:val="000000"/>
          <w:sz w:val="20"/>
          <w:szCs w:val="20"/>
          <w:lang w:val="en-US" w:eastAsia="es-ES_tradnl"/>
        </w:rPr>
        <w:t>e education and information,”</w:t>
      </w:r>
      <w:r w:rsidRPr="00785D06">
        <w:rPr>
          <w:rFonts w:eastAsia="Times New Roman"/>
          <w:color w:val="000000"/>
          <w:sz w:val="20"/>
          <w:szCs w:val="20"/>
          <w:lang w:val="en-US" w:eastAsia="es-ES_tradnl"/>
        </w:rPr>
        <w:t xml:space="preserve"> </w:t>
      </w:r>
      <w:r w:rsidR="0009653D" w:rsidRPr="00785D06">
        <w:rPr>
          <w:rFonts w:eastAsia="Times New Roman"/>
          <w:color w:val="000000"/>
          <w:sz w:val="20"/>
          <w:szCs w:val="20"/>
          <w:lang w:val="en-US" w:eastAsia="es-ES_tradnl"/>
        </w:rPr>
        <w:t xml:space="preserve">taking into account </w:t>
      </w:r>
      <w:r w:rsidRPr="00785D06">
        <w:rPr>
          <w:rFonts w:eastAsia="Times New Roman"/>
          <w:color w:val="000000"/>
          <w:sz w:val="20"/>
          <w:szCs w:val="20"/>
          <w:lang w:val="en-US" w:eastAsia="es-ES_tradnl"/>
        </w:rPr>
        <w:t>“the evolving capacities of children and adolescents.”</w:t>
      </w:r>
      <w:r w:rsidRPr="00785D06">
        <w:rPr>
          <w:rStyle w:val="Refdenotaalpie"/>
          <w:rFonts w:eastAsia="Times New Roman"/>
          <w:color w:val="000000"/>
          <w:sz w:val="20"/>
          <w:szCs w:val="20"/>
          <w:lang w:val="en-US" w:eastAsia="es-ES_tradnl"/>
        </w:rPr>
        <w:footnoteReference w:id="136"/>
      </w:r>
      <w:r w:rsidR="005A31B4" w:rsidRPr="00785D06">
        <w:rPr>
          <w:rFonts w:eastAsia="Times New Roman"/>
          <w:color w:val="000000"/>
          <w:sz w:val="20"/>
          <w:szCs w:val="20"/>
          <w:lang w:val="en-US" w:eastAsia="es-ES_tradnl"/>
        </w:rPr>
        <w:t xml:space="preserve"> </w:t>
      </w:r>
      <w:r w:rsidR="00182375" w:rsidRPr="00785D06">
        <w:rPr>
          <w:rFonts w:eastAsia="Times New Roman"/>
          <w:color w:val="000000"/>
          <w:sz w:val="20"/>
          <w:szCs w:val="20"/>
          <w:lang w:val="en-US" w:eastAsia="es-ES_tradnl"/>
        </w:rPr>
        <w:t xml:space="preserve">This </w:t>
      </w:r>
      <w:r w:rsidRPr="00785D06">
        <w:rPr>
          <w:rFonts w:eastAsia="Times New Roman"/>
          <w:color w:val="000000"/>
          <w:sz w:val="20"/>
          <w:szCs w:val="20"/>
          <w:lang w:val="en-US" w:eastAsia="es-ES_tradnl"/>
        </w:rPr>
        <w:t xml:space="preserve">education must </w:t>
      </w:r>
      <w:r w:rsidR="005A31B4" w:rsidRPr="00785D06">
        <w:rPr>
          <w:rFonts w:eastAsia="Times New Roman"/>
          <w:color w:val="000000"/>
          <w:sz w:val="20"/>
          <w:szCs w:val="20"/>
          <w:lang w:val="en-US" w:eastAsia="es-ES_tradnl"/>
        </w:rPr>
        <w:t xml:space="preserve">ensure that </w:t>
      </w:r>
      <w:r w:rsidRPr="00785D06">
        <w:rPr>
          <w:rFonts w:eastAsia="Times New Roman"/>
          <w:color w:val="000000"/>
          <w:sz w:val="20"/>
          <w:szCs w:val="20"/>
          <w:lang w:val="en-US" w:eastAsia="es-ES_tradnl"/>
        </w:rPr>
        <w:t xml:space="preserve">children </w:t>
      </w:r>
      <w:r w:rsidR="005A31B4" w:rsidRPr="00785D06">
        <w:rPr>
          <w:rFonts w:eastAsia="Times New Roman"/>
          <w:color w:val="000000"/>
          <w:sz w:val="20"/>
          <w:szCs w:val="20"/>
          <w:lang w:val="en-US" w:eastAsia="es-ES_tradnl"/>
        </w:rPr>
        <w:t>have</w:t>
      </w:r>
      <w:r w:rsidRPr="00785D06">
        <w:rPr>
          <w:rFonts w:eastAsia="Times New Roman"/>
          <w:color w:val="000000"/>
          <w:sz w:val="20"/>
          <w:szCs w:val="20"/>
          <w:lang w:val="en-US" w:eastAsia="es-ES_tradnl"/>
        </w:rPr>
        <w:t xml:space="preserve"> an adequate understanding of the implications of sexual and </w:t>
      </w:r>
      <w:r w:rsidR="00182375" w:rsidRPr="00785D06">
        <w:rPr>
          <w:rFonts w:eastAsia="Times New Roman"/>
          <w:color w:val="000000"/>
          <w:sz w:val="20"/>
          <w:szCs w:val="20"/>
          <w:lang w:val="en-US" w:eastAsia="es-ES_tradnl"/>
        </w:rPr>
        <w:t xml:space="preserve">emotional </w:t>
      </w:r>
      <w:r w:rsidRPr="00785D06">
        <w:rPr>
          <w:rFonts w:eastAsia="Times New Roman"/>
          <w:color w:val="000000"/>
          <w:sz w:val="20"/>
          <w:szCs w:val="20"/>
          <w:lang w:val="en-US" w:eastAsia="es-ES_tradnl"/>
        </w:rPr>
        <w:t>relations</w:t>
      </w:r>
      <w:r w:rsidR="005A31B4" w:rsidRPr="00785D06">
        <w:rPr>
          <w:rFonts w:eastAsia="Times New Roman"/>
          <w:color w:val="000000"/>
          <w:sz w:val="20"/>
          <w:szCs w:val="20"/>
          <w:lang w:val="en-US" w:eastAsia="es-ES_tradnl"/>
        </w:rPr>
        <w:t>hips</w:t>
      </w:r>
      <w:r w:rsidRPr="00785D06">
        <w:rPr>
          <w:rFonts w:eastAsia="Times New Roman"/>
          <w:color w:val="000000"/>
          <w:sz w:val="20"/>
          <w:szCs w:val="20"/>
          <w:lang w:val="en-US" w:eastAsia="es-ES_tradnl"/>
        </w:rPr>
        <w:t xml:space="preserve">, particularly in </w:t>
      </w:r>
      <w:r w:rsidR="005A31B4" w:rsidRPr="00785D06">
        <w:rPr>
          <w:rFonts w:eastAsia="Times New Roman"/>
          <w:color w:val="000000"/>
          <w:sz w:val="20"/>
          <w:szCs w:val="20"/>
          <w:lang w:val="en-US" w:eastAsia="es-ES_tradnl"/>
        </w:rPr>
        <w:t xml:space="preserve">terms of their </w:t>
      </w:r>
      <w:r w:rsidRPr="00785D06">
        <w:rPr>
          <w:rFonts w:eastAsia="Times New Roman"/>
          <w:color w:val="000000"/>
          <w:sz w:val="20"/>
          <w:szCs w:val="20"/>
          <w:lang w:val="en-US" w:eastAsia="es-ES_tradnl"/>
        </w:rPr>
        <w:t xml:space="preserve">consent to such </w:t>
      </w:r>
      <w:r w:rsidR="005A31B4" w:rsidRPr="00785D06">
        <w:rPr>
          <w:rFonts w:eastAsia="Times New Roman"/>
          <w:color w:val="000000"/>
          <w:sz w:val="20"/>
          <w:szCs w:val="20"/>
          <w:lang w:val="en-US" w:eastAsia="es-ES_tradnl"/>
        </w:rPr>
        <w:t xml:space="preserve">relationships, </w:t>
      </w:r>
      <w:r w:rsidR="00182375" w:rsidRPr="00785D06">
        <w:rPr>
          <w:rFonts w:eastAsia="Times New Roman"/>
          <w:color w:val="000000"/>
          <w:sz w:val="20"/>
          <w:szCs w:val="20"/>
          <w:lang w:val="en-US" w:eastAsia="es-ES_tradnl"/>
        </w:rPr>
        <w:t xml:space="preserve">so </w:t>
      </w:r>
      <w:r w:rsidR="005A31B4" w:rsidRPr="00785D06">
        <w:rPr>
          <w:rFonts w:eastAsia="Times New Roman"/>
          <w:color w:val="000000"/>
          <w:sz w:val="20"/>
          <w:szCs w:val="20"/>
          <w:lang w:val="en-US" w:eastAsia="es-ES_tradnl"/>
        </w:rPr>
        <w:t xml:space="preserve">that they can freely </w:t>
      </w:r>
      <w:r w:rsidRPr="00785D06">
        <w:rPr>
          <w:rFonts w:eastAsia="Times New Roman"/>
          <w:color w:val="000000"/>
          <w:sz w:val="20"/>
          <w:szCs w:val="20"/>
          <w:lang w:val="en-US" w:eastAsia="es-ES_tradnl"/>
        </w:rPr>
        <w:t>exercise their sexual and reproductive rights</w:t>
      </w:r>
      <w:r w:rsidRPr="00785D06">
        <w:rPr>
          <w:sz w:val="20"/>
          <w:szCs w:val="20"/>
          <w:lang w:val="en-US"/>
        </w:rPr>
        <w:t>.</w:t>
      </w:r>
      <w:r w:rsidRPr="00785D06">
        <w:rPr>
          <w:rStyle w:val="Refdenotaalpie"/>
          <w:sz w:val="20"/>
          <w:szCs w:val="20"/>
          <w:lang w:val="en-US"/>
        </w:rPr>
        <w:footnoteReference w:id="137"/>
      </w:r>
      <w:r w:rsidRPr="00785D06">
        <w:rPr>
          <w:rFonts w:eastAsia="Times New Roman"/>
          <w:color w:val="000000"/>
          <w:sz w:val="20"/>
          <w:szCs w:val="20"/>
          <w:lang w:val="en-US" w:eastAsia="es-ES_tradnl"/>
        </w:rPr>
        <w:t xml:space="preserve"> </w:t>
      </w:r>
    </w:p>
    <w:p w14:paraId="017EFD27" w14:textId="77777777" w:rsidR="00C254BF" w:rsidRPr="00785D06" w:rsidRDefault="00C254BF" w:rsidP="00C254BF">
      <w:pPr>
        <w:tabs>
          <w:tab w:val="left" w:pos="4145"/>
        </w:tabs>
        <w:rPr>
          <w:sz w:val="20"/>
          <w:szCs w:val="20"/>
          <w:lang w:val="en-US"/>
        </w:rPr>
      </w:pPr>
    </w:p>
    <w:p w14:paraId="7FC27085" w14:textId="77777777" w:rsidR="00C254BF" w:rsidRPr="00785D06" w:rsidRDefault="006D7DDC"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In </w:t>
      </w:r>
      <w:r w:rsidR="00711B38" w:rsidRPr="00785D06">
        <w:rPr>
          <w:sz w:val="20"/>
          <w:szCs w:val="20"/>
          <w:lang w:val="en-US"/>
        </w:rPr>
        <w:t xml:space="preserve">the instant case, Paola </w:t>
      </w:r>
      <w:r w:rsidR="00C254BF" w:rsidRPr="00785D06">
        <w:rPr>
          <w:sz w:val="20"/>
          <w:szCs w:val="20"/>
          <w:lang w:val="en-US"/>
        </w:rPr>
        <w:t xml:space="preserve">did not </w:t>
      </w:r>
      <w:r w:rsidRPr="00785D06">
        <w:rPr>
          <w:sz w:val="20"/>
          <w:szCs w:val="20"/>
          <w:lang w:val="en-US"/>
        </w:rPr>
        <w:t>receive the education that would have enabled her to understand the</w:t>
      </w:r>
      <w:r w:rsidR="00C254BF" w:rsidRPr="00785D06">
        <w:rPr>
          <w:sz w:val="20"/>
          <w:szCs w:val="20"/>
          <w:lang w:val="en-US"/>
        </w:rPr>
        <w:t xml:space="preserve"> sexual violence i</w:t>
      </w:r>
      <w:r w:rsidRPr="00785D06">
        <w:rPr>
          <w:sz w:val="20"/>
          <w:szCs w:val="20"/>
          <w:lang w:val="en-US"/>
        </w:rPr>
        <w:t xml:space="preserve">nherent </w:t>
      </w:r>
      <w:r w:rsidR="00C254BF" w:rsidRPr="00785D06">
        <w:rPr>
          <w:sz w:val="20"/>
          <w:szCs w:val="20"/>
          <w:lang w:val="en-US"/>
        </w:rPr>
        <w:t>in the acts t</w:t>
      </w:r>
      <w:r w:rsidRPr="00785D06">
        <w:rPr>
          <w:sz w:val="20"/>
          <w:szCs w:val="20"/>
          <w:lang w:val="en-US"/>
        </w:rPr>
        <w:t xml:space="preserve">o which she was subjected and did not have access to </w:t>
      </w:r>
      <w:r w:rsidR="00C254BF" w:rsidRPr="00785D06">
        <w:rPr>
          <w:sz w:val="20"/>
          <w:szCs w:val="20"/>
          <w:lang w:val="en-US"/>
        </w:rPr>
        <w:t>an institutional system t</w:t>
      </w:r>
      <w:r w:rsidRPr="00785D06">
        <w:rPr>
          <w:sz w:val="20"/>
          <w:szCs w:val="20"/>
          <w:lang w:val="en-US"/>
        </w:rPr>
        <w:t xml:space="preserve">hat would have supported her in </w:t>
      </w:r>
      <w:r w:rsidR="00711B38" w:rsidRPr="00785D06">
        <w:rPr>
          <w:sz w:val="20"/>
          <w:szCs w:val="20"/>
          <w:lang w:val="en-US"/>
        </w:rPr>
        <w:t xml:space="preserve">coping with </w:t>
      </w:r>
      <w:r w:rsidRPr="00785D06">
        <w:rPr>
          <w:sz w:val="20"/>
          <w:szCs w:val="20"/>
          <w:lang w:val="en-US"/>
        </w:rPr>
        <w:t>or reporting th</w:t>
      </w:r>
      <w:r w:rsidR="00AA4E84" w:rsidRPr="00785D06">
        <w:rPr>
          <w:sz w:val="20"/>
          <w:szCs w:val="20"/>
          <w:lang w:val="en-US"/>
        </w:rPr>
        <w:t>at situation</w:t>
      </w:r>
      <w:r w:rsidRPr="00785D06">
        <w:rPr>
          <w:sz w:val="20"/>
          <w:szCs w:val="20"/>
          <w:lang w:val="en-US"/>
        </w:rPr>
        <w:t xml:space="preserve">. </w:t>
      </w:r>
      <w:r w:rsidR="00C254BF" w:rsidRPr="00785D06">
        <w:rPr>
          <w:sz w:val="20"/>
          <w:szCs w:val="20"/>
          <w:lang w:val="en-US"/>
        </w:rPr>
        <w:t xml:space="preserve">To the contrary, this violence was validated, normalized and tolerated by the institution. </w:t>
      </w:r>
    </w:p>
    <w:p w14:paraId="616396BA" w14:textId="77777777" w:rsidR="00C254BF" w:rsidRPr="00785D06" w:rsidRDefault="00C254BF" w:rsidP="00C254BF">
      <w:pPr>
        <w:pStyle w:val="Prrafodelista"/>
        <w:ind w:left="0"/>
        <w:contextualSpacing w:val="0"/>
        <w:jc w:val="both"/>
        <w:rPr>
          <w:sz w:val="20"/>
          <w:szCs w:val="20"/>
          <w:lang w:val="en-US"/>
        </w:rPr>
      </w:pPr>
    </w:p>
    <w:p w14:paraId="449A3F0D" w14:textId="77777777" w:rsidR="00C254BF" w:rsidRPr="00785D06" w:rsidRDefault="00C254BF" w:rsidP="00C254BF">
      <w:pPr>
        <w:pStyle w:val="Prrafodelista"/>
        <w:ind w:left="851"/>
        <w:outlineLvl w:val="3"/>
        <w:rPr>
          <w:i/>
          <w:sz w:val="20"/>
          <w:szCs w:val="20"/>
          <w:lang w:val="en-US"/>
        </w:rPr>
      </w:pPr>
      <w:bookmarkStart w:id="113" w:name="_Toc42498052"/>
      <w:bookmarkStart w:id="114" w:name="_Toc46937300"/>
      <w:r w:rsidRPr="00785D06">
        <w:rPr>
          <w:i/>
          <w:sz w:val="20"/>
          <w:szCs w:val="20"/>
          <w:lang w:val="en-US"/>
        </w:rPr>
        <w:t>B.2.2 The discriminatory nature of the violence suffered</w:t>
      </w:r>
      <w:bookmarkEnd w:id="113"/>
      <w:bookmarkEnd w:id="114"/>
      <w:r w:rsidR="00711B38" w:rsidRPr="00785D06">
        <w:rPr>
          <w:i/>
          <w:sz w:val="20"/>
          <w:szCs w:val="20"/>
          <w:lang w:val="en-US"/>
        </w:rPr>
        <w:t xml:space="preserve"> by the victim</w:t>
      </w:r>
    </w:p>
    <w:p w14:paraId="6C71BB9F" w14:textId="77777777" w:rsidR="00C254BF" w:rsidRPr="00785D06" w:rsidRDefault="00C254BF" w:rsidP="00C254BF">
      <w:pPr>
        <w:pStyle w:val="Prrafodelista"/>
        <w:ind w:left="0"/>
        <w:contextualSpacing w:val="0"/>
        <w:jc w:val="both"/>
        <w:rPr>
          <w:sz w:val="20"/>
          <w:szCs w:val="20"/>
          <w:lang w:val="en-US"/>
        </w:rPr>
      </w:pPr>
    </w:p>
    <w:p w14:paraId="6237C429"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The violence</w:t>
      </w:r>
      <w:r w:rsidR="006D7DDC" w:rsidRPr="00785D06">
        <w:rPr>
          <w:sz w:val="20"/>
          <w:szCs w:val="20"/>
          <w:lang w:val="en-US"/>
        </w:rPr>
        <w:t xml:space="preserve"> </w:t>
      </w:r>
      <w:r w:rsidR="00AA4E84" w:rsidRPr="00785D06">
        <w:rPr>
          <w:sz w:val="20"/>
          <w:szCs w:val="20"/>
          <w:lang w:val="en-US"/>
        </w:rPr>
        <w:t xml:space="preserve">to which Paola was subjected </w:t>
      </w:r>
      <w:r w:rsidRPr="00785D06">
        <w:rPr>
          <w:sz w:val="20"/>
          <w:szCs w:val="20"/>
          <w:lang w:val="en-US"/>
        </w:rPr>
        <w:t xml:space="preserve">also entailed a form of discrimination. As </w:t>
      </w:r>
      <w:r w:rsidR="006D7DDC" w:rsidRPr="00785D06">
        <w:rPr>
          <w:sz w:val="20"/>
          <w:szCs w:val="20"/>
          <w:lang w:val="en-US"/>
        </w:rPr>
        <w:t xml:space="preserve">mentioned </w:t>
      </w:r>
      <w:r w:rsidRPr="00785D06">
        <w:rPr>
          <w:sz w:val="20"/>
          <w:szCs w:val="20"/>
          <w:lang w:val="en-US"/>
        </w:rPr>
        <w:t>previously, gender-based violence and violence against women are a form of discrimination (</w:t>
      </w:r>
      <w:r w:rsidRPr="00785D06">
        <w:rPr>
          <w:i/>
          <w:sz w:val="20"/>
          <w:szCs w:val="20"/>
          <w:lang w:val="en-US"/>
        </w:rPr>
        <w:t xml:space="preserve">supra </w:t>
      </w:r>
      <w:r w:rsidR="00711B38" w:rsidRPr="00785D06">
        <w:rPr>
          <w:sz w:val="20"/>
          <w:szCs w:val="20"/>
          <w:lang w:val="en-US"/>
        </w:rPr>
        <w:t>para. 113)</w:t>
      </w:r>
      <w:r w:rsidRPr="00785D06">
        <w:rPr>
          <w:sz w:val="20"/>
          <w:szCs w:val="20"/>
          <w:lang w:val="en-US"/>
        </w:rPr>
        <w:t xml:space="preserve"> prohibited by Article 1(1) of </w:t>
      </w:r>
      <w:r w:rsidR="001F1377" w:rsidRPr="00785D06">
        <w:rPr>
          <w:sz w:val="20"/>
          <w:szCs w:val="20"/>
          <w:lang w:val="en-US"/>
        </w:rPr>
        <w:t>the American Convention. S</w:t>
      </w:r>
      <w:r w:rsidRPr="00785D06">
        <w:rPr>
          <w:sz w:val="20"/>
          <w:szCs w:val="20"/>
          <w:lang w:val="en-US"/>
        </w:rPr>
        <w:t xml:space="preserve">exual violence against girls not only </w:t>
      </w:r>
      <w:r w:rsidR="00711B38" w:rsidRPr="00785D06">
        <w:rPr>
          <w:sz w:val="20"/>
          <w:szCs w:val="20"/>
          <w:lang w:val="en-US"/>
        </w:rPr>
        <w:t xml:space="preserve">reflects </w:t>
      </w:r>
      <w:r w:rsidR="00AA4E84" w:rsidRPr="00785D06">
        <w:rPr>
          <w:sz w:val="20"/>
          <w:szCs w:val="20"/>
          <w:lang w:val="en-US"/>
        </w:rPr>
        <w:t xml:space="preserve">a prohibited form of </w:t>
      </w:r>
      <w:r w:rsidRPr="00785D06">
        <w:rPr>
          <w:sz w:val="20"/>
          <w:szCs w:val="20"/>
          <w:lang w:val="en-US"/>
        </w:rPr>
        <w:t>discrimination based on gender, but can also be discrimina</w:t>
      </w:r>
      <w:r w:rsidR="00711B38" w:rsidRPr="00785D06">
        <w:rPr>
          <w:sz w:val="20"/>
          <w:szCs w:val="20"/>
          <w:lang w:val="en-US"/>
        </w:rPr>
        <w:t>tory based on age. Although that</w:t>
      </w:r>
      <w:r w:rsidRPr="00785D06">
        <w:rPr>
          <w:sz w:val="20"/>
          <w:szCs w:val="20"/>
          <w:lang w:val="en-US"/>
        </w:rPr>
        <w:t xml:space="preserve"> aspect is not explicitly contemplated in Article 1(1) of the American Convention, th</w:t>
      </w:r>
      <w:r w:rsidR="00711B38" w:rsidRPr="00785D06">
        <w:rPr>
          <w:sz w:val="20"/>
          <w:szCs w:val="20"/>
          <w:lang w:val="en-US"/>
        </w:rPr>
        <w:t>e</w:t>
      </w:r>
      <w:r w:rsidR="00AA4E84" w:rsidRPr="00785D06">
        <w:rPr>
          <w:sz w:val="20"/>
          <w:szCs w:val="20"/>
          <w:lang w:val="en-US"/>
        </w:rPr>
        <w:t xml:space="preserve"> </w:t>
      </w:r>
      <w:r w:rsidRPr="00785D06">
        <w:rPr>
          <w:sz w:val="20"/>
          <w:szCs w:val="20"/>
          <w:lang w:val="en-US"/>
        </w:rPr>
        <w:t>provision prohibits discrimination based on “other social condition</w:t>
      </w:r>
      <w:r w:rsidR="00711B38" w:rsidRPr="00785D06">
        <w:rPr>
          <w:sz w:val="20"/>
          <w:szCs w:val="20"/>
          <w:lang w:val="en-US"/>
        </w:rPr>
        <w:t xml:space="preserve">s” different from those listed </w:t>
      </w:r>
      <w:r w:rsidRPr="00785D06">
        <w:rPr>
          <w:sz w:val="20"/>
          <w:szCs w:val="20"/>
          <w:lang w:val="en-US"/>
        </w:rPr>
        <w:t xml:space="preserve">which, in general, affect groups that are </w:t>
      </w:r>
      <w:r w:rsidR="00711B38" w:rsidRPr="00785D06">
        <w:rPr>
          <w:sz w:val="20"/>
          <w:szCs w:val="20"/>
          <w:lang w:val="en-US"/>
        </w:rPr>
        <w:t>especially vulnerable</w:t>
      </w:r>
      <w:r w:rsidRPr="00785D06">
        <w:rPr>
          <w:sz w:val="20"/>
          <w:szCs w:val="20"/>
          <w:lang w:val="en-US"/>
        </w:rPr>
        <w:t xml:space="preserve">. This </w:t>
      </w:r>
      <w:r w:rsidR="00AA4E84" w:rsidRPr="00785D06">
        <w:rPr>
          <w:sz w:val="20"/>
          <w:szCs w:val="20"/>
          <w:lang w:val="en-US"/>
        </w:rPr>
        <w:t xml:space="preserve">applies to </w:t>
      </w:r>
      <w:r w:rsidRPr="00785D06">
        <w:rPr>
          <w:sz w:val="20"/>
          <w:szCs w:val="20"/>
          <w:lang w:val="en-US"/>
        </w:rPr>
        <w:t>children</w:t>
      </w:r>
      <w:r w:rsidR="00711B38" w:rsidRPr="00785D06">
        <w:rPr>
          <w:sz w:val="20"/>
          <w:szCs w:val="20"/>
          <w:lang w:val="en-US"/>
        </w:rPr>
        <w:t>,</w:t>
      </w:r>
      <w:r w:rsidRPr="00785D06">
        <w:rPr>
          <w:rStyle w:val="Refdenotaalpie"/>
          <w:sz w:val="20"/>
          <w:szCs w:val="20"/>
          <w:lang w:val="en-US"/>
        </w:rPr>
        <w:footnoteReference w:id="138"/>
      </w:r>
      <w:r w:rsidRPr="00785D06">
        <w:rPr>
          <w:sz w:val="20"/>
          <w:szCs w:val="20"/>
          <w:lang w:val="en-US"/>
        </w:rPr>
        <w:t xml:space="preserve"> who may be disproportionately and </w:t>
      </w:r>
      <w:r w:rsidR="00983FBA" w:rsidRPr="00785D06">
        <w:rPr>
          <w:sz w:val="20"/>
          <w:szCs w:val="20"/>
          <w:lang w:val="en-US"/>
        </w:rPr>
        <w:t xml:space="preserve">more </w:t>
      </w:r>
      <w:r w:rsidR="00E45C33" w:rsidRPr="00785D06">
        <w:rPr>
          <w:sz w:val="20"/>
          <w:szCs w:val="20"/>
          <w:lang w:val="en-US"/>
        </w:rPr>
        <w:t xml:space="preserve">severely </w:t>
      </w:r>
      <w:r w:rsidR="00983FBA" w:rsidRPr="00785D06">
        <w:rPr>
          <w:sz w:val="20"/>
          <w:szCs w:val="20"/>
          <w:lang w:val="en-US"/>
        </w:rPr>
        <w:t xml:space="preserve">affected </w:t>
      </w:r>
      <w:r w:rsidRPr="00785D06">
        <w:rPr>
          <w:sz w:val="20"/>
          <w:szCs w:val="20"/>
          <w:lang w:val="en-US"/>
        </w:rPr>
        <w:t>by acts of discrimination and gender-based violence.</w:t>
      </w:r>
      <w:r w:rsidRPr="00785D06">
        <w:rPr>
          <w:rStyle w:val="Refdenotaalpie"/>
          <w:sz w:val="20"/>
          <w:szCs w:val="20"/>
          <w:lang w:val="en-US"/>
        </w:rPr>
        <w:footnoteReference w:id="139"/>
      </w:r>
      <w:r w:rsidRPr="00785D06">
        <w:rPr>
          <w:sz w:val="20"/>
          <w:szCs w:val="20"/>
          <w:lang w:val="en-US"/>
        </w:rPr>
        <w:t xml:space="preserve">In this regard, the </w:t>
      </w:r>
      <w:r w:rsidR="0089489F" w:rsidRPr="00785D06">
        <w:rPr>
          <w:sz w:val="20"/>
          <w:szCs w:val="20"/>
          <w:lang w:val="en-US"/>
        </w:rPr>
        <w:t>Committee on the Rights of the Child</w:t>
      </w:r>
      <w:r w:rsidRPr="00785D06">
        <w:rPr>
          <w:sz w:val="20"/>
          <w:szCs w:val="20"/>
          <w:lang w:val="en-US"/>
        </w:rPr>
        <w:t xml:space="preserve"> </w:t>
      </w:r>
      <w:r w:rsidR="007830B6" w:rsidRPr="00785D06">
        <w:rPr>
          <w:sz w:val="20"/>
          <w:szCs w:val="20"/>
          <w:lang w:val="en-US"/>
        </w:rPr>
        <w:t xml:space="preserve">considers </w:t>
      </w:r>
      <w:r w:rsidRPr="00785D06">
        <w:rPr>
          <w:sz w:val="20"/>
          <w:szCs w:val="20"/>
          <w:lang w:val="en-US"/>
        </w:rPr>
        <w:t xml:space="preserve">that </w:t>
      </w:r>
      <w:r w:rsidRPr="00785D06">
        <w:rPr>
          <w:rFonts w:eastAsia="Times New Roman"/>
          <w:color w:val="000000"/>
          <w:sz w:val="20"/>
          <w:szCs w:val="20"/>
          <w:lang w:val="en-US"/>
        </w:rPr>
        <w:t xml:space="preserve">discrimination </w:t>
      </w:r>
      <w:r w:rsidR="00983FBA" w:rsidRPr="00785D06">
        <w:rPr>
          <w:sz w:val="20"/>
          <w:szCs w:val="20"/>
          <w:lang w:val="en-US"/>
        </w:rPr>
        <w:t>on the basis of any grounds</w:t>
      </w:r>
      <w:r w:rsidRPr="00785D06">
        <w:rPr>
          <w:rFonts w:eastAsia="Times New Roman"/>
          <w:color w:val="000000"/>
          <w:sz w:val="20"/>
          <w:szCs w:val="20"/>
          <w:lang w:val="en-US"/>
        </w:rPr>
        <w:t>, including “</w:t>
      </w:r>
      <w:r w:rsidR="00983FBA" w:rsidRPr="00785D06">
        <w:rPr>
          <w:rFonts w:eastAsia="Times New Roman"/>
          <w:color w:val="000000"/>
          <w:sz w:val="20"/>
          <w:szCs w:val="20"/>
          <w:lang w:val="en-US"/>
        </w:rPr>
        <w:t>gender</w:t>
      </w:r>
      <w:r w:rsidR="005A03C1" w:rsidRPr="00785D06">
        <w:rPr>
          <w:rFonts w:eastAsia="Times New Roman"/>
          <w:color w:val="000000"/>
          <w:sz w:val="20"/>
          <w:szCs w:val="20"/>
          <w:lang w:val="en-US"/>
        </w:rPr>
        <w:t>,”</w:t>
      </w:r>
      <w:r w:rsidRPr="00785D06">
        <w:rPr>
          <w:rFonts w:eastAsia="Times New Roman"/>
          <w:color w:val="000000"/>
          <w:sz w:val="20"/>
          <w:szCs w:val="20"/>
          <w:lang w:val="en-US"/>
        </w:rPr>
        <w:t xml:space="preserve"> “</w:t>
      </w:r>
      <w:r w:rsidR="00983FBA" w:rsidRPr="00785D06">
        <w:rPr>
          <w:rFonts w:eastAsia="Times New Roman"/>
          <w:color w:val="000000"/>
          <w:sz w:val="20"/>
          <w:szCs w:val="20"/>
          <w:lang w:val="en-US"/>
        </w:rPr>
        <w:t>whether overt or hidden</w:t>
      </w:r>
      <w:r w:rsidRPr="00785D06">
        <w:rPr>
          <w:rFonts w:eastAsia="Times New Roman"/>
          <w:color w:val="000000"/>
          <w:sz w:val="20"/>
          <w:szCs w:val="20"/>
          <w:lang w:val="en-US"/>
        </w:rPr>
        <w:t xml:space="preserve">, </w:t>
      </w:r>
      <w:r w:rsidR="00983FBA" w:rsidRPr="00785D06">
        <w:rPr>
          <w:rFonts w:eastAsia="Times New Roman"/>
          <w:color w:val="000000"/>
          <w:sz w:val="20"/>
          <w:szCs w:val="20"/>
          <w:lang w:val="en-US"/>
        </w:rPr>
        <w:t xml:space="preserve">offends </w:t>
      </w:r>
      <w:r w:rsidRPr="00785D06">
        <w:rPr>
          <w:rFonts w:eastAsia="Times New Roman"/>
          <w:color w:val="000000"/>
          <w:sz w:val="20"/>
          <w:szCs w:val="20"/>
          <w:lang w:val="en-US"/>
        </w:rPr>
        <w:t>the human dignity of the child</w:t>
      </w:r>
      <w:r w:rsidR="00377ACA" w:rsidRPr="00785D06">
        <w:rPr>
          <w:rFonts w:eastAsia="Times New Roman"/>
          <w:color w:val="000000"/>
          <w:sz w:val="20"/>
          <w:szCs w:val="20"/>
          <w:lang w:val="en-US"/>
        </w:rPr>
        <w:t>,”</w:t>
      </w:r>
      <w:r w:rsidRPr="00785D06">
        <w:rPr>
          <w:rFonts w:eastAsia="Times New Roman"/>
          <w:color w:val="000000"/>
          <w:sz w:val="20"/>
          <w:szCs w:val="20"/>
          <w:lang w:val="en-US"/>
        </w:rPr>
        <w:t xml:space="preserve"> and </w:t>
      </w:r>
      <w:r w:rsidR="00983FBA" w:rsidRPr="00785D06">
        <w:rPr>
          <w:rFonts w:eastAsia="Times New Roman"/>
          <w:color w:val="000000"/>
          <w:sz w:val="20"/>
          <w:szCs w:val="20"/>
          <w:lang w:val="en-US"/>
        </w:rPr>
        <w:t>is “</w:t>
      </w:r>
      <w:r w:rsidR="00983FBA" w:rsidRPr="00785D06">
        <w:rPr>
          <w:sz w:val="20"/>
          <w:szCs w:val="20"/>
          <w:lang w:val="en-US"/>
        </w:rPr>
        <w:t>capable of undermining or even destroying the capacity of the child to benefit from educational opportunities</w:t>
      </w:r>
      <w:r w:rsidRPr="00785D06">
        <w:rPr>
          <w:rFonts w:eastAsia="Times New Roman"/>
          <w:color w:val="000000"/>
          <w:sz w:val="20"/>
          <w:szCs w:val="20"/>
          <w:lang w:val="en-US"/>
        </w:rPr>
        <w:t>.”</w:t>
      </w:r>
      <w:r w:rsidRPr="00785D06">
        <w:rPr>
          <w:rStyle w:val="Refdenotaalpie"/>
          <w:rFonts w:eastAsia="Times New Roman"/>
          <w:color w:val="000000"/>
          <w:sz w:val="20"/>
          <w:szCs w:val="20"/>
          <w:lang w:val="en-US"/>
        </w:rPr>
        <w:footnoteReference w:id="140"/>
      </w:r>
      <w:r w:rsidRPr="00785D06">
        <w:rPr>
          <w:rFonts w:eastAsia="Times New Roman"/>
          <w:color w:val="000000"/>
          <w:sz w:val="20"/>
          <w:szCs w:val="20"/>
          <w:lang w:val="en-US"/>
        </w:rPr>
        <w:t xml:space="preserve"> </w:t>
      </w:r>
      <w:r w:rsidR="007830B6" w:rsidRPr="00785D06">
        <w:rPr>
          <w:rFonts w:eastAsia="Times New Roman"/>
          <w:color w:val="000000"/>
          <w:sz w:val="20"/>
          <w:szCs w:val="20"/>
          <w:lang w:val="en-US"/>
        </w:rPr>
        <w:t>For its part</w:t>
      </w:r>
      <w:r w:rsidRPr="00785D06">
        <w:rPr>
          <w:rFonts w:eastAsia="Times New Roman"/>
          <w:color w:val="000000"/>
          <w:sz w:val="20"/>
          <w:szCs w:val="20"/>
          <w:lang w:val="en-US"/>
        </w:rPr>
        <w:t xml:space="preserve">, the Court has indicated that </w:t>
      </w:r>
      <w:r w:rsidR="00BE4B79" w:rsidRPr="00785D06">
        <w:rPr>
          <w:rFonts w:eastAsia="Times New Roman"/>
          <w:color w:val="000000"/>
          <w:sz w:val="20"/>
          <w:szCs w:val="20"/>
          <w:lang w:val="en-US"/>
        </w:rPr>
        <w:t xml:space="preserve">“in </w:t>
      </w:r>
      <w:r w:rsidRPr="00785D06">
        <w:rPr>
          <w:rFonts w:eastAsia="Times New Roman"/>
          <w:color w:val="000000"/>
          <w:sz w:val="20"/>
          <w:szCs w:val="20"/>
          <w:lang w:val="en-US"/>
        </w:rPr>
        <w:t xml:space="preserve">the </w:t>
      </w:r>
      <w:r w:rsidR="00BE4B79" w:rsidRPr="00785D06">
        <w:rPr>
          <w:rFonts w:eastAsia="Times New Roman"/>
          <w:color w:val="000000"/>
          <w:sz w:val="20"/>
          <w:szCs w:val="20"/>
          <w:lang w:val="en-US"/>
        </w:rPr>
        <w:t xml:space="preserve">case of child victims of </w:t>
      </w:r>
      <w:r w:rsidRPr="00785D06">
        <w:rPr>
          <w:rFonts w:eastAsia="Times New Roman"/>
          <w:color w:val="000000"/>
          <w:sz w:val="20"/>
          <w:szCs w:val="20"/>
          <w:lang w:val="en-US"/>
        </w:rPr>
        <w:t>sexual violence</w:t>
      </w:r>
      <w:r w:rsidR="00BE4B79" w:rsidRPr="00785D06">
        <w:rPr>
          <w:rFonts w:eastAsia="Times New Roman"/>
          <w:color w:val="000000"/>
          <w:sz w:val="20"/>
          <w:szCs w:val="20"/>
          <w:lang w:val="en-US"/>
        </w:rPr>
        <w:t>, the impact can be exacerbated and they may suffer an emotional trauma that differs from that suffered by an adult, with extremely profound effects, in particular when the victim’s relationship with the perpetrator is based on trust and authority</w:t>
      </w:r>
      <w:r w:rsidRPr="00785D06">
        <w:rPr>
          <w:sz w:val="20"/>
          <w:szCs w:val="20"/>
          <w:lang w:val="en-US"/>
        </w:rPr>
        <w:t>.”</w:t>
      </w:r>
      <w:r w:rsidRPr="00785D06">
        <w:rPr>
          <w:rStyle w:val="Refdenotaalpie"/>
          <w:sz w:val="20"/>
          <w:szCs w:val="20"/>
          <w:lang w:val="en-US"/>
        </w:rPr>
        <w:footnoteReference w:id="141"/>
      </w:r>
    </w:p>
    <w:p w14:paraId="106D4D69" w14:textId="77777777" w:rsidR="00C254BF" w:rsidRPr="00785D06" w:rsidRDefault="00C254BF" w:rsidP="00C254BF">
      <w:pPr>
        <w:pStyle w:val="Prrafodelista"/>
        <w:rPr>
          <w:rFonts w:eastAsia="Times New Roman"/>
          <w:color w:val="000000"/>
          <w:sz w:val="20"/>
          <w:szCs w:val="20"/>
          <w:lang w:val="en-US" w:eastAsia="es-ES_tradnl"/>
        </w:rPr>
      </w:pPr>
    </w:p>
    <w:p w14:paraId="4C3F79EE"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That said, </w:t>
      </w:r>
      <w:r w:rsidR="007830B6" w:rsidRPr="00785D06">
        <w:rPr>
          <w:sz w:val="20"/>
          <w:szCs w:val="20"/>
          <w:lang w:val="en-US"/>
        </w:rPr>
        <w:t xml:space="preserve">by virtue of </w:t>
      </w:r>
      <w:r w:rsidRPr="00785D06">
        <w:rPr>
          <w:sz w:val="20"/>
          <w:szCs w:val="20"/>
          <w:lang w:val="en-US"/>
        </w:rPr>
        <w:t xml:space="preserve">the obligation of non-discrimination, States are “obliged […] to adopt </w:t>
      </w:r>
      <w:r w:rsidR="000C0339" w:rsidRPr="00785D06">
        <w:rPr>
          <w:sz w:val="20"/>
          <w:szCs w:val="20"/>
          <w:lang w:val="en-US"/>
        </w:rPr>
        <w:t>positive measures to revert</w:t>
      </w:r>
      <w:r w:rsidRPr="00785D06">
        <w:rPr>
          <w:sz w:val="20"/>
          <w:szCs w:val="20"/>
          <w:lang w:val="en-US"/>
        </w:rPr>
        <w:t xml:space="preserve"> or change discriminatory </w:t>
      </w:r>
      <w:r w:rsidR="00F443FE" w:rsidRPr="00785D06">
        <w:rPr>
          <w:sz w:val="20"/>
          <w:szCs w:val="20"/>
          <w:lang w:val="en-US"/>
        </w:rPr>
        <w:t xml:space="preserve">situations </w:t>
      </w:r>
      <w:r w:rsidR="000C0339" w:rsidRPr="00785D06">
        <w:rPr>
          <w:sz w:val="20"/>
          <w:szCs w:val="20"/>
          <w:lang w:val="en-US"/>
        </w:rPr>
        <w:t>that exist</w:t>
      </w:r>
      <w:r w:rsidRPr="00785D06">
        <w:rPr>
          <w:sz w:val="20"/>
          <w:szCs w:val="20"/>
          <w:lang w:val="en-US"/>
        </w:rPr>
        <w:t xml:space="preserve"> in their societies</w:t>
      </w:r>
      <w:r w:rsidR="000C0339" w:rsidRPr="00785D06">
        <w:rPr>
          <w:sz w:val="20"/>
          <w:szCs w:val="20"/>
          <w:lang w:val="en-US"/>
        </w:rPr>
        <w:t xml:space="preserve"> which affect</w:t>
      </w:r>
      <w:r w:rsidRPr="00785D06">
        <w:rPr>
          <w:sz w:val="20"/>
          <w:szCs w:val="20"/>
          <w:lang w:val="en-US"/>
        </w:rPr>
        <w:t xml:space="preserve"> a specific group of persons</w:t>
      </w:r>
      <w:r w:rsidR="00377ACA" w:rsidRPr="00785D06">
        <w:rPr>
          <w:sz w:val="20"/>
          <w:szCs w:val="20"/>
          <w:lang w:val="en-US"/>
        </w:rPr>
        <w:t>.</w:t>
      </w:r>
      <w:r w:rsidRPr="00785D06">
        <w:rPr>
          <w:sz w:val="20"/>
          <w:szCs w:val="20"/>
          <w:lang w:val="en-US"/>
        </w:rPr>
        <w:t>”</w:t>
      </w:r>
      <w:r w:rsidRPr="00785D06">
        <w:rPr>
          <w:rStyle w:val="Refdenotaalpie"/>
          <w:sz w:val="20"/>
          <w:szCs w:val="20"/>
          <w:lang w:val="en-US"/>
        </w:rPr>
        <w:footnoteReference w:id="142"/>
      </w:r>
      <w:r w:rsidRPr="00785D06">
        <w:rPr>
          <w:sz w:val="20"/>
          <w:szCs w:val="20"/>
          <w:lang w:val="en-US"/>
        </w:rPr>
        <w:t xml:space="preserve"> </w:t>
      </w:r>
      <w:r w:rsidR="000C0339" w:rsidRPr="00785D06">
        <w:rPr>
          <w:sz w:val="20"/>
          <w:szCs w:val="20"/>
          <w:lang w:val="en-US"/>
        </w:rPr>
        <w:t>Consequently</w:t>
      </w:r>
      <w:r w:rsidRPr="00785D06">
        <w:rPr>
          <w:rFonts w:eastAsia="Times New Roman"/>
          <w:color w:val="000000"/>
          <w:sz w:val="20"/>
          <w:szCs w:val="20"/>
          <w:lang w:val="en-US"/>
        </w:rPr>
        <w:t xml:space="preserve">, “States </w:t>
      </w:r>
      <w:r w:rsidR="000C0339" w:rsidRPr="00785D06">
        <w:rPr>
          <w:sz w:val="20"/>
          <w:szCs w:val="20"/>
          <w:lang w:val="en-US"/>
        </w:rPr>
        <w:t xml:space="preserve">need to invest in proactive measures to promote the empowerment of girls, challenge patriarchal and other harmful gender norms and stereotyping and </w:t>
      </w:r>
      <w:r w:rsidR="007830B6" w:rsidRPr="00785D06">
        <w:rPr>
          <w:sz w:val="20"/>
          <w:szCs w:val="20"/>
          <w:lang w:val="en-US"/>
        </w:rPr>
        <w:t xml:space="preserve">promote </w:t>
      </w:r>
      <w:r w:rsidR="000C0339" w:rsidRPr="00785D06">
        <w:rPr>
          <w:sz w:val="20"/>
          <w:szCs w:val="20"/>
          <w:lang w:val="en-US"/>
        </w:rPr>
        <w:t>legal reforms to address direct and indirect discrimination against girls</w:t>
      </w:r>
      <w:r w:rsidRPr="00785D06">
        <w:rPr>
          <w:rFonts w:eastAsia="Times New Roman"/>
          <w:color w:val="000000"/>
          <w:sz w:val="20"/>
          <w:szCs w:val="20"/>
          <w:lang w:val="en-US"/>
        </w:rPr>
        <w:t>.”</w:t>
      </w:r>
      <w:r w:rsidRPr="00785D06">
        <w:rPr>
          <w:rStyle w:val="Refdenotaalpie"/>
          <w:rFonts w:eastAsia="Times New Roman"/>
          <w:color w:val="000000"/>
          <w:sz w:val="20"/>
          <w:szCs w:val="20"/>
          <w:lang w:val="en-US"/>
        </w:rPr>
        <w:footnoteReference w:id="143"/>
      </w:r>
      <w:r w:rsidRPr="00785D06">
        <w:rPr>
          <w:rFonts w:eastAsia="Times New Roman"/>
          <w:color w:val="000000"/>
          <w:sz w:val="20"/>
          <w:szCs w:val="20"/>
          <w:lang w:val="en-US"/>
        </w:rPr>
        <w:t xml:space="preserve"> This duty is linked to Articles 19 of the American Convention and 7.c of the </w:t>
      </w:r>
      <w:r w:rsidR="00B97F8F" w:rsidRPr="00785D06">
        <w:rPr>
          <w:rFonts w:eastAsia="Times New Roman"/>
          <w:color w:val="000000"/>
          <w:sz w:val="20"/>
          <w:szCs w:val="20"/>
          <w:lang w:val="en-US"/>
        </w:rPr>
        <w:t>Belém do Pará Convention</w:t>
      </w:r>
      <w:r w:rsidRPr="00785D06">
        <w:rPr>
          <w:rFonts w:eastAsia="Times New Roman"/>
          <w:color w:val="000000"/>
          <w:sz w:val="20"/>
          <w:szCs w:val="20"/>
          <w:lang w:val="en-US"/>
        </w:rPr>
        <w:t>. Despite this</w:t>
      </w:r>
      <w:r w:rsidR="000C0339" w:rsidRPr="00785D06">
        <w:rPr>
          <w:rFonts w:eastAsia="Times New Roman"/>
          <w:color w:val="000000"/>
          <w:sz w:val="20"/>
          <w:szCs w:val="20"/>
          <w:lang w:val="en-US"/>
        </w:rPr>
        <w:t xml:space="preserve"> obligation</w:t>
      </w:r>
      <w:r w:rsidRPr="00785D06">
        <w:rPr>
          <w:rFonts w:eastAsia="Times New Roman"/>
          <w:color w:val="000000"/>
          <w:sz w:val="20"/>
          <w:szCs w:val="20"/>
          <w:lang w:val="en-US"/>
        </w:rPr>
        <w:t xml:space="preserve">, </w:t>
      </w:r>
      <w:r w:rsidR="007830B6" w:rsidRPr="00785D06">
        <w:rPr>
          <w:rFonts w:eastAsia="Times New Roman"/>
          <w:color w:val="000000"/>
          <w:sz w:val="20"/>
          <w:szCs w:val="20"/>
          <w:lang w:val="en-US"/>
        </w:rPr>
        <w:t xml:space="preserve">prior to December 2002, there is no evidence that </w:t>
      </w:r>
      <w:r w:rsidRPr="00785D06">
        <w:rPr>
          <w:rFonts w:eastAsia="Times New Roman"/>
          <w:color w:val="000000"/>
          <w:sz w:val="20"/>
          <w:szCs w:val="20"/>
          <w:lang w:val="en-US"/>
        </w:rPr>
        <w:t xml:space="preserve">the State </w:t>
      </w:r>
      <w:r w:rsidR="000C0339" w:rsidRPr="00785D06">
        <w:rPr>
          <w:rFonts w:eastAsia="Times New Roman"/>
          <w:color w:val="000000"/>
          <w:sz w:val="20"/>
          <w:szCs w:val="20"/>
          <w:lang w:val="en-US"/>
        </w:rPr>
        <w:t xml:space="preserve">implemented </w:t>
      </w:r>
      <w:r w:rsidRPr="00785D06">
        <w:rPr>
          <w:rFonts w:eastAsia="Times New Roman"/>
          <w:color w:val="000000"/>
          <w:sz w:val="20"/>
          <w:szCs w:val="20"/>
          <w:lang w:val="en-US"/>
        </w:rPr>
        <w:t xml:space="preserve">policies </w:t>
      </w:r>
      <w:r w:rsidR="000C0339" w:rsidRPr="00785D06">
        <w:rPr>
          <w:rFonts w:eastAsia="Times New Roman"/>
          <w:color w:val="000000"/>
          <w:sz w:val="20"/>
          <w:szCs w:val="20"/>
          <w:lang w:val="en-US"/>
        </w:rPr>
        <w:t>aimed at having a</w:t>
      </w:r>
      <w:r w:rsidR="007830B6" w:rsidRPr="00785D06">
        <w:rPr>
          <w:rFonts w:eastAsia="Times New Roman"/>
          <w:color w:val="000000"/>
          <w:sz w:val="20"/>
          <w:szCs w:val="20"/>
          <w:lang w:val="en-US"/>
        </w:rPr>
        <w:t xml:space="preserve"> positive </w:t>
      </w:r>
      <w:r w:rsidRPr="00785D06">
        <w:rPr>
          <w:rFonts w:eastAsia="Times New Roman"/>
          <w:color w:val="000000"/>
          <w:sz w:val="20"/>
          <w:szCs w:val="20"/>
          <w:lang w:val="en-US"/>
        </w:rPr>
        <w:t xml:space="preserve">impact </w:t>
      </w:r>
      <w:r w:rsidR="000C0339" w:rsidRPr="00785D06">
        <w:rPr>
          <w:rFonts w:eastAsia="Times New Roman"/>
          <w:color w:val="000000"/>
          <w:sz w:val="20"/>
          <w:szCs w:val="20"/>
          <w:lang w:val="en-US"/>
        </w:rPr>
        <w:t xml:space="preserve">on </w:t>
      </w:r>
      <w:r w:rsidRPr="00785D06">
        <w:rPr>
          <w:rFonts w:eastAsia="Times New Roman"/>
          <w:color w:val="000000"/>
          <w:sz w:val="20"/>
          <w:szCs w:val="20"/>
          <w:lang w:val="en-US"/>
        </w:rPr>
        <w:t xml:space="preserve">Paola’s </w:t>
      </w:r>
      <w:r w:rsidR="000C0339" w:rsidRPr="00785D06">
        <w:rPr>
          <w:rFonts w:eastAsia="Times New Roman"/>
          <w:color w:val="000000"/>
          <w:sz w:val="20"/>
          <w:szCs w:val="20"/>
          <w:lang w:val="en-US"/>
        </w:rPr>
        <w:t xml:space="preserve">school </w:t>
      </w:r>
      <w:r w:rsidRPr="00785D06">
        <w:rPr>
          <w:rFonts w:eastAsia="Times New Roman"/>
          <w:color w:val="000000"/>
          <w:sz w:val="20"/>
          <w:szCs w:val="20"/>
          <w:lang w:val="en-US"/>
        </w:rPr>
        <w:t xml:space="preserve">environment and </w:t>
      </w:r>
      <w:r w:rsidR="000C0339" w:rsidRPr="00785D06">
        <w:rPr>
          <w:rFonts w:eastAsia="Times New Roman"/>
          <w:color w:val="000000"/>
          <w:sz w:val="20"/>
          <w:szCs w:val="20"/>
          <w:lang w:val="en-US"/>
        </w:rPr>
        <w:t xml:space="preserve">preventing or reverting </w:t>
      </w:r>
      <w:r w:rsidRPr="00785D06">
        <w:rPr>
          <w:rFonts w:eastAsia="Times New Roman"/>
          <w:color w:val="000000"/>
          <w:sz w:val="20"/>
          <w:szCs w:val="20"/>
          <w:lang w:val="en-US"/>
        </w:rPr>
        <w:t>gender-bas</w:t>
      </w:r>
      <w:r w:rsidR="000C0339" w:rsidRPr="00785D06">
        <w:rPr>
          <w:rFonts w:eastAsia="Times New Roman"/>
          <w:color w:val="000000"/>
          <w:sz w:val="20"/>
          <w:szCs w:val="20"/>
          <w:lang w:val="en-US"/>
        </w:rPr>
        <w:t>ed violence against girls in an</w:t>
      </w:r>
      <w:r w:rsidRPr="00785D06">
        <w:rPr>
          <w:rFonts w:eastAsia="Times New Roman"/>
          <w:color w:val="000000"/>
          <w:sz w:val="20"/>
          <w:szCs w:val="20"/>
          <w:lang w:val="en-US"/>
        </w:rPr>
        <w:t xml:space="preserve"> </w:t>
      </w:r>
      <w:r w:rsidR="000C0339" w:rsidRPr="00785D06">
        <w:rPr>
          <w:rFonts w:eastAsia="Times New Roman"/>
          <w:color w:val="000000"/>
          <w:sz w:val="20"/>
          <w:szCs w:val="20"/>
          <w:lang w:val="en-US"/>
        </w:rPr>
        <w:t>educational setting</w:t>
      </w:r>
      <w:r w:rsidRPr="00785D06">
        <w:rPr>
          <w:rFonts w:eastAsia="Times New Roman"/>
          <w:color w:val="000000"/>
          <w:sz w:val="20"/>
          <w:szCs w:val="20"/>
          <w:lang w:val="en-US"/>
        </w:rPr>
        <w:t xml:space="preserve">. Therefore, </w:t>
      </w:r>
      <w:r w:rsidR="00C11EEE" w:rsidRPr="00785D06">
        <w:rPr>
          <w:rFonts w:eastAsia="Times New Roman"/>
          <w:color w:val="000000"/>
          <w:sz w:val="20"/>
          <w:szCs w:val="20"/>
          <w:lang w:val="en-US"/>
        </w:rPr>
        <w:t>in Paola’s case</w:t>
      </w:r>
      <w:r w:rsidR="007830B6" w:rsidRPr="00785D06">
        <w:rPr>
          <w:rFonts w:eastAsia="Times New Roman"/>
          <w:color w:val="000000"/>
          <w:sz w:val="20"/>
          <w:szCs w:val="20"/>
          <w:lang w:val="en-US"/>
        </w:rPr>
        <w:t>,</w:t>
      </w:r>
      <w:r w:rsidR="00C11EEE" w:rsidRPr="00785D06">
        <w:rPr>
          <w:rFonts w:eastAsia="Times New Roman"/>
          <w:color w:val="000000"/>
          <w:sz w:val="20"/>
          <w:szCs w:val="20"/>
          <w:lang w:val="en-US"/>
        </w:rPr>
        <w:t xml:space="preserve"> </w:t>
      </w:r>
      <w:r w:rsidRPr="00785D06">
        <w:rPr>
          <w:rFonts w:eastAsia="Times New Roman"/>
          <w:color w:val="000000"/>
          <w:sz w:val="20"/>
          <w:szCs w:val="20"/>
          <w:lang w:val="en-US"/>
        </w:rPr>
        <w:t>the harassment and se</w:t>
      </w:r>
      <w:r w:rsidR="007830B6" w:rsidRPr="00785D06">
        <w:rPr>
          <w:rFonts w:eastAsia="Times New Roman"/>
          <w:color w:val="000000"/>
          <w:sz w:val="20"/>
          <w:szCs w:val="20"/>
          <w:lang w:val="en-US"/>
        </w:rPr>
        <w:t>xual abuse not only constituted</w:t>
      </w:r>
      <w:r w:rsidRPr="00785D06">
        <w:rPr>
          <w:rFonts w:eastAsia="Times New Roman"/>
          <w:color w:val="000000"/>
          <w:sz w:val="20"/>
          <w:szCs w:val="20"/>
          <w:lang w:val="en-US"/>
        </w:rPr>
        <w:t xml:space="preserve"> acts of violence and discrimination </w:t>
      </w:r>
      <w:r w:rsidR="007830B6" w:rsidRPr="00785D06">
        <w:rPr>
          <w:rFonts w:eastAsia="Times New Roman"/>
          <w:color w:val="000000"/>
          <w:sz w:val="20"/>
          <w:szCs w:val="20"/>
          <w:lang w:val="en-US"/>
        </w:rPr>
        <w:t>in themselves,</w:t>
      </w:r>
      <w:r w:rsidR="00C11EEE" w:rsidRPr="00785D06">
        <w:rPr>
          <w:rFonts w:eastAsia="Times New Roman"/>
          <w:color w:val="000000"/>
          <w:sz w:val="20"/>
          <w:szCs w:val="20"/>
          <w:lang w:val="en-US"/>
        </w:rPr>
        <w:t xml:space="preserve"> but </w:t>
      </w:r>
      <w:r w:rsidR="007830B6" w:rsidRPr="00785D06">
        <w:rPr>
          <w:rFonts w:eastAsia="Times New Roman"/>
          <w:color w:val="000000"/>
          <w:sz w:val="20"/>
          <w:szCs w:val="20"/>
          <w:lang w:val="en-US"/>
        </w:rPr>
        <w:t xml:space="preserve">also included many </w:t>
      </w:r>
      <w:r w:rsidR="00C11EEE" w:rsidRPr="00785D06">
        <w:rPr>
          <w:sz w:val="20"/>
          <w:szCs w:val="20"/>
          <w:lang w:val="en-US"/>
        </w:rPr>
        <w:t xml:space="preserve">factors of vulnerability and risk of discrimination </w:t>
      </w:r>
      <w:r w:rsidR="007830B6" w:rsidRPr="00785D06">
        <w:rPr>
          <w:sz w:val="20"/>
          <w:szCs w:val="20"/>
          <w:lang w:val="en-US"/>
        </w:rPr>
        <w:t>that intersected and</w:t>
      </w:r>
      <w:r w:rsidR="00C11EEE" w:rsidRPr="00785D06">
        <w:rPr>
          <w:sz w:val="20"/>
          <w:szCs w:val="20"/>
          <w:lang w:val="en-US"/>
        </w:rPr>
        <w:t xml:space="preserve"> were associated with her condition as a minor and a female</w:t>
      </w:r>
      <w:r w:rsidRPr="00785D06">
        <w:rPr>
          <w:rFonts w:eastAsia="Times New Roman"/>
          <w:color w:val="000000"/>
          <w:sz w:val="20"/>
          <w:szCs w:val="20"/>
          <w:lang w:val="en-US"/>
        </w:rPr>
        <w:t xml:space="preserve">. </w:t>
      </w:r>
      <w:r w:rsidR="007830B6" w:rsidRPr="00785D06">
        <w:rPr>
          <w:rFonts w:eastAsia="Times New Roman"/>
          <w:color w:val="000000"/>
          <w:sz w:val="20"/>
          <w:szCs w:val="20"/>
          <w:lang w:val="en-US"/>
        </w:rPr>
        <w:t>Moreover</w:t>
      </w:r>
      <w:r w:rsidR="00C11EEE" w:rsidRPr="00785D06">
        <w:rPr>
          <w:rFonts w:eastAsia="Times New Roman"/>
          <w:color w:val="000000"/>
          <w:sz w:val="20"/>
          <w:szCs w:val="20"/>
          <w:lang w:val="en-US"/>
        </w:rPr>
        <w:t>, t</w:t>
      </w:r>
      <w:r w:rsidR="0025407B" w:rsidRPr="00785D06">
        <w:rPr>
          <w:rFonts w:eastAsia="Times New Roman"/>
          <w:color w:val="000000"/>
          <w:sz w:val="20"/>
          <w:szCs w:val="20"/>
          <w:lang w:val="en-US"/>
        </w:rPr>
        <w:t>he</w:t>
      </w:r>
      <w:r w:rsidRPr="00785D06">
        <w:rPr>
          <w:rFonts w:eastAsia="Times New Roman"/>
          <w:color w:val="000000"/>
          <w:sz w:val="20"/>
          <w:szCs w:val="20"/>
          <w:lang w:val="en-US"/>
        </w:rPr>
        <w:t xml:space="preserve">se acts of violence and discrimination </w:t>
      </w:r>
      <w:r w:rsidR="00CA4C9D" w:rsidRPr="00785D06">
        <w:rPr>
          <w:rFonts w:eastAsia="Times New Roman"/>
          <w:color w:val="000000"/>
          <w:sz w:val="20"/>
          <w:szCs w:val="20"/>
          <w:lang w:val="en-US"/>
        </w:rPr>
        <w:t xml:space="preserve">took place </w:t>
      </w:r>
      <w:r w:rsidRPr="00785D06">
        <w:rPr>
          <w:rFonts w:eastAsia="Times New Roman"/>
          <w:color w:val="000000"/>
          <w:sz w:val="20"/>
          <w:szCs w:val="20"/>
          <w:lang w:val="en-US"/>
        </w:rPr>
        <w:t xml:space="preserve">in a </w:t>
      </w:r>
      <w:r w:rsidR="007830B6" w:rsidRPr="00785D06">
        <w:rPr>
          <w:rFonts w:eastAsia="Times New Roman"/>
          <w:color w:val="000000"/>
          <w:sz w:val="20"/>
          <w:szCs w:val="20"/>
          <w:lang w:val="en-US"/>
        </w:rPr>
        <w:t>structural context</w:t>
      </w:r>
      <w:r w:rsidRPr="00785D06">
        <w:rPr>
          <w:rStyle w:val="Refdenotaalpie"/>
          <w:rFonts w:eastAsia="Times New Roman"/>
          <w:color w:val="000000"/>
          <w:sz w:val="20"/>
          <w:szCs w:val="20"/>
          <w:lang w:val="en-US"/>
        </w:rPr>
        <w:footnoteReference w:id="144"/>
      </w:r>
      <w:r w:rsidRPr="00785D06">
        <w:rPr>
          <w:rFonts w:eastAsia="Times New Roman"/>
          <w:color w:val="000000"/>
          <w:sz w:val="20"/>
          <w:szCs w:val="20"/>
          <w:lang w:val="en-US"/>
        </w:rPr>
        <w:t xml:space="preserve"> </w:t>
      </w:r>
      <w:r w:rsidR="007830B6" w:rsidRPr="00785D06">
        <w:rPr>
          <w:rFonts w:eastAsia="Times New Roman"/>
          <w:color w:val="000000"/>
          <w:sz w:val="20"/>
          <w:szCs w:val="20"/>
          <w:lang w:val="en-US"/>
        </w:rPr>
        <w:t xml:space="preserve">in which </w:t>
      </w:r>
      <w:r w:rsidRPr="00785D06">
        <w:rPr>
          <w:rFonts w:eastAsia="Times New Roman"/>
          <w:color w:val="000000"/>
          <w:sz w:val="20"/>
          <w:szCs w:val="20"/>
          <w:lang w:val="en-US"/>
        </w:rPr>
        <w:t xml:space="preserve">sexual violence </w:t>
      </w:r>
      <w:r w:rsidR="00285477" w:rsidRPr="00785D06">
        <w:rPr>
          <w:rFonts w:eastAsia="Times New Roman"/>
          <w:color w:val="000000"/>
          <w:sz w:val="20"/>
          <w:szCs w:val="20"/>
          <w:lang w:val="en-US"/>
        </w:rPr>
        <w:t>was a</w:t>
      </w:r>
      <w:r w:rsidRPr="00785D06">
        <w:rPr>
          <w:rFonts w:eastAsia="Times New Roman"/>
          <w:color w:val="000000"/>
          <w:sz w:val="20"/>
          <w:szCs w:val="20"/>
          <w:lang w:val="en-US"/>
        </w:rPr>
        <w:t xml:space="preserve"> known problem</w:t>
      </w:r>
      <w:r w:rsidR="00285477" w:rsidRPr="00785D06">
        <w:rPr>
          <w:rFonts w:eastAsia="Times New Roman"/>
          <w:color w:val="000000"/>
          <w:sz w:val="20"/>
          <w:szCs w:val="20"/>
          <w:lang w:val="en-US"/>
        </w:rPr>
        <w:t xml:space="preserve"> in schools</w:t>
      </w:r>
      <w:r w:rsidRPr="00785D06">
        <w:rPr>
          <w:rFonts w:eastAsia="Times New Roman"/>
          <w:color w:val="000000"/>
          <w:sz w:val="20"/>
          <w:szCs w:val="20"/>
          <w:lang w:val="en-US"/>
        </w:rPr>
        <w:t xml:space="preserve">, </w:t>
      </w:r>
      <w:r w:rsidR="0025407B" w:rsidRPr="00785D06">
        <w:rPr>
          <w:rFonts w:eastAsia="Times New Roman"/>
          <w:color w:val="000000"/>
          <w:sz w:val="20"/>
          <w:szCs w:val="20"/>
          <w:lang w:val="en-US"/>
        </w:rPr>
        <w:t xml:space="preserve">yet </w:t>
      </w:r>
      <w:r w:rsidRPr="00785D06">
        <w:rPr>
          <w:rFonts w:eastAsia="Times New Roman"/>
          <w:color w:val="000000"/>
          <w:sz w:val="20"/>
          <w:szCs w:val="20"/>
          <w:lang w:val="en-US"/>
        </w:rPr>
        <w:t xml:space="preserve">the State </w:t>
      </w:r>
      <w:r w:rsidR="0025407B" w:rsidRPr="00785D06">
        <w:rPr>
          <w:rFonts w:eastAsia="Times New Roman"/>
          <w:color w:val="000000"/>
          <w:sz w:val="20"/>
          <w:szCs w:val="20"/>
          <w:lang w:val="en-US"/>
        </w:rPr>
        <w:t>failed to adopt</w:t>
      </w:r>
      <w:r w:rsidRPr="00785D06">
        <w:rPr>
          <w:rFonts w:eastAsia="Times New Roman"/>
          <w:color w:val="000000"/>
          <w:sz w:val="20"/>
          <w:szCs w:val="20"/>
          <w:lang w:val="en-US"/>
        </w:rPr>
        <w:t xml:space="preserve"> eff</w:t>
      </w:r>
      <w:r w:rsidR="00285477" w:rsidRPr="00785D06">
        <w:rPr>
          <w:rFonts w:eastAsia="Times New Roman"/>
          <w:color w:val="000000"/>
          <w:sz w:val="20"/>
          <w:szCs w:val="20"/>
          <w:lang w:val="en-US"/>
        </w:rPr>
        <w:t xml:space="preserve">ective measures to address it </w:t>
      </w:r>
      <w:r w:rsidRPr="00785D06">
        <w:rPr>
          <w:rFonts w:eastAsia="Times New Roman"/>
          <w:color w:val="000000"/>
          <w:sz w:val="20"/>
          <w:szCs w:val="20"/>
          <w:lang w:val="en-US"/>
        </w:rPr>
        <w:t>(</w:t>
      </w:r>
      <w:r w:rsidRPr="00785D06">
        <w:rPr>
          <w:rFonts w:eastAsia="Times New Roman"/>
          <w:i/>
          <w:color w:val="000000"/>
          <w:sz w:val="20"/>
          <w:szCs w:val="20"/>
          <w:lang w:val="en-US"/>
        </w:rPr>
        <w:t xml:space="preserve">supra </w:t>
      </w:r>
      <w:r w:rsidRPr="00785D06">
        <w:rPr>
          <w:rFonts w:eastAsia="Times New Roman"/>
          <w:color w:val="000000"/>
          <w:sz w:val="20"/>
          <w:szCs w:val="20"/>
          <w:lang w:val="en-US"/>
        </w:rPr>
        <w:t xml:space="preserve">para. 135). </w:t>
      </w:r>
      <w:r w:rsidR="00285477" w:rsidRPr="00785D06">
        <w:rPr>
          <w:rFonts w:eastAsia="Times New Roman"/>
          <w:color w:val="000000"/>
          <w:sz w:val="20"/>
          <w:szCs w:val="20"/>
          <w:lang w:val="en-US"/>
        </w:rPr>
        <w:t xml:space="preserve">Therefore, </w:t>
      </w:r>
      <w:r w:rsidR="0025407B" w:rsidRPr="00785D06">
        <w:rPr>
          <w:rFonts w:eastAsia="Times New Roman"/>
          <w:color w:val="000000"/>
          <w:sz w:val="20"/>
          <w:szCs w:val="20"/>
          <w:lang w:val="en-US"/>
        </w:rPr>
        <w:t xml:space="preserve">as regards the human rights affected by </w:t>
      </w:r>
      <w:r w:rsidR="00285477" w:rsidRPr="00785D06">
        <w:rPr>
          <w:rFonts w:eastAsia="Times New Roman"/>
          <w:color w:val="000000"/>
          <w:sz w:val="20"/>
          <w:szCs w:val="20"/>
          <w:lang w:val="en-US"/>
        </w:rPr>
        <w:t xml:space="preserve">the sexual violence suffered by Paola, the State failed to meet its obligations to respect and guarantee </w:t>
      </w:r>
      <w:r w:rsidR="0025407B" w:rsidRPr="00785D06">
        <w:rPr>
          <w:rFonts w:eastAsia="Times New Roman"/>
          <w:color w:val="000000"/>
          <w:sz w:val="20"/>
          <w:szCs w:val="20"/>
          <w:lang w:val="en-US"/>
        </w:rPr>
        <w:t xml:space="preserve">these without discrimination </w:t>
      </w:r>
      <w:r w:rsidRPr="00785D06">
        <w:rPr>
          <w:rFonts w:eastAsia="Times New Roman"/>
          <w:color w:val="000000"/>
          <w:sz w:val="20"/>
          <w:szCs w:val="20"/>
          <w:lang w:val="en-US"/>
        </w:rPr>
        <w:t>(</w:t>
      </w:r>
      <w:r w:rsidRPr="00785D06">
        <w:rPr>
          <w:rFonts w:eastAsia="Times New Roman"/>
          <w:i/>
          <w:color w:val="000000"/>
          <w:sz w:val="20"/>
          <w:szCs w:val="20"/>
          <w:lang w:val="en-US"/>
        </w:rPr>
        <w:t xml:space="preserve">supra </w:t>
      </w:r>
      <w:r w:rsidRPr="00785D06">
        <w:rPr>
          <w:rFonts w:eastAsia="Times New Roman"/>
          <w:color w:val="000000"/>
          <w:sz w:val="20"/>
          <w:szCs w:val="20"/>
          <w:lang w:val="en-US"/>
        </w:rPr>
        <w:t xml:space="preserve">paras. 109, 110, 111, and 117, and </w:t>
      </w:r>
      <w:r w:rsidRPr="00785D06">
        <w:rPr>
          <w:rFonts w:eastAsia="Times New Roman"/>
          <w:i/>
          <w:color w:val="000000"/>
          <w:sz w:val="20"/>
          <w:szCs w:val="20"/>
          <w:lang w:val="en-US"/>
        </w:rPr>
        <w:t>infra</w:t>
      </w:r>
      <w:r w:rsidR="00732429" w:rsidRPr="00785D06">
        <w:rPr>
          <w:rFonts w:eastAsia="Times New Roman"/>
          <w:color w:val="000000"/>
          <w:sz w:val="20"/>
          <w:szCs w:val="20"/>
          <w:lang w:val="en-US"/>
        </w:rPr>
        <w:t xml:space="preserve"> paras. 157 and 165)</w:t>
      </w:r>
      <w:r w:rsidRPr="00785D06">
        <w:rPr>
          <w:rFonts w:eastAsia="Times New Roman"/>
          <w:color w:val="000000"/>
          <w:sz w:val="20"/>
          <w:szCs w:val="20"/>
          <w:lang w:val="en-US"/>
        </w:rPr>
        <w:t>.</w:t>
      </w:r>
    </w:p>
    <w:p w14:paraId="3A356F8F" w14:textId="77777777" w:rsidR="00C254BF" w:rsidRPr="00785D06" w:rsidRDefault="00C254BF" w:rsidP="00C254BF">
      <w:pPr>
        <w:pStyle w:val="Prrafodelista"/>
        <w:ind w:left="0"/>
        <w:contextualSpacing w:val="0"/>
        <w:jc w:val="both"/>
        <w:rPr>
          <w:sz w:val="20"/>
          <w:szCs w:val="20"/>
          <w:lang w:val="en-US"/>
        </w:rPr>
      </w:pPr>
    </w:p>
    <w:p w14:paraId="2F05A175" w14:textId="77777777" w:rsidR="00C254BF" w:rsidRPr="00785D06" w:rsidRDefault="00C254BF" w:rsidP="00C254BF">
      <w:pPr>
        <w:pStyle w:val="Prrafodelista"/>
        <w:ind w:left="851"/>
        <w:outlineLvl w:val="3"/>
        <w:rPr>
          <w:i/>
          <w:sz w:val="20"/>
          <w:szCs w:val="20"/>
          <w:lang w:val="en-US"/>
        </w:rPr>
      </w:pPr>
      <w:bookmarkStart w:id="115" w:name="_Toc46937301"/>
      <w:r w:rsidRPr="00785D06">
        <w:rPr>
          <w:i/>
          <w:sz w:val="20"/>
          <w:szCs w:val="20"/>
          <w:lang w:val="en-US"/>
        </w:rPr>
        <w:t>B.2.3 Conclusion on sexual violence</w:t>
      </w:r>
      <w:bookmarkEnd w:id="115"/>
    </w:p>
    <w:p w14:paraId="060FDD8C" w14:textId="77777777" w:rsidR="00C254BF" w:rsidRPr="00785D06" w:rsidRDefault="00C254BF" w:rsidP="00C254BF">
      <w:pPr>
        <w:pStyle w:val="Prrafodelista"/>
        <w:ind w:left="0"/>
        <w:contextualSpacing w:val="0"/>
        <w:jc w:val="both"/>
        <w:rPr>
          <w:sz w:val="20"/>
          <w:szCs w:val="20"/>
          <w:lang w:val="en-US"/>
        </w:rPr>
      </w:pPr>
    </w:p>
    <w:p w14:paraId="29B307BF" w14:textId="77777777" w:rsidR="00C254BF" w:rsidRPr="00785D06" w:rsidRDefault="0025407B"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Based on </w:t>
      </w:r>
      <w:r w:rsidR="009950B7" w:rsidRPr="00785D06">
        <w:rPr>
          <w:sz w:val="20"/>
          <w:szCs w:val="20"/>
          <w:lang w:val="en-US"/>
        </w:rPr>
        <w:t xml:space="preserve">the facts </w:t>
      </w:r>
      <w:r w:rsidRPr="00785D06">
        <w:rPr>
          <w:sz w:val="20"/>
          <w:szCs w:val="20"/>
          <w:lang w:val="en-US"/>
        </w:rPr>
        <w:t xml:space="preserve">examined </w:t>
      </w:r>
      <w:r w:rsidR="009950B7" w:rsidRPr="00785D06">
        <w:rPr>
          <w:sz w:val="20"/>
          <w:szCs w:val="20"/>
          <w:lang w:val="en-US"/>
        </w:rPr>
        <w:t>so far, t</w:t>
      </w:r>
      <w:r w:rsidR="00C254BF" w:rsidRPr="00785D06">
        <w:rPr>
          <w:sz w:val="20"/>
          <w:szCs w:val="20"/>
          <w:lang w:val="en-US"/>
        </w:rPr>
        <w:t xml:space="preserve">he Court concludes that Paola del Rosario Guzmán Albarracín was subjected, for more than one year, to </w:t>
      </w:r>
      <w:r w:rsidR="009950B7" w:rsidRPr="00785D06">
        <w:rPr>
          <w:sz w:val="20"/>
          <w:szCs w:val="20"/>
          <w:lang w:val="en-US"/>
        </w:rPr>
        <w:t xml:space="preserve">sexual </w:t>
      </w:r>
      <w:r w:rsidR="00C254BF" w:rsidRPr="00785D06">
        <w:rPr>
          <w:sz w:val="20"/>
          <w:szCs w:val="20"/>
          <w:lang w:val="en-US"/>
        </w:rPr>
        <w:t xml:space="preserve">harassment, abuse and </w:t>
      </w:r>
      <w:r w:rsidR="009950B7" w:rsidRPr="00785D06">
        <w:rPr>
          <w:sz w:val="20"/>
          <w:szCs w:val="20"/>
          <w:lang w:val="en-US"/>
        </w:rPr>
        <w:t xml:space="preserve">sexual intercourse </w:t>
      </w:r>
      <w:r w:rsidR="00C254BF" w:rsidRPr="00785D06">
        <w:rPr>
          <w:sz w:val="20"/>
          <w:szCs w:val="20"/>
          <w:lang w:val="en-US"/>
        </w:rPr>
        <w:t xml:space="preserve">by the </w:t>
      </w:r>
      <w:r w:rsidR="0097298A" w:rsidRPr="00785D06">
        <w:rPr>
          <w:sz w:val="20"/>
          <w:szCs w:val="20"/>
          <w:lang w:val="en-US"/>
        </w:rPr>
        <w:t>vice principal</w:t>
      </w:r>
      <w:r w:rsidRPr="00785D06">
        <w:rPr>
          <w:sz w:val="20"/>
          <w:szCs w:val="20"/>
          <w:lang w:val="en-US"/>
        </w:rPr>
        <w:t xml:space="preserve"> of her school. This was </w:t>
      </w:r>
      <w:r w:rsidR="009950B7" w:rsidRPr="00785D06">
        <w:rPr>
          <w:sz w:val="20"/>
          <w:szCs w:val="20"/>
          <w:lang w:val="en-US"/>
        </w:rPr>
        <w:t xml:space="preserve">a situation </w:t>
      </w:r>
      <w:r w:rsidRPr="00785D06">
        <w:rPr>
          <w:sz w:val="20"/>
          <w:szCs w:val="20"/>
          <w:lang w:val="en-US"/>
        </w:rPr>
        <w:t xml:space="preserve">in which </w:t>
      </w:r>
      <w:r w:rsidR="00C254BF" w:rsidRPr="00785D06">
        <w:rPr>
          <w:sz w:val="20"/>
          <w:szCs w:val="20"/>
          <w:lang w:val="en-US"/>
        </w:rPr>
        <w:t xml:space="preserve">serious acts of sexual violence </w:t>
      </w:r>
      <w:r w:rsidRPr="00785D06">
        <w:rPr>
          <w:sz w:val="20"/>
          <w:szCs w:val="20"/>
          <w:lang w:val="en-US"/>
        </w:rPr>
        <w:t xml:space="preserve">were committed </w:t>
      </w:r>
      <w:r w:rsidR="00C254BF" w:rsidRPr="00785D06">
        <w:rPr>
          <w:sz w:val="20"/>
          <w:szCs w:val="20"/>
          <w:lang w:val="en-US"/>
        </w:rPr>
        <w:t xml:space="preserve">against her </w:t>
      </w:r>
      <w:r w:rsidR="009950B7" w:rsidRPr="00785D06">
        <w:rPr>
          <w:sz w:val="20"/>
          <w:szCs w:val="20"/>
          <w:lang w:val="en-US"/>
        </w:rPr>
        <w:t xml:space="preserve">in </w:t>
      </w:r>
      <w:r w:rsidR="00C254BF" w:rsidRPr="00785D06">
        <w:rPr>
          <w:sz w:val="20"/>
          <w:szCs w:val="20"/>
          <w:lang w:val="en-US"/>
        </w:rPr>
        <w:t xml:space="preserve">an educational </w:t>
      </w:r>
      <w:r w:rsidR="009950B7" w:rsidRPr="00785D06">
        <w:rPr>
          <w:sz w:val="20"/>
          <w:szCs w:val="20"/>
          <w:lang w:val="en-US"/>
        </w:rPr>
        <w:t>establishment</w:t>
      </w:r>
      <w:r w:rsidRPr="00785D06">
        <w:rPr>
          <w:sz w:val="20"/>
          <w:szCs w:val="20"/>
          <w:lang w:val="en-US"/>
        </w:rPr>
        <w:t>,</w:t>
      </w:r>
      <w:r w:rsidR="00C254BF" w:rsidRPr="00785D06">
        <w:rPr>
          <w:sz w:val="20"/>
          <w:szCs w:val="20"/>
          <w:lang w:val="en-US"/>
        </w:rPr>
        <w:t xml:space="preserve"> </w:t>
      </w:r>
      <w:r w:rsidRPr="00785D06">
        <w:rPr>
          <w:sz w:val="20"/>
          <w:szCs w:val="20"/>
          <w:lang w:val="en-US"/>
        </w:rPr>
        <w:t xml:space="preserve">by </w:t>
      </w:r>
      <w:r w:rsidR="009950B7" w:rsidRPr="00785D06">
        <w:rPr>
          <w:sz w:val="20"/>
          <w:szCs w:val="20"/>
          <w:lang w:val="en-US"/>
        </w:rPr>
        <w:t xml:space="preserve">a </w:t>
      </w:r>
      <w:r w:rsidR="00C254BF" w:rsidRPr="00785D06">
        <w:rPr>
          <w:sz w:val="20"/>
          <w:szCs w:val="20"/>
          <w:lang w:val="en-US"/>
        </w:rPr>
        <w:t xml:space="preserve">public official </w:t>
      </w:r>
      <w:r w:rsidR="009950B7" w:rsidRPr="00785D06">
        <w:rPr>
          <w:sz w:val="20"/>
          <w:szCs w:val="20"/>
          <w:lang w:val="en-US"/>
        </w:rPr>
        <w:t xml:space="preserve">who </w:t>
      </w:r>
      <w:r w:rsidR="00C254BF" w:rsidRPr="00785D06">
        <w:rPr>
          <w:sz w:val="20"/>
          <w:szCs w:val="20"/>
          <w:lang w:val="en-US"/>
        </w:rPr>
        <w:t>t</w:t>
      </w:r>
      <w:r w:rsidR="009950B7" w:rsidRPr="00785D06">
        <w:rPr>
          <w:sz w:val="20"/>
          <w:szCs w:val="20"/>
          <w:lang w:val="en-US"/>
        </w:rPr>
        <w:t xml:space="preserve">ook </w:t>
      </w:r>
      <w:r w:rsidR="00C254BF" w:rsidRPr="00785D06">
        <w:rPr>
          <w:sz w:val="20"/>
          <w:szCs w:val="20"/>
          <w:lang w:val="en-US"/>
        </w:rPr>
        <w:t xml:space="preserve">advantage of </w:t>
      </w:r>
      <w:r w:rsidR="009950B7" w:rsidRPr="00785D06">
        <w:rPr>
          <w:sz w:val="20"/>
          <w:szCs w:val="20"/>
          <w:lang w:val="en-US"/>
        </w:rPr>
        <w:t xml:space="preserve">his </w:t>
      </w:r>
      <w:r w:rsidR="003400CB" w:rsidRPr="00785D06">
        <w:rPr>
          <w:sz w:val="20"/>
          <w:szCs w:val="20"/>
          <w:lang w:val="en-US"/>
        </w:rPr>
        <w:t>posit</w:t>
      </w:r>
      <w:r w:rsidR="00CD07C6" w:rsidRPr="00785D06">
        <w:rPr>
          <w:sz w:val="20"/>
          <w:szCs w:val="20"/>
          <w:lang w:val="en-US"/>
        </w:rPr>
        <w:t>i</w:t>
      </w:r>
      <w:r w:rsidR="003400CB" w:rsidRPr="00785D06">
        <w:rPr>
          <w:sz w:val="20"/>
          <w:szCs w:val="20"/>
          <w:lang w:val="en-US"/>
        </w:rPr>
        <w:t xml:space="preserve">on of </w:t>
      </w:r>
      <w:r w:rsidR="00C254BF" w:rsidRPr="00785D06">
        <w:rPr>
          <w:sz w:val="20"/>
          <w:szCs w:val="20"/>
          <w:lang w:val="en-US"/>
        </w:rPr>
        <w:t xml:space="preserve">power </w:t>
      </w:r>
      <w:r w:rsidR="009950B7" w:rsidRPr="00785D06">
        <w:rPr>
          <w:sz w:val="20"/>
          <w:szCs w:val="20"/>
          <w:lang w:val="en-US"/>
        </w:rPr>
        <w:t xml:space="preserve">and authority </w:t>
      </w:r>
      <w:r w:rsidR="00C254BF" w:rsidRPr="00785D06">
        <w:rPr>
          <w:sz w:val="20"/>
          <w:szCs w:val="20"/>
          <w:lang w:val="en-US"/>
        </w:rPr>
        <w:t xml:space="preserve">and of the victim’s vulnerability, </w:t>
      </w:r>
      <w:r w:rsidR="009950B7" w:rsidRPr="00785D06">
        <w:rPr>
          <w:sz w:val="20"/>
          <w:szCs w:val="20"/>
          <w:lang w:val="en-US"/>
        </w:rPr>
        <w:t xml:space="preserve">violating </w:t>
      </w:r>
      <w:r w:rsidR="00CD07C6" w:rsidRPr="00785D06">
        <w:rPr>
          <w:sz w:val="20"/>
          <w:szCs w:val="20"/>
          <w:lang w:val="en-US"/>
        </w:rPr>
        <w:t xml:space="preserve">her </w:t>
      </w:r>
      <w:r w:rsidR="00C254BF" w:rsidRPr="00785D06">
        <w:rPr>
          <w:sz w:val="20"/>
          <w:szCs w:val="20"/>
          <w:lang w:val="en-US"/>
        </w:rPr>
        <w:t xml:space="preserve">right, as an adolescent woman, to live a life free </w:t>
      </w:r>
      <w:r w:rsidR="009950B7" w:rsidRPr="00785D06">
        <w:rPr>
          <w:sz w:val="20"/>
          <w:szCs w:val="20"/>
          <w:lang w:val="en-US"/>
        </w:rPr>
        <w:t xml:space="preserve">from </w:t>
      </w:r>
      <w:r w:rsidR="00C254BF" w:rsidRPr="00785D06">
        <w:rPr>
          <w:sz w:val="20"/>
          <w:szCs w:val="20"/>
          <w:lang w:val="en-US"/>
        </w:rPr>
        <w:t>violence a</w:t>
      </w:r>
      <w:r w:rsidR="009950B7" w:rsidRPr="00785D06">
        <w:rPr>
          <w:sz w:val="20"/>
          <w:szCs w:val="20"/>
          <w:lang w:val="en-US"/>
        </w:rPr>
        <w:t xml:space="preserve">s well as </w:t>
      </w:r>
      <w:r w:rsidR="00C254BF" w:rsidRPr="00785D06">
        <w:rPr>
          <w:sz w:val="20"/>
          <w:szCs w:val="20"/>
          <w:lang w:val="en-US"/>
        </w:rPr>
        <w:t>her right to education. Th</w:t>
      </w:r>
      <w:r w:rsidR="00B713D0" w:rsidRPr="00785D06">
        <w:rPr>
          <w:sz w:val="20"/>
          <w:szCs w:val="20"/>
          <w:lang w:val="en-US"/>
        </w:rPr>
        <w:t>e</w:t>
      </w:r>
      <w:r w:rsidR="003400CB" w:rsidRPr="00785D06">
        <w:rPr>
          <w:sz w:val="20"/>
          <w:szCs w:val="20"/>
          <w:lang w:val="en-US"/>
        </w:rPr>
        <w:t xml:space="preserve"> violence</w:t>
      </w:r>
      <w:r w:rsidR="00C254BF" w:rsidRPr="00785D06">
        <w:rPr>
          <w:sz w:val="20"/>
          <w:szCs w:val="20"/>
          <w:lang w:val="en-US"/>
        </w:rPr>
        <w:t xml:space="preserve"> </w:t>
      </w:r>
      <w:r w:rsidR="00B713D0" w:rsidRPr="00785D06">
        <w:rPr>
          <w:sz w:val="20"/>
          <w:szCs w:val="20"/>
          <w:lang w:val="en-US"/>
        </w:rPr>
        <w:t xml:space="preserve">Paola suffered </w:t>
      </w:r>
      <w:r w:rsidR="00C254BF" w:rsidRPr="00785D06">
        <w:rPr>
          <w:sz w:val="20"/>
          <w:szCs w:val="20"/>
          <w:lang w:val="en-US"/>
        </w:rPr>
        <w:t xml:space="preserve">was not </w:t>
      </w:r>
      <w:r w:rsidR="003400CB" w:rsidRPr="00785D06">
        <w:rPr>
          <w:sz w:val="20"/>
          <w:szCs w:val="20"/>
          <w:lang w:val="en-US"/>
        </w:rPr>
        <w:t xml:space="preserve">an </w:t>
      </w:r>
      <w:r w:rsidR="00C254BF" w:rsidRPr="00785D06">
        <w:rPr>
          <w:sz w:val="20"/>
          <w:szCs w:val="20"/>
          <w:lang w:val="en-US"/>
        </w:rPr>
        <w:t xml:space="preserve">isolated </w:t>
      </w:r>
      <w:r w:rsidR="00B713D0" w:rsidRPr="00785D06">
        <w:rPr>
          <w:sz w:val="20"/>
          <w:szCs w:val="20"/>
          <w:lang w:val="en-US"/>
        </w:rPr>
        <w:t>incident</w:t>
      </w:r>
      <w:r w:rsidR="00436336" w:rsidRPr="00785D06">
        <w:rPr>
          <w:sz w:val="20"/>
          <w:szCs w:val="20"/>
          <w:lang w:val="en-US"/>
        </w:rPr>
        <w:t>;</w:t>
      </w:r>
      <w:r w:rsidR="003400CB" w:rsidRPr="00785D06">
        <w:rPr>
          <w:sz w:val="20"/>
          <w:szCs w:val="20"/>
          <w:lang w:val="en-US"/>
        </w:rPr>
        <w:t xml:space="preserve"> </w:t>
      </w:r>
      <w:r w:rsidR="00436336" w:rsidRPr="00785D06">
        <w:rPr>
          <w:sz w:val="20"/>
          <w:szCs w:val="20"/>
          <w:lang w:val="en-US"/>
        </w:rPr>
        <w:t xml:space="preserve">rather, it occurred within a </w:t>
      </w:r>
      <w:r w:rsidR="00C254BF" w:rsidRPr="00785D06">
        <w:rPr>
          <w:sz w:val="20"/>
          <w:szCs w:val="20"/>
          <w:lang w:val="en-US"/>
        </w:rPr>
        <w:t xml:space="preserve">structural </w:t>
      </w:r>
      <w:r w:rsidR="00436336" w:rsidRPr="00785D06">
        <w:rPr>
          <w:sz w:val="20"/>
          <w:szCs w:val="20"/>
          <w:lang w:val="en-US"/>
        </w:rPr>
        <w:t xml:space="preserve">context </w:t>
      </w:r>
      <w:r w:rsidR="00FE2C12" w:rsidRPr="00785D06">
        <w:rPr>
          <w:sz w:val="20"/>
          <w:szCs w:val="20"/>
          <w:lang w:val="en-US"/>
        </w:rPr>
        <w:t>in which various factors of discrimination intersected, namely, the gender and age of the victim</w:t>
      </w:r>
      <w:r w:rsidR="00C254BF" w:rsidRPr="00785D06">
        <w:rPr>
          <w:sz w:val="20"/>
          <w:szCs w:val="20"/>
          <w:lang w:val="en-US"/>
        </w:rPr>
        <w:t xml:space="preserve">. </w:t>
      </w:r>
      <w:r w:rsidR="00CD07C6" w:rsidRPr="00785D06">
        <w:rPr>
          <w:sz w:val="20"/>
          <w:szCs w:val="20"/>
          <w:lang w:val="en-US"/>
        </w:rPr>
        <w:t>Furthermore, t</w:t>
      </w:r>
      <w:r w:rsidR="00C254BF" w:rsidRPr="00785D06">
        <w:rPr>
          <w:sz w:val="20"/>
          <w:szCs w:val="20"/>
          <w:lang w:val="en-US"/>
        </w:rPr>
        <w:t xml:space="preserve">his situation was tolerated by the </w:t>
      </w:r>
      <w:r w:rsidR="00CD07C6" w:rsidRPr="00785D06">
        <w:rPr>
          <w:sz w:val="20"/>
          <w:szCs w:val="20"/>
          <w:lang w:val="en-US"/>
        </w:rPr>
        <w:t>State authorities, who failed to</w:t>
      </w:r>
      <w:r w:rsidR="00C254BF" w:rsidRPr="00785D06">
        <w:rPr>
          <w:sz w:val="20"/>
          <w:szCs w:val="20"/>
          <w:lang w:val="en-US"/>
        </w:rPr>
        <w:t xml:space="preserve"> </w:t>
      </w:r>
      <w:r w:rsidR="00CD07C6" w:rsidRPr="00785D06">
        <w:rPr>
          <w:sz w:val="20"/>
          <w:szCs w:val="20"/>
          <w:lang w:val="en-US"/>
        </w:rPr>
        <w:t xml:space="preserve">take </w:t>
      </w:r>
      <w:r w:rsidR="00C254BF" w:rsidRPr="00785D06">
        <w:rPr>
          <w:sz w:val="20"/>
          <w:szCs w:val="20"/>
          <w:lang w:val="en-US"/>
        </w:rPr>
        <w:t xml:space="preserve">adequate measures to address sexual violence </w:t>
      </w:r>
      <w:r w:rsidR="00CD07C6" w:rsidRPr="00785D06">
        <w:rPr>
          <w:sz w:val="20"/>
          <w:szCs w:val="20"/>
          <w:lang w:val="en-US"/>
        </w:rPr>
        <w:t xml:space="preserve">in schools </w:t>
      </w:r>
      <w:r w:rsidR="00C254BF" w:rsidRPr="00785D06">
        <w:rPr>
          <w:sz w:val="20"/>
          <w:szCs w:val="20"/>
          <w:lang w:val="en-US"/>
        </w:rPr>
        <w:t xml:space="preserve">and </w:t>
      </w:r>
      <w:r w:rsidR="00CD07C6" w:rsidRPr="00785D06">
        <w:rPr>
          <w:sz w:val="20"/>
          <w:szCs w:val="20"/>
          <w:lang w:val="en-US"/>
        </w:rPr>
        <w:t xml:space="preserve">to </w:t>
      </w:r>
      <w:r w:rsidR="00C254BF" w:rsidRPr="00785D06">
        <w:rPr>
          <w:sz w:val="20"/>
          <w:szCs w:val="20"/>
          <w:lang w:val="en-US"/>
        </w:rPr>
        <w:t xml:space="preserve">provide </w:t>
      </w:r>
      <w:r w:rsidR="00B713D0" w:rsidRPr="00785D06">
        <w:rPr>
          <w:sz w:val="20"/>
          <w:szCs w:val="20"/>
          <w:lang w:val="en-US"/>
        </w:rPr>
        <w:t xml:space="preserve">her </w:t>
      </w:r>
      <w:r w:rsidR="00C254BF" w:rsidRPr="00785D06">
        <w:rPr>
          <w:sz w:val="20"/>
          <w:szCs w:val="20"/>
          <w:lang w:val="en-US"/>
        </w:rPr>
        <w:t xml:space="preserve">with education on </w:t>
      </w:r>
      <w:r w:rsidR="00CD07C6" w:rsidRPr="00785D06">
        <w:rPr>
          <w:sz w:val="20"/>
          <w:szCs w:val="20"/>
          <w:lang w:val="en-US"/>
        </w:rPr>
        <w:t xml:space="preserve">her </w:t>
      </w:r>
      <w:r w:rsidR="00C254BF" w:rsidRPr="00785D06">
        <w:rPr>
          <w:sz w:val="20"/>
          <w:szCs w:val="20"/>
          <w:lang w:val="en-US"/>
        </w:rPr>
        <w:t xml:space="preserve">sexual and reproductive rights, </w:t>
      </w:r>
      <w:r w:rsidR="00CD07C6" w:rsidRPr="00785D06">
        <w:rPr>
          <w:sz w:val="20"/>
          <w:szCs w:val="20"/>
          <w:lang w:val="en-US"/>
        </w:rPr>
        <w:t xml:space="preserve">thereby </w:t>
      </w:r>
      <w:r w:rsidR="00C254BF" w:rsidRPr="00785D06">
        <w:rPr>
          <w:sz w:val="20"/>
          <w:szCs w:val="20"/>
          <w:lang w:val="en-US"/>
        </w:rPr>
        <w:t>increas</w:t>
      </w:r>
      <w:r w:rsidR="00CD07C6" w:rsidRPr="00785D06">
        <w:rPr>
          <w:sz w:val="20"/>
          <w:szCs w:val="20"/>
          <w:lang w:val="en-US"/>
        </w:rPr>
        <w:t xml:space="preserve">ing </w:t>
      </w:r>
      <w:r w:rsidR="00C254BF" w:rsidRPr="00785D06">
        <w:rPr>
          <w:sz w:val="20"/>
          <w:szCs w:val="20"/>
          <w:lang w:val="en-US"/>
        </w:rPr>
        <w:t xml:space="preserve">her situation of vulnerability. </w:t>
      </w:r>
    </w:p>
    <w:p w14:paraId="543CF397" w14:textId="77777777" w:rsidR="00C254BF" w:rsidRPr="00785D06" w:rsidRDefault="00C254BF" w:rsidP="00C254BF">
      <w:pPr>
        <w:pStyle w:val="Prrafodelista"/>
        <w:ind w:left="0"/>
        <w:contextualSpacing w:val="0"/>
        <w:jc w:val="both"/>
        <w:rPr>
          <w:sz w:val="20"/>
          <w:szCs w:val="20"/>
          <w:lang w:val="en-US"/>
        </w:rPr>
      </w:pPr>
    </w:p>
    <w:p w14:paraId="4159D374" w14:textId="77777777" w:rsidR="00C254BF" w:rsidRPr="00785D06" w:rsidRDefault="00B713D0" w:rsidP="00C254BF">
      <w:pPr>
        <w:pStyle w:val="Prrafodelista"/>
        <w:numPr>
          <w:ilvl w:val="0"/>
          <w:numId w:val="35"/>
        </w:numPr>
        <w:ind w:left="0" w:firstLine="0"/>
        <w:contextualSpacing w:val="0"/>
        <w:jc w:val="both"/>
        <w:rPr>
          <w:sz w:val="20"/>
          <w:szCs w:val="20"/>
          <w:lang w:val="en-US"/>
        </w:rPr>
      </w:pPr>
      <w:r w:rsidRPr="00785D06">
        <w:rPr>
          <w:sz w:val="20"/>
          <w:szCs w:val="20"/>
          <w:lang w:val="en-US"/>
        </w:rPr>
        <w:t>The above situation implies, o</w:t>
      </w:r>
      <w:r w:rsidR="00C254BF" w:rsidRPr="00785D06">
        <w:rPr>
          <w:sz w:val="20"/>
          <w:szCs w:val="20"/>
          <w:lang w:val="en-US"/>
        </w:rPr>
        <w:t xml:space="preserve">n the one hand, </w:t>
      </w:r>
      <w:r w:rsidR="00014990" w:rsidRPr="00785D06">
        <w:rPr>
          <w:sz w:val="20"/>
          <w:szCs w:val="20"/>
          <w:lang w:val="en-US"/>
        </w:rPr>
        <w:t xml:space="preserve">a </w:t>
      </w:r>
      <w:r w:rsidR="00C254BF" w:rsidRPr="00785D06">
        <w:rPr>
          <w:sz w:val="20"/>
          <w:szCs w:val="20"/>
          <w:lang w:val="en-US"/>
        </w:rPr>
        <w:t xml:space="preserve">direct </w:t>
      </w:r>
      <w:r w:rsidR="00D1636E" w:rsidRPr="00785D06">
        <w:rPr>
          <w:sz w:val="20"/>
          <w:szCs w:val="20"/>
          <w:lang w:val="en-US"/>
        </w:rPr>
        <w:t xml:space="preserve">violation </w:t>
      </w:r>
      <w:r w:rsidR="00014990" w:rsidRPr="00785D06">
        <w:rPr>
          <w:sz w:val="20"/>
          <w:szCs w:val="20"/>
          <w:lang w:val="en-US"/>
        </w:rPr>
        <w:t xml:space="preserve">of </w:t>
      </w:r>
      <w:r w:rsidR="00C254BF" w:rsidRPr="00785D06">
        <w:rPr>
          <w:sz w:val="20"/>
          <w:szCs w:val="20"/>
          <w:lang w:val="en-US"/>
        </w:rPr>
        <w:t xml:space="preserve">Paola’s rights </w:t>
      </w:r>
      <w:r w:rsidR="00677731" w:rsidRPr="00785D06">
        <w:rPr>
          <w:sz w:val="20"/>
          <w:szCs w:val="20"/>
          <w:lang w:val="en-US"/>
        </w:rPr>
        <w:t xml:space="preserve">owing to </w:t>
      </w:r>
      <w:r w:rsidR="00C254BF" w:rsidRPr="00785D06">
        <w:rPr>
          <w:sz w:val="20"/>
          <w:szCs w:val="20"/>
          <w:lang w:val="en-US"/>
        </w:rPr>
        <w:t xml:space="preserve">the sexual violence </w:t>
      </w:r>
      <w:r w:rsidR="00014990" w:rsidRPr="00785D06">
        <w:rPr>
          <w:sz w:val="20"/>
          <w:szCs w:val="20"/>
          <w:lang w:val="en-US"/>
        </w:rPr>
        <w:t xml:space="preserve">committed </w:t>
      </w:r>
      <w:r w:rsidR="00C254BF" w:rsidRPr="00785D06">
        <w:rPr>
          <w:sz w:val="20"/>
          <w:szCs w:val="20"/>
          <w:lang w:val="en-US"/>
        </w:rPr>
        <w:t xml:space="preserve">against her and, on other, the tolerance of such violence by </w:t>
      </w:r>
      <w:r w:rsidR="00014990" w:rsidRPr="00785D06">
        <w:rPr>
          <w:sz w:val="20"/>
          <w:szCs w:val="20"/>
          <w:lang w:val="en-US"/>
        </w:rPr>
        <w:t>the State authorities.</w:t>
      </w:r>
      <w:r w:rsidR="00C254BF" w:rsidRPr="00785D06">
        <w:rPr>
          <w:sz w:val="20"/>
          <w:szCs w:val="20"/>
          <w:lang w:val="en-US"/>
        </w:rPr>
        <w:t xml:space="preserve"> </w:t>
      </w:r>
      <w:r w:rsidR="00014990" w:rsidRPr="00785D06">
        <w:rPr>
          <w:sz w:val="20"/>
          <w:szCs w:val="20"/>
          <w:lang w:val="en-US"/>
        </w:rPr>
        <w:t xml:space="preserve">In both cases, </w:t>
      </w:r>
      <w:r w:rsidR="00677731" w:rsidRPr="00785D06">
        <w:rPr>
          <w:sz w:val="20"/>
          <w:szCs w:val="20"/>
          <w:lang w:val="en-US"/>
        </w:rPr>
        <w:t>this conduct shows that the</w:t>
      </w:r>
      <w:r w:rsidRPr="00785D06">
        <w:rPr>
          <w:sz w:val="20"/>
          <w:szCs w:val="20"/>
          <w:lang w:val="en-US"/>
        </w:rPr>
        <w:t xml:space="preserve"> State failed in its </w:t>
      </w:r>
      <w:r w:rsidR="00D1636E" w:rsidRPr="00785D06">
        <w:rPr>
          <w:sz w:val="20"/>
          <w:szCs w:val="20"/>
          <w:lang w:val="en-US"/>
        </w:rPr>
        <w:t xml:space="preserve">obligation </w:t>
      </w:r>
      <w:r w:rsidR="00C254BF" w:rsidRPr="00785D06">
        <w:rPr>
          <w:sz w:val="20"/>
          <w:szCs w:val="20"/>
          <w:lang w:val="en-US"/>
        </w:rPr>
        <w:t xml:space="preserve">to respect Paola’s rights. </w:t>
      </w:r>
      <w:r w:rsidR="00677731" w:rsidRPr="00785D06">
        <w:rPr>
          <w:sz w:val="20"/>
          <w:szCs w:val="20"/>
          <w:lang w:val="en-US"/>
        </w:rPr>
        <w:t>Furthermore</w:t>
      </w:r>
      <w:r w:rsidR="00D1636E" w:rsidRPr="00785D06">
        <w:rPr>
          <w:sz w:val="20"/>
          <w:szCs w:val="20"/>
          <w:lang w:val="en-US"/>
        </w:rPr>
        <w:t xml:space="preserve">, as </w:t>
      </w:r>
      <w:r w:rsidR="00C254BF" w:rsidRPr="00785D06">
        <w:rPr>
          <w:sz w:val="20"/>
          <w:szCs w:val="20"/>
          <w:lang w:val="en-US"/>
        </w:rPr>
        <w:t xml:space="preserve">the State </w:t>
      </w:r>
      <w:r w:rsidR="00D1636E" w:rsidRPr="00785D06">
        <w:rPr>
          <w:sz w:val="20"/>
          <w:szCs w:val="20"/>
          <w:lang w:val="en-US"/>
        </w:rPr>
        <w:t>partially a</w:t>
      </w:r>
      <w:r w:rsidR="00677731" w:rsidRPr="00785D06">
        <w:rPr>
          <w:sz w:val="20"/>
          <w:szCs w:val="20"/>
          <w:lang w:val="en-US"/>
        </w:rPr>
        <w:t>dmitted</w:t>
      </w:r>
      <w:r w:rsidR="00D1636E" w:rsidRPr="00785D06">
        <w:rPr>
          <w:sz w:val="20"/>
          <w:szCs w:val="20"/>
          <w:lang w:val="en-US"/>
        </w:rPr>
        <w:t xml:space="preserve">, it did not fulfill </w:t>
      </w:r>
      <w:r w:rsidR="00C254BF" w:rsidRPr="00785D06">
        <w:rPr>
          <w:sz w:val="20"/>
          <w:szCs w:val="20"/>
          <w:lang w:val="en-US"/>
        </w:rPr>
        <w:t>it</w:t>
      </w:r>
      <w:r w:rsidR="00D1636E" w:rsidRPr="00785D06">
        <w:rPr>
          <w:sz w:val="20"/>
          <w:szCs w:val="20"/>
          <w:lang w:val="en-US"/>
        </w:rPr>
        <w:t xml:space="preserve">s duty to </w:t>
      </w:r>
      <w:r w:rsidR="00677731" w:rsidRPr="00785D06">
        <w:rPr>
          <w:sz w:val="20"/>
          <w:szCs w:val="20"/>
          <w:lang w:val="en-US"/>
        </w:rPr>
        <w:t xml:space="preserve">ensure </w:t>
      </w:r>
      <w:r w:rsidR="00D1636E" w:rsidRPr="00785D06">
        <w:rPr>
          <w:sz w:val="20"/>
          <w:szCs w:val="20"/>
          <w:lang w:val="en-US"/>
        </w:rPr>
        <w:t>those rights</w:t>
      </w:r>
      <w:r w:rsidR="00C254BF" w:rsidRPr="00785D06">
        <w:rPr>
          <w:sz w:val="20"/>
          <w:szCs w:val="20"/>
          <w:lang w:val="en-US"/>
        </w:rPr>
        <w:t xml:space="preserve"> b</w:t>
      </w:r>
      <w:r w:rsidR="00677731" w:rsidRPr="00785D06">
        <w:rPr>
          <w:sz w:val="20"/>
          <w:szCs w:val="20"/>
          <w:lang w:val="en-US"/>
        </w:rPr>
        <w:t xml:space="preserve">ecause it failed to </w:t>
      </w:r>
      <w:r w:rsidR="00D1636E" w:rsidRPr="00785D06">
        <w:rPr>
          <w:sz w:val="20"/>
          <w:szCs w:val="20"/>
          <w:lang w:val="en-US"/>
        </w:rPr>
        <w:t>adopt measures</w:t>
      </w:r>
      <w:r w:rsidR="00C254BF" w:rsidRPr="00785D06">
        <w:rPr>
          <w:sz w:val="20"/>
          <w:szCs w:val="20"/>
          <w:lang w:val="en-US"/>
        </w:rPr>
        <w:t xml:space="preserve"> </w:t>
      </w:r>
      <w:r w:rsidR="00D1636E" w:rsidRPr="00785D06">
        <w:rPr>
          <w:sz w:val="20"/>
          <w:szCs w:val="20"/>
          <w:lang w:val="en-US"/>
        </w:rPr>
        <w:t xml:space="preserve">to prevent and address </w:t>
      </w:r>
      <w:r w:rsidR="00C254BF" w:rsidRPr="00785D06">
        <w:rPr>
          <w:sz w:val="20"/>
          <w:szCs w:val="20"/>
          <w:lang w:val="en-US"/>
        </w:rPr>
        <w:t xml:space="preserve">sexual violence.  </w:t>
      </w:r>
    </w:p>
    <w:p w14:paraId="2E11DCB0" w14:textId="77777777" w:rsidR="00C254BF" w:rsidRPr="00785D06" w:rsidRDefault="00C254BF" w:rsidP="00C254BF">
      <w:pPr>
        <w:rPr>
          <w:rFonts w:eastAsia="Times New Roman"/>
          <w:color w:val="000000"/>
          <w:lang w:val="en-US" w:eastAsia="es-ES_tradnl"/>
        </w:rPr>
      </w:pPr>
    </w:p>
    <w:p w14:paraId="7E4C13B7" w14:textId="77777777" w:rsidR="00C254BF" w:rsidRPr="00785D06" w:rsidRDefault="00C254BF" w:rsidP="00C254BF">
      <w:pPr>
        <w:pStyle w:val="Prrafodelista"/>
        <w:numPr>
          <w:ilvl w:val="0"/>
          <w:numId w:val="35"/>
        </w:numPr>
        <w:ind w:left="0" w:firstLine="0"/>
        <w:contextualSpacing w:val="0"/>
        <w:jc w:val="both"/>
        <w:rPr>
          <w:rFonts w:cstheme="minorBidi"/>
          <w:sz w:val="20"/>
          <w:szCs w:val="20"/>
          <w:lang w:val="en-US"/>
        </w:rPr>
      </w:pPr>
      <w:r w:rsidRPr="00785D06">
        <w:rPr>
          <w:rFonts w:cstheme="minorBidi"/>
          <w:sz w:val="20"/>
          <w:szCs w:val="20"/>
          <w:lang w:val="en-US"/>
        </w:rPr>
        <w:t xml:space="preserve">Finally, it should be noted that the representatives and the Commission have presented arguments related to Paola’s supposed pregnancy and </w:t>
      </w:r>
      <w:r w:rsidR="00712527" w:rsidRPr="00785D06">
        <w:rPr>
          <w:rFonts w:cstheme="minorBidi"/>
          <w:sz w:val="20"/>
          <w:szCs w:val="20"/>
          <w:lang w:val="en-US"/>
        </w:rPr>
        <w:t xml:space="preserve">the </w:t>
      </w:r>
      <w:r w:rsidRPr="00785D06">
        <w:rPr>
          <w:rFonts w:cstheme="minorBidi"/>
          <w:sz w:val="20"/>
          <w:szCs w:val="20"/>
          <w:lang w:val="en-US"/>
        </w:rPr>
        <w:t xml:space="preserve">alleged coercion to </w:t>
      </w:r>
      <w:r w:rsidR="00712527" w:rsidRPr="00785D06">
        <w:rPr>
          <w:rFonts w:cstheme="minorBidi"/>
          <w:sz w:val="20"/>
          <w:szCs w:val="20"/>
          <w:lang w:val="en-US"/>
        </w:rPr>
        <w:t xml:space="preserve">force her to </w:t>
      </w:r>
      <w:r w:rsidRPr="00785D06">
        <w:rPr>
          <w:rFonts w:cstheme="minorBidi"/>
          <w:sz w:val="20"/>
          <w:szCs w:val="20"/>
          <w:lang w:val="en-US"/>
        </w:rPr>
        <w:t xml:space="preserve">have an abortion. </w:t>
      </w:r>
      <w:r w:rsidR="00712527" w:rsidRPr="00785D06">
        <w:rPr>
          <w:rFonts w:cstheme="minorBidi"/>
          <w:sz w:val="20"/>
          <w:szCs w:val="20"/>
          <w:lang w:val="en-US"/>
        </w:rPr>
        <w:t xml:space="preserve">While </w:t>
      </w:r>
      <w:r w:rsidR="00BA55A8" w:rsidRPr="00785D06">
        <w:rPr>
          <w:rFonts w:cstheme="minorBidi"/>
          <w:sz w:val="20"/>
          <w:szCs w:val="20"/>
          <w:lang w:val="en-US"/>
        </w:rPr>
        <w:t xml:space="preserve">the </w:t>
      </w:r>
      <w:r w:rsidRPr="00785D06">
        <w:rPr>
          <w:rFonts w:cstheme="minorBidi"/>
          <w:sz w:val="20"/>
          <w:szCs w:val="20"/>
          <w:lang w:val="en-US"/>
        </w:rPr>
        <w:t>medical evidence r</w:t>
      </w:r>
      <w:r w:rsidR="00712527" w:rsidRPr="00785D06">
        <w:rPr>
          <w:rFonts w:cstheme="minorBidi"/>
          <w:sz w:val="20"/>
          <w:szCs w:val="20"/>
          <w:lang w:val="en-US"/>
        </w:rPr>
        <w:t xml:space="preserve">ejects </w:t>
      </w:r>
      <w:r w:rsidRPr="00785D06">
        <w:rPr>
          <w:rFonts w:cstheme="minorBidi"/>
          <w:sz w:val="20"/>
          <w:szCs w:val="20"/>
          <w:lang w:val="en-US"/>
        </w:rPr>
        <w:t>th</w:t>
      </w:r>
      <w:r w:rsidR="00712527" w:rsidRPr="00785D06">
        <w:rPr>
          <w:rFonts w:cstheme="minorBidi"/>
          <w:sz w:val="20"/>
          <w:szCs w:val="20"/>
          <w:lang w:val="en-US"/>
        </w:rPr>
        <w:t>e notion th</w:t>
      </w:r>
      <w:r w:rsidRPr="00785D06">
        <w:rPr>
          <w:rFonts w:cstheme="minorBidi"/>
          <w:sz w:val="20"/>
          <w:szCs w:val="20"/>
          <w:lang w:val="en-US"/>
        </w:rPr>
        <w:t xml:space="preserve">at </w:t>
      </w:r>
      <w:r w:rsidR="00B05919" w:rsidRPr="00785D06">
        <w:rPr>
          <w:rFonts w:cstheme="minorBidi"/>
          <w:sz w:val="20"/>
          <w:szCs w:val="20"/>
          <w:lang w:val="en-US"/>
        </w:rPr>
        <w:t xml:space="preserve">she </w:t>
      </w:r>
      <w:r w:rsidR="002B74E3" w:rsidRPr="00785D06">
        <w:rPr>
          <w:rFonts w:cstheme="minorBidi"/>
          <w:sz w:val="20"/>
          <w:szCs w:val="20"/>
          <w:lang w:val="en-US"/>
        </w:rPr>
        <w:t xml:space="preserve">was pregnant, </w:t>
      </w:r>
      <w:r w:rsidR="00BA55A8" w:rsidRPr="00785D06">
        <w:rPr>
          <w:rFonts w:cstheme="minorBidi"/>
          <w:sz w:val="20"/>
          <w:szCs w:val="20"/>
          <w:lang w:val="en-US"/>
        </w:rPr>
        <w:t xml:space="preserve">certain facts and </w:t>
      </w:r>
      <w:r w:rsidR="002B74E3" w:rsidRPr="00785D06">
        <w:rPr>
          <w:rFonts w:cstheme="minorBidi"/>
          <w:sz w:val="20"/>
          <w:szCs w:val="20"/>
          <w:lang w:val="en-US"/>
        </w:rPr>
        <w:t xml:space="preserve">expert opinions </w:t>
      </w:r>
      <w:r w:rsidR="00BA55A8" w:rsidRPr="00785D06">
        <w:rPr>
          <w:rFonts w:cstheme="minorBidi"/>
          <w:sz w:val="20"/>
          <w:szCs w:val="20"/>
          <w:lang w:val="en-US"/>
        </w:rPr>
        <w:t xml:space="preserve">suggest </w:t>
      </w:r>
      <w:r w:rsidR="002B74E3" w:rsidRPr="00785D06">
        <w:rPr>
          <w:rFonts w:cstheme="minorBidi"/>
          <w:sz w:val="20"/>
          <w:szCs w:val="20"/>
          <w:lang w:val="en-US"/>
        </w:rPr>
        <w:t>that there was</w:t>
      </w:r>
      <w:r w:rsidRPr="00785D06">
        <w:rPr>
          <w:rFonts w:cstheme="minorBidi"/>
          <w:sz w:val="20"/>
          <w:szCs w:val="20"/>
          <w:lang w:val="en-US"/>
        </w:rPr>
        <w:t xml:space="preserve"> negligence in performing </w:t>
      </w:r>
      <w:r w:rsidR="00BA55A8" w:rsidRPr="00785D06">
        <w:rPr>
          <w:rFonts w:cstheme="minorBidi"/>
          <w:sz w:val="20"/>
          <w:szCs w:val="20"/>
          <w:lang w:val="en-US"/>
        </w:rPr>
        <w:t>th</w:t>
      </w:r>
      <w:r w:rsidR="004D3D72" w:rsidRPr="00785D06">
        <w:rPr>
          <w:rFonts w:cstheme="minorBidi"/>
          <w:sz w:val="20"/>
          <w:szCs w:val="20"/>
          <w:lang w:val="en-US"/>
        </w:rPr>
        <w:t>os</w:t>
      </w:r>
      <w:r w:rsidR="00BA55A8" w:rsidRPr="00785D06">
        <w:rPr>
          <w:rFonts w:cstheme="minorBidi"/>
          <w:sz w:val="20"/>
          <w:szCs w:val="20"/>
          <w:lang w:val="en-US"/>
        </w:rPr>
        <w:t>e tests</w:t>
      </w:r>
      <w:r w:rsidR="004D3D72" w:rsidRPr="00785D06">
        <w:rPr>
          <w:rFonts w:cstheme="minorBidi"/>
          <w:sz w:val="20"/>
          <w:szCs w:val="20"/>
          <w:lang w:val="en-US"/>
        </w:rPr>
        <w:t>.</w:t>
      </w:r>
      <w:r w:rsidR="00BA55A8" w:rsidRPr="00785D06">
        <w:rPr>
          <w:rFonts w:cstheme="minorBidi"/>
          <w:sz w:val="20"/>
          <w:szCs w:val="20"/>
          <w:lang w:val="en-US"/>
        </w:rPr>
        <w:t xml:space="preserve"> </w:t>
      </w:r>
      <w:r w:rsidR="00B05919" w:rsidRPr="00785D06">
        <w:rPr>
          <w:rFonts w:cstheme="minorBidi"/>
          <w:sz w:val="20"/>
          <w:szCs w:val="20"/>
          <w:lang w:val="en-US"/>
        </w:rPr>
        <w:t>Consequently</w:t>
      </w:r>
      <w:r w:rsidR="004D3D72" w:rsidRPr="00785D06">
        <w:rPr>
          <w:rFonts w:cstheme="minorBidi"/>
          <w:sz w:val="20"/>
          <w:szCs w:val="20"/>
          <w:lang w:val="en-US"/>
        </w:rPr>
        <w:t xml:space="preserve">, there is not </w:t>
      </w:r>
      <w:r w:rsidRPr="00785D06">
        <w:rPr>
          <w:rFonts w:cstheme="minorBidi"/>
          <w:sz w:val="20"/>
          <w:szCs w:val="20"/>
          <w:lang w:val="en-US"/>
        </w:rPr>
        <w:t xml:space="preserve">sufficient </w:t>
      </w:r>
      <w:r w:rsidR="004D3D72" w:rsidRPr="00785D06">
        <w:rPr>
          <w:rFonts w:cstheme="minorBidi"/>
          <w:sz w:val="20"/>
          <w:szCs w:val="20"/>
          <w:lang w:val="en-US"/>
        </w:rPr>
        <w:t xml:space="preserve">evidence </w:t>
      </w:r>
      <w:r w:rsidRPr="00785D06">
        <w:rPr>
          <w:rFonts w:cstheme="minorBidi"/>
          <w:sz w:val="20"/>
          <w:szCs w:val="20"/>
          <w:lang w:val="en-US"/>
        </w:rPr>
        <w:t xml:space="preserve">to </w:t>
      </w:r>
      <w:r w:rsidR="004D3D72" w:rsidRPr="00785D06">
        <w:rPr>
          <w:rFonts w:cstheme="minorBidi"/>
          <w:sz w:val="20"/>
          <w:szCs w:val="20"/>
          <w:lang w:val="en-US"/>
        </w:rPr>
        <w:t>prove that she was pregnant</w:t>
      </w:r>
      <w:r w:rsidR="002B74E3" w:rsidRPr="00785D06">
        <w:rPr>
          <w:rFonts w:cstheme="minorBidi"/>
          <w:sz w:val="20"/>
          <w:szCs w:val="20"/>
          <w:lang w:val="en-US"/>
        </w:rPr>
        <w:t>.</w:t>
      </w:r>
      <w:r w:rsidRPr="00785D06">
        <w:rPr>
          <w:rStyle w:val="Refdenotaalpie"/>
          <w:rFonts w:cstheme="minorBidi"/>
          <w:sz w:val="20"/>
          <w:szCs w:val="20"/>
          <w:lang w:val="en-US"/>
        </w:rPr>
        <w:footnoteReference w:id="145"/>
      </w:r>
      <w:r w:rsidR="00BA55A8" w:rsidRPr="00785D06">
        <w:rPr>
          <w:rFonts w:cstheme="minorBidi"/>
          <w:sz w:val="20"/>
          <w:szCs w:val="20"/>
          <w:lang w:val="en-US"/>
        </w:rPr>
        <w:t xml:space="preserve"> I</w:t>
      </w:r>
      <w:r w:rsidRPr="00785D06">
        <w:rPr>
          <w:rFonts w:cstheme="minorBidi"/>
          <w:sz w:val="20"/>
          <w:szCs w:val="20"/>
          <w:lang w:val="en-US"/>
        </w:rPr>
        <w:t xml:space="preserve">n conclusion, </w:t>
      </w:r>
      <w:r w:rsidR="00BA55A8" w:rsidRPr="00785D06">
        <w:rPr>
          <w:rFonts w:cstheme="minorBidi"/>
          <w:sz w:val="20"/>
          <w:szCs w:val="20"/>
          <w:lang w:val="en-US"/>
        </w:rPr>
        <w:t>the Court finds that evidence of</w:t>
      </w:r>
      <w:r w:rsidRPr="00785D06">
        <w:rPr>
          <w:rFonts w:cstheme="minorBidi"/>
          <w:sz w:val="20"/>
          <w:szCs w:val="20"/>
          <w:lang w:val="en-US"/>
        </w:rPr>
        <w:t xml:space="preserve"> the alleged pregnancy</w:t>
      </w:r>
      <w:r w:rsidR="00BA55A8" w:rsidRPr="00785D06">
        <w:rPr>
          <w:rFonts w:cstheme="minorBidi"/>
          <w:sz w:val="20"/>
          <w:szCs w:val="20"/>
          <w:lang w:val="en-US"/>
        </w:rPr>
        <w:t xml:space="preserve"> is insufficient</w:t>
      </w:r>
      <w:r w:rsidRPr="00785D06">
        <w:rPr>
          <w:rFonts w:cstheme="minorBidi"/>
          <w:sz w:val="20"/>
          <w:szCs w:val="20"/>
          <w:lang w:val="en-US"/>
        </w:rPr>
        <w:t xml:space="preserve">, and therefore </w:t>
      </w:r>
      <w:r w:rsidR="00BA55A8" w:rsidRPr="00785D06">
        <w:rPr>
          <w:rFonts w:cstheme="minorBidi"/>
          <w:sz w:val="20"/>
          <w:szCs w:val="20"/>
          <w:lang w:val="en-US"/>
        </w:rPr>
        <w:t xml:space="preserve">does </w:t>
      </w:r>
      <w:r w:rsidRPr="00785D06">
        <w:rPr>
          <w:rFonts w:cstheme="minorBidi"/>
          <w:sz w:val="20"/>
          <w:szCs w:val="20"/>
          <w:lang w:val="en-US"/>
        </w:rPr>
        <w:t xml:space="preserve">not consider it proven. </w:t>
      </w:r>
    </w:p>
    <w:p w14:paraId="479D5422" w14:textId="77777777" w:rsidR="00C254BF" w:rsidRPr="00785D06" w:rsidRDefault="00C254BF" w:rsidP="00C254BF">
      <w:pPr>
        <w:pStyle w:val="Prrafodelista"/>
        <w:rPr>
          <w:rFonts w:cs="Arial"/>
          <w:sz w:val="20"/>
          <w:szCs w:val="20"/>
          <w:lang w:val="en-US"/>
        </w:rPr>
      </w:pPr>
    </w:p>
    <w:p w14:paraId="79B1718B" w14:textId="77777777" w:rsidR="00C254BF" w:rsidRPr="00785D06" w:rsidRDefault="00BA55A8" w:rsidP="00C254BF">
      <w:pPr>
        <w:pStyle w:val="Prrafodelista"/>
        <w:numPr>
          <w:ilvl w:val="0"/>
          <w:numId w:val="35"/>
        </w:numPr>
        <w:ind w:left="0" w:firstLine="0"/>
        <w:contextualSpacing w:val="0"/>
        <w:jc w:val="both"/>
        <w:rPr>
          <w:rFonts w:cstheme="minorBidi"/>
          <w:sz w:val="20"/>
          <w:szCs w:val="20"/>
          <w:lang w:val="en-US"/>
        </w:rPr>
      </w:pPr>
      <w:r w:rsidRPr="00785D06">
        <w:rPr>
          <w:rFonts w:cs="Arial"/>
          <w:sz w:val="20"/>
          <w:szCs w:val="20"/>
          <w:lang w:val="en-US"/>
        </w:rPr>
        <w:t>Consequently</w:t>
      </w:r>
      <w:r w:rsidR="00C254BF" w:rsidRPr="00785D06">
        <w:rPr>
          <w:rFonts w:cs="Arial"/>
          <w:sz w:val="20"/>
          <w:szCs w:val="20"/>
          <w:lang w:val="en-US"/>
        </w:rPr>
        <w:t xml:space="preserve">, since it is not possible to ascertain whether or not Paola was pregnant, the Court cannot consider any circumstance or argument related to the </w:t>
      </w:r>
      <w:r w:rsidRPr="00785D06">
        <w:rPr>
          <w:rFonts w:cs="Arial"/>
          <w:sz w:val="20"/>
          <w:szCs w:val="20"/>
          <w:lang w:val="en-US"/>
        </w:rPr>
        <w:t xml:space="preserve">termination </w:t>
      </w:r>
      <w:r w:rsidR="00C254BF" w:rsidRPr="00785D06">
        <w:rPr>
          <w:rFonts w:cs="Arial"/>
          <w:sz w:val="20"/>
          <w:szCs w:val="20"/>
          <w:lang w:val="en-US"/>
        </w:rPr>
        <w:t xml:space="preserve">of the pregnancy. Therefore, it will not examine arguments </w:t>
      </w:r>
      <w:r w:rsidR="00B51F70" w:rsidRPr="00785D06">
        <w:rPr>
          <w:rFonts w:cs="Arial"/>
          <w:sz w:val="20"/>
          <w:szCs w:val="20"/>
          <w:lang w:val="en-US"/>
        </w:rPr>
        <w:t xml:space="preserve">on </w:t>
      </w:r>
      <w:r w:rsidR="00C254BF" w:rsidRPr="00785D06">
        <w:rPr>
          <w:rFonts w:cs="Arial"/>
          <w:sz w:val="20"/>
          <w:szCs w:val="20"/>
          <w:lang w:val="en-US"/>
        </w:rPr>
        <w:t xml:space="preserve">alleged human rights violations </w:t>
      </w:r>
      <w:r w:rsidR="00B51F70" w:rsidRPr="00785D06">
        <w:rPr>
          <w:rFonts w:cs="Arial"/>
          <w:sz w:val="20"/>
          <w:szCs w:val="20"/>
          <w:lang w:val="en-US"/>
        </w:rPr>
        <w:t xml:space="preserve">related to </w:t>
      </w:r>
      <w:r w:rsidR="00C254BF" w:rsidRPr="00785D06">
        <w:rPr>
          <w:rFonts w:cs="Arial"/>
          <w:sz w:val="20"/>
          <w:szCs w:val="20"/>
          <w:lang w:val="en-US"/>
        </w:rPr>
        <w:t>th</w:t>
      </w:r>
      <w:r w:rsidRPr="00785D06">
        <w:rPr>
          <w:rFonts w:cs="Arial"/>
          <w:sz w:val="20"/>
          <w:szCs w:val="20"/>
          <w:lang w:val="en-US"/>
        </w:rPr>
        <w:t>at aspect</w:t>
      </w:r>
      <w:r w:rsidR="00C254BF" w:rsidRPr="00785D06">
        <w:rPr>
          <w:rFonts w:cs="Arial"/>
          <w:sz w:val="20"/>
          <w:szCs w:val="20"/>
          <w:lang w:val="en-US"/>
        </w:rPr>
        <w:t xml:space="preserve">. </w:t>
      </w:r>
    </w:p>
    <w:p w14:paraId="275DCF7E" w14:textId="77777777" w:rsidR="00C254BF" w:rsidRPr="00785D06" w:rsidRDefault="00C254BF" w:rsidP="00C254BF">
      <w:pPr>
        <w:pStyle w:val="Prrafodelista"/>
        <w:rPr>
          <w:rFonts w:cstheme="minorBidi"/>
          <w:sz w:val="20"/>
          <w:szCs w:val="20"/>
          <w:lang w:val="en-US"/>
        </w:rPr>
      </w:pPr>
    </w:p>
    <w:p w14:paraId="54EDE120" w14:textId="77777777" w:rsidR="00C254BF" w:rsidRPr="00785D06" w:rsidRDefault="00C254BF" w:rsidP="00C254BF">
      <w:pPr>
        <w:pStyle w:val="Ttulo3"/>
        <w:spacing w:before="0"/>
        <w:ind w:left="567"/>
        <w:rPr>
          <w:rFonts w:ascii="Verdana" w:hAnsi="Verdana"/>
          <w:i/>
          <w:color w:val="auto"/>
          <w:sz w:val="20"/>
          <w:szCs w:val="20"/>
          <w:lang w:val="en-US"/>
        </w:rPr>
      </w:pPr>
      <w:bookmarkStart w:id="116" w:name="_Toc42498054"/>
      <w:bookmarkStart w:id="117" w:name="_Toc46937302"/>
      <w:r w:rsidRPr="00785D06">
        <w:rPr>
          <w:rFonts w:ascii="Verdana" w:hAnsi="Verdana"/>
          <w:i/>
          <w:color w:val="auto"/>
          <w:sz w:val="20"/>
          <w:szCs w:val="20"/>
          <w:lang w:val="en-US"/>
        </w:rPr>
        <w:t xml:space="preserve">B.3 </w:t>
      </w:r>
      <w:r w:rsidRPr="00785D06">
        <w:rPr>
          <w:rFonts w:ascii="Verdana" w:hAnsi="Verdana"/>
          <w:i/>
          <w:color w:val="auto"/>
          <w:sz w:val="20"/>
          <w:szCs w:val="20"/>
          <w:u w:val="single"/>
          <w:lang w:val="en-US"/>
        </w:rPr>
        <w:t>Regarding the alleged torture</w:t>
      </w:r>
      <w:bookmarkEnd w:id="116"/>
      <w:bookmarkEnd w:id="117"/>
    </w:p>
    <w:p w14:paraId="44E265FC" w14:textId="77777777" w:rsidR="00C254BF" w:rsidRPr="00785D06" w:rsidRDefault="00C254BF" w:rsidP="00C254BF">
      <w:pPr>
        <w:pStyle w:val="Prrafodelista"/>
        <w:rPr>
          <w:rFonts w:cstheme="minorBidi"/>
          <w:sz w:val="20"/>
          <w:szCs w:val="20"/>
          <w:lang w:val="en-US"/>
        </w:rPr>
      </w:pPr>
    </w:p>
    <w:p w14:paraId="3C6F5AD3" w14:textId="77777777" w:rsidR="00C254BF" w:rsidRPr="00785D06" w:rsidRDefault="00C254BF" w:rsidP="00C254BF">
      <w:pPr>
        <w:pStyle w:val="Prrafodelista"/>
        <w:numPr>
          <w:ilvl w:val="0"/>
          <w:numId w:val="35"/>
        </w:numPr>
        <w:ind w:left="0" w:firstLine="0"/>
        <w:contextualSpacing w:val="0"/>
        <w:jc w:val="both"/>
        <w:rPr>
          <w:rFonts w:cstheme="minorBidi"/>
          <w:sz w:val="20"/>
          <w:szCs w:val="20"/>
          <w:lang w:val="en-US"/>
        </w:rPr>
      </w:pPr>
      <w:r w:rsidRPr="00785D06">
        <w:rPr>
          <w:rFonts w:cstheme="minorBidi"/>
          <w:sz w:val="20"/>
          <w:szCs w:val="20"/>
          <w:lang w:val="en-US"/>
        </w:rPr>
        <w:t>The Court wi</w:t>
      </w:r>
      <w:r w:rsidR="00A50A59" w:rsidRPr="00785D06">
        <w:rPr>
          <w:rFonts w:cstheme="minorBidi"/>
          <w:sz w:val="20"/>
          <w:szCs w:val="20"/>
          <w:lang w:val="en-US"/>
        </w:rPr>
        <w:t xml:space="preserve">ll now examine </w:t>
      </w:r>
      <w:r w:rsidRPr="00785D06">
        <w:rPr>
          <w:rFonts w:cstheme="minorBidi"/>
          <w:sz w:val="20"/>
          <w:szCs w:val="20"/>
          <w:lang w:val="en-US"/>
        </w:rPr>
        <w:t xml:space="preserve">arguments </w:t>
      </w:r>
      <w:r w:rsidR="00AC31D0" w:rsidRPr="00785D06">
        <w:rPr>
          <w:rFonts w:cstheme="minorBidi"/>
          <w:sz w:val="20"/>
          <w:szCs w:val="20"/>
          <w:lang w:val="en-US"/>
        </w:rPr>
        <w:t xml:space="preserve">concerning </w:t>
      </w:r>
      <w:r w:rsidRPr="00785D06">
        <w:rPr>
          <w:rFonts w:cstheme="minorBidi"/>
          <w:sz w:val="20"/>
          <w:szCs w:val="20"/>
          <w:lang w:val="en-US"/>
        </w:rPr>
        <w:t xml:space="preserve">Articles 5(2) of the American Convention and 1 of the Inter-American Convention to Prevent and Punish Torture, presented by the representatives, who </w:t>
      </w:r>
      <w:r w:rsidR="00B51F70" w:rsidRPr="00785D06">
        <w:rPr>
          <w:rFonts w:cstheme="minorBidi"/>
          <w:sz w:val="20"/>
          <w:szCs w:val="20"/>
          <w:lang w:val="en-US"/>
        </w:rPr>
        <w:t xml:space="preserve">affirmed </w:t>
      </w:r>
      <w:r w:rsidRPr="00785D06">
        <w:rPr>
          <w:rFonts w:cstheme="minorBidi"/>
          <w:sz w:val="20"/>
          <w:szCs w:val="20"/>
          <w:lang w:val="en-US"/>
        </w:rPr>
        <w:t xml:space="preserve">that </w:t>
      </w:r>
      <w:r w:rsidR="00A50A59" w:rsidRPr="00785D06">
        <w:rPr>
          <w:rFonts w:cstheme="minorBidi"/>
          <w:sz w:val="20"/>
          <w:szCs w:val="20"/>
          <w:lang w:val="en-US"/>
        </w:rPr>
        <w:t xml:space="preserve">the </w:t>
      </w:r>
      <w:r w:rsidRPr="00785D06">
        <w:rPr>
          <w:rFonts w:cstheme="minorBidi"/>
          <w:sz w:val="20"/>
          <w:szCs w:val="20"/>
          <w:lang w:val="en-US"/>
        </w:rPr>
        <w:t xml:space="preserve">sexual violence </w:t>
      </w:r>
      <w:r w:rsidR="00A50A59" w:rsidRPr="00785D06">
        <w:rPr>
          <w:rFonts w:cstheme="minorBidi"/>
          <w:sz w:val="20"/>
          <w:szCs w:val="20"/>
          <w:lang w:val="en-US"/>
        </w:rPr>
        <w:t xml:space="preserve">committed </w:t>
      </w:r>
      <w:r w:rsidRPr="00785D06">
        <w:rPr>
          <w:rFonts w:cstheme="minorBidi"/>
          <w:sz w:val="20"/>
          <w:szCs w:val="20"/>
          <w:lang w:val="en-US"/>
        </w:rPr>
        <w:t xml:space="preserve">against Paola Guzmán violated those provisions since it entailed acts of torture. </w:t>
      </w:r>
    </w:p>
    <w:p w14:paraId="16FC282C" w14:textId="77777777" w:rsidR="00C254BF" w:rsidRPr="00785D06" w:rsidRDefault="00C254BF" w:rsidP="00C254BF">
      <w:pPr>
        <w:pStyle w:val="Prrafodelista"/>
        <w:ind w:left="0"/>
        <w:contextualSpacing w:val="0"/>
        <w:jc w:val="both"/>
        <w:rPr>
          <w:rFonts w:cstheme="minorBidi"/>
          <w:sz w:val="20"/>
          <w:szCs w:val="20"/>
          <w:lang w:val="en-US"/>
        </w:rPr>
      </w:pPr>
    </w:p>
    <w:p w14:paraId="629DD974" w14:textId="77777777" w:rsidR="00C254BF" w:rsidRPr="00785D06" w:rsidRDefault="00C254BF" w:rsidP="00C254BF">
      <w:pPr>
        <w:pStyle w:val="Prrafodelista"/>
        <w:numPr>
          <w:ilvl w:val="0"/>
          <w:numId w:val="35"/>
        </w:numPr>
        <w:ind w:left="0" w:firstLine="0"/>
        <w:contextualSpacing w:val="0"/>
        <w:jc w:val="both"/>
        <w:rPr>
          <w:rFonts w:cstheme="minorBidi"/>
          <w:sz w:val="20"/>
          <w:szCs w:val="20"/>
          <w:lang w:val="en-US"/>
        </w:rPr>
      </w:pPr>
      <w:r w:rsidRPr="00785D06">
        <w:rPr>
          <w:sz w:val="20"/>
          <w:szCs w:val="20"/>
          <w:lang w:val="en-US"/>
        </w:rPr>
        <w:t>While Article 5(1) of the American Convention establishes</w:t>
      </w:r>
      <w:r w:rsidR="00A50A59" w:rsidRPr="00785D06">
        <w:rPr>
          <w:sz w:val="20"/>
          <w:szCs w:val="20"/>
          <w:lang w:val="en-US"/>
        </w:rPr>
        <w:t>,</w:t>
      </w:r>
      <w:r w:rsidRPr="00785D06">
        <w:rPr>
          <w:sz w:val="20"/>
          <w:szCs w:val="20"/>
          <w:lang w:val="en-US"/>
        </w:rPr>
        <w:t xml:space="preserve"> in</w:t>
      </w:r>
      <w:r w:rsidR="00AC31D0" w:rsidRPr="00785D06">
        <w:rPr>
          <w:sz w:val="20"/>
          <w:szCs w:val="20"/>
          <w:lang w:val="en-US"/>
        </w:rPr>
        <w:t xml:space="preserve"> general terms</w:t>
      </w:r>
      <w:r w:rsidR="00A50A59" w:rsidRPr="00785D06">
        <w:rPr>
          <w:sz w:val="20"/>
          <w:szCs w:val="20"/>
          <w:lang w:val="en-US"/>
        </w:rPr>
        <w:t>,</w:t>
      </w:r>
      <w:r w:rsidR="00AC31D0" w:rsidRPr="00785D06">
        <w:rPr>
          <w:sz w:val="20"/>
          <w:szCs w:val="20"/>
          <w:lang w:val="en-US"/>
        </w:rPr>
        <w:t xml:space="preserve"> the right to </w:t>
      </w:r>
      <w:r w:rsidR="00A50A59" w:rsidRPr="00785D06">
        <w:rPr>
          <w:sz w:val="20"/>
          <w:szCs w:val="20"/>
          <w:lang w:val="en-US"/>
        </w:rPr>
        <w:t>personal integrity -</w:t>
      </w:r>
      <w:r w:rsidRPr="00785D06">
        <w:rPr>
          <w:sz w:val="20"/>
          <w:szCs w:val="20"/>
          <w:lang w:val="en-US"/>
        </w:rPr>
        <w:t xml:space="preserve"> physical, psychological a</w:t>
      </w:r>
      <w:r w:rsidR="00890498" w:rsidRPr="00785D06">
        <w:rPr>
          <w:sz w:val="20"/>
          <w:szCs w:val="20"/>
          <w:lang w:val="en-US"/>
        </w:rPr>
        <w:t xml:space="preserve">nd </w:t>
      </w:r>
      <w:r w:rsidR="00A50A59" w:rsidRPr="00785D06">
        <w:rPr>
          <w:sz w:val="20"/>
          <w:szCs w:val="20"/>
          <w:lang w:val="en-US"/>
        </w:rPr>
        <w:t>moral - Article 5(2)</w:t>
      </w:r>
      <w:r w:rsidRPr="00785D06">
        <w:rPr>
          <w:sz w:val="20"/>
          <w:szCs w:val="20"/>
          <w:lang w:val="en-US"/>
        </w:rPr>
        <w:t xml:space="preserve"> </w:t>
      </w:r>
      <w:r w:rsidR="00A50A59" w:rsidRPr="00785D06">
        <w:rPr>
          <w:sz w:val="20"/>
          <w:szCs w:val="20"/>
          <w:lang w:val="en-US"/>
        </w:rPr>
        <w:t>specifically</w:t>
      </w:r>
      <w:r w:rsidRPr="00785D06">
        <w:rPr>
          <w:sz w:val="20"/>
          <w:szCs w:val="20"/>
          <w:lang w:val="en-US"/>
        </w:rPr>
        <w:t xml:space="preserve"> prohibits torture or other cruel, inhuman or degrading treatment or punishment. </w:t>
      </w:r>
      <w:r w:rsidR="00A50A59" w:rsidRPr="00785D06">
        <w:rPr>
          <w:sz w:val="20"/>
          <w:szCs w:val="20"/>
          <w:lang w:val="en-US"/>
        </w:rPr>
        <w:t>A</w:t>
      </w:r>
      <w:r w:rsidRPr="00785D06">
        <w:rPr>
          <w:sz w:val="20"/>
          <w:szCs w:val="20"/>
          <w:lang w:val="en-US"/>
        </w:rPr>
        <w:t>ny violation of Article 5(2) entails a violation of Article 5(1).</w:t>
      </w:r>
      <w:r w:rsidRPr="00785D06">
        <w:rPr>
          <w:rStyle w:val="Refdenotaalpie"/>
          <w:sz w:val="20"/>
          <w:szCs w:val="20"/>
          <w:lang w:val="en-US"/>
        </w:rPr>
        <w:footnoteReference w:id="146"/>
      </w:r>
      <w:r w:rsidRPr="00785D06">
        <w:rPr>
          <w:sz w:val="20"/>
          <w:szCs w:val="20"/>
          <w:lang w:val="en-US"/>
        </w:rPr>
        <w:t xml:space="preserve"> </w:t>
      </w:r>
      <w:r w:rsidR="00A50A59" w:rsidRPr="00785D06">
        <w:rPr>
          <w:sz w:val="20"/>
          <w:szCs w:val="20"/>
          <w:lang w:val="en-US"/>
        </w:rPr>
        <w:t>According to the Court’s case law,</w:t>
      </w:r>
    </w:p>
    <w:p w14:paraId="5CAC1D31" w14:textId="77777777" w:rsidR="00C254BF" w:rsidRPr="00785D06" w:rsidRDefault="00C254BF" w:rsidP="00C254BF">
      <w:pPr>
        <w:pStyle w:val="Prrafodelista"/>
        <w:rPr>
          <w:sz w:val="20"/>
          <w:szCs w:val="20"/>
          <w:lang w:val="en-US"/>
        </w:rPr>
      </w:pPr>
    </w:p>
    <w:p w14:paraId="51E8C9C6" w14:textId="77777777" w:rsidR="00C254BF" w:rsidRPr="00785D06" w:rsidRDefault="00A50A59" w:rsidP="00C254BF">
      <w:pPr>
        <w:pStyle w:val="Prrafodelista"/>
        <w:ind w:left="284" w:right="333"/>
        <w:contextualSpacing w:val="0"/>
        <w:jc w:val="both"/>
        <w:rPr>
          <w:lang w:val="en-US"/>
        </w:rPr>
      </w:pPr>
      <w:r w:rsidRPr="00785D06">
        <w:rPr>
          <w:lang w:val="en-US"/>
        </w:rPr>
        <w:t>the violation of a person’s</w:t>
      </w:r>
      <w:r w:rsidR="00C254BF" w:rsidRPr="00785D06">
        <w:rPr>
          <w:lang w:val="en-US"/>
        </w:rPr>
        <w:t xml:space="preserve"> right to physical and psychological integrity is a category of violation that has </w:t>
      </w:r>
      <w:r w:rsidRPr="00785D06">
        <w:rPr>
          <w:lang w:val="en-US"/>
        </w:rPr>
        <w:t>different connotations of degree and ranges</w:t>
      </w:r>
      <w:r w:rsidR="00C254BF" w:rsidRPr="00785D06">
        <w:rPr>
          <w:lang w:val="en-US"/>
        </w:rPr>
        <w:t xml:space="preserve"> from torture to other types of humiliation or cruel, inhuman or degrading treatment</w:t>
      </w:r>
      <w:r w:rsidRPr="00785D06">
        <w:rPr>
          <w:lang w:val="en-US"/>
        </w:rPr>
        <w:t>,</w:t>
      </w:r>
      <w:r w:rsidR="00C254BF" w:rsidRPr="00785D06">
        <w:rPr>
          <w:lang w:val="en-US"/>
        </w:rPr>
        <w:t xml:space="preserve"> </w:t>
      </w:r>
      <w:r w:rsidR="004F78FC" w:rsidRPr="00785D06">
        <w:rPr>
          <w:lang w:val="en-US"/>
        </w:rPr>
        <w:t xml:space="preserve">the </w:t>
      </w:r>
      <w:r w:rsidR="00C254BF" w:rsidRPr="00785D06">
        <w:rPr>
          <w:lang w:val="en-US"/>
        </w:rPr>
        <w:t xml:space="preserve">physical and psychological </w:t>
      </w:r>
      <w:r w:rsidRPr="00785D06">
        <w:rPr>
          <w:lang w:val="en-US"/>
        </w:rPr>
        <w:t>after</w:t>
      </w:r>
      <w:r w:rsidR="00C254BF" w:rsidRPr="00785D06">
        <w:rPr>
          <w:lang w:val="en-US"/>
        </w:rPr>
        <w:t xml:space="preserve">effects </w:t>
      </w:r>
      <w:r w:rsidR="004F78FC" w:rsidRPr="00785D06">
        <w:rPr>
          <w:lang w:val="en-US"/>
        </w:rPr>
        <w:t xml:space="preserve">of which vary in intensity based </w:t>
      </w:r>
      <w:r w:rsidR="00786F70" w:rsidRPr="00785D06">
        <w:rPr>
          <w:lang w:val="en-US"/>
        </w:rPr>
        <w:t xml:space="preserve">on </w:t>
      </w:r>
      <w:r w:rsidR="004F78FC" w:rsidRPr="00785D06">
        <w:rPr>
          <w:lang w:val="en-US"/>
        </w:rPr>
        <w:t xml:space="preserve">factors that are </w:t>
      </w:r>
      <w:r w:rsidR="00C254BF" w:rsidRPr="00785D06">
        <w:rPr>
          <w:lang w:val="en-US"/>
        </w:rPr>
        <w:t xml:space="preserve">endogenous and exogenous </w:t>
      </w:r>
      <w:r w:rsidR="004F78FC" w:rsidRPr="00785D06">
        <w:rPr>
          <w:lang w:val="en-US"/>
        </w:rPr>
        <w:t xml:space="preserve">to the individual </w:t>
      </w:r>
      <w:r w:rsidR="00C254BF" w:rsidRPr="00785D06">
        <w:rPr>
          <w:lang w:val="en-US"/>
        </w:rPr>
        <w:t>(</w:t>
      </w:r>
      <w:r w:rsidR="004F78FC" w:rsidRPr="00785D06">
        <w:rPr>
          <w:lang w:val="en-US"/>
        </w:rPr>
        <w:t xml:space="preserve">such as </w:t>
      </w:r>
      <w:r w:rsidR="00C254BF" w:rsidRPr="00785D06">
        <w:rPr>
          <w:lang w:val="en-US"/>
        </w:rPr>
        <w:t>duration of the treat</w:t>
      </w:r>
      <w:r w:rsidR="004F78FC" w:rsidRPr="00785D06">
        <w:rPr>
          <w:lang w:val="en-US"/>
        </w:rPr>
        <w:t>ment, age, sex, health, context and</w:t>
      </w:r>
      <w:r w:rsidR="00C254BF" w:rsidRPr="00785D06">
        <w:rPr>
          <w:lang w:val="en-US"/>
        </w:rPr>
        <w:t xml:space="preserve"> vulnerability) that must be </w:t>
      </w:r>
      <w:r w:rsidR="004F78FC" w:rsidRPr="00785D06">
        <w:rPr>
          <w:lang w:val="en-US"/>
        </w:rPr>
        <w:t xml:space="preserve">analyzed </w:t>
      </w:r>
      <w:r w:rsidR="00C254BF" w:rsidRPr="00785D06">
        <w:rPr>
          <w:lang w:val="en-US"/>
        </w:rPr>
        <w:t>in each specific situation.</w:t>
      </w:r>
      <w:r w:rsidR="00C254BF" w:rsidRPr="00785D06">
        <w:rPr>
          <w:rStyle w:val="Refdenotaalpie"/>
          <w:lang w:val="en-US"/>
        </w:rPr>
        <w:footnoteReference w:id="147"/>
      </w:r>
      <w:r w:rsidR="00C254BF" w:rsidRPr="00785D06">
        <w:rPr>
          <w:lang w:val="en-US"/>
        </w:rPr>
        <w:t xml:space="preserve"> </w:t>
      </w:r>
    </w:p>
    <w:p w14:paraId="6A919D20" w14:textId="77777777" w:rsidR="00C254BF" w:rsidRPr="00785D06" w:rsidRDefault="00C254BF" w:rsidP="00C254BF">
      <w:pPr>
        <w:pStyle w:val="Prrafodelista"/>
        <w:ind w:left="0"/>
        <w:contextualSpacing w:val="0"/>
        <w:jc w:val="both"/>
        <w:rPr>
          <w:sz w:val="20"/>
          <w:szCs w:val="20"/>
          <w:lang w:val="en-US"/>
        </w:rPr>
      </w:pPr>
    </w:p>
    <w:p w14:paraId="6F45B98D" w14:textId="77777777" w:rsidR="00C254BF" w:rsidRPr="00785D06" w:rsidRDefault="00C254BF" w:rsidP="00C254BF">
      <w:pPr>
        <w:pStyle w:val="Prrafodelista"/>
        <w:ind w:left="0"/>
        <w:contextualSpacing w:val="0"/>
        <w:jc w:val="both"/>
        <w:rPr>
          <w:rFonts w:cstheme="minorBidi"/>
          <w:sz w:val="20"/>
          <w:szCs w:val="20"/>
          <w:lang w:val="en-US"/>
        </w:rPr>
      </w:pPr>
      <w:r w:rsidRPr="00785D06">
        <w:rPr>
          <w:sz w:val="20"/>
          <w:szCs w:val="20"/>
          <w:lang w:val="en-US"/>
        </w:rPr>
        <w:t xml:space="preserve">Based on Article 5(2) of the American Convention, “torture” should be understood as any act of </w:t>
      </w:r>
      <w:r w:rsidR="00A50A59" w:rsidRPr="00785D06">
        <w:rPr>
          <w:sz w:val="20"/>
          <w:szCs w:val="20"/>
          <w:lang w:val="en-US"/>
        </w:rPr>
        <w:t xml:space="preserve">abuse </w:t>
      </w:r>
      <w:r w:rsidRPr="00785D06">
        <w:rPr>
          <w:sz w:val="20"/>
          <w:szCs w:val="20"/>
          <w:lang w:val="en-US"/>
        </w:rPr>
        <w:t xml:space="preserve">that: i) is intentional; ii) causes severe physical or mental suffering, and iii) is committed </w:t>
      </w:r>
      <w:r w:rsidR="00A50A59" w:rsidRPr="00785D06">
        <w:rPr>
          <w:sz w:val="20"/>
          <w:szCs w:val="20"/>
          <w:lang w:val="en-US"/>
        </w:rPr>
        <w:t xml:space="preserve">with any objective </w:t>
      </w:r>
      <w:r w:rsidRPr="00785D06">
        <w:rPr>
          <w:sz w:val="20"/>
          <w:szCs w:val="20"/>
          <w:lang w:val="en-US"/>
        </w:rPr>
        <w:t>or purpose.</w:t>
      </w:r>
      <w:r w:rsidRPr="00785D06">
        <w:rPr>
          <w:sz w:val="20"/>
          <w:szCs w:val="20"/>
          <w:vertAlign w:val="superscript"/>
          <w:lang w:val="en-US"/>
        </w:rPr>
        <w:footnoteReference w:id="148"/>
      </w:r>
      <w:r w:rsidRPr="00785D06">
        <w:rPr>
          <w:sz w:val="20"/>
          <w:szCs w:val="20"/>
          <w:lang w:val="en-US"/>
        </w:rPr>
        <w:t xml:space="preserve"> </w:t>
      </w:r>
      <w:r w:rsidR="00AC13CF" w:rsidRPr="00785D06">
        <w:rPr>
          <w:sz w:val="20"/>
          <w:szCs w:val="20"/>
          <w:lang w:val="en-US"/>
        </w:rPr>
        <w:t xml:space="preserve">Furthermore, </w:t>
      </w:r>
      <w:r w:rsidRPr="00785D06">
        <w:rPr>
          <w:sz w:val="20"/>
          <w:szCs w:val="20"/>
          <w:lang w:val="en-US"/>
        </w:rPr>
        <w:t xml:space="preserve">Article 1 of the Inter-American Convention to Prevent and Punish Torture reinforces the absolute prohibition of torture and the obligation </w:t>
      </w:r>
      <w:r w:rsidR="00786F70" w:rsidRPr="00785D06">
        <w:rPr>
          <w:sz w:val="20"/>
          <w:szCs w:val="20"/>
          <w:lang w:val="en-US"/>
        </w:rPr>
        <w:t xml:space="preserve">of </w:t>
      </w:r>
      <w:r w:rsidR="00AC13CF" w:rsidRPr="00785D06">
        <w:rPr>
          <w:sz w:val="20"/>
          <w:szCs w:val="20"/>
          <w:lang w:val="en-US"/>
        </w:rPr>
        <w:t xml:space="preserve">States </w:t>
      </w:r>
      <w:r w:rsidRPr="00785D06">
        <w:rPr>
          <w:sz w:val="20"/>
          <w:szCs w:val="20"/>
          <w:lang w:val="en-US"/>
        </w:rPr>
        <w:t>to prevent and punish any act</w:t>
      </w:r>
      <w:r w:rsidR="00AC13CF" w:rsidRPr="00785D06">
        <w:rPr>
          <w:sz w:val="20"/>
          <w:szCs w:val="20"/>
          <w:lang w:val="en-US"/>
        </w:rPr>
        <w:t xml:space="preserve"> of torture or </w:t>
      </w:r>
      <w:r w:rsidR="00786F70" w:rsidRPr="00785D06">
        <w:rPr>
          <w:sz w:val="20"/>
          <w:szCs w:val="20"/>
          <w:lang w:val="en-US"/>
        </w:rPr>
        <w:t xml:space="preserve">any </w:t>
      </w:r>
      <w:r w:rsidR="00AC13CF" w:rsidRPr="00785D06">
        <w:rPr>
          <w:sz w:val="20"/>
          <w:szCs w:val="20"/>
          <w:lang w:val="en-US"/>
        </w:rPr>
        <w:t xml:space="preserve">attempt to commit </w:t>
      </w:r>
      <w:r w:rsidRPr="00785D06">
        <w:rPr>
          <w:sz w:val="20"/>
          <w:szCs w:val="20"/>
          <w:lang w:val="en-US"/>
        </w:rPr>
        <w:t xml:space="preserve">torture </w:t>
      </w:r>
      <w:r w:rsidR="00AC13CF" w:rsidRPr="00785D06">
        <w:rPr>
          <w:sz w:val="20"/>
          <w:szCs w:val="20"/>
          <w:lang w:val="en-US"/>
        </w:rPr>
        <w:t xml:space="preserve">or </w:t>
      </w:r>
      <w:r w:rsidRPr="00785D06">
        <w:rPr>
          <w:sz w:val="20"/>
          <w:szCs w:val="20"/>
          <w:lang w:val="en-US"/>
        </w:rPr>
        <w:t xml:space="preserve">other cruel, inhuman and degrading treatment </w:t>
      </w:r>
      <w:r w:rsidR="00AC13CF" w:rsidRPr="00785D06">
        <w:rPr>
          <w:sz w:val="20"/>
          <w:szCs w:val="20"/>
          <w:lang w:val="en-US"/>
        </w:rPr>
        <w:t>with</w:t>
      </w:r>
      <w:r w:rsidRPr="00785D06">
        <w:rPr>
          <w:sz w:val="20"/>
          <w:szCs w:val="20"/>
          <w:lang w:val="en-US"/>
        </w:rPr>
        <w:t>in their jurisdiction.</w:t>
      </w:r>
      <w:r w:rsidRPr="00785D06">
        <w:rPr>
          <w:rStyle w:val="Refdenotaalpie"/>
          <w:sz w:val="20"/>
          <w:szCs w:val="20"/>
          <w:lang w:val="en-US"/>
        </w:rPr>
        <w:footnoteReference w:id="149"/>
      </w:r>
      <w:r w:rsidRPr="00785D06">
        <w:rPr>
          <w:sz w:val="20"/>
          <w:szCs w:val="20"/>
          <w:lang w:val="en-US"/>
        </w:rPr>
        <w:t xml:space="preserve"> </w:t>
      </w:r>
    </w:p>
    <w:p w14:paraId="60EC49C3" w14:textId="77777777" w:rsidR="00C254BF" w:rsidRPr="00785D06" w:rsidRDefault="00C254BF" w:rsidP="00C254BF">
      <w:pPr>
        <w:pStyle w:val="Prrafodelista"/>
        <w:ind w:left="0"/>
        <w:contextualSpacing w:val="0"/>
        <w:jc w:val="both"/>
        <w:rPr>
          <w:rFonts w:cstheme="minorBidi"/>
          <w:sz w:val="20"/>
          <w:szCs w:val="20"/>
          <w:lang w:val="en-US"/>
        </w:rPr>
      </w:pPr>
    </w:p>
    <w:p w14:paraId="63D69B46" w14:textId="77777777" w:rsidR="00C254BF" w:rsidRPr="00785D06" w:rsidRDefault="00786F70" w:rsidP="00C254BF">
      <w:pPr>
        <w:pStyle w:val="Prrafodelista"/>
        <w:numPr>
          <w:ilvl w:val="0"/>
          <w:numId w:val="35"/>
        </w:numPr>
        <w:ind w:left="0" w:firstLine="0"/>
        <w:contextualSpacing w:val="0"/>
        <w:jc w:val="both"/>
        <w:rPr>
          <w:rFonts w:cstheme="minorBidi"/>
          <w:sz w:val="20"/>
          <w:szCs w:val="20"/>
          <w:lang w:val="en-US"/>
        </w:rPr>
      </w:pPr>
      <w:r w:rsidRPr="00785D06">
        <w:rPr>
          <w:sz w:val="20"/>
          <w:szCs w:val="20"/>
          <w:lang w:val="en-US"/>
        </w:rPr>
        <w:t>The Court has indicated that,</w:t>
      </w:r>
      <w:r w:rsidR="00C254BF" w:rsidRPr="00785D06">
        <w:rPr>
          <w:sz w:val="20"/>
          <w:szCs w:val="20"/>
          <w:lang w:val="en-US"/>
        </w:rPr>
        <w:t xml:space="preserve"> </w:t>
      </w:r>
      <w:r w:rsidR="00AC13CF" w:rsidRPr="00785D06">
        <w:rPr>
          <w:sz w:val="20"/>
          <w:szCs w:val="20"/>
          <w:lang w:val="en-US"/>
        </w:rPr>
        <w:t xml:space="preserve">in certain cases, </w:t>
      </w:r>
      <w:r w:rsidR="00C254BF" w:rsidRPr="00785D06">
        <w:rPr>
          <w:sz w:val="20"/>
          <w:szCs w:val="20"/>
          <w:lang w:val="en-US"/>
        </w:rPr>
        <w:t>some forms of sexual violence may constitute torture. However, t</w:t>
      </w:r>
      <w:r w:rsidR="00AC13CF" w:rsidRPr="00785D06">
        <w:rPr>
          <w:sz w:val="20"/>
          <w:szCs w:val="20"/>
          <w:lang w:val="en-US"/>
        </w:rPr>
        <w:t xml:space="preserve">o make this determination, it is </w:t>
      </w:r>
      <w:r w:rsidRPr="00785D06">
        <w:rPr>
          <w:sz w:val="20"/>
          <w:szCs w:val="20"/>
          <w:lang w:val="en-US"/>
        </w:rPr>
        <w:t xml:space="preserve">first </w:t>
      </w:r>
      <w:r w:rsidR="00AC13CF" w:rsidRPr="00785D06">
        <w:rPr>
          <w:sz w:val="20"/>
          <w:szCs w:val="20"/>
          <w:lang w:val="en-US"/>
        </w:rPr>
        <w:t xml:space="preserve">necessary to examine </w:t>
      </w:r>
      <w:r w:rsidR="00C254BF" w:rsidRPr="00785D06">
        <w:rPr>
          <w:sz w:val="20"/>
          <w:szCs w:val="20"/>
          <w:lang w:val="en-US"/>
        </w:rPr>
        <w:t xml:space="preserve">the specific circumstances </w:t>
      </w:r>
      <w:r w:rsidR="00AC13CF" w:rsidRPr="00785D06">
        <w:rPr>
          <w:sz w:val="20"/>
          <w:szCs w:val="20"/>
          <w:lang w:val="en-US"/>
        </w:rPr>
        <w:t xml:space="preserve">of the case, </w:t>
      </w:r>
      <w:r w:rsidR="00C254BF" w:rsidRPr="00785D06">
        <w:rPr>
          <w:sz w:val="20"/>
          <w:szCs w:val="20"/>
          <w:lang w:val="en-US"/>
        </w:rPr>
        <w:t>such as the intention</w:t>
      </w:r>
      <w:r w:rsidR="00AC13CF" w:rsidRPr="00785D06">
        <w:rPr>
          <w:sz w:val="20"/>
          <w:szCs w:val="20"/>
          <w:lang w:val="en-US"/>
        </w:rPr>
        <w:t>ality</w:t>
      </w:r>
      <w:r w:rsidR="00C254BF" w:rsidRPr="00785D06">
        <w:rPr>
          <w:sz w:val="20"/>
          <w:szCs w:val="20"/>
          <w:lang w:val="en-US"/>
        </w:rPr>
        <w:t>, the severity of the suffering and the purpose of the act.</w:t>
      </w:r>
      <w:r w:rsidR="00C254BF" w:rsidRPr="00785D06">
        <w:rPr>
          <w:rStyle w:val="Refdenotaalpie"/>
          <w:sz w:val="20"/>
          <w:szCs w:val="20"/>
          <w:lang w:val="en-US"/>
        </w:rPr>
        <w:footnoteReference w:id="150"/>
      </w:r>
      <w:r w:rsidR="00C254BF" w:rsidRPr="00785D06">
        <w:rPr>
          <w:sz w:val="20"/>
          <w:szCs w:val="20"/>
          <w:lang w:val="en-US"/>
        </w:rPr>
        <w:t xml:space="preserve"> </w:t>
      </w:r>
    </w:p>
    <w:p w14:paraId="3B0FB9AD" w14:textId="77777777" w:rsidR="00C254BF" w:rsidRPr="00785D06" w:rsidRDefault="00C254BF" w:rsidP="00C254BF">
      <w:pPr>
        <w:jc w:val="both"/>
        <w:rPr>
          <w:sz w:val="20"/>
          <w:szCs w:val="20"/>
          <w:lang w:val="en-US"/>
        </w:rPr>
      </w:pPr>
    </w:p>
    <w:p w14:paraId="6552F53E"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rPr>
        <w:t xml:space="preserve">The Court </w:t>
      </w:r>
      <w:r w:rsidR="00AC13CF" w:rsidRPr="00785D06">
        <w:rPr>
          <w:rFonts w:eastAsia="Times New Roman"/>
          <w:sz w:val="20"/>
          <w:szCs w:val="20"/>
          <w:lang w:val="en-US"/>
        </w:rPr>
        <w:t xml:space="preserve">also </w:t>
      </w:r>
      <w:r w:rsidRPr="00785D06">
        <w:rPr>
          <w:rFonts w:eastAsia="Times New Roman"/>
          <w:sz w:val="20"/>
          <w:szCs w:val="20"/>
          <w:lang w:val="en-US"/>
        </w:rPr>
        <w:t xml:space="preserve">considers that </w:t>
      </w:r>
      <w:r w:rsidR="007374E3" w:rsidRPr="00785D06">
        <w:rPr>
          <w:rFonts w:eastAsia="Times New Roman"/>
          <w:sz w:val="20"/>
          <w:szCs w:val="20"/>
          <w:lang w:val="en-US"/>
        </w:rPr>
        <w:t>an</w:t>
      </w:r>
      <w:r w:rsidR="00C40961" w:rsidRPr="00785D06">
        <w:rPr>
          <w:rFonts w:eastAsia="Times New Roman"/>
          <w:sz w:val="20"/>
          <w:szCs w:val="20"/>
          <w:lang w:val="en-US"/>
        </w:rPr>
        <w:t>y</w:t>
      </w:r>
      <w:r w:rsidR="007374E3" w:rsidRPr="00785D06">
        <w:rPr>
          <w:rFonts w:eastAsia="Times New Roman"/>
          <w:sz w:val="20"/>
          <w:szCs w:val="20"/>
          <w:lang w:val="en-US"/>
        </w:rPr>
        <w:t xml:space="preserve"> analysis of </w:t>
      </w:r>
      <w:r w:rsidR="004504C7" w:rsidRPr="00785D06">
        <w:rPr>
          <w:rFonts w:eastAsia="Times New Roman"/>
          <w:sz w:val="20"/>
          <w:szCs w:val="20"/>
          <w:lang w:val="en-US"/>
        </w:rPr>
        <w:t>ill-treatment</w:t>
      </w:r>
      <w:r w:rsidRPr="00785D06">
        <w:rPr>
          <w:rStyle w:val="Refdenotaalpie"/>
          <w:rFonts w:eastAsia="Times New Roman"/>
          <w:sz w:val="20"/>
          <w:szCs w:val="20"/>
          <w:lang w:val="en-US"/>
        </w:rPr>
        <w:footnoteReference w:id="151"/>
      </w:r>
      <w:r w:rsidRPr="00785D06">
        <w:rPr>
          <w:rFonts w:eastAsia="Times New Roman"/>
          <w:sz w:val="20"/>
          <w:szCs w:val="20"/>
          <w:lang w:val="en-US"/>
        </w:rPr>
        <w:t xml:space="preserve"> </w:t>
      </w:r>
      <w:r w:rsidR="004504C7" w:rsidRPr="00785D06">
        <w:rPr>
          <w:rFonts w:eastAsia="Times New Roman"/>
          <w:sz w:val="20"/>
          <w:szCs w:val="20"/>
          <w:lang w:val="en-US"/>
        </w:rPr>
        <w:t xml:space="preserve">should include a gender perspective, </w:t>
      </w:r>
      <w:r w:rsidR="00BB1F09" w:rsidRPr="00785D06">
        <w:rPr>
          <w:rFonts w:eastAsia="Times New Roman"/>
          <w:sz w:val="20"/>
          <w:szCs w:val="20"/>
          <w:lang w:val="en-US"/>
        </w:rPr>
        <w:t xml:space="preserve">as </w:t>
      </w:r>
      <w:r w:rsidR="00C40961" w:rsidRPr="00785D06">
        <w:rPr>
          <w:rFonts w:eastAsia="Times New Roman"/>
          <w:sz w:val="20"/>
          <w:szCs w:val="20"/>
          <w:lang w:val="en-US"/>
        </w:rPr>
        <w:t xml:space="preserve">this helps to </w:t>
      </w:r>
      <w:r w:rsidRPr="00785D06">
        <w:rPr>
          <w:rFonts w:eastAsia="Times New Roman"/>
          <w:sz w:val="20"/>
          <w:szCs w:val="20"/>
          <w:lang w:val="en-US"/>
        </w:rPr>
        <w:t xml:space="preserve">analyze more precisely its nature, gravity and implications and, </w:t>
      </w:r>
      <w:r w:rsidR="00C40961" w:rsidRPr="00785D06">
        <w:rPr>
          <w:rFonts w:eastAsia="Times New Roman"/>
          <w:sz w:val="20"/>
          <w:szCs w:val="20"/>
          <w:lang w:val="en-US"/>
        </w:rPr>
        <w:t xml:space="preserve">depending on </w:t>
      </w:r>
      <w:r w:rsidRPr="00785D06">
        <w:rPr>
          <w:rFonts w:eastAsia="Times New Roman"/>
          <w:sz w:val="20"/>
          <w:szCs w:val="20"/>
          <w:lang w:val="en-US"/>
        </w:rPr>
        <w:t xml:space="preserve">the case, </w:t>
      </w:r>
      <w:r w:rsidR="00BB1F09" w:rsidRPr="00785D06">
        <w:rPr>
          <w:rFonts w:eastAsia="Times New Roman"/>
          <w:sz w:val="20"/>
          <w:szCs w:val="20"/>
          <w:lang w:val="en-US"/>
        </w:rPr>
        <w:t xml:space="preserve">to determine </w:t>
      </w:r>
      <w:r w:rsidR="00C40961" w:rsidRPr="00785D06">
        <w:rPr>
          <w:rFonts w:eastAsia="Times New Roman"/>
          <w:sz w:val="20"/>
          <w:szCs w:val="20"/>
          <w:lang w:val="en-US"/>
        </w:rPr>
        <w:t xml:space="preserve">whether it is based on </w:t>
      </w:r>
      <w:r w:rsidRPr="00785D06">
        <w:rPr>
          <w:rFonts w:eastAsia="Times New Roman"/>
          <w:sz w:val="20"/>
          <w:szCs w:val="20"/>
          <w:lang w:val="en-US"/>
        </w:rPr>
        <w:t xml:space="preserve">discriminatory </w:t>
      </w:r>
      <w:r w:rsidR="00C40961" w:rsidRPr="00785D06">
        <w:rPr>
          <w:rFonts w:eastAsia="Times New Roman"/>
          <w:sz w:val="20"/>
          <w:szCs w:val="20"/>
          <w:lang w:val="en-US"/>
        </w:rPr>
        <w:t>stereotypes</w:t>
      </w:r>
      <w:r w:rsidRPr="00785D06">
        <w:rPr>
          <w:rFonts w:eastAsia="Times New Roman"/>
          <w:sz w:val="20"/>
          <w:szCs w:val="20"/>
          <w:lang w:val="en-US"/>
        </w:rPr>
        <w:t>.</w:t>
      </w:r>
      <w:r w:rsidRPr="00785D06">
        <w:rPr>
          <w:rStyle w:val="Refdenotaalpie"/>
          <w:rFonts w:eastAsia="Times New Roman"/>
          <w:sz w:val="20"/>
          <w:szCs w:val="20"/>
          <w:lang w:val="en-US"/>
        </w:rPr>
        <w:footnoteReference w:id="152"/>
      </w:r>
      <w:r w:rsidRPr="00785D06">
        <w:rPr>
          <w:rFonts w:eastAsia="Times New Roman"/>
          <w:sz w:val="20"/>
          <w:szCs w:val="20"/>
          <w:lang w:val="en-US"/>
        </w:rPr>
        <w:t xml:space="preserve"> In that </w:t>
      </w:r>
      <w:r w:rsidR="00786F70" w:rsidRPr="00785D06">
        <w:rPr>
          <w:rFonts w:eastAsia="Times New Roman"/>
          <w:sz w:val="20"/>
          <w:szCs w:val="20"/>
          <w:lang w:val="en-US"/>
        </w:rPr>
        <w:t>regard</w:t>
      </w:r>
      <w:r w:rsidRPr="00785D06">
        <w:rPr>
          <w:rFonts w:eastAsia="Times New Roman"/>
          <w:sz w:val="20"/>
          <w:szCs w:val="20"/>
          <w:lang w:val="en-US"/>
        </w:rPr>
        <w:t xml:space="preserve">, acts of sexual violence may </w:t>
      </w:r>
      <w:r w:rsidR="00C40961" w:rsidRPr="00785D06">
        <w:rPr>
          <w:rFonts w:eastAsia="Times New Roman"/>
          <w:sz w:val="20"/>
          <w:szCs w:val="20"/>
          <w:lang w:val="en-US"/>
        </w:rPr>
        <w:t>be gender-specific</w:t>
      </w:r>
      <w:r w:rsidR="00BB1F09" w:rsidRPr="00785D06">
        <w:rPr>
          <w:rFonts w:eastAsia="Times New Roman"/>
          <w:sz w:val="20"/>
          <w:szCs w:val="20"/>
          <w:lang w:val="en-US"/>
        </w:rPr>
        <w:t>,</w:t>
      </w:r>
      <w:r w:rsidRPr="00785D06">
        <w:rPr>
          <w:rFonts w:eastAsia="Times New Roman"/>
          <w:sz w:val="20"/>
          <w:szCs w:val="20"/>
          <w:lang w:val="en-US"/>
        </w:rPr>
        <w:t xml:space="preserve"> </w:t>
      </w:r>
      <w:r w:rsidR="00BB1F09" w:rsidRPr="00785D06">
        <w:rPr>
          <w:rFonts w:eastAsia="Times New Roman"/>
          <w:sz w:val="20"/>
          <w:szCs w:val="20"/>
          <w:lang w:val="en-US"/>
        </w:rPr>
        <w:t xml:space="preserve">committed against </w:t>
      </w:r>
      <w:r w:rsidRPr="00785D06">
        <w:rPr>
          <w:rFonts w:eastAsia="Times New Roman"/>
          <w:sz w:val="20"/>
          <w:szCs w:val="20"/>
          <w:lang w:val="en-US"/>
        </w:rPr>
        <w:t>women and girls</w:t>
      </w:r>
      <w:r w:rsidR="00BB1F09" w:rsidRPr="00785D06">
        <w:rPr>
          <w:rFonts w:eastAsia="Times New Roman"/>
          <w:sz w:val="20"/>
          <w:szCs w:val="20"/>
          <w:lang w:val="en-US"/>
        </w:rPr>
        <w:t>.</w:t>
      </w:r>
      <w:r w:rsidRPr="00785D06">
        <w:rPr>
          <w:rStyle w:val="Refdenotaalpie"/>
          <w:rFonts w:eastAsia="Times New Roman"/>
          <w:sz w:val="20"/>
          <w:szCs w:val="20"/>
          <w:lang w:val="en-US"/>
        </w:rPr>
        <w:footnoteReference w:id="153"/>
      </w:r>
      <w:r w:rsidRPr="00785D06">
        <w:rPr>
          <w:rFonts w:eastAsia="Times New Roman"/>
          <w:sz w:val="20"/>
          <w:szCs w:val="20"/>
          <w:lang w:val="en-US"/>
        </w:rPr>
        <w:t xml:space="preserve"> </w:t>
      </w:r>
      <w:r w:rsidR="00BB1F09" w:rsidRPr="00785D06">
        <w:rPr>
          <w:rFonts w:eastAsia="Times New Roman"/>
          <w:sz w:val="20"/>
          <w:szCs w:val="20"/>
          <w:lang w:val="en-US"/>
        </w:rPr>
        <w:t xml:space="preserve">When </w:t>
      </w:r>
      <w:r w:rsidR="00BB1F09" w:rsidRPr="00785D06">
        <w:rPr>
          <w:rFonts w:eastAsia="Times New Roman"/>
          <w:color w:val="000000"/>
          <w:sz w:val="20"/>
          <w:szCs w:val="20"/>
          <w:lang w:val="en-US"/>
        </w:rPr>
        <w:t>determining</w:t>
      </w:r>
      <w:r w:rsidRPr="00785D06">
        <w:rPr>
          <w:rFonts w:eastAsia="Times New Roman"/>
          <w:color w:val="000000"/>
          <w:sz w:val="20"/>
          <w:szCs w:val="20"/>
          <w:lang w:val="en-US"/>
        </w:rPr>
        <w:t xml:space="preserve"> the suffering </w:t>
      </w:r>
      <w:r w:rsidR="00BB1F09" w:rsidRPr="00785D06">
        <w:rPr>
          <w:rFonts w:eastAsia="Times New Roman"/>
          <w:color w:val="000000"/>
          <w:sz w:val="20"/>
          <w:szCs w:val="20"/>
          <w:lang w:val="en-US"/>
        </w:rPr>
        <w:t>inflicted by ill-treatment</w:t>
      </w:r>
      <w:r w:rsidRPr="00785D06">
        <w:rPr>
          <w:rFonts w:eastAsia="Times New Roman"/>
          <w:color w:val="000000"/>
          <w:sz w:val="20"/>
          <w:szCs w:val="20"/>
          <w:lang w:val="en-US"/>
        </w:rPr>
        <w:t>, “gender is a fundamental factor</w:t>
      </w:r>
      <w:r w:rsidR="00890498" w:rsidRPr="00785D06">
        <w:rPr>
          <w:rFonts w:eastAsia="Times New Roman"/>
          <w:color w:val="000000"/>
          <w:sz w:val="20"/>
          <w:szCs w:val="20"/>
          <w:lang w:val="en-US"/>
        </w:rPr>
        <w:t>,”</w:t>
      </w:r>
      <w:r w:rsidRPr="00785D06">
        <w:rPr>
          <w:rFonts w:eastAsia="Times New Roman"/>
          <w:color w:val="000000"/>
          <w:sz w:val="20"/>
          <w:szCs w:val="20"/>
          <w:lang w:val="en-US"/>
        </w:rPr>
        <w:t xml:space="preserve"> along with the age of t</w:t>
      </w:r>
      <w:r w:rsidR="009C4692" w:rsidRPr="00785D06">
        <w:rPr>
          <w:rFonts w:eastAsia="Times New Roman"/>
          <w:color w:val="000000"/>
          <w:sz w:val="20"/>
          <w:szCs w:val="20"/>
          <w:lang w:val="en-US"/>
        </w:rPr>
        <w:t xml:space="preserve">he victim. </w:t>
      </w:r>
      <w:r w:rsidR="00786F70" w:rsidRPr="00785D06">
        <w:rPr>
          <w:rFonts w:eastAsia="Times New Roman"/>
          <w:color w:val="000000"/>
          <w:sz w:val="20"/>
          <w:szCs w:val="20"/>
          <w:lang w:val="en-US"/>
        </w:rPr>
        <w:t>T</w:t>
      </w:r>
      <w:r w:rsidR="009C4692" w:rsidRPr="00785D06">
        <w:rPr>
          <w:rFonts w:eastAsia="Times New Roman"/>
          <w:color w:val="000000"/>
          <w:sz w:val="20"/>
          <w:szCs w:val="20"/>
          <w:lang w:val="en-US"/>
        </w:rPr>
        <w:t>he Committee a</w:t>
      </w:r>
      <w:r w:rsidRPr="00785D06">
        <w:rPr>
          <w:rFonts w:eastAsia="Times New Roman"/>
          <w:color w:val="000000"/>
          <w:sz w:val="20"/>
          <w:szCs w:val="20"/>
          <w:lang w:val="en-US"/>
        </w:rPr>
        <w:t>gainst Torture has stated that “the female condition</w:t>
      </w:r>
      <w:r w:rsidR="00BB1F09" w:rsidRPr="00785D06">
        <w:rPr>
          <w:rFonts w:eastAsia="Times New Roman"/>
          <w:color w:val="000000"/>
          <w:sz w:val="20"/>
          <w:szCs w:val="20"/>
          <w:lang w:val="en-US"/>
        </w:rPr>
        <w:t>,</w:t>
      </w:r>
      <w:r w:rsidRPr="00785D06">
        <w:rPr>
          <w:rFonts w:eastAsia="Times New Roman"/>
          <w:color w:val="000000"/>
          <w:sz w:val="20"/>
          <w:szCs w:val="20"/>
          <w:lang w:val="en-US"/>
        </w:rPr>
        <w:t xml:space="preserve"> combined with other distinctive characteristics or conditions of the person, such a</w:t>
      </w:r>
      <w:r w:rsidR="00BB1F09" w:rsidRPr="00785D06">
        <w:rPr>
          <w:rFonts w:eastAsia="Times New Roman"/>
          <w:color w:val="000000"/>
          <w:sz w:val="20"/>
          <w:szCs w:val="20"/>
          <w:lang w:val="en-US"/>
        </w:rPr>
        <w:t xml:space="preserve">s [, </w:t>
      </w:r>
      <w:r w:rsidR="00BB1F09" w:rsidRPr="00785D06">
        <w:rPr>
          <w:rFonts w:eastAsia="Times New Roman"/>
          <w:i/>
          <w:color w:val="000000"/>
          <w:sz w:val="20"/>
          <w:szCs w:val="20"/>
          <w:lang w:val="en-US"/>
        </w:rPr>
        <w:t>inter alia</w:t>
      </w:r>
      <w:r w:rsidR="00BB1F09" w:rsidRPr="00785D06">
        <w:rPr>
          <w:rFonts w:eastAsia="Times New Roman"/>
          <w:color w:val="000000"/>
          <w:sz w:val="20"/>
          <w:szCs w:val="20"/>
          <w:lang w:val="en-US"/>
        </w:rPr>
        <w:t xml:space="preserve">,] age […], </w:t>
      </w:r>
      <w:r w:rsidRPr="00785D06">
        <w:rPr>
          <w:rFonts w:eastAsia="Times New Roman"/>
          <w:color w:val="000000"/>
          <w:sz w:val="20"/>
          <w:szCs w:val="20"/>
          <w:lang w:val="en-US"/>
        </w:rPr>
        <w:t>determine the ways in which women and girls suffer or risk suffering torture or mistreatment, and its consequences.”</w:t>
      </w:r>
      <w:r w:rsidRPr="00785D06">
        <w:rPr>
          <w:rStyle w:val="Refdenotaalpie"/>
          <w:rFonts w:eastAsia="Times New Roman"/>
          <w:color w:val="000000"/>
          <w:sz w:val="20"/>
          <w:szCs w:val="20"/>
          <w:lang w:val="en-US"/>
        </w:rPr>
        <w:footnoteReference w:id="154"/>
      </w:r>
      <w:r w:rsidRPr="00785D06">
        <w:rPr>
          <w:rFonts w:eastAsia="Times New Roman"/>
          <w:color w:val="000000"/>
          <w:sz w:val="20"/>
          <w:szCs w:val="20"/>
          <w:lang w:val="en-US"/>
        </w:rPr>
        <w:t xml:space="preserve"> </w:t>
      </w:r>
      <w:r w:rsidR="00BB1F09" w:rsidRPr="00785D06">
        <w:rPr>
          <w:rFonts w:eastAsia="Times New Roman"/>
          <w:color w:val="000000"/>
          <w:sz w:val="20"/>
          <w:szCs w:val="20"/>
          <w:lang w:val="en-US"/>
        </w:rPr>
        <w:t>For its part</w:t>
      </w:r>
      <w:r w:rsidRPr="00785D06">
        <w:rPr>
          <w:rFonts w:eastAsia="Times New Roman"/>
          <w:color w:val="000000"/>
          <w:sz w:val="20"/>
          <w:szCs w:val="20"/>
          <w:lang w:val="en-US"/>
        </w:rPr>
        <w:t xml:space="preserve">, the </w:t>
      </w:r>
      <w:r w:rsidR="0089489F" w:rsidRPr="00785D06">
        <w:rPr>
          <w:rFonts w:eastAsia="Times New Roman"/>
          <w:color w:val="000000"/>
          <w:sz w:val="20"/>
          <w:szCs w:val="20"/>
          <w:lang w:val="en-US"/>
        </w:rPr>
        <w:t>Committee on the Rights of the Child</w:t>
      </w:r>
      <w:r w:rsidRPr="00785D06">
        <w:rPr>
          <w:rFonts w:eastAsia="Times New Roman"/>
          <w:color w:val="000000"/>
          <w:sz w:val="20"/>
          <w:szCs w:val="20"/>
          <w:lang w:val="en-US"/>
        </w:rPr>
        <w:t xml:space="preserve"> </w:t>
      </w:r>
      <w:r w:rsidR="000E00E7" w:rsidRPr="00785D06">
        <w:rPr>
          <w:rFonts w:eastAsia="Times New Roman"/>
          <w:color w:val="000000"/>
          <w:sz w:val="20"/>
          <w:szCs w:val="20"/>
          <w:lang w:val="en-US"/>
        </w:rPr>
        <w:t xml:space="preserve">considers </w:t>
      </w:r>
      <w:r w:rsidRPr="00785D06">
        <w:rPr>
          <w:rFonts w:eastAsia="Times New Roman"/>
          <w:color w:val="000000"/>
          <w:sz w:val="20"/>
          <w:szCs w:val="20"/>
          <w:lang w:val="en-US"/>
        </w:rPr>
        <w:t xml:space="preserve">that the concepts of “torture and cruel, inhuman or degrading treatment” </w:t>
      </w:r>
      <w:r w:rsidR="00BB1F09" w:rsidRPr="00785D06">
        <w:rPr>
          <w:rFonts w:eastAsia="Times New Roman"/>
          <w:color w:val="000000"/>
          <w:sz w:val="20"/>
          <w:szCs w:val="20"/>
          <w:lang w:val="en-US"/>
        </w:rPr>
        <w:t xml:space="preserve">include </w:t>
      </w:r>
      <w:r w:rsidRPr="00785D06">
        <w:rPr>
          <w:rFonts w:eastAsia="Times New Roman"/>
          <w:color w:val="000000"/>
          <w:sz w:val="20"/>
          <w:szCs w:val="20"/>
          <w:lang w:val="en-US"/>
        </w:rPr>
        <w:t>serious acts of violence against children committed by “persons who have authority over the child […] the</w:t>
      </w:r>
      <w:r w:rsidR="00AC49E7" w:rsidRPr="00785D06">
        <w:rPr>
          <w:rFonts w:eastAsia="Times New Roman"/>
          <w:color w:val="000000"/>
          <w:sz w:val="20"/>
          <w:szCs w:val="20"/>
          <w:lang w:val="en-US"/>
        </w:rPr>
        <w:t xml:space="preserve"> </w:t>
      </w:r>
      <w:r w:rsidRPr="00785D06">
        <w:rPr>
          <w:rFonts w:eastAsia="Times New Roman"/>
          <w:color w:val="000000"/>
          <w:sz w:val="20"/>
          <w:szCs w:val="20"/>
          <w:lang w:val="en-US"/>
        </w:rPr>
        <w:t>brutal</w:t>
      </w:r>
      <w:r w:rsidR="00AC49E7" w:rsidRPr="00785D06">
        <w:rPr>
          <w:rFonts w:eastAsia="Times New Roman"/>
          <w:color w:val="000000"/>
          <w:sz w:val="20"/>
          <w:szCs w:val="20"/>
          <w:lang w:val="en-US"/>
        </w:rPr>
        <w:t>ity of such</w:t>
      </w:r>
      <w:r w:rsidRPr="00785D06">
        <w:rPr>
          <w:rFonts w:eastAsia="Times New Roman"/>
          <w:color w:val="000000"/>
          <w:sz w:val="20"/>
          <w:szCs w:val="20"/>
          <w:lang w:val="en-US"/>
        </w:rPr>
        <w:t xml:space="preserve"> acts </w:t>
      </w:r>
      <w:r w:rsidR="00AC49E7" w:rsidRPr="00785D06">
        <w:rPr>
          <w:rFonts w:eastAsia="Times New Roman"/>
          <w:color w:val="000000"/>
          <w:sz w:val="20"/>
          <w:szCs w:val="20"/>
          <w:lang w:val="en-US"/>
        </w:rPr>
        <w:t xml:space="preserve">often results in life-long </w:t>
      </w:r>
      <w:r w:rsidRPr="00785D06">
        <w:rPr>
          <w:rFonts w:eastAsia="Times New Roman"/>
          <w:color w:val="000000"/>
          <w:sz w:val="20"/>
          <w:szCs w:val="20"/>
          <w:lang w:val="en-US"/>
        </w:rPr>
        <w:t>physical and psychological harm and social stress.”</w:t>
      </w:r>
      <w:r w:rsidRPr="00785D06">
        <w:rPr>
          <w:rStyle w:val="Refdenotaalpie"/>
          <w:rFonts w:eastAsia="Times New Roman"/>
          <w:color w:val="000000"/>
          <w:sz w:val="20"/>
          <w:szCs w:val="20"/>
          <w:lang w:val="en-US"/>
        </w:rPr>
        <w:footnoteReference w:id="155"/>
      </w:r>
      <w:r w:rsidRPr="00785D06">
        <w:rPr>
          <w:rFonts w:eastAsia="Times New Roman"/>
          <w:color w:val="000000"/>
          <w:sz w:val="20"/>
          <w:szCs w:val="20"/>
          <w:lang w:val="en-US"/>
        </w:rPr>
        <w:t xml:space="preserve"> </w:t>
      </w:r>
      <w:r w:rsidR="00AC49E7" w:rsidRPr="00785D06">
        <w:rPr>
          <w:rFonts w:eastAsia="Times New Roman"/>
          <w:color w:val="000000"/>
          <w:sz w:val="20"/>
          <w:szCs w:val="20"/>
          <w:lang w:val="en-US"/>
        </w:rPr>
        <w:t xml:space="preserve">Thus, </w:t>
      </w:r>
      <w:r w:rsidRPr="00785D06">
        <w:rPr>
          <w:rFonts w:eastAsia="Times New Roman"/>
          <w:color w:val="000000"/>
          <w:sz w:val="20"/>
          <w:szCs w:val="20"/>
          <w:lang w:val="en-US"/>
        </w:rPr>
        <w:t xml:space="preserve">States have </w:t>
      </w:r>
      <w:r w:rsidR="00AC49E7" w:rsidRPr="00785D06">
        <w:rPr>
          <w:rFonts w:eastAsia="Times New Roman"/>
          <w:color w:val="000000"/>
          <w:sz w:val="20"/>
          <w:szCs w:val="20"/>
          <w:lang w:val="en-US"/>
        </w:rPr>
        <w:t xml:space="preserve">an </w:t>
      </w:r>
      <w:r w:rsidRPr="00785D06">
        <w:rPr>
          <w:rFonts w:eastAsia="Times New Roman"/>
          <w:color w:val="000000"/>
          <w:sz w:val="20"/>
          <w:szCs w:val="20"/>
          <w:lang w:val="en-US"/>
        </w:rPr>
        <w:t>obligation</w:t>
      </w:r>
      <w:r w:rsidR="00AC49E7" w:rsidRPr="00785D06">
        <w:rPr>
          <w:rFonts w:eastAsia="Times New Roman"/>
          <w:color w:val="000000"/>
          <w:sz w:val="20"/>
          <w:szCs w:val="20"/>
          <w:lang w:val="en-US"/>
        </w:rPr>
        <w:t xml:space="preserve"> to</w:t>
      </w:r>
      <w:r w:rsidR="00BB1F09" w:rsidRPr="00785D06">
        <w:rPr>
          <w:rFonts w:eastAsia="Times New Roman"/>
          <w:color w:val="000000"/>
          <w:sz w:val="20"/>
          <w:szCs w:val="20"/>
          <w:lang w:val="en-US"/>
        </w:rPr>
        <w:t xml:space="preserve"> </w:t>
      </w:r>
      <w:r w:rsidR="00AC49E7" w:rsidRPr="00785D06">
        <w:rPr>
          <w:rFonts w:eastAsia="Times New Roman"/>
          <w:color w:val="000000"/>
          <w:sz w:val="20"/>
          <w:szCs w:val="20"/>
          <w:lang w:val="en-US"/>
        </w:rPr>
        <w:t xml:space="preserve">take steps </w:t>
      </w:r>
      <w:r w:rsidR="00BB1F09" w:rsidRPr="00785D06">
        <w:rPr>
          <w:rFonts w:eastAsia="Times New Roman"/>
          <w:color w:val="000000"/>
          <w:sz w:val="20"/>
          <w:szCs w:val="20"/>
          <w:lang w:val="en-US"/>
        </w:rPr>
        <w:t>to prevent ill-</w:t>
      </w:r>
      <w:r w:rsidRPr="00785D06">
        <w:rPr>
          <w:rFonts w:eastAsia="Times New Roman"/>
          <w:color w:val="000000"/>
          <w:sz w:val="20"/>
          <w:szCs w:val="20"/>
          <w:lang w:val="en-US"/>
        </w:rPr>
        <w:t xml:space="preserve">treatment in schools and </w:t>
      </w:r>
      <w:r w:rsidR="00AC49E7" w:rsidRPr="00785D06">
        <w:rPr>
          <w:rFonts w:eastAsia="Times New Roman"/>
          <w:color w:val="000000"/>
          <w:sz w:val="20"/>
          <w:szCs w:val="20"/>
          <w:lang w:val="en-US"/>
        </w:rPr>
        <w:t>“</w:t>
      </w:r>
      <w:r w:rsidR="00AC49E7" w:rsidRPr="00785D06">
        <w:rPr>
          <w:sz w:val="20"/>
          <w:szCs w:val="20"/>
          <w:lang w:val="en-US"/>
        </w:rPr>
        <w:t>institutions engage</w:t>
      </w:r>
      <w:r w:rsidR="00772333" w:rsidRPr="00785D06">
        <w:rPr>
          <w:sz w:val="20"/>
          <w:szCs w:val="20"/>
          <w:lang w:val="en-US"/>
        </w:rPr>
        <w:t>d</w:t>
      </w:r>
      <w:r w:rsidR="00AC49E7" w:rsidRPr="00785D06">
        <w:rPr>
          <w:sz w:val="20"/>
          <w:szCs w:val="20"/>
          <w:lang w:val="en-US"/>
        </w:rPr>
        <w:t xml:space="preserve"> in the care of children</w:t>
      </w:r>
      <w:r w:rsidRPr="00785D06">
        <w:rPr>
          <w:rFonts w:eastAsia="Times New Roman"/>
          <w:color w:val="000000"/>
          <w:sz w:val="20"/>
          <w:szCs w:val="20"/>
          <w:lang w:val="en-US"/>
        </w:rPr>
        <w:t>.</w:t>
      </w:r>
      <w:r w:rsidR="00AC49E7" w:rsidRPr="00785D06">
        <w:rPr>
          <w:rFonts w:eastAsia="Times New Roman"/>
          <w:color w:val="000000"/>
          <w:sz w:val="20"/>
          <w:szCs w:val="20"/>
          <w:lang w:val="en-US"/>
        </w:rPr>
        <w:t>”</w:t>
      </w:r>
      <w:r w:rsidRPr="00785D06">
        <w:rPr>
          <w:rStyle w:val="Refdenotaalpie"/>
          <w:rFonts w:eastAsia="Times New Roman"/>
          <w:color w:val="000000"/>
          <w:sz w:val="20"/>
          <w:szCs w:val="20"/>
          <w:lang w:val="en-US"/>
        </w:rPr>
        <w:footnoteReference w:id="156"/>
      </w:r>
    </w:p>
    <w:p w14:paraId="3A972BBB" w14:textId="77777777" w:rsidR="00C254BF" w:rsidRPr="00785D06" w:rsidRDefault="00C254BF" w:rsidP="00C254BF">
      <w:pPr>
        <w:pStyle w:val="Prrafodelista"/>
        <w:ind w:left="0"/>
        <w:contextualSpacing w:val="0"/>
        <w:jc w:val="both"/>
        <w:rPr>
          <w:sz w:val="20"/>
          <w:szCs w:val="20"/>
          <w:lang w:val="en-US"/>
        </w:rPr>
      </w:pPr>
    </w:p>
    <w:p w14:paraId="54758777"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Times New Roman"/>
          <w:color w:val="000000"/>
          <w:sz w:val="20"/>
          <w:szCs w:val="20"/>
          <w:lang w:val="en-US"/>
        </w:rPr>
        <w:t xml:space="preserve">In this case, it is clear that </w:t>
      </w:r>
      <w:r w:rsidR="0060304F" w:rsidRPr="00785D06">
        <w:rPr>
          <w:rFonts w:eastAsia="Times New Roman"/>
          <w:color w:val="000000"/>
          <w:sz w:val="20"/>
          <w:szCs w:val="20"/>
          <w:lang w:val="en-US"/>
        </w:rPr>
        <w:t xml:space="preserve">the </w:t>
      </w:r>
      <w:r w:rsidRPr="00785D06">
        <w:rPr>
          <w:rFonts w:eastAsia="Times New Roman"/>
          <w:color w:val="000000"/>
          <w:sz w:val="20"/>
          <w:szCs w:val="20"/>
          <w:lang w:val="en-US"/>
        </w:rPr>
        <w:t xml:space="preserve">sexual violence caused Paola </w:t>
      </w:r>
      <w:r w:rsidR="00241EFD" w:rsidRPr="00785D06">
        <w:rPr>
          <w:rFonts w:eastAsia="Times New Roman"/>
          <w:color w:val="000000"/>
          <w:sz w:val="20"/>
          <w:szCs w:val="20"/>
          <w:lang w:val="en-US"/>
        </w:rPr>
        <w:t xml:space="preserve">severe </w:t>
      </w:r>
      <w:r w:rsidRPr="00785D06">
        <w:rPr>
          <w:rFonts w:eastAsia="Times New Roman"/>
          <w:color w:val="000000"/>
          <w:sz w:val="20"/>
          <w:szCs w:val="20"/>
          <w:lang w:val="en-US"/>
        </w:rPr>
        <w:t xml:space="preserve">suffering. In that </w:t>
      </w:r>
      <w:r w:rsidR="0060304F" w:rsidRPr="00785D06">
        <w:rPr>
          <w:rFonts w:eastAsia="Times New Roman"/>
          <w:color w:val="000000"/>
          <w:sz w:val="20"/>
          <w:szCs w:val="20"/>
          <w:lang w:val="en-US"/>
        </w:rPr>
        <w:t>regard</w:t>
      </w:r>
      <w:r w:rsidRPr="00785D06">
        <w:rPr>
          <w:rFonts w:eastAsia="Times New Roman"/>
          <w:color w:val="000000"/>
          <w:sz w:val="20"/>
          <w:szCs w:val="20"/>
          <w:lang w:val="en-US"/>
        </w:rPr>
        <w:t xml:space="preserve">, sexual violence has very serious implications for children. As mentioned </w:t>
      </w:r>
      <w:r w:rsidR="0060304F" w:rsidRPr="00785D06">
        <w:rPr>
          <w:rFonts w:eastAsia="Times New Roman"/>
          <w:color w:val="000000"/>
          <w:sz w:val="20"/>
          <w:szCs w:val="20"/>
          <w:lang w:val="en-US"/>
        </w:rPr>
        <w:t xml:space="preserve">below </w:t>
      </w:r>
      <w:r w:rsidRPr="00785D06">
        <w:rPr>
          <w:rFonts w:eastAsia="Times New Roman"/>
          <w:color w:val="000000"/>
          <w:sz w:val="20"/>
          <w:szCs w:val="20"/>
          <w:lang w:val="en-US"/>
        </w:rPr>
        <w:t>(</w:t>
      </w:r>
      <w:r w:rsidRPr="00785D06">
        <w:rPr>
          <w:rFonts w:eastAsia="Times New Roman"/>
          <w:i/>
          <w:color w:val="000000"/>
          <w:sz w:val="20"/>
          <w:szCs w:val="20"/>
          <w:lang w:val="en-US"/>
        </w:rPr>
        <w:t xml:space="preserve">infra </w:t>
      </w:r>
      <w:r w:rsidRPr="00785D06">
        <w:rPr>
          <w:rFonts w:eastAsia="Times New Roman"/>
          <w:color w:val="000000"/>
          <w:sz w:val="20"/>
          <w:szCs w:val="20"/>
          <w:lang w:val="en-US"/>
        </w:rPr>
        <w:t xml:space="preserve">para. 157), Paola’s suffering became </w:t>
      </w:r>
      <w:r w:rsidR="0060304F" w:rsidRPr="00785D06">
        <w:rPr>
          <w:rFonts w:eastAsia="Times New Roman"/>
          <w:color w:val="000000"/>
          <w:sz w:val="20"/>
          <w:szCs w:val="20"/>
          <w:lang w:val="en-US"/>
        </w:rPr>
        <w:t>more evident after her suicide, showing the extent to which</w:t>
      </w:r>
      <w:r w:rsidRPr="00785D06">
        <w:rPr>
          <w:rFonts w:eastAsia="Times New Roman"/>
          <w:color w:val="000000"/>
          <w:sz w:val="20"/>
          <w:szCs w:val="20"/>
          <w:lang w:val="en-US"/>
        </w:rPr>
        <w:t xml:space="preserve"> </w:t>
      </w:r>
      <w:r w:rsidR="0060304F" w:rsidRPr="00785D06">
        <w:rPr>
          <w:rFonts w:eastAsia="Times New Roman"/>
          <w:color w:val="000000"/>
          <w:sz w:val="20"/>
          <w:szCs w:val="20"/>
          <w:lang w:val="en-US"/>
        </w:rPr>
        <w:t xml:space="preserve">her </w:t>
      </w:r>
      <w:r w:rsidRPr="00785D06">
        <w:rPr>
          <w:rFonts w:eastAsia="Times New Roman"/>
          <w:color w:val="000000"/>
          <w:sz w:val="20"/>
          <w:szCs w:val="20"/>
          <w:lang w:val="en-US"/>
        </w:rPr>
        <w:t xml:space="preserve">psychological suffering </w:t>
      </w:r>
      <w:r w:rsidR="00776371" w:rsidRPr="00785D06">
        <w:rPr>
          <w:rFonts w:eastAsia="Times New Roman"/>
          <w:color w:val="000000"/>
          <w:sz w:val="20"/>
          <w:szCs w:val="20"/>
          <w:lang w:val="en-US"/>
        </w:rPr>
        <w:t>had beco</w:t>
      </w:r>
      <w:r w:rsidR="0060304F" w:rsidRPr="00785D06">
        <w:rPr>
          <w:rFonts w:eastAsia="Times New Roman"/>
          <w:color w:val="000000"/>
          <w:sz w:val="20"/>
          <w:szCs w:val="20"/>
          <w:lang w:val="en-US"/>
        </w:rPr>
        <w:t xml:space="preserve">me </w:t>
      </w:r>
      <w:r w:rsidRPr="00785D06">
        <w:rPr>
          <w:rFonts w:eastAsia="Times New Roman"/>
          <w:color w:val="000000"/>
          <w:sz w:val="20"/>
          <w:szCs w:val="20"/>
          <w:lang w:val="en-US"/>
        </w:rPr>
        <w:t xml:space="preserve">unsustainable. The link between </w:t>
      </w:r>
      <w:r w:rsidR="0060304F" w:rsidRPr="00785D06">
        <w:rPr>
          <w:rFonts w:eastAsia="Times New Roman"/>
          <w:color w:val="000000"/>
          <w:sz w:val="20"/>
          <w:szCs w:val="20"/>
          <w:lang w:val="en-US"/>
        </w:rPr>
        <w:t xml:space="preserve">her </w:t>
      </w:r>
      <w:r w:rsidRPr="00785D06">
        <w:rPr>
          <w:rFonts w:eastAsia="Times New Roman"/>
          <w:color w:val="000000"/>
          <w:sz w:val="20"/>
          <w:szCs w:val="20"/>
          <w:lang w:val="en-US"/>
        </w:rPr>
        <w:t xml:space="preserve">suicide and </w:t>
      </w:r>
      <w:r w:rsidR="0060304F" w:rsidRPr="00785D06">
        <w:rPr>
          <w:rFonts w:eastAsia="Times New Roman"/>
          <w:color w:val="000000"/>
          <w:sz w:val="20"/>
          <w:szCs w:val="20"/>
          <w:lang w:val="en-US"/>
        </w:rPr>
        <w:t xml:space="preserve">the </w:t>
      </w:r>
      <w:r w:rsidRPr="00785D06">
        <w:rPr>
          <w:rFonts w:eastAsia="Times New Roman"/>
          <w:color w:val="000000"/>
          <w:sz w:val="20"/>
          <w:szCs w:val="20"/>
          <w:lang w:val="en-US"/>
        </w:rPr>
        <w:t xml:space="preserve">sexual violence </w:t>
      </w:r>
      <w:r w:rsidR="0060304F" w:rsidRPr="00785D06">
        <w:rPr>
          <w:rFonts w:eastAsia="Times New Roman"/>
          <w:color w:val="000000"/>
          <w:sz w:val="20"/>
          <w:szCs w:val="20"/>
          <w:lang w:val="en-US"/>
        </w:rPr>
        <w:t xml:space="preserve">inflicted </w:t>
      </w:r>
      <w:r w:rsidR="00776371" w:rsidRPr="00785D06">
        <w:rPr>
          <w:rFonts w:eastAsia="Times New Roman"/>
          <w:color w:val="000000"/>
          <w:sz w:val="20"/>
          <w:szCs w:val="20"/>
          <w:lang w:val="en-US"/>
        </w:rPr>
        <w:t xml:space="preserve">on her </w:t>
      </w:r>
      <w:r w:rsidRPr="00785D06">
        <w:rPr>
          <w:rFonts w:eastAsia="Times New Roman"/>
          <w:color w:val="000000"/>
          <w:sz w:val="20"/>
          <w:szCs w:val="20"/>
          <w:lang w:val="en-US"/>
        </w:rPr>
        <w:t xml:space="preserve">is inferred from the letters </w:t>
      </w:r>
      <w:r w:rsidR="0060304F" w:rsidRPr="00785D06">
        <w:rPr>
          <w:rFonts w:eastAsia="Times New Roman"/>
          <w:color w:val="000000"/>
          <w:sz w:val="20"/>
          <w:szCs w:val="20"/>
          <w:lang w:val="en-US"/>
        </w:rPr>
        <w:t xml:space="preserve">Paola </w:t>
      </w:r>
      <w:r w:rsidRPr="00785D06">
        <w:rPr>
          <w:rFonts w:eastAsia="Times New Roman"/>
          <w:color w:val="000000"/>
          <w:sz w:val="20"/>
          <w:szCs w:val="20"/>
          <w:lang w:val="en-US"/>
        </w:rPr>
        <w:t xml:space="preserve">left, in which she clearly referred to her relationship with the </w:t>
      </w:r>
      <w:r w:rsidR="0097298A" w:rsidRPr="00785D06">
        <w:rPr>
          <w:rFonts w:eastAsia="Times New Roman"/>
          <w:color w:val="000000"/>
          <w:sz w:val="20"/>
          <w:szCs w:val="20"/>
          <w:lang w:val="en-US"/>
        </w:rPr>
        <w:t>vice principal</w:t>
      </w:r>
      <w:r w:rsidRPr="00785D06">
        <w:rPr>
          <w:rFonts w:eastAsia="Times New Roman"/>
          <w:color w:val="000000"/>
          <w:sz w:val="20"/>
          <w:szCs w:val="20"/>
          <w:lang w:val="en-US"/>
        </w:rPr>
        <w:t xml:space="preserve">, </w:t>
      </w:r>
      <w:r w:rsidR="0060304F" w:rsidRPr="00785D06">
        <w:rPr>
          <w:rFonts w:eastAsia="Times New Roman"/>
          <w:color w:val="000000"/>
          <w:sz w:val="20"/>
          <w:szCs w:val="20"/>
          <w:lang w:val="en-US"/>
        </w:rPr>
        <w:t xml:space="preserve">saying </w:t>
      </w:r>
      <w:r w:rsidRPr="00785D06">
        <w:rPr>
          <w:rFonts w:eastAsia="Times New Roman"/>
          <w:color w:val="000000"/>
          <w:sz w:val="20"/>
          <w:szCs w:val="20"/>
          <w:lang w:val="en-US"/>
        </w:rPr>
        <w:t xml:space="preserve">that she could no longer bear her suffering and for that reason swallowed poison. This is supported by the statements of the expert witness Ximena Cortés Castillo, who </w:t>
      </w:r>
      <w:r w:rsidR="00C2641D" w:rsidRPr="00785D06">
        <w:rPr>
          <w:rFonts w:eastAsia="Times New Roman"/>
          <w:color w:val="000000"/>
          <w:sz w:val="20"/>
          <w:szCs w:val="20"/>
          <w:lang w:val="en-US"/>
        </w:rPr>
        <w:t>affirmed that the suicide in this</w:t>
      </w:r>
      <w:r w:rsidRPr="00785D06">
        <w:rPr>
          <w:rFonts w:eastAsia="Times New Roman"/>
          <w:color w:val="000000"/>
          <w:sz w:val="20"/>
          <w:szCs w:val="20"/>
          <w:lang w:val="en-US"/>
        </w:rPr>
        <w:t xml:space="preserve"> case was linked to sexual violence and should be understood as “</w:t>
      </w:r>
      <w:r w:rsidRPr="00785D06">
        <w:rPr>
          <w:sz w:val="20"/>
          <w:szCs w:val="20"/>
          <w:lang w:val="en-US"/>
        </w:rPr>
        <w:t xml:space="preserve">an impact </w:t>
      </w:r>
      <w:r w:rsidR="00AC31D0" w:rsidRPr="00785D06">
        <w:rPr>
          <w:sz w:val="20"/>
          <w:szCs w:val="20"/>
          <w:lang w:val="en-US"/>
        </w:rPr>
        <w:t>[there</w:t>
      </w:r>
      <w:r w:rsidR="00C2641D" w:rsidRPr="00785D06">
        <w:rPr>
          <w:sz w:val="20"/>
          <w:szCs w:val="20"/>
          <w:lang w:val="en-US"/>
        </w:rPr>
        <w:t xml:space="preserve">of]: Paola took her life under </w:t>
      </w:r>
      <w:r w:rsidRPr="00785D06">
        <w:rPr>
          <w:sz w:val="20"/>
          <w:szCs w:val="20"/>
          <w:lang w:val="en-US"/>
        </w:rPr>
        <w:t>the pressure of guilt</w:t>
      </w:r>
      <w:r w:rsidR="00C2641D" w:rsidRPr="00785D06">
        <w:rPr>
          <w:sz w:val="20"/>
          <w:szCs w:val="20"/>
          <w:lang w:val="en-US"/>
        </w:rPr>
        <w:t>,”</w:t>
      </w:r>
      <w:r w:rsidRPr="00785D06">
        <w:rPr>
          <w:sz w:val="20"/>
          <w:szCs w:val="20"/>
          <w:lang w:val="en-US"/>
        </w:rPr>
        <w:t xml:space="preserve"> </w:t>
      </w:r>
      <w:r w:rsidR="00C2641D" w:rsidRPr="00785D06">
        <w:rPr>
          <w:sz w:val="20"/>
          <w:szCs w:val="20"/>
          <w:lang w:val="en-US"/>
        </w:rPr>
        <w:t xml:space="preserve">since what </w:t>
      </w:r>
      <w:r w:rsidRPr="00785D06">
        <w:rPr>
          <w:sz w:val="20"/>
          <w:szCs w:val="20"/>
          <w:lang w:val="en-US"/>
        </w:rPr>
        <w:t xml:space="preserve">she was experiencing was “unbearable and </w:t>
      </w:r>
      <w:r w:rsidR="00AC31D0" w:rsidRPr="00785D06">
        <w:rPr>
          <w:sz w:val="20"/>
          <w:szCs w:val="20"/>
          <w:lang w:val="en-US"/>
        </w:rPr>
        <w:t xml:space="preserve">unprecedented </w:t>
      </w:r>
      <w:r w:rsidRPr="00785D06">
        <w:rPr>
          <w:sz w:val="20"/>
          <w:szCs w:val="20"/>
          <w:lang w:val="en-US"/>
        </w:rPr>
        <w:t>for her psychological capacity.”</w:t>
      </w:r>
      <w:r w:rsidRPr="00785D06">
        <w:rPr>
          <w:rStyle w:val="Refdenotaalpie"/>
          <w:sz w:val="20"/>
          <w:szCs w:val="20"/>
          <w:lang w:val="en-US"/>
        </w:rPr>
        <w:footnoteReference w:id="157"/>
      </w:r>
    </w:p>
    <w:p w14:paraId="3BDAB49A" w14:textId="77777777" w:rsidR="00C254BF" w:rsidRPr="00785D06" w:rsidRDefault="00C254BF" w:rsidP="00C254BF">
      <w:pPr>
        <w:pStyle w:val="Prrafodelista"/>
        <w:rPr>
          <w:sz w:val="20"/>
          <w:szCs w:val="20"/>
          <w:lang w:val="en-US"/>
        </w:rPr>
      </w:pPr>
    </w:p>
    <w:p w14:paraId="504F3FA7" w14:textId="77777777" w:rsidR="00C254BF" w:rsidRPr="00785D06" w:rsidRDefault="00C2641D" w:rsidP="00C254BF">
      <w:pPr>
        <w:pStyle w:val="Prrafodelista"/>
        <w:numPr>
          <w:ilvl w:val="0"/>
          <w:numId w:val="35"/>
        </w:numPr>
        <w:ind w:left="0" w:firstLine="0"/>
        <w:contextualSpacing w:val="0"/>
        <w:jc w:val="both"/>
        <w:rPr>
          <w:sz w:val="20"/>
          <w:szCs w:val="20"/>
          <w:lang w:val="en-US"/>
        </w:rPr>
      </w:pPr>
      <w:r w:rsidRPr="00785D06">
        <w:rPr>
          <w:sz w:val="20"/>
          <w:szCs w:val="20"/>
          <w:lang w:val="en-US"/>
        </w:rPr>
        <w:t>Despite the foregoing</w:t>
      </w:r>
      <w:r w:rsidR="00C254BF" w:rsidRPr="00785D06">
        <w:rPr>
          <w:sz w:val="20"/>
          <w:szCs w:val="20"/>
          <w:lang w:val="en-US"/>
        </w:rPr>
        <w:t xml:space="preserve">, </w:t>
      </w:r>
      <w:r w:rsidR="00776371" w:rsidRPr="00785D06">
        <w:rPr>
          <w:sz w:val="20"/>
          <w:szCs w:val="20"/>
          <w:lang w:val="en-US"/>
        </w:rPr>
        <w:t xml:space="preserve">in order </w:t>
      </w:r>
      <w:r w:rsidR="00C254BF" w:rsidRPr="00785D06">
        <w:rPr>
          <w:sz w:val="20"/>
          <w:szCs w:val="20"/>
          <w:lang w:val="en-US"/>
        </w:rPr>
        <w:t>t</w:t>
      </w:r>
      <w:r w:rsidR="00371100" w:rsidRPr="00785D06">
        <w:rPr>
          <w:sz w:val="20"/>
          <w:szCs w:val="20"/>
          <w:lang w:val="en-US"/>
        </w:rPr>
        <w:t xml:space="preserve">o classify </w:t>
      </w:r>
      <w:r w:rsidR="00C254BF" w:rsidRPr="00785D06">
        <w:rPr>
          <w:sz w:val="20"/>
          <w:szCs w:val="20"/>
          <w:lang w:val="en-US"/>
        </w:rPr>
        <w:t xml:space="preserve">an act as </w:t>
      </w:r>
      <w:r w:rsidR="00C254BF" w:rsidRPr="00785D06">
        <w:rPr>
          <w:rFonts w:eastAsia="Times New Roman"/>
          <w:color w:val="000000"/>
          <w:sz w:val="20"/>
          <w:szCs w:val="20"/>
          <w:lang w:val="en-US"/>
        </w:rPr>
        <w:t xml:space="preserve">“torture” </w:t>
      </w:r>
      <w:r w:rsidR="00371100" w:rsidRPr="00785D06">
        <w:rPr>
          <w:rFonts w:eastAsia="Times New Roman"/>
          <w:color w:val="000000"/>
          <w:sz w:val="20"/>
          <w:szCs w:val="20"/>
          <w:lang w:val="en-US"/>
        </w:rPr>
        <w:t xml:space="preserve">it is necessary to use the utmost </w:t>
      </w:r>
      <w:r w:rsidR="00C254BF" w:rsidRPr="00785D06">
        <w:rPr>
          <w:rFonts w:eastAsia="Times New Roman"/>
          <w:color w:val="000000"/>
          <w:sz w:val="20"/>
          <w:szCs w:val="20"/>
          <w:lang w:val="en-US"/>
        </w:rPr>
        <w:t>rigor</w:t>
      </w:r>
      <w:r w:rsidR="00371100" w:rsidRPr="00785D06">
        <w:rPr>
          <w:rFonts w:eastAsia="Times New Roman"/>
          <w:color w:val="000000"/>
          <w:sz w:val="20"/>
          <w:szCs w:val="20"/>
          <w:lang w:val="en-US"/>
        </w:rPr>
        <w:t xml:space="preserve"> in determining its nature.</w:t>
      </w:r>
      <w:r w:rsidR="00C254BF" w:rsidRPr="00785D06">
        <w:rPr>
          <w:rFonts w:eastAsia="Times New Roman"/>
          <w:color w:val="000000"/>
          <w:sz w:val="20"/>
          <w:szCs w:val="20"/>
          <w:lang w:val="en-US"/>
        </w:rPr>
        <w:t xml:space="preserve"> </w:t>
      </w:r>
      <w:r w:rsidR="00371100" w:rsidRPr="00785D06">
        <w:rPr>
          <w:rFonts w:eastAsia="Times New Roman"/>
          <w:color w:val="000000"/>
          <w:sz w:val="20"/>
          <w:szCs w:val="20"/>
          <w:lang w:val="en-US"/>
        </w:rPr>
        <w:t>T</w:t>
      </w:r>
      <w:r w:rsidR="00C254BF" w:rsidRPr="00785D06">
        <w:rPr>
          <w:rFonts w:eastAsia="Times New Roman"/>
          <w:color w:val="000000"/>
          <w:sz w:val="20"/>
          <w:szCs w:val="20"/>
          <w:lang w:val="en-US"/>
        </w:rPr>
        <w:t xml:space="preserve">orture </w:t>
      </w:r>
      <w:r w:rsidR="00C254BF" w:rsidRPr="00785D06">
        <w:rPr>
          <w:sz w:val="20"/>
          <w:szCs w:val="20"/>
          <w:lang w:val="en-US"/>
        </w:rPr>
        <w:t xml:space="preserve">constitutes </w:t>
      </w:r>
      <w:r w:rsidR="00371100" w:rsidRPr="00785D06">
        <w:rPr>
          <w:sz w:val="20"/>
          <w:szCs w:val="20"/>
          <w:lang w:val="en-US"/>
        </w:rPr>
        <w:t xml:space="preserve">a particularly </w:t>
      </w:r>
      <w:r w:rsidR="00C254BF" w:rsidRPr="00785D06">
        <w:rPr>
          <w:sz w:val="20"/>
          <w:szCs w:val="20"/>
          <w:lang w:val="en-US"/>
        </w:rPr>
        <w:t xml:space="preserve">heinous attack on the dignity of a human being because the perpetrator </w:t>
      </w:r>
      <w:r w:rsidR="00371100" w:rsidRPr="00785D06">
        <w:rPr>
          <w:sz w:val="20"/>
          <w:szCs w:val="20"/>
          <w:lang w:val="en-US"/>
        </w:rPr>
        <w:t xml:space="preserve">intentionally </w:t>
      </w:r>
      <w:r w:rsidR="00C254BF" w:rsidRPr="00785D06">
        <w:rPr>
          <w:sz w:val="20"/>
          <w:szCs w:val="20"/>
          <w:lang w:val="en-US"/>
        </w:rPr>
        <w:t>inflicts severe pain or suffering on a powerless victim for a specific purpose</w:t>
      </w:r>
      <w:r w:rsidR="00C254BF" w:rsidRPr="00785D06">
        <w:rPr>
          <w:rFonts w:eastAsia="Times New Roman"/>
          <w:color w:val="000000"/>
          <w:sz w:val="20"/>
          <w:szCs w:val="20"/>
          <w:lang w:val="en-US"/>
        </w:rPr>
        <w:t>, or uses method</w:t>
      </w:r>
      <w:r w:rsidR="00371100" w:rsidRPr="00785D06">
        <w:rPr>
          <w:rFonts w:eastAsia="Times New Roman"/>
          <w:color w:val="000000"/>
          <w:sz w:val="20"/>
          <w:szCs w:val="20"/>
          <w:lang w:val="en-US"/>
        </w:rPr>
        <w:t>s</w:t>
      </w:r>
      <w:r w:rsidR="00C254BF" w:rsidRPr="00785D06">
        <w:rPr>
          <w:rFonts w:eastAsia="Times New Roman"/>
          <w:color w:val="000000"/>
          <w:sz w:val="20"/>
          <w:szCs w:val="20"/>
          <w:lang w:val="en-US"/>
        </w:rPr>
        <w:t xml:space="preserve"> </w:t>
      </w:r>
      <w:r w:rsidR="00371100" w:rsidRPr="00785D06">
        <w:rPr>
          <w:rFonts w:eastAsia="Times New Roman"/>
          <w:color w:val="000000"/>
          <w:sz w:val="20"/>
          <w:szCs w:val="20"/>
          <w:lang w:val="en-US"/>
        </w:rPr>
        <w:t>designed to annul</w:t>
      </w:r>
      <w:r w:rsidR="00C254BF" w:rsidRPr="00785D06">
        <w:rPr>
          <w:rFonts w:eastAsia="Times New Roman"/>
          <w:color w:val="000000"/>
          <w:sz w:val="20"/>
          <w:szCs w:val="20"/>
          <w:lang w:val="en-US"/>
        </w:rPr>
        <w:t xml:space="preserve"> the</w:t>
      </w:r>
      <w:r w:rsidR="00371100" w:rsidRPr="00785D06">
        <w:rPr>
          <w:rFonts w:eastAsia="Times New Roman"/>
          <w:color w:val="000000"/>
          <w:sz w:val="20"/>
          <w:szCs w:val="20"/>
          <w:lang w:val="en-US"/>
        </w:rPr>
        <w:t>ir</w:t>
      </w:r>
      <w:r w:rsidR="00C254BF" w:rsidRPr="00785D06">
        <w:rPr>
          <w:rFonts w:eastAsia="Times New Roman"/>
          <w:color w:val="000000"/>
          <w:sz w:val="20"/>
          <w:szCs w:val="20"/>
          <w:lang w:val="en-US"/>
        </w:rPr>
        <w:t xml:space="preserve"> personality or </w:t>
      </w:r>
      <w:r w:rsidR="00371100" w:rsidRPr="00785D06">
        <w:rPr>
          <w:rFonts w:eastAsia="Times New Roman"/>
          <w:color w:val="000000"/>
          <w:sz w:val="20"/>
          <w:szCs w:val="20"/>
          <w:lang w:val="en-US"/>
        </w:rPr>
        <w:t xml:space="preserve">diminish their </w:t>
      </w:r>
      <w:r w:rsidR="00C254BF" w:rsidRPr="00785D06">
        <w:rPr>
          <w:rFonts w:eastAsia="Times New Roman"/>
          <w:color w:val="000000"/>
          <w:sz w:val="20"/>
          <w:szCs w:val="20"/>
          <w:lang w:val="en-US"/>
        </w:rPr>
        <w:t>physical or mental capacity to achieve a specific purpose.</w:t>
      </w:r>
      <w:r w:rsidR="00C254BF" w:rsidRPr="00785D06">
        <w:rPr>
          <w:rStyle w:val="Refdenotaalpie"/>
          <w:rFonts w:eastAsia="Times New Roman"/>
          <w:color w:val="000000"/>
          <w:sz w:val="20"/>
          <w:szCs w:val="20"/>
          <w:lang w:val="en-US"/>
        </w:rPr>
        <w:footnoteReference w:id="158"/>
      </w:r>
      <w:r w:rsidR="00C254BF" w:rsidRPr="00785D06">
        <w:rPr>
          <w:rFonts w:eastAsia="Times New Roman"/>
          <w:color w:val="000000"/>
          <w:sz w:val="20"/>
          <w:szCs w:val="20"/>
          <w:lang w:val="en-US"/>
        </w:rPr>
        <w:t xml:space="preserve"> </w:t>
      </w:r>
      <w:r w:rsidR="00371100" w:rsidRPr="00785D06">
        <w:rPr>
          <w:rFonts w:eastAsia="Times New Roman"/>
          <w:color w:val="000000"/>
          <w:sz w:val="20"/>
          <w:szCs w:val="20"/>
          <w:lang w:val="en-US"/>
        </w:rPr>
        <w:t xml:space="preserve">In the </w:t>
      </w:r>
      <w:r w:rsidR="00AC31D0" w:rsidRPr="00785D06">
        <w:rPr>
          <w:rFonts w:eastAsia="Times New Roman"/>
          <w:color w:val="000000"/>
          <w:sz w:val="20"/>
          <w:szCs w:val="20"/>
          <w:lang w:val="en-US"/>
        </w:rPr>
        <w:t>Court</w:t>
      </w:r>
      <w:r w:rsidR="00371100" w:rsidRPr="00785D06">
        <w:rPr>
          <w:rFonts w:eastAsia="Times New Roman"/>
          <w:color w:val="000000"/>
          <w:sz w:val="20"/>
          <w:szCs w:val="20"/>
          <w:lang w:val="en-US"/>
        </w:rPr>
        <w:t>’s view,</w:t>
      </w:r>
      <w:r w:rsidR="00AC31D0" w:rsidRPr="00785D06">
        <w:rPr>
          <w:rFonts w:eastAsia="Times New Roman"/>
          <w:color w:val="000000"/>
          <w:sz w:val="20"/>
          <w:szCs w:val="20"/>
          <w:lang w:val="en-US"/>
        </w:rPr>
        <w:t xml:space="preserve"> the proven facts</w:t>
      </w:r>
      <w:r w:rsidR="00C254BF" w:rsidRPr="00785D06">
        <w:rPr>
          <w:rFonts w:eastAsia="Times New Roman"/>
          <w:color w:val="000000"/>
          <w:sz w:val="20"/>
          <w:szCs w:val="20"/>
          <w:lang w:val="en-US"/>
        </w:rPr>
        <w:t xml:space="preserve"> </w:t>
      </w:r>
      <w:r w:rsidR="00AC31D0" w:rsidRPr="00785D06">
        <w:rPr>
          <w:rFonts w:eastAsia="Times New Roman"/>
          <w:color w:val="000000"/>
          <w:sz w:val="20"/>
          <w:szCs w:val="20"/>
          <w:lang w:val="en-US"/>
        </w:rPr>
        <w:t xml:space="preserve">in this </w:t>
      </w:r>
      <w:r w:rsidR="00C254BF" w:rsidRPr="00785D06">
        <w:rPr>
          <w:rFonts w:eastAsia="Times New Roman"/>
          <w:color w:val="000000"/>
          <w:sz w:val="20"/>
          <w:szCs w:val="20"/>
          <w:lang w:val="en-US"/>
        </w:rPr>
        <w:t xml:space="preserve">case </w:t>
      </w:r>
      <w:r w:rsidR="008E144E" w:rsidRPr="00785D06">
        <w:rPr>
          <w:rFonts w:eastAsia="Times New Roman"/>
          <w:color w:val="000000"/>
          <w:sz w:val="20"/>
          <w:szCs w:val="20"/>
          <w:lang w:val="en-US"/>
        </w:rPr>
        <w:t>are not sufficient to allow it to conclude that torture was committed in this case.</w:t>
      </w:r>
      <w:r w:rsidR="00C254BF" w:rsidRPr="00785D06">
        <w:rPr>
          <w:rFonts w:eastAsia="Times New Roman"/>
          <w:color w:val="000000"/>
          <w:sz w:val="20"/>
          <w:szCs w:val="20"/>
          <w:lang w:val="en-US"/>
        </w:rPr>
        <w:t xml:space="preserve"> </w:t>
      </w:r>
    </w:p>
    <w:p w14:paraId="0B49BCFE" w14:textId="77777777" w:rsidR="00C254BF" w:rsidRPr="00785D06" w:rsidRDefault="00C254BF" w:rsidP="00C254BF">
      <w:pPr>
        <w:jc w:val="both"/>
        <w:rPr>
          <w:sz w:val="20"/>
          <w:szCs w:val="20"/>
          <w:lang w:val="en-US"/>
        </w:rPr>
      </w:pPr>
    </w:p>
    <w:p w14:paraId="26E40F27" w14:textId="77777777" w:rsidR="00C254BF" w:rsidRPr="00785D06" w:rsidRDefault="00C254BF" w:rsidP="00C254BF">
      <w:pPr>
        <w:pStyle w:val="Ttulo3"/>
        <w:spacing w:before="0"/>
        <w:ind w:left="567"/>
        <w:rPr>
          <w:rFonts w:ascii="Verdana" w:hAnsi="Verdana"/>
          <w:i/>
          <w:color w:val="auto"/>
          <w:sz w:val="20"/>
          <w:szCs w:val="20"/>
          <w:lang w:val="en-US"/>
        </w:rPr>
      </w:pPr>
      <w:bookmarkStart w:id="118" w:name="_Toc41906228"/>
      <w:bookmarkStart w:id="119" w:name="_Toc42498055"/>
      <w:bookmarkStart w:id="120" w:name="_Toc46937303"/>
      <w:r w:rsidRPr="00785D06">
        <w:rPr>
          <w:rFonts w:ascii="Verdana" w:hAnsi="Verdana"/>
          <w:i/>
          <w:color w:val="auto"/>
          <w:sz w:val="20"/>
          <w:szCs w:val="20"/>
          <w:lang w:val="en-US"/>
        </w:rPr>
        <w:t xml:space="preserve">B.4 </w:t>
      </w:r>
      <w:r w:rsidRPr="00785D06">
        <w:rPr>
          <w:rFonts w:ascii="Verdana" w:hAnsi="Verdana"/>
          <w:i/>
          <w:color w:val="auto"/>
          <w:sz w:val="20"/>
          <w:szCs w:val="20"/>
          <w:u w:val="single"/>
          <w:lang w:val="en-US"/>
        </w:rPr>
        <w:t>The State’s responsibility for the violation of the right to life of Paola</w:t>
      </w:r>
      <w:bookmarkEnd w:id="118"/>
      <w:bookmarkEnd w:id="119"/>
      <w:r w:rsidRPr="00785D06">
        <w:rPr>
          <w:rFonts w:ascii="Verdana" w:hAnsi="Verdana"/>
          <w:i/>
          <w:color w:val="auto"/>
          <w:sz w:val="20"/>
          <w:szCs w:val="20"/>
          <w:u w:val="single"/>
          <w:lang w:val="en-US"/>
        </w:rPr>
        <w:t xml:space="preserve"> del Rosario Guzmán Albarracín</w:t>
      </w:r>
      <w:bookmarkEnd w:id="120"/>
      <w:r w:rsidRPr="00785D06">
        <w:rPr>
          <w:rFonts w:ascii="Verdana" w:hAnsi="Verdana"/>
          <w:i/>
          <w:color w:val="auto"/>
          <w:sz w:val="20"/>
          <w:szCs w:val="20"/>
          <w:u w:val="single"/>
          <w:lang w:val="en-US"/>
        </w:rPr>
        <w:t xml:space="preserve"> </w:t>
      </w:r>
    </w:p>
    <w:p w14:paraId="16260B76" w14:textId="77777777" w:rsidR="00C254BF" w:rsidRPr="00785D06" w:rsidRDefault="00C254BF" w:rsidP="00C254BF">
      <w:pPr>
        <w:jc w:val="both"/>
        <w:rPr>
          <w:sz w:val="20"/>
          <w:szCs w:val="20"/>
          <w:lang w:val="en-US"/>
        </w:rPr>
      </w:pPr>
    </w:p>
    <w:p w14:paraId="4C925B80"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The Court will now </w:t>
      </w:r>
      <w:r w:rsidR="0065668F" w:rsidRPr="00785D06">
        <w:rPr>
          <w:sz w:val="20"/>
          <w:szCs w:val="20"/>
          <w:lang w:val="en-US"/>
        </w:rPr>
        <w:t xml:space="preserve">consider </w:t>
      </w:r>
      <w:r w:rsidRPr="00785D06">
        <w:rPr>
          <w:sz w:val="20"/>
          <w:szCs w:val="20"/>
          <w:lang w:val="en-US"/>
        </w:rPr>
        <w:t xml:space="preserve">whether the State may be held internationally responsible for </w:t>
      </w:r>
      <w:r w:rsidR="00776371" w:rsidRPr="00785D06">
        <w:rPr>
          <w:sz w:val="20"/>
          <w:szCs w:val="20"/>
          <w:lang w:val="en-US"/>
        </w:rPr>
        <w:t xml:space="preserve">violating </w:t>
      </w:r>
      <w:r w:rsidRPr="00785D06">
        <w:rPr>
          <w:sz w:val="20"/>
          <w:szCs w:val="20"/>
          <w:lang w:val="en-US"/>
        </w:rPr>
        <w:t>the right to life of Paola del Rosario Guzmán Albarracín.</w:t>
      </w:r>
    </w:p>
    <w:p w14:paraId="25CD08BB" w14:textId="77777777" w:rsidR="00C254BF" w:rsidRPr="00785D06" w:rsidRDefault="00C254BF" w:rsidP="00C254BF">
      <w:pPr>
        <w:pStyle w:val="Prrafodelista"/>
        <w:ind w:left="0"/>
        <w:contextualSpacing w:val="0"/>
        <w:jc w:val="both"/>
        <w:rPr>
          <w:sz w:val="20"/>
          <w:szCs w:val="20"/>
          <w:lang w:val="en-US"/>
        </w:rPr>
      </w:pPr>
      <w:r w:rsidRPr="00785D06">
        <w:rPr>
          <w:sz w:val="20"/>
          <w:szCs w:val="20"/>
          <w:lang w:val="en-US"/>
        </w:rPr>
        <w:t xml:space="preserve"> </w:t>
      </w:r>
    </w:p>
    <w:p w14:paraId="45D4AF7F"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As the Court has </w:t>
      </w:r>
      <w:r w:rsidR="008E144E" w:rsidRPr="00785D06">
        <w:rPr>
          <w:sz w:val="20"/>
          <w:szCs w:val="20"/>
          <w:lang w:val="en-US"/>
        </w:rPr>
        <w:t xml:space="preserve">already </w:t>
      </w:r>
      <w:r w:rsidR="00885FD7" w:rsidRPr="00785D06">
        <w:rPr>
          <w:sz w:val="20"/>
          <w:szCs w:val="20"/>
          <w:lang w:val="en-US"/>
        </w:rPr>
        <w:t>stated</w:t>
      </w:r>
      <w:r w:rsidRPr="00785D06">
        <w:rPr>
          <w:sz w:val="20"/>
          <w:szCs w:val="20"/>
          <w:lang w:val="en-US"/>
        </w:rPr>
        <w:t xml:space="preserve">, </w:t>
      </w:r>
    </w:p>
    <w:p w14:paraId="0B5D7282" w14:textId="77777777" w:rsidR="00C254BF" w:rsidRPr="00785D06" w:rsidRDefault="00C254BF" w:rsidP="00C254BF">
      <w:pPr>
        <w:pStyle w:val="Prrafodelista"/>
        <w:rPr>
          <w:sz w:val="20"/>
          <w:szCs w:val="20"/>
          <w:lang w:val="en-US"/>
        </w:rPr>
      </w:pPr>
    </w:p>
    <w:p w14:paraId="1AFE90C3" w14:textId="77777777" w:rsidR="00C254BF" w:rsidRPr="00785D06" w:rsidRDefault="00C254BF" w:rsidP="00C254BF">
      <w:pPr>
        <w:pStyle w:val="Prrafodelista"/>
        <w:ind w:left="284" w:right="333"/>
        <w:contextualSpacing w:val="0"/>
        <w:jc w:val="both"/>
        <w:rPr>
          <w:lang w:val="en-US"/>
        </w:rPr>
      </w:pPr>
      <w:r w:rsidRPr="00785D06">
        <w:rPr>
          <w:lang w:val="en-US"/>
        </w:rPr>
        <w:t>[…] the right to life plays a fundamental role in the American Convention, because it is essential for the exercise of the other rights. Compliance with Article 4, related to Article 1(1) of the American Convention, supposes not only that no one may be arbitrarily deprived of their life (negative obligation), but also requires States to take all appropriate steps to protect and preserve the right to life (positive obligation), in keeping with the obligation to ensure the full and free exercise of the rights of all persons subject to their jurisdiction. Consequently, States have the obligation to create the required conditions to ensure that no violations of this inalienable right occur and, in particular, the duty to prevent their agents from violating it.</w:t>
      </w:r>
      <w:r w:rsidRPr="00785D06">
        <w:rPr>
          <w:rStyle w:val="Refdenotaalpie"/>
          <w:lang w:val="en-US"/>
        </w:rPr>
        <w:footnoteReference w:id="159"/>
      </w:r>
      <w:r w:rsidRPr="00785D06">
        <w:rPr>
          <w:lang w:val="en-US"/>
        </w:rPr>
        <w:t xml:space="preserve"> </w:t>
      </w:r>
    </w:p>
    <w:p w14:paraId="330450C6" w14:textId="77777777" w:rsidR="00C254BF" w:rsidRPr="00785D06" w:rsidRDefault="00C254BF" w:rsidP="00C254BF">
      <w:pPr>
        <w:pStyle w:val="Prrafodelista"/>
        <w:ind w:left="0"/>
        <w:contextualSpacing w:val="0"/>
        <w:jc w:val="both"/>
        <w:rPr>
          <w:sz w:val="20"/>
          <w:szCs w:val="20"/>
          <w:lang w:val="en-US"/>
        </w:rPr>
      </w:pPr>
    </w:p>
    <w:p w14:paraId="479B7DCB" w14:textId="77777777" w:rsidR="00C254BF" w:rsidRPr="00785D06" w:rsidRDefault="009B4234"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Accordingly, </w:t>
      </w:r>
      <w:r w:rsidR="00C254BF" w:rsidRPr="00785D06">
        <w:rPr>
          <w:sz w:val="20"/>
          <w:szCs w:val="20"/>
          <w:lang w:val="en-US"/>
        </w:rPr>
        <w:t xml:space="preserve">it should be noted that owing to the </w:t>
      </w:r>
      <w:r w:rsidR="00894CE5" w:rsidRPr="00785D06">
        <w:rPr>
          <w:sz w:val="20"/>
          <w:szCs w:val="20"/>
          <w:lang w:val="en-US"/>
        </w:rPr>
        <w:t xml:space="preserve">essential </w:t>
      </w:r>
      <w:r w:rsidR="00C254BF" w:rsidRPr="00785D06">
        <w:rPr>
          <w:sz w:val="20"/>
          <w:szCs w:val="20"/>
          <w:lang w:val="en-US"/>
        </w:rPr>
        <w:t xml:space="preserve">nature of the right to life, restrictive approaches to it are inadmissible. </w:t>
      </w:r>
      <w:r w:rsidRPr="00785D06">
        <w:rPr>
          <w:sz w:val="20"/>
          <w:szCs w:val="20"/>
          <w:lang w:val="en-US"/>
        </w:rPr>
        <w:t>T</w:t>
      </w:r>
      <w:r w:rsidR="00C254BF" w:rsidRPr="00785D06">
        <w:rPr>
          <w:sz w:val="20"/>
          <w:szCs w:val="20"/>
          <w:lang w:val="en-US"/>
        </w:rPr>
        <w:t>his Court has indicated on several occasions</w:t>
      </w:r>
      <w:r w:rsidR="00C254BF" w:rsidRPr="00785D06">
        <w:rPr>
          <w:rStyle w:val="Refdenotaalpie"/>
          <w:sz w:val="20"/>
          <w:szCs w:val="20"/>
          <w:lang w:val="en-US"/>
        </w:rPr>
        <w:footnoteReference w:id="160"/>
      </w:r>
      <w:r w:rsidR="00C254BF" w:rsidRPr="00785D06">
        <w:rPr>
          <w:sz w:val="20"/>
          <w:szCs w:val="20"/>
          <w:lang w:val="en-US"/>
        </w:rPr>
        <w:t xml:space="preserve"> that the fundamental right to life includes, not only the right of every human being not to be deprived of his life arbitrarily, but also the right that he will not be prevented from having access to the conditions that guarantee a dignified existence.”</w:t>
      </w:r>
      <w:r w:rsidR="00C254BF" w:rsidRPr="00785D06">
        <w:rPr>
          <w:rStyle w:val="Refdenotaalpie"/>
          <w:sz w:val="20"/>
          <w:szCs w:val="20"/>
          <w:lang w:val="en-US"/>
        </w:rPr>
        <w:footnoteReference w:id="161"/>
      </w:r>
      <w:r w:rsidR="00C254BF" w:rsidRPr="00785D06">
        <w:rPr>
          <w:sz w:val="20"/>
          <w:szCs w:val="20"/>
          <w:lang w:val="en-US"/>
        </w:rPr>
        <w:t xml:space="preserve"> </w:t>
      </w:r>
      <w:r w:rsidR="00894CE5" w:rsidRPr="00785D06">
        <w:rPr>
          <w:sz w:val="20"/>
          <w:szCs w:val="20"/>
          <w:lang w:val="en-US"/>
        </w:rPr>
        <w:t>For its part, t</w:t>
      </w:r>
      <w:r w:rsidR="00C254BF" w:rsidRPr="00785D06">
        <w:rPr>
          <w:sz w:val="20"/>
          <w:szCs w:val="20"/>
          <w:lang w:val="en-US"/>
        </w:rPr>
        <w:t xml:space="preserve">he Human rights Committee has </w:t>
      </w:r>
      <w:r w:rsidR="0065668F" w:rsidRPr="00785D06">
        <w:rPr>
          <w:sz w:val="20"/>
          <w:szCs w:val="20"/>
          <w:lang w:val="en-US"/>
        </w:rPr>
        <w:t xml:space="preserve">stated </w:t>
      </w:r>
      <w:r w:rsidR="00C254BF" w:rsidRPr="00785D06">
        <w:rPr>
          <w:sz w:val="20"/>
          <w:szCs w:val="20"/>
          <w:lang w:val="en-US"/>
        </w:rPr>
        <w:t>that “[t]he right to life is a right which should not be interpreted narrowly. It concerns the entitlement of individuals to be free from acts and omissions that are intended</w:t>
      </w:r>
      <w:r w:rsidR="00894CE5" w:rsidRPr="00785D06">
        <w:rPr>
          <w:sz w:val="20"/>
          <w:szCs w:val="20"/>
          <w:lang w:val="en-US"/>
        </w:rPr>
        <w:t>,</w:t>
      </w:r>
      <w:r w:rsidR="00C254BF" w:rsidRPr="00785D06">
        <w:rPr>
          <w:sz w:val="20"/>
          <w:szCs w:val="20"/>
          <w:lang w:val="en-US"/>
        </w:rPr>
        <w:t xml:space="preserve"> or may be expected</w:t>
      </w:r>
      <w:r w:rsidR="00894CE5" w:rsidRPr="00785D06">
        <w:rPr>
          <w:sz w:val="20"/>
          <w:szCs w:val="20"/>
          <w:lang w:val="en-US"/>
        </w:rPr>
        <w:t>,</w:t>
      </w:r>
      <w:r w:rsidR="00C254BF" w:rsidRPr="00785D06">
        <w:rPr>
          <w:sz w:val="20"/>
          <w:szCs w:val="20"/>
          <w:lang w:val="en-US"/>
        </w:rPr>
        <w:t xml:space="preserve"> to cause their unnatural or premature death, as well as to enjoy a life with dignity</w:t>
      </w:r>
      <w:r w:rsidR="00C254BF" w:rsidRPr="00785D06">
        <w:rPr>
          <w:rFonts w:eastAsia="Times New Roman"/>
          <w:color w:val="000000"/>
          <w:sz w:val="20"/>
          <w:szCs w:val="20"/>
          <w:lang w:val="en-US"/>
        </w:rPr>
        <w:t>.”</w:t>
      </w:r>
      <w:r w:rsidR="00C254BF" w:rsidRPr="00785D06">
        <w:rPr>
          <w:rStyle w:val="Refdenotaalpie"/>
          <w:rFonts w:eastAsia="Times New Roman"/>
          <w:color w:val="000000"/>
          <w:sz w:val="20"/>
          <w:szCs w:val="20"/>
          <w:lang w:val="en-US"/>
        </w:rPr>
        <w:footnoteReference w:id="162"/>
      </w:r>
    </w:p>
    <w:p w14:paraId="3335A1A0" w14:textId="77777777" w:rsidR="00C254BF" w:rsidRPr="00785D06" w:rsidRDefault="00C254BF" w:rsidP="00C254BF">
      <w:pPr>
        <w:pStyle w:val="Prrafodelista"/>
        <w:ind w:left="0"/>
        <w:contextualSpacing w:val="0"/>
        <w:jc w:val="both"/>
        <w:rPr>
          <w:rFonts w:eastAsia="Times New Roman"/>
          <w:sz w:val="20"/>
          <w:szCs w:val="20"/>
          <w:lang w:val="en-US"/>
        </w:rPr>
      </w:pPr>
    </w:p>
    <w:p w14:paraId="2B86388A"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rPr>
        <w:t xml:space="preserve">The effects of violence on children may be extremely serious. Violence against </w:t>
      </w:r>
      <w:r w:rsidR="00DC43E2" w:rsidRPr="00785D06">
        <w:rPr>
          <w:rFonts w:eastAsia="Times New Roman"/>
          <w:sz w:val="20"/>
          <w:szCs w:val="20"/>
          <w:lang w:val="en-US"/>
        </w:rPr>
        <w:t xml:space="preserve">a child </w:t>
      </w:r>
      <w:r w:rsidRPr="00785D06">
        <w:rPr>
          <w:rFonts w:eastAsia="Times New Roman"/>
          <w:sz w:val="20"/>
          <w:szCs w:val="20"/>
          <w:lang w:val="en-US"/>
        </w:rPr>
        <w:t xml:space="preserve">has numerous </w:t>
      </w:r>
      <w:r w:rsidR="00894CE5" w:rsidRPr="00785D06">
        <w:rPr>
          <w:rFonts w:eastAsia="Times New Roman"/>
          <w:sz w:val="20"/>
          <w:szCs w:val="20"/>
          <w:lang w:val="en-US"/>
        </w:rPr>
        <w:t>effects</w:t>
      </w:r>
      <w:r w:rsidRPr="00785D06">
        <w:rPr>
          <w:rFonts w:eastAsia="Times New Roman"/>
          <w:sz w:val="20"/>
          <w:szCs w:val="20"/>
          <w:lang w:val="en-US"/>
        </w:rPr>
        <w:t xml:space="preserve"> including, “</w:t>
      </w:r>
      <w:r w:rsidRPr="00785D06">
        <w:rPr>
          <w:rFonts w:eastAsia="Times New Roman"/>
          <w:color w:val="000000"/>
          <w:sz w:val="20"/>
          <w:szCs w:val="20"/>
          <w:lang w:val="en-US"/>
        </w:rPr>
        <w:t>psychological and emotional consequences (such as feelings of rejection and abandonment, impaired attachment, trauma, fear, anxiety, insecurity and shattered self-esteem),”</w:t>
      </w:r>
      <w:r w:rsidRPr="00785D06">
        <w:rPr>
          <w:rStyle w:val="Refdenotaalpie"/>
          <w:rFonts w:eastAsia="Times New Roman"/>
          <w:color w:val="000000"/>
          <w:sz w:val="20"/>
          <w:szCs w:val="20"/>
          <w:lang w:val="en-US"/>
        </w:rPr>
        <w:footnoteReference w:id="163"/>
      </w:r>
      <w:r w:rsidRPr="00785D06">
        <w:rPr>
          <w:rFonts w:eastAsia="Times New Roman"/>
          <w:color w:val="000000"/>
          <w:sz w:val="20"/>
          <w:szCs w:val="20"/>
          <w:lang w:val="en-US"/>
        </w:rPr>
        <w:t xml:space="preserve"> which can even lead to suicide or attempts at suicide. In that regard, the Committee on the Rights of the Child has stated that it is “very concerned about the high rate of suicide among [adolescents]”, and that “t</w:t>
      </w:r>
      <w:r w:rsidRPr="00785D06">
        <w:rPr>
          <w:sz w:val="20"/>
          <w:szCs w:val="20"/>
          <w:lang w:val="en-US"/>
        </w:rPr>
        <w:t xml:space="preserve">hese may be related to, </w:t>
      </w:r>
      <w:r w:rsidRPr="00785D06">
        <w:rPr>
          <w:i/>
          <w:sz w:val="20"/>
          <w:szCs w:val="20"/>
          <w:lang w:val="en-US"/>
        </w:rPr>
        <w:t>inter alia</w:t>
      </w:r>
      <w:r w:rsidRPr="00785D06">
        <w:rPr>
          <w:sz w:val="20"/>
          <w:szCs w:val="20"/>
          <w:lang w:val="en-US"/>
        </w:rPr>
        <w:t>, violence, ill-treatment, abuse and neglect, including sexual abuse</w:t>
      </w:r>
      <w:r w:rsidRPr="00785D06">
        <w:rPr>
          <w:rFonts w:eastAsia="Times New Roman"/>
          <w:color w:val="000000"/>
          <w:sz w:val="20"/>
          <w:szCs w:val="20"/>
          <w:lang w:val="en-US"/>
        </w:rPr>
        <w:t>.”</w:t>
      </w:r>
      <w:r w:rsidRPr="00785D06">
        <w:rPr>
          <w:rStyle w:val="Refdenotaalpie"/>
          <w:rFonts w:eastAsia="Times New Roman"/>
          <w:color w:val="000000"/>
          <w:sz w:val="20"/>
          <w:szCs w:val="20"/>
          <w:lang w:val="en-US"/>
        </w:rPr>
        <w:footnoteReference w:id="164"/>
      </w:r>
      <w:r w:rsidR="008D5EB4" w:rsidRPr="00785D06">
        <w:rPr>
          <w:sz w:val="20"/>
          <w:szCs w:val="20"/>
          <w:lang w:val="en-US"/>
        </w:rPr>
        <w:t xml:space="preserve"> </w:t>
      </w:r>
      <w:r w:rsidR="008B1030" w:rsidRPr="00785D06">
        <w:rPr>
          <w:sz w:val="20"/>
          <w:szCs w:val="20"/>
          <w:lang w:val="en-US"/>
        </w:rPr>
        <w:t>T</w:t>
      </w:r>
      <w:r w:rsidRPr="00785D06">
        <w:rPr>
          <w:sz w:val="20"/>
          <w:szCs w:val="20"/>
          <w:lang w:val="en-US"/>
        </w:rPr>
        <w:t>he relation</w:t>
      </w:r>
      <w:r w:rsidR="008D5EB4" w:rsidRPr="00785D06">
        <w:rPr>
          <w:sz w:val="20"/>
          <w:szCs w:val="20"/>
          <w:lang w:val="en-US"/>
        </w:rPr>
        <w:t>ships</w:t>
      </w:r>
      <w:r w:rsidRPr="00785D06">
        <w:rPr>
          <w:sz w:val="20"/>
          <w:szCs w:val="20"/>
          <w:lang w:val="en-US"/>
        </w:rPr>
        <w:t xml:space="preserve"> </w:t>
      </w:r>
      <w:r w:rsidR="008B1030" w:rsidRPr="00785D06">
        <w:rPr>
          <w:sz w:val="20"/>
          <w:szCs w:val="20"/>
          <w:lang w:val="en-US"/>
        </w:rPr>
        <w:t xml:space="preserve">between </w:t>
      </w:r>
      <w:r w:rsidRPr="00785D06">
        <w:rPr>
          <w:sz w:val="20"/>
          <w:szCs w:val="20"/>
          <w:lang w:val="en-US"/>
        </w:rPr>
        <w:t>adolescent</w:t>
      </w:r>
      <w:r w:rsidR="00894CE5" w:rsidRPr="00785D06">
        <w:rPr>
          <w:sz w:val="20"/>
          <w:szCs w:val="20"/>
          <w:lang w:val="en-US"/>
        </w:rPr>
        <w:t>s</w:t>
      </w:r>
      <w:r w:rsidRPr="00785D06">
        <w:rPr>
          <w:sz w:val="20"/>
          <w:szCs w:val="20"/>
          <w:lang w:val="en-US"/>
        </w:rPr>
        <w:t xml:space="preserve"> with </w:t>
      </w:r>
      <w:r w:rsidR="00894CE5" w:rsidRPr="00785D06">
        <w:rPr>
          <w:sz w:val="20"/>
          <w:szCs w:val="20"/>
          <w:lang w:val="en-US"/>
        </w:rPr>
        <w:t xml:space="preserve">significant </w:t>
      </w:r>
      <w:r w:rsidRPr="00785D06">
        <w:rPr>
          <w:sz w:val="20"/>
          <w:szCs w:val="20"/>
          <w:lang w:val="en-US"/>
        </w:rPr>
        <w:t>adults in their life</w:t>
      </w:r>
      <w:r w:rsidR="008B1030" w:rsidRPr="00785D06">
        <w:rPr>
          <w:sz w:val="20"/>
          <w:szCs w:val="20"/>
          <w:lang w:val="en-US"/>
        </w:rPr>
        <w:t xml:space="preserve"> </w:t>
      </w:r>
      <w:r w:rsidR="00894CE5" w:rsidRPr="00785D06">
        <w:rPr>
          <w:sz w:val="20"/>
          <w:szCs w:val="20"/>
          <w:lang w:val="en-US"/>
        </w:rPr>
        <w:t>are crucial</w:t>
      </w:r>
      <w:r w:rsidR="00894CE5" w:rsidRPr="00785D06">
        <w:rPr>
          <w:sz w:val="20"/>
          <w:szCs w:val="20"/>
          <w:lang w:val="en-GB"/>
        </w:rPr>
        <w:t xml:space="preserve"> for</w:t>
      </w:r>
      <w:r w:rsidR="00894CE5" w:rsidRPr="00785D06">
        <w:rPr>
          <w:sz w:val="20"/>
          <w:szCs w:val="20"/>
          <w:lang w:val="en-US"/>
        </w:rPr>
        <w:t xml:space="preserve"> if these are improper</w:t>
      </w:r>
      <w:r w:rsidRPr="00785D06">
        <w:rPr>
          <w:sz w:val="20"/>
          <w:szCs w:val="20"/>
          <w:lang w:val="en-US"/>
        </w:rPr>
        <w:t xml:space="preserve">, </w:t>
      </w:r>
      <w:r w:rsidR="00894CE5" w:rsidRPr="00785D06">
        <w:rPr>
          <w:sz w:val="20"/>
          <w:szCs w:val="20"/>
          <w:lang w:val="en-US"/>
        </w:rPr>
        <w:t xml:space="preserve">depending on the seriousness of </w:t>
      </w:r>
      <w:r w:rsidRPr="00785D06">
        <w:rPr>
          <w:sz w:val="20"/>
          <w:szCs w:val="20"/>
          <w:lang w:val="en-US"/>
        </w:rPr>
        <w:t xml:space="preserve">the case, </w:t>
      </w:r>
      <w:r w:rsidR="00894CE5" w:rsidRPr="00785D06">
        <w:rPr>
          <w:sz w:val="20"/>
          <w:szCs w:val="20"/>
          <w:lang w:val="en-US"/>
        </w:rPr>
        <w:t xml:space="preserve">they may </w:t>
      </w:r>
      <w:r w:rsidRPr="00785D06">
        <w:rPr>
          <w:sz w:val="20"/>
          <w:szCs w:val="20"/>
          <w:lang w:val="en-US"/>
        </w:rPr>
        <w:t>lead, directly or indirectly, to suicide.</w:t>
      </w:r>
      <w:r w:rsidRPr="00785D06">
        <w:rPr>
          <w:rStyle w:val="Refdenotaalpie"/>
          <w:sz w:val="20"/>
          <w:szCs w:val="20"/>
          <w:lang w:val="en-US"/>
        </w:rPr>
        <w:footnoteReference w:id="165"/>
      </w:r>
      <w:r w:rsidRPr="00785D06">
        <w:rPr>
          <w:sz w:val="20"/>
          <w:szCs w:val="20"/>
          <w:lang w:val="en-US"/>
        </w:rPr>
        <w:t xml:space="preserve"> </w:t>
      </w:r>
      <w:r w:rsidR="00894CE5" w:rsidRPr="00785D06">
        <w:rPr>
          <w:sz w:val="20"/>
          <w:szCs w:val="20"/>
          <w:lang w:val="en-US"/>
        </w:rPr>
        <w:t>T</w:t>
      </w:r>
      <w:r w:rsidRPr="00785D06">
        <w:rPr>
          <w:sz w:val="20"/>
          <w:szCs w:val="20"/>
          <w:lang w:val="en-US"/>
        </w:rPr>
        <w:t xml:space="preserve">he </w:t>
      </w:r>
      <w:r w:rsidRPr="00785D06">
        <w:rPr>
          <w:rFonts w:eastAsia="Times New Roman"/>
          <w:color w:val="000000"/>
          <w:sz w:val="20"/>
          <w:szCs w:val="20"/>
          <w:lang w:val="en-US"/>
        </w:rPr>
        <w:t xml:space="preserve">Human Rights Committee has </w:t>
      </w:r>
      <w:r w:rsidR="00894CE5" w:rsidRPr="00785D06">
        <w:rPr>
          <w:rFonts w:eastAsia="Times New Roman"/>
          <w:color w:val="000000"/>
          <w:sz w:val="20"/>
          <w:szCs w:val="20"/>
          <w:lang w:val="en-US"/>
        </w:rPr>
        <w:t>stated that the “duty to protect life</w:t>
      </w:r>
      <w:r w:rsidRPr="00785D06">
        <w:rPr>
          <w:rFonts w:eastAsia="Times New Roman"/>
          <w:color w:val="000000"/>
          <w:sz w:val="20"/>
          <w:szCs w:val="20"/>
          <w:lang w:val="en-US"/>
        </w:rPr>
        <w:t xml:space="preserve"> </w:t>
      </w:r>
      <w:r w:rsidR="00894CE5" w:rsidRPr="00785D06">
        <w:rPr>
          <w:rFonts w:eastAsia="Times New Roman"/>
          <w:color w:val="000000"/>
          <w:sz w:val="20"/>
          <w:szCs w:val="20"/>
          <w:lang w:val="en-US"/>
        </w:rPr>
        <w:t xml:space="preserve">requires </w:t>
      </w:r>
      <w:r w:rsidR="0065668F" w:rsidRPr="00785D06">
        <w:rPr>
          <w:rFonts w:eastAsia="Times New Roman"/>
          <w:color w:val="000000"/>
          <w:sz w:val="20"/>
          <w:szCs w:val="20"/>
          <w:lang w:val="en-US"/>
        </w:rPr>
        <w:t xml:space="preserve">the </w:t>
      </w:r>
      <w:r w:rsidR="00894CE5" w:rsidRPr="00785D06">
        <w:rPr>
          <w:rFonts w:eastAsia="Times New Roman"/>
          <w:color w:val="000000"/>
          <w:sz w:val="20"/>
          <w:szCs w:val="20"/>
          <w:lang w:val="en-US"/>
        </w:rPr>
        <w:t xml:space="preserve">States parties to take </w:t>
      </w:r>
      <w:r w:rsidRPr="00785D06">
        <w:rPr>
          <w:rFonts w:eastAsia="Times New Roman"/>
          <w:color w:val="000000"/>
          <w:sz w:val="20"/>
          <w:szCs w:val="20"/>
          <w:lang w:val="en-US"/>
        </w:rPr>
        <w:t>special measures of protection</w:t>
      </w:r>
      <w:r w:rsidR="00894CE5" w:rsidRPr="00785D06">
        <w:rPr>
          <w:rFonts w:eastAsia="Times New Roman"/>
          <w:color w:val="000000"/>
          <w:sz w:val="20"/>
          <w:szCs w:val="20"/>
          <w:lang w:val="en-US"/>
        </w:rPr>
        <w:t xml:space="preserve"> toward</w:t>
      </w:r>
      <w:r w:rsidRPr="00785D06">
        <w:rPr>
          <w:rFonts w:eastAsia="Times New Roman"/>
          <w:color w:val="000000"/>
          <w:sz w:val="20"/>
          <w:szCs w:val="20"/>
          <w:lang w:val="en-US"/>
        </w:rPr>
        <w:t xml:space="preserve"> persons in situations of vulnerability” </w:t>
      </w:r>
      <w:r w:rsidR="00894CE5" w:rsidRPr="00785D06">
        <w:rPr>
          <w:rFonts w:eastAsia="Times New Roman"/>
          <w:color w:val="000000"/>
          <w:sz w:val="20"/>
          <w:szCs w:val="20"/>
          <w:lang w:val="en-US"/>
        </w:rPr>
        <w:t xml:space="preserve">who are at </w:t>
      </w:r>
      <w:r w:rsidRPr="00785D06">
        <w:rPr>
          <w:rFonts w:eastAsia="Times New Roman"/>
          <w:color w:val="000000"/>
          <w:sz w:val="20"/>
          <w:szCs w:val="20"/>
          <w:lang w:val="en-US"/>
        </w:rPr>
        <w:t>“particular</w:t>
      </w:r>
      <w:r w:rsidR="00894CE5" w:rsidRPr="00785D06">
        <w:rPr>
          <w:rFonts w:eastAsia="Times New Roman"/>
          <w:color w:val="000000"/>
          <w:sz w:val="20"/>
          <w:szCs w:val="20"/>
          <w:lang w:val="en-US"/>
        </w:rPr>
        <w:t xml:space="preserve"> risk</w:t>
      </w:r>
      <w:r w:rsidRPr="00785D06">
        <w:rPr>
          <w:rFonts w:eastAsia="Times New Roman"/>
          <w:color w:val="000000"/>
          <w:sz w:val="20"/>
          <w:szCs w:val="20"/>
          <w:lang w:val="en-US"/>
        </w:rPr>
        <w:t>” because of “preexisting patterns of violence</w:t>
      </w:r>
      <w:r w:rsidR="00894CE5" w:rsidRPr="00785D06">
        <w:rPr>
          <w:rFonts w:eastAsia="Times New Roman"/>
          <w:color w:val="000000"/>
          <w:sz w:val="20"/>
          <w:szCs w:val="20"/>
          <w:lang w:val="en-US"/>
        </w:rPr>
        <w:t>,”</w:t>
      </w:r>
      <w:r w:rsidRPr="00785D06">
        <w:rPr>
          <w:rFonts w:eastAsia="Times New Roman"/>
          <w:color w:val="000000"/>
          <w:sz w:val="20"/>
          <w:szCs w:val="20"/>
          <w:lang w:val="en-US"/>
        </w:rPr>
        <w:t xml:space="preserve"> </w:t>
      </w:r>
      <w:r w:rsidR="00894CE5" w:rsidRPr="00785D06">
        <w:rPr>
          <w:rFonts w:eastAsia="Times New Roman"/>
          <w:color w:val="000000"/>
          <w:sz w:val="20"/>
          <w:szCs w:val="20"/>
          <w:lang w:val="en-US"/>
        </w:rPr>
        <w:t xml:space="preserve">such as persons who are </w:t>
      </w:r>
      <w:r w:rsidRPr="00785D06">
        <w:rPr>
          <w:rFonts w:eastAsia="Times New Roman"/>
          <w:color w:val="000000"/>
          <w:sz w:val="20"/>
          <w:szCs w:val="20"/>
          <w:lang w:val="en-US"/>
        </w:rPr>
        <w:t xml:space="preserve">victims of “gender-based violence” </w:t>
      </w:r>
      <w:r w:rsidR="00894CE5" w:rsidRPr="00785D06">
        <w:rPr>
          <w:rFonts w:eastAsia="Times New Roman"/>
          <w:color w:val="000000"/>
          <w:sz w:val="20"/>
          <w:szCs w:val="20"/>
          <w:lang w:val="en-US"/>
        </w:rPr>
        <w:t xml:space="preserve">which may </w:t>
      </w:r>
      <w:r w:rsidRPr="00785D06">
        <w:rPr>
          <w:rFonts w:eastAsia="Times New Roman"/>
          <w:color w:val="000000"/>
          <w:sz w:val="20"/>
          <w:szCs w:val="20"/>
          <w:lang w:val="en-US"/>
        </w:rPr>
        <w:t>“</w:t>
      </w:r>
      <w:r w:rsidR="00894CE5" w:rsidRPr="00785D06">
        <w:rPr>
          <w:rFonts w:eastAsia="Times New Roman"/>
          <w:color w:val="000000"/>
          <w:sz w:val="20"/>
          <w:szCs w:val="20"/>
          <w:lang w:val="en-US"/>
        </w:rPr>
        <w:t xml:space="preserve">also include </w:t>
      </w:r>
      <w:r w:rsidRPr="00785D06">
        <w:rPr>
          <w:rFonts w:eastAsia="Times New Roman"/>
          <w:color w:val="000000"/>
          <w:sz w:val="20"/>
          <w:szCs w:val="20"/>
          <w:lang w:val="en-US"/>
        </w:rPr>
        <w:t>children.”</w:t>
      </w:r>
      <w:r w:rsidRPr="00785D06">
        <w:rPr>
          <w:rStyle w:val="Refdenotaalpie"/>
          <w:rFonts w:eastAsia="Times New Roman"/>
          <w:color w:val="000000"/>
          <w:sz w:val="20"/>
          <w:szCs w:val="20"/>
          <w:lang w:val="en-US"/>
        </w:rPr>
        <w:footnoteReference w:id="166"/>
      </w:r>
      <w:r w:rsidRPr="00785D06">
        <w:rPr>
          <w:rFonts w:eastAsia="Times New Roman"/>
          <w:color w:val="000000"/>
          <w:sz w:val="20"/>
          <w:szCs w:val="20"/>
          <w:lang w:val="en-US"/>
        </w:rPr>
        <w:t xml:space="preserve"> I</w:t>
      </w:r>
      <w:r w:rsidR="00DB116A" w:rsidRPr="00785D06">
        <w:rPr>
          <w:rFonts w:eastAsia="Times New Roman"/>
          <w:color w:val="000000"/>
          <w:sz w:val="20"/>
          <w:szCs w:val="20"/>
          <w:lang w:val="en-US"/>
        </w:rPr>
        <w:t xml:space="preserve">n relation to the right to life, </w:t>
      </w:r>
      <w:r w:rsidR="0065668F" w:rsidRPr="00785D06">
        <w:rPr>
          <w:rFonts w:eastAsia="Times New Roman"/>
          <w:color w:val="000000"/>
          <w:sz w:val="20"/>
          <w:szCs w:val="20"/>
          <w:lang w:val="en-US"/>
        </w:rPr>
        <w:t xml:space="preserve">the </w:t>
      </w:r>
      <w:r w:rsidR="00DB116A" w:rsidRPr="00785D06">
        <w:rPr>
          <w:rFonts w:eastAsia="Times New Roman"/>
          <w:color w:val="000000"/>
          <w:sz w:val="20"/>
          <w:szCs w:val="20"/>
          <w:lang w:val="en-US"/>
        </w:rPr>
        <w:t>States</w:t>
      </w:r>
      <w:r w:rsidRPr="00785D06">
        <w:rPr>
          <w:rFonts w:eastAsia="Times New Roman"/>
          <w:color w:val="000000"/>
          <w:sz w:val="20"/>
          <w:szCs w:val="20"/>
          <w:lang w:val="en-US"/>
        </w:rPr>
        <w:t xml:space="preserve"> must </w:t>
      </w:r>
      <w:r w:rsidR="00CB4F1A" w:rsidRPr="00785D06">
        <w:rPr>
          <w:rFonts w:eastAsia="Times New Roman"/>
          <w:color w:val="000000"/>
          <w:sz w:val="20"/>
          <w:szCs w:val="20"/>
          <w:lang w:val="en-US"/>
        </w:rPr>
        <w:t xml:space="preserve">take </w:t>
      </w:r>
      <w:r w:rsidRPr="00785D06">
        <w:rPr>
          <w:rFonts w:eastAsia="Times New Roman"/>
          <w:color w:val="000000"/>
          <w:sz w:val="20"/>
          <w:szCs w:val="20"/>
          <w:lang w:val="en-US"/>
        </w:rPr>
        <w:t>“a</w:t>
      </w:r>
      <w:r w:rsidR="00CB4F1A" w:rsidRPr="00785D06">
        <w:rPr>
          <w:rFonts w:eastAsia="Times New Roman"/>
          <w:color w:val="000000"/>
          <w:sz w:val="20"/>
          <w:szCs w:val="20"/>
          <w:lang w:val="en-US"/>
        </w:rPr>
        <w:t xml:space="preserve">dequate </w:t>
      </w:r>
      <w:r w:rsidRPr="00785D06">
        <w:rPr>
          <w:rFonts w:eastAsia="Times New Roman"/>
          <w:color w:val="000000"/>
          <w:sz w:val="20"/>
          <w:szCs w:val="20"/>
          <w:lang w:val="en-US"/>
        </w:rPr>
        <w:t xml:space="preserve">measures” to “prevent suicide, </w:t>
      </w:r>
      <w:r w:rsidR="00CB4F1A" w:rsidRPr="00785D06">
        <w:rPr>
          <w:sz w:val="20"/>
          <w:szCs w:val="20"/>
          <w:lang w:val="en-US"/>
        </w:rPr>
        <w:t>especially among individuals in particularly vulnerable situations</w:t>
      </w:r>
      <w:r w:rsidRPr="00785D06">
        <w:rPr>
          <w:rFonts w:eastAsia="Times New Roman"/>
          <w:color w:val="000000"/>
          <w:sz w:val="20"/>
          <w:szCs w:val="20"/>
          <w:lang w:val="en-US"/>
        </w:rPr>
        <w:t>.”</w:t>
      </w:r>
      <w:r w:rsidRPr="00785D06">
        <w:rPr>
          <w:rStyle w:val="Refdenotaalpie"/>
          <w:rFonts w:eastAsia="Times New Roman"/>
          <w:color w:val="000000"/>
          <w:sz w:val="20"/>
          <w:szCs w:val="20"/>
          <w:lang w:val="en-US"/>
        </w:rPr>
        <w:footnoteReference w:id="167"/>
      </w:r>
      <w:r w:rsidRPr="00785D06">
        <w:rPr>
          <w:rFonts w:eastAsia="Times New Roman"/>
          <w:color w:val="000000"/>
          <w:sz w:val="20"/>
          <w:szCs w:val="20"/>
          <w:lang w:val="en-US"/>
        </w:rPr>
        <w:t>The obligation to protect children against vi</w:t>
      </w:r>
      <w:r w:rsidR="00CB4F1A" w:rsidRPr="00785D06">
        <w:rPr>
          <w:rFonts w:eastAsia="Times New Roman"/>
          <w:color w:val="000000"/>
          <w:sz w:val="20"/>
          <w:szCs w:val="20"/>
          <w:lang w:val="en-US"/>
        </w:rPr>
        <w:t>olence encompasses “self-harm,”</w:t>
      </w:r>
      <w:r w:rsidRPr="00785D06">
        <w:rPr>
          <w:rFonts w:eastAsia="Times New Roman"/>
          <w:color w:val="000000"/>
          <w:sz w:val="20"/>
          <w:szCs w:val="20"/>
          <w:lang w:val="en-US"/>
        </w:rPr>
        <w:t xml:space="preserve"> which includes “self-inflicted injuries, suicidal thoughts, </w:t>
      </w:r>
      <w:r w:rsidR="00CB4F1A" w:rsidRPr="00785D06">
        <w:rPr>
          <w:rFonts w:eastAsia="Times New Roman"/>
          <w:color w:val="000000"/>
          <w:sz w:val="20"/>
          <w:szCs w:val="20"/>
          <w:lang w:val="en-US"/>
        </w:rPr>
        <w:t xml:space="preserve">suicide </w:t>
      </w:r>
      <w:r w:rsidRPr="00785D06">
        <w:rPr>
          <w:rFonts w:eastAsia="Times New Roman"/>
          <w:color w:val="000000"/>
          <w:sz w:val="20"/>
          <w:szCs w:val="20"/>
          <w:lang w:val="en-US"/>
        </w:rPr>
        <w:t>attempts and suicide.”</w:t>
      </w:r>
      <w:r w:rsidRPr="00785D06">
        <w:rPr>
          <w:rStyle w:val="Refdenotaalpie"/>
          <w:rFonts w:eastAsia="Times New Roman"/>
          <w:color w:val="000000"/>
          <w:sz w:val="20"/>
          <w:szCs w:val="20"/>
          <w:lang w:val="en-US"/>
        </w:rPr>
        <w:footnoteReference w:id="168"/>
      </w:r>
    </w:p>
    <w:p w14:paraId="5733CF90" w14:textId="77777777" w:rsidR="00C254BF" w:rsidRPr="00785D06" w:rsidRDefault="00C254BF" w:rsidP="00C254BF">
      <w:pPr>
        <w:pStyle w:val="Prrafodelista"/>
        <w:ind w:left="0"/>
        <w:contextualSpacing w:val="0"/>
        <w:jc w:val="both"/>
        <w:rPr>
          <w:rStyle w:val="apple-converted-space"/>
          <w:sz w:val="20"/>
          <w:szCs w:val="20"/>
          <w:lang w:val="en-US"/>
        </w:rPr>
      </w:pPr>
    </w:p>
    <w:p w14:paraId="79AEA173" w14:textId="77777777" w:rsidR="00C254BF" w:rsidRPr="00785D06" w:rsidRDefault="00C254BF" w:rsidP="00C254BF">
      <w:pPr>
        <w:pStyle w:val="Prrafodelista"/>
        <w:numPr>
          <w:ilvl w:val="0"/>
          <w:numId w:val="35"/>
        </w:numPr>
        <w:ind w:left="0" w:firstLine="0"/>
        <w:contextualSpacing w:val="0"/>
        <w:jc w:val="both"/>
        <w:rPr>
          <w:rStyle w:val="apple-converted-space"/>
          <w:rFonts w:eastAsia="Times New Roman"/>
          <w:color w:val="000000"/>
          <w:sz w:val="20"/>
          <w:szCs w:val="20"/>
          <w:lang w:val="en-US"/>
        </w:rPr>
      </w:pPr>
      <w:r w:rsidRPr="00785D06">
        <w:rPr>
          <w:rStyle w:val="apple-converted-space"/>
          <w:rFonts w:eastAsia="Times New Roman"/>
          <w:color w:val="000000"/>
          <w:sz w:val="20"/>
          <w:szCs w:val="20"/>
          <w:lang w:val="en-US"/>
        </w:rPr>
        <w:t xml:space="preserve">In the instant case, it is clear that the State not only failed to take action to protect Paola, but </w:t>
      </w:r>
      <w:r w:rsidR="00346777" w:rsidRPr="00785D06">
        <w:rPr>
          <w:rStyle w:val="apple-converted-space"/>
          <w:rFonts w:eastAsia="Times New Roman"/>
          <w:color w:val="000000"/>
          <w:sz w:val="20"/>
          <w:szCs w:val="20"/>
          <w:lang w:val="en-US"/>
        </w:rPr>
        <w:t>also failed to respect</w:t>
      </w:r>
      <w:r w:rsidRPr="00785D06">
        <w:rPr>
          <w:rStyle w:val="apple-converted-space"/>
          <w:rFonts w:eastAsia="Times New Roman"/>
          <w:color w:val="000000"/>
          <w:sz w:val="20"/>
          <w:szCs w:val="20"/>
          <w:lang w:val="en-US"/>
        </w:rPr>
        <w:t xml:space="preserve"> her rights,</w:t>
      </w:r>
      <w:r w:rsidR="0012574C" w:rsidRPr="00785D06">
        <w:rPr>
          <w:rStyle w:val="apple-converted-space"/>
          <w:rFonts w:eastAsia="Times New Roman"/>
          <w:color w:val="000000"/>
          <w:sz w:val="20"/>
          <w:szCs w:val="20"/>
          <w:lang w:val="en-US"/>
        </w:rPr>
        <w:t xml:space="preserve"> both </w:t>
      </w:r>
      <w:r w:rsidR="00346777" w:rsidRPr="00785D06">
        <w:rPr>
          <w:rStyle w:val="apple-converted-space"/>
          <w:rFonts w:eastAsia="Times New Roman"/>
          <w:color w:val="000000"/>
          <w:sz w:val="20"/>
          <w:szCs w:val="20"/>
          <w:lang w:val="en-US"/>
        </w:rPr>
        <w:t xml:space="preserve">directly through </w:t>
      </w:r>
      <w:r w:rsidRPr="00785D06">
        <w:rPr>
          <w:rStyle w:val="apple-converted-space"/>
          <w:rFonts w:eastAsia="Times New Roman"/>
          <w:color w:val="000000"/>
          <w:sz w:val="20"/>
          <w:szCs w:val="20"/>
          <w:lang w:val="en-US"/>
        </w:rPr>
        <w:t xml:space="preserve">acts of sexual violence, but also </w:t>
      </w:r>
      <w:r w:rsidR="00346777" w:rsidRPr="00785D06">
        <w:rPr>
          <w:rStyle w:val="apple-converted-space"/>
          <w:rFonts w:eastAsia="Times New Roman"/>
          <w:color w:val="000000"/>
          <w:sz w:val="20"/>
          <w:szCs w:val="20"/>
          <w:lang w:val="en-US"/>
        </w:rPr>
        <w:t xml:space="preserve">through </w:t>
      </w:r>
      <w:r w:rsidRPr="00785D06">
        <w:rPr>
          <w:rStyle w:val="apple-converted-space"/>
          <w:rFonts w:eastAsia="Times New Roman"/>
          <w:color w:val="000000"/>
          <w:sz w:val="20"/>
          <w:szCs w:val="20"/>
          <w:lang w:val="en-US"/>
        </w:rPr>
        <w:t xml:space="preserve">tolerance </w:t>
      </w:r>
      <w:r w:rsidR="00346777" w:rsidRPr="00785D06">
        <w:rPr>
          <w:rStyle w:val="apple-converted-space"/>
          <w:rFonts w:eastAsia="Times New Roman"/>
          <w:color w:val="000000"/>
          <w:sz w:val="20"/>
          <w:szCs w:val="20"/>
          <w:lang w:val="en-US"/>
        </w:rPr>
        <w:t xml:space="preserve">of this conduct by </w:t>
      </w:r>
      <w:r w:rsidRPr="00785D06">
        <w:rPr>
          <w:rStyle w:val="apple-converted-space"/>
          <w:rFonts w:eastAsia="Times New Roman"/>
          <w:color w:val="000000"/>
          <w:sz w:val="20"/>
          <w:szCs w:val="20"/>
          <w:lang w:val="en-US"/>
        </w:rPr>
        <w:t xml:space="preserve">the school </w:t>
      </w:r>
      <w:r w:rsidR="00346777" w:rsidRPr="00785D06">
        <w:rPr>
          <w:rStyle w:val="apple-converted-space"/>
          <w:rFonts w:eastAsia="Times New Roman"/>
          <w:color w:val="000000"/>
          <w:sz w:val="20"/>
          <w:szCs w:val="20"/>
          <w:lang w:val="en-US"/>
        </w:rPr>
        <w:t>she attended. A</w:t>
      </w:r>
      <w:r w:rsidRPr="00785D06">
        <w:rPr>
          <w:rStyle w:val="apple-converted-space"/>
          <w:rFonts w:eastAsia="Times New Roman"/>
          <w:color w:val="000000"/>
          <w:sz w:val="20"/>
          <w:szCs w:val="20"/>
          <w:lang w:val="en-US"/>
        </w:rPr>
        <w:t xml:space="preserve">s a girl in a particularly vulnerable situation, </w:t>
      </w:r>
      <w:r w:rsidR="00346777" w:rsidRPr="00785D06">
        <w:rPr>
          <w:rStyle w:val="apple-converted-space"/>
          <w:rFonts w:eastAsia="Times New Roman"/>
          <w:color w:val="000000"/>
          <w:sz w:val="20"/>
          <w:szCs w:val="20"/>
          <w:lang w:val="en-US"/>
        </w:rPr>
        <w:t xml:space="preserve">Paola </w:t>
      </w:r>
      <w:r w:rsidRPr="00785D06">
        <w:rPr>
          <w:rStyle w:val="apple-converted-space"/>
          <w:rFonts w:eastAsia="Times New Roman"/>
          <w:color w:val="000000"/>
          <w:sz w:val="20"/>
          <w:szCs w:val="20"/>
          <w:lang w:val="en-US"/>
        </w:rPr>
        <w:t>was s</w:t>
      </w:r>
      <w:r w:rsidR="00346777" w:rsidRPr="00785D06">
        <w:rPr>
          <w:rStyle w:val="apple-converted-space"/>
          <w:rFonts w:eastAsia="Times New Roman"/>
          <w:color w:val="000000"/>
          <w:sz w:val="20"/>
          <w:szCs w:val="20"/>
          <w:lang w:val="en-US"/>
        </w:rPr>
        <w:t xml:space="preserve">ubjected for more than one year of </w:t>
      </w:r>
      <w:r w:rsidRPr="00785D06">
        <w:rPr>
          <w:rStyle w:val="apple-converted-space"/>
          <w:rFonts w:eastAsia="Times New Roman"/>
          <w:color w:val="000000"/>
          <w:sz w:val="20"/>
          <w:szCs w:val="20"/>
          <w:lang w:val="en-US"/>
        </w:rPr>
        <w:t>continued institutional abuse and violence of a discriminatory nature.</w:t>
      </w:r>
      <w:r w:rsidRPr="00785D06">
        <w:rPr>
          <w:rFonts w:eastAsia="Times New Roman"/>
          <w:color w:val="000000"/>
          <w:sz w:val="20"/>
          <w:szCs w:val="20"/>
          <w:lang w:val="en-US"/>
        </w:rPr>
        <w:t xml:space="preserve"> It is clear that </w:t>
      </w:r>
      <w:r w:rsidR="00346777" w:rsidRPr="00785D06">
        <w:rPr>
          <w:rFonts w:eastAsia="Times New Roman"/>
          <w:color w:val="000000"/>
          <w:sz w:val="20"/>
          <w:szCs w:val="20"/>
          <w:lang w:val="en-US"/>
        </w:rPr>
        <w:t xml:space="preserve">the </w:t>
      </w:r>
      <w:r w:rsidRPr="00785D06">
        <w:rPr>
          <w:rFonts w:eastAsia="Times New Roman"/>
          <w:color w:val="000000"/>
          <w:sz w:val="20"/>
          <w:szCs w:val="20"/>
          <w:lang w:val="en-US"/>
        </w:rPr>
        <w:t xml:space="preserve">sexual </w:t>
      </w:r>
      <w:r w:rsidR="0012574C" w:rsidRPr="00785D06">
        <w:rPr>
          <w:rFonts w:eastAsia="Times New Roman"/>
          <w:color w:val="000000"/>
          <w:sz w:val="20"/>
          <w:szCs w:val="20"/>
          <w:lang w:val="en-US"/>
        </w:rPr>
        <w:t xml:space="preserve">abuse </w:t>
      </w:r>
      <w:r w:rsidR="00346777" w:rsidRPr="00785D06">
        <w:rPr>
          <w:rFonts w:eastAsia="Times New Roman"/>
          <w:color w:val="000000"/>
          <w:sz w:val="20"/>
          <w:szCs w:val="20"/>
          <w:lang w:val="en-US"/>
        </w:rPr>
        <w:t xml:space="preserve">inflicted </w:t>
      </w:r>
      <w:r w:rsidRPr="00785D06">
        <w:rPr>
          <w:rFonts w:eastAsia="Times New Roman"/>
          <w:color w:val="000000"/>
          <w:sz w:val="20"/>
          <w:szCs w:val="20"/>
          <w:lang w:val="en-US"/>
        </w:rPr>
        <w:t xml:space="preserve">great suffering </w:t>
      </w:r>
      <w:r w:rsidR="00346777" w:rsidRPr="00785D06">
        <w:rPr>
          <w:rFonts w:eastAsia="Times New Roman"/>
          <w:color w:val="000000"/>
          <w:sz w:val="20"/>
          <w:szCs w:val="20"/>
          <w:lang w:val="en-US"/>
        </w:rPr>
        <w:t xml:space="preserve">on Paola </w:t>
      </w:r>
      <w:r w:rsidRPr="00785D06">
        <w:rPr>
          <w:rFonts w:eastAsia="Times New Roman"/>
          <w:color w:val="000000"/>
          <w:sz w:val="20"/>
          <w:szCs w:val="20"/>
          <w:lang w:val="en-US"/>
        </w:rPr>
        <w:t xml:space="preserve">which, as </w:t>
      </w:r>
      <w:r w:rsidR="00346777" w:rsidRPr="00785D06">
        <w:rPr>
          <w:rFonts w:eastAsia="Times New Roman"/>
          <w:color w:val="000000"/>
          <w:sz w:val="20"/>
          <w:szCs w:val="20"/>
          <w:lang w:val="en-US"/>
        </w:rPr>
        <w:t xml:space="preserve">indicated </w:t>
      </w:r>
      <w:r w:rsidRPr="00785D06">
        <w:rPr>
          <w:rFonts w:eastAsia="Times New Roman"/>
          <w:color w:val="000000"/>
          <w:sz w:val="20"/>
          <w:szCs w:val="20"/>
          <w:lang w:val="en-US"/>
        </w:rPr>
        <w:t>previously (</w:t>
      </w:r>
      <w:r w:rsidRPr="00785D06">
        <w:rPr>
          <w:rFonts w:eastAsia="Times New Roman"/>
          <w:i/>
          <w:color w:val="000000"/>
          <w:sz w:val="20"/>
          <w:szCs w:val="20"/>
          <w:lang w:val="en-US"/>
        </w:rPr>
        <w:t xml:space="preserve">supra </w:t>
      </w:r>
      <w:r w:rsidRPr="00785D06">
        <w:rPr>
          <w:rFonts w:eastAsia="Times New Roman"/>
          <w:color w:val="000000"/>
          <w:sz w:val="20"/>
          <w:szCs w:val="20"/>
          <w:lang w:val="en-US"/>
        </w:rPr>
        <w:t xml:space="preserve">para. 151), became evident after her suicide. </w:t>
      </w:r>
      <w:r w:rsidR="00346777" w:rsidRPr="00785D06">
        <w:rPr>
          <w:rFonts w:eastAsia="Times New Roman"/>
          <w:color w:val="000000"/>
          <w:sz w:val="20"/>
          <w:szCs w:val="20"/>
          <w:lang w:val="en-US"/>
        </w:rPr>
        <w:t xml:space="preserve">This took place on </w:t>
      </w:r>
      <w:r w:rsidRPr="00785D06">
        <w:rPr>
          <w:rFonts w:eastAsia="Times New Roman"/>
          <w:color w:val="000000"/>
          <w:sz w:val="20"/>
          <w:szCs w:val="20"/>
          <w:lang w:val="en-US"/>
        </w:rPr>
        <w:t xml:space="preserve">the very same day </w:t>
      </w:r>
      <w:r w:rsidR="0034608F" w:rsidRPr="00785D06">
        <w:rPr>
          <w:rFonts w:eastAsia="Times New Roman"/>
          <w:color w:val="000000"/>
          <w:sz w:val="20"/>
          <w:szCs w:val="20"/>
          <w:lang w:val="en-US"/>
        </w:rPr>
        <w:t xml:space="preserve">that her </w:t>
      </w:r>
      <w:r w:rsidRPr="00785D06">
        <w:rPr>
          <w:rFonts w:eastAsia="Times New Roman"/>
          <w:color w:val="000000"/>
          <w:sz w:val="20"/>
          <w:szCs w:val="20"/>
          <w:lang w:val="en-US"/>
        </w:rPr>
        <w:t xml:space="preserve">mother was summoned to a meeting at the school. Her suicidal behavior </w:t>
      </w:r>
      <w:r w:rsidR="00132F52" w:rsidRPr="00785D06">
        <w:rPr>
          <w:rFonts w:eastAsia="Times New Roman"/>
          <w:color w:val="000000"/>
          <w:sz w:val="20"/>
          <w:szCs w:val="20"/>
          <w:lang w:val="en-US"/>
        </w:rPr>
        <w:t xml:space="preserve">reflected </w:t>
      </w:r>
      <w:r w:rsidRPr="00785D06">
        <w:rPr>
          <w:rFonts w:eastAsia="Times New Roman"/>
          <w:color w:val="000000"/>
          <w:sz w:val="20"/>
          <w:szCs w:val="20"/>
          <w:lang w:val="en-US"/>
        </w:rPr>
        <w:t xml:space="preserve">the severity of her psychological suffering. </w:t>
      </w:r>
      <w:r w:rsidR="0034608F" w:rsidRPr="00785D06">
        <w:rPr>
          <w:rFonts w:eastAsia="Times New Roman"/>
          <w:color w:val="000000"/>
          <w:sz w:val="20"/>
          <w:szCs w:val="20"/>
          <w:lang w:val="en-US"/>
        </w:rPr>
        <w:t>Th</w:t>
      </w:r>
      <w:r w:rsidRPr="00785D06">
        <w:rPr>
          <w:rFonts w:eastAsia="Times New Roman"/>
          <w:color w:val="000000"/>
          <w:sz w:val="20"/>
          <w:szCs w:val="20"/>
          <w:lang w:val="en-US"/>
        </w:rPr>
        <w:t xml:space="preserve">e </w:t>
      </w:r>
      <w:r w:rsidRPr="00785D06">
        <w:rPr>
          <w:sz w:val="20"/>
          <w:szCs w:val="20"/>
          <w:lang w:val="en-US"/>
        </w:rPr>
        <w:t xml:space="preserve">direct violation of </w:t>
      </w:r>
      <w:r w:rsidRPr="00785D06">
        <w:rPr>
          <w:rFonts w:eastAsia="Times New Roman"/>
          <w:sz w:val="20"/>
          <w:szCs w:val="20"/>
          <w:lang w:val="en-US"/>
        </w:rPr>
        <w:t xml:space="preserve">the </w:t>
      </w:r>
      <w:r w:rsidR="0034608F" w:rsidRPr="00785D06">
        <w:rPr>
          <w:rFonts w:eastAsia="Times New Roman"/>
          <w:sz w:val="20"/>
          <w:szCs w:val="20"/>
          <w:lang w:val="en-US"/>
        </w:rPr>
        <w:t xml:space="preserve">girl’s </w:t>
      </w:r>
      <w:r w:rsidRPr="00785D06">
        <w:rPr>
          <w:rFonts w:eastAsia="Times New Roman"/>
          <w:sz w:val="20"/>
          <w:szCs w:val="20"/>
          <w:lang w:val="en-US"/>
        </w:rPr>
        <w:t xml:space="preserve">rights and the institutional tolerance </w:t>
      </w:r>
      <w:r w:rsidR="00132F52" w:rsidRPr="00785D06">
        <w:rPr>
          <w:rFonts w:eastAsia="Times New Roman"/>
          <w:sz w:val="20"/>
          <w:szCs w:val="20"/>
          <w:lang w:val="en-US"/>
        </w:rPr>
        <w:t>there</w:t>
      </w:r>
      <w:r w:rsidRPr="00785D06">
        <w:rPr>
          <w:rFonts w:eastAsia="Times New Roman"/>
          <w:sz w:val="20"/>
          <w:szCs w:val="20"/>
          <w:lang w:val="en-US"/>
        </w:rPr>
        <w:t xml:space="preserve">of </w:t>
      </w:r>
      <w:r w:rsidR="00132F52" w:rsidRPr="00785D06">
        <w:rPr>
          <w:rFonts w:eastAsia="Times New Roman"/>
          <w:sz w:val="20"/>
          <w:szCs w:val="20"/>
          <w:lang w:val="en-US"/>
        </w:rPr>
        <w:t xml:space="preserve">clearly produced </w:t>
      </w:r>
      <w:r w:rsidRPr="00785D06">
        <w:rPr>
          <w:rFonts w:eastAsia="Times New Roman"/>
          <w:sz w:val="20"/>
          <w:szCs w:val="20"/>
          <w:lang w:val="en-US"/>
        </w:rPr>
        <w:t>harmful consequences in her. Th</w:t>
      </w:r>
      <w:r w:rsidR="004B0B6F" w:rsidRPr="00785D06">
        <w:rPr>
          <w:rFonts w:eastAsia="Times New Roman"/>
          <w:sz w:val="20"/>
          <w:szCs w:val="20"/>
          <w:lang w:val="en-US"/>
        </w:rPr>
        <w:t>us, th</w:t>
      </w:r>
      <w:r w:rsidRPr="00785D06">
        <w:rPr>
          <w:rFonts w:eastAsia="Times New Roman"/>
          <w:sz w:val="20"/>
          <w:szCs w:val="20"/>
          <w:lang w:val="en-US"/>
        </w:rPr>
        <w:t xml:space="preserve">e </w:t>
      </w:r>
      <w:r w:rsidRPr="00785D06">
        <w:rPr>
          <w:rFonts w:eastAsia="Times New Roman"/>
          <w:color w:val="000000"/>
          <w:sz w:val="20"/>
          <w:szCs w:val="20"/>
          <w:lang w:val="en-US"/>
        </w:rPr>
        <w:t>situation of violence</w:t>
      </w:r>
      <w:r w:rsidR="0034608F" w:rsidRPr="00785D06">
        <w:rPr>
          <w:rFonts w:eastAsia="Times New Roman"/>
          <w:color w:val="000000"/>
          <w:sz w:val="20"/>
          <w:szCs w:val="20"/>
          <w:lang w:val="en-US"/>
        </w:rPr>
        <w:t>, which was closely linked to her suicide,</w:t>
      </w:r>
      <w:r w:rsidRPr="00785D06">
        <w:rPr>
          <w:rFonts w:eastAsia="Times New Roman"/>
          <w:color w:val="000000"/>
          <w:sz w:val="20"/>
          <w:szCs w:val="20"/>
          <w:lang w:val="en-US"/>
        </w:rPr>
        <w:t xml:space="preserve"> </w:t>
      </w:r>
      <w:r w:rsidR="0034608F" w:rsidRPr="00785D06">
        <w:rPr>
          <w:rFonts w:eastAsia="Times New Roman"/>
          <w:color w:val="000000"/>
          <w:sz w:val="20"/>
          <w:szCs w:val="20"/>
          <w:lang w:val="en-US"/>
        </w:rPr>
        <w:t xml:space="preserve">violated </w:t>
      </w:r>
      <w:r w:rsidR="0012574C" w:rsidRPr="00785D06">
        <w:rPr>
          <w:rFonts w:eastAsia="Times New Roman"/>
          <w:color w:val="000000"/>
          <w:sz w:val="20"/>
          <w:szCs w:val="20"/>
          <w:lang w:val="en-US"/>
        </w:rPr>
        <w:t xml:space="preserve">the right of </w:t>
      </w:r>
      <w:r w:rsidR="0012574C" w:rsidRPr="00785D06">
        <w:rPr>
          <w:rStyle w:val="apple-converted-space"/>
          <w:rFonts w:eastAsia="Times New Roman"/>
          <w:color w:val="000000"/>
          <w:sz w:val="20"/>
          <w:szCs w:val="20"/>
          <w:lang w:val="en-US"/>
        </w:rPr>
        <w:t>Paola Guzmán Albarracín</w:t>
      </w:r>
      <w:r w:rsidRPr="00785D06">
        <w:rPr>
          <w:rStyle w:val="apple-converted-space"/>
          <w:rFonts w:eastAsia="Times New Roman"/>
          <w:color w:val="000000"/>
          <w:sz w:val="20"/>
          <w:szCs w:val="20"/>
          <w:lang w:val="en-US"/>
        </w:rPr>
        <w:t xml:space="preserve"> to a life with dignity.</w:t>
      </w:r>
    </w:p>
    <w:p w14:paraId="3B74A653" w14:textId="77777777" w:rsidR="00C254BF" w:rsidRPr="00785D06" w:rsidRDefault="00C254BF" w:rsidP="00C254BF">
      <w:pPr>
        <w:jc w:val="both"/>
        <w:rPr>
          <w:rStyle w:val="apple-converted-space"/>
          <w:rFonts w:eastAsia="Times New Roman"/>
          <w:color w:val="000000"/>
          <w:sz w:val="20"/>
          <w:szCs w:val="20"/>
          <w:lang w:val="en-US"/>
        </w:rPr>
      </w:pPr>
    </w:p>
    <w:p w14:paraId="051D8736" w14:textId="77777777" w:rsidR="00C254BF" w:rsidRPr="00785D06" w:rsidRDefault="00C254BF" w:rsidP="00C254BF">
      <w:pPr>
        <w:pStyle w:val="Prrafodelista"/>
        <w:numPr>
          <w:ilvl w:val="0"/>
          <w:numId w:val="35"/>
        </w:numPr>
        <w:ind w:left="0" w:firstLine="0"/>
        <w:contextualSpacing w:val="0"/>
        <w:jc w:val="both"/>
        <w:rPr>
          <w:rStyle w:val="apple-converted-space"/>
          <w:sz w:val="20"/>
          <w:szCs w:val="20"/>
          <w:lang w:val="en-US"/>
        </w:rPr>
      </w:pPr>
      <w:r w:rsidRPr="00785D06">
        <w:rPr>
          <w:rStyle w:val="apple-converted-space"/>
          <w:rFonts w:eastAsia="Times New Roman"/>
          <w:color w:val="000000"/>
          <w:sz w:val="20"/>
          <w:szCs w:val="20"/>
          <w:lang w:val="en-US"/>
        </w:rPr>
        <w:t xml:space="preserve">Furthermore, </w:t>
      </w:r>
      <w:r w:rsidR="00565B0F" w:rsidRPr="00785D06">
        <w:rPr>
          <w:rStyle w:val="apple-converted-space"/>
          <w:rFonts w:eastAsia="Times New Roman"/>
          <w:color w:val="000000"/>
          <w:sz w:val="20"/>
          <w:szCs w:val="20"/>
          <w:lang w:val="en-US"/>
        </w:rPr>
        <w:t xml:space="preserve">when </w:t>
      </w:r>
      <w:r w:rsidRPr="00785D06">
        <w:rPr>
          <w:rStyle w:val="apple-converted-space"/>
          <w:rFonts w:eastAsia="Times New Roman"/>
          <w:color w:val="000000"/>
          <w:sz w:val="20"/>
          <w:szCs w:val="20"/>
          <w:lang w:val="en-US"/>
        </w:rPr>
        <w:t xml:space="preserve">the school authorities </w:t>
      </w:r>
      <w:r w:rsidR="00242614" w:rsidRPr="00785D06">
        <w:rPr>
          <w:rStyle w:val="apple-converted-space"/>
          <w:rFonts w:eastAsia="Times New Roman"/>
          <w:color w:val="000000"/>
          <w:sz w:val="20"/>
          <w:szCs w:val="20"/>
          <w:lang w:val="en-US"/>
        </w:rPr>
        <w:t xml:space="preserve">became </w:t>
      </w:r>
      <w:r w:rsidRPr="00785D06">
        <w:rPr>
          <w:rStyle w:val="apple-converted-space"/>
          <w:rFonts w:eastAsia="Times New Roman"/>
          <w:color w:val="000000"/>
          <w:sz w:val="20"/>
          <w:szCs w:val="20"/>
          <w:lang w:val="en-US"/>
        </w:rPr>
        <w:t xml:space="preserve">aware of the </w:t>
      </w:r>
      <w:r w:rsidR="00565B0F" w:rsidRPr="00785D06">
        <w:rPr>
          <w:rStyle w:val="apple-converted-space"/>
          <w:rFonts w:eastAsia="Times New Roman"/>
          <w:color w:val="000000"/>
          <w:sz w:val="20"/>
          <w:szCs w:val="20"/>
          <w:lang w:val="en-US"/>
        </w:rPr>
        <w:t xml:space="preserve">imminent </w:t>
      </w:r>
      <w:r w:rsidRPr="00785D06">
        <w:rPr>
          <w:rStyle w:val="apple-converted-space"/>
          <w:rFonts w:eastAsia="Times New Roman"/>
          <w:color w:val="000000"/>
          <w:sz w:val="20"/>
          <w:szCs w:val="20"/>
          <w:lang w:val="en-US"/>
        </w:rPr>
        <w:t xml:space="preserve">risk to Paola’s </w:t>
      </w:r>
      <w:r w:rsidR="00565B0F" w:rsidRPr="00785D06">
        <w:rPr>
          <w:rStyle w:val="apple-converted-space"/>
          <w:rFonts w:eastAsia="Times New Roman"/>
          <w:color w:val="000000"/>
          <w:sz w:val="20"/>
          <w:szCs w:val="20"/>
          <w:lang w:val="en-US"/>
        </w:rPr>
        <w:t>life</w:t>
      </w:r>
      <w:r w:rsidRPr="00785D06">
        <w:rPr>
          <w:rStyle w:val="apple-converted-space"/>
          <w:rFonts w:eastAsia="Times New Roman"/>
          <w:color w:val="000000"/>
          <w:sz w:val="20"/>
          <w:szCs w:val="20"/>
          <w:lang w:val="en-US"/>
        </w:rPr>
        <w:t xml:space="preserve"> after she had swallowed poison, the State failed to act diligently </w:t>
      </w:r>
      <w:r w:rsidR="00242614" w:rsidRPr="00785D06">
        <w:rPr>
          <w:rStyle w:val="apple-converted-space"/>
          <w:rFonts w:eastAsia="Times New Roman"/>
          <w:color w:val="000000"/>
          <w:sz w:val="20"/>
          <w:szCs w:val="20"/>
          <w:lang w:val="en-US"/>
        </w:rPr>
        <w:t xml:space="preserve">to try </w:t>
      </w:r>
      <w:r w:rsidRPr="00785D06">
        <w:rPr>
          <w:rStyle w:val="apple-converted-space"/>
          <w:rFonts w:eastAsia="Times New Roman"/>
          <w:color w:val="000000"/>
          <w:sz w:val="20"/>
          <w:szCs w:val="20"/>
          <w:lang w:val="en-US"/>
        </w:rPr>
        <w:t xml:space="preserve">to save her life. </w:t>
      </w:r>
    </w:p>
    <w:p w14:paraId="58D8D9EA" w14:textId="77777777" w:rsidR="00C254BF" w:rsidRPr="00785D06" w:rsidRDefault="00C254BF" w:rsidP="00C254BF">
      <w:pPr>
        <w:jc w:val="both"/>
        <w:rPr>
          <w:rStyle w:val="apple-converted-space"/>
          <w:rFonts w:eastAsia="Times New Roman"/>
          <w:color w:val="000000"/>
          <w:sz w:val="20"/>
          <w:szCs w:val="20"/>
          <w:lang w:val="en-US"/>
        </w:rPr>
      </w:pPr>
    </w:p>
    <w:p w14:paraId="122CC1CC" w14:textId="77777777" w:rsidR="00C254BF" w:rsidRPr="00785D06" w:rsidRDefault="006F5A8D" w:rsidP="00C254BF">
      <w:pPr>
        <w:pStyle w:val="Prrafodelista"/>
        <w:numPr>
          <w:ilvl w:val="0"/>
          <w:numId w:val="35"/>
        </w:numPr>
        <w:ind w:left="0" w:firstLine="0"/>
        <w:contextualSpacing w:val="0"/>
        <w:jc w:val="both"/>
        <w:rPr>
          <w:rStyle w:val="apple-converted-space"/>
          <w:sz w:val="20"/>
          <w:szCs w:val="20"/>
          <w:lang w:val="en-US"/>
        </w:rPr>
      </w:pPr>
      <w:r w:rsidRPr="00785D06">
        <w:rPr>
          <w:rStyle w:val="apple-converted-space"/>
          <w:rFonts w:eastAsia="Times New Roman"/>
          <w:color w:val="000000"/>
          <w:sz w:val="20"/>
          <w:szCs w:val="20"/>
          <w:lang w:val="en-US"/>
        </w:rPr>
        <w:t xml:space="preserve">From the </w:t>
      </w:r>
      <w:r w:rsidR="00C254BF" w:rsidRPr="00785D06">
        <w:rPr>
          <w:rStyle w:val="apple-converted-space"/>
          <w:rFonts w:eastAsia="Times New Roman"/>
          <w:color w:val="000000"/>
          <w:sz w:val="20"/>
          <w:szCs w:val="20"/>
          <w:lang w:val="en-US"/>
        </w:rPr>
        <w:t xml:space="preserve">facts </w:t>
      </w:r>
      <w:r w:rsidR="00565B0F" w:rsidRPr="00785D06">
        <w:rPr>
          <w:rStyle w:val="apple-converted-space"/>
          <w:rFonts w:eastAsia="Times New Roman"/>
          <w:color w:val="000000"/>
          <w:sz w:val="20"/>
          <w:szCs w:val="20"/>
          <w:lang w:val="en-US"/>
        </w:rPr>
        <w:t xml:space="preserve">of this case </w:t>
      </w:r>
      <w:r w:rsidRPr="00785D06">
        <w:rPr>
          <w:rStyle w:val="apple-converted-space"/>
          <w:rFonts w:eastAsia="Times New Roman"/>
          <w:color w:val="000000"/>
          <w:sz w:val="20"/>
          <w:szCs w:val="20"/>
          <w:lang w:val="en-US"/>
        </w:rPr>
        <w:t xml:space="preserve">it is clear </w:t>
      </w:r>
      <w:r w:rsidR="00C254BF" w:rsidRPr="00785D06">
        <w:rPr>
          <w:rStyle w:val="apple-converted-space"/>
          <w:rFonts w:eastAsia="Times New Roman"/>
          <w:color w:val="000000"/>
          <w:sz w:val="20"/>
          <w:szCs w:val="20"/>
          <w:lang w:val="en-US"/>
        </w:rPr>
        <w:t>t</w:t>
      </w:r>
      <w:r w:rsidRPr="00785D06">
        <w:rPr>
          <w:rStyle w:val="apple-converted-space"/>
          <w:rFonts w:eastAsia="Times New Roman"/>
          <w:color w:val="000000"/>
          <w:sz w:val="20"/>
          <w:szCs w:val="20"/>
          <w:lang w:val="en-US"/>
        </w:rPr>
        <w:t xml:space="preserve">hat when </w:t>
      </w:r>
      <w:r w:rsidR="00565B0F" w:rsidRPr="00785D06">
        <w:rPr>
          <w:rStyle w:val="apple-converted-space"/>
          <w:rFonts w:eastAsia="Times New Roman"/>
          <w:color w:val="000000"/>
          <w:sz w:val="20"/>
          <w:szCs w:val="20"/>
          <w:lang w:val="en-US"/>
        </w:rPr>
        <w:t xml:space="preserve">Paola </w:t>
      </w:r>
      <w:r w:rsidRPr="00785D06">
        <w:rPr>
          <w:rStyle w:val="apple-converted-space"/>
          <w:rFonts w:eastAsia="Times New Roman"/>
          <w:color w:val="000000"/>
          <w:sz w:val="20"/>
          <w:szCs w:val="20"/>
          <w:lang w:val="en-US"/>
        </w:rPr>
        <w:t>was at the school and the authorities</w:t>
      </w:r>
      <w:r w:rsidR="00C254BF" w:rsidRPr="00785D06">
        <w:rPr>
          <w:rStyle w:val="apple-converted-space"/>
          <w:rFonts w:eastAsia="Times New Roman"/>
          <w:color w:val="000000"/>
          <w:sz w:val="20"/>
          <w:szCs w:val="20"/>
          <w:lang w:val="en-US"/>
        </w:rPr>
        <w:t xml:space="preserve"> </w:t>
      </w:r>
      <w:r w:rsidRPr="00785D06">
        <w:rPr>
          <w:rStyle w:val="apple-converted-space"/>
          <w:rFonts w:eastAsia="Times New Roman"/>
          <w:color w:val="000000"/>
          <w:sz w:val="20"/>
          <w:szCs w:val="20"/>
          <w:lang w:val="en-US"/>
        </w:rPr>
        <w:t xml:space="preserve">found out that </w:t>
      </w:r>
      <w:r w:rsidR="00565B0F" w:rsidRPr="00785D06">
        <w:rPr>
          <w:rStyle w:val="apple-converted-space"/>
          <w:rFonts w:eastAsia="Times New Roman"/>
          <w:color w:val="000000"/>
          <w:sz w:val="20"/>
          <w:szCs w:val="20"/>
          <w:lang w:val="en-US"/>
        </w:rPr>
        <w:t xml:space="preserve">she </w:t>
      </w:r>
      <w:r w:rsidR="00C254BF" w:rsidRPr="00785D06">
        <w:rPr>
          <w:rStyle w:val="apple-converted-space"/>
          <w:rFonts w:eastAsia="Times New Roman"/>
          <w:color w:val="000000"/>
          <w:sz w:val="20"/>
          <w:szCs w:val="20"/>
          <w:lang w:val="en-US"/>
        </w:rPr>
        <w:t>had swallowed “diablillos</w:t>
      </w:r>
      <w:r w:rsidRPr="00785D06">
        <w:rPr>
          <w:rStyle w:val="apple-converted-space"/>
          <w:rFonts w:eastAsia="Times New Roman"/>
          <w:color w:val="000000"/>
          <w:sz w:val="20"/>
          <w:szCs w:val="20"/>
          <w:lang w:val="en-US"/>
        </w:rPr>
        <w:t>,”</w:t>
      </w:r>
      <w:r w:rsidR="00C254BF" w:rsidRPr="00785D06">
        <w:rPr>
          <w:rStyle w:val="apple-converted-space"/>
          <w:rFonts w:eastAsia="Times New Roman"/>
          <w:color w:val="000000"/>
          <w:sz w:val="20"/>
          <w:szCs w:val="20"/>
          <w:lang w:val="en-US"/>
        </w:rPr>
        <w:t xml:space="preserve"> </w:t>
      </w:r>
      <w:r w:rsidRPr="00785D06">
        <w:rPr>
          <w:rStyle w:val="apple-converted-space"/>
          <w:rFonts w:eastAsia="Times New Roman"/>
          <w:color w:val="000000"/>
          <w:sz w:val="20"/>
          <w:szCs w:val="20"/>
          <w:lang w:val="en-US"/>
        </w:rPr>
        <w:t xml:space="preserve">they </w:t>
      </w:r>
      <w:r w:rsidR="00C254BF" w:rsidRPr="00785D06">
        <w:rPr>
          <w:rStyle w:val="apple-converted-space"/>
          <w:rFonts w:eastAsia="Times New Roman"/>
          <w:color w:val="000000"/>
          <w:sz w:val="20"/>
          <w:szCs w:val="20"/>
          <w:lang w:val="en-US"/>
        </w:rPr>
        <w:t xml:space="preserve">did not act with the required </w:t>
      </w:r>
      <w:r w:rsidRPr="00785D06">
        <w:rPr>
          <w:rStyle w:val="apple-converted-space"/>
          <w:rFonts w:eastAsia="Times New Roman"/>
          <w:color w:val="000000"/>
          <w:sz w:val="20"/>
          <w:szCs w:val="20"/>
          <w:lang w:val="en-US"/>
        </w:rPr>
        <w:t>swiftness</w:t>
      </w:r>
      <w:r w:rsidR="00C254BF" w:rsidRPr="00785D06">
        <w:rPr>
          <w:rStyle w:val="apple-converted-space"/>
          <w:rFonts w:eastAsia="Times New Roman"/>
          <w:color w:val="000000"/>
          <w:sz w:val="20"/>
          <w:szCs w:val="20"/>
          <w:lang w:val="en-US"/>
        </w:rPr>
        <w:t xml:space="preserve">. </w:t>
      </w:r>
      <w:r w:rsidR="00565B0F" w:rsidRPr="00785D06">
        <w:rPr>
          <w:rStyle w:val="apple-converted-space"/>
          <w:rFonts w:eastAsia="Times New Roman"/>
          <w:color w:val="000000"/>
          <w:sz w:val="20"/>
          <w:szCs w:val="20"/>
          <w:lang w:val="en-US"/>
        </w:rPr>
        <w:t xml:space="preserve">Although </w:t>
      </w:r>
      <w:r w:rsidR="00C254BF" w:rsidRPr="00785D06">
        <w:rPr>
          <w:rStyle w:val="apple-converted-space"/>
          <w:rFonts w:eastAsia="Times New Roman"/>
          <w:color w:val="000000"/>
          <w:sz w:val="20"/>
          <w:szCs w:val="20"/>
          <w:lang w:val="en-US"/>
        </w:rPr>
        <w:t xml:space="preserve">Paola was taken to the infirmary, she </w:t>
      </w:r>
      <w:r w:rsidR="00AC31D0" w:rsidRPr="00785D06">
        <w:rPr>
          <w:rStyle w:val="apple-converted-space"/>
          <w:rFonts w:eastAsia="Times New Roman"/>
          <w:color w:val="000000"/>
          <w:sz w:val="20"/>
          <w:szCs w:val="20"/>
          <w:lang w:val="en-US"/>
        </w:rPr>
        <w:t>did not receive</w:t>
      </w:r>
      <w:r w:rsidR="00C254BF" w:rsidRPr="00785D06">
        <w:rPr>
          <w:rStyle w:val="apple-converted-space"/>
          <w:rFonts w:eastAsia="Times New Roman"/>
          <w:color w:val="000000"/>
          <w:sz w:val="20"/>
          <w:szCs w:val="20"/>
          <w:lang w:val="en-US"/>
        </w:rPr>
        <w:t xml:space="preserve"> any treatment and the school’s Inspector General </w:t>
      </w:r>
      <w:r w:rsidR="00565B0F" w:rsidRPr="00785D06">
        <w:rPr>
          <w:rStyle w:val="apple-converted-space"/>
          <w:rFonts w:eastAsia="Times New Roman"/>
          <w:color w:val="000000"/>
          <w:sz w:val="20"/>
          <w:szCs w:val="20"/>
          <w:lang w:val="en-US"/>
        </w:rPr>
        <w:t xml:space="preserve">only </w:t>
      </w:r>
      <w:r w:rsidR="00C254BF" w:rsidRPr="00785D06">
        <w:rPr>
          <w:rStyle w:val="apple-converted-space"/>
          <w:rFonts w:eastAsia="Times New Roman"/>
          <w:color w:val="000000"/>
          <w:sz w:val="20"/>
          <w:szCs w:val="20"/>
          <w:lang w:val="en-US"/>
        </w:rPr>
        <w:t xml:space="preserve">urged </w:t>
      </w:r>
      <w:r w:rsidRPr="00785D06">
        <w:rPr>
          <w:rStyle w:val="apple-converted-space"/>
          <w:rFonts w:eastAsia="Times New Roman"/>
          <w:color w:val="000000"/>
          <w:sz w:val="20"/>
          <w:szCs w:val="20"/>
          <w:lang w:val="en-US"/>
        </w:rPr>
        <w:t xml:space="preserve">her </w:t>
      </w:r>
      <w:r w:rsidR="00C254BF" w:rsidRPr="00785D06">
        <w:rPr>
          <w:rStyle w:val="apple-converted-space"/>
          <w:rFonts w:eastAsia="Times New Roman"/>
          <w:color w:val="000000"/>
          <w:sz w:val="20"/>
          <w:szCs w:val="20"/>
          <w:lang w:val="en-US"/>
        </w:rPr>
        <w:t>to ask God for forgiveness. Paola’s schoolmates were the ones who called her mother, who arrive</w:t>
      </w:r>
      <w:r w:rsidRPr="00785D06">
        <w:rPr>
          <w:rStyle w:val="apple-converted-space"/>
          <w:rFonts w:eastAsia="Times New Roman"/>
          <w:color w:val="000000"/>
          <w:sz w:val="20"/>
          <w:szCs w:val="20"/>
          <w:lang w:val="en-US"/>
        </w:rPr>
        <w:t>d</w:t>
      </w:r>
      <w:r w:rsidR="00C254BF" w:rsidRPr="00785D06">
        <w:rPr>
          <w:rStyle w:val="apple-converted-space"/>
          <w:rFonts w:eastAsia="Times New Roman"/>
          <w:color w:val="000000"/>
          <w:sz w:val="20"/>
          <w:szCs w:val="20"/>
          <w:lang w:val="en-US"/>
        </w:rPr>
        <w:t xml:space="preserve"> at the</w:t>
      </w:r>
      <w:r w:rsidRPr="00785D06">
        <w:rPr>
          <w:rStyle w:val="apple-converted-space"/>
          <w:rFonts w:eastAsia="Times New Roman"/>
          <w:color w:val="000000"/>
          <w:sz w:val="20"/>
          <w:szCs w:val="20"/>
          <w:lang w:val="en-US"/>
        </w:rPr>
        <w:t xml:space="preserve"> school nearly 30 minutes later</w:t>
      </w:r>
      <w:r w:rsidR="00C254BF" w:rsidRPr="00785D06">
        <w:rPr>
          <w:rStyle w:val="apple-converted-space"/>
          <w:rFonts w:eastAsia="Times New Roman"/>
          <w:color w:val="000000"/>
          <w:sz w:val="20"/>
          <w:szCs w:val="20"/>
          <w:lang w:val="en-US"/>
        </w:rPr>
        <w:t xml:space="preserve"> and took her daughter to a hospital and then to the Clínica Kennedy, where she died the following day (</w:t>
      </w:r>
      <w:r w:rsidR="00C254BF" w:rsidRPr="00785D06">
        <w:rPr>
          <w:rStyle w:val="apple-converted-space"/>
          <w:rFonts w:eastAsia="Times New Roman"/>
          <w:i/>
          <w:color w:val="000000"/>
          <w:sz w:val="20"/>
          <w:szCs w:val="20"/>
          <w:lang w:val="en-US"/>
        </w:rPr>
        <w:t>supra</w:t>
      </w:r>
      <w:r w:rsidR="00C254BF" w:rsidRPr="00785D06">
        <w:rPr>
          <w:rStyle w:val="apple-converted-space"/>
          <w:rFonts w:eastAsia="Times New Roman"/>
          <w:color w:val="000000"/>
          <w:sz w:val="20"/>
          <w:szCs w:val="20"/>
          <w:lang w:val="en-US"/>
        </w:rPr>
        <w:t xml:space="preserve"> paras. 53 and 54). </w:t>
      </w:r>
    </w:p>
    <w:p w14:paraId="5A137624" w14:textId="77777777" w:rsidR="00C254BF" w:rsidRPr="00785D06" w:rsidRDefault="00C254BF" w:rsidP="00C254BF">
      <w:pPr>
        <w:jc w:val="both"/>
        <w:rPr>
          <w:rStyle w:val="apple-converted-space"/>
          <w:rFonts w:eastAsia="Times New Roman"/>
          <w:color w:val="000000"/>
          <w:sz w:val="20"/>
          <w:szCs w:val="20"/>
          <w:lang w:val="en-US"/>
        </w:rPr>
      </w:pPr>
    </w:p>
    <w:p w14:paraId="37A82469" w14:textId="77777777" w:rsidR="00C254BF" w:rsidRPr="00785D06" w:rsidRDefault="00C47662" w:rsidP="00C254BF">
      <w:pPr>
        <w:pStyle w:val="Prrafodelista"/>
        <w:numPr>
          <w:ilvl w:val="0"/>
          <w:numId w:val="35"/>
        </w:numPr>
        <w:ind w:left="0" w:firstLine="0"/>
        <w:contextualSpacing w:val="0"/>
        <w:jc w:val="both"/>
        <w:rPr>
          <w:rStyle w:val="apple-converted-space"/>
          <w:sz w:val="20"/>
          <w:szCs w:val="20"/>
          <w:lang w:val="en-US"/>
        </w:rPr>
      </w:pPr>
      <w:r w:rsidRPr="00785D06">
        <w:rPr>
          <w:rStyle w:val="apple-converted-space"/>
          <w:rFonts w:eastAsia="Times New Roman"/>
          <w:color w:val="000000"/>
          <w:sz w:val="20"/>
          <w:szCs w:val="20"/>
          <w:lang w:val="en-US"/>
        </w:rPr>
        <w:t>The aforementioned conduct by the State</w:t>
      </w:r>
      <w:r w:rsidR="00C254BF" w:rsidRPr="00785D06">
        <w:rPr>
          <w:rStyle w:val="apple-converted-space"/>
          <w:rFonts w:eastAsia="Times New Roman"/>
          <w:color w:val="000000"/>
          <w:sz w:val="20"/>
          <w:szCs w:val="20"/>
          <w:lang w:val="en-US"/>
        </w:rPr>
        <w:t xml:space="preserve"> </w:t>
      </w:r>
      <w:r w:rsidR="006F5A8D" w:rsidRPr="00785D06">
        <w:rPr>
          <w:rStyle w:val="apple-converted-space"/>
          <w:rFonts w:eastAsia="Times New Roman"/>
          <w:color w:val="000000"/>
          <w:sz w:val="20"/>
          <w:szCs w:val="20"/>
          <w:lang w:val="en-US"/>
        </w:rPr>
        <w:t>was not diligent, a</w:t>
      </w:r>
      <w:r w:rsidR="00C254BF" w:rsidRPr="00785D06">
        <w:rPr>
          <w:rStyle w:val="apple-converted-space"/>
          <w:rFonts w:eastAsia="Times New Roman"/>
          <w:color w:val="000000"/>
          <w:sz w:val="20"/>
          <w:szCs w:val="20"/>
          <w:lang w:val="en-US"/>
        </w:rPr>
        <w:t xml:space="preserve"> conclusion </w:t>
      </w:r>
      <w:r w:rsidR="006F5A8D" w:rsidRPr="00785D06">
        <w:rPr>
          <w:rStyle w:val="apple-converted-space"/>
          <w:rFonts w:eastAsia="Times New Roman"/>
          <w:color w:val="000000"/>
          <w:sz w:val="20"/>
          <w:szCs w:val="20"/>
          <w:lang w:val="en-US"/>
        </w:rPr>
        <w:t xml:space="preserve">that </w:t>
      </w:r>
      <w:r w:rsidR="00C254BF" w:rsidRPr="00785D06">
        <w:rPr>
          <w:rStyle w:val="apple-converted-space"/>
          <w:rFonts w:eastAsia="Times New Roman"/>
          <w:color w:val="000000"/>
          <w:sz w:val="20"/>
          <w:szCs w:val="20"/>
          <w:lang w:val="en-US"/>
        </w:rPr>
        <w:t xml:space="preserve">is </w:t>
      </w:r>
      <w:r w:rsidR="003C24D8" w:rsidRPr="00785D06">
        <w:rPr>
          <w:rStyle w:val="apple-converted-space"/>
          <w:rFonts w:eastAsia="Times New Roman"/>
          <w:color w:val="000000"/>
          <w:sz w:val="20"/>
          <w:szCs w:val="20"/>
          <w:lang w:val="en-US"/>
        </w:rPr>
        <w:t>di</w:t>
      </w:r>
      <w:r w:rsidR="006F5A8D" w:rsidRPr="00785D06">
        <w:rPr>
          <w:rStyle w:val="apple-converted-space"/>
          <w:rFonts w:eastAsia="Times New Roman"/>
          <w:color w:val="000000"/>
          <w:sz w:val="20"/>
          <w:szCs w:val="20"/>
          <w:lang w:val="en-US"/>
        </w:rPr>
        <w:t>s</w:t>
      </w:r>
      <w:r w:rsidR="003C24D8" w:rsidRPr="00785D06">
        <w:rPr>
          <w:rStyle w:val="apple-converted-space"/>
          <w:rFonts w:eastAsia="Times New Roman"/>
          <w:color w:val="000000"/>
          <w:sz w:val="20"/>
          <w:szCs w:val="20"/>
          <w:lang w:val="en-US"/>
        </w:rPr>
        <w:t xml:space="preserve">tinct </w:t>
      </w:r>
      <w:r w:rsidR="006F5A8D" w:rsidRPr="00785D06">
        <w:rPr>
          <w:rStyle w:val="apple-converted-space"/>
          <w:rFonts w:eastAsia="Times New Roman"/>
          <w:color w:val="000000"/>
          <w:sz w:val="20"/>
          <w:szCs w:val="20"/>
          <w:lang w:val="en-US"/>
        </w:rPr>
        <w:t xml:space="preserve">from </w:t>
      </w:r>
      <w:r w:rsidR="00C254BF" w:rsidRPr="00785D06">
        <w:rPr>
          <w:rStyle w:val="apple-converted-space"/>
          <w:rFonts w:eastAsia="Times New Roman"/>
          <w:color w:val="000000"/>
          <w:sz w:val="20"/>
          <w:szCs w:val="20"/>
          <w:lang w:val="en-US"/>
        </w:rPr>
        <w:t xml:space="preserve">the lack of medical care </w:t>
      </w:r>
      <w:r w:rsidRPr="00785D06">
        <w:rPr>
          <w:rStyle w:val="apple-converted-space"/>
          <w:rFonts w:eastAsia="Times New Roman"/>
          <w:color w:val="000000"/>
          <w:sz w:val="20"/>
          <w:szCs w:val="20"/>
          <w:lang w:val="en-US"/>
        </w:rPr>
        <w:t xml:space="preserve">provided </w:t>
      </w:r>
      <w:r w:rsidR="00C254BF" w:rsidRPr="00785D06">
        <w:rPr>
          <w:rStyle w:val="apple-converted-space"/>
          <w:rFonts w:eastAsia="Times New Roman"/>
          <w:color w:val="000000"/>
          <w:sz w:val="20"/>
          <w:szCs w:val="20"/>
          <w:lang w:val="en-US"/>
        </w:rPr>
        <w:t xml:space="preserve">at the school. As the State has indicated, the “duty of care” demanded of a school in </w:t>
      </w:r>
      <w:r w:rsidR="003C24D8" w:rsidRPr="00785D06">
        <w:rPr>
          <w:rStyle w:val="apple-converted-space"/>
          <w:rFonts w:eastAsia="Times New Roman"/>
          <w:color w:val="000000"/>
          <w:sz w:val="20"/>
          <w:szCs w:val="20"/>
          <w:lang w:val="en-US"/>
        </w:rPr>
        <w:t xml:space="preserve">terms of </w:t>
      </w:r>
      <w:r w:rsidR="00C254BF" w:rsidRPr="00785D06">
        <w:rPr>
          <w:rStyle w:val="apple-converted-space"/>
          <w:rFonts w:eastAsia="Times New Roman"/>
          <w:color w:val="000000"/>
          <w:sz w:val="20"/>
          <w:szCs w:val="20"/>
          <w:lang w:val="en-US"/>
        </w:rPr>
        <w:t xml:space="preserve">health care cannot be </w:t>
      </w:r>
      <w:r w:rsidR="00565B0F" w:rsidRPr="00785D06">
        <w:rPr>
          <w:rStyle w:val="apple-converted-space"/>
          <w:rFonts w:eastAsia="Times New Roman"/>
          <w:color w:val="000000"/>
          <w:sz w:val="20"/>
          <w:szCs w:val="20"/>
          <w:lang w:val="en-US"/>
        </w:rPr>
        <w:t xml:space="preserve">compared to </w:t>
      </w:r>
      <w:r w:rsidR="00C254BF" w:rsidRPr="00785D06">
        <w:rPr>
          <w:rStyle w:val="apple-converted-space"/>
          <w:rFonts w:eastAsia="Times New Roman"/>
          <w:color w:val="000000"/>
          <w:sz w:val="20"/>
          <w:szCs w:val="20"/>
          <w:lang w:val="en-US"/>
        </w:rPr>
        <w:t xml:space="preserve">that expected of a hospital. However, the </w:t>
      </w:r>
      <w:r w:rsidR="003C24D8" w:rsidRPr="00785D06">
        <w:rPr>
          <w:rStyle w:val="apple-converted-space"/>
          <w:rFonts w:eastAsia="Times New Roman"/>
          <w:color w:val="000000"/>
          <w:sz w:val="20"/>
          <w:szCs w:val="20"/>
          <w:lang w:val="en-US"/>
        </w:rPr>
        <w:t xml:space="preserve">fact that the </w:t>
      </w:r>
      <w:r w:rsidR="00C254BF" w:rsidRPr="00785D06">
        <w:rPr>
          <w:rStyle w:val="apple-converted-space"/>
          <w:rFonts w:eastAsia="Times New Roman"/>
          <w:color w:val="000000"/>
          <w:sz w:val="20"/>
          <w:szCs w:val="20"/>
          <w:lang w:val="en-US"/>
        </w:rPr>
        <w:t xml:space="preserve">school authorities did not </w:t>
      </w:r>
      <w:r w:rsidR="00565B0F" w:rsidRPr="00785D06">
        <w:rPr>
          <w:rStyle w:val="apple-converted-space"/>
          <w:rFonts w:eastAsia="Times New Roman"/>
          <w:color w:val="000000"/>
          <w:sz w:val="20"/>
          <w:szCs w:val="20"/>
          <w:lang w:val="en-US"/>
        </w:rPr>
        <w:t xml:space="preserve">immediately transfer Paola to a health facility </w:t>
      </w:r>
      <w:r w:rsidR="00C254BF" w:rsidRPr="00785D06">
        <w:rPr>
          <w:rStyle w:val="apple-converted-space"/>
          <w:rFonts w:eastAsia="Times New Roman"/>
          <w:color w:val="000000"/>
          <w:sz w:val="20"/>
          <w:szCs w:val="20"/>
          <w:lang w:val="en-US"/>
        </w:rPr>
        <w:t xml:space="preserve">that could provide her with treatment, </w:t>
      </w:r>
      <w:r w:rsidR="003C24D8" w:rsidRPr="00785D06">
        <w:rPr>
          <w:rStyle w:val="apple-converted-space"/>
          <w:rFonts w:eastAsia="Times New Roman"/>
          <w:color w:val="000000"/>
          <w:sz w:val="20"/>
          <w:szCs w:val="20"/>
          <w:lang w:val="en-US"/>
        </w:rPr>
        <w:t xml:space="preserve">implies that they </w:t>
      </w:r>
      <w:r w:rsidR="00C254BF" w:rsidRPr="00785D06">
        <w:rPr>
          <w:rStyle w:val="apple-converted-space"/>
          <w:rFonts w:eastAsia="Times New Roman"/>
          <w:color w:val="000000"/>
          <w:sz w:val="20"/>
          <w:szCs w:val="20"/>
          <w:lang w:val="en-US"/>
        </w:rPr>
        <w:t>fail</w:t>
      </w:r>
      <w:r w:rsidR="003C24D8" w:rsidRPr="00785D06">
        <w:rPr>
          <w:rStyle w:val="apple-converted-space"/>
          <w:rFonts w:eastAsia="Times New Roman"/>
          <w:color w:val="000000"/>
          <w:sz w:val="20"/>
          <w:szCs w:val="20"/>
          <w:lang w:val="en-US"/>
        </w:rPr>
        <w:t xml:space="preserve">ed </w:t>
      </w:r>
      <w:r w:rsidR="00C254BF" w:rsidRPr="00785D06">
        <w:rPr>
          <w:rStyle w:val="apple-converted-space"/>
          <w:rFonts w:eastAsia="Times New Roman"/>
          <w:color w:val="000000"/>
          <w:sz w:val="20"/>
          <w:szCs w:val="20"/>
          <w:lang w:val="en-US"/>
        </w:rPr>
        <w:t xml:space="preserve">in their duty to assist </w:t>
      </w:r>
      <w:r w:rsidR="003C24D8" w:rsidRPr="00785D06">
        <w:rPr>
          <w:rStyle w:val="apple-converted-space"/>
          <w:rFonts w:eastAsia="Times New Roman"/>
          <w:color w:val="000000"/>
          <w:sz w:val="20"/>
          <w:szCs w:val="20"/>
          <w:lang w:val="en-US"/>
        </w:rPr>
        <w:t>someone whose rights they had an o</w:t>
      </w:r>
      <w:r w:rsidR="00C254BF" w:rsidRPr="00785D06">
        <w:rPr>
          <w:rStyle w:val="apple-converted-space"/>
          <w:rFonts w:eastAsia="Times New Roman"/>
          <w:color w:val="000000"/>
          <w:sz w:val="20"/>
          <w:szCs w:val="20"/>
          <w:lang w:val="en-US"/>
        </w:rPr>
        <w:t xml:space="preserve">bligation </w:t>
      </w:r>
      <w:r w:rsidR="003C24D8" w:rsidRPr="00785D06">
        <w:rPr>
          <w:rStyle w:val="apple-converted-space"/>
          <w:rFonts w:eastAsia="Times New Roman"/>
          <w:color w:val="000000"/>
          <w:sz w:val="20"/>
          <w:szCs w:val="20"/>
          <w:lang w:val="en-US"/>
        </w:rPr>
        <w:t xml:space="preserve">to </w:t>
      </w:r>
      <w:r w:rsidR="00565B0F" w:rsidRPr="00785D06">
        <w:rPr>
          <w:rStyle w:val="apple-converted-space"/>
          <w:rFonts w:eastAsia="Times New Roman"/>
          <w:color w:val="000000"/>
          <w:sz w:val="20"/>
          <w:szCs w:val="20"/>
          <w:lang w:val="en-US"/>
        </w:rPr>
        <w:t>protect</w:t>
      </w:r>
      <w:r w:rsidR="003C24D8" w:rsidRPr="00785D06">
        <w:rPr>
          <w:rStyle w:val="apple-converted-space"/>
          <w:rFonts w:eastAsia="Times New Roman"/>
          <w:color w:val="000000"/>
          <w:sz w:val="20"/>
          <w:szCs w:val="20"/>
          <w:lang w:val="en-US"/>
        </w:rPr>
        <w:t>.</w:t>
      </w:r>
      <w:r w:rsidR="00C254BF" w:rsidRPr="00785D06">
        <w:rPr>
          <w:rStyle w:val="apple-converted-space"/>
          <w:rFonts w:eastAsia="Times New Roman"/>
          <w:color w:val="000000"/>
          <w:sz w:val="20"/>
          <w:szCs w:val="20"/>
          <w:lang w:val="en-US"/>
        </w:rPr>
        <w:t xml:space="preserve"> Not only was Paola not provided with any </w:t>
      </w:r>
      <w:r w:rsidR="003C24D8" w:rsidRPr="00785D06">
        <w:rPr>
          <w:rStyle w:val="apple-converted-space"/>
          <w:rFonts w:eastAsia="Times New Roman"/>
          <w:color w:val="000000"/>
          <w:sz w:val="20"/>
          <w:szCs w:val="20"/>
          <w:lang w:val="en-US"/>
        </w:rPr>
        <w:t xml:space="preserve">medical </w:t>
      </w:r>
      <w:r w:rsidR="00C254BF" w:rsidRPr="00785D06">
        <w:rPr>
          <w:rStyle w:val="apple-converted-space"/>
          <w:rFonts w:eastAsia="Times New Roman"/>
          <w:color w:val="000000"/>
          <w:sz w:val="20"/>
          <w:szCs w:val="20"/>
          <w:lang w:val="en-US"/>
        </w:rPr>
        <w:t xml:space="preserve">care or treatment for almost 30 minutes, but </w:t>
      </w:r>
      <w:r w:rsidR="003C24D8" w:rsidRPr="00785D06">
        <w:rPr>
          <w:rStyle w:val="apple-converted-space"/>
          <w:rFonts w:eastAsia="Times New Roman"/>
          <w:color w:val="000000"/>
          <w:sz w:val="20"/>
          <w:szCs w:val="20"/>
          <w:lang w:val="en-US"/>
        </w:rPr>
        <w:t xml:space="preserve">no steps were </w:t>
      </w:r>
      <w:r w:rsidR="00C254BF" w:rsidRPr="00785D06">
        <w:rPr>
          <w:rStyle w:val="apple-converted-space"/>
          <w:rFonts w:eastAsia="Times New Roman"/>
          <w:color w:val="000000"/>
          <w:sz w:val="20"/>
          <w:szCs w:val="20"/>
          <w:lang w:val="en-US"/>
        </w:rPr>
        <w:t xml:space="preserve">taken to </w:t>
      </w:r>
      <w:r w:rsidR="003C24D8" w:rsidRPr="00785D06">
        <w:rPr>
          <w:rStyle w:val="apple-converted-space"/>
          <w:rFonts w:eastAsia="Times New Roman"/>
          <w:color w:val="000000"/>
          <w:sz w:val="20"/>
          <w:szCs w:val="20"/>
          <w:lang w:val="en-US"/>
        </w:rPr>
        <w:t>do so</w:t>
      </w:r>
      <w:r w:rsidR="00C254BF" w:rsidRPr="00785D06">
        <w:rPr>
          <w:rStyle w:val="apple-converted-space"/>
          <w:rFonts w:eastAsia="Times New Roman"/>
          <w:color w:val="000000"/>
          <w:sz w:val="20"/>
          <w:szCs w:val="20"/>
          <w:lang w:val="en-US"/>
        </w:rPr>
        <w:t xml:space="preserve">, despite </w:t>
      </w:r>
      <w:r w:rsidR="003C24D8" w:rsidRPr="00785D06">
        <w:rPr>
          <w:rStyle w:val="apple-converted-space"/>
          <w:rFonts w:eastAsia="Times New Roman"/>
          <w:color w:val="000000"/>
          <w:sz w:val="20"/>
          <w:szCs w:val="20"/>
          <w:lang w:val="en-US"/>
        </w:rPr>
        <w:t xml:space="preserve">her </w:t>
      </w:r>
      <w:r w:rsidR="00C254BF" w:rsidRPr="00785D06">
        <w:rPr>
          <w:rStyle w:val="apple-converted-space"/>
          <w:rFonts w:eastAsia="Times New Roman"/>
          <w:color w:val="000000"/>
          <w:sz w:val="20"/>
          <w:szCs w:val="20"/>
          <w:lang w:val="en-US"/>
        </w:rPr>
        <w:t xml:space="preserve">being in the State’s custody and the authorities being aware that </w:t>
      </w:r>
      <w:r w:rsidR="003C24D8" w:rsidRPr="00785D06">
        <w:rPr>
          <w:rStyle w:val="apple-converted-space"/>
          <w:rFonts w:eastAsia="Times New Roman"/>
          <w:color w:val="000000"/>
          <w:sz w:val="20"/>
          <w:szCs w:val="20"/>
          <w:lang w:val="en-US"/>
        </w:rPr>
        <w:t xml:space="preserve">her </w:t>
      </w:r>
      <w:r w:rsidR="00C254BF" w:rsidRPr="00785D06">
        <w:rPr>
          <w:rStyle w:val="apple-converted-space"/>
          <w:rFonts w:eastAsia="Times New Roman"/>
          <w:color w:val="000000"/>
          <w:sz w:val="20"/>
          <w:szCs w:val="20"/>
          <w:lang w:val="en-US"/>
        </w:rPr>
        <w:t xml:space="preserve">physical integrity and her life were at risk. </w:t>
      </w:r>
      <w:r w:rsidRPr="00785D06">
        <w:rPr>
          <w:rStyle w:val="apple-converted-space"/>
          <w:rFonts w:eastAsia="Times New Roman"/>
          <w:color w:val="000000"/>
          <w:sz w:val="20"/>
          <w:szCs w:val="20"/>
          <w:lang w:val="en-US"/>
        </w:rPr>
        <w:t xml:space="preserve">In this case, </w:t>
      </w:r>
      <w:r w:rsidR="00C254BF" w:rsidRPr="00785D06">
        <w:rPr>
          <w:rStyle w:val="apple-converted-space"/>
          <w:rFonts w:eastAsia="Times New Roman"/>
          <w:color w:val="000000"/>
          <w:sz w:val="20"/>
          <w:szCs w:val="20"/>
          <w:lang w:val="en-US"/>
        </w:rPr>
        <w:t>it is the latter</w:t>
      </w:r>
      <w:r w:rsidR="003C24D8" w:rsidRPr="00785D06">
        <w:rPr>
          <w:rStyle w:val="apple-converted-space"/>
          <w:rFonts w:eastAsia="Times New Roman"/>
          <w:color w:val="000000"/>
          <w:sz w:val="20"/>
          <w:szCs w:val="20"/>
          <w:lang w:val="en-US"/>
        </w:rPr>
        <w:t xml:space="preserve"> situation</w:t>
      </w:r>
      <w:r w:rsidR="00C254BF" w:rsidRPr="00785D06">
        <w:rPr>
          <w:rStyle w:val="apple-converted-space"/>
          <w:rFonts w:eastAsia="Times New Roman"/>
          <w:color w:val="000000"/>
          <w:sz w:val="20"/>
          <w:szCs w:val="20"/>
          <w:lang w:val="en-US"/>
        </w:rPr>
        <w:t xml:space="preserve">, and not the lack of </w:t>
      </w:r>
      <w:r w:rsidR="003C24D8" w:rsidRPr="00785D06">
        <w:rPr>
          <w:rStyle w:val="apple-converted-space"/>
          <w:rFonts w:eastAsia="Times New Roman"/>
          <w:color w:val="000000"/>
          <w:sz w:val="20"/>
          <w:szCs w:val="20"/>
          <w:lang w:val="en-US"/>
        </w:rPr>
        <w:t xml:space="preserve">medical </w:t>
      </w:r>
      <w:r w:rsidR="00C254BF" w:rsidRPr="00785D06">
        <w:rPr>
          <w:rStyle w:val="apple-converted-space"/>
          <w:rFonts w:eastAsia="Times New Roman"/>
          <w:color w:val="000000"/>
          <w:sz w:val="20"/>
          <w:szCs w:val="20"/>
          <w:lang w:val="en-US"/>
        </w:rPr>
        <w:t xml:space="preserve">treatment </w:t>
      </w:r>
      <w:r w:rsidR="003C24D8" w:rsidRPr="00785D06">
        <w:rPr>
          <w:rStyle w:val="apple-converted-space"/>
          <w:rFonts w:eastAsia="Times New Roman"/>
          <w:color w:val="000000"/>
          <w:sz w:val="20"/>
          <w:szCs w:val="20"/>
          <w:lang w:val="en-US"/>
        </w:rPr>
        <w:t xml:space="preserve">at </w:t>
      </w:r>
      <w:r w:rsidR="00C254BF" w:rsidRPr="00785D06">
        <w:rPr>
          <w:rStyle w:val="apple-converted-space"/>
          <w:rFonts w:eastAsia="Times New Roman"/>
          <w:color w:val="000000"/>
          <w:sz w:val="20"/>
          <w:szCs w:val="20"/>
          <w:lang w:val="en-US"/>
        </w:rPr>
        <w:t xml:space="preserve">the school, which </w:t>
      </w:r>
      <w:r w:rsidR="00565B0F" w:rsidRPr="00785D06">
        <w:rPr>
          <w:rStyle w:val="apple-converted-space"/>
          <w:rFonts w:eastAsia="Times New Roman"/>
          <w:color w:val="000000"/>
          <w:sz w:val="20"/>
          <w:szCs w:val="20"/>
          <w:lang w:val="en-US"/>
        </w:rPr>
        <w:t xml:space="preserve">results in </w:t>
      </w:r>
      <w:r w:rsidR="00C254BF" w:rsidRPr="00785D06">
        <w:rPr>
          <w:rStyle w:val="apple-converted-space"/>
          <w:rFonts w:eastAsia="Times New Roman"/>
          <w:color w:val="000000"/>
          <w:sz w:val="20"/>
          <w:szCs w:val="20"/>
          <w:lang w:val="en-US"/>
        </w:rPr>
        <w:t>the State’s responsibility</w:t>
      </w:r>
      <w:r w:rsidR="003C24D8" w:rsidRPr="00785D06">
        <w:rPr>
          <w:rStyle w:val="apple-converted-space"/>
          <w:rFonts w:eastAsia="Times New Roman"/>
          <w:color w:val="000000"/>
          <w:sz w:val="20"/>
          <w:szCs w:val="20"/>
          <w:lang w:val="en-US"/>
        </w:rPr>
        <w:t xml:space="preserve"> in this case</w:t>
      </w:r>
      <w:r w:rsidR="00C254BF" w:rsidRPr="00785D06">
        <w:rPr>
          <w:rStyle w:val="apple-converted-space"/>
          <w:rFonts w:eastAsia="Times New Roman"/>
          <w:color w:val="000000"/>
          <w:sz w:val="20"/>
          <w:szCs w:val="20"/>
          <w:lang w:val="en-US"/>
        </w:rPr>
        <w:t>.</w:t>
      </w:r>
      <w:r w:rsidR="00C254BF" w:rsidRPr="00785D06">
        <w:rPr>
          <w:rStyle w:val="Refdenotaalpie"/>
          <w:rFonts w:eastAsia="Times New Roman"/>
          <w:color w:val="000000"/>
          <w:sz w:val="20"/>
          <w:szCs w:val="20"/>
          <w:lang w:val="en-US"/>
        </w:rPr>
        <w:footnoteReference w:id="169"/>
      </w:r>
      <w:r w:rsidR="00C254BF" w:rsidRPr="00785D06">
        <w:rPr>
          <w:rStyle w:val="apple-converted-space"/>
          <w:rFonts w:eastAsia="Times New Roman"/>
          <w:color w:val="000000"/>
          <w:sz w:val="20"/>
          <w:szCs w:val="20"/>
          <w:lang w:val="en-US"/>
        </w:rPr>
        <w:t xml:space="preserve"> </w:t>
      </w:r>
    </w:p>
    <w:p w14:paraId="4889A81C" w14:textId="77777777" w:rsidR="00C254BF" w:rsidRPr="00785D06" w:rsidRDefault="00C254BF" w:rsidP="00C254BF">
      <w:pPr>
        <w:jc w:val="both"/>
        <w:rPr>
          <w:rStyle w:val="apple-converted-space"/>
          <w:rFonts w:eastAsia="Times New Roman"/>
          <w:color w:val="000000"/>
          <w:sz w:val="20"/>
          <w:szCs w:val="20"/>
          <w:lang w:val="en-US"/>
        </w:rPr>
      </w:pPr>
    </w:p>
    <w:p w14:paraId="64031D73" w14:textId="77777777" w:rsidR="00C254BF" w:rsidRPr="00785D06" w:rsidRDefault="00C254BF" w:rsidP="00C254BF">
      <w:pPr>
        <w:pStyle w:val="Prrafodelista"/>
        <w:numPr>
          <w:ilvl w:val="0"/>
          <w:numId w:val="35"/>
        </w:numPr>
        <w:ind w:left="0" w:firstLine="0"/>
        <w:contextualSpacing w:val="0"/>
        <w:jc w:val="both"/>
        <w:rPr>
          <w:rStyle w:val="apple-converted-space"/>
          <w:sz w:val="20"/>
          <w:szCs w:val="20"/>
          <w:lang w:val="en-US"/>
        </w:rPr>
      </w:pPr>
      <w:r w:rsidRPr="00785D06">
        <w:rPr>
          <w:rStyle w:val="apple-converted-space"/>
          <w:rFonts w:eastAsia="Times New Roman"/>
          <w:color w:val="000000"/>
          <w:sz w:val="20"/>
          <w:szCs w:val="20"/>
          <w:lang w:val="en-US"/>
        </w:rPr>
        <w:t xml:space="preserve">The State has </w:t>
      </w:r>
      <w:r w:rsidR="003C24D8" w:rsidRPr="00785D06">
        <w:rPr>
          <w:rStyle w:val="apple-converted-space"/>
          <w:rFonts w:eastAsia="Times New Roman"/>
          <w:color w:val="000000"/>
          <w:sz w:val="20"/>
          <w:szCs w:val="20"/>
          <w:lang w:val="en-US"/>
        </w:rPr>
        <w:t xml:space="preserve">claimed </w:t>
      </w:r>
      <w:r w:rsidRPr="00785D06">
        <w:rPr>
          <w:rStyle w:val="apple-converted-space"/>
          <w:rFonts w:eastAsia="Times New Roman"/>
          <w:color w:val="000000"/>
          <w:sz w:val="20"/>
          <w:szCs w:val="20"/>
          <w:lang w:val="en-US"/>
        </w:rPr>
        <w:t>that</w:t>
      </w:r>
      <w:r w:rsidR="003C24D8" w:rsidRPr="00785D06">
        <w:rPr>
          <w:rStyle w:val="apple-converted-space"/>
          <w:rFonts w:eastAsia="Times New Roman"/>
          <w:color w:val="000000"/>
          <w:sz w:val="20"/>
          <w:szCs w:val="20"/>
          <w:lang w:val="en-US"/>
        </w:rPr>
        <w:t>,</w:t>
      </w:r>
      <w:r w:rsidRPr="00785D06">
        <w:rPr>
          <w:rStyle w:val="apple-converted-space"/>
          <w:rFonts w:eastAsia="Times New Roman"/>
          <w:color w:val="000000"/>
          <w:sz w:val="20"/>
          <w:szCs w:val="20"/>
          <w:lang w:val="en-US"/>
        </w:rPr>
        <w:t xml:space="preserve"> even </w:t>
      </w:r>
      <w:r w:rsidR="003C24D8" w:rsidRPr="00785D06">
        <w:rPr>
          <w:rStyle w:val="apple-converted-space"/>
          <w:rFonts w:eastAsia="Times New Roman"/>
          <w:color w:val="000000"/>
          <w:sz w:val="20"/>
          <w:szCs w:val="20"/>
          <w:lang w:val="en-US"/>
        </w:rPr>
        <w:t xml:space="preserve">if </w:t>
      </w:r>
      <w:r w:rsidRPr="00785D06">
        <w:rPr>
          <w:rStyle w:val="apple-converted-space"/>
          <w:rFonts w:eastAsia="Times New Roman"/>
          <w:color w:val="000000"/>
          <w:sz w:val="20"/>
          <w:szCs w:val="20"/>
          <w:lang w:val="en-US"/>
        </w:rPr>
        <w:t>prompt action</w:t>
      </w:r>
      <w:r w:rsidR="003C24D8" w:rsidRPr="00785D06">
        <w:rPr>
          <w:rStyle w:val="apple-converted-space"/>
          <w:rFonts w:eastAsia="Times New Roman"/>
          <w:color w:val="000000"/>
          <w:sz w:val="20"/>
          <w:szCs w:val="20"/>
          <w:lang w:val="en-US"/>
        </w:rPr>
        <w:t xml:space="preserve"> had been taken</w:t>
      </w:r>
      <w:r w:rsidRPr="00785D06">
        <w:rPr>
          <w:rStyle w:val="apple-converted-space"/>
          <w:rFonts w:eastAsia="Times New Roman"/>
          <w:color w:val="000000"/>
          <w:sz w:val="20"/>
          <w:szCs w:val="20"/>
          <w:lang w:val="en-US"/>
        </w:rPr>
        <w:t>,</w:t>
      </w:r>
      <w:r w:rsidR="003C24D8" w:rsidRPr="00785D06">
        <w:rPr>
          <w:rStyle w:val="apple-converted-space"/>
          <w:rFonts w:eastAsia="Times New Roman"/>
          <w:color w:val="000000"/>
          <w:sz w:val="20"/>
          <w:szCs w:val="20"/>
          <w:lang w:val="en-US"/>
        </w:rPr>
        <w:t xml:space="preserve"> Paola would probably have died because of</w:t>
      </w:r>
      <w:r w:rsidRPr="00785D06">
        <w:rPr>
          <w:rStyle w:val="apple-converted-space"/>
          <w:rFonts w:eastAsia="Times New Roman"/>
          <w:color w:val="000000"/>
          <w:sz w:val="20"/>
          <w:szCs w:val="20"/>
          <w:lang w:val="en-US"/>
        </w:rPr>
        <w:t xml:space="preserve"> the amount of </w:t>
      </w:r>
      <w:r w:rsidR="005E0A5A" w:rsidRPr="00785D06">
        <w:rPr>
          <w:rStyle w:val="apple-converted-space"/>
          <w:rFonts w:eastAsia="Times New Roman"/>
          <w:color w:val="000000"/>
          <w:sz w:val="20"/>
          <w:szCs w:val="20"/>
          <w:lang w:val="en-US"/>
        </w:rPr>
        <w:t xml:space="preserve">poison </w:t>
      </w:r>
      <w:r w:rsidRPr="00785D06">
        <w:rPr>
          <w:rStyle w:val="apple-converted-space"/>
          <w:rFonts w:eastAsia="Times New Roman"/>
          <w:color w:val="000000"/>
          <w:sz w:val="20"/>
          <w:szCs w:val="20"/>
          <w:lang w:val="en-US"/>
        </w:rPr>
        <w:t xml:space="preserve">she had swallowed. However, since this cannot be </w:t>
      </w:r>
      <w:r w:rsidR="00357D8D" w:rsidRPr="00785D06">
        <w:rPr>
          <w:rStyle w:val="apple-converted-space"/>
          <w:rFonts w:eastAsia="Times New Roman"/>
          <w:color w:val="000000"/>
          <w:sz w:val="20"/>
          <w:szCs w:val="20"/>
          <w:lang w:val="en-US"/>
        </w:rPr>
        <w:t>confirmed</w:t>
      </w:r>
      <w:r w:rsidRPr="00785D06">
        <w:rPr>
          <w:rStyle w:val="apple-converted-space"/>
          <w:rFonts w:eastAsia="Times New Roman"/>
          <w:color w:val="000000"/>
          <w:sz w:val="20"/>
          <w:szCs w:val="20"/>
          <w:lang w:val="en-US"/>
        </w:rPr>
        <w:t>, the Court cannot consider tha</w:t>
      </w:r>
      <w:r w:rsidR="000D6A0C" w:rsidRPr="00785D06">
        <w:rPr>
          <w:rStyle w:val="apple-converted-space"/>
          <w:rFonts w:eastAsia="Times New Roman"/>
          <w:color w:val="000000"/>
          <w:sz w:val="20"/>
          <w:szCs w:val="20"/>
          <w:lang w:val="en-US"/>
        </w:rPr>
        <w:t>t argument. The medical experts</w:t>
      </w:r>
      <w:r w:rsidR="00357D8D" w:rsidRPr="00785D06">
        <w:rPr>
          <w:rStyle w:val="apple-converted-space"/>
          <w:rFonts w:eastAsia="Times New Roman"/>
          <w:color w:val="000000"/>
          <w:sz w:val="20"/>
          <w:szCs w:val="20"/>
          <w:lang w:val="en-US"/>
        </w:rPr>
        <w:t xml:space="preserve"> proposed by the State,</w:t>
      </w:r>
      <w:r w:rsidRPr="00785D06">
        <w:rPr>
          <w:rStyle w:val="apple-converted-space"/>
          <w:rFonts w:eastAsia="Times New Roman"/>
          <w:color w:val="000000"/>
          <w:sz w:val="20"/>
          <w:szCs w:val="20"/>
          <w:lang w:val="en-US"/>
        </w:rPr>
        <w:t xml:space="preserve"> doctors Barragán and Moya, explained that </w:t>
      </w:r>
      <w:r w:rsidR="000D6A0C" w:rsidRPr="00785D06">
        <w:rPr>
          <w:rStyle w:val="apple-converted-space"/>
          <w:rFonts w:eastAsia="Times New Roman"/>
          <w:color w:val="000000"/>
          <w:sz w:val="20"/>
          <w:szCs w:val="20"/>
          <w:lang w:val="en-US"/>
        </w:rPr>
        <w:t>given the circumstances of</w:t>
      </w:r>
      <w:r w:rsidRPr="00785D06">
        <w:rPr>
          <w:rStyle w:val="apple-converted-space"/>
          <w:rFonts w:eastAsia="Times New Roman"/>
          <w:color w:val="000000"/>
          <w:sz w:val="20"/>
          <w:szCs w:val="20"/>
          <w:lang w:val="en-US"/>
        </w:rPr>
        <w:t xml:space="preserve"> </w:t>
      </w:r>
      <w:r w:rsidR="000D6A0C" w:rsidRPr="00785D06">
        <w:rPr>
          <w:rStyle w:val="apple-converted-space"/>
          <w:rFonts w:eastAsia="Times New Roman"/>
          <w:color w:val="000000"/>
          <w:sz w:val="20"/>
          <w:szCs w:val="20"/>
          <w:lang w:val="en-US"/>
        </w:rPr>
        <w:t xml:space="preserve">this </w:t>
      </w:r>
      <w:r w:rsidRPr="00785D06">
        <w:rPr>
          <w:rStyle w:val="apple-converted-space"/>
          <w:rFonts w:eastAsia="Times New Roman"/>
          <w:color w:val="000000"/>
          <w:sz w:val="20"/>
          <w:szCs w:val="20"/>
          <w:lang w:val="en-US"/>
        </w:rPr>
        <w:t xml:space="preserve">case, the </w:t>
      </w:r>
      <w:r w:rsidR="000D6A0C" w:rsidRPr="00785D06">
        <w:rPr>
          <w:rStyle w:val="apple-converted-space"/>
          <w:rFonts w:eastAsia="Times New Roman"/>
          <w:color w:val="000000"/>
          <w:sz w:val="20"/>
          <w:szCs w:val="20"/>
          <w:lang w:val="en-US"/>
        </w:rPr>
        <w:t xml:space="preserve">most appropriate </w:t>
      </w:r>
      <w:r w:rsidR="00C47662" w:rsidRPr="00785D06">
        <w:rPr>
          <w:rStyle w:val="apple-converted-space"/>
          <w:rFonts w:eastAsia="Times New Roman"/>
          <w:color w:val="000000"/>
          <w:sz w:val="20"/>
          <w:szCs w:val="20"/>
          <w:lang w:val="en-US"/>
        </w:rPr>
        <w:t xml:space="preserve">course of </w:t>
      </w:r>
      <w:r w:rsidR="000D6A0C" w:rsidRPr="00785D06">
        <w:rPr>
          <w:rStyle w:val="apple-converted-space"/>
          <w:rFonts w:eastAsia="Times New Roman"/>
          <w:color w:val="000000"/>
          <w:sz w:val="20"/>
          <w:szCs w:val="20"/>
          <w:lang w:val="en-US"/>
        </w:rPr>
        <w:t xml:space="preserve">action would have been to </w:t>
      </w:r>
      <w:r w:rsidRPr="00785D06">
        <w:rPr>
          <w:rStyle w:val="apple-converted-space"/>
          <w:rFonts w:eastAsia="Times New Roman"/>
          <w:color w:val="000000"/>
          <w:sz w:val="20"/>
          <w:szCs w:val="20"/>
          <w:lang w:val="en-US"/>
        </w:rPr>
        <w:t>immediate</w:t>
      </w:r>
      <w:r w:rsidR="000D6A0C" w:rsidRPr="00785D06">
        <w:rPr>
          <w:rStyle w:val="apple-converted-space"/>
          <w:rFonts w:eastAsia="Times New Roman"/>
          <w:color w:val="000000"/>
          <w:sz w:val="20"/>
          <w:szCs w:val="20"/>
          <w:lang w:val="en-US"/>
        </w:rPr>
        <w:t xml:space="preserve">ly transfer </w:t>
      </w:r>
      <w:r w:rsidRPr="00785D06">
        <w:rPr>
          <w:rStyle w:val="apple-converted-space"/>
          <w:rFonts w:eastAsia="Times New Roman"/>
          <w:color w:val="000000"/>
          <w:sz w:val="20"/>
          <w:szCs w:val="20"/>
          <w:lang w:val="en-US"/>
        </w:rPr>
        <w:t>the poisoned patient to a hospital</w:t>
      </w:r>
      <w:r w:rsidR="000D6A0C" w:rsidRPr="00785D06">
        <w:rPr>
          <w:rStyle w:val="apple-converted-space"/>
          <w:rFonts w:eastAsia="Times New Roman"/>
          <w:color w:val="000000"/>
          <w:sz w:val="20"/>
          <w:szCs w:val="20"/>
          <w:lang w:val="en-US"/>
        </w:rPr>
        <w:t>. They added</w:t>
      </w:r>
      <w:r w:rsidRPr="00785D06">
        <w:rPr>
          <w:rStyle w:val="apple-converted-space"/>
          <w:rFonts w:eastAsia="Times New Roman"/>
          <w:color w:val="000000"/>
          <w:sz w:val="20"/>
          <w:szCs w:val="20"/>
          <w:lang w:val="en-US"/>
        </w:rPr>
        <w:t xml:space="preserve"> that </w:t>
      </w:r>
      <w:r w:rsidR="000D6A0C" w:rsidRPr="00785D06">
        <w:rPr>
          <w:rStyle w:val="apple-converted-space"/>
          <w:rFonts w:eastAsia="Times New Roman"/>
          <w:color w:val="000000"/>
          <w:sz w:val="20"/>
          <w:szCs w:val="20"/>
          <w:lang w:val="en-US"/>
        </w:rPr>
        <w:t xml:space="preserve">if </w:t>
      </w:r>
      <w:r w:rsidRPr="00785D06">
        <w:rPr>
          <w:rStyle w:val="apple-converted-space"/>
          <w:rFonts w:eastAsia="Times New Roman"/>
          <w:color w:val="000000"/>
          <w:sz w:val="20"/>
          <w:szCs w:val="20"/>
          <w:lang w:val="en-US"/>
        </w:rPr>
        <w:t xml:space="preserve">prompt and adequate care </w:t>
      </w:r>
      <w:r w:rsidR="000D6A0C" w:rsidRPr="00785D06">
        <w:rPr>
          <w:rStyle w:val="apple-converted-space"/>
          <w:rFonts w:eastAsia="Times New Roman"/>
          <w:color w:val="000000"/>
          <w:sz w:val="20"/>
          <w:szCs w:val="20"/>
          <w:lang w:val="en-US"/>
        </w:rPr>
        <w:t xml:space="preserve">had </w:t>
      </w:r>
      <w:r w:rsidRPr="00785D06">
        <w:rPr>
          <w:rStyle w:val="apple-converted-space"/>
          <w:rFonts w:eastAsia="Times New Roman"/>
          <w:color w:val="000000"/>
          <w:sz w:val="20"/>
          <w:szCs w:val="20"/>
          <w:lang w:val="en-US"/>
        </w:rPr>
        <w:t>been provided</w:t>
      </w:r>
      <w:r w:rsidR="000D6A0C" w:rsidRPr="00785D06">
        <w:rPr>
          <w:rStyle w:val="apple-converted-space"/>
          <w:rFonts w:eastAsia="Times New Roman"/>
          <w:color w:val="000000"/>
          <w:sz w:val="20"/>
          <w:szCs w:val="20"/>
          <w:lang w:val="en-US"/>
        </w:rPr>
        <w:t>,</w:t>
      </w:r>
      <w:r w:rsidRPr="00785D06">
        <w:rPr>
          <w:rStyle w:val="apple-converted-space"/>
          <w:rFonts w:eastAsia="Times New Roman"/>
          <w:color w:val="000000"/>
          <w:sz w:val="20"/>
          <w:szCs w:val="20"/>
          <w:lang w:val="en-US"/>
        </w:rPr>
        <w:t xml:space="preserve"> </w:t>
      </w:r>
      <w:r w:rsidR="000D6A0C" w:rsidRPr="00785D06">
        <w:rPr>
          <w:rStyle w:val="apple-converted-space"/>
          <w:rFonts w:eastAsia="Times New Roman"/>
          <w:color w:val="000000"/>
          <w:sz w:val="20"/>
          <w:szCs w:val="20"/>
          <w:lang w:val="en-US"/>
        </w:rPr>
        <w:t xml:space="preserve">there was a </w:t>
      </w:r>
      <w:r w:rsidRPr="00785D06">
        <w:rPr>
          <w:rStyle w:val="apple-converted-space"/>
          <w:rFonts w:eastAsia="Times New Roman"/>
          <w:color w:val="000000"/>
          <w:sz w:val="20"/>
          <w:szCs w:val="20"/>
          <w:lang w:val="en-US"/>
        </w:rPr>
        <w:t>possibility that the patient’s life could have been saved.</w:t>
      </w:r>
    </w:p>
    <w:p w14:paraId="668DB877" w14:textId="77777777" w:rsidR="00C254BF" w:rsidRPr="00785D06" w:rsidRDefault="00C254BF" w:rsidP="00C254BF">
      <w:pPr>
        <w:jc w:val="both"/>
        <w:rPr>
          <w:rStyle w:val="apple-converted-space"/>
          <w:rFonts w:eastAsia="Times New Roman"/>
          <w:color w:val="000000"/>
          <w:sz w:val="20"/>
          <w:szCs w:val="20"/>
          <w:lang w:val="en-US"/>
        </w:rPr>
      </w:pPr>
    </w:p>
    <w:p w14:paraId="65EA9873" w14:textId="77777777" w:rsidR="00C254BF" w:rsidRPr="00785D06" w:rsidRDefault="00CF64D8" w:rsidP="00C254BF">
      <w:pPr>
        <w:pStyle w:val="Prrafodelista"/>
        <w:numPr>
          <w:ilvl w:val="0"/>
          <w:numId w:val="35"/>
        </w:numPr>
        <w:ind w:left="0" w:firstLine="0"/>
        <w:contextualSpacing w:val="0"/>
        <w:jc w:val="both"/>
        <w:rPr>
          <w:rStyle w:val="apple-converted-space"/>
          <w:sz w:val="20"/>
          <w:szCs w:val="20"/>
          <w:lang w:val="en-US"/>
        </w:rPr>
      </w:pPr>
      <w:r w:rsidRPr="00785D06">
        <w:rPr>
          <w:rStyle w:val="apple-converted-space"/>
          <w:rFonts w:eastAsia="Times New Roman"/>
          <w:color w:val="000000"/>
          <w:sz w:val="20"/>
          <w:szCs w:val="20"/>
          <w:lang w:val="en-US"/>
        </w:rPr>
        <w:t xml:space="preserve">Based on </w:t>
      </w:r>
      <w:r w:rsidR="00C254BF" w:rsidRPr="00785D06">
        <w:rPr>
          <w:rStyle w:val="apple-converted-space"/>
          <w:rFonts w:eastAsia="Times New Roman"/>
          <w:color w:val="000000"/>
          <w:sz w:val="20"/>
          <w:szCs w:val="20"/>
          <w:lang w:val="en-US"/>
        </w:rPr>
        <w:t>the foregoing, it is clear that the State did not act with due diligence to ensure Paola’s right to life.</w:t>
      </w:r>
      <w:r w:rsidR="00C47662" w:rsidRPr="00785D06">
        <w:rPr>
          <w:rStyle w:val="apple-converted-space"/>
          <w:rFonts w:eastAsia="Times New Roman"/>
          <w:color w:val="000000"/>
          <w:sz w:val="20"/>
          <w:szCs w:val="20"/>
          <w:lang w:val="en-US"/>
        </w:rPr>
        <w:t xml:space="preserve"> Also</w:t>
      </w:r>
      <w:r w:rsidR="00C254BF" w:rsidRPr="00785D06">
        <w:rPr>
          <w:rStyle w:val="apple-converted-space"/>
          <w:rFonts w:eastAsia="Times New Roman"/>
          <w:color w:val="000000"/>
          <w:sz w:val="20"/>
          <w:szCs w:val="20"/>
          <w:lang w:val="en-US"/>
        </w:rPr>
        <w:t xml:space="preserve">, </w:t>
      </w:r>
      <w:r w:rsidR="005E0A5A" w:rsidRPr="00785D06">
        <w:rPr>
          <w:rStyle w:val="apple-converted-space"/>
          <w:rFonts w:eastAsia="Times New Roman"/>
          <w:color w:val="000000"/>
          <w:sz w:val="20"/>
          <w:szCs w:val="20"/>
          <w:lang w:val="en-US"/>
        </w:rPr>
        <w:t>the Court considers that</w:t>
      </w:r>
      <w:r w:rsidRPr="00785D06">
        <w:rPr>
          <w:rStyle w:val="apple-converted-space"/>
          <w:rFonts w:eastAsia="Times New Roman"/>
          <w:color w:val="000000"/>
          <w:sz w:val="20"/>
          <w:szCs w:val="20"/>
          <w:lang w:val="en-US"/>
        </w:rPr>
        <w:t xml:space="preserve"> al</w:t>
      </w:r>
      <w:r w:rsidR="00C254BF" w:rsidRPr="00785D06">
        <w:rPr>
          <w:rStyle w:val="apple-converted-space"/>
          <w:rFonts w:eastAsia="Times New Roman"/>
          <w:color w:val="000000"/>
          <w:sz w:val="20"/>
          <w:szCs w:val="20"/>
          <w:lang w:val="en-US"/>
        </w:rPr>
        <w:t xml:space="preserve">though Paola experienced suffering while she remained </w:t>
      </w:r>
      <w:r w:rsidRPr="00785D06">
        <w:rPr>
          <w:rStyle w:val="apple-converted-space"/>
          <w:rFonts w:eastAsia="Times New Roman"/>
          <w:color w:val="000000"/>
          <w:sz w:val="20"/>
          <w:szCs w:val="20"/>
          <w:lang w:val="en-US"/>
        </w:rPr>
        <w:t xml:space="preserve">at </w:t>
      </w:r>
      <w:r w:rsidR="00C254BF" w:rsidRPr="00785D06">
        <w:rPr>
          <w:rStyle w:val="apple-converted-space"/>
          <w:rFonts w:eastAsia="Times New Roman"/>
          <w:color w:val="000000"/>
          <w:sz w:val="20"/>
          <w:szCs w:val="20"/>
          <w:lang w:val="en-US"/>
        </w:rPr>
        <w:t xml:space="preserve">the school without </w:t>
      </w:r>
      <w:r w:rsidRPr="00785D06">
        <w:rPr>
          <w:rStyle w:val="apple-converted-space"/>
          <w:rFonts w:eastAsia="Times New Roman"/>
          <w:color w:val="000000"/>
          <w:sz w:val="20"/>
          <w:szCs w:val="20"/>
          <w:lang w:val="en-US"/>
        </w:rPr>
        <w:t>proper medical care</w:t>
      </w:r>
      <w:r w:rsidR="00C254BF" w:rsidRPr="00785D06">
        <w:rPr>
          <w:rStyle w:val="apple-converted-space"/>
          <w:rFonts w:eastAsia="Times New Roman"/>
          <w:color w:val="000000"/>
          <w:sz w:val="20"/>
          <w:szCs w:val="20"/>
          <w:lang w:val="en-US"/>
        </w:rPr>
        <w:t xml:space="preserve">, the State’s conduct in this regard </w:t>
      </w:r>
      <w:r w:rsidRPr="00785D06">
        <w:rPr>
          <w:rStyle w:val="apple-converted-space"/>
          <w:rFonts w:eastAsia="Times New Roman"/>
          <w:color w:val="000000"/>
          <w:sz w:val="20"/>
          <w:szCs w:val="20"/>
          <w:lang w:val="en-US"/>
        </w:rPr>
        <w:t xml:space="preserve">was no different from </w:t>
      </w:r>
      <w:r w:rsidR="00C254BF" w:rsidRPr="00785D06">
        <w:rPr>
          <w:rStyle w:val="apple-converted-space"/>
          <w:rFonts w:eastAsia="Times New Roman"/>
          <w:color w:val="000000"/>
          <w:sz w:val="20"/>
          <w:szCs w:val="20"/>
          <w:lang w:val="en-US"/>
        </w:rPr>
        <w:t xml:space="preserve">that required to try to save her life. Therefore, it is not necessary to examine this point separately </w:t>
      </w:r>
      <w:r w:rsidR="003249A3" w:rsidRPr="00785D06">
        <w:rPr>
          <w:rStyle w:val="apple-converted-space"/>
          <w:rFonts w:eastAsia="Times New Roman"/>
          <w:color w:val="000000"/>
          <w:sz w:val="20"/>
          <w:szCs w:val="20"/>
          <w:lang w:val="en-US"/>
        </w:rPr>
        <w:t xml:space="preserve">in relation to </w:t>
      </w:r>
      <w:r w:rsidR="00C254BF" w:rsidRPr="00785D06">
        <w:rPr>
          <w:rStyle w:val="apple-converted-space"/>
          <w:rFonts w:eastAsia="Times New Roman"/>
          <w:color w:val="000000"/>
          <w:sz w:val="20"/>
          <w:szCs w:val="20"/>
          <w:lang w:val="en-US"/>
        </w:rPr>
        <w:t>the right to personal integrity.</w:t>
      </w:r>
    </w:p>
    <w:p w14:paraId="73E77134" w14:textId="77777777" w:rsidR="00C254BF" w:rsidRPr="00785D06" w:rsidRDefault="00C254BF" w:rsidP="00C254BF">
      <w:pPr>
        <w:pStyle w:val="Prrafodelista"/>
        <w:ind w:left="0"/>
        <w:contextualSpacing w:val="0"/>
        <w:jc w:val="both"/>
        <w:rPr>
          <w:sz w:val="20"/>
          <w:szCs w:val="20"/>
          <w:lang w:val="en-US"/>
        </w:rPr>
      </w:pPr>
    </w:p>
    <w:p w14:paraId="10EEDAA5"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The Court notes that lack of due diligence in providing medical care to Paola when she arrived at the clinic has not been alleged or proven. </w:t>
      </w:r>
      <w:r w:rsidR="00F67E9B" w:rsidRPr="00785D06">
        <w:rPr>
          <w:sz w:val="20"/>
          <w:szCs w:val="20"/>
          <w:lang w:val="en-US"/>
        </w:rPr>
        <w:t>Therefore</w:t>
      </w:r>
      <w:r w:rsidRPr="00785D06">
        <w:rPr>
          <w:sz w:val="20"/>
          <w:szCs w:val="20"/>
          <w:lang w:val="en-US"/>
        </w:rPr>
        <w:t xml:space="preserve">, the lack of prompt treatment was related to the delay in </w:t>
      </w:r>
      <w:r w:rsidR="00F67E9B" w:rsidRPr="00785D06">
        <w:rPr>
          <w:sz w:val="20"/>
          <w:szCs w:val="20"/>
          <w:lang w:val="en-US"/>
        </w:rPr>
        <w:t xml:space="preserve">transferring her </w:t>
      </w:r>
      <w:r w:rsidR="003249A3" w:rsidRPr="00785D06">
        <w:rPr>
          <w:sz w:val="20"/>
          <w:szCs w:val="20"/>
          <w:lang w:val="en-US"/>
        </w:rPr>
        <w:t>to the health facility</w:t>
      </w:r>
      <w:r w:rsidRPr="00785D06">
        <w:rPr>
          <w:sz w:val="20"/>
          <w:szCs w:val="20"/>
          <w:lang w:val="en-US"/>
        </w:rPr>
        <w:t xml:space="preserve">. </w:t>
      </w:r>
      <w:r w:rsidR="00F67E9B" w:rsidRPr="00785D06">
        <w:rPr>
          <w:sz w:val="20"/>
          <w:szCs w:val="20"/>
          <w:lang w:val="en-US"/>
        </w:rPr>
        <w:t xml:space="preserve">Thus, the </w:t>
      </w:r>
      <w:r w:rsidR="00C47662" w:rsidRPr="00785D06">
        <w:rPr>
          <w:sz w:val="20"/>
          <w:szCs w:val="20"/>
          <w:lang w:val="en-US"/>
        </w:rPr>
        <w:t xml:space="preserve">Court understands </w:t>
      </w:r>
      <w:r w:rsidRPr="00785D06">
        <w:rPr>
          <w:sz w:val="20"/>
          <w:szCs w:val="20"/>
          <w:lang w:val="en-US"/>
        </w:rPr>
        <w:t xml:space="preserve">that this situation is directly </w:t>
      </w:r>
      <w:r w:rsidR="00F67E9B" w:rsidRPr="00785D06">
        <w:rPr>
          <w:sz w:val="20"/>
          <w:szCs w:val="20"/>
          <w:lang w:val="en-US"/>
        </w:rPr>
        <w:t xml:space="preserve">connected </w:t>
      </w:r>
      <w:r w:rsidRPr="00785D06">
        <w:rPr>
          <w:sz w:val="20"/>
          <w:szCs w:val="20"/>
          <w:lang w:val="en-US"/>
        </w:rPr>
        <w:t xml:space="preserve">with the duty to guarantee the </w:t>
      </w:r>
      <w:r w:rsidR="00F67E9B" w:rsidRPr="00785D06">
        <w:rPr>
          <w:sz w:val="20"/>
          <w:szCs w:val="20"/>
          <w:lang w:val="en-US"/>
        </w:rPr>
        <w:t xml:space="preserve">adolescent’s </w:t>
      </w:r>
      <w:r w:rsidRPr="00785D06">
        <w:rPr>
          <w:sz w:val="20"/>
          <w:szCs w:val="20"/>
          <w:lang w:val="en-US"/>
        </w:rPr>
        <w:t>right to life</w:t>
      </w:r>
      <w:r w:rsidR="00F67E9B" w:rsidRPr="00785D06">
        <w:rPr>
          <w:sz w:val="20"/>
          <w:szCs w:val="20"/>
          <w:lang w:val="en-US"/>
        </w:rPr>
        <w:t>. Al</w:t>
      </w:r>
      <w:r w:rsidRPr="00785D06">
        <w:rPr>
          <w:sz w:val="20"/>
          <w:szCs w:val="20"/>
          <w:lang w:val="en-US"/>
        </w:rPr>
        <w:t xml:space="preserve">though the </w:t>
      </w:r>
      <w:r w:rsidR="00660B75" w:rsidRPr="00785D06">
        <w:rPr>
          <w:sz w:val="20"/>
          <w:szCs w:val="20"/>
          <w:lang w:val="en-US"/>
        </w:rPr>
        <w:t xml:space="preserve">unlawful conduct </w:t>
      </w:r>
      <w:r w:rsidR="009C4692" w:rsidRPr="00785D06">
        <w:rPr>
          <w:sz w:val="20"/>
          <w:szCs w:val="20"/>
          <w:lang w:val="en-US"/>
        </w:rPr>
        <w:t xml:space="preserve">occurred </w:t>
      </w:r>
      <w:r w:rsidRPr="00785D06">
        <w:rPr>
          <w:sz w:val="20"/>
          <w:szCs w:val="20"/>
          <w:lang w:val="en-US"/>
        </w:rPr>
        <w:t xml:space="preserve">in a </w:t>
      </w:r>
      <w:r w:rsidR="00660B75" w:rsidRPr="00785D06">
        <w:rPr>
          <w:sz w:val="20"/>
          <w:szCs w:val="20"/>
          <w:lang w:val="en-US"/>
        </w:rPr>
        <w:t xml:space="preserve">State or </w:t>
      </w:r>
      <w:r w:rsidR="009C4692" w:rsidRPr="00785D06">
        <w:rPr>
          <w:sz w:val="20"/>
          <w:szCs w:val="20"/>
          <w:lang w:val="en-US"/>
        </w:rPr>
        <w:t xml:space="preserve">public </w:t>
      </w:r>
      <w:r w:rsidRPr="00785D06">
        <w:rPr>
          <w:sz w:val="20"/>
          <w:szCs w:val="20"/>
          <w:lang w:val="en-US"/>
        </w:rPr>
        <w:t>school, the</w:t>
      </w:r>
      <w:r w:rsidR="00F67E9B" w:rsidRPr="00785D06">
        <w:rPr>
          <w:sz w:val="20"/>
          <w:szCs w:val="20"/>
          <w:lang w:val="en-US"/>
        </w:rPr>
        <w:t xml:space="preserve"> respective</w:t>
      </w:r>
      <w:r w:rsidRPr="00785D06">
        <w:rPr>
          <w:sz w:val="20"/>
          <w:szCs w:val="20"/>
          <w:lang w:val="en-US"/>
        </w:rPr>
        <w:t xml:space="preserve"> actions </w:t>
      </w:r>
      <w:r w:rsidR="006604CC" w:rsidRPr="00785D06">
        <w:rPr>
          <w:sz w:val="20"/>
          <w:szCs w:val="20"/>
          <w:lang w:val="en-US"/>
        </w:rPr>
        <w:t xml:space="preserve">were </w:t>
      </w:r>
      <w:r w:rsidRPr="00785D06">
        <w:rPr>
          <w:sz w:val="20"/>
          <w:szCs w:val="20"/>
          <w:lang w:val="en-US"/>
        </w:rPr>
        <w:t xml:space="preserve">directly </w:t>
      </w:r>
      <w:r w:rsidR="00F67E9B" w:rsidRPr="00785D06">
        <w:rPr>
          <w:sz w:val="20"/>
          <w:szCs w:val="20"/>
          <w:lang w:val="en-US"/>
        </w:rPr>
        <w:t xml:space="preserve">related to </w:t>
      </w:r>
      <w:r w:rsidRPr="00785D06">
        <w:rPr>
          <w:sz w:val="20"/>
          <w:szCs w:val="20"/>
          <w:lang w:val="en-US"/>
        </w:rPr>
        <w:t xml:space="preserve">the </w:t>
      </w:r>
      <w:r w:rsidR="00F67E9B" w:rsidRPr="00785D06">
        <w:rPr>
          <w:sz w:val="20"/>
          <w:szCs w:val="20"/>
          <w:lang w:val="en-US"/>
        </w:rPr>
        <w:t xml:space="preserve">protection of her </w:t>
      </w:r>
      <w:r w:rsidRPr="00785D06">
        <w:rPr>
          <w:sz w:val="20"/>
          <w:szCs w:val="20"/>
          <w:lang w:val="en-US"/>
        </w:rPr>
        <w:t xml:space="preserve">right to life, and </w:t>
      </w:r>
      <w:r w:rsidR="009C4692" w:rsidRPr="00785D06">
        <w:rPr>
          <w:sz w:val="20"/>
          <w:szCs w:val="20"/>
          <w:lang w:val="en-US"/>
        </w:rPr>
        <w:t xml:space="preserve">do not need to be </w:t>
      </w:r>
      <w:r w:rsidRPr="00785D06">
        <w:rPr>
          <w:sz w:val="20"/>
          <w:szCs w:val="20"/>
          <w:lang w:val="en-US"/>
        </w:rPr>
        <w:t xml:space="preserve">examined in relation to other rights, </w:t>
      </w:r>
      <w:r w:rsidR="00F67E9B" w:rsidRPr="00785D06">
        <w:rPr>
          <w:sz w:val="20"/>
          <w:szCs w:val="20"/>
          <w:lang w:val="en-US"/>
        </w:rPr>
        <w:t xml:space="preserve">such </w:t>
      </w:r>
      <w:r w:rsidRPr="00785D06">
        <w:rPr>
          <w:sz w:val="20"/>
          <w:szCs w:val="20"/>
          <w:lang w:val="en-US"/>
        </w:rPr>
        <w:t xml:space="preserve">as the right to education. </w:t>
      </w:r>
    </w:p>
    <w:p w14:paraId="36469E12" w14:textId="77777777" w:rsidR="00C254BF" w:rsidRPr="00785D06" w:rsidRDefault="00C254BF" w:rsidP="00C254BF">
      <w:pPr>
        <w:jc w:val="both"/>
        <w:rPr>
          <w:sz w:val="20"/>
          <w:szCs w:val="20"/>
          <w:lang w:val="en-US"/>
        </w:rPr>
      </w:pPr>
    </w:p>
    <w:p w14:paraId="4E2ADFDF" w14:textId="77777777" w:rsidR="00C254BF" w:rsidRPr="00785D06" w:rsidRDefault="006C6B39" w:rsidP="00C254BF">
      <w:pPr>
        <w:pStyle w:val="Prrafodelista"/>
        <w:numPr>
          <w:ilvl w:val="0"/>
          <w:numId w:val="35"/>
        </w:numPr>
        <w:ind w:left="0" w:firstLine="0"/>
        <w:contextualSpacing w:val="0"/>
        <w:jc w:val="both"/>
        <w:rPr>
          <w:sz w:val="20"/>
          <w:szCs w:val="20"/>
          <w:lang w:val="en-US"/>
        </w:rPr>
      </w:pPr>
      <w:r w:rsidRPr="00785D06">
        <w:rPr>
          <w:sz w:val="20"/>
          <w:szCs w:val="20"/>
          <w:lang w:val="en-US"/>
        </w:rPr>
        <w:t>Based on the foregoing considerations</w:t>
      </w:r>
      <w:r w:rsidR="00F67E9B" w:rsidRPr="00785D06">
        <w:rPr>
          <w:sz w:val="20"/>
          <w:szCs w:val="20"/>
          <w:lang w:val="en-US"/>
        </w:rPr>
        <w:t xml:space="preserve">, </w:t>
      </w:r>
      <w:r w:rsidR="00C254BF" w:rsidRPr="00785D06">
        <w:rPr>
          <w:sz w:val="20"/>
          <w:szCs w:val="20"/>
          <w:lang w:val="en-US"/>
        </w:rPr>
        <w:t xml:space="preserve">the Court concludes that the State did not respect Paola’s right to a </w:t>
      </w:r>
      <w:r w:rsidR="009C4692" w:rsidRPr="00785D06">
        <w:rPr>
          <w:sz w:val="20"/>
          <w:szCs w:val="20"/>
          <w:lang w:val="en-US"/>
        </w:rPr>
        <w:t xml:space="preserve">dignified </w:t>
      </w:r>
      <w:r w:rsidR="00C254BF" w:rsidRPr="00785D06">
        <w:rPr>
          <w:sz w:val="20"/>
          <w:szCs w:val="20"/>
          <w:lang w:val="en-US"/>
        </w:rPr>
        <w:t xml:space="preserve">life and did not </w:t>
      </w:r>
      <w:r w:rsidR="00C47662" w:rsidRPr="00785D06">
        <w:rPr>
          <w:sz w:val="20"/>
          <w:szCs w:val="20"/>
          <w:lang w:val="en-US"/>
        </w:rPr>
        <w:t xml:space="preserve">guarantee </w:t>
      </w:r>
      <w:r w:rsidR="00C254BF" w:rsidRPr="00785D06">
        <w:rPr>
          <w:sz w:val="20"/>
          <w:szCs w:val="20"/>
          <w:lang w:val="en-US"/>
        </w:rPr>
        <w:t xml:space="preserve">her </w:t>
      </w:r>
      <w:r w:rsidR="00F67E9B" w:rsidRPr="00785D06">
        <w:rPr>
          <w:sz w:val="20"/>
          <w:szCs w:val="20"/>
          <w:lang w:val="en-US"/>
        </w:rPr>
        <w:t xml:space="preserve">right to </w:t>
      </w:r>
      <w:r w:rsidR="00C254BF" w:rsidRPr="00785D06">
        <w:rPr>
          <w:sz w:val="20"/>
          <w:szCs w:val="20"/>
          <w:lang w:val="en-US"/>
        </w:rPr>
        <w:t xml:space="preserve">life </w:t>
      </w:r>
      <w:r w:rsidR="000F25FE" w:rsidRPr="00785D06">
        <w:rPr>
          <w:sz w:val="20"/>
          <w:szCs w:val="20"/>
          <w:lang w:val="en-US"/>
        </w:rPr>
        <w:t xml:space="preserve">upon </w:t>
      </w:r>
      <w:r w:rsidR="009C4692" w:rsidRPr="00785D06">
        <w:rPr>
          <w:sz w:val="20"/>
          <w:szCs w:val="20"/>
          <w:lang w:val="en-US"/>
        </w:rPr>
        <w:t xml:space="preserve">learning </w:t>
      </w:r>
      <w:r w:rsidR="00F67E9B" w:rsidRPr="00785D06">
        <w:rPr>
          <w:sz w:val="20"/>
          <w:szCs w:val="20"/>
          <w:lang w:val="en-US"/>
        </w:rPr>
        <w:t xml:space="preserve">that </w:t>
      </w:r>
      <w:r w:rsidR="000F25FE" w:rsidRPr="00785D06">
        <w:rPr>
          <w:sz w:val="20"/>
          <w:szCs w:val="20"/>
          <w:lang w:val="en-US"/>
        </w:rPr>
        <w:t xml:space="preserve">she risked </w:t>
      </w:r>
      <w:r w:rsidR="00C254BF" w:rsidRPr="00785D06">
        <w:rPr>
          <w:sz w:val="20"/>
          <w:szCs w:val="20"/>
          <w:lang w:val="en-US"/>
        </w:rPr>
        <w:t xml:space="preserve">death, </w:t>
      </w:r>
      <w:r w:rsidR="00F67E9B" w:rsidRPr="00785D06">
        <w:rPr>
          <w:sz w:val="20"/>
          <w:szCs w:val="20"/>
          <w:lang w:val="en-US"/>
        </w:rPr>
        <w:t xml:space="preserve">which </w:t>
      </w:r>
      <w:r w:rsidR="000F25FE" w:rsidRPr="00785D06">
        <w:rPr>
          <w:sz w:val="20"/>
          <w:szCs w:val="20"/>
          <w:lang w:val="en-US"/>
        </w:rPr>
        <w:t xml:space="preserve">was </w:t>
      </w:r>
      <w:r w:rsidR="00C254BF" w:rsidRPr="00785D06">
        <w:rPr>
          <w:sz w:val="20"/>
          <w:szCs w:val="20"/>
          <w:lang w:val="en-US"/>
        </w:rPr>
        <w:t>finally consummated</w:t>
      </w:r>
      <w:r w:rsidR="000F25FE" w:rsidRPr="00785D06">
        <w:rPr>
          <w:sz w:val="20"/>
          <w:szCs w:val="20"/>
          <w:lang w:val="en-US"/>
        </w:rPr>
        <w:t xml:space="preserve"> with her</w:t>
      </w:r>
      <w:r w:rsidR="00C254BF" w:rsidRPr="00785D06">
        <w:rPr>
          <w:sz w:val="20"/>
          <w:szCs w:val="20"/>
          <w:lang w:val="en-US"/>
        </w:rPr>
        <w:t xml:space="preserve"> suicide. </w:t>
      </w:r>
    </w:p>
    <w:p w14:paraId="5DDB44DA" w14:textId="77777777" w:rsidR="00C254BF" w:rsidRPr="00785D06" w:rsidRDefault="00C254BF" w:rsidP="00C254BF">
      <w:pPr>
        <w:pStyle w:val="Prrafodelista"/>
        <w:rPr>
          <w:lang w:val="en-US"/>
        </w:rPr>
      </w:pPr>
    </w:p>
    <w:p w14:paraId="3FED4D0A"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Accordingly, the Court concludes that Ecuador violated the right to life enshrined in Article 4(1) of the American Convention on Human Rights, in relation to the obligations established in Article 1(1) thereof, to the detriment of Paola del Rosario Guzmán Albarracín. </w:t>
      </w:r>
    </w:p>
    <w:p w14:paraId="0DB15D6A" w14:textId="77777777" w:rsidR="00C254BF" w:rsidRPr="00785D06" w:rsidRDefault="00C254BF" w:rsidP="00C254BF">
      <w:pPr>
        <w:pStyle w:val="Prrafodelista"/>
        <w:rPr>
          <w:rFonts w:eastAsia="Times New Roman"/>
          <w:color w:val="000000"/>
          <w:sz w:val="20"/>
          <w:szCs w:val="20"/>
          <w:lang w:val="en-US" w:eastAsia="es-ES_tradnl"/>
        </w:rPr>
      </w:pPr>
    </w:p>
    <w:p w14:paraId="68596ABF" w14:textId="77777777" w:rsidR="00C254BF" w:rsidRPr="00785D06" w:rsidRDefault="00C254BF" w:rsidP="00C254BF">
      <w:pPr>
        <w:pStyle w:val="Ttulo3"/>
        <w:spacing w:before="0"/>
        <w:ind w:left="567"/>
        <w:jc w:val="both"/>
        <w:rPr>
          <w:rFonts w:ascii="Verdana" w:hAnsi="Verdana"/>
          <w:color w:val="auto"/>
          <w:sz w:val="20"/>
          <w:szCs w:val="20"/>
          <w:lang w:val="en-US"/>
        </w:rPr>
      </w:pPr>
      <w:bookmarkStart w:id="121" w:name="_Toc41906227"/>
      <w:bookmarkStart w:id="122" w:name="_Toc42498056"/>
      <w:bookmarkStart w:id="123" w:name="_Toc46937304"/>
      <w:r w:rsidRPr="00785D06">
        <w:rPr>
          <w:rFonts w:ascii="Verdana" w:hAnsi="Verdana"/>
          <w:i/>
          <w:color w:val="auto"/>
          <w:sz w:val="20"/>
          <w:szCs w:val="20"/>
          <w:lang w:val="en-US"/>
        </w:rPr>
        <w:t xml:space="preserve">B.5 </w:t>
      </w:r>
      <w:r w:rsidRPr="00785D06">
        <w:rPr>
          <w:rFonts w:ascii="Verdana" w:hAnsi="Verdana"/>
          <w:i/>
          <w:color w:val="auto"/>
          <w:sz w:val="20"/>
          <w:szCs w:val="20"/>
          <w:u w:val="single"/>
          <w:lang w:val="en-US"/>
        </w:rPr>
        <w:t>Conclusion</w:t>
      </w:r>
      <w:bookmarkEnd w:id="121"/>
      <w:bookmarkEnd w:id="122"/>
      <w:bookmarkEnd w:id="123"/>
    </w:p>
    <w:p w14:paraId="496106EA" w14:textId="77777777" w:rsidR="00C254BF" w:rsidRPr="00785D06" w:rsidRDefault="00C254BF" w:rsidP="00C254BF">
      <w:pPr>
        <w:pStyle w:val="Prrafodelista"/>
        <w:rPr>
          <w:rFonts w:eastAsia="Times New Roman"/>
          <w:color w:val="000000"/>
          <w:sz w:val="20"/>
          <w:szCs w:val="20"/>
          <w:lang w:val="en-US" w:eastAsia="es-ES_tradnl"/>
        </w:rPr>
      </w:pPr>
    </w:p>
    <w:p w14:paraId="2A531D92"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The sexual violence </w:t>
      </w:r>
      <w:r w:rsidR="000F25FE" w:rsidRPr="00785D06">
        <w:rPr>
          <w:sz w:val="20"/>
          <w:szCs w:val="20"/>
          <w:lang w:val="en-US"/>
        </w:rPr>
        <w:t xml:space="preserve">committed against </w:t>
      </w:r>
      <w:r w:rsidRPr="00785D06">
        <w:rPr>
          <w:sz w:val="20"/>
          <w:szCs w:val="20"/>
          <w:lang w:val="en-US"/>
        </w:rPr>
        <w:t>Paola del Rosario Guzmán Albarracín, a</w:t>
      </w:r>
      <w:r w:rsidR="000F25FE" w:rsidRPr="00785D06">
        <w:rPr>
          <w:sz w:val="20"/>
          <w:szCs w:val="20"/>
          <w:lang w:val="en-US"/>
        </w:rPr>
        <w:t>n</w:t>
      </w:r>
      <w:r w:rsidRPr="00785D06">
        <w:rPr>
          <w:sz w:val="20"/>
          <w:szCs w:val="20"/>
          <w:lang w:val="en-US"/>
        </w:rPr>
        <w:t xml:space="preserve"> </w:t>
      </w:r>
      <w:r w:rsidR="000F25FE" w:rsidRPr="00785D06">
        <w:rPr>
          <w:sz w:val="20"/>
          <w:szCs w:val="20"/>
          <w:lang w:val="en-US"/>
        </w:rPr>
        <w:t xml:space="preserve">adolescent </w:t>
      </w:r>
      <w:r w:rsidRPr="00785D06">
        <w:rPr>
          <w:sz w:val="20"/>
          <w:szCs w:val="20"/>
          <w:lang w:val="en-US"/>
        </w:rPr>
        <w:t>girl, affe</w:t>
      </w:r>
      <w:r w:rsidR="00660B75" w:rsidRPr="00785D06">
        <w:rPr>
          <w:sz w:val="20"/>
          <w:szCs w:val="20"/>
          <w:lang w:val="en-US"/>
        </w:rPr>
        <w:t>cted her right to a life free from</w:t>
      </w:r>
      <w:r w:rsidRPr="00785D06">
        <w:rPr>
          <w:sz w:val="20"/>
          <w:szCs w:val="20"/>
          <w:lang w:val="en-US"/>
        </w:rPr>
        <w:t xml:space="preserve"> violence, was discriminatory and deprived her of the possibility of independently deciding on her relationship with other persons and </w:t>
      </w:r>
      <w:r w:rsidR="000F25FE" w:rsidRPr="00785D06">
        <w:rPr>
          <w:sz w:val="20"/>
          <w:szCs w:val="20"/>
          <w:lang w:val="en-US"/>
        </w:rPr>
        <w:t xml:space="preserve">exercising </w:t>
      </w:r>
      <w:r w:rsidRPr="00785D06">
        <w:rPr>
          <w:sz w:val="20"/>
          <w:szCs w:val="20"/>
          <w:lang w:val="en-US"/>
        </w:rPr>
        <w:t xml:space="preserve">her sexuality. It also violated her right to education which, as indicated, </w:t>
      </w:r>
      <w:r w:rsidRPr="00785D06">
        <w:rPr>
          <w:rFonts w:eastAsia="Times New Roman"/>
          <w:color w:val="000000"/>
          <w:sz w:val="20"/>
          <w:szCs w:val="20"/>
          <w:lang w:val="en-US" w:eastAsia="es-ES_tradnl"/>
        </w:rPr>
        <w:t xml:space="preserve">includes the observance of human rights in the context of </w:t>
      </w:r>
      <w:r w:rsidR="000F25FE" w:rsidRPr="00785D06">
        <w:rPr>
          <w:rFonts w:eastAsia="Times New Roman"/>
          <w:color w:val="000000"/>
          <w:sz w:val="20"/>
          <w:szCs w:val="20"/>
          <w:lang w:val="en-US" w:eastAsia="es-ES_tradnl"/>
        </w:rPr>
        <w:t xml:space="preserve">the </w:t>
      </w:r>
      <w:r w:rsidRPr="00785D06">
        <w:rPr>
          <w:rFonts w:eastAsia="Times New Roman"/>
          <w:color w:val="000000"/>
          <w:sz w:val="20"/>
          <w:szCs w:val="20"/>
          <w:lang w:val="en-US" w:eastAsia="es-ES_tradnl"/>
        </w:rPr>
        <w:t xml:space="preserve">educational process. </w:t>
      </w:r>
      <w:r w:rsidRPr="00785D06">
        <w:rPr>
          <w:sz w:val="20"/>
          <w:szCs w:val="20"/>
          <w:lang w:val="en-US"/>
        </w:rPr>
        <w:t xml:space="preserve">Likewise, it caused her severe suffering and influenced her decision to take her own life. </w:t>
      </w:r>
      <w:r w:rsidR="00E25534" w:rsidRPr="00785D06">
        <w:rPr>
          <w:sz w:val="20"/>
          <w:szCs w:val="20"/>
          <w:lang w:val="en-US"/>
        </w:rPr>
        <w:t>Furthermore, t</w:t>
      </w:r>
      <w:r w:rsidRPr="00785D06">
        <w:rPr>
          <w:sz w:val="20"/>
          <w:szCs w:val="20"/>
          <w:lang w:val="en-US"/>
        </w:rPr>
        <w:t>he State</w:t>
      </w:r>
      <w:r w:rsidR="00E25534" w:rsidRPr="00785D06">
        <w:rPr>
          <w:sz w:val="20"/>
          <w:szCs w:val="20"/>
          <w:lang w:val="en-US"/>
        </w:rPr>
        <w:t xml:space="preserve"> failed to provide the necessary </w:t>
      </w:r>
      <w:r w:rsidRPr="00785D06">
        <w:rPr>
          <w:sz w:val="20"/>
          <w:szCs w:val="20"/>
          <w:lang w:val="en-US"/>
        </w:rPr>
        <w:t xml:space="preserve">assistance </w:t>
      </w:r>
      <w:r w:rsidR="00F1168F" w:rsidRPr="00785D06">
        <w:rPr>
          <w:sz w:val="20"/>
          <w:szCs w:val="20"/>
          <w:lang w:val="en-US"/>
        </w:rPr>
        <w:t xml:space="preserve">to try to </w:t>
      </w:r>
      <w:r w:rsidRPr="00785D06">
        <w:rPr>
          <w:sz w:val="20"/>
          <w:szCs w:val="20"/>
          <w:lang w:val="en-US"/>
        </w:rPr>
        <w:t>prevent her death.</w:t>
      </w:r>
    </w:p>
    <w:p w14:paraId="51A2265B" w14:textId="77777777" w:rsidR="00C254BF" w:rsidRPr="00785D06" w:rsidRDefault="00C254BF" w:rsidP="00C254BF">
      <w:pPr>
        <w:pStyle w:val="Prrafodelista"/>
        <w:ind w:left="0"/>
        <w:contextualSpacing w:val="0"/>
        <w:jc w:val="both"/>
        <w:rPr>
          <w:sz w:val="20"/>
          <w:szCs w:val="20"/>
          <w:lang w:val="en-US"/>
        </w:rPr>
      </w:pPr>
    </w:p>
    <w:p w14:paraId="54A6535D"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Consequently, Paola´s rights to life, personal integrity, private life and to education were impaired. The State failed in its duty to respect </w:t>
      </w:r>
      <w:r w:rsidR="00E25534" w:rsidRPr="00785D06">
        <w:rPr>
          <w:sz w:val="20"/>
          <w:szCs w:val="20"/>
          <w:lang w:val="en-US"/>
        </w:rPr>
        <w:t xml:space="preserve">and guarantee </w:t>
      </w:r>
      <w:r w:rsidR="006604CC" w:rsidRPr="00785D06">
        <w:rPr>
          <w:sz w:val="20"/>
          <w:szCs w:val="20"/>
          <w:lang w:val="en-US"/>
        </w:rPr>
        <w:t>these</w:t>
      </w:r>
      <w:r w:rsidR="00E25534" w:rsidRPr="00785D06">
        <w:rPr>
          <w:sz w:val="20"/>
          <w:szCs w:val="20"/>
          <w:lang w:val="en-US"/>
        </w:rPr>
        <w:t xml:space="preserve"> rights</w:t>
      </w:r>
      <w:r w:rsidRPr="00785D06">
        <w:rPr>
          <w:sz w:val="20"/>
          <w:szCs w:val="20"/>
          <w:lang w:val="en-US"/>
        </w:rPr>
        <w:t xml:space="preserve"> </w:t>
      </w:r>
      <w:r w:rsidR="00E25534" w:rsidRPr="00785D06">
        <w:rPr>
          <w:sz w:val="20"/>
          <w:szCs w:val="20"/>
          <w:lang w:val="en-US"/>
        </w:rPr>
        <w:t xml:space="preserve">as a result of the </w:t>
      </w:r>
      <w:r w:rsidRPr="00785D06">
        <w:rPr>
          <w:sz w:val="20"/>
          <w:szCs w:val="20"/>
          <w:lang w:val="en-US"/>
        </w:rPr>
        <w:t xml:space="preserve">sexual violence </w:t>
      </w:r>
      <w:r w:rsidR="00E25534" w:rsidRPr="00785D06">
        <w:rPr>
          <w:sz w:val="20"/>
          <w:szCs w:val="20"/>
          <w:lang w:val="en-US"/>
        </w:rPr>
        <w:t xml:space="preserve">committed against her. </w:t>
      </w:r>
      <w:r w:rsidR="00A61900" w:rsidRPr="00785D06">
        <w:rPr>
          <w:sz w:val="20"/>
          <w:szCs w:val="20"/>
          <w:lang w:val="en-US"/>
        </w:rPr>
        <w:t xml:space="preserve">Likewise, </w:t>
      </w:r>
      <w:r w:rsidRPr="00785D06">
        <w:rPr>
          <w:sz w:val="20"/>
          <w:szCs w:val="20"/>
          <w:lang w:val="en-US"/>
        </w:rPr>
        <w:t xml:space="preserve">Ecuador failed in its </w:t>
      </w:r>
      <w:r w:rsidR="00132F52" w:rsidRPr="00785D06">
        <w:rPr>
          <w:sz w:val="20"/>
          <w:szCs w:val="20"/>
          <w:lang w:val="en-US"/>
        </w:rPr>
        <w:t xml:space="preserve">duty </w:t>
      </w:r>
      <w:r w:rsidRPr="00785D06">
        <w:rPr>
          <w:sz w:val="20"/>
          <w:szCs w:val="20"/>
          <w:lang w:val="en-US"/>
        </w:rPr>
        <w:t xml:space="preserve">to provide </w:t>
      </w:r>
      <w:r w:rsidR="00152BC4" w:rsidRPr="00785D06">
        <w:rPr>
          <w:sz w:val="20"/>
          <w:szCs w:val="20"/>
          <w:lang w:val="en-US"/>
        </w:rPr>
        <w:t xml:space="preserve">Paola, a young girl, with </w:t>
      </w:r>
      <w:r w:rsidRPr="00785D06">
        <w:rPr>
          <w:sz w:val="20"/>
          <w:szCs w:val="20"/>
          <w:lang w:val="en-US"/>
        </w:rPr>
        <w:t>measures of protection</w:t>
      </w:r>
      <w:r w:rsidR="00E25534" w:rsidRPr="00785D06">
        <w:rPr>
          <w:sz w:val="20"/>
          <w:szCs w:val="20"/>
          <w:lang w:val="en-US"/>
        </w:rPr>
        <w:t>,</w:t>
      </w:r>
      <w:r w:rsidRPr="00785D06">
        <w:rPr>
          <w:sz w:val="20"/>
          <w:szCs w:val="20"/>
          <w:lang w:val="en-US"/>
        </w:rPr>
        <w:t xml:space="preserve"> </w:t>
      </w:r>
      <w:r w:rsidR="00152BC4" w:rsidRPr="00785D06">
        <w:rPr>
          <w:sz w:val="20"/>
          <w:szCs w:val="20"/>
          <w:lang w:val="en-US"/>
        </w:rPr>
        <w:t xml:space="preserve">to </w:t>
      </w:r>
      <w:r w:rsidR="00E25534" w:rsidRPr="00785D06">
        <w:rPr>
          <w:sz w:val="20"/>
          <w:szCs w:val="20"/>
          <w:lang w:val="en-US"/>
        </w:rPr>
        <w:t xml:space="preserve">prevent </w:t>
      </w:r>
      <w:r w:rsidRPr="00785D06">
        <w:rPr>
          <w:sz w:val="20"/>
          <w:szCs w:val="20"/>
          <w:lang w:val="en-US"/>
        </w:rPr>
        <w:t xml:space="preserve">any violent act or practice against women and </w:t>
      </w:r>
      <w:r w:rsidR="00E25534" w:rsidRPr="00785D06">
        <w:rPr>
          <w:sz w:val="20"/>
          <w:szCs w:val="20"/>
          <w:lang w:val="en-US"/>
        </w:rPr>
        <w:t xml:space="preserve">to </w:t>
      </w:r>
      <w:r w:rsidRPr="00785D06">
        <w:rPr>
          <w:sz w:val="20"/>
          <w:szCs w:val="20"/>
          <w:lang w:val="en-US"/>
        </w:rPr>
        <w:t xml:space="preserve">ensure that </w:t>
      </w:r>
      <w:r w:rsidR="00E25534" w:rsidRPr="00785D06">
        <w:rPr>
          <w:sz w:val="20"/>
          <w:szCs w:val="20"/>
          <w:lang w:val="en-US"/>
        </w:rPr>
        <w:t xml:space="preserve">its </w:t>
      </w:r>
      <w:r w:rsidRPr="00785D06">
        <w:rPr>
          <w:sz w:val="20"/>
          <w:szCs w:val="20"/>
          <w:lang w:val="en-US"/>
        </w:rPr>
        <w:t xml:space="preserve">authorities, officials, </w:t>
      </w:r>
      <w:r w:rsidR="00E25534" w:rsidRPr="00785D06">
        <w:rPr>
          <w:sz w:val="20"/>
          <w:szCs w:val="20"/>
          <w:lang w:val="en-US"/>
        </w:rPr>
        <w:t xml:space="preserve">employees, </w:t>
      </w:r>
      <w:r w:rsidRPr="00785D06">
        <w:rPr>
          <w:sz w:val="20"/>
          <w:szCs w:val="20"/>
          <w:lang w:val="en-US"/>
        </w:rPr>
        <w:t xml:space="preserve">agents and institutions </w:t>
      </w:r>
      <w:r w:rsidR="006604CC" w:rsidRPr="00785D06">
        <w:rPr>
          <w:sz w:val="20"/>
          <w:szCs w:val="20"/>
          <w:lang w:val="en-US"/>
        </w:rPr>
        <w:t>act</w:t>
      </w:r>
      <w:r w:rsidR="00E25534" w:rsidRPr="00785D06">
        <w:rPr>
          <w:sz w:val="20"/>
          <w:szCs w:val="20"/>
          <w:lang w:val="en-US"/>
        </w:rPr>
        <w:t>ed</w:t>
      </w:r>
      <w:r w:rsidR="006604CC" w:rsidRPr="00785D06">
        <w:rPr>
          <w:sz w:val="20"/>
          <w:szCs w:val="20"/>
          <w:lang w:val="en-US"/>
        </w:rPr>
        <w:t xml:space="preserve"> </w:t>
      </w:r>
      <w:r w:rsidRPr="00785D06">
        <w:rPr>
          <w:sz w:val="20"/>
          <w:szCs w:val="20"/>
          <w:lang w:val="en-US"/>
        </w:rPr>
        <w:t xml:space="preserve">in accordance with this obligation. </w:t>
      </w:r>
      <w:r w:rsidR="00A61900" w:rsidRPr="00785D06">
        <w:rPr>
          <w:sz w:val="20"/>
          <w:szCs w:val="20"/>
          <w:lang w:val="en-US"/>
        </w:rPr>
        <w:t>The</w:t>
      </w:r>
      <w:r w:rsidR="00E25534" w:rsidRPr="00785D06">
        <w:rPr>
          <w:sz w:val="20"/>
          <w:szCs w:val="20"/>
          <w:lang w:val="en-US"/>
        </w:rPr>
        <w:t xml:space="preserve"> State also failed to </w:t>
      </w:r>
      <w:r w:rsidR="008B1030" w:rsidRPr="00785D06">
        <w:rPr>
          <w:sz w:val="20"/>
          <w:szCs w:val="20"/>
          <w:lang w:val="en-US"/>
        </w:rPr>
        <w:t>act with due diligence to p</w:t>
      </w:r>
      <w:r w:rsidRPr="00785D06">
        <w:rPr>
          <w:sz w:val="20"/>
          <w:szCs w:val="20"/>
          <w:lang w:val="en-US"/>
        </w:rPr>
        <w:t xml:space="preserve">revent </w:t>
      </w:r>
      <w:r w:rsidR="00E25534" w:rsidRPr="00785D06">
        <w:rPr>
          <w:sz w:val="20"/>
          <w:szCs w:val="20"/>
          <w:lang w:val="en-US"/>
        </w:rPr>
        <w:t xml:space="preserve">such </w:t>
      </w:r>
      <w:r w:rsidRPr="00785D06">
        <w:rPr>
          <w:sz w:val="20"/>
          <w:szCs w:val="20"/>
          <w:lang w:val="en-US"/>
        </w:rPr>
        <w:t xml:space="preserve">violence </w:t>
      </w:r>
      <w:r w:rsidR="00E25534" w:rsidRPr="00785D06">
        <w:rPr>
          <w:sz w:val="20"/>
          <w:szCs w:val="20"/>
          <w:lang w:val="en-US"/>
        </w:rPr>
        <w:t xml:space="preserve">and did not take </w:t>
      </w:r>
      <w:r w:rsidRPr="00785D06">
        <w:rPr>
          <w:sz w:val="20"/>
          <w:szCs w:val="20"/>
          <w:lang w:val="en-US"/>
        </w:rPr>
        <w:t xml:space="preserve">the </w:t>
      </w:r>
      <w:r w:rsidR="004A5A2E" w:rsidRPr="00785D06">
        <w:rPr>
          <w:sz w:val="20"/>
          <w:szCs w:val="20"/>
          <w:lang w:val="en-US"/>
        </w:rPr>
        <w:t xml:space="preserve">necessary </w:t>
      </w:r>
      <w:r w:rsidRPr="00785D06">
        <w:rPr>
          <w:sz w:val="20"/>
          <w:szCs w:val="20"/>
          <w:lang w:val="en-US"/>
        </w:rPr>
        <w:t>measures</w:t>
      </w:r>
      <w:r w:rsidR="00A61900" w:rsidRPr="00785D06">
        <w:rPr>
          <w:sz w:val="20"/>
          <w:szCs w:val="20"/>
          <w:lang w:val="en-US"/>
        </w:rPr>
        <w:t xml:space="preserve"> to do so</w:t>
      </w:r>
      <w:r w:rsidRPr="00785D06">
        <w:rPr>
          <w:sz w:val="20"/>
          <w:szCs w:val="20"/>
          <w:lang w:val="en-US"/>
        </w:rPr>
        <w:t xml:space="preserve">. The State’s failure </w:t>
      </w:r>
      <w:r w:rsidR="006604CC" w:rsidRPr="00785D06">
        <w:rPr>
          <w:sz w:val="20"/>
          <w:szCs w:val="20"/>
          <w:lang w:val="en-US"/>
        </w:rPr>
        <w:t>to fulfil</w:t>
      </w:r>
      <w:r w:rsidR="004A5A2E" w:rsidRPr="00785D06">
        <w:rPr>
          <w:sz w:val="20"/>
          <w:szCs w:val="20"/>
          <w:lang w:val="en-US"/>
        </w:rPr>
        <w:t xml:space="preserve"> its obligations to</w:t>
      </w:r>
      <w:r w:rsidRPr="00785D06">
        <w:rPr>
          <w:sz w:val="20"/>
          <w:szCs w:val="20"/>
          <w:lang w:val="en-US"/>
        </w:rPr>
        <w:t xml:space="preserve"> respect and guarantee </w:t>
      </w:r>
      <w:r w:rsidR="004A5A2E" w:rsidRPr="00785D06">
        <w:rPr>
          <w:sz w:val="20"/>
          <w:szCs w:val="20"/>
          <w:lang w:val="en-US"/>
        </w:rPr>
        <w:t xml:space="preserve">rights </w:t>
      </w:r>
      <w:r w:rsidRPr="00785D06">
        <w:rPr>
          <w:sz w:val="20"/>
          <w:szCs w:val="20"/>
          <w:lang w:val="en-US"/>
        </w:rPr>
        <w:t xml:space="preserve">implied </w:t>
      </w:r>
      <w:r w:rsidR="006604CC" w:rsidRPr="00785D06">
        <w:rPr>
          <w:sz w:val="20"/>
          <w:szCs w:val="20"/>
          <w:lang w:val="en-US"/>
        </w:rPr>
        <w:t xml:space="preserve">a failure to </w:t>
      </w:r>
      <w:r w:rsidR="00A61900" w:rsidRPr="00785D06">
        <w:rPr>
          <w:sz w:val="20"/>
          <w:szCs w:val="20"/>
          <w:lang w:val="en-US"/>
        </w:rPr>
        <w:t xml:space="preserve">fulfill </w:t>
      </w:r>
      <w:r w:rsidRPr="00785D06">
        <w:rPr>
          <w:sz w:val="20"/>
          <w:szCs w:val="20"/>
          <w:lang w:val="en-US"/>
        </w:rPr>
        <w:t xml:space="preserve">its duty </w:t>
      </w:r>
      <w:r w:rsidR="004A5A2E" w:rsidRPr="00785D06">
        <w:rPr>
          <w:sz w:val="20"/>
          <w:szCs w:val="20"/>
          <w:lang w:val="en-US"/>
        </w:rPr>
        <w:t>of non-</w:t>
      </w:r>
      <w:r w:rsidRPr="00785D06">
        <w:rPr>
          <w:sz w:val="20"/>
          <w:szCs w:val="20"/>
          <w:lang w:val="en-US"/>
        </w:rPr>
        <w:t>discrimination.</w:t>
      </w:r>
    </w:p>
    <w:p w14:paraId="0BD8FC9E" w14:textId="77777777" w:rsidR="00C254BF" w:rsidRPr="00785D06" w:rsidRDefault="00C254BF" w:rsidP="00C254BF">
      <w:pPr>
        <w:pStyle w:val="Prrafodelista"/>
        <w:rPr>
          <w:sz w:val="20"/>
          <w:szCs w:val="20"/>
          <w:lang w:val="en-US"/>
        </w:rPr>
      </w:pPr>
    </w:p>
    <w:p w14:paraId="1E5FE71B"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Therefore, Ecuador violated Articles 4(1), 5(1) and 11 of the Am</w:t>
      </w:r>
      <w:r w:rsidR="00E25534" w:rsidRPr="00785D06">
        <w:rPr>
          <w:sz w:val="20"/>
          <w:szCs w:val="20"/>
          <w:lang w:val="en-US"/>
        </w:rPr>
        <w:t>erican Convention;</w:t>
      </w:r>
      <w:r w:rsidR="00DB116A" w:rsidRPr="00785D06">
        <w:rPr>
          <w:sz w:val="20"/>
          <w:szCs w:val="20"/>
          <w:lang w:val="en-US"/>
        </w:rPr>
        <w:t xml:space="preserve"> </w:t>
      </w:r>
      <w:r w:rsidRPr="00785D06">
        <w:rPr>
          <w:sz w:val="20"/>
          <w:szCs w:val="20"/>
          <w:lang w:val="en-US"/>
        </w:rPr>
        <w:t xml:space="preserve">Article 13 </w:t>
      </w:r>
      <w:r w:rsidR="00E25534" w:rsidRPr="00785D06">
        <w:rPr>
          <w:sz w:val="20"/>
          <w:szCs w:val="20"/>
          <w:lang w:val="en-US"/>
        </w:rPr>
        <w:t xml:space="preserve">of the </w:t>
      </w:r>
      <w:r w:rsidRPr="00785D06">
        <w:rPr>
          <w:sz w:val="20"/>
          <w:szCs w:val="20"/>
          <w:lang w:val="en-US"/>
        </w:rPr>
        <w:t>Protocol of San Salv</w:t>
      </w:r>
      <w:r w:rsidR="00E25534" w:rsidRPr="00785D06">
        <w:rPr>
          <w:sz w:val="20"/>
          <w:szCs w:val="20"/>
          <w:lang w:val="en-US"/>
        </w:rPr>
        <w:t>ador, in relation to Articles 1(</w:t>
      </w:r>
      <w:r w:rsidRPr="00785D06">
        <w:rPr>
          <w:sz w:val="20"/>
          <w:szCs w:val="20"/>
          <w:lang w:val="en-US"/>
        </w:rPr>
        <w:t>1</w:t>
      </w:r>
      <w:r w:rsidR="00E25534" w:rsidRPr="00785D06">
        <w:rPr>
          <w:sz w:val="20"/>
          <w:szCs w:val="20"/>
          <w:lang w:val="en-US"/>
        </w:rPr>
        <w:t>)</w:t>
      </w:r>
      <w:r w:rsidRPr="00785D06">
        <w:rPr>
          <w:sz w:val="20"/>
          <w:szCs w:val="20"/>
          <w:lang w:val="en-US"/>
        </w:rPr>
        <w:t xml:space="preserve"> and 19 thereof</w:t>
      </w:r>
      <w:r w:rsidR="00E25534" w:rsidRPr="00785D06">
        <w:rPr>
          <w:sz w:val="20"/>
          <w:szCs w:val="20"/>
          <w:lang w:val="en-US"/>
        </w:rPr>
        <w:t>;</w:t>
      </w:r>
      <w:r w:rsidRPr="00785D06">
        <w:rPr>
          <w:sz w:val="20"/>
          <w:szCs w:val="20"/>
          <w:lang w:val="en-US"/>
        </w:rPr>
        <w:t xml:space="preserve"> and Articles 7.a, 7.b and 7.c of the </w:t>
      </w:r>
      <w:r w:rsidR="00B97F8F" w:rsidRPr="00785D06">
        <w:rPr>
          <w:sz w:val="20"/>
          <w:szCs w:val="20"/>
          <w:lang w:val="en-US"/>
        </w:rPr>
        <w:t>Belém do Pará Convention</w:t>
      </w:r>
      <w:r w:rsidR="00E25534" w:rsidRPr="00785D06">
        <w:rPr>
          <w:sz w:val="20"/>
          <w:szCs w:val="20"/>
          <w:lang w:val="en-US"/>
        </w:rPr>
        <w:t>, to the detriment of Paola del Rosario Guzmán Albarracín.</w:t>
      </w:r>
    </w:p>
    <w:p w14:paraId="6031C901" w14:textId="77777777" w:rsidR="00C254BF" w:rsidRPr="00785D06" w:rsidRDefault="00C254BF" w:rsidP="00C254BF">
      <w:pPr>
        <w:pStyle w:val="Prrafodelista"/>
        <w:rPr>
          <w:sz w:val="20"/>
          <w:szCs w:val="20"/>
          <w:lang w:val="en-US"/>
        </w:rPr>
      </w:pPr>
    </w:p>
    <w:p w14:paraId="70F90F2A"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It has not been </w:t>
      </w:r>
      <w:r w:rsidR="00A61900" w:rsidRPr="00785D06">
        <w:rPr>
          <w:sz w:val="20"/>
          <w:szCs w:val="20"/>
          <w:lang w:val="en-US"/>
        </w:rPr>
        <w:t xml:space="preserve">proven </w:t>
      </w:r>
      <w:r w:rsidRPr="00785D06">
        <w:rPr>
          <w:sz w:val="20"/>
          <w:szCs w:val="20"/>
          <w:lang w:val="en-US"/>
        </w:rPr>
        <w:t>that Paola Guzmán Alba</w:t>
      </w:r>
      <w:r w:rsidR="004A5A2E" w:rsidRPr="00785D06">
        <w:rPr>
          <w:sz w:val="20"/>
          <w:szCs w:val="20"/>
          <w:lang w:val="en-US"/>
        </w:rPr>
        <w:t>rracín was subjected to torture; therefore,</w:t>
      </w:r>
      <w:r w:rsidRPr="00785D06">
        <w:rPr>
          <w:sz w:val="20"/>
          <w:szCs w:val="20"/>
          <w:lang w:val="en-US"/>
        </w:rPr>
        <w:t xml:space="preserve"> the State is not responsible for the violations alleged by the representatives</w:t>
      </w:r>
      <w:r w:rsidR="00A61900" w:rsidRPr="00785D06">
        <w:rPr>
          <w:sz w:val="20"/>
          <w:szCs w:val="20"/>
          <w:lang w:val="en-US"/>
        </w:rPr>
        <w:t xml:space="preserve"> </w:t>
      </w:r>
      <w:r w:rsidR="00B45FC1" w:rsidRPr="00785D06">
        <w:rPr>
          <w:sz w:val="20"/>
          <w:szCs w:val="20"/>
          <w:lang w:val="en-US"/>
        </w:rPr>
        <w:t>of</w:t>
      </w:r>
      <w:r w:rsidR="004922C6" w:rsidRPr="00785D06">
        <w:rPr>
          <w:sz w:val="20"/>
          <w:szCs w:val="20"/>
          <w:lang w:val="en-US"/>
        </w:rPr>
        <w:t xml:space="preserve"> Article</w:t>
      </w:r>
      <w:r w:rsidRPr="00785D06">
        <w:rPr>
          <w:sz w:val="20"/>
          <w:szCs w:val="20"/>
          <w:lang w:val="en-US"/>
        </w:rPr>
        <w:t xml:space="preserve"> 5(2) of the American Convention on Human Rights and </w:t>
      </w:r>
      <w:r w:rsidR="004922C6" w:rsidRPr="00785D06">
        <w:rPr>
          <w:sz w:val="20"/>
          <w:szCs w:val="20"/>
          <w:lang w:val="en-US"/>
        </w:rPr>
        <w:t xml:space="preserve">Article </w:t>
      </w:r>
      <w:r w:rsidRPr="00785D06">
        <w:rPr>
          <w:sz w:val="20"/>
          <w:szCs w:val="20"/>
          <w:lang w:val="en-US"/>
        </w:rPr>
        <w:t xml:space="preserve">1 of the Inter-American Convention </w:t>
      </w:r>
      <w:r w:rsidR="00B45FC1" w:rsidRPr="00785D06">
        <w:rPr>
          <w:sz w:val="20"/>
          <w:szCs w:val="20"/>
          <w:lang w:val="en-US"/>
        </w:rPr>
        <w:t xml:space="preserve">to </w:t>
      </w:r>
      <w:r w:rsidRPr="00785D06">
        <w:rPr>
          <w:sz w:val="20"/>
          <w:szCs w:val="20"/>
          <w:lang w:val="en-US"/>
        </w:rPr>
        <w:t xml:space="preserve">Prevent and Punish Torture. </w:t>
      </w:r>
      <w:r w:rsidR="004A5A2E" w:rsidRPr="00785D06">
        <w:rPr>
          <w:sz w:val="20"/>
          <w:szCs w:val="20"/>
          <w:lang w:val="en-US"/>
        </w:rPr>
        <w:t>As to Paola’s rights</w:t>
      </w:r>
      <w:r w:rsidRPr="00785D06">
        <w:rPr>
          <w:sz w:val="20"/>
          <w:szCs w:val="20"/>
          <w:lang w:val="en-US"/>
        </w:rPr>
        <w:t xml:space="preserve"> to health and personal liberty, the representatives alleged </w:t>
      </w:r>
      <w:r w:rsidR="004A5A2E" w:rsidRPr="00785D06">
        <w:rPr>
          <w:sz w:val="20"/>
          <w:szCs w:val="20"/>
          <w:lang w:val="en-US"/>
        </w:rPr>
        <w:t xml:space="preserve">that these were </w:t>
      </w:r>
      <w:r w:rsidR="004922C6" w:rsidRPr="00785D06">
        <w:rPr>
          <w:sz w:val="20"/>
          <w:szCs w:val="20"/>
          <w:lang w:val="en-US"/>
        </w:rPr>
        <w:t xml:space="preserve">impaired </w:t>
      </w:r>
      <w:r w:rsidRPr="00785D06">
        <w:rPr>
          <w:sz w:val="20"/>
          <w:szCs w:val="20"/>
          <w:lang w:val="en-US"/>
        </w:rPr>
        <w:t xml:space="preserve">in relation to </w:t>
      </w:r>
      <w:r w:rsidR="004A5A2E" w:rsidRPr="00785D06">
        <w:rPr>
          <w:sz w:val="20"/>
          <w:szCs w:val="20"/>
          <w:lang w:val="en-US"/>
        </w:rPr>
        <w:t xml:space="preserve">her supposed </w:t>
      </w:r>
      <w:r w:rsidRPr="00785D06">
        <w:rPr>
          <w:sz w:val="20"/>
          <w:szCs w:val="20"/>
          <w:lang w:val="en-US"/>
        </w:rPr>
        <w:t>pregnancy, which has not been proven. Other arguments regarding those rights are included in the exam</w:t>
      </w:r>
      <w:r w:rsidR="006604CC" w:rsidRPr="00785D06">
        <w:rPr>
          <w:sz w:val="20"/>
          <w:szCs w:val="20"/>
          <w:lang w:val="en-US"/>
        </w:rPr>
        <w:t xml:space="preserve">ination </w:t>
      </w:r>
      <w:r w:rsidRPr="00785D06">
        <w:rPr>
          <w:sz w:val="20"/>
          <w:szCs w:val="20"/>
          <w:lang w:val="en-US"/>
        </w:rPr>
        <w:t>of the human rights violations declared. Consequently,</w:t>
      </w:r>
      <w:r w:rsidR="004922C6" w:rsidRPr="00785D06">
        <w:rPr>
          <w:sz w:val="20"/>
          <w:szCs w:val="20"/>
          <w:lang w:val="en-US"/>
        </w:rPr>
        <w:t xml:space="preserve"> the Court will not </w:t>
      </w:r>
      <w:r w:rsidRPr="00785D06">
        <w:rPr>
          <w:sz w:val="20"/>
          <w:szCs w:val="20"/>
          <w:lang w:val="en-US"/>
        </w:rPr>
        <w:t xml:space="preserve">examine the arguments </w:t>
      </w:r>
      <w:r w:rsidR="00432EC7" w:rsidRPr="00785D06">
        <w:rPr>
          <w:sz w:val="20"/>
          <w:szCs w:val="20"/>
          <w:lang w:val="en-US"/>
        </w:rPr>
        <w:t xml:space="preserve">concerning </w:t>
      </w:r>
      <w:r w:rsidRPr="00785D06">
        <w:rPr>
          <w:sz w:val="20"/>
          <w:szCs w:val="20"/>
          <w:lang w:val="en-US"/>
        </w:rPr>
        <w:t xml:space="preserve">possible violations of the rights to health and personal liberty. Furthermore, the arguments </w:t>
      </w:r>
      <w:r w:rsidR="00432EC7" w:rsidRPr="00785D06">
        <w:rPr>
          <w:sz w:val="20"/>
          <w:szCs w:val="20"/>
          <w:lang w:val="en-US"/>
        </w:rPr>
        <w:t xml:space="preserve">related to the violation of the right to </w:t>
      </w:r>
      <w:r w:rsidRPr="00785D06">
        <w:rPr>
          <w:sz w:val="20"/>
          <w:szCs w:val="20"/>
          <w:lang w:val="en-US"/>
        </w:rPr>
        <w:t xml:space="preserve">equality before the law are included </w:t>
      </w:r>
      <w:r w:rsidR="006604CC" w:rsidRPr="00785D06">
        <w:rPr>
          <w:sz w:val="20"/>
          <w:szCs w:val="20"/>
          <w:lang w:val="en-US"/>
        </w:rPr>
        <w:t xml:space="preserve">in </w:t>
      </w:r>
      <w:r w:rsidR="00A71B72" w:rsidRPr="00785D06">
        <w:rPr>
          <w:sz w:val="20"/>
          <w:szCs w:val="20"/>
          <w:lang w:val="en-US"/>
        </w:rPr>
        <w:t xml:space="preserve">the </w:t>
      </w:r>
      <w:r w:rsidR="006604CC" w:rsidRPr="00785D06">
        <w:rPr>
          <w:sz w:val="20"/>
          <w:szCs w:val="20"/>
          <w:lang w:val="en-US"/>
        </w:rPr>
        <w:t xml:space="preserve">discrimination </w:t>
      </w:r>
      <w:r w:rsidR="00E86F5B" w:rsidRPr="00785D06">
        <w:rPr>
          <w:sz w:val="20"/>
          <w:szCs w:val="20"/>
          <w:lang w:val="en-US"/>
        </w:rPr>
        <w:t xml:space="preserve">that has been </w:t>
      </w:r>
      <w:r w:rsidR="00A71B72" w:rsidRPr="00785D06">
        <w:rPr>
          <w:sz w:val="20"/>
          <w:szCs w:val="20"/>
          <w:lang w:val="en-US"/>
        </w:rPr>
        <w:t xml:space="preserve">determined, </w:t>
      </w:r>
      <w:r w:rsidR="006604CC" w:rsidRPr="00785D06">
        <w:rPr>
          <w:sz w:val="20"/>
          <w:szCs w:val="20"/>
          <w:lang w:val="en-US"/>
        </w:rPr>
        <w:t xml:space="preserve">based on </w:t>
      </w:r>
      <w:r w:rsidRPr="00785D06">
        <w:rPr>
          <w:sz w:val="20"/>
          <w:szCs w:val="20"/>
          <w:lang w:val="en-US"/>
        </w:rPr>
        <w:t xml:space="preserve">Article 1(1) of the American Convention. </w:t>
      </w:r>
    </w:p>
    <w:p w14:paraId="1DC7BC5D" w14:textId="77777777" w:rsidR="00C254BF" w:rsidRPr="00785D06" w:rsidRDefault="00C254BF" w:rsidP="00C254BF">
      <w:pPr>
        <w:pStyle w:val="Prrafodelista"/>
        <w:rPr>
          <w:sz w:val="20"/>
          <w:szCs w:val="20"/>
          <w:lang w:val="en-US"/>
        </w:rPr>
      </w:pPr>
    </w:p>
    <w:p w14:paraId="12920A3D" w14:textId="77777777" w:rsidR="00C254BF" w:rsidRPr="00785D06" w:rsidRDefault="000F1153"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Finally, </w:t>
      </w:r>
      <w:r w:rsidR="00C254BF" w:rsidRPr="00785D06">
        <w:rPr>
          <w:sz w:val="20"/>
          <w:szCs w:val="20"/>
          <w:lang w:val="en-US"/>
        </w:rPr>
        <w:t xml:space="preserve">the Court notes that the representatives have alleged the violation </w:t>
      </w:r>
      <w:r w:rsidR="00B45FC1" w:rsidRPr="00785D06">
        <w:rPr>
          <w:sz w:val="20"/>
          <w:szCs w:val="20"/>
          <w:lang w:val="en-US"/>
        </w:rPr>
        <w:t xml:space="preserve">of the </w:t>
      </w:r>
      <w:r w:rsidR="00C254BF" w:rsidRPr="00785D06">
        <w:rPr>
          <w:sz w:val="20"/>
          <w:szCs w:val="20"/>
          <w:lang w:val="en-US"/>
        </w:rPr>
        <w:t xml:space="preserve">right to freedom of expression, </w:t>
      </w:r>
      <w:r w:rsidR="00E86F5B" w:rsidRPr="00785D06">
        <w:rPr>
          <w:sz w:val="20"/>
          <w:szCs w:val="20"/>
          <w:lang w:val="en-US"/>
        </w:rPr>
        <w:t xml:space="preserve">established </w:t>
      </w:r>
      <w:r w:rsidR="00C254BF" w:rsidRPr="00785D06">
        <w:rPr>
          <w:sz w:val="20"/>
          <w:szCs w:val="20"/>
          <w:lang w:val="en-US"/>
        </w:rPr>
        <w:t xml:space="preserve">in Article 13 of the Convention, arguing, essentially, that Paola </w:t>
      </w:r>
      <w:r w:rsidR="00255525" w:rsidRPr="00785D06">
        <w:rPr>
          <w:sz w:val="20"/>
          <w:szCs w:val="20"/>
          <w:lang w:val="en-US"/>
        </w:rPr>
        <w:t xml:space="preserve">Guzmán </w:t>
      </w:r>
      <w:r w:rsidR="00C254BF" w:rsidRPr="00785D06">
        <w:rPr>
          <w:sz w:val="20"/>
          <w:szCs w:val="20"/>
          <w:lang w:val="en-US"/>
        </w:rPr>
        <w:t xml:space="preserve">lacked access to information on her sexual and reproductive rights. The representatives themselves </w:t>
      </w:r>
      <w:r w:rsidRPr="00785D06">
        <w:rPr>
          <w:sz w:val="20"/>
          <w:szCs w:val="20"/>
          <w:lang w:val="en-US"/>
        </w:rPr>
        <w:t xml:space="preserve">made this point, </w:t>
      </w:r>
      <w:r w:rsidR="00C254BF" w:rsidRPr="00785D06">
        <w:rPr>
          <w:sz w:val="20"/>
          <w:szCs w:val="20"/>
          <w:lang w:val="en-US"/>
        </w:rPr>
        <w:t xml:space="preserve">linking it to </w:t>
      </w:r>
      <w:r w:rsidR="00255525" w:rsidRPr="00785D06">
        <w:rPr>
          <w:sz w:val="20"/>
          <w:szCs w:val="20"/>
          <w:lang w:val="en-US"/>
        </w:rPr>
        <w:t xml:space="preserve">her right to </w:t>
      </w:r>
      <w:r w:rsidR="00C254BF" w:rsidRPr="00785D06">
        <w:rPr>
          <w:sz w:val="20"/>
          <w:szCs w:val="20"/>
          <w:lang w:val="en-US"/>
        </w:rPr>
        <w:t>education</w:t>
      </w:r>
      <w:r w:rsidR="006604CC" w:rsidRPr="00785D06">
        <w:rPr>
          <w:sz w:val="20"/>
          <w:szCs w:val="20"/>
          <w:lang w:val="en-US"/>
        </w:rPr>
        <w:t>, not to an autonomous</w:t>
      </w:r>
      <w:r w:rsidR="00C254BF" w:rsidRPr="00785D06">
        <w:rPr>
          <w:sz w:val="20"/>
          <w:szCs w:val="20"/>
          <w:lang w:val="en-US"/>
        </w:rPr>
        <w:t xml:space="preserve"> or independent </w:t>
      </w:r>
      <w:r w:rsidR="00255525" w:rsidRPr="00785D06">
        <w:rPr>
          <w:sz w:val="20"/>
          <w:szCs w:val="20"/>
          <w:lang w:val="en-US"/>
        </w:rPr>
        <w:t>request for</w:t>
      </w:r>
      <w:r w:rsidR="00C254BF" w:rsidRPr="00785D06">
        <w:rPr>
          <w:sz w:val="20"/>
          <w:szCs w:val="20"/>
          <w:lang w:val="en-US"/>
        </w:rPr>
        <w:t xml:space="preserve"> information. Th</w:t>
      </w:r>
      <w:r w:rsidR="00307543" w:rsidRPr="00785D06">
        <w:rPr>
          <w:sz w:val="20"/>
          <w:szCs w:val="20"/>
          <w:lang w:val="en-US"/>
        </w:rPr>
        <w:t>us, in the</w:t>
      </w:r>
      <w:r w:rsidR="00C254BF" w:rsidRPr="00785D06">
        <w:rPr>
          <w:sz w:val="20"/>
          <w:szCs w:val="20"/>
          <w:lang w:val="en-US"/>
        </w:rPr>
        <w:t xml:space="preserve"> circumstances</w:t>
      </w:r>
      <w:r w:rsidR="00307543" w:rsidRPr="00785D06">
        <w:rPr>
          <w:sz w:val="20"/>
          <w:szCs w:val="20"/>
          <w:lang w:val="en-US"/>
        </w:rPr>
        <w:t xml:space="preserve"> of this case</w:t>
      </w:r>
      <w:r w:rsidR="00C254BF" w:rsidRPr="00785D06">
        <w:rPr>
          <w:sz w:val="20"/>
          <w:szCs w:val="20"/>
          <w:lang w:val="en-US"/>
        </w:rPr>
        <w:t xml:space="preserve">, the Court considers that this </w:t>
      </w:r>
      <w:r w:rsidR="00307543" w:rsidRPr="00785D06">
        <w:rPr>
          <w:sz w:val="20"/>
          <w:szCs w:val="20"/>
          <w:lang w:val="en-US"/>
        </w:rPr>
        <w:t xml:space="preserve">matter </w:t>
      </w:r>
      <w:r w:rsidR="00C254BF" w:rsidRPr="00785D06">
        <w:rPr>
          <w:sz w:val="20"/>
          <w:szCs w:val="20"/>
          <w:lang w:val="en-US"/>
        </w:rPr>
        <w:t xml:space="preserve">is included in the arguments on the right to education, and does not need to be addressed separately. </w:t>
      </w:r>
      <w:r w:rsidR="00307543" w:rsidRPr="00785D06">
        <w:rPr>
          <w:sz w:val="20"/>
          <w:szCs w:val="20"/>
          <w:lang w:val="en-US"/>
        </w:rPr>
        <w:t>T</w:t>
      </w:r>
      <w:r w:rsidR="00C254BF" w:rsidRPr="00785D06">
        <w:rPr>
          <w:sz w:val="20"/>
          <w:szCs w:val="20"/>
          <w:lang w:val="en-US"/>
        </w:rPr>
        <w:t>he represen</w:t>
      </w:r>
      <w:r w:rsidR="006604CC" w:rsidRPr="00785D06">
        <w:rPr>
          <w:sz w:val="20"/>
          <w:szCs w:val="20"/>
          <w:lang w:val="en-US"/>
        </w:rPr>
        <w:t>tatives also alleged the violation of</w:t>
      </w:r>
      <w:r w:rsidR="00C254BF" w:rsidRPr="00785D06">
        <w:rPr>
          <w:sz w:val="20"/>
          <w:szCs w:val="20"/>
          <w:lang w:val="en-US"/>
        </w:rPr>
        <w:t xml:space="preserve"> Article 13 </w:t>
      </w:r>
      <w:r w:rsidR="00307543" w:rsidRPr="00785D06">
        <w:rPr>
          <w:sz w:val="20"/>
          <w:szCs w:val="20"/>
          <w:lang w:val="en-US"/>
        </w:rPr>
        <w:t xml:space="preserve">related to the </w:t>
      </w:r>
      <w:r w:rsidR="00C254BF" w:rsidRPr="00785D06">
        <w:rPr>
          <w:sz w:val="20"/>
          <w:szCs w:val="20"/>
          <w:lang w:val="en-US"/>
        </w:rPr>
        <w:t>action</w:t>
      </w:r>
      <w:r w:rsidR="00307543" w:rsidRPr="00785D06">
        <w:rPr>
          <w:sz w:val="20"/>
          <w:szCs w:val="20"/>
          <w:lang w:val="en-US"/>
        </w:rPr>
        <w:t xml:space="preserve">s of some </w:t>
      </w:r>
      <w:r w:rsidR="00C254BF" w:rsidRPr="00785D06">
        <w:rPr>
          <w:sz w:val="20"/>
          <w:szCs w:val="20"/>
          <w:lang w:val="en-US"/>
        </w:rPr>
        <w:t xml:space="preserve">journalists. This argument was presented in the final written arguments, </w:t>
      </w:r>
      <w:r w:rsidR="00307543" w:rsidRPr="00785D06">
        <w:rPr>
          <w:sz w:val="20"/>
          <w:szCs w:val="20"/>
          <w:lang w:val="en-US"/>
        </w:rPr>
        <w:t xml:space="preserve">and is therefore </w:t>
      </w:r>
      <w:r w:rsidR="00C254BF" w:rsidRPr="00785D06">
        <w:rPr>
          <w:sz w:val="20"/>
          <w:szCs w:val="20"/>
          <w:lang w:val="en-US"/>
        </w:rPr>
        <w:t>time-barred and cannot be examined. Ecuador, therefore, is not responsible for the violation of Article 13 of the American Convention on Human Rights</w:t>
      </w:r>
    </w:p>
    <w:p w14:paraId="079F8075" w14:textId="77777777" w:rsidR="00C254BF" w:rsidRPr="00785D06" w:rsidRDefault="00C254BF" w:rsidP="00C254BF">
      <w:pPr>
        <w:jc w:val="center"/>
        <w:rPr>
          <w:lang w:val="en-US"/>
        </w:rPr>
      </w:pPr>
    </w:p>
    <w:p w14:paraId="0D0FC81F" w14:textId="77777777" w:rsidR="00C254BF" w:rsidRPr="00785D06" w:rsidRDefault="00C254BF" w:rsidP="00C254BF">
      <w:pPr>
        <w:pStyle w:val="Ttulo1"/>
        <w:spacing w:before="0"/>
        <w:jc w:val="center"/>
        <w:rPr>
          <w:rFonts w:ascii="Verdana" w:eastAsia="Times New Roman" w:hAnsi="Verdana"/>
          <w:b/>
          <w:color w:val="000000"/>
          <w:sz w:val="20"/>
          <w:szCs w:val="20"/>
          <w:lang w:val="en-US"/>
        </w:rPr>
      </w:pPr>
      <w:bookmarkStart w:id="124" w:name="_Toc40466554"/>
      <w:bookmarkStart w:id="125" w:name="_Toc42498057"/>
      <w:bookmarkStart w:id="126" w:name="_Toc46937305"/>
      <w:r w:rsidRPr="00785D06">
        <w:rPr>
          <w:rFonts w:ascii="Verdana" w:eastAsia="Times New Roman" w:hAnsi="Verdana"/>
          <w:b/>
          <w:color w:val="000000"/>
          <w:sz w:val="20"/>
          <w:szCs w:val="20"/>
          <w:lang w:val="en-US"/>
        </w:rPr>
        <w:t>VII.2</w:t>
      </w:r>
      <w:bookmarkEnd w:id="124"/>
      <w:bookmarkEnd w:id="125"/>
      <w:bookmarkEnd w:id="126"/>
    </w:p>
    <w:p w14:paraId="317D08E8" w14:textId="77777777" w:rsidR="00C254BF" w:rsidRPr="00785D06" w:rsidRDefault="00C254BF" w:rsidP="00C254BF">
      <w:pPr>
        <w:pStyle w:val="Ttulo1"/>
        <w:spacing w:before="0"/>
        <w:jc w:val="center"/>
        <w:rPr>
          <w:rFonts w:ascii="Verdana" w:eastAsia="Times New Roman" w:hAnsi="Verdana"/>
          <w:b/>
          <w:color w:val="000000"/>
          <w:sz w:val="20"/>
          <w:szCs w:val="20"/>
          <w:lang w:val="en-US"/>
        </w:rPr>
      </w:pPr>
      <w:bookmarkStart w:id="127" w:name="_Toc40466555"/>
      <w:bookmarkStart w:id="128" w:name="_Toc42498058"/>
      <w:bookmarkStart w:id="129" w:name="_Toc46937306"/>
      <w:r w:rsidRPr="00785D06">
        <w:rPr>
          <w:rFonts w:ascii="Verdana" w:eastAsia="Times New Roman" w:hAnsi="Verdana"/>
          <w:b/>
          <w:color w:val="000000"/>
          <w:sz w:val="20"/>
          <w:szCs w:val="20"/>
          <w:lang w:val="en-US"/>
        </w:rPr>
        <w:t>RIGHTS TO JUDICIAL GUARANTEES AND JUDICIAL PROTECTION</w:t>
      </w:r>
      <w:r w:rsidRPr="00785D06">
        <w:rPr>
          <w:rStyle w:val="Refdenotaalpie"/>
          <w:rFonts w:ascii="Verdana" w:eastAsia="Times New Roman" w:hAnsi="Verdana"/>
          <w:color w:val="000000"/>
          <w:sz w:val="20"/>
          <w:szCs w:val="20"/>
          <w:lang w:val="en-US"/>
        </w:rPr>
        <w:footnoteReference w:id="170"/>
      </w:r>
      <w:bookmarkEnd w:id="127"/>
      <w:bookmarkEnd w:id="128"/>
      <w:bookmarkEnd w:id="129"/>
    </w:p>
    <w:p w14:paraId="24CB763D" w14:textId="77777777" w:rsidR="00C254BF" w:rsidRPr="00785D06" w:rsidRDefault="00C254BF" w:rsidP="00C254BF">
      <w:pPr>
        <w:pStyle w:val="Prrafodelista"/>
        <w:rPr>
          <w:sz w:val="20"/>
          <w:szCs w:val="20"/>
          <w:lang w:val="en-US"/>
        </w:rPr>
      </w:pPr>
    </w:p>
    <w:p w14:paraId="2C83C05A"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Times New Roman"/>
          <w:color w:val="000000"/>
          <w:sz w:val="20"/>
          <w:szCs w:val="20"/>
          <w:lang w:val="en-US"/>
        </w:rPr>
        <w:t xml:space="preserve">In this chapter, the Court will refer to the alleged violations of the rights to judicial guarantees and judicial protection to the detriment of the relatives of Paola del Rosario Guzmán Albarracín. In Chapter IV, the Court indicated the scope of the State’s acknowledgement of responsibility regarding the lack of due diligence of </w:t>
      </w:r>
      <w:r w:rsidR="00307543" w:rsidRPr="00785D06">
        <w:rPr>
          <w:rFonts w:eastAsia="Times New Roman"/>
          <w:color w:val="000000"/>
          <w:sz w:val="20"/>
          <w:szCs w:val="20"/>
          <w:lang w:val="en-US"/>
        </w:rPr>
        <w:t xml:space="preserve">its </w:t>
      </w:r>
      <w:r w:rsidRPr="00785D06">
        <w:rPr>
          <w:rFonts w:eastAsia="Times New Roman"/>
          <w:color w:val="000000"/>
          <w:sz w:val="20"/>
          <w:szCs w:val="20"/>
          <w:lang w:val="en-US"/>
        </w:rPr>
        <w:t xml:space="preserve">judicial and administrative authorities. The Court </w:t>
      </w:r>
      <w:r w:rsidR="00C015D4" w:rsidRPr="00785D06">
        <w:rPr>
          <w:rFonts w:eastAsia="Times New Roman"/>
          <w:color w:val="000000"/>
          <w:sz w:val="20"/>
          <w:szCs w:val="20"/>
          <w:lang w:val="en-US"/>
        </w:rPr>
        <w:t xml:space="preserve">understands that this </w:t>
      </w:r>
      <w:r w:rsidR="00307543" w:rsidRPr="00785D06">
        <w:rPr>
          <w:rFonts w:eastAsia="Times New Roman"/>
          <w:color w:val="000000"/>
          <w:sz w:val="20"/>
          <w:szCs w:val="20"/>
          <w:lang w:val="en-US"/>
        </w:rPr>
        <w:t xml:space="preserve">acquiescence </w:t>
      </w:r>
      <w:r w:rsidRPr="00785D06">
        <w:rPr>
          <w:rFonts w:eastAsia="Times New Roman"/>
          <w:color w:val="000000"/>
          <w:sz w:val="20"/>
          <w:szCs w:val="20"/>
          <w:lang w:val="en-US"/>
        </w:rPr>
        <w:t>i</w:t>
      </w:r>
      <w:r w:rsidR="00307543" w:rsidRPr="00785D06">
        <w:rPr>
          <w:rFonts w:eastAsia="Times New Roman"/>
          <w:color w:val="000000"/>
          <w:sz w:val="20"/>
          <w:szCs w:val="20"/>
          <w:lang w:val="en-US"/>
        </w:rPr>
        <w:t xml:space="preserve">ncludes an acknowledgement </w:t>
      </w:r>
      <w:r w:rsidRPr="00785D06">
        <w:rPr>
          <w:rFonts w:eastAsia="Times New Roman"/>
          <w:color w:val="000000"/>
          <w:sz w:val="20"/>
          <w:szCs w:val="20"/>
          <w:lang w:val="en-US"/>
        </w:rPr>
        <w:t xml:space="preserve">of the violation of </w:t>
      </w:r>
      <w:r w:rsidR="00C015D4" w:rsidRPr="00785D06">
        <w:rPr>
          <w:rFonts w:eastAsia="Times New Roman"/>
          <w:color w:val="000000"/>
          <w:sz w:val="20"/>
          <w:szCs w:val="20"/>
          <w:lang w:val="en-US"/>
        </w:rPr>
        <w:t xml:space="preserve">the rights to </w:t>
      </w:r>
      <w:r w:rsidRPr="00785D06">
        <w:rPr>
          <w:rFonts w:eastAsia="Times New Roman"/>
          <w:color w:val="000000"/>
          <w:sz w:val="20"/>
          <w:szCs w:val="20"/>
          <w:lang w:val="en-US"/>
        </w:rPr>
        <w:t xml:space="preserve">judicial guarantees and judicial </w:t>
      </w:r>
      <w:r w:rsidR="00E86F5B" w:rsidRPr="00785D06">
        <w:rPr>
          <w:rFonts w:eastAsia="Times New Roman"/>
          <w:color w:val="000000"/>
          <w:sz w:val="20"/>
          <w:szCs w:val="20"/>
          <w:lang w:val="en-US"/>
        </w:rPr>
        <w:t xml:space="preserve">protection though </w:t>
      </w:r>
      <w:r w:rsidRPr="00785D06">
        <w:rPr>
          <w:rFonts w:eastAsia="Times New Roman"/>
          <w:color w:val="000000"/>
          <w:sz w:val="20"/>
          <w:szCs w:val="20"/>
          <w:lang w:val="en-US"/>
        </w:rPr>
        <w:t>lack of diligent action</w:t>
      </w:r>
      <w:r w:rsidR="00C015D4" w:rsidRPr="00785D06">
        <w:rPr>
          <w:rFonts w:eastAsia="Times New Roman"/>
          <w:color w:val="000000"/>
          <w:sz w:val="20"/>
          <w:szCs w:val="20"/>
          <w:lang w:val="en-US"/>
        </w:rPr>
        <w:t>. The Court will analyze other arguments related to tho</w:t>
      </w:r>
      <w:r w:rsidRPr="00785D06">
        <w:rPr>
          <w:rFonts w:eastAsia="Times New Roman"/>
          <w:color w:val="000000"/>
          <w:sz w:val="20"/>
          <w:szCs w:val="20"/>
          <w:lang w:val="en-US"/>
        </w:rPr>
        <w:t xml:space="preserve">se rights. </w:t>
      </w:r>
    </w:p>
    <w:p w14:paraId="55770D64" w14:textId="77777777" w:rsidR="00C254BF" w:rsidRPr="00785D06" w:rsidRDefault="00C254BF" w:rsidP="00C254BF">
      <w:pPr>
        <w:jc w:val="both"/>
        <w:outlineLvl w:val="1"/>
        <w:rPr>
          <w:rFonts w:eastAsia="Times New Roman"/>
          <w:b/>
          <w:i/>
          <w:color w:val="000000"/>
          <w:sz w:val="20"/>
          <w:szCs w:val="20"/>
          <w:lang w:val="en-US"/>
        </w:rPr>
      </w:pPr>
    </w:p>
    <w:p w14:paraId="5349A738" w14:textId="77777777" w:rsidR="00C254BF" w:rsidRPr="00785D06" w:rsidRDefault="00C254BF" w:rsidP="00C254BF">
      <w:pPr>
        <w:pStyle w:val="Prrafodelista"/>
        <w:ind w:left="284"/>
        <w:jc w:val="both"/>
        <w:outlineLvl w:val="1"/>
        <w:rPr>
          <w:rFonts w:eastAsia="Times New Roman"/>
          <w:b/>
          <w:i/>
          <w:color w:val="000000"/>
          <w:sz w:val="20"/>
          <w:szCs w:val="20"/>
          <w:lang w:val="en-US"/>
        </w:rPr>
      </w:pPr>
      <w:bookmarkStart w:id="130" w:name="_Toc42498059"/>
      <w:bookmarkStart w:id="131" w:name="_Toc46937307"/>
      <w:r w:rsidRPr="00785D06">
        <w:rPr>
          <w:rFonts w:eastAsia="Times New Roman"/>
          <w:b/>
          <w:i/>
          <w:color w:val="000000"/>
          <w:sz w:val="20"/>
          <w:szCs w:val="20"/>
          <w:lang w:val="en-US"/>
        </w:rPr>
        <w:t>A. Arguments of the Commission and the parties</w:t>
      </w:r>
      <w:bookmarkEnd w:id="130"/>
      <w:bookmarkEnd w:id="131"/>
    </w:p>
    <w:p w14:paraId="4BA0ECC7" w14:textId="77777777" w:rsidR="00C254BF" w:rsidRPr="00785D06" w:rsidRDefault="00C254BF" w:rsidP="00C254BF">
      <w:pPr>
        <w:pStyle w:val="Prrafodelista"/>
        <w:ind w:left="0"/>
        <w:contextualSpacing w:val="0"/>
        <w:jc w:val="both"/>
        <w:rPr>
          <w:sz w:val="20"/>
          <w:szCs w:val="20"/>
          <w:lang w:val="en-US"/>
        </w:rPr>
      </w:pPr>
    </w:p>
    <w:p w14:paraId="77A87B89" w14:textId="77777777" w:rsidR="00C254BF" w:rsidRPr="00785D06" w:rsidRDefault="00C254BF" w:rsidP="00C254BF">
      <w:pPr>
        <w:pStyle w:val="Prrafodelista"/>
        <w:numPr>
          <w:ilvl w:val="0"/>
          <w:numId w:val="35"/>
        </w:numPr>
        <w:ind w:left="0" w:firstLine="0"/>
        <w:contextualSpacing w:val="0"/>
        <w:jc w:val="both"/>
        <w:rPr>
          <w:b/>
          <w:lang w:val="en-US"/>
        </w:rPr>
      </w:pPr>
      <w:r w:rsidRPr="00785D06">
        <w:rPr>
          <w:sz w:val="20"/>
          <w:szCs w:val="20"/>
          <w:lang w:val="en-US"/>
        </w:rPr>
        <w:t xml:space="preserve">With regard to the judicial and administrative actions, the </w:t>
      </w:r>
      <w:r w:rsidRPr="00785D06">
        <w:rPr>
          <w:b/>
          <w:i/>
          <w:sz w:val="20"/>
          <w:szCs w:val="20"/>
          <w:lang w:val="en-US"/>
        </w:rPr>
        <w:t>Commission</w:t>
      </w:r>
      <w:r w:rsidRPr="00785D06">
        <w:rPr>
          <w:i/>
          <w:sz w:val="20"/>
          <w:szCs w:val="20"/>
          <w:lang w:val="en-US"/>
        </w:rPr>
        <w:t xml:space="preserve"> </w:t>
      </w:r>
      <w:r w:rsidRPr="00785D06">
        <w:rPr>
          <w:sz w:val="20"/>
          <w:szCs w:val="20"/>
          <w:lang w:val="en-US"/>
        </w:rPr>
        <w:t>argued that the State violated, to the detriment of Paola Guzmán</w:t>
      </w:r>
      <w:r w:rsidR="00C015D4" w:rsidRPr="00785D06">
        <w:rPr>
          <w:sz w:val="20"/>
          <w:szCs w:val="20"/>
          <w:lang w:val="en-US"/>
        </w:rPr>
        <w:t>’s relatives</w:t>
      </w:r>
      <w:r w:rsidRPr="00785D06">
        <w:rPr>
          <w:sz w:val="20"/>
          <w:szCs w:val="20"/>
          <w:lang w:val="en-US"/>
        </w:rPr>
        <w:t xml:space="preserve">, the rights to   judicial guarantees and judicial protection, as well as the right to equality, in relation to the duty to investigate acts of violence against </w:t>
      </w:r>
      <w:r w:rsidR="00C015D4" w:rsidRPr="00785D06">
        <w:rPr>
          <w:sz w:val="20"/>
          <w:szCs w:val="20"/>
          <w:lang w:val="en-US"/>
        </w:rPr>
        <w:t>a woma</w:t>
      </w:r>
      <w:r w:rsidRPr="00785D06">
        <w:rPr>
          <w:sz w:val="20"/>
          <w:szCs w:val="20"/>
          <w:lang w:val="en-US"/>
        </w:rPr>
        <w:t>n, in breach of Articles 8(1) and 25(1) of the Convent</w:t>
      </w:r>
      <w:r w:rsidR="000F1925" w:rsidRPr="00785D06">
        <w:rPr>
          <w:sz w:val="20"/>
          <w:szCs w:val="20"/>
          <w:lang w:val="en-US"/>
        </w:rPr>
        <w:t xml:space="preserve">ion and Article 24, as well as </w:t>
      </w:r>
      <w:r w:rsidRPr="00785D06">
        <w:rPr>
          <w:sz w:val="20"/>
          <w:szCs w:val="20"/>
          <w:lang w:val="en-US"/>
        </w:rPr>
        <w:t xml:space="preserve">Article 1(1) </w:t>
      </w:r>
      <w:r w:rsidR="00C015D4" w:rsidRPr="00785D06">
        <w:rPr>
          <w:sz w:val="20"/>
          <w:szCs w:val="20"/>
          <w:lang w:val="en-US"/>
        </w:rPr>
        <w:t>there</w:t>
      </w:r>
      <w:r w:rsidRPr="00785D06">
        <w:rPr>
          <w:sz w:val="20"/>
          <w:szCs w:val="20"/>
          <w:lang w:val="en-US"/>
        </w:rPr>
        <w:t>of</w:t>
      </w:r>
      <w:r w:rsidR="00C015D4" w:rsidRPr="00785D06">
        <w:rPr>
          <w:sz w:val="20"/>
          <w:szCs w:val="20"/>
          <w:lang w:val="en-US"/>
        </w:rPr>
        <w:t>,</w:t>
      </w:r>
      <w:r w:rsidRPr="00785D06">
        <w:rPr>
          <w:sz w:val="20"/>
          <w:szCs w:val="20"/>
          <w:lang w:val="en-US"/>
        </w:rPr>
        <w:t xml:space="preserve"> and </w:t>
      </w:r>
      <w:r w:rsidR="00C015D4" w:rsidRPr="00785D06">
        <w:rPr>
          <w:sz w:val="20"/>
          <w:szCs w:val="20"/>
          <w:lang w:val="en-US"/>
        </w:rPr>
        <w:t xml:space="preserve">of </w:t>
      </w:r>
      <w:r w:rsidRPr="00785D06">
        <w:rPr>
          <w:sz w:val="20"/>
          <w:szCs w:val="20"/>
          <w:lang w:val="en-US"/>
        </w:rPr>
        <w:t>Article 7.b of the Belem do Pará</w:t>
      </w:r>
      <w:r w:rsidR="00C015D4" w:rsidRPr="00785D06">
        <w:rPr>
          <w:sz w:val="20"/>
          <w:szCs w:val="20"/>
          <w:lang w:val="en-US"/>
        </w:rPr>
        <w:t xml:space="preserve"> Convention</w:t>
      </w:r>
      <w:r w:rsidRPr="00785D06">
        <w:rPr>
          <w:sz w:val="20"/>
          <w:szCs w:val="20"/>
          <w:lang w:val="en-US"/>
        </w:rPr>
        <w:t xml:space="preserve">. </w:t>
      </w:r>
      <w:r w:rsidR="000F1925" w:rsidRPr="00785D06">
        <w:rPr>
          <w:sz w:val="20"/>
          <w:szCs w:val="20"/>
          <w:lang w:val="en-US"/>
        </w:rPr>
        <w:t>It a</w:t>
      </w:r>
      <w:r w:rsidRPr="00785D06">
        <w:rPr>
          <w:sz w:val="20"/>
          <w:szCs w:val="20"/>
          <w:lang w:val="en-US"/>
        </w:rPr>
        <w:t>rgued that the authorities issued “several stigmatizing and stereotyp</w:t>
      </w:r>
      <w:r w:rsidR="00665C06" w:rsidRPr="00785D06">
        <w:rPr>
          <w:sz w:val="20"/>
          <w:szCs w:val="20"/>
          <w:lang w:val="en-US"/>
        </w:rPr>
        <w:t xml:space="preserve">ical </w:t>
      </w:r>
      <w:r w:rsidR="000F1925" w:rsidRPr="00785D06">
        <w:rPr>
          <w:sz w:val="20"/>
          <w:szCs w:val="20"/>
          <w:lang w:val="en-US"/>
        </w:rPr>
        <w:t>rulings</w:t>
      </w:r>
      <w:r w:rsidRPr="00785D06">
        <w:rPr>
          <w:sz w:val="20"/>
          <w:szCs w:val="20"/>
          <w:lang w:val="en-US"/>
        </w:rPr>
        <w:t xml:space="preserve">” </w:t>
      </w:r>
      <w:r w:rsidR="00665C06" w:rsidRPr="00785D06">
        <w:rPr>
          <w:sz w:val="20"/>
          <w:szCs w:val="20"/>
          <w:lang w:val="en-US"/>
        </w:rPr>
        <w:t xml:space="preserve">during </w:t>
      </w:r>
      <w:r w:rsidRPr="00785D06">
        <w:rPr>
          <w:sz w:val="20"/>
          <w:szCs w:val="20"/>
          <w:lang w:val="en-US"/>
        </w:rPr>
        <w:t xml:space="preserve">the criminal proceedings, </w:t>
      </w:r>
      <w:r w:rsidR="00665C06" w:rsidRPr="00785D06">
        <w:rPr>
          <w:sz w:val="20"/>
          <w:szCs w:val="20"/>
          <w:lang w:val="en-US"/>
        </w:rPr>
        <w:t xml:space="preserve">underscoring </w:t>
      </w:r>
      <w:r w:rsidRPr="00785D06">
        <w:rPr>
          <w:sz w:val="20"/>
          <w:szCs w:val="20"/>
          <w:lang w:val="en-US"/>
        </w:rPr>
        <w:t xml:space="preserve">a failure in their “duty to investigate </w:t>
      </w:r>
      <w:r w:rsidR="00DE3E9F" w:rsidRPr="00785D06">
        <w:rPr>
          <w:sz w:val="20"/>
          <w:szCs w:val="20"/>
          <w:lang w:val="en-US"/>
        </w:rPr>
        <w:t xml:space="preserve">from </w:t>
      </w:r>
      <w:r w:rsidR="00665C06" w:rsidRPr="00785D06">
        <w:rPr>
          <w:sz w:val="20"/>
          <w:szCs w:val="20"/>
          <w:lang w:val="en-US"/>
        </w:rPr>
        <w:t xml:space="preserve">a </w:t>
      </w:r>
      <w:r w:rsidRPr="00785D06">
        <w:rPr>
          <w:sz w:val="20"/>
          <w:szCs w:val="20"/>
          <w:lang w:val="en-US"/>
        </w:rPr>
        <w:t>gender perspective and free</w:t>
      </w:r>
      <w:r w:rsidR="00665C06" w:rsidRPr="00785D06">
        <w:rPr>
          <w:sz w:val="20"/>
          <w:szCs w:val="20"/>
          <w:lang w:val="en-US"/>
        </w:rPr>
        <w:t xml:space="preserve"> from</w:t>
      </w:r>
      <w:r w:rsidRPr="00785D06">
        <w:rPr>
          <w:sz w:val="20"/>
          <w:szCs w:val="20"/>
          <w:lang w:val="en-US"/>
        </w:rPr>
        <w:t xml:space="preserve"> stereotypes and </w:t>
      </w:r>
      <w:r w:rsidR="00665C06" w:rsidRPr="00785D06">
        <w:rPr>
          <w:sz w:val="20"/>
          <w:szCs w:val="20"/>
          <w:lang w:val="en-US"/>
        </w:rPr>
        <w:t xml:space="preserve">discriminatory </w:t>
      </w:r>
      <w:r w:rsidRPr="00785D06">
        <w:rPr>
          <w:sz w:val="20"/>
          <w:szCs w:val="20"/>
          <w:lang w:val="en-US"/>
        </w:rPr>
        <w:t>prejudices</w:t>
      </w:r>
      <w:r w:rsidR="00665C06" w:rsidRPr="00785D06">
        <w:rPr>
          <w:sz w:val="20"/>
          <w:szCs w:val="20"/>
          <w:lang w:val="en-US"/>
        </w:rPr>
        <w:t>.”</w:t>
      </w:r>
      <w:r w:rsidRPr="00785D06">
        <w:rPr>
          <w:sz w:val="20"/>
          <w:szCs w:val="20"/>
          <w:lang w:val="en-US"/>
        </w:rPr>
        <w:t xml:space="preserve"> </w:t>
      </w:r>
      <w:r w:rsidR="00665C06" w:rsidRPr="00785D06">
        <w:rPr>
          <w:sz w:val="20"/>
          <w:szCs w:val="20"/>
          <w:lang w:val="en-US"/>
        </w:rPr>
        <w:t xml:space="preserve">It further </w:t>
      </w:r>
      <w:r w:rsidRPr="00785D06">
        <w:rPr>
          <w:sz w:val="20"/>
          <w:szCs w:val="20"/>
          <w:lang w:val="en-US"/>
        </w:rPr>
        <w:t xml:space="preserve">indicated that the administrative and civil proceedings were not conducted with </w:t>
      </w:r>
      <w:r w:rsidR="00665C06" w:rsidRPr="00785D06">
        <w:rPr>
          <w:sz w:val="20"/>
          <w:szCs w:val="20"/>
          <w:lang w:val="en-US"/>
        </w:rPr>
        <w:t xml:space="preserve">a </w:t>
      </w:r>
      <w:r w:rsidRPr="00785D06">
        <w:rPr>
          <w:sz w:val="20"/>
          <w:szCs w:val="20"/>
          <w:lang w:val="en-US"/>
        </w:rPr>
        <w:t xml:space="preserve">gender perspective, </w:t>
      </w:r>
      <w:r w:rsidR="00665C06" w:rsidRPr="00785D06">
        <w:rPr>
          <w:sz w:val="20"/>
          <w:szCs w:val="20"/>
          <w:lang w:val="en-US"/>
        </w:rPr>
        <w:t xml:space="preserve">in </w:t>
      </w:r>
      <w:r w:rsidRPr="00785D06">
        <w:rPr>
          <w:sz w:val="20"/>
          <w:szCs w:val="20"/>
          <w:lang w:val="en-US"/>
        </w:rPr>
        <w:t xml:space="preserve">violation of the principle of equality and non-discrimination in access to justice. </w:t>
      </w:r>
    </w:p>
    <w:p w14:paraId="15983088" w14:textId="77777777" w:rsidR="00C254BF" w:rsidRPr="00785D06" w:rsidRDefault="00C254BF" w:rsidP="00C254BF">
      <w:pPr>
        <w:pStyle w:val="Prrafodelista"/>
        <w:ind w:left="0"/>
        <w:contextualSpacing w:val="0"/>
        <w:jc w:val="both"/>
        <w:rPr>
          <w:sz w:val="20"/>
          <w:szCs w:val="20"/>
          <w:lang w:val="en-US"/>
        </w:rPr>
      </w:pPr>
    </w:p>
    <w:p w14:paraId="0A8A8B54"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The </w:t>
      </w:r>
      <w:r w:rsidRPr="00785D06">
        <w:rPr>
          <w:b/>
          <w:i/>
          <w:sz w:val="20"/>
          <w:szCs w:val="20"/>
          <w:lang w:val="en-US"/>
        </w:rPr>
        <w:t xml:space="preserve">representatives </w:t>
      </w:r>
      <w:r w:rsidRPr="00785D06">
        <w:rPr>
          <w:sz w:val="20"/>
          <w:szCs w:val="20"/>
          <w:lang w:val="en-US"/>
        </w:rPr>
        <w:t xml:space="preserve">agreed with the Commission’s </w:t>
      </w:r>
      <w:r w:rsidR="008526B2" w:rsidRPr="00785D06">
        <w:rPr>
          <w:sz w:val="20"/>
          <w:szCs w:val="20"/>
          <w:lang w:val="en-US"/>
        </w:rPr>
        <w:t xml:space="preserve">observations </w:t>
      </w:r>
      <w:r w:rsidRPr="00785D06">
        <w:rPr>
          <w:sz w:val="20"/>
          <w:szCs w:val="20"/>
          <w:lang w:val="en-US"/>
        </w:rPr>
        <w:t>and a</w:t>
      </w:r>
      <w:r w:rsidR="008526B2" w:rsidRPr="00785D06">
        <w:rPr>
          <w:sz w:val="20"/>
          <w:szCs w:val="20"/>
          <w:lang w:val="en-US"/>
        </w:rPr>
        <w:t xml:space="preserve">rgued </w:t>
      </w:r>
      <w:r w:rsidRPr="00785D06">
        <w:rPr>
          <w:sz w:val="20"/>
          <w:szCs w:val="20"/>
          <w:lang w:val="en-US"/>
        </w:rPr>
        <w:t xml:space="preserve">that the State </w:t>
      </w:r>
      <w:r w:rsidR="008526B2" w:rsidRPr="00785D06">
        <w:rPr>
          <w:sz w:val="20"/>
          <w:szCs w:val="20"/>
          <w:lang w:val="en-US"/>
        </w:rPr>
        <w:t xml:space="preserve">had also </w:t>
      </w:r>
      <w:r w:rsidRPr="00785D06">
        <w:rPr>
          <w:sz w:val="20"/>
          <w:szCs w:val="20"/>
          <w:lang w:val="en-US"/>
        </w:rPr>
        <w:t xml:space="preserve">violated the principle of reasonable time, given the duration of the investigations and judicial proceedings related to the </w:t>
      </w:r>
      <w:r w:rsidR="00473D1A" w:rsidRPr="00785D06">
        <w:rPr>
          <w:sz w:val="20"/>
          <w:szCs w:val="20"/>
          <w:lang w:val="en-US"/>
        </w:rPr>
        <w:t xml:space="preserve">sexual abuse and </w:t>
      </w:r>
      <w:r w:rsidRPr="00785D06">
        <w:rPr>
          <w:sz w:val="20"/>
          <w:szCs w:val="20"/>
          <w:lang w:val="en-US"/>
        </w:rPr>
        <w:t xml:space="preserve">death of Paola Guzmán. </w:t>
      </w:r>
      <w:r w:rsidR="008526B2" w:rsidRPr="00785D06">
        <w:rPr>
          <w:sz w:val="20"/>
          <w:szCs w:val="20"/>
          <w:lang w:val="en-US"/>
        </w:rPr>
        <w:t>In addition, t</w:t>
      </w:r>
      <w:r w:rsidRPr="00785D06">
        <w:rPr>
          <w:sz w:val="20"/>
          <w:szCs w:val="20"/>
          <w:lang w:val="en-US"/>
        </w:rPr>
        <w:t>h</w:t>
      </w:r>
      <w:r w:rsidR="008526B2" w:rsidRPr="00785D06">
        <w:rPr>
          <w:sz w:val="20"/>
          <w:szCs w:val="20"/>
          <w:lang w:val="en-US"/>
        </w:rPr>
        <w:t xml:space="preserve">ey </w:t>
      </w:r>
      <w:r w:rsidRPr="00785D06">
        <w:rPr>
          <w:sz w:val="20"/>
          <w:szCs w:val="20"/>
          <w:lang w:val="en-US"/>
        </w:rPr>
        <w:t xml:space="preserve">considered that it violated Article 8 of the Inter-American Convention to Prevent and Punish Torture. </w:t>
      </w:r>
      <w:r w:rsidR="006604CC" w:rsidRPr="00785D06">
        <w:rPr>
          <w:sz w:val="20"/>
          <w:szCs w:val="20"/>
          <w:lang w:val="en-US"/>
        </w:rPr>
        <w:t xml:space="preserve">They added </w:t>
      </w:r>
      <w:r w:rsidRPr="00785D06">
        <w:rPr>
          <w:sz w:val="20"/>
          <w:szCs w:val="20"/>
          <w:lang w:val="en-US"/>
        </w:rPr>
        <w:t xml:space="preserve">that the compensation </w:t>
      </w:r>
      <w:r w:rsidR="008526B2" w:rsidRPr="00785D06">
        <w:rPr>
          <w:sz w:val="20"/>
          <w:szCs w:val="20"/>
          <w:lang w:val="en-US"/>
        </w:rPr>
        <w:t xml:space="preserve">ordered </w:t>
      </w:r>
      <w:r w:rsidRPr="00785D06">
        <w:rPr>
          <w:sz w:val="20"/>
          <w:szCs w:val="20"/>
          <w:lang w:val="en-US"/>
        </w:rPr>
        <w:t>in the conte</w:t>
      </w:r>
      <w:r w:rsidR="008526B2" w:rsidRPr="00785D06">
        <w:rPr>
          <w:sz w:val="20"/>
          <w:szCs w:val="20"/>
          <w:lang w:val="en-US"/>
        </w:rPr>
        <w:t xml:space="preserve">xt of the civil lawsuit was not </w:t>
      </w:r>
      <w:r w:rsidRPr="00785D06">
        <w:rPr>
          <w:sz w:val="20"/>
          <w:szCs w:val="20"/>
          <w:lang w:val="en-US"/>
        </w:rPr>
        <w:t xml:space="preserve">implemented because “the judgment did not </w:t>
      </w:r>
      <w:r w:rsidR="00171A07" w:rsidRPr="00785D06">
        <w:rPr>
          <w:sz w:val="20"/>
          <w:szCs w:val="20"/>
          <w:lang w:val="en-US"/>
        </w:rPr>
        <w:t>acquire</w:t>
      </w:r>
      <w:r w:rsidRPr="00785D06">
        <w:rPr>
          <w:sz w:val="20"/>
          <w:szCs w:val="20"/>
          <w:lang w:val="en-US"/>
        </w:rPr>
        <w:t xml:space="preserve"> the authority of </w:t>
      </w:r>
      <w:r w:rsidR="00171A07" w:rsidRPr="00785D06">
        <w:rPr>
          <w:i/>
          <w:sz w:val="20"/>
          <w:szCs w:val="20"/>
          <w:lang w:val="en-US"/>
        </w:rPr>
        <w:t>res judicata</w:t>
      </w:r>
      <w:r w:rsidRPr="00785D06">
        <w:rPr>
          <w:sz w:val="20"/>
          <w:szCs w:val="20"/>
          <w:lang w:val="en-US"/>
        </w:rPr>
        <w:t xml:space="preserve">, </w:t>
      </w:r>
      <w:r w:rsidR="008526B2" w:rsidRPr="00785D06">
        <w:rPr>
          <w:sz w:val="20"/>
          <w:szCs w:val="20"/>
          <w:lang w:val="en-US"/>
        </w:rPr>
        <w:t xml:space="preserve">given that </w:t>
      </w:r>
      <w:r w:rsidRPr="00785D06">
        <w:rPr>
          <w:sz w:val="20"/>
          <w:szCs w:val="20"/>
          <w:lang w:val="en-US"/>
        </w:rPr>
        <w:t xml:space="preserve">[…] </w:t>
      </w:r>
      <w:r w:rsidR="00C92B7F" w:rsidRPr="00785D06">
        <w:rPr>
          <w:sz w:val="20"/>
          <w:szCs w:val="20"/>
          <w:lang w:val="en-US"/>
        </w:rPr>
        <w:t>owing to irregularities by</w:t>
      </w:r>
      <w:r w:rsidRPr="00785D06">
        <w:rPr>
          <w:sz w:val="20"/>
          <w:szCs w:val="20"/>
          <w:lang w:val="en-US"/>
        </w:rPr>
        <w:t xml:space="preserve"> the court [,] in failing to settle the appeal </w:t>
      </w:r>
      <w:r w:rsidR="008526B2" w:rsidRPr="00785D06">
        <w:rPr>
          <w:sz w:val="20"/>
          <w:szCs w:val="20"/>
          <w:lang w:val="en-US"/>
        </w:rPr>
        <w:t xml:space="preserve">lodged by </w:t>
      </w:r>
      <w:r w:rsidRPr="00785D06">
        <w:rPr>
          <w:sz w:val="20"/>
          <w:szCs w:val="20"/>
          <w:lang w:val="en-US"/>
        </w:rPr>
        <w:t>the defendant [,]</w:t>
      </w:r>
      <w:r w:rsidR="008B1030" w:rsidRPr="00785D06">
        <w:rPr>
          <w:sz w:val="20"/>
          <w:szCs w:val="20"/>
          <w:lang w:val="en-US"/>
        </w:rPr>
        <w:t xml:space="preserve"> </w:t>
      </w:r>
      <w:r w:rsidRPr="00785D06">
        <w:rPr>
          <w:sz w:val="20"/>
          <w:szCs w:val="20"/>
          <w:lang w:val="en-US"/>
        </w:rPr>
        <w:t xml:space="preserve">the </w:t>
      </w:r>
      <w:r w:rsidR="00C92B7F" w:rsidRPr="00785D06">
        <w:rPr>
          <w:sz w:val="20"/>
          <w:szCs w:val="20"/>
          <w:lang w:val="en-US"/>
        </w:rPr>
        <w:t>proceeding was annulled</w:t>
      </w:r>
      <w:r w:rsidRPr="00785D06">
        <w:rPr>
          <w:sz w:val="20"/>
          <w:szCs w:val="20"/>
          <w:lang w:val="en-US"/>
        </w:rPr>
        <w:t>.</w:t>
      </w:r>
      <w:r w:rsidRPr="00785D06">
        <w:rPr>
          <w:b/>
          <w:lang w:val="en-US"/>
        </w:rPr>
        <w:t xml:space="preserve"> </w:t>
      </w:r>
      <w:r w:rsidRPr="00785D06">
        <w:rPr>
          <w:sz w:val="20"/>
          <w:szCs w:val="20"/>
          <w:lang w:val="en-US"/>
        </w:rPr>
        <w:t>The</w:t>
      </w:r>
      <w:r w:rsidRPr="00785D06">
        <w:rPr>
          <w:b/>
          <w:lang w:val="en-US"/>
        </w:rPr>
        <w:t xml:space="preserve"> </w:t>
      </w:r>
      <w:r w:rsidRPr="00785D06">
        <w:rPr>
          <w:sz w:val="20"/>
          <w:szCs w:val="20"/>
          <w:lang w:val="en-US"/>
        </w:rPr>
        <w:t>representatives</w:t>
      </w:r>
      <w:r w:rsidR="008526B2" w:rsidRPr="00785D06">
        <w:rPr>
          <w:sz w:val="20"/>
          <w:szCs w:val="20"/>
          <w:lang w:val="en-US"/>
        </w:rPr>
        <w:t>’ arguments regarding</w:t>
      </w:r>
      <w:r w:rsidRPr="00785D06">
        <w:rPr>
          <w:sz w:val="20"/>
          <w:szCs w:val="20"/>
          <w:lang w:val="en-US"/>
        </w:rPr>
        <w:t xml:space="preserve"> the civil proceedings are </w:t>
      </w:r>
      <w:r w:rsidR="00E65DE6" w:rsidRPr="00785D06">
        <w:rPr>
          <w:sz w:val="20"/>
          <w:szCs w:val="20"/>
          <w:lang w:val="en-US"/>
        </w:rPr>
        <w:t xml:space="preserve">presented </w:t>
      </w:r>
      <w:r w:rsidRPr="00785D06">
        <w:rPr>
          <w:sz w:val="20"/>
          <w:szCs w:val="20"/>
          <w:lang w:val="en-US"/>
        </w:rPr>
        <w:t>below (</w:t>
      </w:r>
      <w:r w:rsidRPr="00785D06">
        <w:rPr>
          <w:i/>
          <w:sz w:val="20"/>
          <w:szCs w:val="20"/>
          <w:lang w:val="en-US"/>
        </w:rPr>
        <w:t xml:space="preserve">infra </w:t>
      </w:r>
      <w:r w:rsidRPr="00785D06">
        <w:rPr>
          <w:sz w:val="20"/>
          <w:szCs w:val="20"/>
          <w:lang w:val="en-US"/>
        </w:rPr>
        <w:t>para. 197).</w:t>
      </w:r>
    </w:p>
    <w:p w14:paraId="000FD8A8" w14:textId="77777777" w:rsidR="00C254BF" w:rsidRPr="00785D06" w:rsidRDefault="00C254BF" w:rsidP="00C254BF">
      <w:pPr>
        <w:pStyle w:val="Prrafodelista"/>
        <w:ind w:left="0"/>
        <w:contextualSpacing w:val="0"/>
        <w:jc w:val="both"/>
        <w:rPr>
          <w:sz w:val="20"/>
          <w:szCs w:val="20"/>
          <w:lang w:val="en-US"/>
        </w:rPr>
      </w:pPr>
    </w:p>
    <w:p w14:paraId="7AF74EEA"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The </w:t>
      </w:r>
      <w:r w:rsidRPr="00785D06">
        <w:rPr>
          <w:b/>
          <w:i/>
          <w:sz w:val="20"/>
          <w:szCs w:val="20"/>
          <w:lang w:val="en-US"/>
        </w:rPr>
        <w:t xml:space="preserve">State </w:t>
      </w:r>
      <w:r w:rsidR="000A24EF" w:rsidRPr="00785D06">
        <w:rPr>
          <w:sz w:val="20"/>
          <w:szCs w:val="20"/>
          <w:lang w:val="en-US"/>
        </w:rPr>
        <w:t xml:space="preserve">acknowledged </w:t>
      </w:r>
      <w:r w:rsidR="006604CC" w:rsidRPr="00785D06">
        <w:rPr>
          <w:sz w:val="20"/>
          <w:szCs w:val="20"/>
          <w:lang w:val="en-US"/>
        </w:rPr>
        <w:t>its partial</w:t>
      </w:r>
      <w:r w:rsidRPr="00785D06">
        <w:rPr>
          <w:sz w:val="20"/>
          <w:szCs w:val="20"/>
          <w:lang w:val="en-US"/>
        </w:rPr>
        <w:t xml:space="preserve"> responsibility </w:t>
      </w:r>
      <w:r w:rsidR="00090AB4" w:rsidRPr="00785D06">
        <w:rPr>
          <w:sz w:val="20"/>
          <w:szCs w:val="20"/>
          <w:lang w:val="en-US"/>
        </w:rPr>
        <w:t xml:space="preserve">for </w:t>
      </w:r>
      <w:r w:rsidR="006604CC" w:rsidRPr="00785D06">
        <w:rPr>
          <w:sz w:val="20"/>
          <w:szCs w:val="20"/>
          <w:lang w:val="en-US"/>
        </w:rPr>
        <w:t xml:space="preserve">the </w:t>
      </w:r>
      <w:r w:rsidRPr="00785D06">
        <w:rPr>
          <w:sz w:val="20"/>
          <w:szCs w:val="20"/>
          <w:lang w:val="en-US"/>
        </w:rPr>
        <w:t xml:space="preserve">judicial </w:t>
      </w:r>
      <w:r w:rsidR="000A24EF" w:rsidRPr="00785D06">
        <w:rPr>
          <w:sz w:val="20"/>
          <w:szCs w:val="20"/>
          <w:lang w:val="en-US"/>
        </w:rPr>
        <w:t xml:space="preserve">and </w:t>
      </w:r>
      <w:r w:rsidRPr="00785D06">
        <w:rPr>
          <w:sz w:val="20"/>
          <w:szCs w:val="20"/>
          <w:lang w:val="en-US"/>
        </w:rPr>
        <w:t>administrative actions</w:t>
      </w:r>
      <w:r w:rsidR="00090AB4" w:rsidRPr="00785D06">
        <w:rPr>
          <w:sz w:val="20"/>
          <w:szCs w:val="20"/>
          <w:lang w:val="en-US"/>
        </w:rPr>
        <w:t>,</w:t>
      </w:r>
      <w:r w:rsidR="000A24EF" w:rsidRPr="00785D06">
        <w:rPr>
          <w:sz w:val="20"/>
          <w:szCs w:val="20"/>
          <w:lang w:val="en-US"/>
        </w:rPr>
        <w:t xml:space="preserve"> </w:t>
      </w:r>
      <w:r w:rsidR="00DE3E9F" w:rsidRPr="00785D06">
        <w:rPr>
          <w:sz w:val="20"/>
          <w:szCs w:val="20"/>
          <w:lang w:val="en-US"/>
        </w:rPr>
        <w:t>in</w:t>
      </w:r>
      <w:r w:rsidR="000A24EF" w:rsidRPr="00785D06">
        <w:rPr>
          <w:sz w:val="20"/>
          <w:szCs w:val="20"/>
          <w:lang w:val="en-US"/>
        </w:rPr>
        <w:t xml:space="preserve"> the</w:t>
      </w:r>
      <w:r w:rsidR="000A24EF" w:rsidRPr="00785D06">
        <w:rPr>
          <w:b/>
          <w:i/>
          <w:sz w:val="20"/>
          <w:szCs w:val="20"/>
          <w:lang w:val="en-US"/>
        </w:rPr>
        <w:t xml:space="preserve"> </w:t>
      </w:r>
      <w:r w:rsidR="000A24EF" w:rsidRPr="00785D06">
        <w:rPr>
          <w:sz w:val="20"/>
          <w:szCs w:val="20"/>
          <w:lang w:val="en-US"/>
        </w:rPr>
        <w:t xml:space="preserve">terms indicated previously </w:t>
      </w:r>
      <w:r w:rsidRPr="00785D06">
        <w:rPr>
          <w:sz w:val="20"/>
          <w:szCs w:val="20"/>
          <w:lang w:val="en-US"/>
        </w:rPr>
        <w:t>(</w:t>
      </w:r>
      <w:r w:rsidRPr="00785D06">
        <w:rPr>
          <w:i/>
          <w:sz w:val="20"/>
          <w:szCs w:val="20"/>
          <w:lang w:val="en-US"/>
        </w:rPr>
        <w:t xml:space="preserve">supra </w:t>
      </w:r>
      <w:r w:rsidRPr="00785D06">
        <w:rPr>
          <w:sz w:val="20"/>
          <w:szCs w:val="20"/>
          <w:lang w:val="en-US"/>
        </w:rPr>
        <w:t xml:space="preserve">paras. 16, 21 and 23). </w:t>
      </w:r>
      <w:r w:rsidR="00852234" w:rsidRPr="00785D06">
        <w:rPr>
          <w:sz w:val="20"/>
          <w:szCs w:val="20"/>
          <w:lang w:val="en-US"/>
        </w:rPr>
        <w:t xml:space="preserve">As </w:t>
      </w:r>
      <w:r w:rsidR="009F4791" w:rsidRPr="00785D06">
        <w:rPr>
          <w:sz w:val="20"/>
          <w:szCs w:val="20"/>
          <w:lang w:val="en-US"/>
        </w:rPr>
        <w:t xml:space="preserve">to </w:t>
      </w:r>
      <w:r w:rsidR="006604CC" w:rsidRPr="00785D06">
        <w:rPr>
          <w:sz w:val="20"/>
          <w:szCs w:val="20"/>
          <w:lang w:val="en-US"/>
        </w:rPr>
        <w:t xml:space="preserve">the </w:t>
      </w:r>
      <w:r w:rsidRPr="00785D06">
        <w:rPr>
          <w:sz w:val="20"/>
          <w:szCs w:val="20"/>
          <w:lang w:val="en-US"/>
        </w:rPr>
        <w:t xml:space="preserve">civil </w:t>
      </w:r>
      <w:r w:rsidR="006604CC" w:rsidRPr="00785D06">
        <w:rPr>
          <w:sz w:val="20"/>
          <w:szCs w:val="20"/>
          <w:lang w:val="en-US"/>
        </w:rPr>
        <w:t xml:space="preserve">lawsuit for </w:t>
      </w:r>
      <w:r w:rsidR="006F3276" w:rsidRPr="00785D06">
        <w:rPr>
          <w:sz w:val="20"/>
          <w:szCs w:val="20"/>
          <w:lang w:val="en-US"/>
        </w:rPr>
        <w:t xml:space="preserve">damages, </w:t>
      </w:r>
      <w:r w:rsidR="009F4791" w:rsidRPr="00785D06">
        <w:rPr>
          <w:sz w:val="20"/>
          <w:szCs w:val="20"/>
          <w:lang w:val="en-US"/>
        </w:rPr>
        <w:t xml:space="preserve">it </w:t>
      </w:r>
      <w:r w:rsidR="006F3276" w:rsidRPr="00785D06">
        <w:rPr>
          <w:sz w:val="20"/>
          <w:szCs w:val="20"/>
          <w:lang w:val="en-US"/>
        </w:rPr>
        <w:t>explain</w:t>
      </w:r>
      <w:r w:rsidR="009F4791" w:rsidRPr="00785D06">
        <w:rPr>
          <w:sz w:val="20"/>
          <w:szCs w:val="20"/>
          <w:lang w:val="en-US"/>
        </w:rPr>
        <w:t xml:space="preserve">ed </w:t>
      </w:r>
      <w:r w:rsidR="00B50FED" w:rsidRPr="00785D06">
        <w:rPr>
          <w:sz w:val="20"/>
          <w:szCs w:val="20"/>
          <w:lang w:val="en-US"/>
        </w:rPr>
        <w:t>that the</w:t>
      </w:r>
      <w:r w:rsidRPr="00785D06">
        <w:rPr>
          <w:b/>
          <w:lang w:val="en-US"/>
        </w:rPr>
        <w:t xml:space="preserve"> </w:t>
      </w:r>
      <w:r w:rsidRPr="00785D06">
        <w:rPr>
          <w:sz w:val="20"/>
          <w:szCs w:val="20"/>
          <w:lang w:val="en-US"/>
        </w:rPr>
        <w:t>ca</w:t>
      </w:r>
      <w:r w:rsidR="00A340DB" w:rsidRPr="00785D06">
        <w:rPr>
          <w:sz w:val="20"/>
          <w:szCs w:val="20"/>
          <w:lang w:val="en-US"/>
        </w:rPr>
        <w:t xml:space="preserve">se was declared </w:t>
      </w:r>
      <w:r w:rsidR="006F3276" w:rsidRPr="00785D06">
        <w:rPr>
          <w:sz w:val="20"/>
          <w:szCs w:val="20"/>
          <w:lang w:val="en-US"/>
        </w:rPr>
        <w:t xml:space="preserve">“abandoned” </w:t>
      </w:r>
      <w:r w:rsidR="00A340DB" w:rsidRPr="00785D06">
        <w:rPr>
          <w:sz w:val="20"/>
          <w:szCs w:val="20"/>
          <w:lang w:val="en-US"/>
        </w:rPr>
        <w:t xml:space="preserve">owing to </w:t>
      </w:r>
      <w:r w:rsidRPr="00785D06">
        <w:rPr>
          <w:sz w:val="20"/>
          <w:szCs w:val="20"/>
          <w:lang w:val="en-US"/>
        </w:rPr>
        <w:t xml:space="preserve">the parties’ </w:t>
      </w:r>
      <w:r w:rsidR="006F3276" w:rsidRPr="00785D06">
        <w:rPr>
          <w:sz w:val="20"/>
          <w:szCs w:val="20"/>
          <w:lang w:val="en-US"/>
        </w:rPr>
        <w:t>procedural in</w:t>
      </w:r>
      <w:r w:rsidRPr="00785D06">
        <w:rPr>
          <w:sz w:val="20"/>
          <w:szCs w:val="20"/>
          <w:lang w:val="en-US"/>
        </w:rPr>
        <w:t xml:space="preserve">activity </w:t>
      </w:r>
      <w:r w:rsidR="00852234" w:rsidRPr="00785D06">
        <w:rPr>
          <w:sz w:val="20"/>
          <w:szCs w:val="20"/>
          <w:lang w:val="en-US"/>
        </w:rPr>
        <w:t xml:space="preserve">after </w:t>
      </w:r>
      <w:r w:rsidR="00C92B7F" w:rsidRPr="00785D06">
        <w:rPr>
          <w:sz w:val="20"/>
          <w:szCs w:val="20"/>
          <w:lang w:val="en-US"/>
        </w:rPr>
        <w:t xml:space="preserve">the annulment of </w:t>
      </w:r>
      <w:r w:rsidR="00852234" w:rsidRPr="00785D06">
        <w:rPr>
          <w:sz w:val="20"/>
          <w:szCs w:val="20"/>
          <w:lang w:val="en-US"/>
        </w:rPr>
        <w:t xml:space="preserve">the case, </w:t>
      </w:r>
      <w:r w:rsidR="008B1030" w:rsidRPr="00785D06">
        <w:rPr>
          <w:sz w:val="20"/>
          <w:szCs w:val="20"/>
          <w:lang w:val="en-US"/>
        </w:rPr>
        <w:t xml:space="preserve">following the </w:t>
      </w:r>
      <w:r w:rsidRPr="00785D06">
        <w:rPr>
          <w:sz w:val="20"/>
          <w:szCs w:val="20"/>
          <w:lang w:val="en-US"/>
        </w:rPr>
        <w:t xml:space="preserve">appeal </w:t>
      </w:r>
      <w:r w:rsidR="008B1030" w:rsidRPr="00785D06">
        <w:rPr>
          <w:sz w:val="20"/>
          <w:szCs w:val="20"/>
          <w:lang w:val="en-US"/>
        </w:rPr>
        <w:t xml:space="preserve">against </w:t>
      </w:r>
      <w:r w:rsidRPr="00785D06">
        <w:rPr>
          <w:sz w:val="20"/>
          <w:szCs w:val="20"/>
          <w:lang w:val="en-US"/>
        </w:rPr>
        <w:t xml:space="preserve">a judgment </w:t>
      </w:r>
      <w:r w:rsidR="00852234" w:rsidRPr="00785D06">
        <w:rPr>
          <w:sz w:val="20"/>
          <w:szCs w:val="20"/>
          <w:lang w:val="en-US"/>
        </w:rPr>
        <w:t xml:space="preserve">requiring </w:t>
      </w:r>
      <w:r w:rsidRPr="00785D06">
        <w:rPr>
          <w:sz w:val="20"/>
          <w:szCs w:val="20"/>
          <w:lang w:val="en-US"/>
        </w:rPr>
        <w:t xml:space="preserve">the </w:t>
      </w:r>
      <w:r w:rsidR="0097298A" w:rsidRPr="00785D06">
        <w:rPr>
          <w:sz w:val="20"/>
          <w:szCs w:val="20"/>
          <w:lang w:val="en-US"/>
        </w:rPr>
        <w:t>vice principal</w:t>
      </w:r>
      <w:r w:rsidRPr="00785D06">
        <w:rPr>
          <w:sz w:val="20"/>
          <w:szCs w:val="20"/>
          <w:lang w:val="en-US"/>
        </w:rPr>
        <w:t xml:space="preserve"> to pay USD$ 25,000.00 (</w:t>
      </w:r>
      <w:r w:rsidR="00EC143C" w:rsidRPr="00785D06">
        <w:rPr>
          <w:sz w:val="20"/>
          <w:szCs w:val="20"/>
          <w:lang w:val="en-US"/>
        </w:rPr>
        <w:t xml:space="preserve">twenty-five thousand </w:t>
      </w:r>
      <w:r w:rsidRPr="00785D06">
        <w:rPr>
          <w:sz w:val="20"/>
          <w:szCs w:val="20"/>
          <w:lang w:val="en-US"/>
        </w:rPr>
        <w:t xml:space="preserve">United States dollars) </w:t>
      </w:r>
      <w:r w:rsidR="008B1030" w:rsidRPr="00785D06">
        <w:rPr>
          <w:sz w:val="20"/>
          <w:szCs w:val="20"/>
          <w:lang w:val="en-US"/>
        </w:rPr>
        <w:t xml:space="preserve">in </w:t>
      </w:r>
      <w:r w:rsidRPr="00785D06">
        <w:rPr>
          <w:sz w:val="20"/>
          <w:szCs w:val="20"/>
          <w:lang w:val="en-US"/>
        </w:rPr>
        <w:t xml:space="preserve">damages to Mrs. Albarracín. </w:t>
      </w:r>
      <w:r w:rsidR="00DF0643" w:rsidRPr="00785D06">
        <w:rPr>
          <w:sz w:val="20"/>
          <w:szCs w:val="20"/>
          <w:lang w:val="en-US"/>
        </w:rPr>
        <w:t xml:space="preserve">According to </w:t>
      </w:r>
      <w:r w:rsidR="008B1030" w:rsidRPr="00785D06">
        <w:rPr>
          <w:sz w:val="20"/>
          <w:szCs w:val="20"/>
          <w:lang w:val="en-US"/>
        </w:rPr>
        <w:t>Ecuador</w:t>
      </w:r>
      <w:r w:rsidR="00DF0643" w:rsidRPr="00785D06">
        <w:rPr>
          <w:sz w:val="20"/>
          <w:szCs w:val="20"/>
          <w:lang w:val="en-US"/>
        </w:rPr>
        <w:t>,</w:t>
      </w:r>
      <w:r w:rsidR="008B1030" w:rsidRPr="00785D06">
        <w:rPr>
          <w:sz w:val="20"/>
          <w:szCs w:val="20"/>
          <w:lang w:val="en-US"/>
        </w:rPr>
        <w:t xml:space="preserve"> after</w:t>
      </w:r>
      <w:r w:rsidRPr="00785D06">
        <w:rPr>
          <w:sz w:val="20"/>
          <w:szCs w:val="20"/>
          <w:lang w:val="en-US"/>
        </w:rPr>
        <w:t xml:space="preserve"> </w:t>
      </w:r>
      <w:r w:rsidR="001B2C6E" w:rsidRPr="00785D06">
        <w:rPr>
          <w:sz w:val="20"/>
          <w:szCs w:val="20"/>
          <w:lang w:val="en-US"/>
        </w:rPr>
        <w:t>the declaration of annulment</w:t>
      </w:r>
      <w:r w:rsidR="009F758D" w:rsidRPr="00785D06">
        <w:rPr>
          <w:sz w:val="20"/>
          <w:szCs w:val="20"/>
          <w:lang w:val="en-US"/>
        </w:rPr>
        <w:t xml:space="preserve">, the </w:t>
      </w:r>
      <w:r w:rsidR="00852234" w:rsidRPr="00785D06">
        <w:rPr>
          <w:sz w:val="20"/>
          <w:szCs w:val="20"/>
          <w:lang w:val="en-US"/>
        </w:rPr>
        <w:t xml:space="preserve">case was returned </w:t>
      </w:r>
      <w:r w:rsidR="00B734ED" w:rsidRPr="00785D06">
        <w:rPr>
          <w:sz w:val="20"/>
          <w:szCs w:val="20"/>
          <w:lang w:val="en-US"/>
        </w:rPr>
        <w:t xml:space="preserve">to the </w:t>
      </w:r>
      <w:r w:rsidRPr="00785D06">
        <w:rPr>
          <w:sz w:val="20"/>
          <w:szCs w:val="20"/>
          <w:lang w:val="en-US"/>
        </w:rPr>
        <w:t xml:space="preserve">judge of first </w:t>
      </w:r>
      <w:r w:rsidR="008549E5" w:rsidRPr="00785D06">
        <w:rPr>
          <w:sz w:val="20"/>
          <w:szCs w:val="20"/>
          <w:lang w:val="en-US"/>
        </w:rPr>
        <w:t>instance</w:t>
      </w:r>
      <w:r w:rsidRPr="00785D06">
        <w:rPr>
          <w:sz w:val="20"/>
          <w:szCs w:val="20"/>
          <w:lang w:val="en-US"/>
        </w:rPr>
        <w:t xml:space="preserve"> </w:t>
      </w:r>
      <w:r w:rsidR="00231FD0" w:rsidRPr="00785D06">
        <w:rPr>
          <w:sz w:val="20"/>
          <w:szCs w:val="20"/>
          <w:lang w:val="en-US"/>
        </w:rPr>
        <w:t xml:space="preserve">to </w:t>
      </w:r>
      <w:r w:rsidRPr="00785D06">
        <w:rPr>
          <w:sz w:val="20"/>
          <w:szCs w:val="20"/>
          <w:lang w:val="en-US"/>
        </w:rPr>
        <w:t>“</w:t>
      </w:r>
      <w:r w:rsidR="00231FD0" w:rsidRPr="00785D06">
        <w:rPr>
          <w:sz w:val="20"/>
          <w:szCs w:val="20"/>
          <w:lang w:val="en-US"/>
        </w:rPr>
        <w:t xml:space="preserve">consider </w:t>
      </w:r>
      <w:r w:rsidR="008B1030" w:rsidRPr="00785D06">
        <w:rPr>
          <w:sz w:val="20"/>
          <w:szCs w:val="20"/>
          <w:lang w:val="en-US"/>
        </w:rPr>
        <w:t xml:space="preserve">the </w:t>
      </w:r>
      <w:r w:rsidRPr="00785D06">
        <w:rPr>
          <w:sz w:val="20"/>
          <w:szCs w:val="20"/>
          <w:lang w:val="en-US"/>
        </w:rPr>
        <w:t>ap</w:t>
      </w:r>
      <w:r w:rsidR="008B1030" w:rsidRPr="00785D06">
        <w:rPr>
          <w:sz w:val="20"/>
          <w:szCs w:val="20"/>
          <w:lang w:val="en-US"/>
        </w:rPr>
        <w:t xml:space="preserve">peal filed </w:t>
      </w:r>
      <w:r w:rsidRPr="00785D06">
        <w:rPr>
          <w:sz w:val="20"/>
          <w:szCs w:val="20"/>
          <w:lang w:val="en-US"/>
        </w:rPr>
        <w:t xml:space="preserve">by the </w:t>
      </w:r>
      <w:r w:rsidR="00090AB4" w:rsidRPr="00785D06">
        <w:rPr>
          <w:sz w:val="20"/>
          <w:szCs w:val="20"/>
          <w:lang w:val="en-US"/>
        </w:rPr>
        <w:t>accused</w:t>
      </w:r>
      <w:r w:rsidR="00473D1A" w:rsidRPr="00785D06">
        <w:rPr>
          <w:sz w:val="20"/>
          <w:szCs w:val="20"/>
          <w:lang w:val="en-US"/>
        </w:rPr>
        <w:t>.”</w:t>
      </w:r>
      <w:r w:rsidRPr="00785D06">
        <w:rPr>
          <w:sz w:val="20"/>
          <w:szCs w:val="20"/>
          <w:lang w:val="en-US"/>
        </w:rPr>
        <w:t xml:space="preserve"> </w:t>
      </w:r>
      <w:r w:rsidR="00A340DB" w:rsidRPr="00785D06">
        <w:rPr>
          <w:sz w:val="20"/>
          <w:szCs w:val="20"/>
          <w:lang w:val="en-US"/>
        </w:rPr>
        <w:t xml:space="preserve">It </w:t>
      </w:r>
      <w:r w:rsidRPr="00785D06">
        <w:rPr>
          <w:sz w:val="20"/>
          <w:szCs w:val="20"/>
          <w:lang w:val="en-US"/>
        </w:rPr>
        <w:t xml:space="preserve">was </w:t>
      </w:r>
      <w:r w:rsidR="00DF0643" w:rsidRPr="00785D06">
        <w:rPr>
          <w:sz w:val="20"/>
          <w:szCs w:val="20"/>
          <w:lang w:val="en-US"/>
        </w:rPr>
        <w:t xml:space="preserve">at this point </w:t>
      </w:r>
      <w:r w:rsidRPr="00785D06">
        <w:rPr>
          <w:sz w:val="20"/>
          <w:szCs w:val="20"/>
          <w:lang w:val="en-US"/>
        </w:rPr>
        <w:t>that the inactivity</w:t>
      </w:r>
      <w:r w:rsidR="00A340DB" w:rsidRPr="00785D06">
        <w:rPr>
          <w:sz w:val="20"/>
          <w:szCs w:val="20"/>
          <w:lang w:val="en-US"/>
        </w:rPr>
        <w:t xml:space="preserve"> occurred</w:t>
      </w:r>
      <w:r w:rsidR="00DF0643" w:rsidRPr="00785D06">
        <w:rPr>
          <w:sz w:val="20"/>
          <w:szCs w:val="20"/>
          <w:lang w:val="en-US"/>
        </w:rPr>
        <w:t>;</w:t>
      </w:r>
      <w:r w:rsidR="00576ECF" w:rsidRPr="00785D06">
        <w:rPr>
          <w:sz w:val="20"/>
          <w:szCs w:val="20"/>
          <w:lang w:val="en-US"/>
        </w:rPr>
        <w:t xml:space="preserve"> th</w:t>
      </w:r>
      <w:r w:rsidR="00090AB4" w:rsidRPr="00785D06">
        <w:rPr>
          <w:sz w:val="20"/>
          <w:szCs w:val="20"/>
          <w:lang w:val="en-US"/>
        </w:rPr>
        <w:t xml:space="preserve">us, it should be understood that </w:t>
      </w:r>
      <w:r w:rsidR="00576ECF" w:rsidRPr="00785D06">
        <w:rPr>
          <w:sz w:val="20"/>
          <w:szCs w:val="20"/>
          <w:lang w:val="en-US"/>
        </w:rPr>
        <w:t xml:space="preserve">the abandonment of the case </w:t>
      </w:r>
      <w:r w:rsidR="00090AB4" w:rsidRPr="00785D06">
        <w:rPr>
          <w:sz w:val="20"/>
          <w:szCs w:val="20"/>
          <w:lang w:val="en-US"/>
        </w:rPr>
        <w:t>implied</w:t>
      </w:r>
      <w:r w:rsidR="00DF0643" w:rsidRPr="00785D06">
        <w:rPr>
          <w:sz w:val="20"/>
          <w:szCs w:val="20"/>
          <w:lang w:val="en-US"/>
        </w:rPr>
        <w:t xml:space="preserve"> </w:t>
      </w:r>
      <w:r w:rsidR="00576ECF" w:rsidRPr="00785D06">
        <w:rPr>
          <w:sz w:val="20"/>
          <w:szCs w:val="20"/>
          <w:lang w:val="en-US"/>
        </w:rPr>
        <w:t xml:space="preserve">the </w:t>
      </w:r>
      <w:r w:rsidRPr="00785D06">
        <w:rPr>
          <w:sz w:val="20"/>
          <w:szCs w:val="20"/>
          <w:lang w:val="en-US"/>
        </w:rPr>
        <w:t>“</w:t>
      </w:r>
      <w:r w:rsidR="00936125" w:rsidRPr="00785D06">
        <w:rPr>
          <w:sz w:val="20"/>
          <w:szCs w:val="20"/>
          <w:lang w:val="en-US"/>
        </w:rPr>
        <w:t xml:space="preserve">withdrawal of </w:t>
      </w:r>
      <w:r w:rsidRPr="00785D06">
        <w:rPr>
          <w:sz w:val="20"/>
          <w:szCs w:val="20"/>
          <w:lang w:val="en-US"/>
        </w:rPr>
        <w:t>the ap</w:t>
      </w:r>
      <w:r w:rsidR="001854E2" w:rsidRPr="00785D06">
        <w:rPr>
          <w:sz w:val="20"/>
          <w:szCs w:val="20"/>
          <w:lang w:val="en-US"/>
        </w:rPr>
        <w:t>peal filed</w:t>
      </w:r>
      <w:r w:rsidR="00090AB4" w:rsidRPr="00785D06">
        <w:rPr>
          <w:sz w:val="20"/>
          <w:szCs w:val="20"/>
          <w:lang w:val="en-US"/>
        </w:rPr>
        <w:t>”</w:t>
      </w:r>
      <w:r w:rsidR="001854E2" w:rsidRPr="00785D06">
        <w:rPr>
          <w:sz w:val="20"/>
          <w:szCs w:val="20"/>
          <w:lang w:val="en-US"/>
        </w:rPr>
        <w:t xml:space="preserve"> </w:t>
      </w:r>
      <w:r w:rsidRPr="00785D06">
        <w:rPr>
          <w:sz w:val="20"/>
          <w:szCs w:val="20"/>
          <w:lang w:val="en-US"/>
        </w:rPr>
        <w:t xml:space="preserve">and </w:t>
      </w:r>
      <w:r w:rsidR="00090AB4" w:rsidRPr="00785D06">
        <w:rPr>
          <w:sz w:val="20"/>
          <w:szCs w:val="20"/>
          <w:lang w:val="en-US"/>
        </w:rPr>
        <w:t>that “the appealed ruling was final”.</w:t>
      </w:r>
      <w:r w:rsidRPr="00785D06">
        <w:rPr>
          <w:sz w:val="20"/>
          <w:szCs w:val="20"/>
          <w:lang w:val="en-US"/>
        </w:rPr>
        <w:t xml:space="preserve"> </w:t>
      </w:r>
      <w:r w:rsidR="00EC143C" w:rsidRPr="00785D06">
        <w:rPr>
          <w:sz w:val="20"/>
          <w:szCs w:val="20"/>
          <w:lang w:val="en-US"/>
        </w:rPr>
        <w:t xml:space="preserve">This </w:t>
      </w:r>
      <w:r w:rsidR="00DF0643" w:rsidRPr="00785D06">
        <w:rPr>
          <w:sz w:val="20"/>
          <w:szCs w:val="20"/>
          <w:lang w:val="en-US"/>
        </w:rPr>
        <w:t>meant</w:t>
      </w:r>
      <w:r w:rsidR="00C92B7F" w:rsidRPr="00785D06">
        <w:rPr>
          <w:sz w:val="20"/>
          <w:szCs w:val="20"/>
          <w:lang w:val="en-US"/>
        </w:rPr>
        <w:t xml:space="preserve"> </w:t>
      </w:r>
      <w:r w:rsidRPr="00785D06">
        <w:rPr>
          <w:sz w:val="20"/>
          <w:szCs w:val="20"/>
          <w:lang w:val="en-US"/>
        </w:rPr>
        <w:t xml:space="preserve">that </w:t>
      </w:r>
      <w:r w:rsidR="00B734ED" w:rsidRPr="00785D06">
        <w:rPr>
          <w:sz w:val="20"/>
          <w:szCs w:val="20"/>
          <w:lang w:val="en-US"/>
        </w:rPr>
        <w:t xml:space="preserve">it was up to </w:t>
      </w:r>
      <w:r w:rsidRPr="00785D06">
        <w:rPr>
          <w:sz w:val="20"/>
          <w:szCs w:val="20"/>
          <w:lang w:val="en-US"/>
        </w:rPr>
        <w:t>Mrs. Albarracín “</w:t>
      </w:r>
      <w:r w:rsidR="00B734ED" w:rsidRPr="00785D06">
        <w:rPr>
          <w:sz w:val="20"/>
          <w:szCs w:val="20"/>
          <w:lang w:val="en-US"/>
        </w:rPr>
        <w:t xml:space="preserve">to </w:t>
      </w:r>
      <w:r w:rsidR="00C92B7F" w:rsidRPr="00785D06">
        <w:rPr>
          <w:sz w:val="20"/>
          <w:szCs w:val="20"/>
          <w:lang w:val="en-US"/>
        </w:rPr>
        <w:t xml:space="preserve">engage in </w:t>
      </w:r>
      <w:r w:rsidRPr="00785D06">
        <w:rPr>
          <w:sz w:val="20"/>
          <w:szCs w:val="20"/>
          <w:lang w:val="en-US"/>
        </w:rPr>
        <w:t xml:space="preserve">procedural activity </w:t>
      </w:r>
      <w:r w:rsidR="00C92B7F" w:rsidRPr="00785D06">
        <w:rPr>
          <w:sz w:val="20"/>
          <w:szCs w:val="20"/>
          <w:lang w:val="en-US"/>
        </w:rPr>
        <w:t xml:space="preserve">to secure </w:t>
      </w:r>
      <w:r w:rsidRPr="00785D06">
        <w:rPr>
          <w:sz w:val="20"/>
          <w:szCs w:val="20"/>
          <w:lang w:val="en-US"/>
        </w:rPr>
        <w:t>execution of the judgment</w:t>
      </w:r>
      <w:r w:rsidR="009F4791" w:rsidRPr="00785D06">
        <w:rPr>
          <w:sz w:val="20"/>
          <w:szCs w:val="20"/>
          <w:lang w:val="en-US"/>
        </w:rPr>
        <w:t>,</w:t>
      </w:r>
      <w:r w:rsidRPr="00785D06">
        <w:rPr>
          <w:sz w:val="20"/>
          <w:szCs w:val="20"/>
          <w:lang w:val="en-US"/>
        </w:rPr>
        <w:t xml:space="preserve">” </w:t>
      </w:r>
      <w:r w:rsidR="00C92B7F" w:rsidRPr="00785D06">
        <w:rPr>
          <w:sz w:val="20"/>
          <w:szCs w:val="20"/>
          <w:lang w:val="en-US"/>
        </w:rPr>
        <w:t xml:space="preserve">but that she </w:t>
      </w:r>
      <w:r w:rsidR="00B734ED" w:rsidRPr="00785D06">
        <w:rPr>
          <w:sz w:val="20"/>
          <w:szCs w:val="20"/>
          <w:lang w:val="en-US"/>
        </w:rPr>
        <w:t xml:space="preserve">did not </w:t>
      </w:r>
      <w:r w:rsidR="00C92B7F" w:rsidRPr="00785D06">
        <w:rPr>
          <w:sz w:val="20"/>
          <w:szCs w:val="20"/>
          <w:lang w:val="en-US"/>
        </w:rPr>
        <w:t xml:space="preserve">do </w:t>
      </w:r>
      <w:r w:rsidR="00B734ED" w:rsidRPr="00785D06">
        <w:rPr>
          <w:sz w:val="20"/>
          <w:szCs w:val="20"/>
          <w:lang w:val="en-US"/>
        </w:rPr>
        <w:t xml:space="preserve">so, a </w:t>
      </w:r>
      <w:r w:rsidR="00C92B7F" w:rsidRPr="00785D06">
        <w:rPr>
          <w:sz w:val="20"/>
          <w:szCs w:val="20"/>
          <w:lang w:val="en-US"/>
        </w:rPr>
        <w:t xml:space="preserve">situation </w:t>
      </w:r>
      <w:r w:rsidRPr="00785D06">
        <w:rPr>
          <w:sz w:val="20"/>
          <w:szCs w:val="20"/>
          <w:lang w:val="en-US"/>
        </w:rPr>
        <w:t xml:space="preserve">that </w:t>
      </w:r>
      <w:r w:rsidR="00B734ED" w:rsidRPr="00785D06">
        <w:rPr>
          <w:sz w:val="20"/>
          <w:szCs w:val="20"/>
          <w:lang w:val="en-US"/>
        </w:rPr>
        <w:t xml:space="preserve">cannot be </w:t>
      </w:r>
      <w:r w:rsidRPr="00785D06">
        <w:rPr>
          <w:sz w:val="20"/>
          <w:szCs w:val="20"/>
          <w:lang w:val="en-US"/>
        </w:rPr>
        <w:t>attribu</w:t>
      </w:r>
      <w:r w:rsidR="00B734ED" w:rsidRPr="00785D06">
        <w:rPr>
          <w:sz w:val="20"/>
          <w:szCs w:val="20"/>
          <w:lang w:val="en-US"/>
        </w:rPr>
        <w:t xml:space="preserve">ted </w:t>
      </w:r>
      <w:r w:rsidRPr="00785D06">
        <w:rPr>
          <w:sz w:val="20"/>
          <w:szCs w:val="20"/>
          <w:lang w:val="en-US"/>
        </w:rPr>
        <w:t xml:space="preserve">to the State. </w:t>
      </w:r>
      <w:r w:rsidR="006F3276" w:rsidRPr="00785D06">
        <w:rPr>
          <w:sz w:val="20"/>
          <w:szCs w:val="20"/>
          <w:lang w:val="en-US"/>
        </w:rPr>
        <w:t xml:space="preserve">It added </w:t>
      </w:r>
      <w:r w:rsidRPr="00785D06">
        <w:rPr>
          <w:sz w:val="20"/>
          <w:szCs w:val="20"/>
          <w:lang w:val="en-US"/>
        </w:rPr>
        <w:t xml:space="preserve">that </w:t>
      </w:r>
      <w:r w:rsidR="009F4791" w:rsidRPr="00785D06">
        <w:rPr>
          <w:sz w:val="20"/>
          <w:szCs w:val="20"/>
          <w:lang w:val="en-US"/>
        </w:rPr>
        <w:t xml:space="preserve">Mrs. Albarracín could have appealed </w:t>
      </w:r>
      <w:r w:rsidRPr="00785D06">
        <w:rPr>
          <w:sz w:val="20"/>
          <w:szCs w:val="20"/>
          <w:lang w:val="en-US"/>
        </w:rPr>
        <w:t xml:space="preserve">the judicial </w:t>
      </w:r>
      <w:r w:rsidR="009F4791" w:rsidRPr="00785D06">
        <w:rPr>
          <w:sz w:val="20"/>
          <w:szCs w:val="20"/>
          <w:lang w:val="en-US"/>
        </w:rPr>
        <w:t xml:space="preserve">decision </w:t>
      </w:r>
      <w:r w:rsidR="00DF0643" w:rsidRPr="00785D06">
        <w:rPr>
          <w:sz w:val="20"/>
          <w:szCs w:val="20"/>
          <w:lang w:val="en-US"/>
        </w:rPr>
        <w:t xml:space="preserve">that </w:t>
      </w:r>
      <w:r w:rsidR="00C92B7F" w:rsidRPr="00785D06">
        <w:rPr>
          <w:sz w:val="20"/>
          <w:szCs w:val="20"/>
          <w:lang w:val="en-US"/>
        </w:rPr>
        <w:t>declar</w:t>
      </w:r>
      <w:r w:rsidR="00DF0643" w:rsidRPr="00785D06">
        <w:rPr>
          <w:sz w:val="20"/>
          <w:szCs w:val="20"/>
          <w:lang w:val="en-US"/>
        </w:rPr>
        <w:t>ed</w:t>
      </w:r>
      <w:r w:rsidR="009F4791" w:rsidRPr="00785D06">
        <w:rPr>
          <w:sz w:val="20"/>
          <w:szCs w:val="20"/>
          <w:lang w:val="en-US"/>
        </w:rPr>
        <w:t xml:space="preserve"> the case “abandoned.”</w:t>
      </w:r>
      <w:r w:rsidRPr="00785D06">
        <w:rPr>
          <w:sz w:val="20"/>
          <w:szCs w:val="20"/>
          <w:lang w:val="en-US"/>
        </w:rPr>
        <w:t xml:space="preserve"> The State also explained that </w:t>
      </w:r>
      <w:r w:rsidR="00171699" w:rsidRPr="00785D06">
        <w:rPr>
          <w:sz w:val="20"/>
          <w:szCs w:val="20"/>
          <w:lang w:val="en-US"/>
        </w:rPr>
        <w:t xml:space="preserve">under domestic law, </w:t>
      </w:r>
      <w:r w:rsidRPr="00785D06">
        <w:rPr>
          <w:sz w:val="20"/>
          <w:szCs w:val="20"/>
          <w:lang w:val="en-US"/>
        </w:rPr>
        <w:t>the civil suit for moral damage</w:t>
      </w:r>
      <w:r w:rsidR="00171699" w:rsidRPr="00785D06">
        <w:rPr>
          <w:sz w:val="20"/>
          <w:szCs w:val="20"/>
          <w:lang w:val="en-US"/>
        </w:rPr>
        <w:t>s</w:t>
      </w:r>
      <w:r w:rsidRPr="00785D06">
        <w:rPr>
          <w:sz w:val="20"/>
          <w:szCs w:val="20"/>
          <w:lang w:val="en-US"/>
        </w:rPr>
        <w:t xml:space="preserve"> is separate from any criminal action, and is not subject to </w:t>
      </w:r>
      <w:r w:rsidR="00DF0643" w:rsidRPr="00785D06">
        <w:rPr>
          <w:sz w:val="20"/>
          <w:szCs w:val="20"/>
          <w:lang w:val="en-US"/>
        </w:rPr>
        <w:t>any ruling in the latter case</w:t>
      </w:r>
      <w:r w:rsidRPr="00785D06">
        <w:rPr>
          <w:sz w:val="20"/>
          <w:szCs w:val="20"/>
          <w:lang w:val="en-US"/>
        </w:rPr>
        <w:t>.</w:t>
      </w:r>
    </w:p>
    <w:p w14:paraId="7C9B5573" w14:textId="77777777" w:rsidR="00C254BF" w:rsidRPr="00785D06" w:rsidRDefault="00C254BF" w:rsidP="00C254BF">
      <w:pPr>
        <w:pStyle w:val="Prrafodelista"/>
        <w:ind w:left="0"/>
        <w:contextualSpacing w:val="0"/>
        <w:jc w:val="both"/>
        <w:rPr>
          <w:sz w:val="20"/>
          <w:szCs w:val="20"/>
          <w:lang w:val="en-US"/>
        </w:rPr>
      </w:pPr>
      <w:r w:rsidRPr="00785D06">
        <w:rPr>
          <w:sz w:val="20"/>
          <w:szCs w:val="20"/>
          <w:lang w:val="en-US"/>
        </w:rPr>
        <w:t xml:space="preserve"> </w:t>
      </w:r>
    </w:p>
    <w:p w14:paraId="6E2A20B9" w14:textId="77777777" w:rsidR="00C254BF" w:rsidRPr="00785D06" w:rsidRDefault="00DF0643"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Ecuador </w:t>
      </w:r>
      <w:r w:rsidR="00090AB4" w:rsidRPr="00785D06">
        <w:rPr>
          <w:sz w:val="20"/>
          <w:szCs w:val="20"/>
          <w:lang w:val="en-US"/>
        </w:rPr>
        <w:t xml:space="preserve">also denied </w:t>
      </w:r>
      <w:r w:rsidR="00C254BF" w:rsidRPr="00785D06">
        <w:rPr>
          <w:sz w:val="20"/>
          <w:szCs w:val="20"/>
          <w:lang w:val="en-US"/>
        </w:rPr>
        <w:t xml:space="preserve">discrimination or </w:t>
      </w:r>
      <w:r w:rsidR="00090AB4" w:rsidRPr="00785D06">
        <w:rPr>
          <w:sz w:val="20"/>
          <w:szCs w:val="20"/>
          <w:lang w:val="en-US"/>
        </w:rPr>
        <w:t xml:space="preserve">the </w:t>
      </w:r>
      <w:r w:rsidR="00C254BF" w:rsidRPr="00785D06">
        <w:rPr>
          <w:sz w:val="20"/>
          <w:szCs w:val="20"/>
          <w:lang w:val="en-US"/>
        </w:rPr>
        <w:t xml:space="preserve">violation of the principle of equality before the law in the context of </w:t>
      </w:r>
      <w:r w:rsidR="00171699" w:rsidRPr="00785D06">
        <w:rPr>
          <w:sz w:val="20"/>
          <w:szCs w:val="20"/>
          <w:lang w:val="en-US"/>
        </w:rPr>
        <w:t xml:space="preserve">the </w:t>
      </w:r>
      <w:r w:rsidR="00C254BF" w:rsidRPr="00785D06">
        <w:rPr>
          <w:sz w:val="20"/>
          <w:szCs w:val="20"/>
          <w:lang w:val="en-US"/>
        </w:rPr>
        <w:t>judicial</w:t>
      </w:r>
      <w:r w:rsidRPr="00785D06">
        <w:rPr>
          <w:sz w:val="20"/>
          <w:szCs w:val="20"/>
          <w:lang w:val="en-US"/>
        </w:rPr>
        <w:t xml:space="preserve"> or administrative proceedings.</w:t>
      </w:r>
      <w:r w:rsidR="00570B84" w:rsidRPr="00785D06">
        <w:rPr>
          <w:sz w:val="20"/>
          <w:szCs w:val="20"/>
          <w:lang w:val="en-US"/>
        </w:rPr>
        <w:t xml:space="preserve"> </w:t>
      </w:r>
      <w:r w:rsidRPr="00785D06">
        <w:rPr>
          <w:sz w:val="20"/>
          <w:szCs w:val="20"/>
          <w:lang w:val="en-US"/>
        </w:rPr>
        <w:t>It affirmed</w:t>
      </w:r>
      <w:r w:rsidR="00570B84" w:rsidRPr="00785D06">
        <w:rPr>
          <w:sz w:val="20"/>
          <w:szCs w:val="20"/>
          <w:lang w:val="en-US"/>
        </w:rPr>
        <w:t xml:space="preserve"> </w:t>
      </w:r>
      <w:r w:rsidR="00C254BF" w:rsidRPr="00785D06">
        <w:rPr>
          <w:sz w:val="20"/>
          <w:szCs w:val="20"/>
          <w:lang w:val="en-US"/>
        </w:rPr>
        <w:t>that there was “no discriminatory treatment based on a gender bias</w:t>
      </w:r>
      <w:r w:rsidR="00C254BF" w:rsidRPr="00785D06">
        <w:rPr>
          <w:rStyle w:val="Refdenotaalpie"/>
          <w:sz w:val="20"/>
          <w:szCs w:val="20"/>
          <w:lang w:val="en-US"/>
        </w:rPr>
        <w:footnoteReference w:id="171"/>
      </w:r>
      <w:r w:rsidR="00C254BF" w:rsidRPr="00785D06">
        <w:rPr>
          <w:sz w:val="20"/>
          <w:szCs w:val="20"/>
          <w:lang w:val="en-US"/>
        </w:rPr>
        <w:t xml:space="preserve"> [and that] the applicable legislation […] did not contain discriminatory provisions</w:t>
      </w:r>
      <w:r w:rsidR="00241286" w:rsidRPr="00785D06">
        <w:rPr>
          <w:sz w:val="20"/>
          <w:szCs w:val="20"/>
          <w:lang w:val="en-US"/>
        </w:rPr>
        <w:t xml:space="preserve"> [and that</w:t>
      </w:r>
      <w:r w:rsidR="00862973" w:rsidRPr="00785D06">
        <w:rPr>
          <w:sz w:val="20"/>
          <w:szCs w:val="20"/>
          <w:lang w:val="en-US"/>
        </w:rPr>
        <w:t>] even</w:t>
      </w:r>
      <w:r w:rsidR="00C254BF" w:rsidRPr="00785D06">
        <w:rPr>
          <w:sz w:val="20"/>
          <w:szCs w:val="20"/>
          <w:lang w:val="en-US"/>
        </w:rPr>
        <w:t xml:space="preserve"> the Constitution in force at the time took </w:t>
      </w:r>
      <w:r w:rsidR="00171699" w:rsidRPr="00785D06">
        <w:rPr>
          <w:sz w:val="20"/>
          <w:szCs w:val="20"/>
          <w:lang w:val="en-US"/>
        </w:rPr>
        <w:t xml:space="preserve">into account </w:t>
      </w:r>
      <w:r w:rsidR="00C254BF" w:rsidRPr="00785D06">
        <w:rPr>
          <w:sz w:val="20"/>
          <w:szCs w:val="20"/>
          <w:lang w:val="en-US"/>
        </w:rPr>
        <w:t xml:space="preserve">the need to apply </w:t>
      </w:r>
      <w:r w:rsidR="00570B84" w:rsidRPr="00785D06">
        <w:rPr>
          <w:sz w:val="20"/>
          <w:szCs w:val="20"/>
          <w:lang w:val="en-US"/>
        </w:rPr>
        <w:t xml:space="preserve">a </w:t>
      </w:r>
      <w:r w:rsidR="00C254BF" w:rsidRPr="00785D06">
        <w:rPr>
          <w:sz w:val="20"/>
          <w:szCs w:val="20"/>
          <w:lang w:val="en-US"/>
        </w:rPr>
        <w:t xml:space="preserve">gender </w:t>
      </w:r>
      <w:r w:rsidR="00570B84" w:rsidRPr="00785D06">
        <w:rPr>
          <w:sz w:val="20"/>
          <w:szCs w:val="20"/>
          <w:lang w:val="en-US"/>
        </w:rPr>
        <w:t xml:space="preserve">perspective </w:t>
      </w:r>
      <w:r w:rsidR="00C254BF" w:rsidRPr="00785D06">
        <w:rPr>
          <w:sz w:val="20"/>
          <w:szCs w:val="20"/>
          <w:lang w:val="en-US"/>
        </w:rPr>
        <w:t xml:space="preserve">and </w:t>
      </w:r>
      <w:r w:rsidR="00241286" w:rsidRPr="00785D06">
        <w:rPr>
          <w:sz w:val="20"/>
          <w:szCs w:val="20"/>
          <w:lang w:val="en-US"/>
        </w:rPr>
        <w:t xml:space="preserve">[considerations] </w:t>
      </w:r>
      <w:r w:rsidR="00C254BF" w:rsidRPr="00785D06">
        <w:rPr>
          <w:sz w:val="20"/>
          <w:szCs w:val="20"/>
          <w:lang w:val="en-US"/>
        </w:rPr>
        <w:t xml:space="preserve">in favor of adolescents.” It added that “there were no obstacles to prevent [Paola’s] relatives from </w:t>
      </w:r>
      <w:r w:rsidR="00241286" w:rsidRPr="00785D06">
        <w:rPr>
          <w:sz w:val="20"/>
          <w:szCs w:val="20"/>
          <w:lang w:val="en-US"/>
        </w:rPr>
        <w:t xml:space="preserve">initiating </w:t>
      </w:r>
      <w:r w:rsidR="00C254BF" w:rsidRPr="00785D06">
        <w:rPr>
          <w:sz w:val="20"/>
          <w:szCs w:val="20"/>
          <w:lang w:val="en-US"/>
        </w:rPr>
        <w:t xml:space="preserve">domestic proceedings in </w:t>
      </w:r>
      <w:r w:rsidR="00090AB4" w:rsidRPr="00785D06">
        <w:rPr>
          <w:sz w:val="20"/>
          <w:szCs w:val="20"/>
          <w:lang w:val="en-US"/>
        </w:rPr>
        <w:t xml:space="preserve">the </w:t>
      </w:r>
      <w:r w:rsidR="00C254BF" w:rsidRPr="00785D06">
        <w:rPr>
          <w:sz w:val="20"/>
          <w:szCs w:val="20"/>
          <w:lang w:val="en-US"/>
        </w:rPr>
        <w:t>criminal, civil and administrative court</w:t>
      </w:r>
      <w:r w:rsidR="00241286" w:rsidRPr="00785D06">
        <w:rPr>
          <w:sz w:val="20"/>
          <w:szCs w:val="20"/>
          <w:lang w:val="en-US"/>
        </w:rPr>
        <w:t>s</w:t>
      </w:r>
      <w:r w:rsidR="00C254BF" w:rsidRPr="00785D06">
        <w:rPr>
          <w:sz w:val="20"/>
          <w:szCs w:val="20"/>
          <w:lang w:val="en-US"/>
        </w:rPr>
        <w:t xml:space="preserve">.” </w:t>
      </w:r>
      <w:r w:rsidR="00241286" w:rsidRPr="00785D06">
        <w:rPr>
          <w:sz w:val="20"/>
          <w:szCs w:val="20"/>
          <w:lang w:val="en-US"/>
        </w:rPr>
        <w:t>I</w:t>
      </w:r>
      <w:r w:rsidR="00C254BF" w:rsidRPr="00785D06">
        <w:rPr>
          <w:sz w:val="20"/>
          <w:szCs w:val="20"/>
          <w:lang w:val="en-US"/>
        </w:rPr>
        <w:t xml:space="preserve">t </w:t>
      </w:r>
      <w:r w:rsidR="00241286" w:rsidRPr="00785D06">
        <w:rPr>
          <w:sz w:val="20"/>
          <w:szCs w:val="20"/>
          <w:lang w:val="en-US"/>
        </w:rPr>
        <w:t xml:space="preserve">therefore </w:t>
      </w:r>
      <w:r w:rsidR="00C254BF" w:rsidRPr="00785D06">
        <w:rPr>
          <w:sz w:val="20"/>
          <w:szCs w:val="20"/>
          <w:lang w:val="en-US"/>
        </w:rPr>
        <w:t xml:space="preserve">rejected </w:t>
      </w:r>
      <w:r w:rsidR="00570B84" w:rsidRPr="00785D06">
        <w:rPr>
          <w:sz w:val="20"/>
          <w:szCs w:val="20"/>
          <w:lang w:val="en-US"/>
        </w:rPr>
        <w:t xml:space="preserve">allegations that it had violated </w:t>
      </w:r>
      <w:r w:rsidR="00010B4B" w:rsidRPr="00785D06">
        <w:rPr>
          <w:sz w:val="20"/>
          <w:szCs w:val="20"/>
          <w:lang w:val="en-US"/>
        </w:rPr>
        <w:t>Articles 24 and 1(</w:t>
      </w:r>
      <w:r w:rsidR="00C254BF" w:rsidRPr="00785D06">
        <w:rPr>
          <w:sz w:val="20"/>
          <w:szCs w:val="20"/>
          <w:lang w:val="en-US"/>
        </w:rPr>
        <w:t>1</w:t>
      </w:r>
      <w:r w:rsidR="00010B4B" w:rsidRPr="00785D06">
        <w:rPr>
          <w:sz w:val="20"/>
          <w:szCs w:val="20"/>
          <w:lang w:val="en-US"/>
        </w:rPr>
        <w:t>)</w:t>
      </w:r>
      <w:r w:rsidR="00C254BF" w:rsidRPr="00785D06">
        <w:rPr>
          <w:sz w:val="20"/>
          <w:szCs w:val="20"/>
          <w:lang w:val="en-US"/>
        </w:rPr>
        <w:t xml:space="preserve"> of the Convention.</w:t>
      </w:r>
      <w:r w:rsidR="00C254BF" w:rsidRPr="00785D06">
        <w:rPr>
          <w:b/>
          <w:lang w:val="en-US"/>
        </w:rPr>
        <w:t xml:space="preserve"> </w:t>
      </w:r>
    </w:p>
    <w:p w14:paraId="61365476" w14:textId="77777777" w:rsidR="00C254BF" w:rsidRPr="00785D06" w:rsidRDefault="00C254BF" w:rsidP="00C254BF">
      <w:pPr>
        <w:jc w:val="both"/>
        <w:rPr>
          <w:rFonts w:eastAsia="Times New Roman"/>
          <w:sz w:val="20"/>
          <w:szCs w:val="20"/>
          <w:lang w:val="en-US" w:eastAsia="es-ES" w:bidi="es-ES"/>
        </w:rPr>
      </w:pPr>
    </w:p>
    <w:p w14:paraId="7C532B6C" w14:textId="77777777" w:rsidR="00C254BF" w:rsidRPr="00785D06" w:rsidRDefault="00C254BF" w:rsidP="00C254BF">
      <w:pPr>
        <w:pStyle w:val="Prrafodelista"/>
        <w:ind w:left="284"/>
        <w:jc w:val="both"/>
        <w:outlineLvl w:val="1"/>
        <w:rPr>
          <w:b/>
          <w:i/>
          <w:sz w:val="20"/>
          <w:szCs w:val="20"/>
          <w:lang w:val="en-US"/>
        </w:rPr>
      </w:pPr>
      <w:bookmarkStart w:id="132" w:name="_Toc42498060"/>
      <w:bookmarkStart w:id="133" w:name="_Toc46937308"/>
      <w:r w:rsidRPr="00785D06">
        <w:rPr>
          <w:b/>
          <w:i/>
          <w:sz w:val="20"/>
          <w:szCs w:val="20"/>
          <w:lang w:val="en-US"/>
        </w:rPr>
        <w:t>B. Considerations of the Court</w:t>
      </w:r>
      <w:bookmarkEnd w:id="132"/>
      <w:bookmarkEnd w:id="133"/>
    </w:p>
    <w:p w14:paraId="1DB5D868" w14:textId="77777777" w:rsidR="00C254BF" w:rsidRPr="00785D06" w:rsidRDefault="00C254BF" w:rsidP="00C254BF">
      <w:pPr>
        <w:jc w:val="both"/>
        <w:rPr>
          <w:rFonts w:eastAsia="Times New Roman"/>
          <w:sz w:val="20"/>
          <w:szCs w:val="20"/>
          <w:lang w:val="en-US" w:eastAsia="es-ES" w:bidi="es-ES"/>
        </w:rPr>
      </w:pPr>
    </w:p>
    <w:p w14:paraId="643BBF28" w14:textId="77777777" w:rsidR="00C254BF" w:rsidRPr="00785D06" w:rsidRDefault="00241286"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This</w:t>
      </w:r>
      <w:r w:rsidR="00C254BF" w:rsidRPr="00785D06">
        <w:rPr>
          <w:rFonts w:eastAsia="Times New Roman"/>
          <w:sz w:val="20"/>
          <w:szCs w:val="20"/>
          <w:lang w:val="en-US" w:eastAsia="es-ES" w:bidi="es-ES"/>
        </w:rPr>
        <w:t xml:space="preserve"> Court has established that, </w:t>
      </w:r>
      <w:r w:rsidRPr="00785D06">
        <w:rPr>
          <w:rFonts w:eastAsia="Times New Roman"/>
          <w:sz w:val="20"/>
          <w:szCs w:val="20"/>
          <w:lang w:val="en-US" w:eastAsia="es-ES" w:bidi="es-ES"/>
        </w:rPr>
        <w:t xml:space="preserve">pursuant to </w:t>
      </w:r>
      <w:r w:rsidR="00C254BF" w:rsidRPr="00785D06">
        <w:rPr>
          <w:rFonts w:eastAsia="Times New Roman"/>
          <w:sz w:val="20"/>
          <w:szCs w:val="20"/>
          <w:lang w:val="en-US" w:eastAsia="es-ES" w:bidi="es-ES"/>
        </w:rPr>
        <w:t xml:space="preserve">the American Convention, the States Parties are </w:t>
      </w:r>
      <w:r w:rsidRPr="00785D06">
        <w:rPr>
          <w:rFonts w:eastAsia="Times New Roman"/>
          <w:sz w:val="20"/>
          <w:szCs w:val="20"/>
          <w:lang w:val="en-US" w:eastAsia="es-ES" w:bidi="es-ES"/>
        </w:rPr>
        <w:t xml:space="preserve">obliged </w:t>
      </w:r>
      <w:r w:rsidR="00C254BF" w:rsidRPr="00785D06">
        <w:rPr>
          <w:rFonts w:eastAsia="Times New Roman"/>
          <w:sz w:val="20"/>
          <w:szCs w:val="20"/>
          <w:lang w:val="en-US" w:eastAsia="es-ES" w:bidi="es-ES"/>
        </w:rPr>
        <w:t>to provide effective judicial remedies to the victims of human</w:t>
      </w:r>
      <w:r w:rsidRPr="00785D06">
        <w:rPr>
          <w:rFonts w:eastAsia="Times New Roman"/>
          <w:sz w:val="20"/>
          <w:szCs w:val="20"/>
          <w:lang w:val="en-US" w:eastAsia="es-ES" w:bidi="es-ES"/>
        </w:rPr>
        <w:t xml:space="preserve"> rights violations (Article 25). Such</w:t>
      </w:r>
      <w:r w:rsidR="00C254BF" w:rsidRPr="00785D06">
        <w:rPr>
          <w:rFonts w:eastAsia="Times New Roman"/>
          <w:sz w:val="20"/>
          <w:szCs w:val="20"/>
          <w:lang w:val="en-US" w:eastAsia="es-ES" w:bidi="es-ES"/>
        </w:rPr>
        <w:t xml:space="preserve"> remedies </w:t>
      </w:r>
      <w:r w:rsidRPr="00785D06">
        <w:rPr>
          <w:rFonts w:eastAsia="Times New Roman"/>
          <w:sz w:val="20"/>
          <w:szCs w:val="20"/>
          <w:lang w:val="en-US" w:eastAsia="es-ES" w:bidi="es-ES"/>
        </w:rPr>
        <w:t xml:space="preserve">must </w:t>
      </w:r>
      <w:r w:rsidR="00C254BF" w:rsidRPr="00785D06">
        <w:rPr>
          <w:rFonts w:eastAsia="Times New Roman"/>
          <w:sz w:val="20"/>
          <w:szCs w:val="20"/>
          <w:lang w:val="en-US" w:eastAsia="es-ES" w:bidi="es-ES"/>
        </w:rPr>
        <w:t xml:space="preserve">be substantiated </w:t>
      </w:r>
      <w:r w:rsidRPr="00785D06">
        <w:rPr>
          <w:rFonts w:eastAsia="Times New Roman"/>
          <w:sz w:val="20"/>
          <w:szCs w:val="20"/>
          <w:lang w:val="en-US" w:eastAsia="es-ES" w:bidi="es-ES"/>
        </w:rPr>
        <w:t xml:space="preserve">in accordance with </w:t>
      </w:r>
      <w:r w:rsidR="00C254BF" w:rsidRPr="00785D06">
        <w:rPr>
          <w:rFonts w:eastAsia="Times New Roman"/>
          <w:sz w:val="20"/>
          <w:szCs w:val="20"/>
          <w:lang w:val="en-US" w:eastAsia="es-ES" w:bidi="es-ES"/>
        </w:rPr>
        <w:t xml:space="preserve">the rules of due </w:t>
      </w:r>
      <w:r w:rsidRPr="00785D06">
        <w:rPr>
          <w:rFonts w:eastAsia="Times New Roman"/>
          <w:sz w:val="20"/>
          <w:szCs w:val="20"/>
          <w:lang w:val="en-US" w:eastAsia="es-ES" w:bidi="es-ES"/>
        </w:rPr>
        <w:t xml:space="preserve">process of law </w:t>
      </w:r>
      <w:r w:rsidR="00C254BF" w:rsidRPr="00785D06">
        <w:rPr>
          <w:rFonts w:eastAsia="Times New Roman"/>
          <w:sz w:val="20"/>
          <w:szCs w:val="20"/>
          <w:lang w:val="en-US" w:eastAsia="es-ES" w:bidi="es-ES"/>
        </w:rPr>
        <w:t xml:space="preserve">(Article 8(1)), all </w:t>
      </w:r>
      <w:r w:rsidRPr="00785D06">
        <w:rPr>
          <w:sz w:val="20"/>
          <w:szCs w:val="20"/>
          <w:lang w:val="en-US"/>
        </w:rPr>
        <w:t xml:space="preserve">in keeping with the general obligation of </w:t>
      </w:r>
      <w:r w:rsidR="00D13E9D" w:rsidRPr="00785D06">
        <w:rPr>
          <w:sz w:val="20"/>
          <w:szCs w:val="20"/>
          <w:lang w:val="en-US"/>
        </w:rPr>
        <w:t xml:space="preserve">the </w:t>
      </w:r>
      <w:r w:rsidRPr="00785D06">
        <w:rPr>
          <w:sz w:val="20"/>
          <w:szCs w:val="20"/>
          <w:lang w:val="en-US"/>
        </w:rPr>
        <w:t xml:space="preserve">States to ensure the free and full exercise of the rights recognized by the Convention to every person subject to their jurisdiction </w:t>
      </w:r>
      <w:r w:rsidR="00C254BF" w:rsidRPr="00785D06">
        <w:rPr>
          <w:rFonts w:eastAsia="Times New Roman"/>
          <w:sz w:val="20"/>
          <w:szCs w:val="20"/>
          <w:lang w:val="en-US" w:eastAsia="es-ES" w:bidi="es-ES"/>
        </w:rPr>
        <w:t>(Article 1.1)</w:t>
      </w:r>
      <w:r w:rsidR="00010B4B" w:rsidRPr="00785D06">
        <w:rPr>
          <w:rFonts w:eastAsia="Times New Roman"/>
          <w:sz w:val="20"/>
          <w:szCs w:val="20"/>
          <w:lang w:val="en-US" w:eastAsia="es-ES" w:bidi="es-ES"/>
        </w:rPr>
        <w:t>.</w:t>
      </w:r>
      <w:r w:rsidR="00C254BF" w:rsidRPr="00785D06">
        <w:rPr>
          <w:rStyle w:val="Refdenotaalpie"/>
          <w:rFonts w:eastAsia="Times New Roman"/>
          <w:sz w:val="20"/>
          <w:szCs w:val="20"/>
          <w:lang w:val="en-US" w:eastAsia="es-ES" w:bidi="es-ES"/>
        </w:rPr>
        <w:footnoteReference w:id="172"/>
      </w:r>
      <w:r w:rsidR="00C254BF" w:rsidRPr="00785D06">
        <w:rPr>
          <w:rFonts w:eastAsia="Times New Roman"/>
          <w:sz w:val="20"/>
          <w:szCs w:val="20"/>
          <w:lang w:val="en-US" w:eastAsia="es-ES" w:bidi="es-ES"/>
        </w:rPr>
        <w:t xml:space="preserve"> </w:t>
      </w:r>
      <w:r w:rsidR="00D13E9D" w:rsidRPr="00785D06">
        <w:rPr>
          <w:rFonts w:eastAsia="Times New Roman"/>
          <w:sz w:val="20"/>
          <w:szCs w:val="20"/>
          <w:lang w:val="en-US" w:eastAsia="es-ES" w:bidi="es-ES"/>
        </w:rPr>
        <w:t xml:space="preserve">The Court </w:t>
      </w:r>
      <w:r w:rsidR="00C254BF" w:rsidRPr="00785D06">
        <w:rPr>
          <w:rFonts w:eastAsia="Times New Roman"/>
          <w:sz w:val="20"/>
          <w:szCs w:val="20"/>
          <w:lang w:val="en-US" w:eastAsia="es-ES" w:bidi="es-ES"/>
        </w:rPr>
        <w:t xml:space="preserve">has also indicated that the right of access to justice must ensure, within a reasonable time, the right of the alleged victims or their </w:t>
      </w:r>
      <w:r w:rsidR="000B40BF" w:rsidRPr="00785D06">
        <w:rPr>
          <w:rFonts w:eastAsia="Times New Roman"/>
          <w:sz w:val="20"/>
          <w:szCs w:val="20"/>
          <w:lang w:val="en-US" w:eastAsia="es-ES" w:bidi="es-ES"/>
        </w:rPr>
        <w:t xml:space="preserve">next of kin </w:t>
      </w:r>
      <w:r w:rsidR="00C254BF" w:rsidRPr="00785D06">
        <w:rPr>
          <w:rFonts w:eastAsia="Times New Roman"/>
          <w:sz w:val="20"/>
          <w:szCs w:val="20"/>
          <w:lang w:val="en-US" w:eastAsia="es-ES" w:bidi="es-ES"/>
        </w:rPr>
        <w:t xml:space="preserve">to do everything necessary to know the truth of what happened and </w:t>
      </w:r>
      <w:r w:rsidR="00D13E9D" w:rsidRPr="00785D06">
        <w:rPr>
          <w:rFonts w:eastAsia="Times New Roman"/>
          <w:sz w:val="20"/>
          <w:szCs w:val="20"/>
          <w:lang w:val="en-US" w:eastAsia="es-ES" w:bidi="es-ES"/>
        </w:rPr>
        <w:t xml:space="preserve">to </w:t>
      </w:r>
      <w:r w:rsidR="00C254BF" w:rsidRPr="00785D06">
        <w:rPr>
          <w:rFonts w:eastAsia="Times New Roman"/>
          <w:sz w:val="20"/>
          <w:szCs w:val="20"/>
          <w:lang w:val="en-US" w:eastAsia="es-ES" w:bidi="es-ES"/>
        </w:rPr>
        <w:t xml:space="preserve">investigate, </w:t>
      </w:r>
      <w:r w:rsidR="000B40BF" w:rsidRPr="00785D06">
        <w:rPr>
          <w:rFonts w:eastAsia="Times New Roman"/>
          <w:sz w:val="20"/>
          <w:szCs w:val="20"/>
          <w:lang w:val="en-US" w:eastAsia="es-ES" w:bidi="es-ES"/>
        </w:rPr>
        <w:t>prosecute and punish, as</w:t>
      </w:r>
      <w:r w:rsidR="00C254BF" w:rsidRPr="00785D06">
        <w:rPr>
          <w:rFonts w:eastAsia="Times New Roman"/>
          <w:sz w:val="20"/>
          <w:szCs w:val="20"/>
          <w:lang w:val="en-US" w:eastAsia="es-ES" w:bidi="es-ES"/>
        </w:rPr>
        <w:t xml:space="preserve"> appropriate, those </w:t>
      </w:r>
      <w:r w:rsidR="000B40BF" w:rsidRPr="00785D06">
        <w:rPr>
          <w:rFonts w:eastAsia="Times New Roman"/>
          <w:sz w:val="20"/>
          <w:szCs w:val="20"/>
          <w:lang w:val="en-US" w:eastAsia="es-ES" w:bidi="es-ES"/>
        </w:rPr>
        <w:t xml:space="preserve">eventually found </w:t>
      </w:r>
      <w:r w:rsidR="00C254BF" w:rsidRPr="00785D06">
        <w:rPr>
          <w:rFonts w:eastAsia="Times New Roman"/>
          <w:sz w:val="20"/>
          <w:szCs w:val="20"/>
          <w:lang w:val="en-US" w:eastAsia="es-ES" w:bidi="es-ES"/>
        </w:rPr>
        <w:t>responsible.</w:t>
      </w:r>
      <w:r w:rsidR="00C254BF" w:rsidRPr="00785D06">
        <w:rPr>
          <w:rStyle w:val="Refdenotaalpie"/>
          <w:rFonts w:eastAsia="Times New Roman"/>
          <w:sz w:val="20"/>
          <w:szCs w:val="20"/>
          <w:lang w:val="en-US" w:eastAsia="es-ES" w:bidi="es-ES"/>
        </w:rPr>
        <w:footnoteReference w:id="173"/>
      </w:r>
    </w:p>
    <w:p w14:paraId="63215645" w14:textId="77777777" w:rsidR="00C254BF" w:rsidRPr="00785D06" w:rsidRDefault="00C254BF" w:rsidP="00C254BF">
      <w:pPr>
        <w:pStyle w:val="Prrafodelista"/>
        <w:ind w:left="0"/>
        <w:contextualSpacing w:val="0"/>
        <w:jc w:val="both"/>
        <w:rPr>
          <w:sz w:val="20"/>
          <w:szCs w:val="20"/>
          <w:lang w:val="en-US"/>
        </w:rPr>
      </w:pPr>
    </w:p>
    <w:p w14:paraId="10F76EC2"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 xml:space="preserve">In cases of violence against women, </w:t>
      </w:r>
      <w:r w:rsidR="000B40BF" w:rsidRPr="00785D06">
        <w:rPr>
          <w:rFonts w:cs="Tahoma"/>
          <w:sz w:val="20"/>
          <w:szCs w:val="20"/>
          <w:lang w:val="en-US"/>
        </w:rPr>
        <w:t>the general obligations established in</w:t>
      </w:r>
      <w:r w:rsidR="000B40BF" w:rsidRPr="00785D06">
        <w:rPr>
          <w:sz w:val="20"/>
          <w:szCs w:val="20"/>
          <w:lang w:val="en-US"/>
        </w:rPr>
        <w:t xml:space="preserve"> Articles 8 and 25 of the American Convention are supplemented and enhanced for those States that are party to the Convention of Belém do Pará by the obligations derived from</w:t>
      </w:r>
      <w:r w:rsidR="000B40BF" w:rsidRPr="00785D06">
        <w:rPr>
          <w:rFonts w:eastAsia="Times New Roman"/>
          <w:sz w:val="20"/>
          <w:szCs w:val="20"/>
          <w:lang w:val="en-US" w:eastAsia="es-ES" w:bidi="es-ES"/>
        </w:rPr>
        <w:t xml:space="preserve"> this specific inter-American treaty. Article 7.b of this</w:t>
      </w:r>
      <w:r w:rsidRPr="00785D06">
        <w:rPr>
          <w:rFonts w:eastAsia="Times New Roman"/>
          <w:sz w:val="20"/>
          <w:szCs w:val="20"/>
          <w:lang w:val="en-US" w:eastAsia="es-ES" w:bidi="es-ES"/>
        </w:rPr>
        <w:t xml:space="preserve"> Convention sp</w:t>
      </w:r>
      <w:r w:rsidR="000B40BF" w:rsidRPr="00785D06">
        <w:rPr>
          <w:rFonts w:eastAsia="Times New Roman"/>
          <w:sz w:val="20"/>
          <w:szCs w:val="20"/>
          <w:lang w:val="en-US" w:eastAsia="es-ES" w:bidi="es-ES"/>
        </w:rPr>
        <w:t>ecifically requires the States p</w:t>
      </w:r>
      <w:r w:rsidRPr="00785D06">
        <w:rPr>
          <w:rFonts w:eastAsia="Times New Roman"/>
          <w:sz w:val="20"/>
          <w:szCs w:val="20"/>
          <w:lang w:val="en-US" w:eastAsia="es-ES" w:bidi="es-ES"/>
        </w:rPr>
        <w:t xml:space="preserve">arties to </w:t>
      </w:r>
      <w:r w:rsidR="000B40BF" w:rsidRPr="00785D06">
        <w:rPr>
          <w:rFonts w:eastAsia="Times New Roman"/>
          <w:sz w:val="20"/>
          <w:szCs w:val="20"/>
          <w:lang w:val="en-US" w:eastAsia="es-ES" w:bidi="es-ES"/>
        </w:rPr>
        <w:t xml:space="preserve">apply </w:t>
      </w:r>
      <w:r w:rsidRPr="00785D06">
        <w:rPr>
          <w:rFonts w:eastAsia="Times New Roman"/>
          <w:sz w:val="20"/>
          <w:szCs w:val="20"/>
          <w:lang w:val="en-US" w:eastAsia="es-ES" w:bidi="es-ES"/>
        </w:rPr>
        <w:t>due diligence to prevent, punish and eradicate violence against women.</w:t>
      </w:r>
      <w:r w:rsidRPr="00785D06">
        <w:rPr>
          <w:rStyle w:val="Refdenotaalpie"/>
          <w:rFonts w:eastAsia="Times New Roman"/>
          <w:sz w:val="20"/>
          <w:szCs w:val="20"/>
          <w:lang w:val="en-US" w:eastAsia="es-ES" w:bidi="es-ES"/>
        </w:rPr>
        <w:footnoteReference w:id="174"/>
      </w:r>
      <w:r w:rsidRPr="00785D06">
        <w:rPr>
          <w:rFonts w:eastAsia="Times New Roman"/>
          <w:sz w:val="20"/>
          <w:szCs w:val="20"/>
          <w:lang w:val="en-US" w:eastAsia="es-ES" w:bidi="es-ES"/>
        </w:rPr>
        <w:t xml:space="preserve"> </w:t>
      </w:r>
      <w:r w:rsidR="00096775" w:rsidRPr="00785D06">
        <w:rPr>
          <w:rFonts w:eastAsia="Times New Roman"/>
          <w:sz w:val="20"/>
          <w:szCs w:val="20"/>
          <w:lang w:val="en-US" w:eastAsia="es-ES" w:bidi="es-ES"/>
        </w:rPr>
        <w:t>Thus, w</w:t>
      </w:r>
      <w:r w:rsidR="000B40BF" w:rsidRPr="00785D06">
        <w:rPr>
          <w:rFonts w:eastAsia="Times New Roman"/>
          <w:sz w:val="20"/>
          <w:szCs w:val="20"/>
          <w:lang w:val="en-US" w:eastAsia="es-ES" w:bidi="es-ES"/>
        </w:rPr>
        <w:t xml:space="preserve">hen </w:t>
      </w:r>
      <w:r w:rsidRPr="00785D06">
        <w:rPr>
          <w:rFonts w:eastAsia="Times New Roman"/>
          <w:sz w:val="20"/>
          <w:szCs w:val="20"/>
          <w:lang w:val="en-US" w:eastAsia="es-ES" w:bidi="es-ES"/>
        </w:rPr>
        <w:t xml:space="preserve">an </w:t>
      </w:r>
      <w:r w:rsidRPr="00785D06">
        <w:rPr>
          <w:rFonts w:eastAsia="Verdana"/>
          <w:sz w:val="20"/>
          <w:szCs w:val="20"/>
          <w:lang w:val="en-US" w:eastAsia="es-ES" w:bidi="es-ES"/>
        </w:rPr>
        <w:t xml:space="preserve">act of violence </w:t>
      </w:r>
      <w:r w:rsidR="00096775" w:rsidRPr="00785D06">
        <w:rPr>
          <w:rFonts w:eastAsia="Verdana"/>
          <w:sz w:val="20"/>
          <w:szCs w:val="20"/>
          <w:lang w:val="en-US" w:eastAsia="es-ES" w:bidi="es-ES"/>
        </w:rPr>
        <w:t xml:space="preserve">is committed </w:t>
      </w:r>
      <w:r w:rsidRPr="00785D06">
        <w:rPr>
          <w:rFonts w:eastAsia="Verdana"/>
          <w:sz w:val="20"/>
          <w:szCs w:val="20"/>
          <w:lang w:val="en-US" w:eastAsia="es-ES" w:bidi="es-ES"/>
        </w:rPr>
        <w:t>against a woman, it is particularly important that the authorities in charge of the investigation c</w:t>
      </w:r>
      <w:r w:rsidR="00096775" w:rsidRPr="00785D06">
        <w:rPr>
          <w:rFonts w:eastAsia="Verdana"/>
          <w:sz w:val="20"/>
          <w:szCs w:val="20"/>
          <w:lang w:val="en-US" w:eastAsia="es-ES" w:bidi="es-ES"/>
        </w:rPr>
        <w:t xml:space="preserve">onduct it </w:t>
      </w:r>
      <w:r w:rsidRPr="00785D06">
        <w:rPr>
          <w:rFonts w:eastAsia="Verdana"/>
          <w:sz w:val="20"/>
          <w:szCs w:val="20"/>
          <w:lang w:val="en-US" w:eastAsia="es-ES" w:bidi="es-ES"/>
        </w:rPr>
        <w:t xml:space="preserve">with determination and efficacy, </w:t>
      </w:r>
      <w:r w:rsidR="00096775" w:rsidRPr="00785D06">
        <w:rPr>
          <w:rFonts w:eastAsia="Verdana"/>
          <w:sz w:val="20"/>
          <w:szCs w:val="20"/>
          <w:lang w:val="en-US" w:eastAsia="es-ES" w:bidi="es-ES"/>
        </w:rPr>
        <w:t xml:space="preserve">taking into account </w:t>
      </w:r>
      <w:r w:rsidRPr="00785D06">
        <w:rPr>
          <w:rFonts w:eastAsia="Verdana"/>
          <w:sz w:val="20"/>
          <w:szCs w:val="20"/>
          <w:lang w:val="en-US" w:eastAsia="es-ES" w:bidi="es-ES"/>
        </w:rPr>
        <w:t>their duty to society to reject violence against women and the State’s obligation</w:t>
      </w:r>
      <w:r w:rsidR="00096775" w:rsidRPr="00785D06">
        <w:rPr>
          <w:rFonts w:eastAsia="Verdana"/>
          <w:sz w:val="20"/>
          <w:szCs w:val="20"/>
          <w:lang w:val="en-US" w:eastAsia="es-ES" w:bidi="es-ES"/>
        </w:rPr>
        <w:t xml:space="preserve"> to eradicate </w:t>
      </w:r>
      <w:r w:rsidR="00D13E9D" w:rsidRPr="00785D06">
        <w:rPr>
          <w:rFonts w:eastAsia="Verdana"/>
          <w:sz w:val="20"/>
          <w:szCs w:val="20"/>
          <w:lang w:val="en-US" w:eastAsia="es-ES" w:bidi="es-ES"/>
        </w:rPr>
        <w:t xml:space="preserve">it </w:t>
      </w:r>
      <w:r w:rsidRPr="00785D06">
        <w:rPr>
          <w:rFonts w:eastAsia="Verdana"/>
          <w:sz w:val="20"/>
          <w:szCs w:val="20"/>
          <w:lang w:val="en-US" w:eastAsia="es-ES" w:bidi="es-ES"/>
        </w:rPr>
        <w:t xml:space="preserve">and </w:t>
      </w:r>
      <w:r w:rsidR="00096775" w:rsidRPr="00785D06">
        <w:rPr>
          <w:rFonts w:eastAsia="Verdana"/>
          <w:sz w:val="20"/>
          <w:szCs w:val="20"/>
          <w:lang w:val="en-US" w:eastAsia="es-ES" w:bidi="es-ES"/>
        </w:rPr>
        <w:t xml:space="preserve">ensure that victims have confidence in the </w:t>
      </w:r>
      <w:r w:rsidRPr="00785D06">
        <w:rPr>
          <w:rFonts w:eastAsia="Verdana"/>
          <w:sz w:val="20"/>
          <w:szCs w:val="20"/>
          <w:lang w:val="en-US" w:eastAsia="es-ES" w:bidi="es-ES"/>
        </w:rPr>
        <w:t xml:space="preserve">institutions </w:t>
      </w:r>
      <w:r w:rsidR="00096775" w:rsidRPr="00785D06">
        <w:rPr>
          <w:rFonts w:eastAsia="Verdana"/>
          <w:sz w:val="20"/>
          <w:szCs w:val="20"/>
          <w:lang w:val="en-US" w:eastAsia="es-ES" w:bidi="es-ES"/>
        </w:rPr>
        <w:t xml:space="preserve">established by the State </w:t>
      </w:r>
      <w:r w:rsidRPr="00785D06">
        <w:rPr>
          <w:rFonts w:eastAsia="Verdana"/>
          <w:sz w:val="20"/>
          <w:szCs w:val="20"/>
          <w:lang w:val="en-US" w:eastAsia="es-ES" w:bidi="es-ES"/>
        </w:rPr>
        <w:t>for their protection</w:t>
      </w:r>
      <w:r w:rsidR="008549E5" w:rsidRPr="00785D06">
        <w:rPr>
          <w:rFonts w:eastAsia="Verdana"/>
          <w:sz w:val="20"/>
          <w:szCs w:val="20"/>
          <w:lang w:val="en-US" w:eastAsia="es-ES" w:bidi="es-ES"/>
        </w:rPr>
        <w:t>.</w:t>
      </w:r>
      <w:r w:rsidRPr="00785D06">
        <w:rPr>
          <w:rStyle w:val="Refdenotaalpie"/>
          <w:rFonts w:eastAsia="Verdana"/>
          <w:sz w:val="20"/>
          <w:szCs w:val="20"/>
          <w:lang w:val="en-US" w:eastAsia="es-ES" w:bidi="es-ES"/>
        </w:rPr>
        <w:footnoteReference w:id="175"/>
      </w:r>
      <w:r w:rsidRPr="00785D06">
        <w:rPr>
          <w:rFonts w:eastAsia="Verdana"/>
          <w:sz w:val="20"/>
          <w:szCs w:val="20"/>
          <w:lang w:val="en-US" w:eastAsia="es-ES" w:bidi="es-ES"/>
        </w:rPr>
        <w:t xml:space="preserve"> </w:t>
      </w:r>
    </w:p>
    <w:p w14:paraId="7F60CC35" w14:textId="77777777" w:rsidR="00C254BF" w:rsidRPr="00785D06" w:rsidRDefault="00C254BF" w:rsidP="00C254BF">
      <w:pPr>
        <w:jc w:val="both"/>
        <w:rPr>
          <w:sz w:val="20"/>
          <w:szCs w:val="20"/>
          <w:lang w:val="en-US"/>
        </w:rPr>
      </w:pPr>
    </w:p>
    <w:p w14:paraId="3F871540"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The Court has </w:t>
      </w:r>
      <w:r w:rsidR="008F49E7" w:rsidRPr="00785D06">
        <w:rPr>
          <w:sz w:val="20"/>
          <w:szCs w:val="20"/>
          <w:lang w:val="en-US"/>
        </w:rPr>
        <w:t xml:space="preserve">indicated </w:t>
      </w:r>
      <w:r w:rsidRPr="00785D06">
        <w:rPr>
          <w:sz w:val="20"/>
          <w:szCs w:val="20"/>
          <w:lang w:val="en-US"/>
        </w:rPr>
        <w:t>that the obligation to investigate and the corresponding right of the alleged victim</w:t>
      </w:r>
      <w:r w:rsidR="008F49E7" w:rsidRPr="00785D06">
        <w:rPr>
          <w:sz w:val="20"/>
          <w:szCs w:val="20"/>
          <w:lang w:val="en-US"/>
        </w:rPr>
        <w:t xml:space="preserve"> or of his</w:t>
      </w:r>
      <w:r w:rsidRPr="00785D06">
        <w:rPr>
          <w:sz w:val="20"/>
          <w:szCs w:val="20"/>
          <w:lang w:val="en-US"/>
        </w:rPr>
        <w:t xml:space="preserve"> relatives </w:t>
      </w:r>
      <w:r w:rsidR="008F49E7" w:rsidRPr="00785D06">
        <w:rPr>
          <w:sz w:val="20"/>
          <w:szCs w:val="20"/>
          <w:lang w:val="en-US"/>
        </w:rPr>
        <w:t xml:space="preserve">does not derive solely from </w:t>
      </w:r>
      <w:r w:rsidRPr="00785D06">
        <w:rPr>
          <w:sz w:val="20"/>
          <w:szCs w:val="20"/>
          <w:lang w:val="en-US"/>
        </w:rPr>
        <w:t xml:space="preserve">the conventional norms of international law </w:t>
      </w:r>
      <w:r w:rsidR="008F49E7" w:rsidRPr="00785D06">
        <w:rPr>
          <w:sz w:val="20"/>
          <w:szCs w:val="20"/>
          <w:lang w:val="en-US"/>
        </w:rPr>
        <w:t>that must be observed by the States Parties</w:t>
      </w:r>
      <w:r w:rsidRPr="00785D06">
        <w:rPr>
          <w:sz w:val="20"/>
          <w:szCs w:val="20"/>
          <w:lang w:val="en-US"/>
        </w:rPr>
        <w:t xml:space="preserve">, but also from </w:t>
      </w:r>
      <w:r w:rsidR="00D30795" w:rsidRPr="00785D06">
        <w:rPr>
          <w:sz w:val="20"/>
          <w:szCs w:val="20"/>
          <w:lang w:val="en-US"/>
        </w:rPr>
        <w:t xml:space="preserve">their </w:t>
      </w:r>
      <w:r w:rsidR="008F49E7" w:rsidRPr="00785D06">
        <w:rPr>
          <w:sz w:val="20"/>
          <w:szCs w:val="20"/>
          <w:lang w:val="en-US"/>
        </w:rPr>
        <w:t xml:space="preserve">domestic legislation that makes reference to the duty to investigate certain unlawful </w:t>
      </w:r>
      <w:r w:rsidR="00D30795" w:rsidRPr="00785D06">
        <w:rPr>
          <w:sz w:val="20"/>
          <w:szCs w:val="20"/>
          <w:lang w:val="en-US"/>
        </w:rPr>
        <w:t>acts</w:t>
      </w:r>
      <w:r w:rsidR="008F49E7" w:rsidRPr="00785D06">
        <w:rPr>
          <w:sz w:val="20"/>
          <w:szCs w:val="20"/>
          <w:lang w:val="en-US"/>
        </w:rPr>
        <w:t>, and from the norms that allow the victims or their family members</w:t>
      </w:r>
      <w:r w:rsidRPr="00785D06">
        <w:rPr>
          <w:sz w:val="20"/>
          <w:szCs w:val="20"/>
          <w:lang w:val="en-US"/>
        </w:rPr>
        <w:t xml:space="preserve"> to </w:t>
      </w:r>
      <w:r w:rsidR="008F49E7" w:rsidRPr="00785D06">
        <w:rPr>
          <w:sz w:val="20"/>
          <w:szCs w:val="20"/>
          <w:lang w:val="en-US"/>
        </w:rPr>
        <w:t xml:space="preserve">report </w:t>
      </w:r>
      <w:r w:rsidRPr="00785D06">
        <w:rPr>
          <w:sz w:val="20"/>
          <w:szCs w:val="20"/>
          <w:lang w:val="en-US"/>
        </w:rPr>
        <w:t xml:space="preserve">or </w:t>
      </w:r>
      <w:r w:rsidR="008F49E7" w:rsidRPr="00785D06">
        <w:rPr>
          <w:sz w:val="20"/>
          <w:szCs w:val="20"/>
          <w:lang w:val="en-US"/>
        </w:rPr>
        <w:t xml:space="preserve">file </w:t>
      </w:r>
      <w:r w:rsidRPr="00785D06">
        <w:rPr>
          <w:sz w:val="20"/>
          <w:szCs w:val="20"/>
          <w:lang w:val="en-US"/>
        </w:rPr>
        <w:t xml:space="preserve">complaints, evidence or petitions or </w:t>
      </w:r>
      <w:r w:rsidR="008F49E7" w:rsidRPr="00785D06">
        <w:rPr>
          <w:sz w:val="20"/>
          <w:szCs w:val="20"/>
          <w:lang w:val="en-US"/>
        </w:rPr>
        <w:t>undertake any other action for</w:t>
      </w:r>
      <w:r w:rsidRPr="00785D06">
        <w:rPr>
          <w:sz w:val="20"/>
          <w:szCs w:val="20"/>
          <w:lang w:val="en-US"/>
        </w:rPr>
        <w:t xml:space="preserve"> the purpose of </w:t>
      </w:r>
      <w:r w:rsidR="00D30795" w:rsidRPr="00785D06">
        <w:rPr>
          <w:sz w:val="20"/>
          <w:szCs w:val="20"/>
          <w:lang w:val="en-US"/>
        </w:rPr>
        <w:t>participating</w:t>
      </w:r>
      <w:r w:rsidRPr="00785D06">
        <w:rPr>
          <w:sz w:val="20"/>
          <w:szCs w:val="20"/>
          <w:lang w:val="en-US"/>
        </w:rPr>
        <w:t xml:space="preserve"> </w:t>
      </w:r>
      <w:r w:rsidR="00D13E9D" w:rsidRPr="00785D06">
        <w:rPr>
          <w:sz w:val="20"/>
          <w:szCs w:val="20"/>
          <w:lang w:val="en-US"/>
        </w:rPr>
        <w:t xml:space="preserve">in </w:t>
      </w:r>
      <w:r w:rsidR="00D30795" w:rsidRPr="00785D06">
        <w:rPr>
          <w:sz w:val="20"/>
          <w:szCs w:val="20"/>
          <w:lang w:val="en-US"/>
        </w:rPr>
        <w:t>criminal proceedings in order to establish the truth of the events</w:t>
      </w:r>
      <w:r w:rsidR="008549E5" w:rsidRPr="00785D06">
        <w:rPr>
          <w:sz w:val="20"/>
          <w:szCs w:val="20"/>
          <w:lang w:val="en-US"/>
        </w:rPr>
        <w:t>.</w:t>
      </w:r>
      <w:r w:rsidRPr="00785D06">
        <w:rPr>
          <w:rStyle w:val="Refdenotaalpie"/>
          <w:sz w:val="20"/>
          <w:szCs w:val="20"/>
          <w:lang w:val="en-US"/>
        </w:rPr>
        <w:footnoteReference w:id="176"/>
      </w:r>
      <w:r w:rsidRPr="00785D06">
        <w:rPr>
          <w:sz w:val="20"/>
          <w:szCs w:val="20"/>
          <w:lang w:val="en-US"/>
        </w:rPr>
        <w:t xml:space="preserve"> </w:t>
      </w:r>
    </w:p>
    <w:p w14:paraId="3C4705CD" w14:textId="77777777" w:rsidR="00C254BF" w:rsidRPr="00785D06" w:rsidRDefault="00C254BF" w:rsidP="00C254BF">
      <w:pPr>
        <w:jc w:val="both"/>
        <w:rPr>
          <w:rFonts w:eastAsia="Times New Roman"/>
          <w:sz w:val="20"/>
          <w:szCs w:val="20"/>
          <w:lang w:val="en-US" w:eastAsia="es-ES" w:bidi="es-ES"/>
        </w:rPr>
      </w:pPr>
    </w:p>
    <w:p w14:paraId="0BB6633E"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The Cour</w:t>
      </w:r>
      <w:r w:rsidR="00D30795" w:rsidRPr="00785D06">
        <w:rPr>
          <w:rFonts w:eastAsia="Times New Roman"/>
          <w:sz w:val="20"/>
          <w:szCs w:val="20"/>
          <w:lang w:val="en-US" w:eastAsia="es-ES" w:bidi="es-ES"/>
        </w:rPr>
        <w:t xml:space="preserve">t will </w:t>
      </w:r>
      <w:r w:rsidRPr="00785D06">
        <w:rPr>
          <w:rFonts w:eastAsia="Times New Roman"/>
          <w:sz w:val="20"/>
          <w:szCs w:val="20"/>
          <w:lang w:val="en-US" w:eastAsia="es-ES" w:bidi="es-ES"/>
        </w:rPr>
        <w:t>analyze the arguments of the parties and of the Commission in the following order: a) reasonable time of the investigation, b) the</w:t>
      </w:r>
      <w:r w:rsidR="00D13E9D" w:rsidRPr="00785D06">
        <w:rPr>
          <w:rFonts w:eastAsia="Times New Roman"/>
          <w:sz w:val="20"/>
          <w:szCs w:val="20"/>
          <w:lang w:val="en-US" w:eastAsia="es-ES" w:bidi="es-ES"/>
        </w:rPr>
        <w:t xml:space="preserve"> use of gender stereotypes, </w:t>
      </w:r>
      <w:r w:rsidRPr="00785D06">
        <w:rPr>
          <w:rFonts w:eastAsia="Times New Roman"/>
          <w:sz w:val="20"/>
          <w:szCs w:val="20"/>
          <w:lang w:val="en-US" w:eastAsia="es-ES" w:bidi="es-ES"/>
        </w:rPr>
        <w:t xml:space="preserve">c) the civil </w:t>
      </w:r>
      <w:r w:rsidR="00D30795" w:rsidRPr="00785D06">
        <w:rPr>
          <w:rFonts w:eastAsia="Times New Roman"/>
          <w:sz w:val="20"/>
          <w:szCs w:val="20"/>
          <w:lang w:val="en-US" w:eastAsia="es-ES" w:bidi="es-ES"/>
        </w:rPr>
        <w:t xml:space="preserve">lawsuit </w:t>
      </w:r>
      <w:r w:rsidRPr="00785D06">
        <w:rPr>
          <w:rFonts w:eastAsia="Times New Roman"/>
          <w:sz w:val="20"/>
          <w:szCs w:val="20"/>
          <w:lang w:val="en-US" w:eastAsia="es-ES" w:bidi="es-ES"/>
        </w:rPr>
        <w:t>for damages; and d) conclusions.</w:t>
      </w:r>
    </w:p>
    <w:p w14:paraId="6F09E5DC" w14:textId="77777777" w:rsidR="00C254BF" w:rsidRPr="00785D06" w:rsidRDefault="00C254BF" w:rsidP="00C254BF">
      <w:pPr>
        <w:pStyle w:val="Prrafodelista"/>
        <w:rPr>
          <w:rFonts w:eastAsia="Times New Roman"/>
          <w:sz w:val="20"/>
          <w:szCs w:val="20"/>
          <w:lang w:val="en-US" w:eastAsia="es-ES" w:bidi="es-ES"/>
        </w:rPr>
      </w:pPr>
    </w:p>
    <w:p w14:paraId="69C42CCB" w14:textId="77777777" w:rsidR="00C254BF" w:rsidRPr="00785D06" w:rsidRDefault="00C254BF" w:rsidP="00C254BF">
      <w:pPr>
        <w:pStyle w:val="Prrafodelista"/>
        <w:ind w:left="567"/>
        <w:contextualSpacing w:val="0"/>
        <w:jc w:val="both"/>
        <w:outlineLvl w:val="2"/>
        <w:rPr>
          <w:rFonts w:eastAsia="Calibri"/>
          <w:bCs/>
          <w:sz w:val="20"/>
          <w:szCs w:val="20"/>
          <w:lang w:val="en-US"/>
        </w:rPr>
      </w:pPr>
      <w:bookmarkStart w:id="134" w:name="_Toc42498061"/>
      <w:bookmarkStart w:id="135" w:name="_Toc46937309"/>
      <w:r w:rsidRPr="00785D06">
        <w:rPr>
          <w:rFonts w:eastAsia="Times New Roman"/>
          <w:i/>
          <w:sz w:val="20"/>
          <w:szCs w:val="20"/>
          <w:lang w:val="en-US" w:eastAsia="es-ES" w:bidi="es-ES"/>
        </w:rPr>
        <w:t xml:space="preserve">B.1 </w:t>
      </w:r>
      <w:r w:rsidRPr="00785D06">
        <w:rPr>
          <w:rFonts w:eastAsia="Times New Roman"/>
          <w:i/>
          <w:sz w:val="20"/>
          <w:szCs w:val="20"/>
          <w:u w:val="single"/>
          <w:lang w:val="en-US" w:eastAsia="es-ES" w:bidi="es-ES"/>
        </w:rPr>
        <w:t>Reasonable time of the investigation</w:t>
      </w:r>
      <w:bookmarkEnd w:id="134"/>
      <w:bookmarkEnd w:id="135"/>
    </w:p>
    <w:p w14:paraId="25F75BF6" w14:textId="77777777" w:rsidR="00C254BF" w:rsidRPr="00785D06" w:rsidRDefault="00C254BF" w:rsidP="00C254BF">
      <w:pPr>
        <w:jc w:val="both"/>
        <w:rPr>
          <w:rFonts w:eastAsia="Calibri"/>
          <w:bCs/>
          <w:sz w:val="20"/>
          <w:szCs w:val="20"/>
          <w:lang w:val="en-US"/>
        </w:rPr>
      </w:pPr>
    </w:p>
    <w:p w14:paraId="1D8FBBA5"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Calibri"/>
          <w:bCs/>
          <w:sz w:val="20"/>
          <w:szCs w:val="20"/>
          <w:lang w:val="en-US"/>
        </w:rPr>
        <w:t xml:space="preserve">The Court has indicated that the right </w:t>
      </w:r>
      <w:r w:rsidR="00971F64" w:rsidRPr="00785D06">
        <w:rPr>
          <w:rFonts w:eastAsia="Calibri"/>
          <w:bCs/>
          <w:sz w:val="20"/>
          <w:szCs w:val="20"/>
          <w:lang w:val="en-US"/>
        </w:rPr>
        <w:t xml:space="preserve">of </w:t>
      </w:r>
      <w:r w:rsidRPr="00785D06">
        <w:rPr>
          <w:rFonts w:eastAsia="Calibri"/>
          <w:bCs/>
          <w:sz w:val="20"/>
          <w:szCs w:val="20"/>
          <w:lang w:val="en-US"/>
        </w:rPr>
        <w:t xml:space="preserve">access to justice </w:t>
      </w:r>
      <w:r w:rsidR="00D13E9D" w:rsidRPr="00785D06">
        <w:rPr>
          <w:rFonts w:eastAsia="Calibri"/>
          <w:bCs/>
          <w:sz w:val="20"/>
          <w:szCs w:val="20"/>
          <w:lang w:val="en-US"/>
        </w:rPr>
        <w:t xml:space="preserve">entails </w:t>
      </w:r>
      <w:r w:rsidR="008549E5" w:rsidRPr="00785D06">
        <w:rPr>
          <w:rFonts w:eastAsia="Calibri"/>
          <w:bCs/>
          <w:sz w:val="20"/>
          <w:szCs w:val="20"/>
          <w:lang w:val="en-US"/>
        </w:rPr>
        <w:t xml:space="preserve">an effective </w:t>
      </w:r>
      <w:r w:rsidR="00971F64" w:rsidRPr="00785D06">
        <w:rPr>
          <w:rFonts w:eastAsia="Calibri"/>
          <w:bCs/>
          <w:sz w:val="20"/>
          <w:szCs w:val="20"/>
          <w:lang w:val="en-US"/>
        </w:rPr>
        <w:t xml:space="preserve">investigation of </w:t>
      </w:r>
      <w:r w:rsidRPr="00785D06">
        <w:rPr>
          <w:rFonts w:eastAsia="Calibri"/>
          <w:bCs/>
          <w:sz w:val="20"/>
          <w:szCs w:val="20"/>
          <w:lang w:val="en-US"/>
        </w:rPr>
        <w:t xml:space="preserve">the facts </w:t>
      </w:r>
      <w:r w:rsidR="00971F64" w:rsidRPr="00785D06">
        <w:rPr>
          <w:rFonts w:eastAsia="Calibri"/>
          <w:bCs/>
          <w:sz w:val="20"/>
          <w:szCs w:val="20"/>
          <w:lang w:val="en-US"/>
        </w:rPr>
        <w:t xml:space="preserve">and the determination of the corresponding criminal responsibilities, </w:t>
      </w:r>
      <w:r w:rsidRPr="00785D06">
        <w:rPr>
          <w:rFonts w:eastAsia="Calibri"/>
          <w:bCs/>
          <w:sz w:val="20"/>
          <w:szCs w:val="20"/>
          <w:lang w:val="en-US"/>
        </w:rPr>
        <w:t xml:space="preserve">as appropriate, </w:t>
      </w:r>
      <w:r w:rsidR="008549E5" w:rsidRPr="00785D06">
        <w:rPr>
          <w:rFonts w:eastAsia="Calibri"/>
          <w:bCs/>
          <w:sz w:val="20"/>
          <w:szCs w:val="20"/>
          <w:lang w:val="en-US"/>
        </w:rPr>
        <w:t>with</w:t>
      </w:r>
      <w:r w:rsidRPr="00785D06">
        <w:rPr>
          <w:rFonts w:eastAsia="Calibri"/>
          <w:bCs/>
          <w:sz w:val="20"/>
          <w:szCs w:val="20"/>
          <w:lang w:val="en-US"/>
        </w:rPr>
        <w:t>in a reasonable time,</w:t>
      </w:r>
      <w:r w:rsidR="00971F64" w:rsidRPr="00785D06">
        <w:rPr>
          <w:rFonts w:eastAsia="Calibri"/>
          <w:bCs/>
          <w:sz w:val="20"/>
          <w:szCs w:val="20"/>
          <w:lang w:val="en-US"/>
        </w:rPr>
        <w:t xml:space="preserve"> </w:t>
      </w:r>
      <w:r w:rsidR="0072217F" w:rsidRPr="00785D06">
        <w:rPr>
          <w:rFonts w:eastAsia="Calibri"/>
          <w:bCs/>
          <w:sz w:val="20"/>
          <w:szCs w:val="20"/>
          <w:lang w:val="en-US"/>
        </w:rPr>
        <w:t xml:space="preserve">since </w:t>
      </w:r>
      <w:r w:rsidRPr="00785D06">
        <w:rPr>
          <w:rFonts w:eastAsia="Calibri"/>
          <w:bCs/>
          <w:sz w:val="20"/>
          <w:szCs w:val="20"/>
          <w:lang w:val="en-US"/>
        </w:rPr>
        <w:t xml:space="preserve">a prolonged delay </w:t>
      </w:r>
      <w:r w:rsidR="00BB14FE" w:rsidRPr="00785D06">
        <w:rPr>
          <w:rFonts w:eastAsia="Calibri"/>
          <w:bCs/>
          <w:sz w:val="20"/>
          <w:szCs w:val="20"/>
          <w:lang w:val="en-US"/>
        </w:rPr>
        <w:t xml:space="preserve">may, in itself, </w:t>
      </w:r>
      <w:r w:rsidR="0072217F" w:rsidRPr="00785D06">
        <w:rPr>
          <w:rFonts w:eastAsia="Calibri"/>
          <w:bCs/>
          <w:sz w:val="20"/>
          <w:szCs w:val="20"/>
          <w:lang w:val="en-US"/>
        </w:rPr>
        <w:t>constitute</w:t>
      </w:r>
      <w:r w:rsidR="00B87C35" w:rsidRPr="00785D06">
        <w:rPr>
          <w:sz w:val="20"/>
          <w:szCs w:val="20"/>
          <w:lang w:val="en-US"/>
        </w:rPr>
        <w:t xml:space="preserve"> a violation of</w:t>
      </w:r>
      <w:r w:rsidR="00B87C35" w:rsidRPr="00785D06">
        <w:rPr>
          <w:lang w:val="en-US"/>
        </w:rPr>
        <w:t xml:space="preserve"> </w:t>
      </w:r>
      <w:r w:rsidRPr="00785D06">
        <w:rPr>
          <w:rFonts w:eastAsia="Calibri"/>
          <w:bCs/>
          <w:sz w:val="20"/>
          <w:szCs w:val="20"/>
          <w:lang w:val="en-US"/>
        </w:rPr>
        <w:t>judicial guarantees</w:t>
      </w:r>
      <w:r w:rsidR="009F758D" w:rsidRPr="00785D06">
        <w:rPr>
          <w:rFonts w:eastAsia="Calibri"/>
          <w:bCs/>
          <w:sz w:val="20"/>
          <w:szCs w:val="20"/>
          <w:lang w:val="en-US"/>
        </w:rPr>
        <w:t>.</w:t>
      </w:r>
      <w:r w:rsidRPr="00785D06">
        <w:rPr>
          <w:rStyle w:val="Refdenotaalpie"/>
          <w:rFonts w:eastAsia="Calibri"/>
          <w:bCs/>
          <w:sz w:val="20"/>
          <w:szCs w:val="20"/>
          <w:lang w:val="en-US"/>
        </w:rPr>
        <w:footnoteReference w:id="177"/>
      </w:r>
    </w:p>
    <w:p w14:paraId="2E1E632A" w14:textId="77777777" w:rsidR="00C254BF" w:rsidRPr="00785D06" w:rsidRDefault="00C254BF" w:rsidP="00C254BF">
      <w:pPr>
        <w:pStyle w:val="Prrafodelista"/>
        <w:ind w:left="0"/>
        <w:contextualSpacing w:val="0"/>
        <w:jc w:val="both"/>
        <w:rPr>
          <w:sz w:val="20"/>
          <w:szCs w:val="20"/>
          <w:lang w:val="en-US"/>
        </w:rPr>
      </w:pPr>
    </w:p>
    <w:p w14:paraId="5ECEFAE7" w14:textId="77777777" w:rsidR="00C254BF" w:rsidRPr="00785D06" w:rsidRDefault="00D13E9D" w:rsidP="00C254BF">
      <w:pPr>
        <w:pStyle w:val="Prrafodelista"/>
        <w:numPr>
          <w:ilvl w:val="0"/>
          <w:numId w:val="35"/>
        </w:numPr>
        <w:ind w:left="0" w:firstLine="0"/>
        <w:contextualSpacing w:val="0"/>
        <w:jc w:val="both"/>
        <w:rPr>
          <w:sz w:val="20"/>
          <w:szCs w:val="20"/>
          <w:lang w:val="en-US"/>
        </w:rPr>
      </w:pPr>
      <w:r w:rsidRPr="00785D06">
        <w:rPr>
          <w:sz w:val="20"/>
          <w:szCs w:val="20"/>
          <w:lang w:val="en-US"/>
        </w:rPr>
        <w:t>Al</w:t>
      </w:r>
      <w:r w:rsidR="0072217F" w:rsidRPr="00785D06">
        <w:rPr>
          <w:sz w:val="20"/>
          <w:szCs w:val="20"/>
          <w:lang w:val="en-US"/>
        </w:rPr>
        <w:t xml:space="preserve">though </w:t>
      </w:r>
      <w:r w:rsidR="00C254BF" w:rsidRPr="00785D06">
        <w:rPr>
          <w:sz w:val="20"/>
          <w:szCs w:val="20"/>
          <w:lang w:val="en-US"/>
        </w:rPr>
        <w:t>it is true that</w:t>
      </w:r>
      <w:r w:rsidR="00B511E1" w:rsidRPr="00785D06">
        <w:rPr>
          <w:sz w:val="20"/>
          <w:szCs w:val="20"/>
          <w:lang w:val="en-US"/>
        </w:rPr>
        <w:t>,</w:t>
      </w:r>
      <w:r w:rsidR="00D43931" w:rsidRPr="00785D06">
        <w:rPr>
          <w:sz w:val="20"/>
          <w:szCs w:val="20"/>
          <w:lang w:val="en-US"/>
        </w:rPr>
        <w:t xml:space="preserve"> in order to</w:t>
      </w:r>
      <w:r w:rsidR="00C254BF" w:rsidRPr="00785D06">
        <w:rPr>
          <w:sz w:val="20"/>
          <w:szCs w:val="20"/>
          <w:lang w:val="en-US"/>
        </w:rPr>
        <w:t xml:space="preserve"> </w:t>
      </w:r>
      <w:r w:rsidR="0072217F" w:rsidRPr="00785D06">
        <w:rPr>
          <w:sz w:val="20"/>
          <w:szCs w:val="20"/>
          <w:lang w:val="en-US"/>
        </w:rPr>
        <w:t>assess</w:t>
      </w:r>
      <w:r w:rsidR="00D75944" w:rsidRPr="00785D06">
        <w:rPr>
          <w:sz w:val="20"/>
          <w:szCs w:val="20"/>
          <w:lang w:val="en-US"/>
        </w:rPr>
        <w:t xml:space="preserve"> </w:t>
      </w:r>
      <w:r w:rsidR="00C254BF" w:rsidRPr="00785D06">
        <w:rPr>
          <w:sz w:val="20"/>
          <w:szCs w:val="20"/>
          <w:lang w:val="en-US"/>
        </w:rPr>
        <w:t xml:space="preserve">the reasonable </w:t>
      </w:r>
      <w:r w:rsidR="00D75944" w:rsidRPr="00785D06">
        <w:rPr>
          <w:sz w:val="20"/>
          <w:szCs w:val="20"/>
          <w:lang w:val="en-US"/>
        </w:rPr>
        <w:t xml:space="preserve">time </w:t>
      </w:r>
      <w:r w:rsidR="00D43931" w:rsidRPr="00785D06">
        <w:rPr>
          <w:sz w:val="20"/>
          <w:szCs w:val="20"/>
          <w:lang w:val="en-US"/>
        </w:rPr>
        <w:t xml:space="preserve">of </w:t>
      </w:r>
      <w:r w:rsidR="00933118" w:rsidRPr="00785D06">
        <w:rPr>
          <w:sz w:val="20"/>
          <w:szCs w:val="20"/>
          <w:lang w:val="en-US"/>
        </w:rPr>
        <w:t xml:space="preserve">an investigation and </w:t>
      </w:r>
      <w:r w:rsidR="00D75944" w:rsidRPr="00785D06">
        <w:rPr>
          <w:sz w:val="20"/>
          <w:szCs w:val="20"/>
          <w:lang w:val="en-US"/>
        </w:rPr>
        <w:t xml:space="preserve">a </w:t>
      </w:r>
      <w:r w:rsidR="00D43931" w:rsidRPr="00785D06">
        <w:rPr>
          <w:sz w:val="20"/>
          <w:szCs w:val="20"/>
          <w:lang w:val="en-US"/>
        </w:rPr>
        <w:t>trial</w:t>
      </w:r>
      <w:r w:rsidR="00C254BF" w:rsidRPr="00785D06">
        <w:rPr>
          <w:sz w:val="20"/>
          <w:szCs w:val="20"/>
          <w:lang w:val="en-US"/>
        </w:rPr>
        <w:t xml:space="preserve">, the Court </w:t>
      </w:r>
      <w:r w:rsidR="00D43931" w:rsidRPr="00785D06">
        <w:rPr>
          <w:sz w:val="20"/>
          <w:szCs w:val="20"/>
          <w:lang w:val="en-US"/>
        </w:rPr>
        <w:t xml:space="preserve">must </w:t>
      </w:r>
      <w:r w:rsidR="00B45FC1" w:rsidRPr="00785D06">
        <w:rPr>
          <w:sz w:val="20"/>
          <w:szCs w:val="20"/>
          <w:lang w:val="en-US"/>
        </w:rPr>
        <w:t xml:space="preserve">generally </w:t>
      </w:r>
      <w:r w:rsidR="00D43931" w:rsidRPr="00785D06">
        <w:rPr>
          <w:sz w:val="20"/>
          <w:szCs w:val="20"/>
          <w:lang w:val="en-US"/>
        </w:rPr>
        <w:t>consider</w:t>
      </w:r>
      <w:r w:rsidR="00B45FC1" w:rsidRPr="00785D06">
        <w:rPr>
          <w:sz w:val="20"/>
          <w:szCs w:val="20"/>
          <w:lang w:val="en-US"/>
        </w:rPr>
        <w:t xml:space="preserve"> the</w:t>
      </w:r>
      <w:r w:rsidR="0072217F" w:rsidRPr="00785D06">
        <w:rPr>
          <w:sz w:val="20"/>
          <w:szCs w:val="20"/>
          <w:lang w:val="en-US"/>
        </w:rPr>
        <w:t xml:space="preserve"> </w:t>
      </w:r>
      <w:r w:rsidR="00D43931" w:rsidRPr="00785D06">
        <w:rPr>
          <w:sz w:val="20"/>
          <w:szCs w:val="20"/>
          <w:lang w:val="en-US"/>
        </w:rPr>
        <w:t xml:space="preserve">overall </w:t>
      </w:r>
      <w:r w:rsidR="0072217F" w:rsidRPr="00785D06">
        <w:rPr>
          <w:sz w:val="20"/>
          <w:szCs w:val="20"/>
          <w:lang w:val="en-US"/>
        </w:rPr>
        <w:t>duration o</w:t>
      </w:r>
      <w:r w:rsidR="00D43931" w:rsidRPr="00785D06">
        <w:rPr>
          <w:sz w:val="20"/>
          <w:szCs w:val="20"/>
          <w:lang w:val="en-US"/>
        </w:rPr>
        <w:t>f the proceedings until the</w:t>
      </w:r>
      <w:r w:rsidR="0072217F" w:rsidRPr="00785D06">
        <w:rPr>
          <w:sz w:val="20"/>
          <w:szCs w:val="20"/>
          <w:lang w:val="en-US"/>
        </w:rPr>
        <w:t xml:space="preserve"> final judgment is handed down</w:t>
      </w:r>
      <w:r w:rsidR="00933118" w:rsidRPr="00785D06">
        <w:rPr>
          <w:sz w:val="20"/>
          <w:szCs w:val="20"/>
          <w:lang w:val="en-US"/>
        </w:rPr>
        <w:t>,</w:t>
      </w:r>
      <w:r w:rsidR="00C254BF" w:rsidRPr="00785D06">
        <w:rPr>
          <w:sz w:val="20"/>
          <w:szCs w:val="20"/>
          <w:vertAlign w:val="superscript"/>
          <w:lang w:val="en-US"/>
        </w:rPr>
        <w:footnoteReference w:id="178"/>
      </w:r>
      <w:r w:rsidR="00C254BF" w:rsidRPr="00785D06">
        <w:rPr>
          <w:sz w:val="20"/>
          <w:szCs w:val="20"/>
          <w:lang w:val="en-US"/>
        </w:rPr>
        <w:t xml:space="preserve"> in certain </w:t>
      </w:r>
      <w:r w:rsidR="00D43931" w:rsidRPr="00785D06">
        <w:rPr>
          <w:sz w:val="20"/>
          <w:szCs w:val="20"/>
          <w:lang w:val="en-US"/>
        </w:rPr>
        <w:t xml:space="preserve">special </w:t>
      </w:r>
      <w:r w:rsidR="00C254BF" w:rsidRPr="00785D06">
        <w:rPr>
          <w:sz w:val="20"/>
          <w:szCs w:val="20"/>
          <w:lang w:val="en-US"/>
        </w:rPr>
        <w:t xml:space="preserve">situations it may be pertinent </w:t>
      </w:r>
      <w:r w:rsidR="00B45FC1" w:rsidRPr="00785D06">
        <w:rPr>
          <w:sz w:val="20"/>
          <w:szCs w:val="20"/>
          <w:lang w:val="en-US"/>
        </w:rPr>
        <w:t xml:space="preserve">to </w:t>
      </w:r>
      <w:r w:rsidR="00D43931" w:rsidRPr="00785D06">
        <w:rPr>
          <w:sz w:val="20"/>
          <w:szCs w:val="20"/>
          <w:lang w:val="en-US"/>
        </w:rPr>
        <w:t xml:space="preserve">make a specific </w:t>
      </w:r>
      <w:r w:rsidR="00B45FC1" w:rsidRPr="00785D06">
        <w:rPr>
          <w:sz w:val="20"/>
          <w:szCs w:val="20"/>
          <w:lang w:val="en-US"/>
        </w:rPr>
        <w:t>assess</w:t>
      </w:r>
      <w:r w:rsidR="00D43931" w:rsidRPr="00785D06">
        <w:rPr>
          <w:sz w:val="20"/>
          <w:szCs w:val="20"/>
          <w:lang w:val="en-US"/>
        </w:rPr>
        <w:t>ment of</w:t>
      </w:r>
      <w:r w:rsidR="00B45FC1" w:rsidRPr="00785D06">
        <w:rPr>
          <w:sz w:val="20"/>
          <w:szCs w:val="20"/>
          <w:lang w:val="en-US"/>
        </w:rPr>
        <w:t xml:space="preserve"> </w:t>
      </w:r>
      <w:r w:rsidR="00C254BF" w:rsidRPr="00785D06">
        <w:rPr>
          <w:sz w:val="20"/>
          <w:szCs w:val="20"/>
          <w:lang w:val="en-US"/>
        </w:rPr>
        <w:t>the different stages</w:t>
      </w:r>
      <w:r w:rsidR="00B87C35" w:rsidRPr="00785D06">
        <w:rPr>
          <w:sz w:val="20"/>
          <w:szCs w:val="20"/>
          <w:lang w:val="en-US"/>
        </w:rPr>
        <w:t>.</w:t>
      </w:r>
      <w:r w:rsidR="00C254BF" w:rsidRPr="00785D06">
        <w:rPr>
          <w:rStyle w:val="Refdenotaalpie"/>
          <w:sz w:val="20"/>
          <w:szCs w:val="20"/>
          <w:lang w:val="en-US"/>
        </w:rPr>
        <w:footnoteReference w:id="179"/>
      </w:r>
      <w:r w:rsidR="00C254BF" w:rsidRPr="00785D06">
        <w:rPr>
          <w:sz w:val="20"/>
          <w:szCs w:val="20"/>
          <w:lang w:val="en-US"/>
        </w:rPr>
        <w:t xml:space="preserve"> </w:t>
      </w:r>
      <w:r w:rsidR="00C254BF" w:rsidRPr="00785D06">
        <w:rPr>
          <w:rFonts w:eastAsia="Times New Roman"/>
          <w:sz w:val="20"/>
          <w:szCs w:val="20"/>
          <w:lang w:val="en-US" w:eastAsia="es-ES" w:bidi="es-ES"/>
        </w:rPr>
        <w:t xml:space="preserve">This Court has </w:t>
      </w:r>
      <w:r w:rsidR="00B87C35" w:rsidRPr="00785D06">
        <w:rPr>
          <w:rFonts w:eastAsia="Times New Roman"/>
          <w:sz w:val="20"/>
          <w:szCs w:val="20"/>
          <w:lang w:val="en-US" w:eastAsia="es-ES" w:bidi="es-ES"/>
        </w:rPr>
        <w:t xml:space="preserve">established that </w:t>
      </w:r>
      <w:r w:rsidR="00C254BF" w:rsidRPr="00785D06">
        <w:rPr>
          <w:rFonts w:eastAsia="Times New Roman"/>
          <w:sz w:val="20"/>
          <w:szCs w:val="20"/>
          <w:lang w:val="en-US" w:eastAsia="es-ES" w:bidi="es-ES"/>
        </w:rPr>
        <w:t xml:space="preserve">four elements </w:t>
      </w:r>
      <w:r w:rsidR="00B87C35" w:rsidRPr="00785D06">
        <w:rPr>
          <w:rFonts w:eastAsia="Times New Roman"/>
          <w:sz w:val="20"/>
          <w:szCs w:val="20"/>
          <w:lang w:val="en-US" w:eastAsia="es-ES" w:bidi="es-ES"/>
        </w:rPr>
        <w:t xml:space="preserve">must be taken into account </w:t>
      </w:r>
      <w:r w:rsidR="0072217F" w:rsidRPr="00785D06">
        <w:rPr>
          <w:rFonts w:eastAsia="Times New Roman"/>
          <w:sz w:val="20"/>
          <w:szCs w:val="20"/>
          <w:lang w:val="en-US" w:eastAsia="es-ES" w:bidi="es-ES"/>
        </w:rPr>
        <w:t xml:space="preserve">in </w:t>
      </w:r>
      <w:r w:rsidR="00B511E1" w:rsidRPr="00785D06">
        <w:rPr>
          <w:rFonts w:eastAsia="Times New Roman"/>
          <w:sz w:val="20"/>
          <w:szCs w:val="20"/>
          <w:lang w:val="en-US" w:eastAsia="es-ES" w:bidi="es-ES"/>
        </w:rPr>
        <w:t xml:space="preserve">determining </w:t>
      </w:r>
      <w:r w:rsidR="0072217F" w:rsidRPr="00785D06">
        <w:rPr>
          <w:sz w:val="20"/>
          <w:szCs w:val="20"/>
          <w:lang w:val="en-US"/>
        </w:rPr>
        <w:t>whether the guarantee of reasonable time is met</w:t>
      </w:r>
      <w:r w:rsidR="00C254BF" w:rsidRPr="00785D06">
        <w:rPr>
          <w:rFonts w:eastAsia="Times New Roman"/>
          <w:sz w:val="20"/>
          <w:szCs w:val="20"/>
          <w:lang w:val="en-US" w:eastAsia="es-ES" w:bidi="es-ES"/>
        </w:rPr>
        <w:t xml:space="preserve">, namely: a) the complexity of the matter, b) the procedural activity of the interested party, c) the conduct of the judicial authorities, and d) the </w:t>
      </w:r>
      <w:r w:rsidR="0072217F" w:rsidRPr="00785D06">
        <w:rPr>
          <w:rFonts w:eastAsia="Times New Roman"/>
          <w:sz w:val="20"/>
          <w:szCs w:val="20"/>
          <w:lang w:val="en-US" w:eastAsia="es-ES" w:bidi="es-ES"/>
        </w:rPr>
        <w:t>adverse effect</w:t>
      </w:r>
      <w:r w:rsidR="00B87C35" w:rsidRPr="00785D06">
        <w:rPr>
          <w:rFonts w:eastAsia="Times New Roman"/>
          <w:sz w:val="20"/>
          <w:szCs w:val="20"/>
          <w:lang w:val="en-US" w:eastAsia="es-ES" w:bidi="es-ES"/>
        </w:rPr>
        <w:t xml:space="preserve"> of the duration of</w:t>
      </w:r>
      <w:r w:rsidR="00C254BF" w:rsidRPr="00785D06">
        <w:rPr>
          <w:rFonts w:eastAsia="Times New Roman"/>
          <w:sz w:val="20"/>
          <w:szCs w:val="20"/>
          <w:lang w:val="en-US" w:eastAsia="es-ES" w:bidi="es-ES"/>
        </w:rPr>
        <w:t xml:space="preserve"> </w:t>
      </w:r>
      <w:r w:rsidR="00B87C35" w:rsidRPr="00785D06">
        <w:rPr>
          <w:rFonts w:eastAsia="Times New Roman"/>
          <w:sz w:val="20"/>
          <w:szCs w:val="20"/>
          <w:lang w:val="en-US" w:eastAsia="es-ES" w:bidi="es-ES"/>
        </w:rPr>
        <w:t xml:space="preserve">the proceedings on the </w:t>
      </w:r>
      <w:r w:rsidR="00C254BF" w:rsidRPr="00785D06">
        <w:rPr>
          <w:rFonts w:eastAsia="Times New Roman"/>
          <w:sz w:val="20"/>
          <w:szCs w:val="20"/>
          <w:lang w:val="en-US" w:eastAsia="es-ES" w:bidi="es-ES"/>
        </w:rPr>
        <w:t>legal situation of the person involved.</w:t>
      </w:r>
      <w:r w:rsidR="00C254BF" w:rsidRPr="00785D06">
        <w:rPr>
          <w:rStyle w:val="Refdenotaalpie"/>
          <w:rFonts w:eastAsia="Times New Roman"/>
          <w:sz w:val="20"/>
          <w:szCs w:val="20"/>
          <w:lang w:val="en-US" w:eastAsia="es-ES" w:bidi="es-ES"/>
        </w:rPr>
        <w:footnoteReference w:id="180"/>
      </w:r>
      <w:r w:rsidR="00C254BF" w:rsidRPr="00785D06">
        <w:rPr>
          <w:rFonts w:eastAsia="Times New Roman"/>
          <w:sz w:val="20"/>
          <w:szCs w:val="20"/>
          <w:lang w:val="en-US" w:eastAsia="es-ES" w:bidi="es-ES"/>
        </w:rPr>
        <w:t xml:space="preserve"> </w:t>
      </w:r>
    </w:p>
    <w:p w14:paraId="457C560C" w14:textId="77777777" w:rsidR="00C254BF" w:rsidRPr="00785D06" w:rsidRDefault="00C254BF" w:rsidP="00C254BF">
      <w:pPr>
        <w:pStyle w:val="Prrafodelista"/>
        <w:ind w:left="0"/>
        <w:contextualSpacing w:val="0"/>
        <w:jc w:val="both"/>
        <w:rPr>
          <w:sz w:val="20"/>
          <w:szCs w:val="20"/>
          <w:lang w:val="en-US"/>
        </w:rPr>
      </w:pPr>
    </w:p>
    <w:p w14:paraId="4DFDD3F0"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First, regarding the </w:t>
      </w:r>
      <w:r w:rsidRPr="00785D06">
        <w:rPr>
          <w:i/>
          <w:sz w:val="20"/>
          <w:szCs w:val="20"/>
          <w:lang w:val="en-US"/>
        </w:rPr>
        <w:t xml:space="preserve">complexity </w:t>
      </w:r>
      <w:r w:rsidRPr="00785D06">
        <w:rPr>
          <w:sz w:val="20"/>
          <w:szCs w:val="20"/>
          <w:lang w:val="en-US"/>
        </w:rPr>
        <w:t xml:space="preserve">of the case, it should be noted that an investigation into sexual violence has elements of complexity when the victim cannot provide a statement. </w:t>
      </w:r>
      <w:r w:rsidR="00B511E1" w:rsidRPr="00785D06">
        <w:rPr>
          <w:sz w:val="20"/>
          <w:szCs w:val="20"/>
          <w:lang w:val="en-US"/>
        </w:rPr>
        <w:t>T</w:t>
      </w:r>
      <w:r w:rsidRPr="00785D06">
        <w:rPr>
          <w:sz w:val="20"/>
          <w:szCs w:val="20"/>
          <w:lang w:val="en-US"/>
        </w:rPr>
        <w:t xml:space="preserve">he Court </w:t>
      </w:r>
      <w:r w:rsidR="00B511E1" w:rsidRPr="00785D06">
        <w:rPr>
          <w:sz w:val="20"/>
          <w:szCs w:val="20"/>
          <w:lang w:val="en-US"/>
        </w:rPr>
        <w:t xml:space="preserve">also </w:t>
      </w:r>
      <w:r w:rsidR="0072217F" w:rsidRPr="00785D06">
        <w:rPr>
          <w:sz w:val="20"/>
          <w:szCs w:val="20"/>
          <w:lang w:val="en-US"/>
        </w:rPr>
        <w:t xml:space="preserve">notes </w:t>
      </w:r>
      <w:r w:rsidRPr="00785D06">
        <w:rPr>
          <w:sz w:val="20"/>
          <w:szCs w:val="20"/>
          <w:lang w:val="en-US"/>
        </w:rPr>
        <w:t>that thi</w:t>
      </w:r>
      <w:r w:rsidR="00BB14FE" w:rsidRPr="00785D06">
        <w:rPr>
          <w:sz w:val="20"/>
          <w:szCs w:val="20"/>
          <w:lang w:val="en-US"/>
        </w:rPr>
        <w:t>s case concerns a single victim and</w:t>
      </w:r>
      <w:r w:rsidRPr="00785D06">
        <w:rPr>
          <w:sz w:val="20"/>
          <w:szCs w:val="20"/>
          <w:lang w:val="en-US"/>
        </w:rPr>
        <w:t xml:space="preserve"> that the State learned of the facts s</w:t>
      </w:r>
      <w:r w:rsidR="00BB14FE" w:rsidRPr="00785D06">
        <w:rPr>
          <w:sz w:val="20"/>
          <w:szCs w:val="20"/>
          <w:lang w:val="en-US"/>
        </w:rPr>
        <w:t xml:space="preserve">oon </w:t>
      </w:r>
      <w:r w:rsidRPr="00785D06">
        <w:rPr>
          <w:sz w:val="20"/>
          <w:szCs w:val="20"/>
          <w:lang w:val="en-US"/>
        </w:rPr>
        <w:t>after the</w:t>
      </w:r>
      <w:r w:rsidR="00BB14FE" w:rsidRPr="00785D06">
        <w:rPr>
          <w:sz w:val="20"/>
          <w:szCs w:val="20"/>
          <w:lang w:val="en-US"/>
        </w:rPr>
        <w:t>y occurred</w:t>
      </w:r>
      <w:r w:rsidRPr="00785D06">
        <w:rPr>
          <w:sz w:val="20"/>
          <w:szCs w:val="20"/>
          <w:lang w:val="en-US"/>
        </w:rPr>
        <w:t>, which facilitated the gathering of useful medical evidence and of various relev</w:t>
      </w:r>
      <w:r w:rsidR="00D43931" w:rsidRPr="00785D06">
        <w:rPr>
          <w:sz w:val="20"/>
          <w:szCs w:val="20"/>
          <w:lang w:val="en-US"/>
        </w:rPr>
        <w:t>ant testimonies. Therefore, the</w:t>
      </w:r>
      <w:r w:rsidRPr="00785D06">
        <w:rPr>
          <w:sz w:val="20"/>
          <w:szCs w:val="20"/>
          <w:lang w:val="en-US"/>
        </w:rPr>
        <w:t xml:space="preserve"> Court </w:t>
      </w:r>
      <w:r w:rsidR="00152BC4" w:rsidRPr="00785D06">
        <w:rPr>
          <w:sz w:val="20"/>
          <w:szCs w:val="20"/>
          <w:lang w:val="en-US"/>
        </w:rPr>
        <w:t xml:space="preserve">finds </w:t>
      </w:r>
      <w:r w:rsidRPr="00785D06">
        <w:rPr>
          <w:sz w:val="20"/>
          <w:szCs w:val="20"/>
          <w:lang w:val="en-US"/>
        </w:rPr>
        <w:t>that a m</w:t>
      </w:r>
      <w:r w:rsidR="0072217F" w:rsidRPr="00785D06">
        <w:rPr>
          <w:sz w:val="20"/>
          <w:szCs w:val="20"/>
          <w:lang w:val="en-US"/>
        </w:rPr>
        <w:t xml:space="preserve">oderate </w:t>
      </w:r>
      <w:r w:rsidRPr="00785D06">
        <w:rPr>
          <w:sz w:val="20"/>
          <w:szCs w:val="20"/>
          <w:lang w:val="en-US"/>
        </w:rPr>
        <w:t xml:space="preserve">level of complexity </w:t>
      </w:r>
      <w:r w:rsidR="00D43931" w:rsidRPr="00785D06">
        <w:rPr>
          <w:sz w:val="20"/>
          <w:szCs w:val="20"/>
          <w:lang w:val="en-US"/>
        </w:rPr>
        <w:t xml:space="preserve">exists in this case </w:t>
      </w:r>
      <w:r w:rsidR="00B511E1" w:rsidRPr="00785D06">
        <w:rPr>
          <w:sz w:val="20"/>
          <w:szCs w:val="20"/>
          <w:lang w:val="en-US"/>
        </w:rPr>
        <w:t>given that</w:t>
      </w:r>
      <w:r w:rsidRPr="00785D06">
        <w:rPr>
          <w:sz w:val="20"/>
          <w:szCs w:val="20"/>
          <w:lang w:val="en-US"/>
        </w:rPr>
        <w:t xml:space="preserve">, </w:t>
      </w:r>
      <w:r w:rsidR="00D43931" w:rsidRPr="00785D06">
        <w:rPr>
          <w:sz w:val="20"/>
          <w:szCs w:val="20"/>
          <w:lang w:val="en-US"/>
        </w:rPr>
        <w:t xml:space="preserve">despite the </w:t>
      </w:r>
      <w:r w:rsidRPr="00785D06">
        <w:rPr>
          <w:sz w:val="20"/>
          <w:szCs w:val="20"/>
          <w:lang w:val="en-US"/>
        </w:rPr>
        <w:t>difficulty indicated, the</w:t>
      </w:r>
      <w:r w:rsidR="00D43931" w:rsidRPr="00785D06">
        <w:rPr>
          <w:sz w:val="20"/>
          <w:szCs w:val="20"/>
          <w:lang w:val="en-US"/>
        </w:rPr>
        <w:t>re</w:t>
      </w:r>
      <w:r w:rsidRPr="00785D06">
        <w:rPr>
          <w:sz w:val="20"/>
          <w:szCs w:val="20"/>
          <w:lang w:val="en-US"/>
        </w:rPr>
        <w:t xml:space="preserve"> </w:t>
      </w:r>
      <w:r w:rsidR="00D43931" w:rsidRPr="00785D06">
        <w:rPr>
          <w:sz w:val="20"/>
          <w:szCs w:val="20"/>
          <w:lang w:val="en-US"/>
        </w:rPr>
        <w:t xml:space="preserve">were </w:t>
      </w:r>
      <w:r w:rsidRPr="00785D06">
        <w:rPr>
          <w:sz w:val="20"/>
          <w:szCs w:val="20"/>
          <w:lang w:val="en-US"/>
        </w:rPr>
        <w:t xml:space="preserve">no major obstacles to an effective investigation of the facts. </w:t>
      </w:r>
    </w:p>
    <w:p w14:paraId="1DB88644" w14:textId="77777777" w:rsidR="00C254BF" w:rsidRPr="00785D06" w:rsidRDefault="00C254BF" w:rsidP="00C254BF">
      <w:pPr>
        <w:jc w:val="both"/>
        <w:rPr>
          <w:rFonts w:eastAsia="Times New Roman"/>
          <w:sz w:val="20"/>
          <w:szCs w:val="20"/>
          <w:lang w:val="en-US" w:eastAsia="es-ES" w:bidi="es-ES"/>
        </w:rPr>
      </w:pPr>
    </w:p>
    <w:p w14:paraId="4B039DA4" w14:textId="77777777" w:rsidR="00C254BF" w:rsidRPr="00785D06" w:rsidRDefault="00BB528C"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 xml:space="preserve">Regarding </w:t>
      </w:r>
      <w:r w:rsidR="00C254BF" w:rsidRPr="00785D06">
        <w:rPr>
          <w:rFonts w:eastAsia="Times New Roman"/>
          <w:sz w:val="20"/>
          <w:szCs w:val="20"/>
          <w:lang w:val="en-US" w:eastAsia="es-ES" w:bidi="es-ES"/>
        </w:rPr>
        <w:t xml:space="preserve">the </w:t>
      </w:r>
      <w:r w:rsidR="00C254BF" w:rsidRPr="00785D06">
        <w:rPr>
          <w:rFonts w:eastAsia="Times New Roman"/>
          <w:i/>
          <w:sz w:val="20"/>
          <w:szCs w:val="20"/>
          <w:lang w:val="en-US" w:eastAsia="es-ES" w:bidi="es-ES"/>
        </w:rPr>
        <w:t>procedural activity of the interested parties</w:t>
      </w:r>
      <w:r w:rsidR="00C254BF" w:rsidRPr="00785D06">
        <w:rPr>
          <w:rFonts w:eastAsia="Times New Roman"/>
          <w:sz w:val="20"/>
          <w:szCs w:val="20"/>
          <w:lang w:val="en-US" w:eastAsia="es-ES" w:bidi="es-ES"/>
        </w:rPr>
        <w:t xml:space="preserve">, the Court </w:t>
      </w:r>
      <w:r w:rsidRPr="00785D06">
        <w:rPr>
          <w:rFonts w:eastAsia="Times New Roman"/>
          <w:sz w:val="20"/>
          <w:szCs w:val="20"/>
          <w:lang w:val="en-US" w:eastAsia="es-ES" w:bidi="es-ES"/>
        </w:rPr>
        <w:t xml:space="preserve">finds </w:t>
      </w:r>
      <w:r w:rsidR="00C254BF" w:rsidRPr="00785D06">
        <w:rPr>
          <w:rFonts w:eastAsia="Times New Roman"/>
          <w:sz w:val="20"/>
          <w:szCs w:val="20"/>
          <w:lang w:val="en-US" w:eastAsia="es-ES" w:bidi="es-ES"/>
        </w:rPr>
        <w:t xml:space="preserve">no evidence that Paola’s relatives </w:t>
      </w:r>
      <w:r w:rsidR="00152BC4" w:rsidRPr="00785D06">
        <w:rPr>
          <w:rFonts w:eastAsia="Times New Roman"/>
          <w:sz w:val="20"/>
          <w:szCs w:val="20"/>
          <w:lang w:val="en-US" w:eastAsia="es-ES" w:bidi="es-ES"/>
        </w:rPr>
        <w:t xml:space="preserve">acted in a manner </w:t>
      </w:r>
      <w:r w:rsidR="00C254BF" w:rsidRPr="00785D06">
        <w:rPr>
          <w:rFonts w:eastAsia="Times New Roman"/>
          <w:sz w:val="20"/>
          <w:szCs w:val="20"/>
          <w:lang w:val="en-US" w:eastAsia="es-ES" w:bidi="es-ES"/>
        </w:rPr>
        <w:t xml:space="preserve">that </w:t>
      </w:r>
      <w:r w:rsidR="00BE48B3" w:rsidRPr="00785D06">
        <w:rPr>
          <w:rFonts w:eastAsia="Times New Roman"/>
          <w:sz w:val="20"/>
          <w:szCs w:val="20"/>
          <w:lang w:val="en-US" w:eastAsia="es-ES" w:bidi="es-ES"/>
        </w:rPr>
        <w:t xml:space="preserve">would have </w:t>
      </w:r>
      <w:r w:rsidR="00C254BF" w:rsidRPr="00785D06">
        <w:rPr>
          <w:rFonts w:eastAsia="Times New Roman"/>
          <w:sz w:val="20"/>
          <w:szCs w:val="20"/>
          <w:lang w:val="en-US" w:eastAsia="es-ES" w:bidi="es-ES"/>
        </w:rPr>
        <w:t xml:space="preserve">complicated the progress of the investigations. To the contrary, </w:t>
      </w:r>
      <w:r w:rsidR="000A1D53" w:rsidRPr="00785D06">
        <w:rPr>
          <w:rFonts w:eastAsia="Times New Roman"/>
          <w:sz w:val="20"/>
          <w:szCs w:val="20"/>
          <w:lang w:val="en-US" w:eastAsia="es-ES" w:bidi="es-ES"/>
        </w:rPr>
        <w:t xml:space="preserve">as is evident from </w:t>
      </w:r>
      <w:r w:rsidR="00C254BF" w:rsidRPr="00785D06">
        <w:rPr>
          <w:rFonts w:eastAsia="Times New Roman"/>
          <w:sz w:val="20"/>
          <w:szCs w:val="20"/>
          <w:lang w:val="en-US" w:eastAsia="es-ES" w:bidi="es-ES"/>
        </w:rPr>
        <w:t xml:space="preserve">the </w:t>
      </w:r>
      <w:r w:rsidR="00BE48B3" w:rsidRPr="00785D06">
        <w:rPr>
          <w:rFonts w:eastAsia="Times New Roman"/>
          <w:sz w:val="20"/>
          <w:szCs w:val="20"/>
          <w:lang w:val="en-US" w:eastAsia="es-ES" w:bidi="es-ES"/>
        </w:rPr>
        <w:t xml:space="preserve">proven </w:t>
      </w:r>
      <w:r w:rsidR="00C254BF" w:rsidRPr="00785D06">
        <w:rPr>
          <w:rFonts w:eastAsia="Times New Roman"/>
          <w:sz w:val="20"/>
          <w:szCs w:val="20"/>
          <w:lang w:val="en-US" w:eastAsia="es-ES" w:bidi="es-ES"/>
        </w:rPr>
        <w:t xml:space="preserve">facts, they filed the complaint and </w:t>
      </w:r>
      <w:r w:rsidR="00BE48B3" w:rsidRPr="00785D06">
        <w:rPr>
          <w:rFonts w:eastAsia="Times New Roman"/>
          <w:sz w:val="20"/>
          <w:szCs w:val="20"/>
          <w:lang w:val="en-US" w:eastAsia="es-ES" w:bidi="es-ES"/>
        </w:rPr>
        <w:t xml:space="preserve">actively </w:t>
      </w:r>
      <w:r w:rsidR="00C254BF" w:rsidRPr="00785D06">
        <w:rPr>
          <w:rFonts w:eastAsia="Times New Roman"/>
          <w:sz w:val="20"/>
          <w:szCs w:val="20"/>
          <w:lang w:val="en-US" w:eastAsia="es-ES" w:bidi="es-ES"/>
        </w:rPr>
        <w:t>p</w:t>
      </w:r>
      <w:r w:rsidR="00BE48B3" w:rsidRPr="00785D06">
        <w:rPr>
          <w:rFonts w:eastAsia="Times New Roman"/>
          <w:sz w:val="20"/>
          <w:szCs w:val="20"/>
          <w:lang w:val="en-US" w:eastAsia="es-ES" w:bidi="es-ES"/>
        </w:rPr>
        <w:t xml:space="preserve">romoted </w:t>
      </w:r>
      <w:r w:rsidR="000A1D53" w:rsidRPr="00785D06">
        <w:rPr>
          <w:rFonts w:eastAsia="Times New Roman"/>
          <w:sz w:val="20"/>
          <w:szCs w:val="20"/>
          <w:lang w:val="en-US" w:eastAsia="es-ES" w:bidi="es-ES"/>
        </w:rPr>
        <w:t>the proceedings</w:t>
      </w:r>
      <w:r w:rsidR="00C254BF" w:rsidRPr="00785D06">
        <w:rPr>
          <w:rFonts w:eastAsia="Times New Roman"/>
          <w:sz w:val="20"/>
          <w:szCs w:val="20"/>
          <w:lang w:val="en-US" w:eastAsia="es-ES" w:bidi="es-ES"/>
        </w:rPr>
        <w:t xml:space="preserve">, </w:t>
      </w:r>
      <w:r w:rsidR="000A1D53" w:rsidRPr="00785D06">
        <w:rPr>
          <w:rFonts w:eastAsia="Times New Roman"/>
          <w:sz w:val="20"/>
          <w:szCs w:val="20"/>
          <w:lang w:val="en-US" w:eastAsia="es-ES" w:bidi="es-ES"/>
        </w:rPr>
        <w:t>pointing out</w:t>
      </w:r>
      <w:r w:rsidR="00010B4B" w:rsidRPr="00785D06">
        <w:rPr>
          <w:rFonts w:eastAsia="Times New Roman"/>
          <w:sz w:val="20"/>
          <w:szCs w:val="20"/>
          <w:lang w:val="en-US" w:eastAsia="es-ES" w:bidi="es-ES"/>
        </w:rPr>
        <w:t xml:space="preserve"> </w:t>
      </w:r>
      <w:r w:rsidR="00C254BF" w:rsidRPr="00785D06">
        <w:rPr>
          <w:rFonts w:eastAsia="Times New Roman"/>
          <w:sz w:val="20"/>
          <w:szCs w:val="20"/>
          <w:lang w:val="en-US" w:eastAsia="es-ES" w:bidi="es-ES"/>
        </w:rPr>
        <w:t xml:space="preserve">various possible elements of evidence. Even the </w:t>
      </w:r>
      <w:r w:rsidR="009F758D" w:rsidRPr="00785D06">
        <w:rPr>
          <w:rFonts w:eastAsia="Times New Roman"/>
          <w:sz w:val="20"/>
          <w:szCs w:val="20"/>
          <w:lang w:val="en-US" w:eastAsia="es-ES" w:bidi="es-ES"/>
        </w:rPr>
        <w:t xml:space="preserve">motion of recusal filed </w:t>
      </w:r>
      <w:r w:rsidR="00C254BF" w:rsidRPr="00785D06">
        <w:rPr>
          <w:rFonts w:eastAsia="Times New Roman"/>
          <w:sz w:val="20"/>
          <w:szCs w:val="20"/>
          <w:lang w:val="en-US" w:eastAsia="es-ES" w:bidi="es-ES"/>
        </w:rPr>
        <w:t>by Paola’s mother on November 10, 2003 (</w:t>
      </w:r>
      <w:r w:rsidR="00C254BF" w:rsidRPr="00785D06">
        <w:rPr>
          <w:rFonts w:eastAsia="Times New Roman"/>
          <w:i/>
          <w:sz w:val="20"/>
          <w:szCs w:val="20"/>
          <w:lang w:val="en-US" w:eastAsia="es-ES" w:bidi="es-ES"/>
        </w:rPr>
        <w:t xml:space="preserve">supra </w:t>
      </w:r>
      <w:r w:rsidR="00C254BF" w:rsidRPr="00785D06">
        <w:rPr>
          <w:rFonts w:eastAsia="Times New Roman"/>
          <w:sz w:val="20"/>
          <w:szCs w:val="20"/>
          <w:lang w:val="en-US" w:eastAsia="es-ES" w:bidi="es-ES"/>
        </w:rPr>
        <w:t xml:space="preserve">para. 72) cannot be </w:t>
      </w:r>
      <w:r w:rsidR="000A1D53" w:rsidRPr="00785D06">
        <w:rPr>
          <w:rFonts w:eastAsia="Times New Roman"/>
          <w:sz w:val="20"/>
          <w:szCs w:val="20"/>
          <w:lang w:val="en-US" w:eastAsia="es-ES" w:bidi="es-ES"/>
        </w:rPr>
        <w:t xml:space="preserve">construed </w:t>
      </w:r>
      <w:r w:rsidR="00C254BF" w:rsidRPr="00785D06">
        <w:rPr>
          <w:rFonts w:eastAsia="Times New Roman"/>
          <w:sz w:val="20"/>
          <w:szCs w:val="20"/>
          <w:lang w:val="en-US" w:eastAsia="es-ES" w:bidi="es-ES"/>
        </w:rPr>
        <w:t xml:space="preserve">as an act </w:t>
      </w:r>
      <w:r w:rsidR="00345713" w:rsidRPr="00785D06">
        <w:rPr>
          <w:rFonts w:eastAsia="Times New Roman"/>
          <w:sz w:val="20"/>
          <w:szCs w:val="20"/>
          <w:lang w:val="en-US" w:eastAsia="es-ES" w:bidi="es-ES"/>
        </w:rPr>
        <w:t>that could delay the proceeding</w:t>
      </w:r>
      <w:r w:rsidR="00B511E1" w:rsidRPr="00785D06">
        <w:rPr>
          <w:rFonts w:eastAsia="Times New Roman"/>
          <w:sz w:val="20"/>
          <w:szCs w:val="20"/>
          <w:lang w:val="en-US" w:eastAsia="es-ES" w:bidi="es-ES"/>
        </w:rPr>
        <w:t>s</w:t>
      </w:r>
      <w:r w:rsidR="00345713" w:rsidRPr="00785D06">
        <w:rPr>
          <w:rFonts w:eastAsia="Times New Roman"/>
          <w:sz w:val="20"/>
          <w:szCs w:val="20"/>
          <w:lang w:val="en-US" w:eastAsia="es-ES" w:bidi="es-ES"/>
        </w:rPr>
        <w:t>; to the contrary, it</w:t>
      </w:r>
      <w:r w:rsidR="00C254BF" w:rsidRPr="00785D06">
        <w:rPr>
          <w:rFonts w:eastAsia="Times New Roman"/>
          <w:sz w:val="20"/>
          <w:szCs w:val="20"/>
          <w:lang w:val="en-US" w:eastAsia="es-ES" w:bidi="es-ES"/>
        </w:rPr>
        <w:t xml:space="preserve"> was </w:t>
      </w:r>
      <w:r w:rsidR="00365DEB" w:rsidRPr="00785D06">
        <w:rPr>
          <w:rFonts w:eastAsia="Times New Roman"/>
          <w:sz w:val="20"/>
          <w:szCs w:val="20"/>
          <w:lang w:val="en-US" w:eastAsia="es-ES" w:bidi="es-ES"/>
        </w:rPr>
        <w:t xml:space="preserve">filed </w:t>
      </w:r>
      <w:r w:rsidR="00C254BF" w:rsidRPr="00785D06">
        <w:rPr>
          <w:rFonts w:eastAsia="Times New Roman"/>
          <w:sz w:val="20"/>
          <w:szCs w:val="20"/>
          <w:lang w:val="en-US" w:eastAsia="es-ES" w:bidi="es-ES"/>
        </w:rPr>
        <w:t xml:space="preserve">precisely </w:t>
      </w:r>
      <w:r w:rsidR="00365DEB" w:rsidRPr="00785D06">
        <w:rPr>
          <w:rFonts w:eastAsia="Times New Roman"/>
          <w:sz w:val="20"/>
          <w:szCs w:val="20"/>
          <w:lang w:val="en-US" w:eastAsia="es-ES" w:bidi="es-ES"/>
        </w:rPr>
        <w:t xml:space="preserve">because </w:t>
      </w:r>
      <w:r w:rsidR="00C254BF" w:rsidRPr="00785D06">
        <w:rPr>
          <w:rFonts w:eastAsia="Times New Roman"/>
          <w:sz w:val="20"/>
          <w:szCs w:val="20"/>
          <w:lang w:val="en-US" w:eastAsia="es-ES" w:bidi="es-ES"/>
        </w:rPr>
        <w:t xml:space="preserve">Mrs. Petita Albarracín </w:t>
      </w:r>
      <w:r w:rsidR="00365DEB" w:rsidRPr="00785D06">
        <w:rPr>
          <w:rFonts w:eastAsia="Times New Roman"/>
          <w:sz w:val="20"/>
          <w:szCs w:val="20"/>
          <w:lang w:val="en-US" w:eastAsia="es-ES" w:bidi="es-ES"/>
        </w:rPr>
        <w:t xml:space="preserve">considered </w:t>
      </w:r>
      <w:r w:rsidR="00C254BF" w:rsidRPr="00785D06">
        <w:rPr>
          <w:rFonts w:eastAsia="Times New Roman"/>
          <w:sz w:val="20"/>
          <w:szCs w:val="20"/>
          <w:lang w:val="en-US" w:eastAsia="es-ES" w:bidi="es-ES"/>
        </w:rPr>
        <w:t>that unjustified delays were occurring.</w:t>
      </w:r>
      <w:r w:rsidR="00C254BF" w:rsidRPr="00785D06">
        <w:rPr>
          <w:rFonts w:eastAsia="Times New Roman"/>
          <w:szCs w:val="20"/>
          <w:lang w:val="en-US" w:eastAsia="es-ES" w:bidi="es-ES"/>
        </w:rPr>
        <w:t xml:space="preserve"> </w:t>
      </w:r>
    </w:p>
    <w:p w14:paraId="64C38C98" w14:textId="77777777" w:rsidR="00C254BF" w:rsidRPr="00785D06" w:rsidRDefault="00C254BF" w:rsidP="00C254BF">
      <w:pPr>
        <w:jc w:val="both"/>
        <w:rPr>
          <w:rFonts w:eastAsia="Times New Roman"/>
          <w:sz w:val="20"/>
          <w:szCs w:val="20"/>
          <w:lang w:val="en-US" w:eastAsia="es-ES" w:bidi="es-ES"/>
        </w:rPr>
      </w:pPr>
    </w:p>
    <w:p w14:paraId="3CF59243" w14:textId="77777777" w:rsidR="00C254BF" w:rsidRPr="00785D06" w:rsidRDefault="00AC745E"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 xml:space="preserve">As </w:t>
      </w:r>
      <w:r w:rsidR="00C254BF" w:rsidRPr="00785D06">
        <w:rPr>
          <w:rFonts w:eastAsia="Times New Roman"/>
          <w:sz w:val="20"/>
          <w:szCs w:val="20"/>
          <w:lang w:val="en-US" w:eastAsia="es-ES" w:bidi="es-ES"/>
        </w:rPr>
        <w:t xml:space="preserve">to the </w:t>
      </w:r>
      <w:r w:rsidR="00C254BF" w:rsidRPr="00785D06">
        <w:rPr>
          <w:rFonts w:eastAsia="Times New Roman"/>
          <w:i/>
          <w:sz w:val="20"/>
          <w:szCs w:val="20"/>
          <w:lang w:val="en-US" w:eastAsia="es-ES" w:bidi="es-ES"/>
        </w:rPr>
        <w:t>conduct of the judicial authorities</w:t>
      </w:r>
      <w:r w:rsidR="00C254BF" w:rsidRPr="00785D06">
        <w:rPr>
          <w:rFonts w:eastAsia="Times New Roman"/>
          <w:sz w:val="20"/>
          <w:szCs w:val="20"/>
          <w:lang w:val="en-US" w:eastAsia="es-ES" w:bidi="es-ES"/>
        </w:rPr>
        <w:t xml:space="preserve">, </w:t>
      </w:r>
      <w:r w:rsidR="00345713" w:rsidRPr="00785D06">
        <w:rPr>
          <w:rFonts w:eastAsia="Times New Roman"/>
          <w:sz w:val="20"/>
          <w:szCs w:val="20"/>
          <w:lang w:val="en-US" w:eastAsia="es-ES" w:bidi="es-ES"/>
        </w:rPr>
        <w:t xml:space="preserve">based on the State’s acknowledgement, </w:t>
      </w:r>
      <w:r w:rsidR="00365DEB" w:rsidRPr="00785D06">
        <w:rPr>
          <w:rFonts w:eastAsia="Times New Roman"/>
          <w:sz w:val="20"/>
          <w:szCs w:val="20"/>
          <w:lang w:val="en-US" w:eastAsia="es-ES" w:bidi="es-ES"/>
        </w:rPr>
        <w:t xml:space="preserve">it has been determined </w:t>
      </w:r>
      <w:r w:rsidR="00C254BF" w:rsidRPr="00785D06">
        <w:rPr>
          <w:rFonts w:eastAsia="Times New Roman"/>
          <w:sz w:val="20"/>
          <w:szCs w:val="20"/>
          <w:lang w:val="en-US" w:eastAsia="es-ES" w:bidi="es-ES"/>
        </w:rPr>
        <w:t xml:space="preserve">that </w:t>
      </w:r>
      <w:r w:rsidR="00345713" w:rsidRPr="00785D06">
        <w:rPr>
          <w:rFonts w:eastAsia="Times New Roman"/>
          <w:sz w:val="20"/>
          <w:szCs w:val="20"/>
          <w:lang w:val="en-US" w:eastAsia="es-ES" w:bidi="es-ES"/>
        </w:rPr>
        <w:t>the State did not</w:t>
      </w:r>
      <w:r w:rsidR="00EC143C" w:rsidRPr="00785D06">
        <w:rPr>
          <w:rFonts w:eastAsia="Times New Roman"/>
          <w:sz w:val="20"/>
          <w:szCs w:val="20"/>
          <w:lang w:val="en-US" w:eastAsia="es-ES" w:bidi="es-ES"/>
        </w:rPr>
        <w:t xml:space="preserve"> </w:t>
      </w:r>
      <w:r w:rsidR="00B511E1" w:rsidRPr="00785D06">
        <w:rPr>
          <w:rFonts w:eastAsia="Times New Roman"/>
          <w:sz w:val="20"/>
          <w:szCs w:val="20"/>
          <w:lang w:val="en-US" w:eastAsia="es-ES" w:bidi="es-ES"/>
        </w:rPr>
        <w:t xml:space="preserve">follow </w:t>
      </w:r>
      <w:r w:rsidR="00C254BF" w:rsidRPr="00785D06">
        <w:rPr>
          <w:rFonts w:eastAsia="Times New Roman"/>
          <w:sz w:val="20"/>
          <w:szCs w:val="20"/>
          <w:lang w:val="en-US" w:eastAsia="es-ES" w:bidi="es-ES"/>
        </w:rPr>
        <w:t xml:space="preserve">the </w:t>
      </w:r>
      <w:r w:rsidR="00AC05FA" w:rsidRPr="00785D06">
        <w:rPr>
          <w:rFonts w:eastAsia="Times New Roman"/>
          <w:sz w:val="20"/>
          <w:szCs w:val="20"/>
          <w:lang w:val="en-US" w:eastAsia="es-ES" w:bidi="es-ES"/>
        </w:rPr>
        <w:t xml:space="preserve">principles </w:t>
      </w:r>
      <w:r w:rsidR="00345713" w:rsidRPr="00785D06">
        <w:rPr>
          <w:rFonts w:eastAsia="Times New Roman"/>
          <w:sz w:val="20"/>
          <w:szCs w:val="20"/>
          <w:lang w:val="en-US" w:eastAsia="es-ES" w:bidi="es-ES"/>
        </w:rPr>
        <w:t>of due diligence in several respects.</w:t>
      </w:r>
      <w:r w:rsidR="00C254BF" w:rsidRPr="00785D06">
        <w:rPr>
          <w:rFonts w:eastAsia="Times New Roman"/>
          <w:sz w:val="20"/>
          <w:szCs w:val="20"/>
          <w:lang w:val="en-US" w:eastAsia="es-ES" w:bidi="es-ES"/>
        </w:rPr>
        <w:t xml:space="preserve"> </w:t>
      </w:r>
      <w:r w:rsidR="00345713" w:rsidRPr="00785D06">
        <w:rPr>
          <w:rFonts w:eastAsia="Times New Roman"/>
          <w:sz w:val="20"/>
          <w:szCs w:val="20"/>
          <w:lang w:val="en-US" w:eastAsia="es-ES" w:bidi="es-ES"/>
        </w:rPr>
        <w:t>T</w:t>
      </w:r>
      <w:r w:rsidR="00C254BF" w:rsidRPr="00785D06">
        <w:rPr>
          <w:rFonts w:eastAsia="Times New Roman"/>
          <w:sz w:val="20"/>
          <w:szCs w:val="20"/>
          <w:lang w:val="en-US" w:eastAsia="es-ES" w:bidi="es-ES"/>
        </w:rPr>
        <w:t xml:space="preserve">he Court </w:t>
      </w:r>
      <w:r w:rsidR="00345713" w:rsidRPr="00785D06">
        <w:rPr>
          <w:rFonts w:eastAsia="Times New Roman"/>
          <w:sz w:val="20"/>
          <w:szCs w:val="20"/>
          <w:lang w:val="en-US" w:eastAsia="es-ES" w:bidi="es-ES"/>
        </w:rPr>
        <w:t xml:space="preserve">also </w:t>
      </w:r>
      <w:r w:rsidR="00C254BF" w:rsidRPr="00785D06">
        <w:rPr>
          <w:rFonts w:eastAsia="Times New Roman"/>
          <w:sz w:val="20"/>
          <w:szCs w:val="20"/>
          <w:lang w:val="en-US" w:eastAsia="es-ES" w:bidi="es-ES"/>
        </w:rPr>
        <w:t xml:space="preserve">notes that there were delays in the investigations </w:t>
      </w:r>
      <w:r w:rsidRPr="00785D06">
        <w:rPr>
          <w:rFonts w:eastAsia="Times New Roman"/>
          <w:sz w:val="20"/>
          <w:szCs w:val="20"/>
          <w:lang w:val="en-US" w:eastAsia="es-ES" w:bidi="es-ES"/>
        </w:rPr>
        <w:t xml:space="preserve">owing </w:t>
      </w:r>
      <w:r w:rsidR="00C254BF" w:rsidRPr="00785D06">
        <w:rPr>
          <w:rFonts w:eastAsia="Times New Roman"/>
          <w:sz w:val="20"/>
          <w:szCs w:val="20"/>
          <w:lang w:val="en-US" w:eastAsia="es-ES" w:bidi="es-ES"/>
        </w:rPr>
        <w:t>to the inactivity of the authorities. The investigation began in December 2002</w:t>
      </w:r>
      <w:r w:rsidR="00345713" w:rsidRPr="00785D06">
        <w:rPr>
          <w:rFonts w:eastAsia="Times New Roman"/>
          <w:sz w:val="20"/>
          <w:szCs w:val="20"/>
          <w:lang w:val="en-US" w:eastAsia="es-ES" w:bidi="es-ES"/>
        </w:rPr>
        <w:t>,</w:t>
      </w:r>
      <w:r w:rsidR="00C254BF" w:rsidRPr="00785D06">
        <w:rPr>
          <w:rFonts w:eastAsia="Times New Roman"/>
          <w:sz w:val="20"/>
          <w:szCs w:val="20"/>
          <w:lang w:val="en-US" w:eastAsia="es-ES" w:bidi="es-ES"/>
        </w:rPr>
        <w:t xml:space="preserve"> and the statute of limitations of the </w:t>
      </w:r>
      <w:r w:rsidR="00345713" w:rsidRPr="00785D06">
        <w:rPr>
          <w:rFonts w:eastAsia="Times New Roman"/>
          <w:sz w:val="20"/>
          <w:szCs w:val="20"/>
          <w:lang w:val="en-US" w:eastAsia="es-ES" w:bidi="es-ES"/>
        </w:rPr>
        <w:t xml:space="preserve">criminal </w:t>
      </w:r>
      <w:r w:rsidR="00C254BF" w:rsidRPr="00785D06">
        <w:rPr>
          <w:rFonts w:eastAsia="Times New Roman"/>
          <w:sz w:val="20"/>
          <w:szCs w:val="20"/>
          <w:lang w:val="en-US" w:eastAsia="es-ES" w:bidi="es-ES"/>
        </w:rPr>
        <w:t>action was declared on September 18, 2008 (</w:t>
      </w:r>
      <w:r w:rsidR="00C254BF" w:rsidRPr="00785D06">
        <w:rPr>
          <w:rFonts w:eastAsia="Times New Roman"/>
          <w:i/>
          <w:sz w:val="20"/>
          <w:szCs w:val="20"/>
          <w:lang w:val="en-US" w:eastAsia="es-ES" w:bidi="es-ES"/>
        </w:rPr>
        <w:t xml:space="preserve">supra </w:t>
      </w:r>
      <w:r w:rsidR="00C254BF" w:rsidRPr="00785D06">
        <w:rPr>
          <w:rFonts w:eastAsia="Times New Roman"/>
          <w:sz w:val="20"/>
          <w:szCs w:val="20"/>
          <w:lang w:val="en-US" w:eastAsia="es-ES" w:bidi="es-ES"/>
        </w:rPr>
        <w:t xml:space="preserve">para. 78). </w:t>
      </w:r>
      <w:r w:rsidRPr="00785D06">
        <w:rPr>
          <w:rFonts w:eastAsia="Times New Roman"/>
          <w:sz w:val="20"/>
          <w:szCs w:val="20"/>
          <w:lang w:val="en-US" w:eastAsia="es-ES" w:bidi="es-ES"/>
        </w:rPr>
        <w:t xml:space="preserve">Of </w:t>
      </w:r>
      <w:r w:rsidR="00C254BF" w:rsidRPr="00785D06">
        <w:rPr>
          <w:rFonts w:eastAsia="Times New Roman"/>
          <w:sz w:val="20"/>
          <w:szCs w:val="20"/>
          <w:lang w:val="en-US" w:eastAsia="es-ES" w:bidi="es-ES"/>
        </w:rPr>
        <w:t>the nearly five years and nine months that the criminal proceedings lasted</w:t>
      </w:r>
      <w:r w:rsidR="00AC05FA" w:rsidRPr="00785D06">
        <w:rPr>
          <w:rFonts w:eastAsia="Times New Roman"/>
          <w:sz w:val="20"/>
          <w:szCs w:val="20"/>
          <w:lang w:val="en-US" w:eastAsia="es-ES" w:bidi="es-ES"/>
        </w:rPr>
        <w:t>,</w:t>
      </w:r>
      <w:r w:rsidR="00C254BF" w:rsidRPr="00785D06">
        <w:rPr>
          <w:rFonts w:eastAsia="Times New Roman"/>
          <w:sz w:val="20"/>
          <w:szCs w:val="20"/>
          <w:lang w:val="en-US" w:eastAsia="es-ES" w:bidi="es-ES"/>
        </w:rPr>
        <w:t xml:space="preserve"> </w:t>
      </w:r>
      <w:r w:rsidRPr="00785D06">
        <w:rPr>
          <w:rFonts w:eastAsia="Times New Roman"/>
          <w:sz w:val="20"/>
          <w:szCs w:val="20"/>
          <w:lang w:val="en-US" w:eastAsia="es-ES" w:bidi="es-ES"/>
        </w:rPr>
        <w:t xml:space="preserve">there was </w:t>
      </w:r>
      <w:r w:rsidR="00365DEB" w:rsidRPr="00785D06">
        <w:rPr>
          <w:rFonts w:eastAsia="Times New Roman"/>
          <w:sz w:val="20"/>
          <w:szCs w:val="20"/>
          <w:lang w:val="en-US" w:eastAsia="es-ES" w:bidi="es-ES"/>
        </w:rPr>
        <w:t xml:space="preserve">no </w:t>
      </w:r>
      <w:r w:rsidR="00C254BF" w:rsidRPr="00785D06">
        <w:rPr>
          <w:rFonts w:eastAsia="Times New Roman"/>
          <w:sz w:val="20"/>
          <w:szCs w:val="20"/>
          <w:lang w:val="en-US" w:eastAsia="es-ES" w:bidi="es-ES"/>
        </w:rPr>
        <w:t>activity between October 5, 2005, when the proce</w:t>
      </w:r>
      <w:r w:rsidR="00365DEB" w:rsidRPr="00785D06">
        <w:rPr>
          <w:rFonts w:eastAsia="Times New Roman"/>
          <w:sz w:val="20"/>
          <w:szCs w:val="20"/>
          <w:lang w:val="en-US" w:eastAsia="es-ES" w:bidi="es-ES"/>
        </w:rPr>
        <w:t>eding</w:t>
      </w:r>
      <w:r w:rsidRPr="00785D06">
        <w:rPr>
          <w:rFonts w:eastAsia="Times New Roman"/>
          <w:sz w:val="20"/>
          <w:szCs w:val="20"/>
          <w:lang w:val="en-US" w:eastAsia="es-ES" w:bidi="es-ES"/>
        </w:rPr>
        <w:t>s</w:t>
      </w:r>
      <w:r w:rsidR="00365DEB" w:rsidRPr="00785D06">
        <w:rPr>
          <w:rFonts w:eastAsia="Times New Roman"/>
          <w:sz w:val="20"/>
          <w:szCs w:val="20"/>
          <w:lang w:val="en-US" w:eastAsia="es-ES" w:bidi="es-ES"/>
        </w:rPr>
        <w:t xml:space="preserve"> </w:t>
      </w:r>
      <w:r w:rsidRPr="00785D06">
        <w:rPr>
          <w:rFonts w:eastAsia="Times New Roman"/>
          <w:sz w:val="20"/>
          <w:szCs w:val="20"/>
          <w:lang w:val="en-US" w:eastAsia="es-ES" w:bidi="es-ES"/>
        </w:rPr>
        <w:t>were</w:t>
      </w:r>
      <w:r w:rsidR="00C254BF" w:rsidRPr="00785D06">
        <w:rPr>
          <w:rFonts w:eastAsia="Times New Roman"/>
          <w:sz w:val="20"/>
          <w:szCs w:val="20"/>
          <w:lang w:val="en-US" w:eastAsia="es-ES" w:bidi="es-ES"/>
        </w:rPr>
        <w:t xml:space="preserve"> suspended (</w:t>
      </w:r>
      <w:r w:rsidR="00C254BF" w:rsidRPr="00785D06">
        <w:rPr>
          <w:rFonts w:eastAsia="Times New Roman"/>
          <w:i/>
          <w:sz w:val="20"/>
          <w:szCs w:val="20"/>
          <w:lang w:val="en-US" w:eastAsia="es-ES" w:bidi="es-ES"/>
        </w:rPr>
        <w:t>supra</w:t>
      </w:r>
      <w:r w:rsidR="00C254BF" w:rsidRPr="00785D06">
        <w:rPr>
          <w:rFonts w:eastAsia="Times New Roman"/>
          <w:sz w:val="20"/>
          <w:szCs w:val="20"/>
          <w:lang w:val="en-US" w:eastAsia="es-ES" w:bidi="es-ES"/>
        </w:rPr>
        <w:t xml:space="preserve"> para. 77), and September 18, 2008, when the statute of limitations was declared</w:t>
      </w:r>
      <w:r w:rsidRPr="00785D06">
        <w:rPr>
          <w:rFonts w:eastAsia="Times New Roman"/>
          <w:sz w:val="20"/>
          <w:szCs w:val="20"/>
          <w:lang w:val="en-US" w:eastAsia="es-ES" w:bidi="es-ES"/>
        </w:rPr>
        <w:t xml:space="preserve"> in this case</w:t>
      </w:r>
      <w:r w:rsidR="00C254BF" w:rsidRPr="00785D06">
        <w:rPr>
          <w:rFonts w:eastAsia="Times New Roman"/>
          <w:sz w:val="20"/>
          <w:szCs w:val="20"/>
          <w:lang w:val="en-US" w:eastAsia="es-ES" w:bidi="es-ES"/>
        </w:rPr>
        <w:t>.</w:t>
      </w:r>
      <w:r w:rsidR="00C254BF" w:rsidRPr="00785D06">
        <w:rPr>
          <w:rFonts w:cs="Arial"/>
          <w:sz w:val="20"/>
          <w:szCs w:val="20"/>
          <w:lang w:val="en-US"/>
        </w:rPr>
        <w:t xml:space="preserve"> Although the suspension of the proce</w:t>
      </w:r>
      <w:r w:rsidR="00365DEB" w:rsidRPr="00785D06">
        <w:rPr>
          <w:rFonts w:cs="Arial"/>
          <w:sz w:val="20"/>
          <w:szCs w:val="20"/>
          <w:lang w:val="en-US"/>
        </w:rPr>
        <w:t>eding</w:t>
      </w:r>
      <w:r w:rsidRPr="00785D06">
        <w:rPr>
          <w:rFonts w:cs="Arial"/>
          <w:sz w:val="20"/>
          <w:szCs w:val="20"/>
          <w:lang w:val="en-US"/>
        </w:rPr>
        <w:t>s</w:t>
      </w:r>
      <w:r w:rsidR="00365DEB" w:rsidRPr="00785D06">
        <w:rPr>
          <w:rFonts w:cs="Arial"/>
          <w:sz w:val="20"/>
          <w:szCs w:val="20"/>
          <w:lang w:val="en-US"/>
        </w:rPr>
        <w:t xml:space="preserve"> </w:t>
      </w:r>
      <w:r w:rsidR="00C254BF" w:rsidRPr="00785D06">
        <w:rPr>
          <w:rFonts w:cs="Arial"/>
          <w:sz w:val="20"/>
          <w:szCs w:val="20"/>
          <w:lang w:val="en-US"/>
        </w:rPr>
        <w:t>implies, precisely, the ces</w:t>
      </w:r>
      <w:r w:rsidR="00365DEB" w:rsidRPr="00785D06">
        <w:rPr>
          <w:rFonts w:cs="Arial"/>
          <w:sz w:val="20"/>
          <w:szCs w:val="20"/>
          <w:lang w:val="en-US"/>
        </w:rPr>
        <w:t xml:space="preserve">sation </w:t>
      </w:r>
      <w:r w:rsidR="00C254BF" w:rsidRPr="00785D06">
        <w:rPr>
          <w:rFonts w:cs="Arial"/>
          <w:sz w:val="20"/>
          <w:szCs w:val="20"/>
          <w:lang w:val="en-US"/>
        </w:rPr>
        <w:t xml:space="preserve">of actions, in this case the State has recognized that the defendant </w:t>
      </w:r>
      <w:r w:rsidR="00365DEB" w:rsidRPr="00785D06">
        <w:rPr>
          <w:rFonts w:cs="Arial"/>
          <w:sz w:val="20"/>
          <w:szCs w:val="20"/>
          <w:lang w:val="en-US"/>
        </w:rPr>
        <w:t xml:space="preserve">was a fugitive </w:t>
      </w:r>
      <w:r w:rsidRPr="00785D06">
        <w:rPr>
          <w:rFonts w:cs="Arial"/>
          <w:sz w:val="20"/>
          <w:szCs w:val="20"/>
          <w:lang w:val="en-US"/>
        </w:rPr>
        <w:t xml:space="preserve">from justice </w:t>
      </w:r>
      <w:r w:rsidR="00C254BF" w:rsidRPr="00785D06">
        <w:rPr>
          <w:rFonts w:cs="Arial"/>
          <w:sz w:val="20"/>
          <w:szCs w:val="20"/>
          <w:lang w:val="en-US"/>
        </w:rPr>
        <w:t xml:space="preserve">and that </w:t>
      </w:r>
      <w:r w:rsidRPr="00785D06">
        <w:rPr>
          <w:rFonts w:cs="Arial"/>
          <w:sz w:val="20"/>
          <w:szCs w:val="20"/>
          <w:lang w:val="en-US"/>
        </w:rPr>
        <w:t xml:space="preserve">the </w:t>
      </w:r>
      <w:r w:rsidR="00C254BF" w:rsidRPr="00785D06">
        <w:rPr>
          <w:rFonts w:cs="Arial"/>
          <w:sz w:val="20"/>
          <w:szCs w:val="20"/>
          <w:lang w:val="en-US"/>
        </w:rPr>
        <w:t xml:space="preserve">authorities took no steps to </w:t>
      </w:r>
      <w:r w:rsidRPr="00785D06">
        <w:rPr>
          <w:rFonts w:cs="Arial"/>
          <w:sz w:val="20"/>
          <w:szCs w:val="20"/>
          <w:lang w:val="en-US"/>
        </w:rPr>
        <w:t xml:space="preserve">find </w:t>
      </w:r>
      <w:r w:rsidR="00C254BF" w:rsidRPr="00785D06">
        <w:rPr>
          <w:rFonts w:cs="Arial"/>
          <w:sz w:val="20"/>
          <w:szCs w:val="20"/>
          <w:lang w:val="en-US"/>
        </w:rPr>
        <w:t xml:space="preserve">him, which </w:t>
      </w:r>
      <w:r w:rsidR="00365DEB" w:rsidRPr="00785D06">
        <w:rPr>
          <w:rFonts w:cs="Arial"/>
          <w:sz w:val="20"/>
          <w:szCs w:val="20"/>
          <w:lang w:val="en-US"/>
        </w:rPr>
        <w:t xml:space="preserve">prompted the </w:t>
      </w:r>
      <w:r w:rsidR="00B511E1" w:rsidRPr="00785D06">
        <w:rPr>
          <w:rFonts w:cs="Arial"/>
          <w:sz w:val="20"/>
          <w:szCs w:val="20"/>
          <w:lang w:val="en-US"/>
        </w:rPr>
        <w:t xml:space="preserve">prescription of the criminal action </w:t>
      </w:r>
      <w:r w:rsidR="00C254BF" w:rsidRPr="00785D06">
        <w:rPr>
          <w:rFonts w:cs="Arial"/>
          <w:sz w:val="20"/>
          <w:szCs w:val="20"/>
          <w:lang w:val="en-US"/>
        </w:rPr>
        <w:t>(</w:t>
      </w:r>
      <w:r w:rsidR="00C254BF" w:rsidRPr="00785D06">
        <w:rPr>
          <w:rFonts w:cs="Arial"/>
          <w:i/>
          <w:sz w:val="20"/>
          <w:szCs w:val="20"/>
          <w:lang w:val="en-US"/>
        </w:rPr>
        <w:t xml:space="preserve">supra </w:t>
      </w:r>
      <w:r w:rsidR="00C254BF" w:rsidRPr="00785D06">
        <w:rPr>
          <w:rFonts w:cs="Arial"/>
          <w:sz w:val="20"/>
          <w:szCs w:val="20"/>
          <w:lang w:val="en-US"/>
        </w:rPr>
        <w:t>paras. 16, 21 and 23).</w:t>
      </w:r>
      <w:r w:rsidR="00C254BF" w:rsidRPr="00785D06">
        <w:rPr>
          <w:rFonts w:cs="Arial"/>
          <w:lang w:val="en-US"/>
        </w:rPr>
        <w:t xml:space="preserve"> </w:t>
      </w:r>
      <w:r w:rsidR="008E312B" w:rsidRPr="00785D06">
        <w:rPr>
          <w:rFonts w:cs="Arial"/>
          <w:sz w:val="20"/>
          <w:szCs w:val="20"/>
          <w:lang w:val="en-US"/>
        </w:rPr>
        <w:t>In this respect, the</w:t>
      </w:r>
      <w:r w:rsidR="00C254BF" w:rsidRPr="00785D06">
        <w:rPr>
          <w:rFonts w:cs="Arial"/>
          <w:sz w:val="20"/>
          <w:szCs w:val="20"/>
          <w:lang w:val="en-US"/>
        </w:rPr>
        <w:t xml:space="preserve"> Court </w:t>
      </w:r>
      <w:r w:rsidRPr="00785D06">
        <w:rPr>
          <w:rFonts w:cs="Arial"/>
          <w:sz w:val="20"/>
          <w:szCs w:val="20"/>
          <w:lang w:val="en-US"/>
        </w:rPr>
        <w:t xml:space="preserve">finds </w:t>
      </w:r>
      <w:r w:rsidR="00C254BF" w:rsidRPr="00785D06">
        <w:rPr>
          <w:rFonts w:cs="Arial"/>
          <w:sz w:val="20"/>
          <w:szCs w:val="20"/>
          <w:lang w:val="en-US"/>
        </w:rPr>
        <w:t xml:space="preserve">that the State did not act with due diligence to locate the </w:t>
      </w:r>
      <w:r w:rsidR="0097298A" w:rsidRPr="00785D06">
        <w:rPr>
          <w:rFonts w:cs="Arial"/>
          <w:sz w:val="20"/>
          <w:szCs w:val="20"/>
          <w:lang w:val="en-US"/>
        </w:rPr>
        <w:t>vice principal</w:t>
      </w:r>
      <w:r w:rsidRPr="00785D06">
        <w:rPr>
          <w:rFonts w:cs="Arial"/>
          <w:sz w:val="20"/>
          <w:szCs w:val="20"/>
          <w:lang w:val="en-US"/>
        </w:rPr>
        <w:t xml:space="preserve"> and bring him to tr</w:t>
      </w:r>
      <w:r w:rsidR="00C254BF" w:rsidRPr="00785D06">
        <w:rPr>
          <w:rFonts w:cs="Arial"/>
          <w:sz w:val="20"/>
          <w:szCs w:val="20"/>
          <w:lang w:val="en-US"/>
        </w:rPr>
        <w:t>i</w:t>
      </w:r>
      <w:r w:rsidRPr="00785D06">
        <w:rPr>
          <w:rFonts w:cs="Arial"/>
          <w:sz w:val="20"/>
          <w:szCs w:val="20"/>
          <w:lang w:val="en-US"/>
        </w:rPr>
        <w:t>a</w:t>
      </w:r>
      <w:r w:rsidR="00E74C84" w:rsidRPr="00785D06">
        <w:rPr>
          <w:rFonts w:cs="Arial"/>
          <w:sz w:val="20"/>
          <w:szCs w:val="20"/>
          <w:lang w:val="en-US"/>
        </w:rPr>
        <w:t xml:space="preserve">l, and therefore </w:t>
      </w:r>
      <w:r w:rsidR="008E312B" w:rsidRPr="00785D06">
        <w:rPr>
          <w:rFonts w:cs="Arial"/>
          <w:sz w:val="20"/>
          <w:szCs w:val="20"/>
          <w:lang w:val="en-US"/>
        </w:rPr>
        <w:t xml:space="preserve">finds </w:t>
      </w:r>
      <w:r w:rsidR="00E74C84" w:rsidRPr="00785D06">
        <w:rPr>
          <w:rFonts w:cs="Arial"/>
          <w:sz w:val="20"/>
          <w:szCs w:val="20"/>
          <w:lang w:val="en-US"/>
        </w:rPr>
        <w:t>it pertinent to consider</w:t>
      </w:r>
      <w:r w:rsidRPr="00785D06">
        <w:rPr>
          <w:rFonts w:cs="Arial"/>
          <w:sz w:val="20"/>
          <w:szCs w:val="20"/>
          <w:lang w:val="en-US"/>
        </w:rPr>
        <w:t xml:space="preserve"> </w:t>
      </w:r>
      <w:r w:rsidR="00C254BF" w:rsidRPr="00785D06">
        <w:rPr>
          <w:rFonts w:cs="Arial"/>
          <w:sz w:val="20"/>
          <w:szCs w:val="20"/>
          <w:lang w:val="en-US"/>
        </w:rPr>
        <w:t xml:space="preserve">the time elapsed since the suspension </w:t>
      </w:r>
      <w:r w:rsidR="0074683C" w:rsidRPr="00785D06">
        <w:rPr>
          <w:rFonts w:cs="Arial"/>
          <w:sz w:val="20"/>
          <w:szCs w:val="20"/>
          <w:lang w:val="en-US"/>
        </w:rPr>
        <w:t>of the proce</w:t>
      </w:r>
      <w:r w:rsidR="00E74C84" w:rsidRPr="00785D06">
        <w:rPr>
          <w:rFonts w:cs="Arial"/>
          <w:sz w:val="20"/>
          <w:szCs w:val="20"/>
          <w:lang w:val="en-US"/>
        </w:rPr>
        <w:t>edings</w:t>
      </w:r>
      <w:r w:rsidR="00C254BF" w:rsidRPr="00785D06">
        <w:rPr>
          <w:rFonts w:cs="Arial"/>
          <w:sz w:val="20"/>
          <w:szCs w:val="20"/>
          <w:lang w:val="en-US"/>
        </w:rPr>
        <w:t xml:space="preserve">. </w:t>
      </w:r>
      <w:r w:rsidR="008E312B" w:rsidRPr="00785D06">
        <w:rPr>
          <w:rFonts w:cs="Arial"/>
          <w:sz w:val="20"/>
          <w:szCs w:val="20"/>
          <w:lang w:val="en-US"/>
        </w:rPr>
        <w:t xml:space="preserve">Moreover, prior to </w:t>
      </w:r>
      <w:r w:rsidR="00C254BF" w:rsidRPr="00785D06">
        <w:rPr>
          <w:rFonts w:cs="Arial"/>
          <w:sz w:val="20"/>
          <w:szCs w:val="20"/>
          <w:lang w:val="en-US"/>
        </w:rPr>
        <w:t xml:space="preserve">that, the </w:t>
      </w:r>
      <w:r w:rsidR="00E74C84" w:rsidRPr="00785D06">
        <w:rPr>
          <w:rFonts w:cs="Arial"/>
          <w:sz w:val="20"/>
          <w:szCs w:val="20"/>
          <w:lang w:val="en-US"/>
        </w:rPr>
        <w:t>final</w:t>
      </w:r>
      <w:r w:rsidR="00365DEB" w:rsidRPr="00785D06">
        <w:rPr>
          <w:rFonts w:cs="Arial"/>
          <w:sz w:val="20"/>
          <w:szCs w:val="20"/>
          <w:lang w:val="en-US"/>
        </w:rPr>
        <w:t xml:space="preserve"> </w:t>
      </w:r>
      <w:r w:rsidR="00C254BF" w:rsidRPr="00785D06">
        <w:rPr>
          <w:rFonts w:cs="Arial"/>
          <w:sz w:val="20"/>
          <w:szCs w:val="20"/>
          <w:lang w:val="en-US"/>
        </w:rPr>
        <w:t xml:space="preserve">act </w:t>
      </w:r>
      <w:r w:rsidR="00E74C84" w:rsidRPr="00785D06">
        <w:rPr>
          <w:rFonts w:cs="Arial"/>
          <w:sz w:val="20"/>
          <w:szCs w:val="20"/>
          <w:lang w:val="en-US"/>
        </w:rPr>
        <w:t xml:space="preserve">carried out by the </w:t>
      </w:r>
      <w:r w:rsidR="00C254BF" w:rsidRPr="00785D06">
        <w:rPr>
          <w:rFonts w:cs="Arial"/>
          <w:sz w:val="20"/>
          <w:szCs w:val="20"/>
          <w:lang w:val="en-US"/>
        </w:rPr>
        <w:t xml:space="preserve">State authorities </w:t>
      </w:r>
      <w:r w:rsidR="00E74C84" w:rsidRPr="00785D06">
        <w:rPr>
          <w:rFonts w:cs="Arial"/>
          <w:sz w:val="20"/>
          <w:szCs w:val="20"/>
          <w:lang w:val="en-US"/>
        </w:rPr>
        <w:t xml:space="preserve">was </w:t>
      </w:r>
      <w:r w:rsidR="00C254BF" w:rsidRPr="00785D06">
        <w:rPr>
          <w:rFonts w:cs="Arial"/>
          <w:sz w:val="20"/>
          <w:szCs w:val="20"/>
          <w:lang w:val="en-US"/>
        </w:rPr>
        <w:t xml:space="preserve">on September 22, 2004, when </w:t>
      </w:r>
      <w:r w:rsidR="00E74C84" w:rsidRPr="00785D06">
        <w:rPr>
          <w:rFonts w:cs="Arial"/>
          <w:sz w:val="20"/>
          <w:szCs w:val="20"/>
          <w:lang w:val="en-US"/>
        </w:rPr>
        <w:t xml:space="preserve">they </w:t>
      </w:r>
      <w:r w:rsidR="00365DEB" w:rsidRPr="00785D06">
        <w:rPr>
          <w:rFonts w:cs="Arial"/>
          <w:sz w:val="20"/>
          <w:szCs w:val="20"/>
          <w:lang w:val="en-US"/>
        </w:rPr>
        <w:t xml:space="preserve">ordered </w:t>
      </w:r>
      <w:r w:rsidR="00E74C84" w:rsidRPr="00785D06">
        <w:rPr>
          <w:rFonts w:cs="Arial"/>
          <w:sz w:val="20"/>
          <w:szCs w:val="20"/>
          <w:lang w:val="en-US"/>
        </w:rPr>
        <w:t xml:space="preserve">an increase in the </w:t>
      </w:r>
      <w:r w:rsidR="00C254BF" w:rsidRPr="00785D06">
        <w:rPr>
          <w:rFonts w:cs="Arial"/>
          <w:sz w:val="20"/>
          <w:szCs w:val="20"/>
          <w:lang w:val="en-US"/>
        </w:rPr>
        <w:t xml:space="preserve">amount of the </w:t>
      </w:r>
      <w:r w:rsidR="000462B0" w:rsidRPr="00785D06">
        <w:rPr>
          <w:rFonts w:cs="Arial"/>
          <w:sz w:val="20"/>
          <w:szCs w:val="20"/>
          <w:lang w:val="en-US"/>
        </w:rPr>
        <w:t xml:space="preserve">surety </w:t>
      </w:r>
      <w:r w:rsidR="00E74C84" w:rsidRPr="00785D06">
        <w:rPr>
          <w:rFonts w:cs="Arial"/>
          <w:sz w:val="20"/>
          <w:szCs w:val="20"/>
          <w:lang w:val="en-US"/>
        </w:rPr>
        <w:t xml:space="preserve">for </w:t>
      </w:r>
      <w:r w:rsidR="00C254BF" w:rsidRPr="00785D06">
        <w:rPr>
          <w:rFonts w:cs="Arial"/>
          <w:sz w:val="20"/>
          <w:szCs w:val="20"/>
          <w:lang w:val="en-US"/>
        </w:rPr>
        <w:t>the defendant (</w:t>
      </w:r>
      <w:r w:rsidR="00C254BF" w:rsidRPr="00785D06">
        <w:rPr>
          <w:rFonts w:cs="Arial"/>
          <w:i/>
          <w:sz w:val="20"/>
          <w:szCs w:val="20"/>
          <w:lang w:val="en-US"/>
        </w:rPr>
        <w:t>supra</w:t>
      </w:r>
      <w:r w:rsidR="00C254BF" w:rsidRPr="00785D06">
        <w:rPr>
          <w:rFonts w:cs="Arial"/>
          <w:sz w:val="20"/>
          <w:szCs w:val="20"/>
          <w:lang w:val="en-US"/>
        </w:rPr>
        <w:t xml:space="preserve"> footnote 69)</w:t>
      </w:r>
      <w:r w:rsidR="0074683C" w:rsidRPr="00785D06">
        <w:rPr>
          <w:rFonts w:cs="Arial"/>
          <w:sz w:val="20"/>
          <w:szCs w:val="20"/>
          <w:lang w:val="en-US"/>
        </w:rPr>
        <w:t>.</w:t>
      </w:r>
      <w:r w:rsidR="00C254BF" w:rsidRPr="00785D06">
        <w:rPr>
          <w:rStyle w:val="Refdenotaalpie"/>
          <w:rFonts w:cs="Arial"/>
          <w:sz w:val="20"/>
          <w:szCs w:val="20"/>
          <w:lang w:val="en-US"/>
        </w:rPr>
        <w:footnoteReference w:id="181"/>
      </w:r>
    </w:p>
    <w:p w14:paraId="33F8F586" w14:textId="77777777" w:rsidR="00C254BF" w:rsidRPr="00785D06" w:rsidRDefault="00C254BF" w:rsidP="00C254BF">
      <w:pPr>
        <w:pStyle w:val="Prrafodelista"/>
        <w:ind w:left="0"/>
        <w:contextualSpacing w:val="0"/>
        <w:jc w:val="both"/>
        <w:rPr>
          <w:sz w:val="20"/>
          <w:szCs w:val="20"/>
          <w:lang w:val="en-US"/>
        </w:rPr>
      </w:pPr>
    </w:p>
    <w:p w14:paraId="70EFDFB5" w14:textId="77777777" w:rsidR="00C254BF" w:rsidRPr="00785D06" w:rsidRDefault="008E312B" w:rsidP="00C254BF">
      <w:pPr>
        <w:pStyle w:val="Prrafodelista"/>
        <w:numPr>
          <w:ilvl w:val="0"/>
          <w:numId w:val="35"/>
        </w:numPr>
        <w:ind w:left="0" w:firstLine="0"/>
        <w:contextualSpacing w:val="0"/>
        <w:jc w:val="both"/>
        <w:rPr>
          <w:sz w:val="20"/>
          <w:szCs w:val="20"/>
          <w:lang w:val="en-US"/>
        </w:rPr>
      </w:pPr>
      <w:r w:rsidRPr="00785D06">
        <w:rPr>
          <w:rFonts w:eastAsia="Batang"/>
          <w:sz w:val="20"/>
          <w:szCs w:val="20"/>
          <w:lang w:val="en-US" w:eastAsia="es-MX"/>
        </w:rPr>
        <w:t xml:space="preserve">Regarding </w:t>
      </w:r>
      <w:r w:rsidR="00C254BF" w:rsidRPr="00785D06">
        <w:rPr>
          <w:rFonts w:eastAsia="Batang"/>
          <w:sz w:val="20"/>
          <w:szCs w:val="20"/>
          <w:lang w:val="en-US" w:eastAsia="es-MX"/>
        </w:rPr>
        <w:t>the</w:t>
      </w:r>
      <w:r w:rsidR="00E74C84" w:rsidRPr="00785D06">
        <w:rPr>
          <w:rFonts w:eastAsia="Batang"/>
          <w:sz w:val="20"/>
          <w:szCs w:val="20"/>
          <w:lang w:val="en-US" w:eastAsia="es-MX"/>
        </w:rPr>
        <w:t xml:space="preserve"> </w:t>
      </w:r>
      <w:r w:rsidR="00E74C84" w:rsidRPr="00785D06">
        <w:rPr>
          <w:rFonts w:eastAsia="Batang"/>
          <w:i/>
          <w:iCs/>
          <w:sz w:val="20"/>
          <w:szCs w:val="20"/>
          <w:lang w:val="en-US" w:eastAsia="es-MX"/>
        </w:rPr>
        <w:t>effect</w:t>
      </w:r>
      <w:r w:rsidR="0074683C" w:rsidRPr="00785D06">
        <w:rPr>
          <w:rFonts w:eastAsia="Batang"/>
          <w:i/>
          <w:iCs/>
          <w:sz w:val="20"/>
          <w:szCs w:val="20"/>
          <w:lang w:val="en-US" w:eastAsia="es-MX"/>
        </w:rPr>
        <w:t xml:space="preserve"> </w:t>
      </w:r>
      <w:r w:rsidR="00E74C84" w:rsidRPr="00785D06">
        <w:rPr>
          <w:rFonts w:eastAsia="Batang"/>
          <w:i/>
          <w:iCs/>
          <w:sz w:val="20"/>
          <w:szCs w:val="20"/>
          <w:lang w:val="en-US" w:eastAsia="es-MX"/>
        </w:rPr>
        <w:t xml:space="preserve">of the duration of the proceedings on </w:t>
      </w:r>
      <w:r w:rsidR="00C254BF" w:rsidRPr="00785D06">
        <w:rPr>
          <w:rFonts w:eastAsia="Batang"/>
          <w:i/>
          <w:iCs/>
          <w:sz w:val="20"/>
          <w:szCs w:val="20"/>
          <w:lang w:val="en-US" w:eastAsia="es-MX"/>
        </w:rPr>
        <w:t xml:space="preserve">the </w:t>
      </w:r>
      <w:r w:rsidR="00365DEB" w:rsidRPr="00785D06">
        <w:rPr>
          <w:rFonts w:eastAsia="Batang"/>
          <w:i/>
          <w:iCs/>
          <w:sz w:val="20"/>
          <w:szCs w:val="20"/>
          <w:lang w:val="en-US" w:eastAsia="es-MX"/>
        </w:rPr>
        <w:t xml:space="preserve">legal </w:t>
      </w:r>
      <w:r w:rsidR="00C254BF" w:rsidRPr="00785D06">
        <w:rPr>
          <w:rFonts w:eastAsia="Batang"/>
          <w:i/>
          <w:iCs/>
          <w:sz w:val="20"/>
          <w:szCs w:val="20"/>
          <w:lang w:val="en-US" w:eastAsia="es-MX"/>
        </w:rPr>
        <w:t xml:space="preserve">situation </w:t>
      </w:r>
      <w:r w:rsidR="00365DEB" w:rsidRPr="00785D06">
        <w:rPr>
          <w:rFonts w:eastAsia="Batang"/>
          <w:i/>
          <w:iCs/>
          <w:sz w:val="20"/>
          <w:szCs w:val="20"/>
          <w:lang w:val="en-US" w:eastAsia="es-MX"/>
        </w:rPr>
        <w:t>of the person involved</w:t>
      </w:r>
      <w:r w:rsidR="00C254BF" w:rsidRPr="00785D06">
        <w:rPr>
          <w:rFonts w:eastAsia="Batang"/>
          <w:i/>
          <w:iCs/>
          <w:sz w:val="20"/>
          <w:szCs w:val="20"/>
          <w:lang w:val="en-US" w:eastAsia="es-MX"/>
        </w:rPr>
        <w:t xml:space="preserve">, </w:t>
      </w:r>
      <w:r w:rsidR="00C254BF" w:rsidRPr="00785D06">
        <w:rPr>
          <w:rFonts w:eastAsia="Batang"/>
          <w:sz w:val="20"/>
          <w:szCs w:val="20"/>
          <w:lang w:val="en-US" w:eastAsia="es-MX"/>
        </w:rPr>
        <w:t xml:space="preserve">this Court has established that </w:t>
      </w:r>
      <w:r w:rsidR="00C62E33" w:rsidRPr="00785D06">
        <w:rPr>
          <w:sz w:val="20"/>
          <w:szCs w:val="20"/>
          <w:lang w:val="en-US"/>
        </w:rPr>
        <w:t xml:space="preserve">if the passage of time has a significant impact on the judicial situation of the individual, the proceedings </w:t>
      </w:r>
      <w:r w:rsidR="00E74C84" w:rsidRPr="00785D06">
        <w:rPr>
          <w:sz w:val="20"/>
          <w:szCs w:val="20"/>
          <w:lang w:val="en-US"/>
        </w:rPr>
        <w:t xml:space="preserve">must </w:t>
      </w:r>
      <w:r w:rsidR="00C62E33" w:rsidRPr="00785D06">
        <w:rPr>
          <w:sz w:val="20"/>
          <w:szCs w:val="20"/>
          <w:lang w:val="en-US"/>
        </w:rPr>
        <w:t xml:space="preserve">be carried out more </w:t>
      </w:r>
      <w:r w:rsidR="00E74C84" w:rsidRPr="00785D06">
        <w:rPr>
          <w:sz w:val="20"/>
          <w:szCs w:val="20"/>
          <w:lang w:val="en-US"/>
        </w:rPr>
        <w:t xml:space="preserve">promptly </w:t>
      </w:r>
      <w:r w:rsidR="00C62E33" w:rsidRPr="00785D06">
        <w:rPr>
          <w:sz w:val="20"/>
          <w:szCs w:val="20"/>
          <w:lang w:val="en-US"/>
        </w:rPr>
        <w:t>so that the case is decided as soon as possible</w:t>
      </w:r>
      <w:r w:rsidR="00C254BF" w:rsidRPr="00785D06">
        <w:rPr>
          <w:rFonts w:eastAsia="Batang"/>
          <w:sz w:val="20"/>
          <w:szCs w:val="20"/>
          <w:lang w:val="en-US" w:eastAsia="es-MX"/>
        </w:rPr>
        <w:t>.</w:t>
      </w:r>
      <w:r w:rsidR="00C254BF" w:rsidRPr="00785D06">
        <w:rPr>
          <w:rStyle w:val="Refdenotaalpie"/>
          <w:rFonts w:eastAsia="Batang"/>
          <w:sz w:val="20"/>
          <w:szCs w:val="20"/>
          <w:lang w:val="en-US" w:eastAsia="es-MX"/>
        </w:rPr>
        <w:footnoteReference w:id="182"/>
      </w:r>
    </w:p>
    <w:p w14:paraId="3D660E47" w14:textId="77777777" w:rsidR="00C254BF" w:rsidRPr="00785D06" w:rsidRDefault="00C254BF" w:rsidP="00C254BF">
      <w:pPr>
        <w:pStyle w:val="Prrafodelista"/>
        <w:rPr>
          <w:rFonts w:eastAsia="Batang"/>
          <w:b/>
          <w:sz w:val="20"/>
          <w:szCs w:val="20"/>
          <w:lang w:val="en-US" w:eastAsia="es-MX"/>
        </w:rPr>
      </w:pPr>
    </w:p>
    <w:p w14:paraId="0F3E8673" w14:textId="77777777" w:rsidR="00C254BF" w:rsidRPr="00785D06" w:rsidRDefault="0043267C" w:rsidP="00C254BF">
      <w:pPr>
        <w:pStyle w:val="Prrafodelista"/>
        <w:numPr>
          <w:ilvl w:val="0"/>
          <w:numId w:val="35"/>
        </w:numPr>
        <w:ind w:left="0" w:firstLine="0"/>
        <w:contextualSpacing w:val="0"/>
        <w:jc w:val="both"/>
        <w:rPr>
          <w:sz w:val="20"/>
          <w:szCs w:val="20"/>
          <w:lang w:val="en-US"/>
        </w:rPr>
      </w:pPr>
      <w:r w:rsidRPr="00785D06">
        <w:rPr>
          <w:rFonts w:eastAsia="Batang"/>
          <w:sz w:val="20"/>
          <w:szCs w:val="20"/>
          <w:lang w:val="en-US" w:eastAsia="es-MX"/>
        </w:rPr>
        <w:t>In th</w:t>
      </w:r>
      <w:r w:rsidR="006D2A61" w:rsidRPr="00785D06">
        <w:rPr>
          <w:rFonts w:eastAsia="Batang"/>
          <w:sz w:val="20"/>
          <w:szCs w:val="20"/>
          <w:lang w:val="en-US" w:eastAsia="es-MX"/>
        </w:rPr>
        <w:t xml:space="preserve">is </w:t>
      </w:r>
      <w:r w:rsidR="00C254BF" w:rsidRPr="00785D06">
        <w:rPr>
          <w:rFonts w:eastAsia="Batang"/>
          <w:sz w:val="20"/>
          <w:szCs w:val="20"/>
          <w:lang w:val="en-US" w:eastAsia="es-MX"/>
        </w:rPr>
        <w:t xml:space="preserve">case, </w:t>
      </w:r>
      <w:r w:rsidR="008E312B" w:rsidRPr="00785D06">
        <w:rPr>
          <w:rFonts w:eastAsia="Batang"/>
          <w:sz w:val="20"/>
          <w:szCs w:val="20"/>
          <w:lang w:val="en-US" w:eastAsia="es-MX"/>
        </w:rPr>
        <w:t xml:space="preserve">which </w:t>
      </w:r>
      <w:r w:rsidR="00C058E0" w:rsidRPr="00785D06">
        <w:rPr>
          <w:rFonts w:eastAsia="Batang"/>
          <w:sz w:val="20"/>
          <w:szCs w:val="20"/>
          <w:lang w:val="en-US" w:eastAsia="es-MX"/>
        </w:rPr>
        <w:t>involv</w:t>
      </w:r>
      <w:r w:rsidR="008E312B" w:rsidRPr="00785D06">
        <w:rPr>
          <w:rFonts w:eastAsia="Batang"/>
          <w:sz w:val="20"/>
          <w:szCs w:val="20"/>
          <w:lang w:val="en-US" w:eastAsia="es-MX"/>
        </w:rPr>
        <w:t xml:space="preserve">ed </w:t>
      </w:r>
      <w:r w:rsidR="00C058E0" w:rsidRPr="00785D06">
        <w:rPr>
          <w:rFonts w:eastAsia="Batang"/>
          <w:sz w:val="20"/>
          <w:szCs w:val="20"/>
          <w:lang w:val="en-US" w:eastAsia="es-MX"/>
        </w:rPr>
        <w:t xml:space="preserve">a girl who was the </w:t>
      </w:r>
      <w:r w:rsidR="006D2A61" w:rsidRPr="00785D06">
        <w:rPr>
          <w:rFonts w:eastAsia="Batang"/>
          <w:sz w:val="20"/>
          <w:szCs w:val="20"/>
          <w:lang w:val="en-US" w:eastAsia="es-MX"/>
        </w:rPr>
        <w:t xml:space="preserve">victim </w:t>
      </w:r>
      <w:r w:rsidR="00C058E0" w:rsidRPr="00785D06">
        <w:rPr>
          <w:rFonts w:eastAsia="Batang"/>
          <w:sz w:val="20"/>
          <w:szCs w:val="20"/>
          <w:lang w:val="en-US" w:eastAsia="es-MX"/>
        </w:rPr>
        <w:t xml:space="preserve">of </w:t>
      </w:r>
      <w:r w:rsidR="00C254BF" w:rsidRPr="00785D06">
        <w:rPr>
          <w:rFonts w:eastAsia="Batang"/>
          <w:sz w:val="20"/>
          <w:szCs w:val="20"/>
          <w:lang w:val="en-US" w:eastAsia="es-MX"/>
        </w:rPr>
        <w:t xml:space="preserve">sexual violence, the </w:t>
      </w:r>
      <w:r w:rsidR="00C254BF" w:rsidRPr="00785D06">
        <w:rPr>
          <w:rFonts w:eastAsia="Calibri" w:cs="Calibri"/>
          <w:sz w:val="20"/>
          <w:szCs w:val="20"/>
          <w:lang w:val="en-US"/>
        </w:rPr>
        <w:t xml:space="preserve">judicial </w:t>
      </w:r>
      <w:r w:rsidR="00C254BF" w:rsidRPr="00785D06">
        <w:rPr>
          <w:rFonts w:eastAsia="Batang"/>
          <w:sz w:val="20"/>
          <w:szCs w:val="20"/>
          <w:lang w:val="en-US" w:eastAsia="es-MX"/>
        </w:rPr>
        <w:t>authorities</w:t>
      </w:r>
      <w:r w:rsidR="00C254BF" w:rsidRPr="00785D06">
        <w:rPr>
          <w:rFonts w:eastAsia="Calibri" w:cs="Calibri"/>
          <w:sz w:val="20"/>
          <w:szCs w:val="20"/>
          <w:lang w:val="en-US"/>
        </w:rPr>
        <w:t xml:space="preserve"> should have acted with the utmost diligence </w:t>
      </w:r>
      <w:r w:rsidR="006D2A61" w:rsidRPr="00785D06">
        <w:rPr>
          <w:rFonts w:eastAsia="Calibri" w:cs="Calibri"/>
          <w:sz w:val="20"/>
          <w:szCs w:val="20"/>
          <w:lang w:val="en-US"/>
        </w:rPr>
        <w:t xml:space="preserve">during the investigations and </w:t>
      </w:r>
      <w:r w:rsidR="00C254BF" w:rsidRPr="00785D06">
        <w:rPr>
          <w:rFonts w:eastAsia="Calibri" w:cs="Calibri"/>
          <w:sz w:val="20"/>
          <w:szCs w:val="20"/>
          <w:lang w:val="en-US"/>
        </w:rPr>
        <w:t xml:space="preserve">legal proceedings. </w:t>
      </w:r>
      <w:r w:rsidR="00C058E0" w:rsidRPr="00785D06">
        <w:rPr>
          <w:rFonts w:eastAsia="Calibri" w:cs="Calibri"/>
          <w:sz w:val="20"/>
          <w:szCs w:val="20"/>
          <w:lang w:val="en-US"/>
        </w:rPr>
        <w:t>T</w:t>
      </w:r>
      <w:r w:rsidR="00E46780" w:rsidRPr="00785D06">
        <w:rPr>
          <w:rFonts w:eastAsia="Calibri" w:cs="Calibri"/>
          <w:sz w:val="20"/>
          <w:szCs w:val="20"/>
          <w:lang w:val="en-US"/>
        </w:rPr>
        <w:t>he speed of the</w:t>
      </w:r>
      <w:r w:rsidR="00C058E0" w:rsidRPr="00785D06">
        <w:rPr>
          <w:rFonts w:eastAsia="Calibri" w:cs="Calibri"/>
          <w:sz w:val="20"/>
          <w:szCs w:val="20"/>
          <w:lang w:val="en-US"/>
        </w:rPr>
        <w:t xml:space="preserve">ir </w:t>
      </w:r>
      <w:r w:rsidR="00E46780" w:rsidRPr="00785D06">
        <w:rPr>
          <w:rFonts w:eastAsia="Calibri" w:cs="Calibri"/>
          <w:sz w:val="20"/>
          <w:szCs w:val="20"/>
          <w:lang w:val="en-US"/>
        </w:rPr>
        <w:t>actions was essential to achieve the primary objective of the judicial proceedings</w:t>
      </w:r>
      <w:r w:rsidR="00933FE6" w:rsidRPr="00785D06">
        <w:rPr>
          <w:rFonts w:eastAsia="Calibri" w:cs="Calibri"/>
          <w:sz w:val="20"/>
          <w:szCs w:val="20"/>
          <w:lang w:val="en-US"/>
        </w:rPr>
        <w:t>:</w:t>
      </w:r>
      <w:r w:rsidR="00C254BF" w:rsidRPr="00785D06">
        <w:rPr>
          <w:rFonts w:eastAsia="Calibri" w:cs="Calibri"/>
          <w:sz w:val="20"/>
          <w:szCs w:val="20"/>
          <w:lang w:val="en-US"/>
        </w:rPr>
        <w:t xml:space="preserve"> to investigate and punish the person responsible</w:t>
      </w:r>
      <w:r w:rsidR="00933FE6" w:rsidRPr="00785D06">
        <w:rPr>
          <w:rFonts w:eastAsia="Calibri" w:cs="Calibri"/>
          <w:sz w:val="20"/>
          <w:szCs w:val="20"/>
          <w:lang w:val="en-US"/>
        </w:rPr>
        <w:t xml:space="preserve"> – a public official -</w:t>
      </w:r>
      <w:r w:rsidR="00C254BF" w:rsidRPr="00785D06">
        <w:rPr>
          <w:rFonts w:eastAsia="Calibri" w:cs="Calibri"/>
          <w:sz w:val="20"/>
          <w:szCs w:val="20"/>
          <w:lang w:val="en-US"/>
        </w:rPr>
        <w:t xml:space="preserve"> for the sexual violence suffered</w:t>
      </w:r>
      <w:r w:rsidR="00933FE6" w:rsidRPr="00785D06">
        <w:rPr>
          <w:rFonts w:eastAsia="Calibri" w:cs="Calibri"/>
          <w:sz w:val="20"/>
          <w:szCs w:val="20"/>
          <w:lang w:val="en-US"/>
        </w:rPr>
        <w:t xml:space="preserve"> by Paola</w:t>
      </w:r>
      <w:r w:rsidR="00C254BF" w:rsidRPr="00785D06">
        <w:rPr>
          <w:rFonts w:eastAsia="Calibri" w:cs="Calibri"/>
          <w:sz w:val="20"/>
          <w:szCs w:val="20"/>
          <w:lang w:val="en-US"/>
        </w:rPr>
        <w:t xml:space="preserve">, and </w:t>
      </w:r>
      <w:r w:rsidR="0074683C" w:rsidRPr="00785D06">
        <w:rPr>
          <w:rFonts w:eastAsia="Calibri" w:cs="Calibri"/>
          <w:sz w:val="20"/>
          <w:szCs w:val="20"/>
          <w:lang w:val="en-US"/>
        </w:rPr>
        <w:t xml:space="preserve">enable </w:t>
      </w:r>
      <w:r w:rsidR="00933FE6" w:rsidRPr="00785D06">
        <w:rPr>
          <w:rFonts w:eastAsia="Calibri" w:cs="Calibri"/>
          <w:sz w:val="20"/>
          <w:szCs w:val="20"/>
          <w:lang w:val="en-US"/>
        </w:rPr>
        <w:t>her</w:t>
      </w:r>
      <w:r w:rsidR="00C254BF" w:rsidRPr="00785D06">
        <w:rPr>
          <w:rFonts w:eastAsia="Calibri" w:cs="Calibri"/>
          <w:sz w:val="20"/>
          <w:szCs w:val="20"/>
          <w:lang w:val="en-US"/>
        </w:rPr>
        <w:t xml:space="preserve"> </w:t>
      </w:r>
      <w:r w:rsidR="00933FE6" w:rsidRPr="00785D06">
        <w:rPr>
          <w:rFonts w:eastAsia="Calibri" w:cs="Calibri"/>
          <w:sz w:val="20"/>
          <w:szCs w:val="20"/>
          <w:lang w:val="en-US"/>
        </w:rPr>
        <w:t xml:space="preserve">family </w:t>
      </w:r>
      <w:r w:rsidR="0074683C" w:rsidRPr="00785D06">
        <w:rPr>
          <w:rFonts w:eastAsia="Calibri" w:cs="Calibri"/>
          <w:sz w:val="20"/>
          <w:szCs w:val="20"/>
          <w:lang w:val="en-US"/>
        </w:rPr>
        <w:t xml:space="preserve">to learn </w:t>
      </w:r>
      <w:r w:rsidR="00C254BF" w:rsidRPr="00785D06">
        <w:rPr>
          <w:rFonts w:eastAsia="Calibri" w:cs="Calibri"/>
          <w:sz w:val="20"/>
          <w:szCs w:val="20"/>
          <w:lang w:val="en-US"/>
        </w:rPr>
        <w:t xml:space="preserve">the truth of what happened to </w:t>
      </w:r>
      <w:r w:rsidR="00933FE6" w:rsidRPr="00785D06">
        <w:rPr>
          <w:rFonts w:eastAsia="Calibri" w:cs="Calibri"/>
          <w:sz w:val="20"/>
          <w:szCs w:val="20"/>
          <w:lang w:val="en-US"/>
        </w:rPr>
        <w:t xml:space="preserve">her </w:t>
      </w:r>
      <w:r w:rsidR="00C254BF" w:rsidRPr="00785D06">
        <w:rPr>
          <w:rFonts w:eastAsia="Calibri" w:cs="Calibri"/>
          <w:sz w:val="20"/>
          <w:szCs w:val="20"/>
          <w:lang w:val="en-US"/>
        </w:rPr>
        <w:t xml:space="preserve">and </w:t>
      </w:r>
      <w:r w:rsidR="0074683C" w:rsidRPr="00785D06">
        <w:rPr>
          <w:rFonts w:eastAsia="Calibri" w:cs="Calibri"/>
          <w:sz w:val="20"/>
          <w:szCs w:val="20"/>
          <w:lang w:val="en-US"/>
        </w:rPr>
        <w:t xml:space="preserve">put an end to the humiliation, </w:t>
      </w:r>
      <w:r w:rsidR="00365DEB" w:rsidRPr="00785D06">
        <w:rPr>
          <w:sz w:val="20"/>
          <w:lang w:val="en-US"/>
        </w:rPr>
        <w:t>stigma and preju</w:t>
      </w:r>
      <w:r w:rsidR="00C254BF" w:rsidRPr="00785D06">
        <w:rPr>
          <w:sz w:val="20"/>
          <w:lang w:val="en-US"/>
        </w:rPr>
        <w:t xml:space="preserve">dice </w:t>
      </w:r>
      <w:r w:rsidR="00C254BF" w:rsidRPr="00785D06">
        <w:rPr>
          <w:rFonts w:eastAsia="Calibri" w:cs="Calibri"/>
          <w:sz w:val="20"/>
          <w:szCs w:val="20"/>
          <w:lang w:val="en-US"/>
        </w:rPr>
        <w:t>th</w:t>
      </w:r>
      <w:r w:rsidR="00933FE6" w:rsidRPr="00785D06">
        <w:rPr>
          <w:rFonts w:eastAsia="Calibri" w:cs="Calibri"/>
          <w:sz w:val="20"/>
          <w:szCs w:val="20"/>
          <w:lang w:val="en-US"/>
        </w:rPr>
        <w:t xml:space="preserve">ey </w:t>
      </w:r>
      <w:r w:rsidR="00365DEB" w:rsidRPr="00785D06">
        <w:rPr>
          <w:rFonts w:eastAsia="Calibri" w:cs="Calibri"/>
          <w:sz w:val="20"/>
          <w:szCs w:val="20"/>
          <w:lang w:val="en-US"/>
        </w:rPr>
        <w:t xml:space="preserve">continued </w:t>
      </w:r>
      <w:r w:rsidR="00862973" w:rsidRPr="00785D06">
        <w:rPr>
          <w:rFonts w:eastAsia="Calibri" w:cs="Calibri"/>
          <w:sz w:val="20"/>
          <w:szCs w:val="20"/>
          <w:lang w:val="en-US"/>
        </w:rPr>
        <w:t xml:space="preserve">to </w:t>
      </w:r>
      <w:r w:rsidR="00933FE6" w:rsidRPr="00785D06">
        <w:rPr>
          <w:rFonts w:eastAsia="Calibri" w:cs="Calibri"/>
          <w:sz w:val="20"/>
          <w:szCs w:val="20"/>
          <w:lang w:val="en-US"/>
        </w:rPr>
        <w:t>suffer as a result of the case</w:t>
      </w:r>
      <w:r w:rsidR="00C254BF" w:rsidRPr="00785D06">
        <w:rPr>
          <w:rStyle w:val="Refdenotaalpie"/>
          <w:rFonts w:eastAsia="Calibri" w:cs="Calibri"/>
          <w:sz w:val="20"/>
          <w:szCs w:val="20"/>
          <w:lang w:val="en-US"/>
        </w:rPr>
        <w:footnoteReference w:id="183"/>
      </w:r>
      <w:r w:rsidR="00C254BF" w:rsidRPr="00785D06">
        <w:rPr>
          <w:rFonts w:eastAsia="Calibri" w:cs="Calibri"/>
          <w:sz w:val="20"/>
          <w:szCs w:val="20"/>
          <w:lang w:val="en-US"/>
        </w:rPr>
        <w:t xml:space="preserve"> (</w:t>
      </w:r>
      <w:r w:rsidR="00C254BF" w:rsidRPr="00785D06">
        <w:rPr>
          <w:rFonts w:eastAsia="Calibri" w:cs="Calibri"/>
          <w:i/>
          <w:sz w:val="20"/>
          <w:szCs w:val="20"/>
          <w:lang w:val="en-US"/>
        </w:rPr>
        <w:t>infra</w:t>
      </w:r>
      <w:r w:rsidR="00C254BF" w:rsidRPr="00785D06">
        <w:rPr>
          <w:rFonts w:eastAsia="Calibri" w:cs="Calibri"/>
          <w:sz w:val="20"/>
          <w:szCs w:val="20"/>
          <w:lang w:val="en-US"/>
        </w:rPr>
        <w:t xml:space="preserve"> para. 189). </w:t>
      </w:r>
      <w:r w:rsidR="00933FE6" w:rsidRPr="00785D06">
        <w:rPr>
          <w:rFonts w:eastAsia="Calibri" w:cs="Calibri"/>
          <w:sz w:val="20"/>
          <w:szCs w:val="20"/>
          <w:lang w:val="en-US"/>
        </w:rPr>
        <w:t>T</w:t>
      </w:r>
      <w:r w:rsidR="003B6ED6" w:rsidRPr="00785D06">
        <w:rPr>
          <w:rFonts w:eastAsia="Calibri" w:cs="Calibri"/>
          <w:sz w:val="20"/>
          <w:szCs w:val="20"/>
          <w:lang w:val="en-US"/>
        </w:rPr>
        <w:t xml:space="preserve">his </w:t>
      </w:r>
      <w:r w:rsidR="00C254BF" w:rsidRPr="00785D06">
        <w:rPr>
          <w:rFonts w:eastAsia="Calibri" w:cs="Calibri"/>
          <w:sz w:val="20"/>
          <w:szCs w:val="20"/>
          <w:lang w:val="en-US"/>
        </w:rPr>
        <w:t>objective was not achieved and</w:t>
      </w:r>
      <w:r w:rsidR="00933FE6" w:rsidRPr="00785D06">
        <w:rPr>
          <w:rFonts w:eastAsia="Calibri" w:cs="Calibri"/>
          <w:sz w:val="20"/>
          <w:szCs w:val="20"/>
          <w:lang w:val="en-US"/>
        </w:rPr>
        <w:t>, with</w:t>
      </w:r>
      <w:r w:rsidR="00C254BF" w:rsidRPr="00785D06">
        <w:rPr>
          <w:rFonts w:eastAsia="Calibri" w:cs="Calibri"/>
          <w:sz w:val="20"/>
          <w:szCs w:val="20"/>
          <w:lang w:val="en-US"/>
        </w:rPr>
        <w:t xml:space="preserve"> the passage of time</w:t>
      </w:r>
      <w:r w:rsidR="00933FE6" w:rsidRPr="00785D06">
        <w:rPr>
          <w:rFonts w:eastAsia="Calibri" w:cs="Calibri"/>
          <w:sz w:val="20"/>
          <w:szCs w:val="20"/>
          <w:lang w:val="en-US"/>
        </w:rPr>
        <w:t>,</w:t>
      </w:r>
      <w:r w:rsidR="00C254BF" w:rsidRPr="00785D06">
        <w:rPr>
          <w:rFonts w:eastAsia="Calibri" w:cs="Calibri"/>
          <w:sz w:val="20"/>
          <w:szCs w:val="20"/>
          <w:lang w:val="en-US"/>
        </w:rPr>
        <w:t xml:space="preserve"> </w:t>
      </w:r>
      <w:r w:rsidR="00365DEB" w:rsidRPr="00785D06">
        <w:rPr>
          <w:rFonts w:eastAsia="Calibri" w:cs="Calibri"/>
          <w:sz w:val="20"/>
          <w:szCs w:val="20"/>
          <w:lang w:val="en-US"/>
        </w:rPr>
        <w:t xml:space="preserve">resulted in </w:t>
      </w:r>
      <w:r w:rsidR="00C254BF" w:rsidRPr="00785D06">
        <w:rPr>
          <w:rFonts w:eastAsia="Calibri" w:cs="Calibri"/>
          <w:sz w:val="20"/>
          <w:szCs w:val="20"/>
          <w:lang w:val="en-US"/>
        </w:rPr>
        <w:t>the prescription of</w:t>
      </w:r>
      <w:r w:rsidR="00365DEB" w:rsidRPr="00785D06">
        <w:rPr>
          <w:rFonts w:eastAsia="Calibri" w:cs="Calibri"/>
          <w:sz w:val="20"/>
          <w:szCs w:val="20"/>
          <w:lang w:val="en-US"/>
        </w:rPr>
        <w:t xml:space="preserve"> the </w:t>
      </w:r>
      <w:r w:rsidR="007212F5" w:rsidRPr="00785D06">
        <w:rPr>
          <w:rFonts w:eastAsia="Calibri" w:cs="Calibri"/>
          <w:sz w:val="20"/>
          <w:szCs w:val="20"/>
          <w:lang w:val="en-US"/>
        </w:rPr>
        <w:t xml:space="preserve">criminal </w:t>
      </w:r>
      <w:r w:rsidR="002E5292" w:rsidRPr="00785D06">
        <w:rPr>
          <w:rFonts w:eastAsia="Calibri" w:cs="Calibri"/>
          <w:sz w:val="20"/>
          <w:szCs w:val="20"/>
          <w:lang w:val="en-US"/>
        </w:rPr>
        <w:t xml:space="preserve">action </w:t>
      </w:r>
      <w:r w:rsidR="00365DEB" w:rsidRPr="00785D06">
        <w:rPr>
          <w:rFonts w:eastAsia="Calibri" w:cs="Calibri"/>
          <w:sz w:val="20"/>
          <w:szCs w:val="20"/>
          <w:lang w:val="en-US"/>
        </w:rPr>
        <w:t>and the conseq</w:t>
      </w:r>
      <w:r w:rsidR="007212F5" w:rsidRPr="00785D06">
        <w:rPr>
          <w:rFonts w:eastAsia="Calibri" w:cs="Calibri"/>
          <w:sz w:val="20"/>
          <w:szCs w:val="20"/>
          <w:lang w:val="en-US"/>
        </w:rPr>
        <w:t xml:space="preserve">uent impunity of the </w:t>
      </w:r>
      <w:r w:rsidR="00C254BF" w:rsidRPr="00785D06">
        <w:rPr>
          <w:rFonts w:eastAsia="Calibri" w:cs="Calibri"/>
          <w:sz w:val="20"/>
          <w:szCs w:val="20"/>
          <w:lang w:val="en-US"/>
        </w:rPr>
        <w:t xml:space="preserve">acts. </w:t>
      </w:r>
      <w:r w:rsidR="001854E2" w:rsidRPr="00785D06">
        <w:rPr>
          <w:rFonts w:eastAsia="Calibri" w:cs="Calibri"/>
          <w:sz w:val="20"/>
          <w:szCs w:val="20"/>
          <w:lang w:val="en-US"/>
        </w:rPr>
        <w:t>Bearing this in mind</w:t>
      </w:r>
      <w:r w:rsidR="00C254BF" w:rsidRPr="00785D06">
        <w:rPr>
          <w:rFonts w:eastAsia="Calibri" w:cs="Calibri"/>
          <w:sz w:val="20"/>
          <w:szCs w:val="20"/>
          <w:lang w:val="en-US"/>
        </w:rPr>
        <w:t xml:space="preserve">, the Court </w:t>
      </w:r>
      <w:r w:rsidR="002E5292" w:rsidRPr="00785D06">
        <w:rPr>
          <w:rFonts w:eastAsia="Calibri" w:cs="Calibri"/>
          <w:sz w:val="20"/>
          <w:szCs w:val="20"/>
          <w:lang w:val="en-US"/>
        </w:rPr>
        <w:t xml:space="preserve">finds </w:t>
      </w:r>
      <w:r w:rsidR="00C254BF" w:rsidRPr="00785D06">
        <w:rPr>
          <w:rFonts w:eastAsia="Calibri" w:cs="Calibri"/>
          <w:sz w:val="20"/>
          <w:szCs w:val="20"/>
          <w:lang w:val="en-US"/>
        </w:rPr>
        <w:t>that</w:t>
      </w:r>
      <w:r w:rsidR="002E5292" w:rsidRPr="00785D06">
        <w:rPr>
          <w:rFonts w:eastAsia="Calibri" w:cs="Calibri"/>
          <w:sz w:val="20"/>
          <w:szCs w:val="20"/>
          <w:lang w:val="en-US"/>
        </w:rPr>
        <w:t xml:space="preserve"> there is sufficient </w:t>
      </w:r>
      <w:r w:rsidR="008E312B" w:rsidRPr="00785D06">
        <w:rPr>
          <w:rFonts w:eastAsia="Calibri" w:cs="Calibri"/>
          <w:sz w:val="20"/>
          <w:szCs w:val="20"/>
          <w:lang w:val="en-US"/>
        </w:rPr>
        <w:t xml:space="preserve">evidence </w:t>
      </w:r>
      <w:r w:rsidR="002E5292" w:rsidRPr="00785D06">
        <w:rPr>
          <w:rFonts w:eastAsia="Calibri" w:cs="Calibri"/>
          <w:sz w:val="20"/>
          <w:szCs w:val="20"/>
          <w:lang w:val="en-US"/>
        </w:rPr>
        <w:t xml:space="preserve">that the </w:t>
      </w:r>
      <w:r w:rsidR="00C254BF" w:rsidRPr="00785D06">
        <w:rPr>
          <w:rFonts w:eastAsia="Batang"/>
          <w:sz w:val="20"/>
          <w:szCs w:val="20"/>
          <w:lang w:val="en-US" w:eastAsia="es-MX"/>
        </w:rPr>
        <w:t>prolongation</w:t>
      </w:r>
      <w:r w:rsidR="00C254BF" w:rsidRPr="00785D06">
        <w:rPr>
          <w:rFonts w:eastAsia="Calibri" w:cs="Calibri"/>
          <w:sz w:val="20"/>
          <w:szCs w:val="20"/>
          <w:lang w:val="en-US"/>
        </w:rPr>
        <w:t xml:space="preserve"> of the investigations and the pr</w:t>
      </w:r>
      <w:r w:rsidR="0074683C" w:rsidRPr="00785D06">
        <w:rPr>
          <w:rFonts w:eastAsia="Calibri" w:cs="Calibri"/>
          <w:sz w:val="20"/>
          <w:szCs w:val="20"/>
          <w:lang w:val="en-US"/>
        </w:rPr>
        <w:t xml:space="preserve">oceedings in this case </w:t>
      </w:r>
      <w:r w:rsidR="00C254BF" w:rsidRPr="00785D06">
        <w:rPr>
          <w:rFonts w:eastAsia="Calibri" w:cs="Calibri"/>
          <w:sz w:val="20"/>
          <w:szCs w:val="20"/>
          <w:lang w:val="en-US"/>
        </w:rPr>
        <w:t xml:space="preserve">significantly </w:t>
      </w:r>
      <w:r w:rsidR="002E5292" w:rsidRPr="00785D06">
        <w:rPr>
          <w:rFonts w:eastAsia="Calibri" w:cs="Calibri"/>
          <w:sz w:val="20"/>
          <w:szCs w:val="20"/>
          <w:lang w:val="en-US"/>
        </w:rPr>
        <w:t xml:space="preserve">affected </w:t>
      </w:r>
      <w:r w:rsidR="00C254BF" w:rsidRPr="00785D06">
        <w:rPr>
          <w:rFonts w:eastAsia="Calibri" w:cs="Calibri"/>
          <w:sz w:val="20"/>
          <w:szCs w:val="20"/>
          <w:lang w:val="en-US"/>
        </w:rPr>
        <w:t xml:space="preserve">the </w:t>
      </w:r>
      <w:r w:rsidR="00365DEB" w:rsidRPr="00785D06">
        <w:rPr>
          <w:rFonts w:eastAsia="Calibri" w:cs="Calibri"/>
          <w:sz w:val="20"/>
          <w:szCs w:val="20"/>
          <w:lang w:val="en-US"/>
        </w:rPr>
        <w:t xml:space="preserve">legal </w:t>
      </w:r>
      <w:r w:rsidR="00C254BF" w:rsidRPr="00785D06">
        <w:rPr>
          <w:rFonts w:eastAsia="Calibri" w:cs="Calibri"/>
          <w:sz w:val="20"/>
          <w:szCs w:val="20"/>
          <w:lang w:val="en-US"/>
        </w:rPr>
        <w:t>situation of Paola Guzmán</w:t>
      </w:r>
      <w:r w:rsidR="0074683C" w:rsidRPr="00785D06">
        <w:rPr>
          <w:rFonts w:eastAsia="Calibri" w:cs="Calibri"/>
          <w:sz w:val="20"/>
          <w:szCs w:val="20"/>
          <w:lang w:val="en-US"/>
        </w:rPr>
        <w:t>’s relatives</w:t>
      </w:r>
      <w:r w:rsidR="00C254BF" w:rsidRPr="00785D06">
        <w:rPr>
          <w:rFonts w:eastAsia="Calibri" w:cs="Calibri"/>
          <w:sz w:val="20"/>
          <w:szCs w:val="20"/>
          <w:lang w:val="en-US"/>
        </w:rPr>
        <w:t>,</w:t>
      </w:r>
      <w:r w:rsidR="002E5292" w:rsidRPr="00785D06">
        <w:rPr>
          <w:rFonts w:eastAsia="Calibri" w:cs="Calibri"/>
          <w:sz w:val="20"/>
          <w:szCs w:val="20"/>
          <w:lang w:val="en-US"/>
        </w:rPr>
        <w:t xml:space="preserve"> since the </w:t>
      </w:r>
      <w:r w:rsidR="00365DEB" w:rsidRPr="00785D06">
        <w:rPr>
          <w:rFonts w:eastAsia="Calibri" w:cs="Calibri"/>
          <w:sz w:val="20"/>
          <w:szCs w:val="20"/>
          <w:lang w:val="en-US"/>
        </w:rPr>
        <w:t xml:space="preserve">delay in </w:t>
      </w:r>
      <w:r w:rsidR="002E5292" w:rsidRPr="00785D06">
        <w:rPr>
          <w:rFonts w:eastAsia="Calibri" w:cs="Calibri"/>
          <w:sz w:val="20"/>
          <w:szCs w:val="20"/>
          <w:lang w:val="en-US"/>
        </w:rPr>
        <w:t xml:space="preserve">settling </w:t>
      </w:r>
      <w:r w:rsidR="00365DEB" w:rsidRPr="00785D06">
        <w:rPr>
          <w:rFonts w:eastAsia="Calibri" w:cs="Calibri"/>
          <w:sz w:val="20"/>
          <w:szCs w:val="20"/>
          <w:lang w:val="en-US"/>
        </w:rPr>
        <w:t xml:space="preserve">the case </w:t>
      </w:r>
      <w:r w:rsidR="002E5292" w:rsidRPr="00785D06">
        <w:rPr>
          <w:rFonts w:eastAsia="Calibri" w:cs="Calibri"/>
          <w:sz w:val="20"/>
          <w:szCs w:val="20"/>
          <w:lang w:val="en-US"/>
        </w:rPr>
        <w:t>affected their daily lives and their possibilities</w:t>
      </w:r>
      <w:r w:rsidR="00C254BF" w:rsidRPr="00785D06">
        <w:rPr>
          <w:rFonts w:eastAsia="Calibri" w:cs="Calibri"/>
          <w:sz w:val="20"/>
          <w:szCs w:val="20"/>
          <w:lang w:val="en-US"/>
        </w:rPr>
        <w:t xml:space="preserve"> of know</w:t>
      </w:r>
      <w:r w:rsidR="002E5292" w:rsidRPr="00785D06">
        <w:rPr>
          <w:rFonts w:eastAsia="Calibri" w:cs="Calibri"/>
          <w:sz w:val="20"/>
          <w:szCs w:val="20"/>
          <w:lang w:val="en-US"/>
        </w:rPr>
        <w:t>ing</w:t>
      </w:r>
      <w:r w:rsidR="00C254BF" w:rsidRPr="00785D06">
        <w:rPr>
          <w:rFonts w:eastAsia="Calibri" w:cs="Calibri"/>
          <w:sz w:val="20"/>
          <w:szCs w:val="20"/>
          <w:lang w:val="en-US"/>
        </w:rPr>
        <w:t xml:space="preserve"> the truth of </w:t>
      </w:r>
      <w:r w:rsidR="00365DEB" w:rsidRPr="00785D06">
        <w:rPr>
          <w:rFonts w:eastAsia="Calibri" w:cs="Calibri"/>
          <w:sz w:val="20"/>
          <w:szCs w:val="20"/>
          <w:lang w:val="en-US"/>
        </w:rPr>
        <w:t xml:space="preserve">what </w:t>
      </w:r>
      <w:r w:rsidR="002E5292" w:rsidRPr="00785D06">
        <w:rPr>
          <w:rFonts w:eastAsia="Calibri" w:cs="Calibri"/>
          <w:sz w:val="20"/>
          <w:szCs w:val="20"/>
          <w:lang w:val="en-US"/>
        </w:rPr>
        <w:t>happened</w:t>
      </w:r>
      <w:r w:rsidR="00C254BF" w:rsidRPr="00785D06">
        <w:rPr>
          <w:rFonts w:eastAsia="Calibri" w:cs="Calibri"/>
          <w:sz w:val="20"/>
          <w:szCs w:val="20"/>
          <w:lang w:val="en-US"/>
        </w:rPr>
        <w:t>.</w:t>
      </w:r>
    </w:p>
    <w:p w14:paraId="6CB89648" w14:textId="77777777" w:rsidR="00C254BF" w:rsidRPr="00785D06" w:rsidRDefault="00C254BF" w:rsidP="00C254BF">
      <w:pPr>
        <w:pStyle w:val="Prrafodelista"/>
        <w:ind w:left="0"/>
        <w:contextualSpacing w:val="0"/>
        <w:jc w:val="both"/>
        <w:rPr>
          <w:sz w:val="20"/>
          <w:szCs w:val="20"/>
          <w:lang w:val="en-US"/>
        </w:rPr>
      </w:pPr>
    </w:p>
    <w:p w14:paraId="006A4451" w14:textId="77777777" w:rsidR="00C254BF" w:rsidRPr="00785D06" w:rsidRDefault="00365DEB" w:rsidP="00C254BF">
      <w:pPr>
        <w:pStyle w:val="Prrafodelista"/>
        <w:numPr>
          <w:ilvl w:val="0"/>
          <w:numId w:val="35"/>
        </w:numPr>
        <w:ind w:left="0" w:firstLine="0"/>
        <w:contextualSpacing w:val="0"/>
        <w:jc w:val="both"/>
        <w:rPr>
          <w:sz w:val="20"/>
          <w:szCs w:val="20"/>
          <w:lang w:val="en-US"/>
        </w:rPr>
      </w:pPr>
      <w:r w:rsidRPr="00785D06">
        <w:rPr>
          <w:rFonts w:cs="Arial"/>
          <w:sz w:val="20"/>
          <w:szCs w:val="20"/>
          <w:lang w:val="en-US"/>
        </w:rPr>
        <w:t>Accordingly</w:t>
      </w:r>
      <w:r w:rsidR="00C254BF" w:rsidRPr="00785D06">
        <w:rPr>
          <w:rFonts w:cs="Arial"/>
          <w:sz w:val="20"/>
          <w:szCs w:val="20"/>
          <w:lang w:val="en-US"/>
        </w:rPr>
        <w:t xml:space="preserve">, </w:t>
      </w:r>
      <w:r w:rsidR="008E312B" w:rsidRPr="00785D06">
        <w:rPr>
          <w:rFonts w:cs="Arial"/>
          <w:sz w:val="20"/>
          <w:szCs w:val="20"/>
          <w:lang w:val="en-US"/>
        </w:rPr>
        <w:t xml:space="preserve">and </w:t>
      </w:r>
      <w:r w:rsidR="00C254BF" w:rsidRPr="00785D06">
        <w:rPr>
          <w:rFonts w:cs="Arial"/>
          <w:sz w:val="20"/>
          <w:szCs w:val="20"/>
          <w:lang w:val="en-US"/>
        </w:rPr>
        <w:t xml:space="preserve">considering the State’s acknowledgement of its lack of diligence in arresting the </w:t>
      </w:r>
      <w:r w:rsidR="002E5292" w:rsidRPr="00785D06">
        <w:rPr>
          <w:rFonts w:cs="Arial"/>
          <w:sz w:val="20"/>
          <w:szCs w:val="20"/>
          <w:lang w:val="en-US"/>
        </w:rPr>
        <w:t>v</w:t>
      </w:r>
      <w:r w:rsidR="0097298A" w:rsidRPr="00785D06">
        <w:rPr>
          <w:rFonts w:cs="Arial"/>
          <w:sz w:val="20"/>
          <w:szCs w:val="20"/>
          <w:lang w:val="en-US"/>
        </w:rPr>
        <w:t>ice principal</w:t>
      </w:r>
      <w:r w:rsidR="00336916" w:rsidRPr="00785D06">
        <w:rPr>
          <w:rFonts w:cs="Arial"/>
          <w:sz w:val="20"/>
          <w:szCs w:val="20"/>
          <w:lang w:val="en-US"/>
        </w:rPr>
        <w:t xml:space="preserve"> and</w:t>
      </w:r>
      <w:r w:rsidR="00C254BF" w:rsidRPr="00785D06">
        <w:rPr>
          <w:rFonts w:cs="Arial"/>
          <w:sz w:val="20"/>
          <w:szCs w:val="20"/>
          <w:lang w:val="en-US"/>
        </w:rPr>
        <w:t xml:space="preserve"> </w:t>
      </w:r>
      <w:r w:rsidR="00336916" w:rsidRPr="00785D06">
        <w:rPr>
          <w:rFonts w:cs="Arial"/>
          <w:sz w:val="20"/>
          <w:szCs w:val="20"/>
          <w:lang w:val="en-US"/>
        </w:rPr>
        <w:t xml:space="preserve">admitting </w:t>
      </w:r>
      <w:r w:rsidR="002E5292" w:rsidRPr="00785D06">
        <w:rPr>
          <w:rFonts w:cs="Arial"/>
          <w:sz w:val="20"/>
          <w:szCs w:val="20"/>
          <w:lang w:val="en-US"/>
        </w:rPr>
        <w:t xml:space="preserve">that </w:t>
      </w:r>
      <w:r w:rsidRPr="00785D06">
        <w:rPr>
          <w:rFonts w:cs="Arial"/>
          <w:sz w:val="20"/>
          <w:szCs w:val="20"/>
          <w:lang w:val="en-US"/>
        </w:rPr>
        <w:t xml:space="preserve">no </w:t>
      </w:r>
      <w:r w:rsidR="00C254BF" w:rsidRPr="00785D06">
        <w:rPr>
          <w:rFonts w:cs="Arial"/>
          <w:sz w:val="20"/>
          <w:szCs w:val="20"/>
          <w:lang w:val="en-US"/>
        </w:rPr>
        <w:t>su</w:t>
      </w:r>
      <w:r w:rsidRPr="00785D06">
        <w:rPr>
          <w:rFonts w:cs="Arial"/>
          <w:sz w:val="20"/>
          <w:szCs w:val="20"/>
          <w:lang w:val="en-US"/>
        </w:rPr>
        <w:t>b</w:t>
      </w:r>
      <w:r w:rsidR="00C254BF" w:rsidRPr="00785D06">
        <w:rPr>
          <w:rFonts w:cs="Arial"/>
          <w:sz w:val="20"/>
          <w:szCs w:val="20"/>
          <w:lang w:val="en-US"/>
        </w:rPr>
        <w:t>stantive investigation</w:t>
      </w:r>
      <w:r w:rsidR="002E5292" w:rsidRPr="00785D06">
        <w:rPr>
          <w:rFonts w:cs="Arial"/>
          <w:sz w:val="20"/>
          <w:szCs w:val="20"/>
          <w:lang w:val="en-US"/>
        </w:rPr>
        <w:t>s</w:t>
      </w:r>
      <w:r w:rsidR="00C254BF" w:rsidRPr="00785D06">
        <w:rPr>
          <w:rFonts w:cs="Arial"/>
          <w:sz w:val="20"/>
          <w:szCs w:val="20"/>
          <w:lang w:val="en-US"/>
        </w:rPr>
        <w:t xml:space="preserve"> </w:t>
      </w:r>
      <w:r w:rsidR="002E5292" w:rsidRPr="00785D06">
        <w:rPr>
          <w:rFonts w:cs="Arial"/>
          <w:sz w:val="20"/>
          <w:szCs w:val="20"/>
          <w:lang w:val="en-US"/>
        </w:rPr>
        <w:t xml:space="preserve">were conducted </w:t>
      </w:r>
      <w:r w:rsidR="00336916" w:rsidRPr="00785D06">
        <w:rPr>
          <w:rFonts w:cs="Arial"/>
          <w:sz w:val="20"/>
          <w:szCs w:val="20"/>
          <w:lang w:val="en-US"/>
        </w:rPr>
        <w:t xml:space="preserve">after </w:t>
      </w:r>
      <w:r w:rsidR="00C254BF" w:rsidRPr="00785D06">
        <w:rPr>
          <w:rFonts w:cs="Arial"/>
          <w:sz w:val="20"/>
          <w:szCs w:val="20"/>
          <w:lang w:val="en-US"/>
        </w:rPr>
        <w:t>September 22, 2004 (</w:t>
      </w:r>
      <w:r w:rsidR="00C254BF" w:rsidRPr="00785D06">
        <w:rPr>
          <w:rFonts w:cs="Arial"/>
          <w:i/>
          <w:sz w:val="20"/>
          <w:szCs w:val="20"/>
          <w:lang w:val="en-US"/>
        </w:rPr>
        <w:t xml:space="preserve">supra </w:t>
      </w:r>
      <w:r w:rsidR="00C254BF" w:rsidRPr="00785D06">
        <w:rPr>
          <w:rFonts w:cs="Arial"/>
          <w:sz w:val="20"/>
          <w:szCs w:val="20"/>
          <w:lang w:val="en-US"/>
        </w:rPr>
        <w:t xml:space="preserve">para. 184), </w:t>
      </w:r>
      <w:r w:rsidR="00336916" w:rsidRPr="00785D06">
        <w:rPr>
          <w:rFonts w:cs="Arial"/>
          <w:sz w:val="20"/>
          <w:szCs w:val="20"/>
          <w:lang w:val="en-US"/>
        </w:rPr>
        <w:t xml:space="preserve">it is clear that </w:t>
      </w:r>
      <w:r w:rsidR="009321B3" w:rsidRPr="00785D06">
        <w:rPr>
          <w:rFonts w:cs="Arial"/>
          <w:sz w:val="20"/>
          <w:szCs w:val="20"/>
          <w:lang w:val="en-US"/>
        </w:rPr>
        <w:t xml:space="preserve">the State authorities are responsible for </w:t>
      </w:r>
      <w:r w:rsidR="00C254BF" w:rsidRPr="00785D06">
        <w:rPr>
          <w:rFonts w:cs="Arial"/>
          <w:sz w:val="20"/>
          <w:szCs w:val="20"/>
          <w:lang w:val="en-US"/>
        </w:rPr>
        <w:t xml:space="preserve">the </w:t>
      </w:r>
      <w:r w:rsidR="009321B3" w:rsidRPr="00785D06">
        <w:rPr>
          <w:rFonts w:cs="Arial"/>
          <w:sz w:val="20"/>
          <w:szCs w:val="20"/>
          <w:lang w:val="en-US"/>
        </w:rPr>
        <w:t xml:space="preserve">procedural </w:t>
      </w:r>
      <w:r w:rsidR="00C254BF" w:rsidRPr="00785D06">
        <w:rPr>
          <w:rFonts w:cs="Arial"/>
          <w:sz w:val="20"/>
          <w:szCs w:val="20"/>
          <w:lang w:val="en-US"/>
        </w:rPr>
        <w:t xml:space="preserve">inactivity during at least four of the nearly six years that </w:t>
      </w:r>
      <w:r w:rsidRPr="00785D06">
        <w:rPr>
          <w:rFonts w:cs="Arial"/>
          <w:sz w:val="20"/>
          <w:szCs w:val="20"/>
          <w:lang w:val="en-US"/>
        </w:rPr>
        <w:t>the proce</w:t>
      </w:r>
      <w:r w:rsidR="009321B3" w:rsidRPr="00785D06">
        <w:rPr>
          <w:rFonts w:cs="Arial"/>
          <w:sz w:val="20"/>
          <w:szCs w:val="20"/>
          <w:lang w:val="en-US"/>
        </w:rPr>
        <w:t xml:space="preserve">edings </w:t>
      </w:r>
      <w:r w:rsidRPr="00785D06">
        <w:rPr>
          <w:rFonts w:cs="Arial"/>
          <w:sz w:val="20"/>
          <w:szCs w:val="20"/>
          <w:lang w:val="en-US"/>
        </w:rPr>
        <w:t>lasted</w:t>
      </w:r>
      <w:r w:rsidR="00C254BF" w:rsidRPr="00785D06">
        <w:rPr>
          <w:rFonts w:cs="Arial"/>
          <w:sz w:val="20"/>
          <w:szCs w:val="20"/>
          <w:lang w:val="en-US"/>
        </w:rPr>
        <w:t xml:space="preserve">. </w:t>
      </w:r>
      <w:r w:rsidRPr="00785D06">
        <w:rPr>
          <w:rFonts w:cs="Arial"/>
          <w:sz w:val="20"/>
          <w:szCs w:val="20"/>
          <w:lang w:val="en-US"/>
        </w:rPr>
        <w:t>Th</w:t>
      </w:r>
      <w:r w:rsidR="00960453" w:rsidRPr="00785D06">
        <w:rPr>
          <w:rFonts w:cs="Arial"/>
          <w:sz w:val="20"/>
          <w:szCs w:val="20"/>
          <w:lang w:val="en-US"/>
        </w:rPr>
        <w:t xml:space="preserve">is is sufficient for the </w:t>
      </w:r>
      <w:r w:rsidR="009321B3" w:rsidRPr="00785D06">
        <w:rPr>
          <w:rFonts w:cs="Arial"/>
          <w:sz w:val="20"/>
          <w:szCs w:val="20"/>
          <w:lang w:val="en-US"/>
        </w:rPr>
        <w:t xml:space="preserve">Court </w:t>
      </w:r>
      <w:r w:rsidR="00960453" w:rsidRPr="00785D06">
        <w:rPr>
          <w:rFonts w:cs="Arial"/>
          <w:sz w:val="20"/>
          <w:szCs w:val="20"/>
          <w:lang w:val="en-US"/>
        </w:rPr>
        <w:t xml:space="preserve">to </w:t>
      </w:r>
      <w:r w:rsidRPr="00785D06">
        <w:rPr>
          <w:rFonts w:cs="Arial"/>
          <w:sz w:val="20"/>
          <w:szCs w:val="20"/>
          <w:lang w:val="en-US"/>
        </w:rPr>
        <w:t xml:space="preserve">consider that </w:t>
      </w:r>
      <w:r w:rsidR="00960453" w:rsidRPr="00785D06">
        <w:rPr>
          <w:rFonts w:cs="Arial"/>
          <w:sz w:val="20"/>
          <w:szCs w:val="20"/>
          <w:lang w:val="en-US"/>
        </w:rPr>
        <w:t xml:space="preserve">the proceedings exceeded a </w:t>
      </w:r>
      <w:r w:rsidR="00C254BF" w:rsidRPr="00785D06">
        <w:rPr>
          <w:rFonts w:cs="Arial"/>
          <w:sz w:val="20"/>
          <w:szCs w:val="20"/>
          <w:lang w:val="en-US"/>
        </w:rPr>
        <w:t xml:space="preserve">reasonable time.  </w:t>
      </w:r>
    </w:p>
    <w:p w14:paraId="07CB8A28" w14:textId="77777777" w:rsidR="00C254BF" w:rsidRPr="00785D06" w:rsidRDefault="00C254BF" w:rsidP="00C254BF">
      <w:pPr>
        <w:jc w:val="both"/>
        <w:rPr>
          <w:rFonts w:eastAsia="Times New Roman"/>
          <w:sz w:val="20"/>
          <w:szCs w:val="20"/>
          <w:lang w:val="en-US" w:eastAsia="es-ES" w:bidi="es-ES"/>
        </w:rPr>
      </w:pPr>
    </w:p>
    <w:p w14:paraId="267FD2E3" w14:textId="77777777" w:rsidR="00C254BF" w:rsidRPr="00785D06" w:rsidRDefault="00C254BF" w:rsidP="00C254BF">
      <w:pPr>
        <w:pStyle w:val="Prrafodelista"/>
        <w:ind w:left="567"/>
        <w:contextualSpacing w:val="0"/>
        <w:jc w:val="both"/>
        <w:outlineLvl w:val="2"/>
        <w:rPr>
          <w:rFonts w:eastAsia="Times New Roman"/>
          <w:i/>
          <w:sz w:val="20"/>
          <w:szCs w:val="20"/>
          <w:lang w:val="en-US" w:eastAsia="es-ES" w:bidi="es-ES"/>
        </w:rPr>
      </w:pPr>
      <w:bookmarkStart w:id="136" w:name="_Toc40466560"/>
      <w:bookmarkStart w:id="137" w:name="_Toc42498062"/>
      <w:bookmarkStart w:id="138" w:name="_Toc46937310"/>
      <w:r w:rsidRPr="00785D06">
        <w:rPr>
          <w:rFonts w:eastAsia="Times New Roman"/>
          <w:i/>
          <w:sz w:val="20"/>
          <w:szCs w:val="20"/>
          <w:lang w:val="en-US" w:eastAsia="es-ES" w:bidi="es-ES"/>
        </w:rPr>
        <w:t xml:space="preserve">B.2 </w:t>
      </w:r>
      <w:r w:rsidRPr="00785D06">
        <w:rPr>
          <w:rFonts w:eastAsia="Times New Roman"/>
          <w:i/>
          <w:sz w:val="20"/>
          <w:szCs w:val="20"/>
          <w:u w:val="single"/>
          <w:lang w:val="en-US" w:eastAsia="es-ES" w:bidi="es-ES"/>
        </w:rPr>
        <w:t xml:space="preserve">Use of gender stereotypes </w:t>
      </w:r>
      <w:bookmarkEnd w:id="136"/>
      <w:bookmarkEnd w:id="137"/>
      <w:bookmarkEnd w:id="138"/>
    </w:p>
    <w:p w14:paraId="10CA0FD8" w14:textId="77777777" w:rsidR="00C254BF" w:rsidRPr="00785D06" w:rsidRDefault="00C254BF" w:rsidP="00C254BF">
      <w:pPr>
        <w:jc w:val="both"/>
        <w:rPr>
          <w:rFonts w:eastAsia="Times New Roman"/>
          <w:sz w:val="20"/>
          <w:szCs w:val="20"/>
          <w:lang w:val="en-US" w:eastAsia="es-ES" w:bidi="es-ES"/>
        </w:rPr>
      </w:pPr>
    </w:p>
    <w:p w14:paraId="32CE843C"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The Court re</w:t>
      </w:r>
      <w:r w:rsidR="0042569D" w:rsidRPr="00785D06">
        <w:rPr>
          <w:rFonts w:eastAsia="Times New Roman"/>
          <w:sz w:val="20"/>
          <w:szCs w:val="20"/>
          <w:lang w:val="en-US" w:eastAsia="es-ES" w:bidi="es-ES"/>
        </w:rPr>
        <w:t>iterates that gender stereotyping</w:t>
      </w:r>
      <w:r w:rsidRPr="00785D06">
        <w:rPr>
          <w:rFonts w:eastAsia="Times New Roman"/>
          <w:sz w:val="20"/>
          <w:szCs w:val="20"/>
          <w:lang w:val="en-US" w:eastAsia="es-ES" w:bidi="es-ES"/>
        </w:rPr>
        <w:t xml:space="preserve"> </w:t>
      </w:r>
      <w:r w:rsidR="0042569D" w:rsidRPr="00785D06">
        <w:rPr>
          <w:rFonts w:eastAsia="Times New Roman"/>
          <w:sz w:val="20"/>
          <w:szCs w:val="20"/>
          <w:lang w:val="en-US" w:eastAsia="es-ES" w:bidi="es-ES"/>
        </w:rPr>
        <w:t>refers to</w:t>
      </w:r>
      <w:r w:rsidRPr="00785D06">
        <w:rPr>
          <w:rFonts w:eastAsia="Times New Roman"/>
          <w:sz w:val="20"/>
          <w:szCs w:val="20"/>
          <w:lang w:val="en-US" w:eastAsia="es-ES" w:bidi="es-ES"/>
        </w:rPr>
        <w:t>:</w:t>
      </w:r>
    </w:p>
    <w:p w14:paraId="37B3BAD1" w14:textId="77777777" w:rsidR="00C254BF" w:rsidRPr="00785D06" w:rsidRDefault="00C254BF" w:rsidP="00C254BF">
      <w:pPr>
        <w:pStyle w:val="Prrafodelista"/>
        <w:ind w:left="0"/>
        <w:contextualSpacing w:val="0"/>
        <w:jc w:val="both"/>
        <w:rPr>
          <w:rFonts w:eastAsia="Times New Roman"/>
          <w:sz w:val="20"/>
          <w:szCs w:val="20"/>
          <w:lang w:val="en-US" w:eastAsia="es-ES" w:bidi="es-ES"/>
        </w:rPr>
      </w:pPr>
    </w:p>
    <w:p w14:paraId="0512AAED" w14:textId="77777777" w:rsidR="00C254BF" w:rsidRPr="00785D06" w:rsidRDefault="0042569D" w:rsidP="00C254BF">
      <w:pPr>
        <w:pStyle w:val="Prrafodelista"/>
        <w:ind w:left="284" w:right="276"/>
        <w:contextualSpacing w:val="0"/>
        <w:jc w:val="both"/>
        <w:rPr>
          <w:lang w:val="en-US"/>
        </w:rPr>
      </w:pPr>
      <w:r w:rsidRPr="00785D06">
        <w:rPr>
          <w:lang w:val="en-US"/>
        </w:rPr>
        <w:t>“</w:t>
      </w:r>
      <w:r w:rsidR="00EF5373" w:rsidRPr="00785D06">
        <w:rPr>
          <w:lang w:val="en-US"/>
        </w:rPr>
        <w:t>a preconception of attributes, behaviors or characteristics possessed by, or roles that are or should be played by, men and women, respectively, and it is possible to associate the subordination of women to practices based on socially dominant and persistent gender-based stereotypes. In this regard, their creation and use becomes one of the causes and consequences of gender-based violence against women, a situation that is exacerbated when they are reflected, implicitly and explicitly, in policies and practices, particularly in the thinking and language of the State authorities</w:t>
      </w:r>
      <w:r w:rsidR="00F37F2B" w:rsidRPr="00785D06">
        <w:rPr>
          <w:lang w:val="en-US"/>
        </w:rPr>
        <w:t>.”</w:t>
      </w:r>
      <w:r w:rsidR="00C254BF" w:rsidRPr="00785D06">
        <w:rPr>
          <w:rStyle w:val="Refdenotaalpie"/>
          <w:rFonts w:eastAsia="Times New Roman"/>
          <w:lang w:val="en-US" w:eastAsia="es-ES" w:bidi="es-ES"/>
        </w:rPr>
        <w:footnoteReference w:id="184"/>
      </w:r>
    </w:p>
    <w:p w14:paraId="3833EA5D" w14:textId="77777777" w:rsidR="00C254BF" w:rsidRPr="00785D06" w:rsidRDefault="00C254BF" w:rsidP="00C254BF">
      <w:pPr>
        <w:pStyle w:val="Prrafodelista"/>
        <w:ind w:left="0"/>
        <w:contextualSpacing w:val="0"/>
        <w:jc w:val="both"/>
        <w:rPr>
          <w:sz w:val="20"/>
          <w:szCs w:val="20"/>
          <w:lang w:val="en-US"/>
        </w:rPr>
      </w:pPr>
    </w:p>
    <w:p w14:paraId="3AB2C854" w14:textId="77777777" w:rsidR="00C254BF" w:rsidRPr="00785D06" w:rsidRDefault="00AB3F2F"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 xml:space="preserve">Based on </w:t>
      </w:r>
      <w:r w:rsidR="00C254BF" w:rsidRPr="00785D06">
        <w:rPr>
          <w:rFonts w:eastAsia="Times New Roman"/>
          <w:sz w:val="20"/>
          <w:szCs w:val="20"/>
          <w:lang w:val="en-US" w:eastAsia="es-ES" w:bidi="es-ES"/>
        </w:rPr>
        <w:t>these considerations</w:t>
      </w:r>
      <w:r w:rsidR="00EF5373" w:rsidRPr="00785D06">
        <w:rPr>
          <w:rFonts w:eastAsia="Times New Roman"/>
          <w:sz w:val="20"/>
          <w:szCs w:val="20"/>
          <w:lang w:val="en-US" w:eastAsia="es-ES" w:bidi="es-ES"/>
        </w:rPr>
        <w:t>,</w:t>
      </w:r>
      <w:r w:rsidR="00C254BF" w:rsidRPr="00785D06">
        <w:rPr>
          <w:rFonts w:eastAsia="Times New Roman"/>
          <w:sz w:val="20"/>
          <w:szCs w:val="20"/>
          <w:lang w:val="en-US" w:eastAsia="es-ES" w:bidi="es-ES"/>
        </w:rPr>
        <w:t xml:space="preserve"> it is clear that Ecuador’s criminal justice system </w:t>
      </w:r>
      <w:r w:rsidR="00F37F2B" w:rsidRPr="00785D06">
        <w:rPr>
          <w:rFonts w:eastAsia="Times New Roman"/>
          <w:sz w:val="20"/>
          <w:szCs w:val="20"/>
          <w:lang w:val="en-US" w:eastAsia="es-ES" w:bidi="es-ES"/>
        </w:rPr>
        <w:t>assessed Paola’s</w:t>
      </w:r>
      <w:r w:rsidRPr="00785D06">
        <w:rPr>
          <w:rFonts w:eastAsia="Times New Roman"/>
          <w:sz w:val="20"/>
          <w:szCs w:val="20"/>
          <w:lang w:val="en-US" w:eastAsia="es-ES" w:bidi="es-ES"/>
        </w:rPr>
        <w:t xml:space="preserve"> </w:t>
      </w:r>
      <w:r w:rsidR="00C254BF" w:rsidRPr="00785D06">
        <w:rPr>
          <w:rFonts w:eastAsia="Times New Roman"/>
          <w:sz w:val="20"/>
          <w:szCs w:val="20"/>
          <w:lang w:val="en-US" w:eastAsia="es-ES" w:bidi="es-ES"/>
        </w:rPr>
        <w:t xml:space="preserve">death and </w:t>
      </w:r>
      <w:r w:rsidR="00F37F2B" w:rsidRPr="00785D06">
        <w:rPr>
          <w:rFonts w:eastAsia="Times New Roman"/>
          <w:sz w:val="20"/>
          <w:szCs w:val="20"/>
          <w:lang w:val="en-US" w:eastAsia="es-ES" w:bidi="es-ES"/>
        </w:rPr>
        <w:t xml:space="preserve">the </w:t>
      </w:r>
      <w:r w:rsidR="00C254BF" w:rsidRPr="00785D06">
        <w:rPr>
          <w:rFonts w:eastAsia="Times New Roman"/>
          <w:sz w:val="20"/>
          <w:szCs w:val="20"/>
          <w:lang w:val="en-US" w:eastAsia="es-ES" w:bidi="es-ES"/>
        </w:rPr>
        <w:t xml:space="preserve">sexual violence </w:t>
      </w:r>
      <w:r w:rsidR="00F37F2B" w:rsidRPr="00785D06">
        <w:rPr>
          <w:rFonts w:eastAsia="Times New Roman"/>
          <w:sz w:val="20"/>
          <w:szCs w:val="20"/>
          <w:lang w:val="en-US" w:eastAsia="es-ES" w:bidi="es-ES"/>
        </w:rPr>
        <w:t xml:space="preserve">committed </w:t>
      </w:r>
      <w:r w:rsidR="00C254BF" w:rsidRPr="00785D06">
        <w:rPr>
          <w:rFonts w:eastAsia="Times New Roman"/>
          <w:sz w:val="20"/>
          <w:szCs w:val="20"/>
          <w:lang w:val="en-US" w:eastAsia="es-ES" w:bidi="es-ES"/>
        </w:rPr>
        <w:t xml:space="preserve">against </w:t>
      </w:r>
      <w:r w:rsidR="00F37F2B" w:rsidRPr="00785D06">
        <w:rPr>
          <w:rFonts w:eastAsia="Times New Roman"/>
          <w:sz w:val="20"/>
          <w:szCs w:val="20"/>
          <w:lang w:val="en-US" w:eastAsia="es-ES" w:bidi="es-ES"/>
        </w:rPr>
        <w:t xml:space="preserve">her </w:t>
      </w:r>
      <w:r w:rsidR="00C254BF" w:rsidRPr="00785D06">
        <w:rPr>
          <w:rFonts w:eastAsia="Times New Roman"/>
          <w:sz w:val="20"/>
          <w:szCs w:val="20"/>
          <w:lang w:val="en-US" w:eastAsia="es-ES" w:bidi="es-ES"/>
        </w:rPr>
        <w:t xml:space="preserve">in the context of a </w:t>
      </w:r>
      <w:r w:rsidR="00960453" w:rsidRPr="00785D06">
        <w:rPr>
          <w:rFonts w:eastAsia="Times New Roman"/>
          <w:sz w:val="20"/>
          <w:szCs w:val="20"/>
          <w:lang w:val="en-US" w:eastAsia="es-ES" w:bidi="es-ES"/>
        </w:rPr>
        <w:t xml:space="preserve">legal system that was </w:t>
      </w:r>
      <w:r w:rsidR="00C254BF" w:rsidRPr="00785D06">
        <w:rPr>
          <w:rFonts w:eastAsia="Times New Roman"/>
          <w:sz w:val="20"/>
          <w:szCs w:val="20"/>
          <w:lang w:val="en-US" w:eastAsia="es-ES" w:bidi="es-ES"/>
        </w:rPr>
        <w:t xml:space="preserve">discriminatory </w:t>
      </w:r>
      <w:r w:rsidR="00EF5373" w:rsidRPr="00785D06">
        <w:rPr>
          <w:rFonts w:eastAsia="Times New Roman"/>
          <w:sz w:val="20"/>
          <w:szCs w:val="20"/>
          <w:lang w:val="en-US" w:eastAsia="es-ES" w:bidi="es-ES"/>
        </w:rPr>
        <w:t xml:space="preserve">with regard to </w:t>
      </w:r>
      <w:r w:rsidR="00F37F2B" w:rsidRPr="00785D06">
        <w:rPr>
          <w:rFonts w:eastAsia="Times New Roman"/>
          <w:sz w:val="20"/>
          <w:szCs w:val="20"/>
          <w:lang w:val="en-US" w:eastAsia="es-ES" w:bidi="es-ES"/>
        </w:rPr>
        <w:t xml:space="preserve">gender, and </w:t>
      </w:r>
      <w:r w:rsidR="00C254BF" w:rsidRPr="00785D06">
        <w:rPr>
          <w:rFonts w:eastAsia="Times New Roman"/>
          <w:sz w:val="20"/>
          <w:szCs w:val="20"/>
          <w:lang w:val="en-US" w:eastAsia="es-ES" w:bidi="es-ES"/>
        </w:rPr>
        <w:t xml:space="preserve">did not </w:t>
      </w:r>
      <w:r w:rsidR="00960453" w:rsidRPr="00785D06">
        <w:rPr>
          <w:rFonts w:eastAsia="Times New Roman"/>
          <w:sz w:val="20"/>
          <w:szCs w:val="20"/>
          <w:lang w:val="en-US" w:eastAsia="es-ES" w:bidi="es-ES"/>
        </w:rPr>
        <w:t xml:space="preserve">consider </w:t>
      </w:r>
      <w:r w:rsidR="00C254BF" w:rsidRPr="00785D06">
        <w:rPr>
          <w:rFonts w:eastAsia="Times New Roman"/>
          <w:sz w:val="20"/>
          <w:szCs w:val="20"/>
          <w:lang w:val="en-US" w:eastAsia="es-ES" w:bidi="es-ES"/>
        </w:rPr>
        <w:t xml:space="preserve">her special situation of vulnerability as a girl </w:t>
      </w:r>
      <w:r w:rsidR="00F37F2B" w:rsidRPr="00785D06">
        <w:rPr>
          <w:rFonts w:eastAsia="Times New Roman"/>
          <w:sz w:val="20"/>
          <w:szCs w:val="20"/>
          <w:lang w:val="en-US" w:eastAsia="es-ES" w:bidi="es-ES"/>
        </w:rPr>
        <w:t xml:space="preserve">subjected to violence by </w:t>
      </w:r>
      <w:r w:rsidR="00C254BF" w:rsidRPr="00785D06">
        <w:rPr>
          <w:rFonts w:eastAsia="Times New Roman"/>
          <w:sz w:val="20"/>
          <w:szCs w:val="20"/>
          <w:lang w:val="en-US" w:eastAsia="es-ES" w:bidi="es-ES"/>
        </w:rPr>
        <w:t>a teacher. The</w:t>
      </w:r>
      <w:r w:rsidR="00960453" w:rsidRPr="00785D06">
        <w:rPr>
          <w:rFonts w:eastAsia="Times New Roman"/>
          <w:sz w:val="20"/>
          <w:szCs w:val="20"/>
          <w:lang w:val="en-US" w:eastAsia="es-ES" w:bidi="es-ES"/>
        </w:rPr>
        <w:t>se</w:t>
      </w:r>
      <w:r w:rsidR="00C254BF" w:rsidRPr="00785D06">
        <w:rPr>
          <w:rFonts w:eastAsia="Times New Roman"/>
          <w:sz w:val="20"/>
          <w:szCs w:val="20"/>
          <w:lang w:val="en-US" w:eastAsia="es-ES" w:bidi="es-ES"/>
        </w:rPr>
        <w:t xml:space="preserve"> stereotypes and prejudices </w:t>
      </w:r>
      <w:r w:rsidR="00960453" w:rsidRPr="00785D06">
        <w:rPr>
          <w:rFonts w:eastAsia="Times New Roman"/>
          <w:sz w:val="20"/>
          <w:szCs w:val="20"/>
          <w:lang w:val="en-US" w:eastAsia="es-ES" w:bidi="es-ES"/>
        </w:rPr>
        <w:t xml:space="preserve">influenced the outcome </w:t>
      </w:r>
      <w:r w:rsidR="00C254BF" w:rsidRPr="00785D06">
        <w:rPr>
          <w:rFonts w:eastAsia="Times New Roman"/>
          <w:sz w:val="20"/>
          <w:szCs w:val="20"/>
          <w:lang w:val="en-US" w:eastAsia="es-ES" w:bidi="es-ES"/>
        </w:rPr>
        <w:t>of the process</w:t>
      </w:r>
      <w:r w:rsidR="00960453" w:rsidRPr="00785D06">
        <w:rPr>
          <w:rFonts w:eastAsia="Times New Roman"/>
          <w:sz w:val="20"/>
          <w:szCs w:val="20"/>
          <w:lang w:val="en-US" w:eastAsia="es-ES" w:bidi="es-ES"/>
        </w:rPr>
        <w:t>, inasmuch as the decisions did not take</w:t>
      </w:r>
      <w:r w:rsidR="00C254BF" w:rsidRPr="00785D06">
        <w:rPr>
          <w:rFonts w:eastAsia="Times New Roman"/>
          <w:sz w:val="20"/>
          <w:szCs w:val="20"/>
          <w:lang w:val="en-US" w:eastAsia="es-ES" w:bidi="es-ES"/>
        </w:rPr>
        <w:t xml:space="preserve"> into account a gender perspective</w:t>
      </w:r>
      <w:r w:rsidR="00960453" w:rsidRPr="00785D06">
        <w:rPr>
          <w:rFonts w:eastAsia="Times New Roman"/>
          <w:sz w:val="20"/>
          <w:szCs w:val="20"/>
          <w:lang w:val="en-US" w:eastAsia="es-ES" w:bidi="es-ES"/>
        </w:rPr>
        <w:t xml:space="preserve">, based on </w:t>
      </w:r>
      <w:r w:rsidR="00365DEB" w:rsidRPr="00785D06">
        <w:rPr>
          <w:rFonts w:eastAsia="Times New Roman"/>
          <w:sz w:val="20"/>
          <w:szCs w:val="20"/>
          <w:lang w:val="en-US" w:eastAsia="es-ES" w:bidi="es-ES"/>
        </w:rPr>
        <w:t xml:space="preserve">the principles of </w:t>
      </w:r>
      <w:r w:rsidR="00C254BF" w:rsidRPr="00785D06">
        <w:rPr>
          <w:rFonts w:eastAsia="Times New Roman"/>
          <w:sz w:val="20"/>
          <w:szCs w:val="20"/>
          <w:lang w:val="en-US" w:eastAsia="es-ES" w:bidi="es-ES"/>
        </w:rPr>
        <w:t xml:space="preserve">the </w:t>
      </w:r>
      <w:r w:rsidR="00B97F8F" w:rsidRPr="00785D06">
        <w:rPr>
          <w:rFonts w:eastAsia="Times New Roman"/>
          <w:sz w:val="20"/>
          <w:szCs w:val="20"/>
          <w:lang w:val="en-US" w:eastAsia="es-ES" w:bidi="es-ES"/>
        </w:rPr>
        <w:t>Belém do Pará Convention</w:t>
      </w:r>
      <w:r w:rsidR="00C254BF" w:rsidRPr="00785D06">
        <w:rPr>
          <w:rFonts w:eastAsia="Times New Roman"/>
          <w:sz w:val="20"/>
          <w:szCs w:val="20"/>
          <w:lang w:val="en-US" w:eastAsia="es-ES" w:bidi="es-ES"/>
        </w:rPr>
        <w:t>. Stereotyping “</w:t>
      </w:r>
      <w:r w:rsidR="00C254BF" w:rsidRPr="00785D06">
        <w:rPr>
          <w:sz w:val="20"/>
          <w:szCs w:val="20"/>
          <w:lang w:val="en-US"/>
        </w:rPr>
        <w:t>compromises the impartiality and integrity of the justice system, which can, in turn, lead to miscarriages of justice</w:t>
      </w:r>
      <w:r w:rsidR="00960453" w:rsidRPr="00785D06">
        <w:rPr>
          <w:sz w:val="20"/>
          <w:szCs w:val="20"/>
          <w:lang w:val="en-US"/>
        </w:rPr>
        <w:t>,</w:t>
      </w:r>
      <w:r w:rsidR="00960453" w:rsidRPr="00785D06">
        <w:rPr>
          <w:rFonts w:eastAsia="Times New Roman"/>
          <w:sz w:val="20"/>
          <w:szCs w:val="20"/>
          <w:lang w:val="en-US" w:eastAsia="es-ES" w:bidi="es-ES"/>
        </w:rPr>
        <w:t>”</w:t>
      </w:r>
      <w:r w:rsidR="00C254BF" w:rsidRPr="00785D06">
        <w:rPr>
          <w:rFonts w:eastAsia="Times New Roman"/>
          <w:sz w:val="20"/>
          <w:szCs w:val="20"/>
          <w:lang w:val="en-US" w:eastAsia="es-ES" w:bidi="es-ES"/>
        </w:rPr>
        <w:t xml:space="preserve"> </w:t>
      </w:r>
      <w:r w:rsidR="00EF5373" w:rsidRPr="00785D06">
        <w:rPr>
          <w:rFonts w:eastAsia="Times New Roman"/>
          <w:sz w:val="20"/>
          <w:szCs w:val="20"/>
          <w:lang w:val="en-US" w:eastAsia="es-ES" w:bidi="es-ES"/>
        </w:rPr>
        <w:t xml:space="preserve">and </w:t>
      </w:r>
      <w:r w:rsidR="00960453" w:rsidRPr="00785D06">
        <w:rPr>
          <w:rFonts w:eastAsia="Times New Roman"/>
          <w:sz w:val="20"/>
          <w:szCs w:val="20"/>
          <w:lang w:val="en-US" w:eastAsia="es-ES" w:bidi="es-ES"/>
        </w:rPr>
        <w:t xml:space="preserve">may </w:t>
      </w:r>
      <w:r w:rsidR="00EF5373" w:rsidRPr="00785D06">
        <w:rPr>
          <w:rFonts w:eastAsia="Times New Roman"/>
          <w:sz w:val="20"/>
          <w:szCs w:val="20"/>
          <w:lang w:val="en-US" w:eastAsia="es-ES" w:bidi="es-ES"/>
        </w:rPr>
        <w:t xml:space="preserve">result in </w:t>
      </w:r>
      <w:r w:rsidR="00C254BF" w:rsidRPr="00785D06">
        <w:rPr>
          <w:rFonts w:eastAsia="Times New Roman"/>
          <w:sz w:val="20"/>
          <w:szCs w:val="20"/>
          <w:lang w:val="en-US" w:eastAsia="es-ES" w:bidi="es-ES"/>
        </w:rPr>
        <w:t xml:space="preserve">the denial of justice, </w:t>
      </w:r>
      <w:r w:rsidR="00C254BF" w:rsidRPr="00785D06">
        <w:rPr>
          <w:sz w:val="20"/>
          <w:szCs w:val="20"/>
          <w:lang w:val="en-US"/>
        </w:rPr>
        <w:t>including the revictimization of complainants</w:t>
      </w:r>
      <w:r w:rsidR="00C254BF" w:rsidRPr="00785D06">
        <w:rPr>
          <w:rFonts w:eastAsia="Times New Roman"/>
          <w:sz w:val="20"/>
          <w:szCs w:val="20"/>
          <w:lang w:val="en-US" w:eastAsia="es-ES" w:bidi="es-ES"/>
        </w:rPr>
        <w:t>.</w:t>
      </w:r>
      <w:r w:rsidR="00C254BF" w:rsidRPr="00785D06">
        <w:rPr>
          <w:rStyle w:val="Refdenotaalpie"/>
          <w:rFonts w:eastAsia="Times New Roman"/>
          <w:sz w:val="20"/>
          <w:szCs w:val="20"/>
          <w:lang w:val="en-US" w:eastAsia="es-ES" w:bidi="es-ES"/>
        </w:rPr>
        <w:footnoteReference w:id="185"/>
      </w:r>
      <w:r w:rsidR="00C254BF" w:rsidRPr="00785D06">
        <w:rPr>
          <w:rFonts w:eastAsia="Times New Roman"/>
          <w:sz w:val="20"/>
          <w:szCs w:val="20"/>
          <w:lang w:val="en-US" w:eastAsia="es-ES" w:bidi="es-ES"/>
        </w:rPr>
        <w:t xml:space="preserve"> </w:t>
      </w:r>
    </w:p>
    <w:p w14:paraId="77BC107C" w14:textId="77777777" w:rsidR="00C254BF" w:rsidRPr="00785D06" w:rsidRDefault="00C254BF" w:rsidP="00C254BF">
      <w:pPr>
        <w:jc w:val="both"/>
        <w:rPr>
          <w:rFonts w:eastAsia="Times New Roman"/>
          <w:sz w:val="20"/>
          <w:szCs w:val="20"/>
          <w:lang w:val="en-US" w:eastAsia="es-ES" w:bidi="es-ES"/>
        </w:rPr>
      </w:pPr>
    </w:p>
    <w:p w14:paraId="04D15A50"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In this case, the Superior Court of Justice of Guayaquil (</w:t>
      </w:r>
      <w:r w:rsidRPr="00785D06">
        <w:rPr>
          <w:rFonts w:eastAsia="Times New Roman"/>
          <w:i/>
          <w:sz w:val="20"/>
          <w:szCs w:val="20"/>
          <w:lang w:val="en-US" w:eastAsia="es-ES" w:bidi="es-ES"/>
        </w:rPr>
        <w:t>supra</w:t>
      </w:r>
      <w:r w:rsidRPr="00785D06">
        <w:rPr>
          <w:rFonts w:eastAsia="Times New Roman"/>
          <w:sz w:val="20"/>
          <w:szCs w:val="20"/>
          <w:lang w:val="en-US" w:eastAsia="es-ES" w:bidi="es-ES"/>
        </w:rPr>
        <w:t xml:space="preserve"> para. 76), </w:t>
      </w:r>
      <w:r w:rsidR="00F70D0C" w:rsidRPr="00785D06">
        <w:rPr>
          <w:rFonts w:eastAsia="Times New Roman"/>
          <w:sz w:val="20"/>
          <w:szCs w:val="20"/>
          <w:lang w:val="en-US" w:eastAsia="es-ES" w:bidi="es-ES"/>
        </w:rPr>
        <w:t xml:space="preserve">in its ruling of September 2, 2005, </w:t>
      </w:r>
      <w:r w:rsidR="00EF5373" w:rsidRPr="00785D06">
        <w:rPr>
          <w:rFonts w:eastAsia="Times New Roman"/>
          <w:sz w:val="20"/>
          <w:szCs w:val="20"/>
          <w:lang w:val="en-US" w:eastAsia="es-ES" w:bidi="es-ES"/>
        </w:rPr>
        <w:t xml:space="preserve">found </w:t>
      </w:r>
      <w:r w:rsidRPr="00785D06">
        <w:rPr>
          <w:rFonts w:eastAsia="Times New Roman"/>
          <w:sz w:val="20"/>
          <w:szCs w:val="20"/>
          <w:lang w:val="en-US" w:eastAsia="es-ES" w:bidi="es-ES"/>
        </w:rPr>
        <w:t>that no crime of sexual harassment</w:t>
      </w:r>
      <w:r w:rsidR="00F70D0C" w:rsidRPr="00785D06">
        <w:rPr>
          <w:rFonts w:eastAsia="Times New Roman"/>
          <w:sz w:val="20"/>
          <w:szCs w:val="20"/>
          <w:lang w:val="en-US" w:eastAsia="es-ES" w:bidi="es-ES"/>
        </w:rPr>
        <w:t xml:space="preserve"> was committed</w:t>
      </w:r>
      <w:r w:rsidR="003B6ED6" w:rsidRPr="00785D06">
        <w:rPr>
          <w:rFonts w:eastAsia="Times New Roman"/>
          <w:sz w:val="20"/>
          <w:szCs w:val="20"/>
          <w:lang w:val="en-US" w:eastAsia="es-ES" w:bidi="es-ES"/>
        </w:rPr>
        <w:t xml:space="preserve"> because </w:t>
      </w:r>
      <w:r w:rsidRPr="00785D06">
        <w:rPr>
          <w:rFonts w:eastAsia="Times New Roman"/>
          <w:sz w:val="20"/>
          <w:szCs w:val="20"/>
          <w:lang w:val="en-US" w:eastAsia="es-ES" w:bidi="es-ES"/>
        </w:rPr>
        <w:t xml:space="preserve">the </w:t>
      </w:r>
      <w:r w:rsidR="0097298A" w:rsidRPr="00785D06">
        <w:rPr>
          <w:rFonts w:eastAsia="Times New Roman"/>
          <w:sz w:val="20"/>
          <w:szCs w:val="20"/>
          <w:lang w:val="en-US" w:eastAsia="es-ES" w:bidi="es-ES"/>
        </w:rPr>
        <w:t>vice principal</w:t>
      </w:r>
      <w:r w:rsidR="003B6ED6" w:rsidRPr="00785D06">
        <w:rPr>
          <w:rFonts w:eastAsia="Times New Roman"/>
          <w:sz w:val="20"/>
          <w:szCs w:val="20"/>
          <w:lang w:val="en-US" w:eastAsia="es-ES" w:bidi="es-ES"/>
        </w:rPr>
        <w:t xml:space="preserve"> “did not pursue Paola Guzm</w:t>
      </w:r>
      <w:r w:rsidR="003B6ED6" w:rsidRPr="00785D06">
        <w:rPr>
          <w:rFonts w:ascii="Arial" w:eastAsia="Times New Roman" w:hAnsi="Arial" w:cs="Arial"/>
          <w:sz w:val="20"/>
          <w:szCs w:val="20"/>
          <w:lang w:val="en-US" w:eastAsia="es-ES" w:bidi="es-ES"/>
        </w:rPr>
        <w:t>án</w:t>
      </w:r>
      <w:r w:rsidR="003B6ED6" w:rsidRPr="00785D06">
        <w:rPr>
          <w:rFonts w:eastAsia="Times New Roman"/>
          <w:sz w:val="20"/>
          <w:szCs w:val="20"/>
          <w:lang w:val="en-US" w:eastAsia="es-ES" w:bidi="es-ES"/>
        </w:rPr>
        <w:t>. Rather,</w:t>
      </w:r>
      <w:r w:rsidRPr="00785D06">
        <w:rPr>
          <w:rFonts w:eastAsia="Times New Roman"/>
          <w:sz w:val="20"/>
          <w:szCs w:val="20"/>
          <w:lang w:val="en-US" w:eastAsia="es-ES" w:bidi="es-ES"/>
        </w:rPr>
        <w:t xml:space="preserve"> she was the one who sought </w:t>
      </w:r>
      <w:r w:rsidR="003B6ED6" w:rsidRPr="00785D06">
        <w:rPr>
          <w:rFonts w:eastAsia="Times New Roman"/>
          <w:sz w:val="20"/>
          <w:szCs w:val="20"/>
          <w:lang w:val="en-US" w:eastAsia="es-ES" w:bidi="es-ES"/>
        </w:rPr>
        <w:t>favors from him as an educator</w:t>
      </w:r>
      <w:r w:rsidRPr="00785D06">
        <w:rPr>
          <w:rFonts w:eastAsia="Times New Roman"/>
          <w:sz w:val="20"/>
          <w:szCs w:val="20"/>
          <w:lang w:val="en-US" w:eastAsia="es-ES" w:bidi="es-ES"/>
        </w:rPr>
        <w:t xml:space="preserve">,” </w:t>
      </w:r>
      <w:r w:rsidR="003B6ED6" w:rsidRPr="00785D06">
        <w:rPr>
          <w:rFonts w:eastAsia="Times New Roman"/>
          <w:sz w:val="20"/>
          <w:szCs w:val="20"/>
          <w:lang w:val="en-US" w:eastAsia="es-ES" w:bidi="es-ES"/>
        </w:rPr>
        <w:t xml:space="preserve">this </w:t>
      </w:r>
      <w:r w:rsidR="000F4C7B" w:rsidRPr="00785D06">
        <w:rPr>
          <w:rFonts w:eastAsia="Times New Roman"/>
          <w:sz w:val="20"/>
          <w:szCs w:val="20"/>
          <w:lang w:val="en-US" w:eastAsia="es-ES" w:bidi="es-ES"/>
        </w:rPr>
        <w:t xml:space="preserve">being the </w:t>
      </w:r>
      <w:r w:rsidRPr="00785D06">
        <w:rPr>
          <w:rFonts w:eastAsia="Times New Roman"/>
          <w:sz w:val="20"/>
          <w:szCs w:val="20"/>
          <w:lang w:val="en-US" w:eastAsia="es-ES" w:bidi="es-ES"/>
        </w:rPr>
        <w:t>“</w:t>
      </w:r>
      <w:r w:rsidR="00EF5373" w:rsidRPr="00785D06">
        <w:rPr>
          <w:rFonts w:eastAsia="Times New Roman"/>
          <w:sz w:val="20"/>
          <w:szCs w:val="20"/>
          <w:lang w:val="en-US" w:eastAsia="es-ES" w:bidi="es-ES"/>
        </w:rPr>
        <w:t xml:space="preserve">reason for the </w:t>
      </w:r>
      <w:r w:rsidRPr="00785D06">
        <w:rPr>
          <w:rFonts w:eastAsia="Times New Roman"/>
          <w:sz w:val="20"/>
          <w:szCs w:val="20"/>
          <w:lang w:val="en-US" w:eastAsia="es-ES" w:bidi="es-ES"/>
        </w:rPr>
        <w:t>seduction</w:t>
      </w:r>
      <w:r w:rsidR="003B6ED6" w:rsidRPr="00785D06">
        <w:rPr>
          <w:rFonts w:eastAsia="Times New Roman"/>
          <w:sz w:val="20"/>
          <w:szCs w:val="20"/>
          <w:lang w:val="en-US" w:eastAsia="es-ES" w:bidi="es-ES"/>
        </w:rPr>
        <w:t>.”</w:t>
      </w:r>
      <w:r w:rsidRPr="00785D06">
        <w:rPr>
          <w:rFonts w:eastAsia="Times New Roman"/>
          <w:sz w:val="20"/>
          <w:szCs w:val="20"/>
          <w:lang w:val="en-US" w:eastAsia="es-ES" w:bidi="es-ES"/>
        </w:rPr>
        <w:t xml:space="preserve"> </w:t>
      </w:r>
      <w:r w:rsidR="00123B82" w:rsidRPr="00785D06">
        <w:rPr>
          <w:rFonts w:eastAsia="Times New Roman"/>
          <w:sz w:val="20"/>
          <w:szCs w:val="20"/>
          <w:lang w:val="en-US" w:eastAsia="es-ES" w:bidi="es-ES"/>
        </w:rPr>
        <w:t xml:space="preserve">In this same </w:t>
      </w:r>
      <w:r w:rsidR="00F70D0C" w:rsidRPr="00785D06">
        <w:rPr>
          <w:rFonts w:eastAsia="Times New Roman"/>
          <w:sz w:val="20"/>
          <w:szCs w:val="20"/>
          <w:lang w:val="en-US" w:eastAsia="es-ES" w:bidi="es-ES"/>
        </w:rPr>
        <w:t>ruling</w:t>
      </w:r>
      <w:r w:rsidR="003B6ED6" w:rsidRPr="00785D06">
        <w:rPr>
          <w:rFonts w:eastAsia="Times New Roman"/>
          <w:sz w:val="20"/>
          <w:szCs w:val="20"/>
          <w:lang w:val="en-US" w:eastAsia="es-ES" w:bidi="es-ES"/>
        </w:rPr>
        <w:t>, the court</w:t>
      </w:r>
      <w:r w:rsidRPr="00785D06">
        <w:rPr>
          <w:rFonts w:eastAsia="Times New Roman"/>
          <w:sz w:val="20"/>
          <w:szCs w:val="20"/>
          <w:lang w:val="en-US" w:eastAsia="es-ES" w:bidi="es-ES"/>
        </w:rPr>
        <w:t xml:space="preserve"> understood that the </w:t>
      </w:r>
      <w:r w:rsidR="0097298A" w:rsidRPr="00785D06">
        <w:rPr>
          <w:rFonts w:eastAsia="Times New Roman"/>
          <w:sz w:val="20"/>
          <w:szCs w:val="20"/>
          <w:lang w:val="en-US" w:eastAsia="es-ES" w:bidi="es-ES"/>
        </w:rPr>
        <w:t>vice principal</w:t>
      </w:r>
      <w:r w:rsidR="00F70D0C" w:rsidRPr="00785D06">
        <w:rPr>
          <w:rFonts w:eastAsia="Times New Roman"/>
          <w:sz w:val="20"/>
          <w:szCs w:val="20"/>
          <w:lang w:val="en-US" w:eastAsia="es-ES" w:bidi="es-ES"/>
        </w:rPr>
        <w:t>’s conduct</w:t>
      </w:r>
      <w:r w:rsidRPr="00785D06">
        <w:rPr>
          <w:rFonts w:eastAsia="Times New Roman"/>
          <w:sz w:val="20"/>
          <w:szCs w:val="20"/>
          <w:lang w:val="en-US" w:eastAsia="es-ES" w:bidi="es-ES"/>
        </w:rPr>
        <w:t xml:space="preserve"> </w:t>
      </w:r>
      <w:r w:rsidR="00F70D0C" w:rsidRPr="00785D06">
        <w:rPr>
          <w:rFonts w:eastAsia="Times New Roman"/>
          <w:sz w:val="20"/>
          <w:szCs w:val="20"/>
          <w:lang w:val="en-US" w:eastAsia="es-ES" w:bidi="es-ES"/>
        </w:rPr>
        <w:t xml:space="preserve">amounted to </w:t>
      </w:r>
      <w:r w:rsidRPr="00785D06">
        <w:rPr>
          <w:rFonts w:eastAsia="Times New Roman"/>
          <w:sz w:val="20"/>
          <w:szCs w:val="20"/>
          <w:lang w:val="en-US" w:eastAsia="es-ES" w:bidi="es-ES"/>
        </w:rPr>
        <w:t>“rape</w:t>
      </w:r>
      <w:r w:rsidR="00F70D0C" w:rsidRPr="00785D06">
        <w:rPr>
          <w:rFonts w:eastAsia="Times New Roman"/>
          <w:sz w:val="20"/>
          <w:szCs w:val="20"/>
          <w:lang w:val="en-US" w:eastAsia="es-ES" w:bidi="es-ES"/>
        </w:rPr>
        <w:t>,”</w:t>
      </w:r>
      <w:r w:rsidRPr="00785D06">
        <w:rPr>
          <w:rFonts w:eastAsia="Times New Roman"/>
          <w:sz w:val="20"/>
          <w:szCs w:val="20"/>
          <w:lang w:val="en-US" w:eastAsia="es-ES" w:bidi="es-ES"/>
        </w:rPr>
        <w:t xml:space="preserve"> </w:t>
      </w:r>
      <w:r w:rsidR="00F23098" w:rsidRPr="00785D06">
        <w:rPr>
          <w:rFonts w:eastAsia="Times New Roman"/>
          <w:sz w:val="20"/>
          <w:szCs w:val="20"/>
          <w:lang w:val="en-US" w:eastAsia="es-ES" w:bidi="es-ES"/>
        </w:rPr>
        <w:t xml:space="preserve">explaining </w:t>
      </w:r>
      <w:r w:rsidRPr="00785D06">
        <w:rPr>
          <w:rFonts w:cs="Arial"/>
          <w:sz w:val="20"/>
          <w:szCs w:val="20"/>
          <w:lang w:val="en-US"/>
        </w:rPr>
        <w:t>that in th</w:t>
      </w:r>
      <w:r w:rsidR="00EF5373" w:rsidRPr="00785D06">
        <w:rPr>
          <w:rFonts w:cs="Arial"/>
          <w:sz w:val="20"/>
          <w:szCs w:val="20"/>
          <w:lang w:val="en-US"/>
        </w:rPr>
        <w:t xml:space="preserve">is </w:t>
      </w:r>
      <w:r w:rsidRPr="00785D06">
        <w:rPr>
          <w:rFonts w:cs="Arial"/>
          <w:sz w:val="20"/>
          <w:szCs w:val="20"/>
          <w:lang w:val="en-US"/>
        </w:rPr>
        <w:t>cr</w:t>
      </w:r>
      <w:r w:rsidR="00F23098" w:rsidRPr="00785D06">
        <w:rPr>
          <w:rFonts w:cs="Arial"/>
          <w:sz w:val="20"/>
          <w:szCs w:val="20"/>
          <w:lang w:val="en-US"/>
        </w:rPr>
        <w:t xml:space="preserve">ime the seduction </w:t>
      </w:r>
      <w:r w:rsidR="00123B82" w:rsidRPr="00785D06">
        <w:rPr>
          <w:rFonts w:cs="Arial"/>
          <w:sz w:val="20"/>
          <w:szCs w:val="20"/>
          <w:lang w:val="en-US"/>
        </w:rPr>
        <w:t>i</w:t>
      </w:r>
      <w:r w:rsidR="003B6ED6" w:rsidRPr="00785D06">
        <w:rPr>
          <w:rFonts w:cs="Arial"/>
          <w:sz w:val="20"/>
          <w:szCs w:val="20"/>
          <w:lang w:val="en-US"/>
        </w:rPr>
        <w:t xml:space="preserve">s aimed at </w:t>
      </w:r>
      <w:r w:rsidR="00F23098" w:rsidRPr="00785D06">
        <w:rPr>
          <w:rFonts w:cs="Arial"/>
          <w:sz w:val="20"/>
          <w:szCs w:val="20"/>
          <w:lang w:val="en-US"/>
        </w:rPr>
        <w:t>“</w:t>
      </w:r>
      <w:r w:rsidR="003B6ED6" w:rsidRPr="00785D06">
        <w:rPr>
          <w:rFonts w:cs="Arial"/>
          <w:sz w:val="20"/>
          <w:szCs w:val="20"/>
          <w:lang w:val="en-US"/>
        </w:rPr>
        <w:t xml:space="preserve">achieving </w:t>
      </w:r>
      <w:r w:rsidRPr="00785D06">
        <w:rPr>
          <w:rFonts w:cs="Arial"/>
          <w:sz w:val="20"/>
          <w:szCs w:val="20"/>
          <w:lang w:val="en-US"/>
        </w:rPr>
        <w:t xml:space="preserve">consent and </w:t>
      </w:r>
      <w:r w:rsidR="00A340DB" w:rsidRPr="00785D06">
        <w:rPr>
          <w:rFonts w:cs="Arial"/>
          <w:sz w:val="20"/>
          <w:szCs w:val="20"/>
          <w:lang w:val="en-US"/>
        </w:rPr>
        <w:t xml:space="preserve">carnal intercourse </w:t>
      </w:r>
      <w:r w:rsidRPr="00785D06">
        <w:rPr>
          <w:rFonts w:cs="Arial"/>
          <w:sz w:val="20"/>
          <w:szCs w:val="20"/>
          <w:lang w:val="en-US"/>
        </w:rPr>
        <w:t xml:space="preserve">with an honest woman.” </w:t>
      </w:r>
      <w:r w:rsidR="00A340DB" w:rsidRPr="00785D06">
        <w:rPr>
          <w:rFonts w:cs="Arial"/>
          <w:sz w:val="20"/>
          <w:szCs w:val="20"/>
          <w:lang w:val="en-US"/>
        </w:rPr>
        <w:t xml:space="preserve">It based its </w:t>
      </w:r>
      <w:r w:rsidRPr="00785D06">
        <w:rPr>
          <w:rFonts w:cs="Arial"/>
          <w:sz w:val="20"/>
          <w:szCs w:val="20"/>
          <w:lang w:val="en-US"/>
        </w:rPr>
        <w:t>af</w:t>
      </w:r>
      <w:r w:rsidR="00F23098" w:rsidRPr="00785D06">
        <w:rPr>
          <w:rFonts w:cs="Arial"/>
          <w:sz w:val="20"/>
          <w:szCs w:val="20"/>
          <w:lang w:val="en-US"/>
        </w:rPr>
        <w:t>f</w:t>
      </w:r>
      <w:r w:rsidRPr="00785D06">
        <w:rPr>
          <w:rFonts w:cs="Arial"/>
          <w:sz w:val="20"/>
          <w:szCs w:val="20"/>
          <w:lang w:val="en-US"/>
        </w:rPr>
        <w:t>irmations cit</w:t>
      </w:r>
      <w:r w:rsidR="00F23098" w:rsidRPr="00785D06">
        <w:rPr>
          <w:rFonts w:cs="Arial"/>
          <w:sz w:val="20"/>
          <w:szCs w:val="20"/>
          <w:lang w:val="en-US"/>
        </w:rPr>
        <w:t xml:space="preserve">ing specialized </w:t>
      </w:r>
      <w:r w:rsidRPr="00785D06">
        <w:rPr>
          <w:rFonts w:cs="Arial"/>
          <w:sz w:val="20"/>
          <w:szCs w:val="20"/>
          <w:lang w:val="en-US"/>
        </w:rPr>
        <w:t>doctr</w:t>
      </w:r>
      <w:r w:rsidR="00F23098" w:rsidRPr="00785D06">
        <w:rPr>
          <w:rFonts w:cs="Arial"/>
          <w:sz w:val="20"/>
          <w:szCs w:val="20"/>
          <w:lang w:val="en-US"/>
        </w:rPr>
        <w:t>ine</w:t>
      </w:r>
      <w:r w:rsidRPr="00785D06">
        <w:rPr>
          <w:rFonts w:cs="Arial"/>
          <w:sz w:val="20"/>
          <w:szCs w:val="20"/>
          <w:lang w:val="en-US"/>
        </w:rPr>
        <w:t xml:space="preserve">, </w:t>
      </w:r>
      <w:r w:rsidR="00123B82" w:rsidRPr="00785D06">
        <w:rPr>
          <w:rFonts w:cs="Arial"/>
          <w:sz w:val="20"/>
          <w:szCs w:val="20"/>
          <w:lang w:val="en-US"/>
        </w:rPr>
        <w:t>which explains</w:t>
      </w:r>
      <w:r w:rsidRPr="00785D06">
        <w:rPr>
          <w:rFonts w:cs="Arial"/>
          <w:sz w:val="20"/>
          <w:szCs w:val="20"/>
          <w:lang w:val="en-US"/>
        </w:rPr>
        <w:t xml:space="preserve"> that “[</w:t>
      </w:r>
      <w:r w:rsidR="00930E33" w:rsidRPr="00785D06">
        <w:rPr>
          <w:rFonts w:cs="Arial"/>
          <w:sz w:val="20"/>
          <w:szCs w:val="20"/>
          <w:lang w:val="en-US"/>
        </w:rPr>
        <w:t>a</w:t>
      </w:r>
      <w:r w:rsidRPr="00785D06">
        <w:rPr>
          <w:rFonts w:cs="Arial"/>
          <w:sz w:val="20"/>
          <w:szCs w:val="20"/>
          <w:lang w:val="en-US"/>
        </w:rPr>
        <w:t>]</w:t>
      </w:r>
      <w:r w:rsidR="00930E33" w:rsidRPr="00785D06">
        <w:rPr>
          <w:rFonts w:cs="Arial"/>
          <w:sz w:val="20"/>
          <w:szCs w:val="20"/>
          <w:lang w:val="en-US"/>
        </w:rPr>
        <w:t>n</w:t>
      </w:r>
      <w:r w:rsidRPr="00785D06">
        <w:rPr>
          <w:rFonts w:cs="Arial"/>
          <w:sz w:val="20"/>
          <w:szCs w:val="20"/>
          <w:lang w:val="en-US"/>
        </w:rPr>
        <w:t xml:space="preserve"> essential element [of the crime] </w:t>
      </w:r>
      <w:r w:rsidR="00123B82" w:rsidRPr="00785D06">
        <w:rPr>
          <w:rFonts w:cs="Arial"/>
          <w:sz w:val="20"/>
          <w:szCs w:val="20"/>
          <w:lang w:val="en-US"/>
        </w:rPr>
        <w:t xml:space="preserve">is the </w:t>
      </w:r>
      <w:r w:rsidRPr="00785D06">
        <w:rPr>
          <w:rFonts w:cs="Arial"/>
          <w:sz w:val="20"/>
          <w:szCs w:val="20"/>
          <w:lang w:val="en-US"/>
        </w:rPr>
        <w:t>`</w:t>
      </w:r>
      <w:r w:rsidR="00123B82" w:rsidRPr="00785D06">
        <w:rPr>
          <w:rFonts w:cs="Arial"/>
          <w:sz w:val="20"/>
          <w:szCs w:val="20"/>
          <w:lang w:val="en-US"/>
        </w:rPr>
        <w:t>maidenhood</w:t>
      </w:r>
      <w:r w:rsidRPr="00785D06">
        <w:rPr>
          <w:rFonts w:cs="Arial"/>
          <w:sz w:val="20"/>
          <w:szCs w:val="20"/>
          <w:lang w:val="en-US"/>
        </w:rPr>
        <w:t xml:space="preserve">´ of the </w:t>
      </w:r>
      <w:r w:rsidR="00930E33" w:rsidRPr="00785D06">
        <w:rPr>
          <w:rFonts w:cs="Arial"/>
          <w:sz w:val="20"/>
          <w:szCs w:val="20"/>
          <w:lang w:val="en-US"/>
        </w:rPr>
        <w:t>rape victim</w:t>
      </w:r>
      <w:r w:rsidRPr="00785D06">
        <w:rPr>
          <w:rFonts w:cs="Arial"/>
          <w:sz w:val="20"/>
          <w:szCs w:val="20"/>
          <w:lang w:val="en-US"/>
        </w:rPr>
        <w:t xml:space="preserve">, </w:t>
      </w:r>
      <w:r w:rsidR="00123B82" w:rsidRPr="00785D06">
        <w:rPr>
          <w:rFonts w:cs="Arial"/>
          <w:sz w:val="20"/>
          <w:szCs w:val="20"/>
          <w:lang w:val="en-US"/>
        </w:rPr>
        <w:t xml:space="preserve">a </w:t>
      </w:r>
      <w:r w:rsidRPr="00785D06">
        <w:rPr>
          <w:rFonts w:cs="Arial"/>
          <w:sz w:val="20"/>
          <w:szCs w:val="20"/>
          <w:lang w:val="en-US"/>
        </w:rPr>
        <w:t>‘</w:t>
      </w:r>
      <w:r w:rsidR="00123B82" w:rsidRPr="00785D06">
        <w:rPr>
          <w:rFonts w:cs="Arial"/>
          <w:sz w:val="20"/>
          <w:szCs w:val="20"/>
          <w:lang w:val="en-US"/>
        </w:rPr>
        <w:t>maiden</w:t>
      </w:r>
      <w:r w:rsidRPr="00785D06">
        <w:rPr>
          <w:rFonts w:cs="Arial"/>
          <w:sz w:val="20"/>
          <w:szCs w:val="20"/>
          <w:lang w:val="en-US"/>
        </w:rPr>
        <w:t xml:space="preserve">’ </w:t>
      </w:r>
      <w:r w:rsidR="00930E33" w:rsidRPr="00785D06">
        <w:rPr>
          <w:rFonts w:cs="Arial"/>
          <w:sz w:val="20"/>
          <w:szCs w:val="20"/>
          <w:lang w:val="en-US"/>
        </w:rPr>
        <w:t xml:space="preserve">being understood as </w:t>
      </w:r>
      <w:r w:rsidRPr="00785D06">
        <w:rPr>
          <w:rFonts w:cs="Arial"/>
          <w:sz w:val="20"/>
          <w:szCs w:val="20"/>
          <w:lang w:val="en-US"/>
        </w:rPr>
        <w:t>[</w:t>
      </w:r>
      <w:r w:rsidR="00F23098" w:rsidRPr="00785D06">
        <w:rPr>
          <w:rFonts w:cs="Arial"/>
          <w:sz w:val="20"/>
          <w:szCs w:val="20"/>
          <w:lang w:val="en-US"/>
        </w:rPr>
        <w:t xml:space="preserve">…] a young woman of </w:t>
      </w:r>
      <w:r w:rsidR="00930E33" w:rsidRPr="00785D06">
        <w:rPr>
          <w:rFonts w:cs="Arial"/>
          <w:sz w:val="20"/>
          <w:szCs w:val="20"/>
          <w:lang w:val="en-US"/>
        </w:rPr>
        <w:t xml:space="preserve">virtuous </w:t>
      </w:r>
      <w:r w:rsidR="00F23098" w:rsidRPr="00785D06">
        <w:rPr>
          <w:rFonts w:cs="Arial"/>
          <w:sz w:val="20"/>
          <w:szCs w:val="20"/>
          <w:lang w:val="en-US"/>
        </w:rPr>
        <w:t>life</w:t>
      </w:r>
      <w:r w:rsidRPr="00785D06">
        <w:rPr>
          <w:rFonts w:cs="Arial"/>
          <w:sz w:val="20"/>
          <w:szCs w:val="20"/>
          <w:lang w:val="en-US"/>
        </w:rPr>
        <w:t xml:space="preserve"> prior to the fact, </w:t>
      </w:r>
      <w:r w:rsidR="00EF5373" w:rsidRPr="00785D06">
        <w:rPr>
          <w:rFonts w:cs="Arial"/>
          <w:sz w:val="20"/>
          <w:szCs w:val="20"/>
          <w:lang w:val="en-US"/>
        </w:rPr>
        <w:t xml:space="preserve">regardless of </w:t>
      </w:r>
      <w:r w:rsidR="00123B82" w:rsidRPr="00785D06">
        <w:rPr>
          <w:rFonts w:cs="Arial"/>
          <w:sz w:val="20"/>
          <w:szCs w:val="20"/>
          <w:lang w:val="en-US"/>
        </w:rPr>
        <w:t>whether she has conserved her</w:t>
      </w:r>
      <w:r w:rsidR="00C90479" w:rsidRPr="00785D06">
        <w:rPr>
          <w:rFonts w:cs="Arial"/>
          <w:sz w:val="20"/>
          <w:szCs w:val="20"/>
          <w:lang w:val="en-US"/>
        </w:rPr>
        <w:t xml:space="preserve"> virginity</w:t>
      </w:r>
      <w:r w:rsidR="00123B82" w:rsidRPr="00785D06">
        <w:rPr>
          <w:rFonts w:cs="Arial"/>
          <w:sz w:val="20"/>
          <w:szCs w:val="20"/>
          <w:lang w:val="en-US"/>
        </w:rPr>
        <w:t>.”</w:t>
      </w:r>
      <w:r w:rsidRPr="00785D06">
        <w:rPr>
          <w:rFonts w:cs="Arial"/>
          <w:sz w:val="20"/>
          <w:szCs w:val="20"/>
          <w:lang w:val="en-US"/>
        </w:rPr>
        <w:t xml:space="preserve"> The judicial ruling </w:t>
      </w:r>
      <w:r w:rsidR="00C90479" w:rsidRPr="00785D06">
        <w:rPr>
          <w:rFonts w:cs="Arial"/>
          <w:sz w:val="20"/>
          <w:szCs w:val="20"/>
          <w:lang w:val="en-US"/>
        </w:rPr>
        <w:t xml:space="preserve">made reference </w:t>
      </w:r>
      <w:r w:rsidRPr="00785D06">
        <w:rPr>
          <w:rFonts w:cs="Arial"/>
          <w:sz w:val="20"/>
          <w:szCs w:val="20"/>
          <w:lang w:val="en-US"/>
        </w:rPr>
        <w:t xml:space="preserve">to the criminal definition of “rape” </w:t>
      </w:r>
      <w:r w:rsidR="0016124F" w:rsidRPr="00785D06">
        <w:rPr>
          <w:rFonts w:cs="Arial"/>
          <w:sz w:val="20"/>
          <w:szCs w:val="20"/>
          <w:lang w:val="en-US"/>
        </w:rPr>
        <w:t>which, under</w:t>
      </w:r>
      <w:r w:rsidRPr="00785D06">
        <w:rPr>
          <w:rFonts w:cs="Arial"/>
          <w:sz w:val="20"/>
          <w:szCs w:val="20"/>
          <w:lang w:val="en-US"/>
        </w:rPr>
        <w:t xml:space="preserve"> the l</w:t>
      </w:r>
      <w:r w:rsidR="0016124F" w:rsidRPr="00785D06">
        <w:rPr>
          <w:rFonts w:cs="Arial"/>
          <w:sz w:val="20"/>
          <w:szCs w:val="20"/>
          <w:lang w:val="en-US"/>
        </w:rPr>
        <w:t xml:space="preserve">aws </w:t>
      </w:r>
      <w:r w:rsidRPr="00785D06">
        <w:rPr>
          <w:rFonts w:cs="Arial"/>
          <w:sz w:val="20"/>
          <w:szCs w:val="20"/>
          <w:lang w:val="en-US"/>
        </w:rPr>
        <w:t>in force at the t</w:t>
      </w:r>
      <w:r w:rsidR="00C90479" w:rsidRPr="00785D06">
        <w:rPr>
          <w:rFonts w:cs="Arial"/>
          <w:sz w:val="20"/>
          <w:szCs w:val="20"/>
          <w:lang w:val="en-US"/>
        </w:rPr>
        <w:t xml:space="preserve">ime of the facts, required </w:t>
      </w:r>
      <w:r w:rsidRPr="00785D06">
        <w:rPr>
          <w:rFonts w:cs="Arial"/>
          <w:sz w:val="20"/>
          <w:szCs w:val="20"/>
          <w:lang w:val="en-US"/>
        </w:rPr>
        <w:t xml:space="preserve">the victim </w:t>
      </w:r>
      <w:r w:rsidR="00C90479" w:rsidRPr="00785D06">
        <w:rPr>
          <w:rFonts w:cs="Arial"/>
          <w:sz w:val="20"/>
          <w:szCs w:val="20"/>
          <w:lang w:val="en-US"/>
        </w:rPr>
        <w:t xml:space="preserve">to </w:t>
      </w:r>
      <w:r w:rsidRPr="00785D06">
        <w:rPr>
          <w:rFonts w:cs="Arial"/>
          <w:sz w:val="20"/>
          <w:szCs w:val="20"/>
          <w:lang w:val="en-US"/>
        </w:rPr>
        <w:t xml:space="preserve">be an “honest woman” </w:t>
      </w:r>
      <w:r w:rsidR="0016124F" w:rsidRPr="00785D06">
        <w:rPr>
          <w:rFonts w:cs="Arial"/>
          <w:sz w:val="20"/>
          <w:szCs w:val="20"/>
          <w:lang w:val="en-US"/>
        </w:rPr>
        <w:t xml:space="preserve">in order </w:t>
      </w:r>
      <w:r w:rsidRPr="00785D06">
        <w:rPr>
          <w:rFonts w:cs="Arial"/>
          <w:sz w:val="20"/>
          <w:szCs w:val="20"/>
          <w:lang w:val="en-US"/>
        </w:rPr>
        <w:t>to con</w:t>
      </w:r>
      <w:r w:rsidR="0016124F" w:rsidRPr="00785D06">
        <w:rPr>
          <w:rFonts w:cs="Arial"/>
          <w:sz w:val="20"/>
          <w:szCs w:val="20"/>
          <w:lang w:val="en-US"/>
        </w:rPr>
        <w:t xml:space="preserve">figure that </w:t>
      </w:r>
      <w:r w:rsidRPr="00785D06">
        <w:rPr>
          <w:rFonts w:cs="Arial"/>
          <w:sz w:val="20"/>
          <w:szCs w:val="20"/>
          <w:lang w:val="en-US"/>
        </w:rPr>
        <w:t>crime (</w:t>
      </w:r>
      <w:r w:rsidRPr="00785D06">
        <w:rPr>
          <w:rFonts w:cs="Arial"/>
          <w:i/>
          <w:sz w:val="20"/>
          <w:szCs w:val="20"/>
          <w:lang w:val="en-US"/>
        </w:rPr>
        <w:t xml:space="preserve">supra </w:t>
      </w:r>
      <w:r w:rsidRPr="00785D06">
        <w:rPr>
          <w:rFonts w:cs="Arial"/>
          <w:sz w:val="20"/>
          <w:szCs w:val="20"/>
          <w:lang w:val="en-US"/>
        </w:rPr>
        <w:t>footnote 70).</w:t>
      </w:r>
    </w:p>
    <w:p w14:paraId="6E826CE0" w14:textId="77777777" w:rsidR="00C254BF" w:rsidRPr="00785D06" w:rsidRDefault="00C254BF" w:rsidP="00C254BF">
      <w:pPr>
        <w:jc w:val="both"/>
        <w:rPr>
          <w:rFonts w:eastAsia="Times New Roman"/>
          <w:sz w:val="20"/>
          <w:szCs w:val="20"/>
          <w:lang w:val="en-US" w:eastAsia="es-ES" w:bidi="es-ES"/>
        </w:rPr>
      </w:pPr>
    </w:p>
    <w:p w14:paraId="1C97C7F6"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 xml:space="preserve">The Court considers that this decision </w:t>
      </w:r>
      <w:r w:rsidR="00F23098" w:rsidRPr="00785D06">
        <w:rPr>
          <w:rFonts w:eastAsia="Times New Roman"/>
          <w:sz w:val="20"/>
          <w:szCs w:val="20"/>
          <w:lang w:val="en-US" w:eastAsia="es-ES" w:bidi="es-ES"/>
        </w:rPr>
        <w:t>clearly reflects a biased</w:t>
      </w:r>
      <w:r w:rsidRPr="00785D06">
        <w:rPr>
          <w:rFonts w:eastAsia="Times New Roman"/>
          <w:sz w:val="20"/>
          <w:szCs w:val="20"/>
          <w:lang w:val="en-US" w:eastAsia="es-ES" w:bidi="es-ES"/>
        </w:rPr>
        <w:t xml:space="preserve"> analysis based </w:t>
      </w:r>
      <w:r w:rsidR="00255F8F" w:rsidRPr="00785D06">
        <w:rPr>
          <w:rFonts w:eastAsia="Times New Roman"/>
          <w:sz w:val="20"/>
          <w:szCs w:val="20"/>
          <w:lang w:val="en-US" w:eastAsia="es-ES" w:bidi="es-ES"/>
        </w:rPr>
        <w:t>on gender</w:t>
      </w:r>
      <w:r w:rsidR="0074683C" w:rsidRPr="00785D06">
        <w:rPr>
          <w:rFonts w:eastAsia="Times New Roman"/>
          <w:sz w:val="20"/>
          <w:szCs w:val="20"/>
          <w:lang w:val="en-US" w:eastAsia="es-ES" w:bidi="es-ES"/>
        </w:rPr>
        <w:t xml:space="preserve"> </w:t>
      </w:r>
      <w:r w:rsidRPr="00785D06">
        <w:rPr>
          <w:rFonts w:eastAsia="Times New Roman"/>
          <w:sz w:val="20"/>
          <w:szCs w:val="20"/>
          <w:lang w:val="en-US" w:eastAsia="es-ES" w:bidi="es-ES"/>
        </w:rPr>
        <w:t>preconcept</w:t>
      </w:r>
      <w:r w:rsidR="00F23098" w:rsidRPr="00785D06">
        <w:rPr>
          <w:rFonts w:eastAsia="Times New Roman"/>
          <w:sz w:val="20"/>
          <w:szCs w:val="20"/>
          <w:lang w:val="en-US" w:eastAsia="es-ES" w:bidi="es-ES"/>
        </w:rPr>
        <w:t>ion</w:t>
      </w:r>
      <w:r w:rsidRPr="00785D06">
        <w:rPr>
          <w:rFonts w:eastAsia="Times New Roman"/>
          <w:sz w:val="20"/>
          <w:szCs w:val="20"/>
          <w:lang w:val="en-US" w:eastAsia="es-ES" w:bidi="es-ES"/>
        </w:rPr>
        <w:t xml:space="preserve">s. First, because </w:t>
      </w:r>
      <w:r w:rsidR="00F23098" w:rsidRPr="00785D06">
        <w:rPr>
          <w:rFonts w:eastAsia="Times New Roman"/>
          <w:sz w:val="20"/>
          <w:szCs w:val="20"/>
          <w:lang w:val="en-US" w:eastAsia="es-ES" w:bidi="es-ES"/>
        </w:rPr>
        <w:t xml:space="preserve">it dismisses </w:t>
      </w:r>
      <w:r w:rsidR="000F4C7B" w:rsidRPr="00785D06">
        <w:rPr>
          <w:rFonts w:eastAsia="Times New Roman"/>
          <w:sz w:val="20"/>
          <w:szCs w:val="20"/>
          <w:lang w:val="en-US" w:eastAsia="es-ES" w:bidi="es-ES"/>
        </w:rPr>
        <w:t>a</w:t>
      </w:r>
      <w:r w:rsidRPr="00785D06">
        <w:rPr>
          <w:rFonts w:eastAsia="Times New Roman"/>
          <w:sz w:val="20"/>
          <w:szCs w:val="20"/>
          <w:lang w:val="en-US" w:eastAsia="es-ES" w:bidi="es-ES"/>
        </w:rPr>
        <w:t xml:space="preserve"> crime </w:t>
      </w:r>
      <w:r w:rsidR="0074683C" w:rsidRPr="00785D06">
        <w:rPr>
          <w:rFonts w:eastAsia="Times New Roman"/>
          <w:sz w:val="20"/>
          <w:szCs w:val="20"/>
          <w:lang w:val="en-US" w:eastAsia="es-ES" w:bidi="es-ES"/>
        </w:rPr>
        <w:t xml:space="preserve">based on </w:t>
      </w:r>
      <w:r w:rsidRPr="00785D06">
        <w:rPr>
          <w:rFonts w:eastAsia="Times New Roman"/>
          <w:sz w:val="20"/>
          <w:szCs w:val="20"/>
          <w:lang w:val="en-US" w:eastAsia="es-ES" w:bidi="es-ES"/>
        </w:rPr>
        <w:t xml:space="preserve">a </w:t>
      </w:r>
      <w:r w:rsidR="0074683C" w:rsidRPr="00785D06">
        <w:rPr>
          <w:rFonts w:eastAsia="Times New Roman"/>
          <w:sz w:val="20"/>
          <w:szCs w:val="20"/>
          <w:lang w:val="en-US" w:eastAsia="es-ES" w:bidi="es-ES"/>
        </w:rPr>
        <w:t xml:space="preserve">judgment of </w:t>
      </w:r>
      <w:r w:rsidRPr="00785D06">
        <w:rPr>
          <w:rFonts w:eastAsia="Times New Roman"/>
          <w:sz w:val="20"/>
          <w:szCs w:val="20"/>
          <w:lang w:val="en-US" w:eastAsia="es-ES" w:bidi="es-ES"/>
        </w:rPr>
        <w:t xml:space="preserve">the </w:t>
      </w:r>
      <w:r w:rsidR="00F23098" w:rsidRPr="00785D06">
        <w:rPr>
          <w:rFonts w:eastAsia="Times New Roman"/>
          <w:sz w:val="20"/>
          <w:szCs w:val="20"/>
          <w:lang w:val="en-US" w:eastAsia="es-ES" w:bidi="es-ES"/>
        </w:rPr>
        <w:t xml:space="preserve">victim’s alleged </w:t>
      </w:r>
      <w:r w:rsidRPr="00785D06">
        <w:rPr>
          <w:rFonts w:eastAsia="Times New Roman"/>
          <w:sz w:val="20"/>
          <w:szCs w:val="20"/>
          <w:lang w:val="en-US" w:eastAsia="es-ES" w:bidi="es-ES"/>
        </w:rPr>
        <w:t>conduct</w:t>
      </w:r>
      <w:r w:rsidR="00F23098" w:rsidRPr="00785D06">
        <w:rPr>
          <w:rFonts w:eastAsia="Times New Roman"/>
          <w:sz w:val="20"/>
          <w:szCs w:val="20"/>
          <w:lang w:val="en-US" w:eastAsia="es-ES" w:bidi="es-ES"/>
        </w:rPr>
        <w:t>, making her responsi</w:t>
      </w:r>
      <w:r w:rsidRPr="00785D06">
        <w:rPr>
          <w:rFonts w:eastAsia="Times New Roman"/>
          <w:sz w:val="20"/>
          <w:szCs w:val="20"/>
          <w:lang w:val="en-US" w:eastAsia="es-ES" w:bidi="es-ES"/>
        </w:rPr>
        <w:t xml:space="preserve">ble </w:t>
      </w:r>
      <w:r w:rsidR="00F23098" w:rsidRPr="00785D06">
        <w:rPr>
          <w:rFonts w:eastAsia="Times New Roman"/>
          <w:sz w:val="20"/>
          <w:szCs w:val="20"/>
          <w:lang w:val="en-US" w:eastAsia="es-ES" w:bidi="es-ES"/>
        </w:rPr>
        <w:t xml:space="preserve">under the </w:t>
      </w:r>
      <w:r w:rsidR="00420801" w:rsidRPr="00785D06">
        <w:rPr>
          <w:rFonts w:eastAsia="Times New Roman"/>
          <w:sz w:val="20"/>
          <w:szCs w:val="20"/>
          <w:lang w:val="en-US" w:eastAsia="es-ES" w:bidi="es-ES"/>
        </w:rPr>
        <w:t>notion of “</w:t>
      </w:r>
      <w:r w:rsidRPr="00785D06">
        <w:rPr>
          <w:rFonts w:eastAsia="Times New Roman"/>
          <w:sz w:val="20"/>
          <w:szCs w:val="20"/>
          <w:lang w:val="en-US" w:eastAsia="es-ES" w:bidi="es-ES"/>
        </w:rPr>
        <w:t>seduction</w:t>
      </w:r>
      <w:r w:rsidR="0074683C" w:rsidRPr="00785D06">
        <w:rPr>
          <w:rFonts w:eastAsia="Times New Roman"/>
          <w:sz w:val="20"/>
          <w:szCs w:val="20"/>
          <w:lang w:val="en-US" w:eastAsia="es-ES" w:bidi="es-ES"/>
        </w:rPr>
        <w:t>.”</w:t>
      </w:r>
      <w:r w:rsidRPr="00785D06">
        <w:rPr>
          <w:rFonts w:eastAsia="Times New Roman"/>
          <w:sz w:val="20"/>
          <w:szCs w:val="20"/>
          <w:lang w:val="en-US" w:eastAsia="es-ES" w:bidi="es-ES"/>
        </w:rPr>
        <w:t xml:space="preserve"> </w:t>
      </w:r>
      <w:r w:rsidR="0074683C" w:rsidRPr="00785D06">
        <w:rPr>
          <w:rFonts w:eastAsia="Times New Roman"/>
          <w:sz w:val="20"/>
          <w:szCs w:val="20"/>
          <w:lang w:val="en-US" w:eastAsia="es-ES" w:bidi="es-ES"/>
        </w:rPr>
        <w:t>This shows that</w:t>
      </w:r>
      <w:r w:rsidRPr="00785D06">
        <w:rPr>
          <w:rFonts w:eastAsia="Times New Roman"/>
          <w:sz w:val="20"/>
          <w:szCs w:val="20"/>
          <w:lang w:val="en-US" w:eastAsia="es-ES" w:bidi="es-ES"/>
        </w:rPr>
        <w:t xml:space="preserve"> </w:t>
      </w:r>
      <w:r w:rsidR="00420801" w:rsidRPr="00785D06">
        <w:rPr>
          <w:rFonts w:eastAsia="Times New Roman"/>
          <w:sz w:val="20"/>
          <w:szCs w:val="20"/>
          <w:lang w:val="en-US" w:eastAsia="es-ES" w:bidi="es-ES"/>
        </w:rPr>
        <w:t>the ruling</w:t>
      </w:r>
      <w:r w:rsidR="009E69BC" w:rsidRPr="00785D06">
        <w:rPr>
          <w:rFonts w:eastAsia="Times New Roman"/>
          <w:sz w:val="20"/>
          <w:szCs w:val="20"/>
          <w:lang w:val="en-US" w:eastAsia="es-ES" w:bidi="es-ES"/>
        </w:rPr>
        <w:t xml:space="preserve"> understo</w:t>
      </w:r>
      <w:r w:rsidR="0074683C" w:rsidRPr="00785D06">
        <w:rPr>
          <w:rFonts w:eastAsia="Times New Roman"/>
          <w:sz w:val="20"/>
          <w:szCs w:val="20"/>
          <w:lang w:val="en-US" w:eastAsia="es-ES" w:bidi="es-ES"/>
        </w:rPr>
        <w:t xml:space="preserve">od that the fact of </w:t>
      </w:r>
      <w:r w:rsidR="00930E33" w:rsidRPr="00785D06">
        <w:rPr>
          <w:rFonts w:eastAsia="Times New Roman"/>
          <w:sz w:val="20"/>
          <w:szCs w:val="20"/>
          <w:lang w:val="en-US" w:eastAsia="es-ES" w:bidi="es-ES"/>
        </w:rPr>
        <w:t xml:space="preserve">seeking </w:t>
      </w:r>
      <w:r w:rsidRPr="00785D06">
        <w:rPr>
          <w:rFonts w:eastAsia="Times New Roman"/>
          <w:sz w:val="20"/>
          <w:szCs w:val="20"/>
          <w:lang w:val="en-US" w:eastAsia="es-ES" w:bidi="es-ES"/>
        </w:rPr>
        <w:t>“</w:t>
      </w:r>
      <w:r w:rsidR="00930E33" w:rsidRPr="00785D06">
        <w:rPr>
          <w:rFonts w:eastAsia="Times New Roman"/>
          <w:sz w:val="20"/>
          <w:szCs w:val="20"/>
          <w:lang w:val="en-US" w:eastAsia="es-ES" w:bidi="es-ES"/>
        </w:rPr>
        <w:t xml:space="preserve">academic </w:t>
      </w:r>
      <w:r w:rsidRPr="00785D06">
        <w:rPr>
          <w:rFonts w:eastAsia="Times New Roman"/>
          <w:sz w:val="20"/>
          <w:szCs w:val="20"/>
          <w:lang w:val="en-US" w:eastAsia="es-ES" w:bidi="es-ES"/>
        </w:rPr>
        <w:t xml:space="preserve">favors” implied, </w:t>
      </w:r>
      <w:r w:rsidRPr="00785D06">
        <w:rPr>
          <w:rFonts w:eastAsia="Times New Roman"/>
          <w:i/>
          <w:sz w:val="20"/>
          <w:szCs w:val="20"/>
          <w:lang w:val="en-US" w:eastAsia="es-ES" w:bidi="es-ES"/>
        </w:rPr>
        <w:t>per se,</w:t>
      </w:r>
      <w:r w:rsidRPr="00785D06">
        <w:rPr>
          <w:rFonts w:eastAsia="Times New Roman"/>
          <w:sz w:val="20"/>
          <w:szCs w:val="20"/>
          <w:lang w:val="en-US" w:eastAsia="es-ES" w:bidi="es-ES"/>
        </w:rPr>
        <w:t xml:space="preserve"> that the victim </w:t>
      </w:r>
      <w:r w:rsidR="0074683C" w:rsidRPr="00785D06">
        <w:rPr>
          <w:rFonts w:eastAsia="Times New Roman"/>
          <w:sz w:val="20"/>
          <w:szCs w:val="20"/>
          <w:lang w:val="en-US" w:eastAsia="es-ES" w:bidi="es-ES"/>
        </w:rPr>
        <w:t xml:space="preserve">engaged in </w:t>
      </w:r>
      <w:r w:rsidRPr="00785D06">
        <w:rPr>
          <w:rFonts w:eastAsia="Times New Roman"/>
          <w:sz w:val="20"/>
          <w:szCs w:val="20"/>
          <w:lang w:val="en-US" w:eastAsia="es-ES" w:bidi="es-ES"/>
        </w:rPr>
        <w:t>acts of “seduction</w:t>
      </w:r>
      <w:r w:rsidR="00F7664F" w:rsidRPr="00785D06">
        <w:rPr>
          <w:rFonts w:eastAsia="Times New Roman"/>
          <w:sz w:val="20"/>
          <w:szCs w:val="20"/>
          <w:lang w:val="en-US" w:eastAsia="es-ES" w:bidi="es-ES"/>
        </w:rPr>
        <w:t>,”</w:t>
      </w:r>
      <w:r w:rsidRPr="00785D06">
        <w:rPr>
          <w:rFonts w:eastAsia="Times New Roman"/>
          <w:sz w:val="20"/>
          <w:szCs w:val="20"/>
          <w:lang w:val="en-US" w:eastAsia="es-ES" w:bidi="es-ES"/>
        </w:rPr>
        <w:t xml:space="preserve"> </w:t>
      </w:r>
      <w:r w:rsidR="0074683C" w:rsidRPr="00785D06">
        <w:rPr>
          <w:rFonts w:eastAsia="Times New Roman"/>
          <w:sz w:val="20"/>
          <w:szCs w:val="20"/>
          <w:lang w:val="en-US" w:eastAsia="es-ES" w:bidi="es-ES"/>
        </w:rPr>
        <w:t xml:space="preserve">implicitly </w:t>
      </w:r>
      <w:r w:rsidR="009E69BC" w:rsidRPr="00785D06">
        <w:rPr>
          <w:rFonts w:eastAsia="Times New Roman"/>
          <w:sz w:val="20"/>
          <w:szCs w:val="20"/>
          <w:lang w:val="en-US" w:eastAsia="es-ES" w:bidi="es-ES"/>
        </w:rPr>
        <w:t>attribut</w:t>
      </w:r>
      <w:r w:rsidR="00F7664F" w:rsidRPr="00785D06">
        <w:rPr>
          <w:rFonts w:eastAsia="Times New Roman"/>
          <w:sz w:val="20"/>
          <w:szCs w:val="20"/>
          <w:lang w:val="en-US" w:eastAsia="es-ES" w:bidi="es-ES"/>
        </w:rPr>
        <w:t xml:space="preserve">ing </w:t>
      </w:r>
      <w:r w:rsidR="009E69BC" w:rsidRPr="00785D06">
        <w:rPr>
          <w:rFonts w:eastAsia="Times New Roman"/>
          <w:sz w:val="20"/>
          <w:szCs w:val="20"/>
          <w:lang w:val="en-US" w:eastAsia="es-ES" w:bidi="es-ES"/>
        </w:rPr>
        <w:t>to her</w:t>
      </w:r>
      <w:r w:rsidRPr="00785D06">
        <w:rPr>
          <w:rFonts w:eastAsia="Times New Roman"/>
          <w:sz w:val="20"/>
          <w:szCs w:val="20"/>
          <w:lang w:val="en-US" w:eastAsia="es-ES" w:bidi="es-ES"/>
        </w:rPr>
        <w:t xml:space="preserve">, at least partially, responsibility </w:t>
      </w:r>
      <w:r w:rsidR="00F7664F" w:rsidRPr="00785D06">
        <w:rPr>
          <w:rFonts w:eastAsia="Times New Roman"/>
          <w:sz w:val="20"/>
          <w:szCs w:val="20"/>
          <w:lang w:val="en-US" w:eastAsia="es-ES" w:bidi="es-ES"/>
        </w:rPr>
        <w:t xml:space="preserve">for what finally </w:t>
      </w:r>
      <w:r w:rsidR="00A622B5" w:rsidRPr="00785D06">
        <w:rPr>
          <w:rFonts w:eastAsia="Times New Roman"/>
          <w:sz w:val="20"/>
          <w:szCs w:val="20"/>
          <w:lang w:val="en-US" w:eastAsia="es-ES" w:bidi="es-ES"/>
        </w:rPr>
        <w:t>occurred</w:t>
      </w:r>
      <w:r w:rsidRPr="00785D06">
        <w:rPr>
          <w:rFonts w:eastAsia="Times New Roman"/>
          <w:sz w:val="20"/>
          <w:szCs w:val="20"/>
          <w:lang w:val="en-US" w:eastAsia="es-ES" w:bidi="es-ES"/>
        </w:rPr>
        <w:t xml:space="preserve">. This </w:t>
      </w:r>
      <w:r w:rsidR="000F4C7B" w:rsidRPr="00785D06">
        <w:rPr>
          <w:rFonts w:eastAsia="Times New Roman"/>
          <w:sz w:val="20"/>
          <w:szCs w:val="20"/>
          <w:lang w:val="en-US" w:eastAsia="es-ES" w:bidi="es-ES"/>
        </w:rPr>
        <w:t>view of women</w:t>
      </w:r>
      <w:r w:rsidR="00F7664F" w:rsidRPr="00785D06">
        <w:rPr>
          <w:rFonts w:eastAsia="Times New Roman"/>
          <w:sz w:val="20"/>
          <w:szCs w:val="20"/>
          <w:lang w:val="en-US" w:eastAsia="es-ES" w:bidi="es-ES"/>
        </w:rPr>
        <w:t xml:space="preserve"> </w:t>
      </w:r>
      <w:r w:rsidR="000F4C7B" w:rsidRPr="00785D06">
        <w:rPr>
          <w:rFonts w:eastAsia="Times New Roman"/>
          <w:sz w:val="20"/>
          <w:szCs w:val="20"/>
          <w:lang w:val="en-US" w:eastAsia="es-ES" w:bidi="es-ES"/>
        </w:rPr>
        <w:t>–</w:t>
      </w:r>
      <w:r w:rsidRPr="00785D06">
        <w:rPr>
          <w:rFonts w:eastAsia="Times New Roman"/>
          <w:sz w:val="20"/>
          <w:szCs w:val="20"/>
          <w:lang w:val="en-US" w:eastAsia="es-ES" w:bidi="es-ES"/>
        </w:rPr>
        <w:t xml:space="preserve"> </w:t>
      </w:r>
      <w:r w:rsidR="000F4C7B" w:rsidRPr="00785D06">
        <w:rPr>
          <w:rFonts w:eastAsia="Times New Roman"/>
          <w:sz w:val="20"/>
          <w:szCs w:val="20"/>
          <w:lang w:val="en-US" w:eastAsia="es-ES" w:bidi="es-ES"/>
        </w:rPr>
        <w:t xml:space="preserve">or, </w:t>
      </w:r>
      <w:r w:rsidRPr="00785D06">
        <w:rPr>
          <w:rFonts w:eastAsia="Times New Roman"/>
          <w:sz w:val="20"/>
          <w:szCs w:val="20"/>
          <w:lang w:val="en-US" w:eastAsia="es-ES" w:bidi="es-ES"/>
        </w:rPr>
        <w:t>in this case</w:t>
      </w:r>
      <w:r w:rsidR="000F4C7B" w:rsidRPr="00785D06">
        <w:rPr>
          <w:rFonts w:eastAsia="Times New Roman"/>
          <w:sz w:val="20"/>
          <w:szCs w:val="20"/>
          <w:lang w:val="en-US" w:eastAsia="es-ES" w:bidi="es-ES"/>
        </w:rPr>
        <w:t>,</w:t>
      </w:r>
      <w:r w:rsidRPr="00785D06">
        <w:rPr>
          <w:rFonts w:eastAsia="Times New Roman"/>
          <w:sz w:val="20"/>
          <w:szCs w:val="20"/>
          <w:lang w:val="en-US" w:eastAsia="es-ES" w:bidi="es-ES"/>
        </w:rPr>
        <w:t xml:space="preserve"> </w:t>
      </w:r>
      <w:r w:rsidR="000F4C7B" w:rsidRPr="00785D06">
        <w:rPr>
          <w:rFonts w:eastAsia="Times New Roman"/>
          <w:sz w:val="20"/>
          <w:szCs w:val="20"/>
          <w:lang w:val="en-US" w:eastAsia="es-ES" w:bidi="es-ES"/>
        </w:rPr>
        <w:t>a girl -</w:t>
      </w:r>
      <w:r w:rsidRPr="00785D06">
        <w:rPr>
          <w:rFonts w:eastAsia="Times New Roman"/>
          <w:sz w:val="20"/>
          <w:szCs w:val="20"/>
          <w:lang w:val="en-US" w:eastAsia="es-ES" w:bidi="es-ES"/>
        </w:rPr>
        <w:t xml:space="preserve"> as “provocative” </w:t>
      </w:r>
      <w:r w:rsidR="000F4C7B" w:rsidRPr="00785D06">
        <w:rPr>
          <w:rFonts w:eastAsia="Times New Roman"/>
          <w:sz w:val="20"/>
          <w:szCs w:val="20"/>
          <w:lang w:val="en-US" w:eastAsia="es-ES" w:bidi="es-ES"/>
        </w:rPr>
        <w:t xml:space="preserve">permits </w:t>
      </w:r>
      <w:r w:rsidRPr="00785D06">
        <w:rPr>
          <w:rFonts w:eastAsia="Times New Roman"/>
          <w:sz w:val="20"/>
          <w:szCs w:val="20"/>
          <w:lang w:val="en-US" w:eastAsia="es-ES" w:bidi="es-ES"/>
        </w:rPr>
        <w:t>sex</w:t>
      </w:r>
      <w:r w:rsidR="000F4C7B" w:rsidRPr="00785D06">
        <w:rPr>
          <w:rFonts w:eastAsia="Times New Roman"/>
          <w:sz w:val="20"/>
          <w:szCs w:val="20"/>
          <w:lang w:val="en-US" w:eastAsia="es-ES" w:bidi="es-ES"/>
        </w:rPr>
        <w:t>ual violence and discrimination</w:t>
      </w:r>
      <w:r w:rsidRPr="00785D06">
        <w:rPr>
          <w:rFonts w:eastAsia="Times New Roman"/>
          <w:sz w:val="20"/>
          <w:szCs w:val="20"/>
          <w:lang w:val="en-US" w:eastAsia="es-ES" w:bidi="es-ES"/>
        </w:rPr>
        <w:t xml:space="preserve"> exercised </w:t>
      </w:r>
      <w:r w:rsidR="000F4C7B" w:rsidRPr="00785D06">
        <w:rPr>
          <w:rFonts w:eastAsia="Times New Roman"/>
          <w:sz w:val="20"/>
          <w:szCs w:val="20"/>
          <w:lang w:val="en-US" w:eastAsia="es-ES" w:bidi="es-ES"/>
        </w:rPr>
        <w:t xml:space="preserve">through </w:t>
      </w:r>
      <w:r w:rsidR="00A340DB" w:rsidRPr="00785D06">
        <w:rPr>
          <w:rFonts w:eastAsia="Times New Roman"/>
          <w:sz w:val="20"/>
          <w:szCs w:val="20"/>
          <w:lang w:val="en-US" w:eastAsia="es-ES" w:bidi="es-ES"/>
        </w:rPr>
        <w:t>harassment</w:t>
      </w:r>
      <w:r w:rsidRPr="00785D06">
        <w:rPr>
          <w:rFonts w:eastAsia="Times New Roman"/>
          <w:sz w:val="20"/>
          <w:szCs w:val="20"/>
          <w:lang w:val="en-US" w:eastAsia="es-ES" w:bidi="es-ES"/>
        </w:rPr>
        <w:t xml:space="preserve">, </w:t>
      </w:r>
      <w:r w:rsidR="000F4C7B" w:rsidRPr="00785D06">
        <w:rPr>
          <w:rFonts w:eastAsia="Times New Roman"/>
          <w:sz w:val="20"/>
          <w:szCs w:val="20"/>
          <w:lang w:val="en-US" w:eastAsia="es-ES" w:bidi="es-ES"/>
        </w:rPr>
        <w:t xml:space="preserve">absolving </w:t>
      </w:r>
      <w:r w:rsidR="00930E33" w:rsidRPr="00785D06">
        <w:rPr>
          <w:rFonts w:eastAsia="Times New Roman"/>
          <w:sz w:val="20"/>
          <w:szCs w:val="20"/>
          <w:lang w:val="en-US" w:eastAsia="es-ES" w:bidi="es-ES"/>
        </w:rPr>
        <w:t xml:space="preserve">the perpetrator of </w:t>
      </w:r>
      <w:r w:rsidRPr="00785D06">
        <w:rPr>
          <w:rFonts w:eastAsia="Times New Roman"/>
          <w:sz w:val="20"/>
          <w:szCs w:val="20"/>
          <w:lang w:val="en-US" w:eastAsia="es-ES" w:bidi="es-ES"/>
        </w:rPr>
        <w:t xml:space="preserve">responsibility </w:t>
      </w:r>
      <w:r w:rsidR="006C008A" w:rsidRPr="00785D06">
        <w:rPr>
          <w:rFonts w:eastAsia="Times New Roman"/>
          <w:sz w:val="20"/>
          <w:szCs w:val="20"/>
          <w:lang w:val="en-US" w:eastAsia="es-ES" w:bidi="es-ES"/>
        </w:rPr>
        <w:t>for it</w:t>
      </w:r>
      <w:r w:rsidRPr="00785D06">
        <w:rPr>
          <w:rFonts w:eastAsia="Times New Roman"/>
          <w:sz w:val="20"/>
          <w:szCs w:val="20"/>
          <w:lang w:val="en-US" w:eastAsia="es-ES" w:bidi="es-ES"/>
        </w:rPr>
        <w:t>. Re</w:t>
      </w:r>
      <w:r w:rsidR="0074683C" w:rsidRPr="00785D06">
        <w:rPr>
          <w:rFonts w:eastAsia="Times New Roman"/>
          <w:sz w:val="20"/>
          <w:szCs w:val="20"/>
          <w:lang w:val="en-US" w:eastAsia="es-ES" w:bidi="es-ES"/>
        </w:rPr>
        <w:t>garding the latter</w:t>
      </w:r>
      <w:r w:rsidRPr="00785D06">
        <w:rPr>
          <w:rFonts w:eastAsia="Times New Roman"/>
          <w:sz w:val="20"/>
          <w:szCs w:val="20"/>
          <w:lang w:val="en-US" w:eastAsia="es-ES" w:bidi="es-ES"/>
        </w:rPr>
        <w:t xml:space="preserve">, </w:t>
      </w:r>
      <w:r w:rsidR="0074683C" w:rsidRPr="00785D06">
        <w:rPr>
          <w:rFonts w:eastAsia="Times New Roman"/>
          <w:sz w:val="20"/>
          <w:szCs w:val="20"/>
          <w:lang w:val="en-US" w:eastAsia="es-ES" w:bidi="es-ES"/>
        </w:rPr>
        <w:t xml:space="preserve">it should be noted </w:t>
      </w:r>
      <w:r w:rsidRPr="00785D06">
        <w:rPr>
          <w:rFonts w:eastAsia="Times New Roman"/>
          <w:sz w:val="20"/>
          <w:szCs w:val="20"/>
          <w:lang w:val="en-US" w:eastAsia="es-ES" w:bidi="es-ES"/>
        </w:rPr>
        <w:t xml:space="preserve">that, although </w:t>
      </w:r>
      <w:r w:rsidR="0074683C" w:rsidRPr="00785D06">
        <w:rPr>
          <w:rFonts w:eastAsia="Times New Roman"/>
          <w:sz w:val="20"/>
          <w:szCs w:val="20"/>
          <w:lang w:val="en-US" w:eastAsia="es-ES" w:bidi="es-ES"/>
        </w:rPr>
        <w:t xml:space="preserve">the </w:t>
      </w:r>
      <w:r w:rsidR="00EC3CAD" w:rsidRPr="00785D06">
        <w:rPr>
          <w:rFonts w:eastAsia="Times New Roman"/>
          <w:sz w:val="20"/>
          <w:szCs w:val="20"/>
          <w:lang w:val="en-US" w:eastAsia="es-ES" w:bidi="es-ES"/>
        </w:rPr>
        <w:t xml:space="preserve">ruling </w:t>
      </w:r>
      <w:r w:rsidR="0074683C" w:rsidRPr="00785D06">
        <w:rPr>
          <w:rFonts w:eastAsia="Times New Roman"/>
          <w:sz w:val="20"/>
          <w:szCs w:val="20"/>
          <w:lang w:val="en-US" w:eastAsia="es-ES" w:bidi="es-ES"/>
        </w:rPr>
        <w:t xml:space="preserve">attributes a crime to the </w:t>
      </w:r>
      <w:r w:rsidR="0097298A" w:rsidRPr="00785D06">
        <w:rPr>
          <w:rFonts w:eastAsia="Times New Roman"/>
          <w:sz w:val="20"/>
          <w:szCs w:val="20"/>
          <w:lang w:val="en-US" w:eastAsia="es-ES" w:bidi="es-ES"/>
        </w:rPr>
        <w:t>vice principal</w:t>
      </w:r>
      <w:r w:rsidRPr="00785D06">
        <w:rPr>
          <w:rFonts w:eastAsia="Times New Roman"/>
          <w:sz w:val="20"/>
          <w:szCs w:val="20"/>
          <w:lang w:val="en-US" w:eastAsia="es-ES" w:bidi="es-ES"/>
        </w:rPr>
        <w:t xml:space="preserve">, </w:t>
      </w:r>
      <w:r w:rsidR="0074683C" w:rsidRPr="00785D06">
        <w:rPr>
          <w:rFonts w:eastAsia="Times New Roman"/>
          <w:sz w:val="20"/>
          <w:szCs w:val="20"/>
          <w:lang w:val="en-US" w:eastAsia="es-ES" w:bidi="es-ES"/>
        </w:rPr>
        <w:t xml:space="preserve">it dismisses </w:t>
      </w:r>
      <w:r w:rsidRPr="00785D06">
        <w:rPr>
          <w:rFonts w:eastAsia="Times New Roman"/>
          <w:sz w:val="20"/>
          <w:szCs w:val="20"/>
          <w:lang w:val="en-US" w:eastAsia="es-ES" w:bidi="es-ES"/>
        </w:rPr>
        <w:t xml:space="preserve">the crime of sexual harassment. Thus, the decision </w:t>
      </w:r>
      <w:r w:rsidR="00F7664F" w:rsidRPr="00785D06">
        <w:rPr>
          <w:rFonts w:eastAsia="Times New Roman"/>
          <w:sz w:val="20"/>
          <w:szCs w:val="20"/>
          <w:lang w:val="en-US" w:eastAsia="es-ES" w:bidi="es-ES"/>
        </w:rPr>
        <w:t>implicitly</w:t>
      </w:r>
      <w:r w:rsidRPr="00785D06">
        <w:rPr>
          <w:rFonts w:eastAsia="Times New Roman"/>
          <w:sz w:val="20"/>
          <w:szCs w:val="20"/>
          <w:lang w:val="en-US" w:eastAsia="es-ES" w:bidi="es-ES"/>
        </w:rPr>
        <w:t xml:space="preserve"> </w:t>
      </w:r>
      <w:r w:rsidR="00F23098" w:rsidRPr="00785D06">
        <w:rPr>
          <w:rFonts w:eastAsia="Times New Roman"/>
          <w:sz w:val="20"/>
          <w:szCs w:val="20"/>
          <w:lang w:val="en-US" w:eastAsia="es-ES" w:bidi="es-ES"/>
        </w:rPr>
        <w:t xml:space="preserve">validated </w:t>
      </w:r>
      <w:r w:rsidRPr="00785D06">
        <w:rPr>
          <w:rFonts w:eastAsia="Times New Roman"/>
          <w:sz w:val="20"/>
          <w:szCs w:val="20"/>
          <w:lang w:val="en-US" w:eastAsia="es-ES" w:bidi="es-ES"/>
        </w:rPr>
        <w:t xml:space="preserve">sexual harassment against a girl, </w:t>
      </w:r>
      <w:r w:rsidR="00EC3CAD" w:rsidRPr="00785D06">
        <w:rPr>
          <w:rFonts w:eastAsia="Times New Roman"/>
          <w:sz w:val="20"/>
          <w:szCs w:val="20"/>
          <w:lang w:val="en-US" w:eastAsia="es-ES" w:bidi="es-ES"/>
        </w:rPr>
        <w:t xml:space="preserve">since it did not </w:t>
      </w:r>
      <w:r w:rsidRPr="00785D06">
        <w:rPr>
          <w:rFonts w:eastAsia="Times New Roman"/>
          <w:sz w:val="20"/>
          <w:szCs w:val="20"/>
          <w:lang w:val="en-US" w:eastAsia="es-ES" w:bidi="es-ES"/>
        </w:rPr>
        <w:t>consider that th</w:t>
      </w:r>
      <w:r w:rsidR="00EC3CAD" w:rsidRPr="00785D06">
        <w:rPr>
          <w:rFonts w:eastAsia="Times New Roman"/>
          <w:sz w:val="20"/>
          <w:szCs w:val="20"/>
          <w:lang w:val="en-US" w:eastAsia="es-ES" w:bidi="es-ES"/>
        </w:rPr>
        <w:t xml:space="preserve">is conduct </w:t>
      </w:r>
      <w:r w:rsidRPr="00785D06">
        <w:rPr>
          <w:rFonts w:eastAsia="Times New Roman"/>
          <w:sz w:val="20"/>
          <w:szCs w:val="20"/>
          <w:lang w:val="en-US" w:eastAsia="es-ES" w:bidi="es-ES"/>
        </w:rPr>
        <w:t>include</w:t>
      </w:r>
      <w:r w:rsidR="00EC3CAD" w:rsidRPr="00785D06">
        <w:rPr>
          <w:rFonts w:eastAsia="Times New Roman"/>
          <w:sz w:val="20"/>
          <w:szCs w:val="20"/>
          <w:lang w:val="en-US" w:eastAsia="es-ES" w:bidi="es-ES"/>
        </w:rPr>
        <w:t>s</w:t>
      </w:r>
      <w:r w:rsidRPr="00785D06">
        <w:rPr>
          <w:rFonts w:eastAsia="Times New Roman"/>
          <w:sz w:val="20"/>
          <w:szCs w:val="20"/>
          <w:lang w:val="en-US" w:eastAsia="es-ES" w:bidi="es-ES"/>
        </w:rPr>
        <w:t xml:space="preserve"> “</w:t>
      </w:r>
      <w:r w:rsidR="00F23098" w:rsidRPr="00785D06">
        <w:rPr>
          <w:rFonts w:eastAsia="Times New Roman"/>
          <w:sz w:val="20"/>
          <w:szCs w:val="20"/>
          <w:lang w:val="en-US" w:eastAsia="es-ES" w:bidi="es-ES"/>
        </w:rPr>
        <w:t>grooming</w:t>
      </w:r>
      <w:r w:rsidRPr="00785D06">
        <w:rPr>
          <w:rFonts w:eastAsia="Times New Roman"/>
          <w:sz w:val="20"/>
          <w:szCs w:val="20"/>
          <w:lang w:val="en-US" w:eastAsia="es-ES" w:bidi="es-ES"/>
        </w:rPr>
        <w:t xml:space="preserve">” </w:t>
      </w:r>
      <w:r w:rsidR="00F23098" w:rsidRPr="00785D06">
        <w:rPr>
          <w:rFonts w:eastAsia="Times New Roman"/>
          <w:sz w:val="20"/>
          <w:szCs w:val="20"/>
          <w:lang w:val="en-US" w:eastAsia="es-ES" w:bidi="es-ES"/>
        </w:rPr>
        <w:t xml:space="preserve">for </w:t>
      </w:r>
      <w:r w:rsidRPr="00785D06">
        <w:rPr>
          <w:rFonts w:eastAsia="Times New Roman"/>
          <w:sz w:val="20"/>
          <w:szCs w:val="20"/>
          <w:lang w:val="en-US" w:eastAsia="es-ES" w:bidi="es-ES"/>
        </w:rPr>
        <w:t xml:space="preserve">subsequent abuse, </w:t>
      </w:r>
      <w:r w:rsidR="00EC3CAD" w:rsidRPr="00785D06">
        <w:rPr>
          <w:rFonts w:eastAsia="Times New Roman"/>
          <w:sz w:val="20"/>
          <w:szCs w:val="20"/>
          <w:lang w:val="en-US" w:eastAsia="es-ES" w:bidi="es-ES"/>
        </w:rPr>
        <w:t xml:space="preserve">in which the perpetrator takes advantage of a relationship of power, as noted previously </w:t>
      </w:r>
      <w:r w:rsidRPr="00785D06">
        <w:rPr>
          <w:rFonts w:eastAsia="Times New Roman"/>
          <w:sz w:val="20"/>
          <w:szCs w:val="20"/>
          <w:lang w:val="en-US" w:eastAsia="es-ES" w:bidi="es-ES"/>
        </w:rPr>
        <w:t>(</w:t>
      </w:r>
      <w:r w:rsidRPr="00785D06">
        <w:rPr>
          <w:rFonts w:eastAsia="Times New Roman"/>
          <w:i/>
          <w:sz w:val="20"/>
          <w:szCs w:val="20"/>
          <w:lang w:val="en-US" w:eastAsia="es-ES" w:bidi="es-ES"/>
        </w:rPr>
        <w:t xml:space="preserve">supra </w:t>
      </w:r>
      <w:r w:rsidRPr="00785D06">
        <w:rPr>
          <w:rFonts w:eastAsia="Times New Roman"/>
          <w:sz w:val="20"/>
          <w:szCs w:val="20"/>
          <w:lang w:val="en-US" w:eastAsia="es-ES" w:bidi="es-ES"/>
        </w:rPr>
        <w:t>paras. 130 to 132).</w:t>
      </w:r>
    </w:p>
    <w:p w14:paraId="05DEE224" w14:textId="77777777" w:rsidR="00C254BF" w:rsidRPr="00785D06" w:rsidRDefault="00C254BF" w:rsidP="00C254BF">
      <w:pPr>
        <w:pStyle w:val="Prrafodelista"/>
        <w:ind w:left="0"/>
        <w:contextualSpacing w:val="0"/>
        <w:jc w:val="both"/>
        <w:rPr>
          <w:sz w:val="20"/>
          <w:szCs w:val="20"/>
          <w:lang w:val="en-US"/>
        </w:rPr>
      </w:pPr>
    </w:p>
    <w:p w14:paraId="52963447" w14:textId="77777777" w:rsidR="00C254BF" w:rsidRPr="00785D06" w:rsidRDefault="00A622B5"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Furthermore</w:t>
      </w:r>
      <w:r w:rsidR="00C254BF" w:rsidRPr="00785D06">
        <w:rPr>
          <w:rFonts w:eastAsia="Times New Roman"/>
          <w:sz w:val="20"/>
          <w:szCs w:val="20"/>
          <w:lang w:val="en-US" w:eastAsia="es-ES" w:bidi="es-ES"/>
        </w:rPr>
        <w:t xml:space="preserve">, </w:t>
      </w:r>
      <w:r w:rsidR="00EC3CAD" w:rsidRPr="00785D06">
        <w:rPr>
          <w:rFonts w:eastAsia="Times New Roman"/>
          <w:sz w:val="20"/>
          <w:szCs w:val="20"/>
          <w:lang w:val="en-US" w:eastAsia="es-ES" w:bidi="es-ES"/>
        </w:rPr>
        <w:t xml:space="preserve">in defining </w:t>
      </w:r>
      <w:r w:rsidRPr="00785D06">
        <w:rPr>
          <w:rFonts w:eastAsia="Times New Roman"/>
          <w:sz w:val="20"/>
          <w:szCs w:val="20"/>
          <w:lang w:val="en-US" w:eastAsia="es-ES" w:bidi="es-ES"/>
        </w:rPr>
        <w:t xml:space="preserve">the </w:t>
      </w:r>
      <w:r w:rsidR="00EC3CAD" w:rsidRPr="00785D06">
        <w:rPr>
          <w:rFonts w:eastAsia="Times New Roman"/>
          <w:sz w:val="20"/>
          <w:szCs w:val="20"/>
          <w:lang w:val="en-US" w:eastAsia="es-ES" w:bidi="es-ES"/>
        </w:rPr>
        <w:t xml:space="preserve">perpetrator’s </w:t>
      </w:r>
      <w:r w:rsidRPr="00785D06">
        <w:rPr>
          <w:rFonts w:eastAsia="Times New Roman"/>
          <w:sz w:val="20"/>
          <w:szCs w:val="20"/>
          <w:lang w:val="en-US" w:eastAsia="es-ES" w:bidi="es-ES"/>
        </w:rPr>
        <w:t>conduct as</w:t>
      </w:r>
      <w:r w:rsidR="00C254BF" w:rsidRPr="00785D06">
        <w:rPr>
          <w:rFonts w:eastAsia="Times New Roman"/>
          <w:sz w:val="20"/>
          <w:szCs w:val="20"/>
          <w:lang w:val="en-US" w:eastAsia="es-ES" w:bidi="es-ES"/>
        </w:rPr>
        <w:t xml:space="preserve"> “rape</w:t>
      </w:r>
      <w:r w:rsidR="00F7664F" w:rsidRPr="00785D06">
        <w:rPr>
          <w:rFonts w:eastAsia="Times New Roman"/>
          <w:sz w:val="20"/>
          <w:szCs w:val="20"/>
          <w:lang w:val="en-US" w:eastAsia="es-ES" w:bidi="es-ES"/>
        </w:rPr>
        <w:t>,”</w:t>
      </w:r>
      <w:r w:rsidR="00C254BF" w:rsidRPr="00785D06">
        <w:rPr>
          <w:rFonts w:eastAsia="Times New Roman"/>
          <w:sz w:val="20"/>
          <w:szCs w:val="20"/>
          <w:lang w:val="en-US" w:eastAsia="es-ES" w:bidi="es-ES"/>
        </w:rPr>
        <w:t xml:space="preserve"> the Superior Court</w:t>
      </w:r>
      <w:r w:rsidR="00D9267F" w:rsidRPr="00785D06">
        <w:rPr>
          <w:rFonts w:eastAsia="Times New Roman"/>
          <w:sz w:val="20"/>
          <w:szCs w:val="20"/>
          <w:lang w:val="en-US" w:eastAsia="es-ES" w:bidi="es-ES"/>
        </w:rPr>
        <w:t xml:space="preserve"> </w:t>
      </w:r>
      <w:r w:rsidR="00C254BF" w:rsidRPr="00785D06">
        <w:rPr>
          <w:rFonts w:eastAsia="Times New Roman"/>
          <w:sz w:val="20"/>
          <w:szCs w:val="20"/>
          <w:lang w:val="en-US" w:eastAsia="es-ES" w:bidi="es-ES"/>
        </w:rPr>
        <w:t xml:space="preserve">of Justice of Guayaquil </w:t>
      </w:r>
      <w:r w:rsidR="00420801" w:rsidRPr="00785D06">
        <w:rPr>
          <w:rFonts w:eastAsia="Times New Roman"/>
          <w:sz w:val="20"/>
          <w:szCs w:val="20"/>
          <w:lang w:val="en-US" w:eastAsia="es-ES" w:bidi="es-ES"/>
        </w:rPr>
        <w:t xml:space="preserve">referred to </w:t>
      </w:r>
      <w:r w:rsidR="00EC3CAD" w:rsidRPr="00785D06">
        <w:rPr>
          <w:rFonts w:eastAsia="Times New Roman"/>
          <w:sz w:val="20"/>
          <w:szCs w:val="20"/>
          <w:lang w:val="en-US" w:eastAsia="es-ES" w:bidi="es-ES"/>
        </w:rPr>
        <w:t xml:space="preserve">the </w:t>
      </w:r>
      <w:r w:rsidR="00C254BF" w:rsidRPr="00785D06">
        <w:rPr>
          <w:rFonts w:eastAsia="Times New Roman"/>
          <w:sz w:val="20"/>
          <w:szCs w:val="20"/>
          <w:lang w:val="en-US" w:eastAsia="es-ES" w:bidi="es-ES"/>
        </w:rPr>
        <w:t>requirements of “honesty” and “</w:t>
      </w:r>
      <w:r w:rsidR="00F7664F" w:rsidRPr="00785D06">
        <w:rPr>
          <w:rFonts w:eastAsia="Times New Roman"/>
          <w:sz w:val="20"/>
          <w:szCs w:val="20"/>
          <w:lang w:val="en-US" w:eastAsia="es-ES" w:bidi="es-ES"/>
        </w:rPr>
        <w:t>maidenhood,”</w:t>
      </w:r>
      <w:r w:rsidR="00C254BF" w:rsidRPr="00785D06">
        <w:rPr>
          <w:rFonts w:eastAsia="Times New Roman"/>
          <w:sz w:val="20"/>
          <w:szCs w:val="20"/>
          <w:lang w:val="en-US" w:eastAsia="es-ES" w:bidi="es-ES"/>
        </w:rPr>
        <w:t xml:space="preserve"> which imply </w:t>
      </w:r>
      <w:r w:rsidR="00F7664F" w:rsidRPr="00785D06">
        <w:rPr>
          <w:rFonts w:eastAsia="Times New Roman"/>
          <w:sz w:val="20"/>
          <w:szCs w:val="20"/>
          <w:lang w:val="en-US" w:eastAsia="es-ES" w:bidi="es-ES"/>
        </w:rPr>
        <w:t xml:space="preserve">an assessment of </w:t>
      </w:r>
      <w:r w:rsidR="00C254BF" w:rsidRPr="00785D06">
        <w:rPr>
          <w:rFonts w:eastAsia="Times New Roman"/>
          <w:sz w:val="20"/>
          <w:szCs w:val="20"/>
          <w:lang w:val="en-US" w:eastAsia="es-ES" w:bidi="es-ES"/>
        </w:rPr>
        <w:t>the victim’s pr</w:t>
      </w:r>
      <w:r w:rsidR="00F7664F" w:rsidRPr="00785D06">
        <w:rPr>
          <w:rFonts w:eastAsia="Times New Roman"/>
          <w:sz w:val="20"/>
          <w:szCs w:val="20"/>
          <w:lang w:val="en-US" w:eastAsia="es-ES" w:bidi="es-ES"/>
        </w:rPr>
        <w:t xml:space="preserve">evious </w:t>
      </w:r>
      <w:r w:rsidR="00C254BF" w:rsidRPr="00785D06">
        <w:rPr>
          <w:rFonts w:eastAsia="Times New Roman"/>
          <w:sz w:val="20"/>
          <w:szCs w:val="20"/>
          <w:lang w:val="en-US" w:eastAsia="es-ES" w:bidi="es-ES"/>
        </w:rPr>
        <w:t xml:space="preserve">conduct. In other words, it </w:t>
      </w:r>
      <w:r w:rsidR="00E610D5" w:rsidRPr="00785D06">
        <w:rPr>
          <w:rFonts w:eastAsia="Times New Roman"/>
          <w:sz w:val="20"/>
          <w:szCs w:val="20"/>
          <w:lang w:val="en-US" w:eastAsia="es-ES" w:bidi="es-ES"/>
        </w:rPr>
        <w:t xml:space="preserve">amounts to a conceptual </w:t>
      </w:r>
      <w:r w:rsidR="0026775F" w:rsidRPr="00785D06">
        <w:rPr>
          <w:rFonts w:eastAsia="Times New Roman"/>
          <w:sz w:val="20"/>
          <w:szCs w:val="20"/>
          <w:lang w:val="en-US" w:eastAsia="es-ES" w:bidi="es-ES"/>
        </w:rPr>
        <w:t>judg</w:t>
      </w:r>
      <w:r w:rsidR="00E610D5" w:rsidRPr="00785D06">
        <w:rPr>
          <w:rFonts w:eastAsia="Times New Roman"/>
          <w:sz w:val="20"/>
          <w:szCs w:val="20"/>
          <w:lang w:val="en-US" w:eastAsia="es-ES" w:bidi="es-ES"/>
        </w:rPr>
        <w:t xml:space="preserve">ment of </w:t>
      </w:r>
      <w:r w:rsidR="00C254BF" w:rsidRPr="00785D06">
        <w:rPr>
          <w:rFonts w:eastAsia="Times New Roman"/>
          <w:sz w:val="20"/>
          <w:szCs w:val="20"/>
          <w:lang w:val="en-US" w:eastAsia="es-ES" w:bidi="es-ES"/>
        </w:rPr>
        <w:t xml:space="preserve">the victim prior to the evaluation </w:t>
      </w:r>
      <w:r w:rsidR="0074683C" w:rsidRPr="00785D06">
        <w:rPr>
          <w:rFonts w:eastAsia="Times New Roman"/>
          <w:sz w:val="20"/>
          <w:szCs w:val="20"/>
          <w:lang w:val="en-US" w:eastAsia="es-ES" w:bidi="es-ES"/>
        </w:rPr>
        <w:t xml:space="preserve">of the </w:t>
      </w:r>
      <w:r w:rsidR="00A340DB" w:rsidRPr="00785D06">
        <w:rPr>
          <w:rFonts w:eastAsia="Times New Roman"/>
          <w:sz w:val="20"/>
          <w:szCs w:val="20"/>
          <w:lang w:val="en-US" w:eastAsia="es-ES" w:bidi="es-ES"/>
        </w:rPr>
        <w:t xml:space="preserve">aggressor’s </w:t>
      </w:r>
      <w:r w:rsidR="0074683C" w:rsidRPr="00785D06">
        <w:rPr>
          <w:rFonts w:eastAsia="Times New Roman"/>
          <w:sz w:val="20"/>
          <w:szCs w:val="20"/>
          <w:lang w:val="en-US" w:eastAsia="es-ES" w:bidi="es-ES"/>
        </w:rPr>
        <w:t>actions</w:t>
      </w:r>
      <w:r w:rsidR="00C254BF" w:rsidRPr="00785D06">
        <w:rPr>
          <w:rFonts w:eastAsia="Times New Roman"/>
          <w:sz w:val="20"/>
          <w:szCs w:val="20"/>
          <w:lang w:val="en-US" w:eastAsia="es-ES" w:bidi="es-ES"/>
        </w:rPr>
        <w:t xml:space="preserve">. </w:t>
      </w:r>
      <w:r w:rsidR="00D9267F" w:rsidRPr="00785D06">
        <w:rPr>
          <w:rFonts w:eastAsia="Times New Roman"/>
          <w:sz w:val="20"/>
          <w:szCs w:val="20"/>
          <w:lang w:val="en-US" w:eastAsia="es-ES" w:bidi="es-ES"/>
        </w:rPr>
        <w:t>Th</w:t>
      </w:r>
      <w:r w:rsidR="00E610D5" w:rsidRPr="00785D06">
        <w:rPr>
          <w:rFonts w:eastAsia="Times New Roman"/>
          <w:sz w:val="20"/>
          <w:szCs w:val="20"/>
          <w:lang w:val="en-US" w:eastAsia="es-ES" w:bidi="es-ES"/>
        </w:rPr>
        <w:t>us</w:t>
      </w:r>
      <w:r w:rsidR="00C254BF" w:rsidRPr="00785D06">
        <w:rPr>
          <w:rFonts w:eastAsia="Times New Roman"/>
          <w:sz w:val="20"/>
          <w:szCs w:val="20"/>
          <w:lang w:val="en-US" w:eastAsia="es-ES" w:bidi="es-ES"/>
        </w:rPr>
        <w:t xml:space="preserve">, the crime </w:t>
      </w:r>
      <w:r w:rsidR="00976A21" w:rsidRPr="00785D06">
        <w:rPr>
          <w:rFonts w:eastAsia="Times New Roman"/>
          <w:sz w:val="20"/>
          <w:szCs w:val="20"/>
          <w:lang w:val="en-US" w:eastAsia="es-ES" w:bidi="es-ES"/>
        </w:rPr>
        <w:t xml:space="preserve">is </w:t>
      </w:r>
      <w:r w:rsidR="00E610D5" w:rsidRPr="00785D06">
        <w:rPr>
          <w:rFonts w:eastAsia="Times New Roman"/>
          <w:sz w:val="20"/>
          <w:szCs w:val="20"/>
          <w:lang w:val="en-US" w:eastAsia="es-ES" w:bidi="es-ES"/>
        </w:rPr>
        <w:t xml:space="preserve">configured </w:t>
      </w:r>
      <w:r w:rsidR="00420801" w:rsidRPr="00785D06">
        <w:rPr>
          <w:rFonts w:eastAsia="Times New Roman"/>
          <w:sz w:val="20"/>
          <w:szCs w:val="20"/>
          <w:lang w:val="en-US" w:eastAsia="es-ES" w:bidi="es-ES"/>
        </w:rPr>
        <w:t xml:space="preserve">in the measure that </w:t>
      </w:r>
      <w:r w:rsidR="00E610D5" w:rsidRPr="00785D06">
        <w:rPr>
          <w:rFonts w:eastAsia="Times New Roman"/>
          <w:sz w:val="20"/>
          <w:szCs w:val="20"/>
          <w:lang w:val="en-US" w:eastAsia="es-ES" w:bidi="es-ES"/>
        </w:rPr>
        <w:t xml:space="preserve">the affected woman </w:t>
      </w:r>
      <w:r w:rsidR="00976A21" w:rsidRPr="00785D06">
        <w:rPr>
          <w:rFonts w:eastAsia="Times New Roman"/>
          <w:sz w:val="20"/>
          <w:szCs w:val="20"/>
          <w:lang w:val="en-US" w:eastAsia="es-ES" w:bidi="es-ES"/>
        </w:rPr>
        <w:t xml:space="preserve">meets </w:t>
      </w:r>
      <w:r w:rsidR="00D9267F" w:rsidRPr="00785D06">
        <w:rPr>
          <w:rFonts w:eastAsia="Times New Roman"/>
          <w:sz w:val="20"/>
          <w:szCs w:val="20"/>
          <w:lang w:val="en-US" w:eastAsia="es-ES" w:bidi="es-ES"/>
        </w:rPr>
        <w:t xml:space="preserve">certain </w:t>
      </w:r>
      <w:r w:rsidR="00976A21" w:rsidRPr="00785D06">
        <w:rPr>
          <w:rFonts w:eastAsia="Times New Roman"/>
          <w:sz w:val="20"/>
          <w:szCs w:val="20"/>
          <w:lang w:val="en-US" w:eastAsia="es-ES" w:bidi="es-ES"/>
        </w:rPr>
        <w:t xml:space="preserve">standards </w:t>
      </w:r>
      <w:r w:rsidR="00C254BF" w:rsidRPr="00785D06">
        <w:rPr>
          <w:rFonts w:eastAsia="Times New Roman"/>
          <w:sz w:val="20"/>
          <w:szCs w:val="20"/>
          <w:lang w:val="en-US" w:eastAsia="es-ES" w:bidi="es-ES"/>
        </w:rPr>
        <w:t xml:space="preserve">of </w:t>
      </w:r>
      <w:r w:rsidR="00976A21" w:rsidRPr="00785D06">
        <w:rPr>
          <w:rFonts w:eastAsia="Times New Roman"/>
          <w:sz w:val="20"/>
          <w:szCs w:val="20"/>
          <w:lang w:val="en-US" w:eastAsia="es-ES" w:bidi="es-ES"/>
        </w:rPr>
        <w:t>behavior</w:t>
      </w:r>
      <w:r w:rsidR="00C254BF" w:rsidRPr="00785D06">
        <w:rPr>
          <w:rFonts w:eastAsia="Times New Roman"/>
          <w:sz w:val="20"/>
          <w:szCs w:val="20"/>
          <w:lang w:val="en-US" w:eastAsia="es-ES" w:bidi="es-ES"/>
        </w:rPr>
        <w:t xml:space="preserve"> </w:t>
      </w:r>
      <w:r w:rsidR="00E610D5" w:rsidRPr="00785D06">
        <w:rPr>
          <w:rFonts w:eastAsia="Times New Roman"/>
          <w:sz w:val="20"/>
          <w:szCs w:val="20"/>
          <w:lang w:val="en-US" w:eastAsia="es-ES" w:bidi="es-ES"/>
        </w:rPr>
        <w:t xml:space="preserve">based on </w:t>
      </w:r>
      <w:r w:rsidR="0074683C" w:rsidRPr="00785D06">
        <w:rPr>
          <w:rFonts w:eastAsia="Times New Roman"/>
          <w:sz w:val="20"/>
          <w:szCs w:val="20"/>
          <w:lang w:val="en-US" w:eastAsia="es-ES" w:bidi="es-ES"/>
        </w:rPr>
        <w:t xml:space="preserve">gender </w:t>
      </w:r>
      <w:r w:rsidR="00C254BF" w:rsidRPr="00785D06">
        <w:rPr>
          <w:rFonts w:eastAsia="Times New Roman"/>
          <w:sz w:val="20"/>
          <w:szCs w:val="20"/>
          <w:lang w:val="en-US" w:eastAsia="es-ES" w:bidi="es-ES"/>
        </w:rPr>
        <w:t>preconcept</w:t>
      </w:r>
      <w:r w:rsidR="0074683C" w:rsidRPr="00785D06">
        <w:rPr>
          <w:rFonts w:eastAsia="Times New Roman"/>
          <w:sz w:val="20"/>
          <w:szCs w:val="20"/>
          <w:lang w:val="en-US" w:eastAsia="es-ES" w:bidi="es-ES"/>
        </w:rPr>
        <w:t>ion</w:t>
      </w:r>
      <w:r w:rsidR="00E610D5" w:rsidRPr="00785D06">
        <w:rPr>
          <w:rFonts w:eastAsia="Times New Roman"/>
          <w:sz w:val="20"/>
          <w:szCs w:val="20"/>
          <w:lang w:val="en-US" w:eastAsia="es-ES" w:bidi="es-ES"/>
        </w:rPr>
        <w:t>s or</w:t>
      </w:r>
      <w:r w:rsidR="00C254BF" w:rsidRPr="00785D06">
        <w:rPr>
          <w:rFonts w:eastAsia="Times New Roman"/>
          <w:sz w:val="20"/>
          <w:szCs w:val="20"/>
          <w:lang w:val="en-US" w:eastAsia="es-ES" w:bidi="es-ES"/>
        </w:rPr>
        <w:t xml:space="preserve"> </w:t>
      </w:r>
      <w:r w:rsidR="00255F8F" w:rsidRPr="00785D06">
        <w:rPr>
          <w:rFonts w:eastAsia="Times New Roman"/>
          <w:sz w:val="20"/>
          <w:szCs w:val="20"/>
          <w:lang w:val="en-US" w:eastAsia="es-ES" w:bidi="es-ES"/>
        </w:rPr>
        <w:t xml:space="preserve">biases </w:t>
      </w:r>
      <w:r w:rsidR="00E610D5" w:rsidRPr="00785D06">
        <w:rPr>
          <w:rFonts w:eastAsia="Times New Roman"/>
          <w:sz w:val="20"/>
          <w:szCs w:val="20"/>
          <w:lang w:val="en-US" w:eastAsia="es-ES" w:bidi="es-ES"/>
        </w:rPr>
        <w:t xml:space="preserve">regarding the </w:t>
      </w:r>
      <w:r w:rsidR="00C254BF" w:rsidRPr="00785D06">
        <w:rPr>
          <w:rFonts w:eastAsia="Times New Roman"/>
          <w:sz w:val="20"/>
          <w:szCs w:val="20"/>
          <w:lang w:val="en-US" w:eastAsia="es-ES" w:bidi="es-ES"/>
        </w:rPr>
        <w:t xml:space="preserve">conduct </w:t>
      </w:r>
      <w:r w:rsidR="00B72578" w:rsidRPr="00785D06">
        <w:rPr>
          <w:rFonts w:eastAsia="Times New Roman"/>
          <w:sz w:val="20"/>
          <w:szCs w:val="20"/>
          <w:lang w:val="en-US" w:eastAsia="es-ES" w:bidi="es-ES"/>
        </w:rPr>
        <w:t xml:space="preserve">supposedly expected of </w:t>
      </w:r>
      <w:r w:rsidR="00C254BF" w:rsidRPr="00785D06">
        <w:rPr>
          <w:rFonts w:eastAsia="Times New Roman"/>
          <w:sz w:val="20"/>
          <w:szCs w:val="20"/>
          <w:lang w:val="en-US" w:eastAsia="es-ES" w:bidi="es-ES"/>
        </w:rPr>
        <w:t xml:space="preserve">a woman </w:t>
      </w:r>
      <w:r w:rsidR="00E610D5" w:rsidRPr="00785D06">
        <w:rPr>
          <w:rFonts w:eastAsia="Times New Roman"/>
          <w:sz w:val="20"/>
          <w:szCs w:val="20"/>
          <w:lang w:val="en-US" w:eastAsia="es-ES" w:bidi="es-ES"/>
        </w:rPr>
        <w:t xml:space="preserve">merely </w:t>
      </w:r>
      <w:r w:rsidR="00C254BF" w:rsidRPr="00785D06">
        <w:rPr>
          <w:rFonts w:eastAsia="Times New Roman"/>
          <w:sz w:val="20"/>
          <w:szCs w:val="20"/>
          <w:lang w:val="en-US" w:eastAsia="es-ES" w:bidi="es-ES"/>
        </w:rPr>
        <w:t xml:space="preserve">because she is a woman. </w:t>
      </w:r>
    </w:p>
    <w:p w14:paraId="67606048" w14:textId="77777777" w:rsidR="00C254BF" w:rsidRPr="00785D06" w:rsidRDefault="00C254BF" w:rsidP="00C254BF">
      <w:pPr>
        <w:jc w:val="both"/>
        <w:rPr>
          <w:sz w:val="20"/>
          <w:szCs w:val="20"/>
          <w:lang w:val="en-US"/>
        </w:rPr>
      </w:pPr>
    </w:p>
    <w:p w14:paraId="775A97D9"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In this regard, </w:t>
      </w:r>
      <w:r w:rsidR="009E69BC" w:rsidRPr="00785D06">
        <w:rPr>
          <w:sz w:val="20"/>
          <w:szCs w:val="20"/>
          <w:lang w:val="en-US"/>
        </w:rPr>
        <w:t xml:space="preserve">the Court recalls </w:t>
      </w:r>
      <w:r w:rsidRPr="00785D06">
        <w:rPr>
          <w:sz w:val="20"/>
          <w:szCs w:val="20"/>
          <w:lang w:val="en-US"/>
        </w:rPr>
        <w:t>that a di</w:t>
      </w:r>
      <w:r w:rsidR="009E69BC" w:rsidRPr="00785D06">
        <w:rPr>
          <w:sz w:val="20"/>
          <w:szCs w:val="20"/>
          <w:lang w:val="en-US"/>
        </w:rPr>
        <w:t>f</w:t>
      </w:r>
      <w:r w:rsidRPr="00785D06">
        <w:rPr>
          <w:sz w:val="20"/>
          <w:szCs w:val="20"/>
          <w:lang w:val="en-US"/>
        </w:rPr>
        <w:t>ferenc</w:t>
      </w:r>
      <w:r w:rsidR="009E69BC" w:rsidRPr="00785D06">
        <w:rPr>
          <w:sz w:val="20"/>
          <w:szCs w:val="20"/>
          <w:lang w:val="en-US"/>
        </w:rPr>
        <w:t>e in treatment is discriminatory when it</w:t>
      </w:r>
      <w:r w:rsidRPr="00785D06">
        <w:rPr>
          <w:sz w:val="20"/>
          <w:szCs w:val="20"/>
          <w:lang w:val="en-US"/>
        </w:rPr>
        <w:t xml:space="preserve"> has no obje</w:t>
      </w:r>
      <w:r w:rsidR="00092452" w:rsidRPr="00785D06">
        <w:rPr>
          <w:sz w:val="20"/>
          <w:szCs w:val="20"/>
          <w:lang w:val="en-US"/>
        </w:rPr>
        <w:t>c</w:t>
      </w:r>
      <w:r w:rsidR="00E610D5" w:rsidRPr="00785D06">
        <w:rPr>
          <w:sz w:val="20"/>
          <w:szCs w:val="20"/>
          <w:lang w:val="en-US"/>
        </w:rPr>
        <w:t>tive or</w:t>
      </w:r>
      <w:r w:rsidR="00420801" w:rsidRPr="00785D06">
        <w:rPr>
          <w:sz w:val="20"/>
          <w:szCs w:val="20"/>
          <w:lang w:val="en-US"/>
        </w:rPr>
        <w:t xml:space="preserve"> reasonable justification;</w:t>
      </w:r>
      <w:r w:rsidRPr="00785D06">
        <w:rPr>
          <w:sz w:val="20"/>
          <w:szCs w:val="20"/>
          <w:lang w:val="en-US"/>
        </w:rPr>
        <w:t xml:space="preserve"> </w:t>
      </w:r>
      <w:r w:rsidR="00E610D5" w:rsidRPr="00785D06">
        <w:rPr>
          <w:sz w:val="20"/>
          <w:szCs w:val="20"/>
          <w:lang w:val="en-US"/>
        </w:rPr>
        <w:t>in other words</w:t>
      </w:r>
      <w:r w:rsidRPr="00785D06">
        <w:rPr>
          <w:sz w:val="20"/>
          <w:szCs w:val="20"/>
          <w:lang w:val="en-US"/>
        </w:rPr>
        <w:t xml:space="preserve">, when </w:t>
      </w:r>
      <w:r w:rsidR="00092452" w:rsidRPr="00785D06">
        <w:rPr>
          <w:sz w:val="20"/>
          <w:szCs w:val="20"/>
          <w:lang w:val="en-US"/>
        </w:rPr>
        <w:t xml:space="preserve">it does </w:t>
      </w:r>
      <w:r w:rsidRPr="00785D06">
        <w:rPr>
          <w:sz w:val="20"/>
          <w:szCs w:val="20"/>
          <w:lang w:val="en-US"/>
        </w:rPr>
        <w:t>no</w:t>
      </w:r>
      <w:r w:rsidR="00092452" w:rsidRPr="00785D06">
        <w:rPr>
          <w:sz w:val="20"/>
          <w:szCs w:val="20"/>
          <w:lang w:val="en-US"/>
        </w:rPr>
        <w:t>t</w:t>
      </w:r>
      <w:r w:rsidRPr="00785D06">
        <w:rPr>
          <w:sz w:val="20"/>
          <w:szCs w:val="20"/>
          <w:lang w:val="en-US"/>
        </w:rPr>
        <w:t xml:space="preserve"> p</w:t>
      </w:r>
      <w:r w:rsidR="00092452" w:rsidRPr="00785D06">
        <w:rPr>
          <w:sz w:val="20"/>
          <w:szCs w:val="20"/>
          <w:lang w:val="en-US"/>
        </w:rPr>
        <w:t xml:space="preserve">ursue a legitimate purpose </w:t>
      </w:r>
      <w:r w:rsidRPr="00785D06">
        <w:rPr>
          <w:sz w:val="20"/>
          <w:szCs w:val="20"/>
          <w:lang w:val="en-US"/>
        </w:rPr>
        <w:t xml:space="preserve">and </w:t>
      </w:r>
      <w:r w:rsidR="009E69BC" w:rsidRPr="00785D06">
        <w:rPr>
          <w:sz w:val="20"/>
          <w:szCs w:val="20"/>
          <w:lang w:val="en-US"/>
        </w:rPr>
        <w:t xml:space="preserve">there is </w:t>
      </w:r>
      <w:r w:rsidRPr="00785D06">
        <w:rPr>
          <w:sz w:val="20"/>
          <w:szCs w:val="20"/>
          <w:lang w:val="en-US"/>
        </w:rPr>
        <w:t>no proportionality between the me</w:t>
      </w:r>
      <w:r w:rsidR="00BF06B1" w:rsidRPr="00785D06">
        <w:rPr>
          <w:sz w:val="20"/>
          <w:szCs w:val="20"/>
          <w:lang w:val="en-US"/>
        </w:rPr>
        <w:t xml:space="preserve">ans </w:t>
      </w:r>
      <w:r w:rsidRPr="00785D06">
        <w:rPr>
          <w:rFonts w:eastAsia="Times New Roman"/>
          <w:sz w:val="20"/>
          <w:szCs w:val="20"/>
          <w:lang w:val="en-US" w:eastAsia="es-ES" w:bidi="es-ES"/>
        </w:rPr>
        <w:t xml:space="preserve">used </w:t>
      </w:r>
      <w:r w:rsidRPr="00785D06">
        <w:rPr>
          <w:sz w:val="20"/>
          <w:szCs w:val="20"/>
          <w:lang w:val="en-US"/>
        </w:rPr>
        <w:t xml:space="preserve">and the </w:t>
      </w:r>
      <w:r w:rsidR="00BF06B1" w:rsidRPr="00785D06">
        <w:rPr>
          <w:sz w:val="20"/>
          <w:szCs w:val="20"/>
          <w:lang w:val="en-US"/>
        </w:rPr>
        <w:t>objective pursued</w:t>
      </w:r>
      <w:r w:rsidRPr="00785D06">
        <w:rPr>
          <w:sz w:val="20"/>
          <w:szCs w:val="20"/>
          <w:lang w:val="en-US"/>
        </w:rPr>
        <w:t xml:space="preserve">. </w:t>
      </w:r>
      <w:r w:rsidR="00E610D5" w:rsidRPr="00785D06">
        <w:rPr>
          <w:sz w:val="20"/>
          <w:szCs w:val="20"/>
          <w:lang w:val="en-US"/>
        </w:rPr>
        <w:t xml:space="preserve">Thus, the burden of proof falls on the State, which must demonstrate that the </w:t>
      </w:r>
      <w:r w:rsidR="009E69BC" w:rsidRPr="00785D06">
        <w:rPr>
          <w:sz w:val="20"/>
          <w:szCs w:val="20"/>
          <w:lang w:val="en-US"/>
        </w:rPr>
        <w:t xml:space="preserve">difference in treatment </w:t>
      </w:r>
      <w:r w:rsidRPr="00785D06">
        <w:rPr>
          <w:sz w:val="20"/>
          <w:szCs w:val="20"/>
          <w:lang w:val="en-US"/>
        </w:rPr>
        <w:t xml:space="preserve">between the victim of a crime </w:t>
      </w:r>
      <w:r w:rsidR="00E610D5" w:rsidRPr="00785D06">
        <w:rPr>
          <w:sz w:val="20"/>
          <w:szCs w:val="20"/>
          <w:lang w:val="en-US"/>
        </w:rPr>
        <w:t xml:space="preserve">who </w:t>
      </w:r>
      <w:r w:rsidR="009E69BC" w:rsidRPr="00785D06">
        <w:rPr>
          <w:sz w:val="20"/>
          <w:szCs w:val="20"/>
          <w:lang w:val="en-US"/>
        </w:rPr>
        <w:t xml:space="preserve">meets </w:t>
      </w:r>
      <w:r w:rsidR="00CD6E0D" w:rsidRPr="00785D06">
        <w:rPr>
          <w:sz w:val="20"/>
          <w:szCs w:val="20"/>
          <w:lang w:val="en-US"/>
        </w:rPr>
        <w:t>the requirement of “honesty</w:t>
      </w:r>
      <w:r w:rsidRPr="00785D06">
        <w:rPr>
          <w:sz w:val="20"/>
          <w:szCs w:val="20"/>
          <w:lang w:val="en-US"/>
        </w:rPr>
        <w:t>” and “</w:t>
      </w:r>
      <w:r w:rsidR="00E610D5" w:rsidRPr="00785D06">
        <w:rPr>
          <w:sz w:val="20"/>
          <w:szCs w:val="20"/>
          <w:lang w:val="en-US"/>
        </w:rPr>
        <w:t>maidenhood,”</w:t>
      </w:r>
      <w:r w:rsidRPr="00785D06">
        <w:rPr>
          <w:sz w:val="20"/>
          <w:szCs w:val="20"/>
          <w:lang w:val="en-US"/>
        </w:rPr>
        <w:t xml:space="preserve"> and </w:t>
      </w:r>
      <w:r w:rsidR="009E69BC" w:rsidRPr="00785D06">
        <w:rPr>
          <w:sz w:val="20"/>
          <w:szCs w:val="20"/>
          <w:lang w:val="en-US"/>
        </w:rPr>
        <w:t xml:space="preserve">another </w:t>
      </w:r>
      <w:r w:rsidR="00E610D5" w:rsidRPr="00785D06">
        <w:rPr>
          <w:sz w:val="20"/>
          <w:szCs w:val="20"/>
          <w:lang w:val="en-US"/>
        </w:rPr>
        <w:t xml:space="preserve">who </w:t>
      </w:r>
      <w:r w:rsidR="00231FD0" w:rsidRPr="00785D06">
        <w:rPr>
          <w:sz w:val="20"/>
          <w:szCs w:val="20"/>
          <w:lang w:val="en-US"/>
        </w:rPr>
        <w:t>does not</w:t>
      </w:r>
      <w:r w:rsidRPr="00785D06">
        <w:rPr>
          <w:sz w:val="20"/>
          <w:szCs w:val="20"/>
          <w:lang w:val="en-US"/>
        </w:rPr>
        <w:t xml:space="preserve">, </w:t>
      </w:r>
      <w:r w:rsidR="00BF06B1" w:rsidRPr="00785D06">
        <w:rPr>
          <w:sz w:val="20"/>
          <w:szCs w:val="20"/>
          <w:lang w:val="en-US"/>
        </w:rPr>
        <w:t xml:space="preserve">is </w:t>
      </w:r>
      <w:r w:rsidRPr="00785D06">
        <w:rPr>
          <w:sz w:val="20"/>
          <w:szCs w:val="20"/>
          <w:lang w:val="en-US"/>
        </w:rPr>
        <w:t>justifi</w:t>
      </w:r>
      <w:r w:rsidR="00CD6E0D" w:rsidRPr="00785D06">
        <w:rPr>
          <w:sz w:val="20"/>
          <w:szCs w:val="20"/>
          <w:lang w:val="en-US"/>
        </w:rPr>
        <w:t>ed</w:t>
      </w:r>
      <w:r w:rsidRPr="00785D06">
        <w:rPr>
          <w:sz w:val="20"/>
          <w:szCs w:val="20"/>
          <w:lang w:val="en-US"/>
        </w:rPr>
        <w:t>, w</w:t>
      </w:r>
      <w:r w:rsidR="009E69BC" w:rsidRPr="00785D06">
        <w:rPr>
          <w:sz w:val="20"/>
          <w:szCs w:val="20"/>
          <w:lang w:val="en-US"/>
        </w:rPr>
        <w:t xml:space="preserve">ithout </w:t>
      </w:r>
      <w:r w:rsidR="00A340DB" w:rsidRPr="00785D06">
        <w:rPr>
          <w:sz w:val="20"/>
          <w:szCs w:val="20"/>
          <w:lang w:val="en-US"/>
        </w:rPr>
        <w:t xml:space="preserve">basing its </w:t>
      </w:r>
      <w:r w:rsidR="009E69BC" w:rsidRPr="00785D06">
        <w:rPr>
          <w:sz w:val="20"/>
          <w:szCs w:val="20"/>
          <w:lang w:val="en-US"/>
        </w:rPr>
        <w:t>decision o</w:t>
      </w:r>
      <w:r w:rsidRPr="00785D06">
        <w:rPr>
          <w:sz w:val="20"/>
          <w:szCs w:val="20"/>
          <w:lang w:val="en-US"/>
        </w:rPr>
        <w:t>n stereotypes</w:t>
      </w:r>
      <w:r w:rsidR="009E69BC" w:rsidRPr="00785D06">
        <w:rPr>
          <w:sz w:val="20"/>
          <w:szCs w:val="20"/>
          <w:lang w:val="en-US"/>
        </w:rPr>
        <w:t>.</w:t>
      </w:r>
      <w:r w:rsidRPr="00785D06">
        <w:rPr>
          <w:rStyle w:val="Refdenotaalpie"/>
          <w:sz w:val="20"/>
          <w:szCs w:val="20"/>
          <w:lang w:val="en-US"/>
        </w:rPr>
        <w:footnoteReference w:id="186"/>
      </w:r>
    </w:p>
    <w:p w14:paraId="69805D09" w14:textId="77777777" w:rsidR="00C254BF" w:rsidRPr="00785D06" w:rsidRDefault="00C254BF" w:rsidP="00C254BF">
      <w:pPr>
        <w:jc w:val="both"/>
        <w:rPr>
          <w:sz w:val="20"/>
          <w:szCs w:val="20"/>
          <w:lang w:val="en-US"/>
        </w:rPr>
      </w:pPr>
    </w:p>
    <w:p w14:paraId="7C7E1030" w14:textId="77777777" w:rsidR="00C254BF" w:rsidRPr="00785D06" w:rsidRDefault="00E610D5" w:rsidP="00C254BF">
      <w:pPr>
        <w:pStyle w:val="Prrafodelista"/>
        <w:numPr>
          <w:ilvl w:val="0"/>
          <w:numId w:val="35"/>
        </w:numPr>
        <w:ind w:left="0" w:firstLine="0"/>
        <w:contextualSpacing w:val="0"/>
        <w:jc w:val="both"/>
        <w:rPr>
          <w:sz w:val="20"/>
          <w:szCs w:val="20"/>
          <w:lang w:val="en-US"/>
        </w:rPr>
      </w:pPr>
      <w:r w:rsidRPr="00785D06">
        <w:rPr>
          <w:rFonts w:eastAsia="Calibri" w:cs="Calibri"/>
          <w:sz w:val="20"/>
          <w:szCs w:val="20"/>
          <w:lang w:val="en-US"/>
        </w:rPr>
        <w:t>N</w:t>
      </w:r>
      <w:r w:rsidR="0087444D" w:rsidRPr="00785D06">
        <w:rPr>
          <w:rFonts w:eastAsia="Calibri" w:cs="Calibri"/>
          <w:sz w:val="20"/>
          <w:szCs w:val="20"/>
          <w:lang w:val="en-US"/>
        </w:rPr>
        <w:t>otwithstanding the foregoing</w:t>
      </w:r>
      <w:r w:rsidRPr="00785D06">
        <w:rPr>
          <w:rFonts w:eastAsia="Calibri" w:cs="Calibri"/>
          <w:sz w:val="20"/>
          <w:szCs w:val="20"/>
          <w:lang w:val="en-US"/>
        </w:rPr>
        <w:t xml:space="preserve">, </w:t>
      </w:r>
      <w:r w:rsidR="0087444D" w:rsidRPr="00785D06">
        <w:rPr>
          <w:rFonts w:eastAsia="Calibri" w:cs="Calibri"/>
          <w:sz w:val="20"/>
          <w:szCs w:val="20"/>
          <w:lang w:val="en-US"/>
        </w:rPr>
        <w:t xml:space="preserve">and </w:t>
      </w:r>
      <w:r w:rsidR="009E69BC" w:rsidRPr="00785D06">
        <w:rPr>
          <w:rFonts w:eastAsia="Calibri" w:cs="Calibri"/>
          <w:sz w:val="20"/>
          <w:szCs w:val="20"/>
          <w:lang w:val="en-US"/>
        </w:rPr>
        <w:t xml:space="preserve">recognizing </w:t>
      </w:r>
      <w:r w:rsidR="00C254BF" w:rsidRPr="00785D06">
        <w:rPr>
          <w:rFonts w:eastAsia="Calibri" w:cs="Calibri"/>
          <w:sz w:val="20"/>
          <w:szCs w:val="20"/>
          <w:lang w:val="en-US"/>
        </w:rPr>
        <w:t xml:space="preserve">that </w:t>
      </w:r>
      <w:r w:rsidR="009E69BC" w:rsidRPr="00785D06">
        <w:rPr>
          <w:rFonts w:eastAsia="Calibri" w:cs="Calibri"/>
          <w:sz w:val="20"/>
          <w:szCs w:val="20"/>
          <w:lang w:val="en-US"/>
        </w:rPr>
        <w:t xml:space="preserve">Ecuador’s current </w:t>
      </w:r>
      <w:r w:rsidR="00C254BF" w:rsidRPr="00785D06">
        <w:rPr>
          <w:rFonts w:eastAsia="Calibri" w:cs="Calibri"/>
          <w:sz w:val="20"/>
          <w:szCs w:val="20"/>
          <w:lang w:val="en-US"/>
        </w:rPr>
        <w:t xml:space="preserve">legislation </w:t>
      </w:r>
      <w:r w:rsidR="009E69BC" w:rsidRPr="00785D06">
        <w:rPr>
          <w:rFonts w:eastAsia="Calibri" w:cs="Calibri"/>
          <w:sz w:val="20"/>
          <w:szCs w:val="20"/>
          <w:lang w:val="en-US"/>
        </w:rPr>
        <w:t xml:space="preserve">has </w:t>
      </w:r>
      <w:r w:rsidR="00C254BF" w:rsidRPr="00785D06">
        <w:rPr>
          <w:rFonts w:eastAsia="Calibri" w:cs="Calibri"/>
          <w:sz w:val="20"/>
          <w:szCs w:val="20"/>
          <w:lang w:val="en-US"/>
        </w:rPr>
        <w:t>sup</w:t>
      </w:r>
      <w:r w:rsidR="009E69BC" w:rsidRPr="00785D06">
        <w:rPr>
          <w:rFonts w:eastAsia="Calibri" w:cs="Calibri"/>
          <w:sz w:val="20"/>
          <w:szCs w:val="20"/>
          <w:lang w:val="en-US"/>
        </w:rPr>
        <w:t>p</w:t>
      </w:r>
      <w:r w:rsidR="00C254BF" w:rsidRPr="00785D06">
        <w:rPr>
          <w:rFonts w:eastAsia="Calibri" w:cs="Calibri"/>
          <w:sz w:val="20"/>
          <w:szCs w:val="20"/>
          <w:lang w:val="en-US"/>
        </w:rPr>
        <w:t>r</w:t>
      </w:r>
      <w:r w:rsidR="009E69BC" w:rsidRPr="00785D06">
        <w:rPr>
          <w:rFonts w:eastAsia="Calibri" w:cs="Calibri"/>
          <w:sz w:val="20"/>
          <w:szCs w:val="20"/>
          <w:lang w:val="en-US"/>
        </w:rPr>
        <w:t xml:space="preserve">essed </w:t>
      </w:r>
      <w:r w:rsidR="00C254BF" w:rsidRPr="00785D06">
        <w:rPr>
          <w:rFonts w:eastAsia="Calibri" w:cs="Calibri"/>
          <w:sz w:val="20"/>
          <w:szCs w:val="20"/>
          <w:lang w:val="en-US"/>
        </w:rPr>
        <w:t xml:space="preserve">discriminatory </w:t>
      </w:r>
      <w:r w:rsidR="009E69BC" w:rsidRPr="00785D06">
        <w:rPr>
          <w:rFonts w:eastAsia="Calibri" w:cs="Calibri"/>
          <w:sz w:val="20"/>
          <w:szCs w:val="20"/>
          <w:lang w:val="en-US"/>
        </w:rPr>
        <w:t xml:space="preserve">concepts </w:t>
      </w:r>
      <w:r w:rsidR="00420801" w:rsidRPr="00785D06">
        <w:rPr>
          <w:rFonts w:eastAsia="Calibri" w:cs="Calibri"/>
          <w:sz w:val="20"/>
          <w:szCs w:val="20"/>
          <w:lang w:val="en-US"/>
        </w:rPr>
        <w:t xml:space="preserve">regarding </w:t>
      </w:r>
      <w:r w:rsidR="00C254BF" w:rsidRPr="00785D06">
        <w:rPr>
          <w:rFonts w:eastAsia="Calibri" w:cs="Calibri"/>
          <w:sz w:val="20"/>
          <w:szCs w:val="20"/>
          <w:lang w:val="en-US"/>
        </w:rPr>
        <w:t>rape, the Inter-American Court</w:t>
      </w:r>
      <w:r w:rsidR="00C254BF" w:rsidRPr="00785D06">
        <w:rPr>
          <w:sz w:val="20"/>
          <w:szCs w:val="20"/>
          <w:lang w:val="en-US"/>
        </w:rPr>
        <w:t xml:space="preserve"> considers that the decision</w:t>
      </w:r>
      <w:r w:rsidR="0087444D" w:rsidRPr="00785D06">
        <w:rPr>
          <w:sz w:val="20"/>
          <w:szCs w:val="20"/>
          <w:lang w:val="en-US"/>
        </w:rPr>
        <w:t xml:space="preserve"> </w:t>
      </w:r>
      <w:r w:rsidR="009A6258" w:rsidRPr="00785D06">
        <w:rPr>
          <w:sz w:val="20"/>
          <w:szCs w:val="20"/>
          <w:lang w:val="en-US"/>
        </w:rPr>
        <w:t>of the domestic court</w:t>
      </w:r>
      <w:r w:rsidR="0087444D" w:rsidRPr="00785D06">
        <w:rPr>
          <w:sz w:val="20"/>
          <w:szCs w:val="20"/>
          <w:lang w:val="en-US"/>
        </w:rPr>
        <w:t xml:space="preserve"> </w:t>
      </w:r>
      <w:r w:rsidR="00A622B5" w:rsidRPr="00785D06">
        <w:rPr>
          <w:sz w:val="20"/>
          <w:szCs w:val="20"/>
          <w:lang w:val="en-US"/>
        </w:rPr>
        <w:t xml:space="preserve">had a </w:t>
      </w:r>
      <w:r w:rsidR="00C254BF" w:rsidRPr="00785D06">
        <w:rPr>
          <w:sz w:val="20"/>
          <w:szCs w:val="20"/>
          <w:lang w:val="en-US"/>
        </w:rPr>
        <w:t>ne</w:t>
      </w:r>
      <w:r w:rsidR="00A622B5" w:rsidRPr="00785D06">
        <w:rPr>
          <w:sz w:val="20"/>
          <w:szCs w:val="20"/>
          <w:lang w:val="en-US"/>
        </w:rPr>
        <w:t>gative</w:t>
      </w:r>
      <w:r w:rsidR="002F65C0" w:rsidRPr="00785D06">
        <w:rPr>
          <w:sz w:val="20"/>
          <w:szCs w:val="20"/>
          <w:lang w:val="en-US"/>
        </w:rPr>
        <w:t xml:space="preserve"> i</w:t>
      </w:r>
      <w:r w:rsidR="00A622B5" w:rsidRPr="00785D06">
        <w:rPr>
          <w:sz w:val="20"/>
          <w:szCs w:val="20"/>
          <w:lang w:val="en-US"/>
        </w:rPr>
        <w:t xml:space="preserve">mpact on </w:t>
      </w:r>
      <w:r w:rsidR="0087444D" w:rsidRPr="00785D06">
        <w:rPr>
          <w:sz w:val="20"/>
          <w:szCs w:val="20"/>
          <w:lang w:val="en-US"/>
        </w:rPr>
        <w:t xml:space="preserve">the proceedings by preventing </w:t>
      </w:r>
      <w:r w:rsidR="00A622B5" w:rsidRPr="00785D06">
        <w:rPr>
          <w:sz w:val="20"/>
          <w:szCs w:val="20"/>
          <w:lang w:val="en-US"/>
        </w:rPr>
        <w:t>a</w:t>
      </w:r>
      <w:r w:rsidR="0087444D" w:rsidRPr="00785D06">
        <w:rPr>
          <w:sz w:val="20"/>
          <w:szCs w:val="20"/>
          <w:lang w:val="en-US"/>
        </w:rPr>
        <w:t xml:space="preserve"> proper assessment of </w:t>
      </w:r>
      <w:r w:rsidR="00C254BF" w:rsidRPr="00785D06">
        <w:rPr>
          <w:sz w:val="20"/>
          <w:szCs w:val="20"/>
          <w:lang w:val="en-US"/>
        </w:rPr>
        <w:t xml:space="preserve">the </w:t>
      </w:r>
      <w:r w:rsidR="00BF06B1" w:rsidRPr="00785D06">
        <w:rPr>
          <w:sz w:val="20"/>
          <w:szCs w:val="20"/>
          <w:lang w:val="en-US"/>
        </w:rPr>
        <w:t>harassment attribut</w:t>
      </w:r>
      <w:r w:rsidR="0087444D" w:rsidRPr="00785D06">
        <w:rPr>
          <w:sz w:val="20"/>
          <w:szCs w:val="20"/>
          <w:lang w:val="en-US"/>
        </w:rPr>
        <w:t>abl</w:t>
      </w:r>
      <w:r w:rsidR="00BF06B1" w:rsidRPr="00785D06">
        <w:rPr>
          <w:sz w:val="20"/>
          <w:szCs w:val="20"/>
          <w:lang w:val="en-US"/>
        </w:rPr>
        <w:t xml:space="preserve">e to the </w:t>
      </w:r>
      <w:r w:rsidR="0097298A" w:rsidRPr="00785D06">
        <w:rPr>
          <w:sz w:val="20"/>
          <w:szCs w:val="20"/>
          <w:lang w:val="en-US"/>
        </w:rPr>
        <w:t>vice principal</w:t>
      </w:r>
      <w:r w:rsidR="00C254BF" w:rsidRPr="00785D06">
        <w:rPr>
          <w:sz w:val="20"/>
          <w:szCs w:val="20"/>
          <w:lang w:val="en-US"/>
        </w:rPr>
        <w:t xml:space="preserve">. </w:t>
      </w:r>
      <w:r w:rsidR="002F65C0" w:rsidRPr="00785D06">
        <w:rPr>
          <w:sz w:val="20"/>
          <w:szCs w:val="20"/>
          <w:lang w:val="en-US"/>
        </w:rPr>
        <w:t>It did so</w:t>
      </w:r>
      <w:r w:rsidR="00C254BF" w:rsidRPr="00785D06">
        <w:rPr>
          <w:sz w:val="20"/>
          <w:szCs w:val="20"/>
          <w:lang w:val="en-US"/>
        </w:rPr>
        <w:t xml:space="preserve">, also, based on domestic legislation </w:t>
      </w:r>
      <w:r w:rsidR="00281C7F" w:rsidRPr="00785D06">
        <w:rPr>
          <w:sz w:val="20"/>
          <w:szCs w:val="20"/>
          <w:lang w:val="en-US"/>
        </w:rPr>
        <w:t xml:space="preserve">that was </w:t>
      </w:r>
      <w:r w:rsidR="00C254BF" w:rsidRPr="00785D06">
        <w:rPr>
          <w:sz w:val="20"/>
          <w:szCs w:val="20"/>
          <w:lang w:val="en-US"/>
        </w:rPr>
        <w:t xml:space="preserve">contrary to the Convention, </w:t>
      </w:r>
      <w:r w:rsidR="00281C7F" w:rsidRPr="00785D06">
        <w:rPr>
          <w:sz w:val="20"/>
          <w:szCs w:val="20"/>
          <w:lang w:val="en-US"/>
        </w:rPr>
        <w:t xml:space="preserve">as reflected in the </w:t>
      </w:r>
      <w:r w:rsidR="009A6258" w:rsidRPr="00785D06">
        <w:rPr>
          <w:sz w:val="20"/>
          <w:szCs w:val="20"/>
          <w:lang w:val="en-US"/>
        </w:rPr>
        <w:t xml:space="preserve">concepts </w:t>
      </w:r>
      <w:r w:rsidR="00281C7F" w:rsidRPr="00785D06">
        <w:rPr>
          <w:sz w:val="20"/>
          <w:szCs w:val="20"/>
          <w:lang w:val="en-US"/>
        </w:rPr>
        <w:t xml:space="preserve">of gender </w:t>
      </w:r>
      <w:r w:rsidR="009A6258" w:rsidRPr="00785D06">
        <w:rPr>
          <w:sz w:val="20"/>
          <w:szCs w:val="20"/>
          <w:lang w:val="en-US"/>
        </w:rPr>
        <w:t xml:space="preserve">described </w:t>
      </w:r>
      <w:r w:rsidR="00C254BF" w:rsidRPr="00785D06">
        <w:rPr>
          <w:sz w:val="20"/>
          <w:szCs w:val="20"/>
          <w:lang w:val="en-US"/>
        </w:rPr>
        <w:t>(</w:t>
      </w:r>
      <w:r w:rsidR="00C254BF" w:rsidRPr="00785D06">
        <w:rPr>
          <w:i/>
          <w:sz w:val="20"/>
          <w:szCs w:val="20"/>
          <w:lang w:val="en-US"/>
        </w:rPr>
        <w:t>supra</w:t>
      </w:r>
      <w:r w:rsidR="002F65C0" w:rsidRPr="00785D06">
        <w:rPr>
          <w:sz w:val="20"/>
          <w:szCs w:val="20"/>
          <w:lang w:val="en-US"/>
        </w:rPr>
        <w:t xml:space="preserve"> paras. 188 to</w:t>
      </w:r>
      <w:r w:rsidR="00C254BF" w:rsidRPr="00785D06">
        <w:rPr>
          <w:sz w:val="20"/>
          <w:szCs w:val="20"/>
          <w:lang w:val="en-US"/>
        </w:rPr>
        <w:t xml:space="preserve"> 193). Therefore, the </w:t>
      </w:r>
      <w:r w:rsidR="00A622B5" w:rsidRPr="00785D06">
        <w:rPr>
          <w:sz w:val="20"/>
          <w:szCs w:val="20"/>
          <w:lang w:val="en-US"/>
        </w:rPr>
        <w:t xml:space="preserve">harm </w:t>
      </w:r>
      <w:r w:rsidR="00281C7F" w:rsidRPr="00785D06">
        <w:rPr>
          <w:sz w:val="20"/>
          <w:szCs w:val="20"/>
          <w:lang w:val="en-US"/>
        </w:rPr>
        <w:t xml:space="preserve">caused by </w:t>
      </w:r>
      <w:r w:rsidR="00C254BF" w:rsidRPr="00785D06">
        <w:rPr>
          <w:sz w:val="20"/>
          <w:szCs w:val="20"/>
          <w:lang w:val="en-US"/>
        </w:rPr>
        <w:t xml:space="preserve">the </w:t>
      </w:r>
      <w:r w:rsidR="00281C7F" w:rsidRPr="00785D06">
        <w:rPr>
          <w:sz w:val="20"/>
          <w:szCs w:val="20"/>
          <w:lang w:val="en-US"/>
        </w:rPr>
        <w:t xml:space="preserve">domestic proceedings </w:t>
      </w:r>
      <w:r w:rsidR="00092452" w:rsidRPr="00785D06">
        <w:rPr>
          <w:sz w:val="20"/>
          <w:szCs w:val="20"/>
          <w:lang w:val="en-US"/>
        </w:rPr>
        <w:t>w</w:t>
      </w:r>
      <w:r w:rsidR="009E69BC" w:rsidRPr="00785D06">
        <w:rPr>
          <w:sz w:val="20"/>
          <w:szCs w:val="20"/>
          <w:lang w:val="en-US"/>
        </w:rPr>
        <w:t>a</w:t>
      </w:r>
      <w:r w:rsidR="00092452" w:rsidRPr="00785D06">
        <w:rPr>
          <w:sz w:val="20"/>
          <w:szCs w:val="20"/>
          <w:lang w:val="en-US"/>
        </w:rPr>
        <w:t>s related to a failure to observ</w:t>
      </w:r>
      <w:r w:rsidR="00A622B5" w:rsidRPr="00785D06">
        <w:rPr>
          <w:sz w:val="20"/>
          <w:szCs w:val="20"/>
          <w:lang w:val="en-US"/>
        </w:rPr>
        <w:t xml:space="preserve">e </w:t>
      </w:r>
      <w:r w:rsidR="00092452" w:rsidRPr="00785D06">
        <w:rPr>
          <w:sz w:val="20"/>
          <w:szCs w:val="20"/>
          <w:lang w:val="en-US"/>
        </w:rPr>
        <w:t>the duty to adapt domestic law to</w:t>
      </w:r>
      <w:r w:rsidR="00C254BF" w:rsidRPr="00785D06">
        <w:rPr>
          <w:sz w:val="20"/>
          <w:szCs w:val="20"/>
          <w:lang w:val="en-US"/>
        </w:rPr>
        <w:t xml:space="preserve"> the American Convention, </w:t>
      </w:r>
      <w:r w:rsidR="00BF06B1" w:rsidRPr="00785D06">
        <w:rPr>
          <w:sz w:val="20"/>
          <w:szCs w:val="20"/>
          <w:lang w:val="en-US"/>
        </w:rPr>
        <w:t xml:space="preserve">pursuant to </w:t>
      </w:r>
      <w:r w:rsidR="00C254BF" w:rsidRPr="00785D06">
        <w:rPr>
          <w:sz w:val="20"/>
          <w:szCs w:val="20"/>
          <w:lang w:val="en-US"/>
        </w:rPr>
        <w:t xml:space="preserve">Article 2 thereof, and </w:t>
      </w:r>
      <w:r w:rsidR="00281C7F" w:rsidRPr="00785D06">
        <w:rPr>
          <w:sz w:val="20"/>
          <w:szCs w:val="20"/>
          <w:lang w:val="en-US"/>
        </w:rPr>
        <w:t xml:space="preserve">to ensure </w:t>
      </w:r>
      <w:r w:rsidR="00C254BF" w:rsidRPr="00785D06">
        <w:rPr>
          <w:sz w:val="20"/>
          <w:szCs w:val="20"/>
          <w:lang w:val="en-US"/>
        </w:rPr>
        <w:t xml:space="preserve">equal protection </w:t>
      </w:r>
      <w:r w:rsidR="00281C7F" w:rsidRPr="00785D06">
        <w:rPr>
          <w:sz w:val="20"/>
          <w:szCs w:val="20"/>
          <w:lang w:val="en-US"/>
        </w:rPr>
        <w:t xml:space="preserve">before </w:t>
      </w:r>
      <w:r w:rsidR="00C254BF" w:rsidRPr="00785D06">
        <w:rPr>
          <w:sz w:val="20"/>
          <w:szCs w:val="20"/>
          <w:lang w:val="en-US"/>
        </w:rPr>
        <w:t xml:space="preserve">the law, </w:t>
      </w:r>
      <w:r w:rsidR="00281C7F" w:rsidRPr="00785D06">
        <w:rPr>
          <w:sz w:val="20"/>
          <w:szCs w:val="20"/>
          <w:lang w:val="en-US"/>
        </w:rPr>
        <w:t xml:space="preserve">as </w:t>
      </w:r>
      <w:r w:rsidR="00C254BF" w:rsidRPr="00785D06">
        <w:rPr>
          <w:sz w:val="20"/>
          <w:szCs w:val="20"/>
          <w:lang w:val="en-US"/>
        </w:rPr>
        <w:t xml:space="preserve">established in Article 24 </w:t>
      </w:r>
      <w:r w:rsidR="00CD6E0D" w:rsidRPr="00785D06">
        <w:rPr>
          <w:sz w:val="20"/>
          <w:szCs w:val="20"/>
          <w:lang w:val="en-US"/>
        </w:rPr>
        <w:t>of the treaty</w:t>
      </w:r>
      <w:r w:rsidR="00C254BF" w:rsidRPr="00785D06">
        <w:rPr>
          <w:sz w:val="20"/>
          <w:szCs w:val="20"/>
          <w:lang w:val="en-US"/>
        </w:rPr>
        <w:t xml:space="preserve">, </w:t>
      </w:r>
      <w:r w:rsidR="00281C7F" w:rsidRPr="00785D06">
        <w:rPr>
          <w:sz w:val="20"/>
          <w:szCs w:val="20"/>
          <w:lang w:val="en-US"/>
        </w:rPr>
        <w:t xml:space="preserve">which </w:t>
      </w:r>
      <w:r w:rsidR="00C254BF" w:rsidRPr="00785D06">
        <w:rPr>
          <w:sz w:val="20"/>
          <w:szCs w:val="20"/>
          <w:lang w:val="en-US"/>
        </w:rPr>
        <w:t>“</w:t>
      </w:r>
      <w:r w:rsidR="009A6258" w:rsidRPr="00785D06">
        <w:rPr>
          <w:sz w:val="20"/>
          <w:szCs w:val="20"/>
          <w:lang w:val="en-US"/>
        </w:rPr>
        <w:t xml:space="preserve">also prohibits </w:t>
      </w:r>
      <w:r w:rsidR="00A622B5" w:rsidRPr="00785D06">
        <w:rPr>
          <w:sz w:val="20"/>
          <w:szCs w:val="20"/>
          <w:lang w:val="en-US"/>
        </w:rPr>
        <w:t>discrimination derived from any inequality resulting from domestic laws or their application</w:t>
      </w:r>
      <w:r w:rsidR="002F65C0" w:rsidRPr="00785D06">
        <w:rPr>
          <w:sz w:val="20"/>
          <w:szCs w:val="20"/>
          <w:lang w:val="en-US"/>
        </w:rPr>
        <w:t>.</w:t>
      </w:r>
      <w:r w:rsidR="00C254BF" w:rsidRPr="00785D06">
        <w:rPr>
          <w:sz w:val="20"/>
          <w:szCs w:val="20"/>
          <w:lang w:val="en-US"/>
        </w:rPr>
        <w:t>”</w:t>
      </w:r>
      <w:r w:rsidR="00C254BF" w:rsidRPr="00785D06">
        <w:rPr>
          <w:rStyle w:val="Refdenotaalpie"/>
          <w:sz w:val="20"/>
          <w:szCs w:val="20"/>
          <w:lang w:val="en-US"/>
        </w:rPr>
        <w:footnoteReference w:id="187"/>
      </w:r>
      <w:r w:rsidR="00C254BF" w:rsidRPr="00785D06">
        <w:rPr>
          <w:sz w:val="20"/>
          <w:szCs w:val="20"/>
          <w:lang w:val="en-US"/>
        </w:rPr>
        <w:t xml:space="preserve"> </w:t>
      </w:r>
    </w:p>
    <w:p w14:paraId="0B3FED30" w14:textId="77777777" w:rsidR="00C254BF" w:rsidRPr="00785D06" w:rsidRDefault="00C254BF" w:rsidP="00C254BF">
      <w:pPr>
        <w:jc w:val="both"/>
        <w:rPr>
          <w:sz w:val="20"/>
          <w:szCs w:val="20"/>
          <w:lang w:val="en-US"/>
        </w:rPr>
      </w:pPr>
    </w:p>
    <w:p w14:paraId="2E7B05B5" w14:textId="77777777" w:rsidR="00C254BF" w:rsidRPr="00785D06" w:rsidRDefault="009A6258" w:rsidP="00C254BF">
      <w:pPr>
        <w:pStyle w:val="Prrafodelista"/>
        <w:numPr>
          <w:ilvl w:val="0"/>
          <w:numId w:val="35"/>
        </w:numPr>
        <w:ind w:left="0" w:firstLine="0"/>
        <w:contextualSpacing w:val="0"/>
        <w:jc w:val="both"/>
        <w:rPr>
          <w:sz w:val="20"/>
          <w:szCs w:val="20"/>
          <w:lang w:val="en-US"/>
        </w:rPr>
      </w:pPr>
      <w:r w:rsidRPr="00785D06">
        <w:rPr>
          <w:sz w:val="20"/>
          <w:szCs w:val="20"/>
          <w:lang w:val="en-US"/>
        </w:rPr>
        <w:t>The</w:t>
      </w:r>
      <w:r w:rsidR="00C254BF" w:rsidRPr="00785D06">
        <w:rPr>
          <w:sz w:val="20"/>
          <w:szCs w:val="20"/>
          <w:lang w:val="en-US"/>
        </w:rPr>
        <w:t xml:space="preserve"> Court considers that the </w:t>
      </w:r>
      <w:r w:rsidR="00BF06B1" w:rsidRPr="00785D06">
        <w:rPr>
          <w:sz w:val="20"/>
          <w:szCs w:val="20"/>
          <w:lang w:val="en-US"/>
        </w:rPr>
        <w:t xml:space="preserve">above </w:t>
      </w:r>
      <w:r w:rsidR="00C254BF" w:rsidRPr="00785D06">
        <w:rPr>
          <w:sz w:val="20"/>
          <w:szCs w:val="20"/>
          <w:lang w:val="en-US"/>
        </w:rPr>
        <w:t xml:space="preserve">conclusion </w:t>
      </w:r>
      <w:r w:rsidR="00BF06B1" w:rsidRPr="00785D06">
        <w:rPr>
          <w:sz w:val="20"/>
          <w:szCs w:val="20"/>
          <w:lang w:val="en-US"/>
        </w:rPr>
        <w:t xml:space="preserve">is </w:t>
      </w:r>
      <w:r w:rsidR="00C254BF" w:rsidRPr="00785D06">
        <w:rPr>
          <w:sz w:val="20"/>
          <w:szCs w:val="20"/>
          <w:lang w:val="en-US"/>
        </w:rPr>
        <w:t xml:space="preserve">sufficient to </w:t>
      </w:r>
      <w:r w:rsidR="002F65C0" w:rsidRPr="00785D06">
        <w:rPr>
          <w:sz w:val="20"/>
          <w:szCs w:val="20"/>
          <w:lang w:val="en-US"/>
        </w:rPr>
        <w:t xml:space="preserve">demonstrate </w:t>
      </w:r>
      <w:r w:rsidR="00C254BF" w:rsidRPr="00785D06">
        <w:rPr>
          <w:sz w:val="20"/>
          <w:szCs w:val="20"/>
          <w:lang w:val="en-US"/>
        </w:rPr>
        <w:t xml:space="preserve">that </w:t>
      </w:r>
      <w:r w:rsidR="00281C7F" w:rsidRPr="00785D06">
        <w:rPr>
          <w:sz w:val="20"/>
          <w:szCs w:val="20"/>
          <w:lang w:val="en-US"/>
        </w:rPr>
        <w:t xml:space="preserve">certain decisions </w:t>
      </w:r>
      <w:r w:rsidR="00A6449D" w:rsidRPr="00785D06">
        <w:rPr>
          <w:sz w:val="20"/>
          <w:szCs w:val="20"/>
          <w:lang w:val="en-US"/>
        </w:rPr>
        <w:t xml:space="preserve">taken in </w:t>
      </w:r>
      <w:r w:rsidR="00C254BF" w:rsidRPr="00785D06">
        <w:rPr>
          <w:sz w:val="20"/>
          <w:szCs w:val="20"/>
          <w:lang w:val="en-US"/>
        </w:rPr>
        <w:t xml:space="preserve">the criminal proceedings </w:t>
      </w:r>
      <w:r w:rsidR="00BF06B1" w:rsidRPr="00785D06">
        <w:rPr>
          <w:sz w:val="20"/>
          <w:szCs w:val="20"/>
          <w:lang w:val="en-US"/>
        </w:rPr>
        <w:t xml:space="preserve">influenced the </w:t>
      </w:r>
      <w:r w:rsidR="00281C7F" w:rsidRPr="00785D06">
        <w:rPr>
          <w:sz w:val="20"/>
          <w:szCs w:val="20"/>
          <w:lang w:val="en-US"/>
        </w:rPr>
        <w:t>outcome, skewed</w:t>
      </w:r>
      <w:r w:rsidR="00C254BF" w:rsidRPr="00785D06">
        <w:rPr>
          <w:sz w:val="20"/>
          <w:szCs w:val="20"/>
          <w:lang w:val="en-US"/>
        </w:rPr>
        <w:t xml:space="preserve"> by the aforementioned </w:t>
      </w:r>
      <w:r w:rsidR="00A6449D" w:rsidRPr="00785D06">
        <w:rPr>
          <w:sz w:val="20"/>
          <w:szCs w:val="20"/>
          <w:lang w:val="en-US"/>
        </w:rPr>
        <w:t xml:space="preserve">gender biases </w:t>
      </w:r>
      <w:r w:rsidR="00C254BF" w:rsidRPr="00785D06">
        <w:rPr>
          <w:sz w:val="20"/>
          <w:szCs w:val="20"/>
          <w:lang w:val="en-US"/>
        </w:rPr>
        <w:t>(</w:t>
      </w:r>
      <w:r w:rsidR="00C254BF" w:rsidRPr="00785D06">
        <w:rPr>
          <w:i/>
          <w:sz w:val="20"/>
          <w:szCs w:val="20"/>
          <w:lang w:val="en-US"/>
        </w:rPr>
        <w:t xml:space="preserve">supra </w:t>
      </w:r>
      <w:r w:rsidR="00C254BF" w:rsidRPr="00785D06">
        <w:rPr>
          <w:sz w:val="20"/>
          <w:szCs w:val="20"/>
          <w:lang w:val="en-US"/>
        </w:rPr>
        <w:t>footnote 128 and paras. 188 to 1</w:t>
      </w:r>
      <w:r w:rsidR="00BF06B1" w:rsidRPr="00785D06">
        <w:rPr>
          <w:sz w:val="20"/>
          <w:szCs w:val="20"/>
          <w:lang w:val="en-US"/>
        </w:rPr>
        <w:t xml:space="preserve">90). </w:t>
      </w:r>
      <w:r w:rsidR="000A53AF" w:rsidRPr="00785D06">
        <w:rPr>
          <w:sz w:val="20"/>
          <w:szCs w:val="20"/>
          <w:lang w:val="en-US"/>
        </w:rPr>
        <w:t xml:space="preserve">Consequently, </w:t>
      </w:r>
      <w:r w:rsidR="002F65C0" w:rsidRPr="00785D06">
        <w:rPr>
          <w:sz w:val="20"/>
          <w:szCs w:val="20"/>
          <w:lang w:val="en-US"/>
        </w:rPr>
        <w:t xml:space="preserve">it </w:t>
      </w:r>
      <w:r w:rsidR="00BF06B1" w:rsidRPr="00785D06">
        <w:rPr>
          <w:sz w:val="20"/>
          <w:szCs w:val="20"/>
          <w:lang w:val="en-US"/>
        </w:rPr>
        <w:t>concludes that those</w:t>
      </w:r>
      <w:r w:rsidR="00C254BF" w:rsidRPr="00785D06">
        <w:rPr>
          <w:sz w:val="20"/>
          <w:szCs w:val="20"/>
          <w:lang w:val="en-US"/>
        </w:rPr>
        <w:t xml:space="preserve"> actions were </w:t>
      </w:r>
      <w:r w:rsidR="00BF06B1" w:rsidRPr="00785D06">
        <w:rPr>
          <w:sz w:val="20"/>
          <w:szCs w:val="20"/>
          <w:lang w:val="en-US"/>
        </w:rPr>
        <w:t xml:space="preserve">not </w:t>
      </w:r>
      <w:r w:rsidR="002F65C0" w:rsidRPr="00785D06">
        <w:rPr>
          <w:sz w:val="20"/>
          <w:szCs w:val="20"/>
          <w:lang w:val="en-US"/>
        </w:rPr>
        <w:t xml:space="preserve">executed </w:t>
      </w:r>
      <w:r w:rsidR="00C254BF" w:rsidRPr="00785D06">
        <w:rPr>
          <w:sz w:val="20"/>
          <w:szCs w:val="20"/>
          <w:lang w:val="en-US"/>
        </w:rPr>
        <w:t xml:space="preserve">with </w:t>
      </w:r>
      <w:r w:rsidR="002F65C0" w:rsidRPr="00785D06">
        <w:rPr>
          <w:sz w:val="20"/>
          <w:szCs w:val="20"/>
          <w:lang w:val="en-US"/>
        </w:rPr>
        <w:t xml:space="preserve">a </w:t>
      </w:r>
      <w:r w:rsidR="000A53AF" w:rsidRPr="00785D06">
        <w:rPr>
          <w:sz w:val="20"/>
          <w:szCs w:val="20"/>
          <w:lang w:val="en-US"/>
        </w:rPr>
        <w:t xml:space="preserve">gender perspective, </w:t>
      </w:r>
      <w:r w:rsidR="00A6449D" w:rsidRPr="00785D06">
        <w:rPr>
          <w:sz w:val="20"/>
          <w:szCs w:val="20"/>
          <w:lang w:val="en-US"/>
        </w:rPr>
        <w:t xml:space="preserve">and therefore failed </w:t>
      </w:r>
      <w:r w:rsidR="000A53AF" w:rsidRPr="00785D06">
        <w:rPr>
          <w:sz w:val="20"/>
          <w:szCs w:val="20"/>
          <w:lang w:val="en-US"/>
        </w:rPr>
        <w:t>to</w:t>
      </w:r>
      <w:r w:rsidR="00C254BF" w:rsidRPr="00785D06">
        <w:rPr>
          <w:sz w:val="20"/>
          <w:szCs w:val="20"/>
          <w:lang w:val="en-US"/>
        </w:rPr>
        <w:t xml:space="preserve"> </w:t>
      </w:r>
      <w:r w:rsidR="00A622B5" w:rsidRPr="00785D06">
        <w:rPr>
          <w:sz w:val="20"/>
          <w:szCs w:val="20"/>
          <w:lang w:val="en-US"/>
        </w:rPr>
        <w:t xml:space="preserve">comply with </w:t>
      </w:r>
      <w:r w:rsidR="00C254BF" w:rsidRPr="00785D06">
        <w:rPr>
          <w:sz w:val="20"/>
          <w:szCs w:val="20"/>
          <w:lang w:val="en-US"/>
        </w:rPr>
        <w:t xml:space="preserve">the duties mandated by the </w:t>
      </w:r>
      <w:r w:rsidR="00BF06B1" w:rsidRPr="00785D06">
        <w:rPr>
          <w:sz w:val="20"/>
          <w:szCs w:val="20"/>
          <w:lang w:val="en-US"/>
        </w:rPr>
        <w:t>Belem do Pará</w:t>
      </w:r>
      <w:r w:rsidR="000A53AF" w:rsidRPr="00785D06">
        <w:rPr>
          <w:sz w:val="20"/>
          <w:szCs w:val="20"/>
          <w:lang w:val="en-US"/>
        </w:rPr>
        <w:t xml:space="preserve"> Convention</w:t>
      </w:r>
      <w:r w:rsidR="00BF06B1" w:rsidRPr="00785D06">
        <w:rPr>
          <w:sz w:val="20"/>
          <w:szCs w:val="20"/>
          <w:lang w:val="en-US"/>
        </w:rPr>
        <w:t xml:space="preserve">. </w:t>
      </w:r>
      <w:r w:rsidR="000A53AF" w:rsidRPr="00785D06">
        <w:rPr>
          <w:sz w:val="20"/>
          <w:szCs w:val="20"/>
          <w:lang w:val="en-US"/>
        </w:rPr>
        <w:t xml:space="preserve">The Court does not </w:t>
      </w:r>
      <w:r w:rsidR="00BF06B1" w:rsidRPr="00785D06">
        <w:rPr>
          <w:sz w:val="20"/>
          <w:szCs w:val="20"/>
          <w:lang w:val="en-US"/>
        </w:rPr>
        <w:t>consider</w:t>
      </w:r>
      <w:r w:rsidR="00C254BF" w:rsidRPr="00785D06">
        <w:rPr>
          <w:sz w:val="20"/>
          <w:szCs w:val="20"/>
          <w:lang w:val="en-US"/>
        </w:rPr>
        <w:t xml:space="preserve"> </w:t>
      </w:r>
      <w:r w:rsidR="000A53AF" w:rsidRPr="00785D06">
        <w:rPr>
          <w:sz w:val="20"/>
          <w:szCs w:val="20"/>
          <w:lang w:val="en-US"/>
        </w:rPr>
        <w:t xml:space="preserve">it </w:t>
      </w:r>
      <w:r w:rsidR="00C254BF" w:rsidRPr="00785D06">
        <w:rPr>
          <w:sz w:val="20"/>
          <w:szCs w:val="20"/>
          <w:lang w:val="en-US"/>
        </w:rPr>
        <w:t xml:space="preserve">necessary </w:t>
      </w:r>
      <w:r w:rsidR="00A6449D" w:rsidRPr="00785D06">
        <w:rPr>
          <w:sz w:val="20"/>
          <w:szCs w:val="20"/>
          <w:lang w:val="en-US"/>
        </w:rPr>
        <w:t xml:space="preserve">to </w:t>
      </w:r>
      <w:r w:rsidR="00C254BF" w:rsidRPr="00785D06">
        <w:rPr>
          <w:sz w:val="20"/>
          <w:szCs w:val="20"/>
          <w:lang w:val="en-US"/>
        </w:rPr>
        <w:t xml:space="preserve">examine </w:t>
      </w:r>
      <w:r w:rsidR="00A6449D" w:rsidRPr="00785D06">
        <w:rPr>
          <w:sz w:val="20"/>
          <w:szCs w:val="20"/>
          <w:lang w:val="en-US"/>
        </w:rPr>
        <w:t xml:space="preserve">further </w:t>
      </w:r>
      <w:r w:rsidR="00C254BF" w:rsidRPr="00785D06">
        <w:rPr>
          <w:sz w:val="20"/>
          <w:szCs w:val="20"/>
          <w:lang w:val="en-US"/>
        </w:rPr>
        <w:t xml:space="preserve">arguments </w:t>
      </w:r>
      <w:r w:rsidR="00A6449D" w:rsidRPr="00785D06">
        <w:rPr>
          <w:sz w:val="20"/>
          <w:szCs w:val="20"/>
          <w:lang w:val="en-US"/>
        </w:rPr>
        <w:t xml:space="preserve">by </w:t>
      </w:r>
      <w:r w:rsidR="00C254BF" w:rsidRPr="00785D06">
        <w:rPr>
          <w:sz w:val="20"/>
          <w:szCs w:val="20"/>
          <w:lang w:val="en-US"/>
        </w:rPr>
        <w:t>the Commission and the representatives in this regard.</w:t>
      </w:r>
    </w:p>
    <w:p w14:paraId="4096BE3B" w14:textId="77777777" w:rsidR="00C254BF" w:rsidRPr="00785D06" w:rsidRDefault="00C254BF" w:rsidP="00C254BF">
      <w:pPr>
        <w:pStyle w:val="Ttulo3"/>
        <w:ind w:left="567"/>
        <w:rPr>
          <w:rFonts w:ascii="Verdana" w:hAnsi="Verdana"/>
          <w:color w:val="auto"/>
          <w:sz w:val="20"/>
          <w:szCs w:val="20"/>
          <w:lang w:val="en-US"/>
        </w:rPr>
      </w:pPr>
    </w:p>
    <w:p w14:paraId="720CB03A" w14:textId="77777777" w:rsidR="00C254BF" w:rsidRPr="00785D06" w:rsidRDefault="00C254BF" w:rsidP="00C254BF">
      <w:pPr>
        <w:pStyle w:val="Ttulo3"/>
        <w:ind w:left="567"/>
        <w:rPr>
          <w:rFonts w:ascii="Verdana" w:eastAsia="Times New Roman" w:hAnsi="Verdana"/>
          <w:i/>
          <w:color w:val="auto"/>
          <w:sz w:val="20"/>
          <w:szCs w:val="20"/>
          <w:lang w:val="en-US" w:eastAsia="es-ES" w:bidi="es-ES"/>
        </w:rPr>
      </w:pPr>
      <w:bookmarkStart w:id="139" w:name="_Toc40466562"/>
      <w:bookmarkStart w:id="140" w:name="_Toc42498063"/>
      <w:bookmarkStart w:id="141" w:name="_Toc46937311"/>
      <w:r w:rsidRPr="00785D06">
        <w:rPr>
          <w:rFonts w:ascii="Verdana" w:eastAsia="Times New Roman" w:hAnsi="Verdana"/>
          <w:i/>
          <w:color w:val="auto"/>
          <w:sz w:val="20"/>
          <w:szCs w:val="20"/>
          <w:lang w:val="en-US" w:eastAsia="es-ES" w:bidi="es-ES"/>
        </w:rPr>
        <w:t xml:space="preserve">B.3 </w:t>
      </w:r>
      <w:r w:rsidR="00BF06B1" w:rsidRPr="00785D06">
        <w:rPr>
          <w:rFonts w:ascii="Verdana" w:eastAsia="Times New Roman" w:hAnsi="Verdana"/>
          <w:i/>
          <w:color w:val="auto"/>
          <w:sz w:val="20"/>
          <w:szCs w:val="20"/>
          <w:u w:val="single"/>
          <w:lang w:val="en-US" w:eastAsia="es-ES" w:bidi="es-ES"/>
        </w:rPr>
        <w:t>C</w:t>
      </w:r>
      <w:r w:rsidRPr="00785D06">
        <w:rPr>
          <w:rFonts w:ascii="Verdana" w:eastAsia="Times New Roman" w:hAnsi="Verdana"/>
          <w:i/>
          <w:color w:val="auto"/>
          <w:sz w:val="20"/>
          <w:szCs w:val="20"/>
          <w:u w:val="single"/>
          <w:lang w:val="en-US" w:eastAsia="es-ES" w:bidi="es-ES"/>
        </w:rPr>
        <w:t xml:space="preserve">ivil </w:t>
      </w:r>
      <w:r w:rsidR="00770F5C" w:rsidRPr="00785D06">
        <w:rPr>
          <w:rFonts w:ascii="Verdana" w:eastAsia="Times New Roman" w:hAnsi="Verdana"/>
          <w:i/>
          <w:color w:val="auto"/>
          <w:sz w:val="20"/>
          <w:szCs w:val="20"/>
          <w:u w:val="single"/>
          <w:lang w:val="en-US" w:eastAsia="es-ES" w:bidi="es-ES"/>
        </w:rPr>
        <w:t xml:space="preserve">lawsuit </w:t>
      </w:r>
      <w:r w:rsidR="00BF06B1" w:rsidRPr="00785D06">
        <w:rPr>
          <w:rFonts w:ascii="Verdana" w:eastAsia="Times New Roman" w:hAnsi="Verdana"/>
          <w:i/>
          <w:color w:val="auto"/>
          <w:sz w:val="20"/>
          <w:szCs w:val="20"/>
          <w:u w:val="single"/>
          <w:lang w:val="en-US" w:eastAsia="es-ES" w:bidi="es-ES"/>
        </w:rPr>
        <w:t xml:space="preserve">for damages </w:t>
      </w:r>
      <w:bookmarkEnd w:id="139"/>
      <w:bookmarkEnd w:id="140"/>
      <w:bookmarkEnd w:id="141"/>
    </w:p>
    <w:p w14:paraId="6BD19641" w14:textId="77777777" w:rsidR="00C254BF" w:rsidRPr="00785D06" w:rsidRDefault="00C254BF" w:rsidP="00C254BF">
      <w:pPr>
        <w:jc w:val="both"/>
        <w:rPr>
          <w:sz w:val="20"/>
          <w:szCs w:val="20"/>
          <w:lang w:val="en-US"/>
        </w:rPr>
      </w:pPr>
    </w:p>
    <w:p w14:paraId="627E3F1C"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The Court notes that on June 7, 2005, </w:t>
      </w:r>
      <w:r w:rsidR="00C8703A" w:rsidRPr="00785D06">
        <w:rPr>
          <w:sz w:val="20"/>
          <w:szCs w:val="20"/>
          <w:lang w:val="en-US"/>
        </w:rPr>
        <w:t xml:space="preserve">following </w:t>
      </w:r>
      <w:r w:rsidR="00BF06B1" w:rsidRPr="00785D06">
        <w:rPr>
          <w:sz w:val="20"/>
          <w:szCs w:val="20"/>
          <w:lang w:val="en-US"/>
        </w:rPr>
        <w:t xml:space="preserve">the civil lawsuit filed </w:t>
      </w:r>
      <w:r w:rsidRPr="00785D06">
        <w:rPr>
          <w:sz w:val="20"/>
          <w:szCs w:val="20"/>
          <w:lang w:val="en-US"/>
        </w:rPr>
        <w:t xml:space="preserve">by Mrs. Petita Albarracín against the </w:t>
      </w:r>
      <w:r w:rsidR="0097298A" w:rsidRPr="00785D06">
        <w:rPr>
          <w:sz w:val="20"/>
          <w:szCs w:val="20"/>
          <w:lang w:val="en-US"/>
        </w:rPr>
        <w:t>vice principal</w:t>
      </w:r>
      <w:r w:rsidRPr="00785D06">
        <w:rPr>
          <w:sz w:val="20"/>
          <w:szCs w:val="20"/>
          <w:lang w:val="en-US"/>
        </w:rPr>
        <w:t xml:space="preserve">, the latter was </w:t>
      </w:r>
      <w:r w:rsidR="002F65C0" w:rsidRPr="00785D06">
        <w:rPr>
          <w:sz w:val="20"/>
          <w:szCs w:val="20"/>
          <w:lang w:val="en-US"/>
        </w:rPr>
        <w:t xml:space="preserve">ordered </w:t>
      </w:r>
      <w:r w:rsidRPr="00785D06">
        <w:rPr>
          <w:sz w:val="20"/>
          <w:szCs w:val="20"/>
          <w:lang w:val="en-US"/>
        </w:rPr>
        <w:t xml:space="preserve">to </w:t>
      </w:r>
      <w:r w:rsidR="005C742F" w:rsidRPr="00785D06">
        <w:rPr>
          <w:sz w:val="20"/>
          <w:szCs w:val="20"/>
          <w:lang w:val="en-US"/>
        </w:rPr>
        <w:t xml:space="preserve">pay compensation to </w:t>
      </w:r>
      <w:r w:rsidRPr="00785D06">
        <w:rPr>
          <w:sz w:val="20"/>
          <w:szCs w:val="20"/>
          <w:lang w:val="en-US"/>
        </w:rPr>
        <w:t xml:space="preserve">the </w:t>
      </w:r>
      <w:r w:rsidR="00BF06B1" w:rsidRPr="00785D06">
        <w:rPr>
          <w:sz w:val="20"/>
          <w:szCs w:val="20"/>
          <w:lang w:val="en-US"/>
        </w:rPr>
        <w:t>plaintiff</w:t>
      </w:r>
      <w:r w:rsidRPr="00785D06">
        <w:rPr>
          <w:sz w:val="20"/>
          <w:szCs w:val="20"/>
          <w:lang w:val="en-US"/>
        </w:rPr>
        <w:t xml:space="preserve">. </w:t>
      </w:r>
      <w:r w:rsidR="00C8703A" w:rsidRPr="00785D06">
        <w:rPr>
          <w:sz w:val="20"/>
          <w:szCs w:val="20"/>
          <w:lang w:val="en-US"/>
        </w:rPr>
        <w:t xml:space="preserve">After </w:t>
      </w:r>
      <w:r w:rsidR="00A07D51" w:rsidRPr="00785D06">
        <w:rPr>
          <w:sz w:val="20"/>
          <w:szCs w:val="20"/>
          <w:lang w:val="en-US"/>
        </w:rPr>
        <w:t xml:space="preserve">numerous </w:t>
      </w:r>
      <w:r w:rsidR="005C742F" w:rsidRPr="00785D06">
        <w:rPr>
          <w:sz w:val="20"/>
          <w:szCs w:val="20"/>
          <w:lang w:val="en-US"/>
        </w:rPr>
        <w:t xml:space="preserve">legal </w:t>
      </w:r>
      <w:r w:rsidRPr="00785D06">
        <w:rPr>
          <w:sz w:val="20"/>
          <w:szCs w:val="20"/>
          <w:lang w:val="en-US"/>
        </w:rPr>
        <w:t xml:space="preserve">actions and </w:t>
      </w:r>
      <w:r w:rsidR="005C742F" w:rsidRPr="00785D06">
        <w:rPr>
          <w:sz w:val="20"/>
          <w:szCs w:val="20"/>
          <w:lang w:val="en-US"/>
        </w:rPr>
        <w:t>appeals</w:t>
      </w:r>
      <w:r w:rsidRPr="00785D06">
        <w:rPr>
          <w:sz w:val="20"/>
          <w:szCs w:val="20"/>
          <w:lang w:val="en-US"/>
        </w:rPr>
        <w:t xml:space="preserve">, </w:t>
      </w:r>
      <w:r w:rsidR="007E65C1" w:rsidRPr="00785D06">
        <w:rPr>
          <w:sz w:val="20"/>
          <w:szCs w:val="20"/>
          <w:lang w:val="en-US"/>
        </w:rPr>
        <w:t xml:space="preserve">the </w:t>
      </w:r>
      <w:r w:rsidR="005C742F" w:rsidRPr="00785D06">
        <w:rPr>
          <w:sz w:val="20"/>
          <w:szCs w:val="20"/>
          <w:lang w:val="en-US"/>
        </w:rPr>
        <w:t>case was declared abandoned on July 16, 2012.</w:t>
      </w:r>
      <w:r w:rsidR="000542E1" w:rsidRPr="00785D06">
        <w:rPr>
          <w:sz w:val="20"/>
          <w:szCs w:val="20"/>
          <w:lang w:val="en-US"/>
        </w:rPr>
        <w:t xml:space="preserve"> </w:t>
      </w:r>
      <w:r w:rsidRPr="00785D06">
        <w:rPr>
          <w:sz w:val="20"/>
          <w:szCs w:val="20"/>
          <w:lang w:val="en-US"/>
        </w:rPr>
        <w:t>(</w:t>
      </w:r>
      <w:r w:rsidRPr="00785D06">
        <w:rPr>
          <w:i/>
          <w:sz w:val="20"/>
          <w:szCs w:val="20"/>
          <w:lang w:val="en-US"/>
        </w:rPr>
        <w:t xml:space="preserve">supra </w:t>
      </w:r>
      <w:r w:rsidRPr="00785D06">
        <w:rPr>
          <w:sz w:val="20"/>
          <w:szCs w:val="20"/>
          <w:lang w:val="en-US"/>
        </w:rPr>
        <w:t xml:space="preserve">para. 81). </w:t>
      </w:r>
    </w:p>
    <w:p w14:paraId="20480CFC" w14:textId="77777777" w:rsidR="00C254BF" w:rsidRPr="00785D06" w:rsidRDefault="00C254BF" w:rsidP="00C254BF">
      <w:pPr>
        <w:pStyle w:val="Prrafodelista"/>
        <w:ind w:left="0"/>
        <w:contextualSpacing w:val="0"/>
        <w:jc w:val="both"/>
        <w:rPr>
          <w:sz w:val="20"/>
          <w:szCs w:val="20"/>
          <w:lang w:val="en-US"/>
        </w:rPr>
      </w:pPr>
    </w:p>
    <w:p w14:paraId="0726E409"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The representatives have argued that the </w:t>
      </w:r>
      <w:r w:rsidR="00A07D51" w:rsidRPr="00785D06">
        <w:rPr>
          <w:sz w:val="20"/>
          <w:szCs w:val="20"/>
          <w:lang w:val="en-US"/>
        </w:rPr>
        <w:t xml:space="preserve">Twenty-third Court’s declaration of </w:t>
      </w:r>
      <w:r w:rsidRPr="00785D06">
        <w:rPr>
          <w:sz w:val="20"/>
          <w:szCs w:val="20"/>
          <w:lang w:val="en-US"/>
        </w:rPr>
        <w:t>abando</w:t>
      </w:r>
      <w:r w:rsidR="00862973" w:rsidRPr="00785D06">
        <w:rPr>
          <w:sz w:val="20"/>
          <w:szCs w:val="20"/>
          <w:lang w:val="en-US"/>
        </w:rPr>
        <w:t xml:space="preserve">nment of the case </w:t>
      </w:r>
      <w:r w:rsidR="00A07D51" w:rsidRPr="00785D06">
        <w:rPr>
          <w:sz w:val="20"/>
          <w:szCs w:val="20"/>
          <w:lang w:val="en-US"/>
        </w:rPr>
        <w:t xml:space="preserve">created an obstacle to providing reparation to </w:t>
      </w:r>
      <w:r w:rsidR="000E2616" w:rsidRPr="00785D06">
        <w:rPr>
          <w:sz w:val="20"/>
          <w:szCs w:val="20"/>
          <w:lang w:val="en-US"/>
        </w:rPr>
        <w:t>Paola’s mother</w:t>
      </w:r>
      <w:r w:rsidR="00A07D51" w:rsidRPr="00785D06">
        <w:rPr>
          <w:sz w:val="20"/>
          <w:szCs w:val="20"/>
          <w:lang w:val="en-US"/>
        </w:rPr>
        <w:t>.</w:t>
      </w:r>
      <w:r w:rsidR="000E2616" w:rsidRPr="00785D06">
        <w:rPr>
          <w:sz w:val="20"/>
          <w:szCs w:val="20"/>
          <w:lang w:val="en-US"/>
        </w:rPr>
        <w:t xml:space="preserve"> They a</w:t>
      </w:r>
      <w:r w:rsidRPr="00785D06">
        <w:rPr>
          <w:sz w:val="20"/>
          <w:szCs w:val="20"/>
          <w:lang w:val="en-US"/>
        </w:rPr>
        <w:t xml:space="preserve">lleged that the </w:t>
      </w:r>
      <w:r w:rsidR="00A07D51" w:rsidRPr="00785D06">
        <w:rPr>
          <w:sz w:val="20"/>
          <w:szCs w:val="20"/>
          <w:lang w:val="en-US"/>
        </w:rPr>
        <w:t xml:space="preserve">ruling </w:t>
      </w:r>
      <w:r w:rsidR="00C8703A" w:rsidRPr="00785D06">
        <w:rPr>
          <w:sz w:val="20"/>
          <w:szCs w:val="20"/>
          <w:lang w:val="en-US"/>
        </w:rPr>
        <w:t xml:space="preserve">ordering </w:t>
      </w:r>
      <w:r w:rsidRPr="00785D06">
        <w:rPr>
          <w:sz w:val="20"/>
          <w:szCs w:val="20"/>
          <w:lang w:val="en-US"/>
        </w:rPr>
        <w:t xml:space="preserve">compensation was not </w:t>
      </w:r>
      <w:r w:rsidR="00A07D51" w:rsidRPr="00785D06">
        <w:rPr>
          <w:sz w:val="20"/>
          <w:szCs w:val="20"/>
          <w:lang w:val="en-US"/>
        </w:rPr>
        <w:t xml:space="preserve">executed </w:t>
      </w:r>
      <w:r w:rsidRPr="00785D06">
        <w:rPr>
          <w:sz w:val="20"/>
          <w:szCs w:val="20"/>
          <w:lang w:val="en-US"/>
        </w:rPr>
        <w:t xml:space="preserve">because </w:t>
      </w:r>
      <w:r w:rsidR="000E2616" w:rsidRPr="00785D06">
        <w:rPr>
          <w:sz w:val="20"/>
          <w:szCs w:val="20"/>
          <w:lang w:val="en-US"/>
        </w:rPr>
        <w:t xml:space="preserve">it did </w:t>
      </w:r>
      <w:r w:rsidRPr="00785D06">
        <w:rPr>
          <w:sz w:val="20"/>
          <w:szCs w:val="20"/>
          <w:lang w:val="en-US"/>
        </w:rPr>
        <w:t>“no</w:t>
      </w:r>
      <w:r w:rsidR="000E2616" w:rsidRPr="00785D06">
        <w:rPr>
          <w:sz w:val="20"/>
          <w:szCs w:val="20"/>
          <w:lang w:val="en-US"/>
        </w:rPr>
        <w:t>t</w:t>
      </w:r>
      <w:r w:rsidRPr="00785D06">
        <w:rPr>
          <w:sz w:val="20"/>
          <w:szCs w:val="20"/>
          <w:lang w:val="en-US"/>
        </w:rPr>
        <w:t xml:space="preserve"> </w:t>
      </w:r>
      <w:r w:rsidR="00171A07" w:rsidRPr="00785D06">
        <w:rPr>
          <w:sz w:val="20"/>
          <w:szCs w:val="20"/>
          <w:lang w:val="en-US"/>
        </w:rPr>
        <w:t>acquire</w:t>
      </w:r>
      <w:r w:rsidRPr="00785D06">
        <w:rPr>
          <w:sz w:val="20"/>
          <w:szCs w:val="20"/>
          <w:lang w:val="en-US"/>
        </w:rPr>
        <w:t xml:space="preserve"> the authority of </w:t>
      </w:r>
      <w:r w:rsidR="000542E1" w:rsidRPr="00785D06">
        <w:rPr>
          <w:i/>
          <w:sz w:val="20"/>
          <w:szCs w:val="20"/>
          <w:lang w:val="en-US"/>
        </w:rPr>
        <w:t>res judicata</w:t>
      </w:r>
      <w:r w:rsidRPr="00785D06">
        <w:rPr>
          <w:sz w:val="20"/>
          <w:szCs w:val="20"/>
          <w:lang w:val="en-US"/>
        </w:rPr>
        <w:t xml:space="preserve">” and, in turn, </w:t>
      </w:r>
      <w:r w:rsidR="00A07D51" w:rsidRPr="00785D06">
        <w:rPr>
          <w:sz w:val="20"/>
          <w:szCs w:val="20"/>
          <w:lang w:val="en-US"/>
        </w:rPr>
        <w:t xml:space="preserve">emphasized </w:t>
      </w:r>
      <w:r w:rsidRPr="00785D06">
        <w:rPr>
          <w:sz w:val="20"/>
          <w:szCs w:val="20"/>
          <w:lang w:val="en-US"/>
        </w:rPr>
        <w:t>that institutional obstacles brought Mrs. Albarracín to “breaking point</w:t>
      </w:r>
      <w:r w:rsidR="00862973" w:rsidRPr="00785D06">
        <w:rPr>
          <w:sz w:val="20"/>
          <w:szCs w:val="20"/>
          <w:lang w:val="en-US"/>
        </w:rPr>
        <w:t>,”</w:t>
      </w:r>
      <w:r w:rsidR="00171A07" w:rsidRPr="00785D06">
        <w:rPr>
          <w:sz w:val="20"/>
          <w:szCs w:val="20"/>
          <w:lang w:val="en-US"/>
        </w:rPr>
        <w:t xml:space="preserve"> </w:t>
      </w:r>
      <w:r w:rsidR="00CD572F" w:rsidRPr="00785D06">
        <w:rPr>
          <w:sz w:val="20"/>
          <w:szCs w:val="20"/>
          <w:lang w:val="en-US"/>
        </w:rPr>
        <w:t>which prevented</w:t>
      </w:r>
      <w:r w:rsidR="00171A07" w:rsidRPr="00785D06">
        <w:rPr>
          <w:sz w:val="20"/>
          <w:szCs w:val="20"/>
          <w:lang w:val="en-US"/>
        </w:rPr>
        <w:t xml:space="preserve"> her from continuing with</w:t>
      </w:r>
      <w:r w:rsidRPr="00785D06">
        <w:rPr>
          <w:sz w:val="20"/>
          <w:szCs w:val="20"/>
          <w:lang w:val="en-US"/>
        </w:rPr>
        <w:t xml:space="preserve"> </w:t>
      </w:r>
      <w:r w:rsidR="00CD572F" w:rsidRPr="00785D06">
        <w:rPr>
          <w:sz w:val="20"/>
          <w:szCs w:val="20"/>
          <w:lang w:val="en-US"/>
        </w:rPr>
        <w:t xml:space="preserve">the </w:t>
      </w:r>
      <w:r w:rsidRPr="00785D06">
        <w:rPr>
          <w:sz w:val="20"/>
          <w:szCs w:val="20"/>
          <w:lang w:val="en-US"/>
        </w:rPr>
        <w:t>“eternal litigation</w:t>
      </w:r>
      <w:r w:rsidR="00862973" w:rsidRPr="00785D06">
        <w:rPr>
          <w:sz w:val="20"/>
          <w:szCs w:val="20"/>
          <w:lang w:val="en-US"/>
        </w:rPr>
        <w:t>.”</w:t>
      </w:r>
      <w:r w:rsidRPr="00785D06">
        <w:rPr>
          <w:sz w:val="20"/>
          <w:szCs w:val="20"/>
          <w:lang w:val="en-US"/>
        </w:rPr>
        <w:t xml:space="preserve"> The State </w:t>
      </w:r>
      <w:r w:rsidR="002F65C0" w:rsidRPr="00785D06">
        <w:rPr>
          <w:sz w:val="20"/>
          <w:szCs w:val="20"/>
          <w:lang w:val="en-US"/>
        </w:rPr>
        <w:t xml:space="preserve">affirmed </w:t>
      </w:r>
      <w:r w:rsidRPr="00785D06">
        <w:rPr>
          <w:sz w:val="20"/>
          <w:szCs w:val="20"/>
          <w:lang w:val="en-US"/>
        </w:rPr>
        <w:t>that</w:t>
      </w:r>
      <w:r w:rsidR="00CD572F" w:rsidRPr="00785D06">
        <w:rPr>
          <w:sz w:val="20"/>
          <w:szCs w:val="20"/>
          <w:lang w:val="en-US"/>
        </w:rPr>
        <w:t>,</w:t>
      </w:r>
      <w:r w:rsidRPr="00785D06">
        <w:rPr>
          <w:sz w:val="20"/>
          <w:szCs w:val="20"/>
          <w:lang w:val="en-US"/>
        </w:rPr>
        <w:t xml:space="preserve"> </w:t>
      </w:r>
      <w:r w:rsidR="00CD572F" w:rsidRPr="00785D06">
        <w:rPr>
          <w:sz w:val="20"/>
          <w:szCs w:val="20"/>
          <w:lang w:val="en-US"/>
        </w:rPr>
        <w:t xml:space="preserve">despite </w:t>
      </w:r>
      <w:r w:rsidRPr="00785D06">
        <w:rPr>
          <w:sz w:val="20"/>
          <w:szCs w:val="20"/>
          <w:lang w:val="en-US"/>
        </w:rPr>
        <w:t xml:space="preserve">the </w:t>
      </w:r>
      <w:r w:rsidR="00CD572F" w:rsidRPr="00785D06">
        <w:rPr>
          <w:sz w:val="20"/>
          <w:szCs w:val="20"/>
          <w:lang w:val="en-US"/>
        </w:rPr>
        <w:t xml:space="preserve">court’s </w:t>
      </w:r>
      <w:r w:rsidR="00D57311" w:rsidRPr="00785D06">
        <w:rPr>
          <w:sz w:val="20"/>
          <w:szCs w:val="20"/>
          <w:lang w:val="en-US"/>
        </w:rPr>
        <w:t xml:space="preserve">declaration </w:t>
      </w:r>
      <w:r w:rsidRPr="00785D06">
        <w:rPr>
          <w:sz w:val="20"/>
          <w:szCs w:val="20"/>
          <w:lang w:val="en-US"/>
        </w:rPr>
        <w:t>of abandon</w:t>
      </w:r>
      <w:r w:rsidR="00D57311" w:rsidRPr="00785D06">
        <w:rPr>
          <w:sz w:val="20"/>
          <w:szCs w:val="20"/>
          <w:lang w:val="en-US"/>
        </w:rPr>
        <w:t>ment</w:t>
      </w:r>
      <w:r w:rsidR="00CD572F" w:rsidRPr="00785D06">
        <w:rPr>
          <w:sz w:val="20"/>
          <w:szCs w:val="20"/>
          <w:lang w:val="en-US"/>
        </w:rPr>
        <w:t xml:space="preserve">, the ruling granting Mrs. Albarracín compensation was final and did </w:t>
      </w:r>
      <w:r w:rsidRPr="00785D06">
        <w:rPr>
          <w:sz w:val="20"/>
          <w:szCs w:val="20"/>
          <w:lang w:val="en-US"/>
        </w:rPr>
        <w:t xml:space="preserve">not </w:t>
      </w:r>
      <w:r w:rsidR="00C8703A" w:rsidRPr="00785D06">
        <w:rPr>
          <w:sz w:val="20"/>
          <w:szCs w:val="20"/>
          <w:lang w:val="en-US"/>
        </w:rPr>
        <w:t>prevent her from pursuing</w:t>
      </w:r>
      <w:r w:rsidR="00CD572F" w:rsidRPr="00785D06">
        <w:rPr>
          <w:sz w:val="20"/>
          <w:szCs w:val="20"/>
          <w:lang w:val="en-US"/>
        </w:rPr>
        <w:t xml:space="preserve"> the </w:t>
      </w:r>
      <w:r w:rsidR="002F65C0" w:rsidRPr="00785D06">
        <w:rPr>
          <w:sz w:val="20"/>
          <w:szCs w:val="20"/>
          <w:lang w:val="en-US"/>
        </w:rPr>
        <w:t xml:space="preserve">relevant </w:t>
      </w:r>
      <w:r w:rsidR="00CD572F" w:rsidRPr="00785D06">
        <w:rPr>
          <w:sz w:val="20"/>
          <w:szCs w:val="20"/>
          <w:lang w:val="en-US"/>
        </w:rPr>
        <w:t>legal actions to secure its</w:t>
      </w:r>
      <w:r w:rsidR="002F65C0" w:rsidRPr="00785D06">
        <w:rPr>
          <w:sz w:val="20"/>
          <w:szCs w:val="20"/>
          <w:lang w:val="en-US"/>
        </w:rPr>
        <w:t xml:space="preserve"> implementation</w:t>
      </w:r>
      <w:r w:rsidRPr="00785D06">
        <w:rPr>
          <w:sz w:val="20"/>
          <w:szCs w:val="20"/>
          <w:lang w:val="en-US"/>
        </w:rPr>
        <w:t xml:space="preserve">. </w:t>
      </w:r>
    </w:p>
    <w:p w14:paraId="7A06E17E" w14:textId="77777777" w:rsidR="00C254BF" w:rsidRPr="00785D06" w:rsidRDefault="00C254BF" w:rsidP="00C254BF">
      <w:pPr>
        <w:jc w:val="both"/>
        <w:rPr>
          <w:sz w:val="20"/>
          <w:szCs w:val="20"/>
          <w:lang w:val="en-US"/>
        </w:rPr>
      </w:pPr>
    </w:p>
    <w:p w14:paraId="75058FC3" w14:textId="77777777" w:rsidR="00C254BF" w:rsidRPr="00785D06" w:rsidRDefault="00CD572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The </w:t>
      </w:r>
      <w:r w:rsidR="00C254BF" w:rsidRPr="00785D06">
        <w:rPr>
          <w:sz w:val="20"/>
          <w:szCs w:val="20"/>
          <w:lang w:val="en-US"/>
        </w:rPr>
        <w:t xml:space="preserve">Court </w:t>
      </w:r>
      <w:r w:rsidR="00171A07" w:rsidRPr="00785D06">
        <w:rPr>
          <w:sz w:val="20"/>
          <w:szCs w:val="20"/>
          <w:lang w:val="en-US"/>
        </w:rPr>
        <w:t>notes</w:t>
      </w:r>
      <w:r w:rsidR="00C254BF" w:rsidRPr="00785D06">
        <w:rPr>
          <w:sz w:val="20"/>
          <w:szCs w:val="20"/>
          <w:lang w:val="en-US"/>
        </w:rPr>
        <w:t xml:space="preserve">, in </w:t>
      </w:r>
      <w:r w:rsidR="00171A07" w:rsidRPr="00785D06">
        <w:rPr>
          <w:sz w:val="20"/>
          <w:szCs w:val="20"/>
          <w:lang w:val="en-US"/>
        </w:rPr>
        <w:t xml:space="preserve">the </w:t>
      </w:r>
      <w:r w:rsidR="00C254BF" w:rsidRPr="00785D06">
        <w:rPr>
          <w:sz w:val="20"/>
          <w:szCs w:val="20"/>
          <w:lang w:val="en-US"/>
        </w:rPr>
        <w:t xml:space="preserve">first place, that </w:t>
      </w:r>
      <w:r w:rsidR="00171A07" w:rsidRPr="00785D06">
        <w:rPr>
          <w:sz w:val="20"/>
          <w:szCs w:val="20"/>
          <w:lang w:val="en-US"/>
        </w:rPr>
        <w:t xml:space="preserve">the representatives’ </w:t>
      </w:r>
      <w:r w:rsidR="00C254BF" w:rsidRPr="00785D06">
        <w:rPr>
          <w:sz w:val="20"/>
          <w:szCs w:val="20"/>
          <w:lang w:val="en-US"/>
        </w:rPr>
        <w:t xml:space="preserve">arguments </w:t>
      </w:r>
      <w:r w:rsidR="00171A07" w:rsidRPr="00785D06">
        <w:rPr>
          <w:sz w:val="20"/>
          <w:szCs w:val="20"/>
          <w:lang w:val="en-US"/>
        </w:rPr>
        <w:t>are not c</w:t>
      </w:r>
      <w:r w:rsidRPr="00785D06">
        <w:rPr>
          <w:sz w:val="20"/>
          <w:szCs w:val="20"/>
          <w:lang w:val="en-US"/>
        </w:rPr>
        <w:t>lear</w:t>
      </w:r>
      <w:r w:rsidR="00171A07" w:rsidRPr="00785D06">
        <w:rPr>
          <w:sz w:val="20"/>
          <w:szCs w:val="20"/>
          <w:lang w:val="en-US"/>
        </w:rPr>
        <w:t xml:space="preserve"> because</w:t>
      </w:r>
      <w:r w:rsidRPr="00785D06">
        <w:rPr>
          <w:sz w:val="20"/>
          <w:szCs w:val="20"/>
          <w:lang w:val="en-US"/>
        </w:rPr>
        <w:t>, on the one hand,</w:t>
      </w:r>
      <w:r w:rsidR="00171A07" w:rsidRPr="00785D06">
        <w:rPr>
          <w:sz w:val="20"/>
          <w:szCs w:val="20"/>
          <w:lang w:val="en-US"/>
        </w:rPr>
        <w:t xml:space="preserve"> they seem to argue </w:t>
      </w:r>
      <w:r w:rsidR="00C254BF" w:rsidRPr="00785D06">
        <w:rPr>
          <w:sz w:val="20"/>
          <w:szCs w:val="20"/>
          <w:lang w:val="en-US"/>
        </w:rPr>
        <w:t xml:space="preserve">that </w:t>
      </w:r>
      <w:r w:rsidR="00171A07" w:rsidRPr="00785D06">
        <w:rPr>
          <w:sz w:val="20"/>
          <w:szCs w:val="20"/>
          <w:lang w:val="en-US"/>
        </w:rPr>
        <w:t xml:space="preserve">it was legally impossible to execute </w:t>
      </w:r>
      <w:r w:rsidR="00C254BF" w:rsidRPr="00785D06">
        <w:rPr>
          <w:sz w:val="20"/>
          <w:szCs w:val="20"/>
          <w:lang w:val="en-US"/>
        </w:rPr>
        <w:t>the judgment (</w:t>
      </w:r>
      <w:r w:rsidRPr="00785D06">
        <w:rPr>
          <w:sz w:val="20"/>
          <w:szCs w:val="20"/>
          <w:lang w:val="en-US"/>
        </w:rPr>
        <w:t>since it di</w:t>
      </w:r>
      <w:r w:rsidR="00C254BF" w:rsidRPr="00785D06">
        <w:rPr>
          <w:sz w:val="20"/>
          <w:szCs w:val="20"/>
          <w:lang w:val="en-US"/>
        </w:rPr>
        <w:t xml:space="preserve">d not </w:t>
      </w:r>
      <w:r w:rsidR="00171A07" w:rsidRPr="00785D06">
        <w:rPr>
          <w:sz w:val="20"/>
          <w:szCs w:val="20"/>
          <w:lang w:val="en-US"/>
        </w:rPr>
        <w:t>acquire</w:t>
      </w:r>
      <w:r w:rsidR="00C254BF" w:rsidRPr="00785D06">
        <w:rPr>
          <w:sz w:val="20"/>
          <w:szCs w:val="20"/>
          <w:lang w:val="en-US"/>
        </w:rPr>
        <w:t xml:space="preserve"> authority of </w:t>
      </w:r>
      <w:r w:rsidR="00171A07" w:rsidRPr="00785D06">
        <w:rPr>
          <w:i/>
          <w:sz w:val="20"/>
          <w:szCs w:val="20"/>
          <w:lang w:val="en-US"/>
        </w:rPr>
        <w:t>res judicata</w:t>
      </w:r>
      <w:r w:rsidR="00C254BF" w:rsidRPr="00785D06">
        <w:rPr>
          <w:sz w:val="20"/>
          <w:szCs w:val="20"/>
          <w:lang w:val="en-US"/>
        </w:rPr>
        <w:t xml:space="preserve">) </w:t>
      </w:r>
      <w:r w:rsidR="00171A07" w:rsidRPr="00785D06">
        <w:rPr>
          <w:sz w:val="20"/>
          <w:szCs w:val="20"/>
          <w:lang w:val="en-US"/>
        </w:rPr>
        <w:t xml:space="preserve">and, on the other, they </w:t>
      </w:r>
      <w:r w:rsidRPr="00785D06">
        <w:rPr>
          <w:sz w:val="20"/>
          <w:szCs w:val="20"/>
          <w:lang w:val="en-US"/>
        </w:rPr>
        <w:t xml:space="preserve">state </w:t>
      </w:r>
      <w:r w:rsidR="00171A07" w:rsidRPr="00785D06">
        <w:rPr>
          <w:sz w:val="20"/>
          <w:szCs w:val="20"/>
          <w:lang w:val="en-US"/>
        </w:rPr>
        <w:t xml:space="preserve">that this was </w:t>
      </w:r>
      <w:r w:rsidR="00C254BF" w:rsidRPr="00785D06">
        <w:rPr>
          <w:sz w:val="20"/>
          <w:szCs w:val="20"/>
          <w:lang w:val="en-US"/>
        </w:rPr>
        <w:t>d</w:t>
      </w:r>
      <w:r w:rsidR="00171A07" w:rsidRPr="00785D06">
        <w:rPr>
          <w:sz w:val="20"/>
          <w:szCs w:val="20"/>
          <w:lang w:val="en-US"/>
        </w:rPr>
        <w:t xml:space="preserve">ue to </w:t>
      </w:r>
      <w:r w:rsidRPr="00785D06">
        <w:rPr>
          <w:sz w:val="20"/>
          <w:szCs w:val="20"/>
          <w:lang w:val="en-US"/>
        </w:rPr>
        <w:t>circumstantial reasons</w:t>
      </w:r>
      <w:r w:rsidR="002F65C0" w:rsidRPr="00785D06">
        <w:rPr>
          <w:sz w:val="20"/>
          <w:szCs w:val="20"/>
          <w:lang w:val="en-US"/>
        </w:rPr>
        <w:t>.</w:t>
      </w:r>
      <w:r w:rsidR="00C254BF" w:rsidRPr="00785D06">
        <w:rPr>
          <w:rStyle w:val="Refdenotaalpie"/>
          <w:sz w:val="20"/>
          <w:szCs w:val="20"/>
          <w:lang w:val="en-US"/>
        </w:rPr>
        <w:footnoteReference w:id="188"/>
      </w:r>
      <w:r w:rsidR="00C254BF" w:rsidRPr="00785D06">
        <w:rPr>
          <w:sz w:val="20"/>
          <w:szCs w:val="20"/>
          <w:lang w:val="en-US"/>
        </w:rPr>
        <w:t xml:space="preserve">  </w:t>
      </w:r>
    </w:p>
    <w:p w14:paraId="716928BE" w14:textId="77777777" w:rsidR="00C254BF" w:rsidRPr="00785D06" w:rsidRDefault="00C254BF" w:rsidP="00C254BF">
      <w:pPr>
        <w:pStyle w:val="Prrafodelista"/>
        <w:ind w:left="0"/>
        <w:contextualSpacing w:val="0"/>
        <w:jc w:val="both"/>
        <w:rPr>
          <w:sz w:val="20"/>
          <w:szCs w:val="20"/>
          <w:lang w:val="en-US"/>
        </w:rPr>
      </w:pPr>
    </w:p>
    <w:p w14:paraId="6A4CF96E" w14:textId="77777777" w:rsidR="00C254BF" w:rsidRPr="00785D06" w:rsidRDefault="00C8703A"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In addition to </w:t>
      </w:r>
      <w:r w:rsidR="00C254BF" w:rsidRPr="00785D06">
        <w:rPr>
          <w:sz w:val="20"/>
          <w:szCs w:val="20"/>
          <w:lang w:val="en-US"/>
        </w:rPr>
        <w:t xml:space="preserve">the lack of clarity in the arguments of the representatives, the Court notes the State’s argument that the </w:t>
      </w:r>
      <w:r w:rsidR="008B4153" w:rsidRPr="00785D06">
        <w:rPr>
          <w:sz w:val="20"/>
          <w:szCs w:val="20"/>
          <w:lang w:val="en-US"/>
        </w:rPr>
        <w:t>“</w:t>
      </w:r>
      <w:r w:rsidR="007212F5" w:rsidRPr="00785D06">
        <w:rPr>
          <w:sz w:val="20"/>
          <w:szCs w:val="20"/>
          <w:lang w:val="en-US"/>
        </w:rPr>
        <w:t xml:space="preserve">declaration </w:t>
      </w:r>
      <w:r w:rsidR="00862973" w:rsidRPr="00785D06">
        <w:rPr>
          <w:sz w:val="20"/>
          <w:szCs w:val="20"/>
          <w:lang w:val="en-US"/>
        </w:rPr>
        <w:t>of abandonment</w:t>
      </w:r>
      <w:r w:rsidR="008B4153" w:rsidRPr="00785D06">
        <w:rPr>
          <w:sz w:val="20"/>
          <w:szCs w:val="20"/>
          <w:lang w:val="en-US"/>
        </w:rPr>
        <w:t>”</w:t>
      </w:r>
      <w:r w:rsidR="00C254BF" w:rsidRPr="00785D06">
        <w:rPr>
          <w:sz w:val="20"/>
          <w:szCs w:val="20"/>
          <w:lang w:val="en-US"/>
        </w:rPr>
        <w:t xml:space="preserve"> of </w:t>
      </w:r>
      <w:r w:rsidR="008B4153" w:rsidRPr="00785D06">
        <w:rPr>
          <w:sz w:val="20"/>
          <w:szCs w:val="20"/>
          <w:lang w:val="en-US"/>
        </w:rPr>
        <w:t xml:space="preserve">the </w:t>
      </w:r>
      <w:r w:rsidR="00995A2F" w:rsidRPr="00785D06">
        <w:rPr>
          <w:sz w:val="20"/>
          <w:szCs w:val="20"/>
          <w:lang w:val="en-US"/>
        </w:rPr>
        <w:t xml:space="preserve">case </w:t>
      </w:r>
      <w:r w:rsidR="008B4153" w:rsidRPr="00785D06">
        <w:rPr>
          <w:i/>
          <w:sz w:val="20"/>
          <w:szCs w:val="20"/>
          <w:lang w:val="en-US"/>
        </w:rPr>
        <w:t>did</w:t>
      </w:r>
      <w:r w:rsidR="008B4153" w:rsidRPr="00785D06">
        <w:rPr>
          <w:sz w:val="20"/>
          <w:szCs w:val="20"/>
          <w:lang w:val="en-US"/>
        </w:rPr>
        <w:t xml:space="preserve"> allow for </w:t>
      </w:r>
      <w:r w:rsidRPr="00785D06">
        <w:rPr>
          <w:sz w:val="20"/>
          <w:szCs w:val="20"/>
          <w:lang w:val="en-US"/>
        </w:rPr>
        <w:t xml:space="preserve">the </w:t>
      </w:r>
      <w:r w:rsidR="008B4153" w:rsidRPr="00785D06">
        <w:rPr>
          <w:sz w:val="20"/>
          <w:szCs w:val="20"/>
          <w:lang w:val="en-US"/>
        </w:rPr>
        <w:t xml:space="preserve">execution of the </w:t>
      </w:r>
      <w:r w:rsidR="00C254BF" w:rsidRPr="00785D06">
        <w:rPr>
          <w:sz w:val="20"/>
          <w:szCs w:val="20"/>
          <w:lang w:val="en-US"/>
        </w:rPr>
        <w:t xml:space="preserve">judgment. </w:t>
      </w:r>
      <w:r w:rsidR="00171A07" w:rsidRPr="00785D06">
        <w:rPr>
          <w:sz w:val="20"/>
          <w:szCs w:val="20"/>
          <w:lang w:val="en-US"/>
        </w:rPr>
        <w:t xml:space="preserve">Thus, there appears to be </w:t>
      </w:r>
      <w:r w:rsidR="00C254BF" w:rsidRPr="00785D06">
        <w:rPr>
          <w:sz w:val="20"/>
          <w:szCs w:val="20"/>
          <w:lang w:val="en-US"/>
        </w:rPr>
        <w:t xml:space="preserve">a </w:t>
      </w:r>
      <w:r w:rsidR="00862973" w:rsidRPr="00785D06">
        <w:rPr>
          <w:sz w:val="20"/>
          <w:szCs w:val="20"/>
          <w:lang w:val="en-US"/>
        </w:rPr>
        <w:t>dis</w:t>
      </w:r>
      <w:r w:rsidRPr="00785D06">
        <w:rPr>
          <w:sz w:val="20"/>
          <w:szCs w:val="20"/>
          <w:lang w:val="en-US"/>
        </w:rPr>
        <w:t xml:space="preserve">pute </w:t>
      </w:r>
      <w:r w:rsidR="00C254BF" w:rsidRPr="00785D06">
        <w:rPr>
          <w:sz w:val="20"/>
          <w:szCs w:val="20"/>
          <w:lang w:val="en-US"/>
        </w:rPr>
        <w:t xml:space="preserve">between the parties </w:t>
      </w:r>
      <w:r w:rsidR="00862973" w:rsidRPr="00785D06">
        <w:rPr>
          <w:sz w:val="20"/>
          <w:szCs w:val="20"/>
          <w:lang w:val="en-US"/>
        </w:rPr>
        <w:t xml:space="preserve">as to </w:t>
      </w:r>
      <w:r w:rsidR="00C254BF" w:rsidRPr="00785D06">
        <w:rPr>
          <w:sz w:val="20"/>
          <w:szCs w:val="20"/>
          <w:lang w:val="en-US"/>
        </w:rPr>
        <w:t>whether</w:t>
      </w:r>
      <w:r w:rsidR="00171A07" w:rsidRPr="00785D06">
        <w:rPr>
          <w:sz w:val="20"/>
          <w:szCs w:val="20"/>
          <w:lang w:val="en-US"/>
        </w:rPr>
        <w:t xml:space="preserve"> </w:t>
      </w:r>
      <w:r w:rsidR="00C254BF" w:rsidRPr="00785D06">
        <w:rPr>
          <w:sz w:val="20"/>
          <w:szCs w:val="20"/>
          <w:lang w:val="en-US"/>
        </w:rPr>
        <w:t>or not it was legally p</w:t>
      </w:r>
      <w:r w:rsidR="008B4153" w:rsidRPr="00785D06">
        <w:rPr>
          <w:sz w:val="20"/>
          <w:szCs w:val="20"/>
          <w:lang w:val="en-US"/>
        </w:rPr>
        <w:t>ossible to execute the judgment, a dispute that concerns</w:t>
      </w:r>
      <w:r w:rsidR="00171A07" w:rsidRPr="00785D06">
        <w:rPr>
          <w:sz w:val="20"/>
          <w:szCs w:val="20"/>
          <w:lang w:val="en-US"/>
        </w:rPr>
        <w:t xml:space="preserve"> </w:t>
      </w:r>
      <w:r w:rsidR="00C254BF" w:rsidRPr="00785D06">
        <w:rPr>
          <w:sz w:val="20"/>
          <w:szCs w:val="20"/>
          <w:lang w:val="en-US"/>
        </w:rPr>
        <w:t>aspects of domestic law. No evidentiary ele</w:t>
      </w:r>
      <w:r w:rsidR="00171A07" w:rsidRPr="00785D06">
        <w:rPr>
          <w:sz w:val="20"/>
          <w:szCs w:val="20"/>
          <w:lang w:val="en-US"/>
        </w:rPr>
        <w:t xml:space="preserve">ments or arguments </w:t>
      </w:r>
      <w:r w:rsidR="0081188B" w:rsidRPr="00785D06">
        <w:rPr>
          <w:sz w:val="20"/>
          <w:szCs w:val="20"/>
          <w:lang w:val="en-US"/>
        </w:rPr>
        <w:t xml:space="preserve">have been presented to this Court to </w:t>
      </w:r>
      <w:r w:rsidR="00171A07" w:rsidRPr="00785D06">
        <w:rPr>
          <w:sz w:val="20"/>
          <w:szCs w:val="20"/>
          <w:lang w:val="en-US"/>
        </w:rPr>
        <w:t xml:space="preserve">suggest </w:t>
      </w:r>
      <w:r w:rsidR="00C254BF" w:rsidRPr="00785D06">
        <w:rPr>
          <w:sz w:val="20"/>
          <w:szCs w:val="20"/>
          <w:lang w:val="en-US"/>
        </w:rPr>
        <w:t xml:space="preserve">that </w:t>
      </w:r>
      <w:r w:rsidR="00171A07" w:rsidRPr="00785D06">
        <w:rPr>
          <w:sz w:val="20"/>
          <w:szCs w:val="20"/>
          <w:lang w:val="en-US"/>
        </w:rPr>
        <w:t xml:space="preserve">such </w:t>
      </w:r>
      <w:r w:rsidR="00C254BF" w:rsidRPr="00785D06">
        <w:rPr>
          <w:sz w:val="20"/>
          <w:szCs w:val="20"/>
          <w:lang w:val="en-US"/>
        </w:rPr>
        <w:t xml:space="preserve">aspects </w:t>
      </w:r>
      <w:r w:rsidR="0081188B" w:rsidRPr="00785D06">
        <w:rPr>
          <w:sz w:val="20"/>
          <w:szCs w:val="20"/>
          <w:lang w:val="en-US"/>
        </w:rPr>
        <w:t xml:space="preserve">violated </w:t>
      </w:r>
      <w:r w:rsidR="00171A07" w:rsidRPr="00785D06">
        <w:rPr>
          <w:sz w:val="20"/>
          <w:szCs w:val="20"/>
          <w:lang w:val="en-US"/>
        </w:rPr>
        <w:t xml:space="preserve">the right of </w:t>
      </w:r>
      <w:r w:rsidR="00C254BF" w:rsidRPr="00785D06">
        <w:rPr>
          <w:sz w:val="20"/>
          <w:szCs w:val="20"/>
          <w:lang w:val="en-US"/>
        </w:rPr>
        <w:t xml:space="preserve">access to justice. </w:t>
      </w:r>
    </w:p>
    <w:p w14:paraId="2609ED45" w14:textId="77777777" w:rsidR="00C254BF" w:rsidRPr="00785D06" w:rsidRDefault="00C254BF" w:rsidP="00C254BF">
      <w:pPr>
        <w:jc w:val="both"/>
        <w:rPr>
          <w:sz w:val="20"/>
          <w:szCs w:val="20"/>
          <w:lang w:val="en-US"/>
        </w:rPr>
      </w:pPr>
    </w:p>
    <w:p w14:paraId="65E030A7"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In conclusion, the Court does not have sufficient elements to determine that the civil lawsui</w:t>
      </w:r>
      <w:r w:rsidR="00255F8F" w:rsidRPr="00785D06">
        <w:rPr>
          <w:sz w:val="20"/>
          <w:szCs w:val="20"/>
          <w:lang w:val="en-US"/>
        </w:rPr>
        <w:t xml:space="preserve">t filed to seek </w:t>
      </w:r>
      <w:r w:rsidR="00AC7DD5" w:rsidRPr="00785D06">
        <w:rPr>
          <w:sz w:val="20"/>
          <w:szCs w:val="20"/>
          <w:lang w:val="en-US"/>
        </w:rPr>
        <w:t xml:space="preserve">compensation </w:t>
      </w:r>
      <w:r w:rsidR="00255F8F" w:rsidRPr="00785D06">
        <w:rPr>
          <w:sz w:val="20"/>
          <w:szCs w:val="20"/>
          <w:lang w:val="en-US"/>
        </w:rPr>
        <w:t>for moral</w:t>
      </w:r>
      <w:r w:rsidRPr="00785D06">
        <w:rPr>
          <w:sz w:val="20"/>
          <w:szCs w:val="20"/>
          <w:lang w:val="en-US"/>
        </w:rPr>
        <w:t xml:space="preserve"> damage</w:t>
      </w:r>
      <w:r w:rsidR="00255F8F" w:rsidRPr="00785D06">
        <w:rPr>
          <w:sz w:val="20"/>
          <w:szCs w:val="20"/>
          <w:lang w:val="en-US"/>
        </w:rPr>
        <w:t>s</w:t>
      </w:r>
      <w:r w:rsidRPr="00785D06">
        <w:rPr>
          <w:sz w:val="20"/>
          <w:szCs w:val="20"/>
          <w:lang w:val="en-US"/>
        </w:rPr>
        <w:t xml:space="preserve"> </w:t>
      </w:r>
      <w:r w:rsidR="00255F8F" w:rsidRPr="00785D06">
        <w:rPr>
          <w:sz w:val="20"/>
          <w:szCs w:val="20"/>
          <w:lang w:val="en-US"/>
        </w:rPr>
        <w:t xml:space="preserve">implied </w:t>
      </w:r>
      <w:r w:rsidRPr="00785D06">
        <w:rPr>
          <w:sz w:val="20"/>
          <w:szCs w:val="20"/>
          <w:lang w:val="en-US"/>
        </w:rPr>
        <w:t xml:space="preserve">the violation of rights recognized by the applicable provisions of international law. </w:t>
      </w:r>
    </w:p>
    <w:p w14:paraId="64B76689" w14:textId="77777777" w:rsidR="00C254BF" w:rsidRPr="00785D06" w:rsidRDefault="00C254BF" w:rsidP="00C254BF">
      <w:pPr>
        <w:pStyle w:val="Prrafodelista"/>
        <w:rPr>
          <w:b/>
          <w:sz w:val="20"/>
          <w:szCs w:val="20"/>
          <w:lang w:val="en-US"/>
        </w:rPr>
      </w:pPr>
    </w:p>
    <w:p w14:paraId="6AE576E0" w14:textId="77777777" w:rsidR="00C254BF" w:rsidRPr="00785D06" w:rsidRDefault="00C254BF" w:rsidP="00C254BF">
      <w:pPr>
        <w:pStyle w:val="Prrafodelista"/>
        <w:ind w:left="567"/>
        <w:contextualSpacing w:val="0"/>
        <w:jc w:val="both"/>
        <w:outlineLvl w:val="2"/>
        <w:rPr>
          <w:rFonts w:eastAsia="Times New Roman"/>
          <w:i/>
          <w:sz w:val="20"/>
          <w:szCs w:val="20"/>
          <w:lang w:val="en-US" w:eastAsia="es-ES" w:bidi="es-ES"/>
        </w:rPr>
      </w:pPr>
      <w:bookmarkStart w:id="142" w:name="_Toc42498064"/>
      <w:bookmarkStart w:id="143" w:name="_Toc46937312"/>
      <w:r w:rsidRPr="00785D06">
        <w:rPr>
          <w:rFonts w:eastAsia="Times New Roman"/>
          <w:i/>
          <w:sz w:val="20"/>
          <w:szCs w:val="20"/>
          <w:lang w:val="en-US" w:eastAsia="es-ES" w:bidi="es-ES"/>
        </w:rPr>
        <w:t xml:space="preserve">B.4 </w:t>
      </w:r>
      <w:r w:rsidRPr="00785D06">
        <w:rPr>
          <w:rFonts w:eastAsia="Times New Roman"/>
          <w:i/>
          <w:sz w:val="20"/>
          <w:szCs w:val="20"/>
          <w:u w:val="single"/>
          <w:lang w:val="en-US" w:eastAsia="es-ES" w:bidi="es-ES"/>
        </w:rPr>
        <w:t>Conclusion</w:t>
      </w:r>
      <w:bookmarkEnd w:id="142"/>
      <w:bookmarkEnd w:id="143"/>
    </w:p>
    <w:p w14:paraId="000E58CE" w14:textId="77777777" w:rsidR="00C254BF" w:rsidRPr="00785D06" w:rsidRDefault="00C254BF" w:rsidP="00C254BF">
      <w:pPr>
        <w:pStyle w:val="Prrafodelista"/>
        <w:rPr>
          <w:b/>
          <w:sz w:val="20"/>
          <w:szCs w:val="20"/>
          <w:lang w:val="en-US"/>
        </w:rPr>
      </w:pPr>
    </w:p>
    <w:p w14:paraId="417179D4"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Bearing in mind the </w:t>
      </w:r>
      <w:r w:rsidR="00C8703A" w:rsidRPr="00785D06">
        <w:rPr>
          <w:sz w:val="20"/>
          <w:szCs w:val="20"/>
          <w:lang w:val="en-US"/>
        </w:rPr>
        <w:t xml:space="preserve">aspects </w:t>
      </w:r>
      <w:r w:rsidR="004F7B2A" w:rsidRPr="00785D06">
        <w:rPr>
          <w:sz w:val="20"/>
          <w:szCs w:val="20"/>
          <w:lang w:val="en-US"/>
        </w:rPr>
        <w:t xml:space="preserve">acknowledged </w:t>
      </w:r>
      <w:r w:rsidRPr="00785D06">
        <w:rPr>
          <w:sz w:val="20"/>
          <w:szCs w:val="20"/>
          <w:lang w:val="en-US"/>
        </w:rPr>
        <w:t xml:space="preserve">by the State, this Court </w:t>
      </w:r>
      <w:r w:rsidR="004F7B2A" w:rsidRPr="00785D06">
        <w:rPr>
          <w:sz w:val="20"/>
          <w:szCs w:val="20"/>
          <w:lang w:val="en-US"/>
        </w:rPr>
        <w:t xml:space="preserve">finds </w:t>
      </w:r>
      <w:r w:rsidRPr="00785D06">
        <w:rPr>
          <w:sz w:val="20"/>
          <w:szCs w:val="20"/>
          <w:lang w:val="en-US"/>
        </w:rPr>
        <w:t xml:space="preserve">that </w:t>
      </w:r>
      <w:r w:rsidR="004F7B2A" w:rsidRPr="00785D06">
        <w:rPr>
          <w:sz w:val="20"/>
          <w:szCs w:val="20"/>
          <w:lang w:val="en-US"/>
        </w:rPr>
        <w:t>in th</w:t>
      </w:r>
      <w:r w:rsidR="00C8703A" w:rsidRPr="00785D06">
        <w:rPr>
          <w:sz w:val="20"/>
          <w:szCs w:val="20"/>
          <w:lang w:val="en-US"/>
        </w:rPr>
        <w:t xml:space="preserve">is </w:t>
      </w:r>
      <w:r w:rsidR="00171A07" w:rsidRPr="00785D06">
        <w:rPr>
          <w:sz w:val="20"/>
          <w:szCs w:val="20"/>
          <w:lang w:val="en-US"/>
        </w:rPr>
        <w:t xml:space="preserve">case the </w:t>
      </w:r>
      <w:r w:rsidRPr="00785D06">
        <w:rPr>
          <w:sz w:val="20"/>
          <w:szCs w:val="20"/>
          <w:lang w:val="en-US"/>
        </w:rPr>
        <w:t>right of access to justice of the relatives of Paola Guzmán Albarracín</w:t>
      </w:r>
      <w:r w:rsidR="00171A07" w:rsidRPr="00785D06">
        <w:rPr>
          <w:sz w:val="20"/>
          <w:szCs w:val="20"/>
          <w:lang w:val="en-US"/>
        </w:rPr>
        <w:t xml:space="preserve"> was impaired</w:t>
      </w:r>
      <w:r w:rsidR="004F7B2A" w:rsidRPr="00785D06">
        <w:rPr>
          <w:sz w:val="20"/>
          <w:szCs w:val="20"/>
          <w:lang w:val="en-US"/>
        </w:rPr>
        <w:t>,</w:t>
      </w:r>
      <w:r w:rsidRPr="00785D06">
        <w:rPr>
          <w:sz w:val="20"/>
          <w:szCs w:val="20"/>
          <w:lang w:val="en-US"/>
        </w:rPr>
        <w:t xml:space="preserve"> </w:t>
      </w:r>
      <w:r w:rsidR="00171A07" w:rsidRPr="00785D06">
        <w:rPr>
          <w:sz w:val="20"/>
          <w:szCs w:val="20"/>
          <w:lang w:val="en-US"/>
        </w:rPr>
        <w:t xml:space="preserve">resulting in </w:t>
      </w:r>
      <w:r w:rsidR="004F7B2A" w:rsidRPr="00785D06">
        <w:rPr>
          <w:sz w:val="20"/>
          <w:szCs w:val="20"/>
          <w:lang w:val="en-US"/>
        </w:rPr>
        <w:t>impunity</w:t>
      </w:r>
      <w:r w:rsidR="00497E2F" w:rsidRPr="00785D06">
        <w:rPr>
          <w:sz w:val="20"/>
          <w:szCs w:val="20"/>
          <w:lang w:val="en-US"/>
        </w:rPr>
        <w:t>. This was due</w:t>
      </w:r>
      <w:r w:rsidR="00171A07" w:rsidRPr="00785D06">
        <w:rPr>
          <w:sz w:val="20"/>
          <w:szCs w:val="20"/>
          <w:lang w:val="en-US"/>
        </w:rPr>
        <w:t xml:space="preserve"> to </w:t>
      </w:r>
      <w:r w:rsidRPr="00785D06">
        <w:rPr>
          <w:sz w:val="20"/>
          <w:szCs w:val="20"/>
          <w:lang w:val="en-US"/>
        </w:rPr>
        <w:t xml:space="preserve">the prescription of the </w:t>
      </w:r>
      <w:r w:rsidR="0026775F" w:rsidRPr="00785D06">
        <w:rPr>
          <w:sz w:val="20"/>
          <w:szCs w:val="20"/>
          <w:lang w:val="en-US"/>
        </w:rPr>
        <w:t xml:space="preserve">criminal </w:t>
      </w:r>
      <w:r w:rsidR="00497E2F" w:rsidRPr="00785D06">
        <w:rPr>
          <w:sz w:val="20"/>
          <w:szCs w:val="20"/>
          <w:lang w:val="en-US"/>
        </w:rPr>
        <w:t>proceedings, which</w:t>
      </w:r>
      <w:r w:rsidRPr="00785D06">
        <w:rPr>
          <w:sz w:val="20"/>
          <w:szCs w:val="20"/>
          <w:lang w:val="en-US"/>
        </w:rPr>
        <w:t xml:space="preserve"> was </w:t>
      </w:r>
      <w:r w:rsidR="004F7B2A" w:rsidRPr="00785D06">
        <w:rPr>
          <w:sz w:val="20"/>
          <w:szCs w:val="20"/>
          <w:lang w:val="en-US"/>
        </w:rPr>
        <w:t xml:space="preserve">attributable to </w:t>
      </w:r>
      <w:r w:rsidRPr="00785D06">
        <w:rPr>
          <w:sz w:val="20"/>
          <w:szCs w:val="20"/>
          <w:lang w:val="en-US"/>
        </w:rPr>
        <w:t xml:space="preserve">the </w:t>
      </w:r>
      <w:r w:rsidR="00171A07" w:rsidRPr="00785D06">
        <w:rPr>
          <w:sz w:val="20"/>
          <w:szCs w:val="20"/>
          <w:lang w:val="en-US"/>
        </w:rPr>
        <w:t xml:space="preserve">State’s </w:t>
      </w:r>
      <w:r w:rsidRPr="00785D06">
        <w:rPr>
          <w:sz w:val="20"/>
          <w:szCs w:val="20"/>
          <w:lang w:val="en-US"/>
        </w:rPr>
        <w:t xml:space="preserve">inaction, </w:t>
      </w:r>
      <w:r w:rsidR="00171A07" w:rsidRPr="00785D06">
        <w:rPr>
          <w:sz w:val="20"/>
          <w:szCs w:val="20"/>
          <w:lang w:val="en-US"/>
        </w:rPr>
        <w:t>e</w:t>
      </w:r>
      <w:r w:rsidR="004F7B2A" w:rsidRPr="00785D06">
        <w:rPr>
          <w:sz w:val="20"/>
          <w:szCs w:val="20"/>
          <w:lang w:val="en-US"/>
        </w:rPr>
        <w:t>specially its</w:t>
      </w:r>
      <w:r w:rsidRPr="00785D06">
        <w:rPr>
          <w:sz w:val="20"/>
          <w:szCs w:val="20"/>
          <w:lang w:val="en-US"/>
        </w:rPr>
        <w:t xml:space="preserve"> lack of diligence in </w:t>
      </w:r>
      <w:r w:rsidR="004F7B2A" w:rsidRPr="00785D06">
        <w:rPr>
          <w:sz w:val="20"/>
          <w:szCs w:val="20"/>
          <w:lang w:val="en-US"/>
        </w:rPr>
        <w:t xml:space="preserve">arresting </w:t>
      </w:r>
      <w:r w:rsidR="00171A07" w:rsidRPr="00785D06">
        <w:rPr>
          <w:sz w:val="20"/>
          <w:szCs w:val="20"/>
          <w:lang w:val="en-US"/>
        </w:rPr>
        <w:t>the fugitive defendant</w:t>
      </w:r>
      <w:r w:rsidRPr="00785D06">
        <w:rPr>
          <w:sz w:val="20"/>
          <w:szCs w:val="20"/>
          <w:lang w:val="en-US"/>
        </w:rPr>
        <w:t>. Moreover, the unpunished acts were committed by a public official</w:t>
      </w:r>
      <w:r w:rsidR="00497E2F" w:rsidRPr="00785D06">
        <w:rPr>
          <w:sz w:val="20"/>
          <w:szCs w:val="20"/>
          <w:lang w:val="en-US"/>
        </w:rPr>
        <w:t>,</w:t>
      </w:r>
      <w:r w:rsidRPr="00785D06">
        <w:rPr>
          <w:sz w:val="20"/>
          <w:szCs w:val="20"/>
          <w:lang w:val="en-US"/>
        </w:rPr>
        <w:t xml:space="preserve"> directly </w:t>
      </w:r>
      <w:r w:rsidR="00497E2F" w:rsidRPr="00785D06">
        <w:rPr>
          <w:sz w:val="20"/>
          <w:szCs w:val="20"/>
          <w:lang w:val="en-US"/>
        </w:rPr>
        <w:t xml:space="preserve">implicating </w:t>
      </w:r>
      <w:r w:rsidRPr="00785D06">
        <w:rPr>
          <w:sz w:val="20"/>
          <w:szCs w:val="20"/>
          <w:lang w:val="en-US"/>
        </w:rPr>
        <w:t xml:space="preserve">the State’s international responsibility for human rights violations, including the right to live a life free </w:t>
      </w:r>
      <w:r w:rsidR="00AC75EF" w:rsidRPr="00785D06">
        <w:rPr>
          <w:sz w:val="20"/>
          <w:szCs w:val="20"/>
          <w:lang w:val="en-US"/>
        </w:rPr>
        <w:t xml:space="preserve">from </w:t>
      </w:r>
      <w:r w:rsidRPr="00785D06">
        <w:rPr>
          <w:sz w:val="20"/>
          <w:szCs w:val="20"/>
          <w:lang w:val="en-US"/>
        </w:rPr>
        <w:t xml:space="preserve">violence. </w:t>
      </w:r>
      <w:r w:rsidR="00497E2F" w:rsidRPr="00785D06">
        <w:rPr>
          <w:sz w:val="20"/>
          <w:szCs w:val="20"/>
          <w:lang w:val="en-US"/>
        </w:rPr>
        <w:t xml:space="preserve">For those reasons, the </w:t>
      </w:r>
      <w:r w:rsidRPr="00785D06">
        <w:rPr>
          <w:sz w:val="20"/>
          <w:szCs w:val="20"/>
          <w:lang w:val="en-US"/>
        </w:rPr>
        <w:t>State</w:t>
      </w:r>
      <w:r w:rsidR="00AC75EF" w:rsidRPr="00785D06">
        <w:rPr>
          <w:sz w:val="20"/>
          <w:szCs w:val="20"/>
          <w:lang w:val="en-US"/>
        </w:rPr>
        <w:t xml:space="preserve"> </w:t>
      </w:r>
      <w:r w:rsidR="00497E2F" w:rsidRPr="00785D06">
        <w:rPr>
          <w:sz w:val="20"/>
          <w:szCs w:val="20"/>
          <w:lang w:val="en-US"/>
        </w:rPr>
        <w:t xml:space="preserve">should have </w:t>
      </w:r>
      <w:r w:rsidRPr="00785D06">
        <w:rPr>
          <w:sz w:val="20"/>
          <w:szCs w:val="20"/>
          <w:lang w:val="en-US"/>
        </w:rPr>
        <w:t>act</w:t>
      </w:r>
      <w:r w:rsidR="00497E2F" w:rsidRPr="00785D06">
        <w:rPr>
          <w:sz w:val="20"/>
          <w:szCs w:val="20"/>
          <w:lang w:val="en-US"/>
        </w:rPr>
        <w:t>ed</w:t>
      </w:r>
      <w:r w:rsidRPr="00785D06">
        <w:rPr>
          <w:sz w:val="20"/>
          <w:szCs w:val="20"/>
          <w:lang w:val="en-US"/>
        </w:rPr>
        <w:t xml:space="preserve"> with strict</w:t>
      </w:r>
      <w:r w:rsidR="00497E2F" w:rsidRPr="00785D06">
        <w:rPr>
          <w:sz w:val="20"/>
          <w:szCs w:val="20"/>
          <w:lang w:val="en-US"/>
        </w:rPr>
        <w:t xml:space="preserve"> diligence in the investigation</w:t>
      </w:r>
      <w:r w:rsidRPr="00785D06">
        <w:rPr>
          <w:sz w:val="20"/>
          <w:szCs w:val="20"/>
          <w:lang w:val="en-US"/>
        </w:rPr>
        <w:t xml:space="preserve"> </w:t>
      </w:r>
      <w:r w:rsidR="00497E2F" w:rsidRPr="00785D06">
        <w:rPr>
          <w:sz w:val="20"/>
          <w:szCs w:val="20"/>
          <w:lang w:val="en-US"/>
        </w:rPr>
        <w:t xml:space="preserve">in order to remedy the internationally unlawful act </w:t>
      </w:r>
      <w:r w:rsidRPr="00785D06">
        <w:rPr>
          <w:sz w:val="20"/>
          <w:szCs w:val="20"/>
          <w:lang w:val="en-US"/>
        </w:rPr>
        <w:t>through the application of legally established consequen</w:t>
      </w:r>
      <w:r w:rsidR="00497E2F" w:rsidRPr="00785D06">
        <w:rPr>
          <w:sz w:val="20"/>
          <w:szCs w:val="20"/>
          <w:lang w:val="en-US"/>
        </w:rPr>
        <w:t>ces.</w:t>
      </w:r>
      <w:r w:rsidRPr="00785D06">
        <w:rPr>
          <w:sz w:val="20"/>
          <w:szCs w:val="20"/>
          <w:lang w:val="en-US"/>
        </w:rPr>
        <w:t xml:space="preserve"> </w:t>
      </w:r>
    </w:p>
    <w:p w14:paraId="395B8D30" w14:textId="77777777" w:rsidR="00C254BF" w:rsidRPr="00785D06" w:rsidRDefault="00C254BF" w:rsidP="00C254BF">
      <w:pPr>
        <w:jc w:val="both"/>
        <w:rPr>
          <w:sz w:val="20"/>
          <w:szCs w:val="20"/>
          <w:lang w:val="en-US"/>
        </w:rPr>
      </w:pPr>
    </w:p>
    <w:p w14:paraId="08444362" w14:textId="77777777" w:rsidR="00C254BF" w:rsidRPr="00785D06" w:rsidRDefault="005D2379"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Therefore, based on the foregoing </w:t>
      </w:r>
      <w:r w:rsidR="00C254BF" w:rsidRPr="00785D06">
        <w:rPr>
          <w:sz w:val="20"/>
          <w:szCs w:val="20"/>
          <w:lang w:val="en-US"/>
        </w:rPr>
        <w:t xml:space="preserve">reasons, the Court concludes that the State violated the </w:t>
      </w:r>
      <w:r w:rsidR="00F76A4C" w:rsidRPr="00785D06">
        <w:rPr>
          <w:sz w:val="20"/>
          <w:szCs w:val="20"/>
          <w:lang w:val="en-US"/>
        </w:rPr>
        <w:t xml:space="preserve">rights to </w:t>
      </w:r>
      <w:r w:rsidR="00C254BF" w:rsidRPr="00785D06">
        <w:rPr>
          <w:sz w:val="20"/>
          <w:szCs w:val="20"/>
          <w:lang w:val="en-US"/>
        </w:rPr>
        <w:t>judicial gua</w:t>
      </w:r>
      <w:r w:rsidR="00E129DF" w:rsidRPr="00785D06">
        <w:rPr>
          <w:sz w:val="20"/>
          <w:szCs w:val="20"/>
          <w:lang w:val="en-US"/>
        </w:rPr>
        <w:t>rantees and judicial protection</w:t>
      </w:r>
      <w:r w:rsidR="00C254BF" w:rsidRPr="00785D06">
        <w:rPr>
          <w:sz w:val="20"/>
          <w:szCs w:val="20"/>
          <w:lang w:val="en-US"/>
        </w:rPr>
        <w:t xml:space="preserve"> recognized in Articles 8(1) and 25(1) of the American Convention on Human Rights, in </w:t>
      </w:r>
      <w:r w:rsidR="008921C4" w:rsidRPr="00785D06">
        <w:rPr>
          <w:sz w:val="20"/>
          <w:szCs w:val="20"/>
          <w:lang w:val="en-US"/>
        </w:rPr>
        <w:t xml:space="preserve">connection with </w:t>
      </w:r>
      <w:r w:rsidR="00C254BF" w:rsidRPr="00785D06">
        <w:rPr>
          <w:sz w:val="20"/>
          <w:szCs w:val="20"/>
          <w:lang w:val="en-US"/>
        </w:rPr>
        <w:t>the right to equal protection under the law</w:t>
      </w:r>
      <w:r w:rsidR="008921C4" w:rsidRPr="00785D06">
        <w:rPr>
          <w:sz w:val="20"/>
          <w:szCs w:val="20"/>
          <w:lang w:val="en-US"/>
        </w:rPr>
        <w:t>, pursuant to</w:t>
      </w:r>
      <w:r w:rsidR="00387A98" w:rsidRPr="00785D06">
        <w:rPr>
          <w:sz w:val="20"/>
          <w:szCs w:val="20"/>
          <w:lang w:val="en-US"/>
        </w:rPr>
        <w:t xml:space="preserve"> Article 24,</w:t>
      </w:r>
      <w:r w:rsidR="00C254BF" w:rsidRPr="00785D06">
        <w:rPr>
          <w:sz w:val="20"/>
          <w:szCs w:val="20"/>
          <w:lang w:val="en-US"/>
        </w:rPr>
        <w:t xml:space="preserve"> </w:t>
      </w:r>
      <w:r w:rsidR="008921C4" w:rsidRPr="00785D06">
        <w:rPr>
          <w:sz w:val="20"/>
          <w:szCs w:val="20"/>
          <w:lang w:val="en-US"/>
        </w:rPr>
        <w:t xml:space="preserve">and </w:t>
      </w:r>
      <w:r w:rsidR="00C254BF" w:rsidRPr="00785D06">
        <w:rPr>
          <w:sz w:val="20"/>
          <w:szCs w:val="20"/>
          <w:lang w:val="en-US"/>
        </w:rPr>
        <w:t xml:space="preserve">with the duty to </w:t>
      </w:r>
      <w:r w:rsidR="00171A07" w:rsidRPr="00785D06">
        <w:rPr>
          <w:sz w:val="20"/>
          <w:szCs w:val="20"/>
          <w:lang w:val="en-US"/>
        </w:rPr>
        <w:t xml:space="preserve">fulfil </w:t>
      </w:r>
      <w:r w:rsidR="00C254BF" w:rsidRPr="00785D06">
        <w:rPr>
          <w:sz w:val="20"/>
          <w:szCs w:val="20"/>
          <w:lang w:val="en-US"/>
        </w:rPr>
        <w:t xml:space="preserve">the obligations established in Article 1(1) </w:t>
      </w:r>
      <w:r w:rsidR="00171A07" w:rsidRPr="00785D06">
        <w:rPr>
          <w:sz w:val="20"/>
          <w:szCs w:val="20"/>
          <w:lang w:val="en-US"/>
        </w:rPr>
        <w:t>there</w:t>
      </w:r>
      <w:r w:rsidR="00C254BF" w:rsidRPr="00785D06">
        <w:rPr>
          <w:sz w:val="20"/>
          <w:szCs w:val="20"/>
          <w:lang w:val="en-US"/>
        </w:rPr>
        <w:t xml:space="preserve">of </w:t>
      </w:r>
      <w:r w:rsidR="00DD2D98" w:rsidRPr="00785D06">
        <w:rPr>
          <w:sz w:val="20"/>
          <w:szCs w:val="20"/>
          <w:lang w:val="en-US"/>
        </w:rPr>
        <w:t>without discrimination</w:t>
      </w:r>
      <w:r w:rsidR="008921C4" w:rsidRPr="00785D06">
        <w:rPr>
          <w:sz w:val="20"/>
          <w:szCs w:val="20"/>
          <w:lang w:val="en-US"/>
        </w:rPr>
        <w:t>,</w:t>
      </w:r>
      <w:r w:rsidR="00DD2D98" w:rsidRPr="00785D06">
        <w:rPr>
          <w:sz w:val="20"/>
          <w:szCs w:val="20"/>
          <w:lang w:val="en-US"/>
        </w:rPr>
        <w:t xml:space="preserve"> </w:t>
      </w:r>
      <w:r w:rsidR="008921C4" w:rsidRPr="00785D06">
        <w:rPr>
          <w:sz w:val="20"/>
          <w:szCs w:val="20"/>
          <w:lang w:val="en-US"/>
        </w:rPr>
        <w:t xml:space="preserve">as well as </w:t>
      </w:r>
      <w:r w:rsidR="00C254BF" w:rsidRPr="00785D06">
        <w:rPr>
          <w:sz w:val="20"/>
          <w:szCs w:val="20"/>
          <w:lang w:val="en-US"/>
        </w:rPr>
        <w:t>the obligation to adopt provisions of domestic law established in Article 2 of the Convention</w:t>
      </w:r>
      <w:r w:rsidR="00387A98" w:rsidRPr="00785D06">
        <w:rPr>
          <w:sz w:val="20"/>
          <w:szCs w:val="20"/>
          <w:lang w:val="en-US"/>
        </w:rPr>
        <w:t>;</w:t>
      </w:r>
      <w:r w:rsidR="00C254BF" w:rsidRPr="00785D06">
        <w:rPr>
          <w:sz w:val="20"/>
          <w:szCs w:val="20"/>
          <w:lang w:val="en-US"/>
        </w:rPr>
        <w:t xml:space="preserve"> </w:t>
      </w:r>
      <w:r w:rsidR="00387A98" w:rsidRPr="00785D06">
        <w:rPr>
          <w:sz w:val="20"/>
          <w:szCs w:val="20"/>
          <w:lang w:val="en-US"/>
        </w:rPr>
        <w:t>i</w:t>
      </w:r>
      <w:r w:rsidR="008921C4" w:rsidRPr="00785D06">
        <w:rPr>
          <w:sz w:val="20"/>
          <w:szCs w:val="20"/>
          <w:lang w:val="en-US"/>
        </w:rPr>
        <w:t xml:space="preserve">n addition, the State violated </w:t>
      </w:r>
      <w:r w:rsidR="00C254BF" w:rsidRPr="00785D06">
        <w:rPr>
          <w:sz w:val="20"/>
          <w:szCs w:val="20"/>
          <w:lang w:val="en-US"/>
        </w:rPr>
        <w:t>Article 7.b of t</w:t>
      </w:r>
      <w:r w:rsidR="00E129DF" w:rsidRPr="00785D06">
        <w:rPr>
          <w:sz w:val="20"/>
          <w:szCs w:val="20"/>
          <w:lang w:val="en-US"/>
        </w:rPr>
        <w:t>he Convention of Belém do Pará,</w:t>
      </w:r>
      <w:r w:rsidR="00C254BF" w:rsidRPr="00785D06">
        <w:rPr>
          <w:sz w:val="20"/>
          <w:szCs w:val="20"/>
          <w:lang w:val="en-US"/>
        </w:rPr>
        <w:t xml:space="preserve"> </w:t>
      </w:r>
      <w:r w:rsidR="008921C4" w:rsidRPr="00785D06">
        <w:rPr>
          <w:sz w:val="20"/>
          <w:szCs w:val="20"/>
          <w:lang w:val="en-US"/>
        </w:rPr>
        <w:t xml:space="preserve">all </w:t>
      </w:r>
      <w:r w:rsidR="00C254BF" w:rsidRPr="00785D06">
        <w:rPr>
          <w:sz w:val="20"/>
          <w:szCs w:val="20"/>
          <w:lang w:val="en-US"/>
        </w:rPr>
        <w:t>to the detriment of Petita Paulina Albarracín Albán and Denisse Selena Guzmán Albarracín</w:t>
      </w:r>
      <w:r w:rsidR="00C058E0" w:rsidRPr="00785D06">
        <w:rPr>
          <w:sz w:val="20"/>
          <w:szCs w:val="20"/>
          <w:lang w:val="en-US"/>
        </w:rPr>
        <w:t>.</w:t>
      </w:r>
      <w:r w:rsidR="00C254BF" w:rsidRPr="00785D06">
        <w:rPr>
          <w:rStyle w:val="Refdenotaalpie"/>
          <w:sz w:val="20"/>
          <w:szCs w:val="20"/>
          <w:lang w:val="en-US"/>
        </w:rPr>
        <w:footnoteReference w:id="189"/>
      </w:r>
    </w:p>
    <w:p w14:paraId="3DD9AB04" w14:textId="77777777" w:rsidR="00C254BF" w:rsidRPr="00785D06" w:rsidRDefault="00C254BF" w:rsidP="00C254BF">
      <w:pPr>
        <w:pStyle w:val="Prrafodelista"/>
        <w:ind w:left="0"/>
        <w:contextualSpacing w:val="0"/>
        <w:jc w:val="both"/>
        <w:rPr>
          <w:sz w:val="20"/>
          <w:szCs w:val="20"/>
          <w:lang w:val="en-US"/>
        </w:rPr>
      </w:pPr>
      <w:r w:rsidRPr="00785D06">
        <w:rPr>
          <w:sz w:val="20"/>
          <w:szCs w:val="20"/>
          <w:lang w:val="en-US"/>
        </w:rPr>
        <w:t xml:space="preserve"> </w:t>
      </w:r>
    </w:p>
    <w:p w14:paraId="62829CEE"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The Court </w:t>
      </w:r>
      <w:r w:rsidR="00DD2D98" w:rsidRPr="00785D06">
        <w:rPr>
          <w:sz w:val="20"/>
          <w:szCs w:val="20"/>
          <w:lang w:val="en-US"/>
        </w:rPr>
        <w:t xml:space="preserve">does not </w:t>
      </w:r>
      <w:r w:rsidR="00E129DF" w:rsidRPr="00785D06">
        <w:rPr>
          <w:sz w:val="20"/>
          <w:szCs w:val="20"/>
          <w:lang w:val="en-US"/>
        </w:rPr>
        <w:t xml:space="preserve">find </w:t>
      </w:r>
      <w:r w:rsidRPr="00785D06">
        <w:rPr>
          <w:sz w:val="20"/>
          <w:szCs w:val="20"/>
          <w:lang w:val="en-US"/>
        </w:rPr>
        <w:t xml:space="preserve">that Paola Guzmán Albarracín was subjected to torture, and therefore </w:t>
      </w:r>
      <w:r w:rsidR="002A6D38" w:rsidRPr="00785D06">
        <w:rPr>
          <w:sz w:val="20"/>
          <w:szCs w:val="20"/>
          <w:lang w:val="en-US"/>
        </w:rPr>
        <w:t xml:space="preserve">will not </w:t>
      </w:r>
      <w:r w:rsidRPr="00785D06">
        <w:rPr>
          <w:sz w:val="20"/>
          <w:szCs w:val="20"/>
          <w:lang w:val="en-US"/>
        </w:rPr>
        <w:t xml:space="preserve">analyze the State’s duty to investigate </w:t>
      </w:r>
      <w:r w:rsidR="008921C4" w:rsidRPr="00785D06">
        <w:rPr>
          <w:sz w:val="20"/>
          <w:szCs w:val="20"/>
          <w:lang w:val="en-US"/>
        </w:rPr>
        <w:t xml:space="preserve">this matter </w:t>
      </w:r>
      <w:r w:rsidRPr="00785D06">
        <w:rPr>
          <w:sz w:val="20"/>
          <w:szCs w:val="20"/>
          <w:lang w:val="en-US"/>
        </w:rPr>
        <w:t xml:space="preserve">based on the Inter-American Convention to Prevent and Punish Torture. </w:t>
      </w:r>
      <w:r w:rsidR="00E129DF" w:rsidRPr="00785D06">
        <w:rPr>
          <w:sz w:val="20"/>
          <w:szCs w:val="20"/>
          <w:lang w:val="en-US"/>
        </w:rPr>
        <w:t xml:space="preserve">Therefore, </w:t>
      </w:r>
      <w:r w:rsidRPr="00785D06">
        <w:rPr>
          <w:sz w:val="20"/>
          <w:szCs w:val="20"/>
          <w:lang w:val="en-US"/>
        </w:rPr>
        <w:t xml:space="preserve">Ecuador is not responsible for the violation of Article 8 of this treaty. </w:t>
      </w:r>
    </w:p>
    <w:p w14:paraId="47CB468E" w14:textId="77777777" w:rsidR="00C254BF" w:rsidRPr="00785D06" w:rsidRDefault="00C254BF" w:rsidP="00C254BF">
      <w:pPr>
        <w:jc w:val="both"/>
        <w:rPr>
          <w:sz w:val="20"/>
          <w:szCs w:val="20"/>
          <w:lang w:val="en-US"/>
        </w:rPr>
      </w:pPr>
    </w:p>
    <w:p w14:paraId="5C5E853C" w14:textId="77777777" w:rsidR="00C254BF" w:rsidRPr="00785D06" w:rsidRDefault="00C254BF" w:rsidP="00C254BF">
      <w:pPr>
        <w:pStyle w:val="Ttulo1"/>
        <w:spacing w:before="0"/>
        <w:jc w:val="center"/>
        <w:rPr>
          <w:rFonts w:ascii="Verdana" w:hAnsi="Verdana"/>
          <w:b/>
          <w:color w:val="auto"/>
          <w:sz w:val="20"/>
          <w:lang w:val="en-US"/>
        </w:rPr>
      </w:pPr>
      <w:bookmarkStart w:id="144" w:name="_Toc40466563"/>
      <w:bookmarkStart w:id="145" w:name="_Toc42498065"/>
      <w:bookmarkStart w:id="146" w:name="_Toc46937313"/>
      <w:r w:rsidRPr="00785D06">
        <w:rPr>
          <w:rFonts w:ascii="Verdana" w:hAnsi="Verdana"/>
          <w:b/>
          <w:color w:val="auto"/>
          <w:sz w:val="20"/>
          <w:lang w:val="en-US"/>
        </w:rPr>
        <w:t>VII.3</w:t>
      </w:r>
      <w:bookmarkEnd w:id="144"/>
      <w:bookmarkEnd w:id="145"/>
      <w:bookmarkEnd w:id="146"/>
    </w:p>
    <w:p w14:paraId="312A2BDC" w14:textId="77777777" w:rsidR="00C254BF" w:rsidRPr="00785D06" w:rsidRDefault="00C254BF" w:rsidP="00C254BF">
      <w:pPr>
        <w:pStyle w:val="Ttulo1"/>
        <w:spacing w:before="0"/>
        <w:jc w:val="center"/>
        <w:rPr>
          <w:rFonts w:ascii="Verdana" w:hAnsi="Verdana"/>
          <w:b/>
          <w:color w:val="auto"/>
          <w:sz w:val="20"/>
          <w:lang w:val="en-US"/>
        </w:rPr>
      </w:pPr>
      <w:bookmarkStart w:id="147" w:name="_Toc40466564"/>
      <w:bookmarkStart w:id="148" w:name="_Toc42498066"/>
      <w:bookmarkStart w:id="149" w:name="_Toc46937314"/>
      <w:r w:rsidRPr="00785D06">
        <w:rPr>
          <w:rFonts w:ascii="Verdana" w:hAnsi="Verdana"/>
          <w:b/>
          <w:color w:val="auto"/>
          <w:sz w:val="20"/>
          <w:lang w:val="en-US"/>
        </w:rPr>
        <w:t>RIGHT TO PERSONAL INTEGRITY OF THE RELATIVES OF PAOLA GUZMÁN ALBARRACIN</w:t>
      </w:r>
      <w:bookmarkEnd w:id="147"/>
      <w:bookmarkEnd w:id="148"/>
      <w:bookmarkEnd w:id="149"/>
    </w:p>
    <w:p w14:paraId="39E16154" w14:textId="77777777" w:rsidR="00C254BF" w:rsidRPr="00785D06" w:rsidRDefault="00C254BF" w:rsidP="00C254BF">
      <w:pPr>
        <w:jc w:val="both"/>
        <w:rPr>
          <w:b/>
          <w:sz w:val="20"/>
          <w:lang w:val="en-US"/>
        </w:rPr>
      </w:pPr>
    </w:p>
    <w:p w14:paraId="165F9528" w14:textId="77777777" w:rsidR="00C254BF" w:rsidRPr="00785D06" w:rsidRDefault="00C254BF" w:rsidP="00C254BF">
      <w:pPr>
        <w:pStyle w:val="Prrafodelista"/>
        <w:numPr>
          <w:ilvl w:val="0"/>
          <w:numId w:val="4"/>
        </w:numPr>
        <w:ind w:left="284" w:firstLine="0"/>
        <w:jc w:val="both"/>
        <w:outlineLvl w:val="1"/>
        <w:rPr>
          <w:b/>
          <w:i/>
          <w:sz w:val="20"/>
          <w:lang w:val="en-US"/>
        </w:rPr>
      </w:pPr>
      <w:bookmarkStart w:id="150" w:name="_Toc42498067"/>
      <w:bookmarkStart w:id="151" w:name="_Toc46937315"/>
      <w:r w:rsidRPr="00785D06">
        <w:rPr>
          <w:b/>
          <w:i/>
          <w:sz w:val="20"/>
          <w:lang w:val="en-US"/>
        </w:rPr>
        <w:t>Arguments of the Commission and of the parties</w:t>
      </w:r>
      <w:bookmarkEnd w:id="150"/>
      <w:bookmarkEnd w:id="151"/>
    </w:p>
    <w:p w14:paraId="6BE9D780" w14:textId="77777777" w:rsidR="00C254BF" w:rsidRPr="00785D06" w:rsidRDefault="00C254BF" w:rsidP="00C254BF">
      <w:pPr>
        <w:jc w:val="both"/>
        <w:rPr>
          <w:sz w:val="20"/>
          <w:szCs w:val="20"/>
          <w:lang w:val="en-US"/>
        </w:rPr>
      </w:pPr>
    </w:p>
    <w:p w14:paraId="04FD3DA5"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The </w:t>
      </w:r>
      <w:r w:rsidRPr="00785D06">
        <w:rPr>
          <w:b/>
          <w:i/>
          <w:sz w:val="20"/>
          <w:szCs w:val="20"/>
          <w:lang w:val="en-US"/>
        </w:rPr>
        <w:t>Commission</w:t>
      </w:r>
      <w:r w:rsidRPr="00785D06">
        <w:rPr>
          <w:sz w:val="20"/>
          <w:szCs w:val="20"/>
          <w:lang w:val="en-US"/>
        </w:rPr>
        <w:t xml:space="preserve"> established that “Paola’s death</w:t>
      </w:r>
      <w:r w:rsidR="00065B6F" w:rsidRPr="00785D06">
        <w:rPr>
          <w:sz w:val="20"/>
          <w:szCs w:val="20"/>
          <w:lang w:val="en-US"/>
        </w:rPr>
        <w:t xml:space="preserve"> constitutes</w:t>
      </w:r>
      <w:r w:rsidR="00F76A4C" w:rsidRPr="00785D06">
        <w:rPr>
          <w:sz w:val="20"/>
          <w:szCs w:val="20"/>
          <w:lang w:val="en-US"/>
        </w:rPr>
        <w:t>,</w:t>
      </w:r>
      <w:r w:rsidRPr="00785D06">
        <w:rPr>
          <w:sz w:val="20"/>
          <w:szCs w:val="20"/>
          <w:lang w:val="en-US"/>
        </w:rPr>
        <w:t xml:space="preserve"> </w:t>
      </w:r>
      <w:r w:rsidR="00F76A4C" w:rsidRPr="00785D06">
        <w:rPr>
          <w:sz w:val="20"/>
          <w:szCs w:val="20"/>
          <w:lang w:val="en-US"/>
        </w:rPr>
        <w:t xml:space="preserve">in </w:t>
      </w:r>
      <w:r w:rsidRPr="00785D06">
        <w:rPr>
          <w:sz w:val="20"/>
          <w:szCs w:val="20"/>
          <w:lang w:val="en-US"/>
        </w:rPr>
        <w:t>itself</w:t>
      </w:r>
      <w:r w:rsidR="00F76A4C" w:rsidRPr="00785D06">
        <w:rPr>
          <w:sz w:val="20"/>
          <w:szCs w:val="20"/>
          <w:lang w:val="en-US"/>
        </w:rPr>
        <w:t>,</w:t>
      </w:r>
      <w:r w:rsidRPr="00785D06">
        <w:rPr>
          <w:sz w:val="20"/>
          <w:szCs w:val="20"/>
          <w:lang w:val="en-US"/>
        </w:rPr>
        <w:t xml:space="preserve"> a source of suffering for her relatives, as </w:t>
      </w:r>
      <w:r w:rsidR="00065B6F" w:rsidRPr="00785D06">
        <w:rPr>
          <w:sz w:val="20"/>
          <w:szCs w:val="20"/>
          <w:lang w:val="en-US"/>
        </w:rPr>
        <w:t xml:space="preserve">does </w:t>
      </w:r>
      <w:r w:rsidRPr="00785D06">
        <w:rPr>
          <w:sz w:val="20"/>
          <w:szCs w:val="20"/>
          <w:lang w:val="en-US"/>
        </w:rPr>
        <w:t xml:space="preserve">the fact that Mrs. Petita was shown her daughter’s </w:t>
      </w:r>
      <w:r w:rsidR="00171A07" w:rsidRPr="00785D06">
        <w:rPr>
          <w:sz w:val="20"/>
          <w:szCs w:val="20"/>
          <w:lang w:val="en-US"/>
        </w:rPr>
        <w:t>opened</w:t>
      </w:r>
      <w:r w:rsidRPr="00785D06">
        <w:rPr>
          <w:sz w:val="20"/>
          <w:szCs w:val="20"/>
          <w:lang w:val="en-US"/>
        </w:rPr>
        <w:t xml:space="preserve"> body, during the autopsy.” It added that her suffering </w:t>
      </w:r>
      <w:r w:rsidR="00065B6F" w:rsidRPr="00785D06">
        <w:rPr>
          <w:sz w:val="20"/>
          <w:szCs w:val="20"/>
          <w:lang w:val="en-US"/>
        </w:rPr>
        <w:t xml:space="preserve">as a mother </w:t>
      </w:r>
      <w:r w:rsidRPr="00785D06">
        <w:rPr>
          <w:sz w:val="20"/>
          <w:szCs w:val="20"/>
          <w:lang w:val="en-US"/>
        </w:rPr>
        <w:t>was aggravated by the lack of diligence in the judicial actions. Consequently, it considered that her right to personal integrity was impaired, specifically her “</w:t>
      </w:r>
      <w:r w:rsidR="00171A07" w:rsidRPr="00785D06">
        <w:rPr>
          <w:sz w:val="20"/>
          <w:szCs w:val="20"/>
          <w:lang w:val="en-US"/>
        </w:rPr>
        <w:t xml:space="preserve">mental </w:t>
      </w:r>
      <w:r w:rsidRPr="00785D06">
        <w:rPr>
          <w:sz w:val="20"/>
          <w:szCs w:val="20"/>
          <w:lang w:val="en-US"/>
        </w:rPr>
        <w:t xml:space="preserve">and moral integrity.” </w:t>
      </w:r>
      <w:r w:rsidR="002A6D38" w:rsidRPr="00785D06">
        <w:rPr>
          <w:sz w:val="20"/>
          <w:szCs w:val="20"/>
          <w:lang w:val="en-US"/>
        </w:rPr>
        <w:t xml:space="preserve">Thus, it considered </w:t>
      </w:r>
      <w:r w:rsidRPr="00785D06">
        <w:rPr>
          <w:sz w:val="20"/>
          <w:szCs w:val="20"/>
          <w:lang w:val="en-US"/>
        </w:rPr>
        <w:t xml:space="preserve">that the State violated Article 5(1) of the Convention in relation to Article 1(1) </w:t>
      </w:r>
      <w:r w:rsidR="002A6D38" w:rsidRPr="00785D06">
        <w:rPr>
          <w:sz w:val="20"/>
          <w:szCs w:val="20"/>
          <w:lang w:val="en-US"/>
        </w:rPr>
        <w:t>of that instrument</w:t>
      </w:r>
      <w:r w:rsidRPr="00785D06">
        <w:rPr>
          <w:sz w:val="20"/>
          <w:szCs w:val="20"/>
          <w:lang w:val="en-US"/>
        </w:rPr>
        <w:t>.</w:t>
      </w:r>
    </w:p>
    <w:p w14:paraId="0232850A" w14:textId="77777777" w:rsidR="00C254BF" w:rsidRPr="00785D06" w:rsidRDefault="00C254BF" w:rsidP="00C254BF">
      <w:pPr>
        <w:pStyle w:val="Prrafodelista"/>
        <w:ind w:left="0"/>
        <w:contextualSpacing w:val="0"/>
        <w:jc w:val="both"/>
        <w:rPr>
          <w:sz w:val="20"/>
          <w:szCs w:val="20"/>
          <w:lang w:val="en-US"/>
        </w:rPr>
      </w:pPr>
    </w:p>
    <w:p w14:paraId="6726768B"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The </w:t>
      </w:r>
      <w:r w:rsidRPr="00785D06">
        <w:rPr>
          <w:b/>
          <w:i/>
          <w:sz w:val="20"/>
          <w:szCs w:val="20"/>
          <w:lang w:val="en-US"/>
        </w:rPr>
        <w:t>representatives</w:t>
      </w:r>
      <w:r w:rsidRPr="00785D06">
        <w:rPr>
          <w:b/>
          <w:sz w:val="20"/>
          <w:szCs w:val="20"/>
          <w:lang w:val="en-US"/>
        </w:rPr>
        <w:t xml:space="preserve"> </w:t>
      </w:r>
      <w:r w:rsidRPr="00785D06">
        <w:rPr>
          <w:sz w:val="20"/>
          <w:szCs w:val="20"/>
          <w:lang w:val="en-US"/>
        </w:rPr>
        <w:t>emphasized</w:t>
      </w:r>
      <w:r w:rsidRPr="00785D06">
        <w:rPr>
          <w:b/>
          <w:sz w:val="20"/>
          <w:szCs w:val="20"/>
          <w:lang w:val="en-US"/>
        </w:rPr>
        <w:t xml:space="preserve"> </w:t>
      </w:r>
      <w:r w:rsidRPr="00785D06">
        <w:rPr>
          <w:sz w:val="20"/>
          <w:szCs w:val="20"/>
          <w:lang w:val="en-US"/>
        </w:rPr>
        <w:t>that, “both [Mrs.] Petita a</w:t>
      </w:r>
      <w:r w:rsidR="00590C47" w:rsidRPr="00785D06">
        <w:rPr>
          <w:sz w:val="20"/>
          <w:szCs w:val="20"/>
          <w:lang w:val="en-US"/>
        </w:rPr>
        <w:t xml:space="preserve">nd Denisse have </w:t>
      </w:r>
      <w:r w:rsidR="00A22845" w:rsidRPr="00785D06">
        <w:rPr>
          <w:sz w:val="20"/>
          <w:szCs w:val="20"/>
          <w:lang w:val="en-US"/>
        </w:rPr>
        <w:t xml:space="preserve">endured </w:t>
      </w:r>
      <w:r w:rsidRPr="00785D06">
        <w:rPr>
          <w:sz w:val="20"/>
          <w:szCs w:val="20"/>
          <w:lang w:val="en-US"/>
        </w:rPr>
        <w:t>psycho</w:t>
      </w:r>
      <w:r w:rsidR="00724CF9" w:rsidRPr="00785D06">
        <w:rPr>
          <w:sz w:val="20"/>
          <w:szCs w:val="20"/>
          <w:lang w:val="en-US"/>
        </w:rPr>
        <w:t>logical and moral suffering [</w:t>
      </w:r>
      <w:r w:rsidR="00A62E44" w:rsidRPr="00785D06">
        <w:rPr>
          <w:sz w:val="20"/>
          <w:szCs w:val="20"/>
          <w:lang w:val="en-US"/>
        </w:rPr>
        <w:t>after</w:t>
      </w:r>
      <w:r w:rsidRPr="00785D06">
        <w:rPr>
          <w:sz w:val="20"/>
          <w:szCs w:val="20"/>
          <w:lang w:val="en-US"/>
        </w:rPr>
        <w:t xml:space="preserve">] the loss of a daughter and a sister, respectively, </w:t>
      </w:r>
      <w:r w:rsidR="00D83B45" w:rsidRPr="00785D06">
        <w:rPr>
          <w:sz w:val="20"/>
          <w:szCs w:val="20"/>
          <w:lang w:val="en-US"/>
        </w:rPr>
        <w:t xml:space="preserve">resulting from </w:t>
      </w:r>
      <w:r w:rsidRPr="00785D06">
        <w:rPr>
          <w:sz w:val="20"/>
          <w:szCs w:val="20"/>
          <w:lang w:val="en-US"/>
        </w:rPr>
        <w:t xml:space="preserve">the </w:t>
      </w:r>
      <w:r w:rsidR="00D83B45" w:rsidRPr="00785D06">
        <w:rPr>
          <w:sz w:val="20"/>
          <w:szCs w:val="20"/>
          <w:lang w:val="en-US"/>
        </w:rPr>
        <w:t xml:space="preserve">constant </w:t>
      </w:r>
      <w:r w:rsidRPr="00785D06">
        <w:rPr>
          <w:sz w:val="20"/>
          <w:szCs w:val="20"/>
          <w:lang w:val="en-US"/>
        </w:rPr>
        <w:t xml:space="preserve">harassment that Paola suffered at school.” They added that Mrs. Petita’s physical and mental health was seriously affected, along with her life project and her relationship with her daughter Denisse. In the case of Denisse, </w:t>
      </w:r>
      <w:r w:rsidR="00DD2D98" w:rsidRPr="00785D06">
        <w:rPr>
          <w:sz w:val="20"/>
          <w:szCs w:val="20"/>
          <w:lang w:val="en-US"/>
        </w:rPr>
        <w:t xml:space="preserve">they </w:t>
      </w:r>
      <w:r w:rsidRPr="00785D06">
        <w:rPr>
          <w:sz w:val="20"/>
          <w:szCs w:val="20"/>
          <w:lang w:val="en-US"/>
        </w:rPr>
        <w:t>indicated “that Paola’s</w:t>
      </w:r>
      <w:r w:rsidR="00DD2D98" w:rsidRPr="00785D06">
        <w:rPr>
          <w:sz w:val="20"/>
          <w:szCs w:val="20"/>
          <w:lang w:val="en-US"/>
        </w:rPr>
        <w:t xml:space="preserve"> death affected [her] very much</w:t>
      </w:r>
      <w:r w:rsidRPr="00785D06">
        <w:rPr>
          <w:sz w:val="20"/>
          <w:szCs w:val="20"/>
          <w:lang w:val="en-US"/>
        </w:rPr>
        <w:t xml:space="preserve">” </w:t>
      </w:r>
      <w:r w:rsidR="00DD2D98" w:rsidRPr="00785D06">
        <w:rPr>
          <w:sz w:val="20"/>
          <w:szCs w:val="20"/>
          <w:lang w:val="en-US"/>
        </w:rPr>
        <w:t xml:space="preserve">and </w:t>
      </w:r>
      <w:r w:rsidRPr="00785D06">
        <w:rPr>
          <w:sz w:val="20"/>
          <w:szCs w:val="20"/>
          <w:lang w:val="en-US"/>
        </w:rPr>
        <w:t xml:space="preserve">that “her childhood </w:t>
      </w:r>
      <w:r w:rsidR="00DD2D98" w:rsidRPr="00785D06">
        <w:rPr>
          <w:sz w:val="20"/>
          <w:szCs w:val="20"/>
          <w:lang w:val="en-US"/>
        </w:rPr>
        <w:t xml:space="preserve">was </w:t>
      </w:r>
      <w:r w:rsidR="00065B6F" w:rsidRPr="00785D06">
        <w:rPr>
          <w:sz w:val="20"/>
          <w:szCs w:val="20"/>
          <w:lang w:val="en-US"/>
        </w:rPr>
        <w:t>changed</w:t>
      </w:r>
      <w:r w:rsidRPr="00785D06">
        <w:rPr>
          <w:sz w:val="20"/>
          <w:szCs w:val="20"/>
          <w:lang w:val="en-US"/>
        </w:rPr>
        <w:t>, it was not normal</w:t>
      </w:r>
      <w:r w:rsidR="008921C4" w:rsidRPr="00785D06">
        <w:rPr>
          <w:sz w:val="20"/>
          <w:szCs w:val="20"/>
          <w:lang w:val="en-US"/>
        </w:rPr>
        <w:t>.”</w:t>
      </w:r>
    </w:p>
    <w:p w14:paraId="499EAF41" w14:textId="77777777" w:rsidR="00C254BF" w:rsidRPr="00785D06" w:rsidRDefault="00C254BF" w:rsidP="00C254BF">
      <w:pPr>
        <w:jc w:val="both"/>
        <w:rPr>
          <w:sz w:val="20"/>
          <w:szCs w:val="20"/>
          <w:lang w:val="en-US"/>
        </w:rPr>
      </w:pPr>
    </w:p>
    <w:p w14:paraId="67B62BA6"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The </w:t>
      </w:r>
      <w:r w:rsidRPr="00785D06">
        <w:rPr>
          <w:b/>
          <w:i/>
          <w:sz w:val="20"/>
          <w:szCs w:val="20"/>
          <w:lang w:val="en-US"/>
        </w:rPr>
        <w:t>State</w:t>
      </w:r>
      <w:r w:rsidRPr="00785D06">
        <w:rPr>
          <w:sz w:val="20"/>
          <w:szCs w:val="20"/>
          <w:lang w:val="en-US"/>
        </w:rPr>
        <w:t xml:space="preserve"> denied its responsibility for </w:t>
      </w:r>
      <w:r w:rsidR="00065B6F" w:rsidRPr="00785D06">
        <w:rPr>
          <w:sz w:val="20"/>
          <w:szCs w:val="20"/>
          <w:lang w:val="en-US"/>
        </w:rPr>
        <w:t xml:space="preserve">affecting </w:t>
      </w:r>
      <w:r w:rsidR="00171A07" w:rsidRPr="00785D06">
        <w:rPr>
          <w:sz w:val="20"/>
          <w:szCs w:val="20"/>
          <w:lang w:val="en-US"/>
        </w:rPr>
        <w:t xml:space="preserve">the </w:t>
      </w:r>
      <w:r w:rsidRPr="00785D06">
        <w:rPr>
          <w:sz w:val="20"/>
          <w:szCs w:val="20"/>
          <w:lang w:val="en-US"/>
        </w:rPr>
        <w:t xml:space="preserve">right to personal integrity of Paola’s </w:t>
      </w:r>
      <w:r w:rsidR="00065B6F" w:rsidRPr="00785D06">
        <w:rPr>
          <w:sz w:val="20"/>
          <w:szCs w:val="20"/>
          <w:lang w:val="en-US"/>
        </w:rPr>
        <w:t xml:space="preserve">family members </w:t>
      </w:r>
      <w:r w:rsidRPr="00785D06">
        <w:rPr>
          <w:sz w:val="20"/>
          <w:szCs w:val="20"/>
          <w:lang w:val="en-US"/>
        </w:rPr>
        <w:t>and, th</w:t>
      </w:r>
      <w:r w:rsidR="00065B6F" w:rsidRPr="00785D06">
        <w:rPr>
          <w:sz w:val="20"/>
          <w:szCs w:val="20"/>
          <w:lang w:val="en-US"/>
        </w:rPr>
        <w:t>erefore</w:t>
      </w:r>
      <w:r w:rsidRPr="00785D06">
        <w:rPr>
          <w:sz w:val="20"/>
          <w:szCs w:val="20"/>
          <w:lang w:val="en-US"/>
        </w:rPr>
        <w:t xml:space="preserve">, for </w:t>
      </w:r>
      <w:r w:rsidR="00D83B45" w:rsidRPr="00785D06">
        <w:rPr>
          <w:sz w:val="20"/>
          <w:szCs w:val="20"/>
          <w:lang w:val="en-US"/>
        </w:rPr>
        <w:t>the alleged violation of</w:t>
      </w:r>
      <w:r w:rsidRPr="00785D06">
        <w:rPr>
          <w:sz w:val="20"/>
          <w:szCs w:val="20"/>
          <w:lang w:val="en-US"/>
        </w:rPr>
        <w:t xml:space="preserve"> Article 5(1) of the Convention. </w:t>
      </w:r>
      <w:r w:rsidR="00171A07" w:rsidRPr="00785D06">
        <w:rPr>
          <w:sz w:val="20"/>
          <w:szCs w:val="20"/>
          <w:lang w:val="en-US"/>
        </w:rPr>
        <w:t xml:space="preserve">It considered </w:t>
      </w:r>
      <w:r w:rsidRPr="00785D06">
        <w:rPr>
          <w:sz w:val="20"/>
          <w:szCs w:val="20"/>
          <w:lang w:val="en-US"/>
        </w:rPr>
        <w:t>“understandable the suffering cau</w:t>
      </w:r>
      <w:r w:rsidR="00D83B45" w:rsidRPr="00785D06">
        <w:rPr>
          <w:sz w:val="20"/>
          <w:szCs w:val="20"/>
          <w:lang w:val="en-US"/>
        </w:rPr>
        <w:t>sed by the death of a loved one</w:t>
      </w:r>
      <w:r w:rsidR="00065B6F" w:rsidRPr="00785D06">
        <w:rPr>
          <w:sz w:val="20"/>
          <w:szCs w:val="20"/>
          <w:lang w:val="en-US"/>
        </w:rPr>
        <w:t>;</w:t>
      </w:r>
      <w:r w:rsidRPr="00785D06">
        <w:rPr>
          <w:sz w:val="20"/>
          <w:szCs w:val="20"/>
          <w:lang w:val="en-US"/>
        </w:rPr>
        <w:t xml:space="preserve">” </w:t>
      </w:r>
      <w:r w:rsidR="00065B6F" w:rsidRPr="00785D06">
        <w:rPr>
          <w:sz w:val="20"/>
          <w:szCs w:val="20"/>
          <w:lang w:val="en-US"/>
        </w:rPr>
        <w:t xml:space="preserve">however, </w:t>
      </w:r>
      <w:r w:rsidRPr="00785D06">
        <w:rPr>
          <w:sz w:val="20"/>
          <w:szCs w:val="20"/>
          <w:lang w:val="en-US"/>
        </w:rPr>
        <w:t xml:space="preserve">based on </w:t>
      </w:r>
      <w:r w:rsidR="00D83B45" w:rsidRPr="00785D06">
        <w:rPr>
          <w:sz w:val="20"/>
          <w:szCs w:val="20"/>
          <w:lang w:val="en-US"/>
        </w:rPr>
        <w:t xml:space="preserve">its previous </w:t>
      </w:r>
      <w:r w:rsidRPr="00785D06">
        <w:rPr>
          <w:sz w:val="20"/>
          <w:szCs w:val="20"/>
          <w:lang w:val="en-US"/>
        </w:rPr>
        <w:t>arguments (</w:t>
      </w:r>
      <w:r w:rsidRPr="00785D06">
        <w:rPr>
          <w:i/>
          <w:sz w:val="20"/>
          <w:szCs w:val="20"/>
          <w:lang w:val="en-US"/>
        </w:rPr>
        <w:t xml:space="preserve">supra </w:t>
      </w:r>
      <w:r w:rsidRPr="00785D06">
        <w:rPr>
          <w:sz w:val="20"/>
          <w:szCs w:val="20"/>
          <w:lang w:val="en-US"/>
        </w:rPr>
        <w:t xml:space="preserve">para. 102), </w:t>
      </w:r>
      <w:r w:rsidR="00065B6F" w:rsidRPr="00785D06">
        <w:rPr>
          <w:sz w:val="20"/>
          <w:szCs w:val="20"/>
          <w:lang w:val="en-US"/>
        </w:rPr>
        <w:t xml:space="preserve">it </w:t>
      </w:r>
      <w:r w:rsidRPr="00785D06">
        <w:rPr>
          <w:sz w:val="20"/>
          <w:szCs w:val="20"/>
          <w:lang w:val="en-US"/>
        </w:rPr>
        <w:t xml:space="preserve">denied responsibility for her death. It </w:t>
      </w:r>
      <w:r w:rsidR="00065B6F" w:rsidRPr="00785D06">
        <w:rPr>
          <w:sz w:val="20"/>
          <w:szCs w:val="20"/>
          <w:lang w:val="en-US"/>
        </w:rPr>
        <w:t xml:space="preserve">also </w:t>
      </w:r>
      <w:r w:rsidR="005C029A" w:rsidRPr="00785D06">
        <w:rPr>
          <w:sz w:val="20"/>
          <w:szCs w:val="20"/>
          <w:lang w:val="en-US"/>
        </w:rPr>
        <w:t xml:space="preserve">denied </w:t>
      </w:r>
      <w:r w:rsidRPr="00785D06">
        <w:rPr>
          <w:sz w:val="20"/>
          <w:szCs w:val="20"/>
          <w:lang w:val="en-US"/>
        </w:rPr>
        <w:t xml:space="preserve">that </w:t>
      </w:r>
      <w:r w:rsidR="00065B6F" w:rsidRPr="00785D06">
        <w:rPr>
          <w:sz w:val="20"/>
          <w:szCs w:val="20"/>
          <w:lang w:val="en-US"/>
        </w:rPr>
        <w:t>“</w:t>
      </w:r>
      <w:r w:rsidRPr="00785D06">
        <w:rPr>
          <w:sz w:val="20"/>
          <w:szCs w:val="20"/>
          <w:lang w:val="en-US"/>
        </w:rPr>
        <w:t>the State’s lack of action</w:t>
      </w:r>
      <w:r w:rsidR="00065B6F" w:rsidRPr="00785D06">
        <w:rPr>
          <w:sz w:val="20"/>
          <w:szCs w:val="20"/>
          <w:lang w:val="en-US"/>
        </w:rPr>
        <w:t xml:space="preserve"> [had] aggravated</w:t>
      </w:r>
      <w:r w:rsidR="005C029A" w:rsidRPr="00785D06">
        <w:rPr>
          <w:sz w:val="20"/>
          <w:szCs w:val="20"/>
          <w:lang w:val="en-US"/>
        </w:rPr>
        <w:t>”</w:t>
      </w:r>
      <w:r w:rsidRPr="00785D06">
        <w:rPr>
          <w:sz w:val="20"/>
          <w:szCs w:val="20"/>
          <w:lang w:val="en-US"/>
        </w:rPr>
        <w:t xml:space="preserve"> </w:t>
      </w:r>
      <w:r w:rsidR="00065B6F" w:rsidRPr="00785D06">
        <w:rPr>
          <w:sz w:val="20"/>
          <w:szCs w:val="20"/>
          <w:lang w:val="en-US"/>
        </w:rPr>
        <w:t xml:space="preserve">their situation, </w:t>
      </w:r>
      <w:r w:rsidR="005C029A" w:rsidRPr="00785D06">
        <w:rPr>
          <w:sz w:val="20"/>
          <w:szCs w:val="20"/>
          <w:lang w:val="en-US"/>
        </w:rPr>
        <w:t xml:space="preserve">arguing that it had </w:t>
      </w:r>
      <w:r w:rsidRPr="00785D06">
        <w:rPr>
          <w:sz w:val="20"/>
          <w:szCs w:val="20"/>
          <w:lang w:val="en-US"/>
        </w:rPr>
        <w:t>p</w:t>
      </w:r>
      <w:r w:rsidR="005C029A" w:rsidRPr="00785D06">
        <w:rPr>
          <w:sz w:val="20"/>
          <w:szCs w:val="20"/>
          <w:lang w:val="en-US"/>
        </w:rPr>
        <w:t>rovided an “immediate response”</w:t>
      </w:r>
      <w:r w:rsidRPr="00785D06">
        <w:rPr>
          <w:sz w:val="20"/>
          <w:szCs w:val="20"/>
          <w:lang w:val="en-US"/>
        </w:rPr>
        <w:t xml:space="preserve"> and that Paola’s family “</w:t>
      </w:r>
      <w:r w:rsidR="002F65C0" w:rsidRPr="00785D06">
        <w:rPr>
          <w:sz w:val="20"/>
          <w:szCs w:val="20"/>
          <w:lang w:val="en-US"/>
        </w:rPr>
        <w:t xml:space="preserve">had </w:t>
      </w:r>
      <w:r w:rsidRPr="00785D06">
        <w:rPr>
          <w:sz w:val="20"/>
          <w:szCs w:val="20"/>
          <w:lang w:val="en-US"/>
        </w:rPr>
        <w:t xml:space="preserve">all </w:t>
      </w:r>
      <w:r w:rsidR="005C029A" w:rsidRPr="00785D06">
        <w:rPr>
          <w:sz w:val="20"/>
          <w:szCs w:val="20"/>
          <w:lang w:val="en-US"/>
        </w:rPr>
        <w:t xml:space="preserve">available </w:t>
      </w:r>
      <w:r w:rsidRPr="00785D06">
        <w:rPr>
          <w:sz w:val="20"/>
          <w:szCs w:val="20"/>
          <w:lang w:val="en-US"/>
        </w:rPr>
        <w:t>re</w:t>
      </w:r>
      <w:r w:rsidR="002F65C0" w:rsidRPr="00785D06">
        <w:rPr>
          <w:sz w:val="20"/>
          <w:szCs w:val="20"/>
          <w:lang w:val="en-US"/>
        </w:rPr>
        <w:t xml:space="preserve">medies </w:t>
      </w:r>
      <w:r w:rsidR="005C029A" w:rsidRPr="00785D06">
        <w:rPr>
          <w:sz w:val="20"/>
          <w:szCs w:val="20"/>
          <w:lang w:val="en-US"/>
        </w:rPr>
        <w:t xml:space="preserve">to </w:t>
      </w:r>
      <w:r w:rsidR="002F65C0" w:rsidRPr="00785D06">
        <w:rPr>
          <w:sz w:val="20"/>
          <w:szCs w:val="20"/>
          <w:lang w:val="en-US"/>
        </w:rPr>
        <w:t xml:space="preserve">resolve </w:t>
      </w:r>
      <w:r w:rsidR="00065B6F" w:rsidRPr="00785D06">
        <w:rPr>
          <w:sz w:val="20"/>
          <w:szCs w:val="20"/>
          <w:lang w:val="en-US"/>
        </w:rPr>
        <w:t>their</w:t>
      </w:r>
      <w:r w:rsidRPr="00785D06">
        <w:rPr>
          <w:sz w:val="20"/>
          <w:szCs w:val="20"/>
          <w:lang w:val="en-US"/>
        </w:rPr>
        <w:t xml:space="preserve"> </w:t>
      </w:r>
      <w:r w:rsidR="005C029A" w:rsidRPr="00785D06">
        <w:rPr>
          <w:sz w:val="20"/>
          <w:szCs w:val="20"/>
          <w:lang w:val="en-US"/>
        </w:rPr>
        <w:t xml:space="preserve">specific </w:t>
      </w:r>
      <w:r w:rsidRPr="00785D06">
        <w:rPr>
          <w:sz w:val="20"/>
          <w:szCs w:val="20"/>
          <w:lang w:val="en-US"/>
        </w:rPr>
        <w:t xml:space="preserve">legal situation.” </w:t>
      </w:r>
      <w:r w:rsidR="00864596" w:rsidRPr="00785D06">
        <w:rPr>
          <w:sz w:val="20"/>
          <w:szCs w:val="20"/>
          <w:lang w:val="en-US"/>
        </w:rPr>
        <w:t xml:space="preserve">It emphasized </w:t>
      </w:r>
      <w:r w:rsidRPr="00785D06">
        <w:rPr>
          <w:sz w:val="20"/>
          <w:szCs w:val="20"/>
          <w:lang w:val="en-US"/>
        </w:rPr>
        <w:t xml:space="preserve">that </w:t>
      </w:r>
      <w:r w:rsidR="005C029A" w:rsidRPr="00785D06">
        <w:rPr>
          <w:sz w:val="20"/>
          <w:szCs w:val="20"/>
          <w:lang w:val="en-US"/>
        </w:rPr>
        <w:t>“</w:t>
      </w:r>
      <w:r w:rsidRPr="00785D06">
        <w:rPr>
          <w:sz w:val="20"/>
          <w:szCs w:val="20"/>
          <w:lang w:val="en-US"/>
        </w:rPr>
        <w:t xml:space="preserve">a reasonable and effective official investigation” </w:t>
      </w:r>
      <w:r w:rsidR="005C029A" w:rsidRPr="00785D06">
        <w:rPr>
          <w:sz w:val="20"/>
          <w:szCs w:val="20"/>
          <w:lang w:val="en-US"/>
        </w:rPr>
        <w:t xml:space="preserve">was carried out </w:t>
      </w:r>
      <w:r w:rsidRPr="00785D06">
        <w:rPr>
          <w:sz w:val="20"/>
          <w:szCs w:val="20"/>
          <w:lang w:val="en-US"/>
        </w:rPr>
        <w:t xml:space="preserve">and that </w:t>
      </w:r>
      <w:r w:rsidR="00065B6F" w:rsidRPr="00785D06">
        <w:rPr>
          <w:sz w:val="20"/>
          <w:szCs w:val="20"/>
          <w:lang w:val="en-US"/>
        </w:rPr>
        <w:t xml:space="preserve">her </w:t>
      </w:r>
      <w:r w:rsidR="00F96EA6" w:rsidRPr="00785D06">
        <w:rPr>
          <w:sz w:val="20"/>
          <w:szCs w:val="20"/>
          <w:lang w:val="en-US"/>
        </w:rPr>
        <w:t xml:space="preserve">relatives </w:t>
      </w:r>
      <w:r w:rsidR="00065B6F" w:rsidRPr="00785D06">
        <w:rPr>
          <w:sz w:val="20"/>
          <w:szCs w:val="20"/>
          <w:lang w:val="en-US"/>
        </w:rPr>
        <w:t xml:space="preserve">had participated “not only </w:t>
      </w:r>
      <w:r w:rsidR="00F96EA6" w:rsidRPr="00785D06">
        <w:rPr>
          <w:sz w:val="20"/>
          <w:szCs w:val="20"/>
          <w:lang w:val="en-US"/>
        </w:rPr>
        <w:t xml:space="preserve">in the criminal and administrative proceedings, but also in civil </w:t>
      </w:r>
      <w:r w:rsidR="00065B6F" w:rsidRPr="00785D06">
        <w:rPr>
          <w:sz w:val="20"/>
          <w:szCs w:val="20"/>
          <w:lang w:val="en-US"/>
        </w:rPr>
        <w:t xml:space="preserve">court by filing an </w:t>
      </w:r>
      <w:r w:rsidR="00864596" w:rsidRPr="00785D06">
        <w:rPr>
          <w:sz w:val="20"/>
          <w:szCs w:val="20"/>
          <w:lang w:val="en-US"/>
        </w:rPr>
        <w:t>ordinary</w:t>
      </w:r>
      <w:r w:rsidRPr="00785D06">
        <w:rPr>
          <w:sz w:val="20"/>
          <w:szCs w:val="20"/>
          <w:lang w:val="en-US"/>
        </w:rPr>
        <w:t xml:space="preserve"> </w:t>
      </w:r>
      <w:r w:rsidR="00864596" w:rsidRPr="00785D06">
        <w:rPr>
          <w:sz w:val="20"/>
          <w:szCs w:val="20"/>
          <w:lang w:val="en-US"/>
        </w:rPr>
        <w:t xml:space="preserve">lawsuit for </w:t>
      </w:r>
      <w:r w:rsidRPr="00785D06">
        <w:rPr>
          <w:sz w:val="20"/>
          <w:szCs w:val="20"/>
          <w:lang w:val="en-US"/>
        </w:rPr>
        <w:t>moral damage</w:t>
      </w:r>
      <w:r w:rsidR="00F96EA6" w:rsidRPr="00785D06">
        <w:rPr>
          <w:sz w:val="20"/>
          <w:szCs w:val="20"/>
          <w:lang w:val="en-US"/>
        </w:rPr>
        <w:t>s</w:t>
      </w:r>
      <w:r w:rsidR="00864596" w:rsidRPr="00785D06">
        <w:rPr>
          <w:sz w:val="20"/>
          <w:szCs w:val="20"/>
          <w:lang w:val="en-US"/>
        </w:rPr>
        <w:t>.”</w:t>
      </w:r>
    </w:p>
    <w:p w14:paraId="52B573BE" w14:textId="77777777" w:rsidR="00C254BF" w:rsidRPr="00785D06" w:rsidRDefault="00C254BF" w:rsidP="00C254BF">
      <w:pPr>
        <w:jc w:val="both"/>
        <w:rPr>
          <w:sz w:val="20"/>
          <w:lang w:val="en-US"/>
        </w:rPr>
      </w:pPr>
    </w:p>
    <w:p w14:paraId="16262435" w14:textId="77777777" w:rsidR="00C254BF" w:rsidRPr="00785D06" w:rsidRDefault="00C254BF" w:rsidP="00C254BF">
      <w:pPr>
        <w:pStyle w:val="Ttulo2"/>
        <w:numPr>
          <w:ilvl w:val="0"/>
          <w:numId w:val="4"/>
        </w:numPr>
        <w:spacing w:before="0" w:line="240" w:lineRule="auto"/>
        <w:ind w:left="284" w:hanging="11"/>
        <w:jc w:val="both"/>
        <w:rPr>
          <w:rFonts w:ascii="Verdana" w:hAnsi="Verdana"/>
          <w:b/>
          <w:i/>
          <w:color w:val="auto"/>
          <w:sz w:val="20"/>
          <w:lang w:val="en-US"/>
        </w:rPr>
      </w:pPr>
      <w:bookmarkStart w:id="152" w:name="_Toc40466565"/>
      <w:bookmarkStart w:id="153" w:name="_Toc42498068"/>
      <w:bookmarkStart w:id="154" w:name="_Toc46937316"/>
      <w:r w:rsidRPr="00785D06">
        <w:rPr>
          <w:rFonts w:ascii="Verdana" w:hAnsi="Verdana"/>
          <w:b/>
          <w:i/>
          <w:color w:val="auto"/>
          <w:sz w:val="20"/>
          <w:lang w:val="en-US"/>
        </w:rPr>
        <w:t>Considerations of the Court</w:t>
      </w:r>
      <w:bookmarkEnd w:id="152"/>
      <w:bookmarkEnd w:id="153"/>
      <w:bookmarkEnd w:id="154"/>
    </w:p>
    <w:p w14:paraId="5047B31C" w14:textId="77777777" w:rsidR="00C254BF" w:rsidRPr="00785D06" w:rsidRDefault="00C254BF" w:rsidP="00C254BF">
      <w:pPr>
        <w:pStyle w:val="Prrafodelista"/>
        <w:rPr>
          <w:sz w:val="20"/>
          <w:lang w:val="en-US"/>
        </w:rPr>
      </w:pPr>
    </w:p>
    <w:p w14:paraId="69AF194D" w14:textId="77777777" w:rsidR="00C254BF" w:rsidRPr="00785D06" w:rsidRDefault="00171A07" w:rsidP="00C254BF">
      <w:pPr>
        <w:pStyle w:val="Prrafodelista"/>
        <w:numPr>
          <w:ilvl w:val="0"/>
          <w:numId w:val="35"/>
        </w:numPr>
        <w:ind w:left="0" w:firstLine="0"/>
        <w:contextualSpacing w:val="0"/>
        <w:jc w:val="both"/>
        <w:rPr>
          <w:sz w:val="20"/>
          <w:szCs w:val="20"/>
          <w:lang w:val="en-US"/>
        </w:rPr>
      </w:pPr>
      <w:r w:rsidRPr="00785D06">
        <w:rPr>
          <w:sz w:val="20"/>
          <w:lang w:val="en-US"/>
        </w:rPr>
        <w:t xml:space="preserve">The Court has </w:t>
      </w:r>
      <w:r w:rsidR="00C254BF" w:rsidRPr="00785D06">
        <w:rPr>
          <w:sz w:val="20"/>
          <w:lang w:val="en-US"/>
        </w:rPr>
        <w:t>repeated</w:t>
      </w:r>
      <w:r w:rsidR="00AE3FA5" w:rsidRPr="00785D06">
        <w:rPr>
          <w:sz w:val="20"/>
          <w:lang w:val="en-US"/>
        </w:rPr>
        <w:t>ly affirmed</w:t>
      </w:r>
      <w:r w:rsidR="00C254BF" w:rsidRPr="00785D06">
        <w:rPr>
          <w:sz w:val="20"/>
          <w:lang w:val="en-US"/>
        </w:rPr>
        <w:t xml:space="preserve"> that the </w:t>
      </w:r>
      <w:r w:rsidR="002B5B7B" w:rsidRPr="00785D06">
        <w:rPr>
          <w:sz w:val="20"/>
          <w:lang w:val="en-US"/>
        </w:rPr>
        <w:t xml:space="preserve">family members </w:t>
      </w:r>
      <w:r w:rsidR="00C254BF" w:rsidRPr="00785D06">
        <w:rPr>
          <w:sz w:val="20"/>
          <w:lang w:val="en-US"/>
        </w:rPr>
        <w:t>of victims of human rights violations may, in turn, be victims.</w:t>
      </w:r>
      <w:r w:rsidR="00C254BF" w:rsidRPr="00785D06">
        <w:rPr>
          <w:rStyle w:val="Refdenotaalpie"/>
          <w:sz w:val="20"/>
          <w:lang w:val="en-US"/>
        </w:rPr>
        <w:footnoteReference w:id="190"/>
      </w:r>
      <w:r w:rsidR="00C254BF" w:rsidRPr="00785D06">
        <w:rPr>
          <w:sz w:val="20"/>
          <w:lang w:val="en-US"/>
        </w:rPr>
        <w:t xml:space="preserve"> In this regard, the Court has </w:t>
      </w:r>
      <w:r w:rsidR="00864596" w:rsidRPr="00785D06">
        <w:rPr>
          <w:sz w:val="20"/>
          <w:lang w:val="en-US"/>
        </w:rPr>
        <w:t xml:space="preserve">indicated that </w:t>
      </w:r>
      <w:r w:rsidR="00F96EA6" w:rsidRPr="00785D06">
        <w:rPr>
          <w:sz w:val="20"/>
          <w:lang w:val="en-US"/>
        </w:rPr>
        <w:t xml:space="preserve">it </w:t>
      </w:r>
      <w:r w:rsidR="00864596" w:rsidRPr="00785D06">
        <w:rPr>
          <w:sz w:val="20"/>
          <w:lang w:val="en-US"/>
        </w:rPr>
        <w:t xml:space="preserve">can </w:t>
      </w:r>
      <w:r w:rsidR="00864596" w:rsidRPr="00785D06">
        <w:rPr>
          <w:sz w:val="20"/>
          <w:szCs w:val="20"/>
          <w:lang w:val="en-US"/>
        </w:rPr>
        <w:t>declare</w:t>
      </w:r>
      <w:r w:rsidR="00C254BF" w:rsidRPr="00785D06">
        <w:rPr>
          <w:sz w:val="20"/>
          <w:szCs w:val="20"/>
          <w:lang w:val="en-US"/>
        </w:rPr>
        <w:t xml:space="preserve"> </w:t>
      </w:r>
      <w:r w:rsidR="00F96EA6" w:rsidRPr="00785D06">
        <w:rPr>
          <w:sz w:val="20"/>
          <w:szCs w:val="20"/>
          <w:lang w:val="en-US"/>
        </w:rPr>
        <w:t xml:space="preserve">a violation of the right to physical and moral integrity of the direct next of kin of victims of certain human rights </w:t>
      </w:r>
      <w:r w:rsidR="000A06AA" w:rsidRPr="00785D06">
        <w:rPr>
          <w:sz w:val="20"/>
          <w:szCs w:val="20"/>
          <w:lang w:val="en-US"/>
        </w:rPr>
        <w:t xml:space="preserve">violations </w:t>
      </w:r>
      <w:r w:rsidR="00F96EA6" w:rsidRPr="00785D06">
        <w:rPr>
          <w:sz w:val="20"/>
          <w:szCs w:val="20"/>
          <w:lang w:val="en-US"/>
        </w:rPr>
        <w:t xml:space="preserve">by applying a </w:t>
      </w:r>
      <w:r w:rsidR="00F96EA6" w:rsidRPr="00785D06">
        <w:rPr>
          <w:i/>
          <w:sz w:val="20"/>
          <w:szCs w:val="20"/>
          <w:lang w:val="en-US"/>
        </w:rPr>
        <w:t>iuris tantum</w:t>
      </w:r>
      <w:r w:rsidR="00F96EA6" w:rsidRPr="00785D06">
        <w:rPr>
          <w:sz w:val="20"/>
          <w:szCs w:val="20"/>
          <w:lang w:val="en-US"/>
        </w:rPr>
        <w:t xml:space="preserve"> </w:t>
      </w:r>
      <w:r w:rsidR="000A06AA" w:rsidRPr="00785D06">
        <w:rPr>
          <w:sz w:val="20"/>
          <w:szCs w:val="20"/>
          <w:lang w:val="en-US"/>
        </w:rPr>
        <w:t>presumption with regard to</w:t>
      </w:r>
      <w:r w:rsidR="00F96EA6" w:rsidRPr="00785D06">
        <w:rPr>
          <w:sz w:val="20"/>
          <w:szCs w:val="20"/>
          <w:lang w:val="en-US"/>
        </w:rPr>
        <w:t xml:space="preserve"> mothers and fathers</w:t>
      </w:r>
      <w:r w:rsidR="00C254BF" w:rsidRPr="00785D06">
        <w:rPr>
          <w:sz w:val="20"/>
          <w:szCs w:val="20"/>
          <w:lang w:val="en-US"/>
        </w:rPr>
        <w:t>,</w:t>
      </w:r>
      <w:r w:rsidR="00C254BF" w:rsidRPr="00785D06">
        <w:rPr>
          <w:sz w:val="20"/>
          <w:lang w:val="en-US"/>
        </w:rPr>
        <w:t xml:space="preserve"> </w:t>
      </w:r>
      <w:r w:rsidR="00F96EA6" w:rsidRPr="00785D06">
        <w:rPr>
          <w:sz w:val="20"/>
          <w:lang w:val="en-US"/>
        </w:rPr>
        <w:t xml:space="preserve">sons and </w:t>
      </w:r>
      <w:r w:rsidR="00C254BF" w:rsidRPr="00785D06">
        <w:rPr>
          <w:sz w:val="20"/>
          <w:lang w:val="en-US"/>
        </w:rPr>
        <w:t xml:space="preserve">daughters, husbands </w:t>
      </w:r>
      <w:r w:rsidR="00C254BF" w:rsidRPr="00785D06">
        <w:rPr>
          <w:sz w:val="20"/>
          <w:szCs w:val="20"/>
          <w:lang w:val="en-US"/>
        </w:rPr>
        <w:t xml:space="preserve">and wives, and permanent </w:t>
      </w:r>
      <w:r w:rsidR="007C7218" w:rsidRPr="00785D06">
        <w:rPr>
          <w:sz w:val="20"/>
          <w:szCs w:val="20"/>
          <w:lang w:val="en-US"/>
        </w:rPr>
        <w:t xml:space="preserve">domestic </w:t>
      </w:r>
      <w:r w:rsidR="00C254BF" w:rsidRPr="00785D06">
        <w:rPr>
          <w:sz w:val="20"/>
          <w:szCs w:val="20"/>
          <w:lang w:val="en-US"/>
        </w:rPr>
        <w:t>partners, as well as brothers and sisters,</w:t>
      </w:r>
      <w:r w:rsidR="00C254BF" w:rsidRPr="00785D06">
        <w:rPr>
          <w:rStyle w:val="Refdenotaalpie"/>
          <w:sz w:val="20"/>
          <w:szCs w:val="20"/>
          <w:lang w:val="en-US"/>
        </w:rPr>
        <w:footnoteReference w:id="191"/>
      </w:r>
      <w:r w:rsidR="007C7218" w:rsidRPr="00785D06">
        <w:rPr>
          <w:sz w:val="20"/>
          <w:szCs w:val="20"/>
          <w:lang w:val="en-US"/>
        </w:rPr>
        <w:t xml:space="preserve"> </w:t>
      </w:r>
      <w:r w:rsidR="002B5B7B" w:rsidRPr="00785D06">
        <w:rPr>
          <w:sz w:val="20"/>
          <w:szCs w:val="20"/>
          <w:lang w:val="en-US"/>
        </w:rPr>
        <w:t xml:space="preserve">provided that </w:t>
      </w:r>
      <w:r w:rsidR="007C7218" w:rsidRPr="00785D06">
        <w:rPr>
          <w:sz w:val="20"/>
          <w:szCs w:val="20"/>
          <w:lang w:val="en-US"/>
        </w:rPr>
        <w:t>this corresponds to the particular circumstances of the case</w:t>
      </w:r>
      <w:r w:rsidR="00C254BF" w:rsidRPr="00785D06">
        <w:rPr>
          <w:sz w:val="20"/>
          <w:szCs w:val="20"/>
          <w:lang w:val="en-US"/>
        </w:rPr>
        <w:t xml:space="preserve">. </w:t>
      </w:r>
      <w:r w:rsidR="000A06AA" w:rsidRPr="00785D06">
        <w:rPr>
          <w:sz w:val="20"/>
          <w:szCs w:val="20"/>
          <w:lang w:val="en-US"/>
        </w:rPr>
        <w:t xml:space="preserve">Regarding </w:t>
      </w:r>
      <w:r w:rsidR="007C7218" w:rsidRPr="00785D06">
        <w:rPr>
          <w:sz w:val="20"/>
          <w:szCs w:val="20"/>
          <w:lang w:val="en-US"/>
        </w:rPr>
        <w:t xml:space="preserve">those </w:t>
      </w:r>
      <w:r w:rsidR="00C254BF" w:rsidRPr="00785D06">
        <w:rPr>
          <w:sz w:val="20"/>
          <w:lang w:val="en-US"/>
        </w:rPr>
        <w:t xml:space="preserve">direct relatives, </w:t>
      </w:r>
      <w:r w:rsidR="002F65C0" w:rsidRPr="00785D06">
        <w:rPr>
          <w:sz w:val="20"/>
          <w:lang w:val="en-US"/>
        </w:rPr>
        <w:t xml:space="preserve">it is for </w:t>
      </w:r>
      <w:r w:rsidR="00C254BF" w:rsidRPr="00785D06">
        <w:rPr>
          <w:sz w:val="20"/>
          <w:lang w:val="en-US"/>
        </w:rPr>
        <w:t xml:space="preserve">the State </w:t>
      </w:r>
      <w:r w:rsidR="002F65C0" w:rsidRPr="00785D06">
        <w:rPr>
          <w:sz w:val="20"/>
          <w:lang w:val="en-US"/>
        </w:rPr>
        <w:t xml:space="preserve">to </w:t>
      </w:r>
      <w:r w:rsidR="007C7218" w:rsidRPr="00785D06">
        <w:rPr>
          <w:sz w:val="20"/>
          <w:lang w:val="en-US"/>
        </w:rPr>
        <w:t xml:space="preserve">rebut </w:t>
      </w:r>
      <w:r w:rsidR="00C254BF" w:rsidRPr="00785D06">
        <w:rPr>
          <w:sz w:val="20"/>
          <w:lang w:val="en-US"/>
        </w:rPr>
        <w:t>that presumption.</w:t>
      </w:r>
      <w:r w:rsidR="00C254BF" w:rsidRPr="00785D06">
        <w:rPr>
          <w:rStyle w:val="Refdenotaalpie"/>
          <w:sz w:val="20"/>
          <w:lang w:val="en-US"/>
        </w:rPr>
        <w:footnoteReference w:id="192"/>
      </w:r>
      <w:r w:rsidR="00C254BF" w:rsidRPr="00785D06">
        <w:rPr>
          <w:sz w:val="20"/>
          <w:lang w:val="en-US"/>
        </w:rPr>
        <w:t xml:space="preserve"> On this </w:t>
      </w:r>
      <w:r w:rsidR="002B5B7B" w:rsidRPr="00785D06">
        <w:rPr>
          <w:sz w:val="20"/>
          <w:lang w:val="en-US"/>
        </w:rPr>
        <w:t>matter</w:t>
      </w:r>
      <w:r w:rsidR="00C254BF" w:rsidRPr="00785D06">
        <w:rPr>
          <w:sz w:val="20"/>
          <w:lang w:val="en-US"/>
        </w:rPr>
        <w:t xml:space="preserve">, the Court has considered </w:t>
      </w:r>
      <w:r w:rsidR="007C7218" w:rsidRPr="00785D06">
        <w:rPr>
          <w:sz w:val="20"/>
          <w:szCs w:val="20"/>
          <w:lang w:val="en-US"/>
        </w:rPr>
        <w:t xml:space="preserve">that </w:t>
      </w:r>
      <w:r w:rsidR="00A66036" w:rsidRPr="00785D06">
        <w:rPr>
          <w:sz w:val="20"/>
          <w:szCs w:val="20"/>
          <w:lang w:val="en-US"/>
        </w:rPr>
        <w:t>the right to m</w:t>
      </w:r>
      <w:r w:rsidR="000A06AA" w:rsidRPr="00785D06">
        <w:rPr>
          <w:sz w:val="20"/>
          <w:szCs w:val="20"/>
          <w:lang w:val="en-US"/>
        </w:rPr>
        <w:t>ental and moral integrity of the</w:t>
      </w:r>
      <w:r w:rsidR="00A66036" w:rsidRPr="00785D06">
        <w:rPr>
          <w:sz w:val="20"/>
          <w:szCs w:val="20"/>
          <w:lang w:val="en-US"/>
        </w:rPr>
        <w:t xml:space="preserve"> </w:t>
      </w:r>
      <w:r w:rsidR="000A06AA" w:rsidRPr="00785D06">
        <w:rPr>
          <w:sz w:val="20"/>
          <w:szCs w:val="20"/>
          <w:lang w:val="en-US"/>
        </w:rPr>
        <w:t xml:space="preserve">victims’ </w:t>
      </w:r>
      <w:r w:rsidR="00A66036" w:rsidRPr="00785D06">
        <w:rPr>
          <w:sz w:val="20"/>
          <w:szCs w:val="20"/>
          <w:lang w:val="en-US"/>
        </w:rPr>
        <w:t xml:space="preserve">next of kin has been violated because of the additional anguish they have suffered as a result of the particular circumstances of the violations perpetrated against their loved ones </w:t>
      </w:r>
      <w:r w:rsidR="00C254BF" w:rsidRPr="00785D06">
        <w:rPr>
          <w:sz w:val="20"/>
          <w:szCs w:val="20"/>
          <w:lang w:val="en-US"/>
        </w:rPr>
        <w:t xml:space="preserve">and </w:t>
      </w:r>
      <w:r w:rsidR="00A66036" w:rsidRPr="00785D06">
        <w:rPr>
          <w:sz w:val="20"/>
          <w:szCs w:val="20"/>
          <w:lang w:val="en-US"/>
        </w:rPr>
        <w:t>because of the subsequent acts or omissions of State authorities with regard to the facts</w:t>
      </w:r>
      <w:r w:rsidR="002F65C0" w:rsidRPr="00785D06">
        <w:rPr>
          <w:sz w:val="20"/>
          <w:lang w:val="en-US"/>
        </w:rPr>
        <w:t>.</w:t>
      </w:r>
      <w:r w:rsidR="00C254BF" w:rsidRPr="00785D06">
        <w:rPr>
          <w:rStyle w:val="Refdenotaalpie"/>
          <w:sz w:val="20"/>
          <w:lang w:val="en-US"/>
        </w:rPr>
        <w:footnoteReference w:id="193"/>
      </w:r>
      <w:r w:rsidR="00C254BF" w:rsidRPr="00785D06">
        <w:rPr>
          <w:sz w:val="20"/>
          <w:lang w:val="en-US"/>
        </w:rPr>
        <w:t xml:space="preserve"> </w:t>
      </w:r>
    </w:p>
    <w:p w14:paraId="7D6AA0E5" w14:textId="77777777" w:rsidR="00C254BF" w:rsidRPr="00785D06" w:rsidRDefault="00C254BF" w:rsidP="00C254BF">
      <w:pPr>
        <w:pStyle w:val="Prrafodelista"/>
        <w:ind w:left="0"/>
        <w:contextualSpacing w:val="0"/>
        <w:jc w:val="both"/>
        <w:rPr>
          <w:sz w:val="20"/>
          <w:szCs w:val="20"/>
          <w:lang w:val="en-US"/>
        </w:rPr>
      </w:pPr>
    </w:p>
    <w:p w14:paraId="7EAB700B" w14:textId="77777777" w:rsidR="00C254BF" w:rsidRPr="00785D06" w:rsidRDefault="000A06AA" w:rsidP="00C254BF">
      <w:pPr>
        <w:pStyle w:val="Prrafodelista"/>
        <w:numPr>
          <w:ilvl w:val="0"/>
          <w:numId w:val="35"/>
        </w:numPr>
        <w:ind w:left="0" w:firstLine="0"/>
        <w:contextualSpacing w:val="0"/>
        <w:jc w:val="both"/>
        <w:rPr>
          <w:sz w:val="20"/>
          <w:szCs w:val="20"/>
          <w:lang w:val="en-US"/>
        </w:rPr>
      </w:pPr>
      <w:r w:rsidRPr="00785D06">
        <w:rPr>
          <w:sz w:val="20"/>
          <w:szCs w:val="20"/>
          <w:lang w:val="en-US"/>
        </w:rPr>
        <w:t>T</w:t>
      </w:r>
      <w:r w:rsidR="001E307D" w:rsidRPr="00785D06">
        <w:rPr>
          <w:sz w:val="20"/>
          <w:szCs w:val="20"/>
          <w:lang w:val="en-US"/>
        </w:rPr>
        <w:t xml:space="preserve">he Court </w:t>
      </w:r>
      <w:r w:rsidR="00057812" w:rsidRPr="00785D06">
        <w:rPr>
          <w:sz w:val="20"/>
          <w:szCs w:val="20"/>
          <w:lang w:val="en-US"/>
        </w:rPr>
        <w:t xml:space="preserve">also </w:t>
      </w:r>
      <w:r w:rsidR="001E307D" w:rsidRPr="00785D06">
        <w:rPr>
          <w:sz w:val="20"/>
          <w:szCs w:val="20"/>
          <w:lang w:val="en-US"/>
        </w:rPr>
        <w:t xml:space="preserve">points out </w:t>
      </w:r>
      <w:r w:rsidR="00C254BF" w:rsidRPr="00785D06">
        <w:rPr>
          <w:sz w:val="20"/>
          <w:szCs w:val="20"/>
          <w:lang w:val="en-US"/>
        </w:rPr>
        <w:t xml:space="preserve">that the State accepted that </w:t>
      </w:r>
      <w:r w:rsidR="001E307D" w:rsidRPr="00785D06">
        <w:rPr>
          <w:sz w:val="20"/>
          <w:szCs w:val="20"/>
          <w:lang w:val="en-US"/>
        </w:rPr>
        <w:t xml:space="preserve">the rights of </w:t>
      </w:r>
      <w:r w:rsidR="00C254BF" w:rsidRPr="00785D06">
        <w:rPr>
          <w:sz w:val="20"/>
          <w:szCs w:val="20"/>
          <w:lang w:val="en-US"/>
        </w:rPr>
        <w:t>Paola Guzmán</w:t>
      </w:r>
      <w:r w:rsidR="001E307D" w:rsidRPr="00785D06">
        <w:rPr>
          <w:sz w:val="20"/>
          <w:szCs w:val="20"/>
          <w:lang w:val="en-US"/>
        </w:rPr>
        <w:t xml:space="preserve">’s </w:t>
      </w:r>
      <w:r w:rsidRPr="00785D06">
        <w:rPr>
          <w:sz w:val="20"/>
          <w:szCs w:val="20"/>
          <w:lang w:val="en-US"/>
        </w:rPr>
        <w:t xml:space="preserve">family members </w:t>
      </w:r>
      <w:r w:rsidR="00C40961" w:rsidRPr="00785D06">
        <w:rPr>
          <w:sz w:val="20"/>
          <w:szCs w:val="20"/>
          <w:lang w:val="en-US"/>
        </w:rPr>
        <w:t xml:space="preserve">may </w:t>
      </w:r>
      <w:r w:rsidR="00C254BF" w:rsidRPr="00785D06">
        <w:rPr>
          <w:sz w:val="20"/>
          <w:szCs w:val="20"/>
          <w:lang w:val="en-US"/>
        </w:rPr>
        <w:t xml:space="preserve">have </w:t>
      </w:r>
      <w:r w:rsidR="001E307D" w:rsidRPr="00785D06">
        <w:rPr>
          <w:sz w:val="20"/>
          <w:szCs w:val="20"/>
          <w:lang w:val="en-US"/>
        </w:rPr>
        <w:t xml:space="preserve">been </w:t>
      </w:r>
      <w:r w:rsidR="00C254BF" w:rsidRPr="00785D06">
        <w:rPr>
          <w:sz w:val="20"/>
          <w:szCs w:val="20"/>
          <w:lang w:val="en-US"/>
        </w:rPr>
        <w:t>impaired (</w:t>
      </w:r>
      <w:r w:rsidR="00C254BF" w:rsidRPr="00785D06">
        <w:rPr>
          <w:i/>
          <w:sz w:val="20"/>
          <w:szCs w:val="20"/>
          <w:lang w:val="en-US"/>
        </w:rPr>
        <w:t xml:space="preserve">supra </w:t>
      </w:r>
      <w:r w:rsidR="00C254BF" w:rsidRPr="00785D06">
        <w:rPr>
          <w:sz w:val="20"/>
          <w:szCs w:val="20"/>
          <w:lang w:val="en-US"/>
        </w:rPr>
        <w:t xml:space="preserve">para. 17). Although </w:t>
      </w:r>
      <w:r w:rsidR="00057812" w:rsidRPr="00785D06">
        <w:rPr>
          <w:sz w:val="20"/>
          <w:szCs w:val="20"/>
          <w:lang w:val="en-US"/>
        </w:rPr>
        <w:t xml:space="preserve">the State </w:t>
      </w:r>
      <w:r w:rsidR="00C254BF" w:rsidRPr="00785D06">
        <w:rPr>
          <w:sz w:val="20"/>
          <w:szCs w:val="20"/>
          <w:lang w:val="en-US"/>
        </w:rPr>
        <w:t xml:space="preserve">denied responsibility in this regard, it did so assuming that </w:t>
      </w:r>
      <w:r w:rsidR="00057812" w:rsidRPr="00785D06">
        <w:rPr>
          <w:sz w:val="20"/>
          <w:szCs w:val="20"/>
          <w:lang w:val="en-US"/>
        </w:rPr>
        <w:t xml:space="preserve">its </w:t>
      </w:r>
      <w:r w:rsidR="00C254BF" w:rsidRPr="00785D06">
        <w:rPr>
          <w:sz w:val="20"/>
          <w:szCs w:val="20"/>
          <w:lang w:val="en-US"/>
        </w:rPr>
        <w:t xml:space="preserve">conduct </w:t>
      </w:r>
      <w:r w:rsidR="00D6760B" w:rsidRPr="00785D06">
        <w:rPr>
          <w:sz w:val="20"/>
          <w:szCs w:val="20"/>
          <w:lang w:val="en-US"/>
        </w:rPr>
        <w:t xml:space="preserve">was </w:t>
      </w:r>
      <w:r w:rsidR="00C254BF" w:rsidRPr="00785D06">
        <w:rPr>
          <w:sz w:val="20"/>
          <w:szCs w:val="20"/>
          <w:lang w:val="en-US"/>
        </w:rPr>
        <w:t>a</w:t>
      </w:r>
      <w:r w:rsidR="00770F5C" w:rsidRPr="00785D06">
        <w:rPr>
          <w:sz w:val="20"/>
          <w:szCs w:val="20"/>
          <w:lang w:val="en-US"/>
        </w:rPr>
        <w:t>ppropriate</w:t>
      </w:r>
      <w:r w:rsidRPr="00785D06">
        <w:rPr>
          <w:sz w:val="20"/>
          <w:szCs w:val="20"/>
          <w:lang w:val="en-US"/>
        </w:rPr>
        <w:t>;</w:t>
      </w:r>
      <w:r w:rsidR="00C254BF" w:rsidRPr="00785D06">
        <w:rPr>
          <w:sz w:val="20"/>
          <w:szCs w:val="20"/>
          <w:lang w:val="en-US"/>
        </w:rPr>
        <w:t xml:space="preserve"> </w:t>
      </w:r>
      <w:r w:rsidRPr="00785D06">
        <w:rPr>
          <w:sz w:val="20"/>
          <w:szCs w:val="20"/>
          <w:lang w:val="en-US"/>
        </w:rPr>
        <w:t xml:space="preserve">however, </w:t>
      </w:r>
      <w:r w:rsidR="00C254BF" w:rsidRPr="00785D06">
        <w:rPr>
          <w:sz w:val="20"/>
          <w:szCs w:val="20"/>
          <w:lang w:val="en-US"/>
        </w:rPr>
        <w:t xml:space="preserve">in the </w:t>
      </w:r>
      <w:r w:rsidR="00EC7E5C" w:rsidRPr="00785D06">
        <w:rPr>
          <w:sz w:val="20"/>
          <w:szCs w:val="20"/>
          <w:lang w:val="en-US"/>
        </w:rPr>
        <w:t xml:space="preserve">preceding </w:t>
      </w:r>
      <w:r w:rsidR="00C254BF" w:rsidRPr="00785D06">
        <w:rPr>
          <w:sz w:val="20"/>
          <w:szCs w:val="20"/>
          <w:lang w:val="en-US"/>
        </w:rPr>
        <w:t xml:space="preserve">chapters </w:t>
      </w:r>
      <w:r w:rsidR="00EC7E5C" w:rsidRPr="00785D06">
        <w:rPr>
          <w:sz w:val="20"/>
          <w:szCs w:val="20"/>
          <w:lang w:val="en-US"/>
        </w:rPr>
        <w:t xml:space="preserve">it has been </w:t>
      </w:r>
      <w:r w:rsidRPr="00785D06">
        <w:rPr>
          <w:sz w:val="20"/>
          <w:szCs w:val="20"/>
          <w:lang w:val="en-US"/>
        </w:rPr>
        <w:t xml:space="preserve">demonstrated that </w:t>
      </w:r>
      <w:r w:rsidR="00C254BF" w:rsidRPr="00785D06">
        <w:rPr>
          <w:sz w:val="20"/>
          <w:szCs w:val="20"/>
          <w:lang w:val="en-US"/>
        </w:rPr>
        <w:t xml:space="preserve">the State </w:t>
      </w:r>
      <w:r w:rsidR="00EC7E5C" w:rsidRPr="00785D06">
        <w:rPr>
          <w:sz w:val="20"/>
          <w:szCs w:val="20"/>
          <w:lang w:val="en-US"/>
        </w:rPr>
        <w:t xml:space="preserve">violated Paola’s </w:t>
      </w:r>
      <w:r w:rsidR="00C254BF" w:rsidRPr="00785D06">
        <w:rPr>
          <w:sz w:val="20"/>
          <w:szCs w:val="20"/>
          <w:lang w:val="en-US"/>
        </w:rPr>
        <w:t xml:space="preserve">rights, as well as </w:t>
      </w:r>
      <w:r w:rsidR="00EC7E5C" w:rsidRPr="00785D06">
        <w:rPr>
          <w:sz w:val="20"/>
          <w:szCs w:val="20"/>
          <w:lang w:val="en-US"/>
        </w:rPr>
        <w:t xml:space="preserve">those of her </w:t>
      </w:r>
      <w:r w:rsidR="00C254BF" w:rsidRPr="00785D06">
        <w:rPr>
          <w:sz w:val="20"/>
          <w:szCs w:val="20"/>
          <w:lang w:val="en-US"/>
        </w:rPr>
        <w:t>relatives</w:t>
      </w:r>
      <w:r w:rsidR="00057812" w:rsidRPr="00785D06">
        <w:rPr>
          <w:sz w:val="20"/>
          <w:szCs w:val="20"/>
          <w:lang w:val="en-US"/>
        </w:rPr>
        <w:t>,</w:t>
      </w:r>
      <w:r w:rsidR="00C254BF" w:rsidRPr="00785D06">
        <w:rPr>
          <w:sz w:val="20"/>
          <w:szCs w:val="20"/>
          <w:lang w:val="en-US"/>
        </w:rPr>
        <w:t xml:space="preserve"> </w:t>
      </w:r>
      <w:r w:rsidR="00EC7E5C" w:rsidRPr="00785D06">
        <w:rPr>
          <w:sz w:val="20"/>
          <w:szCs w:val="20"/>
          <w:lang w:val="en-US"/>
        </w:rPr>
        <w:t xml:space="preserve">through its </w:t>
      </w:r>
      <w:r w:rsidR="00C254BF" w:rsidRPr="00785D06">
        <w:rPr>
          <w:sz w:val="20"/>
          <w:szCs w:val="20"/>
          <w:lang w:val="en-US"/>
        </w:rPr>
        <w:t xml:space="preserve">judicial and administrative actions. </w:t>
      </w:r>
    </w:p>
    <w:p w14:paraId="11F643C5" w14:textId="77777777" w:rsidR="00C254BF" w:rsidRPr="00785D06" w:rsidRDefault="00C254BF" w:rsidP="00C254BF">
      <w:pPr>
        <w:jc w:val="both"/>
        <w:rPr>
          <w:sz w:val="20"/>
          <w:lang w:val="en-US"/>
        </w:rPr>
      </w:pPr>
    </w:p>
    <w:p w14:paraId="2F929417"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lang w:val="en-US"/>
        </w:rPr>
        <w:t xml:space="preserve">The Court </w:t>
      </w:r>
      <w:r w:rsidR="001A2844" w:rsidRPr="00785D06">
        <w:rPr>
          <w:sz w:val="20"/>
          <w:lang w:val="en-US"/>
        </w:rPr>
        <w:t xml:space="preserve">finds </w:t>
      </w:r>
      <w:r w:rsidRPr="00785D06">
        <w:rPr>
          <w:sz w:val="20"/>
          <w:lang w:val="en-US"/>
        </w:rPr>
        <w:t>that</w:t>
      </w:r>
      <w:r w:rsidR="00057812" w:rsidRPr="00785D06">
        <w:rPr>
          <w:sz w:val="20"/>
          <w:lang w:val="en-US"/>
        </w:rPr>
        <w:t>,</w:t>
      </w:r>
      <w:r w:rsidRPr="00785D06">
        <w:rPr>
          <w:sz w:val="20"/>
          <w:lang w:val="en-US"/>
        </w:rPr>
        <w:t xml:space="preserve"> </w:t>
      </w:r>
      <w:r w:rsidR="002B5B7B" w:rsidRPr="00785D06">
        <w:rPr>
          <w:sz w:val="20"/>
          <w:lang w:val="en-US"/>
        </w:rPr>
        <w:t xml:space="preserve">according to </w:t>
      </w:r>
      <w:r w:rsidRPr="00785D06">
        <w:rPr>
          <w:sz w:val="20"/>
          <w:lang w:val="en-US"/>
        </w:rPr>
        <w:t xml:space="preserve">the evidence </w:t>
      </w:r>
      <w:r w:rsidR="00057812" w:rsidRPr="00785D06">
        <w:rPr>
          <w:sz w:val="20"/>
          <w:lang w:val="en-US"/>
        </w:rPr>
        <w:t>in the case file</w:t>
      </w:r>
      <w:r w:rsidRPr="00785D06">
        <w:rPr>
          <w:sz w:val="20"/>
          <w:lang w:val="en-US"/>
        </w:rPr>
        <w:t xml:space="preserve"> a</w:t>
      </w:r>
      <w:r w:rsidR="00EC3CAD" w:rsidRPr="00785D06">
        <w:rPr>
          <w:sz w:val="20"/>
          <w:lang w:val="en-US"/>
        </w:rPr>
        <w:t xml:space="preserve">nd </w:t>
      </w:r>
      <w:r w:rsidR="001A2844" w:rsidRPr="00785D06">
        <w:rPr>
          <w:sz w:val="20"/>
          <w:lang w:val="en-US"/>
        </w:rPr>
        <w:t xml:space="preserve">information </w:t>
      </w:r>
      <w:r w:rsidRPr="00785D06">
        <w:rPr>
          <w:sz w:val="20"/>
          <w:lang w:val="en-US"/>
        </w:rPr>
        <w:t>presented at the publi</w:t>
      </w:r>
      <w:r w:rsidR="001A2844" w:rsidRPr="00785D06">
        <w:rPr>
          <w:sz w:val="20"/>
          <w:lang w:val="en-US"/>
        </w:rPr>
        <w:t>c hearing, Paola’s relatives</w:t>
      </w:r>
      <w:r w:rsidRPr="00785D06">
        <w:rPr>
          <w:sz w:val="20"/>
          <w:lang w:val="en-US"/>
        </w:rPr>
        <w:t xml:space="preserve"> </w:t>
      </w:r>
      <w:r w:rsidR="001A2844" w:rsidRPr="00785D06">
        <w:rPr>
          <w:sz w:val="20"/>
          <w:lang w:val="en-US"/>
        </w:rPr>
        <w:t>not only</w:t>
      </w:r>
      <w:r w:rsidR="00EC7E5C" w:rsidRPr="00785D06">
        <w:rPr>
          <w:sz w:val="20"/>
          <w:lang w:val="en-US"/>
        </w:rPr>
        <w:t xml:space="preserve"> suffered </w:t>
      </w:r>
      <w:r w:rsidR="001A2844" w:rsidRPr="00785D06">
        <w:rPr>
          <w:sz w:val="20"/>
          <w:lang w:val="en-US"/>
        </w:rPr>
        <w:t xml:space="preserve">as a result of </w:t>
      </w:r>
      <w:r w:rsidR="00EC7E5C" w:rsidRPr="00785D06">
        <w:rPr>
          <w:sz w:val="20"/>
          <w:lang w:val="en-US"/>
        </w:rPr>
        <w:t xml:space="preserve">her </w:t>
      </w:r>
      <w:r w:rsidRPr="00785D06">
        <w:rPr>
          <w:sz w:val="20"/>
          <w:lang w:val="en-US"/>
        </w:rPr>
        <w:t xml:space="preserve">death and </w:t>
      </w:r>
      <w:r w:rsidR="002B5B7B" w:rsidRPr="00785D06">
        <w:rPr>
          <w:sz w:val="20"/>
          <w:lang w:val="en-US"/>
        </w:rPr>
        <w:t xml:space="preserve">because of </w:t>
      </w:r>
      <w:r w:rsidRPr="00785D06">
        <w:rPr>
          <w:sz w:val="20"/>
          <w:lang w:val="en-US"/>
        </w:rPr>
        <w:t xml:space="preserve">the human rights </w:t>
      </w:r>
      <w:r w:rsidR="001E307D" w:rsidRPr="00785D06">
        <w:rPr>
          <w:sz w:val="20"/>
          <w:lang w:val="en-US"/>
        </w:rPr>
        <w:t xml:space="preserve">violations </w:t>
      </w:r>
      <w:r w:rsidR="001A2844" w:rsidRPr="00785D06">
        <w:rPr>
          <w:sz w:val="20"/>
          <w:lang w:val="en-US"/>
        </w:rPr>
        <w:t xml:space="preserve">she endured </w:t>
      </w:r>
      <w:r w:rsidR="001E307D" w:rsidRPr="00785D06">
        <w:rPr>
          <w:sz w:val="20"/>
          <w:lang w:val="en-US"/>
        </w:rPr>
        <w:t>previously</w:t>
      </w:r>
      <w:r w:rsidRPr="00785D06">
        <w:rPr>
          <w:sz w:val="20"/>
          <w:lang w:val="en-US"/>
        </w:rPr>
        <w:t xml:space="preserve">, </w:t>
      </w:r>
      <w:r w:rsidR="001A2844" w:rsidRPr="00785D06">
        <w:rPr>
          <w:sz w:val="20"/>
          <w:lang w:val="en-US"/>
        </w:rPr>
        <w:t xml:space="preserve">but </w:t>
      </w:r>
      <w:r w:rsidR="002B5B7B" w:rsidRPr="00785D06">
        <w:rPr>
          <w:sz w:val="20"/>
          <w:lang w:val="en-US"/>
        </w:rPr>
        <w:t xml:space="preserve">also because </w:t>
      </w:r>
      <w:r w:rsidR="001A2844" w:rsidRPr="00785D06">
        <w:rPr>
          <w:sz w:val="20"/>
          <w:lang w:val="en-US"/>
        </w:rPr>
        <w:t xml:space="preserve">their personal integrity was harmed </w:t>
      </w:r>
      <w:r w:rsidRPr="00785D06">
        <w:rPr>
          <w:sz w:val="20"/>
          <w:lang w:val="en-US"/>
        </w:rPr>
        <w:t xml:space="preserve">by one or several of the following circumstances: i) the lack of </w:t>
      </w:r>
      <w:r w:rsidR="00EC7E5C" w:rsidRPr="00785D06">
        <w:rPr>
          <w:sz w:val="20"/>
          <w:lang w:val="en-US"/>
        </w:rPr>
        <w:t>assistance</w:t>
      </w:r>
      <w:r w:rsidRPr="00785D06">
        <w:rPr>
          <w:sz w:val="20"/>
          <w:lang w:val="en-US"/>
        </w:rPr>
        <w:t xml:space="preserve"> </w:t>
      </w:r>
      <w:r w:rsidR="001A2844" w:rsidRPr="00785D06">
        <w:rPr>
          <w:sz w:val="20"/>
          <w:lang w:val="en-US"/>
        </w:rPr>
        <w:t xml:space="preserve">provided </w:t>
      </w:r>
      <w:r w:rsidR="00EC7E5C" w:rsidRPr="00785D06">
        <w:rPr>
          <w:sz w:val="20"/>
          <w:lang w:val="en-US"/>
        </w:rPr>
        <w:t xml:space="preserve">by </w:t>
      </w:r>
      <w:r w:rsidR="002B5B7B" w:rsidRPr="00785D06">
        <w:rPr>
          <w:sz w:val="20"/>
          <w:lang w:val="en-US"/>
        </w:rPr>
        <w:t>the</w:t>
      </w:r>
      <w:r w:rsidR="00EC7E5C" w:rsidRPr="00785D06">
        <w:rPr>
          <w:sz w:val="20"/>
          <w:lang w:val="en-US"/>
        </w:rPr>
        <w:t xml:space="preserve"> school</w:t>
      </w:r>
      <w:r w:rsidRPr="00785D06">
        <w:rPr>
          <w:sz w:val="20"/>
          <w:lang w:val="en-US"/>
        </w:rPr>
        <w:t xml:space="preserve"> after </w:t>
      </w:r>
      <w:r w:rsidR="002B5B7B" w:rsidRPr="00785D06">
        <w:rPr>
          <w:sz w:val="20"/>
          <w:lang w:val="en-US"/>
        </w:rPr>
        <w:t xml:space="preserve">Paola </w:t>
      </w:r>
      <w:r w:rsidR="008C66A3" w:rsidRPr="00785D06">
        <w:rPr>
          <w:sz w:val="20"/>
          <w:lang w:val="en-US"/>
        </w:rPr>
        <w:t>swallowed</w:t>
      </w:r>
      <w:r w:rsidRPr="00785D06">
        <w:rPr>
          <w:sz w:val="20"/>
          <w:lang w:val="en-US"/>
        </w:rPr>
        <w:t xml:space="preserve"> white phosphorus, which </w:t>
      </w:r>
      <w:r w:rsidR="008C66A3" w:rsidRPr="00785D06">
        <w:rPr>
          <w:sz w:val="20"/>
          <w:lang w:val="en-US"/>
        </w:rPr>
        <w:t xml:space="preserve">forced </w:t>
      </w:r>
      <w:r w:rsidRPr="00785D06">
        <w:rPr>
          <w:sz w:val="20"/>
          <w:lang w:val="en-US"/>
        </w:rPr>
        <w:t xml:space="preserve">Mrs. Petita </w:t>
      </w:r>
      <w:r w:rsidR="008C66A3" w:rsidRPr="00785D06">
        <w:rPr>
          <w:sz w:val="20"/>
          <w:lang w:val="en-US"/>
        </w:rPr>
        <w:t>to transfer her</w:t>
      </w:r>
      <w:r w:rsidR="002B5B7B" w:rsidRPr="00785D06">
        <w:rPr>
          <w:sz w:val="20"/>
          <w:lang w:val="en-US"/>
        </w:rPr>
        <w:t xml:space="preserve"> daughter, by </w:t>
      </w:r>
      <w:r w:rsidR="008C66A3" w:rsidRPr="00785D06">
        <w:rPr>
          <w:sz w:val="20"/>
          <w:lang w:val="en-US"/>
        </w:rPr>
        <w:t>her own means</w:t>
      </w:r>
      <w:r w:rsidR="002B5B7B" w:rsidRPr="00785D06">
        <w:rPr>
          <w:sz w:val="20"/>
          <w:lang w:val="en-US"/>
        </w:rPr>
        <w:t>,</w:t>
      </w:r>
      <w:r w:rsidR="008C66A3" w:rsidRPr="00785D06">
        <w:rPr>
          <w:sz w:val="20"/>
          <w:lang w:val="en-US"/>
        </w:rPr>
        <w:t xml:space="preserve"> to the </w:t>
      </w:r>
      <w:r w:rsidRPr="00785D06">
        <w:rPr>
          <w:sz w:val="20"/>
          <w:lang w:val="en-US"/>
        </w:rPr>
        <w:t>nearest health center (</w:t>
      </w:r>
      <w:r w:rsidRPr="00785D06">
        <w:rPr>
          <w:i/>
          <w:sz w:val="20"/>
          <w:lang w:val="en-US"/>
        </w:rPr>
        <w:t xml:space="preserve">supra </w:t>
      </w:r>
      <w:r w:rsidR="00EC3CAD" w:rsidRPr="00785D06">
        <w:rPr>
          <w:sz w:val="20"/>
          <w:lang w:val="en-US"/>
        </w:rPr>
        <w:t>paras. 158 to</w:t>
      </w:r>
      <w:r w:rsidRPr="00785D06">
        <w:rPr>
          <w:sz w:val="20"/>
          <w:lang w:val="en-US"/>
        </w:rPr>
        <w:t xml:space="preserve"> 160); and ii) the duration of the legal proceedings </w:t>
      </w:r>
      <w:r w:rsidRPr="00785D06">
        <w:rPr>
          <w:sz w:val="20"/>
          <w:szCs w:val="20"/>
          <w:lang w:val="en-US"/>
        </w:rPr>
        <w:t>(</w:t>
      </w:r>
      <w:r w:rsidRPr="00785D06">
        <w:rPr>
          <w:i/>
          <w:sz w:val="20"/>
          <w:szCs w:val="20"/>
          <w:lang w:val="en-US"/>
        </w:rPr>
        <w:t xml:space="preserve">supra </w:t>
      </w:r>
      <w:r w:rsidRPr="00785D06">
        <w:rPr>
          <w:sz w:val="20"/>
          <w:szCs w:val="20"/>
          <w:lang w:val="en-US"/>
        </w:rPr>
        <w:t xml:space="preserve">para. 187) and the continued </w:t>
      </w:r>
      <w:r w:rsidRPr="00785D06">
        <w:rPr>
          <w:sz w:val="20"/>
          <w:lang w:val="en-US"/>
        </w:rPr>
        <w:t xml:space="preserve">impunity </w:t>
      </w:r>
      <w:r w:rsidR="001A2844" w:rsidRPr="00785D06">
        <w:rPr>
          <w:sz w:val="20"/>
          <w:lang w:val="en-US"/>
        </w:rPr>
        <w:t>of th</w:t>
      </w:r>
      <w:r w:rsidR="002B5B7B" w:rsidRPr="00785D06">
        <w:rPr>
          <w:sz w:val="20"/>
          <w:lang w:val="en-US"/>
        </w:rPr>
        <w:t>os</w:t>
      </w:r>
      <w:r w:rsidR="001A2844" w:rsidRPr="00785D06">
        <w:rPr>
          <w:sz w:val="20"/>
          <w:lang w:val="en-US"/>
        </w:rPr>
        <w:t>e responsible for</w:t>
      </w:r>
      <w:r w:rsidRPr="00785D06">
        <w:rPr>
          <w:sz w:val="20"/>
          <w:lang w:val="en-US"/>
        </w:rPr>
        <w:t xml:space="preserve"> the facts after nearly 18 years</w:t>
      </w:r>
      <w:r w:rsidR="00EC3CAD" w:rsidRPr="00785D06">
        <w:rPr>
          <w:sz w:val="20"/>
          <w:lang w:val="en-US"/>
        </w:rPr>
        <w:t>.</w:t>
      </w:r>
      <w:r w:rsidRPr="00785D06">
        <w:rPr>
          <w:sz w:val="20"/>
          <w:lang w:val="en-US"/>
        </w:rPr>
        <w:t xml:space="preserve"> </w:t>
      </w:r>
      <w:r w:rsidRPr="00785D06">
        <w:rPr>
          <w:rStyle w:val="Refdenotaalpie"/>
          <w:sz w:val="20"/>
          <w:lang w:val="en-US"/>
        </w:rPr>
        <w:footnoteReference w:id="194"/>
      </w:r>
    </w:p>
    <w:p w14:paraId="254800B0" w14:textId="77777777" w:rsidR="00C254BF" w:rsidRPr="00785D06" w:rsidRDefault="00C254BF" w:rsidP="00C254BF">
      <w:pPr>
        <w:pStyle w:val="Prrafodelista"/>
        <w:rPr>
          <w:sz w:val="20"/>
          <w:szCs w:val="20"/>
          <w:lang w:val="en-US"/>
        </w:rPr>
      </w:pPr>
    </w:p>
    <w:p w14:paraId="564F1A9B" w14:textId="77777777" w:rsidR="00C254BF" w:rsidRPr="00785D06" w:rsidRDefault="008C66A3" w:rsidP="00C254BF">
      <w:pPr>
        <w:pStyle w:val="Prrafodelista"/>
        <w:numPr>
          <w:ilvl w:val="0"/>
          <w:numId w:val="35"/>
        </w:numPr>
        <w:ind w:left="0" w:firstLine="0"/>
        <w:contextualSpacing w:val="0"/>
        <w:jc w:val="both"/>
        <w:rPr>
          <w:sz w:val="20"/>
          <w:lang w:val="en-US"/>
        </w:rPr>
      </w:pPr>
      <w:r w:rsidRPr="00785D06">
        <w:rPr>
          <w:sz w:val="20"/>
          <w:lang w:val="en-US"/>
        </w:rPr>
        <w:t xml:space="preserve">Also noteworthy is </w:t>
      </w:r>
      <w:r w:rsidR="00C254BF" w:rsidRPr="00785D06">
        <w:rPr>
          <w:sz w:val="20"/>
          <w:lang w:val="en-US"/>
        </w:rPr>
        <w:t>the</w:t>
      </w:r>
      <w:r w:rsidR="001A2844" w:rsidRPr="00785D06">
        <w:rPr>
          <w:sz w:val="20"/>
          <w:lang w:val="en-US"/>
        </w:rPr>
        <w:t xml:space="preserve"> inappropriate</w:t>
      </w:r>
      <w:r w:rsidR="00C254BF" w:rsidRPr="00785D06">
        <w:rPr>
          <w:sz w:val="20"/>
          <w:lang w:val="en-US"/>
        </w:rPr>
        <w:t xml:space="preserve"> </w:t>
      </w:r>
      <w:r w:rsidR="001A2844" w:rsidRPr="00785D06">
        <w:rPr>
          <w:sz w:val="20"/>
          <w:lang w:val="en-US"/>
        </w:rPr>
        <w:t>action of the forensic examiner</w:t>
      </w:r>
      <w:r w:rsidR="00C254BF" w:rsidRPr="00785D06">
        <w:rPr>
          <w:sz w:val="20"/>
          <w:lang w:val="en-US"/>
        </w:rPr>
        <w:t xml:space="preserve"> in presenting Paola’s opened body to her mother during the autopsy (</w:t>
      </w:r>
      <w:r w:rsidR="00C254BF" w:rsidRPr="00785D06">
        <w:rPr>
          <w:i/>
          <w:sz w:val="20"/>
          <w:lang w:val="en-US"/>
        </w:rPr>
        <w:t xml:space="preserve">supra </w:t>
      </w:r>
      <w:r w:rsidR="00C254BF" w:rsidRPr="00785D06">
        <w:rPr>
          <w:sz w:val="20"/>
          <w:lang w:val="en-US"/>
        </w:rPr>
        <w:t xml:space="preserve">para. 55). Such conduct </w:t>
      </w:r>
      <w:r w:rsidR="00EC3CAD" w:rsidRPr="00785D06">
        <w:rPr>
          <w:sz w:val="20"/>
          <w:lang w:val="en-US"/>
        </w:rPr>
        <w:t xml:space="preserve">must </w:t>
      </w:r>
      <w:r w:rsidR="00C254BF" w:rsidRPr="00785D06">
        <w:rPr>
          <w:sz w:val="20"/>
          <w:lang w:val="en-US"/>
        </w:rPr>
        <w:t xml:space="preserve">have been highly shocking </w:t>
      </w:r>
      <w:r w:rsidR="001A2844" w:rsidRPr="00785D06">
        <w:rPr>
          <w:sz w:val="20"/>
          <w:lang w:val="en-US"/>
        </w:rPr>
        <w:t xml:space="preserve">to Mrs. Albarracín </w:t>
      </w:r>
      <w:r w:rsidR="00C254BF" w:rsidRPr="00785D06">
        <w:rPr>
          <w:sz w:val="20"/>
          <w:lang w:val="en-US"/>
        </w:rPr>
        <w:t xml:space="preserve">and caused </w:t>
      </w:r>
      <w:r w:rsidR="001A2844" w:rsidRPr="00785D06">
        <w:rPr>
          <w:sz w:val="20"/>
          <w:lang w:val="en-US"/>
        </w:rPr>
        <w:t xml:space="preserve">her </w:t>
      </w:r>
      <w:r w:rsidR="00C254BF" w:rsidRPr="00785D06">
        <w:rPr>
          <w:sz w:val="20"/>
          <w:lang w:val="en-US"/>
        </w:rPr>
        <w:t xml:space="preserve">intense suffering. </w:t>
      </w:r>
      <w:r w:rsidR="001A2844" w:rsidRPr="00785D06">
        <w:rPr>
          <w:sz w:val="20"/>
          <w:lang w:val="en-US"/>
        </w:rPr>
        <w:t xml:space="preserve">During </w:t>
      </w:r>
      <w:r w:rsidR="00C254BF" w:rsidRPr="00785D06">
        <w:rPr>
          <w:sz w:val="20"/>
          <w:lang w:val="en-US"/>
        </w:rPr>
        <w:t xml:space="preserve">the public hearing, she </w:t>
      </w:r>
      <w:r w:rsidR="001A2844" w:rsidRPr="00785D06">
        <w:rPr>
          <w:sz w:val="20"/>
          <w:lang w:val="en-US"/>
        </w:rPr>
        <w:t xml:space="preserve">recalled </w:t>
      </w:r>
      <w:r w:rsidR="00C254BF" w:rsidRPr="00785D06">
        <w:rPr>
          <w:sz w:val="20"/>
          <w:lang w:val="en-US"/>
        </w:rPr>
        <w:t>that the doctor</w:t>
      </w:r>
      <w:r w:rsidR="00C254BF" w:rsidRPr="00785D06">
        <w:rPr>
          <w:sz w:val="20"/>
          <w:szCs w:val="20"/>
          <w:lang w:val="en-US"/>
        </w:rPr>
        <w:t xml:space="preserve">, “with no concern for the pain </w:t>
      </w:r>
      <w:r w:rsidR="001A2844" w:rsidRPr="00785D06">
        <w:rPr>
          <w:sz w:val="20"/>
          <w:szCs w:val="20"/>
          <w:lang w:val="en-US"/>
        </w:rPr>
        <w:t xml:space="preserve">I </w:t>
      </w:r>
      <w:r w:rsidR="00C254BF" w:rsidRPr="00785D06">
        <w:rPr>
          <w:sz w:val="20"/>
          <w:szCs w:val="20"/>
          <w:lang w:val="en-US"/>
        </w:rPr>
        <w:t xml:space="preserve">felt, made </w:t>
      </w:r>
      <w:r w:rsidR="001A2844" w:rsidRPr="00785D06">
        <w:rPr>
          <w:sz w:val="20"/>
          <w:szCs w:val="20"/>
          <w:lang w:val="en-US"/>
        </w:rPr>
        <w:t xml:space="preserve">me </w:t>
      </w:r>
      <w:r w:rsidR="004F3CE1" w:rsidRPr="00785D06">
        <w:rPr>
          <w:sz w:val="20"/>
          <w:szCs w:val="20"/>
          <w:lang w:val="en-US"/>
        </w:rPr>
        <w:t>go in</w:t>
      </w:r>
      <w:r w:rsidR="001A2844" w:rsidRPr="00785D06">
        <w:rPr>
          <w:sz w:val="20"/>
          <w:szCs w:val="20"/>
          <w:lang w:val="en-US"/>
        </w:rPr>
        <w:t xml:space="preserve">to </w:t>
      </w:r>
      <w:r w:rsidR="004F3CE1" w:rsidRPr="00785D06">
        <w:rPr>
          <w:sz w:val="20"/>
          <w:szCs w:val="20"/>
          <w:lang w:val="en-US"/>
        </w:rPr>
        <w:t>[the place] where I saw my</w:t>
      </w:r>
      <w:r w:rsidR="00C254BF" w:rsidRPr="00785D06">
        <w:rPr>
          <w:sz w:val="20"/>
          <w:szCs w:val="20"/>
          <w:lang w:val="en-US"/>
        </w:rPr>
        <w:t xml:space="preserve"> daughter </w:t>
      </w:r>
      <w:r w:rsidR="00900A27" w:rsidRPr="00785D06">
        <w:rPr>
          <w:sz w:val="20"/>
          <w:szCs w:val="20"/>
          <w:lang w:val="en-US"/>
        </w:rPr>
        <w:t xml:space="preserve">lying </w:t>
      </w:r>
      <w:r w:rsidR="00C254BF" w:rsidRPr="00785D06">
        <w:rPr>
          <w:sz w:val="20"/>
          <w:szCs w:val="20"/>
          <w:lang w:val="en-US"/>
        </w:rPr>
        <w:t xml:space="preserve">naked on a table with her body opened up, with </w:t>
      </w:r>
      <w:r w:rsidR="00900A27" w:rsidRPr="00785D06">
        <w:rPr>
          <w:sz w:val="20"/>
          <w:szCs w:val="20"/>
          <w:lang w:val="en-US"/>
        </w:rPr>
        <w:t xml:space="preserve">all </w:t>
      </w:r>
      <w:r w:rsidR="00C254BF" w:rsidRPr="00785D06">
        <w:rPr>
          <w:sz w:val="20"/>
          <w:szCs w:val="20"/>
          <w:lang w:val="en-US"/>
        </w:rPr>
        <w:t xml:space="preserve">her organs there and he showed </w:t>
      </w:r>
      <w:r w:rsidR="004F3CE1" w:rsidRPr="00785D06">
        <w:rPr>
          <w:sz w:val="20"/>
          <w:szCs w:val="20"/>
          <w:lang w:val="en-US"/>
        </w:rPr>
        <w:t xml:space="preserve">me </w:t>
      </w:r>
      <w:r w:rsidR="00C254BF" w:rsidRPr="00785D06">
        <w:rPr>
          <w:sz w:val="20"/>
          <w:szCs w:val="20"/>
          <w:lang w:val="en-US"/>
        </w:rPr>
        <w:t xml:space="preserve">a small </w:t>
      </w:r>
      <w:r w:rsidR="00C40961" w:rsidRPr="00785D06">
        <w:rPr>
          <w:sz w:val="20"/>
          <w:szCs w:val="20"/>
          <w:lang w:val="en-US"/>
        </w:rPr>
        <w:t xml:space="preserve">fleshy area </w:t>
      </w:r>
      <w:r w:rsidR="00EC3CAD" w:rsidRPr="00785D06">
        <w:rPr>
          <w:sz w:val="20"/>
          <w:szCs w:val="20"/>
          <w:lang w:val="en-US"/>
        </w:rPr>
        <w:t xml:space="preserve">and </w:t>
      </w:r>
      <w:r w:rsidR="004F3CE1" w:rsidRPr="00785D06">
        <w:rPr>
          <w:sz w:val="20"/>
          <w:szCs w:val="20"/>
          <w:lang w:val="en-US"/>
        </w:rPr>
        <w:t>said</w:t>
      </w:r>
      <w:r w:rsidR="00EC3CAD" w:rsidRPr="00785D06">
        <w:rPr>
          <w:sz w:val="20"/>
          <w:szCs w:val="20"/>
          <w:lang w:val="en-US"/>
        </w:rPr>
        <w:t xml:space="preserve">: </w:t>
      </w:r>
      <w:r w:rsidR="00C254BF" w:rsidRPr="00785D06">
        <w:rPr>
          <w:sz w:val="20"/>
          <w:szCs w:val="20"/>
          <w:lang w:val="en-US"/>
        </w:rPr>
        <w:t xml:space="preserve">‘ma’am, </w:t>
      </w:r>
      <w:r w:rsidR="004F3CE1" w:rsidRPr="00785D06">
        <w:rPr>
          <w:sz w:val="20"/>
          <w:szCs w:val="20"/>
          <w:lang w:val="en-US"/>
        </w:rPr>
        <w:t xml:space="preserve">here’s </w:t>
      </w:r>
      <w:r w:rsidR="00C254BF" w:rsidRPr="00785D06">
        <w:rPr>
          <w:sz w:val="20"/>
          <w:szCs w:val="20"/>
          <w:lang w:val="en-US"/>
        </w:rPr>
        <w:t>your daughter’s uterus, there’s no pregnancy</w:t>
      </w:r>
      <w:r w:rsidR="00EC3CAD" w:rsidRPr="00785D06">
        <w:rPr>
          <w:sz w:val="20"/>
          <w:szCs w:val="20"/>
          <w:lang w:val="en-US"/>
        </w:rPr>
        <w:t>.’”</w:t>
      </w:r>
    </w:p>
    <w:p w14:paraId="33BC8EC4" w14:textId="77777777" w:rsidR="00C254BF" w:rsidRPr="00785D06" w:rsidRDefault="00C254BF" w:rsidP="00C254BF">
      <w:pPr>
        <w:jc w:val="both"/>
        <w:rPr>
          <w:sz w:val="20"/>
          <w:lang w:val="en-US"/>
        </w:rPr>
      </w:pPr>
    </w:p>
    <w:p w14:paraId="63BDC29A" w14:textId="77777777" w:rsidR="00C254BF" w:rsidRPr="00785D06" w:rsidRDefault="006111C4" w:rsidP="00C254BF">
      <w:pPr>
        <w:pStyle w:val="Prrafodelista"/>
        <w:numPr>
          <w:ilvl w:val="0"/>
          <w:numId w:val="35"/>
        </w:numPr>
        <w:ind w:left="0" w:firstLine="0"/>
        <w:contextualSpacing w:val="0"/>
        <w:jc w:val="both"/>
        <w:rPr>
          <w:sz w:val="20"/>
          <w:szCs w:val="20"/>
          <w:lang w:val="en-US"/>
        </w:rPr>
      </w:pPr>
      <w:r w:rsidRPr="00785D06">
        <w:rPr>
          <w:sz w:val="20"/>
          <w:lang w:val="en-US"/>
        </w:rPr>
        <w:t>Consequently,</w:t>
      </w:r>
      <w:r w:rsidR="00C254BF" w:rsidRPr="00785D06">
        <w:rPr>
          <w:sz w:val="20"/>
          <w:lang w:val="en-US"/>
        </w:rPr>
        <w:t xml:space="preserve"> the Court confirms</w:t>
      </w:r>
      <w:r w:rsidR="003316E2" w:rsidRPr="00785D06">
        <w:rPr>
          <w:sz w:val="20"/>
          <w:lang w:val="en-US"/>
        </w:rPr>
        <w:t xml:space="preserve"> that</w:t>
      </w:r>
      <w:r w:rsidR="00C254BF" w:rsidRPr="00785D06">
        <w:rPr>
          <w:sz w:val="20"/>
          <w:lang w:val="en-US"/>
        </w:rPr>
        <w:t xml:space="preserve">: i) Mrs. Petita Albarracín </w:t>
      </w:r>
      <w:r w:rsidR="003316E2" w:rsidRPr="00785D06">
        <w:rPr>
          <w:sz w:val="20"/>
          <w:lang w:val="en-US"/>
        </w:rPr>
        <w:t xml:space="preserve">suffered psychological </w:t>
      </w:r>
      <w:r w:rsidR="00900A27" w:rsidRPr="00785D06">
        <w:rPr>
          <w:sz w:val="20"/>
          <w:lang w:val="en-US"/>
        </w:rPr>
        <w:t xml:space="preserve">anguish </w:t>
      </w:r>
      <w:r w:rsidR="00C254BF" w:rsidRPr="00785D06">
        <w:rPr>
          <w:sz w:val="20"/>
          <w:lang w:val="en-US"/>
        </w:rPr>
        <w:t xml:space="preserve">as </w:t>
      </w:r>
      <w:r w:rsidR="00D57311" w:rsidRPr="00785D06">
        <w:rPr>
          <w:sz w:val="20"/>
          <w:lang w:val="en-US"/>
        </w:rPr>
        <w:t xml:space="preserve">a </w:t>
      </w:r>
      <w:r w:rsidR="003316E2" w:rsidRPr="00785D06">
        <w:rPr>
          <w:sz w:val="20"/>
          <w:lang w:val="en-US"/>
        </w:rPr>
        <w:t xml:space="preserve">result </w:t>
      </w:r>
      <w:r w:rsidR="00D57311" w:rsidRPr="00785D06">
        <w:rPr>
          <w:sz w:val="20"/>
          <w:lang w:val="en-US"/>
        </w:rPr>
        <w:t>of her</w:t>
      </w:r>
      <w:r w:rsidR="00C254BF" w:rsidRPr="00785D06">
        <w:rPr>
          <w:sz w:val="20"/>
          <w:lang w:val="en-US"/>
        </w:rPr>
        <w:t xml:space="preserve"> revictimization after her daughter’s medical autopsy;</w:t>
      </w:r>
      <w:r w:rsidR="00C254BF" w:rsidRPr="00785D06">
        <w:rPr>
          <w:rStyle w:val="Refdenotaalpie"/>
          <w:sz w:val="20"/>
          <w:lang w:val="en-US"/>
        </w:rPr>
        <w:footnoteReference w:id="195"/>
      </w:r>
      <w:r w:rsidR="00C254BF" w:rsidRPr="00785D06">
        <w:rPr>
          <w:sz w:val="20"/>
          <w:lang w:val="en-US"/>
        </w:rPr>
        <w:t xml:space="preserve"> ii) </w:t>
      </w:r>
      <w:r w:rsidR="003316E2" w:rsidRPr="00785D06">
        <w:rPr>
          <w:sz w:val="20"/>
          <w:lang w:val="en-US"/>
        </w:rPr>
        <w:t xml:space="preserve">Mrs. Petita Albarracín suffered </w:t>
      </w:r>
      <w:r w:rsidR="00C254BF" w:rsidRPr="00785D06">
        <w:rPr>
          <w:sz w:val="20"/>
          <w:lang w:val="en-US"/>
        </w:rPr>
        <w:t xml:space="preserve">deep emotional effects from </w:t>
      </w:r>
      <w:r w:rsidR="003316E2" w:rsidRPr="00785D06">
        <w:rPr>
          <w:sz w:val="20"/>
          <w:lang w:val="en-US"/>
        </w:rPr>
        <w:t xml:space="preserve">her daughter’s </w:t>
      </w:r>
      <w:r w:rsidR="00C254BF" w:rsidRPr="00785D06">
        <w:rPr>
          <w:sz w:val="20"/>
          <w:lang w:val="en-US"/>
        </w:rPr>
        <w:t>death</w:t>
      </w:r>
      <w:r w:rsidR="003316E2" w:rsidRPr="00785D06">
        <w:rPr>
          <w:sz w:val="20"/>
          <w:lang w:val="en-US"/>
        </w:rPr>
        <w:t>, as did Denisse Guzmán from the death of her sister;</w:t>
      </w:r>
      <w:r w:rsidR="00C254BF" w:rsidRPr="00785D06">
        <w:rPr>
          <w:rStyle w:val="Refdenotaalpie"/>
          <w:sz w:val="20"/>
          <w:lang w:val="en-US"/>
        </w:rPr>
        <w:footnoteReference w:id="196"/>
      </w:r>
      <w:r w:rsidR="00C254BF" w:rsidRPr="00785D06">
        <w:rPr>
          <w:sz w:val="20"/>
          <w:lang w:val="en-US"/>
        </w:rPr>
        <w:t xml:space="preserve"> and</w:t>
      </w:r>
      <w:r w:rsidR="003316E2" w:rsidRPr="00785D06">
        <w:rPr>
          <w:sz w:val="20"/>
          <w:lang w:val="en-US"/>
        </w:rPr>
        <w:t>,</w:t>
      </w:r>
      <w:r w:rsidR="00C254BF" w:rsidRPr="00785D06">
        <w:rPr>
          <w:sz w:val="20"/>
          <w:lang w:val="en-US"/>
        </w:rPr>
        <w:t xml:space="preserve"> iii) </w:t>
      </w:r>
      <w:r w:rsidR="003316E2" w:rsidRPr="00785D06">
        <w:rPr>
          <w:sz w:val="20"/>
          <w:lang w:val="en-US"/>
        </w:rPr>
        <w:t xml:space="preserve">both suffered </w:t>
      </w:r>
      <w:r w:rsidR="00C254BF" w:rsidRPr="00785D06">
        <w:rPr>
          <w:sz w:val="20"/>
          <w:lang w:val="en-US"/>
        </w:rPr>
        <w:t xml:space="preserve">from the “social </w:t>
      </w:r>
      <w:r w:rsidR="00976A21" w:rsidRPr="00785D06">
        <w:rPr>
          <w:sz w:val="20"/>
          <w:lang w:val="en-US"/>
        </w:rPr>
        <w:t xml:space="preserve">misrepresentation </w:t>
      </w:r>
      <w:r w:rsidR="00C254BF" w:rsidRPr="00785D06">
        <w:rPr>
          <w:sz w:val="20"/>
          <w:lang w:val="en-US"/>
        </w:rPr>
        <w:t xml:space="preserve">of Paola’s </w:t>
      </w:r>
      <w:r w:rsidR="003316E2" w:rsidRPr="00785D06">
        <w:rPr>
          <w:sz w:val="20"/>
          <w:lang w:val="en-US"/>
        </w:rPr>
        <w:t>image and because</w:t>
      </w:r>
      <w:r w:rsidR="0022145A" w:rsidRPr="00785D06">
        <w:rPr>
          <w:sz w:val="20"/>
          <w:lang w:val="en-US"/>
        </w:rPr>
        <w:t xml:space="preserve"> her memory became the</w:t>
      </w:r>
      <w:r w:rsidR="00C254BF" w:rsidRPr="00785D06">
        <w:rPr>
          <w:sz w:val="20"/>
          <w:lang w:val="en-US"/>
        </w:rPr>
        <w:t xml:space="preserve"> </w:t>
      </w:r>
      <w:r w:rsidR="0022145A" w:rsidRPr="00785D06">
        <w:rPr>
          <w:sz w:val="20"/>
          <w:lang w:val="en-US"/>
        </w:rPr>
        <w:t xml:space="preserve">target of </w:t>
      </w:r>
      <w:r w:rsidR="00DD2D98" w:rsidRPr="00785D06">
        <w:rPr>
          <w:sz w:val="20"/>
          <w:lang w:val="en-US"/>
        </w:rPr>
        <w:t xml:space="preserve">a wide </w:t>
      </w:r>
      <w:r w:rsidR="008C66A3" w:rsidRPr="00785D06">
        <w:rPr>
          <w:sz w:val="20"/>
          <w:lang w:val="en-US"/>
        </w:rPr>
        <w:t xml:space="preserve">variety of </w:t>
      </w:r>
      <w:r w:rsidR="00976A21" w:rsidRPr="00785D06">
        <w:rPr>
          <w:sz w:val="20"/>
          <w:lang w:val="en-US"/>
        </w:rPr>
        <w:t xml:space="preserve">offensive and derogatory </w:t>
      </w:r>
      <w:r w:rsidR="00C254BF" w:rsidRPr="00785D06">
        <w:rPr>
          <w:sz w:val="20"/>
          <w:lang w:val="en-US"/>
        </w:rPr>
        <w:t>stigmas and prejudices.”</w:t>
      </w:r>
    </w:p>
    <w:p w14:paraId="01DF8024" w14:textId="77777777" w:rsidR="00C254BF" w:rsidRPr="00785D06" w:rsidRDefault="00C254BF" w:rsidP="00C254BF">
      <w:pPr>
        <w:jc w:val="both"/>
        <w:rPr>
          <w:sz w:val="20"/>
          <w:szCs w:val="20"/>
          <w:lang w:val="en-US"/>
        </w:rPr>
      </w:pPr>
    </w:p>
    <w:p w14:paraId="764391A8"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Specifically, Mrs. Petita Albarracín said that the </w:t>
      </w:r>
      <w:r w:rsidR="0097298A" w:rsidRPr="00785D06">
        <w:rPr>
          <w:sz w:val="20"/>
          <w:szCs w:val="20"/>
          <w:lang w:val="en-US"/>
        </w:rPr>
        <w:t>vice principal</w:t>
      </w:r>
      <w:r w:rsidR="0022145A" w:rsidRPr="00785D06">
        <w:rPr>
          <w:sz w:val="20"/>
          <w:szCs w:val="20"/>
          <w:lang w:val="en-US"/>
        </w:rPr>
        <w:t>’s actions</w:t>
      </w:r>
      <w:r w:rsidRPr="00785D06">
        <w:rPr>
          <w:sz w:val="20"/>
          <w:szCs w:val="20"/>
          <w:lang w:val="en-US"/>
        </w:rPr>
        <w:t xml:space="preserve"> “destroy[ed] the life of [her] daughter, [her own life] and that of [her] family.” </w:t>
      </w:r>
      <w:r w:rsidR="0022145A" w:rsidRPr="00785D06">
        <w:rPr>
          <w:sz w:val="20"/>
          <w:szCs w:val="20"/>
          <w:lang w:val="en-US"/>
        </w:rPr>
        <w:t xml:space="preserve">She added </w:t>
      </w:r>
      <w:r w:rsidRPr="00785D06">
        <w:rPr>
          <w:rFonts w:eastAsia="Times New Roman" w:cs="Segoe UI"/>
          <w:sz w:val="20"/>
          <w:szCs w:val="20"/>
          <w:lang w:val="en-US" w:eastAsia="es-ES_tradnl"/>
        </w:rPr>
        <w:t>that, after thos</w:t>
      </w:r>
      <w:r w:rsidR="003316E2" w:rsidRPr="00785D06">
        <w:rPr>
          <w:rFonts w:eastAsia="Times New Roman" w:cs="Segoe UI"/>
          <w:sz w:val="20"/>
          <w:szCs w:val="20"/>
          <w:lang w:val="en-US" w:eastAsia="es-ES_tradnl"/>
        </w:rPr>
        <w:t>e events, her “life fell apart”</w:t>
      </w:r>
      <w:r w:rsidRPr="00785D06">
        <w:rPr>
          <w:rFonts w:eastAsia="Times New Roman" w:cs="Segoe UI"/>
          <w:sz w:val="20"/>
          <w:szCs w:val="20"/>
          <w:lang w:val="en-US" w:eastAsia="es-ES_tradnl"/>
        </w:rPr>
        <w:t xml:space="preserve"> and that she </w:t>
      </w:r>
      <w:r w:rsidR="003316E2" w:rsidRPr="00785D06">
        <w:rPr>
          <w:rFonts w:eastAsia="Times New Roman" w:cs="Segoe UI"/>
          <w:sz w:val="20"/>
          <w:szCs w:val="20"/>
          <w:lang w:val="en-US" w:eastAsia="es-ES_tradnl"/>
        </w:rPr>
        <w:t xml:space="preserve">suffered </w:t>
      </w:r>
      <w:r w:rsidRPr="00785D06">
        <w:rPr>
          <w:rFonts w:eastAsia="Times New Roman" w:cs="Segoe UI"/>
          <w:sz w:val="20"/>
          <w:szCs w:val="20"/>
          <w:lang w:val="en-US" w:eastAsia="es-ES_tradnl"/>
        </w:rPr>
        <w:t>“</w:t>
      </w:r>
      <w:r w:rsidR="003316E2" w:rsidRPr="00785D06">
        <w:rPr>
          <w:rFonts w:eastAsia="Times New Roman" w:cs="Segoe UI"/>
          <w:sz w:val="20"/>
          <w:szCs w:val="20"/>
          <w:lang w:val="en-US" w:eastAsia="es-ES_tradnl"/>
        </w:rPr>
        <w:t xml:space="preserve">so </w:t>
      </w:r>
      <w:r w:rsidR="00996F77" w:rsidRPr="00785D06">
        <w:rPr>
          <w:rFonts w:eastAsia="Times New Roman" w:cs="Segoe UI"/>
          <w:sz w:val="20"/>
          <w:szCs w:val="20"/>
          <w:lang w:val="en-US" w:eastAsia="es-ES_tradnl"/>
        </w:rPr>
        <w:t xml:space="preserve">much </w:t>
      </w:r>
      <w:r w:rsidRPr="00785D06">
        <w:rPr>
          <w:rFonts w:eastAsia="Times New Roman" w:cs="Segoe UI"/>
          <w:sz w:val="20"/>
          <w:szCs w:val="20"/>
          <w:lang w:val="en-US" w:eastAsia="es-ES_tradnl"/>
        </w:rPr>
        <w:t>humiliation”</w:t>
      </w:r>
      <w:r w:rsidRPr="00785D06">
        <w:rPr>
          <w:rStyle w:val="Refdenotaalpie"/>
          <w:rFonts w:eastAsia="Times New Roman" w:cs="Segoe UI"/>
          <w:sz w:val="20"/>
          <w:szCs w:val="20"/>
          <w:lang w:val="en-US" w:eastAsia="es-ES_tradnl"/>
        </w:rPr>
        <w:footnoteReference w:id="197"/>
      </w:r>
      <w:r w:rsidRPr="00785D06">
        <w:rPr>
          <w:rFonts w:eastAsia="Times New Roman" w:cs="Segoe UI"/>
          <w:sz w:val="20"/>
          <w:szCs w:val="20"/>
          <w:lang w:val="en-US" w:eastAsia="es-ES_tradnl"/>
        </w:rPr>
        <w:t xml:space="preserve"> during the judicial and administrative proce</w:t>
      </w:r>
      <w:r w:rsidR="00996F77" w:rsidRPr="00785D06">
        <w:rPr>
          <w:rFonts w:eastAsia="Times New Roman" w:cs="Segoe UI"/>
          <w:sz w:val="20"/>
          <w:szCs w:val="20"/>
          <w:lang w:val="en-US" w:eastAsia="es-ES_tradnl"/>
        </w:rPr>
        <w:t>edings</w:t>
      </w:r>
      <w:r w:rsidRPr="00785D06">
        <w:rPr>
          <w:rFonts w:eastAsia="Times New Roman" w:cs="Segoe UI"/>
          <w:sz w:val="20"/>
          <w:szCs w:val="20"/>
          <w:lang w:val="en-US" w:eastAsia="es-ES_tradnl"/>
        </w:rPr>
        <w:t xml:space="preserve">. Finally, </w:t>
      </w:r>
      <w:r w:rsidR="00996F77" w:rsidRPr="00785D06">
        <w:rPr>
          <w:rFonts w:eastAsia="Times New Roman" w:cs="Segoe UI"/>
          <w:sz w:val="20"/>
          <w:szCs w:val="20"/>
          <w:lang w:val="en-US" w:eastAsia="es-ES_tradnl"/>
        </w:rPr>
        <w:t xml:space="preserve">she </w:t>
      </w:r>
      <w:r w:rsidRPr="00785D06">
        <w:rPr>
          <w:rFonts w:eastAsia="Times New Roman" w:cs="Segoe UI"/>
          <w:sz w:val="20"/>
          <w:szCs w:val="20"/>
          <w:lang w:val="en-US" w:eastAsia="es-ES_tradnl"/>
        </w:rPr>
        <w:t>indicated that “it was terrible […] because it was such a tough fight, so great that […</w:t>
      </w:r>
      <w:r w:rsidR="00996F77" w:rsidRPr="00785D06">
        <w:rPr>
          <w:rFonts w:eastAsia="Times New Roman" w:cs="Segoe UI"/>
          <w:sz w:val="20"/>
          <w:szCs w:val="20"/>
          <w:lang w:val="en-US" w:eastAsia="es-ES_tradnl"/>
        </w:rPr>
        <w:t>she</w:t>
      </w:r>
      <w:r w:rsidRPr="00785D06">
        <w:rPr>
          <w:rFonts w:eastAsia="Times New Roman" w:cs="Segoe UI"/>
          <w:sz w:val="20"/>
          <w:szCs w:val="20"/>
          <w:lang w:val="en-US" w:eastAsia="es-ES_tradnl"/>
        </w:rPr>
        <w:t xml:space="preserve">] </w:t>
      </w:r>
      <w:r w:rsidR="0022145A" w:rsidRPr="00785D06">
        <w:rPr>
          <w:rFonts w:eastAsia="Times New Roman" w:cs="Segoe UI"/>
          <w:sz w:val="20"/>
          <w:szCs w:val="20"/>
          <w:lang w:val="en-US" w:eastAsia="es-ES_tradnl"/>
        </w:rPr>
        <w:t>no longer wish</w:t>
      </w:r>
      <w:r w:rsidR="00996F77" w:rsidRPr="00785D06">
        <w:rPr>
          <w:rFonts w:eastAsia="Times New Roman" w:cs="Segoe UI"/>
          <w:sz w:val="20"/>
          <w:szCs w:val="20"/>
          <w:lang w:val="en-US" w:eastAsia="es-ES_tradnl"/>
        </w:rPr>
        <w:t>[</w:t>
      </w:r>
      <w:r w:rsidR="0022145A" w:rsidRPr="00785D06">
        <w:rPr>
          <w:rFonts w:eastAsia="Times New Roman" w:cs="Segoe UI"/>
          <w:sz w:val="20"/>
          <w:szCs w:val="20"/>
          <w:lang w:val="en-US" w:eastAsia="es-ES_tradnl"/>
        </w:rPr>
        <w:t>ed</w:t>
      </w:r>
      <w:r w:rsidR="00996F77" w:rsidRPr="00785D06">
        <w:rPr>
          <w:rFonts w:eastAsia="Times New Roman" w:cs="Segoe UI"/>
          <w:sz w:val="20"/>
          <w:szCs w:val="20"/>
          <w:lang w:val="en-US" w:eastAsia="es-ES_tradnl"/>
        </w:rPr>
        <w:t>]</w:t>
      </w:r>
      <w:r w:rsidR="0022145A" w:rsidRPr="00785D06">
        <w:rPr>
          <w:rFonts w:eastAsia="Times New Roman" w:cs="Segoe UI"/>
          <w:sz w:val="20"/>
          <w:szCs w:val="20"/>
          <w:lang w:val="en-US" w:eastAsia="es-ES_tradnl"/>
        </w:rPr>
        <w:t xml:space="preserve"> to continue.”</w:t>
      </w:r>
      <w:r w:rsidRPr="00785D06">
        <w:rPr>
          <w:rFonts w:eastAsia="Times New Roman" w:cs="Segoe UI"/>
          <w:b/>
          <w:bCs/>
          <w:sz w:val="20"/>
          <w:szCs w:val="20"/>
          <w:lang w:val="en-US" w:eastAsia="es-ES_tradnl"/>
        </w:rPr>
        <w:t xml:space="preserve"> </w:t>
      </w:r>
      <w:r w:rsidR="0022145A" w:rsidRPr="00785D06">
        <w:rPr>
          <w:sz w:val="20"/>
          <w:szCs w:val="20"/>
          <w:lang w:val="en-US"/>
        </w:rPr>
        <w:t>I</w:t>
      </w:r>
      <w:r w:rsidR="00996F77" w:rsidRPr="00785D06">
        <w:rPr>
          <w:sz w:val="20"/>
          <w:szCs w:val="20"/>
          <w:lang w:val="en-US"/>
        </w:rPr>
        <w:t xml:space="preserve">t </w:t>
      </w:r>
      <w:r w:rsidR="0022145A" w:rsidRPr="00785D06">
        <w:rPr>
          <w:sz w:val="20"/>
          <w:szCs w:val="20"/>
          <w:lang w:val="en-US"/>
        </w:rPr>
        <w:t xml:space="preserve">should </w:t>
      </w:r>
      <w:r w:rsidR="00996F77" w:rsidRPr="00785D06">
        <w:rPr>
          <w:sz w:val="20"/>
          <w:szCs w:val="20"/>
          <w:lang w:val="en-US"/>
        </w:rPr>
        <w:t xml:space="preserve">also </w:t>
      </w:r>
      <w:r w:rsidR="0022145A" w:rsidRPr="00785D06">
        <w:rPr>
          <w:sz w:val="20"/>
          <w:szCs w:val="20"/>
          <w:lang w:val="en-US"/>
        </w:rPr>
        <w:t xml:space="preserve">be noted </w:t>
      </w:r>
      <w:r w:rsidRPr="00785D06">
        <w:rPr>
          <w:sz w:val="20"/>
          <w:szCs w:val="20"/>
          <w:lang w:val="en-US"/>
        </w:rPr>
        <w:t xml:space="preserve">that, </w:t>
      </w:r>
      <w:r w:rsidR="0022145A" w:rsidRPr="00785D06">
        <w:rPr>
          <w:sz w:val="20"/>
          <w:szCs w:val="20"/>
          <w:lang w:val="en-US"/>
        </w:rPr>
        <w:t xml:space="preserve">according to </w:t>
      </w:r>
      <w:r w:rsidRPr="00785D06">
        <w:rPr>
          <w:sz w:val="20"/>
          <w:szCs w:val="20"/>
          <w:lang w:val="en-US"/>
        </w:rPr>
        <w:t>Ximena Cortés Castillo</w:t>
      </w:r>
      <w:r w:rsidR="0022145A" w:rsidRPr="00785D06">
        <w:rPr>
          <w:sz w:val="20"/>
          <w:szCs w:val="20"/>
          <w:lang w:val="en-US"/>
        </w:rPr>
        <w:t>’s expert opinion</w:t>
      </w:r>
      <w:r w:rsidRPr="00785D06">
        <w:rPr>
          <w:sz w:val="20"/>
          <w:szCs w:val="20"/>
          <w:lang w:val="en-US"/>
        </w:rPr>
        <w:t xml:space="preserve">, </w:t>
      </w:r>
      <w:r w:rsidR="003316E2" w:rsidRPr="00785D06">
        <w:rPr>
          <w:sz w:val="20"/>
          <w:szCs w:val="20"/>
          <w:lang w:val="en-US"/>
        </w:rPr>
        <w:t xml:space="preserve">Paola’s </w:t>
      </w:r>
      <w:r w:rsidRPr="00785D06">
        <w:rPr>
          <w:sz w:val="20"/>
          <w:szCs w:val="20"/>
          <w:lang w:val="en-US"/>
        </w:rPr>
        <w:t xml:space="preserve">mother and sister </w:t>
      </w:r>
      <w:r w:rsidR="003316E2" w:rsidRPr="00785D06">
        <w:rPr>
          <w:sz w:val="20"/>
          <w:szCs w:val="20"/>
          <w:lang w:val="en-US"/>
        </w:rPr>
        <w:t xml:space="preserve">both </w:t>
      </w:r>
      <w:r w:rsidRPr="00785D06">
        <w:rPr>
          <w:sz w:val="20"/>
          <w:szCs w:val="20"/>
          <w:lang w:val="en-US"/>
        </w:rPr>
        <w:t>“su</w:t>
      </w:r>
      <w:r w:rsidR="0022145A" w:rsidRPr="00785D06">
        <w:rPr>
          <w:sz w:val="20"/>
          <w:szCs w:val="20"/>
          <w:lang w:val="en-US"/>
        </w:rPr>
        <w:t xml:space="preserve">ffer from </w:t>
      </w:r>
      <w:r w:rsidRPr="00785D06">
        <w:rPr>
          <w:sz w:val="20"/>
          <w:szCs w:val="20"/>
          <w:lang w:val="en-US"/>
        </w:rPr>
        <w:t>chronic unres</w:t>
      </w:r>
      <w:r w:rsidR="00996F77" w:rsidRPr="00785D06">
        <w:rPr>
          <w:sz w:val="20"/>
          <w:szCs w:val="20"/>
          <w:lang w:val="en-US"/>
        </w:rPr>
        <w:t>olved grief,” a process</w:t>
      </w:r>
      <w:r w:rsidR="000B1A89" w:rsidRPr="00785D06">
        <w:rPr>
          <w:sz w:val="20"/>
          <w:szCs w:val="20"/>
          <w:lang w:val="en-US"/>
        </w:rPr>
        <w:t xml:space="preserve"> of loss that has</w:t>
      </w:r>
      <w:r w:rsidRPr="00785D06">
        <w:rPr>
          <w:sz w:val="20"/>
          <w:szCs w:val="20"/>
          <w:lang w:val="en-US"/>
        </w:rPr>
        <w:t xml:space="preserve"> not ended, despite the time elapsed.</w:t>
      </w:r>
      <w:r w:rsidRPr="00785D06">
        <w:rPr>
          <w:rStyle w:val="Refdenotaalpie"/>
          <w:sz w:val="20"/>
          <w:szCs w:val="20"/>
          <w:lang w:val="en-US"/>
        </w:rPr>
        <w:footnoteReference w:id="198"/>
      </w:r>
      <w:r w:rsidRPr="00785D06">
        <w:rPr>
          <w:sz w:val="20"/>
          <w:szCs w:val="20"/>
          <w:lang w:val="en-US"/>
        </w:rPr>
        <w:t xml:space="preserve"> </w:t>
      </w:r>
    </w:p>
    <w:p w14:paraId="1937DD29" w14:textId="77777777" w:rsidR="00C254BF" w:rsidRPr="00785D06" w:rsidRDefault="00C254BF" w:rsidP="00C254BF">
      <w:pPr>
        <w:jc w:val="both"/>
        <w:rPr>
          <w:sz w:val="20"/>
          <w:szCs w:val="20"/>
          <w:lang w:val="en-US"/>
        </w:rPr>
      </w:pPr>
    </w:p>
    <w:p w14:paraId="0F2C3382" w14:textId="77777777" w:rsidR="00C254BF" w:rsidRPr="00785D06" w:rsidRDefault="00996F77" w:rsidP="00C254BF">
      <w:pPr>
        <w:pStyle w:val="Prrafodelista"/>
        <w:numPr>
          <w:ilvl w:val="0"/>
          <w:numId w:val="35"/>
        </w:numPr>
        <w:ind w:left="0" w:firstLine="0"/>
        <w:contextualSpacing w:val="0"/>
        <w:jc w:val="both"/>
        <w:rPr>
          <w:sz w:val="20"/>
          <w:szCs w:val="20"/>
          <w:lang w:val="en-US"/>
        </w:rPr>
      </w:pPr>
      <w:r w:rsidRPr="00785D06">
        <w:rPr>
          <w:sz w:val="20"/>
          <w:szCs w:val="20"/>
          <w:lang w:val="en-US"/>
        </w:rPr>
        <w:t>For her part</w:t>
      </w:r>
      <w:r w:rsidR="00C254BF" w:rsidRPr="00785D06">
        <w:rPr>
          <w:sz w:val="20"/>
          <w:szCs w:val="20"/>
          <w:lang w:val="en-US"/>
        </w:rPr>
        <w:t>, Denisse Guzmán Albarracín said she noticed that</w:t>
      </w:r>
      <w:r w:rsidR="001E0356" w:rsidRPr="00785D06">
        <w:rPr>
          <w:sz w:val="20"/>
          <w:szCs w:val="20"/>
          <w:lang w:val="en-US"/>
        </w:rPr>
        <w:t xml:space="preserve"> her mother was “different, sad and</w:t>
      </w:r>
      <w:r w:rsidR="00C254BF" w:rsidRPr="00785D06">
        <w:rPr>
          <w:sz w:val="20"/>
          <w:szCs w:val="20"/>
          <w:lang w:val="en-US"/>
        </w:rPr>
        <w:t xml:space="preserve"> </w:t>
      </w:r>
      <w:r w:rsidRPr="00785D06">
        <w:rPr>
          <w:sz w:val="20"/>
          <w:szCs w:val="20"/>
          <w:lang w:val="en-US"/>
        </w:rPr>
        <w:t>despondent.”</w:t>
      </w:r>
      <w:r w:rsidR="00C254BF" w:rsidRPr="00785D06">
        <w:rPr>
          <w:sz w:val="20"/>
          <w:szCs w:val="20"/>
          <w:lang w:val="en-US"/>
        </w:rPr>
        <w:t xml:space="preserve"> </w:t>
      </w:r>
      <w:r w:rsidRPr="00785D06">
        <w:rPr>
          <w:sz w:val="20"/>
          <w:szCs w:val="20"/>
          <w:lang w:val="en-US"/>
        </w:rPr>
        <w:t xml:space="preserve">She </w:t>
      </w:r>
      <w:r w:rsidR="001E0356" w:rsidRPr="00785D06">
        <w:rPr>
          <w:sz w:val="20"/>
          <w:szCs w:val="20"/>
          <w:lang w:val="en-US"/>
        </w:rPr>
        <w:t xml:space="preserve">added </w:t>
      </w:r>
      <w:r w:rsidR="00C254BF" w:rsidRPr="00785D06">
        <w:rPr>
          <w:sz w:val="20"/>
          <w:szCs w:val="20"/>
          <w:lang w:val="en-US"/>
        </w:rPr>
        <w:t xml:space="preserve">that Mrs. Petita Albarracín “became ill, she changed completely, she became a cold person, less expressive in her affection,” which affected </w:t>
      </w:r>
      <w:r w:rsidR="001E0356" w:rsidRPr="00785D06">
        <w:rPr>
          <w:sz w:val="20"/>
          <w:szCs w:val="20"/>
          <w:lang w:val="en-US"/>
        </w:rPr>
        <w:t>Denisse Guzmán’s childhood and adolescence</w:t>
      </w:r>
      <w:r w:rsidR="00C254BF" w:rsidRPr="00785D06">
        <w:rPr>
          <w:sz w:val="20"/>
          <w:szCs w:val="20"/>
          <w:lang w:val="en-US"/>
        </w:rPr>
        <w:t>. A</w:t>
      </w:r>
      <w:r w:rsidR="001E0356" w:rsidRPr="00785D06">
        <w:rPr>
          <w:sz w:val="20"/>
          <w:szCs w:val="20"/>
          <w:lang w:val="en-US"/>
        </w:rPr>
        <w:t xml:space="preserve">fter her sister’s </w:t>
      </w:r>
      <w:r w:rsidR="00C254BF" w:rsidRPr="00785D06">
        <w:rPr>
          <w:sz w:val="20"/>
          <w:szCs w:val="20"/>
          <w:lang w:val="en-US"/>
        </w:rPr>
        <w:t xml:space="preserve">death and without the comfort of her mother, Denisse </w:t>
      </w:r>
      <w:r w:rsidR="001E0356" w:rsidRPr="00785D06">
        <w:rPr>
          <w:sz w:val="20"/>
          <w:szCs w:val="20"/>
          <w:lang w:val="en-US"/>
        </w:rPr>
        <w:t xml:space="preserve">said she </w:t>
      </w:r>
      <w:r w:rsidRPr="00785D06">
        <w:rPr>
          <w:sz w:val="20"/>
          <w:szCs w:val="20"/>
          <w:lang w:val="en-US"/>
        </w:rPr>
        <w:t xml:space="preserve">endured </w:t>
      </w:r>
      <w:r w:rsidR="00C254BF" w:rsidRPr="00785D06">
        <w:rPr>
          <w:sz w:val="20"/>
          <w:szCs w:val="20"/>
          <w:lang w:val="en-US"/>
        </w:rPr>
        <w:t>the pain “practically alone and in silence.”</w:t>
      </w:r>
      <w:r w:rsidR="00C254BF" w:rsidRPr="00785D06">
        <w:rPr>
          <w:rStyle w:val="Refdenotaalpie"/>
          <w:sz w:val="20"/>
          <w:szCs w:val="20"/>
          <w:lang w:val="en-US"/>
        </w:rPr>
        <w:footnoteReference w:id="199"/>
      </w:r>
      <w:r w:rsidR="00C254BF" w:rsidRPr="00785D06">
        <w:rPr>
          <w:sz w:val="20"/>
          <w:szCs w:val="20"/>
          <w:lang w:val="en-US"/>
        </w:rPr>
        <w:t xml:space="preserve"> </w:t>
      </w:r>
      <w:r w:rsidR="00C254BF" w:rsidRPr="00785D06">
        <w:rPr>
          <w:rFonts w:eastAsia="Times New Roman" w:cs="Segoe UI"/>
          <w:color w:val="000000"/>
          <w:sz w:val="20"/>
          <w:szCs w:val="20"/>
          <w:lang w:val="en-US" w:eastAsia="es-ES_tradnl"/>
        </w:rPr>
        <w:t>Denisse said she felt “very lonely” after Paola’s death, which “affected [her] a lot.” She added that she felt “</w:t>
      </w:r>
      <w:r w:rsidRPr="00785D06">
        <w:rPr>
          <w:rFonts w:eastAsia="Times New Roman" w:cs="Segoe UI"/>
          <w:color w:val="000000"/>
          <w:sz w:val="20"/>
          <w:szCs w:val="20"/>
          <w:lang w:val="en-US" w:eastAsia="es-ES_tradnl"/>
        </w:rPr>
        <w:t>very distressed</w:t>
      </w:r>
      <w:r w:rsidR="00C254BF" w:rsidRPr="00785D06">
        <w:rPr>
          <w:rFonts w:eastAsia="Times New Roman" w:cs="Segoe UI"/>
          <w:color w:val="000000"/>
          <w:sz w:val="20"/>
          <w:szCs w:val="20"/>
          <w:lang w:val="en-US" w:eastAsia="es-ES_tradnl"/>
        </w:rPr>
        <w:t>” when she saw her sister in the coffin with her face still “</w:t>
      </w:r>
      <w:r w:rsidRPr="00785D06">
        <w:rPr>
          <w:rFonts w:eastAsia="Times New Roman" w:cs="Segoe UI"/>
          <w:color w:val="000000"/>
          <w:sz w:val="20"/>
          <w:szCs w:val="20"/>
          <w:lang w:val="en-US" w:eastAsia="es-ES_tradnl"/>
        </w:rPr>
        <w:t xml:space="preserve">opened </w:t>
      </w:r>
      <w:r w:rsidR="00C254BF" w:rsidRPr="00785D06">
        <w:rPr>
          <w:rFonts w:eastAsia="Times New Roman" w:cs="Segoe UI"/>
          <w:color w:val="000000"/>
          <w:sz w:val="20"/>
          <w:szCs w:val="20"/>
          <w:lang w:val="en-US" w:eastAsia="es-ES_tradnl"/>
        </w:rPr>
        <w:t xml:space="preserve">[…] </w:t>
      </w:r>
      <w:r w:rsidRPr="00785D06">
        <w:rPr>
          <w:rFonts w:eastAsia="Times New Roman" w:cs="Segoe UI"/>
          <w:color w:val="000000"/>
          <w:sz w:val="20"/>
          <w:szCs w:val="20"/>
          <w:lang w:val="en-US" w:eastAsia="es-ES_tradnl"/>
        </w:rPr>
        <w:t>sewn up</w:t>
      </w:r>
      <w:r w:rsidR="00C254BF" w:rsidRPr="00785D06">
        <w:rPr>
          <w:rFonts w:eastAsia="Times New Roman" w:cs="Segoe UI"/>
          <w:color w:val="000000"/>
          <w:sz w:val="20"/>
          <w:szCs w:val="20"/>
          <w:lang w:val="en-US" w:eastAsia="es-ES_tradnl"/>
        </w:rPr>
        <w:t xml:space="preserve">” after the autopsy. </w:t>
      </w:r>
      <w:r w:rsidRPr="00785D06">
        <w:rPr>
          <w:rFonts w:eastAsia="Times New Roman" w:cs="Segoe UI"/>
          <w:color w:val="000000"/>
          <w:sz w:val="20"/>
          <w:szCs w:val="20"/>
          <w:lang w:val="en-US" w:eastAsia="es-ES_tradnl"/>
        </w:rPr>
        <w:t xml:space="preserve">She said that </w:t>
      </w:r>
      <w:r w:rsidR="00C254BF" w:rsidRPr="00785D06">
        <w:rPr>
          <w:rFonts w:eastAsia="Times New Roman" w:cs="Segoe UI"/>
          <w:color w:val="000000"/>
          <w:sz w:val="20"/>
          <w:szCs w:val="20"/>
          <w:lang w:val="en-US" w:eastAsia="es-ES_tradnl"/>
        </w:rPr>
        <w:t xml:space="preserve">her </w:t>
      </w:r>
      <w:r w:rsidR="001E0356" w:rsidRPr="00785D06">
        <w:rPr>
          <w:rFonts w:eastAsia="Times New Roman" w:cs="Segoe UI"/>
          <w:color w:val="000000"/>
          <w:sz w:val="20"/>
          <w:szCs w:val="20"/>
          <w:lang w:val="en-US" w:eastAsia="es-ES_tradnl"/>
        </w:rPr>
        <w:t xml:space="preserve">mother became “over-protective </w:t>
      </w:r>
      <w:r w:rsidRPr="00785D06">
        <w:rPr>
          <w:rFonts w:eastAsia="Times New Roman" w:cs="Segoe UI"/>
          <w:color w:val="000000"/>
          <w:sz w:val="20"/>
          <w:szCs w:val="20"/>
          <w:lang w:val="en-US" w:eastAsia="es-ES_tradnl"/>
        </w:rPr>
        <w:t>because</w:t>
      </w:r>
      <w:r w:rsidR="00C254BF" w:rsidRPr="00785D06">
        <w:rPr>
          <w:rFonts w:eastAsia="Times New Roman" w:cs="Segoe UI"/>
          <w:color w:val="000000"/>
          <w:sz w:val="20"/>
          <w:szCs w:val="20"/>
          <w:lang w:val="en-US" w:eastAsia="es-ES_tradnl"/>
        </w:rPr>
        <w:t xml:space="preserve"> she</w:t>
      </w:r>
      <w:r w:rsidRPr="00785D06">
        <w:rPr>
          <w:rFonts w:eastAsia="Times New Roman" w:cs="Segoe UI"/>
          <w:color w:val="000000"/>
          <w:sz w:val="20"/>
          <w:szCs w:val="20"/>
          <w:lang w:val="en-US" w:eastAsia="es-ES_tradnl"/>
        </w:rPr>
        <w:t xml:space="preserve"> [was] afraid that the same would</w:t>
      </w:r>
      <w:r w:rsidR="00C254BF" w:rsidRPr="00785D06">
        <w:rPr>
          <w:rFonts w:eastAsia="Times New Roman" w:cs="Segoe UI"/>
          <w:color w:val="000000"/>
          <w:sz w:val="20"/>
          <w:szCs w:val="20"/>
          <w:lang w:val="en-US" w:eastAsia="es-ES_tradnl"/>
        </w:rPr>
        <w:t xml:space="preserve"> happen to [her] as happened to [her] sister</w:t>
      </w:r>
      <w:r w:rsidR="001E0356" w:rsidRPr="00785D06">
        <w:rPr>
          <w:rFonts w:eastAsia="Times New Roman" w:cs="Segoe UI"/>
          <w:color w:val="000000"/>
          <w:sz w:val="20"/>
          <w:szCs w:val="20"/>
          <w:lang w:val="en-US" w:eastAsia="es-ES_tradnl"/>
        </w:rPr>
        <w:t>.”</w:t>
      </w:r>
      <w:r w:rsidR="00C254BF" w:rsidRPr="00785D06">
        <w:rPr>
          <w:rFonts w:eastAsia="Times New Roman" w:cs="Segoe UI"/>
          <w:color w:val="212121"/>
          <w:sz w:val="23"/>
          <w:szCs w:val="23"/>
          <w:lang w:val="en-US" w:eastAsia="es-ES_tradnl"/>
        </w:rPr>
        <w:t xml:space="preserve"> </w:t>
      </w:r>
      <w:r w:rsidR="00C254BF" w:rsidRPr="00785D06">
        <w:rPr>
          <w:rFonts w:eastAsia="Times New Roman" w:cs="Segoe UI"/>
          <w:color w:val="000000"/>
          <w:sz w:val="20"/>
          <w:szCs w:val="20"/>
          <w:lang w:val="en-US" w:eastAsia="es-ES_tradnl"/>
        </w:rPr>
        <w:t xml:space="preserve">Denisse </w:t>
      </w:r>
      <w:r w:rsidR="001E0356" w:rsidRPr="00785D06">
        <w:rPr>
          <w:rFonts w:eastAsia="Times New Roman" w:cs="Segoe UI"/>
          <w:color w:val="000000"/>
          <w:sz w:val="20"/>
          <w:szCs w:val="20"/>
          <w:lang w:val="en-US" w:eastAsia="es-ES_tradnl"/>
        </w:rPr>
        <w:t xml:space="preserve">added that </w:t>
      </w:r>
      <w:r w:rsidR="00C254BF" w:rsidRPr="00785D06">
        <w:rPr>
          <w:rFonts w:eastAsia="Times New Roman" w:cs="Segoe UI"/>
          <w:color w:val="000000"/>
          <w:sz w:val="20"/>
          <w:szCs w:val="20"/>
          <w:lang w:val="en-US" w:eastAsia="es-ES_tradnl"/>
        </w:rPr>
        <w:t xml:space="preserve">she had difficulties in trusting people, especially men. “I had a lot of mistrust and fear of the teachers [and] </w:t>
      </w:r>
      <w:r w:rsidRPr="00785D06">
        <w:rPr>
          <w:rFonts w:eastAsia="Times New Roman" w:cs="Segoe UI"/>
          <w:color w:val="000000"/>
          <w:sz w:val="20"/>
          <w:szCs w:val="20"/>
          <w:lang w:val="en-US" w:eastAsia="es-ES_tradnl"/>
        </w:rPr>
        <w:t xml:space="preserve">school </w:t>
      </w:r>
      <w:r w:rsidR="001E0356" w:rsidRPr="00785D06">
        <w:rPr>
          <w:rFonts w:eastAsia="Times New Roman" w:cs="Segoe UI"/>
          <w:color w:val="000000"/>
          <w:sz w:val="20"/>
          <w:szCs w:val="20"/>
          <w:lang w:val="en-US" w:eastAsia="es-ES_tradnl"/>
        </w:rPr>
        <w:t>friends</w:t>
      </w:r>
      <w:r w:rsidRPr="00785D06">
        <w:rPr>
          <w:rFonts w:eastAsia="Times New Roman" w:cs="Segoe UI"/>
          <w:color w:val="000000"/>
          <w:sz w:val="20"/>
          <w:szCs w:val="20"/>
          <w:lang w:val="en-US" w:eastAsia="es-ES_tradnl"/>
        </w:rPr>
        <w:t>.”</w:t>
      </w:r>
      <w:r w:rsidR="00C254BF" w:rsidRPr="00785D06">
        <w:rPr>
          <w:rFonts w:eastAsia="Times New Roman" w:cs="Segoe UI"/>
          <w:color w:val="000000"/>
          <w:sz w:val="20"/>
          <w:szCs w:val="20"/>
          <w:lang w:val="en-US" w:eastAsia="es-ES_tradnl"/>
        </w:rPr>
        <w:t xml:space="preserve"> Finally, </w:t>
      </w:r>
      <w:r w:rsidR="001E0356" w:rsidRPr="00785D06">
        <w:rPr>
          <w:rFonts w:eastAsia="Times New Roman" w:cs="Segoe UI"/>
          <w:color w:val="000000"/>
          <w:sz w:val="20"/>
          <w:szCs w:val="20"/>
          <w:lang w:val="en-US" w:eastAsia="es-ES_tradnl"/>
        </w:rPr>
        <w:t xml:space="preserve">she emphasized </w:t>
      </w:r>
      <w:r w:rsidR="00C254BF" w:rsidRPr="00785D06">
        <w:rPr>
          <w:rFonts w:eastAsia="Times New Roman" w:cs="Segoe UI"/>
          <w:color w:val="000000"/>
          <w:sz w:val="20"/>
          <w:szCs w:val="20"/>
          <w:lang w:val="en-US" w:eastAsia="es-ES_tradnl"/>
        </w:rPr>
        <w:t xml:space="preserve">that </w:t>
      </w:r>
      <w:r w:rsidRPr="00785D06">
        <w:rPr>
          <w:rFonts w:eastAsia="Times New Roman" w:cs="Segoe UI"/>
          <w:color w:val="000000"/>
          <w:sz w:val="20"/>
          <w:szCs w:val="20"/>
          <w:lang w:val="en-US" w:eastAsia="es-ES_tradnl"/>
        </w:rPr>
        <w:t xml:space="preserve">her </w:t>
      </w:r>
      <w:r w:rsidR="001E0356" w:rsidRPr="00785D06">
        <w:rPr>
          <w:rFonts w:eastAsia="Times New Roman" w:cs="Segoe UI"/>
          <w:color w:val="000000"/>
          <w:sz w:val="20"/>
          <w:szCs w:val="20"/>
          <w:lang w:val="en-US" w:eastAsia="es-ES_tradnl"/>
        </w:rPr>
        <w:t xml:space="preserve">pain </w:t>
      </w:r>
      <w:r w:rsidR="00C254BF" w:rsidRPr="00785D06">
        <w:rPr>
          <w:rFonts w:eastAsia="Times New Roman" w:cs="Segoe UI"/>
          <w:color w:val="000000"/>
          <w:sz w:val="20"/>
          <w:szCs w:val="20"/>
          <w:lang w:val="en-US" w:eastAsia="es-ES_tradnl"/>
        </w:rPr>
        <w:t>“</w:t>
      </w:r>
      <w:r w:rsidR="001E0356" w:rsidRPr="00785D06">
        <w:rPr>
          <w:rFonts w:eastAsia="Times New Roman" w:cs="Segoe UI"/>
          <w:color w:val="000000"/>
          <w:sz w:val="20"/>
          <w:szCs w:val="20"/>
          <w:lang w:val="en-US" w:eastAsia="es-ES_tradnl"/>
        </w:rPr>
        <w:t xml:space="preserve">is </w:t>
      </w:r>
      <w:r w:rsidR="00C254BF" w:rsidRPr="00785D06">
        <w:rPr>
          <w:rFonts w:eastAsia="Times New Roman" w:cs="Segoe UI"/>
          <w:color w:val="000000"/>
          <w:sz w:val="20"/>
          <w:szCs w:val="20"/>
          <w:lang w:val="en-US" w:eastAsia="es-ES_tradnl"/>
        </w:rPr>
        <w:t>very deep.”</w:t>
      </w:r>
    </w:p>
    <w:p w14:paraId="2DC0ABE3" w14:textId="77777777" w:rsidR="00C254BF" w:rsidRPr="00785D06" w:rsidRDefault="00C254BF" w:rsidP="00C254BF">
      <w:pPr>
        <w:jc w:val="both"/>
        <w:rPr>
          <w:sz w:val="20"/>
          <w:lang w:val="en-US"/>
        </w:rPr>
      </w:pPr>
    </w:p>
    <w:p w14:paraId="538EFD01" w14:textId="77777777" w:rsidR="00C254BF" w:rsidRPr="00785D06" w:rsidRDefault="00010B4B" w:rsidP="00C254BF">
      <w:pPr>
        <w:pStyle w:val="Prrafodelista"/>
        <w:numPr>
          <w:ilvl w:val="0"/>
          <w:numId w:val="35"/>
        </w:numPr>
        <w:ind w:left="0" w:firstLine="0"/>
        <w:contextualSpacing w:val="0"/>
        <w:jc w:val="both"/>
        <w:rPr>
          <w:sz w:val="20"/>
          <w:szCs w:val="20"/>
          <w:lang w:val="en-US"/>
        </w:rPr>
      </w:pPr>
      <w:r w:rsidRPr="00785D06">
        <w:rPr>
          <w:sz w:val="20"/>
          <w:lang w:val="en-US"/>
        </w:rPr>
        <w:t xml:space="preserve">Based on the </w:t>
      </w:r>
      <w:r w:rsidR="00F01CD7" w:rsidRPr="00785D06">
        <w:rPr>
          <w:sz w:val="20"/>
          <w:lang w:val="en-US"/>
        </w:rPr>
        <w:t>foregoing</w:t>
      </w:r>
      <w:r w:rsidR="00C254BF" w:rsidRPr="00785D06">
        <w:rPr>
          <w:sz w:val="20"/>
          <w:lang w:val="en-US"/>
        </w:rPr>
        <w:t xml:space="preserve">, this Court concludes that the State is responsible for the violation of the right to personal integrity, recognized in Article 5(1) of the Convention, in relation to Article 1(1) </w:t>
      </w:r>
      <w:r w:rsidR="000B1A89" w:rsidRPr="00785D06">
        <w:rPr>
          <w:sz w:val="20"/>
          <w:lang w:val="en-US"/>
        </w:rPr>
        <w:t>of that instrument</w:t>
      </w:r>
      <w:r w:rsidR="00C254BF" w:rsidRPr="00785D06">
        <w:rPr>
          <w:sz w:val="20"/>
          <w:lang w:val="en-US"/>
        </w:rPr>
        <w:t xml:space="preserve">, to the detriment of Petita Paulina Albarracín Albán and Denisse Selena Guzmán Albarracín. </w:t>
      </w:r>
    </w:p>
    <w:p w14:paraId="2F8CEB87" w14:textId="77777777" w:rsidR="00C254BF" w:rsidRPr="00785D06" w:rsidRDefault="00C254BF" w:rsidP="00C254BF">
      <w:pPr>
        <w:pStyle w:val="Prrafodelista"/>
        <w:rPr>
          <w:sz w:val="20"/>
          <w:szCs w:val="20"/>
          <w:lang w:val="en-US"/>
        </w:rPr>
      </w:pPr>
    </w:p>
    <w:p w14:paraId="4C345D8E" w14:textId="77777777" w:rsidR="00C254BF" w:rsidRPr="00785D06" w:rsidRDefault="00C254BF" w:rsidP="00C254BF">
      <w:pPr>
        <w:pStyle w:val="Prrafodelista"/>
        <w:rPr>
          <w:sz w:val="20"/>
          <w:szCs w:val="20"/>
          <w:lang w:val="en-US"/>
        </w:rPr>
      </w:pPr>
    </w:p>
    <w:p w14:paraId="0FF5DD51" w14:textId="77777777" w:rsidR="00C254BF" w:rsidRPr="00785D06" w:rsidRDefault="00C254BF" w:rsidP="00C254BF">
      <w:pPr>
        <w:pStyle w:val="Prrafodelista"/>
        <w:rPr>
          <w:sz w:val="20"/>
          <w:szCs w:val="20"/>
          <w:lang w:val="en-US"/>
        </w:rPr>
      </w:pPr>
    </w:p>
    <w:p w14:paraId="66381FE6" w14:textId="77777777" w:rsidR="00C254BF" w:rsidRPr="00785D06" w:rsidRDefault="00C254BF" w:rsidP="00C254BF">
      <w:pPr>
        <w:pStyle w:val="Prrafodelista"/>
        <w:rPr>
          <w:sz w:val="20"/>
          <w:szCs w:val="20"/>
          <w:lang w:val="en-US"/>
        </w:rPr>
      </w:pPr>
    </w:p>
    <w:p w14:paraId="122CB298" w14:textId="77777777" w:rsidR="00C254BF" w:rsidRPr="00785D06" w:rsidRDefault="00C254BF" w:rsidP="00C254BF">
      <w:pPr>
        <w:pStyle w:val="Ttulo1"/>
        <w:spacing w:before="0"/>
        <w:jc w:val="center"/>
        <w:rPr>
          <w:rFonts w:ascii="Verdana" w:hAnsi="Verdana"/>
          <w:b/>
          <w:color w:val="auto"/>
          <w:sz w:val="20"/>
          <w:szCs w:val="20"/>
          <w:lang w:val="en-US"/>
        </w:rPr>
      </w:pPr>
      <w:bookmarkStart w:id="155" w:name="_Toc42498069"/>
      <w:bookmarkStart w:id="156" w:name="_Toc46937317"/>
      <w:r w:rsidRPr="00785D06">
        <w:rPr>
          <w:rFonts w:ascii="Verdana" w:hAnsi="Verdana"/>
          <w:b/>
          <w:color w:val="auto"/>
          <w:sz w:val="20"/>
          <w:szCs w:val="20"/>
          <w:lang w:val="en-US"/>
        </w:rPr>
        <w:t>VIII</w:t>
      </w:r>
      <w:bookmarkEnd w:id="155"/>
      <w:bookmarkEnd w:id="156"/>
    </w:p>
    <w:p w14:paraId="57CC243E" w14:textId="77777777" w:rsidR="00C254BF" w:rsidRPr="00785D06" w:rsidRDefault="00C254BF" w:rsidP="00C254BF">
      <w:pPr>
        <w:pStyle w:val="Ttulo1"/>
        <w:spacing w:before="0"/>
        <w:jc w:val="center"/>
        <w:rPr>
          <w:rFonts w:ascii="Verdana" w:hAnsi="Verdana"/>
          <w:b/>
          <w:color w:val="auto"/>
          <w:sz w:val="20"/>
          <w:szCs w:val="20"/>
          <w:lang w:val="en-US"/>
        </w:rPr>
      </w:pPr>
      <w:bookmarkStart w:id="157" w:name="_Toc42498070"/>
      <w:bookmarkStart w:id="158" w:name="_Toc46937318"/>
      <w:r w:rsidRPr="00785D06">
        <w:rPr>
          <w:rFonts w:ascii="Verdana" w:hAnsi="Verdana"/>
          <w:b/>
          <w:color w:val="auto"/>
          <w:sz w:val="20"/>
          <w:szCs w:val="20"/>
          <w:lang w:val="en-US"/>
        </w:rPr>
        <w:t>REPARATIONS</w:t>
      </w:r>
      <w:bookmarkEnd w:id="157"/>
      <w:bookmarkEnd w:id="158"/>
    </w:p>
    <w:p w14:paraId="4D97531D" w14:textId="77777777" w:rsidR="00C254BF" w:rsidRPr="00785D06" w:rsidRDefault="00C254BF" w:rsidP="00C254BF">
      <w:pPr>
        <w:pStyle w:val="Prrafodelista"/>
        <w:rPr>
          <w:sz w:val="20"/>
          <w:szCs w:val="20"/>
          <w:lang w:val="en-US"/>
        </w:rPr>
      </w:pPr>
    </w:p>
    <w:p w14:paraId="415C4B4A"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Based on the provisions of Article 63(1) of the American Convention, the Court has indicated that any violation of an international obligation that has produced harm entails the obligation to </w:t>
      </w:r>
      <w:r w:rsidR="00656913" w:rsidRPr="00785D06">
        <w:rPr>
          <w:sz w:val="20"/>
          <w:szCs w:val="20"/>
          <w:lang w:val="en-US"/>
        </w:rPr>
        <w:t>provide adequate reparation</w:t>
      </w:r>
      <w:r w:rsidRPr="00785D06">
        <w:rPr>
          <w:sz w:val="20"/>
          <w:szCs w:val="20"/>
          <w:lang w:val="en-US"/>
        </w:rPr>
        <w:t>, and that this provision reflects a customary rule that constitutes one of the fundamental principles of contemporary international law on State responsibility.</w:t>
      </w:r>
      <w:r w:rsidRPr="00785D06">
        <w:rPr>
          <w:rStyle w:val="Refdenotaalpie"/>
          <w:sz w:val="20"/>
          <w:szCs w:val="20"/>
          <w:lang w:val="en-US"/>
        </w:rPr>
        <w:footnoteReference w:id="200"/>
      </w:r>
      <w:r w:rsidRPr="00785D06">
        <w:rPr>
          <w:sz w:val="20"/>
          <w:szCs w:val="20"/>
          <w:lang w:val="en-US"/>
        </w:rPr>
        <w:t xml:space="preserve"> </w:t>
      </w:r>
      <w:r w:rsidR="00A95637" w:rsidRPr="00785D06">
        <w:rPr>
          <w:sz w:val="20"/>
          <w:szCs w:val="20"/>
          <w:lang w:val="en-US"/>
        </w:rPr>
        <w:t>T</w:t>
      </w:r>
      <w:r w:rsidRPr="00785D06">
        <w:rPr>
          <w:sz w:val="20"/>
          <w:szCs w:val="20"/>
          <w:lang w:val="en-US"/>
        </w:rPr>
        <w:t xml:space="preserve">his Court has </w:t>
      </w:r>
      <w:r w:rsidR="00A95637" w:rsidRPr="00785D06">
        <w:rPr>
          <w:sz w:val="20"/>
          <w:szCs w:val="20"/>
          <w:lang w:val="en-US"/>
        </w:rPr>
        <w:t xml:space="preserve">also </w:t>
      </w:r>
      <w:r w:rsidRPr="00785D06">
        <w:rPr>
          <w:sz w:val="20"/>
          <w:szCs w:val="20"/>
          <w:lang w:val="en-US"/>
        </w:rPr>
        <w:t xml:space="preserve">established that reparations should have a causal nexus with the facts of the case, the violations declared, the harm proved, and the measures requested to redress the respective harm. Therefore, the Court must observe the concurrence of these factors to rule </w:t>
      </w:r>
      <w:r w:rsidR="00E925CF" w:rsidRPr="00785D06">
        <w:rPr>
          <w:sz w:val="20"/>
          <w:szCs w:val="20"/>
          <w:lang w:val="en-US"/>
        </w:rPr>
        <w:t xml:space="preserve">appropriately </w:t>
      </w:r>
      <w:r w:rsidRPr="00785D06">
        <w:rPr>
          <w:sz w:val="20"/>
          <w:szCs w:val="20"/>
          <w:lang w:val="en-US"/>
        </w:rPr>
        <w:t xml:space="preserve">and </w:t>
      </w:r>
      <w:r w:rsidR="00E925CF" w:rsidRPr="00785D06">
        <w:rPr>
          <w:sz w:val="20"/>
          <w:szCs w:val="20"/>
          <w:lang w:val="en-US"/>
        </w:rPr>
        <w:t xml:space="preserve">according to </w:t>
      </w:r>
      <w:r w:rsidRPr="00785D06">
        <w:rPr>
          <w:sz w:val="20"/>
          <w:szCs w:val="20"/>
          <w:lang w:val="en-US"/>
        </w:rPr>
        <w:t>the law.</w:t>
      </w:r>
      <w:r w:rsidRPr="00785D06">
        <w:rPr>
          <w:sz w:val="20"/>
          <w:szCs w:val="20"/>
          <w:vertAlign w:val="superscript"/>
          <w:lang w:val="en-US"/>
        </w:rPr>
        <w:footnoteReference w:id="201"/>
      </w:r>
      <w:r w:rsidRPr="00785D06">
        <w:rPr>
          <w:sz w:val="20"/>
          <w:szCs w:val="20"/>
          <w:lang w:val="en-US"/>
        </w:rPr>
        <w:t xml:space="preserve"> </w:t>
      </w:r>
      <w:r w:rsidR="00A95637" w:rsidRPr="00785D06">
        <w:rPr>
          <w:sz w:val="20"/>
          <w:szCs w:val="20"/>
          <w:lang w:val="en-US"/>
        </w:rPr>
        <w:t xml:space="preserve">In the instant case </w:t>
      </w:r>
      <w:r w:rsidRPr="00785D06">
        <w:rPr>
          <w:sz w:val="20"/>
          <w:szCs w:val="20"/>
          <w:lang w:val="en-US"/>
        </w:rPr>
        <w:t xml:space="preserve">the Court considers that </w:t>
      </w:r>
      <w:r w:rsidR="002E00DB" w:rsidRPr="00785D06">
        <w:rPr>
          <w:sz w:val="20"/>
          <w:szCs w:val="20"/>
          <w:lang w:val="en-US"/>
        </w:rPr>
        <w:t xml:space="preserve">the </w:t>
      </w:r>
      <w:r w:rsidRPr="00785D06">
        <w:rPr>
          <w:sz w:val="20"/>
          <w:szCs w:val="20"/>
          <w:lang w:val="en-US"/>
        </w:rPr>
        <w:t xml:space="preserve">reparations </w:t>
      </w:r>
      <w:r w:rsidR="002E00DB" w:rsidRPr="00785D06">
        <w:rPr>
          <w:sz w:val="20"/>
          <w:szCs w:val="20"/>
          <w:lang w:val="en-US"/>
        </w:rPr>
        <w:t xml:space="preserve">must </w:t>
      </w:r>
      <w:r w:rsidRPr="00785D06">
        <w:rPr>
          <w:sz w:val="20"/>
          <w:szCs w:val="20"/>
          <w:lang w:val="en-US"/>
        </w:rPr>
        <w:t>include an analysis</w:t>
      </w:r>
      <w:r w:rsidR="00E925CF" w:rsidRPr="00785D06">
        <w:rPr>
          <w:sz w:val="20"/>
          <w:szCs w:val="20"/>
          <w:lang w:val="en-US"/>
        </w:rPr>
        <w:t xml:space="preserve"> that considers </w:t>
      </w:r>
      <w:r w:rsidR="00873DEC" w:rsidRPr="00785D06">
        <w:rPr>
          <w:sz w:val="20"/>
          <w:szCs w:val="20"/>
          <w:lang w:val="en-US"/>
        </w:rPr>
        <w:t xml:space="preserve">not only the right of </w:t>
      </w:r>
      <w:r w:rsidRPr="00785D06">
        <w:rPr>
          <w:sz w:val="20"/>
          <w:szCs w:val="20"/>
          <w:lang w:val="en-US"/>
        </w:rPr>
        <w:t>vict</w:t>
      </w:r>
      <w:r w:rsidR="001D0BB1" w:rsidRPr="00785D06">
        <w:rPr>
          <w:sz w:val="20"/>
          <w:szCs w:val="20"/>
          <w:lang w:val="en-US"/>
        </w:rPr>
        <w:t>ims to obtain redress, but also</w:t>
      </w:r>
      <w:r w:rsidRPr="00785D06">
        <w:rPr>
          <w:sz w:val="20"/>
          <w:szCs w:val="20"/>
          <w:lang w:val="en-US"/>
        </w:rPr>
        <w:t xml:space="preserve"> </w:t>
      </w:r>
      <w:r w:rsidR="00E925CF" w:rsidRPr="00785D06">
        <w:rPr>
          <w:sz w:val="20"/>
          <w:szCs w:val="20"/>
          <w:lang w:val="en-US"/>
        </w:rPr>
        <w:t xml:space="preserve">one that </w:t>
      </w:r>
      <w:r w:rsidRPr="00785D06">
        <w:rPr>
          <w:sz w:val="20"/>
          <w:szCs w:val="20"/>
          <w:lang w:val="en-US"/>
        </w:rPr>
        <w:t>incorpor</w:t>
      </w:r>
      <w:r w:rsidR="008C66A3" w:rsidRPr="00785D06">
        <w:rPr>
          <w:sz w:val="20"/>
          <w:szCs w:val="20"/>
          <w:lang w:val="en-US"/>
        </w:rPr>
        <w:t>at</w:t>
      </w:r>
      <w:r w:rsidRPr="00785D06">
        <w:rPr>
          <w:sz w:val="20"/>
          <w:szCs w:val="20"/>
          <w:lang w:val="en-US"/>
        </w:rPr>
        <w:t>e</w:t>
      </w:r>
      <w:r w:rsidR="00873DEC" w:rsidRPr="00785D06">
        <w:rPr>
          <w:sz w:val="20"/>
          <w:szCs w:val="20"/>
          <w:lang w:val="en-US"/>
        </w:rPr>
        <w:t>s</w:t>
      </w:r>
      <w:r w:rsidRPr="00785D06">
        <w:rPr>
          <w:sz w:val="20"/>
          <w:szCs w:val="20"/>
          <w:lang w:val="en-US"/>
        </w:rPr>
        <w:t xml:space="preserve"> a gender </w:t>
      </w:r>
      <w:r w:rsidR="001D0BB1" w:rsidRPr="00785D06">
        <w:rPr>
          <w:sz w:val="20"/>
          <w:szCs w:val="20"/>
          <w:lang w:val="en-US"/>
        </w:rPr>
        <w:t xml:space="preserve">perspective </w:t>
      </w:r>
      <w:r w:rsidR="00A95637" w:rsidRPr="00785D06">
        <w:rPr>
          <w:sz w:val="20"/>
          <w:szCs w:val="20"/>
          <w:lang w:val="en-US"/>
        </w:rPr>
        <w:t xml:space="preserve">and </w:t>
      </w:r>
      <w:r w:rsidR="001D0BB1" w:rsidRPr="00785D06">
        <w:rPr>
          <w:sz w:val="20"/>
          <w:szCs w:val="20"/>
          <w:lang w:val="en-US"/>
        </w:rPr>
        <w:t xml:space="preserve">a </w:t>
      </w:r>
      <w:r w:rsidR="00A95637" w:rsidRPr="00785D06">
        <w:rPr>
          <w:sz w:val="20"/>
          <w:szCs w:val="20"/>
          <w:lang w:val="en-US"/>
        </w:rPr>
        <w:t xml:space="preserve">child-oriented </w:t>
      </w:r>
      <w:r w:rsidR="001D0BB1" w:rsidRPr="00785D06">
        <w:rPr>
          <w:sz w:val="20"/>
          <w:szCs w:val="20"/>
          <w:lang w:val="en-US"/>
        </w:rPr>
        <w:t>approach</w:t>
      </w:r>
      <w:r w:rsidR="00A95637" w:rsidRPr="00785D06">
        <w:rPr>
          <w:sz w:val="20"/>
          <w:szCs w:val="20"/>
          <w:lang w:val="en-US"/>
        </w:rPr>
        <w:t>,</w:t>
      </w:r>
      <w:r w:rsidRPr="00785D06">
        <w:rPr>
          <w:sz w:val="20"/>
          <w:szCs w:val="20"/>
          <w:lang w:val="en-US"/>
        </w:rPr>
        <w:t xml:space="preserve"> both in </w:t>
      </w:r>
      <w:r w:rsidR="008C66A3" w:rsidRPr="00785D06">
        <w:rPr>
          <w:sz w:val="20"/>
          <w:szCs w:val="20"/>
          <w:lang w:val="en-US"/>
        </w:rPr>
        <w:t xml:space="preserve">its </w:t>
      </w:r>
      <w:r w:rsidRPr="00785D06">
        <w:rPr>
          <w:sz w:val="20"/>
          <w:szCs w:val="20"/>
          <w:lang w:val="en-US"/>
        </w:rPr>
        <w:t xml:space="preserve">formulation </w:t>
      </w:r>
      <w:r w:rsidR="008C66A3" w:rsidRPr="00785D06">
        <w:rPr>
          <w:sz w:val="20"/>
          <w:szCs w:val="20"/>
          <w:lang w:val="en-US"/>
        </w:rPr>
        <w:t xml:space="preserve">and in its </w:t>
      </w:r>
      <w:r w:rsidRPr="00785D06">
        <w:rPr>
          <w:sz w:val="20"/>
          <w:szCs w:val="20"/>
          <w:lang w:val="en-US"/>
        </w:rPr>
        <w:t>implementation.</w:t>
      </w:r>
    </w:p>
    <w:p w14:paraId="0CC121DD" w14:textId="77777777" w:rsidR="00C254BF" w:rsidRPr="00785D06" w:rsidRDefault="00C254BF" w:rsidP="00C254BF">
      <w:pPr>
        <w:pStyle w:val="Prrafodelista"/>
        <w:ind w:left="0"/>
        <w:contextualSpacing w:val="0"/>
        <w:jc w:val="both"/>
        <w:rPr>
          <w:sz w:val="20"/>
          <w:szCs w:val="20"/>
          <w:lang w:val="en-US"/>
        </w:rPr>
      </w:pPr>
    </w:p>
    <w:p w14:paraId="683CD5CD"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Consequently, </w:t>
      </w:r>
      <w:r w:rsidR="00E925CF" w:rsidRPr="00785D06">
        <w:rPr>
          <w:sz w:val="20"/>
          <w:szCs w:val="20"/>
          <w:lang w:val="en-US"/>
        </w:rPr>
        <w:t xml:space="preserve">based on </w:t>
      </w:r>
      <w:r w:rsidR="000B1A89" w:rsidRPr="00785D06">
        <w:rPr>
          <w:sz w:val="20"/>
          <w:szCs w:val="20"/>
          <w:lang w:val="en-US"/>
        </w:rPr>
        <w:t xml:space="preserve">its </w:t>
      </w:r>
      <w:r w:rsidRPr="00785D06">
        <w:rPr>
          <w:sz w:val="20"/>
          <w:szCs w:val="20"/>
          <w:lang w:val="en-US"/>
        </w:rPr>
        <w:t xml:space="preserve">considerations </w:t>
      </w:r>
      <w:r w:rsidR="00BF42BA" w:rsidRPr="00785D06">
        <w:rPr>
          <w:sz w:val="20"/>
          <w:szCs w:val="20"/>
          <w:lang w:val="en-US"/>
        </w:rPr>
        <w:t xml:space="preserve">on </w:t>
      </w:r>
      <w:r w:rsidR="008C66A3" w:rsidRPr="00785D06">
        <w:rPr>
          <w:sz w:val="20"/>
          <w:szCs w:val="20"/>
          <w:lang w:val="en-US"/>
        </w:rPr>
        <w:t>the merits and the violations of</w:t>
      </w:r>
      <w:r w:rsidRPr="00785D06">
        <w:rPr>
          <w:sz w:val="20"/>
          <w:szCs w:val="20"/>
          <w:lang w:val="en-US"/>
        </w:rPr>
        <w:t xml:space="preserve"> the Convention declared in this judgment, the Court will </w:t>
      </w:r>
      <w:r w:rsidR="00BF42BA" w:rsidRPr="00785D06">
        <w:rPr>
          <w:sz w:val="20"/>
          <w:szCs w:val="20"/>
          <w:lang w:val="en-US"/>
        </w:rPr>
        <w:t>proceed to examine the</w:t>
      </w:r>
      <w:r w:rsidR="00BF42BA" w:rsidRPr="00785D06">
        <w:rPr>
          <w:lang w:val="en-US"/>
        </w:rPr>
        <w:t xml:space="preserve"> </w:t>
      </w:r>
      <w:r w:rsidRPr="00785D06">
        <w:rPr>
          <w:sz w:val="20"/>
          <w:szCs w:val="20"/>
          <w:lang w:val="en-US"/>
        </w:rPr>
        <w:t xml:space="preserve">claims presented by the Commission and the </w:t>
      </w:r>
      <w:r w:rsidR="00BF42BA" w:rsidRPr="00785D06">
        <w:rPr>
          <w:sz w:val="20"/>
          <w:szCs w:val="20"/>
          <w:lang w:val="en-US"/>
        </w:rPr>
        <w:t xml:space="preserve">victims’ </w:t>
      </w:r>
      <w:r w:rsidRPr="00785D06">
        <w:rPr>
          <w:sz w:val="20"/>
          <w:szCs w:val="20"/>
          <w:lang w:val="en-US"/>
        </w:rPr>
        <w:t>representatives</w:t>
      </w:r>
      <w:r w:rsidR="00BF42BA" w:rsidRPr="00785D06">
        <w:rPr>
          <w:sz w:val="20"/>
          <w:szCs w:val="20"/>
          <w:lang w:val="en-US"/>
        </w:rPr>
        <w:t xml:space="preserve">, together with </w:t>
      </w:r>
      <w:r w:rsidRPr="00785D06">
        <w:rPr>
          <w:sz w:val="20"/>
          <w:szCs w:val="20"/>
          <w:lang w:val="en-US"/>
        </w:rPr>
        <w:t xml:space="preserve">the </w:t>
      </w:r>
      <w:r w:rsidR="00BF42BA" w:rsidRPr="00785D06">
        <w:rPr>
          <w:sz w:val="20"/>
          <w:szCs w:val="20"/>
          <w:lang w:val="en-US"/>
        </w:rPr>
        <w:t xml:space="preserve">corresponding </w:t>
      </w:r>
      <w:r w:rsidRPr="00785D06">
        <w:rPr>
          <w:sz w:val="20"/>
          <w:szCs w:val="20"/>
          <w:lang w:val="en-US"/>
        </w:rPr>
        <w:t xml:space="preserve">observations of the State, in light of the </w:t>
      </w:r>
      <w:r w:rsidR="00BF42BA" w:rsidRPr="00785D06">
        <w:rPr>
          <w:sz w:val="20"/>
          <w:szCs w:val="20"/>
          <w:lang w:val="en-US"/>
        </w:rPr>
        <w:t xml:space="preserve">criteria established </w:t>
      </w:r>
      <w:r w:rsidRPr="00785D06">
        <w:rPr>
          <w:sz w:val="20"/>
          <w:szCs w:val="20"/>
          <w:lang w:val="en-US"/>
        </w:rPr>
        <w:t xml:space="preserve">in its case law </w:t>
      </w:r>
      <w:r w:rsidR="00BF42BA" w:rsidRPr="00785D06">
        <w:rPr>
          <w:sz w:val="20"/>
          <w:szCs w:val="20"/>
          <w:lang w:val="en-US"/>
        </w:rPr>
        <w:t xml:space="preserve">on </w:t>
      </w:r>
      <w:r w:rsidRPr="00785D06">
        <w:rPr>
          <w:sz w:val="20"/>
          <w:szCs w:val="20"/>
          <w:lang w:val="en-US"/>
        </w:rPr>
        <w:t xml:space="preserve">the nature and scope of the obligation to make reparation, in order to establish measures </w:t>
      </w:r>
      <w:r w:rsidR="00BF42BA" w:rsidRPr="00785D06">
        <w:rPr>
          <w:sz w:val="20"/>
          <w:szCs w:val="20"/>
          <w:lang w:val="en-US"/>
        </w:rPr>
        <w:t xml:space="preserve">to redress </w:t>
      </w:r>
      <w:r w:rsidRPr="00785D06">
        <w:rPr>
          <w:sz w:val="20"/>
          <w:szCs w:val="20"/>
          <w:lang w:val="en-US"/>
        </w:rPr>
        <w:t>the harm caused to the victims.</w:t>
      </w:r>
      <w:r w:rsidRPr="00785D06">
        <w:rPr>
          <w:rStyle w:val="Refdenotaalpie"/>
          <w:sz w:val="20"/>
          <w:szCs w:val="20"/>
          <w:lang w:val="en-US"/>
        </w:rPr>
        <w:footnoteReference w:id="202"/>
      </w:r>
    </w:p>
    <w:p w14:paraId="00E3145C" w14:textId="77777777" w:rsidR="00C254BF" w:rsidRPr="00785D06" w:rsidRDefault="00C254BF" w:rsidP="00C254BF">
      <w:pPr>
        <w:widowControl w:val="0"/>
        <w:autoSpaceDE w:val="0"/>
        <w:autoSpaceDN w:val="0"/>
        <w:ind w:right="120"/>
        <w:jc w:val="both"/>
        <w:rPr>
          <w:sz w:val="20"/>
          <w:szCs w:val="20"/>
          <w:lang w:val="en-US"/>
        </w:rPr>
      </w:pPr>
    </w:p>
    <w:p w14:paraId="2290BCB4" w14:textId="77777777" w:rsidR="00C254BF" w:rsidRPr="00785D06" w:rsidRDefault="00C254BF" w:rsidP="00C254BF">
      <w:pPr>
        <w:widowControl w:val="0"/>
        <w:numPr>
          <w:ilvl w:val="0"/>
          <w:numId w:val="12"/>
        </w:numPr>
        <w:tabs>
          <w:tab w:val="left" w:pos="981"/>
        </w:tabs>
        <w:autoSpaceDE w:val="0"/>
        <w:autoSpaceDN w:val="0"/>
        <w:ind w:left="284" w:firstLine="13"/>
        <w:outlineLvl w:val="1"/>
        <w:rPr>
          <w:rFonts w:eastAsia="Times New Roman"/>
          <w:b/>
          <w:bCs/>
          <w:i/>
          <w:sz w:val="20"/>
          <w:szCs w:val="20"/>
          <w:lang w:val="en-US" w:eastAsia="es-ES" w:bidi="es-ES"/>
        </w:rPr>
      </w:pPr>
      <w:bookmarkStart w:id="159" w:name="_Toc42498071"/>
      <w:bookmarkStart w:id="160" w:name="_Toc46937319"/>
      <w:r w:rsidRPr="00785D06">
        <w:rPr>
          <w:rFonts w:eastAsia="Times New Roman"/>
          <w:b/>
          <w:bCs/>
          <w:i/>
          <w:sz w:val="20"/>
          <w:szCs w:val="20"/>
          <w:lang w:val="en-US" w:eastAsia="es-ES" w:bidi="es-ES"/>
        </w:rPr>
        <w:t xml:space="preserve">Injured party </w:t>
      </w:r>
      <w:bookmarkEnd w:id="159"/>
      <w:bookmarkEnd w:id="160"/>
    </w:p>
    <w:p w14:paraId="25A41079" w14:textId="77777777" w:rsidR="00C254BF" w:rsidRPr="00785D06" w:rsidRDefault="00C254BF" w:rsidP="00C254BF">
      <w:pPr>
        <w:pStyle w:val="Prrafodelista"/>
        <w:rPr>
          <w:sz w:val="20"/>
          <w:szCs w:val="20"/>
          <w:lang w:val="en-US"/>
        </w:rPr>
      </w:pPr>
    </w:p>
    <w:p w14:paraId="2218B116"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Under the terms of Article 63(1) of the Convention, this Court considers as injured party anyone who has been declared a victim of the violation of any right recognized therein. Therefore, the Court considers Paola del Rosario Guzmán Albarracín, her mother Petita Paulina Albarracín Albán and her sister, D</w:t>
      </w:r>
      <w:r w:rsidR="00527FFA" w:rsidRPr="00785D06">
        <w:rPr>
          <w:sz w:val="20"/>
          <w:szCs w:val="20"/>
          <w:lang w:val="en-US"/>
        </w:rPr>
        <w:t>enisse Selena Guzmán Albarracín, as the “injured parties.”</w:t>
      </w:r>
    </w:p>
    <w:p w14:paraId="284E60E3" w14:textId="77777777" w:rsidR="00C254BF" w:rsidRPr="00785D06" w:rsidRDefault="00C254BF" w:rsidP="00C254BF">
      <w:pPr>
        <w:pStyle w:val="Prrafodelista"/>
        <w:ind w:left="0"/>
        <w:contextualSpacing w:val="0"/>
        <w:jc w:val="both"/>
        <w:outlineLvl w:val="1"/>
        <w:rPr>
          <w:sz w:val="20"/>
          <w:szCs w:val="20"/>
          <w:lang w:val="en-US"/>
        </w:rPr>
      </w:pPr>
    </w:p>
    <w:p w14:paraId="61E7B606" w14:textId="77777777" w:rsidR="00C254BF" w:rsidRPr="00785D06" w:rsidRDefault="00C254BF" w:rsidP="00C254BF">
      <w:pPr>
        <w:pStyle w:val="Prrafodelista"/>
        <w:widowControl w:val="0"/>
        <w:numPr>
          <w:ilvl w:val="0"/>
          <w:numId w:val="12"/>
        </w:numPr>
        <w:tabs>
          <w:tab w:val="left" w:pos="993"/>
        </w:tabs>
        <w:autoSpaceDE w:val="0"/>
        <w:autoSpaceDN w:val="0"/>
        <w:ind w:left="284" w:firstLine="13"/>
        <w:outlineLvl w:val="1"/>
        <w:rPr>
          <w:rFonts w:eastAsia="Times New Roman"/>
          <w:b/>
          <w:bCs/>
          <w:i/>
          <w:sz w:val="20"/>
          <w:szCs w:val="20"/>
          <w:lang w:val="en-US" w:eastAsia="es-ES" w:bidi="es-ES"/>
        </w:rPr>
      </w:pPr>
      <w:bookmarkStart w:id="161" w:name="_Toc42498072"/>
      <w:bookmarkStart w:id="162" w:name="_Toc46937320"/>
      <w:r w:rsidRPr="00785D06">
        <w:rPr>
          <w:rFonts w:eastAsia="Times New Roman"/>
          <w:b/>
          <w:bCs/>
          <w:i/>
          <w:sz w:val="20"/>
          <w:szCs w:val="20"/>
          <w:lang w:val="en-US" w:eastAsia="es-ES" w:bidi="es-ES"/>
        </w:rPr>
        <w:t xml:space="preserve">Request for </w:t>
      </w:r>
      <w:r w:rsidR="00A95637" w:rsidRPr="00785D06">
        <w:rPr>
          <w:rFonts w:eastAsia="Times New Roman"/>
          <w:b/>
          <w:bCs/>
          <w:i/>
          <w:sz w:val="20"/>
          <w:szCs w:val="20"/>
          <w:lang w:val="en-US" w:eastAsia="es-ES" w:bidi="es-ES"/>
        </w:rPr>
        <w:t>an investigation of</w:t>
      </w:r>
      <w:r w:rsidRPr="00785D06">
        <w:rPr>
          <w:rFonts w:eastAsia="Times New Roman"/>
          <w:b/>
          <w:bCs/>
          <w:i/>
          <w:sz w:val="20"/>
          <w:szCs w:val="20"/>
          <w:lang w:val="en-US" w:eastAsia="es-ES" w:bidi="es-ES"/>
        </w:rPr>
        <w:t xml:space="preserve"> the facts</w:t>
      </w:r>
      <w:bookmarkEnd w:id="161"/>
      <w:bookmarkEnd w:id="162"/>
    </w:p>
    <w:p w14:paraId="113EE64D" w14:textId="77777777" w:rsidR="00C254BF" w:rsidRPr="00785D06" w:rsidRDefault="00C254BF" w:rsidP="00C254BF">
      <w:pPr>
        <w:pStyle w:val="Prrafodelista"/>
        <w:ind w:left="0"/>
        <w:contextualSpacing w:val="0"/>
        <w:jc w:val="both"/>
        <w:rPr>
          <w:sz w:val="20"/>
          <w:szCs w:val="20"/>
          <w:lang w:val="en-US"/>
        </w:rPr>
      </w:pPr>
    </w:p>
    <w:p w14:paraId="3515D929"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 xml:space="preserve">The </w:t>
      </w:r>
      <w:r w:rsidRPr="00785D06">
        <w:rPr>
          <w:rFonts w:eastAsia="Times New Roman"/>
          <w:b/>
          <w:i/>
          <w:sz w:val="20"/>
          <w:szCs w:val="20"/>
          <w:lang w:val="en-US" w:eastAsia="es-ES" w:bidi="es-ES"/>
        </w:rPr>
        <w:t xml:space="preserve">Commission </w:t>
      </w:r>
      <w:r w:rsidR="00A95637" w:rsidRPr="00785D06">
        <w:rPr>
          <w:rFonts w:eastAsia="Times New Roman"/>
          <w:sz w:val="20"/>
          <w:szCs w:val="20"/>
          <w:lang w:val="en-US" w:eastAsia="es-ES" w:bidi="es-ES"/>
        </w:rPr>
        <w:t xml:space="preserve">asked </w:t>
      </w:r>
      <w:r w:rsidRPr="00785D06">
        <w:rPr>
          <w:rFonts w:eastAsia="Times New Roman"/>
          <w:sz w:val="20"/>
          <w:szCs w:val="20"/>
          <w:lang w:val="en-US" w:eastAsia="es-ES" w:bidi="es-ES"/>
        </w:rPr>
        <w:t xml:space="preserve">the </w:t>
      </w:r>
      <w:r w:rsidR="00A95637" w:rsidRPr="00785D06">
        <w:rPr>
          <w:rFonts w:eastAsia="Times New Roman"/>
          <w:sz w:val="20"/>
          <w:szCs w:val="20"/>
          <w:lang w:val="en-US" w:eastAsia="es-ES" w:bidi="es-ES"/>
        </w:rPr>
        <w:t xml:space="preserve">Court to </w:t>
      </w:r>
      <w:r w:rsidR="00527FFA" w:rsidRPr="00785D06">
        <w:rPr>
          <w:rFonts w:eastAsia="Times New Roman"/>
          <w:sz w:val="20"/>
          <w:szCs w:val="20"/>
          <w:lang w:val="en-US" w:eastAsia="es-ES" w:bidi="es-ES"/>
        </w:rPr>
        <w:t xml:space="preserve">order </w:t>
      </w:r>
      <w:r w:rsidR="00A95637" w:rsidRPr="00785D06">
        <w:rPr>
          <w:rFonts w:eastAsia="Times New Roman"/>
          <w:sz w:val="20"/>
          <w:szCs w:val="20"/>
          <w:lang w:val="en-US" w:eastAsia="es-ES" w:bidi="es-ES"/>
        </w:rPr>
        <w:t xml:space="preserve">the </w:t>
      </w:r>
      <w:r w:rsidRPr="00785D06">
        <w:rPr>
          <w:rFonts w:eastAsia="Times New Roman"/>
          <w:sz w:val="20"/>
          <w:szCs w:val="20"/>
          <w:lang w:val="en-US" w:eastAsia="es-ES" w:bidi="es-ES"/>
        </w:rPr>
        <w:t xml:space="preserve">State </w:t>
      </w:r>
      <w:r w:rsidR="00A95637" w:rsidRPr="00785D06">
        <w:rPr>
          <w:rFonts w:eastAsia="Times New Roman"/>
          <w:sz w:val="20"/>
          <w:szCs w:val="20"/>
          <w:lang w:val="en-US" w:eastAsia="es-ES" w:bidi="es-ES"/>
        </w:rPr>
        <w:t xml:space="preserve">to </w:t>
      </w:r>
      <w:r w:rsidR="003C45BB" w:rsidRPr="00785D06">
        <w:rPr>
          <w:rFonts w:eastAsia="Times New Roman"/>
          <w:sz w:val="20"/>
          <w:szCs w:val="20"/>
          <w:lang w:val="en-US" w:eastAsia="es-ES" w:bidi="es-ES"/>
        </w:rPr>
        <w:t xml:space="preserve">conduct the pertinent investigations and criminal proceedings, </w:t>
      </w:r>
      <w:r w:rsidRPr="00785D06">
        <w:rPr>
          <w:rFonts w:eastAsia="Times New Roman"/>
          <w:sz w:val="20"/>
          <w:szCs w:val="20"/>
          <w:lang w:val="en-US" w:eastAsia="es-ES" w:bidi="es-ES"/>
        </w:rPr>
        <w:t xml:space="preserve">with due diligence and within a reasonable time, in order to individualize, identify, prosecute and, as appropriate, punish those responsible for the facts. </w:t>
      </w:r>
      <w:r w:rsidR="00A95637" w:rsidRPr="00785D06">
        <w:rPr>
          <w:rFonts w:eastAsia="Times New Roman"/>
          <w:sz w:val="20"/>
          <w:szCs w:val="20"/>
          <w:lang w:val="en-US" w:eastAsia="es-ES" w:bidi="es-ES"/>
        </w:rPr>
        <w:t xml:space="preserve">It also </w:t>
      </w:r>
      <w:r w:rsidRPr="00785D06">
        <w:rPr>
          <w:sz w:val="20"/>
          <w:szCs w:val="20"/>
          <w:lang w:val="en-US"/>
        </w:rPr>
        <w:t xml:space="preserve">considered that </w:t>
      </w:r>
      <w:r w:rsidRPr="00785D06">
        <w:rPr>
          <w:rFonts w:cs="Cambria"/>
          <w:sz w:val="20"/>
          <w:szCs w:val="20"/>
          <w:lang w:val="en-US"/>
        </w:rPr>
        <w:t xml:space="preserve">the State should not </w:t>
      </w:r>
      <w:r w:rsidR="003C45BB" w:rsidRPr="00785D06">
        <w:rPr>
          <w:rFonts w:cs="Cambria"/>
          <w:sz w:val="20"/>
          <w:szCs w:val="20"/>
          <w:lang w:val="en-US"/>
        </w:rPr>
        <w:t xml:space="preserve">cite </w:t>
      </w:r>
      <w:r w:rsidR="000B1A89" w:rsidRPr="00785D06">
        <w:rPr>
          <w:rFonts w:cs="Cambria"/>
          <w:sz w:val="20"/>
          <w:szCs w:val="20"/>
          <w:lang w:val="en-US"/>
        </w:rPr>
        <w:t>the guarantee</w:t>
      </w:r>
      <w:r w:rsidRPr="00785D06">
        <w:rPr>
          <w:rFonts w:cs="Cambria"/>
          <w:sz w:val="20"/>
          <w:szCs w:val="20"/>
          <w:lang w:val="en-US"/>
        </w:rPr>
        <w:t xml:space="preserve"> of </w:t>
      </w:r>
      <w:r w:rsidRPr="00785D06">
        <w:rPr>
          <w:rFonts w:cs="Cambria"/>
          <w:i/>
          <w:sz w:val="20"/>
          <w:szCs w:val="20"/>
          <w:lang w:val="en-US"/>
        </w:rPr>
        <w:t>ne bis in idem</w:t>
      </w:r>
      <w:r w:rsidRPr="00785D06">
        <w:rPr>
          <w:sz w:val="20"/>
          <w:szCs w:val="20"/>
          <w:lang w:val="en-US"/>
        </w:rPr>
        <w:t xml:space="preserve"> </w:t>
      </w:r>
      <w:r w:rsidRPr="00785D06">
        <w:rPr>
          <w:rFonts w:cs="Cambria"/>
          <w:sz w:val="20"/>
          <w:szCs w:val="20"/>
          <w:lang w:val="en-US"/>
        </w:rPr>
        <w:t xml:space="preserve">to justify a failure to comply with the </w:t>
      </w:r>
      <w:r w:rsidRPr="00785D06">
        <w:rPr>
          <w:sz w:val="20"/>
          <w:szCs w:val="20"/>
          <w:lang w:val="en-US"/>
        </w:rPr>
        <w:t>recommendation to investigate, given that the sta</w:t>
      </w:r>
      <w:r w:rsidR="000B1A89" w:rsidRPr="00785D06">
        <w:rPr>
          <w:sz w:val="20"/>
          <w:szCs w:val="20"/>
          <w:lang w:val="en-US"/>
        </w:rPr>
        <w:t>tute of limitations declared in</w:t>
      </w:r>
      <w:r w:rsidRPr="00785D06">
        <w:rPr>
          <w:sz w:val="20"/>
          <w:szCs w:val="20"/>
          <w:lang w:val="en-US"/>
        </w:rPr>
        <w:t xml:space="preserve"> </w:t>
      </w:r>
      <w:r w:rsidR="000B1A89" w:rsidRPr="00785D06">
        <w:rPr>
          <w:sz w:val="20"/>
          <w:szCs w:val="20"/>
          <w:lang w:val="en-US"/>
        </w:rPr>
        <w:t xml:space="preserve">the </w:t>
      </w:r>
      <w:r w:rsidRPr="00785D06">
        <w:rPr>
          <w:sz w:val="20"/>
          <w:szCs w:val="20"/>
          <w:lang w:val="en-US"/>
        </w:rPr>
        <w:t xml:space="preserve">criminal proceedings resulted from </w:t>
      </w:r>
      <w:r w:rsidR="000C38AD" w:rsidRPr="00785D06">
        <w:rPr>
          <w:sz w:val="20"/>
          <w:szCs w:val="20"/>
          <w:lang w:val="en-US"/>
        </w:rPr>
        <w:t>a</w:t>
      </w:r>
      <w:r w:rsidRPr="00785D06">
        <w:rPr>
          <w:sz w:val="20"/>
          <w:szCs w:val="20"/>
          <w:lang w:val="en-US"/>
        </w:rPr>
        <w:t xml:space="preserve"> </w:t>
      </w:r>
      <w:r w:rsidR="003C45BB" w:rsidRPr="00785D06">
        <w:rPr>
          <w:sz w:val="20"/>
          <w:szCs w:val="20"/>
          <w:lang w:val="en-US"/>
        </w:rPr>
        <w:t xml:space="preserve">criminal </w:t>
      </w:r>
      <w:r w:rsidRPr="00785D06">
        <w:rPr>
          <w:sz w:val="20"/>
          <w:szCs w:val="20"/>
          <w:lang w:val="en-US"/>
        </w:rPr>
        <w:t xml:space="preserve">investigation and proceedings </w:t>
      </w:r>
      <w:r w:rsidR="000B1A89" w:rsidRPr="00785D06">
        <w:rPr>
          <w:sz w:val="20"/>
          <w:szCs w:val="20"/>
          <w:lang w:val="en-US"/>
        </w:rPr>
        <w:t xml:space="preserve">that were </w:t>
      </w:r>
      <w:r w:rsidRPr="00785D06">
        <w:rPr>
          <w:sz w:val="20"/>
          <w:szCs w:val="20"/>
          <w:lang w:val="en-US"/>
        </w:rPr>
        <w:t xml:space="preserve">incompatible with the American Convention. It also asked that </w:t>
      </w:r>
      <w:r w:rsidRPr="00785D06">
        <w:rPr>
          <w:rFonts w:eastAsia="Times New Roman"/>
          <w:sz w:val="20"/>
          <w:szCs w:val="20"/>
          <w:lang w:val="en-US" w:eastAsia="es-ES" w:bidi="es-ES"/>
        </w:rPr>
        <w:t xml:space="preserve">the corresponding administrative, disciplinary or </w:t>
      </w:r>
      <w:r w:rsidR="003C45BB" w:rsidRPr="00785D06">
        <w:rPr>
          <w:rFonts w:eastAsia="Times New Roman"/>
          <w:sz w:val="20"/>
          <w:szCs w:val="20"/>
          <w:lang w:val="en-US" w:eastAsia="es-ES" w:bidi="es-ES"/>
        </w:rPr>
        <w:t xml:space="preserve">criminal sanctions </w:t>
      </w:r>
      <w:r w:rsidRPr="00785D06">
        <w:rPr>
          <w:rFonts w:eastAsia="Times New Roman"/>
          <w:sz w:val="20"/>
          <w:szCs w:val="20"/>
          <w:lang w:val="en-US" w:eastAsia="es-ES" w:bidi="es-ES"/>
        </w:rPr>
        <w:t xml:space="preserve">be </w:t>
      </w:r>
      <w:r w:rsidR="003C45BB" w:rsidRPr="00785D06">
        <w:rPr>
          <w:rFonts w:eastAsia="Times New Roman"/>
          <w:sz w:val="20"/>
          <w:szCs w:val="20"/>
          <w:lang w:val="en-US" w:eastAsia="es-ES" w:bidi="es-ES"/>
        </w:rPr>
        <w:t xml:space="preserve">applied </w:t>
      </w:r>
      <w:r w:rsidRPr="00785D06">
        <w:rPr>
          <w:rFonts w:eastAsia="Times New Roman"/>
          <w:sz w:val="20"/>
          <w:szCs w:val="20"/>
          <w:lang w:val="en-US" w:eastAsia="es-ES" w:bidi="es-ES"/>
        </w:rPr>
        <w:t xml:space="preserve">for the actions or omissions of the State officials who contributed to </w:t>
      </w:r>
      <w:r w:rsidR="003C45BB" w:rsidRPr="00785D06">
        <w:rPr>
          <w:rFonts w:eastAsia="Times New Roman"/>
          <w:sz w:val="20"/>
          <w:szCs w:val="20"/>
          <w:lang w:val="en-US" w:eastAsia="es-ES" w:bidi="es-ES"/>
        </w:rPr>
        <w:t>the denial</w:t>
      </w:r>
      <w:r w:rsidRPr="00785D06">
        <w:rPr>
          <w:rFonts w:eastAsia="Times New Roman"/>
          <w:sz w:val="20"/>
          <w:szCs w:val="20"/>
          <w:lang w:val="en-US" w:eastAsia="es-ES" w:bidi="es-ES"/>
        </w:rPr>
        <w:t xml:space="preserve"> </w:t>
      </w:r>
      <w:r w:rsidR="003C45BB" w:rsidRPr="00785D06">
        <w:rPr>
          <w:rFonts w:eastAsia="Times New Roman"/>
          <w:sz w:val="20"/>
          <w:szCs w:val="20"/>
          <w:lang w:val="en-US" w:eastAsia="es-ES" w:bidi="es-ES"/>
        </w:rPr>
        <w:t xml:space="preserve">of </w:t>
      </w:r>
      <w:r w:rsidRPr="00785D06">
        <w:rPr>
          <w:rFonts w:eastAsia="Times New Roman"/>
          <w:sz w:val="20"/>
          <w:szCs w:val="20"/>
          <w:lang w:val="en-US" w:eastAsia="es-ES" w:bidi="es-ES"/>
        </w:rPr>
        <w:t>just</w:t>
      </w:r>
      <w:r w:rsidR="003C45BB" w:rsidRPr="00785D06">
        <w:rPr>
          <w:rFonts w:eastAsia="Times New Roman"/>
          <w:sz w:val="20"/>
          <w:szCs w:val="20"/>
          <w:lang w:val="en-US" w:eastAsia="es-ES" w:bidi="es-ES"/>
        </w:rPr>
        <w:t xml:space="preserve">ice and to the impunity of the </w:t>
      </w:r>
      <w:r w:rsidRPr="00785D06">
        <w:rPr>
          <w:rFonts w:eastAsia="Times New Roman"/>
          <w:sz w:val="20"/>
          <w:szCs w:val="20"/>
          <w:lang w:val="en-US" w:eastAsia="es-ES" w:bidi="es-ES"/>
        </w:rPr>
        <w:t>act</w:t>
      </w:r>
      <w:r w:rsidR="003C45BB" w:rsidRPr="00785D06">
        <w:rPr>
          <w:rFonts w:eastAsia="Times New Roman"/>
          <w:sz w:val="20"/>
          <w:szCs w:val="20"/>
          <w:lang w:val="en-US" w:eastAsia="es-ES" w:bidi="es-ES"/>
        </w:rPr>
        <w:t>ion</w:t>
      </w:r>
      <w:r w:rsidRPr="00785D06">
        <w:rPr>
          <w:rFonts w:eastAsia="Times New Roman"/>
          <w:sz w:val="20"/>
          <w:szCs w:val="20"/>
          <w:lang w:val="en-US" w:eastAsia="es-ES" w:bidi="es-ES"/>
        </w:rPr>
        <w:t xml:space="preserve">s </w:t>
      </w:r>
      <w:r w:rsidR="003C45BB" w:rsidRPr="00785D06">
        <w:rPr>
          <w:rFonts w:eastAsia="Times New Roman"/>
          <w:sz w:val="20"/>
          <w:szCs w:val="20"/>
          <w:lang w:val="en-US" w:eastAsia="es-ES" w:bidi="es-ES"/>
        </w:rPr>
        <w:t xml:space="preserve">in this </w:t>
      </w:r>
      <w:r w:rsidRPr="00785D06">
        <w:rPr>
          <w:rFonts w:eastAsia="Times New Roman"/>
          <w:sz w:val="20"/>
          <w:szCs w:val="20"/>
          <w:lang w:val="en-US" w:eastAsia="es-ES" w:bidi="es-ES"/>
        </w:rPr>
        <w:t>case.</w:t>
      </w:r>
    </w:p>
    <w:p w14:paraId="2238D4C9" w14:textId="77777777" w:rsidR="00C254BF" w:rsidRPr="00785D06" w:rsidRDefault="00C254BF" w:rsidP="00C254BF">
      <w:pPr>
        <w:pStyle w:val="Prrafodelista"/>
        <w:ind w:left="0"/>
        <w:contextualSpacing w:val="0"/>
        <w:jc w:val="both"/>
        <w:rPr>
          <w:sz w:val="20"/>
          <w:szCs w:val="20"/>
          <w:lang w:val="en-US"/>
        </w:rPr>
      </w:pPr>
    </w:p>
    <w:p w14:paraId="7947E328" w14:textId="77777777" w:rsidR="00C254BF" w:rsidRPr="00785D06" w:rsidRDefault="00C254BF" w:rsidP="00317A84">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 xml:space="preserve">The </w:t>
      </w:r>
      <w:r w:rsidRPr="00785D06">
        <w:rPr>
          <w:rFonts w:eastAsia="Times New Roman"/>
          <w:b/>
          <w:i/>
          <w:sz w:val="20"/>
          <w:szCs w:val="20"/>
          <w:lang w:val="en-US" w:eastAsia="es-ES" w:bidi="es-ES"/>
        </w:rPr>
        <w:t>representatives</w:t>
      </w:r>
      <w:r w:rsidRPr="00785D06">
        <w:rPr>
          <w:rFonts w:eastAsia="Times New Roman"/>
          <w:sz w:val="20"/>
          <w:szCs w:val="20"/>
          <w:lang w:val="en-US" w:eastAsia="es-ES" w:bidi="es-ES"/>
        </w:rPr>
        <w:t xml:space="preserve"> requested an investigation to determine criminal, administrative and any other responsibilities arising from the acts of h</w:t>
      </w:r>
      <w:r w:rsidR="005D3F88" w:rsidRPr="00785D06">
        <w:rPr>
          <w:rFonts w:eastAsia="Times New Roman"/>
          <w:sz w:val="20"/>
          <w:szCs w:val="20"/>
          <w:lang w:val="en-US" w:eastAsia="es-ES" w:bidi="es-ES"/>
        </w:rPr>
        <w:t xml:space="preserve">arassment and sexual abuse committed against Paola, the </w:t>
      </w:r>
      <w:r w:rsidRPr="00785D06">
        <w:rPr>
          <w:rFonts w:eastAsia="Times New Roman"/>
          <w:sz w:val="20"/>
          <w:szCs w:val="20"/>
          <w:lang w:val="en-US" w:eastAsia="es-ES" w:bidi="es-ES"/>
        </w:rPr>
        <w:t>arbitrary interferen</w:t>
      </w:r>
      <w:r w:rsidR="00650C0B" w:rsidRPr="00785D06">
        <w:rPr>
          <w:rFonts w:eastAsia="Times New Roman"/>
          <w:sz w:val="20"/>
          <w:szCs w:val="20"/>
          <w:lang w:val="en-US" w:eastAsia="es-ES" w:bidi="es-ES"/>
        </w:rPr>
        <w:t xml:space="preserve">ce in </w:t>
      </w:r>
      <w:r w:rsidR="005D3F88" w:rsidRPr="00785D06">
        <w:rPr>
          <w:rFonts w:eastAsia="Times New Roman"/>
          <w:sz w:val="20"/>
          <w:szCs w:val="20"/>
          <w:lang w:val="en-US" w:eastAsia="es-ES" w:bidi="es-ES"/>
        </w:rPr>
        <w:t xml:space="preserve">her </w:t>
      </w:r>
      <w:r w:rsidR="00650C0B" w:rsidRPr="00785D06">
        <w:rPr>
          <w:rFonts w:eastAsia="Times New Roman"/>
          <w:sz w:val="20"/>
          <w:szCs w:val="20"/>
          <w:lang w:val="en-US" w:eastAsia="es-ES" w:bidi="es-ES"/>
        </w:rPr>
        <w:t>private life</w:t>
      </w:r>
      <w:r w:rsidRPr="00785D06">
        <w:rPr>
          <w:rFonts w:eastAsia="Times New Roman"/>
          <w:sz w:val="20"/>
          <w:szCs w:val="20"/>
          <w:lang w:val="en-US" w:eastAsia="es-ES" w:bidi="es-ES"/>
        </w:rPr>
        <w:t xml:space="preserve"> and the “torture” that </w:t>
      </w:r>
      <w:r w:rsidR="005D3F88" w:rsidRPr="00785D06">
        <w:rPr>
          <w:rFonts w:eastAsia="Times New Roman"/>
          <w:sz w:val="20"/>
          <w:szCs w:val="20"/>
          <w:lang w:val="en-US" w:eastAsia="es-ES" w:bidi="es-ES"/>
        </w:rPr>
        <w:t xml:space="preserve">they alleged had </w:t>
      </w:r>
      <w:r w:rsidR="00A60C00" w:rsidRPr="00785D06">
        <w:rPr>
          <w:rFonts w:eastAsia="Times New Roman"/>
          <w:sz w:val="20"/>
          <w:szCs w:val="20"/>
          <w:lang w:val="en-US" w:eastAsia="es-ES" w:bidi="es-ES"/>
        </w:rPr>
        <w:t>occurred</w:t>
      </w:r>
      <w:r w:rsidRPr="00785D06">
        <w:rPr>
          <w:rFonts w:eastAsia="Times New Roman"/>
          <w:sz w:val="20"/>
          <w:szCs w:val="20"/>
          <w:lang w:val="en-US" w:eastAsia="es-ES" w:bidi="es-ES"/>
        </w:rPr>
        <w:t xml:space="preserve">, as well as her </w:t>
      </w:r>
      <w:r w:rsidR="005D3F88" w:rsidRPr="00785D06">
        <w:rPr>
          <w:rFonts w:eastAsia="Times New Roman"/>
          <w:sz w:val="20"/>
          <w:szCs w:val="20"/>
          <w:lang w:val="en-US" w:eastAsia="es-ES" w:bidi="es-ES"/>
        </w:rPr>
        <w:t xml:space="preserve">death, </w:t>
      </w:r>
      <w:r w:rsidR="000B1A89" w:rsidRPr="00785D06">
        <w:rPr>
          <w:rFonts w:eastAsia="Times New Roman"/>
          <w:sz w:val="20"/>
          <w:szCs w:val="20"/>
          <w:lang w:val="en-US" w:eastAsia="es-ES" w:bidi="es-ES"/>
        </w:rPr>
        <w:t xml:space="preserve">all </w:t>
      </w:r>
      <w:r w:rsidR="005D3F88" w:rsidRPr="00785D06">
        <w:rPr>
          <w:rFonts w:eastAsia="Times New Roman"/>
          <w:sz w:val="20"/>
          <w:szCs w:val="20"/>
          <w:lang w:val="en-US" w:eastAsia="es-ES" w:bidi="es-ES"/>
        </w:rPr>
        <w:t>within a reasonable time. They asked that the investigation be carried out by</w:t>
      </w:r>
      <w:r w:rsidRPr="00785D06">
        <w:rPr>
          <w:rFonts w:eastAsia="Times New Roman"/>
          <w:sz w:val="20"/>
          <w:szCs w:val="20"/>
          <w:lang w:val="en-US" w:eastAsia="es-ES" w:bidi="es-ES"/>
        </w:rPr>
        <w:t xml:space="preserve"> </w:t>
      </w:r>
      <w:r w:rsidR="005D3F88" w:rsidRPr="00785D06">
        <w:rPr>
          <w:rFonts w:eastAsia="Times New Roman"/>
          <w:sz w:val="20"/>
          <w:szCs w:val="20"/>
          <w:lang w:val="en-US" w:eastAsia="es-ES" w:bidi="es-ES"/>
        </w:rPr>
        <w:t xml:space="preserve">officials </w:t>
      </w:r>
      <w:r w:rsidRPr="00785D06">
        <w:rPr>
          <w:rFonts w:eastAsia="Times New Roman"/>
          <w:sz w:val="20"/>
          <w:szCs w:val="20"/>
          <w:lang w:val="en-US" w:eastAsia="es-ES" w:bidi="es-ES"/>
        </w:rPr>
        <w:t xml:space="preserve">trained in assisting victims of gender-based discrimination and violence. </w:t>
      </w:r>
      <w:r w:rsidR="00317A84" w:rsidRPr="00785D06">
        <w:rPr>
          <w:rFonts w:eastAsia="Times New Roman"/>
          <w:sz w:val="20"/>
          <w:szCs w:val="20"/>
          <w:lang w:val="en-US" w:eastAsia="es-ES" w:bidi="es-ES"/>
        </w:rPr>
        <w:t>I</w:t>
      </w:r>
      <w:r w:rsidR="005D3F88" w:rsidRPr="00785D06">
        <w:rPr>
          <w:rFonts w:eastAsia="Times New Roman"/>
          <w:sz w:val="20"/>
          <w:szCs w:val="20"/>
          <w:lang w:val="en-US" w:eastAsia="es-ES" w:bidi="es-ES"/>
        </w:rPr>
        <w:t xml:space="preserve">n agreement with the Commission, </w:t>
      </w:r>
      <w:r w:rsidR="00317A84" w:rsidRPr="00785D06">
        <w:rPr>
          <w:rFonts w:eastAsia="Times New Roman"/>
          <w:sz w:val="20"/>
          <w:szCs w:val="20"/>
          <w:lang w:val="en-US" w:eastAsia="es-ES" w:bidi="es-ES"/>
        </w:rPr>
        <w:t xml:space="preserve">the representatives requested that, given </w:t>
      </w:r>
      <w:r w:rsidR="00A60C00" w:rsidRPr="00785D06">
        <w:rPr>
          <w:rFonts w:eastAsia="Times New Roman"/>
          <w:sz w:val="20"/>
          <w:szCs w:val="20"/>
          <w:lang w:val="en-US" w:eastAsia="es-ES" w:bidi="es-ES"/>
        </w:rPr>
        <w:t>“</w:t>
      </w:r>
      <w:r w:rsidR="005D3F88" w:rsidRPr="00785D06">
        <w:rPr>
          <w:rFonts w:eastAsia="Times New Roman"/>
          <w:sz w:val="20"/>
          <w:szCs w:val="20"/>
          <w:lang w:val="en-US" w:eastAsia="es-ES" w:bidi="es-ES"/>
        </w:rPr>
        <w:t>t</w:t>
      </w:r>
      <w:r w:rsidRPr="00785D06">
        <w:rPr>
          <w:rFonts w:eastAsia="Times New Roman"/>
          <w:sz w:val="20"/>
          <w:szCs w:val="20"/>
          <w:lang w:val="en-US" w:eastAsia="es-ES" w:bidi="es-ES"/>
        </w:rPr>
        <w:t xml:space="preserve">he </w:t>
      </w:r>
      <w:r w:rsidR="00A60C00" w:rsidRPr="00785D06">
        <w:rPr>
          <w:rFonts w:eastAsia="Times New Roman"/>
          <w:sz w:val="20"/>
          <w:szCs w:val="20"/>
          <w:lang w:val="en-US" w:eastAsia="es-ES" w:bidi="es-ES"/>
        </w:rPr>
        <w:t xml:space="preserve">prevailing </w:t>
      </w:r>
      <w:r w:rsidRPr="00785D06">
        <w:rPr>
          <w:rFonts w:eastAsia="Times New Roman"/>
          <w:sz w:val="20"/>
          <w:szCs w:val="20"/>
          <w:lang w:val="en-US" w:eastAsia="es-ES" w:bidi="es-ES"/>
        </w:rPr>
        <w:t>impunity</w:t>
      </w:r>
      <w:r w:rsidR="00A60C00" w:rsidRPr="00785D06">
        <w:rPr>
          <w:rFonts w:eastAsia="Times New Roman"/>
          <w:sz w:val="20"/>
          <w:szCs w:val="20"/>
          <w:lang w:val="en-US" w:eastAsia="es-ES" w:bidi="es-ES"/>
        </w:rPr>
        <w:t>”</w:t>
      </w:r>
      <w:r w:rsidRPr="00785D06">
        <w:rPr>
          <w:rFonts w:eastAsia="Times New Roman"/>
          <w:sz w:val="20"/>
          <w:szCs w:val="20"/>
          <w:lang w:val="en-US" w:eastAsia="es-ES" w:bidi="es-ES"/>
        </w:rPr>
        <w:t xml:space="preserve"> and </w:t>
      </w:r>
      <w:r w:rsidR="005D3F88" w:rsidRPr="00785D06">
        <w:rPr>
          <w:rFonts w:eastAsia="Times New Roman"/>
          <w:sz w:val="20"/>
          <w:szCs w:val="20"/>
          <w:lang w:val="en-US" w:eastAsia="es-ES" w:bidi="es-ES"/>
        </w:rPr>
        <w:t xml:space="preserve">that </w:t>
      </w:r>
      <w:r w:rsidRPr="00785D06">
        <w:rPr>
          <w:rFonts w:eastAsia="Times New Roman"/>
          <w:sz w:val="20"/>
          <w:szCs w:val="20"/>
          <w:lang w:val="en-US" w:eastAsia="es-ES" w:bidi="es-ES"/>
        </w:rPr>
        <w:t xml:space="preserve">Paola </w:t>
      </w:r>
      <w:r w:rsidR="005D3F88" w:rsidRPr="00785D06">
        <w:rPr>
          <w:rFonts w:eastAsia="Times New Roman"/>
          <w:sz w:val="20"/>
          <w:szCs w:val="20"/>
          <w:lang w:val="en-US" w:eastAsia="es-ES" w:bidi="es-ES"/>
        </w:rPr>
        <w:t xml:space="preserve">was </w:t>
      </w:r>
      <w:r w:rsidR="00A60C00" w:rsidRPr="00785D06">
        <w:rPr>
          <w:rFonts w:eastAsia="Times New Roman"/>
          <w:sz w:val="20"/>
          <w:szCs w:val="20"/>
          <w:lang w:val="en-US" w:eastAsia="es-ES" w:bidi="es-ES"/>
        </w:rPr>
        <w:t xml:space="preserve">a </w:t>
      </w:r>
      <w:r w:rsidRPr="00785D06">
        <w:rPr>
          <w:rFonts w:eastAsia="Times New Roman"/>
          <w:sz w:val="20"/>
          <w:szCs w:val="20"/>
          <w:lang w:val="en-US" w:eastAsia="es-ES" w:bidi="es-ES"/>
        </w:rPr>
        <w:t xml:space="preserve">“victim of acts of torture, </w:t>
      </w:r>
      <w:r w:rsidR="00317A84" w:rsidRPr="00785D06">
        <w:rPr>
          <w:rFonts w:eastAsia="Times New Roman"/>
          <w:sz w:val="20"/>
          <w:szCs w:val="20"/>
          <w:lang w:val="en-US" w:eastAsia="es-ES" w:bidi="es-ES"/>
        </w:rPr>
        <w:t xml:space="preserve">sexual </w:t>
      </w:r>
      <w:r w:rsidRPr="00785D06">
        <w:rPr>
          <w:rFonts w:eastAsia="Times New Roman"/>
          <w:sz w:val="20"/>
          <w:szCs w:val="20"/>
          <w:lang w:val="en-US" w:eastAsia="es-ES" w:bidi="es-ES"/>
        </w:rPr>
        <w:t xml:space="preserve">harassment, abuse and </w:t>
      </w:r>
      <w:r w:rsidR="00317A84" w:rsidRPr="00785D06">
        <w:rPr>
          <w:rFonts w:eastAsia="Times New Roman"/>
          <w:sz w:val="20"/>
          <w:szCs w:val="20"/>
          <w:lang w:val="en-US" w:eastAsia="es-ES" w:bidi="es-ES"/>
        </w:rPr>
        <w:t>rape</w:t>
      </w:r>
      <w:r w:rsidR="00A60C00" w:rsidRPr="00785D06">
        <w:rPr>
          <w:rFonts w:eastAsia="Times New Roman"/>
          <w:sz w:val="20"/>
          <w:szCs w:val="20"/>
          <w:lang w:val="en-US" w:eastAsia="es-ES" w:bidi="es-ES"/>
        </w:rPr>
        <w:t>,”</w:t>
      </w:r>
      <w:r w:rsidRPr="00785D06">
        <w:rPr>
          <w:rFonts w:eastAsia="Times New Roman"/>
          <w:sz w:val="20"/>
          <w:szCs w:val="20"/>
          <w:lang w:val="en-US" w:eastAsia="es-ES" w:bidi="es-ES"/>
        </w:rPr>
        <w:t xml:space="preserve"> </w:t>
      </w:r>
      <w:r w:rsidR="005D3F88" w:rsidRPr="00785D06">
        <w:rPr>
          <w:rFonts w:eastAsia="Times New Roman"/>
          <w:sz w:val="20"/>
          <w:szCs w:val="20"/>
          <w:lang w:val="en-US" w:eastAsia="es-ES" w:bidi="es-ES"/>
        </w:rPr>
        <w:t xml:space="preserve">the Court </w:t>
      </w:r>
      <w:r w:rsidR="00317A84" w:rsidRPr="00785D06">
        <w:rPr>
          <w:rFonts w:eastAsia="Times New Roman"/>
          <w:sz w:val="20"/>
          <w:szCs w:val="20"/>
          <w:lang w:val="en-US" w:eastAsia="es-ES" w:bidi="es-ES"/>
        </w:rPr>
        <w:t xml:space="preserve">decide </w:t>
      </w:r>
      <w:r w:rsidRPr="00785D06">
        <w:rPr>
          <w:rFonts w:eastAsia="Times New Roman"/>
          <w:sz w:val="20"/>
          <w:szCs w:val="20"/>
          <w:lang w:val="en-US" w:eastAsia="es-ES" w:bidi="es-ES"/>
        </w:rPr>
        <w:t>in th</w:t>
      </w:r>
      <w:r w:rsidR="00A60C00" w:rsidRPr="00785D06">
        <w:rPr>
          <w:rFonts w:eastAsia="Times New Roman"/>
          <w:sz w:val="20"/>
          <w:szCs w:val="20"/>
          <w:lang w:val="en-US" w:eastAsia="es-ES" w:bidi="es-ES"/>
        </w:rPr>
        <w:t xml:space="preserve">is </w:t>
      </w:r>
      <w:r w:rsidRPr="00785D06">
        <w:rPr>
          <w:rFonts w:eastAsia="Times New Roman"/>
          <w:sz w:val="20"/>
          <w:szCs w:val="20"/>
          <w:lang w:val="en-US" w:eastAsia="es-ES" w:bidi="es-ES"/>
        </w:rPr>
        <w:t xml:space="preserve">case </w:t>
      </w:r>
      <w:r w:rsidR="00317A84" w:rsidRPr="00785D06">
        <w:rPr>
          <w:rFonts w:eastAsia="Times New Roman"/>
          <w:sz w:val="20"/>
          <w:szCs w:val="20"/>
          <w:lang w:val="en-US" w:eastAsia="es-ES" w:bidi="es-ES"/>
        </w:rPr>
        <w:t xml:space="preserve">that </w:t>
      </w:r>
      <w:r w:rsidRPr="00785D06">
        <w:rPr>
          <w:rFonts w:eastAsia="Times New Roman"/>
          <w:sz w:val="20"/>
          <w:szCs w:val="20"/>
          <w:lang w:val="en-US" w:eastAsia="es-ES" w:bidi="es-ES"/>
        </w:rPr>
        <w:t>“</w:t>
      </w:r>
      <w:r w:rsidR="00317A84" w:rsidRPr="00785D06">
        <w:rPr>
          <w:rFonts w:eastAsia="Times New Roman"/>
          <w:sz w:val="20"/>
          <w:szCs w:val="20"/>
          <w:lang w:val="en-US" w:eastAsia="es-ES" w:bidi="es-ES"/>
        </w:rPr>
        <w:t xml:space="preserve">the </w:t>
      </w:r>
      <w:r w:rsidRPr="00785D06">
        <w:rPr>
          <w:rFonts w:eastAsia="Times New Roman"/>
          <w:sz w:val="20"/>
          <w:szCs w:val="20"/>
          <w:lang w:val="en-US" w:eastAsia="es-ES" w:bidi="es-ES"/>
        </w:rPr>
        <w:t xml:space="preserve">prescription of the </w:t>
      </w:r>
      <w:r w:rsidR="0026775F" w:rsidRPr="00785D06">
        <w:rPr>
          <w:rFonts w:eastAsia="Times New Roman"/>
          <w:sz w:val="20"/>
          <w:szCs w:val="20"/>
          <w:lang w:val="en-US" w:eastAsia="es-ES" w:bidi="es-ES"/>
        </w:rPr>
        <w:t>criminal action</w:t>
      </w:r>
      <w:r w:rsidR="005D3F88" w:rsidRPr="00785D06">
        <w:rPr>
          <w:rFonts w:eastAsia="Times New Roman"/>
          <w:sz w:val="20"/>
          <w:szCs w:val="20"/>
          <w:lang w:val="en-US" w:eastAsia="es-ES" w:bidi="es-ES"/>
        </w:rPr>
        <w:t xml:space="preserve"> should not apply</w:t>
      </w:r>
      <w:r w:rsidR="00317A84" w:rsidRPr="00785D06">
        <w:rPr>
          <w:rFonts w:eastAsia="Times New Roman"/>
          <w:sz w:val="20"/>
          <w:szCs w:val="20"/>
          <w:lang w:val="en-US" w:eastAsia="es-ES" w:bidi="es-ES"/>
        </w:rPr>
        <w:t xml:space="preserve">.” Consequently, they asked the Court to </w:t>
      </w:r>
      <w:r w:rsidRPr="00785D06">
        <w:rPr>
          <w:rFonts w:eastAsia="Times New Roman"/>
          <w:sz w:val="20"/>
          <w:szCs w:val="20"/>
          <w:lang w:val="en-US" w:eastAsia="es-ES" w:bidi="es-ES"/>
        </w:rPr>
        <w:t xml:space="preserve">order the State to </w:t>
      </w:r>
      <w:r w:rsidR="00317A84" w:rsidRPr="00785D06">
        <w:rPr>
          <w:rFonts w:eastAsia="Times New Roman"/>
          <w:sz w:val="20"/>
          <w:szCs w:val="20"/>
          <w:lang w:val="en-US" w:eastAsia="es-ES" w:bidi="es-ES"/>
        </w:rPr>
        <w:t xml:space="preserve">take </w:t>
      </w:r>
      <w:r w:rsidRPr="00785D06">
        <w:rPr>
          <w:rFonts w:eastAsia="Times New Roman"/>
          <w:sz w:val="20"/>
          <w:szCs w:val="20"/>
          <w:lang w:val="en-US" w:eastAsia="es-ES" w:bidi="es-ES"/>
        </w:rPr>
        <w:t xml:space="preserve">the necessary </w:t>
      </w:r>
      <w:r w:rsidR="00317A84" w:rsidRPr="00785D06">
        <w:rPr>
          <w:rFonts w:eastAsia="Times New Roman"/>
          <w:sz w:val="20"/>
          <w:szCs w:val="20"/>
          <w:lang w:val="en-US" w:eastAsia="es-ES" w:bidi="es-ES"/>
        </w:rPr>
        <w:t xml:space="preserve">steps </w:t>
      </w:r>
      <w:r w:rsidRPr="00785D06">
        <w:rPr>
          <w:rFonts w:eastAsia="Times New Roman"/>
          <w:sz w:val="20"/>
          <w:szCs w:val="20"/>
          <w:lang w:val="en-US" w:eastAsia="es-ES" w:bidi="es-ES"/>
        </w:rPr>
        <w:t>to ensure that Paola’s death and the sexual violence she suffered “does not remain unpunished […] and to fully restore the victims’ rights of access to justice and to the truth.”</w:t>
      </w:r>
    </w:p>
    <w:p w14:paraId="55E261F4" w14:textId="77777777" w:rsidR="00C254BF" w:rsidRPr="00785D06" w:rsidRDefault="00C254BF" w:rsidP="00C254BF">
      <w:pPr>
        <w:pStyle w:val="Prrafodelista"/>
        <w:rPr>
          <w:sz w:val="20"/>
          <w:szCs w:val="20"/>
          <w:lang w:val="en-US"/>
        </w:rPr>
      </w:pPr>
    </w:p>
    <w:p w14:paraId="68D4A12F" w14:textId="77777777" w:rsidR="00C254BF" w:rsidRPr="00785D06" w:rsidRDefault="009F758D"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 xml:space="preserve">Alternatively, </w:t>
      </w:r>
      <w:r w:rsidR="00C254BF" w:rsidRPr="00785D06">
        <w:rPr>
          <w:rFonts w:eastAsia="Times New Roman"/>
          <w:sz w:val="20"/>
          <w:szCs w:val="20"/>
          <w:lang w:val="en-US" w:eastAsia="es-ES" w:bidi="es-ES"/>
        </w:rPr>
        <w:t>i</w:t>
      </w:r>
      <w:r w:rsidR="00317A84" w:rsidRPr="00785D06">
        <w:rPr>
          <w:rFonts w:eastAsia="Times New Roman"/>
          <w:sz w:val="20"/>
          <w:szCs w:val="20"/>
          <w:lang w:val="en-US" w:eastAsia="es-ES" w:bidi="es-ES"/>
        </w:rPr>
        <w:t xml:space="preserve">f </w:t>
      </w:r>
      <w:r w:rsidR="00C254BF" w:rsidRPr="00785D06">
        <w:rPr>
          <w:rFonts w:eastAsia="Times New Roman"/>
          <w:sz w:val="20"/>
          <w:szCs w:val="20"/>
          <w:lang w:val="en-US" w:eastAsia="es-ES" w:bidi="es-ES"/>
        </w:rPr>
        <w:t>th</w:t>
      </w:r>
      <w:r w:rsidR="00AB3F2F" w:rsidRPr="00785D06">
        <w:rPr>
          <w:rFonts w:eastAsia="Times New Roman"/>
          <w:sz w:val="20"/>
          <w:szCs w:val="20"/>
          <w:lang w:val="en-US" w:eastAsia="es-ES" w:bidi="es-ES"/>
        </w:rPr>
        <w:t xml:space="preserve">e </w:t>
      </w:r>
      <w:r w:rsidR="00317A84" w:rsidRPr="00785D06">
        <w:rPr>
          <w:rFonts w:eastAsia="Times New Roman"/>
          <w:sz w:val="20"/>
          <w:szCs w:val="20"/>
          <w:lang w:val="en-US" w:eastAsia="es-ES" w:bidi="es-ES"/>
        </w:rPr>
        <w:t>Court should decide</w:t>
      </w:r>
      <w:r w:rsidR="00AB3F2F" w:rsidRPr="00785D06">
        <w:rPr>
          <w:rFonts w:eastAsia="Times New Roman"/>
          <w:sz w:val="20"/>
          <w:szCs w:val="20"/>
          <w:lang w:val="en-US" w:eastAsia="es-ES" w:bidi="es-ES"/>
        </w:rPr>
        <w:t xml:space="preserve"> not to admit th</w:t>
      </w:r>
      <w:r w:rsidR="00317A84" w:rsidRPr="00785D06">
        <w:rPr>
          <w:rFonts w:eastAsia="Times New Roman"/>
          <w:sz w:val="20"/>
          <w:szCs w:val="20"/>
          <w:lang w:val="en-US" w:eastAsia="es-ES" w:bidi="es-ES"/>
        </w:rPr>
        <w:t>eir</w:t>
      </w:r>
      <w:r w:rsidR="00C254BF" w:rsidRPr="00785D06">
        <w:rPr>
          <w:rFonts w:eastAsia="Times New Roman"/>
          <w:sz w:val="20"/>
          <w:szCs w:val="20"/>
          <w:lang w:val="en-US" w:eastAsia="es-ES" w:bidi="es-ES"/>
        </w:rPr>
        <w:t xml:space="preserve"> </w:t>
      </w:r>
      <w:r w:rsidR="002D2F09" w:rsidRPr="00785D06">
        <w:rPr>
          <w:rFonts w:eastAsia="Times New Roman"/>
          <w:sz w:val="20"/>
          <w:szCs w:val="20"/>
          <w:lang w:val="en-US" w:eastAsia="es-ES" w:bidi="es-ES"/>
        </w:rPr>
        <w:t>petition</w:t>
      </w:r>
      <w:r w:rsidR="00C254BF" w:rsidRPr="00785D06">
        <w:rPr>
          <w:rFonts w:eastAsia="Times New Roman"/>
          <w:sz w:val="20"/>
          <w:szCs w:val="20"/>
          <w:lang w:val="en-US" w:eastAsia="es-ES" w:bidi="es-ES"/>
        </w:rPr>
        <w:t xml:space="preserve">, </w:t>
      </w:r>
      <w:r w:rsidR="00317A84" w:rsidRPr="00785D06">
        <w:rPr>
          <w:rFonts w:eastAsia="Times New Roman"/>
          <w:sz w:val="20"/>
          <w:szCs w:val="20"/>
          <w:lang w:val="en-US" w:eastAsia="es-ES" w:bidi="es-ES"/>
        </w:rPr>
        <w:t xml:space="preserve">the representatives requested, </w:t>
      </w:r>
      <w:r w:rsidR="00C254BF" w:rsidRPr="00785D06">
        <w:rPr>
          <w:rFonts w:eastAsia="Times New Roman"/>
          <w:sz w:val="20"/>
          <w:szCs w:val="20"/>
          <w:lang w:val="en-US" w:eastAsia="es-ES" w:bidi="es-ES"/>
        </w:rPr>
        <w:t>in their final written arguments</w:t>
      </w:r>
      <w:r w:rsidR="00317A84" w:rsidRPr="00785D06">
        <w:rPr>
          <w:rFonts w:eastAsia="Times New Roman"/>
          <w:sz w:val="20"/>
          <w:szCs w:val="20"/>
          <w:lang w:val="en-US" w:eastAsia="es-ES" w:bidi="es-ES"/>
        </w:rPr>
        <w:t>, that the</w:t>
      </w:r>
      <w:r w:rsidR="00C254BF" w:rsidRPr="00785D06">
        <w:rPr>
          <w:rFonts w:eastAsia="Times New Roman"/>
          <w:sz w:val="20"/>
          <w:szCs w:val="20"/>
          <w:lang w:val="en-US" w:eastAsia="es-ES" w:bidi="es-ES"/>
        </w:rPr>
        <w:t xml:space="preserve"> Court order the State of Ecuador</w:t>
      </w:r>
      <w:r w:rsidR="00317A84" w:rsidRPr="00785D06">
        <w:rPr>
          <w:rFonts w:eastAsia="Times New Roman"/>
          <w:sz w:val="20"/>
          <w:szCs w:val="20"/>
          <w:lang w:val="en-US" w:eastAsia="es-ES" w:bidi="es-ES"/>
        </w:rPr>
        <w:t>,</w:t>
      </w:r>
      <w:r w:rsidR="00C254BF" w:rsidRPr="00785D06">
        <w:rPr>
          <w:rFonts w:eastAsia="Times New Roman"/>
          <w:sz w:val="20"/>
          <w:szCs w:val="20"/>
          <w:lang w:val="en-US" w:eastAsia="es-ES" w:bidi="es-ES"/>
        </w:rPr>
        <w:t xml:space="preserve"> as a </w:t>
      </w:r>
      <w:r w:rsidR="00DD2D98" w:rsidRPr="00785D06">
        <w:rPr>
          <w:rFonts w:eastAsia="Times New Roman"/>
          <w:sz w:val="20"/>
          <w:szCs w:val="20"/>
          <w:lang w:val="en-US" w:eastAsia="es-ES" w:bidi="es-ES"/>
        </w:rPr>
        <w:t>measure</w:t>
      </w:r>
      <w:r w:rsidR="00317A84" w:rsidRPr="00785D06">
        <w:rPr>
          <w:rFonts w:eastAsia="Times New Roman"/>
          <w:sz w:val="20"/>
          <w:szCs w:val="20"/>
          <w:lang w:val="en-US" w:eastAsia="es-ES" w:bidi="es-ES"/>
        </w:rPr>
        <w:t xml:space="preserve"> of satisfaction, to create an independent interdisciplinary commission</w:t>
      </w:r>
      <w:r w:rsidR="00C254BF" w:rsidRPr="00785D06">
        <w:rPr>
          <w:rFonts w:eastAsia="Times New Roman"/>
          <w:sz w:val="20"/>
          <w:szCs w:val="20"/>
          <w:lang w:val="en-US" w:eastAsia="es-ES" w:bidi="es-ES"/>
        </w:rPr>
        <w:t xml:space="preserve"> to a</w:t>
      </w:r>
      <w:r w:rsidR="00317A84" w:rsidRPr="00785D06">
        <w:rPr>
          <w:rFonts w:eastAsia="Times New Roman"/>
          <w:sz w:val="20"/>
          <w:szCs w:val="20"/>
          <w:lang w:val="en-US" w:eastAsia="es-ES" w:bidi="es-ES"/>
        </w:rPr>
        <w:t xml:space="preserve">nalyze </w:t>
      </w:r>
      <w:r w:rsidR="00C254BF" w:rsidRPr="00785D06">
        <w:rPr>
          <w:rFonts w:eastAsia="Times New Roman"/>
          <w:sz w:val="20"/>
          <w:szCs w:val="20"/>
          <w:lang w:val="en-US" w:eastAsia="es-ES" w:bidi="es-ES"/>
        </w:rPr>
        <w:t xml:space="preserve">the facts of this case and, through a public report, make an official </w:t>
      </w:r>
      <w:r w:rsidR="00F45559" w:rsidRPr="00785D06">
        <w:rPr>
          <w:rFonts w:eastAsia="Times New Roman"/>
          <w:sz w:val="20"/>
          <w:szCs w:val="20"/>
          <w:lang w:val="en-US" w:eastAsia="es-ES" w:bidi="es-ES"/>
        </w:rPr>
        <w:t xml:space="preserve">assessment of the events from </w:t>
      </w:r>
      <w:r w:rsidR="00C254BF" w:rsidRPr="00785D06">
        <w:rPr>
          <w:rFonts w:eastAsia="Times New Roman"/>
          <w:sz w:val="20"/>
          <w:szCs w:val="20"/>
          <w:lang w:val="en-US" w:eastAsia="es-ES" w:bidi="es-ES"/>
        </w:rPr>
        <w:t>a gender perspective</w:t>
      </w:r>
      <w:r w:rsidR="00F45559" w:rsidRPr="00785D06">
        <w:rPr>
          <w:rFonts w:eastAsia="Times New Roman"/>
          <w:sz w:val="20"/>
          <w:szCs w:val="20"/>
          <w:lang w:val="en-US" w:eastAsia="es-ES" w:bidi="es-ES"/>
        </w:rPr>
        <w:t xml:space="preserve">, considering </w:t>
      </w:r>
      <w:r w:rsidR="00C254BF" w:rsidRPr="00785D06">
        <w:rPr>
          <w:rFonts w:eastAsia="Times New Roman"/>
          <w:sz w:val="20"/>
          <w:szCs w:val="20"/>
          <w:lang w:val="en-US" w:eastAsia="es-ES" w:bidi="es-ES"/>
        </w:rPr>
        <w:t xml:space="preserve">Paola Guzmán Albarracín as a child victim of sexual harassment, abuse and rape in the </w:t>
      </w:r>
      <w:r w:rsidR="00F45559" w:rsidRPr="00785D06">
        <w:rPr>
          <w:rFonts w:eastAsia="Times New Roman"/>
          <w:sz w:val="20"/>
          <w:szCs w:val="20"/>
          <w:lang w:val="en-US" w:eastAsia="es-ES" w:bidi="es-ES"/>
        </w:rPr>
        <w:t xml:space="preserve">school </w:t>
      </w:r>
      <w:r w:rsidR="00C254BF" w:rsidRPr="00785D06">
        <w:rPr>
          <w:rFonts w:eastAsia="Times New Roman"/>
          <w:sz w:val="20"/>
          <w:szCs w:val="20"/>
          <w:lang w:val="en-US" w:eastAsia="es-ES" w:bidi="es-ES"/>
        </w:rPr>
        <w:t xml:space="preserve">context, and </w:t>
      </w:r>
      <w:r w:rsidR="00F45559" w:rsidRPr="00785D06">
        <w:rPr>
          <w:rFonts w:eastAsia="Times New Roman"/>
          <w:sz w:val="20"/>
          <w:szCs w:val="20"/>
          <w:lang w:val="en-US" w:eastAsia="es-ES" w:bidi="es-ES"/>
        </w:rPr>
        <w:t xml:space="preserve">ensuring </w:t>
      </w:r>
      <w:r w:rsidR="00C254BF" w:rsidRPr="00785D06">
        <w:rPr>
          <w:rFonts w:eastAsia="Times New Roman"/>
          <w:sz w:val="20"/>
          <w:szCs w:val="20"/>
          <w:lang w:val="en-US" w:eastAsia="es-ES" w:bidi="es-ES"/>
        </w:rPr>
        <w:t>that “her image and memory be cleansed of all those gender stereotypes tha</w:t>
      </w:r>
      <w:r w:rsidR="00F45559" w:rsidRPr="00785D06">
        <w:rPr>
          <w:rFonts w:eastAsia="Times New Roman"/>
          <w:sz w:val="20"/>
          <w:szCs w:val="20"/>
          <w:lang w:val="en-US" w:eastAsia="es-ES" w:bidi="es-ES"/>
        </w:rPr>
        <w:t xml:space="preserve">t blamed her for the facts, </w:t>
      </w:r>
      <w:r w:rsidR="00C254BF" w:rsidRPr="00785D06">
        <w:rPr>
          <w:rFonts w:eastAsia="Times New Roman"/>
          <w:sz w:val="20"/>
          <w:szCs w:val="20"/>
          <w:lang w:val="en-US" w:eastAsia="es-ES" w:bidi="es-ES"/>
        </w:rPr>
        <w:t>accus</w:t>
      </w:r>
      <w:r w:rsidR="00F45559" w:rsidRPr="00785D06">
        <w:rPr>
          <w:rFonts w:eastAsia="Times New Roman"/>
          <w:sz w:val="20"/>
          <w:szCs w:val="20"/>
          <w:lang w:val="en-US" w:eastAsia="es-ES" w:bidi="es-ES"/>
        </w:rPr>
        <w:t xml:space="preserve">ing </w:t>
      </w:r>
      <w:r w:rsidR="00C254BF" w:rsidRPr="00785D06">
        <w:rPr>
          <w:rFonts w:eastAsia="Times New Roman"/>
          <w:sz w:val="20"/>
          <w:szCs w:val="20"/>
          <w:lang w:val="en-US" w:eastAsia="es-ES" w:bidi="es-ES"/>
        </w:rPr>
        <w:t xml:space="preserve">her of `seducing’ the </w:t>
      </w:r>
      <w:r w:rsidR="0097298A" w:rsidRPr="00785D06">
        <w:rPr>
          <w:rFonts w:eastAsia="Times New Roman"/>
          <w:sz w:val="20"/>
          <w:szCs w:val="20"/>
          <w:lang w:val="en-US" w:eastAsia="es-ES" w:bidi="es-ES"/>
        </w:rPr>
        <w:t>vice principal</w:t>
      </w:r>
      <w:r w:rsidR="00C254BF" w:rsidRPr="00785D06">
        <w:rPr>
          <w:rFonts w:eastAsia="Times New Roman"/>
          <w:sz w:val="20"/>
          <w:szCs w:val="20"/>
          <w:lang w:val="en-US" w:eastAsia="es-ES" w:bidi="es-ES"/>
        </w:rPr>
        <w:t>, and describ</w:t>
      </w:r>
      <w:r w:rsidR="00F45559" w:rsidRPr="00785D06">
        <w:rPr>
          <w:rFonts w:eastAsia="Times New Roman"/>
          <w:sz w:val="20"/>
          <w:szCs w:val="20"/>
          <w:lang w:val="en-US" w:eastAsia="es-ES" w:bidi="es-ES"/>
        </w:rPr>
        <w:t xml:space="preserve">ing </w:t>
      </w:r>
      <w:r w:rsidR="00C254BF" w:rsidRPr="00785D06">
        <w:rPr>
          <w:rFonts w:eastAsia="Times New Roman"/>
          <w:sz w:val="20"/>
          <w:szCs w:val="20"/>
          <w:lang w:val="en-US" w:eastAsia="es-ES" w:bidi="es-ES"/>
        </w:rPr>
        <w:t>her as being ‘in love with him</w:t>
      </w:r>
      <w:r w:rsidR="00F45559" w:rsidRPr="00785D06">
        <w:rPr>
          <w:rFonts w:eastAsia="Times New Roman"/>
          <w:sz w:val="20"/>
          <w:szCs w:val="20"/>
          <w:lang w:val="en-US" w:eastAsia="es-ES" w:bidi="es-ES"/>
        </w:rPr>
        <w:t>.”</w:t>
      </w:r>
      <w:r w:rsidR="00C254BF" w:rsidRPr="00785D06">
        <w:rPr>
          <w:rFonts w:eastAsia="Times New Roman"/>
          <w:sz w:val="20"/>
          <w:szCs w:val="20"/>
          <w:lang w:val="en-US" w:eastAsia="es-ES" w:bidi="es-ES"/>
        </w:rPr>
        <w:t xml:space="preserve"> Likewise, they requested that </w:t>
      </w:r>
      <w:r w:rsidR="00F45559" w:rsidRPr="00785D06">
        <w:rPr>
          <w:rFonts w:eastAsia="Times New Roman"/>
          <w:sz w:val="20"/>
          <w:szCs w:val="20"/>
          <w:lang w:val="en-US" w:eastAsia="es-ES" w:bidi="es-ES"/>
        </w:rPr>
        <w:t>th</w:t>
      </w:r>
      <w:r w:rsidR="002D2F09" w:rsidRPr="00785D06">
        <w:rPr>
          <w:rFonts w:eastAsia="Times New Roman"/>
          <w:sz w:val="20"/>
          <w:szCs w:val="20"/>
          <w:lang w:val="en-US" w:eastAsia="es-ES" w:bidi="es-ES"/>
        </w:rPr>
        <w:t xml:space="preserve">is </w:t>
      </w:r>
      <w:r w:rsidR="00C254BF" w:rsidRPr="00785D06">
        <w:rPr>
          <w:rFonts w:eastAsia="Times New Roman"/>
          <w:sz w:val="20"/>
          <w:szCs w:val="20"/>
          <w:lang w:val="en-US" w:eastAsia="es-ES" w:bidi="es-ES"/>
        </w:rPr>
        <w:t xml:space="preserve">report </w:t>
      </w:r>
      <w:r w:rsidR="002D2F09" w:rsidRPr="00785D06">
        <w:rPr>
          <w:rFonts w:eastAsia="Times New Roman"/>
          <w:sz w:val="20"/>
          <w:szCs w:val="20"/>
          <w:lang w:val="en-US" w:eastAsia="es-ES" w:bidi="es-ES"/>
        </w:rPr>
        <w:t xml:space="preserve">take into account </w:t>
      </w:r>
      <w:r w:rsidR="00C254BF" w:rsidRPr="00785D06">
        <w:rPr>
          <w:rFonts w:eastAsia="Times New Roman"/>
          <w:sz w:val="20"/>
          <w:szCs w:val="20"/>
          <w:lang w:val="en-US" w:eastAsia="es-ES" w:bidi="es-ES"/>
        </w:rPr>
        <w:t xml:space="preserve">the context of sexual abuse, harassment and rape </w:t>
      </w:r>
      <w:r w:rsidR="002D2F09" w:rsidRPr="00785D06">
        <w:rPr>
          <w:rFonts w:eastAsia="Times New Roman"/>
          <w:sz w:val="20"/>
          <w:szCs w:val="20"/>
          <w:lang w:val="en-US" w:eastAsia="es-ES" w:bidi="es-ES"/>
        </w:rPr>
        <w:t>that prevailed at the Martínez Serrano High School</w:t>
      </w:r>
      <w:r w:rsidR="00C254BF" w:rsidRPr="00785D06">
        <w:rPr>
          <w:rFonts w:eastAsia="Times New Roman"/>
          <w:sz w:val="20"/>
          <w:szCs w:val="20"/>
          <w:lang w:val="en-US" w:eastAsia="es-ES" w:bidi="es-ES"/>
        </w:rPr>
        <w:t>, in which there were additional victims</w:t>
      </w:r>
      <w:r w:rsidR="00C254BF" w:rsidRPr="00785D06">
        <w:rPr>
          <w:rFonts w:eastAsia="Times New Roman"/>
          <w:lang w:val="en-US" w:eastAsia="es-ES" w:bidi="es-ES"/>
        </w:rPr>
        <w:t xml:space="preserve">. </w:t>
      </w:r>
    </w:p>
    <w:p w14:paraId="40387638" w14:textId="77777777" w:rsidR="00C254BF" w:rsidRPr="00785D06" w:rsidRDefault="00C254BF" w:rsidP="00C254BF">
      <w:pPr>
        <w:pStyle w:val="Prrafodelista"/>
        <w:rPr>
          <w:rFonts w:eastAsia="Times New Roman"/>
          <w:sz w:val="20"/>
          <w:szCs w:val="20"/>
          <w:lang w:val="en-US" w:eastAsia="es-ES" w:bidi="es-ES"/>
        </w:rPr>
      </w:pPr>
    </w:p>
    <w:p w14:paraId="511C1CA2"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 xml:space="preserve">The </w:t>
      </w:r>
      <w:r w:rsidRPr="00785D06">
        <w:rPr>
          <w:rFonts w:eastAsia="Times New Roman"/>
          <w:b/>
          <w:i/>
          <w:sz w:val="20"/>
          <w:szCs w:val="20"/>
          <w:lang w:val="en-US" w:eastAsia="es-ES" w:bidi="es-ES"/>
        </w:rPr>
        <w:t>State</w:t>
      </w:r>
      <w:r w:rsidRPr="00785D06">
        <w:rPr>
          <w:rFonts w:eastAsia="Times New Roman"/>
          <w:sz w:val="20"/>
          <w:szCs w:val="20"/>
          <w:lang w:val="en-US" w:eastAsia="es-ES" w:bidi="es-ES"/>
        </w:rPr>
        <w:t xml:space="preserve"> objected to the measure requested. </w:t>
      </w:r>
      <w:r w:rsidR="00F45559" w:rsidRPr="00785D06">
        <w:rPr>
          <w:rFonts w:eastAsia="Times New Roman"/>
          <w:sz w:val="20"/>
          <w:szCs w:val="20"/>
          <w:lang w:val="en-US" w:eastAsia="es-ES" w:bidi="es-ES"/>
        </w:rPr>
        <w:t>It a</w:t>
      </w:r>
      <w:r w:rsidRPr="00785D06">
        <w:rPr>
          <w:rFonts w:eastAsia="Times New Roman"/>
          <w:sz w:val="20"/>
          <w:szCs w:val="20"/>
          <w:lang w:val="en-US" w:eastAsia="es-ES" w:bidi="es-ES"/>
        </w:rPr>
        <w:t xml:space="preserve">rgued that it is not appropriate </w:t>
      </w:r>
      <w:r w:rsidR="00F45559" w:rsidRPr="00785D06">
        <w:rPr>
          <w:rFonts w:eastAsia="Times New Roman"/>
          <w:sz w:val="20"/>
          <w:szCs w:val="20"/>
          <w:lang w:val="en-US" w:eastAsia="es-ES" w:bidi="es-ES"/>
        </w:rPr>
        <w:t xml:space="preserve">to alter domestic legal rulings </w:t>
      </w:r>
      <w:r w:rsidR="002D2F09" w:rsidRPr="00785D06">
        <w:rPr>
          <w:rFonts w:eastAsia="Times New Roman"/>
          <w:sz w:val="20"/>
          <w:szCs w:val="20"/>
          <w:lang w:val="en-US" w:eastAsia="es-ES" w:bidi="es-ES"/>
        </w:rPr>
        <w:t xml:space="preserve">since </w:t>
      </w:r>
      <w:r w:rsidRPr="00785D06">
        <w:rPr>
          <w:rFonts w:eastAsia="Times New Roman"/>
          <w:sz w:val="20"/>
          <w:szCs w:val="20"/>
          <w:lang w:val="en-US" w:eastAsia="es-ES" w:bidi="es-ES"/>
        </w:rPr>
        <w:t>the Inter-American Court, as an international body, is not competent to reverse legal decisions issued by the dome</w:t>
      </w:r>
      <w:r w:rsidR="002D2F09" w:rsidRPr="00785D06">
        <w:rPr>
          <w:rFonts w:eastAsia="Times New Roman"/>
          <w:sz w:val="20"/>
          <w:szCs w:val="20"/>
          <w:lang w:val="en-US" w:eastAsia="es-ES" w:bidi="es-ES"/>
        </w:rPr>
        <w:t>stic courts</w:t>
      </w:r>
      <w:r w:rsidR="00A60C00" w:rsidRPr="00785D06">
        <w:rPr>
          <w:rFonts w:eastAsia="Times New Roman"/>
          <w:sz w:val="20"/>
          <w:szCs w:val="20"/>
          <w:lang w:val="en-US" w:eastAsia="es-ES" w:bidi="es-ES"/>
        </w:rPr>
        <w:t xml:space="preserve"> </w:t>
      </w:r>
      <w:r w:rsidR="002D2F09" w:rsidRPr="00785D06">
        <w:rPr>
          <w:rFonts w:eastAsia="Times New Roman"/>
          <w:sz w:val="20"/>
          <w:szCs w:val="20"/>
          <w:lang w:val="en-US" w:eastAsia="es-ES" w:bidi="es-ES"/>
        </w:rPr>
        <w:t xml:space="preserve">because it </w:t>
      </w:r>
      <w:r w:rsidR="00A60C00" w:rsidRPr="00785D06">
        <w:rPr>
          <w:rFonts w:eastAsia="Times New Roman"/>
          <w:sz w:val="20"/>
          <w:szCs w:val="20"/>
          <w:lang w:val="en-US" w:eastAsia="es-ES" w:bidi="es-ES"/>
        </w:rPr>
        <w:t xml:space="preserve">does not </w:t>
      </w:r>
      <w:r w:rsidR="00F45559" w:rsidRPr="00785D06">
        <w:rPr>
          <w:rFonts w:eastAsia="Times New Roman"/>
          <w:sz w:val="20"/>
          <w:szCs w:val="20"/>
          <w:lang w:val="en-US" w:eastAsia="es-ES" w:bidi="es-ES"/>
        </w:rPr>
        <w:t xml:space="preserve">operate </w:t>
      </w:r>
      <w:r w:rsidRPr="00785D06">
        <w:rPr>
          <w:rFonts w:eastAsia="Times New Roman"/>
          <w:sz w:val="20"/>
          <w:szCs w:val="20"/>
          <w:lang w:val="en-US" w:eastAsia="es-ES" w:bidi="es-ES"/>
        </w:rPr>
        <w:t xml:space="preserve">as </w:t>
      </w:r>
      <w:r w:rsidR="00A60C00" w:rsidRPr="00785D06">
        <w:rPr>
          <w:rFonts w:eastAsia="Times New Roman"/>
          <w:sz w:val="20"/>
          <w:szCs w:val="20"/>
          <w:lang w:val="en-US" w:eastAsia="es-ES" w:bidi="es-ES"/>
        </w:rPr>
        <w:t xml:space="preserve">a </w:t>
      </w:r>
      <w:r w:rsidRPr="00785D06">
        <w:rPr>
          <w:rFonts w:eastAsia="Times New Roman"/>
          <w:sz w:val="20"/>
          <w:szCs w:val="20"/>
          <w:lang w:val="en-US" w:eastAsia="es-ES" w:bidi="es-ES"/>
        </w:rPr>
        <w:t xml:space="preserve">fourth instance. Therefore, it </w:t>
      </w:r>
      <w:r w:rsidR="00F45559" w:rsidRPr="00785D06">
        <w:rPr>
          <w:rFonts w:eastAsia="Times New Roman"/>
          <w:sz w:val="20"/>
          <w:szCs w:val="20"/>
          <w:lang w:val="en-US" w:eastAsia="es-ES" w:bidi="es-ES"/>
        </w:rPr>
        <w:t xml:space="preserve">considered that that request to change legal </w:t>
      </w:r>
      <w:r w:rsidRPr="00785D06">
        <w:rPr>
          <w:rFonts w:eastAsia="Times New Roman"/>
          <w:sz w:val="20"/>
          <w:szCs w:val="20"/>
          <w:lang w:val="en-US" w:eastAsia="es-ES" w:bidi="es-ES"/>
        </w:rPr>
        <w:t>decisions taken in “strict adherence to the domestic legal system is not appropriate.”</w:t>
      </w:r>
    </w:p>
    <w:p w14:paraId="3E8347F8" w14:textId="77777777" w:rsidR="00C254BF" w:rsidRPr="00785D06" w:rsidRDefault="00C254BF" w:rsidP="00C254BF">
      <w:pPr>
        <w:pStyle w:val="Prrafodelista"/>
        <w:rPr>
          <w:sz w:val="20"/>
          <w:szCs w:val="20"/>
          <w:lang w:val="en-US" w:eastAsia="es-ES_tradnl"/>
        </w:rPr>
      </w:pPr>
    </w:p>
    <w:p w14:paraId="4D6CDC1F" w14:textId="77777777" w:rsidR="00C254BF" w:rsidRPr="00785D06" w:rsidRDefault="00C254BF" w:rsidP="00C254BF">
      <w:pPr>
        <w:pStyle w:val="Prrafodelista"/>
        <w:numPr>
          <w:ilvl w:val="0"/>
          <w:numId w:val="35"/>
        </w:numPr>
        <w:ind w:left="0" w:firstLine="0"/>
        <w:contextualSpacing w:val="0"/>
        <w:jc w:val="both"/>
        <w:rPr>
          <w:rFonts w:eastAsia="Times New Roman"/>
          <w:sz w:val="20"/>
          <w:szCs w:val="20"/>
          <w:lang w:val="en-US" w:eastAsia="es-ES" w:bidi="es-ES"/>
        </w:rPr>
      </w:pPr>
      <w:r w:rsidRPr="00785D06">
        <w:rPr>
          <w:rFonts w:eastAsia="Times New Roman"/>
          <w:sz w:val="20"/>
          <w:szCs w:val="20"/>
          <w:lang w:val="en-US" w:eastAsia="es-ES" w:bidi="es-ES"/>
        </w:rPr>
        <w:t>The Court considers that a</w:t>
      </w:r>
      <w:r w:rsidR="00F45559" w:rsidRPr="00785D06">
        <w:rPr>
          <w:rFonts w:eastAsia="Times New Roman"/>
          <w:sz w:val="20"/>
          <w:szCs w:val="20"/>
          <w:lang w:val="en-US" w:eastAsia="es-ES" w:bidi="es-ES"/>
        </w:rPr>
        <w:t xml:space="preserve"> future </w:t>
      </w:r>
      <w:r w:rsidRPr="00785D06">
        <w:rPr>
          <w:rFonts w:eastAsia="Times New Roman"/>
          <w:sz w:val="20"/>
          <w:szCs w:val="20"/>
          <w:lang w:val="en-US" w:eastAsia="es-ES" w:bidi="es-ES"/>
        </w:rPr>
        <w:t xml:space="preserve">reopening of the criminal proceedings or of other proceedings of an administrative nature is not appropriate, </w:t>
      </w:r>
      <w:r w:rsidR="00A60C00" w:rsidRPr="00785D06">
        <w:rPr>
          <w:rFonts w:eastAsia="Times New Roman"/>
          <w:sz w:val="20"/>
          <w:szCs w:val="20"/>
          <w:lang w:val="en-US" w:eastAsia="es-ES" w:bidi="es-ES"/>
        </w:rPr>
        <w:t xml:space="preserve">despite </w:t>
      </w:r>
      <w:r w:rsidRPr="00785D06">
        <w:rPr>
          <w:rFonts w:eastAsia="Times New Roman"/>
          <w:sz w:val="20"/>
          <w:szCs w:val="20"/>
          <w:lang w:val="en-US" w:eastAsia="es-ES" w:bidi="es-ES"/>
        </w:rPr>
        <w:t xml:space="preserve">the suffering </w:t>
      </w:r>
      <w:r w:rsidR="00434F27" w:rsidRPr="00785D06">
        <w:rPr>
          <w:rFonts w:eastAsia="Times New Roman"/>
          <w:sz w:val="20"/>
          <w:szCs w:val="20"/>
          <w:lang w:val="en-US" w:eastAsia="es-ES" w:bidi="es-ES"/>
        </w:rPr>
        <w:t xml:space="preserve">caused </w:t>
      </w:r>
      <w:r w:rsidRPr="00785D06">
        <w:rPr>
          <w:rFonts w:eastAsia="Times New Roman"/>
          <w:sz w:val="20"/>
          <w:szCs w:val="20"/>
          <w:lang w:val="en-US" w:eastAsia="es-ES" w:bidi="es-ES"/>
        </w:rPr>
        <w:t xml:space="preserve">by the impunity </w:t>
      </w:r>
      <w:r w:rsidR="00F45559" w:rsidRPr="00785D06">
        <w:rPr>
          <w:rFonts w:eastAsia="Times New Roman"/>
          <w:sz w:val="20"/>
          <w:szCs w:val="20"/>
          <w:lang w:val="en-US" w:eastAsia="es-ES" w:bidi="es-ES"/>
        </w:rPr>
        <w:t xml:space="preserve">resulting from </w:t>
      </w:r>
      <w:r w:rsidRPr="00785D06">
        <w:rPr>
          <w:rFonts w:eastAsia="Times New Roman"/>
          <w:sz w:val="20"/>
          <w:szCs w:val="20"/>
          <w:lang w:val="en-US" w:eastAsia="es-ES" w:bidi="es-ES"/>
        </w:rPr>
        <w:t>the</w:t>
      </w:r>
      <w:r w:rsidRPr="00785D06">
        <w:rPr>
          <w:rFonts w:eastAsia="Times New Roman"/>
          <w:b/>
          <w:sz w:val="20"/>
          <w:szCs w:val="20"/>
          <w:lang w:val="en-US" w:eastAsia="es-ES" w:bidi="es-ES"/>
        </w:rPr>
        <w:t xml:space="preserve"> </w:t>
      </w:r>
      <w:r w:rsidR="00F45559" w:rsidRPr="00785D06">
        <w:rPr>
          <w:rFonts w:eastAsia="Times New Roman"/>
          <w:sz w:val="20"/>
          <w:szCs w:val="20"/>
          <w:lang w:val="en-US" w:eastAsia="es-ES" w:bidi="es-ES"/>
        </w:rPr>
        <w:t>violation</w:t>
      </w:r>
      <w:r w:rsidRPr="00785D06">
        <w:rPr>
          <w:rFonts w:eastAsia="Times New Roman"/>
          <w:sz w:val="20"/>
          <w:szCs w:val="20"/>
          <w:lang w:val="en-US" w:eastAsia="es-ES" w:bidi="es-ES"/>
        </w:rPr>
        <w:t xml:space="preserve"> of judicial guarantees and judicial p</w:t>
      </w:r>
      <w:r w:rsidR="00F45559" w:rsidRPr="00785D06">
        <w:rPr>
          <w:rFonts w:eastAsia="Times New Roman"/>
          <w:sz w:val="20"/>
          <w:szCs w:val="20"/>
          <w:lang w:val="en-US" w:eastAsia="es-ES" w:bidi="es-ES"/>
        </w:rPr>
        <w:t>rotection declared in this case. I</w:t>
      </w:r>
      <w:r w:rsidRPr="00785D06">
        <w:rPr>
          <w:rFonts w:eastAsia="Times New Roman"/>
          <w:sz w:val="20"/>
          <w:szCs w:val="20"/>
          <w:lang w:val="en-US" w:eastAsia="es-ES" w:bidi="es-ES"/>
        </w:rPr>
        <w:t xml:space="preserve">n </w:t>
      </w:r>
      <w:r w:rsidRPr="00785D06">
        <w:rPr>
          <w:sz w:val="20"/>
          <w:szCs w:val="20"/>
          <w:lang w:val="en-US"/>
        </w:rPr>
        <w:t>particular</w:t>
      </w:r>
      <w:r w:rsidR="00F45559" w:rsidRPr="00785D06">
        <w:rPr>
          <w:sz w:val="20"/>
          <w:szCs w:val="20"/>
          <w:lang w:val="en-US"/>
        </w:rPr>
        <w:t>, the Court notes</w:t>
      </w:r>
      <w:r w:rsidRPr="00785D06">
        <w:rPr>
          <w:sz w:val="20"/>
          <w:szCs w:val="20"/>
          <w:lang w:val="en-US"/>
        </w:rPr>
        <w:t xml:space="preserve"> the absence </w:t>
      </w:r>
      <w:r w:rsidR="00A60C00" w:rsidRPr="00785D06">
        <w:rPr>
          <w:sz w:val="20"/>
          <w:szCs w:val="20"/>
          <w:lang w:val="en-US"/>
        </w:rPr>
        <w:t>of the</w:t>
      </w:r>
      <w:r w:rsidRPr="00785D06">
        <w:rPr>
          <w:sz w:val="20"/>
          <w:szCs w:val="20"/>
          <w:lang w:val="en-US"/>
        </w:rPr>
        <w:t xml:space="preserve"> most elemental rules of due diligence in the </w:t>
      </w:r>
      <w:r w:rsidR="00A60C00" w:rsidRPr="00785D06">
        <w:rPr>
          <w:sz w:val="20"/>
          <w:szCs w:val="20"/>
          <w:lang w:val="en-US"/>
        </w:rPr>
        <w:t>search</w:t>
      </w:r>
      <w:r w:rsidRPr="00785D06">
        <w:rPr>
          <w:sz w:val="20"/>
          <w:szCs w:val="20"/>
          <w:lang w:val="en-US"/>
        </w:rPr>
        <w:t xml:space="preserve">, localization and prosecution of the accused, </w:t>
      </w:r>
      <w:r w:rsidR="00F45559" w:rsidRPr="00785D06">
        <w:rPr>
          <w:sz w:val="20"/>
          <w:szCs w:val="20"/>
          <w:lang w:val="en-US"/>
        </w:rPr>
        <w:t xml:space="preserve">an aspect </w:t>
      </w:r>
      <w:r w:rsidR="007C1C0E" w:rsidRPr="00785D06">
        <w:rPr>
          <w:sz w:val="20"/>
          <w:szCs w:val="20"/>
          <w:lang w:val="en-US"/>
        </w:rPr>
        <w:t xml:space="preserve">that is </w:t>
      </w:r>
      <w:r w:rsidRPr="00785D06">
        <w:rPr>
          <w:rFonts w:eastAsia="Times New Roman"/>
          <w:sz w:val="20"/>
          <w:szCs w:val="20"/>
          <w:lang w:val="en-US" w:eastAsia="es-ES" w:bidi="es-ES"/>
        </w:rPr>
        <w:t xml:space="preserve">duly considered in the section on compensation. </w:t>
      </w:r>
    </w:p>
    <w:p w14:paraId="644561BC" w14:textId="77777777" w:rsidR="00C254BF" w:rsidRPr="00785D06" w:rsidRDefault="00C254BF" w:rsidP="00C254BF">
      <w:pPr>
        <w:pStyle w:val="Prrafodelista"/>
        <w:ind w:left="0"/>
        <w:contextualSpacing w:val="0"/>
        <w:jc w:val="both"/>
        <w:rPr>
          <w:sz w:val="20"/>
          <w:szCs w:val="20"/>
          <w:lang w:val="en-US" w:eastAsia="es-ES_tradnl"/>
        </w:rPr>
      </w:pPr>
    </w:p>
    <w:p w14:paraId="54C34648" w14:textId="77777777" w:rsidR="00C254BF" w:rsidRPr="00785D06" w:rsidRDefault="00F45559" w:rsidP="00C254BF">
      <w:pPr>
        <w:pStyle w:val="Prrafodelista"/>
        <w:numPr>
          <w:ilvl w:val="0"/>
          <w:numId w:val="35"/>
        </w:numPr>
        <w:ind w:left="0" w:firstLine="0"/>
        <w:contextualSpacing w:val="0"/>
        <w:jc w:val="both"/>
        <w:rPr>
          <w:sz w:val="20"/>
          <w:szCs w:val="20"/>
          <w:lang w:val="en-US"/>
        </w:rPr>
      </w:pPr>
      <w:r w:rsidRPr="00785D06">
        <w:rPr>
          <w:sz w:val="20"/>
          <w:szCs w:val="20"/>
          <w:lang w:val="en-US" w:eastAsia="es-ES_tradnl"/>
        </w:rPr>
        <w:t>T</w:t>
      </w:r>
      <w:r w:rsidR="00C254BF" w:rsidRPr="00785D06">
        <w:rPr>
          <w:sz w:val="20"/>
          <w:szCs w:val="20"/>
          <w:lang w:val="en-US" w:eastAsia="es-ES_tradnl"/>
        </w:rPr>
        <w:t xml:space="preserve">he Court </w:t>
      </w:r>
      <w:r w:rsidRPr="00785D06">
        <w:rPr>
          <w:sz w:val="20"/>
          <w:szCs w:val="20"/>
          <w:lang w:val="en-US" w:eastAsia="es-ES_tradnl"/>
        </w:rPr>
        <w:t xml:space="preserve">also </w:t>
      </w:r>
      <w:r w:rsidR="00C254BF" w:rsidRPr="00785D06">
        <w:rPr>
          <w:sz w:val="20"/>
          <w:szCs w:val="20"/>
          <w:lang w:val="en-US" w:eastAsia="es-ES_tradnl"/>
        </w:rPr>
        <w:t>notes that the representatives requ</w:t>
      </w:r>
      <w:r w:rsidR="00A60C00" w:rsidRPr="00785D06">
        <w:rPr>
          <w:sz w:val="20"/>
          <w:szCs w:val="20"/>
          <w:lang w:val="en-US" w:eastAsia="es-ES_tradnl"/>
        </w:rPr>
        <w:t xml:space="preserve">ested that </w:t>
      </w:r>
      <w:r w:rsidR="00C254BF" w:rsidRPr="00785D06">
        <w:rPr>
          <w:sz w:val="20"/>
          <w:szCs w:val="20"/>
          <w:lang w:val="en-US" w:eastAsia="es-ES_tradnl"/>
        </w:rPr>
        <w:t xml:space="preserve">Ecuador </w:t>
      </w:r>
      <w:r w:rsidR="00A60C00" w:rsidRPr="00785D06">
        <w:rPr>
          <w:sz w:val="20"/>
          <w:szCs w:val="20"/>
          <w:lang w:val="en-US" w:eastAsia="es-ES_tradnl"/>
        </w:rPr>
        <w:t xml:space="preserve">prepare </w:t>
      </w:r>
      <w:r w:rsidR="00C254BF" w:rsidRPr="00785D06">
        <w:rPr>
          <w:sz w:val="20"/>
          <w:szCs w:val="20"/>
          <w:lang w:val="en-US" w:eastAsia="es-ES_tradnl"/>
        </w:rPr>
        <w:t xml:space="preserve">a public report </w:t>
      </w:r>
      <w:r w:rsidR="00A60C00" w:rsidRPr="00785D06">
        <w:rPr>
          <w:sz w:val="20"/>
          <w:szCs w:val="20"/>
          <w:lang w:val="en-US" w:eastAsia="es-ES_tradnl"/>
        </w:rPr>
        <w:t xml:space="preserve">concerning events that occurred in the case of </w:t>
      </w:r>
      <w:r w:rsidR="00C254BF" w:rsidRPr="00785D06">
        <w:rPr>
          <w:sz w:val="20"/>
          <w:szCs w:val="20"/>
          <w:lang w:val="en-US" w:eastAsia="es-ES_tradnl"/>
        </w:rPr>
        <w:t>Paola Guzmán Albarracín, as a way of “</w:t>
      </w:r>
      <w:r w:rsidR="00A60C00" w:rsidRPr="00785D06">
        <w:rPr>
          <w:sz w:val="20"/>
          <w:szCs w:val="20"/>
          <w:lang w:val="en-US" w:eastAsia="es-ES_tradnl"/>
        </w:rPr>
        <w:t>clean</w:t>
      </w:r>
      <w:r w:rsidRPr="00785D06">
        <w:rPr>
          <w:sz w:val="20"/>
          <w:szCs w:val="20"/>
          <w:lang w:val="en-US" w:eastAsia="es-ES_tradnl"/>
        </w:rPr>
        <w:t>sing</w:t>
      </w:r>
      <w:r w:rsidR="00A60C00" w:rsidRPr="00785D06">
        <w:rPr>
          <w:sz w:val="20"/>
          <w:szCs w:val="20"/>
          <w:lang w:val="en-US" w:eastAsia="es-ES_tradnl"/>
        </w:rPr>
        <w:t xml:space="preserve"> </w:t>
      </w:r>
      <w:r w:rsidR="00C254BF" w:rsidRPr="00785D06">
        <w:rPr>
          <w:sz w:val="20"/>
          <w:szCs w:val="20"/>
          <w:lang w:val="en-US" w:eastAsia="es-ES_tradnl"/>
        </w:rPr>
        <w:t>her image and memory” (</w:t>
      </w:r>
      <w:r w:rsidR="00C254BF" w:rsidRPr="00785D06">
        <w:rPr>
          <w:i/>
          <w:sz w:val="20"/>
          <w:szCs w:val="20"/>
          <w:lang w:val="en-US" w:eastAsia="es-ES_tradnl"/>
        </w:rPr>
        <w:t>supra</w:t>
      </w:r>
      <w:r w:rsidR="00C254BF" w:rsidRPr="00785D06">
        <w:rPr>
          <w:sz w:val="20"/>
          <w:szCs w:val="20"/>
          <w:lang w:val="en-US" w:eastAsia="es-ES_tradnl"/>
        </w:rPr>
        <w:t xml:space="preserve"> para. 220). The Court </w:t>
      </w:r>
      <w:r w:rsidRPr="00785D06">
        <w:rPr>
          <w:sz w:val="20"/>
          <w:szCs w:val="20"/>
          <w:lang w:val="en-US" w:eastAsia="es-ES_tradnl"/>
        </w:rPr>
        <w:t xml:space="preserve">does not consider it </w:t>
      </w:r>
      <w:r w:rsidR="00C254BF" w:rsidRPr="00785D06">
        <w:rPr>
          <w:sz w:val="20"/>
          <w:szCs w:val="20"/>
          <w:lang w:val="en-US" w:eastAsia="es-ES_tradnl"/>
        </w:rPr>
        <w:t>app</w:t>
      </w:r>
      <w:r w:rsidR="00A60C00" w:rsidRPr="00785D06">
        <w:rPr>
          <w:sz w:val="20"/>
          <w:szCs w:val="20"/>
          <w:lang w:val="en-US" w:eastAsia="es-ES_tradnl"/>
        </w:rPr>
        <w:t>ro</w:t>
      </w:r>
      <w:r w:rsidR="00C254BF" w:rsidRPr="00785D06">
        <w:rPr>
          <w:sz w:val="20"/>
          <w:szCs w:val="20"/>
          <w:lang w:val="en-US" w:eastAsia="es-ES_tradnl"/>
        </w:rPr>
        <w:t>p</w:t>
      </w:r>
      <w:r w:rsidR="00A60C00" w:rsidRPr="00785D06">
        <w:rPr>
          <w:sz w:val="20"/>
          <w:szCs w:val="20"/>
          <w:lang w:val="en-US" w:eastAsia="es-ES_tradnl"/>
        </w:rPr>
        <w:t>ri</w:t>
      </w:r>
      <w:r w:rsidR="00C254BF" w:rsidRPr="00785D06">
        <w:rPr>
          <w:sz w:val="20"/>
          <w:szCs w:val="20"/>
          <w:lang w:val="en-US" w:eastAsia="es-ES_tradnl"/>
        </w:rPr>
        <w:t>ate to admit this request, since it was submitted extemporaneously. Neve</w:t>
      </w:r>
      <w:r w:rsidR="00A60C00" w:rsidRPr="00785D06">
        <w:rPr>
          <w:sz w:val="20"/>
          <w:szCs w:val="20"/>
          <w:lang w:val="en-US" w:eastAsia="es-ES_tradnl"/>
        </w:rPr>
        <w:t>rtheless, it urges the State to</w:t>
      </w:r>
      <w:r w:rsidR="00C254BF" w:rsidRPr="00785D06">
        <w:rPr>
          <w:sz w:val="20"/>
          <w:szCs w:val="20"/>
          <w:lang w:val="en-US" w:eastAsia="es-ES_tradnl"/>
        </w:rPr>
        <w:t xml:space="preserve"> consider </w:t>
      </w:r>
      <w:r w:rsidRPr="00785D06">
        <w:rPr>
          <w:sz w:val="20"/>
          <w:szCs w:val="20"/>
          <w:lang w:val="en-US" w:eastAsia="es-ES_tradnl"/>
        </w:rPr>
        <w:t>this proposal</w:t>
      </w:r>
      <w:r w:rsidR="00C254BF" w:rsidRPr="00785D06">
        <w:rPr>
          <w:sz w:val="20"/>
          <w:szCs w:val="20"/>
          <w:lang w:val="en-US" w:eastAsia="es-ES_tradnl"/>
        </w:rPr>
        <w:t xml:space="preserve">, in </w:t>
      </w:r>
      <w:r w:rsidR="00A60C00" w:rsidRPr="00785D06">
        <w:rPr>
          <w:sz w:val="20"/>
          <w:szCs w:val="20"/>
          <w:lang w:val="en-US" w:eastAsia="es-ES_tradnl"/>
        </w:rPr>
        <w:t xml:space="preserve">common agreement </w:t>
      </w:r>
      <w:r w:rsidR="00C254BF" w:rsidRPr="00785D06">
        <w:rPr>
          <w:sz w:val="20"/>
          <w:szCs w:val="20"/>
          <w:lang w:val="en-US" w:eastAsia="es-ES_tradnl"/>
        </w:rPr>
        <w:t xml:space="preserve">with the victims and/or </w:t>
      </w:r>
      <w:r w:rsidR="00A60C00" w:rsidRPr="00785D06">
        <w:rPr>
          <w:sz w:val="20"/>
          <w:szCs w:val="20"/>
          <w:lang w:val="en-US" w:eastAsia="es-ES_tradnl"/>
        </w:rPr>
        <w:t xml:space="preserve">their </w:t>
      </w:r>
      <w:r w:rsidR="00C254BF" w:rsidRPr="00785D06">
        <w:rPr>
          <w:sz w:val="20"/>
          <w:szCs w:val="20"/>
          <w:lang w:val="en-US" w:eastAsia="es-ES_tradnl"/>
        </w:rPr>
        <w:t xml:space="preserve">representatives. The Court </w:t>
      </w:r>
      <w:r w:rsidR="00A60C00" w:rsidRPr="00785D06">
        <w:rPr>
          <w:sz w:val="20"/>
          <w:szCs w:val="20"/>
          <w:lang w:val="en-US" w:eastAsia="es-ES_tradnl"/>
        </w:rPr>
        <w:t xml:space="preserve">will not </w:t>
      </w:r>
      <w:r w:rsidR="007C1C0E" w:rsidRPr="00785D06">
        <w:rPr>
          <w:sz w:val="20"/>
          <w:szCs w:val="20"/>
          <w:lang w:val="en-US" w:eastAsia="es-ES_tradnl"/>
        </w:rPr>
        <w:t xml:space="preserve">monitor </w:t>
      </w:r>
      <w:r w:rsidR="00C254BF" w:rsidRPr="00785D06">
        <w:rPr>
          <w:sz w:val="20"/>
          <w:szCs w:val="20"/>
          <w:lang w:val="en-US" w:eastAsia="es-ES_tradnl"/>
        </w:rPr>
        <w:t>implementation of th</w:t>
      </w:r>
      <w:r w:rsidRPr="00785D06">
        <w:rPr>
          <w:sz w:val="20"/>
          <w:szCs w:val="20"/>
          <w:lang w:val="en-US" w:eastAsia="es-ES_tradnl"/>
        </w:rPr>
        <w:t>is action</w:t>
      </w:r>
      <w:r w:rsidR="00C254BF" w:rsidRPr="00785D06">
        <w:rPr>
          <w:sz w:val="20"/>
          <w:szCs w:val="20"/>
          <w:lang w:val="en-US" w:eastAsia="es-ES_tradnl"/>
        </w:rPr>
        <w:t xml:space="preserve">. </w:t>
      </w:r>
    </w:p>
    <w:p w14:paraId="626C21F4" w14:textId="77777777" w:rsidR="00C254BF" w:rsidRPr="00785D06" w:rsidRDefault="00C254BF" w:rsidP="00C254BF">
      <w:pPr>
        <w:widowControl w:val="0"/>
        <w:tabs>
          <w:tab w:val="left" w:pos="633"/>
        </w:tabs>
        <w:autoSpaceDE w:val="0"/>
        <w:autoSpaceDN w:val="0"/>
        <w:ind w:right="117" w:hanging="11"/>
        <w:jc w:val="both"/>
        <w:rPr>
          <w:sz w:val="20"/>
          <w:szCs w:val="20"/>
          <w:lang w:val="en-US" w:eastAsia="es-ES_tradnl"/>
        </w:rPr>
      </w:pPr>
    </w:p>
    <w:p w14:paraId="695F79C3" w14:textId="77777777" w:rsidR="00C254BF" w:rsidRPr="00785D06" w:rsidRDefault="00C254BF" w:rsidP="00C254BF">
      <w:pPr>
        <w:widowControl w:val="0"/>
        <w:tabs>
          <w:tab w:val="left" w:pos="633"/>
        </w:tabs>
        <w:autoSpaceDE w:val="0"/>
        <w:autoSpaceDN w:val="0"/>
        <w:ind w:right="117"/>
        <w:jc w:val="both"/>
        <w:rPr>
          <w:sz w:val="20"/>
          <w:szCs w:val="20"/>
          <w:lang w:val="en-US" w:eastAsia="es-ES_tradnl"/>
        </w:rPr>
      </w:pPr>
    </w:p>
    <w:p w14:paraId="0ECF0BCE" w14:textId="77777777" w:rsidR="00C254BF" w:rsidRPr="00785D06" w:rsidRDefault="00C254BF" w:rsidP="00C254BF">
      <w:pPr>
        <w:widowControl w:val="0"/>
        <w:tabs>
          <w:tab w:val="left" w:pos="633"/>
        </w:tabs>
        <w:autoSpaceDE w:val="0"/>
        <w:autoSpaceDN w:val="0"/>
        <w:ind w:right="117" w:hanging="11"/>
        <w:jc w:val="both"/>
        <w:rPr>
          <w:sz w:val="20"/>
          <w:szCs w:val="20"/>
          <w:lang w:val="en-US" w:eastAsia="es-ES_tradnl"/>
        </w:rPr>
      </w:pPr>
    </w:p>
    <w:p w14:paraId="380488C5" w14:textId="77777777" w:rsidR="00C254BF" w:rsidRPr="00785D06" w:rsidRDefault="00C254BF" w:rsidP="00C254BF">
      <w:pPr>
        <w:pStyle w:val="Prrafodelista"/>
        <w:widowControl w:val="0"/>
        <w:numPr>
          <w:ilvl w:val="0"/>
          <w:numId w:val="12"/>
        </w:numPr>
        <w:autoSpaceDE w:val="0"/>
        <w:autoSpaceDN w:val="0"/>
        <w:ind w:left="284" w:right="117" w:firstLine="13"/>
        <w:outlineLvl w:val="1"/>
        <w:rPr>
          <w:rFonts w:eastAsia="Times New Roman"/>
          <w:b/>
          <w:i/>
          <w:sz w:val="20"/>
          <w:szCs w:val="20"/>
          <w:lang w:val="en-US" w:eastAsia="es-ES" w:bidi="es-ES"/>
        </w:rPr>
      </w:pPr>
      <w:bookmarkStart w:id="163" w:name="_Toc42498073"/>
      <w:bookmarkStart w:id="164" w:name="_Toc46937321"/>
      <w:r w:rsidRPr="00785D06">
        <w:rPr>
          <w:rFonts w:eastAsia="Times New Roman"/>
          <w:b/>
          <w:i/>
          <w:sz w:val="20"/>
          <w:szCs w:val="20"/>
          <w:lang w:val="en-US" w:eastAsia="es-ES" w:bidi="es-ES"/>
        </w:rPr>
        <w:t>Measures of rehabilitation</w:t>
      </w:r>
      <w:bookmarkEnd w:id="163"/>
      <w:bookmarkEnd w:id="164"/>
    </w:p>
    <w:p w14:paraId="20FFCA7B" w14:textId="77777777" w:rsidR="00C254BF" w:rsidRPr="00785D06" w:rsidRDefault="00C254BF" w:rsidP="00C254BF">
      <w:pPr>
        <w:pStyle w:val="Prrafodelista"/>
        <w:rPr>
          <w:rFonts w:eastAsia="Times New Roman"/>
          <w:sz w:val="20"/>
          <w:szCs w:val="20"/>
          <w:lang w:val="en-US" w:eastAsia="es-ES" w:bidi="es-ES"/>
        </w:rPr>
      </w:pPr>
    </w:p>
    <w:p w14:paraId="10078D27"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 xml:space="preserve">The </w:t>
      </w:r>
      <w:r w:rsidRPr="00785D06">
        <w:rPr>
          <w:rFonts w:eastAsia="Times New Roman"/>
          <w:b/>
          <w:i/>
          <w:sz w:val="20"/>
          <w:szCs w:val="20"/>
          <w:lang w:val="en-US" w:eastAsia="es-ES" w:bidi="es-ES"/>
        </w:rPr>
        <w:t xml:space="preserve">Commission </w:t>
      </w:r>
      <w:r w:rsidRPr="00785D06">
        <w:rPr>
          <w:rFonts w:eastAsia="Times New Roman"/>
          <w:sz w:val="20"/>
          <w:szCs w:val="20"/>
          <w:lang w:val="en-US" w:eastAsia="es-ES" w:bidi="es-ES"/>
        </w:rPr>
        <w:t xml:space="preserve">requested that the State provide, immediately and free of charge, psychological, psychosocial or psychiatric treatment, as appropriate, to the relatives of Paola del Rosario Guzmán Albarracín, if they so wish and in </w:t>
      </w:r>
      <w:r w:rsidR="00BD3F44" w:rsidRPr="00785D06">
        <w:rPr>
          <w:rFonts w:eastAsia="Times New Roman"/>
          <w:sz w:val="20"/>
          <w:szCs w:val="20"/>
          <w:lang w:val="en-US" w:eastAsia="es-ES" w:bidi="es-ES"/>
        </w:rPr>
        <w:t>consultation with them</w:t>
      </w:r>
      <w:r w:rsidRPr="00785D06">
        <w:rPr>
          <w:rFonts w:eastAsia="Times New Roman"/>
          <w:sz w:val="20"/>
          <w:szCs w:val="20"/>
          <w:lang w:val="en-US" w:eastAsia="es-ES" w:bidi="es-ES"/>
        </w:rPr>
        <w:t>.</w:t>
      </w:r>
      <w:r w:rsidRPr="00785D06">
        <w:rPr>
          <w:rFonts w:eastAsia="Times New Roman"/>
          <w:b/>
          <w:lang w:val="en-US" w:eastAsia="es-ES" w:bidi="es-ES"/>
        </w:rPr>
        <w:t xml:space="preserve"> </w:t>
      </w:r>
      <w:r w:rsidRPr="00785D06">
        <w:rPr>
          <w:rFonts w:eastAsia="Times New Roman"/>
          <w:sz w:val="20"/>
          <w:szCs w:val="20"/>
          <w:lang w:val="en-US" w:eastAsia="es-ES" w:bidi="es-ES"/>
        </w:rPr>
        <w:t xml:space="preserve">The </w:t>
      </w:r>
      <w:r w:rsidRPr="00785D06">
        <w:rPr>
          <w:rFonts w:eastAsia="Times New Roman"/>
          <w:b/>
          <w:i/>
          <w:sz w:val="20"/>
          <w:szCs w:val="20"/>
          <w:lang w:val="en-US" w:eastAsia="es-ES" w:bidi="es-ES"/>
        </w:rPr>
        <w:t xml:space="preserve">representatives </w:t>
      </w:r>
      <w:r w:rsidR="00BB70C4" w:rsidRPr="00785D06">
        <w:rPr>
          <w:rFonts w:eastAsia="Times New Roman"/>
          <w:sz w:val="20"/>
          <w:szCs w:val="20"/>
          <w:lang w:val="en-US" w:eastAsia="es-ES" w:bidi="es-ES"/>
        </w:rPr>
        <w:t xml:space="preserve">requested </w:t>
      </w:r>
      <w:r w:rsidRPr="00785D06">
        <w:rPr>
          <w:rFonts w:eastAsia="Times New Roman"/>
          <w:sz w:val="20"/>
          <w:szCs w:val="20"/>
          <w:lang w:val="en-US" w:eastAsia="es-ES" w:bidi="es-ES"/>
        </w:rPr>
        <w:t xml:space="preserve">that </w:t>
      </w:r>
      <w:r w:rsidR="00BD3F44" w:rsidRPr="00785D06">
        <w:rPr>
          <w:rFonts w:eastAsia="Times New Roman"/>
          <w:sz w:val="20"/>
          <w:szCs w:val="20"/>
          <w:lang w:val="en-US" w:eastAsia="es-ES" w:bidi="es-ES"/>
        </w:rPr>
        <w:t xml:space="preserve">this </w:t>
      </w:r>
      <w:r w:rsidRPr="00785D06">
        <w:rPr>
          <w:rFonts w:eastAsia="Times New Roman"/>
          <w:sz w:val="20"/>
          <w:szCs w:val="20"/>
          <w:lang w:val="en-US" w:eastAsia="es-ES" w:bidi="es-ES"/>
        </w:rPr>
        <w:t xml:space="preserve">treatment include any medications </w:t>
      </w:r>
      <w:r w:rsidR="00BD3F44" w:rsidRPr="00785D06">
        <w:rPr>
          <w:rFonts w:eastAsia="Times New Roman"/>
          <w:sz w:val="20"/>
          <w:szCs w:val="20"/>
          <w:lang w:val="en-US" w:eastAsia="es-ES" w:bidi="es-ES"/>
        </w:rPr>
        <w:t xml:space="preserve">required by Paola’s </w:t>
      </w:r>
      <w:r w:rsidRPr="00785D06">
        <w:rPr>
          <w:rFonts w:eastAsia="Times New Roman"/>
          <w:sz w:val="20"/>
          <w:szCs w:val="20"/>
          <w:lang w:val="en-US" w:eastAsia="es-ES" w:bidi="es-ES"/>
        </w:rPr>
        <w:t xml:space="preserve">relatives, taking into consideration the suffering of each </w:t>
      </w:r>
      <w:r w:rsidR="00BB70C4" w:rsidRPr="00785D06">
        <w:rPr>
          <w:rFonts w:eastAsia="Times New Roman"/>
          <w:sz w:val="20"/>
          <w:szCs w:val="20"/>
          <w:lang w:val="en-US" w:eastAsia="es-ES" w:bidi="es-ES"/>
        </w:rPr>
        <w:t xml:space="preserve">one </w:t>
      </w:r>
      <w:r w:rsidRPr="00785D06">
        <w:rPr>
          <w:rFonts w:eastAsia="Times New Roman"/>
          <w:sz w:val="20"/>
          <w:szCs w:val="20"/>
          <w:lang w:val="en-US" w:eastAsia="es-ES" w:bidi="es-ES"/>
        </w:rPr>
        <w:t xml:space="preserve">after </w:t>
      </w:r>
      <w:r w:rsidR="00BB70C4" w:rsidRPr="00785D06">
        <w:rPr>
          <w:rFonts w:eastAsia="Times New Roman"/>
          <w:sz w:val="20"/>
          <w:szCs w:val="20"/>
          <w:lang w:val="en-US" w:eastAsia="es-ES" w:bidi="es-ES"/>
        </w:rPr>
        <w:t>an individual evaluation,</w:t>
      </w:r>
      <w:r w:rsidRPr="00785D06">
        <w:rPr>
          <w:rFonts w:eastAsia="Times New Roman"/>
          <w:sz w:val="20"/>
          <w:szCs w:val="20"/>
          <w:lang w:val="en-US" w:eastAsia="es-ES" w:bidi="es-ES"/>
        </w:rPr>
        <w:t xml:space="preserve"> </w:t>
      </w:r>
      <w:r w:rsidR="00BB70C4" w:rsidRPr="00785D06">
        <w:rPr>
          <w:rFonts w:eastAsia="Times New Roman"/>
          <w:sz w:val="20"/>
          <w:szCs w:val="20"/>
          <w:lang w:val="en-US" w:eastAsia="es-ES" w:bidi="es-ES"/>
        </w:rPr>
        <w:t xml:space="preserve">and </w:t>
      </w:r>
      <w:r w:rsidRPr="00785D06">
        <w:rPr>
          <w:rFonts w:eastAsia="Times New Roman"/>
          <w:sz w:val="20"/>
          <w:szCs w:val="20"/>
          <w:lang w:val="en-US" w:eastAsia="es-ES" w:bidi="es-ES"/>
        </w:rPr>
        <w:t xml:space="preserve">that </w:t>
      </w:r>
      <w:r w:rsidR="00BB70C4" w:rsidRPr="00785D06">
        <w:rPr>
          <w:rFonts w:eastAsia="Times New Roman"/>
          <w:sz w:val="20"/>
          <w:szCs w:val="20"/>
          <w:lang w:val="en-US" w:eastAsia="es-ES" w:bidi="es-ES"/>
        </w:rPr>
        <w:t xml:space="preserve">it also </w:t>
      </w:r>
      <w:r w:rsidR="00A60C00" w:rsidRPr="00785D06">
        <w:rPr>
          <w:rFonts w:eastAsia="Times New Roman"/>
          <w:sz w:val="20"/>
          <w:szCs w:val="20"/>
          <w:lang w:val="en-US" w:eastAsia="es-ES" w:bidi="es-ES"/>
        </w:rPr>
        <w:t xml:space="preserve">include a comprehensive assessment </w:t>
      </w:r>
      <w:r w:rsidRPr="00785D06">
        <w:rPr>
          <w:rFonts w:eastAsia="Times New Roman"/>
          <w:sz w:val="20"/>
          <w:szCs w:val="20"/>
          <w:lang w:val="en-US" w:eastAsia="es-ES" w:bidi="es-ES"/>
        </w:rPr>
        <w:t xml:space="preserve">of </w:t>
      </w:r>
      <w:r w:rsidR="00BB70C4" w:rsidRPr="00785D06">
        <w:rPr>
          <w:rFonts w:eastAsia="Times New Roman"/>
          <w:sz w:val="20"/>
          <w:szCs w:val="20"/>
          <w:lang w:val="en-US" w:eastAsia="es-ES" w:bidi="es-ES"/>
        </w:rPr>
        <w:t xml:space="preserve">their </w:t>
      </w:r>
      <w:r w:rsidRPr="00785D06">
        <w:rPr>
          <w:rFonts w:eastAsia="Times New Roman"/>
          <w:sz w:val="20"/>
          <w:szCs w:val="20"/>
          <w:lang w:val="en-US" w:eastAsia="es-ES" w:bidi="es-ES"/>
        </w:rPr>
        <w:t xml:space="preserve">physical </w:t>
      </w:r>
      <w:r w:rsidR="00A60C00" w:rsidRPr="00785D06">
        <w:rPr>
          <w:rFonts w:eastAsia="Times New Roman"/>
          <w:sz w:val="20"/>
          <w:szCs w:val="20"/>
          <w:lang w:val="en-US" w:eastAsia="es-ES" w:bidi="es-ES"/>
        </w:rPr>
        <w:t>health</w:t>
      </w:r>
      <w:r w:rsidRPr="00785D06">
        <w:rPr>
          <w:rFonts w:eastAsia="Times New Roman"/>
          <w:sz w:val="20"/>
          <w:szCs w:val="20"/>
          <w:lang w:val="en-US" w:eastAsia="es-ES" w:bidi="es-ES"/>
        </w:rPr>
        <w:t xml:space="preserve">. </w:t>
      </w:r>
      <w:r w:rsidR="00BB70C4" w:rsidRPr="00785D06">
        <w:rPr>
          <w:rFonts w:eastAsia="Times New Roman"/>
          <w:sz w:val="20"/>
          <w:szCs w:val="20"/>
          <w:lang w:val="en-US" w:eastAsia="es-ES" w:bidi="es-ES"/>
        </w:rPr>
        <w:t>The representatives</w:t>
      </w:r>
      <w:r w:rsidR="00A60C00" w:rsidRPr="00785D06">
        <w:rPr>
          <w:rFonts w:eastAsia="Times New Roman"/>
          <w:sz w:val="20"/>
          <w:szCs w:val="20"/>
          <w:lang w:val="en-US" w:eastAsia="es-ES" w:bidi="es-ES"/>
        </w:rPr>
        <w:t xml:space="preserve"> also </w:t>
      </w:r>
      <w:r w:rsidRPr="00785D06">
        <w:rPr>
          <w:rFonts w:eastAsia="Times New Roman"/>
          <w:sz w:val="20"/>
          <w:szCs w:val="20"/>
          <w:lang w:val="en-US" w:eastAsia="es-ES" w:bidi="es-ES"/>
        </w:rPr>
        <w:t xml:space="preserve">requested that the psychological therapy be provided by a psychologist specializing in gender </w:t>
      </w:r>
      <w:r w:rsidR="00BB70C4" w:rsidRPr="00785D06">
        <w:rPr>
          <w:rFonts w:eastAsia="Times New Roman"/>
          <w:sz w:val="20"/>
          <w:szCs w:val="20"/>
          <w:lang w:val="en-US" w:eastAsia="es-ES" w:bidi="es-ES"/>
        </w:rPr>
        <w:t xml:space="preserve">issues </w:t>
      </w:r>
      <w:r w:rsidRPr="00785D06">
        <w:rPr>
          <w:rFonts w:eastAsia="Times New Roman"/>
          <w:sz w:val="20"/>
          <w:szCs w:val="20"/>
          <w:lang w:val="en-US" w:eastAsia="es-ES" w:bidi="es-ES"/>
        </w:rPr>
        <w:t xml:space="preserve">and belonging to civil society, </w:t>
      </w:r>
      <w:r w:rsidR="00A60C00" w:rsidRPr="00785D06">
        <w:rPr>
          <w:rFonts w:eastAsia="Times New Roman"/>
          <w:sz w:val="20"/>
          <w:szCs w:val="20"/>
          <w:lang w:val="en-US" w:eastAsia="es-ES" w:bidi="es-ES"/>
        </w:rPr>
        <w:t>whom they named specifically</w:t>
      </w:r>
      <w:r w:rsidRPr="00785D06">
        <w:rPr>
          <w:rFonts w:eastAsia="Times New Roman"/>
          <w:sz w:val="20"/>
          <w:szCs w:val="20"/>
          <w:lang w:val="en-US" w:eastAsia="es-ES" w:bidi="es-ES"/>
        </w:rPr>
        <w:t xml:space="preserve">. </w:t>
      </w:r>
    </w:p>
    <w:p w14:paraId="0CBEDB0D" w14:textId="77777777" w:rsidR="00C254BF" w:rsidRPr="00785D06" w:rsidRDefault="00C254BF" w:rsidP="00C254BF">
      <w:pPr>
        <w:pStyle w:val="Prrafodelista"/>
        <w:ind w:left="0"/>
        <w:contextualSpacing w:val="0"/>
        <w:jc w:val="both"/>
        <w:rPr>
          <w:sz w:val="20"/>
          <w:szCs w:val="20"/>
          <w:lang w:val="en-US"/>
        </w:rPr>
      </w:pPr>
    </w:p>
    <w:p w14:paraId="10E638F3"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 xml:space="preserve">The </w:t>
      </w:r>
      <w:r w:rsidRPr="00785D06">
        <w:rPr>
          <w:rFonts w:eastAsia="Times New Roman"/>
          <w:b/>
          <w:i/>
          <w:sz w:val="20"/>
          <w:szCs w:val="20"/>
          <w:lang w:val="en-US" w:eastAsia="es-ES" w:bidi="es-ES"/>
        </w:rPr>
        <w:t>State</w:t>
      </w:r>
      <w:r w:rsidRPr="00785D06">
        <w:rPr>
          <w:rFonts w:eastAsia="Times New Roman"/>
          <w:i/>
          <w:sz w:val="20"/>
          <w:szCs w:val="20"/>
          <w:lang w:val="en-US" w:eastAsia="es-ES" w:bidi="es-ES"/>
        </w:rPr>
        <w:t xml:space="preserve"> </w:t>
      </w:r>
      <w:r w:rsidR="003D5653" w:rsidRPr="00785D06">
        <w:rPr>
          <w:rFonts w:eastAsia="Times New Roman"/>
          <w:sz w:val="20"/>
          <w:szCs w:val="20"/>
          <w:lang w:val="en-US" w:eastAsia="es-ES" w:bidi="es-ES"/>
        </w:rPr>
        <w:t xml:space="preserve">pointed out </w:t>
      </w:r>
      <w:r w:rsidRPr="00785D06">
        <w:rPr>
          <w:rFonts w:eastAsia="Times New Roman"/>
          <w:sz w:val="20"/>
          <w:szCs w:val="20"/>
          <w:lang w:val="en-US" w:eastAsia="es-ES" w:bidi="es-ES"/>
        </w:rPr>
        <w:t xml:space="preserve">that Mrs. Albarracín’s rights to social security and medical </w:t>
      </w:r>
      <w:r w:rsidR="00BB70C4" w:rsidRPr="00785D06">
        <w:rPr>
          <w:rFonts w:eastAsia="Times New Roman"/>
          <w:sz w:val="20"/>
          <w:szCs w:val="20"/>
          <w:lang w:val="en-US" w:eastAsia="es-ES" w:bidi="es-ES"/>
        </w:rPr>
        <w:t xml:space="preserve">treatment </w:t>
      </w:r>
      <w:r w:rsidRPr="00785D06">
        <w:rPr>
          <w:rFonts w:eastAsia="Times New Roman"/>
          <w:sz w:val="20"/>
          <w:szCs w:val="20"/>
          <w:lang w:val="en-US" w:eastAsia="es-ES" w:bidi="es-ES"/>
        </w:rPr>
        <w:t>are adequately guaranteed and p</w:t>
      </w:r>
      <w:r w:rsidR="00BB70C4" w:rsidRPr="00785D06">
        <w:rPr>
          <w:rFonts w:eastAsia="Times New Roman"/>
          <w:sz w:val="20"/>
          <w:szCs w:val="20"/>
          <w:lang w:val="en-US" w:eastAsia="es-ES" w:bidi="es-ES"/>
        </w:rPr>
        <w:t>rotected under the Constitution;</w:t>
      </w:r>
      <w:r w:rsidRPr="00785D06">
        <w:rPr>
          <w:rFonts w:eastAsia="Times New Roman"/>
          <w:sz w:val="20"/>
          <w:szCs w:val="20"/>
          <w:lang w:val="en-US" w:eastAsia="es-ES" w:bidi="es-ES"/>
        </w:rPr>
        <w:t xml:space="preserve"> therefore</w:t>
      </w:r>
      <w:r w:rsidR="00BB70C4" w:rsidRPr="00785D06">
        <w:rPr>
          <w:rFonts w:eastAsia="Times New Roman"/>
          <w:sz w:val="20"/>
          <w:szCs w:val="20"/>
          <w:lang w:val="en-US" w:eastAsia="es-ES" w:bidi="es-ES"/>
        </w:rPr>
        <w:t>,</w:t>
      </w:r>
      <w:r w:rsidRPr="00785D06">
        <w:rPr>
          <w:rFonts w:eastAsia="Times New Roman"/>
          <w:sz w:val="20"/>
          <w:szCs w:val="20"/>
          <w:lang w:val="en-US" w:eastAsia="es-ES" w:bidi="es-ES"/>
        </w:rPr>
        <w:t xml:space="preserve"> </w:t>
      </w:r>
      <w:r w:rsidR="00DD2D98" w:rsidRPr="00785D06">
        <w:rPr>
          <w:rFonts w:eastAsia="Times New Roman"/>
          <w:sz w:val="20"/>
          <w:szCs w:val="20"/>
          <w:lang w:val="en-US" w:eastAsia="es-ES" w:bidi="es-ES"/>
        </w:rPr>
        <w:t xml:space="preserve">there is no need for </w:t>
      </w:r>
      <w:r w:rsidRPr="00785D06">
        <w:rPr>
          <w:rFonts w:eastAsia="Times New Roman"/>
          <w:sz w:val="20"/>
          <w:szCs w:val="20"/>
          <w:lang w:val="en-US" w:eastAsia="es-ES" w:bidi="es-ES"/>
        </w:rPr>
        <w:t xml:space="preserve">the Court </w:t>
      </w:r>
      <w:r w:rsidR="00DD2D98" w:rsidRPr="00785D06">
        <w:rPr>
          <w:rFonts w:eastAsia="Times New Roman"/>
          <w:sz w:val="20"/>
          <w:szCs w:val="20"/>
          <w:lang w:val="en-US" w:eastAsia="es-ES" w:bidi="es-ES"/>
        </w:rPr>
        <w:t xml:space="preserve">to order </w:t>
      </w:r>
      <w:r w:rsidRPr="00785D06">
        <w:rPr>
          <w:rFonts w:eastAsia="Times New Roman"/>
          <w:sz w:val="20"/>
          <w:szCs w:val="20"/>
          <w:lang w:val="en-US" w:eastAsia="es-ES" w:bidi="es-ES"/>
        </w:rPr>
        <w:t xml:space="preserve">measures of medical care. It </w:t>
      </w:r>
      <w:r w:rsidR="00BB70C4" w:rsidRPr="00785D06">
        <w:rPr>
          <w:rFonts w:eastAsia="Times New Roman"/>
          <w:sz w:val="20"/>
          <w:szCs w:val="20"/>
          <w:lang w:val="en-US" w:eastAsia="es-ES" w:bidi="es-ES"/>
        </w:rPr>
        <w:t xml:space="preserve">added </w:t>
      </w:r>
      <w:r w:rsidRPr="00785D06">
        <w:rPr>
          <w:rFonts w:eastAsia="Times New Roman"/>
          <w:sz w:val="20"/>
          <w:szCs w:val="20"/>
          <w:lang w:val="en-US" w:eastAsia="es-ES" w:bidi="es-ES"/>
        </w:rPr>
        <w:t>that “Mrs. Albarrací</w:t>
      </w:r>
      <w:r w:rsidR="00DD2D98" w:rsidRPr="00785D06">
        <w:rPr>
          <w:rFonts w:eastAsia="Times New Roman"/>
          <w:sz w:val="20"/>
          <w:szCs w:val="20"/>
          <w:lang w:val="en-US" w:eastAsia="es-ES" w:bidi="es-ES"/>
        </w:rPr>
        <w:t>n has access to social security</w:t>
      </w:r>
      <w:r w:rsidRPr="00785D06">
        <w:rPr>
          <w:rFonts w:eastAsia="Times New Roman"/>
          <w:sz w:val="20"/>
          <w:szCs w:val="20"/>
          <w:lang w:val="en-US" w:eastAsia="es-ES" w:bidi="es-ES"/>
        </w:rPr>
        <w:t xml:space="preserve">” without discrimination. </w:t>
      </w:r>
      <w:r w:rsidRPr="00785D06">
        <w:rPr>
          <w:rFonts w:eastAsia="Times New Roman"/>
          <w:lang w:val="en-US" w:eastAsia="es-ES" w:bidi="es-ES"/>
        </w:rPr>
        <w:t xml:space="preserve"> </w:t>
      </w:r>
    </w:p>
    <w:p w14:paraId="6B2370BB" w14:textId="77777777" w:rsidR="00C254BF" w:rsidRPr="00785D06" w:rsidRDefault="00C254BF" w:rsidP="00C254BF">
      <w:pPr>
        <w:pStyle w:val="Prrafodelista"/>
        <w:rPr>
          <w:rFonts w:eastAsia="Times New Roman"/>
          <w:sz w:val="20"/>
          <w:szCs w:val="20"/>
          <w:lang w:val="en-US" w:eastAsia="es-ES" w:bidi="es-ES"/>
        </w:rPr>
      </w:pPr>
    </w:p>
    <w:p w14:paraId="49A8A773"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 xml:space="preserve"> The </w:t>
      </w:r>
      <w:r w:rsidRPr="00785D06">
        <w:rPr>
          <w:rFonts w:eastAsia="Times New Roman"/>
          <w:b/>
          <w:i/>
          <w:sz w:val="20"/>
          <w:szCs w:val="20"/>
          <w:lang w:val="en-US" w:eastAsia="es-ES" w:bidi="es-ES"/>
        </w:rPr>
        <w:t>Court</w:t>
      </w:r>
      <w:r w:rsidRPr="00785D06">
        <w:rPr>
          <w:rFonts w:eastAsia="Times New Roman"/>
          <w:sz w:val="20"/>
          <w:szCs w:val="20"/>
          <w:lang w:val="en-US" w:eastAsia="es-ES" w:bidi="es-ES"/>
        </w:rPr>
        <w:t xml:space="preserve"> </w:t>
      </w:r>
      <w:r w:rsidR="00BF3EED" w:rsidRPr="00785D06">
        <w:rPr>
          <w:rFonts w:eastAsia="Times New Roman"/>
          <w:sz w:val="20"/>
          <w:szCs w:val="20"/>
          <w:lang w:val="en-US" w:eastAsia="es-ES" w:bidi="es-ES"/>
        </w:rPr>
        <w:t xml:space="preserve">considers </w:t>
      </w:r>
      <w:r w:rsidR="00A60C00" w:rsidRPr="00785D06">
        <w:rPr>
          <w:rFonts w:eastAsia="Times New Roman"/>
          <w:sz w:val="20"/>
          <w:szCs w:val="20"/>
          <w:lang w:val="en-US" w:eastAsia="es-ES" w:bidi="es-ES"/>
        </w:rPr>
        <w:t xml:space="preserve">that the facts of this </w:t>
      </w:r>
      <w:r w:rsidRPr="00785D06">
        <w:rPr>
          <w:rFonts w:eastAsia="Times New Roman"/>
          <w:sz w:val="20"/>
          <w:szCs w:val="20"/>
          <w:lang w:val="en-US" w:eastAsia="es-ES" w:bidi="es-ES"/>
        </w:rPr>
        <w:t xml:space="preserve">case </w:t>
      </w:r>
      <w:r w:rsidR="00A60C00" w:rsidRPr="00785D06">
        <w:rPr>
          <w:rFonts w:eastAsia="Times New Roman"/>
          <w:sz w:val="20"/>
          <w:szCs w:val="20"/>
          <w:lang w:val="en-US" w:eastAsia="es-ES" w:bidi="es-ES"/>
        </w:rPr>
        <w:t xml:space="preserve">affected the </w:t>
      </w:r>
      <w:r w:rsidRPr="00785D06">
        <w:rPr>
          <w:rFonts w:eastAsia="Times New Roman"/>
          <w:sz w:val="20"/>
          <w:szCs w:val="20"/>
          <w:lang w:val="en-US" w:eastAsia="es-ES" w:bidi="es-ES"/>
        </w:rPr>
        <w:t xml:space="preserve">personal integrity of Mrs. Petita Albarracín and Denisse Guzmán Albarracín, </w:t>
      </w:r>
      <w:r w:rsidR="00BB70C4" w:rsidRPr="00785D06">
        <w:rPr>
          <w:rFonts w:eastAsia="Times New Roman"/>
          <w:sz w:val="20"/>
          <w:szCs w:val="20"/>
          <w:lang w:val="en-US" w:eastAsia="es-ES" w:bidi="es-ES"/>
        </w:rPr>
        <w:t xml:space="preserve">causing them </w:t>
      </w:r>
      <w:r w:rsidRPr="00785D06">
        <w:rPr>
          <w:rFonts w:eastAsia="Times New Roman"/>
          <w:sz w:val="20"/>
          <w:szCs w:val="20"/>
          <w:lang w:val="en-US" w:eastAsia="es-ES" w:bidi="es-ES"/>
        </w:rPr>
        <w:t xml:space="preserve">emotional and psychological </w:t>
      </w:r>
      <w:r w:rsidR="00BF3EED" w:rsidRPr="00785D06">
        <w:rPr>
          <w:rFonts w:eastAsia="Times New Roman"/>
          <w:sz w:val="20"/>
          <w:szCs w:val="20"/>
          <w:lang w:val="en-US" w:eastAsia="es-ES" w:bidi="es-ES"/>
        </w:rPr>
        <w:t xml:space="preserve">distress </w:t>
      </w:r>
      <w:r w:rsidRPr="00785D06">
        <w:rPr>
          <w:rFonts w:eastAsia="Times New Roman"/>
          <w:sz w:val="20"/>
          <w:szCs w:val="20"/>
          <w:lang w:val="en-US" w:eastAsia="es-ES" w:bidi="es-ES"/>
        </w:rPr>
        <w:t>(</w:t>
      </w:r>
      <w:r w:rsidRPr="00785D06">
        <w:rPr>
          <w:rFonts w:eastAsia="Times New Roman"/>
          <w:i/>
          <w:sz w:val="20"/>
          <w:szCs w:val="20"/>
          <w:lang w:val="en-US" w:eastAsia="es-ES" w:bidi="es-ES"/>
        </w:rPr>
        <w:t xml:space="preserve">supra </w:t>
      </w:r>
      <w:r w:rsidRPr="00785D06">
        <w:rPr>
          <w:rFonts w:eastAsia="Times New Roman"/>
          <w:sz w:val="20"/>
          <w:szCs w:val="20"/>
          <w:lang w:val="en-US" w:eastAsia="es-ES" w:bidi="es-ES"/>
        </w:rPr>
        <w:t>para. 214).</w:t>
      </w:r>
      <w:r w:rsidRPr="00785D06">
        <w:rPr>
          <w:sz w:val="20"/>
          <w:szCs w:val="20"/>
          <w:lang w:val="en-US" w:eastAsia="es-ES_tradnl"/>
        </w:rPr>
        <w:t xml:space="preserve"> Therefore, this Court orders the State to provide</w:t>
      </w:r>
      <w:r w:rsidR="001C33B9" w:rsidRPr="00785D06">
        <w:rPr>
          <w:sz w:val="20"/>
          <w:szCs w:val="20"/>
          <w:lang w:val="en-US" w:eastAsia="es-ES_tradnl"/>
        </w:rPr>
        <w:t xml:space="preserve"> Petita Paulina Albarracín Albán and Denisse Selena Guzmán Albarracín with psychological and/or psychiatric treatment</w:t>
      </w:r>
      <w:r w:rsidRPr="00785D06">
        <w:rPr>
          <w:sz w:val="20"/>
          <w:szCs w:val="20"/>
          <w:lang w:val="en-US" w:eastAsia="es-ES_tradnl"/>
        </w:rPr>
        <w:t>, free of charge</w:t>
      </w:r>
      <w:r w:rsidR="00BB70C4" w:rsidRPr="00785D06">
        <w:rPr>
          <w:sz w:val="20"/>
          <w:szCs w:val="20"/>
          <w:lang w:val="en-US" w:eastAsia="es-ES_tradnl"/>
        </w:rPr>
        <w:t>,</w:t>
      </w:r>
      <w:r w:rsidRPr="00785D06">
        <w:rPr>
          <w:sz w:val="20"/>
          <w:szCs w:val="20"/>
          <w:lang w:val="en-US" w:eastAsia="es-ES_tradnl"/>
        </w:rPr>
        <w:t xml:space="preserve"> in </w:t>
      </w:r>
      <w:r w:rsidR="008C66A3" w:rsidRPr="00785D06">
        <w:rPr>
          <w:sz w:val="20"/>
          <w:szCs w:val="20"/>
          <w:lang w:val="en-US" w:eastAsia="es-ES_tradnl"/>
        </w:rPr>
        <w:t>a differentiated manner</w:t>
      </w:r>
      <w:r w:rsidRPr="00785D06">
        <w:rPr>
          <w:sz w:val="20"/>
          <w:szCs w:val="20"/>
          <w:lang w:val="en-US" w:eastAsia="es-ES_tradnl"/>
        </w:rPr>
        <w:t xml:space="preserve"> and for </w:t>
      </w:r>
      <w:r w:rsidR="00BB70C4" w:rsidRPr="00785D06">
        <w:rPr>
          <w:sz w:val="20"/>
          <w:szCs w:val="20"/>
          <w:lang w:val="en-US" w:eastAsia="es-ES_tradnl"/>
        </w:rPr>
        <w:t xml:space="preserve">as long as </w:t>
      </w:r>
      <w:r w:rsidR="001C33B9" w:rsidRPr="00785D06">
        <w:rPr>
          <w:sz w:val="20"/>
          <w:szCs w:val="20"/>
          <w:lang w:val="en-US" w:eastAsia="es-ES_tradnl"/>
        </w:rPr>
        <w:t>necessary. This</w:t>
      </w:r>
      <w:r w:rsidRPr="00785D06">
        <w:rPr>
          <w:sz w:val="20"/>
          <w:szCs w:val="20"/>
          <w:lang w:val="en-US" w:eastAsia="es-ES_tradnl"/>
        </w:rPr>
        <w:t xml:space="preserve"> </w:t>
      </w:r>
      <w:r w:rsidR="001C33B9" w:rsidRPr="00785D06">
        <w:rPr>
          <w:sz w:val="20"/>
          <w:szCs w:val="20"/>
          <w:lang w:val="en-US" w:eastAsia="es-ES_tradnl"/>
        </w:rPr>
        <w:t xml:space="preserve">must </w:t>
      </w:r>
      <w:r w:rsidRPr="00785D06">
        <w:rPr>
          <w:sz w:val="20"/>
          <w:szCs w:val="20"/>
          <w:lang w:val="en-US" w:eastAsia="es-ES_tradnl"/>
        </w:rPr>
        <w:t xml:space="preserve">include </w:t>
      </w:r>
      <w:r w:rsidR="001C33B9" w:rsidRPr="00785D06">
        <w:rPr>
          <w:sz w:val="20"/>
          <w:szCs w:val="20"/>
          <w:lang w:val="en-US" w:eastAsia="es-ES_tradnl"/>
        </w:rPr>
        <w:t>the provision</w:t>
      </w:r>
      <w:r w:rsidR="00F11E61" w:rsidRPr="00785D06">
        <w:rPr>
          <w:sz w:val="20"/>
          <w:szCs w:val="20"/>
          <w:lang w:val="en-US" w:eastAsia="es-ES_tradnl"/>
        </w:rPr>
        <w:t xml:space="preserve"> </w:t>
      </w:r>
      <w:r w:rsidRPr="00785D06">
        <w:rPr>
          <w:sz w:val="20"/>
          <w:szCs w:val="20"/>
          <w:lang w:val="en-US" w:eastAsia="es-ES_tradnl"/>
        </w:rPr>
        <w:t xml:space="preserve">of any </w:t>
      </w:r>
      <w:r w:rsidR="001C33B9" w:rsidRPr="00785D06">
        <w:rPr>
          <w:sz w:val="20"/>
          <w:szCs w:val="20"/>
          <w:lang w:val="en-US" w:eastAsia="es-ES_tradnl"/>
        </w:rPr>
        <w:t xml:space="preserve">required </w:t>
      </w:r>
      <w:r w:rsidRPr="00785D06">
        <w:rPr>
          <w:sz w:val="20"/>
          <w:szCs w:val="20"/>
          <w:lang w:val="en-US" w:eastAsia="es-ES_tradnl"/>
        </w:rPr>
        <w:t>medic</w:t>
      </w:r>
      <w:r w:rsidR="001C33B9" w:rsidRPr="00785D06">
        <w:rPr>
          <w:sz w:val="20"/>
          <w:szCs w:val="20"/>
          <w:lang w:val="en-US" w:eastAsia="es-ES_tradnl"/>
        </w:rPr>
        <w:t xml:space="preserve">ation free of charge, </w:t>
      </w:r>
      <w:r w:rsidRPr="00785D06">
        <w:rPr>
          <w:sz w:val="20"/>
          <w:szCs w:val="20"/>
          <w:lang w:val="en-US" w:eastAsia="es-ES_tradnl"/>
        </w:rPr>
        <w:t>and, if app</w:t>
      </w:r>
      <w:r w:rsidR="001C33B9" w:rsidRPr="00785D06">
        <w:rPr>
          <w:sz w:val="20"/>
          <w:szCs w:val="20"/>
          <w:lang w:val="en-US" w:eastAsia="es-ES_tradnl"/>
        </w:rPr>
        <w:t>licable</w:t>
      </w:r>
      <w:r w:rsidRPr="00785D06">
        <w:rPr>
          <w:sz w:val="20"/>
          <w:szCs w:val="20"/>
          <w:lang w:val="en-US" w:eastAsia="es-ES_tradnl"/>
        </w:rPr>
        <w:t xml:space="preserve">, transportation and any other related and necessary expenses. The psychological and/or psychiatric treatment </w:t>
      </w:r>
      <w:r w:rsidR="001C33B9" w:rsidRPr="00785D06">
        <w:rPr>
          <w:sz w:val="20"/>
          <w:szCs w:val="20"/>
          <w:lang w:val="en-US" w:eastAsia="es-ES_tradnl"/>
        </w:rPr>
        <w:t xml:space="preserve">should also take into account the victims’ particular </w:t>
      </w:r>
      <w:r w:rsidRPr="00785D06">
        <w:rPr>
          <w:sz w:val="20"/>
          <w:szCs w:val="20"/>
          <w:lang w:val="en-US" w:eastAsia="es-ES_tradnl"/>
        </w:rPr>
        <w:t xml:space="preserve">circumstances and needs, </w:t>
      </w:r>
      <w:r w:rsidR="001C33B9" w:rsidRPr="00785D06">
        <w:rPr>
          <w:sz w:val="20"/>
          <w:szCs w:val="20"/>
          <w:lang w:val="en-US" w:eastAsia="es-ES_tradnl"/>
        </w:rPr>
        <w:t xml:space="preserve">as </w:t>
      </w:r>
      <w:r w:rsidRPr="00785D06">
        <w:rPr>
          <w:sz w:val="20"/>
          <w:szCs w:val="20"/>
          <w:lang w:val="en-US" w:eastAsia="es-ES_tradnl"/>
        </w:rPr>
        <w:t xml:space="preserve">agreed with them and </w:t>
      </w:r>
      <w:r w:rsidR="001C33B9" w:rsidRPr="00785D06">
        <w:rPr>
          <w:sz w:val="20"/>
          <w:szCs w:val="20"/>
          <w:lang w:val="en-US" w:eastAsia="es-ES_tradnl"/>
        </w:rPr>
        <w:t xml:space="preserve">following </w:t>
      </w:r>
      <w:r w:rsidRPr="00785D06">
        <w:rPr>
          <w:sz w:val="20"/>
          <w:szCs w:val="20"/>
          <w:lang w:val="en-US" w:eastAsia="es-ES_tradnl"/>
        </w:rPr>
        <w:t xml:space="preserve">an </w:t>
      </w:r>
      <w:r w:rsidR="00F11E61" w:rsidRPr="00785D06">
        <w:rPr>
          <w:sz w:val="20"/>
          <w:szCs w:val="20"/>
          <w:lang w:val="en-US" w:eastAsia="es-ES_tradnl"/>
        </w:rPr>
        <w:t xml:space="preserve">individual </w:t>
      </w:r>
      <w:r w:rsidRPr="00785D06">
        <w:rPr>
          <w:sz w:val="20"/>
          <w:szCs w:val="20"/>
          <w:lang w:val="en-US" w:eastAsia="es-ES_tradnl"/>
        </w:rPr>
        <w:t>evaluation</w:t>
      </w:r>
      <w:r w:rsidR="00F11E61" w:rsidRPr="00785D06">
        <w:rPr>
          <w:sz w:val="20"/>
          <w:szCs w:val="20"/>
          <w:lang w:val="en-US" w:eastAsia="es-ES_tradnl"/>
        </w:rPr>
        <w:t>.</w:t>
      </w:r>
      <w:r w:rsidRPr="00785D06">
        <w:rPr>
          <w:rStyle w:val="Refdenotaalpie"/>
          <w:sz w:val="20"/>
          <w:szCs w:val="20"/>
          <w:lang w:val="en-US" w:eastAsia="es-ES_tradnl"/>
        </w:rPr>
        <w:footnoteReference w:id="203"/>
      </w:r>
    </w:p>
    <w:p w14:paraId="662CC7CF" w14:textId="77777777" w:rsidR="00C254BF" w:rsidRPr="00785D06" w:rsidRDefault="00C254BF" w:rsidP="00C254BF">
      <w:pPr>
        <w:pStyle w:val="Prrafodelista"/>
        <w:ind w:left="0"/>
        <w:contextualSpacing w:val="0"/>
        <w:jc w:val="both"/>
        <w:rPr>
          <w:sz w:val="20"/>
          <w:szCs w:val="20"/>
          <w:lang w:val="en-US"/>
        </w:rPr>
      </w:pPr>
    </w:p>
    <w:p w14:paraId="5EFA32A7"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eastAsia="es-ES_tradnl"/>
        </w:rPr>
        <w:t xml:space="preserve">The beneficiaries of this measure </w:t>
      </w:r>
      <w:r w:rsidR="00443447" w:rsidRPr="00785D06">
        <w:rPr>
          <w:sz w:val="20"/>
          <w:szCs w:val="20"/>
          <w:lang w:val="en-US" w:eastAsia="es-ES_tradnl"/>
        </w:rPr>
        <w:t xml:space="preserve">have </w:t>
      </w:r>
      <w:r w:rsidRPr="00785D06">
        <w:rPr>
          <w:sz w:val="20"/>
          <w:szCs w:val="20"/>
          <w:lang w:val="en-US" w:eastAsia="es-ES_tradnl"/>
        </w:rPr>
        <w:t>six months fro</w:t>
      </w:r>
      <w:r w:rsidR="00443447" w:rsidRPr="00785D06">
        <w:rPr>
          <w:sz w:val="20"/>
          <w:szCs w:val="20"/>
          <w:lang w:val="en-US" w:eastAsia="es-ES_tradnl"/>
        </w:rPr>
        <w:t>m notification of this judgment</w:t>
      </w:r>
      <w:r w:rsidRPr="00785D06">
        <w:rPr>
          <w:sz w:val="20"/>
          <w:szCs w:val="20"/>
          <w:lang w:val="en-US" w:eastAsia="es-ES_tradnl"/>
        </w:rPr>
        <w:t xml:space="preserve"> to confirm to the State their willingness to receive psychiatric and/or psychological care. The State, in turn, </w:t>
      </w:r>
      <w:r w:rsidR="00443447" w:rsidRPr="00785D06">
        <w:rPr>
          <w:sz w:val="20"/>
          <w:szCs w:val="20"/>
          <w:lang w:val="en-US" w:eastAsia="es-ES_tradnl"/>
        </w:rPr>
        <w:t>has three months</w:t>
      </w:r>
      <w:r w:rsidRPr="00785D06">
        <w:rPr>
          <w:sz w:val="20"/>
          <w:szCs w:val="20"/>
          <w:lang w:val="en-US" w:eastAsia="es-ES_tradnl"/>
        </w:rPr>
        <w:t xml:space="preserve"> from the rece</w:t>
      </w:r>
      <w:r w:rsidR="00443447" w:rsidRPr="00785D06">
        <w:rPr>
          <w:sz w:val="20"/>
          <w:szCs w:val="20"/>
          <w:lang w:val="en-US" w:eastAsia="es-ES_tradnl"/>
        </w:rPr>
        <w:t>ipt of that request</w:t>
      </w:r>
      <w:r w:rsidRPr="00785D06">
        <w:rPr>
          <w:sz w:val="20"/>
          <w:szCs w:val="20"/>
          <w:lang w:val="en-US" w:eastAsia="es-ES_tradnl"/>
        </w:rPr>
        <w:t xml:space="preserve"> to provide </w:t>
      </w:r>
      <w:r w:rsidR="00443447" w:rsidRPr="00785D06">
        <w:rPr>
          <w:sz w:val="20"/>
          <w:szCs w:val="20"/>
          <w:lang w:val="en-US" w:eastAsia="es-ES_tradnl"/>
        </w:rPr>
        <w:t xml:space="preserve">the </w:t>
      </w:r>
      <w:r w:rsidRPr="00785D06">
        <w:rPr>
          <w:sz w:val="20"/>
          <w:szCs w:val="20"/>
          <w:lang w:val="en-US" w:eastAsia="es-ES_tradnl"/>
        </w:rPr>
        <w:t>psychological and/or psychiatric care requested.</w:t>
      </w:r>
      <w:r w:rsidRPr="00785D06">
        <w:rPr>
          <w:rStyle w:val="Refdenotaalpie"/>
          <w:sz w:val="20"/>
          <w:szCs w:val="20"/>
          <w:lang w:val="en-US" w:eastAsia="es-ES_tradnl"/>
        </w:rPr>
        <w:footnoteReference w:id="204"/>
      </w:r>
      <w:r w:rsidRPr="00785D06">
        <w:rPr>
          <w:sz w:val="20"/>
          <w:szCs w:val="20"/>
          <w:lang w:val="en-US" w:eastAsia="es-ES_tradnl"/>
        </w:rPr>
        <w:t xml:space="preserve"> </w:t>
      </w:r>
    </w:p>
    <w:p w14:paraId="3F76246F" w14:textId="77777777" w:rsidR="00C254BF" w:rsidRPr="00785D06" w:rsidRDefault="00C254BF" w:rsidP="00C254BF">
      <w:pPr>
        <w:pStyle w:val="Prrafodelista"/>
        <w:rPr>
          <w:sz w:val="20"/>
          <w:szCs w:val="20"/>
          <w:lang w:val="en-US" w:eastAsia="es-ES_tradnl"/>
        </w:rPr>
      </w:pPr>
    </w:p>
    <w:p w14:paraId="32608227" w14:textId="77777777" w:rsidR="00C254BF" w:rsidRPr="00785D06" w:rsidRDefault="00F11E61" w:rsidP="00C254BF">
      <w:pPr>
        <w:pStyle w:val="Prrafodelista"/>
        <w:numPr>
          <w:ilvl w:val="0"/>
          <w:numId w:val="35"/>
        </w:numPr>
        <w:ind w:left="0" w:firstLine="0"/>
        <w:contextualSpacing w:val="0"/>
        <w:jc w:val="both"/>
        <w:rPr>
          <w:sz w:val="20"/>
          <w:szCs w:val="20"/>
          <w:lang w:val="en-US"/>
        </w:rPr>
      </w:pPr>
      <w:r w:rsidRPr="00785D06">
        <w:rPr>
          <w:sz w:val="20"/>
          <w:szCs w:val="20"/>
          <w:lang w:val="en-US" w:eastAsia="es-ES_tradnl"/>
        </w:rPr>
        <w:t>Finally</w:t>
      </w:r>
      <w:r w:rsidR="00C254BF" w:rsidRPr="00785D06">
        <w:rPr>
          <w:sz w:val="20"/>
          <w:szCs w:val="20"/>
          <w:lang w:val="en-US" w:eastAsia="es-ES_tradnl"/>
        </w:rPr>
        <w:t xml:space="preserve">, the Court </w:t>
      </w:r>
      <w:r w:rsidR="0092629C" w:rsidRPr="00785D06">
        <w:rPr>
          <w:sz w:val="20"/>
          <w:szCs w:val="20"/>
          <w:lang w:val="en-US" w:eastAsia="es-ES_tradnl"/>
        </w:rPr>
        <w:t xml:space="preserve">notes </w:t>
      </w:r>
      <w:r w:rsidR="00C254BF" w:rsidRPr="00785D06">
        <w:rPr>
          <w:sz w:val="20"/>
          <w:szCs w:val="20"/>
          <w:lang w:val="en-US" w:eastAsia="es-ES_tradnl"/>
        </w:rPr>
        <w:t>that the State indicated that Mrs. Petita Albarracín has acce</w:t>
      </w:r>
      <w:r w:rsidRPr="00785D06">
        <w:rPr>
          <w:sz w:val="20"/>
          <w:szCs w:val="20"/>
          <w:lang w:val="en-US" w:eastAsia="es-ES_tradnl"/>
        </w:rPr>
        <w:t xml:space="preserve">ss to social security. In this </w:t>
      </w:r>
      <w:r w:rsidR="00C254BF" w:rsidRPr="00785D06">
        <w:rPr>
          <w:sz w:val="20"/>
          <w:szCs w:val="20"/>
          <w:lang w:val="en-US" w:eastAsia="es-ES_tradnl"/>
        </w:rPr>
        <w:t xml:space="preserve">regard, this Court </w:t>
      </w:r>
      <w:r w:rsidR="00724F6A" w:rsidRPr="00785D06">
        <w:rPr>
          <w:sz w:val="20"/>
          <w:szCs w:val="20"/>
          <w:lang w:val="en-US" w:eastAsia="es-ES_tradnl"/>
        </w:rPr>
        <w:t xml:space="preserve">points out </w:t>
      </w:r>
      <w:r w:rsidR="0092629C" w:rsidRPr="00785D06">
        <w:rPr>
          <w:sz w:val="20"/>
          <w:szCs w:val="20"/>
          <w:lang w:val="en-US" w:eastAsia="es-ES_tradnl"/>
        </w:rPr>
        <w:t xml:space="preserve">that </w:t>
      </w:r>
      <w:r w:rsidR="00C254BF" w:rsidRPr="00785D06">
        <w:rPr>
          <w:sz w:val="20"/>
          <w:szCs w:val="20"/>
          <w:lang w:val="en-US" w:eastAsia="es-ES_tradnl"/>
        </w:rPr>
        <w:t>the State may provide the treatment required by the victims through the social security system</w:t>
      </w:r>
      <w:r w:rsidR="00724F6A" w:rsidRPr="00785D06">
        <w:rPr>
          <w:sz w:val="20"/>
          <w:szCs w:val="20"/>
          <w:lang w:val="en-US" w:eastAsia="es-ES_tradnl"/>
        </w:rPr>
        <w:t>,</w:t>
      </w:r>
      <w:r w:rsidR="00C254BF" w:rsidRPr="00785D06">
        <w:rPr>
          <w:sz w:val="20"/>
          <w:szCs w:val="20"/>
          <w:lang w:val="en-US" w:eastAsia="es-ES_tradnl"/>
        </w:rPr>
        <w:t xml:space="preserve"> or through a</w:t>
      </w:r>
      <w:r w:rsidR="0092629C" w:rsidRPr="00785D06">
        <w:rPr>
          <w:sz w:val="20"/>
          <w:szCs w:val="20"/>
          <w:lang w:val="en-US" w:eastAsia="es-ES_tradnl"/>
        </w:rPr>
        <w:t xml:space="preserve">ny type of State health service, provided that </w:t>
      </w:r>
      <w:r w:rsidR="00724F6A" w:rsidRPr="00785D06">
        <w:rPr>
          <w:sz w:val="20"/>
          <w:szCs w:val="20"/>
          <w:lang w:val="en-US" w:eastAsia="es-ES_tradnl"/>
        </w:rPr>
        <w:t>this complies with the measures ordered.</w:t>
      </w:r>
      <w:r w:rsidR="0092629C" w:rsidRPr="00785D06">
        <w:rPr>
          <w:sz w:val="20"/>
          <w:szCs w:val="20"/>
          <w:lang w:val="en-US" w:eastAsia="es-ES_tradnl"/>
        </w:rPr>
        <w:t xml:space="preserve"> </w:t>
      </w:r>
      <w:r w:rsidR="00C254BF" w:rsidRPr="00785D06">
        <w:rPr>
          <w:sz w:val="20"/>
          <w:szCs w:val="20"/>
          <w:lang w:val="en-US" w:eastAsia="es-ES_tradnl"/>
        </w:rPr>
        <w:t xml:space="preserve"> </w:t>
      </w:r>
    </w:p>
    <w:p w14:paraId="3B6DE51D" w14:textId="77777777" w:rsidR="00C254BF" w:rsidRPr="00785D06" w:rsidRDefault="00C254BF" w:rsidP="0092629C">
      <w:pPr>
        <w:rPr>
          <w:rFonts w:eastAsia="Times New Roman"/>
          <w:sz w:val="20"/>
          <w:szCs w:val="20"/>
          <w:lang w:val="en-US" w:eastAsia="es-ES" w:bidi="es-ES"/>
        </w:rPr>
      </w:pPr>
    </w:p>
    <w:p w14:paraId="01FB664D" w14:textId="77777777" w:rsidR="00C254BF" w:rsidRPr="00785D06" w:rsidRDefault="00C254BF" w:rsidP="00C254BF">
      <w:pPr>
        <w:pStyle w:val="Prrafodelista"/>
        <w:widowControl w:val="0"/>
        <w:numPr>
          <w:ilvl w:val="0"/>
          <w:numId w:val="12"/>
        </w:numPr>
        <w:tabs>
          <w:tab w:val="left" w:pos="1276"/>
        </w:tabs>
        <w:autoSpaceDE w:val="0"/>
        <w:autoSpaceDN w:val="0"/>
        <w:ind w:left="284" w:right="117" w:firstLine="0"/>
        <w:outlineLvl w:val="1"/>
        <w:rPr>
          <w:rFonts w:eastAsia="Times New Roman"/>
          <w:b/>
          <w:i/>
          <w:sz w:val="20"/>
          <w:szCs w:val="20"/>
          <w:lang w:val="en-US" w:eastAsia="es-ES" w:bidi="es-ES"/>
        </w:rPr>
      </w:pPr>
      <w:bookmarkStart w:id="165" w:name="_Toc42498074"/>
      <w:bookmarkStart w:id="166" w:name="_Toc46937322"/>
      <w:r w:rsidRPr="00785D06">
        <w:rPr>
          <w:rFonts w:eastAsia="Times New Roman"/>
          <w:b/>
          <w:i/>
          <w:sz w:val="20"/>
          <w:szCs w:val="20"/>
          <w:lang w:val="en-US" w:eastAsia="es-ES" w:bidi="es-ES"/>
        </w:rPr>
        <w:t>Measures of satisfaction</w:t>
      </w:r>
      <w:bookmarkEnd w:id="165"/>
      <w:bookmarkEnd w:id="166"/>
    </w:p>
    <w:p w14:paraId="24904681" w14:textId="77777777" w:rsidR="00C254BF" w:rsidRPr="00785D06" w:rsidRDefault="00C254BF" w:rsidP="00C254BF">
      <w:pPr>
        <w:pStyle w:val="Prrafodelista"/>
        <w:rPr>
          <w:rFonts w:eastAsia="Times New Roman"/>
          <w:sz w:val="20"/>
          <w:szCs w:val="20"/>
          <w:lang w:val="en-US" w:eastAsia="es-ES" w:bidi="es-ES"/>
        </w:rPr>
      </w:pPr>
    </w:p>
    <w:p w14:paraId="4DED94FD"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 xml:space="preserve">The </w:t>
      </w:r>
      <w:r w:rsidRPr="00785D06">
        <w:rPr>
          <w:rFonts w:eastAsia="Times New Roman"/>
          <w:b/>
          <w:i/>
          <w:sz w:val="20"/>
          <w:szCs w:val="20"/>
          <w:lang w:val="en-US" w:eastAsia="es-ES" w:bidi="es-ES"/>
        </w:rPr>
        <w:t xml:space="preserve">Commission </w:t>
      </w:r>
      <w:r w:rsidRPr="00785D06">
        <w:rPr>
          <w:rFonts w:eastAsia="Calibri"/>
          <w:sz w:val="20"/>
          <w:szCs w:val="20"/>
          <w:lang w:val="en-US"/>
        </w:rPr>
        <w:t xml:space="preserve">requested comprehensive reparation for the human rights violations declared, both in the </w:t>
      </w:r>
      <w:r w:rsidR="00724F6A" w:rsidRPr="00785D06">
        <w:rPr>
          <w:rFonts w:eastAsia="Calibri"/>
          <w:sz w:val="20"/>
          <w:szCs w:val="20"/>
          <w:lang w:val="en-US"/>
        </w:rPr>
        <w:t>material and</w:t>
      </w:r>
      <w:r w:rsidRPr="00785D06">
        <w:rPr>
          <w:rFonts w:eastAsia="Calibri"/>
          <w:sz w:val="20"/>
          <w:szCs w:val="20"/>
          <w:lang w:val="en-US"/>
        </w:rPr>
        <w:t xml:space="preserve"> moral</w:t>
      </w:r>
      <w:r w:rsidR="00724F6A" w:rsidRPr="00785D06">
        <w:rPr>
          <w:rFonts w:eastAsia="Calibri"/>
          <w:sz w:val="20"/>
          <w:szCs w:val="20"/>
          <w:lang w:val="en-US"/>
        </w:rPr>
        <w:t xml:space="preserve"> aspects</w:t>
      </w:r>
      <w:r w:rsidRPr="00785D06">
        <w:rPr>
          <w:rFonts w:eastAsia="Calibri"/>
          <w:sz w:val="20"/>
          <w:szCs w:val="20"/>
          <w:lang w:val="en-US"/>
        </w:rPr>
        <w:t>, including measures of satisfaction.</w:t>
      </w:r>
      <w:r w:rsidRPr="00785D06">
        <w:rPr>
          <w:rFonts w:eastAsia="Times New Roman"/>
          <w:sz w:val="20"/>
          <w:szCs w:val="20"/>
          <w:lang w:val="en-US" w:eastAsia="es-ES" w:bidi="es-ES"/>
        </w:rPr>
        <w:t xml:space="preserve"> The </w:t>
      </w:r>
      <w:r w:rsidRPr="00785D06">
        <w:rPr>
          <w:rFonts w:eastAsia="Times New Roman"/>
          <w:b/>
          <w:i/>
          <w:sz w:val="20"/>
          <w:szCs w:val="20"/>
          <w:lang w:val="en-US" w:eastAsia="es-ES" w:bidi="es-ES"/>
        </w:rPr>
        <w:t xml:space="preserve">representatives </w:t>
      </w:r>
      <w:r w:rsidRPr="00785D06">
        <w:rPr>
          <w:rFonts w:eastAsia="Times New Roman"/>
          <w:sz w:val="20"/>
          <w:szCs w:val="20"/>
          <w:lang w:val="en-US" w:eastAsia="es-ES" w:bidi="es-ES"/>
        </w:rPr>
        <w:t xml:space="preserve">requested </w:t>
      </w:r>
      <w:r w:rsidR="00F11E61" w:rsidRPr="00785D06">
        <w:rPr>
          <w:rFonts w:eastAsia="Times New Roman"/>
          <w:sz w:val="20"/>
          <w:szCs w:val="20"/>
          <w:lang w:val="en-US" w:eastAsia="es-ES" w:bidi="es-ES"/>
        </w:rPr>
        <w:t xml:space="preserve">various </w:t>
      </w:r>
      <w:r w:rsidRPr="00785D06">
        <w:rPr>
          <w:rFonts w:eastAsia="Times New Roman"/>
          <w:sz w:val="20"/>
          <w:szCs w:val="20"/>
          <w:lang w:val="en-US" w:eastAsia="es-ES" w:bidi="es-ES"/>
        </w:rPr>
        <w:t>measures of satisfaction (</w:t>
      </w:r>
      <w:r w:rsidRPr="00785D06">
        <w:rPr>
          <w:rFonts w:eastAsia="Times New Roman"/>
          <w:i/>
          <w:sz w:val="20"/>
          <w:szCs w:val="20"/>
          <w:lang w:val="en-US" w:eastAsia="es-ES" w:bidi="es-ES"/>
        </w:rPr>
        <w:t xml:space="preserve">infra </w:t>
      </w:r>
      <w:r w:rsidRPr="00785D06">
        <w:rPr>
          <w:rFonts w:eastAsia="Times New Roman"/>
          <w:sz w:val="20"/>
          <w:szCs w:val="20"/>
          <w:lang w:val="en-US" w:eastAsia="es-ES" w:bidi="es-ES"/>
        </w:rPr>
        <w:t xml:space="preserve">para. 248), including the following: a) </w:t>
      </w:r>
      <w:r w:rsidRPr="00785D06">
        <w:rPr>
          <w:rFonts w:eastAsia="MS Mincho"/>
          <w:sz w:val="20"/>
          <w:szCs w:val="20"/>
          <w:lang w:val="en-US" w:bidi="en-US"/>
        </w:rPr>
        <w:t xml:space="preserve">that the State </w:t>
      </w:r>
      <w:r w:rsidRPr="00785D06">
        <w:rPr>
          <w:rFonts w:eastAsia="Times New Roman"/>
          <w:sz w:val="20"/>
          <w:szCs w:val="20"/>
          <w:lang w:val="en-US" w:eastAsia="es-ES" w:bidi="es-ES"/>
        </w:rPr>
        <w:t xml:space="preserve">publish “within six months of notification of this judgment, </w:t>
      </w:r>
      <w:r w:rsidRPr="00785D06">
        <w:rPr>
          <w:sz w:val="20"/>
          <w:szCs w:val="20"/>
          <w:lang w:val="en-US"/>
        </w:rPr>
        <w:t>in an appropriate and legible font</w:t>
      </w:r>
      <w:r w:rsidRPr="00785D06">
        <w:rPr>
          <w:rFonts w:eastAsia="Times New Roman"/>
          <w:sz w:val="20"/>
          <w:szCs w:val="20"/>
          <w:lang w:val="en-US" w:eastAsia="es-ES" w:bidi="es-ES"/>
        </w:rPr>
        <w:t xml:space="preserve">, </w:t>
      </w:r>
      <w:r w:rsidRPr="00785D06">
        <w:rPr>
          <w:sz w:val="20"/>
          <w:szCs w:val="20"/>
          <w:lang w:val="en-US"/>
        </w:rPr>
        <w:t>the official summary of this judgment prepared by the Court in the Official Gazette</w:t>
      </w:r>
      <w:r w:rsidRPr="00785D06">
        <w:rPr>
          <w:rFonts w:eastAsia="Times New Roman"/>
          <w:sz w:val="20"/>
          <w:szCs w:val="20"/>
          <w:lang w:val="en-US" w:eastAsia="es-ES" w:bidi="es-ES"/>
        </w:rPr>
        <w:t xml:space="preserve">, in a newspaper with wide national circulation, and on the web sites of the </w:t>
      </w:r>
      <w:r w:rsidR="00F11E61" w:rsidRPr="00785D06">
        <w:rPr>
          <w:rFonts w:eastAsia="Times New Roman"/>
          <w:sz w:val="20"/>
          <w:szCs w:val="20"/>
          <w:lang w:val="en-US" w:eastAsia="es-ES" w:bidi="es-ES"/>
        </w:rPr>
        <w:t>Attorney General’s Office</w:t>
      </w:r>
      <w:r w:rsidRPr="00785D06">
        <w:rPr>
          <w:rFonts w:eastAsia="Times New Roman"/>
          <w:sz w:val="20"/>
          <w:szCs w:val="20"/>
          <w:lang w:val="en-US" w:eastAsia="es-ES" w:bidi="es-ES"/>
        </w:rPr>
        <w:t>, the Ministry of Education, the National Secretariat of Justice and Human Rights [and] the Ministry of Public Health</w:t>
      </w:r>
      <w:r w:rsidR="00724F6A" w:rsidRPr="00785D06">
        <w:rPr>
          <w:rFonts w:eastAsia="Times New Roman"/>
          <w:sz w:val="20"/>
          <w:szCs w:val="20"/>
          <w:lang w:val="en-US" w:eastAsia="es-ES" w:bidi="es-ES"/>
        </w:rPr>
        <w:t>;”</w:t>
      </w:r>
      <w:r w:rsidRPr="00785D06">
        <w:rPr>
          <w:rFonts w:eastAsia="Times New Roman"/>
          <w:sz w:val="20"/>
          <w:szCs w:val="20"/>
          <w:lang w:val="en-US" w:eastAsia="es-ES" w:bidi="es-ES"/>
        </w:rPr>
        <w:t xml:space="preserve"> and b) </w:t>
      </w:r>
      <w:r w:rsidR="00724F6A" w:rsidRPr="00785D06">
        <w:rPr>
          <w:rFonts w:eastAsia="Times New Roman"/>
          <w:sz w:val="20"/>
          <w:szCs w:val="20"/>
          <w:lang w:val="en-US" w:eastAsia="es-ES" w:bidi="es-ES"/>
        </w:rPr>
        <w:t xml:space="preserve">hold </w:t>
      </w:r>
      <w:r w:rsidRPr="00785D06">
        <w:rPr>
          <w:rFonts w:eastAsia="Times New Roman"/>
          <w:sz w:val="20"/>
          <w:szCs w:val="20"/>
          <w:lang w:val="en-US" w:eastAsia="es-ES" w:bidi="es-ES"/>
        </w:rPr>
        <w:t>a public act of acknowledgement of international responsibility and apology.</w:t>
      </w:r>
      <w:bookmarkStart w:id="167" w:name="_Ref33109567"/>
      <w:bookmarkStart w:id="168" w:name="_Ref532899431"/>
    </w:p>
    <w:p w14:paraId="2E797B63" w14:textId="77777777" w:rsidR="00C254BF" w:rsidRPr="00785D06" w:rsidRDefault="00C254BF" w:rsidP="00C254BF">
      <w:pPr>
        <w:pStyle w:val="Prrafodelista"/>
        <w:ind w:left="0"/>
        <w:contextualSpacing w:val="0"/>
        <w:jc w:val="both"/>
        <w:rPr>
          <w:sz w:val="20"/>
          <w:szCs w:val="20"/>
          <w:lang w:val="en-US"/>
        </w:rPr>
      </w:pPr>
    </w:p>
    <w:p w14:paraId="057F57C4"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The </w:t>
      </w:r>
      <w:r w:rsidRPr="00785D06">
        <w:rPr>
          <w:b/>
          <w:i/>
          <w:sz w:val="20"/>
          <w:szCs w:val="20"/>
          <w:lang w:val="en-US"/>
        </w:rPr>
        <w:t>State</w:t>
      </w:r>
      <w:r w:rsidRPr="00785D06">
        <w:rPr>
          <w:sz w:val="20"/>
          <w:szCs w:val="20"/>
          <w:lang w:val="en-US"/>
        </w:rPr>
        <w:t xml:space="preserve"> did not refer to these requests. However, </w:t>
      </w:r>
      <w:r w:rsidRPr="00785D06">
        <w:rPr>
          <w:rFonts w:eastAsia="Times New Roman"/>
          <w:sz w:val="20"/>
          <w:szCs w:val="20"/>
          <w:lang w:val="en-US" w:eastAsia="es-ES" w:bidi="es-ES"/>
        </w:rPr>
        <w:t xml:space="preserve">as measures of reparation </w:t>
      </w:r>
      <w:r w:rsidRPr="00785D06">
        <w:rPr>
          <w:sz w:val="20"/>
          <w:szCs w:val="20"/>
          <w:lang w:val="en-US"/>
        </w:rPr>
        <w:t xml:space="preserve">it </w:t>
      </w:r>
      <w:r w:rsidR="003D5653" w:rsidRPr="00785D06">
        <w:rPr>
          <w:sz w:val="20"/>
          <w:szCs w:val="20"/>
          <w:lang w:val="en-US"/>
        </w:rPr>
        <w:t xml:space="preserve">offered to declare </w:t>
      </w:r>
      <w:r w:rsidR="003D5653" w:rsidRPr="00785D06">
        <w:rPr>
          <w:rFonts w:eastAsia="Times New Roman"/>
          <w:sz w:val="20"/>
          <w:szCs w:val="20"/>
          <w:lang w:val="en-US" w:eastAsia="es-ES" w:bidi="es-ES"/>
        </w:rPr>
        <w:t xml:space="preserve">an </w:t>
      </w:r>
      <w:r w:rsidR="00724F6A" w:rsidRPr="00785D06">
        <w:rPr>
          <w:rFonts w:eastAsia="Times New Roman"/>
          <w:sz w:val="20"/>
          <w:szCs w:val="20"/>
          <w:lang w:val="en-US" w:eastAsia="es-ES" w:bidi="es-ES"/>
        </w:rPr>
        <w:t xml:space="preserve">official </w:t>
      </w:r>
      <w:r w:rsidR="00DC1E9E" w:rsidRPr="00785D06">
        <w:rPr>
          <w:rFonts w:eastAsia="Times New Roman"/>
          <w:sz w:val="20"/>
          <w:szCs w:val="20"/>
          <w:lang w:val="en-US" w:eastAsia="es-ES" w:bidi="es-ES"/>
        </w:rPr>
        <w:t>“</w:t>
      </w:r>
      <w:r w:rsidR="00724F6A" w:rsidRPr="00785D06">
        <w:rPr>
          <w:rFonts w:eastAsia="Times New Roman"/>
          <w:sz w:val="20"/>
          <w:szCs w:val="20"/>
          <w:lang w:val="en-US" w:eastAsia="es-ES" w:bidi="es-ES"/>
        </w:rPr>
        <w:t>National D</w:t>
      </w:r>
      <w:r w:rsidRPr="00785D06">
        <w:rPr>
          <w:rFonts w:eastAsia="Times New Roman"/>
          <w:sz w:val="20"/>
          <w:szCs w:val="20"/>
          <w:lang w:val="en-US" w:eastAsia="es-ES" w:bidi="es-ES"/>
        </w:rPr>
        <w:t xml:space="preserve">ay </w:t>
      </w:r>
      <w:r w:rsidR="003D5653" w:rsidRPr="00785D06">
        <w:rPr>
          <w:rFonts w:eastAsia="Times New Roman"/>
          <w:sz w:val="20"/>
          <w:szCs w:val="20"/>
          <w:lang w:val="en-US" w:eastAsia="es-ES" w:bidi="es-ES"/>
        </w:rPr>
        <w:t>A</w:t>
      </w:r>
      <w:r w:rsidR="00724F6A" w:rsidRPr="00785D06">
        <w:rPr>
          <w:rFonts w:eastAsia="Times New Roman"/>
          <w:sz w:val="20"/>
          <w:szCs w:val="20"/>
          <w:lang w:val="en-US" w:eastAsia="es-ES" w:bidi="es-ES"/>
        </w:rPr>
        <w:t>gainst Sexual V</w:t>
      </w:r>
      <w:r w:rsidRPr="00785D06">
        <w:rPr>
          <w:rFonts w:eastAsia="Times New Roman"/>
          <w:sz w:val="20"/>
          <w:szCs w:val="20"/>
          <w:lang w:val="en-US" w:eastAsia="es-ES" w:bidi="es-ES"/>
        </w:rPr>
        <w:t xml:space="preserve">iolence in </w:t>
      </w:r>
      <w:r w:rsidR="00724F6A" w:rsidRPr="00785D06">
        <w:rPr>
          <w:rFonts w:eastAsia="Times New Roman"/>
          <w:sz w:val="20"/>
          <w:szCs w:val="20"/>
          <w:lang w:val="en-US" w:eastAsia="es-ES" w:bidi="es-ES"/>
        </w:rPr>
        <w:t>Schools</w:t>
      </w:r>
      <w:r w:rsidR="00DC1E9E" w:rsidRPr="00785D06">
        <w:rPr>
          <w:rFonts w:eastAsia="Times New Roman"/>
          <w:sz w:val="20"/>
          <w:szCs w:val="20"/>
          <w:lang w:val="en-US" w:eastAsia="es-ES" w:bidi="es-ES"/>
        </w:rPr>
        <w:t>”</w:t>
      </w:r>
      <w:r w:rsidR="00724F6A" w:rsidRPr="00785D06">
        <w:rPr>
          <w:rFonts w:eastAsia="Times New Roman"/>
          <w:sz w:val="20"/>
          <w:szCs w:val="20"/>
          <w:lang w:val="en-US" w:eastAsia="es-ES" w:bidi="es-ES"/>
        </w:rPr>
        <w:t xml:space="preserve"> </w:t>
      </w:r>
      <w:r w:rsidRPr="00785D06">
        <w:rPr>
          <w:rFonts w:eastAsia="Times New Roman"/>
          <w:sz w:val="20"/>
          <w:szCs w:val="20"/>
          <w:lang w:val="en-US" w:eastAsia="es-ES" w:bidi="es-ES"/>
        </w:rPr>
        <w:t xml:space="preserve">and </w:t>
      </w:r>
      <w:r w:rsidR="003D5653" w:rsidRPr="00785D06">
        <w:rPr>
          <w:rFonts w:eastAsia="Times New Roman"/>
          <w:sz w:val="20"/>
          <w:szCs w:val="20"/>
          <w:lang w:val="en-US" w:eastAsia="es-ES" w:bidi="es-ES"/>
        </w:rPr>
        <w:t>to award a</w:t>
      </w:r>
      <w:r w:rsidRPr="00785D06">
        <w:rPr>
          <w:rFonts w:eastAsia="Times New Roman"/>
          <w:sz w:val="20"/>
          <w:szCs w:val="20"/>
          <w:lang w:val="en-US" w:eastAsia="es-ES" w:bidi="es-ES"/>
        </w:rPr>
        <w:t xml:space="preserve"> posthumous high school diploma to Paola Guzmán in the context of a public event (</w:t>
      </w:r>
      <w:r w:rsidRPr="00785D06">
        <w:rPr>
          <w:rFonts w:eastAsia="Times New Roman"/>
          <w:i/>
          <w:sz w:val="20"/>
          <w:szCs w:val="20"/>
          <w:lang w:val="en-US" w:eastAsia="es-ES" w:bidi="es-ES"/>
        </w:rPr>
        <w:t>supra</w:t>
      </w:r>
      <w:r w:rsidRPr="00785D06">
        <w:rPr>
          <w:rFonts w:eastAsia="Times New Roman"/>
          <w:sz w:val="20"/>
          <w:szCs w:val="20"/>
          <w:lang w:val="en-US" w:eastAsia="es-ES" w:bidi="es-ES"/>
        </w:rPr>
        <w:t xml:space="preserve"> para. 17). </w:t>
      </w:r>
    </w:p>
    <w:p w14:paraId="0156A2AB" w14:textId="77777777" w:rsidR="00C254BF" w:rsidRPr="00785D06" w:rsidRDefault="00C254BF" w:rsidP="00C254BF">
      <w:pPr>
        <w:pStyle w:val="Prrafodelista"/>
        <w:rPr>
          <w:sz w:val="20"/>
          <w:szCs w:val="20"/>
          <w:lang w:val="en-US"/>
        </w:rPr>
      </w:pPr>
    </w:p>
    <w:p w14:paraId="73AB30E4" w14:textId="77777777" w:rsidR="00C254BF" w:rsidRPr="00785D06" w:rsidRDefault="00F80F52" w:rsidP="00C254BF">
      <w:pPr>
        <w:pStyle w:val="Prrafodelista"/>
        <w:numPr>
          <w:ilvl w:val="0"/>
          <w:numId w:val="35"/>
        </w:numPr>
        <w:ind w:left="0" w:firstLine="0"/>
        <w:contextualSpacing w:val="0"/>
        <w:jc w:val="both"/>
        <w:rPr>
          <w:sz w:val="20"/>
          <w:szCs w:val="20"/>
          <w:lang w:val="en-US"/>
        </w:rPr>
      </w:pPr>
      <w:r w:rsidRPr="00785D06">
        <w:rPr>
          <w:sz w:val="20"/>
          <w:szCs w:val="20"/>
          <w:lang w:val="en-US"/>
        </w:rPr>
        <w:t>A</w:t>
      </w:r>
      <w:r w:rsidR="00C254BF" w:rsidRPr="00785D06">
        <w:rPr>
          <w:sz w:val="20"/>
          <w:szCs w:val="20"/>
          <w:lang w:val="en-US"/>
        </w:rPr>
        <w:t>s it has done in other cases</w:t>
      </w:r>
      <w:r w:rsidR="00724F6A" w:rsidRPr="00785D06">
        <w:rPr>
          <w:sz w:val="20"/>
          <w:szCs w:val="20"/>
          <w:lang w:val="en-US"/>
        </w:rPr>
        <w:t>,</w:t>
      </w:r>
      <w:r w:rsidR="00C254BF" w:rsidRPr="00785D06">
        <w:rPr>
          <w:vertAlign w:val="superscript"/>
          <w:lang w:val="en-US"/>
        </w:rPr>
        <w:footnoteReference w:id="205"/>
      </w:r>
      <w:r w:rsidR="00C254BF" w:rsidRPr="00785D06">
        <w:rPr>
          <w:sz w:val="20"/>
          <w:szCs w:val="20"/>
          <w:lang w:val="en-US"/>
        </w:rPr>
        <w:t xml:space="preserve"> </w:t>
      </w:r>
      <w:r w:rsidR="00724F6A" w:rsidRPr="00785D06">
        <w:rPr>
          <w:sz w:val="20"/>
          <w:szCs w:val="20"/>
          <w:lang w:val="en-US"/>
        </w:rPr>
        <w:t xml:space="preserve">the </w:t>
      </w:r>
      <w:r w:rsidR="00724F6A" w:rsidRPr="00785D06">
        <w:rPr>
          <w:b/>
          <w:i/>
          <w:sz w:val="20"/>
          <w:szCs w:val="20"/>
          <w:lang w:val="en-US"/>
        </w:rPr>
        <w:t>Court</w:t>
      </w:r>
      <w:r w:rsidR="00724F6A" w:rsidRPr="00785D06">
        <w:rPr>
          <w:sz w:val="20"/>
          <w:szCs w:val="20"/>
          <w:lang w:val="en-US"/>
        </w:rPr>
        <w:t xml:space="preserve"> decides </w:t>
      </w:r>
      <w:r w:rsidR="00C254BF" w:rsidRPr="00785D06">
        <w:rPr>
          <w:sz w:val="20"/>
          <w:szCs w:val="20"/>
          <w:lang w:val="en-US"/>
        </w:rPr>
        <w:t xml:space="preserve">that </w:t>
      </w:r>
      <w:r w:rsidR="00C254BF" w:rsidRPr="00785D06">
        <w:rPr>
          <w:rFonts w:cs="Verdana"/>
          <w:sz w:val="20"/>
          <w:szCs w:val="20"/>
          <w:lang w:val="en-US"/>
        </w:rPr>
        <w:t>the State must publish, within six months of notification of this judgment</w:t>
      </w:r>
      <w:r w:rsidR="00C254BF" w:rsidRPr="00785D06">
        <w:rPr>
          <w:sz w:val="20"/>
          <w:szCs w:val="20"/>
          <w:lang w:val="en-US"/>
        </w:rPr>
        <w:t>, in an appropriate and legible font</w:t>
      </w:r>
      <w:r w:rsidR="00C254BF" w:rsidRPr="00785D06">
        <w:rPr>
          <w:rFonts w:cs="Verdana"/>
          <w:sz w:val="20"/>
          <w:szCs w:val="20"/>
          <w:lang w:val="en-US"/>
        </w:rPr>
        <w:t xml:space="preserve">: a) </w:t>
      </w:r>
      <w:r w:rsidR="00C254BF" w:rsidRPr="00785D06">
        <w:rPr>
          <w:sz w:val="20"/>
          <w:szCs w:val="20"/>
          <w:lang w:val="en-US"/>
        </w:rPr>
        <w:t>the official summary of this judgment prepared by the Court, once, in the Official Gazette</w:t>
      </w:r>
      <w:r w:rsidR="00C254BF" w:rsidRPr="00785D06">
        <w:rPr>
          <w:rFonts w:cs="Verdana"/>
          <w:sz w:val="20"/>
          <w:szCs w:val="20"/>
          <w:lang w:val="en-US"/>
        </w:rPr>
        <w:t xml:space="preserve">; b) </w:t>
      </w:r>
      <w:r w:rsidR="00C254BF" w:rsidRPr="00785D06">
        <w:rPr>
          <w:sz w:val="20"/>
          <w:szCs w:val="20"/>
          <w:lang w:val="en-US"/>
        </w:rPr>
        <w:t>the official summary of this judgment prepared by the Court, once, in a newspaper with widespread national circulation</w:t>
      </w:r>
      <w:r w:rsidR="00C254BF" w:rsidRPr="00785D06">
        <w:rPr>
          <w:rFonts w:cs="Verdana"/>
          <w:sz w:val="20"/>
          <w:szCs w:val="20"/>
          <w:lang w:val="en-US"/>
        </w:rPr>
        <w:t xml:space="preserve">, and c) </w:t>
      </w:r>
      <w:r w:rsidR="00C254BF" w:rsidRPr="00785D06">
        <w:rPr>
          <w:sz w:val="20"/>
          <w:szCs w:val="20"/>
          <w:lang w:val="en-US"/>
        </w:rPr>
        <w:t>this judgment in its entirety, available for one year</w:t>
      </w:r>
      <w:r w:rsidR="00C254BF" w:rsidRPr="00785D06">
        <w:rPr>
          <w:rFonts w:eastAsia="MS Mincho"/>
          <w:sz w:val="20"/>
          <w:szCs w:val="20"/>
          <w:lang w:val="en-US" w:bidi="en-US"/>
        </w:rPr>
        <w:t>, on an official website of</w:t>
      </w:r>
      <w:r w:rsidR="00C254BF" w:rsidRPr="00785D06">
        <w:rPr>
          <w:rFonts w:cs="Verdana"/>
          <w:sz w:val="20"/>
          <w:szCs w:val="20"/>
          <w:lang w:val="en-US"/>
        </w:rPr>
        <w:t xml:space="preserve"> the </w:t>
      </w:r>
      <w:r w:rsidR="00C254BF" w:rsidRPr="00785D06">
        <w:rPr>
          <w:sz w:val="20"/>
          <w:szCs w:val="20"/>
          <w:lang w:val="en-US"/>
        </w:rPr>
        <w:t>Ministry of Education</w:t>
      </w:r>
      <w:r w:rsidR="00C254BF" w:rsidRPr="00785D06">
        <w:rPr>
          <w:rFonts w:cs="Georgia"/>
          <w:sz w:val="20"/>
          <w:szCs w:val="20"/>
          <w:lang w:val="en-US"/>
        </w:rPr>
        <w:t>.</w:t>
      </w:r>
      <w:bookmarkStart w:id="169" w:name="_Ref866296"/>
      <w:bookmarkEnd w:id="167"/>
      <w:r w:rsidR="00C254BF" w:rsidRPr="00785D06">
        <w:rPr>
          <w:rFonts w:cs="Georgia"/>
          <w:sz w:val="20"/>
          <w:szCs w:val="20"/>
          <w:lang w:val="en-US"/>
        </w:rPr>
        <w:t xml:space="preserve"> </w:t>
      </w:r>
      <w:r w:rsidR="00C254BF" w:rsidRPr="00785D06">
        <w:rPr>
          <w:sz w:val="20"/>
          <w:szCs w:val="20"/>
          <w:lang w:val="en-US"/>
        </w:rPr>
        <w:t xml:space="preserve">The State </w:t>
      </w:r>
      <w:r w:rsidR="00C254BF" w:rsidRPr="00785D06">
        <w:rPr>
          <w:rFonts w:cs="Verdana"/>
          <w:sz w:val="20"/>
          <w:szCs w:val="20"/>
          <w:lang w:val="en-US"/>
        </w:rPr>
        <w:t>must advise this Court immediately when it has issued each of the publications ordered</w:t>
      </w:r>
      <w:r w:rsidR="00C254BF" w:rsidRPr="00785D06">
        <w:rPr>
          <w:sz w:val="20"/>
          <w:szCs w:val="20"/>
          <w:lang w:val="en-US"/>
        </w:rPr>
        <w:t>, regardless of the one-year time frame for presentation of its first report, as established in the thirteenth operative paragraph of this judgment.</w:t>
      </w:r>
      <w:bookmarkEnd w:id="168"/>
      <w:bookmarkEnd w:id="169"/>
      <w:r w:rsidR="00C254BF" w:rsidRPr="00785D06">
        <w:rPr>
          <w:sz w:val="20"/>
          <w:szCs w:val="20"/>
          <w:lang w:val="en-US"/>
        </w:rPr>
        <w:t xml:space="preserve"> </w:t>
      </w:r>
      <w:bookmarkStart w:id="170" w:name="_Ref446682213"/>
    </w:p>
    <w:p w14:paraId="097F9292" w14:textId="77777777" w:rsidR="00C254BF" w:rsidRPr="00785D06" w:rsidRDefault="00C254BF" w:rsidP="00C254BF">
      <w:pPr>
        <w:pStyle w:val="Prrafodelista"/>
        <w:rPr>
          <w:sz w:val="20"/>
          <w:szCs w:val="20"/>
          <w:lang w:val="en-US"/>
        </w:rPr>
      </w:pPr>
    </w:p>
    <w:p w14:paraId="7E268DBA" w14:textId="77777777" w:rsidR="00C254BF" w:rsidRPr="00785D06" w:rsidRDefault="00336DD3" w:rsidP="00C254BF">
      <w:pPr>
        <w:pStyle w:val="Prrafodelista"/>
        <w:numPr>
          <w:ilvl w:val="0"/>
          <w:numId w:val="35"/>
        </w:numPr>
        <w:ind w:left="0" w:firstLine="0"/>
        <w:contextualSpacing w:val="0"/>
        <w:jc w:val="both"/>
        <w:rPr>
          <w:sz w:val="20"/>
          <w:szCs w:val="20"/>
          <w:lang w:val="en-US"/>
        </w:rPr>
      </w:pPr>
      <w:r w:rsidRPr="00785D06">
        <w:rPr>
          <w:sz w:val="20"/>
          <w:szCs w:val="20"/>
          <w:lang w:val="en-US"/>
        </w:rPr>
        <w:t>A</w:t>
      </w:r>
      <w:r w:rsidR="00DC1E9E" w:rsidRPr="00785D06">
        <w:rPr>
          <w:sz w:val="20"/>
          <w:szCs w:val="20"/>
          <w:lang w:val="en-US"/>
        </w:rPr>
        <w:t>l</w:t>
      </w:r>
      <w:r w:rsidR="00F11E61" w:rsidRPr="00785D06">
        <w:rPr>
          <w:sz w:val="20"/>
          <w:szCs w:val="20"/>
          <w:lang w:val="en-US"/>
        </w:rPr>
        <w:t>s</w:t>
      </w:r>
      <w:r w:rsidR="00DC1E9E" w:rsidRPr="00785D06">
        <w:rPr>
          <w:sz w:val="20"/>
          <w:szCs w:val="20"/>
          <w:lang w:val="en-US"/>
        </w:rPr>
        <w:t>o, as</w:t>
      </w:r>
      <w:r w:rsidR="00F11E61" w:rsidRPr="00785D06">
        <w:rPr>
          <w:sz w:val="20"/>
          <w:szCs w:val="20"/>
          <w:lang w:val="en-US"/>
        </w:rPr>
        <w:t xml:space="preserve"> re</w:t>
      </w:r>
      <w:r w:rsidR="00907B63" w:rsidRPr="00785D06">
        <w:rPr>
          <w:sz w:val="20"/>
          <w:szCs w:val="20"/>
          <w:lang w:val="en-US"/>
        </w:rPr>
        <w:t xml:space="preserve">paration </w:t>
      </w:r>
      <w:r w:rsidR="00F11E61" w:rsidRPr="00785D06">
        <w:rPr>
          <w:sz w:val="20"/>
          <w:szCs w:val="20"/>
          <w:lang w:val="en-US"/>
        </w:rPr>
        <w:t xml:space="preserve">for </w:t>
      </w:r>
      <w:r w:rsidR="00C254BF" w:rsidRPr="00785D06">
        <w:rPr>
          <w:sz w:val="20"/>
          <w:szCs w:val="20"/>
          <w:lang w:val="en-US"/>
        </w:rPr>
        <w:t>the</w:t>
      </w:r>
      <w:r w:rsidR="00907B63" w:rsidRPr="00785D06">
        <w:rPr>
          <w:sz w:val="20"/>
          <w:szCs w:val="20"/>
          <w:lang w:val="en-US"/>
        </w:rPr>
        <w:t xml:space="preserve"> harm</w:t>
      </w:r>
      <w:r w:rsidR="00C254BF" w:rsidRPr="00785D06">
        <w:rPr>
          <w:sz w:val="20"/>
          <w:szCs w:val="20"/>
          <w:lang w:val="en-US"/>
        </w:rPr>
        <w:t xml:space="preserve"> caus</w:t>
      </w:r>
      <w:r w:rsidR="00F11E61" w:rsidRPr="00785D06">
        <w:rPr>
          <w:sz w:val="20"/>
          <w:szCs w:val="20"/>
          <w:lang w:val="en-US"/>
        </w:rPr>
        <w:t xml:space="preserve">ed to </w:t>
      </w:r>
      <w:r w:rsidR="00C254BF" w:rsidRPr="00785D06">
        <w:rPr>
          <w:sz w:val="20"/>
          <w:szCs w:val="20"/>
          <w:lang w:val="en-US"/>
        </w:rPr>
        <w:t xml:space="preserve">the victims and </w:t>
      </w:r>
      <w:r w:rsidR="00F11E61" w:rsidRPr="00785D06">
        <w:rPr>
          <w:sz w:val="20"/>
          <w:szCs w:val="20"/>
          <w:lang w:val="en-US"/>
        </w:rPr>
        <w:t xml:space="preserve">to prevent a repetition of </w:t>
      </w:r>
      <w:r w:rsidR="00C254BF" w:rsidRPr="00785D06">
        <w:rPr>
          <w:sz w:val="20"/>
          <w:szCs w:val="20"/>
          <w:lang w:val="en-US"/>
        </w:rPr>
        <w:t xml:space="preserve">the </w:t>
      </w:r>
      <w:r w:rsidR="00F11E61" w:rsidRPr="00785D06">
        <w:rPr>
          <w:sz w:val="20"/>
          <w:szCs w:val="20"/>
          <w:lang w:val="en-US"/>
        </w:rPr>
        <w:t xml:space="preserve">facts of this </w:t>
      </w:r>
      <w:r w:rsidR="00C254BF" w:rsidRPr="00785D06">
        <w:rPr>
          <w:sz w:val="20"/>
          <w:szCs w:val="20"/>
          <w:lang w:val="en-US"/>
        </w:rPr>
        <w:t>case</w:t>
      </w:r>
      <w:r w:rsidR="00F11E61" w:rsidRPr="00785D06">
        <w:rPr>
          <w:sz w:val="20"/>
          <w:szCs w:val="20"/>
          <w:lang w:val="en-US"/>
        </w:rPr>
        <w:t>,</w:t>
      </w:r>
      <w:r w:rsidR="00C254BF" w:rsidRPr="00785D06">
        <w:rPr>
          <w:sz w:val="20"/>
          <w:szCs w:val="20"/>
          <w:lang w:val="en-US"/>
        </w:rPr>
        <w:t xml:space="preserve"> </w:t>
      </w:r>
      <w:r w:rsidRPr="00785D06">
        <w:rPr>
          <w:sz w:val="20"/>
          <w:szCs w:val="20"/>
          <w:lang w:val="en-US"/>
        </w:rPr>
        <w:t xml:space="preserve">the Court </w:t>
      </w:r>
      <w:r w:rsidR="00907B63" w:rsidRPr="00785D06">
        <w:rPr>
          <w:sz w:val="20"/>
          <w:szCs w:val="20"/>
          <w:lang w:val="en-US"/>
        </w:rPr>
        <w:t xml:space="preserve">considers </w:t>
      </w:r>
      <w:r w:rsidRPr="00785D06">
        <w:rPr>
          <w:sz w:val="20"/>
          <w:szCs w:val="20"/>
          <w:lang w:val="en-US"/>
        </w:rPr>
        <w:t xml:space="preserve">it necessary to order </w:t>
      </w:r>
      <w:r w:rsidR="00C254BF" w:rsidRPr="00785D06">
        <w:rPr>
          <w:sz w:val="20"/>
          <w:szCs w:val="20"/>
          <w:lang w:val="en-US"/>
        </w:rPr>
        <w:t>th</w:t>
      </w:r>
      <w:r w:rsidRPr="00785D06">
        <w:rPr>
          <w:sz w:val="20"/>
          <w:szCs w:val="20"/>
          <w:lang w:val="en-US"/>
        </w:rPr>
        <w:t xml:space="preserve">e State to carry out, </w:t>
      </w:r>
      <w:r w:rsidR="00C254BF" w:rsidRPr="00785D06">
        <w:rPr>
          <w:sz w:val="20"/>
          <w:szCs w:val="20"/>
          <w:lang w:val="en-US"/>
        </w:rPr>
        <w:t xml:space="preserve">within a reasonable time, a public act of acknowledgement of international responsibility </w:t>
      </w:r>
      <w:r w:rsidR="00DC1E9E" w:rsidRPr="00785D06">
        <w:rPr>
          <w:sz w:val="20"/>
          <w:szCs w:val="20"/>
          <w:lang w:val="en-US"/>
        </w:rPr>
        <w:t xml:space="preserve">for </w:t>
      </w:r>
      <w:r w:rsidR="00C254BF" w:rsidRPr="00785D06">
        <w:rPr>
          <w:sz w:val="20"/>
          <w:szCs w:val="20"/>
          <w:lang w:val="en-US"/>
        </w:rPr>
        <w:t>the facts of this case</w:t>
      </w:r>
      <w:r w:rsidRPr="00785D06">
        <w:rPr>
          <w:sz w:val="20"/>
          <w:szCs w:val="20"/>
          <w:lang w:val="en-US"/>
        </w:rPr>
        <w:t xml:space="preserve">, making </w:t>
      </w:r>
      <w:r w:rsidR="00C254BF" w:rsidRPr="00785D06">
        <w:rPr>
          <w:sz w:val="20"/>
          <w:szCs w:val="20"/>
          <w:lang w:val="en-US"/>
        </w:rPr>
        <w:t xml:space="preserve">reference to the human rights violations declared in this judgment. </w:t>
      </w:r>
      <w:r w:rsidR="00E54C13" w:rsidRPr="00785D06">
        <w:rPr>
          <w:sz w:val="20"/>
          <w:szCs w:val="20"/>
          <w:lang w:val="en-US"/>
        </w:rPr>
        <w:t>Th</w:t>
      </w:r>
      <w:r w:rsidR="00DC1E9E" w:rsidRPr="00785D06">
        <w:rPr>
          <w:sz w:val="20"/>
          <w:szCs w:val="20"/>
          <w:lang w:val="en-US"/>
        </w:rPr>
        <w:t xml:space="preserve">is </w:t>
      </w:r>
      <w:r w:rsidR="00C254BF" w:rsidRPr="00785D06">
        <w:rPr>
          <w:sz w:val="20"/>
          <w:szCs w:val="20"/>
          <w:lang w:val="en-US"/>
        </w:rPr>
        <w:t xml:space="preserve">public ceremony </w:t>
      </w:r>
      <w:r w:rsidR="00DC1E9E" w:rsidRPr="00785D06">
        <w:rPr>
          <w:sz w:val="20"/>
          <w:szCs w:val="20"/>
          <w:lang w:val="en-US"/>
        </w:rPr>
        <w:t xml:space="preserve">should take place in the presence of </w:t>
      </w:r>
      <w:r w:rsidR="00C254BF" w:rsidRPr="00785D06">
        <w:rPr>
          <w:sz w:val="20"/>
          <w:szCs w:val="20"/>
          <w:lang w:val="en-US"/>
        </w:rPr>
        <w:t xml:space="preserve">high-ranking State officials </w:t>
      </w:r>
      <w:r w:rsidR="00DC1E9E" w:rsidRPr="00785D06">
        <w:rPr>
          <w:sz w:val="20"/>
          <w:szCs w:val="20"/>
          <w:lang w:val="en-US"/>
        </w:rPr>
        <w:t xml:space="preserve">and with </w:t>
      </w:r>
      <w:r w:rsidR="00C254BF" w:rsidRPr="00785D06">
        <w:rPr>
          <w:sz w:val="20"/>
          <w:szCs w:val="20"/>
          <w:lang w:val="en-US"/>
        </w:rPr>
        <w:t>Mrs. Petita Paulina Albarracín Albán and her daughter Denisse Selena Guzmán Alb</w:t>
      </w:r>
      <w:bookmarkEnd w:id="170"/>
      <w:r w:rsidR="00C254BF" w:rsidRPr="00785D06">
        <w:rPr>
          <w:sz w:val="20"/>
          <w:szCs w:val="20"/>
          <w:lang w:val="en-US"/>
        </w:rPr>
        <w:t xml:space="preserve">arracín and/or </w:t>
      </w:r>
      <w:r w:rsidR="00E54C13" w:rsidRPr="00785D06">
        <w:rPr>
          <w:sz w:val="20"/>
          <w:szCs w:val="20"/>
          <w:lang w:val="en-US"/>
        </w:rPr>
        <w:t xml:space="preserve">their </w:t>
      </w:r>
      <w:r w:rsidR="00C254BF" w:rsidRPr="00785D06">
        <w:rPr>
          <w:sz w:val="20"/>
          <w:szCs w:val="20"/>
          <w:lang w:val="en-US"/>
        </w:rPr>
        <w:t xml:space="preserve">representatives. </w:t>
      </w:r>
      <w:r w:rsidR="00DC1E9E" w:rsidRPr="00785D06">
        <w:rPr>
          <w:sz w:val="20"/>
          <w:szCs w:val="20"/>
          <w:lang w:val="en-US"/>
        </w:rPr>
        <w:t xml:space="preserve">Furthermore, </w:t>
      </w:r>
      <w:bookmarkStart w:id="171" w:name="_Ref33109786"/>
      <w:r w:rsidR="00C254BF" w:rsidRPr="00785D06">
        <w:rPr>
          <w:sz w:val="20"/>
          <w:szCs w:val="20"/>
          <w:lang w:val="en-US"/>
        </w:rPr>
        <w:t xml:space="preserve">having regard to the State’s proposal, </w:t>
      </w:r>
      <w:r w:rsidR="00E54C13" w:rsidRPr="00785D06">
        <w:rPr>
          <w:sz w:val="20"/>
          <w:szCs w:val="20"/>
          <w:lang w:val="en-US"/>
        </w:rPr>
        <w:t xml:space="preserve">during </w:t>
      </w:r>
      <w:r w:rsidR="00C254BF" w:rsidRPr="00785D06">
        <w:rPr>
          <w:sz w:val="20"/>
          <w:szCs w:val="20"/>
          <w:lang w:val="en-US"/>
        </w:rPr>
        <w:t>that public act or in another</w:t>
      </w:r>
      <w:r w:rsidR="00E54C13" w:rsidRPr="00785D06">
        <w:rPr>
          <w:sz w:val="20"/>
          <w:szCs w:val="20"/>
          <w:lang w:val="en-US"/>
        </w:rPr>
        <w:t xml:space="preserve"> ceremony</w:t>
      </w:r>
      <w:r w:rsidR="00C254BF" w:rsidRPr="00785D06">
        <w:rPr>
          <w:sz w:val="20"/>
          <w:szCs w:val="20"/>
          <w:lang w:val="en-US"/>
        </w:rPr>
        <w:t xml:space="preserve">, </w:t>
      </w:r>
      <w:r w:rsidR="00E54C13" w:rsidRPr="00785D06">
        <w:rPr>
          <w:sz w:val="20"/>
          <w:szCs w:val="20"/>
          <w:lang w:val="en-US"/>
        </w:rPr>
        <w:t xml:space="preserve">the State </w:t>
      </w:r>
      <w:r w:rsidR="00DC1E9E" w:rsidRPr="00785D06">
        <w:rPr>
          <w:sz w:val="20"/>
          <w:szCs w:val="20"/>
          <w:lang w:val="en-US"/>
        </w:rPr>
        <w:t>shall award a posthumous</w:t>
      </w:r>
      <w:r w:rsidR="00C254BF" w:rsidRPr="00785D06">
        <w:rPr>
          <w:sz w:val="20"/>
          <w:szCs w:val="20"/>
          <w:lang w:val="en-US"/>
        </w:rPr>
        <w:t xml:space="preserve"> high school diploma to Paola del Rosario Guzmán Albarracín, </w:t>
      </w:r>
      <w:r w:rsidR="00DC1E9E" w:rsidRPr="00785D06">
        <w:rPr>
          <w:sz w:val="20"/>
          <w:szCs w:val="20"/>
          <w:lang w:val="en-US"/>
        </w:rPr>
        <w:t>subject to a previous</w:t>
      </w:r>
      <w:r w:rsidR="00C254BF" w:rsidRPr="00785D06">
        <w:rPr>
          <w:sz w:val="20"/>
          <w:szCs w:val="20"/>
          <w:lang w:val="en-US"/>
        </w:rPr>
        <w:t xml:space="preserve"> a</w:t>
      </w:r>
      <w:r w:rsidR="00DC1E9E" w:rsidRPr="00785D06">
        <w:rPr>
          <w:sz w:val="20"/>
          <w:szCs w:val="20"/>
          <w:lang w:val="en-US"/>
        </w:rPr>
        <w:t>greement</w:t>
      </w:r>
      <w:r w:rsidR="00E54C13" w:rsidRPr="00785D06">
        <w:rPr>
          <w:sz w:val="20"/>
          <w:szCs w:val="20"/>
          <w:lang w:val="en-US"/>
        </w:rPr>
        <w:t xml:space="preserve"> with </w:t>
      </w:r>
      <w:r w:rsidR="00C254BF" w:rsidRPr="00785D06">
        <w:rPr>
          <w:sz w:val="20"/>
          <w:szCs w:val="20"/>
          <w:lang w:val="en-US"/>
        </w:rPr>
        <w:t>Mrs. Petita Paulina Albarracín Albán and/or her representatives</w:t>
      </w:r>
      <w:r w:rsidR="00DC1E9E" w:rsidRPr="00785D06">
        <w:rPr>
          <w:sz w:val="20"/>
          <w:szCs w:val="20"/>
          <w:lang w:val="en-US"/>
        </w:rPr>
        <w:t>. This event</w:t>
      </w:r>
      <w:r w:rsidR="00E54C13" w:rsidRPr="00785D06">
        <w:rPr>
          <w:sz w:val="20"/>
          <w:szCs w:val="20"/>
          <w:lang w:val="en-US"/>
        </w:rPr>
        <w:t xml:space="preserve"> must take place within six months of notification of this judgment.</w:t>
      </w:r>
      <w:r w:rsidR="00C254BF" w:rsidRPr="00785D06">
        <w:rPr>
          <w:sz w:val="20"/>
          <w:szCs w:val="20"/>
          <w:lang w:val="en-US"/>
        </w:rPr>
        <w:t xml:space="preserve">  </w:t>
      </w:r>
    </w:p>
    <w:p w14:paraId="28181C99" w14:textId="77777777" w:rsidR="00C254BF" w:rsidRPr="00785D06" w:rsidRDefault="00C254BF" w:rsidP="00C254BF">
      <w:pPr>
        <w:pStyle w:val="Prrafodelista"/>
        <w:rPr>
          <w:sz w:val="20"/>
          <w:szCs w:val="20"/>
          <w:lang w:val="en-US"/>
        </w:rPr>
      </w:pPr>
    </w:p>
    <w:p w14:paraId="400DCF28"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The State and the victims, and/or </w:t>
      </w:r>
      <w:r w:rsidR="00E54C13" w:rsidRPr="00785D06">
        <w:rPr>
          <w:sz w:val="20"/>
          <w:szCs w:val="20"/>
          <w:lang w:val="en-US"/>
        </w:rPr>
        <w:t xml:space="preserve">their </w:t>
      </w:r>
      <w:r w:rsidRPr="00785D06">
        <w:rPr>
          <w:sz w:val="20"/>
          <w:szCs w:val="20"/>
          <w:lang w:val="en-US"/>
        </w:rPr>
        <w:t xml:space="preserve">representatives, </w:t>
      </w:r>
      <w:r w:rsidR="00DC1E9E" w:rsidRPr="00785D06">
        <w:rPr>
          <w:sz w:val="20"/>
          <w:szCs w:val="20"/>
          <w:lang w:val="en-US"/>
        </w:rPr>
        <w:t xml:space="preserve">must </w:t>
      </w:r>
      <w:r w:rsidR="00E54C13" w:rsidRPr="00785D06">
        <w:rPr>
          <w:sz w:val="20"/>
          <w:szCs w:val="20"/>
          <w:lang w:val="en-US"/>
        </w:rPr>
        <w:t xml:space="preserve">reach agreement </w:t>
      </w:r>
      <w:r w:rsidRPr="00785D06">
        <w:rPr>
          <w:sz w:val="20"/>
          <w:szCs w:val="20"/>
          <w:lang w:val="en-US"/>
        </w:rPr>
        <w:t xml:space="preserve">on the </w:t>
      </w:r>
      <w:r w:rsidR="00E54C13" w:rsidRPr="00785D06">
        <w:rPr>
          <w:sz w:val="20"/>
          <w:szCs w:val="20"/>
          <w:lang w:val="en-US"/>
        </w:rPr>
        <w:t xml:space="preserve">manner in which </w:t>
      </w:r>
      <w:r w:rsidR="006A42FF" w:rsidRPr="00785D06">
        <w:rPr>
          <w:sz w:val="20"/>
          <w:szCs w:val="20"/>
          <w:lang w:val="en-US"/>
        </w:rPr>
        <w:t xml:space="preserve">this </w:t>
      </w:r>
      <w:r w:rsidRPr="00785D06">
        <w:rPr>
          <w:sz w:val="20"/>
          <w:szCs w:val="20"/>
          <w:lang w:val="en-US"/>
        </w:rPr>
        <w:t>public</w:t>
      </w:r>
      <w:r w:rsidR="00F11E61" w:rsidRPr="00785D06">
        <w:rPr>
          <w:sz w:val="20"/>
          <w:szCs w:val="20"/>
          <w:lang w:val="en-US"/>
        </w:rPr>
        <w:t xml:space="preserve"> act</w:t>
      </w:r>
      <w:r w:rsidR="00E54C13" w:rsidRPr="00785D06">
        <w:rPr>
          <w:sz w:val="20"/>
          <w:szCs w:val="20"/>
          <w:lang w:val="en-US"/>
        </w:rPr>
        <w:t xml:space="preserve"> is to be executed, as well as details such </w:t>
      </w:r>
      <w:r w:rsidRPr="00785D06">
        <w:rPr>
          <w:sz w:val="20"/>
          <w:szCs w:val="20"/>
          <w:lang w:val="en-US"/>
        </w:rPr>
        <w:t>as the time and place.</w:t>
      </w:r>
      <w:r w:rsidRPr="00785D06">
        <w:rPr>
          <w:rStyle w:val="Refdenotaalpie"/>
          <w:sz w:val="20"/>
          <w:szCs w:val="20"/>
          <w:lang w:val="en-US"/>
        </w:rPr>
        <w:footnoteReference w:id="206"/>
      </w:r>
      <w:r w:rsidRPr="00785D06">
        <w:rPr>
          <w:sz w:val="20"/>
          <w:szCs w:val="20"/>
          <w:lang w:val="en-US"/>
        </w:rPr>
        <w:t xml:space="preserve"> Also, as it has done in other cases,</w:t>
      </w:r>
      <w:r w:rsidRPr="00785D06">
        <w:rPr>
          <w:rStyle w:val="Refdenotaalpie"/>
          <w:sz w:val="20"/>
          <w:szCs w:val="20"/>
          <w:lang w:val="en-US"/>
        </w:rPr>
        <w:footnoteReference w:id="207"/>
      </w:r>
      <w:r w:rsidRPr="00785D06">
        <w:rPr>
          <w:sz w:val="20"/>
          <w:szCs w:val="20"/>
          <w:lang w:val="en-US"/>
        </w:rPr>
        <w:t xml:space="preserve"> the Court orders the State to publicize this event </w:t>
      </w:r>
      <w:r w:rsidR="006A42FF" w:rsidRPr="00785D06">
        <w:rPr>
          <w:sz w:val="20"/>
          <w:szCs w:val="20"/>
          <w:lang w:val="en-US"/>
        </w:rPr>
        <w:t xml:space="preserve">as widely as possible </w:t>
      </w:r>
      <w:r w:rsidRPr="00785D06">
        <w:rPr>
          <w:sz w:val="20"/>
          <w:szCs w:val="20"/>
          <w:lang w:val="en-US"/>
        </w:rPr>
        <w:t xml:space="preserve">in </w:t>
      </w:r>
      <w:r w:rsidR="006A42FF" w:rsidRPr="00785D06">
        <w:rPr>
          <w:sz w:val="20"/>
          <w:szCs w:val="20"/>
          <w:lang w:val="en-US"/>
        </w:rPr>
        <w:t>the media</w:t>
      </w:r>
      <w:r w:rsidRPr="00785D06">
        <w:rPr>
          <w:sz w:val="20"/>
          <w:szCs w:val="20"/>
          <w:lang w:val="en-US"/>
        </w:rPr>
        <w:t xml:space="preserve">, including </w:t>
      </w:r>
      <w:r w:rsidR="00BE2E81" w:rsidRPr="00785D06">
        <w:rPr>
          <w:sz w:val="20"/>
          <w:szCs w:val="20"/>
          <w:lang w:val="en-US"/>
        </w:rPr>
        <w:t>by radio,</w:t>
      </w:r>
      <w:r w:rsidRPr="00785D06">
        <w:rPr>
          <w:sz w:val="20"/>
          <w:szCs w:val="20"/>
          <w:lang w:val="en-US"/>
        </w:rPr>
        <w:t xml:space="preserve"> television </w:t>
      </w:r>
      <w:r w:rsidR="00BE2E81" w:rsidRPr="00785D06">
        <w:rPr>
          <w:sz w:val="20"/>
          <w:szCs w:val="20"/>
          <w:lang w:val="en-US"/>
        </w:rPr>
        <w:t>and in the social networks</w:t>
      </w:r>
      <w:r w:rsidRPr="00785D06">
        <w:rPr>
          <w:sz w:val="20"/>
          <w:szCs w:val="20"/>
          <w:lang w:val="en-US"/>
        </w:rPr>
        <w:t>.</w:t>
      </w:r>
      <w:bookmarkEnd w:id="171"/>
      <w:r w:rsidRPr="00785D06">
        <w:rPr>
          <w:sz w:val="20"/>
          <w:szCs w:val="20"/>
          <w:lang w:val="en-US"/>
        </w:rPr>
        <w:t xml:space="preserve"> </w:t>
      </w:r>
    </w:p>
    <w:p w14:paraId="6CD1067F" w14:textId="77777777" w:rsidR="00C254BF" w:rsidRPr="00785D06" w:rsidRDefault="00C254BF" w:rsidP="00C254BF">
      <w:pPr>
        <w:pStyle w:val="Prrafodelista"/>
        <w:rPr>
          <w:rFonts w:eastAsia="Times New Roman"/>
          <w:sz w:val="20"/>
          <w:szCs w:val="20"/>
          <w:lang w:val="en-US" w:eastAsia="es-ES" w:bidi="es-ES"/>
        </w:rPr>
      </w:pPr>
    </w:p>
    <w:p w14:paraId="29F33597" w14:textId="77777777" w:rsidR="00C254BF" w:rsidRPr="00785D06" w:rsidRDefault="00CE7A79" w:rsidP="00C254BF">
      <w:pPr>
        <w:pStyle w:val="Prrafodelista"/>
        <w:numPr>
          <w:ilvl w:val="0"/>
          <w:numId w:val="35"/>
        </w:numPr>
        <w:ind w:left="0" w:firstLine="0"/>
        <w:contextualSpacing w:val="0"/>
        <w:jc w:val="both"/>
        <w:rPr>
          <w:rFonts w:eastAsia="Times New Roman"/>
          <w:sz w:val="20"/>
          <w:szCs w:val="20"/>
          <w:lang w:val="en-US" w:eastAsia="es-ES" w:bidi="es-ES"/>
        </w:rPr>
      </w:pPr>
      <w:r w:rsidRPr="00785D06">
        <w:rPr>
          <w:rFonts w:eastAsia="Times New Roman"/>
          <w:sz w:val="20"/>
          <w:szCs w:val="20"/>
          <w:lang w:val="en-US" w:eastAsia="es-ES" w:bidi="es-ES"/>
        </w:rPr>
        <w:t xml:space="preserve">Regarding Ecuador’s proposal </w:t>
      </w:r>
      <w:r w:rsidR="00C254BF" w:rsidRPr="00785D06">
        <w:rPr>
          <w:rFonts w:eastAsia="Times New Roman"/>
          <w:sz w:val="20"/>
          <w:szCs w:val="20"/>
          <w:lang w:val="en-US" w:eastAsia="es-ES" w:bidi="es-ES"/>
        </w:rPr>
        <w:t>to declare a</w:t>
      </w:r>
      <w:r w:rsidR="00DC1E9E" w:rsidRPr="00785D06">
        <w:rPr>
          <w:rFonts w:eastAsia="Times New Roman"/>
          <w:sz w:val="20"/>
          <w:szCs w:val="20"/>
          <w:lang w:val="en-US" w:eastAsia="es-ES" w:bidi="es-ES"/>
        </w:rPr>
        <w:t>n official “N</w:t>
      </w:r>
      <w:r w:rsidRPr="00785D06">
        <w:rPr>
          <w:rFonts w:eastAsia="Times New Roman"/>
          <w:sz w:val="20"/>
          <w:szCs w:val="20"/>
          <w:lang w:val="en-US" w:eastAsia="es-ES" w:bidi="es-ES"/>
        </w:rPr>
        <w:t xml:space="preserve">ational </w:t>
      </w:r>
      <w:r w:rsidR="00DC1E9E" w:rsidRPr="00785D06">
        <w:rPr>
          <w:rFonts w:eastAsia="Times New Roman"/>
          <w:sz w:val="20"/>
          <w:szCs w:val="20"/>
          <w:lang w:val="en-US" w:eastAsia="es-ES" w:bidi="es-ES"/>
        </w:rPr>
        <w:t>D</w:t>
      </w:r>
      <w:r w:rsidR="006A42FF" w:rsidRPr="00785D06">
        <w:rPr>
          <w:rFonts w:eastAsia="Times New Roman"/>
          <w:sz w:val="20"/>
          <w:szCs w:val="20"/>
          <w:lang w:val="en-US" w:eastAsia="es-ES" w:bidi="es-ES"/>
        </w:rPr>
        <w:t xml:space="preserve">ay </w:t>
      </w:r>
      <w:r w:rsidR="00DC1E9E" w:rsidRPr="00785D06">
        <w:rPr>
          <w:rFonts w:eastAsia="Times New Roman"/>
          <w:sz w:val="20"/>
          <w:szCs w:val="20"/>
          <w:lang w:val="en-US" w:eastAsia="es-ES" w:bidi="es-ES"/>
        </w:rPr>
        <w:t>A</w:t>
      </w:r>
      <w:r w:rsidR="00C254BF" w:rsidRPr="00785D06">
        <w:rPr>
          <w:rFonts w:eastAsia="Times New Roman"/>
          <w:sz w:val="20"/>
          <w:szCs w:val="20"/>
          <w:lang w:val="en-US" w:eastAsia="es-ES" w:bidi="es-ES"/>
        </w:rPr>
        <w:t xml:space="preserve">gainst </w:t>
      </w:r>
      <w:r w:rsidR="00DC1E9E" w:rsidRPr="00785D06">
        <w:rPr>
          <w:rFonts w:eastAsia="Times New Roman"/>
          <w:sz w:val="20"/>
          <w:szCs w:val="20"/>
          <w:lang w:val="en-US" w:eastAsia="es-ES" w:bidi="es-ES"/>
        </w:rPr>
        <w:t>Sexual V</w:t>
      </w:r>
      <w:r w:rsidR="00C254BF" w:rsidRPr="00785D06">
        <w:rPr>
          <w:rFonts w:eastAsia="Times New Roman"/>
          <w:sz w:val="20"/>
          <w:szCs w:val="20"/>
          <w:lang w:val="en-US" w:eastAsia="es-ES" w:bidi="es-ES"/>
        </w:rPr>
        <w:t xml:space="preserve">iolence in </w:t>
      </w:r>
      <w:r w:rsidR="00DC1E9E" w:rsidRPr="00785D06">
        <w:rPr>
          <w:rFonts w:eastAsia="Times New Roman"/>
          <w:sz w:val="20"/>
          <w:szCs w:val="20"/>
          <w:lang w:val="en-US" w:eastAsia="es-ES" w:bidi="es-ES"/>
        </w:rPr>
        <w:t>S</w:t>
      </w:r>
      <w:r w:rsidRPr="00785D06">
        <w:rPr>
          <w:rFonts w:eastAsia="Times New Roman"/>
          <w:sz w:val="20"/>
          <w:szCs w:val="20"/>
          <w:lang w:val="en-US" w:eastAsia="es-ES" w:bidi="es-ES"/>
        </w:rPr>
        <w:t>chools</w:t>
      </w:r>
      <w:r w:rsidR="00DC1E9E" w:rsidRPr="00785D06">
        <w:rPr>
          <w:rFonts w:eastAsia="Times New Roman"/>
          <w:sz w:val="20"/>
          <w:szCs w:val="20"/>
          <w:lang w:val="en-US" w:eastAsia="es-ES" w:bidi="es-ES"/>
        </w:rPr>
        <w:t>,”</w:t>
      </w:r>
      <w:r w:rsidRPr="00785D06">
        <w:rPr>
          <w:rFonts w:eastAsia="Times New Roman"/>
          <w:sz w:val="20"/>
          <w:szCs w:val="20"/>
          <w:lang w:val="en-US" w:eastAsia="es-ES" w:bidi="es-ES"/>
        </w:rPr>
        <w:t xml:space="preserve"> the Court orders the State to implement that measure within a reasonable time, using a title that explicitly mentions</w:t>
      </w:r>
      <w:r w:rsidR="00C254BF" w:rsidRPr="00785D06">
        <w:rPr>
          <w:rFonts w:eastAsia="Times New Roman"/>
          <w:sz w:val="20"/>
          <w:szCs w:val="20"/>
          <w:lang w:val="en-US" w:eastAsia="es-ES" w:bidi="es-ES"/>
        </w:rPr>
        <w:t xml:space="preserve"> the </w:t>
      </w:r>
      <w:r w:rsidR="006A42FF" w:rsidRPr="00785D06">
        <w:rPr>
          <w:rFonts w:eastAsia="Times New Roman"/>
          <w:sz w:val="20"/>
          <w:szCs w:val="20"/>
          <w:lang w:val="en-US" w:eastAsia="es-ES" w:bidi="es-ES"/>
        </w:rPr>
        <w:t xml:space="preserve">phenomenon </w:t>
      </w:r>
      <w:r w:rsidR="00C254BF" w:rsidRPr="00785D06">
        <w:rPr>
          <w:rFonts w:eastAsia="Times New Roman"/>
          <w:sz w:val="20"/>
          <w:szCs w:val="20"/>
          <w:lang w:val="en-US" w:eastAsia="es-ES" w:bidi="es-ES"/>
        </w:rPr>
        <w:t>of sexual violence against children</w:t>
      </w:r>
      <w:r w:rsidRPr="00785D06">
        <w:rPr>
          <w:rFonts w:eastAsia="Times New Roman"/>
          <w:sz w:val="20"/>
          <w:szCs w:val="20"/>
          <w:lang w:val="en-US" w:eastAsia="es-ES" w:bidi="es-ES"/>
        </w:rPr>
        <w:t xml:space="preserve"> in the educational </w:t>
      </w:r>
      <w:r w:rsidR="00DC1E9E" w:rsidRPr="00785D06">
        <w:rPr>
          <w:rFonts w:eastAsia="Times New Roman"/>
          <w:sz w:val="20"/>
          <w:szCs w:val="20"/>
          <w:lang w:val="en-US" w:eastAsia="es-ES" w:bidi="es-ES"/>
        </w:rPr>
        <w:t>context</w:t>
      </w:r>
      <w:r w:rsidR="00C254BF" w:rsidRPr="00785D06">
        <w:rPr>
          <w:rFonts w:eastAsia="Times New Roman"/>
          <w:sz w:val="20"/>
          <w:szCs w:val="20"/>
          <w:lang w:val="en-US" w:eastAsia="es-ES" w:bidi="es-ES"/>
        </w:rPr>
        <w:t xml:space="preserve">. </w:t>
      </w:r>
    </w:p>
    <w:p w14:paraId="725BBAA5" w14:textId="77777777" w:rsidR="00C254BF" w:rsidRPr="00785D06" w:rsidRDefault="00C254BF" w:rsidP="00C254BF">
      <w:pPr>
        <w:pStyle w:val="Prrafodelista"/>
        <w:rPr>
          <w:rFonts w:eastAsia="Times New Roman"/>
          <w:sz w:val="20"/>
          <w:szCs w:val="20"/>
          <w:lang w:val="en-US" w:eastAsia="es-ES" w:bidi="es-ES"/>
        </w:rPr>
      </w:pPr>
    </w:p>
    <w:p w14:paraId="44142F26" w14:textId="77777777" w:rsidR="00C254BF" w:rsidRPr="00785D06" w:rsidRDefault="00C254BF" w:rsidP="00C254BF">
      <w:pPr>
        <w:pStyle w:val="Prrafodelista"/>
        <w:widowControl w:val="0"/>
        <w:numPr>
          <w:ilvl w:val="0"/>
          <w:numId w:val="12"/>
        </w:numPr>
        <w:tabs>
          <w:tab w:val="left" w:pos="1276"/>
        </w:tabs>
        <w:autoSpaceDE w:val="0"/>
        <w:autoSpaceDN w:val="0"/>
        <w:ind w:left="284" w:right="117" w:firstLine="13"/>
        <w:outlineLvl w:val="1"/>
        <w:rPr>
          <w:rFonts w:eastAsia="Times New Roman"/>
          <w:b/>
          <w:i/>
          <w:sz w:val="20"/>
          <w:szCs w:val="20"/>
          <w:lang w:val="en-US" w:eastAsia="es-ES" w:bidi="es-ES"/>
        </w:rPr>
      </w:pPr>
      <w:bookmarkStart w:id="172" w:name="_Toc42498075"/>
      <w:bookmarkStart w:id="173" w:name="_Toc46937323"/>
      <w:r w:rsidRPr="00785D06">
        <w:rPr>
          <w:rFonts w:eastAsia="Times New Roman"/>
          <w:b/>
          <w:i/>
          <w:sz w:val="20"/>
          <w:szCs w:val="20"/>
          <w:lang w:val="en-US" w:eastAsia="es-ES" w:bidi="es-ES"/>
        </w:rPr>
        <w:t>Guarantees of non-repetition</w:t>
      </w:r>
      <w:bookmarkEnd w:id="172"/>
      <w:bookmarkEnd w:id="173"/>
    </w:p>
    <w:p w14:paraId="55618B29" w14:textId="77777777" w:rsidR="00C254BF" w:rsidRPr="00785D06" w:rsidRDefault="00C254BF" w:rsidP="00C254BF">
      <w:pPr>
        <w:pStyle w:val="Prrafodelista"/>
        <w:rPr>
          <w:rFonts w:eastAsia="Times New Roman"/>
          <w:sz w:val="20"/>
          <w:szCs w:val="20"/>
          <w:lang w:val="en-US" w:eastAsia="es-ES" w:bidi="es-ES"/>
        </w:rPr>
      </w:pPr>
    </w:p>
    <w:p w14:paraId="1A24933E"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 xml:space="preserve">The </w:t>
      </w:r>
      <w:r w:rsidRPr="00785D06">
        <w:rPr>
          <w:rFonts w:eastAsia="Times New Roman"/>
          <w:b/>
          <w:i/>
          <w:sz w:val="20"/>
          <w:szCs w:val="20"/>
          <w:lang w:val="en-US" w:eastAsia="es-ES" w:bidi="es-ES"/>
        </w:rPr>
        <w:t xml:space="preserve">Commission </w:t>
      </w:r>
      <w:r w:rsidRPr="00785D06">
        <w:rPr>
          <w:rFonts w:eastAsia="Times New Roman"/>
          <w:sz w:val="20"/>
          <w:szCs w:val="20"/>
          <w:lang w:val="en-US" w:eastAsia="es-ES" w:bidi="es-ES"/>
        </w:rPr>
        <w:t xml:space="preserve">requested the following measures </w:t>
      </w:r>
      <w:r w:rsidR="00CE7A79" w:rsidRPr="00785D06">
        <w:rPr>
          <w:rFonts w:eastAsia="Times New Roman"/>
          <w:sz w:val="20"/>
          <w:szCs w:val="20"/>
          <w:lang w:val="en-US" w:eastAsia="es-ES" w:bidi="es-ES"/>
        </w:rPr>
        <w:t xml:space="preserve">as guarantees </w:t>
      </w:r>
      <w:r w:rsidRPr="00785D06">
        <w:rPr>
          <w:rFonts w:eastAsia="Times New Roman"/>
          <w:sz w:val="20"/>
          <w:szCs w:val="20"/>
          <w:lang w:val="en-US" w:eastAsia="es-ES" w:bidi="es-ES"/>
        </w:rPr>
        <w:t>of non-repetition:</w:t>
      </w:r>
    </w:p>
    <w:p w14:paraId="083161DB" w14:textId="77777777" w:rsidR="00C254BF" w:rsidRPr="00785D06" w:rsidRDefault="00C254BF" w:rsidP="00C254BF">
      <w:pPr>
        <w:pStyle w:val="Prrafodelista"/>
        <w:ind w:left="0"/>
        <w:contextualSpacing w:val="0"/>
        <w:jc w:val="both"/>
        <w:rPr>
          <w:rFonts w:eastAsia="Times New Roman"/>
          <w:sz w:val="20"/>
          <w:szCs w:val="20"/>
          <w:lang w:val="en-US" w:eastAsia="es-ES" w:bidi="es-ES"/>
        </w:rPr>
      </w:pPr>
    </w:p>
    <w:p w14:paraId="6983C81A" w14:textId="77777777" w:rsidR="00C254BF" w:rsidRPr="00785D06" w:rsidRDefault="00C254BF" w:rsidP="00C254BF">
      <w:pPr>
        <w:pStyle w:val="Prrafodelista"/>
        <w:ind w:left="284"/>
        <w:jc w:val="both"/>
        <w:rPr>
          <w:rFonts w:eastAsia="Times New Roman"/>
          <w:b/>
          <w:i/>
          <w:sz w:val="20"/>
          <w:szCs w:val="20"/>
          <w:lang w:val="en-US" w:eastAsia="es-ES" w:bidi="es-ES"/>
        </w:rPr>
      </w:pPr>
      <w:r w:rsidRPr="00785D06">
        <w:rPr>
          <w:rFonts w:eastAsia="Times New Roman"/>
          <w:sz w:val="20"/>
          <w:szCs w:val="20"/>
          <w:lang w:val="en-US" w:eastAsia="es-ES" w:bidi="es-ES"/>
        </w:rPr>
        <w:t xml:space="preserve">a) “Establish regulations and appropriate mechanisms for training, early detection, inspection, supervision and accountability </w:t>
      </w:r>
      <w:r w:rsidR="00CE7A79" w:rsidRPr="00785D06">
        <w:rPr>
          <w:rFonts w:eastAsia="Times New Roman"/>
          <w:sz w:val="20"/>
          <w:szCs w:val="20"/>
          <w:lang w:val="en-US" w:eastAsia="es-ES" w:bidi="es-ES"/>
        </w:rPr>
        <w:t xml:space="preserve">in </w:t>
      </w:r>
      <w:r w:rsidRPr="00785D06">
        <w:rPr>
          <w:rFonts w:eastAsia="Times New Roman"/>
          <w:sz w:val="20"/>
          <w:szCs w:val="20"/>
          <w:lang w:val="en-US" w:eastAsia="es-ES" w:bidi="es-ES"/>
        </w:rPr>
        <w:t xml:space="preserve">public and private educational institutions, in order to </w:t>
      </w:r>
      <w:r w:rsidR="00CE7A79" w:rsidRPr="00785D06">
        <w:rPr>
          <w:rFonts w:eastAsia="Times New Roman"/>
          <w:sz w:val="20"/>
          <w:szCs w:val="20"/>
          <w:lang w:val="en-US" w:eastAsia="es-ES" w:bidi="es-ES"/>
        </w:rPr>
        <w:t xml:space="preserve">effectively </w:t>
      </w:r>
      <w:r w:rsidRPr="00785D06">
        <w:rPr>
          <w:rFonts w:eastAsia="Times New Roman"/>
          <w:sz w:val="20"/>
          <w:szCs w:val="20"/>
          <w:lang w:val="en-US" w:eastAsia="es-ES" w:bidi="es-ES"/>
        </w:rPr>
        <w:t xml:space="preserve">prevent and respond to </w:t>
      </w:r>
      <w:r w:rsidR="00CE7A79" w:rsidRPr="00785D06">
        <w:rPr>
          <w:rFonts w:eastAsia="Times New Roman"/>
          <w:sz w:val="20"/>
          <w:szCs w:val="20"/>
          <w:lang w:val="en-US" w:eastAsia="es-ES" w:bidi="es-ES"/>
        </w:rPr>
        <w:t xml:space="preserve">acts of </w:t>
      </w:r>
      <w:r w:rsidRPr="00785D06">
        <w:rPr>
          <w:rFonts w:eastAsia="Times New Roman"/>
          <w:sz w:val="20"/>
          <w:szCs w:val="20"/>
          <w:lang w:val="en-US" w:eastAsia="es-ES" w:bidi="es-ES"/>
        </w:rPr>
        <w:t xml:space="preserve">sexual harassment in </w:t>
      </w:r>
      <w:r w:rsidR="00CE7A79" w:rsidRPr="00785D06">
        <w:rPr>
          <w:rFonts w:eastAsia="Times New Roman"/>
          <w:sz w:val="20"/>
          <w:szCs w:val="20"/>
          <w:lang w:val="en-US" w:eastAsia="es-ES" w:bidi="es-ES"/>
        </w:rPr>
        <w:t xml:space="preserve">those institutions, including </w:t>
      </w:r>
      <w:r w:rsidRPr="00785D06">
        <w:rPr>
          <w:rFonts w:eastAsia="Times New Roman"/>
          <w:sz w:val="20"/>
          <w:szCs w:val="20"/>
          <w:lang w:val="en-US" w:eastAsia="es-ES" w:bidi="es-ES"/>
        </w:rPr>
        <w:t>violence exercised through the</w:t>
      </w:r>
      <w:r w:rsidR="00CE7A79" w:rsidRPr="00785D06">
        <w:rPr>
          <w:rFonts w:eastAsia="Times New Roman"/>
          <w:sz w:val="20"/>
          <w:szCs w:val="20"/>
          <w:lang w:val="en-US" w:eastAsia="es-ES" w:bidi="es-ES"/>
        </w:rPr>
        <w:t>ir</w:t>
      </w:r>
      <w:r w:rsidRPr="00785D06">
        <w:rPr>
          <w:rFonts w:eastAsia="Times New Roman"/>
          <w:sz w:val="20"/>
          <w:szCs w:val="20"/>
          <w:lang w:val="en-US" w:eastAsia="es-ES" w:bidi="es-ES"/>
        </w:rPr>
        <w:t xml:space="preserve"> healt</w:t>
      </w:r>
      <w:r w:rsidR="00CE7A79" w:rsidRPr="00785D06">
        <w:rPr>
          <w:rFonts w:eastAsia="Times New Roman"/>
          <w:sz w:val="20"/>
          <w:szCs w:val="20"/>
          <w:lang w:val="en-US" w:eastAsia="es-ES" w:bidi="es-ES"/>
        </w:rPr>
        <w:t>h care services</w:t>
      </w:r>
      <w:r w:rsidRPr="00785D06">
        <w:rPr>
          <w:rFonts w:eastAsia="Times New Roman"/>
          <w:sz w:val="20"/>
          <w:szCs w:val="20"/>
          <w:lang w:val="en-US" w:eastAsia="es-ES" w:bidi="es-ES"/>
        </w:rPr>
        <w:t xml:space="preserve">; </w:t>
      </w:r>
    </w:p>
    <w:p w14:paraId="7FA07A76" w14:textId="77777777" w:rsidR="00C254BF" w:rsidRPr="00785D06" w:rsidRDefault="00C254BF" w:rsidP="00C254BF">
      <w:pPr>
        <w:pStyle w:val="Prrafodelista"/>
        <w:ind w:left="284"/>
        <w:jc w:val="both"/>
        <w:rPr>
          <w:rFonts w:eastAsia="Times New Roman"/>
          <w:sz w:val="20"/>
          <w:szCs w:val="20"/>
          <w:lang w:val="en-US" w:eastAsia="es-ES" w:bidi="es-ES"/>
        </w:rPr>
      </w:pPr>
    </w:p>
    <w:p w14:paraId="4A870C15" w14:textId="77777777" w:rsidR="00C254BF" w:rsidRPr="00785D06" w:rsidRDefault="00C254BF" w:rsidP="00C254BF">
      <w:pPr>
        <w:pStyle w:val="Prrafodelista"/>
        <w:ind w:left="284"/>
        <w:jc w:val="both"/>
        <w:rPr>
          <w:rFonts w:eastAsia="Times New Roman"/>
          <w:b/>
          <w:i/>
          <w:sz w:val="20"/>
          <w:szCs w:val="20"/>
          <w:lang w:val="en-US" w:eastAsia="es-ES" w:bidi="es-ES"/>
        </w:rPr>
      </w:pPr>
      <w:r w:rsidRPr="00785D06">
        <w:rPr>
          <w:rFonts w:eastAsia="Times New Roman"/>
          <w:sz w:val="20"/>
          <w:szCs w:val="20"/>
          <w:lang w:val="en-US" w:eastAsia="es-ES" w:bidi="es-ES"/>
        </w:rPr>
        <w:t xml:space="preserve">b) Design protocols </w:t>
      </w:r>
      <w:r w:rsidR="0030735C" w:rsidRPr="00785D06">
        <w:rPr>
          <w:rFonts w:eastAsia="Times New Roman"/>
          <w:sz w:val="20"/>
          <w:szCs w:val="20"/>
          <w:lang w:val="en-US" w:eastAsia="es-ES" w:bidi="es-ES"/>
        </w:rPr>
        <w:t xml:space="preserve">for </w:t>
      </w:r>
      <w:r w:rsidRPr="00785D06">
        <w:rPr>
          <w:rFonts w:eastAsia="Times New Roman"/>
          <w:sz w:val="20"/>
          <w:szCs w:val="20"/>
          <w:lang w:val="en-US" w:eastAsia="es-ES" w:bidi="es-ES"/>
        </w:rPr>
        <w:t>the education and health sectors t</w:t>
      </w:r>
      <w:r w:rsidR="0030735C" w:rsidRPr="00785D06">
        <w:rPr>
          <w:rFonts w:eastAsia="Times New Roman"/>
          <w:sz w:val="20"/>
          <w:szCs w:val="20"/>
          <w:lang w:val="en-US" w:eastAsia="es-ES" w:bidi="es-ES"/>
        </w:rPr>
        <w:t xml:space="preserve">o </w:t>
      </w:r>
      <w:r w:rsidRPr="00785D06">
        <w:rPr>
          <w:rFonts w:eastAsia="Times New Roman"/>
          <w:sz w:val="20"/>
          <w:szCs w:val="20"/>
          <w:lang w:val="en-US" w:eastAsia="es-ES" w:bidi="es-ES"/>
        </w:rPr>
        <w:t>facilitate “whistleblowing</w:t>
      </w:r>
      <w:r w:rsidR="0030735C" w:rsidRPr="00785D06">
        <w:rPr>
          <w:rFonts w:eastAsia="Times New Roman"/>
          <w:sz w:val="20"/>
          <w:szCs w:val="20"/>
          <w:lang w:val="en-US" w:eastAsia="es-ES" w:bidi="es-ES"/>
        </w:rPr>
        <w:t>,”</w:t>
      </w:r>
      <w:r w:rsidRPr="00785D06">
        <w:rPr>
          <w:rFonts w:eastAsia="Times New Roman"/>
          <w:sz w:val="20"/>
          <w:szCs w:val="20"/>
          <w:lang w:val="en-US" w:eastAsia="es-ES" w:bidi="es-ES"/>
        </w:rPr>
        <w:t xml:space="preserve"> confidentiality and </w:t>
      </w:r>
      <w:r w:rsidR="0030735C" w:rsidRPr="00785D06">
        <w:rPr>
          <w:rFonts w:eastAsia="Times New Roman"/>
          <w:sz w:val="20"/>
          <w:szCs w:val="20"/>
          <w:lang w:val="en-US" w:eastAsia="es-ES" w:bidi="es-ES"/>
        </w:rPr>
        <w:t xml:space="preserve">support </w:t>
      </w:r>
      <w:r w:rsidRPr="00785D06">
        <w:rPr>
          <w:rFonts w:eastAsia="Times New Roman"/>
          <w:sz w:val="20"/>
          <w:szCs w:val="20"/>
          <w:lang w:val="en-US" w:eastAsia="es-ES" w:bidi="es-ES"/>
        </w:rPr>
        <w:t>for students who are victims or witnesses of acts of sexual violence;</w:t>
      </w:r>
    </w:p>
    <w:p w14:paraId="39E76E5A" w14:textId="77777777" w:rsidR="00C254BF" w:rsidRPr="00785D06" w:rsidRDefault="00C254BF" w:rsidP="00C254BF">
      <w:pPr>
        <w:pStyle w:val="Prrafodelista"/>
        <w:ind w:left="284"/>
        <w:jc w:val="both"/>
        <w:rPr>
          <w:rFonts w:eastAsia="Times New Roman"/>
          <w:sz w:val="20"/>
          <w:szCs w:val="20"/>
          <w:lang w:val="en-US" w:eastAsia="es-ES" w:bidi="es-ES"/>
        </w:rPr>
      </w:pPr>
    </w:p>
    <w:p w14:paraId="7E813BAC" w14:textId="77777777" w:rsidR="00C254BF" w:rsidRPr="00785D06" w:rsidRDefault="0030735C" w:rsidP="00C254BF">
      <w:pPr>
        <w:pStyle w:val="Prrafodelista"/>
        <w:ind w:left="284"/>
        <w:jc w:val="both"/>
        <w:rPr>
          <w:rFonts w:eastAsia="Times New Roman"/>
          <w:sz w:val="20"/>
          <w:szCs w:val="20"/>
          <w:lang w:val="en-US" w:eastAsia="es-ES" w:bidi="es-ES"/>
        </w:rPr>
      </w:pPr>
      <w:r w:rsidRPr="00785D06">
        <w:rPr>
          <w:rFonts w:eastAsia="Times New Roman"/>
          <w:sz w:val="20"/>
          <w:szCs w:val="20"/>
          <w:lang w:val="en-US" w:eastAsia="es-ES" w:bidi="es-ES"/>
        </w:rPr>
        <w:t>c) Include</w:t>
      </w:r>
      <w:r w:rsidR="00C254BF" w:rsidRPr="00785D06">
        <w:rPr>
          <w:rFonts w:eastAsia="Times New Roman"/>
          <w:sz w:val="20"/>
          <w:szCs w:val="20"/>
          <w:lang w:val="en-US" w:eastAsia="es-ES" w:bidi="es-ES"/>
        </w:rPr>
        <w:t xml:space="preserve"> appropriate and timely information</w:t>
      </w:r>
      <w:r w:rsidRPr="00785D06">
        <w:rPr>
          <w:rFonts w:eastAsia="Times New Roman"/>
          <w:sz w:val="20"/>
          <w:szCs w:val="20"/>
          <w:lang w:val="en-US" w:eastAsia="es-ES" w:bidi="es-ES"/>
        </w:rPr>
        <w:t xml:space="preserve"> in mandatory teaching materials</w:t>
      </w:r>
      <w:r w:rsidR="00C254BF" w:rsidRPr="00785D06">
        <w:rPr>
          <w:rFonts w:eastAsia="Times New Roman"/>
          <w:sz w:val="20"/>
          <w:szCs w:val="20"/>
          <w:lang w:val="en-US" w:eastAsia="es-ES" w:bidi="es-ES"/>
        </w:rPr>
        <w:t xml:space="preserve">, </w:t>
      </w:r>
      <w:r w:rsidRPr="00785D06">
        <w:rPr>
          <w:rFonts w:eastAsia="Times New Roman"/>
          <w:sz w:val="20"/>
          <w:szCs w:val="20"/>
          <w:lang w:val="en-US" w:eastAsia="es-ES" w:bidi="es-ES"/>
        </w:rPr>
        <w:t xml:space="preserve">suited to </w:t>
      </w:r>
      <w:r w:rsidR="00C254BF" w:rsidRPr="00785D06">
        <w:rPr>
          <w:rFonts w:eastAsia="Times New Roman"/>
          <w:sz w:val="20"/>
          <w:szCs w:val="20"/>
          <w:lang w:val="en-US" w:eastAsia="es-ES" w:bidi="es-ES"/>
        </w:rPr>
        <w:t>children’s level of maturity and designed to provide them with tools for preventing and reporting cases of sexual violence;</w:t>
      </w:r>
    </w:p>
    <w:p w14:paraId="3EDB328A" w14:textId="77777777" w:rsidR="00C254BF" w:rsidRPr="00785D06" w:rsidRDefault="00C254BF" w:rsidP="00C254BF">
      <w:pPr>
        <w:pStyle w:val="Prrafodelista"/>
        <w:ind w:left="284"/>
        <w:jc w:val="both"/>
        <w:rPr>
          <w:rFonts w:eastAsia="Times New Roman"/>
          <w:sz w:val="20"/>
          <w:szCs w:val="20"/>
          <w:lang w:val="en-US" w:eastAsia="es-ES" w:bidi="es-ES"/>
        </w:rPr>
      </w:pPr>
    </w:p>
    <w:p w14:paraId="7A2EB81D" w14:textId="77777777" w:rsidR="00C254BF" w:rsidRPr="00785D06" w:rsidRDefault="0030735C" w:rsidP="00C254BF">
      <w:pPr>
        <w:pStyle w:val="Prrafodelista"/>
        <w:ind w:left="284"/>
        <w:jc w:val="both"/>
        <w:rPr>
          <w:rFonts w:eastAsia="Times New Roman"/>
          <w:sz w:val="20"/>
          <w:szCs w:val="20"/>
          <w:lang w:val="en-US" w:eastAsia="es-ES" w:bidi="es-ES"/>
        </w:rPr>
      </w:pPr>
      <w:r w:rsidRPr="00785D06">
        <w:rPr>
          <w:rFonts w:eastAsia="Times New Roman"/>
          <w:sz w:val="20"/>
          <w:szCs w:val="20"/>
          <w:lang w:val="en-US" w:eastAsia="es-ES" w:bidi="es-ES"/>
        </w:rPr>
        <w:t>d) Implement</w:t>
      </w:r>
      <w:r w:rsidR="00C254BF" w:rsidRPr="00785D06">
        <w:rPr>
          <w:rFonts w:eastAsia="Times New Roman"/>
          <w:sz w:val="20"/>
          <w:szCs w:val="20"/>
          <w:lang w:val="en-US" w:eastAsia="es-ES" w:bidi="es-ES"/>
        </w:rPr>
        <w:t xml:space="preserve"> educational and awareness-raising campaigns in </w:t>
      </w:r>
      <w:r w:rsidR="00142754" w:rsidRPr="00785D06">
        <w:rPr>
          <w:rFonts w:eastAsia="Times New Roman"/>
          <w:sz w:val="20"/>
          <w:szCs w:val="20"/>
          <w:lang w:val="en-US" w:eastAsia="es-ES" w:bidi="es-ES"/>
        </w:rPr>
        <w:t xml:space="preserve">public </w:t>
      </w:r>
      <w:r w:rsidR="00C254BF" w:rsidRPr="00785D06">
        <w:rPr>
          <w:rFonts w:eastAsia="Times New Roman"/>
          <w:sz w:val="20"/>
          <w:szCs w:val="20"/>
          <w:lang w:val="en-US" w:eastAsia="es-ES" w:bidi="es-ES"/>
        </w:rPr>
        <w:t>and private schools t</w:t>
      </w:r>
      <w:r w:rsidR="00CE36CB" w:rsidRPr="00785D06">
        <w:rPr>
          <w:rFonts w:eastAsia="Times New Roman"/>
          <w:sz w:val="20"/>
          <w:szCs w:val="20"/>
          <w:lang w:val="en-US" w:eastAsia="es-ES" w:bidi="es-ES"/>
        </w:rPr>
        <w:t>o address social</w:t>
      </w:r>
      <w:r w:rsidR="00C254BF" w:rsidRPr="00785D06">
        <w:rPr>
          <w:rFonts w:eastAsia="Times New Roman"/>
          <w:sz w:val="20"/>
          <w:szCs w:val="20"/>
          <w:lang w:val="en-US" w:eastAsia="es-ES" w:bidi="es-ES"/>
        </w:rPr>
        <w:t xml:space="preserve"> and cultural patterns that normalize or trivialize sexual violence in schools. </w:t>
      </w:r>
    </w:p>
    <w:p w14:paraId="6D5A2486" w14:textId="77777777" w:rsidR="00C254BF" w:rsidRPr="00785D06" w:rsidRDefault="00C254BF" w:rsidP="00C254BF">
      <w:pPr>
        <w:pStyle w:val="Prrafodelista"/>
        <w:ind w:left="0"/>
        <w:contextualSpacing w:val="0"/>
        <w:jc w:val="both"/>
        <w:rPr>
          <w:sz w:val="20"/>
          <w:szCs w:val="20"/>
          <w:lang w:val="en-US"/>
        </w:rPr>
      </w:pPr>
    </w:p>
    <w:p w14:paraId="3638096A"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 xml:space="preserve">The </w:t>
      </w:r>
      <w:r w:rsidRPr="00785D06">
        <w:rPr>
          <w:rFonts w:eastAsia="Times New Roman"/>
          <w:b/>
          <w:i/>
          <w:sz w:val="20"/>
          <w:szCs w:val="20"/>
          <w:lang w:val="en-US" w:eastAsia="es-ES" w:bidi="es-ES"/>
        </w:rPr>
        <w:t xml:space="preserve">representatives </w:t>
      </w:r>
      <w:r w:rsidR="005B2D59" w:rsidRPr="00785D06">
        <w:rPr>
          <w:rFonts w:eastAsia="Times New Roman"/>
          <w:sz w:val="20"/>
          <w:szCs w:val="20"/>
          <w:lang w:val="en-US" w:eastAsia="es-ES" w:bidi="es-ES"/>
        </w:rPr>
        <w:t>requested</w:t>
      </w:r>
      <w:r w:rsidR="001C25BB" w:rsidRPr="00785D06">
        <w:rPr>
          <w:rFonts w:eastAsia="Times New Roman"/>
          <w:sz w:val="20"/>
          <w:szCs w:val="20"/>
          <w:lang w:val="en-US" w:eastAsia="es-ES" w:bidi="es-ES"/>
        </w:rPr>
        <w:t xml:space="preserve"> that the State adopt the</w:t>
      </w:r>
      <w:r w:rsidRPr="00785D06">
        <w:rPr>
          <w:rFonts w:eastAsia="Times New Roman"/>
          <w:sz w:val="20"/>
          <w:szCs w:val="20"/>
          <w:lang w:val="en-US" w:eastAsia="es-ES" w:bidi="es-ES"/>
        </w:rPr>
        <w:t xml:space="preserve"> following measures </w:t>
      </w:r>
      <w:r w:rsidR="005B2D59" w:rsidRPr="00785D06">
        <w:rPr>
          <w:rFonts w:eastAsia="Times New Roman"/>
          <w:sz w:val="20"/>
          <w:szCs w:val="20"/>
          <w:lang w:val="en-US" w:eastAsia="es-ES" w:bidi="es-ES"/>
        </w:rPr>
        <w:t>of non-</w:t>
      </w:r>
      <w:r w:rsidRPr="00785D06">
        <w:rPr>
          <w:rFonts w:eastAsia="Times New Roman"/>
          <w:sz w:val="20"/>
          <w:szCs w:val="20"/>
          <w:lang w:val="en-US" w:eastAsia="es-ES" w:bidi="es-ES"/>
        </w:rPr>
        <w:t xml:space="preserve">repetition: </w:t>
      </w:r>
    </w:p>
    <w:p w14:paraId="1ECDEE2B" w14:textId="77777777" w:rsidR="00C254BF" w:rsidRPr="00785D06" w:rsidRDefault="00C254BF" w:rsidP="00C254BF">
      <w:pPr>
        <w:pStyle w:val="Prrafodelista"/>
        <w:ind w:left="0"/>
        <w:contextualSpacing w:val="0"/>
        <w:jc w:val="both"/>
        <w:rPr>
          <w:rFonts w:eastAsia="Times New Roman"/>
          <w:sz w:val="20"/>
          <w:szCs w:val="20"/>
          <w:lang w:val="en-US" w:eastAsia="es-ES" w:bidi="es-ES"/>
        </w:rPr>
      </w:pPr>
    </w:p>
    <w:p w14:paraId="5D36A61C" w14:textId="77777777" w:rsidR="00C254BF" w:rsidRPr="00785D06" w:rsidRDefault="00C254BF" w:rsidP="00C254BF">
      <w:pPr>
        <w:pStyle w:val="Prrafodelista"/>
        <w:widowControl w:val="0"/>
        <w:tabs>
          <w:tab w:val="left" w:pos="633"/>
        </w:tabs>
        <w:autoSpaceDE w:val="0"/>
        <w:autoSpaceDN w:val="0"/>
        <w:ind w:left="284" w:right="117"/>
        <w:jc w:val="both"/>
        <w:rPr>
          <w:rFonts w:eastAsia="Times New Roman"/>
          <w:sz w:val="20"/>
          <w:szCs w:val="20"/>
          <w:lang w:val="en-US" w:eastAsia="es-ES" w:bidi="es-ES"/>
        </w:rPr>
      </w:pPr>
      <w:r w:rsidRPr="00785D06">
        <w:rPr>
          <w:rFonts w:eastAsia="Times New Roman"/>
          <w:sz w:val="20"/>
          <w:szCs w:val="20"/>
          <w:lang w:val="en-US" w:eastAsia="es-ES" w:bidi="es-ES"/>
        </w:rPr>
        <w:t xml:space="preserve">a) </w:t>
      </w:r>
      <w:r w:rsidRPr="00785D06">
        <w:rPr>
          <w:rFonts w:eastAsia="Times New Roman"/>
          <w:i/>
          <w:sz w:val="20"/>
          <w:szCs w:val="20"/>
          <w:lang w:val="en-US" w:eastAsia="es-ES" w:bidi="es-ES"/>
        </w:rPr>
        <w:t>Training for public officials</w:t>
      </w:r>
      <w:r w:rsidR="00336DD3" w:rsidRPr="00785D06">
        <w:rPr>
          <w:rFonts w:eastAsia="Times New Roman"/>
          <w:sz w:val="20"/>
          <w:szCs w:val="20"/>
          <w:lang w:val="en-US" w:eastAsia="es-ES" w:bidi="es-ES"/>
        </w:rPr>
        <w:t xml:space="preserve">. </w:t>
      </w:r>
      <w:r w:rsidR="005B2D59" w:rsidRPr="00785D06">
        <w:rPr>
          <w:rFonts w:eastAsia="Times New Roman"/>
          <w:sz w:val="20"/>
          <w:szCs w:val="20"/>
          <w:lang w:val="en-US" w:eastAsia="es-ES" w:bidi="es-ES"/>
        </w:rPr>
        <w:t xml:space="preserve">i. </w:t>
      </w:r>
      <w:r w:rsidR="001C25BB" w:rsidRPr="00785D06">
        <w:rPr>
          <w:rFonts w:eastAsia="Times New Roman"/>
          <w:sz w:val="20"/>
          <w:szCs w:val="20"/>
          <w:lang w:val="en-US" w:eastAsia="es-ES" w:bidi="es-ES"/>
        </w:rPr>
        <w:t>I</w:t>
      </w:r>
      <w:r w:rsidR="00336DD3" w:rsidRPr="00785D06">
        <w:rPr>
          <w:rFonts w:eastAsia="Times New Roman"/>
          <w:sz w:val="20"/>
          <w:szCs w:val="20"/>
          <w:lang w:val="en-US" w:eastAsia="es-ES" w:bidi="es-ES"/>
        </w:rPr>
        <w:t>mplement</w:t>
      </w:r>
      <w:r w:rsidR="001C25BB" w:rsidRPr="00785D06">
        <w:rPr>
          <w:rFonts w:eastAsia="Times New Roman"/>
          <w:sz w:val="20"/>
          <w:szCs w:val="20"/>
          <w:lang w:val="en-US" w:eastAsia="es-ES" w:bidi="es-ES"/>
        </w:rPr>
        <w:t>ation</w:t>
      </w:r>
      <w:r w:rsidR="00570695" w:rsidRPr="00785D06">
        <w:rPr>
          <w:rFonts w:eastAsia="Times New Roman"/>
          <w:sz w:val="20"/>
          <w:szCs w:val="20"/>
          <w:lang w:val="en-US" w:eastAsia="es-ES" w:bidi="es-ES"/>
        </w:rPr>
        <w:t>, within one year,</w:t>
      </w:r>
      <w:r w:rsidR="00336DD3" w:rsidRPr="00785D06">
        <w:rPr>
          <w:rFonts w:eastAsia="Times New Roman"/>
          <w:sz w:val="20"/>
          <w:szCs w:val="20"/>
          <w:lang w:val="en-US" w:eastAsia="es-ES" w:bidi="es-ES"/>
        </w:rPr>
        <w:t xml:space="preserve"> </w:t>
      </w:r>
      <w:r w:rsidR="001C25BB" w:rsidRPr="00785D06">
        <w:rPr>
          <w:rFonts w:eastAsia="Times New Roman"/>
          <w:sz w:val="20"/>
          <w:szCs w:val="20"/>
          <w:lang w:val="en-US" w:eastAsia="es-ES" w:bidi="es-ES"/>
        </w:rPr>
        <w:t xml:space="preserve">of </w:t>
      </w:r>
      <w:r w:rsidRPr="00785D06">
        <w:rPr>
          <w:rFonts w:eastAsia="Times New Roman"/>
          <w:sz w:val="20"/>
          <w:szCs w:val="20"/>
          <w:lang w:val="en-US" w:eastAsia="es-ES" w:bidi="es-ES"/>
        </w:rPr>
        <w:t xml:space="preserve">permanent education and training programs </w:t>
      </w:r>
      <w:r w:rsidR="00336DD3" w:rsidRPr="00785D06">
        <w:rPr>
          <w:rFonts w:eastAsia="Times New Roman"/>
          <w:sz w:val="20"/>
          <w:szCs w:val="20"/>
          <w:lang w:val="en-US" w:eastAsia="es-ES" w:bidi="es-ES"/>
        </w:rPr>
        <w:t xml:space="preserve">for </w:t>
      </w:r>
      <w:r w:rsidRPr="00785D06">
        <w:rPr>
          <w:rFonts w:eastAsia="Times New Roman"/>
          <w:sz w:val="20"/>
          <w:szCs w:val="20"/>
          <w:lang w:val="en-US" w:eastAsia="es-ES" w:bidi="es-ES"/>
        </w:rPr>
        <w:t>all professionals work</w:t>
      </w:r>
      <w:r w:rsidR="004662AD" w:rsidRPr="00785D06">
        <w:rPr>
          <w:rFonts w:eastAsia="Times New Roman"/>
          <w:sz w:val="20"/>
          <w:szCs w:val="20"/>
          <w:lang w:val="en-US" w:eastAsia="es-ES" w:bidi="es-ES"/>
        </w:rPr>
        <w:t>ing</w:t>
      </w:r>
      <w:r w:rsidRPr="00785D06">
        <w:rPr>
          <w:rFonts w:eastAsia="Times New Roman"/>
          <w:sz w:val="20"/>
          <w:szCs w:val="20"/>
          <w:lang w:val="en-US" w:eastAsia="es-ES" w:bidi="es-ES"/>
        </w:rPr>
        <w:t xml:space="preserve"> in preschool, primary and secondary </w:t>
      </w:r>
      <w:r w:rsidR="00DC1E9E" w:rsidRPr="00785D06">
        <w:rPr>
          <w:rFonts w:eastAsia="Times New Roman"/>
          <w:sz w:val="20"/>
          <w:szCs w:val="20"/>
          <w:lang w:val="en-US" w:eastAsia="es-ES" w:bidi="es-ES"/>
        </w:rPr>
        <w:t xml:space="preserve">educational </w:t>
      </w:r>
      <w:r w:rsidRPr="00785D06">
        <w:rPr>
          <w:rFonts w:eastAsia="Times New Roman"/>
          <w:sz w:val="20"/>
          <w:szCs w:val="20"/>
          <w:lang w:val="en-US" w:eastAsia="es-ES" w:bidi="es-ES"/>
        </w:rPr>
        <w:t xml:space="preserve">institutions, on </w:t>
      </w:r>
      <w:r w:rsidR="001C6AAC" w:rsidRPr="00785D06">
        <w:rPr>
          <w:rFonts w:eastAsia="Times New Roman"/>
          <w:sz w:val="20"/>
          <w:szCs w:val="20"/>
          <w:lang w:val="en-US" w:eastAsia="es-ES" w:bidi="es-ES"/>
        </w:rPr>
        <w:t xml:space="preserve">topics of </w:t>
      </w:r>
      <w:r w:rsidRPr="00785D06">
        <w:rPr>
          <w:rFonts w:eastAsia="Times New Roman"/>
          <w:sz w:val="20"/>
          <w:szCs w:val="20"/>
          <w:lang w:val="en-US" w:eastAsia="es-ES" w:bidi="es-ES"/>
        </w:rPr>
        <w:t xml:space="preserve">sexual violence, pregnancy, gender, human rights and prevention of </w:t>
      </w:r>
      <w:r w:rsidR="001C6AAC" w:rsidRPr="00785D06">
        <w:rPr>
          <w:rFonts w:eastAsia="Times New Roman"/>
          <w:sz w:val="20"/>
          <w:szCs w:val="20"/>
          <w:lang w:val="en-US" w:eastAsia="es-ES" w:bidi="es-ES"/>
        </w:rPr>
        <w:t xml:space="preserve">acts of </w:t>
      </w:r>
      <w:r w:rsidRPr="00785D06">
        <w:rPr>
          <w:rFonts w:eastAsia="Times New Roman"/>
          <w:sz w:val="20"/>
          <w:szCs w:val="20"/>
          <w:lang w:val="en-US" w:eastAsia="es-ES" w:bidi="es-ES"/>
        </w:rPr>
        <w:t>sexual harassment,</w:t>
      </w:r>
      <w:r w:rsidRPr="00785D06">
        <w:rPr>
          <w:sz w:val="20"/>
          <w:szCs w:val="20"/>
          <w:lang w:val="en-US"/>
        </w:rPr>
        <w:t xml:space="preserve"> </w:t>
      </w:r>
      <w:r w:rsidRPr="00785D06">
        <w:rPr>
          <w:rFonts w:eastAsia="Times New Roman"/>
          <w:sz w:val="20"/>
          <w:szCs w:val="20"/>
          <w:lang w:val="en-US" w:eastAsia="es-ES" w:bidi="es-ES"/>
        </w:rPr>
        <w:t xml:space="preserve">particularly </w:t>
      </w:r>
      <w:r w:rsidR="001C6AAC" w:rsidRPr="00785D06">
        <w:rPr>
          <w:rFonts w:eastAsia="Times New Roman"/>
          <w:sz w:val="20"/>
          <w:szCs w:val="20"/>
          <w:lang w:val="en-US" w:eastAsia="es-ES" w:bidi="es-ES"/>
        </w:rPr>
        <w:t xml:space="preserve">those based on </w:t>
      </w:r>
      <w:r w:rsidRPr="00785D06">
        <w:rPr>
          <w:rFonts w:eastAsia="Times New Roman"/>
          <w:sz w:val="20"/>
          <w:szCs w:val="20"/>
          <w:lang w:val="en-US" w:eastAsia="es-ES" w:bidi="es-ES"/>
        </w:rPr>
        <w:t>relations</w:t>
      </w:r>
      <w:r w:rsidR="001C6AAC" w:rsidRPr="00785D06">
        <w:rPr>
          <w:rFonts w:eastAsia="Times New Roman"/>
          <w:sz w:val="20"/>
          <w:szCs w:val="20"/>
          <w:lang w:val="en-US" w:eastAsia="es-ES" w:bidi="es-ES"/>
        </w:rPr>
        <w:t>hips</w:t>
      </w:r>
      <w:r w:rsidRPr="00785D06">
        <w:rPr>
          <w:rFonts w:eastAsia="Times New Roman"/>
          <w:sz w:val="20"/>
          <w:szCs w:val="20"/>
          <w:lang w:val="en-US" w:eastAsia="es-ES" w:bidi="es-ES"/>
        </w:rPr>
        <w:t xml:space="preserve"> of power. </w:t>
      </w:r>
      <w:r w:rsidR="001C6AAC" w:rsidRPr="00785D06">
        <w:rPr>
          <w:rFonts w:eastAsia="Times New Roman"/>
          <w:sz w:val="20"/>
          <w:szCs w:val="20"/>
          <w:lang w:val="en-US" w:eastAsia="es-ES" w:bidi="es-ES"/>
        </w:rPr>
        <w:t>T</w:t>
      </w:r>
      <w:r w:rsidRPr="00785D06">
        <w:rPr>
          <w:rFonts w:eastAsia="Times New Roman"/>
          <w:sz w:val="20"/>
          <w:szCs w:val="20"/>
          <w:lang w:val="en-US" w:eastAsia="es-ES" w:bidi="es-ES"/>
        </w:rPr>
        <w:t xml:space="preserve">his training </w:t>
      </w:r>
      <w:r w:rsidR="001C25BB" w:rsidRPr="00785D06">
        <w:rPr>
          <w:rFonts w:eastAsia="Times New Roman"/>
          <w:sz w:val="20"/>
          <w:szCs w:val="20"/>
          <w:lang w:val="en-US" w:eastAsia="es-ES" w:bidi="es-ES"/>
        </w:rPr>
        <w:t xml:space="preserve">should </w:t>
      </w:r>
      <w:r w:rsidRPr="00785D06">
        <w:rPr>
          <w:rFonts w:eastAsia="Times New Roman"/>
          <w:sz w:val="20"/>
          <w:szCs w:val="20"/>
          <w:lang w:val="en-US" w:eastAsia="es-ES" w:bidi="es-ES"/>
        </w:rPr>
        <w:t>include references to this judgment. ii</w:t>
      </w:r>
      <w:r w:rsidR="001C6AAC" w:rsidRPr="00785D06">
        <w:rPr>
          <w:rFonts w:eastAsia="Times New Roman"/>
          <w:sz w:val="20"/>
          <w:szCs w:val="20"/>
          <w:lang w:val="en-US" w:eastAsia="es-ES" w:bidi="es-ES"/>
        </w:rPr>
        <w:t xml:space="preserve">. </w:t>
      </w:r>
      <w:r w:rsidR="001C25BB" w:rsidRPr="00785D06">
        <w:rPr>
          <w:rFonts w:eastAsia="Times New Roman"/>
          <w:sz w:val="20"/>
          <w:szCs w:val="20"/>
          <w:lang w:val="en-US" w:eastAsia="es-ES" w:bidi="es-ES"/>
        </w:rPr>
        <w:t xml:space="preserve">Implementation of </w:t>
      </w:r>
      <w:r w:rsidRPr="00785D06">
        <w:rPr>
          <w:rFonts w:eastAsia="Times New Roman"/>
          <w:sz w:val="20"/>
          <w:szCs w:val="20"/>
          <w:lang w:val="en-US" w:eastAsia="es-ES" w:bidi="es-ES"/>
        </w:rPr>
        <w:t>training</w:t>
      </w:r>
      <w:r w:rsidR="001C25BB" w:rsidRPr="00785D06">
        <w:rPr>
          <w:rFonts w:eastAsia="Times New Roman"/>
          <w:sz w:val="20"/>
          <w:szCs w:val="20"/>
          <w:lang w:val="en-US" w:eastAsia="es-ES" w:bidi="es-ES"/>
        </w:rPr>
        <w:t xml:space="preserve"> based on a gender perspective</w:t>
      </w:r>
      <w:r w:rsidRPr="00785D06">
        <w:rPr>
          <w:rFonts w:eastAsia="Times New Roman"/>
          <w:sz w:val="20"/>
          <w:szCs w:val="20"/>
          <w:lang w:val="en-US" w:eastAsia="es-ES" w:bidi="es-ES"/>
        </w:rPr>
        <w:t xml:space="preserve"> </w:t>
      </w:r>
      <w:r w:rsidR="001C6AAC" w:rsidRPr="00785D06">
        <w:rPr>
          <w:rFonts w:eastAsia="Times New Roman"/>
          <w:sz w:val="20"/>
          <w:szCs w:val="20"/>
          <w:lang w:val="en-US" w:eastAsia="es-ES" w:bidi="es-ES"/>
        </w:rPr>
        <w:t xml:space="preserve">for </w:t>
      </w:r>
      <w:r w:rsidRPr="00785D06">
        <w:rPr>
          <w:rFonts w:eastAsia="Times New Roman"/>
          <w:sz w:val="20"/>
          <w:szCs w:val="20"/>
          <w:lang w:val="en-US" w:eastAsia="es-ES" w:bidi="es-ES"/>
        </w:rPr>
        <w:t xml:space="preserve">the detection, reporting and investigation of acts of sexual harassment. </w:t>
      </w:r>
      <w:r w:rsidR="001C25BB" w:rsidRPr="00785D06">
        <w:rPr>
          <w:rFonts w:eastAsia="Times New Roman"/>
          <w:sz w:val="20"/>
          <w:szCs w:val="20"/>
          <w:lang w:val="en-US" w:eastAsia="es-ES" w:bidi="es-ES"/>
        </w:rPr>
        <w:t xml:space="preserve">The representatives also requested that any standards established in this judgment be included in the </w:t>
      </w:r>
      <w:r w:rsidRPr="00785D06">
        <w:rPr>
          <w:rFonts w:eastAsia="Times New Roman"/>
          <w:sz w:val="20"/>
          <w:szCs w:val="20"/>
          <w:lang w:val="en-US" w:eastAsia="es-ES" w:bidi="es-ES"/>
        </w:rPr>
        <w:t>continuous education and training programs</w:t>
      </w:r>
      <w:r w:rsidR="001C25BB" w:rsidRPr="00785D06">
        <w:rPr>
          <w:rFonts w:eastAsia="Times New Roman"/>
          <w:sz w:val="20"/>
          <w:szCs w:val="20"/>
          <w:lang w:val="en-US" w:eastAsia="es-ES" w:bidi="es-ES"/>
        </w:rPr>
        <w:t xml:space="preserve"> or courses</w:t>
      </w:r>
      <w:r w:rsidRPr="00785D06">
        <w:rPr>
          <w:rFonts w:eastAsia="Times New Roman"/>
          <w:sz w:val="20"/>
          <w:szCs w:val="20"/>
          <w:lang w:val="en-US" w:eastAsia="es-ES" w:bidi="es-ES"/>
        </w:rPr>
        <w:t xml:space="preserve"> </w:t>
      </w:r>
      <w:r w:rsidR="001C25BB" w:rsidRPr="00785D06">
        <w:rPr>
          <w:rFonts w:eastAsia="Times New Roman"/>
          <w:sz w:val="20"/>
          <w:szCs w:val="20"/>
          <w:lang w:val="en-US" w:eastAsia="es-ES" w:bidi="es-ES"/>
        </w:rPr>
        <w:t xml:space="preserve">directed </w:t>
      </w:r>
      <w:r w:rsidRPr="00785D06">
        <w:rPr>
          <w:rFonts w:eastAsia="Times New Roman"/>
          <w:sz w:val="20"/>
          <w:szCs w:val="20"/>
          <w:lang w:val="en-US" w:eastAsia="es-ES" w:bidi="es-ES"/>
        </w:rPr>
        <w:t>a</w:t>
      </w:r>
      <w:r w:rsidR="001C25BB" w:rsidRPr="00785D06">
        <w:rPr>
          <w:rFonts w:eastAsia="Times New Roman"/>
          <w:sz w:val="20"/>
          <w:szCs w:val="20"/>
          <w:lang w:val="en-US" w:eastAsia="es-ES" w:bidi="es-ES"/>
        </w:rPr>
        <w:t xml:space="preserve">t individuals </w:t>
      </w:r>
      <w:r w:rsidRPr="00785D06">
        <w:rPr>
          <w:rFonts w:eastAsia="Times New Roman"/>
          <w:sz w:val="20"/>
          <w:szCs w:val="20"/>
          <w:lang w:val="en-US" w:eastAsia="es-ES" w:bidi="es-ES"/>
        </w:rPr>
        <w:t>in charge of the</w:t>
      </w:r>
      <w:r w:rsidR="001C25BB" w:rsidRPr="00785D06">
        <w:rPr>
          <w:rFonts w:eastAsia="Times New Roman"/>
          <w:sz w:val="20"/>
          <w:szCs w:val="20"/>
          <w:lang w:val="en-US" w:eastAsia="es-ES" w:bidi="es-ES"/>
        </w:rPr>
        <w:t>ir</w:t>
      </w:r>
      <w:r w:rsidRPr="00785D06">
        <w:rPr>
          <w:rFonts w:eastAsia="Times New Roman"/>
          <w:sz w:val="20"/>
          <w:szCs w:val="20"/>
          <w:lang w:val="en-US" w:eastAsia="es-ES" w:bidi="es-ES"/>
        </w:rPr>
        <w:t xml:space="preserve"> criminal prosecution and judicialization</w:t>
      </w:r>
      <w:r w:rsidR="001C25BB" w:rsidRPr="00785D06">
        <w:rPr>
          <w:rFonts w:eastAsia="Times New Roman"/>
          <w:sz w:val="20"/>
          <w:szCs w:val="20"/>
          <w:lang w:val="en-US" w:eastAsia="es-ES" w:bidi="es-ES"/>
        </w:rPr>
        <w:t>.</w:t>
      </w:r>
      <w:r w:rsidRPr="00785D06">
        <w:rPr>
          <w:rFonts w:eastAsia="Times New Roman"/>
          <w:sz w:val="20"/>
          <w:szCs w:val="20"/>
          <w:lang w:val="en-US" w:eastAsia="es-ES" w:bidi="es-ES"/>
        </w:rPr>
        <w:t xml:space="preserve"> </w:t>
      </w:r>
    </w:p>
    <w:p w14:paraId="148F6CBF" w14:textId="77777777" w:rsidR="00C254BF" w:rsidRPr="00785D06" w:rsidRDefault="00C254BF" w:rsidP="00C254BF">
      <w:pPr>
        <w:pStyle w:val="Prrafodelista"/>
        <w:widowControl w:val="0"/>
        <w:tabs>
          <w:tab w:val="left" w:pos="633"/>
        </w:tabs>
        <w:autoSpaceDE w:val="0"/>
        <w:autoSpaceDN w:val="0"/>
        <w:ind w:left="284" w:right="117"/>
        <w:jc w:val="both"/>
        <w:rPr>
          <w:rFonts w:eastAsia="Times New Roman"/>
          <w:sz w:val="20"/>
          <w:szCs w:val="20"/>
          <w:lang w:val="en-US" w:eastAsia="es-ES" w:bidi="es-ES"/>
        </w:rPr>
      </w:pPr>
    </w:p>
    <w:p w14:paraId="5D4B966E" w14:textId="77777777" w:rsidR="00C254BF" w:rsidRPr="00785D06" w:rsidRDefault="00C254BF" w:rsidP="00C254BF">
      <w:pPr>
        <w:pStyle w:val="Prrafodelista"/>
        <w:widowControl w:val="0"/>
        <w:tabs>
          <w:tab w:val="left" w:pos="633"/>
        </w:tabs>
        <w:autoSpaceDE w:val="0"/>
        <w:autoSpaceDN w:val="0"/>
        <w:ind w:left="284" w:right="117"/>
        <w:jc w:val="both"/>
        <w:rPr>
          <w:rFonts w:eastAsia="Times New Roman"/>
          <w:b/>
          <w:sz w:val="20"/>
          <w:szCs w:val="20"/>
          <w:lang w:val="en-US" w:eastAsia="es-ES" w:bidi="es-ES"/>
        </w:rPr>
      </w:pPr>
      <w:r w:rsidRPr="00785D06">
        <w:rPr>
          <w:rFonts w:eastAsia="Times New Roman"/>
          <w:sz w:val="20"/>
          <w:szCs w:val="20"/>
          <w:lang w:val="en-US" w:eastAsia="es-ES" w:bidi="es-ES"/>
        </w:rPr>
        <w:t xml:space="preserve">b) </w:t>
      </w:r>
      <w:r w:rsidRPr="00785D06">
        <w:rPr>
          <w:rFonts w:eastAsia="Times New Roman"/>
          <w:i/>
          <w:sz w:val="20"/>
          <w:szCs w:val="20"/>
          <w:lang w:val="en-US" w:eastAsia="es-ES" w:bidi="es-ES"/>
        </w:rPr>
        <w:t xml:space="preserve">Design </w:t>
      </w:r>
      <w:r w:rsidR="001C25BB" w:rsidRPr="00785D06">
        <w:rPr>
          <w:rFonts w:eastAsia="Times New Roman"/>
          <w:i/>
          <w:sz w:val="20"/>
          <w:szCs w:val="20"/>
          <w:lang w:val="en-US" w:eastAsia="es-ES" w:bidi="es-ES"/>
        </w:rPr>
        <w:t xml:space="preserve">of </w:t>
      </w:r>
      <w:r w:rsidRPr="00785D06">
        <w:rPr>
          <w:rFonts w:eastAsia="Times New Roman"/>
          <w:i/>
          <w:sz w:val="20"/>
          <w:szCs w:val="20"/>
          <w:lang w:val="en-US" w:eastAsia="es-ES" w:bidi="es-ES"/>
        </w:rPr>
        <w:t>a care strategy for victims of sexual violence in schoo</w:t>
      </w:r>
      <w:r w:rsidR="00DC1E9E" w:rsidRPr="00785D06">
        <w:rPr>
          <w:rFonts w:eastAsia="Times New Roman"/>
          <w:i/>
          <w:sz w:val="20"/>
          <w:szCs w:val="20"/>
          <w:lang w:val="en-US" w:eastAsia="es-ES" w:bidi="es-ES"/>
        </w:rPr>
        <w:t>ls</w:t>
      </w:r>
      <w:r w:rsidR="001C25BB" w:rsidRPr="00785D06">
        <w:rPr>
          <w:rFonts w:eastAsia="Times New Roman"/>
          <w:sz w:val="20"/>
          <w:szCs w:val="20"/>
          <w:lang w:val="en-US" w:eastAsia="es-ES" w:bidi="es-ES"/>
        </w:rPr>
        <w:t xml:space="preserve">. </w:t>
      </w:r>
      <w:r w:rsidRPr="00785D06">
        <w:rPr>
          <w:rFonts w:eastAsia="Times New Roman"/>
          <w:sz w:val="20"/>
          <w:szCs w:val="20"/>
          <w:lang w:val="en-US" w:eastAsia="es-ES" w:bidi="es-ES"/>
        </w:rPr>
        <w:t xml:space="preserve"> </w:t>
      </w:r>
      <w:r w:rsidR="004662AD" w:rsidRPr="00785D06">
        <w:rPr>
          <w:rFonts w:eastAsia="Times New Roman"/>
          <w:sz w:val="20"/>
          <w:szCs w:val="20"/>
          <w:lang w:val="en-US" w:eastAsia="es-ES" w:bidi="es-ES"/>
        </w:rPr>
        <w:t xml:space="preserve">Development of appropriate </w:t>
      </w:r>
      <w:r w:rsidRPr="00785D06">
        <w:rPr>
          <w:rFonts w:eastAsia="Times New Roman"/>
          <w:sz w:val="20"/>
          <w:szCs w:val="20"/>
          <w:lang w:val="en-US" w:eastAsia="es-ES" w:bidi="es-ES"/>
        </w:rPr>
        <w:t xml:space="preserve">regulations and mechanisms for training, early detection, inspection, supervision and accountability </w:t>
      </w:r>
      <w:r w:rsidR="004662AD" w:rsidRPr="00785D06">
        <w:rPr>
          <w:rFonts w:eastAsia="Times New Roman"/>
          <w:sz w:val="20"/>
          <w:szCs w:val="20"/>
          <w:lang w:val="en-US" w:eastAsia="es-ES" w:bidi="es-ES"/>
        </w:rPr>
        <w:t xml:space="preserve">in </w:t>
      </w:r>
      <w:r w:rsidRPr="00785D06">
        <w:rPr>
          <w:rFonts w:eastAsia="Times New Roman"/>
          <w:sz w:val="20"/>
          <w:szCs w:val="20"/>
          <w:lang w:val="en-US" w:eastAsia="es-ES" w:bidi="es-ES"/>
        </w:rPr>
        <w:t xml:space="preserve">public and private </w:t>
      </w:r>
      <w:r w:rsidR="004662AD" w:rsidRPr="00785D06">
        <w:rPr>
          <w:rFonts w:eastAsia="Times New Roman"/>
          <w:sz w:val="20"/>
          <w:szCs w:val="20"/>
          <w:lang w:val="en-US" w:eastAsia="es-ES" w:bidi="es-ES"/>
        </w:rPr>
        <w:t>schools</w:t>
      </w:r>
      <w:r w:rsidRPr="00785D06">
        <w:rPr>
          <w:rFonts w:eastAsia="Times New Roman"/>
          <w:sz w:val="20"/>
          <w:szCs w:val="20"/>
          <w:lang w:val="en-US" w:eastAsia="es-ES" w:bidi="es-ES"/>
        </w:rPr>
        <w:t xml:space="preserve">, in order to </w:t>
      </w:r>
      <w:r w:rsidR="004662AD" w:rsidRPr="00785D06">
        <w:rPr>
          <w:rFonts w:eastAsia="Times New Roman"/>
          <w:sz w:val="20"/>
          <w:szCs w:val="20"/>
          <w:lang w:val="en-US" w:eastAsia="es-ES" w:bidi="es-ES"/>
        </w:rPr>
        <w:t xml:space="preserve">effectively </w:t>
      </w:r>
      <w:r w:rsidRPr="00785D06">
        <w:rPr>
          <w:rFonts w:eastAsia="Times New Roman"/>
          <w:sz w:val="20"/>
          <w:szCs w:val="20"/>
          <w:lang w:val="en-US" w:eastAsia="es-ES" w:bidi="es-ES"/>
        </w:rPr>
        <w:t>prevent and respond to situations of sexual harassment within those institutions.</w:t>
      </w:r>
      <w:r w:rsidRPr="00785D06">
        <w:rPr>
          <w:rStyle w:val="Refdenotaalpie"/>
          <w:rFonts w:eastAsia="Times New Roman"/>
          <w:sz w:val="20"/>
          <w:szCs w:val="20"/>
          <w:lang w:val="en-US" w:eastAsia="es-ES" w:bidi="es-ES"/>
        </w:rPr>
        <w:footnoteReference w:id="208"/>
      </w:r>
      <w:r w:rsidRPr="00785D06">
        <w:rPr>
          <w:rFonts w:eastAsia="Times New Roman"/>
          <w:sz w:val="20"/>
          <w:szCs w:val="20"/>
          <w:lang w:val="en-US" w:eastAsia="es-ES" w:bidi="es-ES"/>
        </w:rPr>
        <w:t xml:space="preserve"> </w:t>
      </w:r>
    </w:p>
    <w:p w14:paraId="37D6D8E5" w14:textId="77777777" w:rsidR="00C254BF" w:rsidRPr="00785D06" w:rsidRDefault="00C254BF" w:rsidP="00C254BF">
      <w:pPr>
        <w:pStyle w:val="Prrafodelista"/>
        <w:widowControl w:val="0"/>
        <w:tabs>
          <w:tab w:val="left" w:pos="633"/>
        </w:tabs>
        <w:autoSpaceDE w:val="0"/>
        <w:autoSpaceDN w:val="0"/>
        <w:ind w:left="284" w:right="117"/>
        <w:jc w:val="both"/>
        <w:rPr>
          <w:rFonts w:eastAsia="Times New Roman"/>
          <w:sz w:val="20"/>
          <w:szCs w:val="20"/>
          <w:lang w:val="en-US" w:eastAsia="es-ES" w:bidi="es-ES"/>
        </w:rPr>
      </w:pPr>
    </w:p>
    <w:p w14:paraId="484BA85A" w14:textId="77777777" w:rsidR="00C254BF" w:rsidRPr="00785D06" w:rsidRDefault="00C254BF" w:rsidP="00C254BF">
      <w:pPr>
        <w:pStyle w:val="Prrafodelista"/>
        <w:widowControl w:val="0"/>
        <w:tabs>
          <w:tab w:val="left" w:pos="633"/>
        </w:tabs>
        <w:autoSpaceDE w:val="0"/>
        <w:autoSpaceDN w:val="0"/>
        <w:ind w:left="284" w:right="117"/>
        <w:jc w:val="both"/>
        <w:rPr>
          <w:rFonts w:eastAsia="Times New Roman"/>
          <w:b/>
          <w:sz w:val="20"/>
          <w:szCs w:val="20"/>
          <w:lang w:val="en-US" w:eastAsia="es-ES" w:bidi="es-ES"/>
        </w:rPr>
      </w:pPr>
      <w:r w:rsidRPr="00785D06">
        <w:rPr>
          <w:rFonts w:eastAsia="Times New Roman"/>
          <w:sz w:val="20"/>
          <w:szCs w:val="20"/>
          <w:lang w:val="en-US" w:eastAsia="es-ES" w:bidi="es-ES"/>
        </w:rPr>
        <w:t xml:space="preserve">c) </w:t>
      </w:r>
      <w:r w:rsidR="004662AD" w:rsidRPr="00785D06">
        <w:rPr>
          <w:rFonts w:eastAsia="Times New Roman"/>
          <w:i/>
          <w:sz w:val="20"/>
          <w:szCs w:val="20"/>
          <w:lang w:val="en-US" w:eastAsia="es-ES" w:bidi="es-ES"/>
        </w:rPr>
        <w:t>I</w:t>
      </w:r>
      <w:r w:rsidRPr="00785D06">
        <w:rPr>
          <w:rFonts w:eastAsia="Times New Roman"/>
          <w:i/>
          <w:sz w:val="20"/>
          <w:szCs w:val="20"/>
          <w:lang w:val="en-US" w:eastAsia="es-ES" w:bidi="es-ES"/>
        </w:rPr>
        <w:t>nc</w:t>
      </w:r>
      <w:r w:rsidR="004662AD" w:rsidRPr="00785D06">
        <w:rPr>
          <w:rFonts w:eastAsia="Times New Roman"/>
          <w:i/>
          <w:sz w:val="20"/>
          <w:szCs w:val="20"/>
          <w:lang w:val="en-US" w:eastAsia="es-ES" w:bidi="es-ES"/>
        </w:rPr>
        <w:t xml:space="preserve">lusion </w:t>
      </w:r>
      <w:r w:rsidRPr="00785D06">
        <w:rPr>
          <w:rFonts w:eastAsia="Times New Roman"/>
          <w:i/>
          <w:sz w:val="20"/>
          <w:szCs w:val="20"/>
          <w:lang w:val="en-US" w:eastAsia="es-ES" w:bidi="es-ES"/>
        </w:rPr>
        <w:t>of</w:t>
      </w:r>
      <w:r w:rsidRPr="00785D06">
        <w:rPr>
          <w:rFonts w:eastAsia="Times New Roman"/>
          <w:sz w:val="20"/>
          <w:szCs w:val="20"/>
          <w:lang w:val="en-US" w:eastAsia="es-ES" w:bidi="es-ES"/>
        </w:rPr>
        <w:t xml:space="preserve"> </w:t>
      </w:r>
      <w:r w:rsidRPr="00785D06">
        <w:rPr>
          <w:rFonts w:eastAsia="Times New Roman"/>
          <w:i/>
          <w:sz w:val="20"/>
          <w:szCs w:val="20"/>
          <w:lang w:val="en-US" w:eastAsia="es-ES" w:bidi="es-ES"/>
        </w:rPr>
        <w:t>courses on sexual and reproductive rights</w:t>
      </w:r>
      <w:r w:rsidR="004662AD" w:rsidRPr="00785D06">
        <w:rPr>
          <w:rFonts w:eastAsia="Times New Roman"/>
          <w:sz w:val="20"/>
          <w:szCs w:val="20"/>
          <w:lang w:val="en-US" w:eastAsia="es-ES" w:bidi="es-ES"/>
        </w:rPr>
        <w:t xml:space="preserve"> </w:t>
      </w:r>
      <w:r w:rsidRPr="00785D06">
        <w:rPr>
          <w:rFonts w:eastAsia="Times New Roman"/>
          <w:sz w:val="20"/>
          <w:szCs w:val="20"/>
          <w:lang w:val="en-US" w:eastAsia="es-ES" w:bidi="es-ES"/>
        </w:rPr>
        <w:t xml:space="preserve">in the </w:t>
      </w:r>
      <w:r w:rsidR="00DC1E9E" w:rsidRPr="00785D06">
        <w:rPr>
          <w:rFonts w:eastAsia="Times New Roman"/>
          <w:sz w:val="20"/>
          <w:szCs w:val="20"/>
          <w:lang w:val="en-US" w:eastAsia="es-ES" w:bidi="es-ES"/>
        </w:rPr>
        <w:t xml:space="preserve">curricula </w:t>
      </w:r>
      <w:r w:rsidRPr="00785D06">
        <w:rPr>
          <w:rFonts w:eastAsia="Times New Roman"/>
          <w:sz w:val="20"/>
          <w:szCs w:val="20"/>
          <w:lang w:val="en-US" w:eastAsia="es-ES" w:bidi="es-ES"/>
        </w:rPr>
        <w:t>of all schools in Ecuador, in order to inform and educate children on th</w:t>
      </w:r>
      <w:r w:rsidR="004662AD" w:rsidRPr="00785D06">
        <w:rPr>
          <w:rFonts w:eastAsia="Times New Roman"/>
          <w:sz w:val="20"/>
          <w:szCs w:val="20"/>
          <w:lang w:val="en-US" w:eastAsia="es-ES" w:bidi="es-ES"/>
        </w:rPr>
        <w:t xml:space="preserve">eir </w:t>
      </w:r>
      <w:r w:rsidRPr="00785D06">
        <w:rPr>
          <w:rFonts w:eastAsia="Times New Roman"/>
          <w:sz w:val="20"/>
          <w:szCs w:val="20"/>
          <w:lang w:val="en-US" w:eastAsia="es-ES" w:bidi="es-ES"/>
        </w:rPr>
        <w:t>rights.</w:t>
      </w:r>
      <w:r w:rsidRPr="00785D06" w:rsidDel="001B0866">
        <w:rPr>
          <w:rFonts w:eastAsia="Times New Roman"/>
          <w:sz w:val="20"/>
          <w:szCs w:val="20"/>
          <w:lang w:val="en-US" w:eastAsia="es-ES" w:bidi="es-ES"/>
        </w:rPr>
        <w:t xml:space="preserve"> </w:t>
      </w:r>
    </w:p>
    <w:p w14:paraId="19865266" w14:textId="77777777" w:rsidR="00C254BF" w:rsidRPr="00785D06" w:rsidRDefault="00C254BF" w:rsidP="00C254BF">
      <w:pPr>
        <w:pStyle w:val="Prrafodelista"/>
        <w:widowControl w:val="0"/>
        <w:tabs>
          <w:tab w:val="left" w:pos="633"/>
        </w:tabs>
        <w:autoSpaceDE w:val="0"/>
        <w:autoSpaceDN w:val="0"/>
        <w:ind w:left="284" w:right="117"/>
        <w:jc w:val="both"/>
        <w:rPr>
          <w:rFonts w:eastAsia="Times New Roman"/>
          <w:sz w:val="20"/>
          <w:szCs w:val="20"/>
          <w:lang w:val="en-US" w:eastAsia="es-ES" w:bidi="es-ES"/>
        </w:rPr>
      </w:pPr>
    </w:p>
    <w:p w14:paraId="5113D464" w14:textId="77777777" w:rsidR="00C254BF" w:rsidRPr="00785D06" w:rsidRDefault="00C254BF" w:rsidP="00C254BF">
      <w:pPr>
        <w:pStyle w:val="Prrafodelista"/>
        <w:widowControl w:val="0"/>
        <w:tabs>
          <w:tab w:val="left" w:pos="633"/>
        </w:tabs>
        <w:autoSpaceDE w:val="0"/>
        <w:autoSpaceDN w:val="0"/>
        <w:ind w:left="284" w:right="117"/>
        <w:jc w:val="both"/>
        <w:rPr>
          <w:rFonts w:eastAsia="Times New Roman"/>
          <w:b/>
          <w:sz w:val="20"/>
          <w:szCs w:val="20"/>
          <w:lang w:val="en-US" w:eastAsia="es-ES" w:bidi="es-ES"/>
        </w:rPr>
      </w:pPr>
      <w:r w:rsidRPr="00785D06">
        <w:rPr>
          <w:rFonts w:eastAsia="Times New Roman"/>
          <w:sz w:val="20"/>
          <w:szCs w:val="20"/>
          <w:lang w:val="en-US" w:eastAsia="es-ES" w:bidi="es-ES"/>
        </w:rPr>
        <w:t xml:space="preserve">d) </w:t>
      </w:r>
      <w:r w:rsidR="00A51107" w:rsidRPr="00785D06">
        <w:rPr>
          <w:rFonts w:eastAsia="Times New Roman"/>
          <w:sz w:val="20"/>
          <w:szCs w:val="20"/>
          <w:lang w:val="en-US" w:eastAsia="es-ES" w:bidi="es-ES"/>
        </w:rPr>
        <w:t>A</w:t>
      </w:r>
      <w:r w:rsidRPr="00785D06">
        <w:rPr>
          <w:rFonts w:eastAsia="Times New Roman"/>
          <w:sz w:val="20"/>
          <w:szCs w:val="20"/>
          <w:lang w:val="en-US" w:eastAsia="es-ES" w:bidi="es-ES"/>
        </w:rPr>
        <w:t xml:space="preserve">ctions to ensure the </w:t>
      </w:r>
      <w:r w:rsidRPr="00785D06">
        <w:rPr>
          <w:rFonts w:eastAsia="Times New Roman"/>
          <w:i/>
          <w:sz w:val="20"/>
          <w:szCs w:val="20"/>
          <w:lang w:val="en-US" w:eastAsia="es-ES" w:bidi="es-ES"/>
        </w:rPr>
        <w:t xml:space="preserve">availability of information </w:t>
      </w:r>
      <w:r w:rsidR="00A51107" w:rsidRPr="00785D06">
        <w:rPr>
          <w:rFonts w:eastAsia="Times New Roman"/>
          <w:i/>
          <w:sz w:val="20"/>
          <w:szCs w:val="20"/>
          <w:lang w:val="en-US" w:eastAsia="es-ES" w:bidi="es-ES"/>
        </w:rPr>
        <w:t>on sexual violence in Ecuadorian</w:t>
      </w:r>
      <w:r w:rsidRPr="00785D06">
        <w:rPr>
          <w:rFonts w:eastAsia="Times New Roman"/>
          <w:i/>
          <w:sz w:val="20"/>
          <w:szCs w:val="20"/>
          <w:lang w:val="en-US" w:eastAsia="es-ES" w:bidi="es-ES"/>
        </w:rPr>
        <w:t xml:space="preserve"> schools</w:t>
      </w:r>
      <w:r w:rsidR="00F43FA0" w:rsidRPr="00785D06">
        <w:rPr>
          <w:rFonts w:eastAsia="Times New Roman"/>
          <w:sz w:val="20"/>
          <w:szCs w:val="20"/>
          <w:lang w:val="en-US" w:eastAsia="es-ES" w:bidi="es-ES"/>
        </w:rPr>
        <w:t xml:space="preserve">. </w:t>
      </w:r>
      <w:r w:rsidRPr="00785D06">
        <w:rPr>
          <w:rFonts w:eastAsia="Times New Roman"/>
          <w:sz w:val="20"/>
          <w:szCs w:val="20"/>
          <w:lang w:val="en-US" w:eastAsia="es-ES" w:bidi="es-ES"/>
        </w:rPr>
        <w:t>The</w:t>
      </w:r>
      <w:r w:rsidR="00F43FA0" w:rsidRPr="00785D06">
        <w:rPr>
          <w:rFonts w:eastAsia="Times New Roman"/>
          <w:sz w:val="20"/>
          <w:szCs w:val="20"/>
          <w:lang w:val="en-US" w:eastAsia="es-ES" w:bidi="es-ES"/>
        </w:rPr>
        <w:t xml:space="preserve"> representatives </w:t>
      </w:r>
      <w:r w:rsidRPr="00785D06">
        <w:rPr>
          <w:rFonts w:eastAsia="Times New Roman"/>
          <w:sz w:val="20"/>
          <w:szCs w:val="20"/>
          <w:lang w:val="en-US" w:eastAsia="es-ES" w:bidi="es-ES"/>
        </w:rPr>
        <w:t xml:space="preserve">requested that the State </w:t>
      </w:r>
      <w:r w:rsidR="00F43FA0" w:rsidRPr="00785D06">
        <w:rPr>
          <w:rFonts w:eastAsia="Times New Roman"/>
          <w:sz w:val="20"/>
          <w:szCs w:val="20"/>
          <w:lang w:val="en-US" w:eastAsia="es-ES" w:bidi="es-ES"/>
        </w:rPr>
        <w:t xml:space="preserve">take the necessary steps </w:t>
      </w:r>
      <w:r w:rsidRPr="00785D06">
        <w:rPr>
          <w:rFonts w:eastAsia="Times New Roman"/>
          <w:sz w:val="20"/>
          <w:szCs w:val="20"/>
          <w:lang w:val="en-US" w:eastAsia="es-ES" w:bidi="es-ES"/>
        </w:rPr>
        <w:t xml:space="preserve">to produce annual official statistics to monitor the implementation of </w:t>
      </w:r>
      <w:r w:rsidR="00F43FA0" w:rsidRPr="00785D06">
        <w:rPr>
          <w:rFonts w:eastAsia="Times New Roman"/>
          <w:sz w:val="20"/>
          <w:szCs w:val="20"/>
          <w:lang w:val="en-US" w:eastAsia="es-ES" w:bidi="es-ES"/>
        </w:rPr>
        <w:t xml:space="preserve">existing </w:t>
      </w:r>
      <w:r w:rsidRPr="00785D06">
        <w:rPr>
          <w:rFonts w:eastAsia="Times New Roman"/>
          <w:sz w:val="20"/>
          <w:szCs w:val="20"/>
          <w:lang w:val="en-US" w:eastAsia="es-ES" w:bidi="es-ES"/>
        </w:rPr>
        <w:t xml:space="preserve">public policies on gender-based violence and </w:t>
      </w:r>
      <w:r w:rsidR="00F43FA0" w:rsidRPr="00785D06">
        <w:rPr>
          <w:rFonts w:eastAsia="Times New Roman"/>
          <w:sz w:val="20"/>
          <w:szCs w:val="20"/>
          <w:lang w:val="en-US" w:eastAsia="es-ES" w:bidi="es-ES"/>
        </w:rPr>
        <w:t xml:space="preserve">on </w:t>
      </w:r>
      <w:r w:rsidRPr="00785D06">
        <w:rPr>
          <w:rFonts w:eastAsia="Times New Roman"/>
          <w:sz w:val="20"/>
          <w:szCs w:val="20"/>
          <w:lang w:val="en-US" w:eastAsia="es-ES" w:bidi="es-ES"/>
        </w:rPr>
        <w:t xml:space="preserve">criminal, administrative and disciplinary complaints </w:t>
      </w:r>
      <w:r w:rsidR="000E1203" w:rsidRPr="00785D06">
        <w:rPr>
          <w:rFonts w:eastAsia="Times New Roman"/>
          <w:sz w:val="20"/>
          <w:szCs w:val="20"/>
          <w:lang w:val="en-US" w:eastAsia="es-ES" w:bidi="es-ES"/>
        </w:rPr>
        <w:t xml:space="preserve">filed for </w:t>
      </w:r>
      <w:r w:rsidRPr="00785D06">
        <w:rPr>
          <w:rFonts w:eastAsia="Times New Roman"/>
          <w:sz w:val="20"/>
          <w:szCs w:val="20"/>
          <w:lang w:val="en-US" w:eastAsia="es-ES" w:bidi="es-ES"/>
        </w:rPr>
        <w:t>sex</w:t>
      </w:r>
      <w:r w:rsidR="00196661" w:rsidRPr="00785D06">
        <w:rPr>
          <w:rFonts w:eastAsia="Times New Roman"/>
          <w:sz w:val="20"/>
          <w:szCs w:val="20"/>
          <w:lang w:val="en-US" w:eastAsia="es-ES" w:bidi="es-ES"/>
        </w:rPr>
        <w:t>ual</w:t>
      </w:r>
      <w:r w:rsidRPr="00785D06">
        <w:rPr>
          <w:rFonts w:eastAsia="Times New Roman"/>
          <w:sz w:val="20"/>
          <w:szCs w:val="20"/>
          <w:lang w:val="en-US" w:eastAsia="es-ES" w:bidi="es-ES"/>
        </w:rPr>
        <w:t xml:space="preserve"> crimes </w:t>
      </w:r>
      <w:r w:rsidR="000E1203" w:rsidRPr="00785D06">
        <w:rPr>
          <w:rFonts w:eastAsia="Times New Roman"/>
          <w:sz w:val="20"/>
          <w:szCs w:val="20"/>
          <w:lang w:val="en-US" w:eastAsia="es-ES" w:bidi="es-ES"/>
        </w:rPr>
        <w:t xml:space="preserve">committed </w:t>
      </w:r>
      <w:r w:rsidRPr="00785D06">
        <w:rPr>
          <w:rFonts w:eastAsia="Times New Roman"/>
          <w:sz w:val="20"/>
          <w:szCs w:val="20"/>
          <w:lang w:val="en-US" w:eastAsia="es-ES" w:bidi="es-ES"/>
        </w:rPr>
        <w:t xml:space="preserve">against children and adolescents. </w:t>
      </w:r>
    </w:p>
    <w:p w14:paraId="00C7E928" w14:textId="77777777" w:rsidR="00C254BF" w:rsidRPr="00785D06" w:rsidRDefault="00C254BF" w:rsidP="00C254BF">
      <w:pPr>
        <w:pStyle w:val="Prrafodelista"/>
        <w:ind w:left="0"/>
        <w:contextualSpacing w:val="0"/>
        <w:jc w:val="both"/>
        <w:rPr>
          <w:sz w:val="20"/>
          <w:szCs w:val="20"/>
          <w:lang w:val="en-US"/>
        </w:rPr>
      </w:pPr>
    </w:p>
    <w:p w14:paraId="10485B6E"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 xml:space="preserve">In its answering brief, the </w:t>
      </w:r>
      <w:r w:rsidRPr="00785D06">
        <w:rPr>
          <w:rFonts w:eastAsia="Times New Roman"/>
          <w:b/>
          <w:i/>
          <w:sz w:val="20"/>
          <w:szCs w:val="20"/>
          <w:lang w:val="en-US" w:eastAsia="es-ES" w:bidi="es-ES"/>
        </w:rPr>
        <w:t xml:space="preserve">State </w:t>
      </w:r>
      <w:r w:rsidRPr="00785D06">
        <w:rPr>
          <w:rFonts w:eastAsia="Times New Roman"/>
          <w:sz w:val="20"/>
          <w:szCs w:val="20"/>
          <w:lang w:val="en-US" w:eastAsia="es-ES" w:bidi="es-ES"/>
        </w:rPr>
        <w:t>considered that the measures requested by the representatives were unnecessary, given that the Ecuadorian authorities have already implemented domestic regulations and protocols in the area of sexual and reproductive rights. During the</w:t>
      </w:r>
      <w:r w:rsidRPr="00785D06">
        <w:rPr>
          <w:rFonts w:eastAsia="Times New Roman"/>
          <w:i/>
          <w:sz w:val="20"/>
          <w:szCs w:val="20"/>
          <w:lang w:val="en-US" w:eastAsia="es-ES" w:bidi="es-ES"/>
        </w:rPr>
        <w:t xml:space="preserve"> </w:t>
      </w:r>
      <w:r w:rsidRPr="00785D06">
        <w:rPr>
          <w:rFonts w:eastAsia="Times New Roman"/>
          <w:sz w:val="20"/>
          <w:szCs w:val="20"/>
          <w:lang w:val="en-US" w:eastAsia="es-ES" w:bidi="es-ES"/>
        </w:rPr>
        <w:t>public hearing (</w:t>
      </w:r>
      <w:r w:rsidRPr="00785D06">
        <w:rPr>
          <w:rFonts w:eastAsia="Times New Roman"/>
          <w:i/>
          <w:sz w:val="20"/>
          <w:szCs w:val="20"/>
          <w:lang w:val="en-US" w:eastAsia="es-ES" w:bidi="es-ES"/>
        </w:rPr>
        <w:t xml:space="preserve">supra </w:t>
      </w:r>
      <w:r w:rsidRPr="00785D06">
        <w:rPr>
          <w:rFonts w:eastAsia="Times New Roman"/>
          <w:sz w:val="20"/>
          <w:szCs w:val="20"/>
          <w:lang w:val="en-US" w:eastAsia="es-ES" w:bidi="es-ES"/>
        </w:rPr>
        <w:t>para. 10), the State indicated that it has already developed tools to eradicate violence, based on preventive, reactive an</w:t>
      </w:r>
      <w:r w:rsidR="00764F73" w:rsidRPr="00785D06">
        <w:rPr>
          <w:rFonts w:eastAsia="Times New Roman"/>
          <w:sz w:val="20"/>
          <w:szCs w:val="20"/>
          <w:lang w:val="en-US" w:eastAsia="es-ES" w:bidi="es-ES"/>
        </w:rPr>
        <w:t>d corrective approaches. I</w:t>
      </w:r>
      <w:r w:rsidR="006477EB" w:rsidRPr="00785D06">
        <w:rPr>
          <w:rFonts w:eastAsia="Times New Roman"/>
          <w:sz w:val="20"/>
          <w:szCs w:val="20"/>
          <w:lang w:val="en-US" w:eastAsia="es-ES" w:bidi="es-ES"/>
        </w:rPr>
        <w:t>n its final written arguments</w:t>
      </w:r>
      <w:r w:rsidRPr="00785D06">
        <w:rPr>
          <w:rFonts w:eastAsia="Times New Roman"/>
          <w:sz w:val="20"/>
          <w:szCs w:val="20"/>
          <w:lang w:val="en-US" w:eastAsia="es-ES" w:bidi="es-ES"/>
        </w:rPr>
        <w:t xml:space="preserve"> it </w:t>
      </w:r>
      <w:r w:rsidR="00764F73" w:rsidRPr="00785D06">
        <w:rPr>
          <w:rFonts w:eastAsia="Times New Roman"/>
          <w:sz w:val="20"/>
          <w:szCs w:val="20"/>
          <w:lang w:val="en-US" w:eastAsia="es-ES" w:bidi="es-ES"/>
        </w:rPr>
        <w:t xml:space="preserve">also </w:t>
      </w:r>
      <w:r w:rsidRPr="00785D06">
        <w:rPr>
          <w:rFonts w:eastAsia="Times New Roman"/>
          <w:sz w:val="20"/>
          <w:szCs w:val="20"/>
          <w:lang w:val="en-US" w:eastAsia="es-ES" w:bidi="es-ES"/>
        </w:rPr>
        <w:t xml:space="preserve">described the actions taken </w:t>
      </w:r>
      <w:r w:rsidR="00F73BA5" w:rsidRPr="00785D06">
        <w:rPr>
          <w:rFonts w:eastAsia="Times New Roman"/>
          <w:sz w:val="20"/>
          <w:szCs w:val="20"/>
          <w:lang w:val="en-US" w:eastAsia="es-ES" w:bidi="es-ES"/>
        </w:rPr>
        <w:t>to prevent and eradicate</w:t>
      </w:r>
      <w:r w:rsidRPr="00785D06">
        <w:rPr>
          <w:rFonts w:eastAsia="Times New Roman"/>
          <w:sz w:val="20"/>
          <w:szCs w:val="20"/>
          <w:lang w:val="en-US" w:eastAsia="es-ES" w:bidi="es-ES"/>
        </w:rPr>
        <w:t xml:space="preserve"> sexual violence within the Ecuadorian education system.</w:t>
      </w:r>
      <w:r w:rsidRPr="00785D06">
        <w:rPr>
          <w:rFonts w:eastAsia="Times New Roman"/>
          <w:b/>
          <w:sz w:val="20"/>
          <w:szCs w:val="20"/>
          <w:lang w:val="en-US" w:eastAsia="es-ES" w:bidi="es-ES"/>
        </w:rPr>
        <w:t xml:space="preserve"> </w:t>
      </w:r>
    </w:p>
    <w:p w14:paraId="42E851C5" w14:textId="77777777" w:rsidR="00C254BF" w:rsidRPr="00785D06" w:rsidRDefault="00C254BF" w:rsidP="00C254BF">
      <w:pPr>
        <w:pStyle w:val="Prrafodelista"/>
        <w:ind w:left="0"/>
        <w:contextualSpacing w:val="0"/>
        <w:jc w:val="both"/>
        <w:rPr>
          <w:sz w:val="20"/>
          <w:szCs w:val="20"/>
          <w:lang w:val="en-US"/>
        </w:rPr>
      </w:pPr>
    </w:p>
    <w:p w14:paraId="6595CA7E" w14:textId="77777777" w:rsidR="00C254BF" w:rsidRPr="00785D06" w:rsidRDefault="009F2451"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I</w:t>
      </w:r>
      <w:r w:rsidR="00C254BF" w:rsidRPr="00785D06">
        <w:rPr>
          <w:rFonts w:eastAsia="Times New Roman"/>
          <w:sz w:val="20"/>
          <w:szCs w:val="20"/>
          <w:lang w:val="en-US" w:eastAsia="es-ES" w:bidi="es-ES"/>
        </w:rPr>
        <w:t xml:space="preserve">n its arguments, the </w:t>
      </w:r>
      <w:r w:rsidR="00C254BF" w:rsidRPr="00785D06">
        <w:rPr>
          <w:rFonts w:eastAsia="Times New Roman"/>
          <w:b/>
          <w:i/>
          <w:sz w:val="20"/>
          <w:szCs w:val="20"/>
          <w:lang w:val="en-US" w:eastAsia="es-ES" w:bidi="es-ES"/>
        </w:rPr>
        <w:t xml:space="preserve">State </w:t>
      </w:r>
      <w:r w:rsidRPr="00785D06">
        <w:rPr>
          <w:rFonts w:eastAsia="Times New Roman"/>
          <w:sz w:val="20"/>
          <w:szCs w:val="20"/>
          <w:lang w:val="en-US" w:eastAsia="es-ES" w:bidi="es-ES"/>
        </w:rPr>
        <w:t xml:space="preserve">specified </w:t>
      </w:r>
      <w:r w:rsidR="00C254BF" w:rsidRPr="00785D06">
        <w:rPr>
          <w:rFonts w:eastAsia="Times New Roman"/>
          <w:sz w:val="20"/>
          <w:szCs w:val="20"/>
          <w:lang w:val="en-US" w:eastAsia="es-ES" w:bidi="es-ES"/>
        </w:rPr>
        <w:t>the actions it has carried out, grouping these as follows:</w:t>
      </w:r>
    </w:p>
    <w:p w14:paraId="3E8636B7" w14:textId="77777777" w:rsidR="00C254BF" w:rsidRPr="00785D06" w:rsidRDefault="00C254BF" w:rsidP="00C254BF">
      <w:pPr>
        <w:pStyle w:val="Prrafodelista"/>
        <w:rPr>
          <w:rFonts w:eastAsia="Times New Roman"/>
          <w:sz w:val="20"/>
          <w:szCs w:val="20"/>
          <w:lang w:val="en-US" w:eastAsia="es-ES" w:bidi="es-ES"/>
        </w:rPr>
      </w:pPr>
    </w:p>
    <w:p w14:paraId="3DEDD662" w14:textId="77777777" w:rsidR="00C254BF" w:rsidRPr="00785D06" w:rsidRDefault="009F2451" w:rsidP="00C254BF">
      <w:pPr>
        <w:pStyle w:val="Prrafodelista"/>
        <w:widowControl w:val="0"/>
        <w:numPr>
          <w:ilvl w:val="0"/>
          <w:numId w:val="14"/>
        </w:numPr>
        <w:autoSpaceDE w:val="0"/>
        <w:autoSpaceDN w:val="0"/>
        <w:ind w:left="284" w:right="117" w:firstLine="0"/>
        <w:jc w:val="both"/>
        <w:rPr>
          <w:rFonts w:eastAsia="Times New Roman"/>
          <w:i/>
          <w:sz w:val="20"/>
          <w:szCs w:val="20"/>
          <w:lang w:val="en-US" w:eastAsia="es-ES" w:bidi="es-ES"/>
        </w:rPr>
      </w:pPr>
      <w:r w:rsidRPr="00785D06">
        <w:rPr>
          <w:rFonts w:eastAsia="Times New Roman"/>
          <w:i/>
          <w:sz w:val="20"/>
          <w:szCs w:val="20"/>
          <w:lang w:val="en-US" w:eastAsia="es-ES" w:bidi="es-ES"/>
        </w:rPr>
        <w:t>Comprehensive care</w:t>
      </w:r>
      <w:r w:rsidR="00C254BF" w:rsidRPr="00785D06">
        <w:rPr>
          <w:rFonts w:eastAsia="Times New Roman"/>
          <w:sz w:val="20"/>
          <w:szCs w:val="20"/>
          <w:lang w:val="en-US" w:eastAsia="es-ES" w:bidi="es-ES"/>
        </w:rPr>
        <w:t>:</w:t>
      </w:r>
      <w:r w:rsidR="00C254BF" w:rsidRPr="00785D06">
        <w:rPr>
          <w:rFonts w:eastAsia="Times New Roman"/>
          <w:b/>
          <w:sz w:val="20"/>
          <w:szCs w:val="20"/>
          <w:lang w:val="en-US" w:eastAsia="es-ES" w:bidi="es-ES"/>
        </w:rPr>
        <w:t xml:space="preserve"> </w:t>
      </w:r>
      <w:r w:rsidR="001B1CBA" w:rsidRPr="00785D06">
        <w:rPr>
          <w:rFonts w:eastAsia="Times New Roman"/>
          <w:sz w:val="20"/>
          <w:szCs w:val="20"/>
          <w:lang w:val="en-US" w:eastAsia="es-ES" w:bidi="es-ES"/>
        </w:rPr>
        <w:t xml:space="preserve">i. </w:t>
      </w:r>
      <w:r w:rsidRPr="00785D06">
        <w:rPr>
          <w:rFonts w:eastAsia="Times New Roman"/>
          <w:sz w:val="20"/>
          <w:szCs w:val="20"/>
          <w:lang w:val="en-US" w:eastAsia="es-ES" w:bidi="es-ES"/>
        </w:rPr>
        <w:t xml:space="preserve">Through </w:t>
      </w:r>
      <w:r w:rsidR="00C254BF" w:rsidRPr="00785D06">
        <w:rPr>
          <w:rFonts w:eastAsia="Times New Roman"/>
          <w:sz w:val="20"/>
          <w:szCs w:val="20"/>
          <w:lang w:val="en-US" w:eastAsia="es-ES" w:bidi="es-ES"/>
        </w:rPr>
        <w:t>Executive Decree Nº 620</w:t>
      </w:r>
      <w:r w:rsidRPr="00785D06">
        <w:rPr>
          <w:rFonts w:eastAsia="Times New Roman"/>
          <w:sz w:val="20"/>
          <w:szCs w:val="20"/>
          <w:lang w:val="en-US" w:eastAsia="es-ES" w:bidi="es-ES"/>
        </w:rPr>
        <w:t xml:space="preserve"> of November 2007</w:t>
      </w:r>
      <w:r w:rsidR="00C254BF" w:rsidRPr="00785D06">
        <w:rPr>
          <w:rFonts w:eastAsia="Times New Roman"/>
          <w:sz w:val="20"/>
          <w:szCs w:val="20"/>
          <w:lang w:val="en-US" w:eastAsia="es-ES" w:bidi="es-ES"/>
        </w:rPr>
        <w:t>, the eradication of gender-based violence was declared a State policy, a</w:t>
      </w:r>
      <w:r w:rsidR="006A42FF" w:rsidRPr="00785D06">
        <w:rPr>
          <w:rFonts w:eastAsia="Times New Roman"/>
          <w:sz w:val="20"/>
          <w:szCs w:val="20"/>
          <w:lang w:val="en-US" w:eastAsia="es-ES" w:bidi="es-ES"/>
        </w:rPr>
        <w:t xml:space="preserve">nd </w:t>
      </w:r>
      <w:r w:rsidR="00C254BF" w:rsidRPr="00785D06">
        <w:rPr>
          <w:rFonts w:eastAsia="Times New Roman"/>
          <w:sz w:val="20"/>
          <w:szCs w:val="20"/>
          <w:lang w:val="en-US" w:eastAsia="es-ES" w:bidi="es-ES"/>
        </w:rPr>
        <w:t xml:space="preserve">an interinstitutional Technical Committee was formed to </w:t>
      </w:r>
      <w:r w:rsidR="00AD03B4" w:rsidRPr="00785D06">
        <w:rPr>
          <w:rFonts w:eastAsia="Times New Roman"/>
          <w:sz w:val="20"/>
          <w:szCs w:val="20"/>
          <w:lang w:val="en-US" w:eastAsia="es-ES" w:bidi="es-ES"/>
        </w:rPr>
        <w:t>draft</w:t>
      </w:r>
      <w:r w:rsidR="00C254BF" w:rsidRPr="00785D06">
        <w:rPr>
          <w:rFonts w:eastAsia="Times New Roman"/>
          <w:sz w:val="20"/>
          <w:szCs w:val="20"/>
          <w:lang w:val="en-US" w:eastAsia="es-ES" w:bidi="es-ES"/>
        </w:rPr>
        <w:t xml:space="preserve"> the National </w:t>
      </w:r>
      <w:r w:rsidRPr="00785D06">
        <w:rPr>
          <w:rFonts w:eastAsia="Times New Roman"/>
          <w:sz w:val="20"/>
          <w:szCs w:val="20"/>
          <w:lang w:val="en-US" w:eastAsia="es-ES" w:bidi="es-ES"/>
        </w:rPr>
        <w:t xml:space="preserve">Plan for the </w:t>
      </w:r>
      <w:r w:rsidR="00C254BF" w:rsidRPr="00785D06">
        <w:rPr>
          <w:rFonts w:eastAsia="Times New Roman"/>
          <w:sz w:val="20"/>
          <w:szCs w:val="20"/>
          <w:lang w:val="en-US" w:eastAsia="es-ES" w:bidi="es-ES"/>
        </w:rPr>
        <w:t>Eradication of Gender-bas</w:t>
      </w:r>
      <w:r w:rsidR="00AD03B4" w:rsidRPr="00785D06">
        <w:rPr>
          <w:rFonts w:eastAsia="Times New Roman"/>
          <w:sz w:val="20"/>
          <w:szCs w:val="20"/>
          <w:lang w:val="en-US" w:eastAsia="es-ES" w:bidi="es-ES"/>
        </w:rPr>
        <w:t>ed and Domestic Violence. ii. T</w:t>
      </w:r>
      <w:r w:rsidR="00C254BF" w:rsidRPr="00785D06">
        <w:rPr>
          <w:rFonts w:eastAsia="Times New Roman"/>
          <w:sz w:val="20"/>
          <w:szCs w:val="20"/>
          <w:lang w:val="en-US" w:eastAsia="es-ES" w:bidi="es-ES"/>
        </w:rPr>
        <w:t xml:space="preserve">he Ecuadorian authorities </w:t>
      </w:r>
      <w:r w:rsidR="00AD03B4" w:rsidRPr="00785D06">
        <w:rPr>
          <w:rFonts w:eastAsia="Times New Roman"/>
          <w:sz w:val="20"/>
          <w:szCs w:val="20"/>
          <w:lang w:val="en-US" w:eastAsia="es-ES" w:bidi="es-ES"/>
        </w:rPr>
        <w:t xml:space="preserve">have </w:t>
      </w:r>
      <w:r w:rsidR="00C254BF" w:rsidRPr="00785D06">
        <w:rPr>
          <w:rFonts w:eastAsia="Times New Roman"/>
          <w:sz w:val="20"/>
          <w:szCs w:val="20"/>
          <w:lang w:val="en-US" w:eastAsia="es-ES" w:bidi="es-ES"/>
        </w:rPr>
        <w:t xml:space="preserve">issued the following policies and ministerial agreements to guarantee the right to sexual and reproductive health: 1) Interinstitutional </w:t>
      </w:r>
      <w:r w:rsidR="006A42FF" w:rsidRPr="00785D06">
        <w:rPr>
          <w:rFonts w:eastAsia="Times New Roman"/>
          <w:sz w:val="20"/>
          <w:szCs w:val="20"/>
          <w:lang w:val="en-US" w:eastAsia="es-ES" w:bidi="es-ES"/>
        </w:rPr>
        <w:t xml:space="preserve">Cooperation Agreement </w:t>
      </w:r>
      <w:r w:rsidR="00AB3F2F" w:rsidRPr="00785D06">
        <w:rPr>
          <w:rFonts w:eastAsia="Times New Roman"/>
          <w:sz w:val="20"/>
          <w:szCs w:val="20"/>
          <w:lang w:val="en-US" w:eastAsia="es-ES" w:bidi="es-ES"/>
        </w:rPr>
        <w:t>2017-2018 on</w:t>
      </w:r>
      <w:r w:rsidR="00C254BF" w:rsidRPr="00785D06">
        <w:rPr>
          <w:rFonts w:eastAsia="Times New Roman"/>
          <w:sz w:val="20"/>
          <w:szCs w:val="20"/>
          <w:lang w:val="en-US" w:eastAsia="es-ES" w:bidi="es-ES"/>
        </w:rPr>
        <w:t xml:space="preserve"> compre</w:t>
      </w:r>
      <w:r w:rsidR="00AB3F2F" w:rsidRPr="00785D06">
        <w:rPr>
          <w:rFonts w:eastAsia="Times New Roman"/>
          <w:sz w:val="20"/>
          <w:szCs w:val="20"/>
          <w:lang w:val="en-US" w:eastAsia="es-ES" w:bidi="es-ES"/>
        </w:rPr>
        <w:t>hensive health care for child and adolescent</w:t>
      </w:r>
      <w:r w:rsidR="00C254BF" w:rsidRPr="00785D06">
        <w:rPr>
          <w:rFonts w:eastAsia="Times New Roman"/>
          <w:sz w:val="20"/>
          <w:szCs w:val="20"/>
          <w:lang w:val="en-US" w:eastAsia="es-ES" w:bidi="es-ES"/>
        </w:rPr>
        <w:t xml:space="preserve"> victims of gender-based violence, </w:t>
      </w:r>
      <w:r w:rsidR="006625BD" w:rsidRPr="00785D06">
        <w:rPr>
          <w:rFonts w:eastAsia="Times New Roman"/>
          <w:sz w:val="20"/>
          <w:szCs w:val="20"/>
          <w:lang w:val="en-US" w:eastAsia="es-ES" w:bidi="es-ES"/>
        </w:rPr>
        <w:t>prioritizing</w:t>
      </w:r>
      <w:r w:rsidR="00AD03B4" w:rsidRPr="00785D06">
        <w:rPr>
          <w:rFonts w:eastAsia="Times New Roman"/>
          <w:sz w:val="20"/>
          <w:szCs w:val="20"/>
          <w:lang w:val="en-US" w:eastAsia="es-ES" w:bidi="es-ES"/>
        </w:rPr>
        <w:t xml:space="preserve"> </w:t>
      </w:r>
      <w:r w:rsidR="00C254BF" w:rsidRPr="00785D06">
        <w:rPr>
          <w:rFonts w:eastAsia="Times New Roman"/>
          <w:sz w:val="20"/>
          <w:szCs w:val="20"/>
          <w:lang w:val="en-US" w:eastAsia="es-ES" w:bidi="es-ES"/>
        </w:rPr>
        <w:t xml:space="preserve">cases detected or committed </w:t>
      </w:r>
      <w:r w:rsidR="00AD03B4" w:rsidRPr="00785D06">
        <w:rPr>
          <w:rFonts w:eastAsia="Times New Roman"/>
          <w:sz w:val="20"/>
          <w:szCs w:val="20"/>
          <w:lang w:val="en-US" w:eastAsia="es-ES" w:bidi="es-ES"/>
        </w:rPr>
        <w:t>within the national education s</w:t>
      </w:r>
      <w:r w:rsidR="00C254BF" w:rsidRPr="00785D06">
        <w:rPr>
          <w:rFonts w:eastAsia="Times New Roman"/>
          <w:sz w:val="20"/>
          <w:szCs w:val="20"/>
          <w:lang w:val="en-US" w:eastAsia="es-ES" w:bidi="es-ES"/>
        </w:rPr>
        <w:t>ystem; 2) Sexual and Reproductive Health Plan</w:t>
      </w:r>
      <w:r w:rsidR="003041ED" w:rsidRPr="00785D06">
        <w:rPr>
          <w:rFonts w:eastAsia="Times New Roman"/>
          <w:sz w:val="20"/>
          <w:szCs w:val="20"/>
          <w:lang w:val="en-US" w:eastAsia="es-ES" w:bidi="es-ES"/>
        </w:rPr>
        <w:t xml:space="preserve"> 2017-2021, </w:t>
      </w:r>
      <w:r w:rsidR="000C38AD" w:rsidRPr="00785D06">
        <w:rPr>
          <w:rFonts w:eastAsia="Times New Roman"/>
          <w:sz w:val="20"/>
          <w:szCs w:val="20"/>
          <w:lang w:val="en-US" w:eastAsia="es-ES" w:bidi="es-ES"/>
        </w:rPr>
        <w:t>ensuring</w:t>
      </w:r>
      <w:r w:rsidR="00C254BF" w:rsidRPr="00785D06">
        <w:rPr>
          <w:rFonts w:eastAsia="Times New Roman"/>
          <w:sz w:val="20"/>
          <w:szCs w:val="20"/>
          <w:lang w:val="en-US" w:eastAsia="es-ES" w:bidi="es-ES"/>
        </w:rPr>
        <w:t xml:space="preserve"> comprehensive and quality health care;</w:t>
      </w:r>
      <w:r w:rsidR="00C254BF" w:rsidRPr="00785D06">
        <w:rPr>
          <w:rStyle w:val="Refdenotaalpie"/>
          <w:rFonts w:eastAsia="Times New Roman"/>
          <w:sz w:val="20"/>
          <w:szCs w:val="20"/>
          <w:lang w:val="en-US" w:eastAsia="es-ES" w:bidi="es-ES"/>
        </w:rPr>
        <w:footnoteReference w:id="209"/>
      </w:r>
      <w:r w:rsidR="00C254BF" w:rsidRPr="00785D06">
        <w:rPr>
          <w:rFonts w:eastAsia="Times New Roman"/>
          <w:sz w:val="20"/>
          <w:szCs w:val="20"/>
          <w:lang w:val="en-US" w:eastAsia="es-ES" w:bidi="es-ES"/>
        </w:rPr>
        <w:t xml:space="preserve"> and 3) Intersectoral Policy for the Prevention of Pregnancy in Girls and Adolescents 2018-2025, implemented jointly by the Ministries of Public Health (MSP), Education, Economic and So</w:t>
      </w:r>
      <w:r w:rsidR="003041ED" w:rsidRPr="00785D06">
        <w:rPr>
          <w:rFonts w:eastAsia="Times New Roman"/>
          <w:sz w:val="20"/>
          <w:szCs w:val="20"/>
          <w:lang w:val="en-US" w:eastAsia="es-ES" w:bidi="es-ES"/>
        </w:rPr>
        <w:t>cial Inclusion and the Secretariat</w:t>
      </w:r>
      <w:r w:rsidR="00C254BF" w:rsidRPr="00785D06">
        <w:rPr>
          <w:rFonts w:eastAsia="Times New Roman"/>
          <w:sz w:val="20"/>
          <w:szCs w:val="20"/>
          <w:lang w:val="en-US" w:eastAsia="es-ES" w:bidi="es-ES"/>
        </w:rPr>
        <w:t xml:space="preserve"> of Human Rights, </w:t>
      </w:r>
      <w:r w:rsidR="003041ED" w:rsidRPr="00785D06">
        <w:rPr>
          <w:rFonts w:eastAsia="Times New Roman"/>
          <w:sz w:val="20"/>
          <w:szCs w:val="20"/>
          <w:lang w:val="en-US" w:eastAsia="es-ES" w:bidi="es-ES"/>
        </w:rPr>
        <w:t xml:space="preserve">aimed at </w:t>
      </w:r>
      <w:r w:rsidR="00C254BF" w:rsidRPr="00785D06">
        <w:rPr>
          <w:rFonts w:eastAsia="Times New Roman"/>
          <w:sz w:val="20"/>
          <w:szCs w:val="20"/>
          <w:lang w:val="en-US" w:eastAsia="es-ES" w:bidi="es-ES"/>
        </w:rPr>
        <w:t xml:space="preserve">ensuring universal access to information, comprehensive sex education and sexual and reproductive health services </w:t>
      </w:r>
      <w:r w:rsidR="003041ED" w:rsidRPr="00785D06">
        <w:rPr>
          <w:rFonts w:eastAsia="Times New Roman"/>
          <w:sz w:val="20"/>
          <w:szCs w:val="20"/>
          <w:lang w:val="en-US" w:eastAsia="es-ES" w:bidi="es-ES"/>
        </w:rPr>
        <w:t xml:space="preserve">in order </w:t>
      </w:r>
      <w:r w:rsidR="00C254BF" w:rsidRPr="00785D06">
        <w:rPr>
          <w:rFonts w:eastAsia="Times New Roman"/>
          <w:sz w:val="20"/>
          <w:szCs w:val="20"/>
          <w:lang w:val="en-US" w:eastAsia="es-ES" w:bidi="es-ES"/>
        </w:rPr>
        <w:t>to promo</w:t>
      </w:r>
      <w:r w:rsidR="006625BD" w:rsidRPr="00785D06">
        <w:rPr>
          <w:rFonts w:eastAsia="Times New Roman"/>
          <w:sz w:val="20"/>
          <w:szCs w:val="20"/>
          <w:lang w:val="en-US" w:eastAsia="es-ES" w:bidi="es-ES"/>
        </w:rPr>
        <w:t>te free, responsible and health-based</w:t>
      </w:r>
      <w:r w:rsidR="00C254BF" w:rsidRPr="00785D06">
        <w:rPr>
          <w:rFonts w:eastAsia="Times New Roman"/>
          <w:sz w:val="20"/>
          <w:szCs w:val="20"/>
          <w:lang w:val="en-US" w:eastAsia="es-ES" w:bidi="es-ES"/>
        </w:rPr>
        <w:t xml:space="preserve"> decision-making.</w:t>
      </w:r>
      <w:r w:rsidR="00C254BF" w:rsidRPr="00785D06">
        <w:rPr>
          <w:rStyle w:val="Refdenotaalpie"/>
          <w:rFonts w:eastAsia="Times New Roman"/>
          <w:sz w:val="20"/>
          <w:szCs w:val="20"/>
          <w:lang w:val="en-US" w:eastAsia="es-ES" w:bidi="es-ES"/>
        </w:rPr>
        <w:footnoteReference w:id="210"/>
      </w:r>
    </w:p>
    <w:p w14:paraId="68464783" w14:textId="77777777" w:rsidR="00C254BF" w:rsidRPr="00785D06" w:rsidRDefault="00C254BF" w:rsidP="00C254BF">
      <w:pPr>
        <w:pStyle w:val="Prrafodelista"/>
        <w:widowControl w:val="0"/>
        <w:autoSpaceDE w:val="0"/>
        <w:autoSpaceDN w:val="0"/>
        <w:ind w:left="284" w:right="117"/>
        <w:jc w:val="both"/>
        <w:rPr>
          <w:rFonts w:eastAsia="Times New Roman"/>
          <w:i/>
          <w:sz w:val="20"/>
          <w:szCs w:val="20"/>
          <w:lang w:val="en-US" w:eastAsia="es-ES" w:bidi="es-ES"/>
        </w:rPr>
      </w:pPr>
    </w:p>
    <w:p w14:paraId="6B326B97" w14:textId="77777777" w:rsidR="00C254BF" w:rsidRPr="00785D06" w:rsidRDefault="00010B4B" w:rsidP="00C254BF">
      <w:pPr>
        <w:pStyle w:val="Prrafodelista"/>
        <w:widowControl w:val="0"/>
        <w:numPr>
          <w:ilvl w:val="0"/>
          <w:numId w:val="14"/>
        </w:numPr>
        <w:autoSpaceDE w:val="0"/>
        <w:autoSpaceDN w:val="0"/>
        <w:ind w:left="284" w:right="117" w:firstLine="0"/>
        <w:jc w:val="both"/>
        <w:rPr>
          <w:rFonts w:eastAsia="Times New Roman"/>
          <w:sz w:val="20"/>
          <w:szCs w:val="20"/>
          <w:lang w:val="en-US" w:eastAsia="es-ES" w:bidi="es-ES"/>
        </w:rPr>
      </w:pPr>
      <w:r w:rsidRPr="00785D06">
        <w:rPr>
          <w:rFonts w:eastAsia="Times New Roman"/>
          <w:i/>
          <w:sz w:val="20"/>
          <w:szCs w:val="20"/>
          <w:lang w:val="en-US" w:eastAsia="es-ES" w:bidi="es-ES"/>
        </w:rPr>
        <w:t xml:space="preserve">Assistance for </w:t>
      </w:r>
      <w:r w:rsidR="00C254BF" w:rsidRPr="00785D06">
        <w:rPr>
          <w:rFonts w:eastAsia="Times New Roman"/>
          <w:i/>
          <w:sz w:val="20"/>
          <w:szCs w:val="20"/>
          <w:lang w:val="en-US" w:eastAsia="es-ES" w:bidi="es-ES"/>
        </w:rPr>
        <w:t>victims of sexual violence</w:t>
      </w:r>
      <w:r w:rsidR="008815AD" w:rsidRPr="00785D06">
        <w:rPr>
          <w:rFonts w:eastAsia="Times New Roman"/>
          <w:i/>
          <w:sz w:val="20"/>
          <w:szCs w:val="20"/>
          <w:lang w:val="en-US" w:eastAsia="es-ES" w:bidi="es-ES"/>
        </w:rPr>
        <w:t>, Ministry of Public Health</w:t>
      </w:r>
      <w:r w:rsidR="00C254BF" w:rsidRPr="00785D06">
        <w:rPr>
          <w:rFonts w:eastAsia="Times New Roman"/>
          <w:sz w:val="20"/>
          <w:szCs w:val="20"/>
          <w:lang w:val="en-US" w:eastAsia="es-ES" w:bidi="es-ES"/>
        </w:rPr>
        <w:t>:</w:t>
      </w:r>
      <w:r w:rsidR="00C254BF" w:rsidRPr="00785D06">
        <w:rPr>
          <w:rFonts w:eastAsia="Times New Roman"/>
          <w:b/>
          <w:sz w:val="20"/>
          <w:szCs w:val="20"/>
          <w:lang w:val="en-US" w:eastAsia="es-ES" w:bidi="es-ES"/>
        </w:rPr>
        <w:t xml:space="preserve"> </w:t>
      </w:r>
      <w:r w:rsidR="000C38AD" w:rsidRPr="00785D06">
        <w:rPr>
          <w:rFonts w:eastAsia="Times New Roman"/>
          <w:sz w:val="20"/>
          <w:szCs w:val="20"/>
          <w:lang w:val="en-US" w:eastAsia="es-ES" w:bidi="es-ES"/>
        </w:rPr>
        <w:t>I</w:t>
      </w:r>
      <w:r w:rsidRPr="00785D06">
        <w:rPr>
          <w:rFonts w:eastAsia="Times New Roman"/>
          <w:sz w:val="20"/>
          <w:szCs w:val="20"/>
          <w:lang w:val="en-US" w:eastAsia="es-ES" w:bidi="es-ES"/>
        </w:rPr>
        <w:t>.</w:t>
      </w:r>
      <w:r w:rsidR="00AB3F2F" w:rsidRPr="00785D06">
        <w:rPr>
          <w:rFonts w:eastAsia="Times New Roman"/>
          <w:sz w:val="20"/>
          <w:szCs w:val="20"/>
          <w:lang w:val="en-US" w:eastAsia="es-ES" w:bidi="es-ES"/>
        </w:rPr>
        <w:t xml:space="preserve"> I</w:t>
      </w:r>
      <w:r w:rsidR="00C254BF" w:rsidRPr="00785D06">
        <w:rPr>
          <w:rFonts w:eastAsia="Times New Roman"/>
          <w:sz w:val="20"/>
          <w:szCs w:val="20"/>
          <w:lang w:val="en-US" w:eastAsia="es-ES" w:bidi="es-ES"/>
        </w:rPr>
        <w:t xml:space="preserve">n 2015, the Ministry of Public Health issued the </w:t>
      </w:r>
      <w:r w:rsidR="00CE1646" w:rsidRPr="00785D06">
        <w:rPr>
          <w:rFonts w:eastAsia="Times New Roman"/>
          <w:sz w:val="20"/>
          <w:szCs w:val="20"/>
          <w:lang w:val="en-US" w:eastAsia="es-ES" w:bidi="es-ES"/>
        </w:rPr>
        <w:t>Technical Standards on</w:t>
      </w:r>
      <w:r w:rsidR="006A42FF" w:rsidRPr="00785D06">
        <w:rPr>
          <w:rFonts w:eastAsia="Times New Roman"/>
          <w:sz w:val="20"/>
          <w:szCs w:val="20"/>
          <w:lang w:val="en-US" w:eastAsia="es-ES" w:bidi="es-ES"/>
        </w:rPr>
        <w:t xml:space="preserve"> </w:t>
      </w:r>
      <w:r w:rsidR="00841C13" w:rsidRPr="00785D06">
        <w:rPr>
          <w:rFonts w:eastAsia="Times New Roman"/>
          <w:sz w:val="20"/>
          <w:szCs w:val="20"/>
          <w:lang w:val="en-US" w:eastAsia="es-ES" w:bidi="es-ES"/>
        </w:rPr>
        <w:t xml:space="preserve">Comprehensive </w:t>
      </w:r>
      <w:r w:rsidR="00CE1646" w:rsidRPr="00785D06">
        <w:rPr>
          <w:rFonts w:eastAsia="Times New Roman"/>
          <w:sz w:val="20"/>
          <w:szCs w:val="20"/>
          <w:lang w:val="en-US" w:eastAsia="es-ES" w:bidi="es-ES"/>
        </w:rPr>
        <w:t>Care for</w:t>
      </w:r>
      <w:r w:rsidR="00C254BF" w:rsidRPr="00785D06">
        <w:rPr>
          <w:rFonts w:eastAsia="Times New Roman"/>
          <w:sz w:val="20"/>
          <w:szCs w:val="20"/>
          <w:lang w:val="en-US" w:eastAsia="es-ES" w:bidi="es-ES"/>
        </w:rPr>
        <w:t xml:space="preserve"> Gender-based Violence (NTAIVG</w:t>
      </w:r>
      <w:r w:rsidR="00CE1646" w:rsidRPr="00785D06">
        <w:rPr>
          <w:rFonts w:eastAsia="Times New Roman"/>
          <w:sz w:val="20"/>
          <w:szCs w:val="20"/>
          <w:lang w:val="en-US" w:eastAsia="es-ES" w:bidi="es-ES"/>
        </w:rPr>
        <w:t>, for its Spanish acronym</w:t>
      </w:r>
      <w:r w:rsidR="00C254BF" w:rsidRPr="00785D06">
        <w:rPr>
          <w:rFonts w:eastAsia="Times New Roman"/>
          <w:sz w:val="20"/>
          <w:szCs w:val="20"/>
          <w:lang w:val="en-US" w:eastAsia="es-ES" w:bidi="es-ES"/>
        </w:rPr>
        <w:t>)</w:t>
      </w:r>
      <w:r w:rsidR="00C254BF" w:rsidRPr="00785D06">
        <w:rPr>
          <w:rStyle w:val="Refdenotaalpie"/>
          <w:rFonts w:eastAsia="Times New Roman"/>
          <w:sz w:val="20"/>
          <w:szCs w:val="20"/>
          <w:lang w:val="en-US" w:eastAsia="es-ES" w:bidi="es-ES"/>
        </w:rPr>
        <w:footnoteReference w:id="211"/>
      </w:r>
      <w:r w:rsidRPr="00785D06">
        <w:rPr>
          <w:rFonts w:eastAsia="Times New Roman"/>
          <w:sz w:val="20"/>
          <w:szCs w:val="20"/>
          <w:lang w:val="en-US" w:eastAsia="es-ES" w:bidi="es-ES"/>
        </w:rPr>
        <w:t xml:space="preserve"> ii.</w:t>
      </w:r>
      <w:r w:rsidR="00AB3F2F" w:rsidRPr="00785D06">
        <w:rPr>
          <w:rFonts w:eastAsia="Times New Roman"/>
          <w:sz w:val="20"/>
          <w:szCs w:val="20"/>
          <w:lang w:val="en-US" w:eastAsia="es-ES" w:bidi="es-ES"/>
        </w:rPr>
        <w:t xml:space="preserve"> I</w:t>
      </w:r>
      <w:r w:rsidR="00C254BF" w:rsidRPr="00785D06">
        <w:rPr>
          <w:rFonts w:eastAsia="Times New Roman"/>
          <w:sz w:val="20"/>
          <w:szCs w:val="20"/>
          <w:lang w:val="en-US" w:eastAsia="es-ES" w:bidi="es-ES"/>
        </w:rPr>
        <w:t xml:space="preserve">n 2018 </w:t>
      </w:r>
      <w:r w:rsidR="00AB3F2F" w:rsidRPr="00785D06">
        <w:rPr>
          <w:rFonts w:eastAsia="Times New Roman"/>
          <w:sz w:val="20"/>
          <w:szCs w:val="20"/>
          <w:lang w:val="en-US" w:eastAsia="es-ES" w:bidi="es-ES"/>
        </w:rPr>
        <w:t xml:space="preserve">it </w:t>
      </w:r>
      <w:r w:rsidR="00C254BF" w:rsidRPr="00785D06">
        <w:rPr>
          <w:rFonts w:eastAsia="Times New Roman"/>
          <w:sz w:val="20"/>
          <w:szCs w:val="20"/>
          <w:lang w:val="en-US" w:eastAsia="es-ES" w:bidi="es-ES"/>
        </w:rPr>
        <w:t xml:space="preserve">issued </w:t>
      </w:r>
      <w:r w:rsidR="00AB3F2F" w:rsidRPr="00785D06">
        <w:rPr>
          <w:rFonts w:eastAsia="Times New Roman"/>
          <w:sz w:val="20"/>
          <w:szCs w:val="20"/>
          <w:lang w:val="en-US" w:eastAsia="es-ES" w:bidi="es-ES"/>
        </w:rPr>
        <w:t xml:space="preserve">regulations for the </w:t>
      </w:r>
      <w:r w:rsidR="00C254BF" w:rsidRPr="00785D06">
        <w:rPr>
          <w:rFonts w:eastAsia="Times New Roman"/>
          <w:sz w:val="20"/>
          <w:szCs w:val="20"/>
          <w:lang w:val="en-US" w:eastAsia="es-ES" w:bidi="es-ES"/>
        </w:rPr>
        <w:t xml:space="preserve">implementation of the </w:t>
      </w:r>
      <w:r w:rsidR="00CE1646" w:rsidRPr="00785D06">
        <w:rPr>
          <w:rFonts w:eastAsia="Times New Roman"/>
          <w:sz w:val="20"/>
          <w:szCs w:val="20"/>
          <w:lang w:val="en-US" w:eastAsia="es-ES" w:bidi="es-ES"/>
        </w:rPr>
        <w:t xml:space="preserve">Primary Assistance </w:t>
      </w:r>
      <w:r w:rsidR="00C254BF" w:rsidRPr="00785D06">
        <w:rPr>
          <w:rFonts w:eastAsia="Times New Roman"/>
          <w:sz w:val="20"/>
          <w:szCs w:val="20"/>
          <w:lang w:val="en-US" w:eastAsia="es-ES" w:bidi="es-ES"/>
        </w:rPr>
        <w:t>Service t</w:t>
      </w:r>
      <w:r w:rsidR="00AB3F2F" w:rsidRPr="00785D06">
        <w:rPr>
          <w:rFonts w:eastAsia="Times New Roman"/>
          <w:sz w:val="20"/>
          <w:szCs w:val="20"/>
          <w:lang w:val="en-US" w:eastAsia="es-ES" w:bidi="es-ES"/>
        </w:rPr>
        <w:t xml:space="preserve">o strengthen </w:t>
      </w:r>
      <w:r w:rsidR="00CE1646" w:rsidRPr="00785D06">
        <w:rPr>
          <w:rFonts w:eastAsia="Times New Roman"/>
          <w:sz w:val="20"/>
          <w:szCs w:val="20"/>
          <w:lang w:val="en-US" w:eastAsia="es-ES" w:bidi="es-ES"/>
        </w:rPr>
        <w:t xml:space="preserve">the care </w:t>
      </w:r>
      <w:r w:rsidR="00AB3F2F" w:rsidRPr="00785D06">
        <w:rPr>
          <w:rFonts w:eastAsia="Times New Roman"/>
          <w:sz w:val="20"/>
          <w:szCs w:val="20"/>
          <w:lang w:val="en-US" w:eastAsia="es-ES" w:bidi="es-ES"/>
        </w:rPr>
        <w:t xml:space="preserve">provided to victims of </w:t>
      </w:r>
      <w:r w:rsidR="00C254BF" w:rsidRPr="00785D06">
        <w:rPr>
          <w:rFonts w:eastAsia="Times New Roman"/>
          <w:sz w:val="20"/>
          <w:szCs w:val="20"/>
          <w:lang w:val="en-US" w:eastAsia="es-ES" w:bidi="es-ES"/>
        </w:rPr>
        <w:t xml:space="preserve">violence </w:t>
      </w:r>
      <w:r w:rsidR="00CE1646" w:rsidRPr="00785D06">
        <w:rPr>
          <w:rFonts w:eastAsia="Times New Roman"/>
          <w:sz w:val="20"/>
          <w:szCs w:val="20"/>
          <w:lang w:val="en-US" w:eastAsia="es-ES" w:bidi="es-ES"/>
        </w:rPr>
        <w:t xml:space="preserve">based on </w:t>
      </w:r>
      <w:r w:rsidR="00AB3F2F" w:rsidRPr="00785D06">
        <w:rPr>
          <w:rFonts w:eastAsia="Times New Roman"/>
          <w:sz w:val="20"/>
          <w:szCs w:val="20"/>
          <w:lang w:val="en-US" w:eastAsia="es-ES" w:bidi="es-ES"/>
        </w:rPr>
        <w:t>the parameters of quality,</w:t>
      </w:r>
      <w:r w:rsidR="00C254BF" w:rsidRPr="00785D06">
        <w:rPr>
          <w:rFonts w:eastAsia="Times New Roman"/>
          <w:sz w:val="20"/>
          <w:szCs w:val="20"/>
          <w:lang w:val="en-US" w:eastAsia="es-ES" w:bidi="es-ES"/>
        </w:rPr>
        <w:t xml:space="preserve"> </w:t>
      </w:r>
      <w:r w:rsidR="00D57311" w:rsidRPr="00785D06">
        <w:rPr>
          <w:rFonts w:eastAsia="Times New Roman"/>
          <w:sz w:val="20"/>
          <w:szCs w:val="20"/>
          <w:lang w:val="en-US" w:eastAsia="es-ES" w:bidi="es-ES"/>
        </w:rPr>
        <w:t xml:space="preserve">warmth </w:t>
      </w:r>
      <w:r w:rsidR="00C254BF" w:rsidRPr="00785D06">
        <w:rPr>
          <w:rFonts w:eastAsia="Times New Roman"/>
          <w:sz w:val="20"/>
          <w:szCs w:val="20"/>
          <w:lang w:val="en-US" w:eastAsia="es-ES" w:bidi="es-ES"/>
        </w:rPr>
        <w:t>and p</w:t>
      </w:r>
      <w:r w:rsidR="00D57311" w:rsidRPr="00785D06">
        <w:rPr>
          <w:rFonts w:eastAsia="Times New Roman"/>
          <w:sz w:val="20"/>
          <w:szCs w:val="20"/>
          <w:lang w:val="en-US" w:eastAsia="es-ES" w:bidi="es-ES"/>
        </w:rPr>
        <w:t xml:space="preserve">articularly </w:t>
      </w:r>
      <w:r w:rsidR="00CE1646" w:rsidRPr="00785D06">
        <w:rPr>
          <w:rFonts w:eastAsia="Times New Roman"/>
          <w:sz w:val="20"/>
          <w:szCs w:val="20"/>
          <w:lang w:val="en-US" w:eastAsia="es-ES" w:bidi="es-ES"/>
        </w:rPr>
        <w:t>confidentiality. These regulations included the</w:t>
      </w:r>
      <w:r w:rsidR="00C254BF" w:rsidRPr="00785D06">
        <w:rPr>
          <w:rFonts w:eastAsia="Times New Roman"/>
          <w:sz w:val="20"/>
          <w:szCs w:val="20"/>
          <w:lang w:val="en-US" w:eastAsia="es-ES" w:bidi="es-ES"/>
        </w:rPr>
        <w:t xml:space="preserve"> Mandatory Notification Form </w:t>
      </w:r>
      <w:r w:rsidR="00CE1646" w:rsidRPr="00785D06">
        <w:rPr>
          <w:rFonts w:eastAsia="Times New Roman"/>
          <w:sz w:val="20"/>
          <w:szCs w:val="20"/>
          <w:lang w:val="en-US" w:eastAsia="es-ES" w:bidi="es-ES"/>
        </w:rPr>
        <w:t xml:space="preserve">for </w:t>
      </w:r>
      <w:r w:rsidR="006625BD" w:rsidRPr="00785D06">
        <w:rPr>
          <w:rFonts w:eastAsia="Times New Roman"/>
          <w:sz w:val="20"/>
          <w:szCs w:val="20"/>
          <w:lang w:val="en-US" w:eastAsia="es-ES" w:bidi="es-ES"/>
        </w:rPr>
        <w:t>Alleged Cases of Gender-based V</w:t>
      </w:r>
      <w:r w:rsidR="00C254BF" w:rsidRPr="00785D06">
        <w:rPr>
          <w:rFonts w:eastAsia="Times New Roman"/>
          <w:sz w:val="20"/>
          <w:szCs w:val="20"/>
          <w:lang w:val="en-US" w:eastAsia="es-ES" w:bidi="es-ES"/>
        </w:rPr>
        <w:t xml:space="preserve">iolence and </w:t>
      </w:r>
      <w:r w:rsidR="00CE1646" w:rsidRPr="00785D06">
        <w:rPr>
          <w:rFonts w:eastAsia="Times New Roman"/>
          <w:sz w:val="20"/>
          <w:szCs w:val="20"/>
          <w:lang w:val="en-US" w:eastAsia="es-ES" w:bidi="es-ES"/>
        </w:rPr>
        <w:t>Serious Human R</w:t>
      </w:r>
      <w:r w:rsidR="00C254BF" w:rsidRPr="00785D06">
        <w:rPr>
          <w:rFonts w:eastAsia="Times New Roman"/>
          <w:sz w:val="20"/>
          <w:szCs w:val="20"/>
          <w:lang w:val="en-US" w:eastAsia="es-ES" w:bidi="es-ES"/>
        </w:rPr>
        <w:t xml:space="preserve">ights Violations </w:t>
      </w:r>
      <w:r w:rsidR="00CE1646" w:rsidRPr="00785D06">
        <w:rPr>
          <w:rFonts w:eastAsia="Times New Roman"/>
          <w:sz w:val="20"/>
          <w:szCs w:val="20"/>
          <w:lang w:val="en-US" w:eastAsia="es-ES" w:bidi="es-ES"/>
        </w:rPr>
        <w:t xml:space="preserve">which </w:t>
      </w:r>
      <w:r w:rsidR="00C254BF" w:rsidRPr="00785D06">
        <w:rPr>
          <w:rFonts w:eastAsia="Times New Roman"/>
          <w:sz w:val="20"/>
          <w:szCs w:val="20"/>
          <w:lang w:val="en-US" w:eastAsia="es-ES" w:bidi="es-ES"/>
        </w:rPr>
        <w:t xml:space="preserve">facilitates </w:t>
      </w:r>
      <w:r w:rsidR="00CE1646" w:rsidRPr="00785D06">
        <w:rPr>
          <w:rFonts w:eastAsia="Times New Roman"/>
          <w:sz w:val="20"/>
          <w:szCs w:val="20"/>
          <w:lang w:val="en-US" w:eastAsia="es-ES" w:bidi="es-ES"/>
        </w:rPr>
        <w:t xml:space="preserve">victims’ </w:t>
      </w:r>
      <w:r w:rsidR="00C254BF" w:rsidRPr="00785D06">
        <w:rPr>
          <w:rFonts w:eastAsia="Times New Roman"/>
          <w:sz w:val="20"/>
          <w:szCs w:val="20"/>
          <w:lang w:val="en-US" w:eastAsia="es-ES" w:bidi="es-ES"/>
        </w:rPr>
        <w:t xml:space="preserve">access to the </w:t>
      </w:r>
      <w:r w:rsidR="00CE1646" w:rsidRPr="00785D06">
        <w:rPr>
          <w:rFonts w:eastAsia="Times New Roman"/>
          <w:sz w:val="20"/>
          <w:szCs w:val="20"/>
          <w:lang w:val="en-US" w:eastAsia="es-ES" w:bidi="es-ES"/>
        </w:rPr>
        <w:t>National Justice System;</w:t>
      </w:r>
      <w:r w:rsidR="00C254BF" w:rsidRPr="00785D06">
        <w:rPr>
          <w:rFonts w:eastAsia="Times New Roman"/>
          <w:sz w:val="20"/>
          <w:szCs w:val="20"/>
          <w:lang w:val="en-US" w:eastAsia="es-ES" w:bidi="es-ES"/>
        </w:rPr>
        <w:t xml:space="preserve"> </w:t>
      </w:r>
      <w:r w:rsidR="00175E11" w:rsidRPr="00785D06">
        <w:rPr>
          <w:rFonts w:eastAsia="Times New Roman"/>
          <w:sz w:val="20"/>
          <w:szCs w:val="20"/>
          <w:lang w:val="en-US" w:eastAsia="es-ES" w:bidi="es-ES"/>
        </w:rPr>
        <w:t>iii.</w:t>
      </w:r>
      <w:r w:rsidR="00C254BF" w:rsidRPr="00785D06">
        <w:rPr>
          <w:rFonts w:eastAsia="Times New Roman"/>
          <w:sz w:val="20"/>
          <w:szCs w:val="20"/>
          <w:lang w:val="en-US" w:eastAsia="es-ES" w:bidi="es-ES"/>
        </w:rPr>
        <w:t xml:space="preserve"> </w:t>
      </w:r>
      <w:r w:rsidR="00175E11" w:rsidRPr="00785D06">
        <w:rPr>
          <w:rFonts w:eastAsia="Times New Roman"/>
          <w:sz w:val="20"/>
          <w:szCs w:val="20"/>
          <w:lang w:val="en-US" w:eastAsia="es-ES" w:bidi="es-ES"/>
        </w:rPr>
        <w:t>T</w:t>
      </w:r>
      <w:r w:rsidR="00C254BF" w:rsidRPr="00785D06">
        <w:rPr>
          <w:rFonts w:eastAsia="Times New Roman"/>
          <w:sz w:val="20"/>
          <w:szCs w:val="20"/>
          <w:lang w:val="en-US" w:eastAsia="es-ES" w:bidi="es-ES"/>
        </w:rPr>
        <w:t xml:space="preserve">wo manuals have been produced </w:t>
      </w:r>
      <w:r w:rsidR="00175E11" w:rsidRPr="00785D06">
        <w:rPr>
          <w:rFonts w:eastAsia="Times New Roman"/>
          <w:sz w:val="20"/>
          <w:szCs w:val="20"/>
          <w:lang w:val="en-US" w:eastAsia="es-ES" w:bidi="es-ES"/>
        </w:rPr>
        <w:t xml:space="preserve">since 2017 </w:t>
      </w:r>
      <w:r w:rsidR="00C254BF" w:rsidRPr="00785D06">
        <w:rPr>
          <w:rFonts w:eastAsia="Times New Roman"/>
          <w:sz w:val="20"/>
          <w:szCs w:val="20"/>
          <w:lang w:val="en-US" w:eastAsia="es-ES" w:bidi="es-ES"/>
        </w:rPr>
        <w:t xml:space="preserve">to </w:t>
      </w:r>
      <w:r w:rsidR="00175E11" w:rsidRPr="00785D06">
        <w:rPr>
          <w:rFonts w:eastAsia="Times New Roman"/>
          <w:sz w:val="20"/>
          <w:szCs w:val="20"/>
          <w:lang w:val="en-US" w:eastAsia="es-ES" w:bidi="es-ES"/>
        </w:rPr>
        <w:t xml:space="preserve">ensure comprehensive assistance </w:t>
      </w:r>
      <w:r w:rsidR="00C254BF" w:rsidRPr="00785D06">
        <w:rPr>
          <w:rFonts w:eastAsia="Times New Roman"/>
          <w:sz w:val="20"/>
          <w:szCs w:val="20"/>
          <w:lang w:val="en-US" w:eastAsia="es-ES" w:bidi="es-ES"/>
        </w:rPr>
        <w:t>and sexual and reproductive health counselling.</w:t>
      </w:r>
      <w:r w:rsidR="00C254BF" w:rsidRPr="00785D06">
        <w:rPr>
          <w:rStyle w:val="Refdenotaalpie"/>
          <w:rFonts w:eastAsia="Times New Roman"/>
          <w:sz w:val="20"/>
          <w:szCs w:val="20"/>
          <w:lang w:val="en-US" w:eastAsia="es-ES" w:bidi="es-ES"/>
        </w:rPr>
        <w:footnoteReference w:id="212"/>
      </w:r>
    </w:p>
    <w:p w14:paraId="08567B7E" w14:textId="77777777" w:rsidR="00C254BF" w:rsidRPr="00785D06" w:rsidRDefault="00C254BF" w:rsidP="00C254BF">
      <w:pPr>
        <w:pStyle w:val="Prrafodelista"/>
        <w:widowControl w:val="0"/>
        <w:autoSpaceDE w:val="0"/>
        <w:autoSpaceDN w:val="0"/>
        <w:ind w:left="284" w:right="117"/>
        <w:jc w:val="both"/>
        <w:rPr>
          <w:rFonts w:eastAsia="Times New Roman"/>
          <w:sz w:val="20"/>
          <w:szCs w:val="20"/>
          <w:lang w:val="en-US" w:eastAsia="es-ES" w:bidi="es-ES"/>
        </w:rPr>
      </w:pPr>
    </w:p>
    <w:p w14:paraId="78CC3928" w14:textId="77777777" w:rsidR="00C254BF" w:rsidRPr="00785D06" w:rsidRDefault="00C254BF" w:rsidP="00C254BF">
      <w:pPr>
        <w:pStyle w:val="Prrafodelista"/>
        <w:widowControl w:val="0"/>
        <w:numPr>
          <w:ilvl w:val="0"/>
          <w:numId w:val="14"/>
        </w:numPr>
        <w:autoSpaceDE w:val="0"/>
        <w:autoSpaceDN w:val="0"/>
        <w:ind w:left="284" w:right="117" w:firstLine="0"/>
        <w:jc w:val="both"/>
        <w:rPr>
          <w:rFonts w:eastAsia="Times New Roman"/>
          <w:sz w:val="20"/>
          <w:szCs w:val="20"/>
          <w:lang w:val="en-US" w:eastAsia="es-ES" w:bidi="es-ES"/>
        </w:rPr>
      </w:pPr>
      <w:r w:rsidRPr="00785D06">
        <w:rPr>
          <w:rFonts w:eastAsia="Times New Roman"/>
          <w:i/>
          <w:sz w:val="20"/>
          <w:szCs w:val="20"/>
          <w:lang w:val="en-US" w:eastAsia="es-ES" w:bidi="es-ES"/>
        </w:rPr>
        <w:t xml:space="preserve">Protocol </w:t>
      </w:r>
      <w:r w:rsidR="00A04F6E" w:rsidRPr="00785D06">
        <w:rPr>
          <w:rFonts w:eastAsia="Times New Roman"/>
          <w:i/>
          <w:sz w:val="20"/>
          <w:szCs w:val="20"/>
          <w:lang w:val="en-US" w:eastAsia="es-ES" w:bidi="es-ES"/>
        </w:rPr>
        <w:t xml:space="preserve">to address </w:t>
      </w:r>
      <w:r w:rsidRPr="00785D06">
        <w:rPr>
          <w:rFonts w:eastAsia="Times New Roman"/>
          <w:i/>
          <w:sz w:val="20"/>
          <w:szCs w:val="20"/>
          <w:lang w:val="en-US" w:eastAsia="es-ES" w:bidi="es-ES"/>
        </w:rPr>
        <w:t>situations of violence detected or committed in the education system</w:t>
      </w:r>
      <w:r w:rsidRPr="00785D06">
        <w:rPr>
          <w:rFonts w:eastAsia="Times New Roman"/>
          <w:sz w:val="20"/>
          <w:szCs w:val="20"/>
          <w:lang w:val="en-US" w:eastAsia="es-ES" w:bidi="es-ES"/>
        </w:rPr>
        <w:t>:</w:t>
      </w:r>
      <w:r w:rsidRPr="00785D06">
        <w:rPr>
          <w:rFonts w:eastAsia="Times New Roman"/>
          <w:b/>
          <w:sz w:val="20"/>
          <w:szCs w:val="20"/>
          <w:lang w:val="en-US" w:eastAsia="es-ES" w:bidi="es-ES"/>
        </w:rPr>
        <w:t xml:space="preserve"> </w:t>
      </w:r>
      <w:r w:rsidR="004501A3" w:rsidRPr="00785D06">
        <w:rPr>
          <w:rFonts w:eastAsia="Times New Roman"/>
          <w:sz w:val="20"/>
          <w:szCs w:val="20"/>
          <w:lang w:val="en-US" w:eastAsia="es-ES" w:bidi="es-ES"/>
        </w:rPr>
        <w:t xml:space="preserve">i. </w:t>
      </w:r>
      <w:r w:rsidR="004C5CF3" w:rsidRPr="00785D06">
        <w:rPr>
          <w:rFonts w:eastAsia="Times New Roman"/>
          <w:sz w:val="20"/>
          <w:szCs w:val="20"/>
          <w:lang w:val="en-US" w:eastAsia="es-ES" w:bidi="es-ES"/>
        </w:rPr>
        <w:t>I</w:t>
      </w:r>
      <w:r w:rsidRPr="00785D06">
        <w:rPr>
          <w:rFonts w:eastAsia="Times New Roman"/>
          <w:sz w:val="20"/>
          <w:szCs w:val="20"/>
          <w:lang w:val="en-US" w:eastAsia="es-ES" w:bidi="es-ES"/>
        </w:rPr>
        <w:t xml:space="preserve">n 2013 </w:t>
      </w:r>
      <w:r w:rsidR="00346729" w:rsidRPr="00785D06">
        <w:rPr>
          <w:rFonts w:eastAsia="Times New Roman"/>
          <w:sz w:val="20"/>
          <w:szCs w:val="20"/>
          <w:lang w:val="en-US" w:eastAsia="es-ES" w:bidi="es-ES"/>
        </w:rPr>
        <w:t xml:space="preserve">the State </w:t>
      </w:r>
      <w:r w:rsidRPr="00785D06">
        <w:rPr>
          <w:rFonts w:eastAsia="Times New Roman"/>
          <w:sz w:val="20"/>
          <w:szCs w:val="20"/>
          <w:lang w:val="en-US" w:eastAsia="es-ES" w:bidi="es-ES"/>
        </w:rPr>
        <w:t xml:space="preserve">issued the </w:t>
      </w:r>
      <w:r w:rsidR="00346729" w:rsidRPr="00785D06">
        <w:rPr>
          <w:rFonts w:eastAsia="Times New Roman"/>
          <w:sz w:val="20"/>
          <w:szCs w:val="20"/>
          <w:lang w:val="en-US" w:eastAsia="es-ES" w:bidi="es-ES"/>
        </w:rPr>
        <w:t xml:space="preserve">Action </w:t>
      </w:r>
      <w:r w:rsidRPr="00785D06">
        <w:rPr>
          <w:rFonts w:eastAsia="Times New Roman"/>
          <w:sz w:val="20"/>
          <w:szCs w:val="20"/>
          <w:lang w:val="en-US" w:eastAsia="es-ES" w:bidi="es-ES"/>
        </w:rPr>
        <w:t xml:space="preserve">Protocol </w:t>
      </w:r>
      <w:r w:rsidR="00346729" w:rsidRPr="00785D06">
        <w:rPr>
          <w:rFonts w:eastAsia="Times New Roman"/>
          <w:sz w:val="20"/>
          <w:szCs w:val="20"/>
          <w:lang w:val="en-US" w:eastAsia="es-ES" w:bidi="es-ES"/>
        </w:rPr>
        <w:t xml:space="preserve">to Address </w:t>
      </w:r>
      <w:r w:rsidRPr="00785D06">
        <w:rPr>
          <w:rFonts w:eastAsia="Times New Roman"/>
          <w:sz w:val="20"/>
          <w:szCs w:val="20"/>
          <w:lang w:val="en-US" w:eastAsia="es-ES" w:bidi="es-ES"/>
        </w:rPr>
        <w:t xml:space="preserve">Situations of Violence Detected or Committed in the Education System, </w:t>
      </w:r>
      <w:r w:rsidR="00A04F6E" w:rsidRPr="00785D06">
        <w:rPr>
          <w:rFonts w:eastAsia="Times New Roman"/>
          <w:sz w:val="20"/>
          <w:szCs w:val="20"/>
          <w:lang w:val="en-US" w:eastAsia="es-ES" w:bidi="es-ES"/>
        </w:rPr>
        <w:t xml:space="preserve">to be </w:t>
      </w:r>
      <w:r w:rsidRPr="00785D06">
        <w:rPr>
          <w:rFonts w:eastAsia="Times New Roman"/>
          <w:sz w:val="20"/>
          <w:szCs w:val="20"/>
          <w:lang w:val="en-US" w:eastAsia="es-ES" w:bidi="es-ES"/>
        </w:rPr>
        <w:t xml:space="preserve">implemented </w:t>
      </w:r>
      <w:r w:rsidR="006A42FF" w:rsidRPr="00785D06">
        <w:rPr>
          <w:rFonts w:eastAsia="Times New Roman"/>
          <w:sz w:val="20"/>
          <w:szCs w:val="20"/>
          <w:lang w:val="en-US" w:eastAsia="es-ES" w:bidi="es-ES"/>
        </w:rPr>
        <w:t xml:space="preserve">by all </w:t>
      </w:r>
      <w:r w:rsidR="006625BD" w:rsidRPr="00785D06">
        <w:rPr>
          <w:rFonts w:eastAsia="Times New Roman"/>
          <w:sz w:val="20"/>
          <w:szCs w:val="20"/>
          <w:lang w:val="en-US" w:eastAsia="es-ES" w:bidi="es-ES"/>
        </w:rPr>
        <w:t xml:space="preserve">personnel </w:t>
      </w:r>
      <w:r w:rsidR="00346729" w:rsidRPr="00785D06">
        <w:rPr>
          <w:rFonts w:eastAsia="Times New Roman"/>
          <w:sz w:val="20"/>
          <w:szCs w:val="20"/>
          <w:lang w:val="en-US" w:eastAsia="es-ES" w:bidi="es-ES"/>
        </w:rPr>
        <w:t>within</w:t>
      </w:r>
      <w:r w:rsidR="006A42FF" w:rsidRPr="00785D06">
        <w:rPr>
          <w:rFonts w:eastAsia="Times New Roman"/>
          <w:sz w:val="20"/>
          <w:szCs w:val="20"/>
          <w:lang w:val="en-US" w:eastAsia="es-ES" w:bidi="es-ES"/>
        </w:rPr>
        <w:t xml:space="preserve"> the </w:t>
      </w:r>
      <w:r w:rsidRPr="00785D06">
        <w:rPr>
          <w:rFonts w:eastAsia="Times New Roman"/>
          <w:sz w:val="20"/>
          <w:szCs w:val="20"/>
          <w:lang w:val="en-US" w:eastAsia="es-ES" w:bidi="es-ES"/>
        </w:rPr>
        <w:t>education system</w:t>
      </w:r>
      <w:r w:rsidR="00010B4B" w:rsidRPr="00785D06">
        <w:rPr>
          <w:rFonts w:eastAsia="Times New Roman"/>
          <w:sz w:val="20"/>
          <w:szCs w:val="20"/>
          <w:lang w:val="en-US" w:eastAsia="es-ES" w:bidi="es-ES"/>
        </w:rPr>
        <w:t>.</w:t>
      </w:r>
      <w:r w:rsidRPr="00785D06">
        <w:rPr>
          <w:rStyle w:val="Refdenotaalpie"/>
          <w:rFonts w:eastAsia="Times New Roman"/>
          <w:sz w:val="20"/>
          <w:szCs w:val="20"/>
          <w:lang w:val="en-US" w:eastAsia="es-ES" w:bidi="es-ES"/>
        </w:rPr>
        <w:footnoteReference w:id="213"/>
      </w:r>
      <w:r w:rsidR="00346729" w:rsidRPr="00785D06">
        <w:rPr>
          <w:rFonts w:eastAsia="Times New Roman"/>
          <w:sz w:val="20"/>
          <w:szCs w:val="20"/>
          <w:lang w:val="en-US" w:eastAsia="es-ES" w:bidi="es-ES"/>
        </w:rPr>
        <w:t xml:space="preserve"> In 2017, </w:t>
      </w:r>
      <w:r w:rsidRPr="00785D06">
        <w:rPr>
          <w:rFonts w:eastAsia="Times New Roman"/>
          <w:sz w:val="20"/>
          <w:szCs w:val="20"/>
          <w:lang w:val="en-US" w:eastAsia="es-ES" w:bidi="es-ES"/>
        </w:rPr>
        <w:t>the se</w:t>
      </w:r>
      <w:r w:rsidR="006A42FF" w:rsidRPr="00785D06">
        <w:rPr>
          <w:rFonts w:eastAsia="Times New Roman"/>
          <w:sz w:val="20"/>
          <w:szCs w:val="20"/>
          <w:lang w:val="en-US" w:eastAsia="es-ES" w:bidi="es-ES"/>
        </w:rPr>
        <w:t xml:space="preserve">cond </w:t>
      </w:r>
      <w:r w:rsidR="00346729" w:rsidRPr="00785D06">
        <w:rPr>
          <w:rFonts w:eastAsia="Times New Roman"/>
          <w:sz w:val="20"/>
          <w:szCs w:val="20"/>
          <w:lang w:val="en-US" w:eastAsia="es-ES" w:bidi="es-ES"/>
        </w:rPr>
        <w:t xml:space="preserve">version </w:t>
      </w:r>
      <w:r w:rsidR="006A42FF" w:rsidRPr="00785D06">
        <w:rPr>
          <w:rFonts w:eastAsia="Times New Roman"/>
          <w:sz w:val="20"/>
          <w:szCs w:val="20"/>
          <w:lang w:val="en-US" w:eastAsia="es-ES" w:bidi="es-ES"/>
        </w:rPr>
        <w:t>of the p</w:t>
      </w:r>
      <w:r w:rsidRPr="00785D06">
        <w:rPr>
          <w:rFonts w:eastAsia="Times New Roman"/>
          <w:sz w:val="20"/>
          <w:szCs w:val="20"/>
          <w:lang w:val="en-US" w:eastAsia="es-ES" w:bidi="es-ES"/>
        </w:rPr>
        <w:t xml:space="preserve">rotocol </w:t>
      </w:r>
      <w:r w:rsidR="00346729" w:rsidRPr="00785D06">
        <w:rPr>
          <w:rFonts w:eastAsia="Times New Roman"/>
          <w:sz w:val="20"/>
          <w:szCs w:val="20"/>
          <w:lang w:val="en-US" w:eastAsia="es-ES" w:bidi="es-ES"/>
        </w:rPr>
        <w:t xml:space="preserve">was disseminated, which included </w:t>
      </w:r>
      <w:r w:rsidR="00864596" w:rsidRPr="00785D06">
        <w:rPr>
          <w:rFonts w:eastAsia="Times New Roman"/>
          <w:sz w:val="20"/>
          <w:szCs w:val="20"/>
          <w:lang w:val="en-US" w:eastAsia="es-ES" w:bidi="es-ES"/>
        </w:rPr>
        <w:t xml:space="preserve">conflict resolution </w:t>
      </w:r>
      <w:r w:rsidRPr="00785D06">
        <w:rPr>
          <w:rFonts w:eastAsia="Times New Roman"/>
          <w:sz w:val="20"/>
          <w:szCs w:val="20"/>
          <w:lang w:val="en-US" w:eastAsia="es-ES" w:bidi="es-ES"/>
        </w:rPr>
        <w:t xml:space="preserve">strategies </w:t>
      </w:r>
      <w:r w:rsidR="00346729" w:rsidRPr="00785D06">
        <w:rPr>
          <w:rFonts w:eastAsia="Times New Roman"/>
          <w:sz w:val="20"/>
          <w:szCs w:val="20"/>
          <w:lang w:val="en-US" w:eastAsia="es-ES" w:bidi="es-ES"/>
        </w:rPr>
        <w:t xml:space="preserve">to tackle </w:t>
      </w:r>
      <w:r w:rsidRPr="00785D06">
        <w:rPr>
          <w:rFonts w:eastAsia="Times New Roman"/>
          <w:sz w:val="20"/>
          <w:szCs w:val="20"/>
          <w:lang w:val="en-US" w:eastAsia="es-ES" w:bidi="es-ES"/>
        </w:rPr>
        <w:t xml:space="preserve">violence in </w:t>
      </w:r>
      <w:r w:rsidR="00A04F6E" w:rsidRPr="00785D06">
        <w:rPr>
          <w:rFonts w:eastAsia="Times New Roman"/>
          <w:sz w:val="20"/>
          <w:szCs w:val="20"/>
          <w:lang w:val="en-US" w:eastAsia="es-ES" w:bidi="es-ES"/>
        </w:rPr>
        <w:t>schools</w:t>
      </w:r>
      <w:r w:rsidRPr="00785D06">
        <w:rPr>
          <w:rFonts w:eastAsia="Times New Roman"/>
          <w:sz w:val="20"/>
          <w:szCs w:val="20"/>
          <w:lang w:val="en-US" w:eastAsia="es-ES" w:bidi="es-ES"/>
        </w:rPr>
        <w:t xml:space="preserve">, </w:t>
      </w:r>
      <w:r w:rsidR="00346729" w:rsidRPr="00785D06">
        <w:rPr>
          <w:rFonts w:eastAsia="Times New Roman"/>
          <w:sz w:val="20"/>
          <w:szCs w:val="20"/>
          <w:lang w:val="en-US" w:eastAsia="es-ES" w:bidi="es-ES"/>
        </w:rPr>
        <w:t xml:space="preserve">but excluded </w:t>
      </w:r>
      <w:r w:rsidR="00864596" w:rsidRPr="00785D06">
        <w:rPr>
          <w:rFonts w:eastAsia="Times New Roman"/>
          <w:sz w:val="20"/>
          <w:szCs w:val="20"/>
          <w:lang w:val="en-US" w:eastAsia="es-ES" w:bidi="es-ES"/>
        </w:rPr>
        <w:t>cases of sexual violence.</w:t>
      </w:r>
      <w:r w:rsidRPr="00785D06">
        <w:rPr>
          <w:rStyle w:val="Refdenotaalpie"/>
          <w:rFonts w:eastAsia="Times New Roman"/>
          <w:sz w:val="20"/>
          <w:szCs w:val="20"/>
          <w:lang w:val="en-US" w:eastAsia="es-ES" w:bidi="es-ES"/>
        </w:rPr>
        <w:footnoteReference w:id="214"/>
      </w:r>
      <w:r w:rsidR="00010B4B" w:rsidRPr="00785D06">
        <w:rPr>
          <w:rFonts w:eastAsia="Times New Roman"/>
          <w:sz w:val="20"/>
          <w:szCs w:val="20"/>
          <w:lang w:val="en-US" w:eastAsia="es-ES" w:bidi="es-ES"/>
        </w:rPr>
        <w:t xml:space="preserve"> ii.</w:t>
      </w:r>
      <w:r w:rsidR="00976A21" w:rsidRPr="00785D06">
        <w:rPr>
          <w:rFonts w:eastAsia="Times New Roman"/>
          <w:sz w:val="20"/>
          <w:szCs w:val="20"/>
          <w:lang w:val="en-US" w:eastAsia="es-ES" w:bidi="es-ES"/>
        </w:rPr>
        <w:t xml:space="preserve"> I</w:t>
      </w:r>
      <w:r w:rsidRPr="00785D06">
        <w:rPr>
          <w:rFonts w:eastAsia="Times New Roman"/>
          <w:sz w:val="20"/>
          <w:szCs w:val="20"/>
          <w:lang w:val="en-US" w:eastAsia="es-ES" w:bidi="es-ES"/>
        </w:rPr>
        <w:t>n 2017</w:t>
      </w:r>
      <w:r w:rsidR="000C38AD" w:rsidRPr="00785D06">
        <w:rPr>
          <w:rFonts w:eastAsia="Times New Roman"/>
          <w:sz w:val="20"/>
          <w:szCs w:val="20"/>
          <w:lang w:val="en-US" w:eastAsia="es-ES" w:bidi="es-ES"/>
        </w:rPr>
        <w:t xml:space="preserve">, efforts to </w:t>
      </w:r>
      <w:r w:rsidR="00996F77" w:rsidRPr="00785D06">
        <w:rPr>
          <w:rFonts w:eastAsia="Times New Roman"/>
          <w:sz w:val="20"/>
          <w:szCs w:val="20"/>
          <w:lang w:val="en-US" w:eastAsia="es-ES" w:bidi="es-ES"/>
        </w:rPr>
        <w:t>prevent</w:t>
      </w:r>
      <w:r w:rsidRPr="00785D06">
        <w:rPr>
          <w:rFonts w:eastAsia="Times New Roman"/>
          <w:sz w:val="20"/>
          <w:szCs w:val="20"/>
          <w:lang w:val="en-US" w:eastAsia="es-ES" w:bidi="es-ES"/>
        </w:rPr>
        <w:t xml:space="preserve"> </w:t>
      </w:r>
      <w:r w:rsidR="00996F77" w:rsidRPr="00785D06">
        <w:rPr>
          <w:rFonts w:eastAsia="Times New Roman"/>
          <w:sz w:val="20"/>
          <w:szCs w:val="20"/>
          <w:lang w:val="en-US" w:eastAsia="es-ES" w:bidi="es-ES"/>
        </w:rPr>
        <w:t>sexual violence</w:t>
      </w:r>
      <w:r w:rsidRPr="00785D06">
        <w:rPr>
          <w:rFonts w:eastAsia="Times New Roman"/>
          <w:sz w:val="20"/>
          <w:szCs w:val="20"/>
          <w:lang w:val="en-US" w:eastAsia="es-ES" w:bidi="es-ES"/>
        </w:rPr>
        <w:t xml:space="preserve"> </w:t>
      </w:r>
      <w:r w:rsidR="000C38AD" w:rsidRPr="00785D06">
        <w:rPr>
          <w:rFonts w:eastAsia="Times New Roman"/>
          <w:sz w:val="20"/>
          <w:szCs w:val="20"/>
          <w:lang w:val="en-US" w:eastAsia="es-ES" w:bidi="es-ES"/>
        </w:rPr>
        <w:t xml:space="preserve">were coordinated </w:t>
      </w:r>
      <w:r w:rsidRPr="00785D06">
        <w:rPr>
          <w:rFonts w:eastAsia="Times New Roman"/>
          <w:sz w:val="20"/>
          <w:szCs w:val="20"/>
          <w:lang w:val="en-US" w:eastAsia="es-ES" w:bidi="es-ES"/>
        </w:rPr>
        <w:t xml:space="preserve">through the </w:t>
      </w:r>
      <w:r w:rsidR="007A3232" w:rsidRPr="00785D06">
        <w:rPr>
          <w:rFonts w:eastAsia="Times New Roman"/>
          <w:sz w:val="20"/>
          <w:szCs w:val="20"/>
          <w:lang w:val="en-US" w:eastAsia="es-ES" w:bidi="es-ES"/>
        </w:rPr>
        <w:t xml:space="preserve">Plan for Harmonious Coexistence </w:t>
      </w:r>
      <w:r w:rsidR="001122D9" w:rsidRPr="00785D06">
        <w:rPr>
          <w:rFonts w:eastAsia="Times New Roman"/>
          <w:sz w:val="20"/>
          <w:szCs w:val="20"/>
          <w:lang w:val="en-US" w:eastAsia="es-ES" w:bidi="es-ES"/>
        </w:rPr>
        <w:t>and Culture</w:t>
      </w:r>
      <w:r w:rsidRPr="00785D06">
        <w:rPr>
          <w:rFonts w:eastAsia="Times New Roman"/>
          <w:sz w:val="20"/>
          <w:szCs w:val="20"/>
          <w:lang w:val="en-US" w:eastAsia="es-ES" w:bidi="es-ES"/>
        </w:rPr>
        <w:t xml:space="preserve"> of P</w:t>
      </w:r>
      <w:r w:rsidR="001122D9" w:rsidRPr="00785D06">
        <w:rPr>
          <w:rFonts w:eastAsia="Times New Roman"/>
          <w:sz w:val="20"/>
          <w:szCs w:val="20"/>
          <w:lang w:val="en-US" w:eastAsia="es-ES" w:bidi="es-ES"/>
        </w:rPr>
        <w:t>eace.</w:t>
      </w:r>
      <w:r w:rsidRPr="00785D06">
        <w:rPr>
          <w:rStyle w:val="Refdenotaalpie"/>
          <w:rFonts w:eastAsia="Times New Roman"/>
          <w:sz w:val="20"/>
          <w:szCs w:val="20"/>
          <w:lang w:val="en-US" w:eastAsia="es-ES" w:bidi="es-ES"/>
        </w:rPr>
        <w:footnoteReference w:id="215"/>
      </w:r>
      <w:r w:rsidR="007A3232" w:rsidRPr="00785D06">
        <w:rPr>
          <w:rFonts w:eastAsia="Times New Roman"/>
          <w:sz w:val="20"/>
          <w:szCs w:val="20"/>
          <w:lang w:val="en-US" w:eastAsia="es-ES" w:bidi="es-ES"/>
        </w:rPr>
        <w:t xml:space="preserve"> iii. A</w:t>
      </w:r>
      <w:r w:rsidR="001122D9" w:rsidRPr="00785D06">
        <w:rPr>
          <w:rFonts w:eastAsia="Times New Roman"/>
          <w:sz w:val="20"/>
          <w:szCs w:val="20"/>
          <w:lang w:val="en-US" w:eastAsia="es-ES" w:bidi="es-ES"/>
        </w:rPr>
        <w:t>n</w:t>
      </w:r>
      <w:r w:rsidRPr="00785D06">
        <w:rPr>
          <w:rFonts w:eastAsia="Times New Roman"/>
          <w:sz w:val="20"/>
          <w:szCs w:val="20"/>
          <w:lang w:val="en-US" w:eastAsia="es-ES" w:bidi="es-ES"/>
        </w:rPr>
        <w:t xml:space="preserve"> Intervention </w:t>
      </w:r>
      <w:r w:rsidR="001122D9" w:rsidRPr="00785D06">
        <w:rPr>
          <w:rFonts w:eastAsia="Times New Roman"/>
          <w:sz w:val="20"/>
          <w:szCs w:val="20"/>
          <w:lang w:val="en-US" w:eastAsia="es-ES" w:bidi="es-ES"/>
        </w:rPr>
        <w:t xml:space="preserve">Plan was implemented </w:t>
      </w:r>
      <w:r w:rsidR="007A3232" w:rsidRPr="00785D06">
        <w:rPr>
          <w:rFonts w:eastAsia="Times New Roman"/>
          <w:sz w:val="20"/>
          <w:szCs w:val="20"/>
          <w:lang w:val="en-US" w:eastAsia="es-ES" w:bidi="es-ES"/>
        </w:rPr>
        <w:t xml:space="preserve">in 2017 </w:t>
      </w:r>
      <w:r w:rsidRPr="00785D06">
        <w:rPr>
          <w:rFonts w:eastAsia="Times New Roman"/>
          <w:sz w:val="20"/>
          <w:szCs w:val="20"/>
          <w:lang w:val="en-US" w:eastAsia="es-ES" w:bidi="es-ES"/>
        </w:rPr>
        <w:t xml:space="preserve">as </w:t>
      </w:r>
      <w:r w:rsidR="001122D9" w:rsidRPr="00785D06">
        <w:rPr>
          <w:rFonts w:eastAsia="Times New Roman"/>
          <w:sz w:val="20"/>
          <w:szCs w:val="20"/>
          <w:lang w:val="en-US" w:eastAsia="es-ES" w:bidi="es-ES"/>
        </w:rPr>
        <w:t xml:space="preserve">a </w:t>
      </w:r>
      <w:r w:rsidRPr="00785D06">
        <w:rPr>
          <w:rFonts w:eastAsia="Times New Roman"/>
          <w:sz w:val="20"/>
          <w:szCs w:val="20"/>
          <w:lang w:val="en-US" w:eastAsia="es-ES" w:bidi="es-ES"/>
        </w:rPr>
        <w:t>“</w:t>
      </w:r>
      <w:r w:rsidR="007A3232" w:rsidRPr="00785D06">
        <w:rPr>
          <w:rFonts w:eastAsia="Times New Roman"/>
          <w:sz w:val="20"/>
          <w:szCs w:val="20"/>
          <w:lang w:val="en-US" w:eastAsia="es-ES" w:bidi="es-ES"/>
        </w:rPr>
        <w:t>precautionary and temporary</w:t>
      </w:r>
      <w:r w:rsidR="001122D9" w:rsidRPr="00785D06">
        <w:rPr>
          <w:rFonts w:eastAsia="Times New Roman"/>
          <w:sz w:val="20"/>
          <w:szCs w:val="20"/>
          <w:lang w:val="en-US" w:eastAsia="es-ES" w:bidi="es-ES"/>
        </w:rPr>
        <w:t xml:space="preserve"> measure</w:t>
      </w:r>
      <w:r w:rsidR="007A3232" w:rsidRPr="00785D06">
        <w:rPr>
          <w:rFonts w:eastAsia="Times New Roman"/>
          <w:sz w:val="20"/>
          <w:szCs w:val="20"/>
          <w:lang w:val="en-US" w:eastAsia="es-ES" w:bidi="es-ES"/>
        </w:rPr>
        <w:t>”</w:t>
      </w:r>
      <w:r w:rsidRPr="00785D06">
        <w:rPr>
          <w:rFonts w:eastAsia="Times New Roman"/>
          <w:sz w:val="20"/>
          <w:szCs w:val="20"/>
          <w:lang w:val="en-US" w:eastAsia="es-ES" w:bidi="es-ES"/>
        </w:rPr>
        <w:t xml:space="preserve"> t</w:t>
      </w:r>
      <w:r w:rsidR="007A3232" w:rsidRPr="00785D06">
        <w:rPr>
          <w:rFonts w:eastAsia="Times New Roman"/>
          <w:sz w:val="20"/>
          <w:szCs w:val="20"/>
          <w:lang w:val="en-US" w:eastAsia="es-ES" w:bidi="es-ES"/>
        </w:rPr>
        <w:t xml:space="preserve">o </w:t>
      </w:r>
      <w:r w:rsidRPr="00785D06">
        <w:rPr>
          <w:rFonts w:eastAsia="Times New Roman"/>
          <w:sz w:val="20"/>
          <w:szCs w:val="20"/>
          <w:lang w:val="en-US" w:eastAsia="es-ES" w:bidi="es-ES"/>
        </w:rPr>
        <w:t>“</w:t>
      </w:r>
      <w:r w:rsidR="007A3232" w:rsidRPr="00785D06">
        <w:rPr>
          <w:rFonts w:eastAsia="Times New Roman"/>
          <w:sz w:val="20"/>
          <w:szCs w:val="20"/>
          <w:lang w:val="en-US" w:eastAsia="es-ES" w:bidi="es-ES"/>
        </w:rPr>
        <w:t xml:space="preserve">resolve </w:t>
      </w:r>
      <w:r w:rsidRPr="00785D06">
        <w:rPr>
          <w:rFonts w:eastAsia="Times New Roman"/>
          <w:sz w:val="20"/>
          <w:szCs w:val="20"/>
          <w:lang w:val="en-US" w:eastAsia="es-ES" w:bidi="es-ES"/>
        </w:rPr>
        <w:t xml:space="preserve">institutional </w:t>
      </w:r>
      <w:r w:rsidR="001122D9" w:rsidRPr="00785D06">
        <w:rPr>
          <w:rFonts w:eastAsia="Times New Roman"/>
          <w:sz w:val="20"/>
          <w:szCs w:val="20"/>
          <w:lang w:val="en-US" w:eastAsia="es-ES" w:bidi="es-ES"/>
        </w:rPr>
        <w:t xml:space="preserve">conflicts </w:t>
      </w:r>
      <w:r w:rsidRPr="00785D06">
        <w:rPr>
          <w:rFonts w:eastAsia="Times New Roman"/>
          <w:sz w:val="20"/>
          <w:szCs w:val="20"/>
          <w:lang w:val="en-US" w:eastAsia="es-ES" w:bidi="es-ES"/>
        </w:rPr>
        <w:t xml:space="preserve">and </w:t>
      </w:r>
      <w:r w:rsidR="001122D9" w:rsidRPr="00785D06">
        <w:rPr>
          <w:rFonts w:eastAsia="Times New Roman"/>
          <w:sz w:val="20"/>
          <w:szCs w:val="20"/>
          <w:lang w:val="en-US" w:eastAsia="es-ES" w:bidi="es-ES"/>
        </w:rPr>
        <w:t xml:space="preserve">ensure </w:t>
      </w:r>
      <w:r w:rsidR="00227228" w:rsidRPr="00785D06">
        <w:rPr>
          <w:rFonts w:eastAsia="Times New Roman"/>
          <w:sz w:val="20"/>
          <w:szCs w:val="20"/>
          <w:lang w:val="en-US" w:eastAsia="es-ES" w:bidi="es-ES"/>
        </w:rPr>
        <w:t xml:space="preserve">institutional </w:t>
      </w:r>
      <w:r w:rsidR="001122D9" w:rsidRPr="00785D06">
        <w:rPr>
          <w:rFonts w:eastAsia="Times New Roman"/>
          <w:sz w:val="20"/>
          <w:szCs w:val="20"/>
          <w:lang w:val="en-US" w:eastAsia="es-ES" w:bidi="es-ES"/>
        </w:rPr>
        <w:t xml:space="preserve">monitoring </w:t>
      </w:r>
      <w:r w:rsidRPr="00785D06">
        <w:rPr>
          <w:rFonts w:eastAsia="Times New Roman"/>
          <w:sz w:val="20"/>
          <w:szCs w:val="20"/>
          <w:lang w:val="en-US" w:eastAsia="es-ES" w:bidi="es-ES"/>
        </w:rPr>
        <w:t xml:space="preserve">by the </w:t>
      </w:r>
      <w:r w:rsidR="00227228" w:rsidRPr="00785D06">
        <w:rPr>
          <w:rFonts w:eastAsia="Times New Roman"/>
          <w:sz w:val="20"/>
          <w:szCs w:val="20"/>
          <w:lang w:val="en-US" w:eastAsia="es-ES" w:bidi="es-ES"/>
        </w:rPr>
        <w:t>national e</w:t>
      </w:r>
      <w:r w:rsidR="007A3232" w:rsidRPr="00785D06">
        <w:rPr>
          <w:rFonts w:eastAsia="Times New Roman"/>
          <w:sz w:val="20"/>
          <w:szCs w:val="20"/>
          <w:lang w:val="en-US" w:eastAsia="es-ES" w:bidi="es-ES"/>
        </w:rPr>
        <w:t xml:space="preserve">ducation </w:t>
      </w:r>
      <w:r w:rsidR="00227228" w:rsidRPr="00785D06">
        <w:rPr>
          <w:rFonts w:eastAsia="Times New Roman"/>
          <w:sz w:val="20"/>
          <w:szCs w:val="20"/>
          <w:lang w:val="en-US" w:eastAsia="es-ES" w:bidi="es-ES"/>
        </w:rPr>
        <w:t>a</w:t>
      </w:r>
      <w:r w:rsidRPr="00785D06">
        <w:rPr>
          <w:rFonts w:eastAsia="Times New Roman"/>
          <w:sz w:val="20"/>
          <w:szCs w:val="20"/>
          <w:lang w:val="en-US" w:eastAsia="es-ES" w:bidi="es-ES"/>
        </w:rPr>
        <w:t>ut</w:t>
      </w:r>
      <w:r w:rsidR="007A3232" w:rsidRPr="00785D06">
        <w:rPr>
          <w:rFonts w:eastAsia="Times New Roman"/>
          <w:sz w:val="20"/>
          <w:szCs w:val="20"/>
          <w:lang w:val="en-US" w:eastAsia="es-ES" w:bidi="es-ES"/>
        </w:rPr>
        <w:t>h</w:t>
      </w:r>
      <w:r w:rsidRPr="00785D06">
        <w:rPr>
          <w:rFonts w:eastAsia="Times New Roman"/>
          <w:sz w:val="20"/>
          <w:szCs w:val="20"/>
          <w:lang w:val="en-US" w:eastAsia="es-ES" w:bidi="es-ES"/>
        </w:rPr>
        <w:t>ori</w:t>
      </w:r>
      <w:r w:rsidR="007A3232" w:rsidRPr="00785D06">
        <w:rPr>
          <w:rFonts w:eastAsia="Times New Roman"/>
          <w:sz w:val="20"/>
          <w:szCs w:val="20"/>
          <w:lang w:val="en-US" w:eastAsia="es-ES" w:bidi="es-ES"/>
        </w:rPr>
        <w:t>ties.”</w:t>
      </w:r>
      <w:r w:rsidRPr="00785D06">
        <w:rPr>
          <w:rFonts w:eastAsia="Times New Roman"/>
          <w:sz w:val="20"/>
          <w:szCs w:val="20"/>
          <w:lang w:val="en-US" w:eastAsia="es-ES" w:bidi="es-ES"/>
        </w:rPr>
        <w:t xml:space="preserve"> iii</w:t>
      </w:r>
      <w:r w:rsidR="007A3232" w:rsidRPr="00785D06">
        <w:rPr>
          <w:rFonts w:eastAsia="Times New Roman"/>
          <w:sz w:val="20"/>
          <w:szCs w:val="20"/>
          <w:lang w:val="en-US" w:eastAsia="es-ES" w:bidi="es-ES"/>
        </w:rPr>
        <w:t>. I</w:t>
      </w:r>
      <w:r w:rsidRPr="00785D06">
        <w:rPr>
          <w:rFonts w:eastAsia="Times New Roman"/>
          <w:sz w:val="20"/>
          <w:szCs w:val="20"/>
          <w:lang w:val="en-US" w:eastAsia="es-ES" w:bidi="es-ES"/>
        </w:rPr>
        <w:t xml:space="preserve">n </w:t>
      </w:r>
      <w:r w:rsidR="001122D9" w:rsidRPr="00785D06">
        <w:rPr>
          <w:rFonts w:eastAsia="Times New Roman"/>
          <w:sz w:val="20"/>
          <w:szCs w:val="20"/>
          <w:lang w:val="en-US" w:eastAsia="es-ES" w:bidi="es-ES"/>
        </w:rPr>
        <w:t>February</w:t>
      </w:r>
      <w:r w:rsidR="007A3232" w:rsidRPr="00785D06">
        <w:rPr>
          <w:rFonts w:eastAsia="Times New Roman"/>
          <w:sz w:val="20"/>
          <w:szCs w:val="20"/>
          <w:lang w:val="en-US" w:eastAsia="es-ES" w:bidi="es-ES"/>
        </w:rPr>
        <w:t xml:space="preserve"> </w:t>
      </w:r>
      <w:r w:rsidRPr="00785D06">
        <w:rPr>
          <w:rFonts w:eastAsia="Times New Roman"/>
          <w:sz w:val="20"/>
          <w:szCs w:val="20"/>
          <w:lang w:val="en-US" w:eastAsia="es-ES" w:bidi="es-ES"/>
        </w:rPr>
        <w:t xml:space="preserve">2018 the </w:t>
      </w:r>
      <w:r w:rsidR="00227228" w:rsidRPr="00785D06">
        <w:rPr>
          <w:rFonts w:eastAsia="Times New Roman"/>
          <w:sz w:val="20"/>
          <w:szCs w:val="20"/>
          <w:lang w:val="en-US" w:eastAsia="es-ES" w:bidi="es-ES"/>
        </w:rPr>
        <w:t>Support and R</w:t>
      </w:r>
      <w:r w:rsidRPr="00785D06">
        <w:rPr>
          <w:rFonts w:eastAsia="Times New Roman"/>
          <w:sz w:val="20"/>
          <w:szCs w:val="20"/>
          <w:lang w:val="en-US" w:eastAsia="es-ES" w:bidi="es-ES"/>
        </w:rPr>
        <w:t>estitution</w:t>
      </w:r>
      <w:r w:rsidR="007A3232" w:rsidRPr="00785D06">
        <w:rPr>
          <w:rFonts w:eastAsia="Times New Roman"/>
          <w:sz w:val="20"/>
          <w:szCs w:val="20"/>
          <w:lang w:val="en-US" w:eastAsia="es-ES" w:bidi="es-ES"/>
        </w:rPr>
        <w:t xml:space="preserve"> </w:t>
      </w:r>
      <w:r w:rsidR="00227228" w:rsidRPr="00785D06">
        <w:rPr>
          <w:rFonts w:eastAsia="Times New Roman"/>
          <w:sz w:val="20"/>
          <w:szCs w:val="20"/>
          <w:lang w:val="en-US" w:eastAsia="es-ES" w:bidi="es-ES"/>
        </w:rPr>
        <w:t xml:space="preserve">Plan was created to address </w:t>
      </w:r>
      <w:r w:rsidRPr="00785D06">
        <w:rPr>
          <w:rFonts w:eastAsia="Times New Roman"/>
          <w:sz w:val="20"/>
          <w:szCs w:val="20"/>
          <w:lang w:val="en-US" w:eastAsia="es-ES" w:bidi="es-ES"/>
        </w:rPr>
        <w:t>situations of violence committed or detect</w:t>
      </w:r>
      <w:r w:rsidR="001122D9" w:rsidRPr="00785D06">
        <w:rPr>
          <w:rFonts w:eastAsia="Times New Roman"/>
          <w:sz w:val="20"/>
          <w:szCs w:val="20"/>
          <w:lang w:val="en-US" w:eastAsia="es-ES" w:bidi="es-ES"/>
        </w:rPr>
        <w:t xml:space="preserve">ed </w:t>
      </w:r>
      <w:r w:rsidRPr="00785D06">
        <w:rPr>
          <w:rFonts w:eastAsia="Times New Roman"/>
          <w:sz w:val="20"/>
          <w:szCs w:val="20"/>
          <w:lang w:val="en-US" w:eastAsia="es-ES" w:bidi="es-ES"/>
        </w:rPr>
        <w:t xml:space="preserve">in </w:t>
      </w:r>
      <w:r w:rsidR="00227228" w:rsidRPr="00785D06">
        <w:rPr>
          <w:rFonts w:eastAsia="Times New Roman"/>
          <w:sz w:val="20"/>
          <w:szCs w:val="20"/>
          <w:lang w:val="en-US" w:eastAsia="es-ES" w:bidi="es-ES"/>
        </w:rPr>
        <w:t xml:space="preserve">schools of </w:t>
      </w:r>
      <w:r w:rsidRPr="00785D06">
        <w:rPr>
          <w:rFonts w:eastAsia="Times New Roman"/>
          <w:sz w:val="20"/>
          <w:szCs w:val="20"/>
          <w:lang w:val="en-US" w:eastAsia="es-ES" w:bidi="es-ES"/>
        </w:rPr>
        <w:t xml:space="preserve">the </w:t>
      </w:r>
      <w:r w:rsidR="001122D9" w:rsidRPr="00785D06">
        <w:rPr>
          <w:rFonts w:eastAsia="Times New Roman"/>
          <w:sz w:val="20"/>
          <w:szCs w:val="20"/>
          <w:lang w:val="en-US" w:eastAsia="es-ES" w:bidi="es-ES"/>
        </w:rPr>
        <w:t xml:space="preserve">national </w:t>
      </w:r>
      <w:r w:rsidRPr="00785D06">
        <w:rPr>
          <w:rFonts w:eastAsia="Times New Roman"/>
          <w:sz w:val="20"/>
          <w:szCs w:val="20"/>
          <w:lang w:val="en-US" w:eastAsia="es-ES" w:bidi="es-ES"/>
        </w:rPr>
        <w:t xml:space="preserve">education system, </w:t>
      </w:r>
      <w:r w:rsidR="00227228" w:rsidRPr="00785D06">
        <w:rPr>
          <w:rFonts w:eastAsia="Times New Roman"/>
          <w:sz w:val="20"/>
          <w:szCs w:val="20"/>
          <w:lang w:val="en-US" w:eastAsia="es-ES" w:bidi="es-ES"/>
        </w:rPr>
        <w:t>in order to effectively manage</w:t>
      </w:r>
      <w:r w:rsidRPr="00785D06">
        <w:rPr>
          <w:rFonts w:eastAsia="Times New Roman"/>
          <w:sz w:val="20"/>
          <w:szCs w:val="20"/>
          <w:lang w:val="en-US" w:eastAsia="es-ES" w:bidi="es-ES"/>
        </w:rPr>
        <w:t xml:space="preserve"> </w:t>
      </w:r>
      <w:r w:rsidR="007A3232" w:rsidRPr="00785D06">
        <w:rPr>
          <w:rFonts w:eastAsia="Times New Roman"/>
          <w:sz w:val="20"/>
          <w:szCs w:val="20"/>
          <w:lang w:val="en-US" w:eastAsia="es-ES" w:bidi="es-ES"/>
        </w:rPr>
        <w:t xml:space="preserve">the </w:t>
      </w:r>
      <w:r w:rsidRPr="00785D06">
        <w:rPr>
          <w:rFonts w:eastAsia="Times New Roman"/>
          <w:sz w:val="20"/>
          <w:szCs w:val="20"/>
          <w:lang w:val="en-US" w:eastAsia="es-ES" w:bidi="es-ES"/>
        </w:rPr>
        <w:t>Ministry of Education</w:t>
      </w:r>
      <w:r w:rsidR="00227228" w:rsidRPr="00785D06">
        <w:rPr>
          <w:rFonts w:eastAsia="Times New Roman"/>
          <w:sz w:val="20"/>
          <w:szCs w:val="20"/>
          <w:lang w:val="en-US" w:eastAsia="es-ES" w:bidi="es-ES"/>
        </w:rPr>
        <w:t>’s efforts</w:t>
      </w:r>
      <w:r w:rsidRPr="00785D06">
        <w:rPr>
          <w:rFonts w:eastAsia="Times New Roman"/>
          <w:sz w:val="20"/>
          <w:szCs w:val="20"/>
          <w:lang w:val="en-US" w:eastAsia="es-ES" w:bidi="es-ES"/>
        </w:rPr>
        <w:t xml:space="preserve"> </w:t>
      </w:r>
      <w:r w:rsidR="001122D9" w:rsidRPr="00785D06">
        <w:rPr>
          <w:rFonts w:eastAsia="Times New Roman"/>
          <w:sz w:val="20"/>
          <w:szCs w:val="20"/>
          <w:lang w:val="en-US" w:eastAsia="es-ES" w:bidi="es-ES"/>
        </w:rPr>
        <w:t xml:space="preserve">to </w:t>
      </w:r>
      <w:r w:rsidRPr="00785D06">
        <w:rPr>
          <w:rFonts w:eastAsia="Times New Roman"/>
          <w:sz w:val="20"/>
          <w:szCs w:val="20"/>
          <w:lang w:val="en-US" w:eastAsia="es-ES" w:bidi="es-ES"/>
        </w:rPr>
        <w:t xml:space="preserve">guarantee </w:t>
      </w:r>
      <w:r w:rsidR="001122D9" w:rsidRPr="00785D06">
        <w:rPr>
          <w:rFonts w:eastAsia="Times New Roman"/>
          <w:sz w:val="20"/>
          <w:szCs w:val="20"/>
          <w:lang w:val="en-US" w:eastAsia="es-ES" w:bidi="es-ES"/>
        </w:rPr>
        <w:t xml:space="preserve">support for </w:t>
      </w:r>
      <w:r w:rsidRPr="00785D06">
        <w:rPr>
          <w:rFonts w:eastAsia="Times New Roman"/>
          <w:sz w:val="20"/>
          <w:szCs w:val="20"/>
          <w:lang w:val="en-US" w:eastAsia="es-ES" w:bidi="es-ES"/>
        </w:rPr>
        <w:t xml:space="preserve">children and adolescents </w:t>
      </w:r>
      <w:r w:rsidR="00227228" w:rsidRPr="00785D06">
        <w:rPr>
          <w:rFonts w:eastAsia="Times New Roman"/>
          <w:sz w:val="20"/>
          <w:szCs w:val="20"/>
          <w:lang w:val="en-US" w:eastAsia="es-ES" w:bidi="es-ES"/>
        </w:rPr>
        <w:t xml:space="preserve">affected by </w:t>
      </w:r>
      <w:r w:rsidRPr="00785D06">
        <w:rPr>
          <w:rFonts w:eastAsia="Times New Roman"/>
          <w:sz w:val="20"/>
          <w:szCs w:val="20"/>
          <w:lang w:val="en-US" w:eastAsia="es-ES" w:bidi="es-ES"/>
        </w:rPr>
        <w:t>sexual violence</w:t>
      </w:r>
      <w:r w:rsidR="007A3232" w:rsidRPr="00785D06">
        <w:rPr>
          <w:rFonts w:eastAsia="Times New Roman"/>
          <w:sz w:val="20"/>
          <w:szCs w:val="20"/>
          <w:lang w:val="en-US" w:eastAsia="es-ES" w:bidi="es-ES"/>
        </w:rPr>
        <w:t>.</w:t>
      </w:r>
      <w:r w:rsidRPr="00785D06">
        <w:rPr>
          <w:rStyle w:val="Refdenotaalpie"/>
          <w:rFonts w:eastAsia="Times New Roman"/>
          <w:sz w:val="20"/>
          <w:szCs w:val="20"/>
          <w:lang w:val="en-US" w:eastAsia="es-ES" w:bidi="es-ES"/>
        </w:rPr>
        <w:footnoteReference w:id="216"/>
      </w:r>
      <w:r w:rsidRPr="00785D06">
        <w:rPr>
          <w:rFonts w:eastAsia="Times New Roman"/>
          <w:sz w:val="20"/>
          <w:szCs w:val="20"/>
          <w:lang w:val="en-US" w:eastAsia="es-ES" w:bidi="es-ES"/>
        </w:rPr>
        <w:t xml:space="preserve"> </w:t>
      </w:r>
    </w:p>
    <w:p w14:paraId="4DB9B010" w14:textId="77777777" w:rsidR="00C254BF" w:rsidRPr="00785D06" w:rsidRDefault="00C254BF" w:rsidP="00C254BF">
      <w:pPr>
        <w:pStyle w:val="Prrafodelista"/>
        <w:widowControl w:val="0"/>
        <w:autoSpaceDE w:val="0"/>
        <w:autoSpaceDN w:val="0"/>
        <w:ind w:left="284" w:right="117"/>
        <w:jc w:val="both"/>
        <w:rPr>
          <w:rFonts w:eastAsia="Times New Roman"/>
          <w:sz w:val="20"/>
          <w:szCs w:val="20"/>
          <w:lang w:val="en-US" w:eastAsia="es-ES" w:bidi="es-ES"/>
        </w:rPr>
      </w:pPr>
    </w:p>
    <w:p w14:paraId="67A42B74" w14:textId="77777777" w:rsidR="00C254BF" w:rsidRPr="00785D06" w:rsidRDefault="00C254BF" w:rsidP="00C254BF">
      <w:pPr>
        <w:pStyle w:val="Prrafodelista"/>
        <w:widowControl w:val="0"/>
        <w:numPr>
          <w:ilvl w:val="0"/>
          <w:numId w:val="14"/>
        </w:numPr>
        <w:autoSpaceDE w:val="0"/>
        <w:autoSpaceDN w:val="0"/>
        <w:ind w:left="284" w:right="117" w:firstLine="0"/>
        <w:jc w:val="both"/>
        <w:rPr>
          <w:rFonts w:eastAsia="Times New Roman"/>
          <w:sz w:val="20"/>
          <w:szCs w:val="20"/>
          <w:lang w:val="en-US" w:eastAsia="es-ES" w:bidi="es-ES"/>
        </w:rPr>
      </w:pPr>
      <w:r w:rsidRPr="00785D06">
        <w:rPr>
          <w:rFonts w:eastAsia="Times New Roman"/>
          <w:i/>
          <w:sz w:val="20"/>
          <w:szCs w:val="20"/>
          <w:lang w:val="en-US" w:eastAsia="es-ES" w:bidi="es-ES"/>
        </w:rPr>
        <w:t>Training for public officials</w:t>
      </w:r>
      <w:r w:rsidRPr="00785D06">
        <w:rPr>
          <w:rFonts w:eastAsia="Times New Roman"/>
          <w:sz w:val="20"/>
          <w:szCs w:val="20"/>
          <w:lang w:val="en-US" w:eastAsia="es-ES" w:bidi="es-ES"/>
        </w:rPr>
        <w:t>:</w:t>
      </w:r>
      <w:r w:rsidRPr="00785D06">
        <w:rPr>
          <w:rFonts w:eastAsia="Times New Roman"/>
          <w:b/>
          <w:sz w:val="20"/>
          <w:szCs w:val="20"/>
          <w:lang w:val="en-US" w:eastAsia="es-ES" w:bidi="es-ES"/>
        </w:rPr>
        <w:t xml:space="preserve"> </w:t>
      </w:r>
      <w:r w:rsidR="007A3232" w:rsidRPr="00785D06">
        <w:rPr>
          <w:rFonts w:eastAsia="Times New Roman"/>
          <w:sz w:val="20"/>
          <w:szCs w:val="20"/>
          <w:lang w:val="en-US" w:eastAsia="es-ES" w:bidi="es-ES"/>
        </w:rPr>
        <w:t xml:space="preserve">i. </w:t>
      </w:r>
      <w:r w:rsidR="002C2C17" w:rsidRPr="00785D06">
        <w:rPr>
          <w:rFonts w:eastAsia="Times New Roman"/>
          <w:sz w:val="20"/>
          <w:szCs w:val="20"/>
          <w:lang w:val="en-US" w:eastAsia="es-ES" w:bidi="es-ES"/>
        </w:rPr>
        <w:t xml:space="preserve">A total of </w:t>
      </w:r>
      <w:r w:rsidRPr="00785D06">
        <w:rPr>
          <w:rFonts w:eastAsia="Times New Roman"/>
          <w:sz w:val="20"/>
          <w:szCs w:val="20"/>
          <w:lang w:val="en-US" w:eastAsia="es-ES" w:bidi="es-ES"/>
        </w:rPr>
        <w:t xml:space="preserve">59,129 teachers </w:t>
      </w:r>
      <w:r w:rsidR="002C2C17" w:rsidRPr="00785D06">
        <w:rPr>
          <w:rFonts w:eastAsia="Times New Roman"/>
          <w:sz w:val="20"/>
          <w:szCs w:val="20"/>
          <w:lang w:val="en-US" w:eastAsia="es-ES" w:bidi="es-ES"/>
        </w:rPr>
        <w:t xml:space="preserve">have </w:t>
      </w:r>
      <w:r w:rsidRPr="00785D06">
        <w:rPr>
          <w:rFonts w:eastAsia="Times New Roman"/>
          <w:sz w:val="20"/>
          <w:szCs w:val="20"/>
          <w:lang w:val="en-US" w:eastAsia="es-ES" w:bidi="es-ES"/>
        </w:rPr>
        <w:t>received training on preventing and addressing sexual violence in schools</w:t>
      </w:r>
      <w:r w:rsidRPr="00785D06">
        <w:rPr>
          <w:rStyle w:val="Refdenotaalpie"/>
          <w:rFonts w:eastAsia="Times New Roman"/>
          <w:sz w:val="20"/>
          <w:szCs w:val="20"/>
          <w:lang w:val="en-US" w:eastAsia="es-ES" w:bidi="es-ES"/>
        </w:rPr>
        <w:footnoteReference w:id="217"/>
      </w:r>
      <w:r w:rsidR="007A3232" w:rsidRPr="00785D06">
        <w:rPr>
          <w:rFonts w:eastAsia="Times New Roman"/>
          <w:sz w:val="20"/>
          <w:szCs w:val="20"/>
          <w:lang w:val="en-US" w:eastAsia="es-ES" w:bidi="es-ES"/>
        </w:rPr>
        <w:t>. ii. Various</w:t>
      </w:r>
      <w:r w:rsidRPr="00785D06">
        <w:rPr>
          <w:rFonts w:eastAsia="Times New Roman"/>
          <w:sz w:val="20"/>
          <w:szCs w:val="20"/>
          <w:lang w:val="en-US" w:eastAsia="es-ES" w:bidi="es-ES"/>
        </w:rPr>
        <w:t xml:space="preserve"> “awareness-raising workshops” have been implemented with health professionals and public officials</w:t>
      </w:r>
      <w:r w:rsidR="007A3232" w:rsidRPr="00785D06">
        <w:rPr>
          <w:rFonts w:eastAsia="Times New Roman"/>
          <w:sz w:val="20"/>
          <w:szCs w:val="20"/>
          <w:lang w:val="en-US" w:eastAsia="es-ES" w:bidi="es-ES"/>
        </w:rPr>
        <w:t>.</w:t>
      </w:r>
      <w:r w:rsidRPr="00785D06">
        <w:rPr>
          <w:rStyle w:val="Refdenotaalpie"/>
          <w:rFonts w:eastAsia="Times New Roman"/>
          <w:sz w:val="20"/>
          <w:szCs w:val="20"/>
          <w:lang w:val="en-US" w:eastAsia="es-ES" w:bidi="es-ES"/>
        </w:rPr>
        <w:footnoteReference w:id="218"/>
      </w:r>
      <w:r w:rsidR="007A3232" w:rsidRPr="00785D06">
        <w:rPr>
          <w:rFonts w:eastAsia="Times New Roman"/>
          <w:sz w:val="20"/>
          <w:szCs w:val="20"/>
          <w:lang w:val="en-US" w:eastAsia="es-ES" w:bidi="es-ES"/>
        </w:rPr>
        <w:t xml:space="preserve"> iii. B</w:t>
      </w:r>
      <w:r w:rsidRPr="00785D06">
        <w:rPr>
          <w:rFonts w:eastAsia="Times New Roman"/>
          <w:sz w:val="20"/>
          <w:szCs w:val="20"/>
          <w:lang w:val="en-US" w:eastAsia="es-ES" w:bidi="es-ES"/>
        </w:rPr>
        <w:t xml:space="preserve">etween April and July of 2019, 12 national workshops were </w:t>
      </w:r>
      <w:r w:rsidR="007A3232" w:rsidRPr="00785D06">
        <w:rPr>
          <w:rFonts w:eastAsia="Times New Roman"/>
          <w:sz w:val="20"/>
          <w:szCs w:val="20"/>
          <w:lang w:val="en-US" w:eastAsia="es-ES" w:bidi="es-ES"/>
        </w:rPr>
        <w:t>held with professionals of the country’s S</w:t>
      </w:r>
      <w:r w:rsidRPr="00785D06">
        <w:rPr>
          <w:rFonts w:eastAsia="Times New Roman"/>
          <w:sz w:val="20"/>
          <w:szCs w:val="20"/>
          <w:lang w:val="en-US" w:eastAsia="es-ES" w:bidi="es-ES"/>
        </w:rPr>
        <w:t xml:space="preserve">tudent Counseling Departments </w:t>
      </w:r>
      <w:r w:rsidR="007A3232" w:rsidRPr="00785D06">
        <w:rPr>
          <w:rFonts w:eastAsia="Times New Roman"/>
          <w:sz w:val="20"/>
          <w:szCs w:val="20"/>
          <w:lang w:val="en-US" w:eastAsia="es-ES" w:bidi="es-ES"/>
        </w:rPr>
        <w:t xml:space="preserve">to prevent and </w:t>
      </w:r>
      <w:r w:rsidR="002C2C17" w:rsidRPr="00785D06">
        <w:rPr>
          <w:rFonts w:eastAsia="Times New Roman"/>
          <w:sz w:val="20"/>
          <w:szCs w:val="20"/>
          <w:lang w:val="en-US" w:eastAsia="es-ES" w:bidi="es-ES"/>
        </w:rPr>
        <w:t xml:space="preserve">address </w:t>
      </w:r>
      <w:r w:rsidRPr="00785D06">
        <w:rPr>
          <w:rFonts w:eastAsia="Times New Roman"/>
          <w:sz w:val="20"/>
          <w:szCs w:val="20"/>
          <w:lang w:val="en-US" w:eastAsia="es-ES" w:bidi="es-ES"/>
        </w:rPr>
        <w:t>violence in schools.</w:t>
      </w:r>
    </w:p>
    <w:p w14:paraId="2023F296" w14:textId="77777777" w:rsidR="00C254BF" w:rsidRPr="00785D06" w:rsidRDefault="00C254BF" w:rsidP="00C254BF">
      <w:pPr>
        <w:pStyle w:val="Prrafodelista"/>
        <w:widowControl w:val="0"/>
        <w:autoSpaceDE w:val="0"/>
        <w:autoSpaceDN w:val="0"/>
        <w:ind w:left="284" w:right="117"/>
        <w:jc w:val="both"/>
        <w:rPr>
          <w:rFonts w:eastAsia="Times New Roman"/>
          <w:sz w:val="20"/>
          <w:szCs w:val="20"/>
          <w:lang w:val="en-US" w:eastAsia="es-ES" w:bidi="es-ES"/>
        </w:rPr>
      </w:pPr>
    </w:p>
    <w:p w14:paraId="1E1E181F" w14:textId="77777777" w:rsidR="00C254BF" w:rsidRPr="00785D06" w:rsidRDefault="00C254BF" w:rsidP="00C254BF">
      <w:pPr>
        <w:pStyle w:val="Prrafodelista"/>
        <w:widowControl w:val="0"/>
        <w:numPr>
          <w:ilvl w:val="0"/>
          <w:numId w:val="14"/>
        </w:numPr>
        <w:autoSpaceDE w:val="0"/>
        <w:autoSpaceDN w:val="0"/>
        <w:ind w:left="284" w:right="117" w:firstLine="0"/>
        <w:jc w:val="both"/>
        <w:rPr>
          <w:rFonts w:eastAsia="Times New Roman"/>
          <w:sz w:val="20"/>
          <w:szCs w:val="20"/>
          <w:lang w:val="en-US" w:eastAsia="es-ES" w:bidi="es-ES"/>
        </w:rPr>
      </w:pPr>
      <w:r w:rsidRPr="00785D06">
        <w:rPr>
          <w:rFonts w:eastAsia="Times New Roman"/>
          <w:i/>
          <w:sz w:val="20"/>
          <w:szCs w:val="20"/>
          <w:lang w:val="en-US" w:eastAsia="es-ES" w:bidi="es-ES"/>
        </w:rPr>
        <w:t>Disseminating information on sexual and reproductive health and gender-based violence</w:t>
      </w:r>
      <w:r w:rsidR="007A3232" w:rsidRPr="00785D06">
        <w:rPr>
          <w:rFonts w:eastAsia="Times New Roman"/>
          <w:sz w:val="20"/>
          <w:szCs w:val="20"/>
          <w:lang w:val="en-US" w:eastAsia="es-ES" w:bidi="es-ES"/>
        </w:rPr>
        <w:t xml:space="preserve">: i. Implementation of </w:t>
      </w:r>
      <w:r w:rsidRPr="00785D06">
        <w:rPr>
          <w:rFonts w:eastAsia="Times New Roman"/>
          <w:sz w:val="20"/>
          <w:szCs w:val="20"/>
          <w:lang w:val="en-US" w:eastAsia="es-ES" w:bidi="es-ES"/>
        </w:rPr>
        <w:t>“sexual and reproductive health counseling se</w:t>
      </w:r>
      <w:r w:rsidR="00DA4EE3" w:rsidRPr="00785D06">
        <w:rPr>
          <w:rFonts w:eastAsia="Times New Roman"/>
          <w:sz w:val="20"/>
          <w:szCs w:val="20"/>
          <w:lang w:val="en-US" w:eastAsia="es-ES" w:bidi="es-ES"/>
        </w:rPr>
        <w:t>r</w:t>
      </w:r>
      <w:r w:rsidRPr="00785D06">
        <w:rPr>
          <w:rFonts w:eastAsia="Times New Roman"/>
          <w:sz w:val="20"/>
          <w:szCs w:val="20"/>
          <w:lang w:val="en-US" w:eastAsia="es-ES" w:bidi="es-ES"/>
        </w:rPr>
        <w:t xml:space="preserve">vices” and </w:t>
      </w:r>
      <w:r w:rsidR="007A3232" w:rsidRPr="00785D06">
        <w:rPr>
          <w:rFonts w:eastAsia="Times New Roman"/>
          <w:sz w:val="20"/>
          <w:szCs w:val="20"/>
          <w:lang w:val="en-US" w:eastAsia="es-ES" w:bidi="es-ES"/>
        </w:rPr>
        <w:t xml:space="preserve">information </w:t>
      </w:r>
      <w:r w:rsidRPr="00785D06">
        <w:rPr>
          <w:rFonts w:eastAsia="Times New Roman"/>
          <w:sz w:val="20"/>
          <w:szCs w:val="20"/>
          <w:lang w:val="en-US" w:eastAsia="es-ES" w:bidi="es-ES"/>
        </w:rPr>
        <w:t>campaigns to prevent sexual violence</w:t>
      </w:r>
      <w:r w:rsidR="00DA4EE3" w:rsidRPr="00785D06">
        <w:rPr>
          <w:rFonts w:eastAsia="Times New Roman"/>
          <w:sz w:val="20"/>
          <w:szCs w:val="20"/>
          <w:lang w:val="en-US" w:eastAsia="es-ES" w:bidi="es-ES"/>
        </w:rPr>
        <w:t>.</w:t>
      </w:r>
      <w:r w:rsidRPr="00785D06">
        <w:rPr>
          <w:rStyle w:val="Refdenotaalpie"/>
          <w:rFonts w:eastAsia="Times New Roman"/>
          <w:sz w:val="20"/>
          <w:szCs w:val="20"/>
          <w:lang w:val="en-US" w:eastAsia="es-ES" w:bidi="es-ES"/>
        </w:rPr>
        <w:footnoteReference w:id="219"/>
      </w:r>
      <w:r w:rsidR="007A3232" w:rsidRPr="00785D06">
        <w:rPr>
          <w:rFonts w:eastAsia="Times New Roman"/>
          <w:sz w:val="20"/>
          <w:szCs w:val="20"/>
          <w:lang w:val="en-US" w:eastAsia="es-ES" w:bidi="es-ES"/>
        </w:rPr>
        <w:t xml:space="preserve"> ii. T</w:t>
      </w:r>
      <w:r w:rsidRPr="00785D06">
        <w:rPr>
          <w:rFonts w:eastAsia="Times New Roman"/>
          <w:sz w:val="20"/>
          <w:szCs w:val="20"/>
          <w:lang w:val="en-US" w:eastAsia="es-ES" w:bidi="es-ES"/>
        </w:rPr>
        <w:t>he</w:t>
      </w:r>
      <w:r w:rsidR="00D20AAC" w:rsidRPr="00785D06">
        <w:rPr>
          <w:rFonts w:eastAsia="Times New Roman"/>
          <w:sz w:val="20"/>
          <w:szCs w:val="20"/>
          <w:lang w:val="en-US" w:eastAsia="es-ES" w:bidi="es-ES"/>
        </w:rPr>
        <w:t xml:space="preserve"> Ministry of </w:t>
      </w:r>
      <w:r w:rsidR="00DC2C33" w:rsidRPr="00785D06">
        <w:rPr>
          <w:rFonts w:eastAsia="Times New Roman"/>
          <w:sz w:val="20"/>
          <w:szCs w:val="20"/>
          <w:lang w:val="en-US" w:eastAsia="es-ES" w:bidi="es-ES"/>
        </w:rPr>
        <w:t xml:space="preserve">Education </w:t>
      </w:r>
      <w:r w:rsidR="00D20AAC" w:rsidRPr="00785D06">
        <w:rPr>
          <w:rFonts w:eastAsia="Times New Roman"/>
          <w:sz w:val="20"/>
          <w:szCs w:val="20"/>
          <w:lang w:val="en-US" w:eastAsia="es-ES" w:bidi="es-ES"/>
        </w:rPr>
        <w:t xml:space="preserve">organized </w:t>
      </w:r>
      <w:r w:rsidRPr="00785D06">
        <w:rPr>
          <w:rFonts w:eastAsia="Times New Roman"/>
          <w:sz w:val="20"/>
          <w:szCs w:val="20"/>
          <w:lang w:val="en-US" w:eastAsia="es-ES" w:bidi="es-ES"/>
        </w:rPr>
        <w:t>“participatory workshops” for the prevention of gender-based violence, sexual violence a</w:t>
      </w:r>
      <w:r w:rsidR="00D20AAC" w:rsidRPr="00785D06">
        <w:rPr>
          <w:rFonts w:eastAsia="Times New Roman"/>
          <w:sz w:val="20"/>
          <w:szCs w:val="20"/>
          <w:lang w:val="en-US" w:eastAsia="es-ES" w:bidi="es-ES"/>
        </w:rPr>
        <w:t>nd adolescent pregnancies. iii.</w:t>
      </w:r>
      <w:r w:rsidRPr="00785D06">
        <w:rPr>
          <w:rFonts w:eastAsia="Times New Roman"/>
          <w:sz w:val="20"/>
          <w:szCs w:val="20"/>
          <w:lang w:val="en-US" w:eastAsia="es-ES" w:bidi="es-ES"/>
        </w:rPr>
        <w:t xml:space="preserve"> </w:t>
      </w:r>
      <w:r w:rsidR="00D20AAC" w:rsidRPr="00785D06">
        <w:rPr>
          <w:rFonts w:eastAsia="Times New Roman"/>
          <w:sz w:val="20"/>
          <w:szCs w:val="20"/>
          <w:lang w:val="en-US" w:eastAsia="es-ES" w:bidi="es-ES"/>
        </w:rPr>
        <w:t>C</w:t>
      </w:r>
      <w:r w:rsidR="00DA4EE3" w:rsidRPr="00785D06">
        <w:rPr>
          <w:rFonts w:eastAsia="Times New Roman"/>
          <w:sz w:val="20"/>
          <w:szCs w:val="20"/>
          <w:lang w:val="en-US" w:eastAsia="es-ES" w:bidi="es-ES"/>
        </w:rPr>
        <w:t>reation of the “</w:t>
      </w:r>
      <w:r w:rsidR="007A3232" w:rsidRPr="00785D06">
        <w:rPr>
          <w:rFonts w:eastAsia="Times New Roman"/>
          <w:i/>
          <w:sz w:val="20"/>
          <w:szCs w:val="20"/>
          <w:lang w:val="en-US" w:eastAsia="es-ES" w:bidi="es-ES"/>
        </w:rPr>
        <w:t>Educando en familia</w:t>
      </w:r>
      <w:r w:rsidR="00DA4EE3" w:rsidRPr="00785D06">
        <w:rPr>
          <w:rFonts w:eastAsia="Times New Roman"/>
          <w:sz w:val="20"/>
          <w:szCs w:val="20"/>
          <w:lang w:val="en-US" w:eastAsia="es-ES" w:bidi="es-ES"/>
        </w:rPr>
        <w:t>” program</w:t>
      </w:r>
      <w:r w:rsidRPr="00785D06">
        <w:rPr>
          <w:rFonts w:eastAsia="Times New Roman"/>
          <w:sz w:val="20"/>
          <w:szCs w:val="20"/>
          <w:lang w:val="en-US" w:eastAsia="es-ES" w:bidi="es-ES"/>
        </w:rPr>
        <w:t xml:space="preserve"> </w:t>
      </w:r>
      <w:r w:rsidR="007A3232" w:rsidRPr="00785D06">
        <w:rPr>
          <w:rFonts w:eastAsia="Times New Roman"/>
          <w:sz w:val="20"/>
          <w:szCs w:val="20"/>
          <w:lang w:val="en-US" w:eastAsia="es-ES" w:bidi="es-ES"/>
        </w:rPr>
        <w:t xml:space="preserve">that includes a module on </w:t>
      </w:r>
      <w:r w:rsidR="005A7B28" w:rsidRPr="00785D06">
        <w:rPr>
          <w:rFonts w:eastAsia="Times New Roman"/>
          <w:sz w:val="20"/>
          <w:szCs w:val="20"/>
          <w:lang w:val="en-US" w:eastAsia="es-ES" w:bidi="es-ES"/>
        </w:rPr>
        <w:t xml:space="preserve">preventing </w:t>
      </w:r>
      <w:r w:rsidRPr="00785D06">
        <w:rPr>
          <w:rFonts w:eastAsia="Times New Roman"/>
          <w:sz w:val="20"/>
          <w:szCs w:val="20"/>
          <w:lang w:val="en-US" w:eastAsia="es-ES" w:bidi="es-ES"/>
        </w:rPr>
        <w:t>sexual violence</w:t>
      </w:r>
      <w:r w:rsidR="005A7B28" w:rsidRPr="00785D06">
        <w:rPr>
          <w:rFonts w:eastAsia="Times New Roman"/>
          <w:sz w:val="20"/>
          <w:szCs w:val="20"/>
          <w:lang w:val="en-US" w:eastAsia="es-ES" w:bidi="es-ES"/>
        </w:rPr>
        <w:t xml:space="preserve"> in the family</w:t>
      </w:r>
      <w:r w:rsidRPr="00785D06">
        <w:rPr>
          <w:rFonts w:eastAsia="Times New Roman"/>
          <w:sz w:val="20"/>
          <w:szCs w:val="20"/>
          <w:lang w:val="en-US" w:eastAsia="es-ES" w:bidi="es-ES"/>
        </w:rPr>
        <w:t xml:space="preserve">, </w:t>
      </w:r>
      <w:r w:rsidR="00D20AAC" w:rsidRPr="00785D06">
        <w:rPr>
          <w:rFonts w:eastAsia="Times New Roman"/>
          <w:sz w:val="20"/>
          <w:szCs w:val="20"/>
          <w:lang w:val="en-US" w:eastAsia="es-ES" w:bidi="es-ES"/>
        </w:rPr>
        <w:t xml:space="preserve">by </w:t>
      </w:r>
      <w:r w:rsidRPr="00785D06">
        <w:rPr>
          <w:rFonts w:eastAsia="Times New Roman"/>
          <w:sz w:val="20"/>
          <w:szCs w:val="20"/>
          <w:lang w:val="en-US" w:eastAsia="es-ES" w:bidi="es-ES"/>
        </w:rPr>
        <w:t>revi</w:t>
      </w:r>
      <w:r w:rsidR="00D20AAC" w:rsidRPr="00785D06">
        <w:rPr>
          <w:rFonts w:eastAsia="Times New Roman"/>
          <w:sz w:val="20"/>
          <w:szCs w:val="20"/>
          <w:lang w:val="en-US" w:eastAsia="es-ES" w:bidi="es-ES"/>
        </w:rPr>
        <w:t xml:space="preserve">ewing </w:t>
      </w:r>
      <w:r w:rsidRPr="00785D06">
        <w:rPr>
          <w:rFonts w:eastAsia="Times New Roman"/>
          <w:sz w:val="20"/>
          <w:szCs w:val="20"/>
          <w:lang w:val="en-US" w:eastAsia="es-ES" w:bidi="es-ES"/>
        </w:rPr>
        <w:t xml:space="preserve">patterns, customs and </w:t>
      </w:r>
      <w:r w:rsidR="00267562" w:rsidRPr="00785D06">
        <w:rPr>
          <w:rFonts w:eastAsia="Times New Roman"/>
          <w:sz w:val="20"/>
          <w:szCs w:val="20"/>
          <w:lang w:val="en-US" w:eastAsia="es-ES" w:bidi="es-ES"/>
        </w:rPr>
        <w:t xml:space="preserve">parenting </w:t>
      </w:r>
      <w:r w:rsidRPr="00785D06">
        <w:rPr>
          <w:rFonts w:eastAsia="Times New Roman"/>
          <w:sz w:val="20"/>
          <w:szCs w:val="20"/>
          <w:lang w:val="en-US" w:eastAsia="es-ES" w:bidi="es-ES"/>
        </w:rPr>
        <w:t xml:space="preserve">guidelines in homes that </w:t>
      </w:r>
      <w:r w:rsidR="00D20AAC" w:rsidRPr="00785D06">
        <w:rPr>
          <w:rFonts w:eastAsia="Times New Roman"/>
          <w:sz w:val="20"/>
          <w:szCs w:val="20"/>
          <w:lang w:val="en-US" w:eastAsia="es-ES" w:bidi="es-ES"/>
        </w:rPr>
        <w:t xml:space="preserve">foster </w:t>
      </w:r>
      <w:r w:rsidRPr="00785D06">
        <w:rPr>
          <w:rFonts w:eastAsia="Times New Roman"/>
          <w:sz w:val="20"/>
          <w:szCs w:val="20"/>
          <w:lang w:val="en-US" w:eastAsia="es-ES" w:bidi="es-ES"/>
        </w:rPr>
        <w:t xml:space="preserve">situations of sexual violence against children and adolescents. This program is </w:t>
      </w:r>
      <w:r w:rsidR="00D20AAC" w:rsidRPr="00785D06">
        <w:rPr>
          <w:rFonts w:eastAsia="Times New Roman"/>
          <w:sz w:val="20"/>
          <w:szCs w:val="20"/>
          <w:lang w:val="en-US" w:eastAsia="es-ES" w:bidi="es-ES"/>
        </w:rPr>
        <w:t xml:space="preserve">being </w:t>
      </w:r>
      <w:r w:rsidRPr="00785D06">
        <w:rPr>
          <w:rFonts w:eastAsia="Times New Roman"/>
          <w:sz w:val="20"/>
          <w:szCs w:val="20"/>
          <w:lang w:val="en-US" w:eastAsia="es-ES" w:bidi="es-ES"/>
        </w:rPr>
        <w:t xml:space="preserve">implemented </w:t>
      </w:r>
      <w:r w:rsidR="00695EC9" w:rsidRPr="00785D06">
        <w:rPr>
          <w:rFonts w:eastAsia="Times New Roman"/>
          <w:sz w:val="20"/>
          <w:szCs w:val="20"/>
          <w:lang w:val="en-US" w:eastAsia="es-ES" w:bidi="es-ES"/>
        </w:rPr>
        <w:t xml:space="preserve">in </w:t>
      </w:r>
      <w:r w:rsidR="00D20AAC" w:rsidRPr="00785D06">
        <w:rPr>
          <w:rFonts w:eastAsia="Times New Roman"/>
          <w:sz w:val="20"/>
          <w:szCs w:val="20"/>
          <w:lang w:val="en-US" w:eastAsia="es-ES" w:bidi="es-ES"/>
        </w:rPr>
        <w:t>schools</w:t>
      </w:r>
      <w:r w:rsidR="00695EC9" w:rsidRPr="00785D06">
        <w:rPr>
          <w:rFonts w:eastAsia="Times New Roman"/>
          <w:sz w:val="20"/>
          <w:szCs w:val="20"/>
          <w:lang w:val="en-US" w:eastAsia="es-ES" w:bidi="es-ES"/>
        </w:rPr>
        <w:t xml:space="preserve">. iv. </w:t>
      </w:r>
      <w:r w:rsidR="007A3232" w:rsidRPr="00785D06">
        <w:rPr>
          <w:rFonts w:eastAsia="Times New Roman"/>
          <w:sz w:val="20"/>
          <w:szCs w:val="20"/>
          <w:lang w:val="en-US" w:eastAsia="es-ES" w:bidi="es-ES"/>
        </w:rPr>
        <w:t xml:space="preserve">A campaign entitled </w:t>
      </w:r>
      <w:r w:rsidRPr="00785D06">
        <w:rPr>
          <w:rFonts w:eastAsia="Times New Roman"/>
          <w:sz w:val="20"/>
          <w:szCs w:val="20"/>
          <w:lang w:val="en-US" w:eastAsia="es-ES" w:bidi="es-ES"/>
        </w:rPr>
        <w:t>“</w:t>
      </w:r>
      <w:r w:rsidRPr="00785D06">
        <w:rPr>
          <w:rFonts w:eastAsia="Times New Roman"/>
          <w:i/>
          <w:sz w:val="20"/>
          <w:szCs w:val="20"/>
          <w:lang w:val="en-US" w:eastAsia="es-ES" w:bidi="es-ES"/>
        </w:rPr>
        <w:t>m</w:t>
      </w:r>
      <w:r w:rsidR="007A3232" w:rsidRPr="00785D06">
        <w:rPr>
          <w:rFonts w:ascii="Arial" w:eastAsia="Times New Roman" w:hAnsi="Arial" w:cs="Arial"/>
          <w:i/>
          <w:sz w:val="20"/>
          <w:szCs w:val="20"/>
          <w:lang w:val="en-US" w:eastAsia="es-ES" w:bidi="es-ES"/>
        </w:rPr>
        <w:t xml:space="preserve">ás </w:t>
      </w:r>
      <w:r w:rsidRPr="00785D06">
        <w:rPr>
          <w:rFonts w:eastAsia="Times New Roman"/>
          <w:i/>
          <w:sz w:val="20"/>
          <w:szCs w:val="20"/>
          <w:lang w:val="en-US" w:eastAsia="es-ES" w:bidi="es-ES"/>
        </w:rPr>
        <w:t>unidos m</w:t>
      </w:r>
      <w:r w:rsidR="007A3232" w:rsidRPr="00785D06">
        <w:rPr>
          <w:rFonts w:eastAsia="Times New Roman"/>
          <w:i/>
          <w:sz w:val="20"/>
          <w:szCs w:val="20"/>
          <w:lang w:val="en-US" w:eastAsia="es-ES" w:bidi="es-ES"/>
        </w:rPr>
        <w:t xml:space="preserve">ás </w:t>
      </w:r>
      <w:r w:rsidRPr="00785D06">
        <w:rPr>
          <w:rFonts w:eastAsia="Times New Roman"/>
          <w:i/>
          <w:sz w:val="20"/>
          <w:szCs w:val="20"/>
          <w:lang w:val="en-US" w:eastAsia="es-ES" w:bidi="es-ES"/>
        </w:rPr>
        <w:t>protegidos</w:t>
      </w:r>
      <w:r w:rsidRPr="00785D06">
        <w:rPr>
          <w:rFonts w:eastAsia="Times New Roman"/>
          <w:sz w:val="20"/>
          <w:szCs w:val="20"/>
          <w:lang w:val="en-US" w:eastAsia="es-ES" w:bidi="es-ES"/>
        </w:rPr>
        <w:t xml:space="preserve">” was implemented jointly by the Ministry of Education and the Ministry of Public Health in 2017, and </w:t>
      </w:r>
      <w:r w:rsidR="001122D9" w:rsidRPr="00785D06">
        <w:rPr>
          <w:rFonts w:eastAsia="Times New Roman"/>
          <w:sz w:val="20"/>
          <w:szCs w:val="20"/>
          <w:lang w:val="en-US" w:eastAsia="es-ES" w:bidi="es-ES"/>
        </w:rPr>
        <w:t xml:space="preserve">disseminated at national </w:t>
      </w:r>
      <w:r w:rsidRPr="00785D06">
        <w:rPr>
          <w:rFonts w:eastAsia="Times New Roman"/>
          <w:sz w:val="20"/>
          <w:szCs w:val="20"/>
          <w:lang w:val="en-US" w:eastAsia="es-ES" w:bidi="es-ES"/>
        </w:rPr>
        <w:t xml:space="preserve">level </w:t>
      </w:r>
      <w:r w:rsidR="001122D9" w:rsidRPr="00785D06">
        <w:rPr>
          <w:rFonts w:eastAsia="Times New Roman"/>
          <w:sz w:val="20"/>
          <w:szCs w:val="20"/>
          <w:lang w:val="en-US" w:eastAsia="es-ES" w:bidi="es-ES"/>
        </w:rPr>
        <w:t xml:space="preserve">through </w:t>
      </w:r>
      <w:r w:rsidRPr="00785D06">
        <w:rPr>
          <w:rFonts w:eastAsia="Times New Roman"/>
          <w:sz w:val="20"/>
          <w:szCs w:val="20"/>
          <w:lang w:val="en-US" w:eastAsia="es-ES" w:bidi="es-ES"/>
        </w:rPr>
        <w:t xml:space="preserve">2,641 </w:t>
      </w:r>
      <w:r w:rsidR="001122D9" w:rsidRPr="00785D06">
        <w:rPr>
          <w:rFonts w:eastAsia="Times New Roman"/>
          <w:sz w:val="20"/>
          <w:szCs w:val="20"/>
          <w:lang w:val="en-US" w:eastAsia="es-ES" w:bidi="es-ES"/>
        </w:rPr>
        <w:t xml:space="preserve">public </w:t>
      </w:r>
      <w:r w:rsidRPr="00785D06">
        <w:rPr>
          <w:rFonts w:eastAsia="Times New Roman"/>
          <w:sz w:val="20"/>
          <w:szCs w:val="20"/>
          <w:lang w:val="en-US" w:eastAsia="es-ES" w:bidi="es-ES"/>
        </w:rPr>
        <w:t>events, with a total of 1,379,161 attendees.</w:t>
      </w:r>
      <w:r w:rsidRPr="00785D06">
        <w:rPr>
          <w:rStyle w:val="Refdenotaalpie"/>
          <w:rFonts w:eastAsia="Times New Roman"/>
          <w:sz w:val="20"/>
          <w:szCs w:val="20"/>
          <w:lang w:val="en-US" w:eastAsia="es-ES" w:bidi="es-ES"/>
        </w:rPr>
        <w:footnoteReference w:id="220"/>
      </w:r>
      <w:r w:rsidR="00AF2F5E" w:rsidRPr="00785D06">
        <w:rPr>
          <w:rFonts w:eastAsia="Times New Roman"/>
          <w:sz w:val="20"/>
          <w:szCs w:val="20"/>
          <w:lang w:val="en-US" w:eastAsia="es-ES" w:bidi="es-ES"/>
        </w:rPr>
        <w:t xml:space="preserve"> v. </w:t>
      </w:r>
      <w:r w:rsidRPr="00785D06">
        <w:rPr>
          <w:rFonts w:eastAsia="Times New Roman"/>
          <w:sz w:val="20"/>
          <w:szCs w:val="20"/>
          <w:lang w:val="en-US" w:eastAsia="es-ES" w:bidi="es-ES"/>
        </w:rPr>
        <w:t>Numerous information campaigns have been implem</w:t>
      </w:r>
      <w:r w:rsidR="007A3232" w:rsidRPr="00785D06">
        <w:rPr>
          <w:rFonts w:eastAsia="Times New Roman"/>
          <w:sz w:val="20"/>
          <w:szCs w:val="20"/>
          <w:lang w:val="en-US" w:eastAsia="es-ES" w:bidi="es-ES"/>
        </w:rPr>
        <w:t xml:space="preserve">ented with the aim of reducing </w:t>
      </w:r>
      <w:r w:rsidR="00AB73ED" w:rsidRPr="00785D06">
        <w:rPr>
          <w:rFonts w:eastAsia="Times New Roman"/>
          <w:sz w:val="20"/>
          <w:szCs w:val="20"/>
          <w:lang w:val="en-US" w:eastAsia="es-ES" w:bidi="es-ES"/>
        </w:rPr>
        <w:t xml:space="preserve">levels </w:t>
      </w:r>
      <w:r w:rsidRPr="00785D06">
        <w:rPr>
          <w:rFonts w:eastAsia="Times New Roman"/>
          <w:sz w:val="20"/>
          <w:szCs w:val="20"/>
          <w:lang w:val="en-US" w:eastAsia="es-ES" w:bidi="es-ES"/>
        </w:rPr>
        <w:t xml:space="preserve">of sexual violence in </w:t>
      </w:r>
      <w:r w:rsidR="00AF2F5E" w:rsidRPr="00785D06">
        <w:rPr>
          <w:rFonts w:eastAsia="Times New Roman"/>
          <w:sz w:val="20"/>
          <w:szCs w:val="20"/>
          <w:lang w:val="en-US" w:eastAsia="es-ES" w:bidi="es-ES"/>
        </w:rPr>
        <w:t>schools and</w:t>
      </w:r>
      <w:r w:rsidRPr="00785D06">
        <w:rPr>
          <w:rFonts w:eastAsia="Times New Roman"/>
          <w:sz w:val="20"/>
          <w:szCs w:val="20"/>
          <w:lang w:val="en-US" w:eastAsia="es-ES" w:bidi="es-ES"/>
        </w:rPr>
        <w:t xml:space="preserve"> informing students about </w:t>
      </w:r>
      <w:r w:rsidR="00AA61A2" w:rsidRPr="00785D06">
        <w:rPr>
          <w:rFonts w:eastAsia="Times New Roman"/>
          <w:sz w:val="20"/>
          <w:szCs w:val="20"/>
          <w:lang w:val="en-US" w:eastAsia="es-ES" w:bidi="es-ES"/>
        </w:rPr>
        <w:t xml:space="preserve">how to exercise </w:t>
      </w:r>
      <w:r w:rsidRPr="00785D06">
        <w:rPr>
          <w:rFonts w:eastAsia="Times New Roman"/>
          <w:sz w:val="20"/>
          <w:szCs w:val="20"/>
          <w:lang w:val="en-US" w:eastAsia="es-ES" w:bidi="es-ES"/>
        </w:rPr>
        <w:t>their sexua</w:t>
      </w:r>
      <w:r w:rsidR="007A3232" w:rsidRPr="00785D06">
        <w:rPr>
          <w:rFonts w:eastAsia="Times New Roman"/>
          <w:sz w:val="20"/>
          <w:szCs w:val="20"/>
          <w:lang w:val="en-US" w:eastAsia="es-ES" w:bidi="es-ES"/>
        </w:rPr>
        <w:t xml:space="preserve">l and reproductive rights. vi. </w:t>
      </w:r>
      <w:r w:rsidRPr="00785D06">
        <w:rPr>
          <w:rFonts w:eastAsia="Times New Roman"/>
          <w:sz w:val="20"/>
          <w:szCs w:val="20"/>
          <w:lang w:val="en-US" w:eastAsia="es-ES" w:bidi="es-ES"/>
        </w:rPr>
        <w:t>Current study plans incl</w:t>
      </w:r>
      <w:r w:rsidR="001122D9" w:rsidRPr="00785D06">
        <w:rPr>
          <w:rFonts w:eastAsia="Times New Roman"/>
          <w:sz w:val="20"/>
          <w:szCs w:val="20"/>
          <w:lang w:val="en-US" w:eastAsia="es-ES" w:bidi="es-ES"/>
        </w:rPr>
        <w:t>ude two ho</w:t>
      </w:r>
      <w:r w:rsidR="005A7B28" w:rsidRPr="00785D06">
        <w:rPr>
          <w:rFonts w:eastAsia="Times New Roman"/>
          <w:sz w:val="20"/>
          <w:szCs w:val="20"/>
          <w:lang w:val="en-US" w:eastAsia="es-ES" w:bidi="es-ES"/>
        </w:rPr>
        <w:t>ur</w:t>
      </w:r>
      <w:r w:rsidR="001122D9" w:rsidRPr="00785D06">
        <w:rPr>
          <w:rFonts w:eastAsia="Times New Roman"/>
          <w:sz w:val="20"/>
          <w:szCs w:val="20"/>
          <w:lang w:val="en-US" w:eastAsia="es-ES" w:bidi="es-ES"/>
        </w:rPr>
        <w:t xml:space="preserve">s </w:t>
      </w:r>
      <w:r w:rsidR="007A3232" w:rsidRPr="00785D06">
        <w:rPr>
          <w:rFonts w:eastAsia="Times New Roman"/>
          <w:sz w:val="20"/>
          <w:szCs w:val="20"/>
          <w:lang w:val="en-US" w:eastAsia="es-ES" w:bidi="es-ES"/>
        </w:rPr>
        <w:t xml:space="preserve">of teaching on </w:t>
      </w:r>
      <w:r w:rsidRPr="00785D06">
        <w:rPr>
          <w:rFonts w:eastAsia="Times New Roman"/>
          <w:sz w:val="20"/>
          <w:szCs w:val="20"/>
          <w:lang w:val="en-US" w:eastAsia="es-ES" w:bidi="es-ES"/>
        </w:rPr>
        <w:t xml:space="preserve">topics such as </w:t>
      </w:r>
      <w:r w:rsidR="005A7B28" w:rsidRPr="00785D06">
        <w:rPr>
          <w:rFonts w:eastAsia="Times New Roman"/>
          <w:sz w:val="20"/>
          <w:szCs w:val="20"/>
          <w:lang w:val="en-US" w:eastAsia="es-ES" w:bidi="es-ES"/>
        </w:rPr>
        <w:t>self-esteem</w:t>
      </w:r>
      <w:r w:rsidRPr="00785D06">
        <w:rPr>
          <w:rFonts w:eastAsia="Times New Roman"/>
          <w:sz w:val="20"/>
          <w:szCs w:val="20"/>
          <w:lang w:val="en-US" w:eastAsia="es-ES" w:bidi="es-ES"/>
        </w:rPr>
        <w:t xml:space="preserve">, conflict management and decision-making. </w:t>
      </w:r>
      <w:r w:rsidR="001122D9" w:rsidRPr="00785D06">
        <w:rPr>
          <w:rFonts w:eastAsia="Times New Roman"/>
          <w:sz w:val="20"/>
          <w:szCs w:val="20"/>
          <w:lang w:val="en-US" w:eastAsia="es-ES" w:bidi="es-ES"/>
        </w:rPr>
        <w:t>In addition</w:t>
      </w:r>
      <w:r w:rsidRPr="00785D06">
        <w:rPr>
          <w:rFonts w:eastAsia="Times New Roman"/>
          <w:sz w:val="20"/>
          <w:szCs w:val="20"/>
          <w:lang w:val="en-US" w:eastAsia="es-ES" w:bidi="es-ES"/>
        </w:rPr>
        <w:t xml:space="preserve">, </w:t>
      </w:r>
      <w:r w:rsidR="001122D9" w:rsidRPr="00785D06">
        <w:rPr>
          <w:rFonts w:eastAsia="Times New Roman"/>
          <w:sz w:val="20"/>
          <w:szCs w:val="20"/>
          <w:lang w:val="en-US" w:eastAsia="es-ES" w:bidi="es-ES"/>
        </w:rPr>
        <w:t xml:space="preserve">schools have developed </w:t>
      </w:r>
      <w:r w:rsidR="00AA61A2" w:rsidRPr="00785D06">
        <w:rPr>
          <w:rFonts w:eastAsia="Times New Roman"/>
          <w:sz w:val="20"/>
          <w:szCs w:val="20"/>
          <w:lang w:val="en-US" w:eastAsia="es-ES" w:bidi="es-ES"/>
        </w:rPr>
        <w:t>“</w:t>
      </w:r>
      <w:r w:rsidR="001122D9" w:rsidRPr="00785D06">
        <w:rPr>
          <w:rFonts w:eastAsia="Times New Roman"/>
          <w:sz w:val="20"/>
          <w:szCs w:val="20"/>
          <w:lang w:val="en-US" w:eastAsia="es-ES" w:bidi="es-ES"/>
        </w:rPr>
        <w:t xml:space="preserve">coexistence </w:t>
      </w:r>
      <w:r w:rsidR="00AA61A2" w:rsidRPr="00785D06">
        <w:rPr>
          <w:rFonts w:eastAsia="Times New Roman"/>
          <w:sz w:val="20"/>
          <w:szCs w:val="20"/>
          <w:lang w:val="en-US" w:eastAsia="es-ES" w:bidi="es-ES"/>
        </w:rPr>
        <w:t xml:space="preserve">codes” </w:t>
      </w:r>
      <w:r w:rsidRPr="00785D06">
        <w:rPr>
          <w:rFonts w:eastAsia="Times New Roman"/>
          <w:sz w:val="20"/>
          <w:szCs w:val="20"/>
          <w:lang w:val="en-US" w:eastAsia="es-ES" w:bidi="es-ES"/>
        </w:rPr>
        <w:t xml:space="preserve">as tools to create environments that </w:t>
      </w:r>
      <w:r w:rsidR="00AB73ED" w:rsidRPr="00785D06">
        <w:rPr>
          <w:rFonts w:eastAsia="Times New Roman"/>
          <w:sz w:val="20"/>
          <w:szCs w:val="20"/>
          <w:lang w:val="en-US" w:eastAsia="es-ES" w:bidi="es-ES"/>
        </w:rPr>
        <w:t xml:space="preserve">promote </w:t>
      </w:r>
      <w:r w:rsidRPr="00785D06">
        <w:rPr>
          <w:rFonts w:eastAsia="Times New Roman"/>
          <w:sz w:val="20"/>
          <w:szCs w:val="20"/>
          <w:lang w:val="en-US" w:eastAsia="es-ES" w:bidi="es-ES"/>
        </w:rPr>
        <w:t xml:space="preserve">learning in a </w:t>
      </w:r>
      <w:r w:rsidR="00AA61A2" w:rsidRPr="00785D06">
        <w:rPr>
          <w:rFonts w:eastAsia="Times New Roman"/>
          <w:sz w:val="20"/>
          <w:szCs w:val="20"/>
          <w:lang w:val="en-US" w:eastAsia="es-ES" w:bidi="es-ES"/>
        </w:rPr>
        <w:t xml:space="preserve">violence-free </w:t>
      </w:r>
      <w:r w:rsidR="00DC2C33" w:rsidRPr="00785D06">
        <w:rPr>
          <w:rFonts w:eastAsia="Times New Roman"/>
          <w:sz w:val="20"/>
          <w:szCs w:val="20"/>
          <w:lang w:val="en-US" w:eastAsia="es-ES" w:bidi="es-ES"/>
        </w:rPr>
        <w:t>environment</w:t>
      </w:r>
      <w:r w:rsidRPr="00785D06">
        <w:rPr>
          <w:rFonts w:eastAsia="Times New Roman"/>
          <w:sz w:val="20"/>
          <w:szCs w:val="20"/>
          <w:lang w:val="en-US" w:eastAsia="es-ES" w:bidi="es-ES"/>
        </w:rPr>
        <w:t xml:space="preserve">. </w:t>
      </w:r>
    </w:p>
    <w:p w14:paraId="03901683" w14:textId="77777777" w:rsidR="00C254BF" w:rsidRPr="00785D06" w:rsidRDefault="00C254BF" w:rsidP="00C254BF">
      <w:pPr>
        <w:pStyle w:val="Prrafodelista"/>
        <w:rPr>
          <w:rFonts w:eastAsia="Times New Roman"/>
          <w:sz w:val="20"/>
          <w:szCs w:val="20"/>
          <w:lang w:val="en-US" w:eastAsia="es-ES" w:bidi="es-ES"/>
        </w:rPr>
      </w:pPr>
    </w:p>
    <w:p w14:paraId="49BC4A60"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 xml:space="preserve">Ecuador </w:t>
      </w:r>
      <w:r w:rsidR="00FE0244" w:rsidRPr="00785D06">
        <w:rPr>
          <w:rFonts w:eastAsia="Times New Roman"/>
          <w:sz w:val="20"/>
          <w:szCs w:val="20"/>
          <w:lang w:val="en-US" w:eastAsia="es-ES" w:bidi="es-ES"/>
        </w:rPr>
        <w:t xml:space="preserve">also </w:t>
      </w:r>
      <w:r w:rsidRPr="00785D06">
        <w:rPr>
          <w:rFonts w:eastAsia="Times New Roman"/>
          <w:sz w:val="20"/>
          <w:szCs w:val="20"/>
          <w:lang w:val="en-US" w:eastAsia="es-ES" w:bidi="es-ES"/>
        </w:rPr>
        <w:t>indicated that</w:t>
      </w:r>
      <w:r w:rsidR="00AF7BC6" w:rsidRPr="00785D06">
        <w:rPr>
          <w:rFonts w:eastAsia="Times New Roman"/>
          <w:sz w:val="20"/>
          <w:szCs w:val="20"/>
          <w:lang w:val="en-US" w:eastAsia="es-ES" w:bidi="es-ES"/>
        </w:rPr>
        <w:t xml:space="preserve"> it has</w:t>
      </w:r>
      <w:r w:rsidR="00FE0244" w:rsidRPr="00785D06">
        <w:rPr>
          <w:rFonts w:eastAsia="Times New Roman"/>
          <w:sz w:val="20"/>
          <w:szCs w:val="20"/>
          <w:lang w:val="en-US" w:eastAsia="es-ES" w:bidi="es-ES"/>
        </w:rPr>
        <w:t xml:space="preserve"> implemented the following</w:t>
      </w:r>
      <w:r w:rsidR="00AB73ED" w:rsidRPr="00785D06">
        <w:rPr>
          <w:rFonts w:eastAsia="Times New Roman"/>
          <w:sz w:val="20"/>
          <w:szCs w:val="20"/>
          <w:lang w:val="en-US" w:eastAsia="es-ES" w:bidi="es-ES"/>
        </w:rPr>
        <w:t xml:space="preserve"> actions</w:t>
      </w:r>
      <w:r w:rsidRPr="00785D06">
        <w:rPr>
          <w:rFonts w:eastAsia="Times New Roman"/>
          <w:sz w:val="20"/>
          <w:szCs w:val="20"/>
          <w:lang w:val="en-US" w:eastAsia="es-ES" w:bidi="es-ES"/>
        </w:rPr>
        <w:t xml:space="preserve">: a) </w:t>
      </w:r>
      <w:r w:rsidR="001122D9" w:rsidRPr="00785D06">
        <w:rPr>
          <w:rFonts w:eastAsia="Times New Roman"/>
          <w:sz w:val="20"/>
          <w:szCs w:val="20"/>
          <w:lang w:val="en-US" w:eastAsia="es-ES" w:bidi="es-ES"/>
        </w:rPr>
        <w:t xml:space="preserve">a computerized </w:t>
      </w:r>
      <w:r w:rsidRPr="00785D06">
        <w:rPr>
          <w:rFonts w:eastAsia="Times New Roman"/>
          <w:sz w:val="20"/>
          <w:szCs w:val="20"/>
          <w:lang w:val="en-US" w:eastAsia="es-ES" w:bidi="es-ES"/>
        </w:rPr>
        <w:t xml:space="preserve">system </w:t>
      </w:r>
      <w:r w:rsidR="001122D9" w:rsidRPr="00785D06">
        <w:rPr>
          <w:rFonts w:eastAsia="Times New Roman"/>
          <w:sz w:val="20"/>
          <w:szCs w:val="20"/>
          <w:lang w:val="en-US" w:eastAsia="es-ES" w:bidi="es-ES"/>
        </w:rPr>
        <w:t xml:space="preserve">to record </w:t>
      </w:r>
      <w:r w:rsidRPr="00785D06">
        <w:rPr>
          <w:rFonts w:eastAsia="Times New Roman"/>
          <w:sz w:val="20"/>
          <w:szCs w:val="20"/>
          <w:lang w:val="en-US" w:eastAsia="es-ES" w:bidi="es-ES"/>
        </w:rPr>
        <w:t xml:space="preserve">cases of sexual violence </w:t>
      </w:r>
      <w:r w:rsidR="00FE0244" w:rsidRPr="00785D06">
        <w:rPr>
          <w:rFonts w:eastAsia="Times New Roman"/>
          <w:sz w:val="20"/>
          <w:szCs w:val="20"/>
          <w:lang w:val="en-US" w:eastAsia="es-ES" w:bidi="es-ES"/>
        </w:rPr>
        <w:t>reported in schools -</w:t>
      </w:r>
      <w:r w:rsidRPr="00785D06">
        <w:rPr>
          <w:rFonts w:eastAsia="Times New Roman"/>
          <w:sz w:val="20"/>
          <w:szCs w:val="20"/>
          <w:lang w:val="en-US" w:eastAsia="es-ES" w:bidi="es-ES"/>
        </w:rPr>
        <w:t>REDEVI</w:t>
      </w:r>
      <w:r w:rsidR="00FE0244" w:rsidRPr="00785D06">
        <w:rPr>
          <w:rFonts w:eastAsia="Times New Roman"/>
          <w:sz w:val="20"/>
          <w:szCs w:val="20"/>
          <w:lang w:val="en-US" w:eastAsia="es-ES" w:bidi="es-ES"/>
        </w:rPr>
        <w:t>;</w:t>
      </w:r>
      <w:r w:rsidRPr="00785D06">
        <w:rPr>
          <w:rStyle w:val="Refdenotaalpie"/>
          <w:rFonts w:eastAsia="Times New Roman"/>
          <w:lang w:val="en-US" w:eastAsia="es-ES" w:bidi="es-ES"/>
        </w:rPr>
        <w:footnoteReference w:id="221"/>
      </w:r>
      <w:r w:rsidRPr="00785D06">
        <w:rPr>
          <w:rFonts w:eastAsia="Times New Roman"/>
          <w:lang w:val="en-US" w:eastAsia="es-ES" w:bidi="es-ES"/>
        </w:rPr>
        <w:t xml:space="preserve"> </w:t>
      </w:r>
      <w:r w:rsidRPr="00785D06">
        <w:rPr>
          <w:rFonts w:eastAsia="Times New Roman"/>
          <w:sz w:val="20"/>
          <w:szCs w:val="20"/>
          <w:lang w:val="en-US" w:eastAsia="es-ES" w:bidi="es-ES"/>
        </w:rPr>
        <w:t xml:space="preserve">b) </w:t>
      </w:r>
      <w:r w:rsidR="004D7F09" w:rsidRPr="00785D06">
        <w:rPr>
          <w:rFonts w:eastAsia="Times New Roman"/>
          <w:sz w:val="20"/>
          <w:szCs w:val="20"/>
          <w:lang w:val="en-US" w:eastAsia="es-ES" w:bidi="es-ES"/>
        </w:rPr>
        <w:t xml:space="preserve">updated rules </w:t>
      </w:r>
      <w:r w:rsidR="00FE0244" w:rsidRPr="00785D06">
        <w:rPr>
          <w:rFonts w:eastAsia="Times New Roman"/>
          <w:sz w:val="20"/>
          <w:szCs w:val="20"/>
          <w:lang w:val="en-US" w:eastAsia="es-ES" w:bidi="es-ES"/>
        </w:rPr>
        <w:t xml:space="preserve">on </w:t>
      </w:r>
      <w:r w:rsidRPr="00785D06">
        <w:rPr>
          <w:rFonts w:eastAsia="Times New Roman"/>
          <w:sz w:val="20"/>
          <w:szCs w:val="20"/>
          <w:lang w:val="en-US" w:eastAsia="es-ES" w:bidi="es-ES"/>
        </w:rPr>
        <w:t xml:space="preserve">the obligation to protect children and punish </w:t>
      </w:r>
      <w:r w:rsidR="00FE0244" w:rsidRPr="00785D06">
        <w:rPr>
          <w:rFonts w:eastAsia="Times New Roman"/>
          <w:sz w:val="20"/>
          <w:szCs w:val="20"/>
          <w:lang w:val="en-US" w:eastAsia="es-ES" w:bidi="es-ES"/>
        </w:rPr>
        <w:t xml:space="preserve">sexual offenses </w:t>
      </w:r>
      <w:r w:rsidRPr="00785D06">
        <w:rPr>
          <w:rFonts w:eastAsia="Times New Roman"/>
          <w:sz w:val="20"/>
          <w:szCs w:val="20"/>
          <w:lang w:val="en-US" w:eastAsia="es-ES" w:bidi="es-ES"/>
        </w:rPr>
        <w:t>committed in educational establishments</w:t>
      </w:r>
      <w:r w:rsidR="00FE0244" w:rsidRPr="00785D06">
        <w:rPr>
          <w:rFonts w:eastAsia="Times New Roman"/>
          <w:sz w:val="20"/>
          <w:szCs w:val="20"/>
          <w:lang w:val="en-US" w:eastAsia="es-ES" w:bidi="es-ES"/>
        </w:rPr>
        <w:t>;</w:t>
      </w:r>
      <w:r w:rsidRPr="00785D06">
        <w:rPr>
          <w:rStyle w:val="Refdenotaalpie"/>
          <w:rFonts w:eastAsia="Times New Roman"/>
          <w:sz w:val="20"/>
          <w:szCs w:val="20"/>
          <w:lang w:val="en-US" w:eastAsia="es-ES" w:bidi="es-ES"/>
        </w:rPr>
        <w:footnoteReference w:id="222"/>
      </w:r>
      <w:r w:rsidRPr="00785D06">
        <w:rPr>
          <w:rFonts w:eastAsia="Times New Roman"/>
          <w:sz w:val="20"/>
          <w:szCs w:val="20"/>
          <w:lang w:val="en-US" w:eastAsia="es-ES" w:bidi="es-ES"/>
        </w:rPr>
        <w:t xml:space="preserve"> c) the</w:t>
      </w:r>
      <w:r w:rsidRPr="00785D06">
        <w:rPr>
          <w:rFonts w:eastAsia="Times New Roman"/>
          <w:b/>
          <w:sz w:val="20"/>
          <w:szCs w:val="20"/>
          <w:lang w:val="en-US" w:eastAsia="es-ES" w:bidi="es-ES"/>
        </w:rPr>
        <w:t xml:space="preserve"> </w:t>
      </w:r>
      <w:r w:rsidRPr="00785D06">
        <w:rPr>
          <w:sz w:val="20"/>
          <w:szCs w:val="20"/>
          <w:lang w:val="en-US"/>
        </w:rPr>
        <w:t xml:space="preserve">Ministry of Education has </w:t>
      </w:r>
      <w:r w:rsidR="00AF7BC6" w:rsidRPr="00785D06">
        <w:rPr>
          <w:sz w:val="20"/>
          <w:szCs w:val="20"/>
          <w:lang w:val="en-US"/>
        </w:rPr>
        <w:t>adopted several</w:t>
      </w:r>
      <w:r w:rsidR="00734DC9" w:rsidRPr="00785D06">
        <w:rPr>
          <w:sz w:val="20"/>
          <w:szCs w:val="20"/>
          <w:lang w:val="en-US"/>
        </w:rPr>
        <w:t xml:space="preserve"> plans, protocols and rules </w:t>
      </w:r>
      <w:r w:rsidRPr="00785D06">
        <w:rPr>
          <w:sz w:val="20"/>
          <w:szCs w:val="20"/>
          <w:lang w:val="en-US"/>
        </w:rPr>
        <w:t xml:space="preserve">aimed at preventing and eradicating sexual violence in Ecuador’s </w:t>
      </w:r>
      <w:r w:rsidR="00734DC9" w:rsidRPr="00785D06">
        <w:rPr>
          <w:sz w:val="20"/>
          <w:szCs w:val="20"/>
          <w:lang w:val="en-US"/>
        </w:rPr>
        <w:t>schools</w:t>
      </w:r>
      <w:r w:rsidRPr="00785D06">
        <w:rPr>
          <w:sz w:val="20"/>
          <w:szCs w:val="20"/>
          <w:lang w:val="en-US"/>
        </w:rPr>
        <w:t xml:space="preserve">, </w:t>
      </w:r>
      <w:r w:rsidR="00734DC9" w:rsidRPr="00785D06">
        <w:rPr>
          <w:sz w:val="20"/>
          <w:szCs w:val="20"/>
          <w:lang w:val="en-US"/>
        </w:rPr>
        <w:t xml:space="preserve">such </w:t>
      </w:r>
      <w:r w:rsidRPr="00785D06">
        <w:rPr>
          <w:sz w:val="20"/>
          <w:szCs w:val="20"/>
          <w:lang w:val="en-US"/>
        </w:rPr>
        <w:t xml:space="preserve">as the </w:t>
      </w:r>
      <w:r w:rsidR="00F03D04" w:rsidRPr="00785D06">
        <w:rPr>
          <w:sz w:val="20"/>
          <w:szCs w:val="20"/>
          <w:lang w:val="en-US"/>
        </w:rPr>
        <w:t xml:space="preserve">Comprehensive </w:t>
      </w:r>
      <w:r w:rsidRPr="00785D06">
        <w:rPr>
          <w:sz w:val="20"/>
          <w:szCs w:val="20"/>
          <w:lang w:val="en-US"/>
        </w:rPr>
        <w:t xml:space="preserve">National </w:t>
      </w:r>
      <w:r w:rsidR="00734DC9" w:rsidRPr="00785D06">
        <w:rPr>
          <w:sz w:val="20"/>
          <w:szCs w:val="20"/>
          <w:lang w:val="en-US"/>
        </w:rPr>
        <w:t xml:space="preserve">Plan </w:t>
      </w:r>
      <w:r w:rsidR="001A2D39" w:rsidRPr="00785D06">
        <w:rPr>
          <w:sz w:val="20"/>
          <w:szCs w:val="20"/>
          <w:lang w:val="en-US"/>
        </w:rPr>
        <w:t xml:space="preserve">to eradicate sex </w:t>
      </w:r>
      <w:r w:rsidR="00734DC9" w:rsidRPr="00785D06">
        <w:rPr>
          <w:sz w:val="20"/>
          <w:szCs w:val="20"/>
          <w:lang w:val="en-US"/>
        </w:rPr>
        <w:t xml:space="preserve">offenses </w:t>
      </w:r>
      <w:r w:rsidR="001A2D39" w:rsidRPr="00785D06">
        <w:rPr>
          <w:sz w:val="20"/>
          <w:szCs w:val="20"/>
          <w:lang w:val="en-US"/>
        </w:rPr>
        <w:t>in the e</w:t>
      </w:r>
      <w:r w:rsidRPr="00785D06">
        <w:rPr>
          <w:sz w:val="20"/>
          <w:szCs w:val="20"/>
          <w:lang w:val="en-US"/>
        </w:rPr>
        <w:t>ducation system and other</w:t>
      </w:r>
      <w:r w:rsidR="00F03D04" w:rsidRPr="00785D06">
        <w:rPr>
          <w:sz w:val="20"/>
          <w:szCs w:val="20"/>
          <w:lang w:val="en-US"/>
        </w:rPr>
        <w:t>s</w:t>
      </w:r>
      <w:r w:rsidR="00FE0244" w:rsidRPr="00785D06">
        <w:rPr>
          <w:sz w:val="20"/>
          <w:szCs w:val="20"/>
          <w:lang w:val="en-US"/>
        </w:rPr>
        <w:t>;</w:t>
      </w:r>
      <w:r w:rsidRPr="00785D06">
        <w:rPr>
          <w:rStyle w:val="Refdenotaalpie"/>
          <w:sz w:val="20"/>
          <w:szCs w:val="20"/>
          <w:lang w:val="en-US"/>
        </w:rPr>
        <w:footnoteReference w:id="223"/>
      </w:r>
      <w:r w:rsidRPr="00785D06">
        <w:rPr>
          <w:sz w:val="20"/>
          <w:szCs w:val="20"/>
          <w:lang w:val="en-US"/>
        </w:rPr>
        <w:t xml:space="preserve"> and d) different public policies for the prevention of sexual violence in schools.</w:t>
      </w:r>
      <w:r w:rsidRPr="00785D06">
        <w:rPr>
          <w:b/>
          <w:sz w:val="20"/>
          <w:szCs w:val="20"/>
          <w:lang w:val="en-US"/>
        </w:rPr>
        <w:t xml:space="preserve"> </w:t>
      </w:r>
      <w:r w:rsidRPr="00785D06">
        <w:rPr>
          <w:sz w:val="20"/>
          <w:szCs w:val="20"/>
          <w:lang w:val="en-US"/>
        </w:rPr>
        <w:t>In</w:t>
      </w:r>
      <w:r w:rsidRPr="00785D06">
        <w:rPr>
          <w:b/>
          <w:sz w:val="20"/>
          <w:szCs w:val="20"/>
          <w:lang w:val="en-US"/>
        </w:rPr>
        <w:t xml:space="preserve"> </w:t>
      </w:r>
      <w:r w:rsidRPr="00785D06">
        <w:rPr>
          <w:sz w:val="20"/>
          <w:szCs w:val="20"/>
          <w:lang w:val="en-US"/>
        </w:rPr>
        <w:t>that context</w:t>
      </w:r>
      <w:r w:rsidRPr="00785D06">
        <w:rPr>
          <w:rFonts w:eastAsia="Times New Roman"/>
          <w:sz w:val="20"/>
          <w:szCs w:val="20"/>
          <w:lang w:val="en-US" w:eastAsia="es-ES" w:bidi="es-ES"/>
        </w:rPr>
        <w:t xml:space="preserve">, </w:t>
      </w:r>
      <w:r w:rsidR="00D96C53" w:rsidRPr="00785D06">
        <w:rPr>
          <w:rFonts w:eastAsia="Times New Roman"/>
          <w:sz w:val="20"/>
          <w:szCs w:val="20"/>
          <w:lang w:val="en-US" w:eastAsia="es-ES" w:bidi="es-ES"/>
        </w:rPr>
        <w:t xml:space="preserve">other actions include </w:t>
      </w:r>
      <w:r w:rsidR="001A2D39" w:rsidRPr="00785D06">
        <w:rPr>
          <w:rFonts w:eastAsia="Times New Roman"/>
          <w:sz w:val="20"/>
          <w:szCs w:val="20"/>
          <w:lang w:val="en-US" w:eastAsia="es-ES" w:bidi="es-ES"/>
        </w:rPr>
        <w:t>teacher training</w:t>
      </w:r>
      <w:r w:rsidRPr="00785D06">
        <w:rPr>
          <w:rFonts w:eastAsia="Times New Roman"/>
          <w:sz w:val="20"/>
          <w:szCs w:val="20"/>
          <w:lang w:val="en-US" w:eastAsia="es-ES" w:bidi="es-ES"/>
        </w:rPr>
        <w:t xml:space="preserve">, prevention and </w:t>
      </w:r>
      <w:r w:rsidR="00D96C53" w:rsidRPr="00785D06">
        <w:rPr>
          <w:rFonts w:eastAsia="Times New Roman"/>
          <w:sz w:val="20"/>
          <w:szCs w:val="20"/>
          <w:lang w:val="en-US" w:eastAsia="es-ES" w:bidi="es-ES"/>
        </w:rPr>
        <w:t>support measures</w:t>
      </w:r>
      <w:r w:rsidRPr="00785D06">
        <w:rPr>
          <w:rFonts w:eastAsia="Times New Roman"/>
          <w:sz w:val="20"/>
          <w:szCs w:val="20"/>
          <w:lang w:val="en-US" w:eastAsia="es-ES" w:bidi="es-ES"/>
        </w:rPr>
        <w:t xml:space="preserve">, </w:t>
      </w:r>
      <w:r w:rsidR="001A2D39" w:rsidRPr="00785D06">
        <w:rPr>
          <w:rFonts w:eastAsia="Times New Roman"/>
          <w:sz w:val="20"/>
          <w:szCs w:val="20"/>
          <w:lang w:val="en-US" w:eastAsia="es-ES" w:bidi="es-ES"/>
        </w:rPr>
        <w:t xml:space="preserve">dissemination </w:t>
      </w:r>
      <w:r w:rsidRPr="00785D06">
        <w:rPr>
          <w:rFonts w:eastAsia="Times New Roman"/>
          <w:sz w:val="20"/>
          <w:szCs w:val="20"/>
          <w:lang w:val="en-US" w:eastAsia="es-ES" w:bidi="es-ES"/>
        </w:rPr>
        <w:t xml:space="preserve">of information, design of protocols and implementation of public policies and institutional coordination for effective detection and </w:t>
      </w:r>
      <w:r w:rsidR="00D96C53" w:rsidRPr="00785D06">
        <w:rPr>
          <w:rFonts w:eastAsia="Times New Roman"/>
          <w:sz w:val="20"/>
          <w:szCs w:val="20"/>
          <w:lang w:val="en-US" w:eastAsia="es-ES" w:bidi="es-ES"/>
        </w:rPr>
        <w:t xml:space="preserve">comprehensive </w:t>
      </w:r>
      <w:r w:rsidRPr="00785D06">
        <w:rPr>
          <w:rFonts w:eastAsia="Times New Roman"/>
          <w:sz w:val="20"/>
          <w:szCs w:val="20"/>
          <w:lang w:val="en-US" w:eastAsia="es-ES" w:bidi="es-ES"/>
        </w:rPr>
        <w:t>protection</w:t>
      </w:r>
      <w:r w:rsidR="001A2D39" w:rsidRPr="00785D06">
        <w:rPr>
          <w:rFonts w:eastAsia="Times New Roman"/>
          <w:sz w:val="20"/>
          <w:szCs w:val="20"/>
          <w:lang w:val="en-US" w:eastAsia="es-ES" w:bidi="es-ES"/>
        </w:rPr>
        <w:t>.</w:t>
      </w:r>
      <w:r w:rsidRPr="00785D06">
        <w:rPr>
          <w:rStyle w:val="Refdenotaalpie"/>
          <w:rFonts w:eastAsia="Times New Roman"/>
          <w:sz w:val="20"/>
          <w:szCs w:val="20"/>
          <w:lang w:val="en-US" w:eastAsia="es-ES" w:bidi="es-ES"/>
        </w:rPr>
        <w:footnoteReference w:id="224"/>
      </w:r>
      <w:r w:rsidRPr="00785D06">
        <w:rPr>
          <w:rFonts w:eastAsia="Times New Roman"/>
          <w:sz w:val="20"/>
          <w:szCs w:val="20"/>
          <w:lang w:val="en-US" w:eastAsia="es-ES" w:bidi="es-ES"/>
        </w:rPr>
        <w:t xml:space="preserve">  </w:t>
      </w:r>
    </w:p>
    <w:p w14:paraId="577E13D9" w14:textId="77777777" w:rsidR="00C254BF" w:rsidRPr="00785D06" w:rsidRDefault="00C254BF" w:rsidP="00C254BF">
      <w:pPr>
        <w:pStyle w:val="Prrafodelista"/>
        <w:rPr>
          <w:rFonts w:eastAsia="Times New Roman"/>
          <w:sz w:val="20"/>
          <w:szCs w:val="20"/>
          <w:lang w:val="en-US" w:eastAsia="es-ES" w:bidi="es-ES"/>
        </w:rPr>
      </w:pPr>
    </w:p>
    <w:p w14:paraId="1ACC56E8" w14:textId="77777777" w:rsidR="00C254BF" w:rsidRPr="00785D06" w:rsidRDefault="0099658A" w:rsidP="00C254BF">
      <w:pPr>
        <w:pStyle w:val="Prrafodelista"/>
        <w:numPr>
          <w:ilvl w:val="0"/>
          <w:numId w:val="35"/>
        </w:numPr>
        <w:ind w:left="0" w:firstLine="0"/>
        <w:contextualSpacing w:val="0"/>
        <w:jc w:val="both"/>
        <w:rPr>
          <w:sz w:val="20"/>
          <w:szCs w:val="20"/>
          <w:lang w:val="en-US"/>
        </w:rPr>
      </w:pPr>
      <w:r w:rsidRPr="00785D06">
        <w:rPr>
          <w:sz w:val="20"/>
          <w:szCs w:val="20"/>
          <w:lang w:val="en-US"/>
        </w:rPr>
        <w:t>In addition</w:t>
      </w:r>
      <w:r w:rsidR="00971DD9" w:rsidRPr="00785D06">
        <w:rPr>
          <w:sz w:val="20"/>
          <w:szCs w:val="20"/>
          <w:lang w:val="en-US"/>
        </w:rPr>
        <w:t xml:space="preserve"> to the foregoing</w:t>
      </w:r>
      <w:r w:rsidR="00C254BF" w:rsidRPr="00785D06">
        <w:rPr>
          <w:sz w:val="20"/>
          <w:szCs w:val="20"/>
          <w:lang w:val="en-US"/>
        </w:rPr>
        <w:t xml:space="preserve">, the </w:t>
      </w:r>
      <w:r w:rsidRPr="00785D06">
        <w:rPr>
          <w:sz w:val="20"/>
          <w:szCs w:val="20"/>
          <w:lang w:val="en-US"/>
        </w:rPr>
        <w:t>expert witness</w:t>
      </w:r>
      <w:r w:rsidR="00146DF8" w:rsidRPr="00785D06">
        <w:rPr>
          <w:sz w:val="20"/>
          <w:szCs w:val="20"/>
          <w:lang w:val="en-US"/>
        </w:rPr>
        <w:t>es</w:t>
      </w:r>
      <w:r w:rsidR="00C254BF" w:rsidRPr="00785D06">
        <w:rPr>
          <w:sz w:val="20"/>
          <w:szCs w:val="20"/>
          <w:lang w:val="en-US"/>
        </w:rPr>
        <w:t xml:space="preserve"> Cobos Velazco and Bustamante Torres </w:t>
      </w:r>
      <w:r w:rsidR="00AF7BC6" w:rsidRPr="00785D06">
        <w:rPr>
          <w:sz w:val="20"/>
          <w:szCs w:val="20"/>
          <w:lang w:val="en-US"/>
        </w:rPr>
        <w:t xml:space="preserve">stated </w:t>
      </w:r>
      <w:r w:rsidR="00BF3188" w:rsidRPr="00785D06">
        <w:rPr>
          <w:sz w:val="20"/>
          <w:szCs w:val="20"/>
          <w:lang w:val="en-US"/>
        </w:rPr>
        <w:t>that in</w:t>
      </w:r>
      <w:r w:rsidR="00C254BF" w:rsidRPr="00785D06">
        <w:rPr>
          <w:sz w:val="20"/>
          <w:szCs w:val="20"/>
          <w:lang w:val="en-US"/>
        </w:rPr>
        <w:t xml:space="preserve"> </w:t>
      </w:r>
      <w:r w:rsidR="00BF3188" w:rsidRPr="00785D06">
        <w:rPr>
          <w:sz w:val="20"/>
          <w:szCs w:val="20"/>
          <w:lang w:val="en-US"/>
        </w:rPr>
        <w:t>2006</w:t>
      </w:r>
      <w:r w:rsidRPr="00785D06">
        <w:rPr>
          <w:sz w:val="20"/>
          <w:szCs w:val="20"/>
          <w:lang w:val="en-US"/>
        </w:rPr>
        <w:t xml:space="preserve"> </w:t>
      </w:r>
      <w:r w:rsidR="00547484" w:rsidRPr="00785D06">
        <w:rPr>
          <w:sz w:val="20"/>
          <w:szCs w:val="20"/>
          <w:lang w:val="en-US"/>
        </w:rPr>
        <w:t xml:space="preserve">the Ministry of Education began to </w:t>
      </w:r>
      <w:r w:rsidR="00146DF8" w:rsidRPr="00785D06">
        <w:rPr>
          <w:sz w:val="20"/>
          <w:szCs w:val="20"/>
          <w:lang w:val="en-US"/>
        </w:rPr>
        <w:t xml:space="preserve">implement various </w:t>
      </w:r>
      <w:r w:rsidR="00930F2C" w:rsidRPr="00785D06">
        <w:rPr>
          <w:sz w:val="20"/>
          <w:szCs w:val="20"/>
          <w:lang w:val="en-US"/>
        </w:rPr>
        <w:t xml:space="preserve">measures </w:t>
      </w:r>
      <w:r w:rsidR="00146DF8" w:rsidRPr="00785D06">
        <w:rPr>
          <w:sz w:val="20"/>
          <w:szCs w:val="20"/>
          <w:lang w:val="en-US"/>
        </w:rPr>
        <w:t>to prevent</w:t>
      </w:r>
      <w:r w:rsidR="00C254BF" w:rsidRPr="00785D06">
        <w:rPr>
          <w:sz w:val="20"/>
          <w:szCs w:val="20"/>
          <w:lang w:val="en-US"/>
        </w:rPr>
        <w:t xml:space="preserve"> sexual violence in </w:t>
      </w:r>
      <w:r w:rsidR="00547484" w:rsidRPr="00785D06">
        <w:rPr>
          <w:sz w:val="20"/>
          <w:szCs w:val="20"/>
          <w:lang w:val="en-US"/>
        </w:rPr>
        <w:t>schools</w:t>
      </w:r>
      <w:r w:rsidR="00146DF8" w:rsidRPr="00785D06">
        <w:rPr>
          <w:sz w:val="20"/>
          <w:szCs w:val="20"/>
          <w:lang w:val="en-US"/>
        </w:rPr>
        <w:t xml:space="preserve">, such as </w:t>
      </w:r>
      <w:r w:rsidR="00547484" w:rsidRPr="00785D06">
        <w:rPr>
          <w:sz w:val="20"/>
          <w:szCs w:val="20"/>
          <w:lang w:val="en-US"/>
        </w:rPr>
        <w:t xml:space="preserve">the National </w:t>
      </w:r>
      <w:r w:rsidR="00C254BF" w:rsidRPr="00785D06">
        <w:rPr>
          <w:sz w:val="20"/>
          <w:szCs w:val="20"/>
          <w:lang w:val="en-US"/>
        </w:rPr>
        <w:t xml:space="preserve">Education </w:t>
      </w:r>
      <w:r w:rsidR="00547484" w:rsidRPr="00785D06">
        <w:rPr>
          <w:sz w:val="20"/>
          <w:szCs w:val="20"/>
          <w:lang w:val="en-US"/>
        </w:rPr>
        <w:t xml:space="preserve">Program on </w:t>
      </w:r>
      <w:r w:rsidR="00C254BF" w:rsidRPr="00785D06">
        <w:rPr>
          <w:sz w:val="20"/>
          <w:szCs w:val="20"/>
          <w:lang w:val="en-US"/>
        </w:rPr>
        <w:t xml:space="preserve">Sexuality and </w:t>
      </w:r>
      <w:r w:rsidR="00547484" w:rsidRPr="00785D06">
        <w:rPr>
          <w:sz w:val="20"/>
          <w:szCs w:val="20"/>
          <w:lang w:val="en-US"/>
        </w:rPr>
        <w:t xml:space="preserve">Love </w:t>
      </w:r>
      <w:r w:rsidR="00146DF8" w:rsidRPr="00785D06">
        <w:rPr>
          <w:sz w:val="20"/>
          <w:szCs w:val="20"/>
          <w:lang w:val="en-US"/>
        </w:rPr>
        <w:t>(PRONESA)</w:t>
      </w:r>
      <w:r w:rsidR="00C254BF" w:rsidRPr="00785D06">
        <w:rPr>
          <w:sz w:val="20"/>
          <w:szCs w:val="20"/>
          <w:lang w:val="en-US"/>
        </w:rPr>
        <w:t xml:space="preserve"> </w:t>
      </w:r>
      <w:r w:rsidR="00146DF8" w:rsidRPr="00785D06">
        <w:rPr>
          <w:sz w:val="20"/>
          <w:szCs w:val="20"/>
          <w:lang w:val="en-US"/>
        </w:rPr>
        <w:t xml:space="preserve">and, </w:t>
      </w:r>
      <w:r w:rsidR="00695EC9" w:rsidRPr="00785D06">
        <w:rPr>
          <w:sz w:val="20"/>
          <w:szCs w:val="20"/>
          <w:lang w:val="en-US"/>
        </w:rPr>
        <w:t xml:space="preserve">based on </w:t>
      </w:r>
      <w:r w:rsidRPr="00785D06">
        <w:rPr>
          <w:sz w:val="20"/>
          <w:szCs w:val="20"/>
          <w:lang w:val="en-US"/>
        </w:rPr>
        <w:t xml:space="preserve">ministerial decisions, </w:t>
      </w:r>
      <w:r w:rsidR="00695EC9" w:rsidRPr="00785D06">
        <w:rPr>
          <w:sz w:val="20"/>
          <w:szCs w:val="20"/>
          <w:lang w:val="en-US"/>
        </w:rPr>
        <w:t xml:space="preserve">the </w:t>
      </w:r>
      <w:r w:rsidRPr="00785D06">
        <w:rPr>
          <w:sz w:val="20"/>
          <w:szCs w:val="20"/>
          <w:lang w:val="en-US"/>
        </w:rPr>
        <w:t xml:space="preserve">national </w:t>
      </w:r>
      <w:r w:rsidR="00695EC9" w:rsidRPr="00785D06">
        <w:rPr>
          <w:sz w:val="20"/>
          <w:szCs w:val="20"/>
          <w:lang w:val="en-US"/>
        </w:rPr>
        <w:t xml:space="preserve">plan for the </w:t>
      </w:r>
      <w:r w:rsidRPr="00785D06">
        <w:rPr>
          <w:sz w:val="20"/>
          <w:szCs w:val="20"/>
          <w:lang w:val="en-US"/>
        </w:rPr>
        <w:t>er</w:t>
      </w:r>
      <w:r w:rsidR="00C254BF" w:rsidRPr="00785D06">
        <w:rPr>
          <w:sz w:val="20"/>
          <w:szCs w:val="20"/>
          <w:lang w:val="en-US"/>
        </w:rPr>
        <w:t xml:space="preserve">adication of </w:t>
      </w:r>
      <w:r w:rsidR="00695EC9" w:rsidRPr="00785D06">
        <w:rPr>
          <w:sz w:val="20"/>
          <w:szCs w:val="20"/>
          <w:lang w:val="en-US"/>
        </w:rPr>
        <w:t>sex</w:t>
      </w:r>
      <w:r w:rsidR="00146DF8" w:rsidRPr="00785D06">
        <w:rPr>
          <w:sz w:val="20"/>
          <w:szCs w:val="20"/>
          <w:lang w:val="en-US"/>
        </w:rPr>
        <w:t>ual offenses</w:t>
      </w:r>
      <w:r w:rsidR="00695EC9" w:rsidRPr="00785D06">
        <w:rPr>
          <w:sz w:val="20"/>
          <w:szCs w:val="20"/>
          <w:lang w:val="en-US"/>
        </w:rPr>
        <w:t xml:space="preserve"> in schools </w:t>
      </w:r>
      <w:r w:rsidR="00C254BF" w:rsidRPr="00785D06">
        <w:rPr>
          <w:sz w:val="20"/>
          <w:szCs w:val="20"/>
          <w:lang w:val="en-US"/>
        </w:rPr>
        <w:t xml:space="preserve">and the institutionalization of </w:t>
      </w:r>
      <w:r w:rsidR="00695EC9" w:rsidRPr="00785D06">
        <w:rPr>
          <w:sz w:val="20"/>
          <w:szCs w:val="20"/>
          <w:lang w:val="en-US"/>
        </w:rPr>
        <w:t>sex</w:t>
      </w:r>
      <w:r w:rsidR="00AF7BC6" w:rsidRPr="00785D06">
        <w:rPr>
          <w:sz w:val="20"/>
          <w:szCs w:val="20"/>
          <w:lang w:val="en-US"/>
        </w:rPr>
        <w:t>ual</w:t>
      </w:r>
      <w:r w:rsidR="00695EC9" w:rsidRPr="00785D06">
        <w:rPr>
          <w:sz w:val="20"/>
          <w:szCs w:val="20"/>
          <w:lang w:val="en-US"/>
        </w:rPr>
        <w:t xml:space="preserve"> </w:t>
      </w:r>
      <w:r w:rsidR="00C254BF" w:rsidRPr="00785D06">
        <w:rPr>
          <w:sz w:val="20"/>
          <w:szCs w:val="20"/>
          <w:lang w:val="en-US"/>
        </w:rPr>
        <w:t xml:space="preserve">education in </w:t>
      </w:r>
      <w:r w:rsidR="00930F2C" w:rsidRPr="00785D06">
        <w:rPr>
          <w:sz w:val="20"/>
          <w:szCs w:val="20"/>
          <w:lang w:val="en-US"/>
        </w:rPr>
        <w:t>national school curriculum</w:t>
      </w:r>
      <w:r w:rsidR="000A55CD" w:rsidRPr="00785D06">
        <w:rPr>
          <w:sz w:val="20"/>
          <w:szCs w:val="20"/>
          <w:lang w:val="en-US"/>
        </w:rPr>
        <w:t>;</w:t>
      </w:r>
      <w:r w:rsidR="00BF3188" w:rsidRPr="00785D06">
        <w:rPr>
          <w:sz w:val="20"/>
          <w:szCs w:val="20"/>
          <w:lang w:val="en-US"/>
        </w:rPr>
        <w:t xml:space="preserve"> also</w:t>
      </w:r>
      <w:r w:rsidR="000A55CD" w:rsidRPr="00785D06">
        <w:rPr>
          <w:sz w:val="20"/>
          <w:szCs w:val="20"/>
          <w:lang w:val="en-US"/>
        </w:rPr>
        <w:t>,</w:t>
      </w:r>
      <w:r w:rsidR="00930F2C" w:rsidRPr="00785D06">
        <w:rPr>
          <w:sz w:val="20"/>
          <w:szCs w:val="20"/>
          <w:lang w:val="en-US"/>
        </w:rPr>
        <w:t xml:space="preserve"> </w:t>
      </w:r>
      <w:r w:rsidR="000A55CD" w:rsidRPr="00785D06">
        <w:rPr>
          <w:sz w:val="20"/>
          <w:szCs w:val="20"/>
          <w:lang w:val="en-US"/>
        </w:rPr>
        <w:t>s</w:t>
      </w:r>
      <w:r w:rsidR="00C254BF" w:rsidRPr="00785D06">
        <w:rPr>
          <w:sz w:val="20"/>
          <w:szCs w:val="20"/>
          <w:lang w:val="en-US"/>
        </w:rPr>
        <w:t>ince 2012</w:t>
      </w:r>
      <w:r w:rsidR="00930F2C" w:rsidRPr="00785D06">
        <w:rPr>
          <w:sz w:val="20"/>
          <w:szCs w:val="20"/>
          <w:lang w:val="en-US"/>
        </w:rPr>
        <w:t>,</w:t>
      </w:r>
      <w:r w:rsidR="00C254BF" w:rsidRPr="00785D06">
        <w:rPr>
          <w:sz w:val="20"/>
          <w:szCs w:val="20"/>
          <w:lang w:val="en-US"/>
        </w:rPr>
        <w:t xml:space="preserve"> </w:t>
      </w:r>
      <w:r w:rsidR="00217B39" w:rsidRPr="00785D06">
        <w:rPr>
          <w:sz w:val="20"/>
          <w:szCs w:val="20"/>
          <w:lang w:val="en-US"/>
        </w:rPr>
        <w:t>t</w:t>
      </w:r>
      <w:r w:rsidR="00930F2C" w:rsidRPr="00785D06">
        <w:rPr>
          <w:sz w:val="20"/>
          <w:szCs w:val="20"/>
          <w:lang w:val="en-US"/>
        </w:rPr>
        <w:t>eacher</w:t>
      </w:r>
      <w:r w:rsidR="00BF3188" w:rsidRPr="00785D06">
        <w:rPr>
          <w:sz w:val="20"/>
          <w:szCs w:val="20"/>
          <w:lang w:val="en-US"/>
        </w:rPr>
        <w:t>s have received</w:t>
      </w:r>
      <w:r w:rsidR="00930F2C" w:rsidRPr="00785D06">
        <w:rPr>
          <w:sz w:val="20"/>
          <w:szCs w:val="20"/>
          <w:lang w:val="en-US"/>
        </w:rPr>
        <w:t xml:space="preserve"> t</w:t>
      </w:r>
      <w:r w:rsidR="00217B39" w:rsidRPr="00785D06">
        <w:rPr>
          <w:sz w:val="20"/>
          <w:szCs w:val="20"/>
          <w:lang w:val="en-US"/>
        </w:rPr>
        <w:t xml:space="preserve">raining </w:t>
      </w:r>
      <w:r w:rsidR="00BF3188" w:rsidRPr="00785D06">
        <w:rPr>
          <w:sz w:val="20"/>
          <w:szCs w:val="20"/>
          <w:lang w:val="en-US"/>
        </w:rPr>
        <w:t xml:space="preserve">on the </w:t>
      </w:r>
      <w:r w:rsidR="00217B39" w:rsidRPr="00785D06">
        <w:rPr>
          <w:sz w:val="20"/>
          <w:szCs w:val="20"/>
          <w:lang w:val="en-US"/>
        </w:rPr>
        <w:t>p</w:t>
      </w:r>
      <w:r w:rsidR="00C254BF" w:rsidRPr="00785D06">
        <w:rPr>
          <w:sz w:val="20"/>
          <w:szCs w:val="20"/>
          <w:lang w:val="en-US"/>
        </w:rPr>
        <w:t>revent</w:t>
      </w:r>
      <w:r w:rsidR="00BF3188" w:rsidRPr="00785D06">
        <w:rPr>
          <w:sz w:val="20"/>
          <w:szCs w:val="20"/>
          <w:lang w:val="en-US"/>
        </w:rPr>
        <w:t>ion and eradication of</w:t>
      </w:r>
      <w:r w:rsidR="00C254BF" w:rsidRPr="00785D06">
        <w:rPr>
          <w:sz w:val="20"/>
          <w:szCs w:val="20"/>
          <w:lang w:val="en-US"/>
        </w:rPr>
        <w:t xml:space="preserve"> sexual abuse in schools. </w:t>
      </w:r>
      <w:r w:rsidR="00547484" w:rsidRPr="00785D06">
        <w:rPr>
          <w:sz w:val="20"/>
          <w:szCs w:val="20"/>
          <w:lang w:val="en-US"/>
        </w:rPr>
        <w:t>The</w:t>
      </w:r>
      <w:r w:rsidR="000A55CD" w:rsidRPr="00785D06">
        <w:rPr>
          <w:sz w:val="20"/>
          <w:szCs w:val="20"/>
          <w:lang w:val="en-US"/>
        </w:rPr>
        <w:t xml:space="preserve"> experts </w:t>
      </w:r>
      <w:r w:rsidR="00547484" w:rsidRPr="00785D06">
        <w:rPr>
          <w:sz w:val="20"/>
          <w:szCs w:val="20"/>
          <w:lang w:val="en-US"/>
        </w:rPr>
        <w:t xml:space="preserve">added </w:t>
      </w:r>
      <w:r w:rsidR="00C254BF" w:rsidRPr="00785D06">
        <w:rPr>
          <w:sz w:val="20"/>
          <w:szCs w:val="20"/>
          <w:lang w:val="en-US"/>
        </w:rPr>
        <w:t xml:space="preserve">that </w:t>
      </w:r>
      <w:r w:rsidR="000A55CD" w:rsidRPr="00785D06">
        <w:rPr>
          <w:sz w:val="20"/>
          <w:szCs w:val="20"/>
          <w:lang w:val="en-US"/>
        </w:rPr>
        <w:t xml:space="preserve">action </w:t>
      </w:r>
      <w:r w:rsidR="00342521" w:rsidRPr="00785D06">
        <w:rPr>
          <w:sz w:val="20"/>
          <w:szCs w:val="20"/>
          <w:lang w:val="en-US"/>
        </w:rPr>
        <w:t>p</w:t>
      </w:r>
      <w:r w:rsidR="00C254BF" w:rsidRPr="00785D06">
        <w:rPr>
          <w:sz w:val="20"/>
          <w:szCs w:val="20"/>
          <w:lang w:val="en-US"/>
        </w:rPr>
        <w:t xml:space="preserve">rotocols </w:t>
      </w:r>
      <w:r w:rsidR="000A55CD" w:rsidRPr="00785D06">
        <w:rPr>
          <w:sz w:val="20"/>
          <w:szCs w:val="20"/>
          <w:lang w:val="en-US"/>
        </w:rPr>
        <w:t xml:space="preserve">were introduced in 2013 to </w:t>
      </w:r>
      <w:r w:rsidR="00342521" w:rsidRPr="00785D06">
        <w:rPr>
          <w:sz w:val="20"/>
          <w:szCs w:val="20"/>
          <w:lang w:val="en-US"/>
        </w:rPr>
        <w:t xml:space="preserve">address </w:t>
      </w:r>
      <w:r w:rsidR="00C254BF" w:rsidRPr="00785D06">
        <w:rPr>
          <w:sz w:val="20"/>
          <w:szCs w:val="20"/>
          <w:lang w:val="en-US"/>
        </w:rPr>
        <w:t xml:space="preserve">violence in </w:t>
      </w:r>
      <w:r w:rsidR="00342521" w:rsidRPr="00785D06">
        <w:rPr>
          <w:sz w:val="20"/>
          <w:szCs w:val="20"/>
          <w:lang w:val="en-US"/>
        </w:rPr>
        <w:t>schools</w:t>
      </w:r>
      <w:r w:rsidR="00C254BF" w:rsidRPr="00785D06">
        <w:rPr>
          <w:sz w:val="20"/>
          <w:szCs w:val="20"/>
          <w:lang w:val="en-US"/>
        </w:rPr>
        <w:t xml:space="preserve"> </w:t>
      </w:r>
      <w:r w:rsidR="00695EC9" w:rsidRPr="00785D06">
        <w:rPr>
          <w:sz w:val="20"/>
          <w:szCs w:val="20"/>
          <w:lang w:val="en-US"/>
        </w:rPr>
        <w:t xml:space="preserve">and tackle </w:t>
      </w:r>
      <w:r w:rsidR="00C254BF" w:rsidRPr="00785D06">
        <w:rPr>
          <w:sz w:val="20"/>
          <w:szCs w:val="20"/>
          <w:lang w:val="en-US"/>
        </w:rPr>
        <w:t>“</w:t>
      </w:r>
      <w:r w:rsidR="00FB58F3" w:rsidRPr="00785D06">
        <w:rPr>
          <w:sz w:val="20"/>
          <w:szCs w:val="20"/>
          <w:lang w:val="en-US"/>
        </w:rPr>
        <w:t xml:space="preserve">all forms of </w:t>
      </w:r>
      <w:r w:rsidR="00C254BF" w:rsidRPr="00785D06">
        <w:rPr>
          <w:sz w:val="20"/>
          <w:szCs w:val="20"/>
          <w:lang w:val="en-US"/>
        </w:rPr>
        <w:t xml:space="preserve">violence that </w:t>
      </w:r>
      <w:r w:rsidR="00695EC9" w:rsidRPr="00785D06">
        <w:rPr>
          <w:sz w:val="20"/>
          <w:szCs w:val="20"/>
          <w:lang w:val="en-US"/>
        </w:rPr>
        <w:t xml:space="preserve">could affect </w:t>
      </w:r>
      <w:r w:rsidR="00C254BF" w:rsidRPr="00785D06">
        <w:rPr>
          <w:sz w:val="20"/>
          <w:szCs w:val="20"/>
          <w:lang w:val="en-US"/>
        </w:rPr>
        <w:t xml:space="preserve">any </w:t>
      </w:r>
      <w:r w:rsidR="00FB58F3" w:rsidRPr="00785D06">
        <w:rPr>
          <w:sz w:val="20"/>
          <w:szCs w:val="20"/>
          <w:lang w:val="en-US"/>
        </w:rPr>
        <w:t xml:space="preserve">child or </w:t>
      </w:r>
      <w:r w:rsidR="00C254BF" w:rsidRPr="00785D06">
        <w:rPr>
          <w:sz w:val="20"/>
          <w:szCs w:val="20"/>
          <w:lang w:val="en-US"/>
        </w:rPr>
        <w:t>adolescent</w:t>
      </w:r>
      <w:r w:rsidR="00FB58F3" w:rsidRPr="00785D06">
        <w:rPr>
          <w:sz w:val="20"/>
          <w:szCs w:val="20"/>
          <w:lang w:val="en-US"/>
        </w:rPr>
        <w:t>.”</w:t>
      </w:r>
      <w:r w:rsidR="00C254BF" w:rsidRPr="00785D06">
        <w:rPr>
          <w:sz w:val="20"/>
          <w:szCs w:val="20"/>
          <w:lang w:val="en-US"/>
        </w:rPr>
        <w:t xml:space="preserve"> </w:t>
      </w:r>
      <w:r w:rsidR="00FB58F3" w:rsidRPr="00785D06">
        <w:rPr>
          <w:sz w:val="20"/>
          <w:szCs w:val="20"/>
          <w:lang w:val="en-US"/>
        </w:rPr>
        <w:t>I</w:t>
      </w:r>
      <w:r w:rsidR="00C254BF" w:rsidRPr="00785D06">
        <w:rPr>
          <w:sz w:val="20"/>
          <w:szCs w:val="20"/>
          <w:lang w:val="en-US"/>
        </w:rPr>
        <w:t xml:space="preserve">n that context, </w:t>
      </w:r>
      <w:r w:rsidR="00FB58F3" w:rsidRPr="00785D06">
        <w:rPr>
          <w:sz w:val="20"/>
          <w:szCs w:val="20"/>
          <w:lang w:val="en-US"/>
        </w:rPr>
        <w:t xml:space="preserve">they mentioned </w:t>
      </w:r>
      <w:r w:rsidR="000A55CD" w:rsidRPr="00785D06">
        <w:rPr>
          <w:sz w:val="20"/>
          <w:szCs w:val="20"/>
          <w:lang w:val="en-US"/>
        </w:rPr>
        <w:t xml:space="preserve">a protocol </w:t>
      </w:r>
      <w:r w:rsidR="00E015A2" w:rsidRPr="00785D06">
        <w:rPr>
          <w:sz w:val="20"/>
          <w:szCs w:val="20"/>
          <w:lang w:val="en-US"/>
        </w:rPr>
        <w:t xml:space="preserve">adopted </w:t>
      </w:r>
      <w:r w:rsidR="00C254BF" w:rsidRPr="00785D06">
        <w:rPr>
          <w:sz w:val="20"/>
          <w:szCs w:val="20"/>
          <w:lang w:val="en-US"/>
        </w:rPr>
        <w:t xml:space="preserve">in 2017 </w:t>
      </w:r>
      <w:r w:rsidR="00A63A91" w:rsidRPr="00785D06">
        <w:rPr>
          <w:sz w:val="20"/>
          <w:szCs w:val="20"/>
          <w:lang w:val="en-US"/>
        </w:rPr>
        <w:t xml:space="preserve">to address </w:t>
      </w:r>
      <w:r w:rsidR="00C254BF" w:rsidRPr="00785D06">
        <w:rPr>
          <w:sz w:val="20"/>
          <w:szCs w:val="20"/>
          <w:lang w:val="en-US"/>
        </w:rPr>
        <w:t xml:space="preserve">sexual violence detected or committed in </w:t>
      </w:r>
      <w:r w:rsidR="000A55CD" w:rsidRPr="00785D06">
        <w:rPr>
          <w:sz w:val="20"/>
          <w:szCs w:val="20"/>
          <w:lang w:val="en-US"/>
        </w:rPr>
        <w:t xml:space="preserve">schools, including various actions for </w:t>
      </w:r>
      <w:r w:rsidRPr="00785D06">
        <w:rPr>
          <w:sz w:val="20"/>
          <w:szCs w:val="20"/>
          <w:lang w:val="en-US"/>
        </w:rPr>
        <w:t xml:space="preserve">reporting </w:t>
      </w:r>
      <w:r w:rsidR="000A55CD" w:rsidRPr="00785D06">
        <w:rPr>
          <w:sz w:val="20"/>
          <w:szCs w:val="20"/>
          <w:lang w:val="en-US"/>
        </w:rPr>
        <w:t>cases to prosecutor</w:t>
      </w:r>
      <w:r w:rsidRPr="00785D06">
        <w:rPr>
          <w:sz w:val="20"/>
          <w:szCs w:val="20"/>
          <w:lang w:val="en-US"/>
        </w:rPr>
        <w:t>s</w:t>
      </w:r>
      <w:r w:rsidR="000A55CD" w:rsidRPr="00785D06">
        <w:rPr>
          <w:sz w:val="20"/>
          <w:szCs w:val="20"/>
          <w:lang w:val="en-US"/>
        </w:rPr>
        <w:t>’</w:t>
      </w:r>
      <w:r w:rsidRPr="00785D06">
        <w:rPr>
          <w:sz w:val="20"/>
          <w:szCs w:val="20"/>
          <w:lang w:val="en-US"/>
        </w:rPr>
        <w:t xml:space="preserve"> office</w:t>
      </w:r>
      <w:r w:rsidR="000A55CD" w:rsidRPr="00785D06">
        <w:rPr>
          <w:sz w:val="20"/>
          <w:szCs w:val="20"/>
          <w:lang w:val="en-US"/>
        </w:rPr>
        <w:t>s</w:t>
      </w:r>
      <w:r w:rsidRPr="00785D06">
        <w:rPr>
          <w:sz w:val="20"/>
          <w:szCs w:val="20"/>
          <w:lang w:val="en-US"/>
        </w:rPr>
        <w:t xml:space="preserve"> and to </w:t>
      </w:r>
      <w:r w:rsidR="00C254BF" w:rsidRPr="00785D06">
        <w:rPr>
          <w:sz w:val="20"/>
          <w:szCs w:val="20"/>
          <w:lang w:val="en-US"/>
        </w:rPr>
        <w:t xml:space="preserve">the administrative authorities when the </w:t>
      </w:r>
      <w:r w:rsidRPr="00785D06">
        <w:rPr>
          <w:sz w:val="20"/>
          <w:szCs w:val="20"/>
          <w:lang w:val="en-US"/>
        </w:rPr>
        <w:t xml:space="preserve">perpetrator </w:t>
      </w:r>
      <w:r w:rsidR="00C254BF" w:rsidRPr="00785D06">
        <w:rPr>
          <w:sz w:val="20"/>
          <w:szCs w:val="20"/>
          <w:lang w:val="en-US"/>
        </w:rPr>
        <w:t xml:space="preserve">is </w:t>
      </w:r>
      <w:r w:rsidRPr="00785D06">
        <w:rPr>
          <w:sz w:val="20"/>
          <w:szCs w:val="20"/>
          <w:lang w:val="en-US"/>
        </w:rPr>
        <w:t xml:space="preserve">a </w:t>
      </w:r>
      <w:r w:rsidR="00C254BF" w:rsidRPr="00785D06">
        <w:rPr>
          <w:sz w:val="20"/>
          <w:szCs w:val="20"/>
          <w:lang w:val="en-US"/>
        </w:rPr>
        <w:t xml:space="preserve">“teacher or </w:t>
      </w:r>
      <w:r w:rsidR="000A55CD" w:rsidRPr="00785D06">
        <w:rPr>
          <w:sz w:val="20"/>
          <w:szCs w:val="20"/>
          <w:lang w:val="en-US"/>
        </w:rPr>
        <w:t xml:space="preserve">an </w:t>
      </w:r>
      <w:r w:rsidR="00C254BF" w:rsidRPr="00785D06">
        <w:rPr>
          <w:sz w:val="20"/>
          <w:szCs w:val="20"/>
          <w:lang w:val="en-US"/>
        </w:rPr>
        <w:t>authority</w:t>
      </w:r>
      <w:r w:rsidR="000A55CD" w:rsidRPr="00785D06">
        <w:rPr>
          <w:sz w:val="20"/>
          <w:szCs w:val="20"/>
          <w:lang w:val="en-US"/>
        </w:rPr>
        <w:t>.”</w:t>
      </w:r>
      <w:r w:rsidR="00C254BF" w:rsidRPr="00785D06">
        <w:rPr>
          <w:sz w:val="20"/>
          <w:szCs w:val="20"/>
          <w:lang w:val="en-US"/>
        </w:rPr>
        <w:t xml:space="preserve"> </w:t>
      </w:r>
      <w:r w:rsidR="00BF3188" w:rsidRPr="00785D06">
        <w:rPr>
          <w:sz w:val="20"/>
          <w:szCs w:val="20"/>
          <w:lang w:val="en-US"/>
        </w:rPr>
        <w:t xml:space="preserve">This protocol </w:t>
      </w:r>
      <w:r w:rsidR="000A55CD" w:rsidRPr="00785D06">
        <w:rPr>
          <w:sz w:val="20"/>
          <w:szCs w:val="20"/>
          <w:lang w:val="en-US"/>
        </w:rPr>
        <w:t xml:space="preserve">also includes </w:t>
      </w:r>
      <w:r w:rsidR="00C254BF" w:rsidRPr="00785D06">
        <w:rPr>
          <w:sz w:val="20"/>
          <w:szCs w:val="20"/>
          <w:lang w:val="en-US"/>
        </w:rPr>
        <w:t>“accompaniment to the victim</w:t>
      </w:r>
      <w:r w:rsidR="00547484" w:rsidRPr="00785D06">
        <w:rPr>
          <w:sz w:val="20"/>
          <w:szCs w:val="20"/>
          <w:lang w:val="en-US"/>
        </w:rPr>
        <w:t>”</w:t>
      </w:r>
      <w:r w:rsidR="00C254BF" w:rsidRPr="00785D06">
        <w:rPr>
          <w:sz w:val="20"/>
          <w:szCs w:val="20"/>
          <w:lang w:val="en-US"/>
        </w:rPr>
        <w:t xml:space="preserve"> </w:t>
      </w:r>
      <w:r w:rsidR="000A55CD" w:rsidRPr="00785D06">
        <w:rPr>
          <w:sz w:val="20"/>
          <w:szCs w:val="20"/>
          <w:lang w:val="en-US"/>
        </w:rPr>
        <w:t xml:space="preserve">as well as </w:t>
      </w:r>
      <w:r w:rsidR="00547484" w:rsidRPr="00785D06">
        <w:rPr>
          <w:sz w:val="20"/>
          <w:szCs w:val="20"/>
          <w:lang w:val="en-US"/>
        </w:rPr>
        <w:t>“psychosocial support”</w:t>
      </w:r>
      <w:r w:rsidR="00C92716" w:rsidRPr="00785D06">
        <w:rPr>
          <w:sz w:val="20"/>
          <w:szCs w:val="20"/>
          <w:lang w:val="en-US"/>
        </w:rPr>
        <w:t xml:space="preserve"> and “gu</w:t>
      </w:r>
      <w:r w:rsidR="00C254BF" w:rsidRPr="00785D06">
        <w:rPr>
          <w:sz w:val="20"/>
          <w:szCs w:val="20"/>
          <w:lang w:val="en-US"/>
        </w:rPr>
        <w:t>arant</w:t>
      </w:r>
      <w:r w:rsidR="00547484" w:rsidRPr="00785D06">
        <w:rPr>
          <w:sz w:val="20"/>
          <w:szCs w:val="20"/>
          <w:lang w:val="en-US"/>
        </w:rPr>
        <w:t>ee</w:t>
      </w:r>
      <w:r w:rsidR="00C92716" w:rsidRPr="00785D06">
        <w:rPr>
          <w:sz w:val="20"/>
          <w:szCs w:val="20"/>
          <w:lang w:val="en-US"/>
        </w:rPr>
        <w:t>s</w:t>
      </w:r>
      <w:r w:rsidR="00AF7BC6" w:rsidRPr="00785D06">
        <w:rPr>
          <w:sz w:val="20"/>
          <w:szCs w:val="20"/>
          <w:lang w:val="en-US"/>
        </w:rPr>
        <w:t xml:space="preserve"> </w:t>
      </w:r>
      <w:r w:rsidR="00C92716" w:rsidRPr="00785D06">
        <w:rPr>
          <w:sz w:val="20"/>
          <w:szCs w:val="20"/>
          <w:lang w:val="en-US"/>
        </w:rPr>
        <w:t xml:space="preserve">compliance with </w:t>
      </w:r>
      <w:r w:rsidR="00C254BF" w:rsidRPr="00785D06">
        <w:rPr>
          <w:sz w:val="20"/>
          <w:szCs w:val="20"/>
          <w:lang w:val="en-US"/>
        </w:rPr>
        <w:t>measures of protection and col</w:t>
      </w:r>
      <w:r w:rsidR="00547484" w:rsidRPr="00785D06">
        <w:rPr>
          <w:sz w:val="20"/>
          <w:szCs w:val="20"/>
          <w:lang w:val="en-US"/>
        </w:rPr>
        <w:t>laboration</w:t>
      </w:r>
      <w:r w:rsidR="00C254BF" w:rsidRPr="00785D06">
        <w:rPr>
          <w:sz w:val="20"/>
          <w:szCs w:val="20"/>
          <w:lang w:val="en-US"/>
        </w:rPr>
        <w:t xml:space="preserve"> with investigation processes</w:t>
      </w:r>
      <w:r w:rsidR="00C92716" w:rsidRPr="00785D06">
        <w:rPr>
          <w:sz w:val="20"/>
          <w:szCs w:val="20"/>
          <w:lang w:val="en-US"/>
        </w:rPr>
        <w:t>.”</w:t>
      </w:r>
      <w:r w:rsidR="00C254BF" w:rsidRPr="00785D06">
        <w:rPr>
          <w:sz w:val="20"/>
          <w:szCs w:val="20"/>
          <w:lang w:val="en-US"/>
        </w:rPr>
        <w:t xml:space="preserve"> </w:t>
      </w:r>
      <w:r w:rsidR="00BF3188" w:rsidRPr="00785D06">
        <w:rPr>
          <w:sz w:val="20"/>
          <w:szCs w:val="20"/>
          <w:lang w:val="en-US"/>
        </w:rPr>
        <w:t>T</w:t>
      </w:r>
      <w:r w:rsidR="000A55CD" w:rsidRPr="00785D06">
        <w:rPr>
          <w:sz w:val="20"/>
          <w:szCs w:val="20"/>
          <w:lang w:val="en-US"/>
        </w:rPr>
        <w:t>hat</w:t>
      </w:r>
      <w:r w:rsidR="00C92716" w:rsidRPr="00785D06">
        <w:rPr>
          <w:sz w:val="20"/>
          <w:szCs w:val="20"/>
          <w:lang w:val="en-US"/>
        </w:rPr>
        <w:t xml:space="preserve"> </w:t>
      </w:r>
      <w:r w:rsidR="00C254BF" w:rsidRPr="00785D06">
        <w:rPr>
          <w:sz w:val="20"/>
          <w:szCs w:val="20"/>
          <w:lang w:val="en-US"/>
        </w:rPr>
        <w:t>same year</w:t>
      </w:r>
      <w:r w:rsidR="000A55CD" w:rsidRPr="00785D06">
        <w:rPr>
          <w:sz w:val="20"/>
          <w:szCs w:val="20"/>
          <w:lang w:val="en-US"/>
        </w:rPr>
        <w:t>,</w:t>
      </w:r>
      <w:r w:rsidR="00C254BF" w:rsidRPr="00785D06">
        <w:rPr>
          <w:sz w:val="20"/>
          <w:szCs w:val="20"/>
          <w:lang w:val="en-US"/>
        </w:rPr>
        <w:t xml:space="preserve"> the Ministry of Education issued an “Action </w:t>
      </w:r>
      <w:r w:rsidR="000A55CD" w:rsidRPr="00785D06">
        <w:rPr>
          <w:sz w:val="20"/>
          <w:szCs w:val="20"/>
          <w:lang w:val="en-US"/>
        </w:rPr>
        <w:t>Guide” for the “care of child</w:t>
      </w:r>
      <w:r w:rsidR="00533B7E" w:rsidRPr="00785D06">
        <w:rPr>
          <w:sz w:val="20"/>
          <w:szCs w:val="20"/>
          <w:lang w:val="en-US"/>
        </w:rPr>
        <w:t>ren</w:t>
      </w:r>
      <w:r w:rsidR="000A55CD" w:rsidRPr="00785D06">
        <w:rPr>
          <w:sz w:val="20"/>
          <w:szCs w:val="20"/>
          <w:lang w:val="en-US"/>
        </w:rPr>
        <w:t xml:space="preserve"> and adolescent</w:t>
      </w:r>
      <w:r w:rsidR="00C254BF" w:rsidRPr="00785D06">
        <w:rPr>
          <w:sz w:val="20"/>
          <w:szCs w:val="20"/>
          <w:lang w:val="en-US"/>
        </w:rPr>
        <w:t xml:space="preserve"> victims of sexual violence committed or detected in </w:t>
      </w:r>
      <w:r w:rsidR="00AF7BC6" w:rsidRPr="00785D06">
        <w:rPr>
          <w:sz w:val="20"/>
          <w:szCs w:val="20"/>
          <w:lang w:val="en-US"/>
        </w:rPr>
        <w:t xml:space="preserve">schools </w:t>
      </w:r>
      <w:r w:rsidR="00C254BF" w:rsidRPr="00785D06">
        <w:rPr>
          <w:sz w:val="20"/>
          <w:szCs w:val="20"/>
          <w:lang w:val="en-US"/>
        </w:rPr>
        <w:t xml:space="preserve">of the National Education System.” </w:t>
      </w:r>
    </w:p>
    <w:p w14:paraId="2C2ECB6A" w14:textId="77777777" w:rsidR="00C254BF" w:rsidRPr="00785D06" w:rsidRDefault="00C254BF" w:rsidP="00C254BF">
      <w:pPr>
        <w:pStyle w:val="Prrafodelista"/>
        <w:ind w:left="0"/>
        <w:contextualSpacing w:val="0"/>
        <w:jc w:val="both"/>
        <w:rPr>
          <w:sz w:val="20"/>
          <w:szCs w:val="20"/>
          <w:lang w:val="en-US"/>
        </w:rPr>
      </w:pPr>
    </w:p>
    <w:p w14:paraId="1A3E5FC7"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The recently appointed </w:t>
      </w:r>
      <w:r w:rsidR="0099658A" w:rsidRPr="00785D06">
        <w:rPr>
          <w:sz w:val="20"/>
          <w:szCs w:val="20"/>
          <w:lang w:val="en-US"/>
        </w:rPr>
        <w:t>expert witness</w:t>
      </w:r>
      <w:r w:rsidR="00547484" w:rsidRPr="00785D06">
        <w:rPr>
          <w:sz w:val="20"/>
          <w:szCs w:val="20"/>
          <w:lang w:val="en-US"/>
        </w:rPr>
        <w:t>e</w:t>
      </w:r>
      <w:r w:rsidRPr="00785D06">
        <w:rPr>
          <w:sz w:val="20"/>
          <w:szCs w:val="20"/>
          <w:lang w:val="en-US"/>
        </w:rPr>
        <w:t xml:space="preserve">s considered that “[t]hese regulatory instruments </w:t>
      </w:r>
      <w:r w:rsidR="00DE5995" w:rsidRPr="00785D06">
        <w:rPr>
          <w:sz w:val="20"/>
          <w:szCs w:val="20"/>
          <w:lang w:val="en-US"/>
        </w:rPr>
        <w:t xml:space="preserve">contribute significantly to </w:t>
      </w:r>
      <w:r w:rsidRPr="00785D06">
        <w:rPr>
          <w:sz w:val="20"/>
          <w:szCs w:val="20"/>
          <w:lang w:val="en-US"/>
        </w:rPr>
        <w:t xml:space="preserve">processes of prevention, </w:t>
      </w:r>
      <w:r w:rsidR="000A55CD" w:rsidRPr="00785D06">
        <w:rPr>
          <w:sz w:val="20"/>
          <w:szCs w:val="20"/>
          <w:lang w:val="en-US"/>
        </w:rPr>
        <w:t xml:space="preserve">assistance </w:t>
      </w:r>
      <w:r w:rsidRPr="00785D06">
        <w:rPr>
          <w:sz w:val="20"/>
          <w:szCs w:val="20"/>
          <w:lang w:val="en-US"/>
        </w:rPr>
        <w:t xml:space="preserve">and </w:t>
      </w:r>
      <w:r w:rsidR="000A55CD" w:rsidRPr="00785D06">
        <w:rPr>
          <w:sz w:val="20"/>
          <w:szCs w:val="20"/>
          <w:lang w:val="en-US"/>
        </w:rPr>
        <w:t xml:space="preserve">support </w:t>
      </w:r>
      <w:r w:rsidRPr="00785D06">
        <w:rPr>
          <w:sz w:val="20"/>
          <w:szCs w:val="20"/>
          <w:lang w:val="en-US"/>
        </w:rPr>
        <w:t xml:space="preserve">for victims of sexual violence.” </w:t>
      </w:r>
      <w:r w:rsidR="00BA167C" w:rsidRPr="00785D06">
        <w:rPr>
          <w:sz w:val="20"/>
          <w:szCs w:val="20"/>
          <w:lang w:val="en-US"/>
        </w:rPr>
        <w:t xml:space="preserve">However, </w:t>
      </w:r>
      <w:r w:rsidRPr="00785D06">
        <w:rPr>
          <w:sz w:val="20"/>
          <w:szCs w:val="20"/>
          <w:lang w:val="en-US"/>
        </w:rPr>
        <w:t>the</w:t>
      </w:r>
      <w:r w:rsidR="00864820" w:rsidRPr="00785D06">
        <w:rPr>
          <w:sz w:val="20"/>
          <w:szCs w:val="20"/>
          <w:lang w:val="en-US"/>
        </w:rPr>
        <w:t>y</w:t>
      </w:r>
      <w:r w:rsidRPr="00785D06">
        <w:rPr>
          <w:sz w:val="20"/>
          <w:szCs w:val="20"/>
          <w:lang w:val="en-US"/>
        </w:rPr>
        <w:t xml:space="preserve"> </w:t>
      </w:r>
      <w:r w:rsidR="00533B7E" w:rsidRPr="00785D06">
        <w:rPr>
          <w:sz w:val="20"/>
          <w:szCs w:val="20"/>
          <w:lang w:val="en-US"/>
        </w:rPr>
        <w:t xml:space="preserve">indicated </w:t>
      </w:r>
      <w:r w:rsidRPr="00785D06">
        <w:rPr>
          <w:sz w:val="20"/>
          <w:szCs w:val="20"/>
          <w:lang w:val="en-US"/>
        </w:rPr>
        <w:t xml:space="preserve">that the “plans, programs and projects” </w:t>
      </w:r>
      <w:r w:rsidR="00864820" w:rsidRPr="00785D06">
        <w:rPr>
          <w:sz w:val="20"/>
          <w:szCs w:val="20"/>
          <w:lang w:val="en-US"/>
        </w:rPr>
        <w:t xml:space="preserve">implemented </w:t>
      </w:r>
      <w:r w:rsidRPr="00785D06">
        <w:rPr>
          <w:sz w:val="20"/>
          <w:szCs w:val="20"/>
          <w:lang w:val="en-US"/>
        </w:rPr>
        <w:t xml:space="preserve">in 2019 “do not </w:t>
      </w:r>
      <w:r w:rsidR="00BA167C" w:rsidRPr="00785D06">
        <w:rPr>
          <w:sz w:val="20"/>
          <w:szCs w:val="20"/>
          <w:lang w:val="en-US"/>
        </w:rPr>
        <w:t xml:space="preserve">include </w:t>
      </w:r>
      <w:r w:rsidRPr="00785D06">
        <w:rPr>
          <w:sz w:val="20"/>
          <w:szCs w:val="20"/>
          <w:lang w:val="en-US"/>
        </w:rPr>
        <w:t>a statistical survey</w:t>
      </w:r>
      <w:r w:rsidR="00BA167C" w:rsidRPr="00785D06">
        <w:rPr>
          <w:sz w:val="20"/>
          <w:szCs w:val="20"/>
          <w:lang w:val="en-US"/>
        </w:rPr>
        <w:t>,”</w:t>
      </w:r>
      <w:r w:rsidR="00547484" w:rsidRPr="00785D06">
        <w:rPr>
          <w:sz w:val="20"/>
          <w:szCs w:val="20"/>
          <w:lang w:val="en-US"/>
        </w:rPr>
        <w:t xml:space="preserve"> and that a report </w:t>
      </w:r>
      <w:r w:rsidR="00BA167C" w:rsidRPr="00785D06">
        <w:rPr>
          <w:sz w:val="20"/>
          <w:szCs w:val="20"/>
          <w:lang w:val="en-US"/>
        </w:rPr>
        <w:t xml:space="preserve">by </w:t>
      </w:r>
      <w:r w:rsidR="00547484" w:rsidRPr="00785D06">
        <w:rPr>
          <w:sz w:val="20"/>
          <w:szCs w:val="20"/>
          <w:lang w:val="en-US"/>
        </w:rPr>
        <w:t>the “C</w:t>
      </w:r>
      <w:r w:rsidRPr="00785D06">
        <w:rPr>
          <w:sz w:val="20"/>
          <w:szCs w:val="20"/>
          <w:lang w:val="en-US"/>
        </w:rPr>
        <w:t>omptroller General re</w:t>
      </w:r>
      <w:r w:rsidR="00BA167C" w:rsidRPr="00785D06">
        <w:rPr>
          <w:sz w:val="20"/>
          <w:szCs w:val="20"/>
          <w:lang w:val="en-US"/>
        </w:rPr>
        <w:t xml:space="preserve">garding the </w:t>
      </w:r>
      <w:r w:rsidRPr="00785D06">
        <w:rPr>
          <w:sz w:val="20"/>
          <w:szCs w:val="20"/>
          <w:lang w:val="en-US"/>
        </w:rPr>
        <w:t xml:space="preserve">National Plan to eradicate sexual </w:t>
      </w:r>
      <w:r w:rsidR="00BA167C" w:rsidRPr="00785D06">
        <w:rPr>
          <w:sz w:val="20"/>
          <w:szCs w:val="20"/>
          <w:lang w:val="en-US"/>
        </w:rPr>
        <w:t>offenses within the education system concluded</w:t>
      </w:r>
      <w:r w:rsidRPr="00785D06">
        <w:rPr>
          <w:sz w:val="20"/>
          <w:szCs w:val="20"/>
          <w:lang w:val="en-US"/>
        </w:rPr>
        <w:t xml:space="preserve"> that the Ministry of Education did not carry out continuous monitoring to ens</w:t>
      </w:r>
      <w:r w:rsidR="00BA167C" w:rsidRPr="00785D06">
        <w:rPr>
          <w:sz w:val="20"/>
          <w:szCs w:val="20"/>
          <w:lang w:val="en-US"/>
        </w:rPr>
        <w:t>ure the implementation of this P</w:t>
      </w:r>
      <w:r w:rsidRPr="00785D06">
        <w:rPr>
          <w:sz w:val="20"/>
          <w:szCs w:val="20"/>
          <w:lang w:val="en-US"/>
        </w:rPr>
        <w:t>lan</w:t>
      </w:r>
      <w:r w:rsidR="009F2451" w:rsidRPr="00785D06">
        <w:rPr>
          <w:sz w:val="20"/>
          <w:szCs w:val="20"/>
          <w:lang w:val="en-US"/>
        </w:rPr>
        <w:t>.”</w:t>
      </w:r>
    </w:p>
    <w:p w14:paraId="65ED0698" w14:textId="77777777" w:rsidR="00C254BF" w:rsidRPr="00785D06" w:rsidRDefault="00C254BF" w:rsidP="00C254BF">
      <w:pPr>
        <w:pStyle w:val="Prrafodelista"/>
        <w:rPr>
          <w:rFonts w:eastAsia="Times New Roman"/>
          <w:sz w:val="20"/>
          <w:szCs w:val="20"/>
          <w:lang w:val="en-US" w:eastAsia="es-ES" w:bidi="es-ES"/>
        </w:rPr>
      </w:pPr>
    </w:p>
    <w:p w14:paraId="5122E2FD"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 xml:space="preserve">The </w:t>
      </w:r>
      <w:r w:rsidRPr="00785D06">
        <w:rPr>
          <w:rFonts w:eastAsia="Times New Roman"/>
          <w:b/>
          <w:i/>
          <w:sz w:val="20"/>
          <w:szCs w:val="20"/>
          <w:lang w:val="en-US" w:eastAsia="es-ES" w:bidi="es-ES"/>
        </w:rPr>
        <w:t>Court</w:t>
      </w:r>
      <w:r w:rsidRPr="00785D06">
        <w:rPr>
          <w:rFonts w:eastAsia="Times New Roman"/>
          <w:sz w:val="20"/>
          <w:szCs w:val="20"/>
          <w:lang w:val="en-US" w:eastAsia="es-ES" w:bidi="es-ES"/>
        </w:rPr>
        <w:t xml:space="preserve"> notes that the Commission and the representatives have requested actions related to: a) training of public officials; b) prevention of acts of sexual violence in </w:t>
      </w:r>
      <w:r w:rsidR="00533B7E" w:rsidRPr="00785D06">
        <w:rPr>
          <w:rFonts w:eastAsia="Times New Roman"/>
          <w:sz w:val="20"/>
          <w:szCs w:val="20"/>
          <w:lang w:val="en-US" w:eastAsia="es-ES" w:bidi="es-ES"/>
        </w:rPr>
        <w:t>schools</w:t>
      </w:r>
      <w:r w:rsidRPr="00785D06">
        <w:rPr>
          <w:rFonts w:eastAsia="Times New Roman"/>
          <w:sz w:val="20"/>
          <w:szCs w:val="20"/>
          <w:lang w:val="en-US" w:eastAsia="es-ES" w:bidi="es-ES"/>
        </w:rPr>
        <w:t xml:space="preserve">; c) care for victims of sexual violence in </w:t>
      </w:r>
      <w:r w:rsidR="00A63A91" w:rsidRPr="00785D06">
        <w:rPr>
          <w:rFonts w:eastAsia="Times New Roman"/>
          <w:sz w:val="20"/>
          <w:szCs w:val="20"/>
          <w:lang w:val="en-US" w:eastAsia="es-ES" w:bidi="es-ES"/>
        </w:rPr>
        <w:t>schools</w:t>
      </w:r>
      <w:r w:rsidRPr="00785D06">
        <w:rPr>
          <w:rFonts w:eastAsia="Times New Roman"/>
          <w:sz w:val="20"/>
          <w:szCs w:val="20"/>
          <w:lang w:val="en-US" w:eastAsia="es-ES" w:bidi="es-ES"/>
        </w:rPr>
        <w:t xml:space="preserve">; d) teaching of sex education; e) education and </w:t>
      </w:r>
      <w:r w:rsidR="004C70ED" w:rsidRPr="00785D06">
        <w:rPr>
          <w:rFonts w:eastAsia="Times New Roman"/>
          <w:sz w:val="20"/>
          <w:szCs w:val="20"/>
          <w:lang w:val="en-US" w:eastAsia="es-ES" w:bidi="es-ES"/>
        </w:rPr>
        <w:t xml:space="preserve">awareness </w:t>
      </w:r>
      <w:r w:rsidRPr="00785D06">
        <w:rPr>
          <w:rFonts w:eastAsia="Times New Roman"/>
          <w:sz w:val="20"/>
          <w:szCs w:val="20"/>
          <w:lang w:val="en-US" w:eastAsia="es-ES" w:bidi="es-ES"/>
        </w:rPr>
        <w:t xml:space="preserve">campaigns, and f) </w:t>
      </w:r>
      <w:r w:rsidR="00533B7E" w:rsidRPr="00785D06">
        <w:rPr>
          <w:rFonts w:eastAsia="Times New Roman"/>
          <w:sz w:val="20"/>
          <w:szCs w:val="20"/>
          <w:lang w:val="en-US" w:eastAsia="es-ES" w:bidi="es-ES"/>
        </w:rPr>
        <w:t xml:space="preserve">preparation </w:t>
      </w:r>
      <w:r w:rsidRPr="00785D06">
        <w:rPr>
          <w:rFonts w:eastAsia="Times New Roman"/>
          <w:sz w:val="20"/>
          <w:szCs w:val="20"/>
          <w:lang w:val="en-US" w:eastAsia="es-ES" w:bidi="es-ES"/>
        </w:rPr>
        <w:t xml:space="preserve">and availability of information on sexual violence in schools. </w:t>
      </w:r>
    </w:p>
    <w:p w14:paraId="426AE1B8" w14:textId="77777777" w:rsidR="00C254BF" w:rsidRPr="00785D06" w:rsidRDefault="00C254BF" w:rsidP="00C254BF">
      <w:pPr>
        <w:pStyle w:val="Prrafodelista"/>
        <w:ind w:left="0"/>
        <w:contextualSpacing w:val="0"/>
        <w:jc w:val="both"/>
        <w:rPr>
          <w:sz w:val="20"/>
          <w:szCs w:val="20"/>
          <w:lang w:val="en-US"/>
        </w:rPr>
      </w:pPr>
    </w:p>
    <w:p w14:paraId="19623992"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 xml:space="preserve">In this regard, this Court appreciates the information presented by the State, </w:t>
      </w:r>
      <w:r w:rsidR="004C70ED" w:rsidRPr="00785D06">
        <w:rPr>
          <w:rFonts w:eastAsia="Times New Roman"/>
          <w:sz w:val="20"/>
          <w:szCs w:val="20"/>
          <w:lang w:val="en-US" w:eastAsia="es-ES" w:bidi="es-ES"/>
        </w:rPr>
        <w:t xml:space="preserve">which </w:t>
      </w:r>
      <w:r w:rsidR="000D34FC" w:rsidRPr="00785D06">
        <w:rPr>
          <w:rFonts w:eastAsia="Times New Roman"/>
          <w:sz w:val="20"/>
          <w:szCs w:val="20"/>
          <w:lang w:val="en-US" w:eastAsia="es-ES" w:bidi="es-ES"/>
        </w:rPr>
        <w:t xml:space="preserve">reflects </w:t>
      </w:r>
      <w:r w:rsidRPr="00785D06">
        <w:rPr>
          <w:rFonts w:eastAsia="Times New Roman"/>
          <w:sz w:val="20"/>
          <w:szCs w:val="20"/>
          <w:lang w:val="en-US" w:eastAsia="es-ES" w:bidi="es-ES"/>
        </w:rPr>
        <w:t>a varied range of actions and regulation</w:t>
      </w:r>
      <w:r w:rsidR="00533B7E" w:rsidRPr="00785D06">
        <w:rPr>
          <w:rFonts w:eastAsia="Times New Roman"/>
          <w:sz w:val="20"/>
          <w:szCs w:val="20"/>
          <w:lang w:val="en-US" w:eastAsia="es-ES" w:bidi="es-ES"/>
        </w:rPr>
        <w:t>s on</w:t>
      </w:r>
      <w:r w:rsidRPr="00785D06">
        <w:rPr>
          <w:rFonts w:eastAsia="Times New Roman"/>
          <w:sz w:val="20"/>
          <w:szCs w:val="20"/>
          <w:lang w:val="en-US" w:eastAsia="es-ES" w:bidi="es-ES"/>
        </w:rPr>
        <w:t xml:space="preserve"> this </w:t>
      </w:r>
      <w:r w:rsidR="000D34FC" w:rsidRPr="00785D06">
        <w:rPr>
          <w:rFonts w:eastAsia="Times New Roman"/>
          <w:sz w:val="20"/>
          <w:szCs w:val="20"/>
          <w:lang w:val="en-US" w:eastAsia="es-ES" w:bidi="es-ES"/>
        </w:rPr>
        <w:t>issue</w:t>
      </w:r>
      <w:r w:rsidR="00217B39" w:rsidRPr="00785D06">
        <w:rPr>
          <w:rFonts w:eastAsia="Times New Roman"/>
          <w:sz w:val="20"/>
          <w:szCs w:val="20"/>
          <w:lang w:val="en-US" w:eastAsia="es-ES" w:bidi="es-ES"/>
        </w:rPr>
        <w:t>. The</w:t>
      </w:r>
      <w:r w:rsidRPr="00785D06">
        <w:rPr>
          <w:rFonts w:eastAsia="Times New Roman"/>
          <w:sz w:val="20"/>
          <w:szCs w:val="20"/>
          <w:lang w:val="en-US" w:eastAsia="es-ES" w:bidi="es-ES"/>
        </w:rPr>
        <w:t xml:space="preserve"> Court </w:t>
      </w:r>
      <w:r w:rsidR="00DB4A3E" w:rsidRPr="00785D06">
        <w:rPr>
          <w:rFonts w:eastAsia="Times New Roman"/>
          <w:sz w:val="20"/>
          <w:szCs w:val="20"/>
          <w:lang w:val="en-US" w:eastAsia="es-ES" w:bidi="es-ES"/>
        </w:rPr>
        <w:t xml:space="preserve">also </w:t>
      </w:r>
      <w:r w:rsidR="00217B39" w:rsidRPr="00785D06">
        <w:rPr>
          <w:rFonts w:eastAsia="Times New Roman"/>
          <w:sz w:val="20"/>
          <w:szCs w:val="20"/>
          <w:lang w:val="en-US" w:eastAsia="es-ES" w:bidi="es-ES"/>
        </w:rPr>
        <w:t xml:space="preserve">notes </w:t>
      </w:r>
      <w:r w:rsidRPr="00785D06">
        <w:rPr>
          <w:rFonts w:eastAsia="Times New Roman"/>
          <w:sz w:val="20"/>
          <w:szCs w:val="20"/>
          <w:lang w:val="en-US" w:eastAsia="es-ES" w:bidi="es-ES"/>
        </w:rPr>
        <w:t xml:space="preserve">that </w:t>
      </w:r>
      <w:r w:rsidR="00217B39" w:rsidRPr="00785D06">
        <w:rPr>
          <w:rFonts w:eastAsia="Times New Roman"/>
          <w:sz w:val="20"/>
          <w:szCs w:val="20"/>
          <w:lang w:val="en-US" w:eastAsia="es-ES" w:bidi="es-ES"/>
        </w:rPr>
        <w:t>various measures mentioned by Ecuador</w:t>
      </w:r>
      <w:r w:rsidRPr="00785D06">
        <w:rPr>
          <w:rFonts w:eastAsia="Times New Roman"/>
          <w:sz w:val="20"/>
          <w:szCs w:val="20"/>
          <w:lang w:val="en-US" w:eastAsia="es-ES" w:bidi="es-ES"/>
        </w:rPr>
        <w:t xml:space="preserve"> are related to the requests of the Commission or the representatives, for example: a) </w:t>
      </w:r>
      <w:r w:rsidR="00DB4A3E" w:rsidRPr="00785D06">
        <w:rPr>
          <w:rFonts w:eastAsia="Times New Roman"/>
          <w:sz w:val="20"/>
          <w:szCs w:val="20"/>
          <w:lang w:val="en-US" w:eastAsia="es-ES" w:bidi="es-ES"/>
        </w:rPr>
        <w:t xml:space="preserve">in relation to </w:t>
      </w:r>
      <w:r w:rsidRPr="00785D06">
        <w:rPr>
          <w:rFonts w:eastAsia="Times New Roman"/>
          <w:sz w:val="20"/>
          <w:szCs w:val="20"/>
          <w:lang w:val="en-US" w:eastAsia="es-ES" w:bidi="es-ES"/>
        </w:rPr>
        <w:t>training, the State organ</w:t>
      </w:r>
      <w:r w:rsidR="004C70ED" w:rsidRPr="00785D06">
        <w:rPr>
          <w:rFonts w:eastAsia="Times New Roman"/>
          <w:sz w:val="20"/>
          <w:szCs w:val="20"/>
          <w:lang w:val="en-US" w:eastAsia="es-ES" w:bidi="es-ES"/>
        </w:rPr>
        <w:t>iz</w:t>
      </w:r>
      <w:r w:rsidRPr="00785D06">
        <w:rPr>
          <w:rFonts w:eastAsia="Times New Roman"/>
          <w:sz w:val="20"/>
          <w:szCs w:val="20"/>
          <w:lang w:val="en-US" w:eastAsia="es-ES" w:bidi="es-ES"/>
        </w:rPr>
        <w:t>ed various workshops an</w:t>
      </w:r>
      <w:r w:rsidR="000D34FC" w:rsidRPr="00785D06">
        <w:rPr>
          <w:rFonts w:eastAsia="Times New Roman"/>
          <w:sz w:val="20"/>
          <w:szCs w:val="20"/>
          <w:lang w:val="en-US" w:eastAsia="es-ES" w:bidi="es-ES"/>
        </w:rPr>
        <w:t>d courses between 2018 and 2020</w:t>
      </w:r>
      <w:r w:rsidRPr="00785D06">
        <w:rPr>
          <w:rFonts w:eastAsia="Times New Roman"/>
          <w:sz w:val="20"/>
          <w:szCs w:val="20"/>
          <w:lang w:val="en-US" w:eastAsia="es-ES" w:bidi="es-ES"/>
        </w:rPr>
        <w:t xml:space="preserve"> on violence in the education system; b) </w:t>
      </w:r>
      <w:r w:rsidR="00DB4A3E" w:rsidRPr="00785D06">
        <w:rPr>
          <w:rFonts w:eastAsia="Times New Roman"/>
          <w:sz w:val="20"/>
          <w:szCs w:val="20"/>
          <w:lang w:val="en-US" w:eastAsia="es-ES" w:bidi="es-ES"/>
        </w:rPr>
        <w:t xml:space="preserve">in relation to </w:t>
      </w:r>
      <w:r w:rsidRPr="00785D06">
        <w:rPr>
          <w:rFonts w:eastAsia="Times New Roman"/>
          <w:sz w:val="20"/>
          <w:szCs w:val="20"/>
          <w:lang w:val="en-US" w:eastAsia="es-ES" w:bidi="es-ES"/>
        </w:rPr>
        <w:t>prevention of sexual violence, Ecuador</w:t>
      </w:r>
      <w:r w:rsidR="00DB4A3E" w:rsidRPr="00785D06">
        <w:rPr>
          <w:rFonts w:eastAsia="Times New Roman"/>
          <w:sz w:val="20"/>
          <w:szCs w:val="20"/>
          <w:lang w:val="en-US" w:eastAsia="es-ES" w:bidi="es-ES"/>
        </w:rPr>
        <w:t xml:space="preserve"> has developed the </w:t>
      </w:r>
      <w:r w:rsidRPr="00785D06">
        <w:rPr>
          <w:rFonts w:eastAsia="Times New Roman"/>
          <w:sz w:val="20"/>
          <w:szCs w:val="20"/>
          <w:lang w:val="en-US" w:eastAsia="es-ES" w:bidi="es-ES"/>
        </w:rPr>
        <w:t xml:space="preserve">Action </w:t>
      </w:r>
      <w:r w:rsidR="00DB4A3E" w:rsidRPr="00785D06">
        <w:rPr>
          <w:rFonts w:eastAsia="Times New Roman"/>
          <w:sz w:val="20"/>
          <w:szCs w:val="20"/>
          <w:lang w:val="en-US" w:eastAsia="es-ES" w:bidi="es-ES"/>
        </w:rPr>
        <w:t xml:space="preserve">Protocol </w:t>
      </w:r>
      <w:r w:rsidR="00460F99" w:rsidRPr="00785D06">
        <w:rPr>
          <w:rFonts w:eastAsia="Times New Roman"/>
          <w:sz w:val="20"/>
          <w:szCs w:val="20"/>
          <w:lang w:val="en-US" w:eastAsia="es-ES" w:bidi="es-ES"/>
        </w:rPr>
        <w:t xml:space="preserve">to address </w:t>
      </w:r>
      <w:r w:rsidR="00762526" w:rsidRPr="00785D06">
        <w:rPr>
          <w:rFonts w:eastAsia="Times New Roman"/>
          <w:sz w:val="20"/>
          <w:szCs w:val="20"/>
          <w:lang w:val="en-US" w:eastAsia="es-ES" w:bidi="es-ES"/>
        </w:rPr>
        <w:t>v</w:t>
      </w:r>
      <w:r w:rsidR="00460F99" w:rsidRPr="00785D06">
        <w:rPr>
          <w:rFonts w:eastAsia="Times New Roman"/>
          <w:sz w:val="20"/>
          <w:szCs w:val="20"/>
          <w:lang w:val="en-US" w:eastAsia="es-ES" w:bidi="es-ES"/>
        </w:rPr>
        <w:t>iolence detected or committed in the e</w:t>
      </w:r>
      <w:r w:rsidRPr="00785D06">
        <w:rPr>
          <w:rFonts w:eastAsia="Times New Roman"/>
          <w:sz w:val="20"/>
          <w:szCs w:val="20"/>
          <w:lang w:val="en-US" w:eastAsia="es-ES" w:bidi="es-ES"/>
        </w:rPr>
        <w:t xml:space="preserve">ducation system; c) regarding </w:t>
      </w:r>
      <w:r w:rsidR="00460F99" w:rsidRPr="00785D06">
        <w:rPr>
          <w:rFonts w:eastAsia="Times New Roman"/>
          <w:sz w:val="20"/>
          <w:szCs w:val="20"/>
          <w:lang w:val="en-US" w:eastAsia="es-ES" w:bidi="es-ES"/>
        </w:rPr>
        <w:t xml:space="preserve">support for </w:t>
      </w:r>
      <w:r w:rsidRPr="00785D06">
        <w:rPr>
          <w:rFonts w:eastAsia="Times New Roman"/>
          <w:sz w:val="20"/>
          <w:szCs w:val="20"/>
          <w:lang w:val="en-US" w:eastAsia="es-ES" w:bidi="es-ES"/>
        </w:rPr>
        <w:t xml:space="preserve">victims, in 2018 </w:t>
      </w:r>
      <w:r w:rsidR="00460F99" w:rsidRPr="00785D06">
        <w:rPr>
          <w:rFonts w:eastAsia="Times New Roman"/>
          <w:sz w:val="20"/>
          <w:szCs w:val="20"/>
          <w:lang w:val="en-US" w:eastAsia="es-ES" w:bidi="es-ES"/>
        </w:rPr>
        <w:t>the State established the Support and R</w:t>
      </w:r>
      <w:r w:rsidRPr="00785D06">
        <w:rPr>
          <w:rFonts w:eastAsia="Times New Roman"/>
          <w:sz w:val="20"/>
          <w:szCs w:val="20"/>
          <w:lang w:val="en-US" w:eastAsia="es-ES" w:bidi="es-ES"/>
        </w:rPr>
        <w:t>estitution</w:t>
      </w:r>
      <w:r w:rsidR="00460F99" w:rsidRPr="00785D06">
        <w:rPr>
          <w:rFonts w:eastAsia="Times New Roman"/>
          <w:sz w:val="20"/>
          <w:szCs w:val="20"/>
          <w:lang w:val="en-US" w:eastAsia="es-ES" w:bidi="es-ES"/>
        </w:rPr>
        <w:t xml:space="preserve"> Plan</w:t>
      </w:r>
      <w:r w:rsidRPr="00785D06">
        <w:rPr>
          <w:rFonts w:eastAsia="Times New Roman"/>
          <w:sz w:val="20"/>
          <w:szCs w:val="20"/>
          <w:lang w:val="en-US" w:eastAsia="es-ES" w:bidi="es-ES"/>
        </w:rPr>
        <w:t xml:space="preserve">, and d) regarding education and awareness campaigns, </w:t>
      </w:r>
      <w:r w:rsidR="00460F99" w:rsidRPr="00785D06">
        <w:rPr>
          <w:rFonts w:eastAsia="Times New Roman"/>
          <w:sz w:val="20"/>
          <w:szCs w:val="20"/>
          <w:lang w:val="en-US" w:eastAsia="es-ES" w:bidi="es-ES"/>
        </w:rPr>
        <w:t xml:space="preserve">it organized several </w:t>
      </w:r>
      <w:r w:rsidRPr="00785D06">
        <w:rPr>
          <w:rFonts w:eastAsia="Times New Roman"/>
          <w:sz w:val="20"/>
          <w:szCs w:val="20"/>
          <w:lang w:val="en-US" w:eastAsia="es-ES" w:bidi="es-ES"/>
        </w:rPr>
        <w:t>workshops.</w:t>
      </w:r>
    </w:p>
    <w:p w14:paraId="684754D4" w14:textId="77777777" w:rsidR="00C254BF" w:rsidRPr="00785D06" w:rsidRDefault="00C254BF" w:rsidP="00C254BF">
      <w:pPr>
        <w:pStyle w:val="Prrafodelista"/>
        <w:ind w:left="0"/>
        <w:contextualSpacing w:val="0"/>
        <w:jc w:val="both"/>
        <w:rPr>
          <w:sz w:val="20"/>
          <w:szCs w:val="20"/>
          <w:lang w:val="en-US"/>
        </w:rPr>
      </w:pPr>
    </w:p>
    <w:p w14:paraId="138E2B1A" w14:textId="77777777" w:rsidR="00C254BF" w:rsidRPr="00785D06" w:rsidRDefault="004621A0" w:rsidP="00C254BF">
      <w:pPr>
        <w:pStyle w:val="Prrafodelista"/>
        <w:numPr>
          <w:ilvl w:val="0"/>
          <w:numId w:val="35"/>
        </w:numPr>
        <w:ind w:left="0" w:firstLine="0"/>
        <w:contextualSpacing w:val="0"/>
        <w:jc w:val="both"/>
        <w:rPr>
          <w:sz w:val="20"/>
          <w:szCs w:val="20"/>
          <w:lang w:val="en-US" w:eastAsia="es-ES" w:bidi="es-ES"/>
        </w:rPr>
      </w:pPr>
      <w:r w:rsidRPr="00785D06">
        <w:rPr>
          <w:sz w:val="20"/>
          <w:szCs w:val="20"/>
          <w:lang w:val="en-US" w:eastAsia="es-ES" w:bidi="es-ES"/>
        </w:rPr>
        <w:t xml:space="preserve">However, with regard to </w:t>
      </w:r>
      <w:r w:rsidR="00C254BF" w:rsidRPr="00785D06">
        <w:rPr>
          <w:sz w:val="20"/>
          <w:szCs w:val="20"/>
          <w:lang w:val="en-US" w:eastAsia="es-ES" w:bidi="es-ES"/>
        </w:rPr>
        <w:t xml:space="preserve">the </w:t>
      </w:r>
      <w:r w:rsidR="00C92716" w:rsidRPr="00785D06">
        <w:rPr>
          <w:sz w:val="20"/>
          <w:szCs w:val="20"/>
          <w:lang w:val="en-US" w:eastAsia="es-ES" w:bidi="es-ES"/>
        </w:rPr>
        <w:t xml:space="preserve">provision and dissemination </w:t>
      </w:r>
      <w:r w:rsidR="00C254BF" w:rsidRPr="00785D06">
        <w:rPr>
          <w:sz w:val="20"/>
          <w:szCs w:val="20"/>
          <w:lang w:val="en-US" w:eastAsia="es-ES" w:bidi="es-ES"/>
        </w:rPr>
        <w:t xml:space="preserve">of information, although Ecuador mentioned that it has </w:t>
      </w:r>
      <w:r w:rsidRPr="00785D06">
        <w:rPr>
          <w:sz w:val="20"/>
          <w:szCs w:val="20"/>
          <w:lang w:val="en-US" w:eastAsia="es-ES" w:bidi="es-ES"/>
        </w:rPr>
        <w:t xml:space="preserve">implemented </w:t>
      </w:r>
      <w:r w:rsidR="00C254BF" w:rsidRPr="00785D06">
        <w:rPr>
          <w:sz w:val="20"/>
          <w:szCs w:val="20"/>
          <w:lang w:val="en-US" w:eastAsia="es-ES" w:bidi="es-ES"/>
        </w:rPr>
        <w:t>a computerized system</w:t>
      </w:r>
      <w:r w:rsidRPr="00785D06">
        <w:rPr>
          <w:sz w:val="20"/>
          <w:szCs w:val="20"/>
          <w:lang w:val="en-US" w:eastAsia="es-ES" w:bidi="es-ES"/>
        </w:rPr>
        <w:t xml:space="preserve"> (REDEVI)</w:t>
      </w:r>
      <w:r w:rsidR="00C254BF" w:rsidRPr="00785D06">
        <w:rPr>
          <w:sz w:val="20"/>
          <w:szCs w:val="20"/>
          <w:lang w:val="en-US" w:eastAsia="es-ES" w:bidi="es-ES"/>
        </w:rPr>
        <w:t xml:space="preserve"> to r</w:t>
      </w:r>
      <w:r w:rsidRPr="00785D06">
        <w:rPr>
          <w:sz w:val="20"/>
          <w:szCs w:val="20"/>
          <w:lang w:val="en-US" w:eastAsia="es-ES" w:bidi="es-ES"/>
        </w:rPr>
        <w:t>ecord cases of sexual violence,</w:t>
      </w:r>
      <w:r w:rsidR="00C254BF" w:rsidRPr="00785D06">
        <w:rPr>
          <w:sz w:val="20"/>
          <w:szCs w:val="20"/>
          <w:lang w:val="en-US" w:eastAsia="es-ES" w:bidi="es-ES"/>
        </w:rPr>
        <w:t xml:space="preserve"> the </w:t>
      </w:r>
      <w:r w:rsidRPr="00785D06">
        <w:rPr>
          <w:sz w:val="20"/>
          <w:szCs w:val="20"/>
          <w:lang w:val="en-US" w:eastAsia="es-ES" w:bidi="es-ES"/>
        </w:rPr>
        <w:t xml:space="preserve">expert report provided </w:t>
      </w:r>
      <w:r w:rsidR="00C92716" w:rsidRPr="00785D06">
        <w:rPr>
          <w:sz w:val="20"/>
          <w:szCs w:val="20"/>
          <w:lang w:val="en-US" w:eastAsia="es-ES" w:bidi="es-ES"/>
        </w:rPr>
        <w:t>by</w:t>
      </w:r>
      <w:r w:rsidR="00C254BF" w:rsidRPr="00785D06">
        <w:rPr>
          <w:sz w:val="20"/>
          <w:szCs w:val="20"/>
          <w:lang w:val="en-US" w:eastAsia="es-ES" w:bidi="es-ES"/>
        </w:rPr>
        <w:t xml:space="preserve"> the State also </w:t>
      </w:r>
      <w:r w:rsidRPr="00785D06">
        <w:rPr>
          <w:sz w:val="20"/>
          <w:szCs w:val="20"/>
          <w:lang w:val="en-US" w:eastAsia="es-ES" w:bidi="es-ES"/>
        </w:rPr>
        <w:t xml:space="preserve">reveals a </w:t>
      </w:r>
      <w:r w:rsidR="00C254BF" w:rsidRPr="00785D06">
        <w:rPr>
          <w:sz w:val="20"/>
          <w:szCs w:val="20"/>
          <w:lang w:val="en-US" w:eastAsia="es-ES" w:bidi="es-ES"/>
        </w:rPr>
        <w:t xml:space="preserve">lack </w:t>
      </w:r>
      <w:r w:rsidR="00C92716" w:rsidRPr="00785D06">
        <w:rPr>
          <w:sz w:val="20"/>
          <w:szCs w:val="20"/>
          <w:lang w:val="en-US" w:eastAsia="es-ES" w:bidi="es-ES"/>
        </w:rPr>
        <w:t>of statistical</w:t>
      </w:r>
      <w:r w:rsidR="00C254BF" w:rsidRPr="00785D06">
        <w:rPr>
          <w:sz w:val="20"/>
          <w:szCs w:val="20"/>
          <w:lang w:val="en-US" w:eastAsia="es-ES" w:bidi="es-ES"/>
        </w:rPr>
        <w:t xml:space="preserve"> information on </w:t>
      </w:r>
      <w:r w:rsidRPr="00785D06">
        <w:rPr>
          <w:sz w:val="20"/>
          <w:szCs w:val="20"/>
          <w:lang w:val="en-US" w:eastAsia="es-ES" w:bidi="es-ES"/>
        </w:rPr>
        <w:t xml:space="preserve">various pertinent </w:t>
      </w:r>
      <w:r w:rsidR="00C254BF" w:rsidRPr="00785D06">
        <w:rPr>
          <w:sz w:val="20"/>
          <w:szCs w:val="20"/>
          <w:lang w:val="en-US" w:eastAsia="es-ES" w:bidi="es-ES"/>
        </w:rPr>
        <w:t>plans, projects and programs</w:t>
      </w:r>
      <w:r w:rsidRPr="00785D06">
        <w:rPr>
          <w:sz w:val="20"/>
          <w:szCs w:val="20"/>
          <w:lang w:val="en-US" w:eastAsia="es-ES" w:bidi="es-ES"/>
        </w:rPr>
        <w:t>.</w:t>
      </w:r>
      <w:r w:rsidR="00C254BF" w:rsidRPr="00785D06">
        <w:rPr>
          <w:sz w:val="20"/>
          <w:szCs w:val="20"/>
          <w:lang w:val="en-US" w:eastAsia="es-ES" w:bidi="es-ES"/>
        </w:rPr>
        <w:t xml:space="preserve"> </w:t>
      </w:r>
      <w:r w:rsidRPr="00785D06">
        <w:rPr>
          <w:sz w:val="20"/>
          <w:szCs w:val="20"/>
          <w:lang w:val="en-US" w:eastAsia="es-ES" w:bidi="es-ES"/>
        </w:rPr>
        <w:t>Also</w:t>
      </w:r>
      <w:r w:rsidR="00C254BF" w:rsidRPr="00785D06">
        <w:rPr>
          <w:sz w:val="20"/>
          <w:szCs w:val="20"/>
          <w:lang w:val="en-US" w:eastAsia="es-ES" w:bidi="es-ES"/>
        </w:rPr>
        <w:t>, as indicat</w:t>
      </w:r>
      <w:r w:rsidR="004C70ED" w:rsidRPr="00785D06">
        <w:rPr>
          <w:sz w:val="20"/>
          <w:szCs w:val="20"/>
          <w:lang w:val="en-US" w:eastAsia="es-ES" w:bidi="es-ES"/>
        </w:rPr>
        <w:t xml:space="preserve">ed in that same </w:t>
      </w:r>
      <w:r w:rsidRPr="00785D06">
        <w:rPr>
          <w:sz w:val="20"/>
          <w:szCs w:val="20"/>
          <w:lang w:val="en-US" w:eastAsia="es-ES" w:bidi="es-ES"/>
        </w:rPr>
        <w:t>report</w:t>
      </w:r>
      <w:r w:rsidR="00C254BF" w:rsidRPr="00785D06">
        <w:rPr>
          <w:sz w:val="20"/>
          <w:szCs w:val="20"/>
          <w:lang w:val="en-US" w:eastAsia="es-ES" w:bidi="es-ES"/>
        </w:rPr>
        <w:t xml:space="preserve">, </w:t>
      </w:r>
      <w:r w:rsidRPr="00785D06">
        <w:rPr>
          <w:sz w:val="20"/>
          <w:szCs w:val="20"/>
          <w:lang w:val="en-US" w:eastAsia="es-ES" w:bidi="es-ES"/>
        </w:rPr>
        <w:t xml:space="preserve">no </w:t>
      </w:r>
      <w:r w:rsidR="00C254BF" w:rsidRPr="00785D06">
        <w:rPr>
          <w:sz w:val="20"/>
          <w:szCs w:val="20"/>
          <w:lang w:val="en-US" w:eastAsia="es-ES" w:bidi="es-ES"/>
        </w:rPr>
        <w:t xml:space="preserve">“follow-up” actions </w:t>
      </w:r>
      <w:r w:rsidRPr="00785D06">
        <w:rPr>
          <w:sz w:val="20"/>
          <w:szCs w:val="20"/>
          <w:lang w:val="en-US" w:eastAsia="es-ES" w:bidi="es-ES"/>
        </w:rPr>
        <w:t xml:space="preserve">have been carried out </w:t>
      </w:r>
      <w:r w:rsidR="00C254BF" w:rsidRPr="00785D06">
        <w:rPr>
          <w:sz w:val="20"/>
          <w:szCs w:val="20"/>
          <w:lang w:val="en-US" w:eastAsia="es-ES" w:bidi="es-ES"/>
        </w:rPr>
        <w:t>to ensure the implementation of the National Plan to eradicate sex</w:t>
      </w:r>
      <w:r w:rsidR="000D34FC" w:rsidRPr="00785D06">
        <w:rPr>
          <w:sz w:val="20"/>
          <w:szCs w:val="20"/>
          <w:lang w:val="en-US" w:eastAsia="es-ES" w:bidi="es-ES"/>
        </w:rPr>
        <w:t>ual</w:t>
      </w:r>
      <w:r w:rsidR="00C254BF" w:rsidRPr="00785D06">
        <w:rPr>
          <w:sz w:val="20"/>
          <w:szCs w:val="20"/>
          <w:lang w:val="en-US" w:eastAsia="es-ES" w:bidi="es-ES"/>
        </w:rPr>
        <w:t xml:space="preserve"> </w:t>
      </w:r>
      <w:r w:rsidRPr="00785D06">
        <w:rPr>
          <w:sz w:val="20"/>
          <w:szCs w:val="20"/>
          <w:lang w:val="en-US" w:eastAsia="es-ES" w:bidi="es-ES"/>
        </w:rPr>
        <w:t xml:space="preserve">offenses </w:t>
      </w:r>
      <w:r w:rsidR="00C254BF" w:rsidRPr="00785D06">
        <w:rPr>
          <w:sz w:val="20"/>
          <w:szCs w:val="20"/>
          <w:lang w:val="en-US" w:eastAsia="es-ES" w:bidi="es-ES"/>
        </w:rPr>
        <w:t>in the educational system.</w:t>
      </w:r>
      <w:r w:rsidR="00C254BF" w:rsidRPr="00785D06">
        <w:rPr>
          <w:rStyle w:val="Refdenotaalpie"/>
          <w:rFonts w:eastAsia="Times New Roman"/>
          <w:sz w:val="20"/>
          <w:szCs w:val="20"/>
          <w:lang w:val="en-US" w:eastAsia="es-ES" w:bidi="es-ES"/>
        </w:rPr>
        <w:footnoteReference w:id="225"/>
      </w:r>
    </w:p>
    <w:p w14:paraId="50182F01" w14:textId="77777777" w:rsidR="00C254BF" w:rsidRPr="00785D06" w:rsidRDefault="00C254BF" w:rsidP="00C254BF">
      <w:pPr>
        <w:pStyle w:val="Prrafodelista"/>
        <w:ind w:left="0"/>
        <w:contextualSpacing w:val="0"/>
        <w:jc w:val="both"/>
        <w:rPr>
          <w:sz w:val="20"/>
          <w:szCs w:val="20"/>
          <w:lang w:val="en-US"/>
        </w:rPr>
      </w:pPr>
    </w:p>
    <w:p w14:paraId="4AD019CC"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 xml:space="preserve">For the </w:t>
      </w:r>
      <w:r w:rsidR="00BB0B9C" w:rsidRPr="00785D06">
        <w:rPr>
          <w:rFonts w:eastAsia="Times New Roman"/>
          <w:sz w:val="20"/>
          <w:szCs w:val="20"/>
          <w:lang w:val="en-US" w:eastAsia="es-ES" w:bidi="es-ES"/>
        </w:rPr>
        <w:t xml:space="preserve">aforementioned </w:t>
      </w:r>
      <w:r w:rsidRPr="00785D06">
        <w:rPr>
          <w:rFonts w:eastAsia="Times New Roman"/>
          <w:sz w:val="20"/>
          <w:szCs w:val="20"/>
          <w:lang w:val="en-US" w:eastAsia="es-ES" w:bidi="es-ES"/>
        </w:rPr>
        <w:t xml:space="preserve">reasons, this Court orders </w:t>
      </w:r>
      <w:r w:rsidR="00BB0B9C" w:rsidRPr="00785D06">
        <w:rPr>
          <w:rFonts w:eastAsia="Times New Roman"/>
          <w:sz w:val="20"/>
          <w:szCs w:val="20"/>
          <w:lang w:val="en-US" w:eastAsia="es-ES" w:bidi="es-ES"/>
        </w:rPr>
        <w:t>th</w:t>
      </w:r>
      <w:r w:rsidRPr="00785D06">
        <w:rPr>
          <w:rFonts w:eastAsia="Times New Roman"/>
          <w:sz w:val="20"/>
          <w:szCs w:val="20"/>
          <w:lang w:val="en-US" w:eastAsia="es-ES" w:bidi="es-ES"/>
        </w:rPr>
        <w:t>e State</w:t>
      </w:r>
      <w:r w:rsidR="00BB0B9C" w:rsidRPr="00785D06">
        <w:rPr>
          <w:rFonts w:eastAsia="Times New Roman"/>
          <w:sz w:val="20"/>
          <w:szCs w:val="20"/>
          <w:lang w:val="en-US" w:eastAsia="es-ES" w:bidi="es-ES"/>
        </w:rPr>
        <w:t>,</w:t>
      </w:r>
      <w:r w:rsidRPr="00785D06">
        <w:rPr>
          <w:rFonts w:eastAsia="Times New Roman"/>
          <w:sz w:val="20"/>
          <w:szCs w:val="20"/>
          <w:lang w:val="en-US" w:eastAsia="es-ES" w:bidi="es-ES"/>
        </w:rPr>
        <w:t xml:space="preserve"> within one year </w:t>
      </w:r>
      <w:r w:rsidR="00BB0B9C" w:rsidRPr="00785D06">
        <w:rPr>
          <w:rFonts w:eastAsia="Times New Roman"/>
          <w:sz w:val="20"/>
          <w:szCs w:val="20"/>
          <w:lang w:val="en-US" w:eastAsia="es-ES" w:bidi="es-ES"/>
        </w:rPr>
        <w:t>of notification of this j</w:t>
      </w:r>
      <w:r w:rsidRPr="00785D06">
        <w:rPr>
          <w:rFonts w:eastAsia="Times New Roman"/>
          <w:sz w:val="20"/>
          <w:szCs w:val="20"/>
          <w:lang w:val="en-US" w:eastAsia="es-ES" w:bidi="es-ES"/>
        </w:rPr>
        <w:t xml:space="preserve">udgment, </w:t>
      </w:r>
      <w:r w:rsidR="00BB0B9C" w:rsidRPr="00785D06">
        <w:rPr>
          <w:rFonts w:eastAsia="Times New Roman"/>
          <w:sz w:val="20"/>
          <w:szCs w:val="20"/>
          <w:lang w:val="en-US" w:eastAsia="es-ES" w:bidi="es-ES"/>
        </w:rPr>
        <w:t xml:space="preserve">to </w:t>
      </w:r>
      <w:r w:rsidRPr="00785D06">
        <w:rPr>
          <w:rFonts w:eastAsia="Times New Roman"/>
          <w:sz w:val="20"/>
          <w:szCs w:val="20"/>
          <w:lang w:val="en-US" w:eastAsia="es-ES" w:bidi="es-ES"/>
        </w:rPr>
        <w:t xml:space="preserve">identify measures </w:t>
      </w:r>
      <w:r w:rsidR="000D34FC" w:rsidRPr="00785D06">
        <w:rPr>
          <w:rFonts w:eastAsia="Times New Roman"/>
          <w:sz w:val="20"/>
          <w:szCs w:val="20"/>
          <w:lang w:val="en-US" w:eastAsia="es-ES" w:bidi="es-ES"/>
        </w:rPr>
        <w:t xml:space="preserve">additional </w:t>
      </w:r>
      <w:r w:rsidRPr="00785D06">
        <w:rPr>
          <w:rFonts w:eastAsia="Times New Roman"/>
          <w:sz w:val="20"/>
          <w:szCs w:val="20"/>
          <w:lang w:val="en-US" w:eastAsia="es-ES" w:bidi="es-ES"/>
        </w:rPr>
        <w:t xml:space="preserve">to those </w:t>
      </w:r>
      <w:r w:rsidR="00BB0B9C" w:rsidRPr="00785D06">
        <w:rPr>
          <w:rFonts w:eastAsia="Times New Roman"/>
          <w:sz w:val="20"/>
          <w:szCs w:val="20"/>
          <w:lang w:val="en-US" w:eastAsia="es-ES" w:bidi="es-ES"/>
        </w:rPr>
        <w:t xml:space="preserve">already under </w:t>
      </w:r>
      <w:r w:rsidR="000D34FC" w:rsidRPr="00785D06">
        <w:rPr>
          <w:rFonts w:eastAsia="Times New Roman"/>
          <w:sz w:val="20"/>
          <w:szCs w:val="20"/>
          <w:lang w:val="en-US" w:eastAsia="es-ES" w:bidi="es-ES"/>
        </w:rPr>
        <w:t>way</w:t>
      </w:r>
      <w:r w:rsidR="00BB0B9C" w:rsidRPr="00785D06">
        <w:rPr>
          <w:rFonts w:eastAsia="Times New Roman"/>
          <w:sz w:val="20"/>
          <w:szCs w:val="20"/>
          <w:lang w:val="en-US" w:eastAsia="es-ES" w:bidi="es-ES"/>
        </w:rPr>
        <w:t xml:space="preserve">, </w:t>
      </w:r>
      <w:r w:rsidR="000D34FC" w:rsidRPr="00785D06">
        <w:rPr>
          <w:rFonts w:eastAsia="Times New Roman"/>
          <w:sz w:val="20"/>
          <w:szCs w:val="20"/>
          <w:lang w:val="en-US" w:eastAsia="es-ES" w:bidi="es-ES"/>
        </w:rPr>
        <w:t xml:space="preserve">in order </w:t>
      </w:r>
      <w:r w:rsidRPr="00785D06">
        <w:rPr>
          <w:rFonts w:eastAsia="Times New Roman"/>
          <w:sz w:val="20"/>
          <w:szCs w:val="20"/>
          <w:lang w:val="en-US" w:eastAsia="es-ES" w:bidi="es-ES"/>
        </w:rPr>
        <w:t xml:space="preserve">to correct and </w:t>
      </w:r>
      <w:r w:rsidR="004C70ED" w:rsidRPr="00785D06">
        <w:rPr>
          <w:rFonts w:eastAsia="Times New Roman"/>
          <w:sz w:val="20"/>
          <w:szCs w:val="20"/>
          <w:lang w:val="en-US" w:eastAsia="es-ES" w:bidi="es-ES"/>
        </w:rPr>
        <w:t xml:space="preserve">remedy any </w:t>
      </w:r>
      <w:r w:rsidRPr="00785D06">
        <w:rPr>
          <w:rFonts w:eastAsia="Times New Roman"/>
          <w:sz w:val="20"/>
          <w:szCs w:val="20"/>
          <w:lang w:val="en-US" w:eastAsia="es-ES" w:bidi="es-ES"/>
        </w:rPr>
        <w:t xml:space="preserve">weaknesses </w:t>
      </w:r>
      <w:r w:rsidR="00BB0B9C" w:rsidRPr="00785D06">
        <w:rPr>
          <w:rFonts w:eastAsia="Times New Roman"/>
          <w:sz w:val="20"/>
          <w:szCs w:val="20"/>
          <w:lang w:val="en-US" w:eastAsia="es-ES" w:bidi="es-ES"/>
        </w:rPr>
        <w:t>detected</w:t>
      </w:r>
      <w:r w:rsidRPr="00785D06">
        <w:rPr>
          <w:rFonts w:eastAsia="Times New Roman"/>
          <w:sz w:val="20"/>
          <w:szCs w:val="20"/>
          <w:lang w:val="en-US" w:eastAsia="es-ES" w:bidi="es-ES"/>
        </w:rPr>
        <w:t xml:space="preserve"> in relation to: a) </w:t>
      </w:r>
      <w:r w:rsidR="00122836" w:rsidRPr="00785D06">
        <w:rPr>
          <w:rFonts w:eastAsia="Times New Roman"/>
          <w:sz w:val="20"/>
          <w:szCs w:val="20"/>
          <w:lang w:val="en-US" w:eastAsia="es-ES" w:bidi="es-ES"/>
        </w:rPr>
        <w:t xml:space="preserve">providing </w:t>
      </w:r>
      <w:r w:rsidRPr="00785D06">
        <w:rPr>
          <w:rFonts w:eastAsia="Times New Roman"/>
          <w:sz w:val="20"/>
          <w:szCs w:val="20"/>
          <w:lang w:val="en-US" w:eastAsia="es-ES" w:bidi="es-ES"/>
        </w:rPr>
        <w:t xml:space="preserve">continuously updated statistical information on school-related sexual violence against </w:t>
      </w:r>
      <w:r w:rsidR="00C92716" w:rsidRPr="00785D06">
        <w:rPr>
          <w:rFonts w:eastAsia="Times New Roman"/>
          <w:sz w:val="20"/>
          <w:szCs w:val="20"/>
          <w:lang w:val="en-US" w:eastAsia="es-ES" w:bidi="es-ES"/>
        </w:rPr>
        <w:t xml:space="preserve">children; b) </w:t>
      </w:r>
      <w:r w:rsidRPr="00785D06">
        <w:rPr>
          <w:rFonts w:eastAsia="Times New Roman"/>
          <w:sz w:val="20"/>
          <w:szCs w:val="20"/>
          <w:lang w:val="en-US" w:eastAsia="es-ES" w:bidi="es-ES"/>
        </w:rPr>
        <w:t>detecti</w:t>
      </w:r>
      <w:r w:rsidR="00122836" w:rsidRPr="00785D06">
        <w:rPr>
          <w:rFonts w:eastAsia="Times New Roman"/>
          <w:sz w:val="20"/>
          <w:szCs w:val="20"/>
          <w:lang w:val="en-US" w:eastAsia="es-ES" w:bidi="es-ES"/>
        </w:rPr>
        <w:t xml:space="preserve">ng </w:t>
      </w:r>
      <w:r w:rsidR="00B97F8F" w:rsidRPr="00785D06">
        <w:rPr>
          <w:rFonts w:eastAsia="Times New Roman"/>
          <w:sz w:val="20"/>
          <w:szCs w:val="20"/>
          <w:lang w:val="en-US" w:eastAsia="es-ES" w:bidi="es-ES"/>
        </w:rPr>
        <w:t xml:space="preserve">and reporting </w:t>
      </w:r>
      <w:r w:rsidRPr="00785D06">
        <w:rPr>
          <w:rFonts w:eastAsia="Times New Roman"/>
          <w:sz w:val="20"/>
          <w:szCs w:val="20"/>
          <w:lang w:val="en-US" w:eastAsia="es-ES" w:bidi="es-ES"/>
        </w:rPr>
        <w:t xml:space="preserve">cases of sexual violence against children in </w:t>
      </w:r>
      <w:r w:rsidR="00B97F8F" w:rsidRPr="00785D06">
        <w:rPr>
          <w:rFonts w:eastAsia="Times New Roman"/>
          <w:sz w:val="20"/>
          <w:szCs w:val="20"/>
          <w:lang w:val="en-US" w:eastAsia="es-ES" w:bidi="es-ES"/>
        </w:rPr>
        <w:t>schools</w:t>
      </w:r>
      <w:r w:rsidRPr="00785D06">
        <w:rPr>
          <w:rFonts w:eastAsia="Times New Roman"/>
          <w:sz w:val="20"/>
          <w:szCs w:val="20"/>
          <w:lang w:val="en-US" w:eastAsia="es-ES" w:bidi="es-ES"/>
        </w:rPr>
        <w:t xml:space="preserve">, c) </w:t>
      </w:r>
      <w:r w:rsidR="00122836" w:rsidRPr="00785D06">
        <w:rPr>
          <w:rFonts w:eastAsia="Times New Roman"/>
          <w:sz w:val="20"/>
          <w:szCs w:val="20"/>
          <w:lang w:val="en-US" w:eastAsia="es-ES" w:bidi="es-ES"/>
        </w:rPr>
        <w:t xml:space="preserve">personnel </w:t>
      </w:r>
      <w:r w:rsidRPr="00785D06">
        <w:rPr>
          <w:rFonts w:eastAsia="Times New Roman"/>
          <w:sz w:val="20"/>
          <w:szCs w:val="20"/>
          <w:lang w:val="en-US" w:eastAsia="es-ES" w:bidi="es-ES"/>
        </w:rPr>
        <w:t xml:space="preserve">training </w:t>
      </w:r>
      <w:r w:rsidR="00122836" w:rsidRPr="00785D06">
        <w:rPr>
          <w:rFonts w:eastAsia="Times New Roman"/>
          <w:sz w:val="20"/>
          <w:szCs w:val="20"/>
          <w:lang w:val="en-US" w:eastAsia="es-ES" w:bidi="es-ES"/>
        </w:rPr>
        <w:t xml:space="preserve">in the </w:t>
      </w:r>
      <w:r w:rsidR="00C92716" w:rsidRPr="00785D06">
        <w:rPr>
          <w:rFonts w:eastAsia="Times New Roman"/>
          <w:sz w:val="20"/>
          <w:szCs w:val="20"/>
          <w:lang w:val="en-US" w:eastAsia="es-ES" w:bidi="es-ES"/>
        </w:rPr>
        <w:t>education sector</w:t>
      </w:r>
      <w:r w:rsidRPr="00785D06">
        <w:rPr>
          <w:rFonts w:eastAsia="Times New Roman"/>
          <w:sz w:val="20"/>
          <w:szCs w:val="20"/>
          <w:lang w:val="en-US" w:eastAsia="es-ES" w:bidi="es-ES"/>
        </w:rPr>
        <w:t xml:space="preserve"> </w:t>
      </w:r>
      <w:r w:rsidR="00122836" w:rsidRPr="00785D06">
        <w:rPr>
          <w:rFonts w:eastAsia="Times New Roman"/>
          <w:sz w:val="20"/>
          <w:szCs w:val="20"/>
          <w:lang w:val="en-US" w:eastAsia="es-ES" w:bidi="es-ES"/>
        </w:rPr>
        <w:t>to prevent and address</w:t>
      </w:r>
      <w:r w:rsidR="00C92716" w:rsidRPr="00785D06">
        <w:rPr>
          <w:rFonts w:eastAsia="Times New Roman"/>
          <w:sz w:val="20"/>
          <w:szCs w:val="20"/>
          <w:lang w:val="en-US" w:eastAsia="es-ES" w:bidi="es-ES"/>
        </w:rPr>
        <w:t xml:space="preserve"> </w:t>
      </w:r>
      <w:r w:rsidRPr="00785D06">
        <w:rPr>
          <w:rFonts w:eastAsia="Times New Roman"/>
          <w:sz w:val="20"/>
          <w:szCs w:val="20"/>
          <w:lang w:val="en-US" w:eastAsia="es-ES" w:bidi="es-ES"/>
        </w:rPr>
        <w:t xml:space="preserve">sexual violence, and d) </w:t>
      </w:r>
      <w:r w:rsidR="00122836" w:rsidRPr="00785D06">
        <w:rPr>
          <w:rFonts w:eastAsia="Times New Roman"/>
          <w:sz w:val="20"/>
          <w:szCs w:val="20"/>
          <w:lang w:val="en-US" w:eastAsia="es-ES" w:bidi="es-ES"/>
        </w:rPr>
        <w:t xml:space="preserve">providing </w:t>
      </w:r>
      <w:r w:rsidRPr="00785D06">
        <w:rPr>
          <w:rFonts w:eastAsia="Times New Roman"/>
          <w:sz w:val="20"/>
          <w:szCs w:val="20"/>
          <w:lang w:val="en-US" w:eastAsia="es-ES" w:bidi="es-ES"/>
        </w:rPr>
        <w:t xml:space="preserve">guidance, assistance and </w:t>
      </w:r>
      <w:r w:rsidR="00122836" w:rsidRPr="00785D06">
        <w:rPr>
          <w:rFonts w:eastAsia="Times New Roman"/>
          <w:sz w:val="20"/>
          <w:szCs w:val="20"/>
          <w:lang w:val="en-US" w:eastAsia="es-ES" w:bidi="es-ES"/>
        </w:rPr>
        <w:t>support to</w:t>
      </w:r>
      <w:r w:rsidR="005A7B28" w:rsidRPr="00785D06">
        <w:rPr>
          <w:rFonts w:eastAsia="Times New Roman"/>
          <w:sz w:val="20"/>
          <w:szCs w:val="20"/>
          <w:lang w:val="en-US" w:eastAsia="es-ES" w:bidi="es-ES"/>
        </w:rPr>
        <w:t xml:space="preserve"> </w:t>
      </w:r>
      <w:r w:rsidRPr="00785D06">
        <w:rPr>
          <w:rFonts w:eastAsia="Times New Roman"/>
          <w:sz w:val="20"/>
          <w:szCs w:val="20"/>
          <w:lang w:val="en-US" w:eastAsia="es-ES" w:bidi="es-ES"/>
        </w:rPr>
        <w:t xml:space="preserve">victims of sexual violence in schools and/or </w:t>
      </w:r>
      <w:r w:rsidR="00122836" w:rsidRPr="00785D06">
        <w:rPr>
          <w:rFonts w:eastAsia="Times New Roman"/>
          <w:sz w:val="20"/>
          <w:szCs w:val="20"/>
          <w:lang w:val="en-US" w:eastAsia="es-ES" w:bidi="es-ES"/>
        </w:rPr>
        <w:t xml:space="preserve">to </w:t>
      </w:r>
      <w:r w:rsidRPr="00785D06">
        <w:rPr>
          <w:rFonts w:eastAsia="Times New Roman"/>
          <w:sz w:val="20"/>
          <w:szCs w:val="20"/>
          <w:lang w:val="en-US" w:eastAsia="es-ES" w:bidi="es-ES"/>
        </w:rPr>
        <w:t xml:space="preserve">their </w:t>
      </w:r>
      <w:r w:rsidR="00122836" w:rsidRPr="00785D06">
        <w:rPr>
          <w:rFonts w:eastAsia="Times New Roman"/>
          <w:sz w:val="20"/>
          <w:szCs w:val="20"/>
          <w:lang w:val="en-US" w:eastAsia="es-ES" w:bidi="es-ES"/>
        </w:rPr>
        <w:t>families</w:t>
      </w:r>
      <w:r w:rsidRPr="00785D06">
        <w:rPr>
          <w:rFonts w:eastAsia="Times New Roman"/>
          <w:sz w:val="20"/>
          <w:szCs w:val="20"/>
          <w:lang w:val="en-US" w:eastAsia="es-ES" w:bidi="es-ES"/>
        </w:rPr>
        <w:t xml:space="preserve">. </w:t>
      </w:r>
      <w:r w:rsidR="005A7B28" w:rsidRPr="00785D06">
        <w:rPr>
          <w:rFonts w:eastAsia="Times New Roman"/>
          <w:sz w:val="20"/>
          <w:szCs w:val="20"/>
          <w:lang w:val="en-US" w:eastAsia="es-ES" w:bidi="es-ES"/>
        </w:rPr>
        <w:t xml:space="preserve">If </w:t>
      </w:r>
      <w:r w:rsidR="001D1E88" w:rsidRPr="00785D06">
        <w:rPr>
          <w:rFonts w:eastAsia="Times New Roman"/>
          <w:sz w:val="20"/>
          <w:szCs w:val="20"/>
          <w:lang w:val="en-US" w:eastAsia="es-ES" w:bidi="es-ES"/>
        </w:rPr>
        <w:t xml:space="preserve">considered </w:t>
      </w:r>
      <w:r w:rsidR="005A7B28" w:rsidRPr="00785D06">
        <w:rPr>
          <w:rFonts w:eastAsia="Times New Roman"/>
          <w:sz w:val="20"/>
          <w:szCs w:val="20"/>
          <w:lang w:val="en-US" w:eastAsia="es-ES" w:bidi="es-ES"/>
        </w:rPr>
        <w:t xml:space="preserve">appropriate, </w:t>
      </w:r>
      <w:r w:rsidRPr="00785D06">
        <w:rPr>
          <w:rFonts w:eastAsia="Times New Roman"/>
          <w:sz w:val="20"/>
          <w:szCs w:val="20"/>
          <w:lang w:val="en-US" w:eastAsia="es-ES" w:bidi="es-ES"/>
        </w:rPr>
        <w:t xml:space="preserve">the State could </w:t>
      </w:r>
      <w:r w:rsidR="00122836" w:rsidRPr="00785D06">
        <w:rPr>
          <w:rFonts w:eastAsia="Times New Roman"/>
          <w:sz w:val="20"/>
          <w:szCs w:val="20"/>
          <w:lang w:val="en-US" w:eastAsia="es-ES" w:bidi="es-ES"/>
        </w:rPr>
        <w:t xml:space="preserve">seek the support of </w:t>
      </w:r>
      <w:r w:rsidRPr="00785D06">
        <w:rPr>
          <w:rFonts w:eastAsia="Times New Roman"/>
          <w:sz w:val="20"/>
          <w:szCs w:val="20"/>
          <w:lang w:val="en-US" w:eastAsia="es-ES" w:bidi="es-ES"/>
        </w:rPr>
        <w:t xml:space="preserve">organizations such as the Inter-American Commission of Women or the Committee of Experts of the </w:t>
      </w:r>
      <w:r w:rsidR="00B97F8F" w:rsidRPr="00785D06">
        <w:rPr>
          <w:rFonts w:eastAsia="Times New Roman"/>
          <w:sz w:val="20"/>
          <w:szCs w:val="20"/>
          <w:lang w:val="en-US" w:eastAsia="es-ES" w:bidi="es-ES"/>
        </w:rPr>
        <w:t xml:space="preserve">Follow-up </w:t>
      </w:r>
      <w:r w:rsidRPr="00785D06">
        <w:rPr>
          <w:rFonts w:eastAsia="Times New Roman"/>
          <w:sz w:val="20"/>
          <w:szCs w:val="20"/>
          <w:lang w:val="en-US" w:eastAsia="es-ES" w:bidi="es-ES"/>
        </w:rPr>
        <w:t xml:space="preserve">Mechanism of the </w:t>
      </w:r>
      <w:r w:rsidR="00B97F8F" w:rsidRPr="00785D06">
        <w:rPr>
          <w:rFonts w:eastAsia="Times New Roman"/>
          <w:sz w:val="20"/>
          <w:szCs w:val="20"/>
          <w:lang w:val="en-US" w:eastAsia="es-ES" w:bidi="es-ES"/>
        </w:rPr>
        <w:t>Belém do Pará Convention</w:t>
      </w:r>
      <w:r w:rsidRPr="00785D06">
        <w:rPr>
          <w:rFonts w:eastAsia="Times New Roman"/>
          <w:sz w:val="20"/>
          <w:szCs w:val="20"/>
          <w:lang w:val="en-US" w:eastAsia="es-ES" w:bidi="es-ES"/>
        </w:rPr>
        <w:t xml:space="preserve">, </w:t>
      </w:r>
      <w:r w:rsidR="001D1E88" w:rsidRPr="00785D06">
        <w:rPr>
          <w:rFonts w:eastAsia="Times New Roman"/>
          <w:sz w:val="20"/>
          <w:szCs w:val="20"/>
          <w:lang w:val="en-US" w:eastAsia="es-ES" w:bidi="es-ES"/>
        </w:rPr>
        <w:t xml:space="preserve">to </w:t>
      </w:r>
      <w:r w:rsidRPr="00785D06">
        <w:rPr>
          <w:rFonts w:eastAsia="Times New Roman"/>
          <w:sz w:val="20"/>
          <w:szCs w:val="20"/>
          <w:lang w:val="en-US" w:eastAsia="es-ES" w:bidi="es-ES"/>
        </w:rPr>
        <w:t xml:space="preserve">provide counseling or assistance that </w:t>
      </w:r>
      <w:r w:rsidR="00B97F8F" w:rsidRPr="00785D06">
        <w:rPr>
          <w:rFonts w:eastAsia="Times New Roman"/>
          <w:sz w:val="20"/>
          <w:szCs w:val="20"/>
          <w:lang w:val="en-US" w:eastAsia="es-ES" w:bidi="es-ES"/>
        </w:rPr>
        <w:t xml:space="preserve">could be </w:t>
      </w:r>
      <w:r w:rsidRPr="00785D06">
        <w:rPr>
          <w:rFonts w:eastAsia="Times New Roman"/>
          <w:sz w:val="20"/>
          <w:szCs w:val="20"/>
          <w:lang w:val="en-US" w:eastAsia="es-ES" w:bidi="es-ES"/>
        </w:rPr>
        <w:t xml:space="preserve">useful </w:t>
      </w:r>
      <w:r w:rsidR="00B97F8F" w:rsidRPr="00785D06">
        <w:rPr>
          <w:rFonts w:eastAsia="Times New Roman"/>
          <w:sz w:val="20"/>
          <w:szCs w:val="20"/>
          <w:lang w:val="en-US" w:eastAsia="es-ES" w:bidi="es-ES"/>
        </w:rPr>
        <w:t xml:space="preserve">to </w:t>
      </w:r>
      <w:r w:rsidRPr="00785D06">
        <w:rPr>
          <w:rFonts w:eastAsia="Times New Roman"/>
          <w:sz w:val="20"/>
          <w:szCs w:val="20"/>
          <w:lang w:val="en-US" w:eastAsia="es-ES" w:bidi="es-ES"/>
        </w:rPr>
        <w:t>compl</w:t>
      </w:r>
      <w:r w:rsidR="00B97F8F" w:rsidRPr="00785D06">
        <w:rPr>
          <w:rFonts w:eastAsia="Times New Roman"/>
          <w:sz w:val="20"/>
          <w:szCs w:val="20"/>
          <w:lang w:val="en-US" w:eastAsia="es-ES" w:bidi="es-ES"/>
        </w:rPr>
        <w:t xml:space="preserve">y </w:t>
      </w:r>
      <w:r w:rsidR="00122836" w:rsidRPr="00785D06">
        <w:rPr>
          <w:rFonts w:eastAsia="Times New Roman"/>
          <w:sz w:val="20"/>
          <w:szCs w:val="20"/>
          <w:lang w:val="en-US" w:eastAsia="es-ES" w:bidi="es-ES"/>
        </w:rPr>
        <w:t>with this</w:t>
      </w:r>
      <w:r w:rsidRPr="00785D06">
        <w:rPr>
          <w:rFonts w:eastAsia="Times New Roman"/>
          <w:sz w:val="20"/>
          <w:szCs w:val="20"/>
          <w:lang w:val="en-US" w:eastAsia="es-ES" w:bidi="es-ES"/>
        </w:rPr>
        <w:t xml:space="preserve"> measure. Also, </w:t>
      </w:r>
      <w:r w:rsidR="00C92716" w:rsidRPr="00785D06">
        <w:rPr>
          <w:rFonts w:eastAsia="Times New Roman"/>
          <w:sz w:val="20"/>
          <w:szCs w:val="20"/>
          <w:lang w:val="en-US" w:eastAsia="es-ES" w:bidi="es-ES"/>
        </w:rPr>
        <w:t xml:space="preserve">based on the </w:t>
      </w:r>
      <w:r w:rsidR="001D1E88" w:rsidRPr="00785D06">
        <w:rPr>
          <w:rFonts w:eastAsia="Times New Roman"/>
          <w:sz w:val="20"/>
          <w:szCs w:val="20"/>
          <w:lang w:val="en-US" w:eastAsia="es-ES" w:bidi="es-ES"/>
        </w:rPr>
        <w:t xml:space="preserve">recommendations </w:t>
      </w:r>
      <w:r w:rsidR="00C92716" w:rsidRPr="00785D06">
        <w:rPr>
          <w:rFonts w:eastAsia="Times New Roman"/>
          <w:sz w:val="20"/>
          <w:szCs w:val="20"/>
          <w:lang w:val="en-US" w:eastAsia="es-ES" w:bidi="es-ES"/>
        </w:rPr>
        <w:t>of the Committee on</w:t>
      </w:r>
      <w:r w:rsidRPr="00785D06">
        <w:rPr>
          <w:rFonts w:eastAsia="Times New Roman"/>
          <w:sz w:val="20"/>
          <w:szCs w:val="20"/>
          <w:lang w:val="en-US" w:eastAsia="es-ES" w:bidi="es-ES"/>
        </w:rPr>
        <w:t xml:space="preserve"> the Rights of the Child, the Court emphasizes the importance of children’s </w:t>
      </w:r>
      <w:r w:rsidR="001D1E88" w:rsidRPr="00785D06">
        <w:rPr>
          <w:rFonts w:eastAsia="Times New Roman"/>
          <w:sz w:val="20"/>
          <w:szCs w:val="20"/>
          <w:lang w:val="en-US" w:eastAsia="es-ES" w:bidi="es-ES"/>
        </w:rPr>
        <w:t xml:space="preserve">involvement </w:t>
      </w:r>
      <w:r w:rsidRPr="00785D06">
        <w:rPr>
          <w:rFonts w:eastAsia="Times New Roman"/>
          <w:sz w:val="20"/>
          <w:szCs w:val="20"/>
          <w:lang w:val="en-US" w:eastAsia="es-ES" w:bidi="es-ES"/>
        </w:rPr>
        <w:t>in the formulation of public policies of prevention</w:t>
      </w:r>
      <w:r w:rsidR="00C92716" w:rsidRPr="00785D06">
        <w:rPr>
          <w:rFonts w:eastAsia="Times New Roman"/>
          <w:sz w:val="20"/>
          <w:szCs w:val="20"/>
          <w:lang w:val="en-US" w:eastAsia="es-ES" w:bidi="es-ES"/>
        </w:rPr>
        <w:t>.</w:t>
      </w:r>
      <w:r w:rsidRPr="00785D06">
        <w:rPr>
          <w:rStyle w:val="Refdenotaalpie"/>
          <w:rFonts w:eastAsia="Times New Roman"/>
          <w:sz w:val="20"/>
          <w:szCs w:val="20"/>
          <w:lang w:val="en-US" w:eastAsia="es-ES" w:bidi="es-ES"/>
        </w:rPr>
        <w:footnoteReference w:id="226"/>
      </w:r>
      <w:r w:rsidRPr="00785D06">
        <w:rPr>
          <w:rFonts w:eastAsia="Times New Roman"/>
          <w:sz w:val="20"/>
          <w:szCs w:val="20"/>
          <w:lang w:val="en-US" w:eastAsia="es-ES" w:bidi="es-ES"/>
        </w:rPr>
        <w:t xml:space="preserve"> </w:t>
      </w:r>
    </w:p>
    <w:p w14:paraId="2C7A782F" w14:textId="77777777" w:rsidR="00C254BF" w:rsidRPr="00785D06" w:rsidRDefault="00C254BF" w:rsidP="00C254BF">
      <w:pPr>
        <w:pStyle w:val="Prrafodelista"/>
        <w:rPr>
          <w:rFonts w:eastAsia="Times New Roman"/>
          <w:sz w:val="20"/>
          <w:szCs w:val="20"/>
          <w:lang w:val="en-US" w:eastAsia="es-ES" w:bidi="es-ES"/>
        </w:rPr>
      </w:pPr>
    </w:p>
    <w:p w14:paraId="71616B14"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 xml:space="preserve">The State </w:t>
      </w:r>
      <w:r w:rsidR="001D1E88" w:rsidRPr="00785D06">
        <w:rPr>
          <w:rFonts w:eastAsia="Times New Roman"/>
          <w:sz w:val="20"/>
          <w:szCs w:val="20"/>
          <w:lang w:val="en-US" w:eastAsia="es-ES" w:bidi="es-ES"/>
        </w:rPr>
        <w:t xml:space="preserve">shall </w:t>
      </w:r>
      <w:r w:rsidRPr="00785D06">
        <w:rPr>
          <w:rFonts w:eastAsia="Times New Roman"/>
          <w:sz w:val="20"/>
          <w:szCs w:val="20"/>
          <w:lang w:val="en-US" w:eastAsia="es-ES" w:bidi="es-ES"/>
        </w:rPr>
        <w:t xml:space="preserve">inform the Court, within one year of notification of this judgment, </w:t>
      </w:r>
      <w:r w:rsidR="00CE6018" w:rsidRPr="00785D06">
        <w:rPr>
          <w:rFonts w:eastAsia="Times New Roman"/>
          <w:sz w:val="20"/>
          <w:szCs w:val="20"/>
          <w:lang w:val="en-US" w:eastAsia="es-ES" w:bidi="es-ES"/>
        </w:rPr>
        <w:t xml:space="preserve">of any </w:t>
      </w:r>
      <w:r w:rsidRPr="00785D06">
        <w:rPr>
          <w:rFonts w:eastAsia="Times New Roman"/>
          <w:sz w:val="20"/>
          <w:szCs w:val="20"/>
          <w:lang w:val="en-US" w:eastAsia="es-ES" w:bidi="es-ES"/>
        </w:rPr>
        <w:t xml:space="preserve">measures </w:t>
      </w:r>
      <w:r w:rsidR="00CE6018" w:rsidRPr="00785D06">
        <w:rPr>
          <w:rFonts w:eastAsia="Times New Roman"/>
          <w:sz w:val="20"/>
          <w:szCs w:val="20"/>
          <w:lang w:val="en-US" w:eastAsia="es-ES" w:bidi="es-ES"/>
        </w:rPr>
        <w:t xml:space="preserve">it deems </w:t>
      </w:r>
      <w:r w:rsidRPr="00785D06">
        <w:rPr>
          <w:rFonts w:eastAsia="Times New Roman"/>
          <w:sz w:val="20"/>
          <w:szCs w:val="20"/>
          <w:lang w:val="en-US" w:eastAsia="es-ES" w:bidi="es-ES"/>
        </w:rPr>
        <w:t xml:space="preserve">necessary to adopt. That information will be made available to the representatives, who </w:t>
      </w:r>
      <w:r w:rsidR="00CE6018" w:rsidRPr="00785D06">
        <w:rPr>
          <w:rFonts w:eastAsia="Times New Roman"/>
          <w:sz w:val="20"/>
          <w:szCs w:val="20"/>
          <w:lang w:val="en-US" w:eastAsia="es-ES" w:bidi="es-ES"/>
        </w:rPr>
        <w:t xml:space="preserve">may </w:t>
      </w:r>
      <w:r w:rsidRPr="00785D06">
        <w:rPr>
          <w:rFonts w:eastAsia="Times New Roman"/>
          <w:sz w:val="20"/>
          <w:szCs w:val="20"/>
          <w:lang w:val="en-US" w:eastAsia="es-ES" w:bidi="es-ES"/>
        </w:rPr>
        <w:t xml:space="preserve">present their observations. Ecuador </w:t>
      </w:r>
      <w:r w:rsidR="001D1E88" w:rsidRPr="00785D06">
        <w:rPr>
          <w:rFonts w:eastAsia="Times New Roman"/>
          <w:sz w:val="20"/>
          <w:szCs w:val="20"/>
          <w:lang w:val="en-US" w:eastAsia="es-ES" w:bidi="es-ES"/>
        </w:rPr>
        <w:t xml:space="preserve">must </w:t>
      </w:r>
      <w:r w:rsidRPr="00785D06">
        <w:rPr>
          <w:rFonts w:eastAsia="Times New Roman"/>
          <w:sz w:val="20"/>
          <w:szCs w:val="20"/>
          <w:lang w:val="en-US" w:eastAsia="es-ES" w:bidi="es-ES"/>
        </w:rPr>
        <w:t>begin to implement the</w:t>
      </w:r>
      <w:r w:rsidR="00CE6018" w:rsidRPr="00785D06">
        <w:rPr>
          <w:rFonts w:eastAsia="Times New Roman"/>
          <w:sz w:val="20"/>
          <w:szCs w:val="20"/>
          <w:lang w:val="en-US" w:eastAsia="es-ES" w:bidi="es-ES"/>
        </w:rPr>
        <w:t>se</w:t>
      </w:r>
      <w:r w:rsidRPr="00785D06">
        <w:rPr>
          <w:rFonts w:eastAsia="Times New Roman"/>
          <w:sz w:val="20"/>
          <w:szCs w:val="20"/>
          <w:lang w:val="en-US" w:eastAsia="es-ES" w:bidi="es-ES"/>
        </w:rPr>
        <w:t xml:space="preserve"> measures</w:t>
      </w:r>
      <w:r w:rsidR="00CE6018" w:rsidRPr="00785D06">
        <w:rPr>
          <w:rFonts w:eastAsia="Times New Roman"/>
          <w:sz w:val="20"/>
          <w:szCs w:val="20"/>
          <w:lang w:val="en-US" w:eastAsia="es-ES" w:bidi="es-ES"/>
        </w:rPr>
        <w:t>,</w:t>
      </w:r>
      <w:r w:rsidRPr="00785D06">
        <w:rPr>
          <w:rFonts w:eastAsia="Times New Roman"/>
          <w:sz w:val="20"/>
          <w:szCs w:val="20"/>
          <w:lang w:val="en-US" w:eastAsia="es-ES" w:bidi="es-ES"/>
        </w:rPr>
        <w:t xml:space="preserve"> at the latest</w:t>
      </w:r>
      <w:r w:rsidR="00CE6018" w:rsidRPr="00785D06">
        <w:rPr>
          <w:rFonts w:eastAsia="Times New Roman"/>
          <w:sz w:val="20"/>
          <w:szCs w:val="20"/>
          <w:lang w:val="en-US" w:eastAsia="es-ES" w:bidi="es-ES"/>
        </w:rPr>
        <w:t>,</w:t>
      </w:r>
      <w:r w:rsidRPr="00785D06">
        <w:rPr>
          <w:rFonts w:eastAsia="Times New Roman"/>
          <w:sz w:val="20"/>
          <w:szCs w:val="20"/>
          <w:lang w:val="en-US" w:eastAsia="es-ES" w:bidi="es-ES"/>
        </w:rPr>
        <w:t xml:space="preserve"> </w:t>
      </w:r>
      <w:r w:rsidR="00CE6018" w:rsidRPr="00785D06">
        <w:rPr>
          <w:rFonts w:eastAsia="Times New Roman"/>
          <w:sz w:val="20"/>
          <w:szCs w:val="20"/>
          <w:lang w:val="en-US" w:eastAsia="es-ES" w:bidi="es-ES"/>
        </w:rPr>
        <w:t xml:space="preserve">within </w:t>
      </w:r>
      <w:r w:rsidRPr="00785D06">
        <w:rPr>
          <w:rFonts w:eastAsia="Times New Roman"/>
          <w:sz w:val="20"/>
          <w:szCs w:val="20"/>
          <w:lang w:val="en-US" w:eastAsia="es-ES" w:bidi="es-ES"/>
        </w:rPr>
        <w:t>six months aft</w:t>
      </w:r>
      <w:r w:rsidR="00C92716" w:rsidRPr="00785D06">
        <w:rPr>
          <w:rFonts w:eastAsia="Times New Roman"/>
          <w:sz w:val="20"/>
          <w:szCs w:val="20"/>
          <w:lang w:val="en-US" w:eastAsia="es-ES" w:bidi="es-ES"/>
        </w:rPr>
        <w:t xml:space="preserve">er submitting </w:t>
      </w:r>
      <w:r w:rsidR="001D1E88" w:rsidRPr="00785D06">
        <w:rPr>
          <w:rFonts w:eastAsia="Times New Roman"/>
          <w:sz w:val="20"/>
          <w:szCs w:val="20"/>
          <w:lang w:val="en-US" w:eastAsia="es-ES" w:bidi="es-ES"/>
        </w:rPr>
        <w:t>information on these to the</w:t>
      </w:r>
      <w:r w:rsidR="00C92716" w:rsidRPr="00785D06">
        <w:rPr>
          <w:rFonts w:eastAsia="Times New Roman"/>
          <w:sz w:val="20"/>
          <w:szCs w:val="20"/>
          <w:lang w:val="en-US" w:eastAsia="es-ES" w:bidi="es-ES"/>
        </w:rPr>
        <w:t xml:space="preserve"> Court</w:t>
      </w:r>
      <w:r w:rsidR="001D1E88" w:rsidRPr="00785D06">
        <w:rPr>
          <w:rFonts w:eastAsia="Times New Roman"/>
          <w:sz w:val="20"/>
          <w:szCs w:val="20"/>
          <w:lang w:val="en-US" w:eastAsia="es-ES" w:bidi="es-ES"/>
        </w:rPr>
        <w:t>,</w:t>
      </w:r>
      <w:r w:rsidR="00C92716" w:rsidRPr="00785D06">
        <w:rPr>
          <w:rFonts w:eastAsia="Times New Roman"/>
          <w:sz w:val="20"/>
          <w:szCs w:val="20"/>
          <w:lang w:val="en-US" w:eastAsia="es-ES" w:bidi="es-ES"/>
        </w:rPr>
        <w:t xml:space="preserve"> </w:t>
      </w:r>
      <w:r w:rsidR="001D1E88" w:rsidRPr="00785D06">
        <w:rPr>
          <w:rFonts w:eastAsia="Times New Roman"/>
          <w:sz w:val="20"/>
          <w:szCs w:val="20"/>
          <w:lang w:val="en-US" w:eastAsia="es-ES" w:bidi="es-ES"/>
        </w:rPr>
        <w:t xml:space="preserve">without prejudice to any other measures </w:t>
      </w:r>
      <w:r w:rsidR="005A7B28" w:rsidRPr="00785D06">
        <w:rPr>
          <w:rFonts w:eastAsia="Times New Roman"/>
          <w:sz w:val="20"/>
          <w:szCs w:val="20"/>
          <w:lang w:val="en-US" w:eastAsia="es-ES" w:bidi="es-ES"/>
        </w:rPr>
        <w:t xml:space="preserve">that </w:t>
      </w:r>
      <w:r w:rsidR="001D1E88" w:rsidRPr="00785D06">
        <w:rPr>
          <w:rFonts w:eastAsia="Times New Roman"/>
          <w:sz w:val="20"/>
          <w:szCs w:val="20"/>
          <w:lang w:val="en-US" w:eastAsia="es-ES" w:bidi="es-ES"/>
        </w:rPr>
        <w:t>this</w:t>
      </w:r>
      <w:r w:rsidRPr="00785D06">
        <w:rPr>
          <w:rFonts w:eastAsia="Times New Roman"/>
          <w:sz w:val="20"/>
          <w:szCs w:val="20"/>
          <w:lang w:val="en-US" w:eastAsia="es-ES" w:bidi="es-ES"/>
        </w:rPr>
        <w:t xml:space="preserve"> Court </w:t>
      </w:r>
      <w:r w:rsidR="00CE6018" w:rsidRPr="00785D06">
        <w:rPr>
          <w:rFonts w:eastAsia="Times New Roman"/>
          <w:sz w:val="20"/>
          <w:szCs w:val="20"/>
          <w:lang w:val="en-US" w:eastAsia="es-ES" w:bidi="es-ES"/>
        </w:rPr>
        <w:t xml:space="preserve">may </w:t>
      </w:r>
      <w:r w:rsidR="00C92716" w:rsidRPr="00785D06">
        <w:rPr>
          <w:rFonts w:eastAsia="Times New Roman"/>
          <w:sz w:val="20"/>
          <w:szCs w:val="20"/>
          <w:lang w:val="en-US" w:eastAsia="es-ES" w:bidi="es-ES"/>
        </w:rPr>
        <w:t xml:space="preserve">order </w:t>
      </w:r>
      <w:r w:rsidRPr="00785D06">
        <w:rPr>
          <w:rFonts w:eastAsia="Times New Roman"/>
          <w:sz w:val="20"/>
          <w:szCs w:val="20"/>
          <w:lang w:val="en-US" w:eastAsia="es-ES" w:bidi="es-ES"/>
        </w:rPr>
        <w:t>in the c</w:t>
      </w:r>
      <w:r w:rsidR="00C92716" w:rsidRPr="00785D06">
        <w:rPr>
          <w:rFonts w:eastAsia="Times New Roman"/>
          <w:sz w:val="20"/>
          <w:szCs w:val="20"/>
          <w:lang w:val="en-US" w:eastAsia="es-ES" w:bidi="es-ES"/>
        </w:rPr>
        <w:t>ourse of monitoring compliance with this j</w:t>
      </w:r>
      <w:r w:rsidRPr="00785D06">
        <w:rPr>
          <w:rFonts w:eastAsia="Times New Roman"/>
          <w:sz w:val="20"/>
          <w:szCs w:val="20"/>
          <w:lang w:val="en-US" w:eastAsia="es-ES" w:bidi="es-ES"/>
        </w:rPr>
        <w:t xml:space="preserve">udgment, </w:t>
      </w:r>
      <w:r w:rsidR="001D1E88" w:rsidRPr="00785D06">
        <w:rPr>
          <w:rFonts w:eastAsia="Times New Roman"/>
          <w:sz w:val="20"/>
          <w:szCs w:val="20"/>
          <w:lang w:val="en-US" w:eastAsia="es-ES" w:bidi="es-ES"/>
        </w:rPr>
        <w:t xml:space="preserve">based on </w:t>
      </w:r>
      <w:r w:rsidRPr="00785D06">
        <w:rPr>
          <w:rFonts w:eastAsia="Times New Roman"/>
          <w:sz w:val="20"/>
          <w:szCs w:val="20"/>
          <w:lang w:val="en-US" w:eastAsia="es-ES" w:bidi="es-ES"/>
        </w:rPr>
        <w:t xml:space="preserve">the information and </w:t>
      </w:r>
      <w:r w:rsidR="00CE6018" w:rsidRPr="00785D06">
        <w:rPr>
          <w:rFonts w:eastAsia="Times New Roman"/>
          <w:sz w:val="20"/>
          <w:szCs w:val="20"/>
          <w:lang w:val="en-US" w:eastAsia="es-ES" w:bidi="es-ES"/>
        </w:rPr>
        <w:t xml:space="preserve">any </w:t>
      </w:r>
      <w:r w:rsidRPr="00785D06">
        <w:rPr>
          <w:rFonts w:eastAsia="Times New Roman"/>
          <w:sz w:val="20"/>
          <w:szCs w:val="20"/>
          <w:lang w:val="en-US" w:eastAsia="es-ES" w:bidi="es-ES"/>
        </w:rPr>
        <w:t xml:space="preserve">observations </w:t>
      </w:r>
      <w:r w:rsidR="00CE6018" w:rsidRPr="00785D06">
        <w:rPr>
          <w:rFonts w:eastAsia="Times New Roman"/>
          <w:sz w:val="20"/>
          <w:szCs w:val="20"/>
          <w:lang w:val="en-US" w:eastAsia="es-ES" w:bidi="es-ES"/>
        </w:rPr>
        <w:t>submitted</w:t>
      </w:r>
      <w:r w:rsidRPr="00785D06">
        <w:rPr>
          <w:rFonts w:eastAsia="Times New Roman"/>
          <w:sz w:val="20"/>
          <w:szCs w:val="20"/>
          <w:lang w:val="en-US" w:eastAsia="es-ES" w:bidi="es-ES"/>
        </w:rPr>
        <w:t xml:space="preserve">. The State must </w:t>
      </w:r>
      <w:r w:rsidR="001D1E88" w:rsidRPr="00785D06">
        <w:rPr>
          <w:rFonts w:eastAsia="Times New Roman"/>
          <w:sz w:val="20"/>
          <w:szCs w:val="20"/>
          <w:lang w:val="en-US" w:eastAsia="es-ES" w:bidi="es-ES"/>
        </w:rPr>
        <w:t xml:space="preserve">also </w:t>
      </w:r>
      <w:r w:rsidR="00CE6018" w:rsidRPr="00785D06">
        <w:rPr>
          <w:rFonts w:eastAsia="Times New Roman"/>
          <w:sz w:val="20"/>
          <w:szCs w:val="20"/>
          <w:lang w:val="en-US" w:eastAsia="es-ES" w:bidi="es-ES"/>
        </w:rPr>
        <w:t xml:space="preserve">adopt the </w:t>
      </w:r>
      <w:r w:rsidRPr="00785D06">
        <w:rPr>
          <w:rFonts w:eastAsia="Times New Roman"/>
          <w:sz w:val="20"/>
          <w:szCs w:val="20"/>
          <w:lang w:val="en-US" w:eastAsia="es-ES" w:bidi="es-ES"/>
        </w:rPr>
        <w:t xml:space="preserve">regulatory, institutional and </w:t>
      </w:r>
      <w:r w:rsidR="00CE6018" w:rsidRPr="00785D06">
        <w:rPr>
          <w:rFonts w:eastAsia="Times New Roman"/>
          <w:sz w:val="20"/>
          <w:szCs w:val="20"/>
          <w:lang w:val="en-US" w:eastAsia="es-ES" w:bidi="es-ES"/>
        </w:rPr>
        <w:t xml:space="preserve">budgetary measures required to </w:t>
      </w:r>
      <w:r w:rsidR="00116998" w:rsidRPr="00785D06">
        <w:rPr>
          <w:rFonts w:eastAsia="Times New Roman"/>
          <w:sz w:val="20"/>
          <w:szCs w:val="20"/>
          <w:lang w:val="en-US" w:eastAsia="es-ES" w:bidi="es-ES"/>
        </w:rPr>
        <w:t xml:space="preserve">fully </w:t>
      </w:r>
      <w:r w:rsidR="00CE6018" w:rsidRPr="00785D06">
        <w:rPr>
          <w:rFonts w:eastAsia="Times New Roman"/>
          <w:sz w:val="20"/>
          <w:szCs w:val="20"/>
          <w:lang w:val="en-US" w:eastAsia="es-ES" w:bidi="es-ES"/>
        </w:rPr>
        <w:t>implement</w:t>
      </w:r>
      <w:r w:rsidRPr="00785D06">
        <w:rPr>
          <w:rFonts w:eastAsia="Times New Roman"/>
          <w:sz w:val="20"/>
          <w:szCs w:val="20"/>
          <w:lang w:val="en-US" w:eastAsia="es-ES" w:bidi="es-ES"/>
        </w:rPr>
        <w:t xml:space="preserve"> </w:t>
      </w:r>
      <w:r w:rsidR="001D1E88" w:rsidRPr="00785D06">
        <w:rPr>
          <w:rFonts w:eastAsia="Times New Roman"/>
          <w:sz w:val="20"/>
          <w:szCs w:val="20"/>
          <w:lang w:val="en-US" w:eastAsia="es-ES" w:bidi="es-ES"/>
        </w:rPr>
        <w:t>these</w:t>
      </w:r>
      <w:r w:rsidR="00CE6018" w:rsidRPr="00785D06">
        <w:rPr>
          <w:rFonts w:eastAsia="Times New Roman"/>
          <w:sz w:val="20"/>
          <w:szCs w:val="20"/>
          <w:lang w:val="en-US" w:eastAsia="es-ES" w:bidi="es-ES"/>
        </w:rPr>
        <w:t xml:space="preserve"> provisions</w:t>
      </w:r>
      <w:r w:rsidRPr="00785D06">
        <w:rPr>
          <w:rFonts w:eastAsia="Times New Roman"/>
          <w:sz w:val="20"/>
          <w:szCs w:val="20"/>
          <w:lang w:val="en-US" w:eastAsia="es-ES" w:bidi="es-ES"/>
        </w:rPr>
        <w:t xml:space="preserve">. The Court </w:t>
      </w:r>
      <w:r w:rsidR="00342521" w:rsidRPr="00785D06">
        <w:rPr>
          <w:rFonts w:eastAsia="Times New Roman"/>
          <w:sz w:val="20"/>
          <w:szCs w:val="20"/>
          <w:lang w:val="en-US" w:eastAsia="es-ES" w:bidi="es-ES"/>
        </w:rPr>
        <w:t xml:space="preserve">will </w:t>
      </w:r>
      <w:r w:rsidR="001D1E88" w:rsidRPr="00785D06">
        <w:rPr>
          <w:rFonts w:eastAsia="Times New Roman"/>
          <w:sz w:val="20"/>
          <w:szCs w:val="20"/>
          <w:lang w:val="en-US" w:eastAsia="es-ES" w:bidi="es-ES"/>
        </w:rPr>
        <w:t xml:space="preserve">ensure that </w:t>
      </w:r>
      <w:r w:rsidRPr="00785D06">
        <w:rPr>
          <w:rFonts w:eastAsia="Times New Roman"/>
          <w:sz w:val="20"/>
          <w:szCs w:val="20"/>
          <w:lang w:val="en-US" w:eastAsia="es-ES" w:bidi="es-ES"/>
        </w:rPr>
        <w:t>that the measure</w:t>
      </w:r>
      <w:r w:rsidR="001D1E88" w:rsidRPr="00785D06">
        <w:rPr>
          <w:rFonts w:eastAsia="Times New Roman"/>
          <w:sz w:val="20"/>
          <w:szCs w:val="20"/>
          <w:lang w:val="en-US" w:eastAsia="es-ES" w:bidi="es-ES"/>
        </w:rPr>
        <w:t>s</w:t>
      </w:r>
      <w:r w:rsidRPr="00785D06">
        <w:rPr>
          <w:rFonts w:eastAsia="Times New Roman"/>
          <w:sz w:val="20"/>
          <w:szCs w:val="20"/>
          <w:lang w:val="en-US" w:eastAsia="es-ES" w:bidi="es-ES"/>
        </w:rPr>
        <w:t xml:space="preserve"> ordered, in the terms indicated, </w:t>
      </w:r>
      <w:r w:rsidR="001D1E88" w:rsidRPr="00785D06">
        <w:rPr>
          <w:rFonts w:eastAsia="Times New Roman"/>
          <w:sz w:val="20"/>
          <w:szCs w:val="20"/>
          <w:lang w:val="en-US" w:eastAsia="es-ES" w:bidi="es-ES"/>
        </w:rPr>
        <w:t xml:space="preserve">are executed </w:t>
      </w:r>
      <w:r w:rsidRPr="00785D06">
        <w:rPr>
          <w:rFonts w:eastAsia="Times New Roman"/>
          <w:sz w:val="20"/>
          <w:szCs w:val="20"/>
          <w:lang w:val="en-US" w:eastAsia="es-ES" w:bidi="es-ES"/>
        </w:rPr>
        <w:t xml:space="preserve">effectively. </w:t>
      </w:r>
    </w:p>
    <w:p w14:paraId="4155CD76" w14:textId="77777777" w:rsidR="00C254BF" w:rsidRPr="00785D06" w:rsidRDefault="00C254BF" w:rsidP="00C254BF">
      <w:pPr>
        <w:pStyle w:val="Prrafodelista"/>
        <w:ind w:left="0"/>
        <w:contextualSpacing w:val="0"/>
        <w:jc w:val="both"/>
        <w:rPr>
          <w:sz w:val="20"/>
          <w:szCs w:val="20"/>
          <w:lang w:val="en-US"/>
        </w:rPr>
      </w:pPr>
    </w:p>
    <w:p w14:paraId="13B7F0A0" w14:textId="77777777" w:rsidR="00C254BF" w:rsidRPr="00785D06" w:rsidRDefault="00C254BF" w:rsidP="00C254BF">
      <w:pPr>
        <w:pStyle w:val="Prrafodelista"/>
        <w:widowControl w:val="0"/>
        <w:numPr>
          <w:ilvl w:val="0"/>
          <w:numId w:val="12"/>
        </w:numPr>
        <w:autoSpaceDE w:val="0"/>
        <w:autoSpaceDN w:val="0"/>
        <w:ind w:left="284" w:right="120" w:firstLine="13"/>
        <w:outlineLvl w:val="1"/>
        <w:rPr>
          <w:sz w:val="20"/>
          <w:szCs w:val="20"/>
          <w:lang w:val="en-US"/>
        </w:rPr>
      </w:pPr>
      <w:bookmarkStart w:id="174" w:name="_Toc42498076"/>
      <w:bookmarkStart w:id="175" w:name="_Toc46937324"/>
      <w:r w:rsidRPr="00785D06">
        <w:rPr>
          <w:b/>
          <w:i/>
          <w:sz w:val="20"/>
          <w:szCs w:val="20"/>
          <w:lang w:val="en-US"/>
        </w:rPr>
        <w:t>Other measures requested</w:t>
      </w:r>
      <w:bookmarkEnd w:id="174"/>
      <w:bookmarkEnd w:id="175"/>
    </w:p>
    <w:p w14:paraId="1296EBEA" w14:textId="77777777" w:rsidR="00C254BF" w:rsidRPr="00785D06" w:rsidRDefault="00C254BF" w:rsidP="00C254BF">
      <w:pPr>
        <w:pStyle w:val="Prrafodelista"/>
        <w:rPr>
          <w:rFonts w:eastAsia="Times New Roman"/>
          <w:sz w:val="20"/>
          <w:szCs w:val="20"/>
          <w:lang w:val="en-US" w:eastAsia="es-ES" w:bidi="es-ES"/>
        </w:rPr>
      </w:pPr>
    </w:p>
    <w:p w14:paraId="42E535EB"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 xml:space="preserve">The </w:t>
      </w:r>
      <w:r w:rsidRPr="00785D06">
        <w:rPr>
          <w:rFonts w:eastAsia="Times New Roman"/>
          <w:b/>
          <w:i/>
          <w:sz w:val="20"/>
          <w:szCs w:val="20"/>
          <w:lang w:val="en-US" w:eastAsia="es-ES" w:bidi="es-ES"/>
        </w:rPr>
        <w:t>Commission</w:t>
      </w:r>
      <w:r w:rsidRPr="00785D06">
        <w:rPr>
          <w:rFonts w:eastAsia="Times New Roman"/>
          <w:sz w:val="20"/>
          <w:szCs w:val="20"/>
          <w:lang w:val="en-US" w:eastAsia="es-ES" w:bidi="es-ES"/>
        </w:rPr>
        <w:t xml:space="preserve"> asked the Court to order the State </w:t>
      </w:r>
      <w:r w:rsidR="00CE6018" w:rsidRPr="00785D06">
        <w:rPr>
          <w:rFonts w:eastAsia="Times New Roman"/>
          <w:sz w:val="20"/>
          <w:szCs w:val="20"/>
          <w:lang w:val="en-US" w:eastAsia="es-ES" w:bidi="es-ES"/>
        </w:rPr>
        <w:t xml:space="preserve">to </w:t>
      </w:r>
      <w:r w:rsidRPr="00785D06">
        <w:rPr>
          <w:rFonts w:eastAsia="Times New Roman"/>
          <w:sz w:val="20"/>
          <w:szCs w:val="20"/>
          <w:lang w:val="en-US" w:eastAsia="es-ES" w:bidi="es-ES"/>
        </w:rPr>
        <w:t>“</w:t>
      </w:r>
      <w:r w:rsidR="00CE6018" w:rsidRPr="00785D06">
        <w:rPr>
          <w:rFonts w:eastAsia="Times New Roman"/>
          <w:sz w:val="20"/>
          <w:szCs w:val="20"/>
          <w:lang w:val="en-US" w:eastAsia="es-ES" w:bidi="es-ES"/>
        </w:rPr>
        <w:t xml:space="preserve">ensure </w:t>
      </w:r>
      <w:r w:rsidRPr="00785D06">
        <w:rPr>
          <w:rFonts w:eastAsia="Times New Roman"/>
          <w:sz w:val="20"/>
          <w:szCs w:val="20"/>
          <w:lang w:val="en-US" w:eastAsia="es-ES" w:bidi="es-ES"/>
        </w:rPr>
        <w:t xml:space="preserve">that the </w:t>
      </w:r>
      <w:r w:rsidR="00EB420B" w:rsidRPr="00785D06">
        <w:rPr>
          <w:rFonts w:eastAsia="Times New Roman"/>
          <w:sz w:val="20"/>
          <w:szCs w:val="20"/>
          <w:lang w:val="en-US" w:eastAsia="es-ES" w:bidi="es-ES"/>
        </w:rPr>
        <w:t>j</w:t>
      </w:r>
      <w:r w:rsidR="00AE76E8" w:rsidRPr="00785D06">
        <w:rPr>
          <w:rFonts w:eastAsia="Times New Roman"/>
          <w:sz w:val="20"/>
          <w:szCs w:val="20"/>
          <w:lang w:val="en-US" w:eastAsia="es-ES" w:bidi="es-ES"/>
        </w:rPr>
        <w:t>udiciary,</w:t>
      </w:r>
      <w:r w:rsidRPr="00785D06">
        <w:rPr>
          <w:rFonts w:eastAsia="Times New Roman"/>
          <w:sz w:val="20"/>
          <w:szCs w:val="20"/>
          <w:lang w:val="en-US" w:eastAsia="es-ES" w:bidi="es-ES"/>
        </w:rPr>
        <w:t xml:space="preserve"> </w:t>
      </w:r>
      <w:r w:rsidR="00AE76E8" w:rsidRPr="00785D06">
        <w:rPr>
          <w:rFonts w:eastAsia="Times New Roman"/>
          <w:sz w:val="20"/>
          <w:szCs w:val="20"/>
          <w:lang w:val="en-US" w:eastAsia="es-ES" w:bidi="es-ES"/>
        </w:rPr>
        <w:t xml:space="preserve">the </w:t>
      </w:r>
      <w:r w:rsidR="006C4072" w:rsidRPr="00785D06">
        <w:rPr>
          <w:rFonts w:eastAsia="Times New Roman"/>
          <w:sz w:val="20"/>
          <w:szCs w:val="20"/>
          <w:lang w:val="en-US" w:eastAsia="es-ES" w:bidi="es-ES"/>
        </w:rPr>
        <w:t>Public Prosecutor</w:t>
      </w:r>
      <w:r w:rsidR="00AE76E8" w:rsidRPr="00785D06">
        <w:rPr>
          <w:rFonts w:eastAsia="Times New Roman"/>
          <w:sz w:val="20"/>
          <w:szCs w:val="20"/>
          <w:lang w:val="en-US" w:eastAsia="es-ES" w:bidi="es-ES"/>
        </w:rPr>
        <w:t>’s Office</w:t>
      </w:r>
      <w:r w:rsidR="006C4072" w:rsidRPr="00785D06">
        <w:rPr>
          <w:rFonts w:eastAsia="Times New Roman"/>
          <w:sz w:val="20"/>
          <w:szCs w:val="20"/>
          <w:lang w:val="en-US" w:eastAsia="es-ES" w:bidi="es-ES"/>
        </w:rPr>
        <w:t xml:space="preserve"> </w:t>
      </w:r>
      <w:r w:rsidRPr="00785D06">
        <w:rPr>
          <w:rFonts w:eastAsia="Times New Roman"/>
          <w:sz w:val="20"/>
          <w:szCs w:val="20"/>
          <w:lang w:val="en-US" w:eastAsia="es-ES" w:bidi="es-ES"/>
        </w:rPr>
        <w:t xml:space="preserve">and </w:t>
      </w:r>
      <w:r w:rsidR="00CE6018" w:rsidRPr="00785D06">
        <w:rPr>
          <w:rFonts w:eastAsia="Times New Roman"/>
          <w:sz w:val="20"/>
          <w:szCs w:val="20"/>
          <w:lang w:val="en-US" w:eastAsia="es-ES" w:bidi="es-ES"/>
        </w:rPr>
        <w:t xml:space="preserve">the </w:t>
      </w:r>
      <w:r w:rsidR="00EB420B" w:rsidRPr="00785D06">
        <w:rPr>
          <w:rFonts w:eastAsia="Times New Roman"/>
          <w:sz w:val="20"/>
          <w:szCs w:val="20"/>
          <w:lang w:val="en-US" w:eastAsia="es-ES" w:bidi="es-ES"/>
        </w:rPr>
        <w:t>national p</w:t>
      </w:r>
      <w:r w:rsidRPr="00785D06">
        <w:rPr>
          <w:rFonts w:eastAsia="Times New Roman"/>
          <w:sz w:val="20"/>
          <w:szCs w:val="20"/>
          <w:lang w:val="en-US" w:eastAsia="es-ES" w:bidi="es-ES"/>
        </w:rPr>
        <w:t xml:space="preserve">olice </w:t>
      </w:r>
      <w:r w:rsidR="00325376" w:rsidRPr="00785D06">
        <w:rPr>
          <w:rFonts w:eastAsia="Times New Roman"/>
          <w:sz w:val="20"/>
          <w:szCs w:val="20"/>
          <w:lang w:val="en-US" w:eastAsia="es-ES" w:bidi="es-ES"/>
        </w:rPr>
        <w:t xml:space="preserve">responsible for conducting </w:t>
      </w:r>
      <w:r w:rsidR="00CE6018" w:rsidRPr="00785D06">
        <w:rPr>
          <w:rFonts w:eastAsia="Times New Roman"/>
          <w:sz w:val="20"/>
          <w:szCs w:val="20"/>
          <w:lang w:val="en-US" w:eastAsia="es-ES" w:bidi="es-ES"/>
        </w:rPr>
        <w:t xml:space="preserve">criminal </w:t>
      </w:r>
      <w:r w:rsidRPr="00785D06">
        <w:rPr>
          <w:rFonts w:eastAsia="Times New Roman"/>
          <w:sz w:val="20"/>
          <w:szCs w:val="20"/>
          <w:lang w:val="en-US" w:eastAsia="es-ES" w:bidi="es-ES"/>
        </w:rPr>
        <w:t xml:space="preserve">investigations and proceedings on violence against women and girls, including sexual violence </w:t>
      </w:r>
      <w:r w:rsidR="00AE76E8" w:rsidRPr="00785D06">
        <w:rPr>
          <w:rFonts w:eastAsia="Times New Roman"/>
          <w:sz w:val="20"/>
          <w:szCs w:val="20"/>
          <w:lang w:val="en-US" w:eastAsia="es-ES" w:bidi="es-ES"/>
        </w:rPr>
        <w:t xml:space="preserve">committed </w:t>
      </w:r>
      <w:r w:rsidRPr="00785D06">
        <w:rPr>
          <w:rFonts w:eastAsia="Times New Roman"/>
          <w:sz w:val="20"/>
          <w:szCs w:val="20"/>
          <w:lang w:val="en-US" w:eastAsia="es-ES" w:bidi="es-ES"/>
        </w:rPr>
        <w:t xml:space="preserve">in schools and in health </w:t>
      </w:r>
      <w:r w:rsidR="00CE6018" w:rsidRPr="00785D06">
        <w:rPr>
          <w:rFonts w:eastAsia="Times New Roman"/>
          <w:sz w:val="20"/>
          <w:szCs w:val="20"/>
          <w:lang w:val="en-US" w:eastAsia="es-ES" w:bidi="es-ES"/>
        </w:rPr>
        <w:t xml:space="preserve">care </w:t>
      </w:r>
      <w:r w:rsidRPr="00785D06">
        <w:rPr>
          <w:rFonts w:eastAsia="Times New Roman"/>
          <w:sz w:val="20"/>
          <w:szCs w:val="20"/>
          <w:lang w:val="en-US" w:eastAsia="es-ES" w:bidi="es-ES"/>
        </w:rPr>
        <w:t xml:space="preserve">services provided in </w:t>
      </w:r>
      <w:r w:rsidR="00CE6018" w:rsidRPr="00785D06">
        <w:rPr>
          <w:rFonts w:eastAsia="Times New Roman"/>
          <w:sz w:val="20"/>
          <w:szCs w:val="20"/>
          <w:lang w:val="en-US" w:eastAsia="es-ES" w:bidi="es-ES"/>
        </w:rPr>
        <w:t xml:space="preserve">educational </w:t>
      </w:r>
      <w:r w:rsidRPr="00785D06">
        <w:rPr>
          <w:rFonts w:eastAsia="Times New Roman"/>
          <w:sz w:val="20"/>
          <w:szCs w:val="20"/>
          <w:lang w:val="en-US" w:eastAsia="es-ES" w:bidi="es-ES"/>
        </w:rPr>
        <w:t>institutions</w:t>
      </w:r>
      <w:r w:rsidR="00CE6018" w:rsidRPr="00785D06">
        <w:rPr>
          <w:rFonts w:eastAsia="Times New Roman"/>
          <w:sz w:val="20"/>
          <w:szCs w:val="20"/>
          <w:lang w:val="en-US" w:eastAsia="es-ES" w:bidi="es-ES"/>
        </w:rPr>
        <w:t>, receive</w:t>
      </w:r>
      <w:r w:rsidRPr="00785D06">
        <w:rPr>
          <w:rFonts w:eastAsia="Times New Roman"/>
          <w:sz w:val="20"/>
          <w:szCs w:val="20"/>
          <w:lang w:val="en-US" w:eastAsia="es-ES" w:bidi="es-ES"/>
        </w:rPr>
        <w:t xml:space="preserve"> appropriate training and institutional strengthening to investigate </w:t>
      </w:r>
      <w:r w:rsidR="00CE6018" w:rsidRPr="00785D06">
        <w:rPr>
          <w:rFonts w:eastAsia="Times New Roman"/>
          <w:sz w:val="20"/>
          <w:szCs w:val="20"/>
          <w:lang w:val="en-US" w:eastAsia="es-ES" w:bidi="es-ES"/>
        </w:rPr>
        <w:t xml:space="preserve">these matters </w:t>
      </w:r>
      <w:r w:rsidRPr="00785D06">
        <w:rPr>
          <w:rFonts w:eastAsia="Times New Roman"/>
          <w:sz w:val="20"/>
          <w:szCs w:val="20"/>
          <w:lang w:val="en-US" w:eastAsia="es-ES" w:bidi="es-ES"/>
        </w:rPr>
        <w:t xml:space="preserve">with </w:t>
      </w:r>
      <w:r w:rsidR="00CE6018" w:rsidRPr="00785D06">
        <w:rPr>
          <w:rFonts w:eastAsia="Times New Roman"/>
          <w:sz w:val="20"/>
          <w:szCs w:val="20"/>
          <w:lang w:val="en-US" w:eastAsia="es-ES" w:bidi="es-ES"/>
        </w:rPr>
        <w:t xml:space="preserve">a </w:t>
      </w:r>
      <w:r w:rsidRPr="00785D06">
        <w:rPr>
          <w:rFonts w:eastAsia="Times New Roman"/>
          <w:sz w:val="20"/>
          <w:szCs w:val="20"/>
          <w:lang w:val="en-US" w:eastAsia="es-ES" w:bidi="es-ES"/>
        </w:rPr>
        <w:t>gender perspective and with due diligence</w:t>
      </w:r>
      <w:r w:rsidR="00325376" w:rsidRPr="00785D06">
        <w:rPr>
          <w:rFonts w:eastAsia="Times New Roman"/>
          <w:sz w:val="20"/>
          <w:szCs w:val="20"/>
          <w:lang w:val="en-US" w:eastAsia="es-ES" w:bidi="es-ES"/>
        </w:rPr>
        <w:t>.”</w:t>
      </w:r>
    </w:p>
    <w:p w14:paraId="6E523DE7" w14:textId="77777777" w:rsidR="00C254BF" w:rsidRPr="00785D06" w:rsidRDefault="00C254BF" w:rsidP="00C254BF">
      <w:pPr>
        <w:pStyle w:val="Prrafodelista"/>
        <w:ind w:left="0"/>
        <w:contextualSpacing w:val="0"/>
        <w:jc w:val="both"/>
        <w:rPr>
          <w:sz w:val="20"/>
          <w:szCs w:val="20"/>
          <w:lang w:val="en-US"/>
        </w:rPr>
      </w:pPr>
    </w:p>
    <w:p w14:paraId="641DB656"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 xml:space="preserve">The </w:t>
      </w:r>
      <w:r w:rsidRPr="00785D06">
        <w:rPr>
          <w:rFonts w:eastAsia="Times New Roman"/>
          <w:b/>
          <w:i/>
          <w:sz w:val="20"/>
          <w:szCs w:val="20"/>
          <w:lang w:val="en-US" w:eastAsia="es-ES" w:bidi="es-ES"/>
        </w:rPr>
        <w:t xml:space="preserve">representatives </w:t>
      </w:r>
      <w:r w:rsidRPr="00785D06">
        <w:rPr>
          <w:rFonts w:eastAsia="Times New Roman"/>
          <w:sz w:val="20"/>
          <w:szCs w:val="20"/>
          <w:lang w:val="en-US" w:eastAsia="es-ES" w:bidi="es-ES"/>
        </w:rPr>
        <w:t xml:space="preserve">requested </w:t>
      </w:r>
      <w:r w:rsidR="00373B4B" w:rsidRPr="00785D06">
        <w:rPr>
          <w:rFonts w:eastAsia="Times New Roman"/>
          <w:sz w:val="20"/>
          <w:szCs w:val="20"/>
          <w:lang w:val="en-US" w:eastAsia="es-ES" w:bidi="es-ES"/>
        </w:rPr>
        <w:t xml:space="preserve">the following </w:t>
      </w:r>
      <w:r w:rsidRPr="00785D06">
        <w:rPr>
          <w:rFonts w:eastAsia="Times New Roman"/>
          <w:sz w:val="20"/>
          <w:szCs w:val="20"/>
          <w:lang w:val="en-US" w:eastAsia="es-ES" w:bidi="es-ES"/>
        </w:rPr>
        <w:t xml:space="preserve">additional measures </w:t>
      </w:r>
      <w:r w:rsidR="002F1159" w:rsidRPr="00785D06">
        <w:rPr>
          <w:rFonts w:eastAsia="Times New Roman"/>
          <w:sz w:val="20"/>
          <w:szCs w:val="20"/>
          <w:lang w:val="en-US" w:eastAsia="es-ES" w:bidi="es-ES"/>
        </w:rPr>
        <w:t xml:space="preserve">for </w:t>
      </w:r>
      <w:r w:rsidRPr="00785D06">
        <w:rPr>
          <w:rFonts w:eastAsia="Times New Roman"/>
          <w:sz w:val="20"/>
          <w:szCs w:val="20"/>
          <w:lang w:val="en-US" w:eastAsia="es-ES" w:bidi="es-ES"/>
        </w:rPr>
        <w:t xml:space="preserve">the “social rehabilitation” of Paola’s mother and sister: 1) provide Denisse </w:t>
      </w:r>
      <w:r w:rsidR="006B0110" w:rsidRPr="00785D06">
        <w:rPr>
          <w:rFonts w:eastAsia="Times New Roman"/>
          <w:sz w:val="20"/>
          <w:szCs w:val="20"/>
          <w:lang w:val="en-US" w:eastAsia="es-ES" w:bidi="es-ES"/>
        </w:rPr>
        <w:t xml:space="preserve">with </w:t>
      </w:r>
      <w:r w:rsidRPr="00785D06">
        <w:rPr>
          <w:rFonts w:eastAsia="Times New Roman"/>
          <w:sz w:val="20"/>
          <w:szCs w:val="20"/>
          <w:lang w:val="en-US" w:eastAsia="es-ES" w:bidi="es-ES"/>
        </w:rPr>
        <w:t xml:space="preserve">a </w:t>
      </w:r>
      <w:r w:rsidR="006B0110" w:rsidRPr="00785D06">
        <w:rPr>
          <w:rFonts w:eastAsia="Times New Roman"/>
          <w:sz w:val="20"/>
          <w:szCs w:val="20"/>
          <w:lang w:val="en-US" w:eastAsia="es-ES" w:bidi="es-ES"/>
        </w:rPr>
        <w:t xml:space="preserve">scholarship </w:t>
      </w:r>
      <w:r w:rsidRPr="00785D06">
        <w:rPr>
          <w:rFonts w:eastAsia="Times New Roman"/>
          <w:sz w:val="20"/>
          <w:szCs w:val="20"/>
          <w:lang w:val="en-US" w:eastAsia="es-ES" w:bidi="es-ES"/>
        </w:rPr>
        <w:t xml:space="preserve">for university or post graduate studies of her choice, </w:t>
      </w:r>
      <w:r w:rsidR="006B0110" w:rsidRPr="00785D06">
        <w:rPr>
          <w:rFonts w:eastAsia="Times New Roman"/>
          <w:sz w:val="20"/>
          <w:szCs w:val="20"/>
          <w:lang w:val="en-US" w:eastAsia="es-ES" w:bidi="es-ES"/>
        </w:rPr>
        <w:t xml:space="preserve">covering </w:t>
      </w:r>
      <w:r w:rsidRPr="00785D06">
        <w:rPr>
          <w:rFonts w:eastAsia="Times New Roman"/>
          <w:sz w:val="20"/>
          <w:szCs w:val="20"/>
          <w:lang w:val="en-US" w:eastAsia="es-ES" w:bidi="es-ES"/>
        </w:rPr>
        <w:t xml:space="preserve">her enrolment, monthly fees, </w:t>
      </w:r>
      <w:r w:rsidR="00CE6018" w:rsidRPr="00785D06">
        <w:rPr>
          <w:rFonts w:eastAsia="Times New Roman"/>
          <w:sz w:val="20"/>
          <w:szCs w:val="20"/>
          <w:lang w:val="en-US" w:eastAsia="es-ES" w:bidi="es-ES"/>
        </w:rPr>
        <w:t xml:space="preserve">course materials </w:t>
      </w:r>
      <w:r w:rsidRPr="00785D06">
        <w:rPr>
          <w:rFonts w:eastAsia="Times New Roman"/>
          <w:sz w:val="20"/>
          <w:szCs w:val="20"/>
          <w:lang w:val="en-US" w:eastAsia="es-ES" w:bidi="es-ES"/>
        </w:rPr>
        <w:t>and tra</w:t>
      </w:r>
      <w:r w:rsidR="006B0110" w:rsidRPr="00785D06">
        <w:rPr>
          <w:rFonts w:eastAsia="Times New Roman"/>
          <w:sz w:val="20"/>
          <w:szCs w:val="20"/>
          <w:lang w:val="en-US" w:eastAsia="es-ES" w:bidi="es-ES"/>
        </w:rPr>
        <w:t>vel</w:t>
      </w:r>
      <w:r w:rsidR="00CE08CE" w:rsidRPr="00785D06">
        <w:rPr>
          <w:rFonts w:eastAsia="Times New Roman"/>
          <w:sz w:val="20"/>
          <w:szCs w:val="20"/>
          <w:lang w:val="en-US" w:eastAsia="es-ES" w:bidi="es-ES"/>
        </w:rPr>
        <w:t xml:space="preserve"> expenses</w:t>
      </w:r>
      <w:r w:rsidRPr="00785D06">
        <w:rPr>
          <w:rFonts w:eastAsia="Times New Roman"/>
          <w:sz w:val="20"/>
          <w:szCs w:val="20"/>
          <w:lang w:val="en-US" w:eastAsia="es-ES" w:bidi="es-ES"/>
        </w:rPr>
        <w:t xml:space="preserve">, </w:t>
      </w:r>
      <w:r w:rsidR="00373B4B" w:rsidRPr="00785D06">
        <w:rPr>
          <w:rFonts w:eastAsia="Times New Roman"/>
          <w:sz w:val="20"/>
          <w:szCs w:val="20"/>
          <w:lang w:val="en-US" w:eastAsia="es-ES" w:bidi="es-ES"/>
        </w:rPr>
        <w:t xml:space="preserve">plus </w:t>
      </w:r>
      <w:r w:rsidRPr="00785D06">
        <w:rPr>
          <w:rFonts w:eastAsia="Times New Roman"/>
          <w:sz w:val="20"/>
          <w:szCs w:val="20"/>
          <w:lang w:val="en-US" w:eastAsia="es-ES" w:bidi="es-ES"/>
        </w:rPr>
        <w:t xml:space="preserve">attendance at </w:t>
      </w:r>
      <w:r w:rsidR="00342521" w:rsidRPr="00785D06">
        <w:rPr>
          <w:rFonts w:eastAsia="Times New Roman"/>
          <w:sz w:val="20"/>
          <w:szCs w:val="20"/>
          <w:lang w:val="en-US" w:eastAsia="es-ES" w:bidi="es-ES"/>
        </w:rPr>
        <w:t xml:space="preserve">additional </w:t>
      </w:r>
      <w:r w:rsidRPr="00785D06">
        <w:rPr>
          <w:rFonts w:eastAsia="Times New Roman"/>
          <w:sz w:val="20"/>
          <w:szCs w:val="20"/>
          <w:lang w:val="en-US" w:eastAsia="es-ES" w:bidi="es-ES"/>
        </w:rPr>
        <w:t>con</w:t>
      </w:r>
      <w:r w:rsidR="006B0110" w:rsidRPr="00785D06">
        <w:rPr>
          <w:rFonts w:eastAsia="Times New Roman"/>
          <w:sz w:val="20"/>
          <w:szCs w:val="20"/>
          <w:lang w:val="en-US" w:eastAsia="es-ES" w:bidi="es-ES"/>
        </w:rPr>
        <w:t xml:space="preserve">ferences </w:t>
      </w:r>
      <w:r w:rsidRPr="00785D06">
        <w:rPr>
          <w:rFonts w:eastAsia="Times New Roman"/>
          <w:sz w:val="20"/>
          <w:szCs w:val="20"/>
          <w:lang w:val="en-US" w:eastAsia="es-ES" w:bidi="es-ES"/>
        </w:rPr>
        <w:t>and courses</w:t>
      </w:r>
      <w:r w:rsidR="00342521" w:rsidRPr="00785D06">
        <w:rPr>
          <w:rFonts w:eastAsia="Times New Roman"/>
          <w:sz w:val="20"/>
          <w:szCs w:val="20"/>
          <w:lang w:val="en-US" w:eastAsia="es-ES" w:bidi="es-ES"/>
        </w:rPr>
        <w:t>, if available,</w:t>
      </w:r>
      <w:r w:rsidRPr="00785D06">
        <w:rPr>
          <w:rFonts w:eastAsia="Times New Roman"/>
          <w:sz w:val="20"/>
          <w:szCs w:val="20"/>
          <w:lang w:val="en-US" w:eastAsia="es-ES" w:bidi="es-ES"/>
        </w:rPr>
        <w:t xml:space="preserve"> </w:t>
      </w:r>
      <w:r w:rsidR="00342521" w:rsidRPr="00785D06">
        <w:rPr>
          <w:rFonts w:eastAsia="Times New Roman"/>
          <w:sz w:val="20"/>
          <w:szCs w:val="20"/>
          <w:lang w:val="en-US" w:eastAsia="es-ES" w:bidi="es-ES"/>
        </w:rPr>
        <w:t xml:space="preserve">through the </w:t>
      </w:r>
      <w:r w:rsidRPr="00785D06">
        <w:rPr>
          <w:rFonts w:eastAsia="Times New Roman"/>
          <w:sz w:val="20"/>
          <w:szCs w:val="20"/>
          <w:lang w:val="en-US" w:eastAsia="es-ES" w:bidi="es-ES"/>
        </w:rPr>
        <w:t>Ecu</w:t>
      </w:r>
      <w:r w:rsidR="00342521" w:rsidRPr="00785D06">
        <w:rPr>
          <w:rFonts w:eastAsia="Times New Roman"/>
          <w:sz w:val="20"/>
          <w:szCs w:val="20"/>
          <w:lang w:val="en-US" w:eastAsia="es-ES" w:bidi="es-ES"/>
        </w:rPr>
        <w:t xml:space="preserve">adorian Institute </w:t>
      </w:r>
      <w:r w:rsidR="00CE6018" w:rsidRPr="00785D06">
        <w:rPr>
          <w:rFonts w:eastAsia="Times New Roman"/>
          <w:sz w:val="20"/>
          <w:szCs w:val="20"/>
          <w:lang w:val="en-US" w:eastAsia="es-ES" w:bidi="es-ES"/>
        </w:rPr>
        <w:t xml:space="preserve">of </w:t>
      </w:r>
      <w:r w:rsidRPr="00785D06">
        <w:rPr>
          <w:rFonts w:eastAsia="Times New Roman"/>
          <w:sz w:val="20"/>
          <w:szCs w:val="20"/>
          <w:lang w:val="en-US" w:eastAsia="es-ES" w:bidi="es-ES"/>
        </w:rPr>
        <w:t>Educati</w:t>
      </w:r>
      <w:r w:rsidR="00CE6018" w:rsidRPr="00785D06">
        <w:rPr>
          <w:rFonts w:eastAsia="Times New Roman"/>
          <w:sz w:val="20"/>
          <w:szCs w:val="20"/>
          <w:lang w:val="en-US" w:eastAsia="es-ES" w:bidi="es-ES"/>
        </w:rPr>
        <w:t xml:space="preserve">onal Credit </w:t>
      </w:r>
      <w:r w:rsidRPr="00785D06">
        <w:rPr>
          <w:rFonts w:eastAsia="Times New Roman"/>
          <w:sz w:val="20"/>
          <w:szCs w:val="20"/>
          <w:lang w:val="en-US" w:eastAsia="es-ES" w:bidi="es-ES"/>
        </w:rPr>
        <w:t xml:space="preserve">and Scholarships (hereinafter, “IECE”), </w:t>
      </w:r>
      <w:r w:rsidR="00CE08CE" w:rsidRPr="00785D06">
        <w:rPr>
          <w:rFonts w:eastAsia="Times New Roman"/>
          <w:sz w:val="20"/>
          <w:szCs w:val="20"/>
          <w:lang w:val="en-US" w:eastAsia="es-ES" w:bidi="es-ES"/>
        </w:rPr>
        <w:t xml:space="preserve">at </w:t>
      </w:r>
      <w:r w:rsidRPr="00785D06">
        <w:rPr>
          <w:rFonts w:eastAsia="Times New Roman"/>
          <w:sz w:val="20"/>
          <w:szCs w:val="20"/>
          <w:lang w:val="en-US" w:eastAsia="es-ES" w:bidi="es-ES"/>
        </w:rPr>
        <w:t xml:space="preserve">the public or private </w:t>
      </w:r>
      <w:r w:rsidR="00CE6018" w:rsidRPr="00785D06">
        <w:rPr>
          <w:rFonts w:eastAsia="Times New Roman"/>
          <w:sz w:val="20"/>
          <w:szCs w:val="20"/>
          <w:lang w:val="en-US" w:eastAsia="es-ES" w:bidi="es-ES"/>
        </w:rPr>
        <w:t xml:space="preserve">educational </w:t>
      </w:r>
      <w:r w:rsidR="00CE08CE" w:rsidRPr="00785D06">
        <w:rPr>
          <w:rFonts w:eastAsia="Times New Roman"/>
          <w:sz w:val="20"/>
          <w:szCs w:val="20"/>
          <w:lang w:val="en-US" w:eastAsia="es-ES" w:bidi="es-ES"/>
        </w:rPr>
        <w:t xml:space="preserve">institution </w:t>
      </w:r>
      <w:r w:rsidRPr="00785D06">
        <w:rPr>
          <w:rFonts w:eastAsia="Times New Roman"/>
          <w:sz w:val="20"/>
          <w:szCs w:val="20"/>
          <w:lang w:val="en-US" w:eastAsia="es-ES" w:bidi="es-ES"/>
        </w:rPr>
        <w:t xml:space="preserve">of her choice, </w:t>
      </w:r>
      <w:r w:rsidR="006B0110" w:rsidRPr="00785D06">
        <w:rPr>
          <w:rFonts w:eastAsia="Times New Roman"/>
          <w:sz w:val="20"/>
          <w:szCs w:val="20"/>
          <w:lang w:val="en-US" w:eastAsia="es-ES" w:bidi="es-ES"/>
        </w:rPr>
        <w:t xml:space="preserve">according to </w:t>
      </w:r>
      <w:r w:rsidR="00CE6018" w:rsidRPr="00785D06">
        <w:rPr>
          <w:rFonts w:eastAsia="Times New Roman"/>
          <w:sz w:val="20"/>
          <w:szCs w:val="20"/>
          <w:lang w:val="en-US" w:eastAsia="es-ES" w:bidi="es-ES"/>
        </w:rPr>
        <w:t>her</w:t>
      </w:r>
      <w:r w:rsidRPr="00785D06">
        <w:rPr>
          <w:rFonts w:eastAsia="Times New Roman"/>
          <w:sz w:val="20"/>
          <w:szCs w:val="20"/>
          <w:lang w:val="en-US" w:eastAsia="es-ES" w:bidi="es-ES"/>
        </w:rPr>
        <w:t xml:space="preserve"> personal interests, and for the </w:t>
      </w:r>
      <w:r w:rsidR="00CE6018" w:rsidRPr="00785D06">
        <w:rPr>
          <w:rFonts w:eastAsia="Times New Roman"/>
          <w:sz w:val="20"/>
          <w:szCs w:val="20"/>
          <w:lang w:val="en-US" w:eastAsia="es-ES" w:bidi="es-ES"/>
        </w:rPr>
        <w:t>entire duration of the course</w:t>
      </w:r>
      <w:r w:rsidRPr="00785D06">
        <w:rPr>
          <w:rFonts w:eastAsia="Times New Roman"/>
          <w:sz w:val="20"/>
          <w:szCs w:val="20"/>
          <w:lang w:val="en-US" w:eastAsia="es-ES" w:bidi="es-ES"/>
        </w:rPr>
        <w:t xml:space="preserve">; 2) guarantee </w:t>
      </w:r>
      <w:r w:rsidR="00CE08CE" w:rsidRPr="00785D06">
        <w:rPr>
          <w:rFonts w:eastAsia="Times New Roman"/>
          <w:sz w:val="20"/>
          <w:szCs w:val="20"/>
          <w:lang w:val="en-US" w:eastAsia="es-ES" w:bidi="es-ES"/>
        </w:rPr>
        <w:t xml:space="preserve">Mrs. Petita Albarracín’s </w:t>
      </w:r>
      <w:r w:rsidR="00262D17" w:rsidRPr="00785D06">
        <w:rPr>
          <w:rFonts w:eastAsia="Times New Roman"/>
          <w:sz w:val="20"/>
          <w:szCs w:val="20"/>
          <w:lang w:val="en-US" w:eastAsia="es-ES" w:bidi="es-ES"/>
        </w:rPr>
        <w:t>access to social security,</w:t>
      </w:r>
      <w:r w:rsidRPr="00785D06">
        <w:rPr>
          <w:rFonts w:eastAsia="Times New Roman"/>
          <w:sz w:val="20"/>
          <w:szCs w:val="20"/>
          <w:lang w:val="en-US" w:eastAsia="es-ES" w:bidi="es-ES"/>
        </w:rPr>
        <w:t xml:space="preserve"> with retroactive effect </w:t>
      </w:r>
      <w:r w:rsidR="00262D17" w:rsidRPr="00785D06">
        <w:rPr>
          <w:rFonts w:eastAsia="Times New Roman"/>
          <w:sz w:val="20"/>
          <w:szCs w:val="20"/>
          <w:lang w:val="en-US" w:eastAsia="es-ES" w:bidi="es-ES"/>
        </w:rPr>
        <w:t>from 2002</w:t>
      </w:r>
      <w:r w:rsidRPr="00785D06">
        <w:rPr>
          <w:rFonts w:eastAsia="Times New Roman"/>
          <w:sz w:val="20"/>
          <w:szCs w:val="20"/>
          <w:lang w:val="en-US" w:eastAsia="es-ES" w:bidi="es-ES"/>
        </w:rPr>
        <w:t xml:space="preserve"> and</w:t>
      </w:r>
      <w:r w:rsidR="00262D17" w:rsidRPr="00785D06">
        <w:rPr>
          <w:rFonts w:eastAsia="Times New Roman"/>
          <w:sz w:val="20"/>
          <w:szCs w:val="20"/>
          <w:lang w:val="en-US" w:eastAsia="es-ES" w:bidi="es-ES"/>
        </w:rPr>
        <w:t>,</w:t>
      </w:r>
      <w:r w:rsidRPr="00785D06">
        <w:rPr>
          <w:rFonts w:eastAsia="Times New Roman"/>
          <w:sz w:val="20"/>
          <w:szCs w:val="20"/>
          <w:lang w:val="en-US" w:eastAsia="es-ES" w:bidi="es-ES"/>
        </w:rPr>
        <w:t xml:space="preserve"> </w:t>
      </w:r>
      <w:r w:rsidR="00262D17" w:rsidRPr="00785D06">
        <w:rPr>
          <w:rFonts w:eastAsia="Times New Roman"/>
          <w:sz w:val="20"/>
          <w:szCs w:val="20"/>
          <w:lang w:val="en-US" w:eastAsia="es-ES" w:bidi="es-ES"/>
        </w:rPr>
        <w:t>in particular</w:t>
      </w:r>
      <w:r w:rsidRPr="00785D06">
        <w:rPr>
          <w:rFonts w:eastAsia="Times New Roman"/>
          <w:sz w:val="20"/>
          <w:szCs w:val="20"/>
          <w:lang w:val="en-US" w:eastAsia="es-ES" w:bidi="es-ES"/>
        </w:rPr>
        <w:t xml:space="preserve">, </w:t>
      </w:r>
      <w:r w:rsidR="00262D17" w:rsidRPr="00785D06">
        <w:rPr>
          <w:rFonts w:eastAsia="Times New Roman"/>
          <w:sz w:val="20"/>
          <w:szCs w:val="20"/>
          <w:lang w:val="en-US" w:eastAsia="es-ES" w:bidi="es-ES"/>
        </w:rPr>
        <w:t xml:space="preserve">ensure </w:t>
      </w:r>
      <w:r w:rsidRPr="00785D06">
        <w:rPr>
          <w:rFonts w:eastAsia="Times New Roman"/>
          <w:sz w:val="20"/>
          <w:szCs w:val="20"/>
          <w:lang w:val="en-US" w:eastAsia="es-ES" w:bidi="es-ES"/>
        </w:rPr>
        <w:t>cover</w:t>
      </w:r>
      <w:r w:rsidR="00262D17" w:rsidRPr="00785D06">
        <w:rPr>
          <w:rFonts w:eastAsia="Times New Roman"/>
          <w:sz w:val="20"/>
          <w:szCs w:val="20"/>
          <w:lang w:val="en-US" w:eastAsia="es-ES" w:bidi="es-ES"/>
        </w:rPr>
        <w:t>age of</w:t>
      </w:r>
      <w:r w:rsidRPr="00785D06">
        <w:rPr>
          <w:rFonts w:eastAsia="Times New Roman"/>
          <w:sz w:val="20"/>
          <w:szCs w:val="20"/>
          <w:lang w:val="en-US" w:eastAsia="es-ES" w:bidi="es-ES"/>
        </w:rPr>
        <w:t xml:space="preserve"> her retirement pension and funeral services; 3) </w:t>
      </w:r>
      <w:r w:rsidR="00373B4B" w:rsidRPr="00785D06">
        <w:rPr>
          <w:rFonts w:eastAsia="Times New Roman"/>
          <w:sz w:val="20"/>
          <w:szCs w:val="20"/>
          <w:lang w:val="en-US" w:eastAsia="es-ES" w:bidi="es-ES"/>
        </w:rPr>
        <w:t xml:space="preserve">offer </w:t>
      </w:r>
      <w:r w:rsidRPr="00785D06">
        <w:rPr>
          <w:rFonts w:eastAsia="Times New Roman"/>
          <w:sz w:val="20"/>
          <w:szCs w:val="20"/>
          <w:lang w:val="en-US" w:eastAsia="es-ES" w:bidi="es-ES"/>
        </w:rPr>
        <w:t>Denisse a permanent job in one of the State institutions</w:t>
      </w:r>
      <w:r w:rsidR="00CC6293" w:rsidRPr="00785D06">
        <w:rPr>
          <w:rFonts w:eastAsia="Times New Roman"/>
          <w:sz w:val="20"/>
          <w:szCs w:val="20"/>
          <w:lang w:val="en-US" w:eastAsia="es-ES" w:bidi="es-ES"/>
        </w:rPr>
        <w:t xml:space="preserve">, </w:t>
      </w:r>
      <w:r w:rsidR="00373B4B" w:rsidRPr="00785D06">
        <w:rPr>
          <w:rFonts w:eastAsia="Times New Roman"/>
          <w:sz w:val="20"/>
          <w:szCs w:val="20"/>
          <w:lang w:val="en-US" w:eastAsia="es-ES" w:bidi="es-ES"/>
        </w:rPr>
        <w:t xml:space="preserve">appropriate to </w:t>
      </w:r>
      <w:r w:rsidRPr="00785D06">
        <w:rPr>
          <w:rFonts w:eastAsia="Times New Roman"/>
          <w:sz w:val="20"/>
          <w:szCs w:val="20"/>
          <w:lang w:val="en-US" w:eastAsia="es-ES" w:bidi="es-ES"/>
        </w:rPr>
        <w:t xml:space="preserve">her professional profile (business administration), </w:t>
      </w:r>
      <w:r w:rsidR="00CC6293" w:rsidRPr="00785D06">
        <w:rPr>
          <w:rFonts w:eastAsia="Times New Roman"/>
          <w:sz w:val="20"/>
          <w:szCs w:val="20"/>
          <w:lang w:val="en-US" w:eastAsia="es-ES" w:bidi="es-ES"/>
        </w:rPr>
        <w:t xml:space="preserve">and preferably </w:t>
      </w:r>
      <w:r w:rsidRPr="00785D06">
        <w:rPr>
          <w:rFonts w:eastAsia="Times New Roman"/>
          <w:sz w:val="20"/>
          <w:szCs w:val="20"/>
          <w:lang w:val="en-US" w:eastAsia="es-ES" w:bidi="es-ES"/>
        </w:rPr>
        <w:t xml:space="preserve">in the National </w:t>
      </w:r>
      <w:r w:rsidR="006B0110" w:rsidRPr="00785D06">
        <w:rPr>
          <w:rFonts w:eastAsia="Times New Roman"/>
          <w:sz w:val="20"/>
          <w:szCs w:val="20"/>
          <w:lang w:val="en-US" w:eastAsia="es-ES" w:bidi="es-ES"/>
        </w:rPr>
        <w:t xml:space="preserve">Secretariat </w:t>
      </w:r>
      <w:r w:rsidRPr="00785D06">
        <w:rPr>
          <w:rFonts w:eastAsia="Times New Roman"/>
          <w:sz w:val="20"/>
          <w:szCs w:val="20"/>
          <w:lang w:val="en-US" w:eastAsia="es-ES" w:bidi="es-ES"/>
        </w:rPr>
        <w:t>of Human Rights in Guayaquil</w:t>
      </w:r>
      <w:r w:rsidR="005E3961" w:rsidRPr="00785D06">
        <w:rPr>
          <w:rFonts w:eastAsia="Times New Roman"/>
          <w:sz w:val="20"/>
          <w:szCs w:val="20"/>
          <w:lang w:val="en-US" w:eastAsia="es-ES" w:bidi="es-ES"/>
        </w:rPr>
        <w:t>;</w:t>
      </w:r>
      <w:r w:rsidRPr="00785D06">
        <w:rPr>
          <w:rStyle w:val="Refdenotaalpie"/>
          <w:rFonts w:eastAsia="Times New Roman"/>
          <w:sz w:val="20"/>
          <w:szCs w:val="20"/>
          <w:lang w:val="en-US" w:eastAsia="es-ES" w:bidi="es-ES"/>
        </w:rPr>
        <w:footnoteReference w:id="227"/>
      </w:r>
      <w:r w:rsidRPr="00785D06">
        <w:rPr>
          <w:rFonts w:eastAsia="Times New Roman"/>
          <w:sz w:val="20"/>
          <w:szCs w:val="20"/>
          <w:lang w:val="en-US" w:eastAsia="es-ES" w:bidi="es-ES"/>
        </w:rPr>
        <w:t xml:space="preserve"> 4) </w:t>
      </w:r>
      <w:r w:rsidR="00CC6293" w:rsidRPr="00785D06">
        <w:rPr>
          <w:rFonts w:eastAsia="Times New Roman"/>
          <w:sz w:val="20"/>
          <w:szCs w:val="20"/>
          <w:lang w:val="en-US" w:eastAsia="es-ES" w:bidi="es-ES"/>
        </w:rPr>
        <w:t xml:space="preserve">ensure that the </w:t>
      </w:r>
      <w:r w:rsidRPr="00785D06">
        <w:rPr>
          <w:rFonts w:eastAsia="Times New Roman"/>
          <w:sz w:val="20"/>
          <w:szCs w:val="20"/>
          <w:lang w:val="en-US" w:eastAsia="es-ES" w:bidi="es-ES"/>
        </w:rPr>
        <w:t>victims</w:t>
      </w:r>
      <w:r w:rsidR="00CC6293" w:rsidRPr="00785D06">
        <w:rPr>
          <w:rFonts w:eastAsia="Times New Roman"/>
          <w:sz w:val="20"/>
          <w:szCs w:val="20"/>
          <w:lang w:val="en-US" w:eastAsia="es-ES" w:bidi="es-ES"/>
        </w:rPr>
        <w:t xml:space="preserve"> have</w:t>
      </w:r>
      <w:r w:rsidRPr="00785D06">
        <w:rPr>
          <w:rFonts w:eastAsia="Times New Roman"/>
          <w:sz w:val="20"/>
          <w:szCs w:val="20"/>
          <w:lang w:val="en-US" w:eastAsia="es-ES" w:bidi="es-ES"/>
        </w:rPr>
        <w:t xml:space="preserve"> access to housing of their choice, i</w:t>
      </w:r>
      <w:r w:rsidR="005E3961" w:rsidRPr="00785D06">
        <w:rPr>
          <w:rFonts w:eastAsia="Times New Roman"/>
          <w:sz w:val="20"/>
          <w:szCs w:val="20"/>
          <w:lang w:val="en-US" w:eastAsia="es-ES" w:bidi="es-ES"/>
        </w:rPr>
        <w:t>n an area of</w:t>
      </w:r>
      <w:r w:rsidRPr="00785D06">
        <w:rPr>
          <w:rFonts w:eastAsia="Times New Roman"/>
          <w:sz w:val="20"/>
          <w:szCs w:val="20"/>
          <w:lang w:val="en-US" w:eastAsia="es-ES" w:bidi="es-ES"/>
        </w:rPr>
        <w:t xml:space="preserve"> Guayaquil </w:t>
      </w:r>
      <w:r w:rsidR="005E3961" w:rsidRPr="00785D06">
        <w:rPr>
          <w:rFonts w:eastAsia="Times New Roman"/>
          <w:sz w:val="20"/>
          <w:szCs w:val="20"/>
          <w:lang w:val="en-US" w:eastAsia="es-ES" w:bidi="es-ES"/>
        </w:rPr>
        <w:t>agreed with them</w:t>
      </w:r>
      <w:r w:rsidRPr="00785D06">
        <w:rPr>
          <w:rFonts w:eastAsia="Times New Roman"/>
          <w:sz w:val="20"/>
          <w:szCs w:val="20"/>
          <w:lang w:val="en-US" w:eastAsia="es-ES" w:bidi="es-ES"/>
        </w:rPr>
        <w:t xml:space="preserve">, </w:t>
      </w:r>
      <w:r w:rsidR="00CC6293" w:rsidRPr="00785D06">
        <w:rPr>
          <w:rFonts w:eastAsia="Times New Roman"/>
          <w:sz w:val="20"/>
          <w:szCs w:val="20"/>
          <w:lang w:val="en-US" w:eastAsia="es-ES" w:bidi="es-ES"/>
        </w:rPr>
        <w:t xml:space="preserve">with suitable </w:t>
      </w:r>
      <w:r w:rsidR="00262D17" w:rsidRPr="00785D06">
        <w:rPr>
          <w:rFonts w:eastAsia="Times New Roman"/>
          <w:sz w:val="20"/>
          <w:szCs w:val="20"/>
          <w:lang w:val="en-US" w:eastAsia="es-ES" w:bidi="es-ES"/>
        </w:rPr>
        <w:t xml:space="preserve">living </w:t>
      </w:r>
      <w:r w:rsidRPr="00785D06">
        <w:rPr>
          <w:rFonts w:eastAsia="Times New Roman"/>
          <w:sz w:val="20"/>
          <w:szCs w:val="20"/>
          <w:lang w:val="en-US" w:eastAsia="es-ES" w:bidi="es-ES"/>
        </w:rPr>
        <w:t>condi</w:t>
      </w:r>
      <w:r w:rsidR="006B0110" w:rsidRPr="00785D06">
        <w:rPr>
          <w:rFonts w:eastAsia="Times New Roman"/>
          <w:sz w:val="20"/>
          <w:szCs w:val="20"/>
          <w:lang w:val="en-US" w:eastAsia="es-ES" w:bidi="es-ES"/>
        </w:rPr>
        <w:t xml:space="preserve">tions of quality, safety </w:t>
      </w:r>
      <w:r w:rsidRPr="00785D06">
        <w:rPr>
          <w:rFonts w:eastAsia="Times New Roman"/>
          <w:sz w:val="20"/>
          <w:szCs w:val="20"/>
          <w:lang w:val="en-US" w:eastAsia="es-ES" w:bidi="es-ES"/>
        </w:rPr>
        <w:t>and hygiene; 5) ren</w:t>
      </w:r>
      <w:r w:rsidR="00342521" w:rsidRPr="00785D06">
        <w:rPr>
          <w:rFonts w:eastAsia="Times New Roman"/>
          <w:sz w:val="20"/>
          <w:szCs w:val="20"/>
          <w:lang w:val="en-US" w:eastAsia="es-ES" w:bidi="es-ES"/>
        </w:rPr>
        <w:t xml:space="preserve">ame </w:t>
      </w:r>
      <w:r w:rsidRPr="00785D06">
        <w:rPr>
          <w:rFonts w:eastAsia="Times New Roman"/>
          <w:sz w:val="20"/>
          <w:szCs w:val="20"/>
          <w:lang w:val="en-US" w:eastAsia="es-ES" w:bidi="es-ES"/>
        </w:rPr>
        <w:t xml:space="preserve">the </w:t>
      </w:r>
      <w:r w:rsidR="00626128" w:rsidRPr="00785D06">
        <w:rPr>
          <w:rFonts w:eastAsia="Times New Roman"/>
          <w:sz w:val="20"/>
          <w:szCs w:val="20"/>
          <w:lang w:val="en-US" w:eastAsia="es-ES" w:bidi="es-ES"/>
        </w:rPr>
        <w:t xml:space="preserve">Reception Room </w:t>
      </w:r>
      <w:r w:rsidR="00342521" w:rsidRPr="00785D06">
        <w:rPr>
          <w:rFonts w:eastAsia="Times New Roman"/>
          <w:sz w:val="20"/>
          <w:szCs w:val="20"/>
          <w:lang w:val="en-US" w:eastAsia="es-ES" w:bidi="es-ES"/>
        </w:rPr>
        <w:t xml:space="preserve">for victims of sexual violence </w:t>
      </w:r>
      <w:r w:rsidR="00626128" w:rsidRPr="00785D06">
        <w:rPr>
          <w:rFonts w:eastAsia="Times New Roman"/>
          <w:sz w:val="20"/>
          <w:szCs w:val="20"/>
          <w:lang w:val="en-US" w:eastAsia="es-ES" w:bidi="es-ES"/>
        </w:rPr>
        <w:t xml:space="preserve">at </w:t>
      </w:r>
      <w:r w:rsidR="00342521" w:rsidRPr="00785D06">
        <w:rPr>
          <w:rFonts w:eastAsia="Times New Roman"/>
          <w:sz w:val="20"/>
          <w:szCs w:val="20"/>
          <w:lang w:val="en-US" w:eastAsia="es-ES" w:bidi="es-ES"/>
        </w:rPr>
        <w:t xml:space="preserve">the </w:t>
      </w:r>
      <w:r w:rsidRPr="00785D06">
        <w:rPr>
          <w:rFonts w:eastAsia="Times New Roman"/>
          <w:sz w:val="20"/>
          <w:szCs w:val="20"/>
          <w:lang w:val="en-US" w:eastAsia="es-ES" w:bidi="es-ES"/>
        </w:rPr>
        <w:t xml:space="preserve">Martha Roldós </w:t>
      </w:r>
      <w:r w:rsidR="00373B4B" w:rsidRPr="00785D06">
        <w:rPr>
          <w:rFonts w:eastAsia="Times New Roman"/>
          <w:sz w:val="20"/>
          <w:szCs w:val="20"/>
          <w:lang w:val="en-US" w:eastAsia="es-ES" w:bidi="es-ES"/>
        </w:rPr>
        <w:t>Health Center in</w:t>
      </w:r>
      <w:r w:rsidR="00262D17" w:rsidRPr="00785D06">
        <w:rPr>
          <w:rFonts w:eastAsia="Times New Roman"/>
          <w:sz w:val="20"/>
          <w:szCs w:val="20"/>
          <w:lang w:val="en-US" w:eastAsia="es-ES" w:bidi="es-ES"/>
        </w:rPr>
        <w:t xml:space="preserve"> Area No. 9 </w:t>
      </w:r>
      <w:r w:rsidR="00373B4B" w:rsidRPr="00785D06">
        <w:rPr>
          <w:rFonts w:eastAsia="Times New Roman"/>
          <w:sz w:val="20"/>
          <w:szCs w:val="20"/>
          <w:lang w:val="en-US" w:eastAsia="es-ES" w:bidi="es-ES"/>
        </w:rPr>
        <w:t>of</w:t>
      </w:r>
      <w:r w:rsidRPr="00785D06">
        <w:rPr>
          <w:rFonts w:eastAsia="Times New Roman"/>
          <w:sz w:val="20"/>
          <w:szCs w:val="20"/>
          <w:lang w:val="en-US" w:eastAsia="es-ES" w:bidi="es-ES"/>
        </w:rPr>
        <w:t xml:space="preserve"> Guayaquil, </w:t>
      </w:r>
      <w:r w:rsidR="00373B4B" w:rsidRPr="00785D06">
        <w:rPr>
          <w:rFonts w:eastAsia="Times New Roman"/>
          <w:sz w:val="20"/>
          <w:szCs w:val="20"/>
          <w:lang w:val="en-US" w:eastAsia="es-ES" w:bidi="es-ES"/>
        </w:rPr>
        <w:t xml:space="preserve">using </w:t>
      </w:r>
      <w:r w:rsidRPr="00785D06">
        <w:rPr>
          <w:rFonts w:eastAsia="Times New Roman"/>
          <w:sz w:val="20"/>
          <w:szCs w:val="20"/>
          <w:lang w:val="en-US" w:eastAsia="es-ES" w:bidi="es-ES"/>
        </w:rPr>
        <w:t>the n</w:t>
      </w:r>
      <w:r w:rsidR="00262D17" w:rsidRPr="00785D06">
        <w:rPr>
          <w:rFonts w:eastAsia="Times New Roman"/>
          <w:sz w:val="20"/>
          <w:szCs w:val="20"/>
          <w:lang w:val="en-US" w:eastAsia="es-ES" w:bidi="es-ES"/>
        </w:rPr>
        <w:t>ame “Paola Guzmán Albarracín;</w:t>
      </w:r>
      <w:r w:rsidRPr="00785D06">
        <w:rPr>
          <w:rFonts w:eastAsia="Times New Roman"/>
          <w:sz w:val="20"/>
          <w:szCs w:val="20"/>
          <w:lang w:val="en-US" w:eastAsia="es-ES" w:bidi="es-ES"/>
        </w:rPr>
        <w:t xml:space="preserve">” </w:t>
      </w:r>
      <w:r w:rsidR="00262D17" w:rsidRPr="00785D06">
        <w:rPr>
          <w:rFonts w:eastAsia="Times New Roman"/>
          <w:sz w:val="20"/>
          <w:szCs w:val="20"/>
          <w:lang w:val="en-US" w:eastAsia="es-ES" w:bidi="es-ES"/>
        </w:rPr>
        <w:t xml:space="preserve">the wording of the </w:t>
      </w:r>
      <w:r w:rsidR="005B6470" w:rsidRPr="00785D06">
        <w:rPr>
          <w:rFonts w:eastAsia="Times New Roman"/>
          <w:sz w:val="20"/>
          <w:szCs w:val="20"/>
          <w:lang w:val="en-US" w:eastAsia="es-ES" w:bidi="es-ES"/>
        </w:rPr>
        <w:t xml:space="preserve">plaque must be </w:t>
      </w:r>
      <w:r w:rsidRPr="00785D06">
        <w:rPr>
          <w:rFonts w:eastAsia="Times New Roman"/>
          <w:sz w:val="20"/>
          <w:szCs w:val="20"/>
          <w:lang w:val="en-US" w:eastAsia="es-ES" w:bidi="es-ES"/>
        </w:rPr>
        <w:t>previously agree</w:t>
      </w:r>
      <w:r w:rsidR="005B6470" w:rsidRPr="00785D06">
        <w:rPr>
          <w:rFonts w:eastAsia="Times New Roman"/>
          <w:sz w:val="20"/>
          <w:szCs w:val="20"/>
          <w:lang w:val="en-US" w:eastAsia="es-ES" w:bidi="es-ES"/>
        </w:rPr>
        <w:t xml:space="preserve">d </w:t>
      </w:r>
      <w:r w:rsidRPr="00785D06">
        <w:rPr>
          <w:rFonts w:eastAsia="Times New Roman"/>
          <w:sz w:val="20"/>
          <w:szCs w:val="20"/>
          <w:lang w:val="en-US" w:eastAsia="es-ES" w:bidi="es-ES"/>
        </w:rPr>
        <w:t xml:space="preserve">with the petitioners, </w:t>
      </w:r>
      <w:r w:rsidR="00C62F7A" w:rsidRPr="00785D06">
        <w:rPr>
          <w:rFonts w:eastAsia="Times New Roman"/>
          <w:sz w:val="20"/>
          <w:szCs w:val="20"/>
          <w:lang w:val="en-US" w:eastAsia="es-ES" w:bidi="es-ES"/>
        </w:rPr>
        <w:t>and</w:t>
      </w:r>
      <w:r w:rsidRPr="00785D06">
        <w:rPr>
          <w:rFonts w:eastAsia="Times New Roman"/>
          <w:sz w:val="20"/>
          <w:szCs w:val="20"/>
          <w:lang w:val="en-US" w:eastAsia="es-ES" w:bidi="es-ES"/>
        </w:rPr>
        <w:t xml:space="preserve"> </w:t>
      </w:r>
      <w:r w:rsidR="00C62F7A" w:rsidRPr="00785D06">
        <w:rPr>
          <w:rFonts w:eastAsia="Times New Roman"/>
          <w:sz w:val="20"/>
          <w:szCs w:val="20"/>
          <w:lang w:val="en-US" w:eastAsia="es-ES" w:bidi="es-ES"/>
        </w:rPr>
        <w:t xml:space="preserve">the State must </w:t>
      </w:r>
      <w:r w:rsidR="005B6470" w:rsidRPr="00785D06">
        <w:rPr>
          <w:rFonts w:eastAsia="Times New Roman"/>
          <w:sz w:val="20"/>
          <w:szCs w:val="20"/>
          <w:lang w:val="en-US" w:eastAsia="es-ES" w:bidi="es-ES"/>
        </w:rPr>
        <w:t xml:space="preserve">include an </w:t>
      </w:r>
      <w:r w:rsidR="00C62F7A" w:rsidRPr="00785D06">
        <w:rPr>
          <w:rFonts w:eastAsia="Times New Roman"/>
          <w:sz w:val="20"/>
          <w:szCs w:val="20"/>
          <w:lang w:val="en-US" w:eastAsia="es-ES" w:bidi="es-ES"/>
        </w:rPr>
        <w:t>acknowledge</w:t>
      </w:r>
      <w:r w:rsidR="005B6470" w:rsidRPr="00785D06">
        <w:rPr>
          <w:rFonts w:eastAsia="Times New Roman"/>
          <w:sz w:val="20"/>
          <w:szCs w:val="20"/>
          <w:lang w:val="en-US" w:eastAsia="es-ES" w:bidi="es-ES"/>
        </w:rPr>
        <w:t>ment of</w:t>
      </w:r>
      <w:r w:rsidR="00C62F7A" w:rsidRPr="00785D06">
        <w:rPr>
          <w:rFonts w:eastAsia="Times New Roman"/>
          <w:sz w:val="20"/>
          <w:szCs w:val="20"/>
          <w:lang w:val="en-US" w:eastAsia="es-ES" w:bidi="es-ES"/>
        </w:rPr>
        <w:t xml:space="preserve"> </w:t>
      </w:r>
      <w:r w:rsidRPr="00785D06">
        <w:rPr>
          <w:rFonts w:eastAsia="Times New Roman"/>
          <w:sz w:val="20"/>
          <w:szCs w:val="20"/>
          <w:lang w:val="en-US" w:eastAsia="es-ES" w:bidi="es-ES"/>
        </w:rPr>
        <w:t>its responsibility for th</w:t>
      </w:r>
      <w:r w:rsidR="00373B4B" w:rsidRPr="00785D06">
        <w:rPr>
          <w:rFonts w:eastAsia="Times New Roman"/>
          <w:sz w:val="20"/>
          <w:szCs w:val="20"/>
          <w:lang w:val="en-US" w:eastAsia="es-ES" w:bidi="es-ES"/>
        </w:rPr>
        <w:t xml:space="preserve">e violations committed against Paola and her family, a </w:t>
      </w:r>
      <w:r w:rsidRPr="00785D06">
        <w:rPr>
          <w:rFonts w:eastAsia="Times New Roman"/>
          <w:sz w:val="20"/>
          <w:szCs w:val="20"/>
          <w:lang w:val="en-US" w:eastAsia="es-ES" w:bidi="es-ES"/>
        </w:rPr>
        <w:t xml:space="preserve">commitment to prevent a repetition of the facts and </w:t>
      </w:r>
      <w:r w:rsidR="00373B4B" w:rsidRPr="00785D06">
        <w:rPr>
          <w:rFonts w:eastAsia="Times New Roman"/>
          <w:sz w:val="20"/>
          <w:szCs w:val="20"/>
          <w:lang w:val="en-US" w:eastAsia="es-ES" w:bidi="es-ES"/>
        </w:rPr>
        <w:t xml:space="preserve">mention the work of </w:t>
      </w:r>
      <w:r w:rsidRPr="00785D06">
        <w:rPr>
          <w:rFonts w:eastAsia="Times New Roman"/>
          <w:sz w:val="20"/>
          <w:szCs w:val="20"/>
          <w:lang w:val="en-US" w:eastAsia="es-ES" w:bidi="es-ES"/>
        </w:rPr>
        <w:t xml:space="preserve">organizations that fight for women’s rights, </w:t>
      </w:r>
      <w:r w:rsidR="00373B4B" w:rsidRPr="00785D06">
        <w:rPr>
          <w:rFonts w:eastAsia="Times New Roman"/>
          <w:sz w:val="20"/>
          <w:szCs w:val="20"/>
          <w:lang w:val="en-US" w:eastAsia="es-ES" w:bidi="es-ES"/>
        </w:rPr>
        <w:t>specifically naming</w:t>
      </w:r>
      <w:r w:rsidRPr="00785D06">
        <w:rPr>
          <w:rFonts w:eastAsia="Times New Roman"/>
          <w:sz w:val="20"/>
          <w:szCs w:val="20"/>
          <w:lang w:val="en-US" w:eastAsia="es-ES" w:bidi="es-ES"/>
        </w:rPr>
        <w:t xml:space="preserve"> CEPAM and CDR and 6) </w:t>
      </w:r>
      <w:r w:rsidR="009F09AA" w:rsidRPr="00785D06">
        <w:rPr>
          <w:rFonts w:eastAsia="Times New Roman"/>
          <w:sz w:val="20"/>
          <w:szCs w:val="20"/>
          <w:lang w:val="en-US" w:eastAsia="es-ES" w:bidi="es-ES"/>
        </w:rPr>
        <w:t xml:space="preserve">erect </w:t>
      </w:r>
      <w:r w:rsidRPr="00785D06">
        <w:rPr>
          <w:rFonts w:eastAsia="Times New Roman"/>
          <w:sz w:val="20"/>
          <w:szCs w:val="20"/>
          <w:lang w:val="en-US" w:eastAsia="es-ES" w:bidi="es-ES"/>
        </w:rPr>
        <w:t>a monument or public tribute in memory of the vic</w:t>
      </w:r>
      <w:r w:rsidR="00C62F7A" w:rsidRPr="00785D06">
        <w:rPr>
          <w:rFonts w:eastAsia="Times New Roman"/>
          <w:sz w:val="20"/>
          <w:szCs w:val="20"/>
          <w:lang w:val="en-US" w:eastAsia="es-ES" w:bidi="es-ES"/>
        </w:rPr>
        <w:t xml:space="preserve">tims of sexual violence, in </w:t>
      </w:r>
      <w:r w:rsidR="009F09AA" w:rsidRPr="00785D06">
        <w:rPr>
          <w:rFonts w:eastAsia="Times New Roman"/>
          <w:sz w:val="20"/>
          <w:szCs w:val="20"/>
          <w:lang w:val="en-US" w:eastAsia="es-ES" w:bidi="es-ES"/>
        </w:rPr>
        <w:t xml:space="preserve">the </w:t>
      </w:r>
      <w:r w:rsidR="00C62F7A" w:rsidRPr="00785D06">
        <w:rPr>
          <w:rFonts w:eastAsia="Times New Roman"/>
          <w:sz w:val="20"/>
          <w:szCs w:val="20"/>
          <w:lang w:val="en-US" w:eastAsia="es-ES" w:bidi="es-ES"/>
        </w:rPr>
        <w:t>P</w:t>
      </w:r>
      <w:r w:rsidRPr="00785D06">
        <w:rPr>
          <w:rFonts w:eastAsia="Times New Roman"/>
          <w:sz w:val="20"/>
          <w:szCs w:val="20"/>
          <w:lang w:val="en-US" w:eastAsia="es-ES" w:bidi="es-ES"/>
        </w:rPr>
        <w:t xml:space="preserve">laza </w:t>
      </w:r>
      <w:r w:rsidR="00C62F7A" w:rsidRPr="00785D06">
        <w:rPr>
          <w:rFonts w:eastAsia="Times New Roman"/>
          <w:sz w:val="20"/>
          <w:szCs w:val="20"/>
          <w:lang w:val="en-US" w:eastAsia="es-ES" w:bidi="es-ES"/>
        </w:rPr>
        <w:t xml:space="preserve">de </w:t>
      </w:r>
      <w:r w:rsidRPr="00785D06">
        <w:rPr>
          <w:rFonts w:eastAsia="Times New Roman"/>
          <w:sz w:val="20"/>
          <w:szCs w:val="20"/>
          <w:lang w:val="en-US" w:eastAsia="es-ES" w:bidi="es-ES"/>
        </w:rPr>
        <w:t xml:space="preserve">San Francisco or </w:t>
      </w:r>
      <w:r w:rsidR="00C62F7A" w:rsidRPr="00785D06">
        <w:rPr>
          <w:rFonts w:eastAsia="Times New Roman"/>
          <w:sz w:val="20"/>
          <w:szCs w:val="20"/>
          <w:lang w:val="en-US" w:eastAsia="es-ES" w:bidi="es-ES"/>
        </w:rPr>
        <w:t xml:space="preserve">Plaza de la </w:t>
      </w:r>
      <w:r w:rsidRPr="00785D06">
        <w:rPr>
          <w:rFonts w:eastAsia="Times New Roman"/>
          <w:sz w:val="20"/>
          <w:szCs w:val="20"/>
          <w:lang w:val="en-US" w:eastAsia="es-ES" w:bidi="es-ES"/>
        </w:rPr>
        <w:t>Independencia. In the</w:t>
      </w:r>
      <w:r w:rsidR="00E666B6" w:rsidRPr="00785D06">
        <w:rPr>
          <w:rFonts w:eastAsia="Times New Roman"/>
          <w:sz w:val="20"/>
          <w:szCs w:val="20"/>
          <w:lang w:val="en-US" w:eastAsia="es-ES" w:bidi="es-ES"/>
        </w:rPr>
        <w:t>ir</w:t>
      </w:r>
      <w:r w:rsidRPr="00785D06">
        <w:rPr>
          <w:rFonts w:eastAsia="Times New Roman"/>
          <w:sz w:val="20"/>
          <w:szCs w:val="20"/>
          <w:lang w:val="en-US" w:eastAsia="es-ES" w:bidi="es-ES"/>
        </w:rPr>
        <w:t xml:space="preserve"> final written arguments</w:t>
      </w:r>
      <w:r w:rsidR="00E666B6" w:rsidRPr="00785D06">
        <w:rPr>
          <w:rFonts w:eastAsia="Times New Roman"/>
          <w:sz w:val="20"/>
          <w:szCs w:val="20"/>
          <w:lang w:val="en-US" w:eastAsia="es-ES" w:bidi="es-ES"/>
        </w:rPr>
        <w:t>, the representatives</w:t>
      </w:r>
      <w:r w:rsidRPr="00785D06">
        <w:rPr>
          <w:rFonts w:eastAsia="Times New Roman"/>
          <w:sz w:val="20"/>
          <w:szCs w:val="20"/>
          <w:lang w:val="en-US" w:eastAsia="es-ES" w:bidi="es-ES"/>
        </w:rPr>
        <w:t xml:space="preserve"> </w:t>
      </w:r>
      <w:r w:rsidR="00C62F7A" w:rsidRPr="00785D06">
        <w:rPr>
          <w:rFonts w:eastAsia="Times New Roman"/>
          <w:sz w:val="20"/>
          <w:szCs w:val="20"/>
          <w:lang w:val="en-US" w:eastAsia="es-ES" w:bidi="es-ES"/>
        </w:rPr>
        <w:t xml:space="preserve">specified </w:t>
      </w:r>
      <w:r w:rsidRPr="00785D06">
        <w:rPr>
          <w:rFonts w:eastAsia="Times New Roman"/>
          <w:sz w:val="20"/>
          <w:szCs w:val="20"/>
          <w:lang w:val="en-US" w:eastAsia="es-ES" w:bidi="es-ES"/>
        </w:rPr>
        <w:t xml:space="preserve">that </w:t>
      </w:r>
      <w:r w:rsidR="00E666B6" w:rsidRPr="00785D06">
        <w:rPr>
          <w:rFonts w:eastAsia="Times New Roman"/>
          <w:sz w:val="20"/>
          <w:szCs w:val="20"/>
          <w:lang w:val="en-US" w:eastAsia="es-ES" w:bidi="es-ES"/>
        </w:rPr>
        <w:t>the monument</w:t>
      </w:r>
      <w:r w:rsidR="00BE2F21" w:rsidRPr="00785D06">
        <w:rPr>
          <w:rFonts w:eastAsia="Times New Roman"/>
          <w:sz w:val="20"/>
          <w:szCs w:val="20"/>
          <w:lang w:val="en-US" w:eastAsia="es-ES" w:bidi="es-ES"/>
        </w:rPr>
        <w:t xml:space="preserve"> should make reference to </w:t>
      </w:r>
      <w:r w:rsidRPr="00785D06">
        <w:rPr>
          <w:rFonts w:eastAsia="Times New Roman"/>
          <w:sz w:val="20"/>
          <w:szCs w:val="20"/>
          <w:lang w:val="en-US" w:eastAsia="es-ES" w:bidi="es-ES"/>
        </w:rPr>
        <w:t>Paola Guzmán Albarracín.</w:t>
      </w:r>
      <w:r w:rsidRPr="00785D06">
        <w:rPr>
          <w:rFonts w:eastAsia="Times New Roman"/>
          <w:b/>
          <w:sz w:val="20"/>
          <w:szCs w:val="20"/>
          <w:lang w:val="en-US" w:eastAsia="es-ES" w:bidi="es-ES"/>
        </w:rPr>
        <w:t xml:space="preserve"> </w:t>
      </w:r>
      <w:r w:rsidRPr="00785D06">
        <w:rPr>
          <w:rFonts w:eastAsia="Times New Roman"/>
          <w:sz w:val="20"/>
          <w:szCs w:val="20"/>
          <w:lang w:val="en-US" w:eastAsia="es-ES" w:bidi="es-ES"/>
        </w:rPr>
        <w:t xml:space="preserve">Also, </w:t>
      </w:r>
      <w:r w:rsidR="009F09AA" w:rsidRPr="00785D06">
        <w:rPr>
          <w:rFonts w:eastAsia="Times New Roman"/>
          <w:sz w:val="20"/>
          <w:szCs w:val="20"/>
          <w:lang w:val="en-US" w:eastAsia="es-ES" w:bidi="es-ES"/>
        </w:rPr>
        <w:t xml:space="preserve">as a guarantee of non-repetition, </w:t>
      </w:r>
      <w:r w:rsidRPr="00785D06">
        <w:rPr>
          <w:rFonts w:eastAsia="Times New Roman"/>
          <w:sz w:val="20"/>
          <w:szCs w:val="20"/>
          <w:lang w:val="en-US" w:eastAsia="es-ES" w:bidi="es-ES"/>
        </w:rPr>
        <w:t xml:space="preserve">the representatives </w:t>
      </w:r>
      <w:r w:rsidR="00C62F7A" w:rsidRPr="00785D06">
        <w:rPr>
          <w:rFonts w:eastAsia="Times New Roman"/>
          <w:sz w:val="20"/>
          <w:szCs w:val="20"/>
          <w:lang w:val="en-US" w:eastAsia="es-ES" w:bidi="es-ES"/>
        </w:rPr>
        <w:t xml:space="preserve">asked the Court to order </w:t>
      </w:r>
      <w:r w:rsidRPr="00785D06">
        <w:rPr>
          <w:rFonts w:eastAsia="Times New Roman"/>
          <w:sz w:val="20"/>
          <w:szCs w:val="20"/>
          <w:lang w:val="en-US" w:eastAsia="es-ES" w:bidi="es-ES"/>
        </w:rPr>
        <w:t>Ecuador</w:t>
      </w:r>
      <w:r w:rsidR="009F09AA" w:rsidRPr="00785D06">
        <w:rPr>
          <w:rFonts w:eastAsia="Times New Roman"/>
          <w:sz w:val="20"/>
          <w:szCs w:val="20"/>
          <w:lang w:val="en-US" w:eastAsia="es-ES" w:bidi="es-ES"/>
        </w:rPr>
        <w:t xml:space="preserve"> to</w:t>
      </w:r>
      <w:r w:rsidRPr="00785D06">
        <w:rPr>
          <w:rFonts w:eastAsia="Times New Roman"/>
          <w:sz w:val="20"/>
          <w:szCs w:val="20"/>
          <w:lang w:val="en-US" w:eastAsia="es-ES" w:bidi="es-ES"/>
        </w:rPr>
        <w:t xml:space="preserve"> strengthen the Judicial </w:t>
      </w:r>
      <w:r w:rsidR="00C62F7A" w:rsidRPr="00785D06">
        <w:rPr>
          <w:rFonts w:eastAsia="Times New Roman"/>
          <w:sz w:val="20"/>
          <w:szCs w:val="20"/>
          <w:lang w:val="en-US" w:eastAsia="es-ES" w:bidi="es-ES"/>
        </w:rPr>
        <w:t xml:space="preserve">Police </w:t>
      </w:r>
      <w:r w:rsidRPr="00785D06">
        <w:rPr>
          <w:rFonts w:eastAsia="Times New Roman"/>
          <w:sz w:val="20"/>
          <w:szCs w:val="20"/>
          <w:lang w:val="en-US" w:eastAsia="es-ES" w:bidi="es-ES"/>
        </w:rPr>
        <w:t xml:space="preserve">and </w:t>
      </w:r>
      <w:r w:rsidR="00E666B6" w:rsidRPr="00785D06">
        <w:rPr>
          <w:rFonts w:eastAsia="Times New Roman"/>
          <w:sz w:val="20"/>
          <w:szCs w:val="20"/>
          <w:lang w:val="en-US" w:eastAsia="es-ES" w:bidi="es-ES"/>
        </w:rPr>
        <w:t xml:space="preserve">its </w:t>
      </w:r>
      <w:r w:rsidRPr="00785D06">
        <w:rPr>
          <w:rFonts w:eastAsia="Times New Roman"/>
          <w:sz w:val="20"/>
          <w:szCs w:val="20"/>
          <w:lang w:val="en-US" w:eastAsia="es-ES" w:bidi="es-ES"/>
        </w:rPr>
        <w:t xml:space="preserve">mechanisms </w:t>
      </w:r>
      <w:r w:rsidR="00C62F7A" w:rsidRPr="00785D06">
        <w:rPr>
          <w:rFonts w:eastAsia="Times New Roman"/>
          <w:sz w:val="20"/>
          <w:szCs w:val="20"/>
          <w:lang w:val="en-US" w:eastAsia="es-ES" w:bidi="es-ES"/>
        </w:rPr>
        <w:t xml:space="preserve">for the </w:t>
      </w:r>
      <w:r w:rsidR="00993612" w:rsidRPr="00785D06">
        <w:rPr>
          <w:rFonts w:eastAsia="Times New Roman"/>
          <w:sz w:val="20"/>
          <w:szCs w:val="20"/>
          <w:lang w:val="en-US" w:eastAsia="es-ES" w:bidi="es-ES"/>
        </w:rPr>
        <w:t xml:space="preserve">location and capture </w:t>
      </w:r>
      <w:r w:rsidRPr="00785D06">
        <w:rPr>
          <w:rFonts w:eastAsia="Times New Roman"/>
          <w:sz w:val="20"/>
          <w:szCs w:val="20"/>
          <w:lang w:val="en-US" w:eastAsia="es-ES" w:bidi="es-ES"/>
        </w:rPr>
        <w:t xml:space="preserve">of </w:t>
      </w:r>
      <w:r w:rsidR="00C62F7A" w:rsidRPr="00785D06">
        <w:rPr>
          <w:rFonts w:eastAsia="Times New Roman"/>
          <w:sz w:val="20"/>
          <w:szCs w:val="20"/>
          <w:lang w:val="en-US" w:eastAsia="es-ES" w:bidi="es-ES"/>
        </w:rPr>
        <w:t xml:space="preserve">fugitive </w:t>
      </w:r>
      <w:r w:rsidRPr="00785D06">
        <w:rPr>
          <w:rFonts w:eastAsia="Times New Roman"/>
          <w:sz w:val="20"/>
          <w:szCs w:val="20"/>
          <w:lang w:val="en-US" w:eastAsia="es-ES" w:bidi="es-ES"/>
        </w:rPr>
        <w:t>defendants</w:t>
      </w:r>
      <w:r w:rsidR="00C62F7A" w:rsidRPr="00785D06">
        <w:rPr>
          <w:rFonts w:eastAsia="Times New Roman"/>
          <w:sz w:val="20"/>
          <w:szCs w:val="20"/>
          <w:lang w:val="en-US" w:eastAsia="es-ES" w:bidi="es-ES"/>
        </w:rPr>
        <w:t>,</w:t>
      </w:r>
      <w:r w:rsidRPr="00785D06">
        <w:rPr>
          <w:rFonts w:eastAsia="Times New Roman"/>
          <w:sz w:val="20"/>
          <w:szCs w:val="20"/>
          <w:lang w:val="en-US" w:eastAsia="es-ES" w:bidi="es-ES"/>
        </w:rPr>
        <w:t xml:space="preserve"> </w:t>
      </w:r>
      <w:r w:rsidR="00C62F7A" w:rsidRPr="00785D06">
        <w:rPr>
          <w:rFonts w:eastAsia="Times New Roman"/>
          <w:sz w:val="20"/>
          <w:szCs w:val="20"/>
          <w:lang w:val="en-US" w:eastAsia="es-ES" w:bidi="es-ES"/>
        </w:rPr>
        <w:t xml:space="preserve">in order to improve the efficiency of </w:t>
      </w:r>
      <w:r w:rsidRPr="00785D06">
        <w:rPr>
          <w:rFonts w:eastAsia="Times New Roman"/>
          <w:sz w:val="20"/>
          <w:szCs w:val="20"/>
          <w:lang w:val="en-US" w:eastAsia="es-ES" w:bidi="es-ES"/>
        </w:rPr>
        <w:t xml:space="preserve">intelligence </w:t>
      </w:r>
      <w:r w:rsidR="00C62F7A" w:rsidRPr="00785D06">
        <w:rPr>
          <w:rFonts w:eastAsia="Times New Roman"/>
          <w:sz w:val="20"/>
          <w:szCs w:val="20"/>
          <w:lang w:val="en-US" w:eastAsia="es-ES" w:bidi="es-ES"/>
        </w:rPr>
        <w:t xml:space="preserve">work through </w:t>
      </w:r>
      <w:r w:rsidRPr="00785D06">
        <w:rPr>
          <w:rFonts w:eastAsia="Times New Roman"/>
          <w:sz w:val="20"/>
          <w:szCs w:val="20"/>
          <w:lang w:val="en-US" w:eastAsia="es-ES" w:bidi="es-ES"/>
        </w:rPr>
        <w:t xml:space="preserve">interinstitutional </w:t>
      </w:r>
      <w:r w:rsidR="00C62F7A" w:rsidRPr="00785D06">
        <w:rPr>
          <w:rFonts w:eastAsia="Times New Roman"/>
          <w:sz w:val="20"/>
          <w:szCs w:val="20"/>
          <w:lang w:val="en-US" w:eastAsia="es-ES" w:bidi="es-ES"/>
        </w:rPr>
        <w:t xml:space="preserve">coordination, </w:t>
      </w:r>
      <w:r w:rsidRPr="00785D06">
        <w:rPr>
          <w:rFonts w:eastAsia="Times New Roman"/>
          <w:sz w:val="20"/>
          <w:szCs w:val="20"/>
          <w:lang w:val="en-US" w:eastAsia="es-ES" w:bidi="es-ES"/>
        </w:rPr>
        <w:t xml:space="preserve">making use of </w:t>
      </w:r>
      <w:r w:rsidR="00993612" w:rsidRPr="00785D06">
        <w:rPr>
          <w:rFonts w:eastAsia="Times New Roman"/>
          <w:sz w:val="20"/>
          <w:szCs w:val="20"/>
          <w:lang w:val="en-US" w:eastAsia="es-ES" w:bidi="es-ES"/>
        </w:rPr>
        <w:t>various State</w:t>
      </w:r>
      <w:r w:rsidR="00C62F7A" w:rsidRPr="00785D06">
        <w:rPr>
          <w:rFonts w:eastAsia="Times New Roman"/>
          <w:sz w:val="20"/>
          <w:szCs w:val="20"/>
          <w:lang w:val="en-US" w:eastAsia="es-ES" w:bidi="es-ES"/>
        </w:rPr>
        <w:t xml:space="preserve"> </w:t>
      </w:r>
      <w:r w:rsidR="00993612" w:rsidRPr="00785D06">
        <w:rPr>
          <w:rFonts w:eastAsia="Times New Roman"/>
          <w:sz w:val="20"/>
          <w:szCs w:val="20"/>
          <w:lang w:val="en-US" w:eastAsia="es-ES" w:bidi="es-ES"/>
        </w:rPr>
        <w:t xml:space="preserve">resources to minimize cases of </w:t>
      </w:r>
      <w:r w:rsidRPr="00785D06">
        <w:rPr>
          <w:rFonts w:eastAsia="Times New Roman"/>
          <w:sz w:val="20"/>
          <w:szCs w:val="20"/>
          <w:lang w:val="en-US" w:eastAsia="es-ES" w:bidi="es-ES"/>
        </w:rPr>
        <w:t xml:space="preserve">prescription of </w:t>
      </w:r>
      <w:r w:rsidR="009F09AA" w:rsidRPr="00785D06">
        <w:rPr>
          <w:rFonts w:eastAsia="Times New Roman"/>
          <w:sz w:val="20"/>
          <w:szCs w:val="20"/>
          <w:lang w:val="en-US" w:eastAsia="es-ES" w:bidi="es-ES"/>
        </w:rPr>
        <w:t xml:space="preserve">criminal </w:t>
      </w:r>
      <w:r w:rsidRPr="00785D06">
        <w:rPr>
          <w:rFonts w:eastAsia="Times New Roman"/>
          <w:sz w:val="20"/>
          <w:szCs w:val="20"/>
          <w:lang w:val="en-US" w:eastAsia="es-ES" w:bidi="es-ES"/>
        </w:rPr>
        <w:t>action</w:t>
      </w:r>
      <w:r w:rsidR="00993612" w:rsidRPr="00785D06">
        <w:rPr>
          <w:rFonts w:eastAsia="Times New Roman"/>
          <w:sz w:val="20"/>
          <w:szCs w:val="20"/>
          <w:lang w:val="en-US" w:eastAsia="es-ES" w:bidi="es-ES"/>
        </w:rPr>
        <w:t>s</w:t>
      </w:r>
      <w:r w:rsidRPr="00785D06">
        <w:rPr>
          <w:rFonts w:eastAsia="Times New Roman"/>
          <w:sz w:val="20"/>
          <w:szCs w:val="20"/>
          <w:lang w:val="en-US" w:eastAsia="es-ES" w:bidi="es-ES"/>
        </w:rPr>
        <w:t xml:space="preserve"> </w:t>
      </w:r>
      <w:r w:rsidR="009F09AA" w:rsidRPr="00785D06">
        <w:rPr>
          <w:rFonts w:eastAsia="Times New Roman"/>
          <w:sz w:val="20"/>
          <w:szCs w:val="20"/>
          <w:lang w:val="en-US" w:eastAsia="es-ES" w:bidi="es-ES"/>
        </w:rPr>
        <w:t xml:space="preserve">owing to </w:t>
      </w:r>
      <w:r w:rsidRPr="00785D06">
        <w:rPr>
          <w:rFonts w:eastAsia="Times New Roman"/>
          <w:sz w:val="20"/>
          <w:szCs w:val="20"/>
          <w:lang w:val="en-US" w:eastAsia="es-ES" w:bidi="es-ES"/>
        </w:rPr>
        <w:t xml:space="preserve">the absence </w:t>
      </w:r>
      <w:r w:rsidR="009F09AA" w:rsidRPr="00785D06">
        <w:rPr>
          <w:rFonts w:eastAsia="Times New Roman"/>
          <w:sz w:val="20"/>
          <w:szCs w:val="20"/>
          <w:lang w:val="en-US" w:eastAsia="es-ES" w:bidi="es-ES"/>
        </w:rPr>
        <w:t xml:space="preserve">of the </w:t>
      </w:r>
      <w:r w:rsidR="00506A87" w:rsidRPr="00785D06">
        <w:rPr>
          <w:rFonts w:eastAsia="Times New Roman"/>
          <w:sz w:val="20"/>
          <w:szCs w:val="20"/>
          <w:lang w:val="en-US" w:eastAsia="es-ES" w:bidi="es-ES"/>
        </w:rPr>
        <w:t>accused</w:t>
      </w:r>
      <w:r w:rsidRPr="00785D06">
        <w:rPr>
          <w:rFonts w:eastAsia="Times New Roman"/>
          <w:sz w:val="20"/>
          <w:szCs w:val="20"/>
          <w:lang w:val="en-US" w:eastAsia="es-ES" w:bidi="es-ES"/>
        </w:rPr>
        <w:t>.</w:t>
      </w:r>
    </w:p>
    <w:p w14:paraId="62E8DEFA" w14:textId="77777777" w:rsidR="00C254BF" w:rsidRPr="00785D06" w:rsidRDefault="00C254BF" w:rsidP="00C254BF">
      <w:pPr>
        <w:pStyle w:val="Prrafodelista"/>
        <w:ind w:left="0"/>
        <w:contextualSpacing w:val="0"/>
        <w:jc w:val="both"/>
        <w:rPr>
          <w:sz w:val="20"/>
          <w:szCs w:val="20"/>
          <w:lang w:val="en-US"/>
        </w:rPr>
      </w:pPr>
    </w:p>
    <w:p w14:paraId="1ABEFF94" w14:textId="77777777" w:rsidR="00C254BF" w:rsidRPr="00785D06" w:rsidRDefault="00D3179F"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 xml:space="preserve">With regard to </w:t>
      </w:r>
      <w:r w:rsidR="00C254BF" w:rsidRPr="00785D06">
        <w:rPr>
          <w:rFonts w:eastAsia="Times New Roman"/>
          <w:sz w:val="20"/>
          <w:szCs w:val="20"/>
          <w:lang w:val="en-US" w:eastAsia="es-ES" w:bidi="es-ES"/>
        </w:rPr>
        <w:t xml:space="preserve">the requests for a scholarship, housing and a job </w:t>
      </w:r>
      <w:r w:rsidR="009F09AA" w:rsidRPr="00785D06">
        <w:rPr>
          <w:rFonts w:eastAsia="Times New Roman"/>
          <w:sz w:val="20"/>
          <w:szCs w:val="20"/>
          <w:lang w:val="en-US" w:eastAsia="es-ES" w:bidi="es-ES"/>
        </w:rPr>
        <w:t xml:space="preserve">for </w:t>
      </w:r>
      <w:r w:rsidR="00C254BF" w:rsidRPr="00785D06">
        <w:rPr>
          <w:rFonts w:eastAsia="Times New Roman"/>
          <w:sz w:val="20"/>
          <w:szCs w:val="20"/>
          <w:lang w:val="en-US" w:eastAsia="es-ES" w:bidi="es-ES"/>
        </w:rPr>
        <w:t xml:space="preserve">Denisse Guzmán Albarracín, </w:t>
      </w:r>
      <w:r w:rsidR="009F09AA" w:rsidRPr="00785D06">
        <w:rPr>
          <w:rFonts w:eastAsia="Times New Roman"/>
          <w:sz w:val="20"/>
          <w:szCs w:val="20"/>
          <w:lang w:val="en-US" w:eastAsia="es-ES" w:bidi="es-ES"/>
        </w:rPr>
        <w:t xml:space="preserve">the </w:t>
      </w:r>
      <w:r w:rsidR="009F09AA" w:rsidRPr="00785D06">
        <w:rPr>
          <w:rFonts w:eastAsia="Times New Roman"/>
          <w:b/>
          <w:i/>
          <w:sz w:val="20"/>
          <w:szCs w:val="20"/>
          <w:lang w:val="en-US" w:eastAsia="es-ES" w:bidi="es-ES"/>
        </w:rPr>
        <w:t>State</w:t>
      </w:r>
      <w:r w:rsidR="009F09AA" w:rsidRPr="00785D06">
        <w:rPr>
          <w:rFonts w:eastAsia="Times New Roman"/>
          <w:sz w:val="20"/>
          <w:szCs w:val="20"/>
          <w:lang w:val="en-US" w:eastAsia="es-ES" w:bidi="es-ES"/>
        </w:rPr>
        <w:t xml:space="preserve"> </w:t>
      </w:r>
      <w:r w:rsidR="00C254BF" w:rsidRPr="00785D06">
        <w:rPr>
          <w:rFonts w:eastAsia="Times New Roman"/>
          <w:sz w:val="20"/>
          <w:szCs w:val="20"/>
          <w:lang w:val="en-US" w:eastAsia="es-ES" w:bidi="es-ES"/>
        </w:rPr>
        <w:t>considered that these measures do not serve the purpose of re</w:t>
      </w:r>
      <w:r w:rsidR="00EB420B" w:rsidRPr="00785D06">
        <w:rPr>
          <w:rFonts w:eastAsia="Times New Roman"/>
          <w:sz w:val="20"/>
          <w:szCs w:val="20"/>
          <w:lang w:val="en-US" w:eastAsia="es-ES" w:bidi="es-ES"/>
        </w:rPr>
        <w:t xml:space="preserve">storing the victim to the original situation before the </w:t>
      </w:r>
      <w:r w:rsidR="00C62F7A" w:rsidRPr="00785D06">
        <w:rPr>
          <w:rFonts w:eastAsia="Times New Roman"/>
          <w:sz w:val="20"/>
          <w:szCs w:val="20"/>
          <w:lang w:val="en-US" w:eastAsia="es-ES" w:bidi="es-ES"/>
        </w:rPr>
        <w:t>unlawful acts</w:t>
      </w:r>
      <w:r w:rsidR="00EB420B" w:rsidRPr="00785D06">
        <w:rPr>
          <w:rFonts w:eastAsia="Times New Roman"/>
          <w:sz w:val="20"/>
          <w:szCs w:val="20"/>
          <w:lang w:val="en-US" w:eastAsia="es-ES" w:bidi="es-ES"/>
        </w:rPr>
        <w:t xml:space="preserve"> were committed</w:t>
      </w:r>
      <w:r w:rsidR="00C254BF" w:rsidRPr="00785D06">
        <w:rPr>
          <w:rFonts w:eastAsia="Times New Roman"/>
          <w:sz w:val="20"/>
          <w:szCs w:val="20"/>
          <w:lang w:val="en-US" w:eastAsia="es-ES" w:bidi="es-ES"/>
        </w:rPr>
        <w:t>.</w:t>
      </w:r>
    </w:p>
    <w:p w14:paraId="2C5F93AE" w14:textId="77777777" w:rsidR="00C254BF" w:rsidRPr="00785D06" w:rsidRDefault="00C254BF" w:rsidP="00C254BF">
      <w:pPr>
        <w:pStyle w:val="Prrafodelista"/>
        <w:rPr>
          <w:rFonts w:eastAsia="Times New Roman"/>
          <w:sz w:val="20"/>
          <w:szCs w:val="20"/>
          <w:lang w:val="en-US" w:eastAsia="es-ES" w:bidi="es-ES"/>
        </w:rPr>
      </w:pPr>
    </w:p>
    <w:p w14:paraId="69B1358D"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 xml:space="preserve">The </w:t>
      </w:r>
      <w:r w:rsidRPr="00785D06">
        <w:rPr>
          <w:rFonts w:eastAsia="Times New Roman"/>
          <w:b/>
          <w:i/>
          <w:sz w:val="20"/>
          <w:szCs w:val="20"/>
          <w:lang w:val="en-US" w:eastAsia="es-ES" w:bidi="es-ES"/>
        </w:rPr>
        <w:t>Cou</w:t>
      </w:r>
      <w:r w:rsidR="00C62F7A" w:rsidRPr="00785D06">
        <w:rPr>
          <w:rFonts w:eastAsia="Times New Roman"/>
          <w:b/>
          <w:i/>
          <w:sz w:val="20"/>
          <w:szCs w:val="20"/>
          <w:lang w:val="en-US" w:eastAsia="es-ES" w:bidi="es-ES"/>
        </w:rPr>
        <w:t>rt</w:t>
      </w:r>
      <w:r w:rsidR="00C62F7A" w:rsidRPr="00785D06">
        <w:rPr>
          <w:rFonts w:eastAsia="Times New Roman"/>
          <w:sz w:val="20"/>
          <w:szCs w:val="20"/>
          <w:lang w:val="en-US" w:eastAsia="es-ES" w:bidi="es-ES"/>
        </w:rPr>
        <w:t xml:space="preserve"> does not consider it app</w:t>
      </w:r>
      <w:r w:rsidRPr="00785D06">
        <w:rPr>
          <w:rFonts w:eastAsia="Times New Roman"/>
          <w:sz w:val="20"/>
          <w:szCs w:val="20"/>
          <w:lang w:val="en-US" w:eastAsia="es-ES" w:bidi="es-ES"/>
        </w:rPr>
        <w:t>r</w:t>
      </w:r>
      <w:r w:rsidR="00C62F7A" w:rsidRPr="00785D06">
        <w:rPr>
          <w:rFonts w:eastAsia="Times New Roman"/>
          <w:sz w:val="20"/>
          <w:szCs w:val="20"/>
          <w:lang w:val="en-US" w:eastAsia="es-ES" w:bidi="es-ES"/>
        </w:rPr>
        <w:t>o</w:t>
      </w:r>
      <w:r w:rsidRPr="00785D06">
        <w:rPr>
          <w:rFonts w:eastAsia="Times New Roman"/>
          <w:sz w:val="20"/>
          <w:szCs w:val="20"/>
          <w:lang w:val="en-US" w:eastAsia="es-ES" w:bidi="es-ES"/>
        </w:rPr>
        <w:t>priate to o</w:t>
      </w:r>
      <w:r w:rsidR="00C62F7A" w:rsidRPr="00785D06">
        <w:rPr>
          <w:rFonts w:eastAsia="Times New Roman"/>
          <w:sz w:val="20"/>
          <w:szCs w:val="20"/>
          <w:lang w:val="en-US" w:eastAsia="es-ES" w:bidi="es-ES"/>
        </w:rPr>
        <w:t xml:space="preserve">rder the measures requested by </w:t>
      </w:r>
      <w:r w:rsidRPr="00785D06">
        <w:rPr>
          <w:rFonts w:eastAsia="Times New Roman"/>
          <w:sz w:val="20"/>
          <w:szCs w:val="20"/>
          <w:lang w:val="en-US" w:eastAsia="es-ES" w:bidi="es-ES"/>
        </w:rPr>
        <w:t xml:space="preserve">the Commission and the representatives </w:t>
      </w:r>
      <w:r w:rsidR="00D444D7" w:rsidRPr="00785D06">
        <w:rPr>
          <w:rFonts w:eastAsia="Times New Roman"/>
          <w:sz w:val="20"/>
          <w:szCs w:val="20"/>
          <w:lang w:val="en-US" w:eastAsia="es-ES" w:bidi="es-ES"/>
        </w:rPr>
        <w:t>to “strengthen</w:t>
      </w:r>
      <w:r w:rsidRPr="00785D06">
        <w:rPr>
          <w:rFonts w:eastAsia="Times New Roman"/>
          <w:sz w:val="20"/>
          <w:szCs w:val="20"/>
          <w:lang w:val="en-US" w:eastAsia="es-ES" w:bidi="es-ES"/>
        </w:rPr>
        <w:t xml:space="preserve">” the institutional capacities </w:t>
      </w:r>
      <w:r w:rsidR="00C62F7A" w:rsidRPr="00785D06">
        <w:rPr>
          <w:rFonts w:eastAsia="Times New Roman"/>
          <w:sz w:val="20"/>
          <w:szCs w:val="20"/>
          <w:lang w:val="en-US" w:eastAsia="es-ES" w:bidi="es-ES"/>
        </w:rPr>
        <w:t xml:space="preserve">of </w:t>
      </w:r>
      <w:r w:rsidR="00EB420B" w:rsidRPr="00785D06">
        <w:rPr>
          <w:rFonts w:eastAsia="Times New Roman"/>
          <w:sz w:val="20"/>
          <w:szCs w:val="20"/>
          <w:lang w:val="en-US" w:eastAsia="es-ES" w:bidi="es-ES"/>
        </w:rPr>
        <w:t xml:space="preserve">the </w:t>
      </w:r>
      <w:r w:rsidR="00C62F7A" w:rsidRPr="00785D06">
        <w:rPr>
          <w:rFonts w:eastAsia="Times New Roman"/>
          <w:sz w:val="20"/>
          <w:szCs w:val="20"/>
          <w:lang w:val="en-US" w:eastAsia="es-ES" w:bidi="es-ES"/>
        </w:rPr>
        <w:t xml:space="preserve">police, </w:t>
      </w:r>
      <w:r w:rsidR="00EB420B" w:rsidRPr="00785D06">
        <w:rPr>
          <w:rFonts w:eastAsia="Times New Roman"/>
          <w:sz w:val="20"/>
          <w:szCs w:val="20"/>
          <w:lang w:val="en-US" w:eastAsia="es-ES" w:bidi="es-ES"/>
        </w:rPr>
        <w:t>the J</w:t>
      </w:r>
      <w:r w:rsidR="00C62F7A" w:rsidRPr="00785D06">
        <w:rPr>
          <w:rFonts w:eastAsia="Times New Roman"/>
          <w:sz w:val="20"/>
          <w:szCs w:val="20"/>
          <w:lang w:val="en-US" w:eastAsia="es-ES" w:bidi="es-ES"/>
        </w:rPr>
        <w:t>udiciary</w:t>
      </w:r>
      <w:r w:rsidRPr="00785D06">
        <w:rPr>
          <w:rFonts w:eastAsia="Times New Roman"/>
          <w:sz w:val="20"/>
          <w:szCs w:val="20"/>
          <w:lang w:val="en-US" w:eastAsia="es-ES" w:bidi="es-ES"/>
        </w:rPr>
        <w:t xml:space="preserve"> or the </w:t>
      </w:r>
      <w:r w:rsidR="00E10528" w:rsidRPr="00785D06">
        <w:rPr>
          <w:rFonts w:eastAsia="Times New Roman"/>
          <w:sz w:val="20"/>
          <w:szCs w:val="20"/>
          <w:lang w:val="en-US" w:eastAsia="es-ES" w:bidi="es-ES"/>
        </w:rPr>
        <w:t>Public Prosecutor</w:t>
      </w:r>
      <w:r w:rsidR="00EB420B" w:rsidRPr="00785D06">
        <w:rPr>
          <w:rFonts w:eastAsia="Times New Roman"/>
          <w:sz w:val="20"/>
          <w:szCs w:val="20"/>
          <w:lang w:val="en-US" w:eastAsia="es-ES" w:bidi="es-ES"/>
        </w:rPr>
        <w:t>’s Office</w:t>
      </w:r>
      <w:r w:rsidRPr="00785D06">
        <w:rPr>
          <w:rFonts w:eastAsia="Times New Roman"/>
          <w:sz w:val="20"/>
          <w:szCs w:val="20"/>
          <w:lang w:val="en-US" w:eastAsia="es-ES" w:bidi="es-ES"/>
        </w:rPr>
        <w:t xml:space="preserve">. This Court </w:t>
      </w:r>
      <w:r w:rsidR="00C62F7A" w:rsidRPr="00785D06">
        <w:rPr>
          <w:rFonts w:eastAsia="Times New Roman"/>
          <w:sz w:val="20"/>
          <w:szCs w:val="20"/>
          <w:lang w:val="en-US" w:eastAsia="es-ES" w:bidi="es-ES"/>
        </w:rPr>
        <w:t xml:space="preserve">does not </w:t>
      </w:r>
      <w:r w:rsidR="008E5213" w:rsidRPr="00785D06">
        <w:rPr>
          <w:rFonts w:eastAsia="Times New Roman"/>
          <w:sz w:val="20"/>
          <w:szCs w:val="20"/>
          <w:lang w:val="en-US" w:eastAsia="es-ES" w:bidi="es-ES"/>
        </w:rPr>
        <w:t xml:space="preserve">consider it proven that </w:t>
      </w:r>
      <w:r w:rsidR="00C62F7A" w:rsidRPr="00785D06">
        <w:rPr>
          <w:rFonts w:eastAsia="Times New Roman"/>
          <w:sz w:val="20"/>
          <w:szCs w:val="20"/>
          <w:lang w:val="en-US" w:eastAsia="es-ES" w:bidi="es-ES"/>
        </w:rPr>
        <w:t xml:space="preserve">the </w:t>
      </w:r>
      <w:r w:rsidRPr="00785D06">
        <w:rPr>
          <w:rFonts w:eastAsia="Times New Roman"/>
          <w:sz w:val="20"/>
          <w:szCs w:val="20"/>
          <w:lang w:val="en-US" w:eastAsia="es-ES" w:bidi="es-ES"/>
        </w:rPr>
        <w:t xml:space="preserve">facts of </w:t>
      </w:r>
      <w:r w:rsidR="008E5213" w:rsidRPr="00785D06">
        <w:rPr>
          <w:rFonts w:eastAsia="Times New Roman"/>
          <w:sz w:val="20"/>
          <w:szCs w:val="20"/>
          <w:lang w:val="en-US" w:eastAsia="es-ES" w:bidi="es-ES"/>
        </w:rPr>
        <w:t>this</w:t>
      </w:r>
      <w:r w:rsidR="00626128" w:rsidRPr="00785D06">
        <w:rPr>
          <w:rFonts w:eastAsia="Times New Roman"/>
          <w:sz w:val="20"/>
          <w:szCs w:val="20"/>
          <w:lang w:val="en-US" w:eastAsia="es-ES" w:bidi="es-ES"/>
        </w:rPr>
        <w:t xml:space="preserve"> case</w:t>
      </w:r>
      <w:r w:rsidRPr="00785D06">
        <w:rPr>
          <w:rFonts w:eastAsia="Times New Roman"/>
          <w:sz w:val="20"/>
          <w:szCs w:val="20"/>
          <w:lang w:val="en-US" w:eastAsia="es-ES" w:bidi="es-ES"/>
        </w:rPr>
        <w:t xml:space="preserve"> </w:t>
      </w:r>
      <w:r w:rsidR="008E5213" w:rsidRPr="00785D06">
        <w:rPr>
          <w:rFonts w:eastAsia="Times New Roman"/>
          <w:sz w:val="20"/>
          <w:szCs w:val="20"/>
          <w:lang w:val="en-US" w:eastAsia="es-ES" w:bidi="es-ES"/>
        </w:rPr>
        <w:t xml:space="preserve">can be attributed to </w:t>
      </w:r>
      <w:r w:rsidRPr="00785D06">
        <w:rPr>
          <w:rFonts w:eastAsia="Times New Roman"/>
          <w:sz w:val="20"/>
          <w:szCs w:val="20"/>
          <w:lang w:val="en-US" w:eastAsia="es-ES" w:bidi="es-ES"/>
        </w:rPr>
        <w:t xml:space="preserve">a lack of resources or training in those </w:t>
      </w:r>
      <w:r w:rsidR="008E5213" w:rsidRPr="00785D06">
        <w:rPr>
          <w:rFonts w:eastAsia="Times New Roman"/>
          <w:sz w:val="20"/>
          <w:szCs w:val="20"/>
          <w:lang w:val="en-US" w:eastAsia="es-ES" w:bidi="es-ES"/>
        </w:rPr>
        <w:t>institutions</w:t>
      </w:r>
      <w:r w:rsidRPr="00785D06">
        <w:rPr>
          <w:rFonts w:eastAsia="Times New Roman"/>
          <w:sz w:val="20"/>
          <w:szCs w:val="20"/>
          <w:lang w:val="en-US" w:eastAsia="es-ES" w:bidi="es-ES"/>
        </w:rPr>
        <w:t xml:space="preserve">. </w:t>
      </w:r>
      <w:r w:rsidR="00C62F7A" w:rsidRPr="00785D06">
        <w:rPr>
          <w:rFonts w:eastAsia="Times New Roman"/>
          <w:sz w:val="20"/>
          <w:szCs w:val="20"/>
          <w:lang w:val="en-US" w:eastAsia="es-ES" w:bidi="es-ES"/>
        </w:rPr>
        <w:t>Furthermore</w:t>
      </w:r>
      <w:r w:rsidRPr="00785D06">
        <w:rPr>
          <w:rFonts w:eastAsia="Times New Roman"/>
          <w:sz w:val="20"/>
          <w:szCs w:val="20"/>
          <w:lang w:val="en-US" w:eastAsia="es-ES" w:bidi="es-ES"/>
        </w:rPr>
        <w:t xml:space="preserve">, </w:t>
      </w:r>
      <w:r w:rsidR="00C62F7A" w:rsidRPr="00785D06">
        <w:rPr>
          <w:rFonts w:eastAsia="Times New Roman"/>
          <w:sz w:val="20"/>
          <w:szCs w:val="20"/>
          <w:lang w:val="en-US" w:eastAsia="es-ES" w:bidi="es-ES"/>
        </w:rPr>
        <w:t xml:space="preserve">it </w:t>
      </w:r>
      <w:r w:rsidRPr="00785D06">
        <w:rPr>
          <w:rFonts w:eastAsia="Times New Roman"/>
          <w:sz w:val="20"/>
          <w:szCs w:val="20"/>
          <w:lang w:val="en-US" w:eastAsia="es-ES" w:bidi="es-ES"/>
        </w:rPr>
        <w:t>considers that the measures of satisfaction and rehabilitation already ordered are sufficient. Therefore, it is not pertinent to order the additional “social rehabilitation” measures requested by the representatives (</w:t>
      </w:r>
      <w:r w:rsidRPr="00785D06">
        <w:rPr>
          <w:rFonts w:eastAsia="Times New Roman"/>
          <w:i/>
          <w:sz w:val="20"/>
          <w:szCs w:val="20"/>
          <w:lang w:val="en-US" w:eastAsia="es-ES" w:bidi="es-ES"/>
        </w:rPr>
        <w:t xml:space="preserve">supra </w:t>
      </w:r>
      <w:r w:rsidRPr="00785D06">
        <w:rPr>
          <w:rFonts w:eastAsia="Times New Roman"/>
          <w:sz w:val="20"/>
          <w:szCs w:val="20"/>
          <w:lang w:val="en-US" w:eastAsia="es-ES" w:bidi="es-ES"/>
        </w:rPr>
        <w:t xml:space="preserve">para. 248). </w:t>
      </w:r>
    </w:p>
    <w:p w14:paraId="4E605D08" w14:textId="77777777" w:rsidR="00C254BF" w:rsidRPr="00785D06" w:rsidRDefault="00C254BF" w:rsidP="00C254BF">
      <w:pPr>
        <w:jc w:val="both"/>
        <w:rPr>
          <w:sz w:val="20"/>
          <w:szCs w:val="20"/>
          <w:lang w:val="en-US"/>
        </w:rPr>
      </w:pPr>
    </w:p>
    <w:p w14:paraId="61DDCA94" w14:textId="77777777" w:rsidR="00C254BF" w:rsidRPr="00785D06" w:rsidRDefault="00C254BF" w:rsidP="00C254BF">
      <w:pPr>
        <w:pStyle w:val="Prrafodelista"/>
        <w:widowControl w:val="0"/>
        <w:numPr>
          <w:ilvl w:val="0"/>
          <w:numId w:val="12"/>
        </w:numPr>
        <w:autoSpaceDE w:val="0"/>
        <w:autoSpaceDN w:val="0"/>
        <w:ind w:left="284" w:right="120" w:firstLine="0"/>
        <w:outlineLvl w:val="1"/>
        <w:rPr>
          <w:b/>
          <w:i/>
          <w:sz w:val="20"/>
          <w:szCs w:val="20"/>
          <w:lang w:val="en-US"/>
        </w:rPr>
      </w:pPr>
      <w:bookmarkStart w:id="176" w:name="_Toc42498077"/>
      <w:bookmarkStart w:id="177" w:name="_Toc46937325"/>
      <w:r w:rsidRPr="00785D06">
        <w:rPr>
          <w:b/>
          <w:i/>
          <w:sz w:val="20"/>
          <w:szCs w:val="20"/>
          <w:lang w:val="en-US"/>
        </w:rPr>
        <w:t>Compensation</w:t>
      </w:r>
      <w:bookmarkEnd w:id="176"/>
      <w:bookmarkEnd w:id="177"/>
      <w:r w:rsidRPr="00785D06">
        <w:rPr>
          <w:b/>
          <w:i/>
          <w:sz w:val="20"/>
          <w:szCs w:val="20"/>
          <w:lang w:val="en-US"/>
        </w:rPr>
        <w:t xml:space="preserve"> </w:t>
      </w:r>
    </w:p>
    <w:p w14:paraId="14B18555" w14:textId="77777777" w:rsidR="00C254BF" w:rsidRPr="00785D06" w:rsidRDefault="00C254BF" w:rsidP="00C254BF">
      <w:pPr>
        <w:jc w:val="both"/>
        <w:rPr>
          <w:sz w:val="20"/>
          <w:szCs w:val="20"/>
          <w:lang w:val="en-US"/>
        </w:rPr>
      </w:pPr>
    </w:p>
    <w:p w14:paraId="7954C120" w14:textId="77777777" w:rsidR="00C254BF" w:rsidRPr="00785D06" w:rsidRDefault="00C254BF" w:rsidP="00C254BF">
      <w:pPr>
        <w:pStyle w:val="Ttulo3"/>
        <w:ind w:left="567"/>
        <w:rPr>
          <w:rFonts w:ascii="Verdana" w:hAnsi="Verdana"/>
          <w:i/>
          <w:color w:val="auto"/>
          <w:sz w:val="20"/>
          <w:szCs w:val="20"/>
          <w:lang w:val="en-US"/>
        </w:rPr>
      </w:pPr>
      <w:bookmarkStart w:id="178" w:name="_Toc41906249"/>
      <w:bookmarkStart w:id="179" w:name="_Toc42498078"/>
      <w:bookmarkStart w:id="180" w:name="_Toc46937326"/>
      <w:r w:rsidRPr="00785D06">
        <w:rPr>
          <w:rFonts w:ascii="Verdana" w:hAnsi="Verdana"/>
          <w:i/>
          <w:color w:val="auto"/>
          <w:sz w:val="20"/>
          <w:szCs w:val="20"/>
          <w:lang w:val="en-US"/>
        </w:rPr>
        <w:t xml:space="preserve">G.1 </w:t>
      </w:r>
      <w:r w:rsidRPr="00785D06">
        <w:rPr>
          <w:rFonts w:ascii="Verdana" w:hAnsi="Verdana"/>
          <w:i/>
          <w:color w:val="auto"/>
          <w:sz w:val="20"/>
          <w:szCs w:val="20"/>
          <w:u w:val="single"/>
          <w:lang w:val="en-US"/>
        </w:rPr>
        <w:t>Pecuniary damage</w:t>
      </w:r>
      <w:bookmarkEnd w:id="178"/>
      <w:bookmarkEnd w:id="179"/>
      <w:bookmarkEnd w:id="180"/>
    </w:p>
    <w:p w14:paraId="4381F21E" w14:textId="77777777" w:rsidR="00C254BF" w:rsidRPr="00785D06" w:rsidRDefault="00C254BF" w:rsidP="00C254BF">
      <w:pPr>
        <w:pStyle w:val="Prrafodelista"/>
        <w:rPr>
          <w:sz w:val="20"/>
          <w:szCs w:val="20"/>
          <w:lang w:val="en-US"/>
        </w:rPr>
      </w:pPr>
    </w:p>
    <w:p w14:paraId="6B324EB9"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The </w:t>
      </w:r>
      <w:r w:rsidRPr="00785D06">
        <w:rPr>
          <w:b/>
          <w:i/>
          <w:sz w:val="20"/>
          <w:szCs w:val="20"/>
          <w:lang w:val="en-US"/>
        </w:rPr>
        <w:t>Commission</w:t>
      </w:r>
      <w:r w:rsidRPr="00785D06">
        <w:rPr>
          <w:sz w:val="20"/>
          <w:szCs w:val="20"/>
          <w:lang w:val="en-US"/>
        </w:rPr>
        <w:t xml:space="preserve"> requested </w:t>
      </w:r>
      <w:r w:rsidR="007B6B60" w:rsidRPr="00785D06">
        <w:rPr>
          <w:sz w:val="20"/>
          <w:szCs w:val="20"/>
          <w:lang w:val="en-US"/>
        </w:rPr>
        <w:t>comprehensive re</w:t>
      </w:r>
      <w:r w:rsidR="00373B4B" w:rsidRPr="00785D06">
        <w:rPr>
          <w:sz w:val="20"/>
          <w:szCs w:val="20"/>
          <w:lang w:val="en-US"/>
        </w:rPr>
        <w:t xml:space="preserve">paration </w:t>
      </w:r>
      <w:r w:rsidR="009F09AA" w:rsidRPr="00785D06">
        <w:rPr>
          <w:sz w:val="20"/>
          <w:szCs w:val="20"/>
          <w:lang w:val="en-US"/>
        </w:rPr>
        <w:t xml:space="preserve">for </w:t>
      </w:r>
      <w:r w:rsidRPr="00785D06">
        <w:rPr>
          <w:sz w:val="20"/>
          <w:szCs w:val="20"/>
          <w:lang w:val="en-US"/>
        </w:rPr>
        <w:t>the human rights violations</w:t>
      </w:r>
      <w:r w:rsidR="009F09AA" w:rsidRPr="00785D06">
        <w:rPr>
          <w:sz w:val="20"/>
          <w:szCs w:val="20"/>
          <w:lang w:val="en-US"/>
        </w:rPr>
        <w:t xml:space="preserve"> committed</w:t>
      </w:r>
      <w:r w:rsidRPr="00785D06">
        <w:rPr>
          <w:sz w:val="20"/>
          <w:szCs w:val="20"/>
          <w:lang w:val="en-US"/>
        </w:rPr>
        <w:t>,</w:t>
      </w:r>
      <w:r w:rsidR="009F09AA" w:rsidRPr="00785D06">
        <w:rPr>
          <w:sz w:val="20"/>
          <w:szCs w:val="20"/>
          <w:lang w:val="en-US"/>
        </w:rPr>
        <w:t xml:space="preserve"> </w:t>
      </w:r>
      <w:r w:rsidR="007B6B60" w:rsidRPr="00785D06">
        <w:rPr>
          <w:sz w:val="20"/>
          <w:szCs w:val="20"/>
          <w:lang w:val="en-US"/>
        </w:rPr>
        <w:t xml:space="preserve">both in the material and the moral aspect, </w:t>
      </w:r>
      <w:r w:rsidRPr="00785D06">
        <w:rPr>
          <w:sz w:val="20"/>
          <w:szCs w:val="20"/>
          <w:lang w:val="en-US"/>
        </w:rPr>
        <w:t xml:space="preserve">including measures of </w:t>
      </w:r>
      <w:r w:rsidR="00C62F7A" w:rsidRPr="00785D06">
        <w:rPr>
          <w:sz w:val="20"/>
          <w:szCs w:val="20"/>
          <w:lang w:val="en-US"/>
        </w:rPr>
        <w:t xml:space="preserve">financial </w:t>
      </w:r>
      <w:r w:rsidRPr="00785D06">
        <w:rPr>
          <w:sz w:val="20"/>
          <w:szCs w:val="20"/>
          <w:lang w:val="en-US"/>
        </w:rPr>
        <w:t>compensation.</w:t>
      </w:r>
      <w:r w:rsidRPr="00785D06">
        <w:rPr>
          <w:b/>
          <w:sz w:val="20"/>
          <w:szCs w:val="20"/>
          <w:lang w:val="en-US"/>
        </w:rPr>
        <w:t xml:space="preserve"> </w:t>
      </w:r>
    </w:p>
    <w:p w14:paraId="040309A5" w14:textId="77777777" w:rsidR="00C254BF" w:rsidRPr="00785D06" w:rsidRDefault="00C254BF" w:rsidP="00C254BF">
      <w:pPr>
        <w:pStyle w:val="Prrafodelista"/>
        <w:tabs>
          <w:tab w:val="left" w:pos="2955"/>
        </w:tabs>
        <w:ind w:left="0"/>
        <w:contextualSpacing w:val="0"/>
        <w:jc w:val="both"/>
        <w:rPr>
          <w:sz w:val="20"/>
          <w:szCs w:val="20"/>
          <w:lang w:val="en-US"/>
        </w:rPr>
      </w:pPr>
      <w:r w:rsidRPr="00785D06">
        <w:rPr>
          <w:sz w:val="20"/>
          <w:szCs w:val="20"/>
          <w:lang w:val="en-US"/>
        </w:rPr>
        <w:tab/>
      </w:r>
    </w:p>
    <w:p w14:paraId="0395AAEE" w14:textId="77777777" w:rsidR="00C254BF" w:rsidRPr="00785D06" w:rsidRDefault="00626128"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 xml:space="preserve">The </w:t>
      </w:r>
      <w:r w:rsidRPr="00785D06">
        <w:rPr>
          <w:rFonts w:eastAsia="Times New Roman"/>
          <w:b/>
          <w:i/>
          <w:sz w:val="20"/>
          <w:szCs w:val="20"/>
          <w:lang w:val="en-US" w:eastAsia="es-ES" w:bidi="es-ES"/>
        </w:rPr>
        <w:t>representatives</w:t>
      </w:r>
      <w:r w:rsidRPr="00785D06">
        <w:rPr>
          <w:rFonts w:eastAsia="Times New Roman"/>
          <w:sz w:val="20"/>
          <w:szCs w:val="20"/>
          <w:lang w:val="en-US" w:eastAsia="es-ES" w:bidi="es-ES"/>
        </w:rPr>
        <w:t xml:space="preserve"> </w:t>
      </w:r>
      <w:r w:rsidR="009F09AA" w:rsidRPr="00785D06">
        <w:rPr>
          <w:rFonts w:eastAsia="Times New Roman"/>
          <w:sz w:val="20"/>
          <w:szCs w:val="20"/>
          <w:lang w:val="en-US" w:eastAsia="es-ES" w:bidi="es-ES"/>
        </w:rPr>
        <w:t xml:space="preserve">asked </w:t>
      </w:r>
      <w:r w:rsidRPr="00785D06">
        <w:rPr>
          <w:rFonts w:eastAsia="Times New Roman"/>
          <w:sz w:val="20"/>
          <w:szCs w:val="20"/>
          <w:lang w:val="en-US" w:eastAsia="es-ES" w:bidi="es-ES"/>
        </w:rPr>
        <w:t xml:space="preserve">the Court </w:t>
      </w:r>
      <w:r w:rsidR="009F09AA" w:rsidRPr="00785D06">
        <w:rPr>
          <w:rFonts w:eastAsia="Times New Roman"/>
          <w:sz w:val="20"/>
          <w:szCs w:val="20"/>
          <w:lang w:val="en-US" w:eastAsia="es-ES" w:bidi="es-ES"/>
        </w:rPr>
        <w:t xml:space="preserve">to </w:t>
      </w:r>
      <w:r w:rsidRPr="00785D06">
        <w:rPr>
          <w:rFonts w:eastAsia="Times New Roman"/>
          <w:sz w:val="20"/>
          <w:szCs w:val="20"/>
          <w:lang w:val="en-US" w:eastAsia="es-ES" w:bidi="es-ES"/>
        </w:rPr>
        <w:t>order the State to pay the following amounts, in equity, f</w:t>
      </w:r>
      <w:r w:rsidR="00C62F7A" w:rsidRPr="00785D06">
        <w:rPr>
          <w:rFonts w:eastAsia="Times New Roman"/>
          <w:sz w:val="20"/>
          <w:szCs w:val="20"/>
          <w:lang w:val="en-US" w:eastAsia="es-ES" w:bidi="es-ES"/>
        </w:rPr>
        <w:t xml:space="preserve">or </w:t>
      </w:r>
      <w:r w:rsidR="00C254BF" w:rsidRPr="00785D06">
        <w:rPr>
          <w:rFonts w:eastAsia="Times New Roman"/>
          <w:sz w:val="20"/>
          <w:szCs w:val="20"/>
          <w:lang w:val="en-US" w:eastAsia="es-ES" w:bidi="es-ES"/>
        </w:rPr>
        <w:t xml:space="preserve">pecuniary damage </w:t>
      </w:r>
      <w:r w:rsidR="007B6B60" w:rsidRPr="00785D06">
        <w:rPr>
          <w:rFonts w:eastAsia="Times New Roman"/>
          <w:sz w:val="20"/>
          <w:szCs w:val="20"/>
          <w:lang w:val="en-US" w:eastAsia="es-ES" w:bidi="es-ES"/>
        </w:rPr>
        <w:t xml:space="preserve">arising from </w:t>
      </w:r>
      <w:r w:rsidR="00C254BF" w:rsidRPr="00785D06">
        <w:rPr>
          <w:rFonts w:eastAsia="Times New Roman"/>
          <w:sz w:val="20"/>
          <w:szCs w:val="20"/>
          <w:lang w:val="en-US" w:eastAsia="es-ES" w:bidi="es-ES"/>
        </w:rPr>
        <w:t xml:space="preserve">the death of Paola del Rosario Guzmán Albarracín: a) </w:t>
      </w:r>
      <w:r w:rsidRPr="00785D06">
        <w:rPr>
          <w:rFonts w:eastAsia="Times New Roman"/>
          <w:sz w:val="20"/>
          <w:szCs w:val="20"/>
          <w:lang w:val="en-US" w:eastAsia="es-ES" w:bidi="es-ES"/>
        </w:rPr>
        <w:t xml:space="preserve">for </w:t>
      </w:r>
      <w:r w:rsidR="00915B79" w:rsidRPr="00785D06">
        <w:rPr>
          <w:rFonts w:eastAsia="Times New Roman"/>
          <w:i/>
          <w:sz w:val="20"/>
          <w:szCs w:val="20"/>
          <w:lang w:val="en-US" w:eastAsia="es-ES" w:bidi="es-ES"/>
        </w:rPr>
        <w:t>consequential damage</w:t>
      </w:r>
      <w:r w:rsidR="00C254BF" w:rsidRPr="00785D06">
        <w:rPr>
          <w:rFonts w:eastAsia="Times New Roman"/>
          <w:sz w:val="20"/>
          <w:szCs w:val="20"/>
          <w:lang w:val="en-US" w:eastAsia="es-ES" w:bidi="es-ES"/>
        </w:rPr>
        <w:t xml:space="preserve">, the </w:t>
      </w:r>
      <w:r w:rsidRPr="00785D06">
        <w:rPr>
          <w:rFonts w:eastAsia="Times New Roman"/>
          <w:sz w:val="20"/>
          <w:szCs w:val="20"/>
          <w:lang w:val="en-US" w:eastAsia="es-ES" w:bidi="es-ES"/>
        </w:rPr>
        <w:t xml:space="preserve">sum </w:t>
      </w:r>
      <w:r w:rsidR="00C254BF" w:rsidRPr="00785D06">
        <w:rPr>
          <w:rFonts w:eastAsia="Times New Roman"/>
          <w:sz w:val="20"/>
          <w:szCs w:val="20"/>
          <w:lang w:val="en-US" w:eastAsia="es-ES" w:bidi="es-ES"/>
        </w:rPr>
        <w:t>of USD$ 200,000.00 (</w:t>
      </w:r>
      <w:r w:rsidR="00C62F7A" w:rsidRPr="00785D06">
        <w:rPr>
          <w:rFonts w:eastAsia="Times New Roman"/>
          <w:sz w:val="20"/>
          <w:szCs w:val="20"/>
          <w:lang w:val="en-US" w:eastAsia="es-ES" w:bidi="es-ES"/>
        </w:rPr>
        <w:t xml:space="preserve">two hundred thousand </w:t>
      </w:r>
      <w:r w:rsidR="00C254BF" w:rsidRPr="00785D06">
        <w:rPr>
          <w:rFonts w:eastAsia="Times New Roman"/>
          <w:sz w:val="20"/>
          <w:szCs w:val="20"/>
          <w:lang w:val="en-US" w:eastAsia="es-ES" w:bidi="es-ES"/>
        </w:rPr>
        <w:t>United</w:t>
      </w:r>
      <w:r w:rsidRPr="00785D06">
        <w:rPr>
          <w:rFonts w:eastAsia="Times New Roman"/>
          <w:sz w:val="20"/>
          <w:szCs w:val="20"/>
          <w:lang w:val="en-US" w:eastAsia="es-ES" w:bidi="es-ES"/>
        </w:rPr>
        <w:t xml:space="preserve"> States dollars) in favor of her</w:t>
      </w:r>
      <w:r w:rsidR="00C254BF" w:rsidRPr="00785D06">
        <w:rPr>
          <w:rFonts w:eastAsia="Times New Roman"/>
          <w:sz w:val="20"/>
          <w:szCs w:val="20"/>
          <w:lang w:val="en-US" w:eastAsia="es-ES" w:bidi="es-ES"/>
        </w:rPr>
        <w:t xml:space="preserve"> </w:t>
      </w:r>
      <w:r w:rsidR="007B6B60" w:rsidRPr="00785D06">
        <w:rPr>
          <w:rFonts w:eastAsia="Times New Roman"/>
          <w:sz w:val="20"/>
          <w:szCs w:val="20"/>
          <w:lang w:val="en-US" w:eastAsia="es-ES" w:bidi="es-ES"/>
        </w:rPr>
        <w:t>family</w:t>
      </w:r>
      <w:r w:rsidRPr="00785D06">
        <w:rPr>
          <w:rFonts w:eastAsia="Times New Roman"/>
          <w:sz w:val="20"/>
          <w:szCs w:val="20"/>
          <w:lang w:val="en-US" w:eastAsia="es-ES" w:bidi="es-ES"/>
        </w:rPr>
        <w:t>,</w:t>
      </w:r>
      <w:r w:rsidR="00C254BF" w:rsidRPr="00785D06">
        <w:rPr>
          <w:rStyle w:val="Refdenotaalpie"/>
          <w:rFonts w:eastAsia="Times New Roman"/>
          <w:sz w:val="20"/>
          <w:szCs w:val="20"/>
          <w:lang w:val="en-US" w:eastAsia="es-ES" w:bidi="es-ES"/>
        </w:rPr>
        <w:footnoteReference w:id="228"/>
      </w:r>
      <w:r w:rsidR="00C254BF" w:rsidRPr="00785D06">
        <w:rPr>
          <w:rFonts w:eastAsia="Times New Roman"/>
          <w:sz w:val="20"/>
          <w:szCs w:val="20"/>
          <w:lang w:val="en-US" w:eastAsia="es-ES" w:bidi="es-ES"/>
        </w:rPr>
        <w:t xml:space="preserve"> and b) </w:t>
      </w:r>
      <w:r w:rsidR="0079235D" w:rsidRPr="00785D06">
        <w:rPr>
          <w:rFonts w:eastAsia="Times New Roman"/>
          <w:sz w:val="20"/>
          <w:szCs w:val="20"/>
          <w:lang w:val="en-US" w:eastAsia="es-ES" w:bidi="es-ES"/>
        </w:rPr>
        <w:t xml:space="preserve">for </w:t>
      </w:r>
      <w:r w:rsidR="00915B79" w:rsidRPr="00785D06">
        <w:rPr>
          <w:rFonts w:eastAsia="Times New Roman"/>
          <w:i/>
          <w:sz w:val="20"/>
          <w:szCs w:val="20"/>
          <w:lang w:val="en-US" w:eastAsia="es-ES" w:bidi="es-ES"/>
        </w:rPr>
        <w:t>loss of profits</w:t>
      </w:r>
      <w:r w:rsidR="0079235D" w:rsidRPr="00785D06">
        <w:rPr>
          <w:rFonts w:eastAsia="Times New Roman"/>
          <w:sz w:val="20"/>
          <w:szCs w:val="20"/>
          <w:lang w:val="en-US" w:eastAsia="es-ES" w:bidi="es-ES"/>
        </w:rPr>
        <w:t xml:space="preserve">, </w:t>
      </w:r>
      <w:r w:rsidR="00C254BF" w:rsidRPr="00785D06">
        <w:rPr>
          <w:rFonts w:eastAsia="Times New Roman"/>
          <w:sz w:val="20"/>
          <w:szCs w:val="20"/>
          <w:lang w:val="en-US" w:eastAsia="es-ES" w:bidi="es-ES"/>
        </w:rPr>
        <w:t>USD$ 56,502.00 (fifty-six thousand, five hundred and two United States dollars) in favor of Paola Guzmán</w:t>
      </w:r>
      <w:r w:rsidR="007B6B60" w:rsidRPr="00785D06">
        <w:rPr>
          <w:rFonts w:eastAsia="Times New Roman"/>
          <w:sz w:val="20"/>
          <w:szCs w:val="20"/>
          <w:lang w:val="en-US" w:eastAsia="es-ES" w:bidi="es-ES"/>
        </w:rPr>
        <w:t>’s family</w:t>
      </w:r>
      <w:r w:rsidR="00C254BF" w:rsidRPr="00785D06">
        <w:rPr>
          <w:rFonts w:eastAsia="Times New Roman"/>
          <w:sz w:val="20"/>
          <w:szCs w:val="20"/>
          <w:lang w:val="en-US" w:eastAsia="es-ES" w:bidi="es-ES"/>
        </w:rPr>
        <w:t xml:space="preserve">, </w:t>
      </w:r>
      <w:r w:rsidRPr="00785D06">
        <w:rPr>
          <w:rFonts w:eastAsia="Times New Roman"/>
          <w:sz w:val="20"/>
          <w:szCs w:val="20"/>
          <w:lang w:val="en-US" w:eastAsia="es-ES" w:bidi="es-ES"/>
        </w:rPr>
        <w:t xml:space="preserve">taking into account </w:t>
      </w:r>
      <w:r w:rsidR="00C254BF" w:rsidRPr="00785D06">
        <w:rPr>
          <w:rFonts w:eastAsia="Times New Roman"/>
          <w:sz w:val="20"/>
          <w:szCs w:val="20"/>
          <w:lang w:val="en-US" w:eastAsia="es-ES" w:bidi="es-ES"/>
        </w:rPr>
        <w:t>her life expectancy and the minimum wage in Ecuador at the time of her death</w:t>
      </w:r>
      <w:r w:rsidR="0079235D" w:rsidRPr="00785D06">
        <w:rPr>
          <w:rFonts w:eastAsia="Times New Roman"/>
          <w:sz w:val="20"/>
          <w:szCs w:val="20"/>
          <w:lang w:val="en-US" w:eastAsia="es-ES" w:bidi="es-ES"/>
        </w:rPr>
        <w:t>.</w:t>
      </w:r>
      <w:r w:rsidR="00C254BF" w:rsidRPr="00785D06">
        <w:rPr>
          <w:rStyle w:val="Refdenotaalpie"/>
          <w:rFonts w:eastAsia="Times New Roman"/>
          <w:sz w:val="20"/>
          <w:szCs w:val="20"/>
          <w:lang w:val="en-US" w:eastAsia="es-ES" w:bidi="es-ES"/>
        </w:rPr>
        <w:footnoteReference w:id="229"/>
      </w:r>
      <w:r w:rsidR="00C254BF" w:rsidRPr="00785D06">
        <w:rPr>
          <w:rFonts w:eastAsia="Times New Roman"/>
          <w:sz w:val="20"/>
          <w:szCs w:val="20"/>
          <w:lang w:val="en-US" w:eastAsia="es-ES" w:bidi="es-ES"/>
        </w:rPr>
        <w:t xml:space="preserve"> </w:t>
      </w:r>
    </w:p>
    <w:p w14:paraId="1FCB117A" w14:textId="77777777" w:rsidR="00C254BF" w:rsidRPr="00785D06" w:rsidRDefault="00C254BF" w:rsidP="00C254BF">
      <w:pPr>
        <w:pStyle w:val="Prrafodelista"/>
        <w:rPr>
          <w:rFonts w:eastAsia="Times New Roman"/>
          <w:sz w:val="20"/>
          <w:szCs w:val="20"/>
          <w:lang w:val="en-US" w:eastAsia="es-ES" w:bidi="es-ES"/>
        </w:rPr>
      </w:pPr>
    </w:p>
    <w:p w14:paraId="4C6A44D2" w14:textId="77777777" w:rsidR="00C254BF" w:rsidRPr="00785D06" w:rsidRDefault="00626128"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T</w:t>
      </w:r>
      <w:r w:rsidR="00C254BF" w:rsidRPr="00785D06">
        <w:rPr>
          <w:rFonts w:eastAsia="Times New Roman"/>
          <w:sz w:val="20"/>
          <w:szCs w:val="20"/>
          <w:lang w:val="en-US" w:eastAsia="es-ES" w:bidi="es-ES"/>
        </w:rPr>
        <w:t xml:space="preserve">he representatives </w:t>
      </w:r>
      <w:r w:rsidRPr="00785D06">
        <w:rPr>
          <w:rFonts w:eastAsia="Times New Roman"/>
          <w:sz w:val="20"/>
          <w:szCs w:val="20"/>
          <w:lang w:val="en-US" w:eastAsia="es-ES" w:bidi="es-ES"/>
        </w:rPr>
        <w:t xml:space="preserve">also </w:t>
      </w:r>
      <w:r w:rsidR="00C254BF" w:rsidRPr="00785D06">
        <w:rPr>
          <w:rFonts w:eastAsia="Times New Roman"/>
          <w:sz w:val="20"/>
          <w:szCs w:val="20"/>
          <w:lang w:val="en-US" w:eastAsia="es-ES" w:bidi="es-ES"/>
        </w:rPr>
        <w:t xml:space="preserve">requested that the State </w:t>
      </w:r>
      <w:r w:rsidR="007B6B60" w:rsidRPr="00785D06">
        <w:rPr>
          <w:rFonts w:eastAsia="Times New Roman"/>
          <w:sz w:val="20"/>
          <w:szCs w:val="20"/>
          <w:lang w:val="en-US" w:eastAsia="es-ES" w:bidi="es-ES"/>
        </w:rPr>
        <w:t xml:space="preserve">guarantee </w:t>
      </w:r>
      <w:r w:rsidR="00C254BF" w:rsidRPr="00785D06">
        <w:rPr>
          <w:rFonts w:eastAsia="Times New Roman"/>
          <w:sz w:val="20"/>
          <w:szCs w:val="20"/>
          <w:lang w:val="en-US" w:eastAsia="es-ES" w:bidi="es-ES"/>
        </w:rPr>
        <w:t xml:space="preserve">compliance with the </w:t>
      </w:r>
      <w:r w:rsidR="007B6B60" w:rsidRPr="00785D06">
        <w:rPr>
          <w:rFonts w:eastAsia="Times New Roman"/>
          <w:sz w:val="20"/>
          <w:szCs w:val="20"/>
          <w:lang w:val="en-US" w:eastAsia="es-ES" w:bidi="es-ES"/>
        </w:rPr>
        <w:t xml:space="preserve">compensation for </w:t>
      </w:r>
      <w:r w:rsidR="00C254BF" w:rsidRPr="00785D06">
        <w:rPr>
          <w:rFonts w:eastAsia="Times New Roman"/>
          <w:sz w:val="20"/>
          <w:szCs w:val="20"/>
          <w:lang w:val="en-US" w:eastAsia="es-ES" w:bidi="es-ES"/>
        </w:rPr>
        <w:t xml:space="preserve">civil damages ordered in the domestic courts </w:t>
      </w:r>
      <w:r w:rsidR="007B6B60" w:rsidRPr="00785D06">
        <w:rPr>
          <w:rFonts w:eastAsia="Times New Roman"/>
          <w:sz w:val="20"/>
          <w:szCs w:val="20"/>
          <w:lang w:val="en-US" w:eastAsia="es-ES" w:bidi="es-ES"/>
        </w:rPr>
        <w:t xml:space="preserve">and </w:t>
      </w:r>
      <w:r w:rsidR="00C254BF" w:rsidRPr="00785D06">
        <w:rPr>
          <w:rFonts w:eastAsia="Times New Roman"/>
          <w:sz w:val="20"/>
          <w:szCs w:val="20"/>
          <w:lang w:val="en-US" w:eastAsia="es-ES" w:bidi="es-ES"/>
        </w:rPr>
        <w:t xml:space="preserve">ensure </w:t>
      </w:r>
      <w:r w:rsidR="007B6B60" w:rsidRPr="00785D06">
        <w:rPr>
          <w:rFonts w:eastAsia="Times New Roman"/>
          <w:sz w:val="20"/>
          <w:szCs w:val="20"/>
          <w:lang w:val="en-US" w:eastAsia="es-ES" w:bidi="es-ES"/>
        </w:rPr>
        <w:t xml:space="preserve">that this is </w:t>
      </w:r>
      <w:r w:rsidR="00C254BF" w:rsidRPr="00785D06">
        <w:rPr>
          <w:rFonts w:eastAsia="Times New Roman"/>
          <w:sz w:val="20"/>
          <w:szCs w:val="20"/>
          <w:lang w:val="en-US" w:eastAsia="es-ES" w:bidi="es-ES"/>
        </w:rPr>
        <w:t xml:space="preserve">paid by the </w:t>
      </w:r>
      <w:r w:rsidR="0097298A" w:rsidRPr="00785D06">
        <w:rPr>
          <w:rFonts w:eastAsia="Times New Roman"/>
          <w:sz w:val="20"/>
          <w:szCs w:val="20"/>
          <w:lang w:val="en-US" w:eastAsia="es-ES" w:bidi="es-ES"/>
        </w:rPr>
        <w:t>vice principal</w:t>
      </w:r>
      <w:r w:rsidR="00C254BF" w:rsidRPr="00785D06">
        <w:rPr>
          <w:rFonts w:eastAsia="Times New Roman"/>
          <w:sz w:val="20"/>
          <w:szCs w:val="20"/>
          <w:lang w:val="en-US" w:eastAsia="es-ES" w:bidi="es-ES"/>
        </w:rPr>
        <w:t xml:space="preserve"> </w:t>
      </w:r>
      <w:r w:rsidR="007B6B60" w:rsidRPr="00785D06">
        <w:rPr>
          <w:rFonts w:eastAsia="Times New Roman"/>
          <w:sz w:val="20"/>
          <w:szCs w:val="20"/>
          <w:lang w:val="en-US" w:eastAsia="es-ES" w:bidi="es-ES"/>
        </w:rPr>
        <w:t xml:space="preserve">to </w:t>
      </w:r>
      <w:r w:rsidR="00C254BF" w:rsidRPr="00785D06">
        <w:rPr>
          <w:rFonts w:eastAsia="Times New Roman"/>
          <w:sz w:val="20"/>
          <w:szCs w:val="20"/>
          <w:lang w:val="en-US" w:eastAsia="es-ES" w:bidi="es-ES"/>
        </w:rPr>
        <w:t xml:space="preserve">Paola’s </w:t>
      </w:r>
      <w:r w:rsidR="00373B4B" w:rsidRPr="00785D06">
        <w:rPr>
          <w:rFonts w:eastAsia="Times New Roman"/>
          <w:sz w:val="20"/>
          <w:szCs w:val="20"/>
          <w:lang w:val="en-US" w:eastAsia="es-ES" w:bidi="es-ES"/>
        </w:rPr>
        <w:t>family</w:t>
      </w:r>
      <w:r w:rsidR="00C254BF" w:rsidRPr="00785D06">
        <w:rPr>
          <w:rFonts w:eastAsia="Times New Roman"/>
          <w:lang w:val="en-US" w:eastAsia="es-ES" w:bidi="es-ES"/>
        </w:rPr>
        <w:t>.</w:t>
      </w:r>
    </w:p>
    <w:p w14:paraId="23DEFB6A" w14:textId="77777777" w:rsidR="00C254BF" w:rsidRPr="00785D06" w:rsidRDefault="00C254BF" w:rsidP="00C254BF">
      <w:pPr>
        <w:pStyle w:val="Prrafodelista"/>
        <w:rPr>
          <w:rFonts w:eastAsia="Times New Roman"/>
          <w:sz w:val="20"/>
          <w:szCs w:val="20"/>
          <w:lang w:val="en-US" w:eastAsia="es-ES" w:bidi="es-ES"/>
        </w:rPr>
      </w:pPr>
    </w:p>
    <w:p w14:paraId="3C5FE427"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 xml:space="preserve">The </w:t>
      </w:r>
      <w:r w:rsidRPr="00785D06">
        <w:rPr>
          <w:rFonts w:eastAsia="Times New Roman"/>
          <w:b/>
          <w:i/>
          <w:sz w:val="20"/>
          <w:szCs w:val="20"/>
          <w:lang w:val="en-US" w:eastAsia="es-ES" w:bidi="es-ES"/>
        </w:rPr>
        <w:t xml:space="preserve">State </w:t>
      </w:r>
      <w:r w:rsidRPr="00785D06">
        <w:rPr>
          <w:rFonts w:eastAsia="Times New Roman"/>
          <w:sz w:val="20"/>
          <w:szCs w:val="20"/>
          <w:lang w:val="en-US" w:eastAsia="es-ES" w:bidi="es-ES"/>
        </w:rPr>
        <w:t xml:space="preserve">considered that the representatives did not </w:t>
      </w:r>
      <w:r w:rsidR="007B6B60" w:rsidRPr="00785D06">
        <w:rPr>
          <w:rFonts w:eastAsia="Times New Roman"/>
          <w:sz w:val="20"/>
          <w:szCs w:val="20"/>
          <w:lang w:val="en-US" w:eastAsia="es-ES" w:bidi="es-ES"/>
        </w:rPr>
        <w:t xml:space="preserve">prove </w:t>
      </w:r>
      <w:r w:rsidRPr="00785D06">
        <w:rPr>
          <w:rFonts w:eastAsia="Times New Roman"/>
          <w:sz w:val="20"/>
          <w:szCs w:val="20"/>
          <w:lang w:val="en-US" w:eastAsia="es-ES" w:bidi="es-ES"/>
        </w:rPr>
        <w:t xml:space="preserve">a direct causal link between the actions or omissions of </w:t>
      </w:r>
      <w:r w:rsidR="004E5B5A" w:rsidRPr="00785D06">
        <w:rPr>
          <w:rFonts w:eastAsia="Times New Roman"/>
          <w:sz w:val="20"/>
          <w:szCs w:val="20"/>
          <w:lang w:val="en-US" w:eastAsia="es-ES" w:bidi="es-ES"/>
        </w:rPr>
        <w:t xml:space="preserve">its officials </w:t>
      </w:r>
      <w:r w:rsidRPr="00785D06">
        <w:rPr>
          <w:rFonts w:eastAsia="Times New Roman"/>
          <w:sz w:val="20"/>
          <w:szCs w:val="20"/>
          <w:lang w:val="en-US" w:eastAsia="es-ES" w:bidi="es-ES"/>
        </w:rPr>
        <w:t xml:space="preserve">and </w:t>
      </w:r>
      <w:r w:rsidR="004E5B5A" w:rsidRPr="00785D06">
        <w:rPr>
          <w:rFonts w:eastAsia="Times New Roman"/>
          <w:sz w:val="20"/>
          <w:szCs w:val="20"/>
          <w:lang w:val="en-US" w:eastAsia="es-ES" w:bidi="es-ES"/>
        </w:rPr>
        <w:t xml:space="preserve">Paola Guzman’s </w:t>
      </w:r>
      <w:r w:rsidR="004D6677" w:rsidRPr="00785D06">
        <w:rPr>
          <w:rFonts w:eastAsia="Times New Roman"/>
          <w:sz w:val="20"/>
          <w:szCs w:val="20"/>
          <w:lang w:val="en-US" w:eastAsia="es-ES" w:bidi="es-ES"/>
        </w:rPr>
        <w:t>death. T</w:t>
      </w:r>
      <w:r w:rsidR="009F09AA" w:rsidRPr="00785D06">
        <w:rPr>
          <w:rFonts w:eastAsia="Times New Roman"/>
          <w:sz w:val="20"/>
          <w:szCs w:val="20"/>
          <w:lang w:val="en-US" w:eastAsia="es-ES" w:bidi="es-ES"/>
        </w:rPr>
        <w:t>herefore,</w:t>
      </w:r>
      <w:r w:rsidRPr="00785D06">
        <w:rPr>
          <w:rFonts w:eastAsia="Times New Roman"/>
          <w:sz w:val="20"/>
          <w:szCs w:val="20"/>
          <w:lang w:val="en-US" w:eastAsia="es-ES" w:bidi="es-ES"/>
        </w:rPr>
        <w:t xml:space="preserve"> it </w:t>
      </w:r>
      <w:r w:rsidR="009F09AA" w:rsidRPr="00785D06">
        <w:rPr>
          <w:rFonts w:eastAsia="Times New Roman"/>
          <w:sz w:val="20"/>
          <w:szCs w:val="20"/>
          <w:lang w:val="en-US" w:eastAsia="es-ES" w:bidi="es-ES"/>
        </w:rPr>
        <w:t xml:space="preserve">argued that the Court should </w:t>
      </w:r>
      <w:r w:rsidRPr="00785D06">
        <w:rPr>
          <w:rFonts w:eastAsia="Times New Roman"/>
          <w:sz w:val="20"/>
          <w:szCs w:val="20"/>
          <w:lang w:val="en-US" w:eastAsia="es-ES" w:bidi="es-ES"/>
        </w:rPr>
        <w:t>dismiss the</w:t>
      </w:r>
      <w:r w:rsidR="009F09AA" w:rsidRPr="00785D06">
        <w:rPr>
          <w:rFonts w:eastAsia="Times New Roman"/>
          <w:sz w:val="20"/>
          <w:szCs w:val="20"/>
          <w:lang w:val="en-US" w:eastAsia="es-ES" w:bidi="es-ES"/>
        </w:rPr>
        <w:t>ir</w:t>
      </w:r>
      <w:r w:rsidRPr="00785D06">
        <w:rPr>
          <w:rFonts w:eastAsia="Times New Roman"/>
          <w:sz w:val="20"/>
          <w:szCs w:val="20"/>
          <w:lang w:val="en-US" w:eastAsia="es-ES" w:bidi="es-ES"/>
        </w:rPr>
        <w:t xml:space="preserve"> request for compensation for expenses incurred as a result of her death, such as funeral expenses. </w:t>
      </w:r>
      <w:r w:rsidR="0079235D" w:rsidRPr="00785D06">
        <w:rPr>
          <w:rFonts w:eastAsia="Times New Roman"/>
          <w:sz w:val="20"/>
          <w:szCs w:val="20"/>
          <w:lang w:val="en-US" w:eastAsia="es-ES" w:bidi="es-ES"/>
        </w:rPr>
        <w:t xml:space="preserve">With respect to </w:t>
      </w:r>
      <w:r w:rsidR="00915B79" w:rsidRPr="00785D06">
        <w:rPr>
          <w:rFonts w:eastAsia="Times New Roman"/>
          <w:sz w:val="20"/>
          <w:szCs w:val="20"/>
          <w:lang w:val="en-US" w:eastAsia="es-ES" w:bidi="es-ES"/>
        </w:rPr>
        <w:t>loss of profits</w:t>
      </w:r>
      <w:r w:rsidRPr="00785D06">
        <w:rPr>
          <w:rFonts w:eastAsia="Times New Roman"/>
          <w:sz w:val="20"/>
          <w:szCs w:val="20"/>
          <w:lang w:val="en-US" w:eastAsia="es-ES" w:bidi="es-ES"/>
        </w:rPr>
        <w:t xml:space="preserve">, </w:t>
      </w:r>
      <w:r w:rsidR="007B6B60" w:rsidRPr="00785D06">
        <w:rPr>
          <w:rFonts w:eastAsia="Times New Roman"/>
          <w:sz w:val="20"/>
          <w:szCs w:val="20"/>
          <w:lang w:val="en-US" w:eastAsia="es-ES" w:bidi="es-ES"/>
        </w:rPr>
        <w:t xml:space="preserve">the State </w:t>
      </w:r>
      <w:r w:rsidRPr="00785D06">
        <w:rPr>
          <w:rFonts w:eastAsia="Times New Roman"/>
          <w:sz w:val="20"/>
          <w:szCs w:val="20"/>
          <w:lang w:val="en-US" w:eastAsia="es-ES" w:bidi="es-ES"/>
        </w:rPr>
        <w:t>requested that</w:t>
      </w:r>
      <w:r w:rsidR="005E1B08" w:rsidRPr="00785D06">
        <w:rPr>
          <w:rFonts w:eastAsia="Times New Roman"/>
          <w:sz w:val="20"/>
          <w:szCs w:val="20"/>
          <w:lang w:val="en-US" w:eastAsia="es-ES" w:bidi="es-ES"/>
        </w:rPr>
        <w:t xml:space="preserve">, </w:t>
      </w:r>
      <w:r w:rsidR="00691B1E" w:rsidRPr="00785D06">
        <w:rPr>
          <w:rFonts w:eastAsia="Times New Roman"/>
          <w:sz w:val="20"/>
          <w:szCs w:val="20"/>
          <w:lang w:val="en-US" w:eastAsia="es-ES" w:bidi="es-ES"/>
        </w:rPr>
        <w:t xml:space="preserve">if </w:t>
      </w:r>
      <w:r w:rsidR="005E1B08" w:rsidRPr="00785D06">
        <w:rPr>
          <w:rFonts w:eastAsia="Times New Roman"/>
          <w:sz w:val="20"/>
          <w:szCs w:val="20"/>
          <w:lang w:val="en-US" w:eastAsia="es-ES" w:bidi="es-ES"/>
        </w:rPr>
        <w:t xml:space="preserve">the Court </w:t>
      </w:r>
      <w:r w:rsidR="00691B1E" w:rsidRPr="00785D06">
        <w:rPr>
          <w:rFonts w:eastAsia="Times New Roman"/>
          <w:sz w:val="20"/>
          <w:szCs w:val="20"/>
          <w:lang w:val="en-US" w:eastAsia="es-ES" w:bidi="es-ES"/>
        </w:rPr>
        <w:t xml:space="preserve">should </w:t>
      </w:r>
      <w:r w:rsidR="005E1B08" w:rsidRPr="00785D06">
        <w:rPr>
          <w:rFonts w:eastAsia="Times New Roman"/>
          <w:sz w:val="20"/>
          <w:szCs w:val="20"/>
          <w:lang w:val="en-US" w:eastAsia="es-ES" w:bidi="es-ES"/>
        </w:rPr>
        <w:t xml:space="preserve">order this </w:t>
      </w:r>
      <w:r w:rsidR="007B6B60" w:rsidRPr="00785D06">
        <w:rPr>
          <w:rFonts w:eastAsia="Times New Roman"/>
          <w:sz w:val="20"/>
          <w:szCs w:val="20"/>
          <w:lang w:val="en-US" w:eastAsia="es-ES" w:bidi="es-ES"/>
        </w:rPr>
        <w:t>measure</w:t>
      </w:r>
      <w:r w:rsidR="005E1B08" w:rsidRPr="00785D06">
        <w:rPr>
          <w:rFonts w:eastAsia="Times New Roman"/>
          <w:sz w:val="20"/>
          <w:szCs w:val="20"/>
          <w:lang w:val="en-US" w:eastAsia="es-ES" w:bidi="es-ES"/>
        </w:rPr>
        <w:t>,</w:t>
      </w:r>
      <w:r w:rsidR="007B6B60" w:rsidRPr="00785D06">
        <w:rPr>
          <w:rFonts w:eastAsia="Times New Roman"/>
          <w:sz w:val="20"/>
          <w:szCs w:val="20"/>
          <w:lang w:val="en-US" w:eastAsia="es-ES" w:bidi="es-ES"/>
        </w:rPr>
        <w:t xml:space="preserve"> </w:t>
      </w:r>
      <w:r w:rsidRPr="00785D06">
        <w:rPr>
          <w:rFonts w:eastAsia="Times New Roman"/>
          <w:sz w:val="20"/>
          <w:szCs w:val="20"/>
          <w:lang w:val="en-US" w:eastAsia="es-ES" w:bidi="es-ES"/>
        </w:rPr>
        <w:t xml:space="preserve">the </w:t>
      </w:r>
      <w:r w:rsidR="00691B1E" w:rsidRPr="00785D06">
        <w:rPr>
          <w:rFonts w:eastAsia="Times New Roman"/>
          <w:sz w:val="20"/>
          <w:szCs w:val="20"/>
          <w:lang w:val="en-US" w:eastAsia="es-ES" w:bidi="es-ES"/>
        </w:rPr>
        <w:t xml:space="preserve">amount </w:t>
      </w:r>
      <w:r w:rsidR="00915B79" w:rsidRPr="00785D06">
        <w:rPr>
          <w:rFonts w:eastAsia="Times New Roman"/>
          <w:sz w:val="20"/>
          <w:szCs w:val="20"/>
          <w:lang w:val="en-US" w:eastAsia="es-ES" w:bidi="es-ES"/>
        </w:rPr>
        <w:t xml:space="preserve">be calculated </w:t>
      </w:r>
      <w:r w:rsidR="005E1B08" w:rsidRPr="00785D06">
        <w:rPr>
          <w:rFonts w:eastAsia="Times New Roman"/>
          <w:sz w:val="20"/>
          <w:szCs w:val="20"/>
          <w:lang w:val="en-US" w:eastAsia="es-ES" w:bidi="es-ES"/>
        </w:rPr>
        <w:t xml:space="preserve">based on the </w:t>
      </w:r>
      <w:r w:rsidRPr="00785D06">
        <w:rPr>
          <w:rFonts w:eastAsia="Times New Roman"/>
          <w:sz w:val="20"/>
          <w:szCs w:val="20"/>
          <w:lang w:val="en-US" w:eastAsia="es-ES" w:bidi="es-ES"/>
        </w:rPr>
        <w:t>per</w:t>
      </w:r>
      <w:r w:rsidR="00915B79" w:rsidRPr="00785D06">
        <w:rPr>
          <w:rFonts w:eastAsia="Times New Roman"/>
          <w:sz w:val="20"/>
          <w:szCs w:val="20"/>
          <w:lang w:val="en-US" w:eastAsia="es-ES" w:bidi="es-ES"/>
        </w:rPr>
        <w:t xml:space="preserve">iod </w:t>
      </w:r>
      <w:r w:rsidRPr="00785D06">
        <w:rPr>
          <w:rFonts w:eastAsia="Times New Roman"/>
          <w:sz w:val="20"/>
          <w:szCs w:val="20"/>
          <w:lang w:val="en-US" w:eastAsia="es-ES" w:bidi="es-ES"/>
        </w:rPr>
        <w:t xml:space="preserve">of </w:t>
      </w:r>
      <w:r w:rsidR="005E1B08" w:rsidRPr="00785D06">
        <w:rPr>
          <w:rFonts w:eastAsia="Times New Roman"/>
          <w:sz w:val="20"/>
          <w:szCs w:val="20"/>
          <w:lang w:val="en-US" w:eastAsia="es-ES" w:bidi="es-ES"/>
        </w:rPr>
        <w:t>employment</w:t>
      </w:r>
      <w:r w:rsidR="004D6677" w:rsidRPr="00785D06">
        <w:rPr>
          <w:rFonts w:eastAsia="Times New Roman"/>
          <w:sz w:val="20"/>
          <w:szCs w:val="20"/>
          <w:lang w:val="en-US" w:eastAsia="es-ES" w:bidi="es-ES"/>
        </w:rPr>
        <w:t xml:space="preserve">, </w:t>
      </w:r>
      <w:r w:rsidRPr="00785D06">
        <w:rPr>
          <w:rFonts w:eastAsia="Times New Roman"/>
          <w:sz w:val="20"/>
          <w:szCs w:val="20"/>
          <w:lang w:val="en-US" w:eastAsia="es-ES" w:bidi="es-ES"/>
        </w:rPr>
        <w:t xml:space="preserve">and not </w:t>
      </w:r>
      <w:r w:rsidR="00915B79" w:rsidRPr="00785D06">
        <w:rPr>
          <w:rFonts w:eastAsia="Times New Roman"/>
          <w:sz w:val="20"/>
          <w:szCs w:val="20"/>
          <w:lang w:val="en-US" w:eastAsia="es-ES" w:bidi="es-ES"/>
        </w:rPr>
        <w:t xml:space="preserve">from the date of her </w:t>
      </w:r>
      <w:r w:rsidRPr="00785D06">
        <w:rPr>
          <w:rFonts w:eastAsia="Times New Roman"/>
          <w:sz w:val="20"/>
          <w:szCs w:val="20"/>
          <w:lang w:val="en-US" w:eastAsia="es-ES" w:bidi="es-ES"/>
        </w:rPr>
        <w:t>death.</w:t>
      </w:r>
      <w:r w:rsidRPr="00785D06">
        <w:rPr>
          <w:rStyle w:val="Refdenotaalpie"/>
          <w:rFonts w:eastAsia="Times New Roman"/>
          <w:sz w:val="20"/>
          <w:szCs w:val="20"/>
          <w:lang w:val="en-US" w:eastAsia="es-ES" w:bidi="es-ES"/>
        </w:rPr>
        <w:footnoteReference w:id="230"/>
      </w:r>
      <w:r w:rsidRPr="00785D06">
        <w:rPr>
          <w:rFonts w:eastAsia="Times New Roman"/>
          <w:sz w:val="20"/>
          <w:szCs w:val="20"/>
          <w:lang w:val="en-US" w:eastAsia="es-ES" w:bidi="es-ES"/>
        </w:rPr>
        <w:t xml:space="preserve"> </w:t>
      </w:r>
      <w:r w:rsidR="005E1B08" w:rsidRPr="00785D06">
        <w:rPr>
          <w:rFonts w:eastAsia="Times New Roman"/>
          <w:sz w:val="20"/>
          <w:szCs w:val="20"/>
          <w:lang w:val="en-US" w:eastAsia="es-ES" w:bidi="es-ES"/>
        </w:rPr>
        <w:t xml:space="preserve">As to </w:t>
      </w:r>
      <w:r w:rsidRPr="00785D06">
        <w:rPr>
          <w:rFonts w:eastAsia="Times New Roman"/>
          <w:sz w:val="20"/>
          <w:szCs w:val="20"/>
          <w:lang w:val="en-US" w:eastAsia="es-ES" w:bidi="es-ES"/>
        </w:rPr>
        <w:t xml:space="preserve">the </w:t>
      </w:r>
      <w:r w:rsidR="00915B79" w:rsidRPr="00785D06">
        <w:rPr>
          <w:rFonts w:eastAsia="Times New Roman"/>
          <w:sz w:val="20"/>
          <w:szCs w:val="20"/>
          <w:lang w:val="en-US" w:eastAsia="es-ES" w:bidi="es-ES"/>
        </w:rPr>
        <w:t xml:space="preserve">ruling </w:t>
      </w:r>
      <w:r w:rsidR="005E1B08" w:rsidRPr="00785D06">
        <w:rPr>
          <w:rFonts w:eastAsia="Times New Roman"/>
          <w:sz w:val="20"/>
          <w:szCs w:val="20"/>
          <w:lang w:val="en-US" w:eastAsia="es-ES" w:bidi="es-ES"/>
        </w:rPr>
        <w:t xml:space="preserve">on compensation arising from </w:t>
      </w:r>
      <w:r w:rsidR="00915B79" w:rsidRPr="00785D06">
        <w:rPr>
          <w:rFonts w:eastAsia="Times New Roman"/>
          <w:sz w:val="20"/>
          <w:szCs w:val="20"/>
          <w:lang w:val="en-US" w:eastAsia="es-ES" w:bidi="es-ES"/>
        </w:rPr>
        <w:t xml:space="preserve">the civil lawsuit </w:t>
      </w:r>
      <w:r w:rsidRPr="00785D06">
        <w:rPr>
          <w:rFonts w:eastAsia="Times New Roman"/>
          <w:sz w:val="20"/>
          <w:szCs w:val="20"/>
          <w:lang w:val="en-US" w:eastAsia="es-ES" w:bidi="es-ES"/>
        </w:rPr>
        <w:t xml:space="preserve">against the </w:t>
      </w:r>
      <w:r w:rsidR="0097298A" w:rsidRPr="00785D06">
        <w:rPr>
          <w:rFonts w:eastAsia="Times New Roman"/>
          <w:sz w:val="20"/>
          <w:szCs w:val="20"/>
          <w:lang w:val="en-US" w:eastAsia="es-ES" w:bidi="es-ES"/>
        </w:rPr>
        <w:t>vice principal</w:t>
      </w:r>
      <w:r w:rsidRPr="00785D06">
        <w:rPr>
          <w:rFonts w:eastAsia="Times New Roman"/>
          <w:sz w:val="20"/>
          <w:szCs w:val="20"/>
          <w:lang w:val="en-US" w:eastAsia="es-ES" w:bidi="es-ES"/>
        </w:rPr>
        <w:t>, Ecuador held that the representatives</w:t>
      </w:r>
      <w:r w:rsidR="00915B79" w:rsidRPr="00785D06">
        <w:rPr>
          <w:rFonts w:eastAsia="Times New Roman"/>
          <w:sz w:val="20"/>
          <w:szCs w:val="20"/>
          <w:lang w:val="en-US" w:eastAsia="es-ES" w:bidi="es-ES"/>
        </w:rPr>
        <w:t>’ claim</w:t>
      </w:r>
      <w:r w:rsidRPr="00785D06">
        <w:rPr>
          <w:rFonts w:eastAsia="Times New Roman"/>
          <w:sz w:val="20"/>
          <w:szCs w:val="20"/>
          <w:lang w:val="en-US" w:eastAsia="es-ES" w:bidi="es-ES"/>
        </w:rPr>
        <w:t xml:space="preserve"> would </w:t>
      </w:r>
      <w:r w:rsidR="00915B79" w:rsidRPr="00785D06">
        <w:rPr>
          <w:rFonts w:eastAsia="Times New Roman"/>
          <w:sz w:val="20"/>
          <w:szCs w:val="20"/>
          <w:lang w:val="en-US" w:eastAsia="es-ES" w:bidi="es-ES"/>
        </w:rPr>
        <w:t xml:space="preserve">result in </w:t>
      </w:r>
      <w:r w:rsidRPr="00785D06">
        <w:rPr>
          <w:rFonts w:eastAsia="Times New Roman"/>
          <w:sz w:val="20"/>
          <w:szCs w:val="20"/>
          <w:lang w:val="en-US" w:eastAsia="es-ES" w:bidi="es-ES"/>
        </w:rPr>
        <w:t>“double compensation</w:t>
      </w:r>
      <w:r w:rsidR="00915B79" w:rsidRPr="00785D06">
        <w:rPr>
          <w:rFonts w:eastAsia="Times New Roman"/>
          <w:sz w:val="20"/>
          <w:szCs w:val="20"/>
          <w:lang w:val="en-US" w:eastAsia="es-ES" w:bidi="es-ES"/>
        </w:rPr>
        <w:t>,”</w:t>
      </w:r>
      <w:r w:rsidRPr="00785D06">
        <w:rPr>
          <w:rFonts w:eastAsia="Times New Roman"/>
          <w:sz w:val="20"/>
          <w:szCs w:val="20"/>
          <w:lang w:val="en-US" w:eastAsia="es-ES" w:bidi="es-ES"/>
        </w:rPr>
        <w:t xml:space="preserve"> since they were also asking the State </w:t>
      </w:r>
      <w:r w:rsidR="00691B1E" w:rsidRPr="00785D06">
        <w:rPr>
          <w:rFonts w:eastAsia="Times New Roman"/>
          <w:sz w:val="20"/>
          <w:szCs w:val="20"/>
          <w:lang w:val="en-US" w:eastAsia="es-ES" w:bidi="es-ES"/>
        </w:rPr>
        <w:t xml:space="preserve">to </w:t>
      </w:r>
      <w:r w:rsidRPr="00785D06">
        <w:rPr>
          <w:rFonts w:eastAsia="Times New Roman"/>
          <w:sz w:val="20"/>
          <w:szCs w:val="20"/>
          <w:lang w:val="en-US" w:eastAsia="es-ES" w:bidi="es-ES"/>
        </w:rPr>
        <w:t>pay the total of the damages claimed.</w:t>
      </w:r>
    </w:p>
    <w:p w14:paraId="45C0936B" w14:textId="77777777" w:rsidR="00C254BF" w:rsidRPr="00785D06" w:rsidRDefault="00C254BF" w:rsidP="00C254BF">
      <w:pPr>
        <w:pStyle w:val="Prrafodelista"/>
        <w:rPr>
          <w:sz w:val="20"/>
          <w:szCs w:val="20"/>
          <w:lang w:val="en-US" w:eastAsia="es-ES_tradnl"/>
        </w:rPr>
      </w:pPr>
    </w:p>
    <w:p w14:paraId="07E45541" w14:textId="77777777" w:rsidR="00C254BF" w:rsidRPr="00785D06" w:rsidRDefault="00915B79" w:rsidP="00C254BF">
      <w:pPr>
        <w:pStyle w:val="Prrafodelista"/>
        <w:numPr>
          <w:ilvl w:val="0"/>
          <w:numId w:val="35"/>
        </w:numPr>
        <w:ind w:left="0" w:firstLine="0"/>
        <w:contextualSpacing w:val="0"/>
        <w:jc w:val="both"/>
        <w:rPr>
          <w:sz w:val="20"/>
          <w:szCs w:val="20"/>
          <w:lang w:val="en-US"/>
        </w:rPr>
      </w:pPr>
      <w:r w:rsidRPr="00785D06">
        <w:rPr>
          <w:sz w:val="20"/>
          <w:szCs w:val="20"/>
          <w:lang w:val="en-US" w:eastAsia="es-ES_tradnl"/>
        </w:rPr>
        <w:t xml:space="preserve">In its case law, the </w:t>
      </w:r>
      <w:r w:rsidR="00C254BF" w:rsidRPr="00785D06">
        <w:rPr>
          <w:b/>
          <w:i/>
          <w:sz w:val="20"/>
          <w:szCs w:val="20"/>
          <w:lang w:val="en-US" w:eastAsia="es-ES_tradnl"/>
        </w:rPr>
        <w:t>Court</w:t>
      </w:r>
      <w:r w:rsidR="00C254BF" w:rsidRPr="00785D06">
        <w:rPr>
          <w:sz w:val="20"/>
          <w:szCs w:val="20"/>
          <w:lang w:val="en-US" w:eastAsia="es-ES_tradnl"/>
        </w:rPr>
        <w:t xml:space="preserve"> ha</w:t>
      </w:r>
      <w:r w:rsidRPr="00785D06">
        <w:rPr>
          <w:sz w:val="20"/>
          <w:szCs w:val="20"/>
          <w:lang w:val="en-US" w:eastAsia="es-ES_tradnl"/>
        </w:rPr>
        <w:t>s</w:t>
      </w:r>
      <w:r w:rsidR="00C254BF" w:rsidRPr="00785D06">
        <w:rPr>
          <w:sz w:val="20"/>
          <w:szCs w:val="20"/>
          <w:lang w:val="en-US" w:eastAsia="es-ES_tradnl"/>
        </w:rPr>
        <w:t xml:space="preserve"> </w:t>
      </w:r>
      <w:r w:rsidRPr="00785D06">
        <w:rPr>
          <w:sz w:val="20"/>
          <w:szCs w:val="20"/>
          <w:lang w:val="en-US" w:eastAsia="es-ES_tradnl"/>
        </w:rPr>
        <w:t xml:space="preserve">indicated </w:t>
      </w:r>
      <w:r w:rsidR="00C254BF" w:rsidRPr="00785D06">
        <w:rPr>
          <w:sz w:val="20"/>
          <w:szCs w:val="20"/>
          <w:lang w:val="en-US" w:eastAsia="es-ES_tradnl"/>
        </w:rPr>
        <w:t xml:space="preserve">that pecuniary damage </w:t>
      </w:r>
      <w:r w:rsidRPr="00785D06">
        <w:rPr>
          <w:sz w:val="20"/>
          <w:szCs w:val="20"/>
          <w:lang w:val="en-US"/>
        </w:rPr>
        <w:t>involves the loss of or detriment to the victims</w:t>
      </w:r>
      <w:r w:rsidR="00FF05E5" w:rsidRPr="00785D06">
        <w:rPr>
          <w:sz w:val="20"/>
          <w:szCs w:val="20"/>
          <w:lang w:val="en-US"/>
        </w:rPr>
        <w:t>’</w:t>
      </w:r>
      <w:r w:rsidRPr="00785D06">
        <w:rPr>
          <w:sz w:val="20"/>
          <w:szCs w:val="20"/>
          <w:lang w:val="en-US"/>
        </w:rPr>
        <w:t xml:space="preserve"> income, the expenses incurred as a result of the facts, and the monetary consequences that have a causal nexus with the facts of the</w:t>
      </w:r>
      <w:r w:rsidR="005E1B08" w:rsidRPr="00785D06">
        <w:rPr>
          <w:sz w:val="20"/>
          <w:szCs w:val="20"/>
          <w:lang w:val="en-US"/>
        </w:rPr>
        <w:t xml:space="preserve"> case</w:t>
      </w:r>
      <w:r w:rsidRPr="00785D06">
        <w:rPr>
          <w:sz w:val="20"/>
          <w:szCs w:val="20"/>
          <w:lang w:val="en-US" w:eastAsia="es-ES_tradnl"/>
        </w:rPr>
        <w:t>.</w:t>
      </w:r>
      <w:r w:rsidR="00C254BF" w:rsidRPr="00785D06">
        <w:rPr>
          <w:rStyle w:val="Refdenotaalpie"/>
          <w:sz w:val="20"/>
          <w:szCs w:val="20"/>
          <w:lang w:val="en-US" w:eastAsia="es-ES_tradnl"/>
        </w:rPr>
        <w:footnoteReference w:id="231"/>
      </w:r>
      <w:r w:rsidR="00C254BF" w:rsidRPr="00785D06">
        <w:rPr>
          <w:sz w:val="20"/>
          <w:szCs w:val="20"/>
          <w:lang w:val="en-US" w:eastAsia="es-ES_tradnl"/>
        </w:rPr>
        <w:t xml:space="preserve"> </w:t>
      </w:r>
    </w:p>
    <w:p w14:paraId="5DA748DF" w14:textId="77777777" w:rsidR="00C254BF" w:rsidRPr="00785D06" w:rsidRDefault="00C254BF" w:rsidP="00C254BF">
      <w:pPr>
        <w:pStyle w:val="Prrafodelista"/>
        <w:rPr>
          <w:rFonts w:eastAsia="Times New Roman"/>
          <w:sz w:val="20"/>
          <w:szCs w:val="20"/>
          <w:lang w:val="en-US" w:eastAsia="es-ES" w:bidi="es-ES"/>
        </w:rPr>
      </w:pPr>
    </w:p>
    <w:p w14:paraId="75A37DEE"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This Court</w:t>
      </w:r>
      <w:r w:rsidRPr="00785D06">
        <w:rPr>
          <w:rFonts w:eastAsia="Times New Roman"/>
          <w:i/>
          <w:sz w:val="20"/>
          <w:szCs w:val="20"/>
          <w:lang w:val="en-US" w:eastAsia="es-ES" w:bidi="es-ES"/>
        </w:rPr>
        <w:t xml:space="preserve"> </w:t>
      </w:r>
      <w:r w:rsidRPr="00785D06">
        <w:rPr>
          <w:rFonts w:eastAsia="Times New Roman"/>
          <w:sz w:val="20"/>
          <w:szCs w:val="20"/>
          <w:lang w:val="en-US" w:eastAsia="es-ES" w:bidi="es-ES"/>
        </w:rPr>
        <w:t xml:space="preserve">has determined that Ecuador violated the right to life of Paola del Rosario Guzmán Albarracín. Therefore, it must pay compensation for pecuniary damage </w:t>
      </w:r>
      <w:r w:rsidR="00915B79" w:rsidRPr="00785D06">
        <w:rPr>
          <w:rFonts w:eastAsia="Times New Roman"/>
          <w:sz w:val="20"/>
          <w:szCs w:val="20"/>
          <w:lang w:val="en-US" w:eastAsia="es-ES" w:bidi="es-ES"/>
        </w:rPr>
        <w:t xml:space="preserve">arising from </w:t>
      </w:r>
      <w:r w:rsidRPr="00785D06">
        <w:rPr>
          <w:rFonts w:eastAsia="Times New Roman"/>
          <w:sz w:val="20"/>
          <w:szCs w:val="20"/>
          <w:lang w:val="en-US" w:eastAsia="es-ES" w:bidi="es-ES"/>
        </w:rPr>
        <w:t xml:space="preserve">her death. In relation to </w:t>
      </w:r>
      <w:r w:rsidR="00915B79" w:rsidRPr="00785D06">
        <w:rPr>
          <w:rFonts w:eastAsia="Times New Roman"/>
          <w:sz w:val="20"/>
          <w:szCs w:val="20"/>
          <w:lang w:val="en-US" w:eastAsia="es-ES" w:bidi="es-ES"/>
        </w:rPr>
        <w:t>consequential expenses</w:t>
      </w:r>
      <w:r w:rsidRPr="00785D06">
        <w:rPr>
          <w:rFonts w:eastAsia="Times New Roman"/>
          <w:sz w:val="20"/>
          <w:szCs w:val="20"/>
          <w:lang w:val="en-US" w:eastAsia="es-ES" w:bidi="es-ES"/>
        </w:rPr>
        <w:t xml:space="preserve">, the representatives </w:t>
      </w:r>
      <w:r w:rsidR="00915B79" w:rsidRPr="00785D06">
        <w:rPr>
          <w:rFonts w:eastAsia="Times New Roman"/>
          <w:sz w:val="20"/>
          <w:szCs w:val="20"/>
          <w:lang w:val="en-US" w:eastAsia="es-ES" w:bidi="es-ES"/>
        </w:rPr>
        <w:t>have not justified the amount claimed</w:t>
      </w:r>
      <w:r w:rsidRPr="00785D06">
        <w:rPr>
          <w:rFonts w:eastAsia="Times New Roman"/>
          <w:sz w:val="20"/>
          <w:szCs w:val="20"/>
          <w:lang w:val="en-US" w:eastAsia="es-ES" w:bidi="es-ES"/>
        </w:rPr>
        <w:t xml:space="preserve">. However, it is reasonable </w:t>
      </w:r>
      <w:r w:rsidR="00FF05E5" w:rsidRPr="00785D06">
        <w:rPr>
          <w:rFonts w:eastAsia="Times New Roman"/>
          <w:sz w:val="20"/>
          <w:szCs w:val="20"/>
          <w:lang w:val="en-US" w:eastAsia="es-ES" w:bidi="es-ES"/>
        </w:rPr>
        <w:t xml:space="preserve">to assume that </w:t>
      </w:r>
      <w:r w:rsidR="003055C8" w:rsidRPr="00785D06">
        <w:rPr>
          <w:rFonts w:eastAsia="Times New Roman"/>
          <w:sz w:val="20"/>
          <w:szCs w:val="20"/>
          <w:lang w:val="en-US" w:eastAsia="es-ES" w:bidi="es-ES"/>
        </w:rPr>
        <w:t xml:space="preserve">expenses were incurred after Paola’s death and in the </w:t>
      </w:r>
      <w:r w:rsidR="005404FB" w:rsidRPr="00785D06">
        <w:rPr>
          <w:rFonts w:eastAsia="Times New Roman"/>
          <w:sz w:val="20"/>
          <w:szCs w:val="20"/>
          <w:lang w:val="en-US" w:eastAsia="es-ES" w:bidi="es-ES"/>
        </w:rPr>
        <w:t>efforts to obtain justice</w:t>
      </w:r>
      <w:r w:rsidR="00A734D3" w:rsidRPr="00785D06">
        <w:rPr>
          <w:rFonts w:eastAsia="Times New Roman"/>
          <w:sz w:val="20"/>
          <w:szCs w:val="20"/>
          <w:lang w:val="en-US" w:eastAsia="es-ES" w:bidi="es-ES"/>
        </w:rPr>
        <w:t xml:space="preserve">. Therefore, </w:t>
      </w:r>
      <w:r w:rsidRPr="00785D06">
        <w:rPr>
          <w:rFonts w:eastAsia="Times New Roman"/>
          <w:sz w:val="20"/>
          <w:szCs w:val="20"/>
          <w:lang w:val="en-US" w:eastAsia="es-ES" w:bidi="es-ES"/>
        </w:rPr>
        <w:t xml:space="preserve">the Court </w:t>
      </w:r>
      <w:r w:rsidR="00A734D3" w:rsidRPr="00785D06">
        <w:rPr>
          <w:rFonts w:eastAsia="Times New Roman"/>
          <w:sz w:val="20"/>
          <w:szCs w:val="20"/>
          <w:lang w:val="en-US" w:eastAsia="es-ES" w:bidi="es-ES"/>
        </w:rPr>
        <w:t>considers the</w:t>
      </w:r>
      <w:r w:rsidR="00D84EDD" w:rsidRPr="00785D06">
        <w:rPr>
          <w:rFonts w:eastAsia="Times New Roman"/>
          <w:sz w:val="20"/>
          <w:szCs w:val="20"/>
          <w:lang w:val="en-US" w:eastAsia="es-ES" w:bidi="es-ES"/>
        </w:rPr>
        <w:t>ir</w:t>
      </w:r>
      <w:r w:rsidR="00A734D3" w:rsidRPr="00785D06">
        <w:rPr>
          <w:rFonts w:eastAsia="Times New Roman"/>
          <w:sz w:val="20"/>
          <w:szCs w:val="20"/>
          <w:lang w:val="en-US" w:eastAsia="es-ES" w:bidi="es-ES"/>
        </w:rPr>
        <w:t xml:space="preserve"> claim reasonable and </w:t>
      </w:r>
      <w:r w:rsidRPr="00785D06">
        <w:rPr>
          <w:rFonts w:eastAsia="Times New Roman"/>
          <w:sz w:val="20"/>
          <w:szCs w:val="20"/>
          <w:lang w:val="en-US" w:eastAsia="es-ES" w:bidi="es-ES"/>
        </w:rPr>
        <w:t xml:space="preserve">establishes, in equity, compensation of USD$ 20,000.00 (twenty thousand United States dollars) </w:t>
      </w:r>
      <w:r w:rsidR="00A734D3" w:rsidRPr="00785D06">
        <w:rPr>
          <w:rFonts w:eastAsia="Times New Roman"/>
          <w:sz w:val="20"/>
          <w:szCs w:val="20"/>
          <w:lang w:val="en-US" w:eastAsia="es-ES" w:bidi="es-ES"/>
        </w:rPr>
        <w:t xml:space="preserve">for </w:t>
      </w:r>
      <w:r w:rsidR="00915B79" w:rsidRPr="00785D06">
        <w:rPr>
          <w:rFonts w:eastAsia="Times New Roman"/>
          <w:sz w:val="20"/>
          <w:szCs w:val="20"/>
          <w:lang w:val="en-US" w:eastAsia="es-ES" w:bidi="es-ES"/>
        </w:rPr>
        <w:t>consequential damage</w:t>
      </w:r>
      <w:r w:rsidR="005404FB" w:rsidRPr="00785D06">
        <w:rPr>
          <w:rFonts w:eastAsia="Times New Roman"/>
          <w:sz w:val="20"/>
          <w:szCs w:val="20"/>
          <w:lang w:val="en-US" w:eastAsia="es-ES" w:bidi="es-ES"/>
        </w:rPr>
        <w:t>s</w:t>
      </w:r>
      <w:r w:rsidRPr="00785D06">
        <w:rPr>
          <w:rFonts w:eastAsia="Times New Roman"/>
          <w:sz w:val="20"/>
          <w:szCs w:val="20"/>
          <w:lang w:val="en-US" w:eastAsia="es-ES" w:bidi="es-ES"/>
        </w:rPr>
        <w:t xml:space="preserve">. </w:t>
      </w:r>
      <w:r w:rsidR="00A734D3" w:rsidRPr="00785D06">
        <w:rPr>
          <w:rFonts w:eastAsia="Times New Roman"/>
          <w:sz w:val="20"/>
          <w:szCs w:val="20"/>
          <w:lang w:val="en-US" w:eastAsia="es-ES" w:bidi="es-ES"/>
        </w:rPr>
        <w:t>With respect to</w:t>
      </w:r>
      <w:r w:rsidRPr="00785D06">
        <w:rPr>
          <w:rFonts w:eastAsia="Times New Roman"/>
          <w:sz w:val="20"/>
          <w:szCs w:val="20"/>
          <w:lang w:val="en-US" w:eastAsia="es-ES" w:bidi="es-ES"/>
        </w:rPr>
        <w:t xml:space="preserve"> </w:t>
      </w:r>
      <w:r w:rsidR="00915B79" w:rsidRPr="00785D06">
        <w:rPr>
          <w:rFonts w:eastAsia="Times New Roman"/>
          <w:sz w:val="20"/>
          <w:szCs w:val="20"/>
          <w:lang w:val="en-US" w:eastAsia="es-ES" w:bidi="es-ES"/>
        </w:rPr>
        <w:t>loss of profits</w:t>
      </w:r>
      <w:r w:rsidRPr="00785D06">
        <w:rPr>
          <w:rFonts w:eastAsia="Times New Roman"/>
          <w:sz w:val="20"/>
          <w:szCs w:val="20"/>
          <w:lang w:val="en-US" w:eastAsia="es-ES" w:bidi="es-ES"/>
        </w:rPr>
        <w:t xml:space="preserve">, </w:t>
      </w:r>
      <w:r w:rsidR="00691B1E" w:rsidRPr="00785D06">
        <w:rPr>
          <w:rFonts w:eastAsia="Times New Roman"/>
          <w:sz w:val="20"/>
          <w:szCs w:val="20"/>
          <w:lang w:val="en-US" w:eastAsia="es-ES" w:bidi="es-ES"/>
        </w:rPr>
        <w:t xml:space="preserve">based on </w:t>
      </w:r>
      <w:r w:rsidRPr="00785D06">
        <w:rPr>
          <w:rFonts w:eastAsia="Times New Roman"/>
          <w:sz w:val="20"/>
          <w:szCs w:val="20"/>
          <w:lang w:val="en-US" w:eastAsia="es-ES" w:bidi="es-ES"/>
        </w:rPr>
        <w:t xml:space="preserve">the </w:t>
      </w:r>
      <w:r w:rsidR="00A734D3" w:rsidRPr="00785D06">
        <w:rPr>
          <w:rFonts w:eastAsia="Times New Roman"/>
          <w:sz w:val="20"/>
          <w:szCs w:val="20"/>
          <w:lang w:val="en-US" w:eastAsia="es-ES" w:bidi="es-ES"/>
        </w:rPr>
        <w:t xml:space="preserve">information provided by the representatives on the </w:t>
      </w:r>
      <w:r w:rsidRPr="00785D06">
        <w:rPr>
          <w:rFonts w:eastAsia="Times New Roman"/>
          <w:sz w:val="20"/>
          <w:szCs w:val="20"/>
          <w:lang w:val="en-US" w:eastAsia="es-ES" w:bidi="es-ES"/>
        </w:rPr>
        <w:t xml:space="preserve">amount of the minimum wage and life expectancy in Ecuador, </w:t>
      </w:r>
      <w:r w:rsidR="00A734D3" w:rsidRPr="00785D06">
        <w:rPr>
          <w:rFonts w:eastAsia="Times New Roman"/>
          <w:sz w:val="20"/>
          <w:szCs w:val="20"/>
          <w:lang w:val="en-US" w:eastAsia="es-ES" w:bidi="es-ES"/>
        </w:rPr>
        <w:t xml:space="preserve">which was </w:t>
      </w:r>
      <w:r w:rsidRPr="00785D06">
        <w:rPr>
          <w:rFonts w:eastAsia="Times New Roman"/>
          <w:sz w:val="20"/>
          <w:szCs w:val="20"/>
          <w:lang w:val="en-US" w:eastAsia="es-ES" w:bidi="es-ES"/>
        </w:rPr>
        <w:t xml:space="preserve">not challenged by the State, and considering the </w:t>
      </w:r>
      <w:r w:rsidR="00A734D3" w:rsidRPr="00785D06">
        <w:rPr>
          <w:rFonts w:eastAsia="Times New Roman"/>
          <w:sz w:val="20"/>
          <w:szCs w:val="20"/>
          <w:lang w:val="en-US" w:eastAsia="es-ES" w:bidi="es-ES"/>
        </w:rPr>
        <w:t>period of time that Paola would have worked</w:t>
      </w:r>
      <w:r w:rsidRPr="00785D06">
        <w:rPr>
          <w:rFonts w:eastAsia="Times New Roman"/>
          <w:sz w:val="20"/>
          <w:szCs w:val="20"/>
          <w:lang w:val="en-US" w:eastAsia="es-ES" w:bidi="es-ES"/>
        </w:rPr>
        <w:t xml:space="preserve">, the Court </w:t>
      </w:r>
      <w:r w:rsidR="005404FB" w:rsidRPr="00785D06">
        <w:rPr>
          <w:rFonts w:eastAsia="Times New Roman"/>
          <w:sz w:val="20"/>
          <w:szCs w:val="20"/>
          <w:lang w:val="en-US" w:eastAsia="es-ES" w:bidi="es-ES"/>
        </w:rPr>
        <w:t>decides</w:t>
      </w:r>
      <w:r w:rsidR="0003486C" w:rsidRPr="00785D06">
        <w:rPr>
          <w:rFonts w:eastAsia="Times New Roman"/>
          <w:sz w:val="20"/>
          <w:szCs w:val="20"/>
          <w:lang w:val="en-US" w:eastAsia="es-ES" w:bidi="es-ES"/>
        </w:rPr>
        <w:t xml:space="preserve"> to set </w:t>
      </w:r>
      <w:r w:rsidRPr="00785D06">
        <w:rPr>
          <w:rFonts w:eastAsia="Times New Roman"/>
          <w:sz w:val="20"/>
          <w:szCs w:val="20"/>
          <w:lang w:val="en-US" w:eastAsia="es-ES" w:bidi="es-ES"/>
        </w:rPr>
        <w:t xml:space="preserve">in equity, </w:t>
      </w:r>
      <w:r w:rsidR="00A734D3" w:rsidRPr="00785D06">
        <w:rPr>
          <w:rFonts w:eastAsia="Times New Roman"/>
          <w:sz w:val="20"/>
          <w:szCs w:val="20"/>
          <w:lang w:val="en-US" w:eastAsia="es-ES" w:bidi="es-ES"/>
        </w:rPr>
        <w:t xml:space="preserve">the sum of </w:t>
      </w:r>
      <w:r w:rsidRPr="00785D06">
        <w:rPr>
          <w:rFonts w:eastAsia="Times New Roman"/>
          <w:sz w:val="20"/>
          <w:szCs w:val="20"/>
          <w:lang w:val="en-US" w:eastAsia="es-ES" w:bidi="es-ES"/>
        </w:rPr>
        <w:t>USD$ 50,000.00 (fifty thousand United States dollars)</w:t>
      </w:r>
      <w:r w:rsidR="00A734D3" w:rsidRPr="00785D06">
        <w:rPr>
          <w:rFonts w:eastAsia="Times New Roman"/>
          <w:sz w:val="20"/>
          <w:szCs w:val="20"/>
          <w:lang w:val="en-US" w:eastAsia="es-ES" w:bidi="es-ES"/>
        </w:rPr>
        <w:t xml:space="preserve"> as compensation</w:t>
      </w:r>
      <w:r w:rsidRPr="00785D06">
        <w:rPr>
          <w:rFonts w:eastAsia="Times New Roman"/>
          <w:sz w:val="20"/>
          <w:szCs w:val="20"/>
          <w:lang w:val="en-US" w:eastAsia="es-ES" w:bidi="es-ES"/>
        </w:rPr>
        <w:t xml:space="preserve">. Therefore, the State must pay the total sum of USD$ 70.000 (seventy thousand United States dollars). Said amount must be distributed, in equal parts, between Mrs. Petita Paulina Albarracín Albán and Denisse Selena Guzmán Albarracín. </w:t>
      </w:r>
    </w:p>
    <w:p w14:paraId="1C231B62" w14:textId="77777777" w:rsidR="00C254BF" w:rsidRPr="00785D06" w:rsidRDefault="00C254BF" w:rsidP="00C254BF">
      <w:pPr>
        <w:pStyle w:val="Prrafodelista"/>
        <w:rPr>
          <w:rFonts w:eastAsia="Times New Roman"/>
          <w:sz w:val="20"/>
          <w:szCs w:val="20"/>
          <w:lang w:val="en-US" w:eastAsia="es-ES" w:bidi="es-ES"/>
        </w:rPr>
      </w:pPr>
    </w:p>
    <w:p w14:paraId="09DE4543" w14:textId="77777777" w:rsidR="00C254BF" w:rsidRPr="00785D06" w:rsidRDefault="00A734D3"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On the other hand,</w:t>
      </w:r>
      <w:r w:rsidR="00C254BF" w:rsidRPr="00785D06">
        <w:rPr>
          <w:rFonts w:eastAsia="Times New Roman"/>
          <w:sz w:val="20"/>
          <w:szCs w:val="20"/>
          <w:lang w:val="en-US" w:eastAsia="es-ES" w:bidi="es-ES"/>
        </w:rPr>
        <w:t xml:space="preserve"> the Court </w:t>
      </w:r>
      <w:r w:rsidR="00D84EDD" w:rsidRPr="00785D06">
        <w:rPr>
          <w:rFonts w:eastAsia="Times New Roman"/>
          <w:sz w:val="20"/>
          <w:szCs w:val="20"/>
          <w:lang w:val="en-US" w:eastAsia="es-ES" w:bidi="es-ES"/>
        </w:rPr>
        <w:t xml:space="preserve">does not find that </w:t>
      </w:r>
      <w:r w:rsidR="00C254BF" w:rsidRPr="00785D06">
        <w:rPr>
          <w:rFonts w:eastAsia="Times New Roman"/>
          <w:sz w:val="20"/>
          <w:szCs w:val="20"/>
          <w:lang w:val="en-US" w:eastAsia="es-ES" w:bidi="es-ES"/>
        </w:rPr>
        <w:t xml:space="preserve">Ecuador </w:t>
      </w:r>
      <w:r w:rsidR="00D84EDD" w:rsidRPr="00785D06">
        <w:rPr>
          <w:rFonts w:eastAsia="Times New Roman"/>
          <w:sz w:val="20"/>
          <w:szCs w:val="20"/>
          <w:lang w:val="en-US" w:eastAsia="es-ES" w:bidi="es-ES"/>
        </w:rPr>
        <w:t xml:space="preserve">is </w:t>
      </w:r>
      <w:r w:rsidRPr="00785D06">
        <w:rPr>
          <w:rFonts w:eastAsia="Times New Roman"/>
          <w:sz w:val="20"/>
          <w:szCs w:val="20"/>
          <w:lang w:val="en-US" w:eastAsia="es-ES" w:bidi="es-ES"/>
        </w:rPr>
        <w:t xml:space="preserve">responsible for </w:t>
      </w:r>
      <w:r w:rsidR="00C254BF" w:rsidRPr="00785D06">
        <w:rPr>
          <w:rFonts w:eastAsia="Times New Roman"/>
          <w:sz w:val="20"/>
          <w:szCs w:val="20"/>
          <w:lang w:val="en-US" w:eastAsia="es-ES" w:bidi="es-ES"/>
        </w:rPr>
        <w:t xml:space="preserve">human rights </w:t>
      </w:r>
      <w:r w:rsidRPr="00785D06">
        <w:rPr>
          <w:rFonts w:eastAsia="Times New Roman"/>
          <w:sz w:val="20"/>
          <w:szCs w:val="20"/>
          <w:lang w:val="en-US" w:eastAsia="es-ES" w:bidi="es-ES"/>
        </w:rPr>
        <w:t xml:space="preserve">violations specifically related to </w:t>
      </w:r>
      <w:r w:rsidR="00C254BF" w:rsidRPr="00785D06">
        <w:rPr>
          <w:rFonts w:eastAsia="Times New Roman"/>
          <w:sz w:val="20"/>
          <w:szCs w:val="20"/>
          <w:lang w:val="en-US" w:eastAsia="es-ES" w:bidi="es-ES"/>
        </w:rPr>
        <w:t xml:space="preserve">the </w:t>
      </w:r>
      <w:r w:rsidRPr="00785D06">
        <w:rPr>
          <w:rFonts w:eastAsia="Times New Roman"/>
          <w:sz w:val="20"/>
          <w:szCs w:val="20"/>
          <w:lang w:val="en-US" w:eastAsia="es-ES" w:bidi="es-ES"/>
        </w:rPr>
        <w:t xml:space="preserve">civil lawsuit for damages pursued </w:t>
      </w:r>
      <w:r w:rsidR="00C254BF" w:rsidRPr="00785D06">
        <w:rPr>
          <w:rFonts w:eastAsia="Times New Roman"/>
          <w:sz w:val="20"/>
          <w:szCs w:val="20"/>
          <w:lang w:val="en-US" w:eastAsia="es-ES" w:bidi="es-ES"/>
        </w:rPr>
        <w:t>in the domestic courts. Therefore, it is not app</w:t>
      </w:r>
      <w:r w:rsidR="00D84EDD" w:rsidRPr="00785D06">
        <w:rPr>
          <w:rFonts w:eastAsia="Times New Roman"/>
          <w:sz w:val="20"/>
          <w:szCs w:val="20"/>
          <w:lang w:val="en-US" w:eastAsia="es-ES" w:bidi="es-ES"/>
        </w:rPr>
        <w:t>ropriate to order any measure or</w:t>
      </w:r>
      <w:r w:rsidR="00691B1E" w:rsidRPr="00785D06">
        <w:rPr>
          <w:rFonts w:eastAsia="Times New Roman"/>
          <w:sz w:val="20"/>
          <w:szCs w:val="20"/>
          <w:lang w:val="en-US" w:eastAsia="es-ES" w:bidi="es-ES"/>
        </w:rPr>
        <w:t xml:space="preserve"> compensation in that</w:t>
      </w:r>
      <w:r w:rsidR="00C254BF" w:rsidRPr="00785D06">
        <w:rPr>
          <w:rFonts w:eastAsia="Times New Roman"/>
          <w:sz w:val="20"/>
          <w:szCs w:val="20"/>
          <w:lang w:val="en-US" w:eastAsia="es-ES" w:bidi="es-ES"/>
        </w:rPr>
        <w:t xml:space="preserve"> regard. </w:t>
      </w:r>
    </w:p>
    <w:p w14:paraId="2F13D9D5" w14:textId="77777777" w:rsidR="00C254BF" w:rsidRPr="00785D06" w:rsidRDefault="00C254BF" w:rsidP="00C254BF">
      <w:pPr>
        <w:jc w:val="both"/>
        <w:rPr>
          <w:rFonts w:eastAsia="Times New Roman"/>
          <w:sz w:val="20"/>
          <w:szCs w:val="20"/>
          <w:lang w:val="en-US" w:eastAsia="es-ES" w:bidi="es-ES"/>
        </w:rPr>
      </w:pPr>
    </w:p>
    <w:p w14:paraId="27988697" w14:textId="77777777" w:rsidR="00C254BF" w:rsidRPr="00785D06" w:rsidRDefault="00C254BF" w:rsidP="00C254BF">
      <w:pPr>
        <w:pStyle w:val="Prrafodelista"/>
        <w:ind w:left="567"/>
        <w:contextualSpacing w:val="0"/>
        <w:jc w:val="both"/>
        <w:outlineLvl w:val="2"/>
        <w:rPr>
          <w:rFonts w:eastAsia="Times New Roman"/>
          <w:sz w:val="20"/>
          <w:szCs w:val="20"/>
          <w:lang w:val="en-US" w:eastAsia="es-ES" w:bidi="es-ES"/>
        </w:rPr>
      </w:pPr>
      <w:bookmarkStart w:id="181" w:name="_Toc41906250"/>
      <w:bookmarkStart w:id="182" w:name="_Toc42498079"/>
      <w:bookmarkStart w:id="183" w:name="_Toc46937327"/>
      <w:r w:rsidRPr="00785D06">
        <w:rPr>
          <w:i/>
          <w:sz w:val="20"/>
          <w:szCs w:val="20"/>
          <w:lang w:val="en-US"/>
        </w:rPr>
        <w:t xml:space="preserve">G.2 </w:t>
      </w:r>
      <w:r w:rsidRPr="00785D06">
        <w:rPr>
          <w:i/>
          <w:sz w:val="20"/>
          <w:szCs w:val="20"/>
          <w:u w:val="single"/>
          <w:lang w:val="en-US"/>
        </w:rPr>
        <w:t>Non-pecuniary damage</w:t>
      </w:r>
      <w:bookmarkEnd w:id="181"/>
      <w:bookmarkEnd w:id="182"/>
      <w:bookmarkEnd w:id="183"/>
    </w:p>
    <w:p w14:paraId="217009E7" w14:textId="77777777" w:rsidR="00C254BF" w:rsidRPr="00785D06" w:rsidRDefault="00C254BF" w:rsidP="00C254BF">
      <w:pPr>
        <w:pStyle w:val="Prrafodelista"/>
        <w:ind w:left="0"/>
        <w:contextualSpacing w:val="0"/>
        <w:jc w:val="both"/>
        <w:rPr>
          <w:sz w:val="20"/>
          <w:szCs w:val="20"/>
          <w:lang w:val="en-US"/>
        </w:rPr>
      </w:pPr>
    </w:p>
    <w:p w14:paraId="62389B7D" w14:textId="77777777" w:rsidR="00C254BF" w:rsidRPr="00785D06" w:rsidRDefault="003055C8" w:rsidP="00C254BF">
      <w:pPr>
        <w:pStyle w:val="Prrafodelista"/>
        <w:numPr>
          <w:ilvl w:val="0"/>
          <w:numId w:val="35"/>
        </w:numPr>
        <w:ind w:left="0" w:firstLine="0"/>
        <w:contextualSpacing w:val="0"/>
        <w:jc w:val="both"/>
        <w:rPr>
          <w:sz w:val="20"/>
          <w:szCs w:val="20"/>
          <w:lang w:val="en-US"/>
        </w:rPr>
      </w:pPr>
      <w:r w:rsidRPr="00785D06">
        <w:rPr>
          <w:sz w:val="20"/>
          <w:szCs w:val="20"/>
          <w:lang w:val="en-US"/>
        </w:rPr>
        <w:t>A</w:t>
      </w:r>
      <w:r w:rsidR="00C254BF" w:rsidRPr="00785D06">
        <w:rPr>
          <w:sz w:val="20"/>
          <w:szCs w:val="20"/>
          <w:lang w:val="en-US"/>
        </w:rPr>
        <w:t xml:space="preserve">s </w:t>
      </w:r>
      <w:r w:rsidR="00C254BF" w:rsidRPr="00785D06">
        <w:rPr>
          <w:rFonts w:eastAsia="Calibri"/>
          <w:sz w:val="20"/>
          <w:szCs w:val="20"/>
          <w:lang w:val="en-US"/>
        </w:rPr>
        <w:t xml:space="preserve">indicated </w:t>
      </w:r>
      <w:r w:rsidR="00D84EDD" w:rsidRPr="00785D06">
        <w:rPr>
          <w:rFonts w:eastAsia="Calibri"/>
          <w:sz w:val="20"/>
          <w:szCs w:val="20"/>
          <w:lang w:val="en-US"/>
        </w:rPr>
        <w:t xml:space="preserve">previously </w:t>
      </w:r>
      <w:r w:rsidR="00C254BF" w:rsidRPr="00785D06">
        <w:rPr>
          <w:rFonts w:eastAsia="Calibri"/>
          <w:sz w:val="20"/>
          <w:szCs w:val="20"/>
          <w:lang w:val="en-US"/>
        </w:rPr>
        <w:t>(</w:t>
      </w:r>
      <w:r w:rsidR="00C254BF" w:rsidRPr="00785D06">
        <w:rPr>
          <w:rFonts w:eastAsia="Calibri"/>
          <w:i/>
          <w:sz w:val="20"/>
          <w:szCs w:val="20"/>
          <w:lang w:val="en-US"/>
        </w:rPr>
        <w:t xml:space="preserve">supra </w:t>
      </w:r>
      <w:r w:rsidR="00C254BF" w:rsidRPr="00785D06">
        <w:rPr>
          <w:rFonts w:eastAsia="Calibri"/>
          <w:sz w:val="20"/>
          <w:szCs w:val="20"/>
          <w:lang w:val="en-US"/>
        </w:rPr>
        <w:t xml:space="preserve">para. 251), </w:t>
      </w:r>
      <w:r w:rsidRPr="00785D06">
        <w:rPr>
          <w:sz w:val="20"/>
          <w:szCs w:val="20"/>
          <w:lang w:val="en-US"/>
        </w:rPr>
        <w:t xml:space="preserve">the </w:t>
      </w:r>
      <w:r w:rsidRPr="00785D06">
        <w:rPr>
          <w:b/>
          <w:i/>
          <w:sz w:val="20"/>
          <w:szCs w:val="20"/>
          <w:lang w:val="en-US"/>
        </w:rPr>
        <w:t>Commission</w:t>
      </w:r>
      <w:r w:rsidRPr="00785D06">
        <w:rPr>
          <w:i/>
          <w:sz w:val="20"/>
          <w:szCs w:val="20"/>
          <w:lang w:val="en-US"/>
        </w:rPr>
        <w:t xml:space="preserve"> </w:t>
      </w:r>
      <w:r w:rsidR="00C254BF" w:rsidRPr="00785D06">
        <w:rPr>
          <w:rFonts w:eastAsia="Calibri"/>
          <w:sz w:val="20"/>
          <w:szCs w:val="20"/>
          <w:lang w:val="en-US"/>
        </w:rPr>
        <w:t>requested compensation for moral damages.</w:t>
      </w:r>
    </w:p>
    <w:p w14:paraId="30B1E992" w14:textId="77777777" w:rsidR="00C254BF" w:rsidRPr="00785D06" w:rsidRDefault="00C254BF" w:rsidP="00C254BF">
      <w:pPr>
        <w:pStyle w:val="Prrafodelista"/>
        <w:ind w:left="0"/>
        <w:contextualSpacing w:val="0"/>
        <w:jc w:val="both"/>
        <w:rPr>
          <w:sz w:val="20"/>
          <w:szCs w:val="20"/>
          <w:lang w:val="en-US"/>
        </w:rPr>
      </w:pPr>
    </w:p>
    <w:p w14:paraId="345A53BE"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 xml:space="preserve">The </w:t>
      </w:r>
      <w:r w:rsidRPr="00785D06">
        <w:rPr>
          <w:rFonts w:eastAsia="Times New Roman"/>
          <w:b/>
          <w:i/>
          <w:sz w:val="20"/>
          <w:szCs w:val="20"/>
          <w:lang w:val="en-US" w:eastAsia="es-ES" w:bidi="es-ES"/>
        </w:rPr>
        <w:t xml:space="preserve">representatives </w:t>
      </w:r>
      <w:r w:rsidRPr="00785D06">
        <w:rPr>
          <w:rFonts w:eastAsia="Times New Roman"/>
          <w:sz w:val="20"/>
          <w:szCs w:val="20"/>
          <w:lang w:val="en-US" w:eastAsia="es-ES" w:bidi="es-ES"/>
        </w:rPr>
        <w:t>specified that the damages owed to the victims may be asse</w:t>
      </w:r>
      <w:r w:rsidR="00D84EDD" w:rsidRPr="00785D06">
        <w:rPr>
          <w:rFonts w:eastAsia="Times New Roman"/>
          <w:sz w:val="20"/>
          <w:szCs w:val="20"/>
          <w:lang w:val="en-US" w:eastAsia="es-ES" w:bidi="es-ES"/>
        </w:rPr>
        <w:t>ssed under two headings: a) those</w:t>
      </w:r>
      <w:r w:rsidRPr="00785D06">
        <w:rPr>
          <w:rFonts w:eastAsia="Times New Roman"/>
          <w:sz w:val="20"/>
          <w:szCs w:val="20"/>
          <w:lang w:val="en-US" w:eastAsia="es-ES" w:bidi="es-ES"/>
        </w:rPr>
        <w:t xml:space="preserve"> </w:t>
      </w:r>
      <w:r w:rsidR="00EC4A2A" w:rsidRPr="00785D06">
        <w:rPr>
          <w:rFonts w:eastAsia="Times New Roman"/>
          <w:sz w:val="20"/>
          <w:szCs w:val="20"/>
          <w:lang w:val="en-US" w:eastAsia="es-ES" w:bidi="es-ES"/>
        </w:rPr>
        <w:t xml:space="preserve">related </w:t>
      </w:r>
      <w:r w:rsidRPr="00785D06">
        <w:rPr>
          <w:rFonts w:eastAsia="Times New Roman"/>
          <w:sz w:val="20"/>
          <w:szCs w:val="20"/>
          <w:lang w:val="en-US" w:eastAsia="es-ES" w:bidi="es-ES"/>
        </w:rPr>
        <w:t xml:space="preserve">to </w:t>
      </w:r>
      <w:r w:rsidR="00D84EDD" w:rsidRPr="00785D06">
        <w:rPr>
          <w:rFonts w:eastAsia="Times New Roman"/>
          <w:sz w:val="20"/>
          <w:szCs w:val="20"/>
          <w:lang w:val="en-US" w:eastAsia="es-ES" w:bidi="es-ES"/>
        </w:rPr>
        <w:t xml:space="preserve">the sexual </w:t>
      </w:r>
      <w:r w:rsidR="00A734D3" w:rsidRPr="00785D06">
        <w:rPr>
          <w:rFonts w:eastAsia="Times New Roman"/>
          <w:sz w:val="20"/>
          <w:szCs w:val="20"/>
          <w:lang w:val="en-US" w:eastAsia="es-ES" w:bidi="es-ES"/>
        </w:rPr>
        <w:t>harassment</w:t>
      </w:r>
      <w:r w:rsidRPr="00785D06">
        <w:rPr>
          <w:rFonts w:eastAsia="Times New Roman"/>
          <w:sz w:val="20"/>
          <w:szCs w:val="20"/>
          <w:lang w:val="en-US" w:eastAsia="es-ES" w:bidi="es-ES"/>
        </w:rPr>
        <w:t xml:space="preserve"> and abuse, torture and death of Paola Guzmán and b) </w:t>
      </w:r>
      <w:r w:rsidR="00D84EDD" w:rsidRPr="00785D06">
        <w:rPr>
          <w:rFonts w:eastAsia="Times New Roman"/>
          <w:sz w:val="20"/>
          <w:szCs w:val="20"/>
          <w:lang w:val="en-US" w:eastAsia="es-ES" w:bidi="es-ES"/>
        </w:rPr>
        <w:t xml:space="preserve">those </w:t>
      </w:r>
      <w:r w:rsidRPr="00785D06">
        <w:rPr>
          <w:rFonts w:eastAsia="Times New Roman"/>
          <w:sz w:val="20"/>
          <w:szCs w:val="20"/>
          <w:lang w:val="en-US" w:eastAsia="es-ES" w:bidi="es-ES"/>
        </w:rPr>
        <w:t xml:space="preserve">corresponding to the direct and </w:t>
      </w:r>
      <w:r w:rsidRPr="00785D06">
        <w:rPr>
          <w:rFonts w:eastAsia="Calibri"/>
          <w:sz w:val="20"/>
          <w:szCs w:val="20"/>
          <w:lang w:val="en-US"/>
        </w:rPr>
        <w:t xml:space="preserve">prolonged suffering endured by Paola’s </w:t>
      </w:r>
      <w:r w:rsidRPr="00785D06">
        <w:rPr>
          <w:rFonts w:eastAsia="Times New Roman"/>
          <w:sz w:val="20"/>
          <w:szCs w:val="20"/>
          <w:lang w:val="en-US" w:eastAsia="es-ES" w:bidi="es-ES"/>
        </w:rPr>
        <w:t xml:space="preserve">relatives as a consequence of the impunity </w:t>
      </w:r>
      <w:r w:rsidR="00A734D3" w:rsidRPr="00785D06">
        <w:rPr>
          <w:rFonts w:eastAsia="Times New Roman"/>
          <w:sz w:val="20"/>
          <w:szCs w:val="20"/>
          <w:lang w:val="en-US" w:eastAsia="es-ES" w:bidi="es-ES"/>
        </w:rPr>
        <w:t xml:space="preserve">surrounding the </w:t>
      </w:r>
      <w:r w:rsidRPr="00785D06">
        <w:rPr>
          <w:rFonts w:eastAsia="Times New Roman"/>
          <w:sz w:val="20"/>
          <w:szCs w:val="20"/>
          <w:lang w:val="en-US" w:eastAsia="es-ES" w:bidi="es-ES"/>
        </w:rPr>
        <w:t xml:space="preserve">facts and the loss of Paola. </w:t>
      </w:r>
    </w:p>
    <w:p w14:paraId="084B615D" w14:textId="77777777" w:rsidR="00C254BF" w:rsidRPr="00785D06" w:rsidRDefault="00C254BF" w:rsidP="00C254BF">
      <w:pPr>
        <w:pStyle w:val="Prrafodelista"/>
        <w:rPr>
          <w:rFonts w:eastAsia="Times New Roman"/>
          <w:sz w:val="20"/>
          <w:szCs w:val="20"/>
          <w:lang w:val="en-US" w:eastAsia="es-ES" w:bidi="es-ES"/>
        </w:rPr>
      </w:pPr>
    </w:p>
    <w:p w14:paraId="4EE2EF3F"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With respect to the first component, the representatives requested that the Court order compensation for non-pecuniary damage of USD$ 80,000.00 (eighty thousand United States dollars), to be distributed in equal parts between Mrs. Petita Albarracín and Denisse Guzmán.</w:t>
      </w:r>
      <w:r w:rsidRPr="00785D06">
        <w:rPr>
          <w:sz w:val="20"/>
          <w:szCs w:val="20"/>
          <w:lang w:val="en-US"/>
        </w:rPr>
        <w:t xml:space="preserve"> </w:t>
      </w:r>
      <w:r w:rsidR="00D84EDD" w:rsidRPr="00785D06">
        <w:rPr>
          <w:sz w:val="20"/>
          <w:szCs w:val="20"/>
          <w:lang w:val="en-US"/>
        </w:rPr>
        <w:t xml:space="preserve">As to </w:t>
      </w:r>
      <w:r w:rsidRPr="00785D06">
        <w:rPr>
          <w:rFonts w:eastAsia="Times New Roman"/>
          <w:sz w:val="20"/>
          <w:szCs w:val="20"/>
          <w:lang w:val="en-US" w:eastAsia="es-ES" w:bidi="es-ES"/>
        </w:rPr>
        <w:t xml:space="preserve">the second component mentioned, the representatives </w:t>
      </w:r>
      <w:r w:rsidRPr="00785D06">
        <w:rPr>
          <w:rFonts w:eastAsia="Calibri"/>
          <w:sz w:val="20"/>
          <w:szCs w:val="20"/>
          <w:lang w:val="en-US"/>
        </w:rPr>
        <w:t>requested that</w:t>
      </w:r>
      <w:r w:rsidR="00D84EDD" w:rsidRPr="00785D06">
        <w:rPr>
          <w:rFonts w:eastAsia="Times New Roman"/>
          <w:sz w:val="20"/>
          <w:szCs w:val="20"/>
          <w:lang w:val="en-US" w:eastAsia="es-ES" w:bidi="es-ES"/>
        </w:rPr>
        <w:t xml:space="preserve"> </w:t>
      </w:r>
      <w:r w:rsidRPr="00785D06">
        <w:rPr>
          <w:rFonts w:eastAsia="Times New Roman"/>
          <w:sz w:val="20"/>
          <w:szCs w:val="20"/>
          <w:lang w:val="en-US" w:eastAsia="es-ES" w:bidi="es-ES"/>
        </w:rPr>
        <w:t xml:space="preserve">compensation </w:t>
      </w:r>
      <w:r w:rsidR="00D84EDD" w:rsidRPr="00785D06">
        <w:rPr>
          <w:rFonts w:eastAsia="Times New Roman"/>
          <w:sz w:val="20"/>
          <w:szCs w:val="20"/>
          <w:lang w:val="en-US" w:eastAsia="es-ES" w:bidi="es-ES"/>
        </w:rPr>
        <w:t xml:space="preserve">be set at </w:t>
      </w:r>
      <w:r w:rsidRPr="00785D06">
        <w:rPr>
          <w:rFonts w:eastAsia="Times New Roman"/>
          <w:sz w:val="20"/>
          <w:szCs w:val="20"/>
          <w:lang w:val="en-US" w:eastAsia="es-ES" w:bidi="es-ES"/>
        </w:rPr>
        <w:t xml:space="preserve">USD$ 30,000.00 (thirty thousand United States dollars) for each of the surviving victims. </w:t>
      </w:r>
    </w:p>
    <w:p w14:paraId="73012225" w14:textId="77777777" w:rsidR="00C254BF" w:rsidRPr="00785D06" w:rsidRDefault="00C254BF" w:rsidP="00C254BF">
      <w:pPr>
        <w:pStyle w:val="Prrafodelista"/>
        <w:rPr>
          <w:rFonts w:eastAsia="Times New Roman"/>
          <w:sz w:val="20"/>
          <w:szCs w:val="20"/>
          <w:lang w:val="en-US" w:eastAsia="es-ES" w:bidi="es-ES"/>
        </w:rPr>
      </w:pPr>
    </w:p>
    <w:p w14:paraId="0D87D29E" w14:textId="77777777" w:rsidR="00C254BF" w:rsidRPr="00785D06" w:rsidRDefault="00C254BF" w:rsidP="00C254BF">
      <w:pPr>
        <w:pStyle w:val="Prrafodelista"/>
        <w:numPr>
          <w:ilvl w:val="0"/>
          <w:numId w:val="35"/>
        </w:numPr>
        <w:ind w:left="0" w:firstLine="0"/>
        <w:contextualSpacing w:val="0"/>
        <w:jc w:val="both"/>
        <w:rPr>
          <w:lang w:val="en-US"/>
        </w:rPr>
      </w:pPr>
      <w:r w:rsidRPr="00785D06">
        <w:rPr>
          <w:rFonts w:eastAsia="Times New Roman"/>
          <w:sz w:val="20"/>
          <w:szCs w:val="20"/>
          <w:lang w:val="en-US" w:eastAsia="es-ES" w:bidi="es-ES"/>
        </w:rPr>
        <w:t xml:space="preserve">The </w:t>
      </w:r>
      <w:r w:rsidRPr="00785D06">
        <w:rPr>
          <w:rFonts w:eastAsia="Times New Roman"/>
          <w:b/>
          <w:i/>
          <w:sz w:val="20"/>
          <w:szCs w:val="20"/>
          <w:lang w:val="en-US" w:eastAsia="es-ES" w:bidi="es-ES"/>
        </w:rPr>
        <w:t xml:space="preserve">State </w:t>
      </w:r>
      <w:r w:rsidRPr="00785D06">
        <w:rPr>
          <w:rFonts w:eastAsia="Times New Roman"/>
          <w:sz w:val="20"/>
          <w:szCs w:val="20"/>
          <w:lang w:val="en-US" w:eastAsia="es-ES" w:bidi="es-ES"/>
        </w:rPr>
        <w:t xml:space="preserve">indicated that </w:t>
      </w:r>
      <w:r w:rsidR="006E636C" w:rsidRPr="00785D06">
        <w:rPr>
          <w:rFonts w:eastAsia="Times New Roman"/>
          <w:sz w:val="20"/>
          <w:szCs w:val="20"/>
          <w:lang w:val="en-US" w:eastAsia="es-ES" w:bidi="es-ES"/>
        </w:rPr>
        <w:t xml:space="preserve">the facts in </w:t>
      </w:r>
      <w:r w:rsidR="00FF05E5" w:rsidRPr="00785D06">
        <w:rPr>
          <w:rFonts w:eastAsia="Times New Roman"/>
          <w:sz w:val="20"/>
          <w:szCs w:val="20"/>
          <w:lang w:val="en-US" w:eastAsia="es-ES" w:bidi="es-ES"/>
        </w:rPr>
        <w:t xml:space="preserve">this case </w:t>
      </w:r>
      <w:r w:rsidRPr="00785D06">
        <w:rPr>
          <w:rFonts w:eastAsia="Times New Roman"/>
          <w:sz w:val="20"/>
          <w:szCs w:val="20"/>
          <w:lang w:val="en-US" w:eastAsia="es-ES" w:bidi="es-ES"/>
        </w:rPr>
        <w:t xml:space="preserve">do not </w:t>
      </w:r>
      <w:r w:rsidR="00176E6F" w:rsidRPr="00785D06">
        <w:rPr>
          <w:rFonts w:eastAsia="Times New Roman"/>
          <w:sz w:val="20"/>
          <w:szCs w:val="20"/>
          <w:lang w:val="en-US" w:eastAsia="es-ES" w:bidi="es-ES"/>
        </w:rPr>
        <w:t xml:space="preserve">constitute </w:t>
      </w:r>
      <w:r w:rsidRPr="00785D06">
        <w:rPr>
          <w:rFonts w:eastAsia="Times New Roman"/>
          <w:sz w:val="20"/>
          <w:szCs w:val="20"/>
          <w:lang w:val="en-US" w:eastAsia="es-ES" w:bidi="es-ES"/>
        </w:rPr>
        <w:t xml:space="preserve">acts of torture, and that there is no causal </w:t>
      </w:r>
      <w:r w:rsidR="006E636C" w:rsidRPr="00785D06">
        <w:rPr>
          <w:rFonts w:eastAsia="Times New Roman"/>
          <w:sz w:val="20"/>
          <w:szCs w:val="20"/>
          <w:lang w:val="en-US" w:eastAsia="es-ES" w:bidi="es-ES"/>
        </w:rPr>
        <w:t xml:space="preserve">link </w:t>
      </w:r>
      <w:r w:rsidRPr="00785D06">
        <w:rPr>
          <w:rFonts w:eastAsia="Times New Roman"/>
          <w:sz w:val="20"/>
          <w:szCs w:val="20"/>
          <w:lang w:val="en-US" w:eastAsia="es-ES" w:bidi="es-ES"/>
        </w:rPr>
        <w:t xml:space="preserve">between the actions or omissions of the State agents and Paula’s death. Therefore, it concluded that the State’s responsibility in relation to the girl’s death </w:t>
      </w:r>
      <w:r w:rsidR="00A734D3" w:rsidRPr="00785D06">
        <w:rPr>
          <w:rFonts w:eastAsia="Times New Roman"/>
          <w:sz w:val="20"/>
          <w:szCs w:val="20"/>
          <w:lang w:val="en-US" w:eastAsia="es-ES" w:bidi="es-ES"/>
        </w:rPr>
        <w:t xml:space="preserve">has not been proven </w:t>
      </w:r>
      <w:r w:rsidRPr="00785D06">
        <w:rPr>
          <w:rFonts w:eastAsia="Times New Roman"/>
          <w:sz w:val="20"/>
          <w:szCs w:val="20"/>
          <w:lang w:val="en-US" w:eastAsia="es-ES" w:bidi="es-ES"/>
        </w:rPr>
        <w:t xml:space="preserve">and, </w:t>
      </w:r>
      <w:r w:rsidRPr="00785D06">
        <w:rPr>
          <w:rFonts w:eastAsia="Calibri"/>
          <w:sz w:val="20"/>
          <w:szCs w:val="20"/>
          <w:lang w:val="en-US"/>
        </w:rPr>
        <w:t>consequently</w:t>
      </w:r>
      <w:r w:rsidRPr="00785D06">
        <w:rPr>
          <w:rFonts w:eastAsia="Times New Roman"/>
          <w:sz w:val="20"/>
          <w:szCs w:val="20"/>
          <w:lang w:val="en-US" w:eastAsia="es-ES" w:bidi="es-ES"/>
        </w:rPr>
        <w:t xml:space="preserve">, </w:t>
      </w:r>
      <w:r w:rsidR="00176E6F" w:rsidRPr="00785D06">
        <w:rPr>
          <w:rFonts w:eastAsia="Times New Roman"/>
          <w:sz w:val="20"/>
          <w:szCs w:val="20"/>
          <w:lang w:val="en-US" w:eastAsia="es-ES" w:bidi="es-ES"/>
        </w:rPr>
        <w:t xml:space="preserve">this must be taken into </w:t>
      </w:r>
      <w:r w:rsidR="00A734D3" w:rsidRPr="00785D06">
        <w:rPr>
          <w:rFonts w:eastAsia="Times New Roman"/>
          <w:sz w:val="20"/>
          <w:szCs w:val="20"/>
          <w:lang w:val="en-US" w:eastAsia="es-ES" w:bidi="es-ES"/>
        </w:rPr>
        <w:t xml:space="preserve">account </w:t>
      </w:r>
      <w:r w:rsidRPr="00785D06">
        <w:rPr>
          <w:rFonts w:eastAsia="Times New Roman"/>
          <w:sz w:val="20"/>
          <w:szCs w:val="20"/>
          <w:lang w:val="en-US" w:eastAsia="es-ES" w:bidi="es-ES"/>
        </w:rPr>
        <w:t xml:space="preserve">in </w:t>
      </w:r>
      <w:r w:rsidR="00176E6F" w:rsidRPr="00785D06">
        <w:rPr>
          <w:rFonts w:eastAsia="Times New Roman"/>
          <w:sz w:val="20"/>
          <w:szCs w:val="20"/>
          <w:lang w:val="en-US" w:eastAsia="es-ES" w:bidi="es-ES"/>
        </w:rPr>
        <w:t xml:space="preserve">assessing the </w:t>
      </w:r>
      <w:r w:rsidRPr="00785D06">
        <w:rPr>
          <w:rFonts w:eastAsia="Times New Roman"/>
          <w:sz w:val="20"/>
          <w:szCs w:val="20"/>
          <w:lang w:val="en-US" w:eastAsia="es-ES" w:bidi="es-ES"/>
        </w:rPr>
        <w:t>non-pecuniary damage.</w:t>
      </w:r>
      <w:r w:rsidRPr="00785D06">
        <w:rPr>
          <w:rFonts w:eastAsia="Times New Roman"/>
          <w:i/>
          <w:sz w:val="20"/>
          <w:szCs w:val="20"/>
          <w:lang w:val="en-US" w:eastAsia="es-ES" w:bidi="es-ES"/>
        </w:rPr>
        <w:t xml:space="preserve"> </w:t>
      </w:r>
      <w:r w:rsidRPr="00785D06">
        <w:rPr>
          <w:rFonts w:eastAsia="Times New Roman"/>
          <w:sz w:val="20"/>
          <w:szCs w:val="20"/>
          <w:lang w:val="en-US" w:eastAsia="es-ES" w:bidi="es-ES"/>
        </w:rPr>
        <w:t xml:space="preserve">The State also </w:t>
      </w:r>
      <w:r w:rsidR="00176E6F" w:rsidRPr="00785D06">
        <w:rPr>
          <w:rFonts w:eastAsia="Times New Roman"/>
          <w:sz w:val="20"/>
          <w:szCs w:val="20"/>
          <w:lang w:val="en-US" w:eastAsia="es-ES" w:bidi="es-ES"/>
        </w:rPr>
        <w:t xml:space="preserve">asked the Court to dismiss </w:t>
      </w:r>
      <w:r w:rsidRPr="00785D06">
        <w:rPr>
          <w:rFonts w:eastAsia="Times New Roman"/>
          <w:sz w:val="20"/>
          <w:szCs w:val="20"/>
          <w:lang w:val="en-US" w:eastAsia="es-ES" w:bidi="es-ES"/>
        </w:rPr>
        <w:t xml:space="preserve">the </w:t>
      </w:r>
      <w:r w:rsidR="00176E6F" w:rsidRPr="00785D06">
        <w:rPr>
          <w:rFonts w:eastAsia="Times New Roman"/>
          <w:sz w:val="20"/>
          <w:szCs w:val="20"/>
          <w:lang w:val="en-US" w:eastAsia="es-ES" w:bidi="es-ES"/>
        </w:rPr>
        <w:t xml:space="preserve">unproven </w:t>
      </w:r>
      <w:r w:rsidR="00A734D3" w:rsidRPr="00785D06">
        <w:rPr>
          <w:rFonts w:eastAsia="Times New Roman"/>
          <w:sz w:val="20"/>
          <w:szCs w:val="20"/>
          <w:lang w:val="en-US" w:eastAsia="es-ES" w:bidi="es-ES"/>
        </w:rPr>
        <w:t xml:space="preserve">factual </w:t>
      </w:r>
      <w:r w:rsidRPr="00785D06">
        <w:rPr>
          <w:rFonts w:eastAsia="Times New Roman"/>
          <w:sz w:val="20"/>
          <w:szCs w:val="20"/>
          <w:lang w:val="en-US" w:eastAsia="es-ES" w:bidi="es-ES"/>
        </w:rPr>
        <w:t>al</w:t>
      </w:r>
      <w:r w:rsidR="00A734D3" w:rsidRPr="00785D06">
        <w:rPr>
          <w:rFonts w:eastAsia="Times New Roman"/>
          <w:sz w:val="20"/>
          <w:szCs w:val="20"/>
          <w:lang w:val="en-US" w:eastAsia="es-ES" w:bidi="es-ES"/>
        </w:rPr>
        <w:t>l</w:t>
      </w:r>
      <w:r w:rsidRPr="00785D06">
        <w:rPr>
          <w:rFonts w:eastAsia="Times New Roman"/>
          <w:sz w:val="20"/>
          <w:szCs w:val="20"/>
          <w:lang w:val="en-US" w:eastAsia="es-ES" w:bidi="es-ES"/>
        </w:rPr>
        <w:t xml:space="preserve">egations </w:t>
      </w:r>
      <w:r w:rsidR="00176E6F" w:rsidRPr="00785D06">
        <w:rPr>
          <w:rFonts w:eastAsia="Times New Roman"/>
          <w:sz w:val="20"/>
          <w:szCs w:val="20"/>
          <w:lang w:val="en-US" w:eastAsia="es-ES" w:bidi="es-ES"/>
        </w:rPr>
        <w:t xml:space="preserve">in </w:t>
      </w:r>
      <w:r w:rsidR="00A734D3" w:rsidRPr="00785D06">
        <w:rPr>
          <w:rFonts w:eastAsia="Times New Roman"/>
          <w:sz w:val="20"/>
          <w:szCs w:val="20"/>
          <w:lang w:val="en-US" w:eastAsia="es-ES" w:bidi="es-ES"/>
        </w:rPr>
        <w:t xml:space="preserve">its </w:t>
      </w:r>
      <w:r w:rsidR="006E636C" w:rsidRPr="00785D06">
        <w:rPr>
          <w:rFonts w:eastAsia="Times New Roman"/>
          <w:sz w:val="20"/>
          <w:szCs w:val="20"/>
          <w:lang w:val="en-US" w:eastAsia="es-ES" w:bidi="es-ES"/>
        </w:rPr>
        <w:t xml:space="preserve">assessment </w:t>
      </w:r>
      <w:r w:rsidR="00A734D3" w:rsidRPr="00785D06">
        <w:rPr>
          <w:rFonts w:eastAsia="Times New Roman"/>
          <w:sz w:val="20"/>
          <w:szCs w:val="20"/>
          <w:lang w:val="en-US" w:eastAsia="es-ES" w:bidi="es-ES"/>
        </w:rPr>
        <w:t xml:space="preserve">of the </w:t>
      </w:r>
      <w:r w:rsidRPr="00785D06">
        <w:rPr>
          <w:rFonts w:eastAsia="Times New Roman"/>
          <w:sz w:val="20"/>
          <w:szCs w:val="20"/>
          <w:lang w:val="en-US" w:eastAsia="es-ES" w:bidi="es-ES"/>
        </w:rPr>
        <w:t xml:space="preserve">non-pecuniary damage, </w:t>
      </w:r>
      <w:r w:rsidR="00AB28E8" w:rsidRPr="00785D06">
        <w:rPr>
          <w:rFonts w:eastAsia="Times New Roman"/>
          <w:sz w:val="20"/>
          <w:szCs w:val="20"/>
          <w:lang w:val="en-US" w:eastAsia="es-ES" w:bidi="es-ES"/>
        </w:rPr>
        <w:t xml:space="preserve">considering </w:t>
      </w:r>
      <w:r w:rsidRPr="00785D06">
        <w:rPr>
          <w:rFonts w:eastAsia="Times New Roman"/>
          <w:sz w:val="20"/>
          <w:szCs w:val="20"/>
          <w:lang w:val="en-US" w:eastAsia="es-ES" w:bidi="es-ES"/>
        </w:rPr>
        <w:t xml:space="preserve">that </w:t>
      </w:r>
      <w:r w:rsidR="00505519" w:rsidRPr="00785D06">
        <w:rPr>
          <w:rFonts w:eastAsia="Times New Roman"/>
          <w:sz w:val="20"/>
          <w:szCs w:val="20"/>
          <w:lang w:val="en-US" w:eastAsia="es-ES" w:bidi="es-ES"/>
        </w:rPr>
        <w:t xml:space="preserve">it could hardly grant </w:t>
      </w:r>
      <w:r w:rsidRPr="00785D06">
        <w:rPr>
          <w:rFonts w:eastAsia="Times New Roman"/>
          <w:sz w:val="20"/>
          <w:szCs w:val="20"/>
          <w:lang w:val="en-US" w:eastAsia="es-ES" w:bidi="es-ES"/>
        </w:rPr>
        <w:t xml:space="preserve">compensation </w:t>
      </w:r>
      <w:r w:rsidR="00A734D3" w:rsidRPr="00785D06">
        <w:rPr>
          <w:rFonts w:eastAsia="Times New Roman"/>
          <w:sz w:val="20"/>
          <w:szCs w:val="20"/>
          <w:lang w:val="en-US" w:eastAsia="es-ES" w:bidi="es-ES"/>
        </w:rPr>
        <w:t>for damage</w:t>
      </w:r>
      <w:r w:rsidR="00E661C4" w:rsidRPr="00785D06">
        <w:rPr>
          <w:rFonts w:eastAsia="Times New Roman"/>
          <w:sz w:val="20"/>
          <w:szCs w:val="20"/>
          <w:lang w:val="en-US" w:eastAsia="es-ES" w:bidi="es-ES"/>
        </w:rPr>
        <w:t>s</w:t>
      </w:r>
      <w:r w:rsidR="00A734D3" w:rsidRPr="00785D06">
        <w:rPr>
          <w:rFonts w:eastAsia="Times New Roman"/>
          <w:sz w:val="20"/>
          <w:szCs w:val="20"/>
          <w:lang w:val="en-US" w:eastAsia="es-ES" w:bidi="es-ES"/>
        </w:rPr>
        <w:t xml:space="preserve"> allegedly caused </w:t>
      </w:r>
      <w:r w:rsidRPr="00785D06">
        <w:rPr>
          <w:rFonts w:eastAsia="Times New Roman"/>
          <w:sz w:val="20"/>
          <w:szCs w:val="20"/>
          <w:lang w:val="en-US" w:eastAsia="es-ES" w:bidi="es-ES"/>
        </w:rPr>
        <w:t>by a</w:t>
      </w:r>
      <w:r w:rsidR="00A734D3" w:rsidRPr="00785D06">
        <w:rPr>
          <w:rFonts w:eastAsia="Times New Roman"/>
          <w:sz w:val="20"/>
          <w:szCs w:val="20"/>
          <w:lang w:val="en-US" w:eastAsia="es-ES" w:bidi="es-ES"/>
        </w:rPr>
        <w:t>n</w:t>
      </w:r>
      <w:r w:rsidRPr="00785D06">
        <w:rPr>
          <w:rFonts w:eastAsia="Times New Roman"/>
          <w:sz w:val="20"/>
          <w:szCs w:val="20"/>
          <w:lang w:val="en-US" w:eastAsia="es-ES" w:bidi="es-ES"/>
        </w:rPr>
        <w:t xml:space="preserve"> event </w:t>
      </w:r>
      <w:r w:rsidR="00A734D3" w:rsidRPr="00785D06">
        <w:rPr>
          <w:rFonts w:eastAsia="Times New Roman"/>
          <w:sz w:val="20"/>
          <w:szCs w:val="20"/>
          <w:lang w:val="en-US" w:eastAsia="es-ES" w:bidi="es-ES"/>
        </w:rPr>
        <w:t xml:space="preserve">of which it had no </w:t>
      </w:r>
      <w:r w:rsidR="00505519" w:rsidRPr="00785D06">
        <w:rPr>
          <w:rFonts w:eastAsia="Times New Roman"/>
          <w:sz w:val="20"/>
          <w:szCs w:val="20"/>
          <w:lang w:val="en-US" w:eastAsia="es-ES" w:bidi="es-ES"/>
        </w:rPr>
        <w:t>knowledge</w:t>
      </w:r>
      <w:r w:rsidRPr="00785D06">
        <w:rPr>
          <w:rFonts w:eastAsia="Times New Roman"/>
          <w:sz w:val="20"/>
          <w:szCs w:val="20"/>
          <w:lang w:val="en-US" w:eastAsia="es-ES" w:bidi="es-ES"/>
        </w:rPr>
        <w:t xml:space="preserve">. </w:t>
      </w:r>
    </w:p>
    <w:p w14:paraId="2EA79D8A" w14:textId="77777777" w:rsidR="00C254BF" w:rsidRPr="00785D06" w:rsidRDefault="00C254BF" w:rsidP="00C254BF">
      <w:pPr>
        <w:pStyle w:val="Prrafodelista"/>
        <w:rPr>
          <w:sz w:val="20"/>
          <w:szCs w:val="20"/>
          <w:lang w:val="en-US" w:eastAsia="es-ES_tradnl"/>
        </w:rPr>
      </w:pPr>
    </w:p>
    <w:p w14:paraId="6F537C10" w14:textId="77777777" w:rsidR="00C254BF" w:rsidRPr="00785D06" w:rsidRDefault="003B18D4" w:rsidP="00C254BF">
      <w:pPr>
        <w:pStyle w:val="Prrafodelista"/>
        <w:numPr>
          <w:ilvl w:val="0"/>
          <w:numId w:val="35"/>
        </w:numPr>
        <w:ind w:left="0" w:firstLine="0"/>
        <w:contextualSpacing w:val="0"/>
        <w:jc w:val="both"/>
        <w:rPr>
          <w:sz w:val="20"/>
          <w:szCs w:val="20"/>
          <w:lang w:val="en-US"/>
        </w:rPr>
      </w:pPr>
      <w:r w:rsidRPr="00785D06">
        <w:rPr>
          <w:sz w:val="20"/>
          <w:szCs w:val="20"/>
          <w:lang w:val="en-US" w:eastAsia="es-ES_tradnl"/>
        </w:rPr>
        <w:t>I</w:t>
      </w:r>
      <w:r w:rsidR="00C254BF" w:rsidRPr="00785D06">
        <w:rPr>
          <w:sz w:val="20"/>
          <w:szCs w:val="20"/>
          <w:lang w:val="en-US" w:eastAsia="es-ES_tradnl"/>
        </w:rPr>
        <w:t>n its case law</w:t>
      </w:r>
      <w:r w:rsidRPr="00785D06">
        <w:rPr>
          <w:sz w:val="20"/>
          <w:szCs w:val="20"/>
          <w:lang w:val="en-US" w:eastAsia="es-ES_tradnl"/>
        </w:rPr>
        <w:t xml:space="preserve">, the </w:t>
      </w:r>
      <w:r w:rsidRPr="00785D06">
        <w:rPr>
          <w:b/>
          <w:i/>
          <w:sz w:val="20"/>
          <w:szCs w:val="20"/>
          <w:lang w:val="en-US" w:eastAsia="es-ES_tradnl"/>
        </w:rPr>
        <w:t>Court</w:t>
      </w:r>
      <w:r w:rsidRPr="00785D06">
        <w:rPr>
          <w:sz w:val="20"/>
          <w:szCs w:val="20"/>
          <w:lang w:val="en-US" w:eastAsia="es-ES_tradnl"/>
        </w:rPr>
        <w:t xml:space="preserve"> has developed</w:t>
      </w:r>
      <w:r w:rsidR="00C254BF" w:rsidRPr="00785D06">
        <w:rPr>
          <w:sz w:val="20"/>
          <w:szCs w:val="20"/>
          <w:lang w:val="en-US" w:eastAsia="es-ES_tradnl"/>
        </w:rPr>
        <w:t xml:space="preserve"> the concept of non-pecuniary damage, and has established that this </w:t>
      </w:r>
      <w:r w:rsidR="00C254BF" w:rsidRPr="00785D06">
        <w:rPr>
          <w:sz w:val="20"/>
          <w:szCs w:val="20"/>
          <w:lang w:val="en-US"/>
        </w:rPr>
        <w:t>may include both the suffering and distr</w:t>
      </w:r>
      <w:r w:rsidR="002E7221" w:rsidRPr="00785D06">
        <w:rPr>
          <w:sz w:val="20"/>
          <w:szCs w:val="20"/>
          <w:lang w:val="en-US"/>
        </w:rPr>
        <w:t>ess caused to the direct victim</w:t>
      </w:r>
      <w:r w:rsidR="00C254BF" w:rsidRPr="00785D06">
        <w:rPr>
          <w:sz w:val="20"/>
          <w:szCs w:val="20"/>
          <w:lang w:val="en-US"/>
        </w:rPr>
        <w:t xml:space="preserve"> and </w:t>
      </w:r>
      <w:r w:rsidR="002E7221" w:rsidRPr="00785D06">
        <w:rPr>
          <w:sz w:val="20"/>
          <w:szCs w:val="20"/>
          <w:lang w:val="en-US"/>
        </w:rPr>
        <w:t>his family</w:t>
      </w:r>
      <w:r w:rsidRPr="00785D06">
        <w:rPr>
          <w:sz w:val="20"/>
          <w:szCs w:val="20"/>
          <w:lang w:val="en-US"/>
        </w:rPr>
        <w:t>, and</w:t>
      </w:r>
      <w:r w:rsidR="00C254BF" w:rsidRPr="00785D06">
        <w:rPr>
          <w:sz w:val="20"/>
          <w:szCs w:val="20"/>
          <w:lang w:val="en-US"/>
        </w:rPr>
        <w:t xml:space="preserve"> the impairment of values that are highly significant to the</w:t>
      </w:r>
      <w:r w:rsidR="00E661C4" w:rsidRPr="00785D06">
        <w:rPr>
          <w:sz w:val="20"/>
          <w:szCs w:val="20"/>
          <w:lang w:val="en-US"/>
        </w:rPr>
        <w:t xml:space="preserve"> individual</w:t>
      </w:r>
      <w:r w:rsidR="00C254BF" w:rsidRPr="00785D06">
        <w:rPr>
          <w:sz w:val="20"/>
          <w:szCs w:val="20"/>
          <w:lang w:val="en-US"/>
        </w:rPr>
        <w:t xml:space="preserve">, as well as </w:t>
      </w:r>
      <w:r w:rsidR="000B665D" w:rsidRPr="00785D06">
        <w:rPr>
          <w:sz w:val="20"/>
          <w:szCs w:val="20"/>
          <w:lang w:val="en-US"/>
        </w:rPr>
        <w:t xml:space="preserve">alterations </w:t>
      </w:r>
      <w:r w:rsidR="00C254BF" w:rsidRPr="00785D06">
        <w:rPr>
          <w:sz w:val="20"/>
          <w:szCs w:val="20"/>
          <w:lang w:val="en-US"/>
        </w:rPr>
        <w:t>of a</w:t>
      </w:r>
      <w:r w:rsidR="00C254BF" w:rsidRPr="00785D06">
        <w:rPr>
          <w:lang w:val="en-US"/>
        </w:rPr>
        <w:t xml:space="preserve"> </w:t>
      </w:r>
      <w:r w:rsidR="00C254BF" w:rsidRPr="00785D06">
        <w:rPr>
          <w:sz w:val="20"/>
          <w:szCs w:val="20"/>
          <w:lang w:val="en-US"/>
        </w:rPr>
        <w:t>n</w:t>
      </w:r>
      <w:r w:rsidR="002E7221" w:rsidRPr="00785D06">
        <w:rPr>
          <w:sz w:val="20"/>
          <w:szCs w:val="20"/>
          <w:lang w:val="en-US"/>
        </w:rPr>
        <w:t>on-pecuniary nature that affect</w:t>
      </w:r>
      <w:r w:rsidR="00C254BF" w:rsidRPr="00785D06">
        <w:rPr>
          <w:sz w:val="20"/>
          <w:szCs w:val="20"/>
          <w:lang w:val="en-US"/>
        </w:rPr>
        <w:t xml:space="preserve"> the living conditions</w:t>
      </w:r>
      <w:r w:rsidR="00C254BF" w:rsidRPr="00785D06">
        <w:rPr>
          <w:sz w:val="20"/>
          <w:szCs w:val="20"/>
          <w:lang w:val="en-US" w:eastAsia="es-ES_tradnl"/>
        </w:rPr>
        <w:t xml:space="preserve"> of the victim or his family.</w:t>
      </w:r>
      <w:r w:rsidR="00C254BF" w:rsidRPr="00785D06">
        <w:rPr>
          <w:rStyle w:val="Refdenotaalpie"/>
          <w:sz w:val="20"/>
          <w:szCs w:val="20"/>
          <w:lang w:val="en-US" w:eastAsia="es-ES_tradnl"/>
        </w:rPr>
        <w:footnoteReference w:id="232"/>
      </w:r>
      <w:r w:rsidR="00C254BF" w:rsidRPr="00785D06">
        <w:rPr>
          <w:sz w:val="20"/>
          <w:szCs w:val="20"/>
          <w:lang w:val="en-US" w:eastAsia="es-ES_tradnl"/>
        </w:rPr>
        <w:t xml:space="preserve"> </w:t>
      </w:r>
    </w:p>
    <w:p w14:paraId="70CB7635" w14:textId="77777777" w:rsidR="00C254BF" w:rsidRPr="00785D06" w:rsidRDefault="00C254BF" w:rsidP="00C254BF">
      <w:pPr>
        <w:pStyle w:val="Prrafodelista"/>
        <w:rPr>
          <w:rFonts w:eastAsia="Times New Roman"/>
          <w:sz w:val="20"/>
          <w:szCs w:val="20"/>
          <w:lang w:val="en-US" w:eastAsia="es-ES" w:bidi="es-ES"/>
        </w:rPr>
      </w:pPr>
    </w:p>
    <w:p w14:paraId="4882CDF5"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 xml:space="preserve">This Court </w:t>
      </w:r>
      <w:r w:rsidR="005D2B00" w:rsidRPr="00785D06">
        <w:rPr>
          <w:rFonts w:eastAsia="Times New Roman"/>
          <w:sz w:val="20"/>
          <w:szCs w:val="20"/>
          <w:lang w:val="en-US" w:eastAsia="es-ES" w:bidi="es-ES"/>
        </w:rPr>
        <w:t xml:space="preserve">considers that </w:t>
      </w:r>
      <w:r w:rsidRPr="00785D06">
        <w:rPr>
          <w:rFonts w:eastAsia="Times New Roman"/>
          <w:sz w:val="20"/>
          <w:szCs w:val="20"/>
          <w:lang w:val="en-US" w:eastAsia="es-ES" w:bidi="es-ES"/>
        </w:rPr>
        <w:t xml:space="preserve">in this case, in </w:t>
      </w:r>
      <w:r w:rsidR="005D2B00" w:rsidRPr="00785D06">
        <w:rPr>
          <w:rFonts w:eastAsia="Times New Roman"/>
          <w:sz w:val="20"/>
          <w:szCs w:val="20"/>
          <w:lang w:val="en-US" w:eastAsia="es-ES" w:bidi="es-ES"/>
        </w:rPr>
        <w:t xml:space="preserve">which </w:t>
      </w:r>
      <w:r w:rsidRPr="00785D06">
        <w:rPr>
          <w:rFonts w:eastAsia="Times New Roman"/>
          <w:sz w:val="20"/>
          <w:szCs w:val="20"/>
          <w:lang w:val="en-US" w:eastAsia="es-ES" w:bidi="es-ES"/>
        </w:rPr>
        <w:t xml:space="preserve">Paola del Rosario Guzmán Albarracín suffered serious acts of sexual violence that </w:t>
      </w:r>
      <w:r w:rsidR="005D2B00" w:rsidRPr="00785D06">
        <w:rPr>
          <w:rFonts w:eastAsia="Times New Roman"/>
          <w:sz w:val="20"/>
          <w:szCs w:val="20"/>
          <w:lang w:val="en-US" w:eastAsia="es-ES" w:bidi="es-ES"/>
        </w:rPr>
        <w:t xml:space="preserve">led to </w:t>
      </w:r>
      <w:r w:rsidRPr="00785D06">
        <w:rPr>
          <w:rFonts w:eastAsia="Times New Roman"/>
          <w:sz w:val="20"/>
          <w:szCs w:val="20"/>
          <w:lang w:val="en-US" w:eastAsia="es-ES" w:bidi="es-ES"/>
        </w:rPr>
        <w:t xml:space="preserve">her suicide, it is evident that she experienced a high degree of suffering. </w:t>
      </w:r>
      <w:r w:rsidR="00E04209" w:rsidRPr="00785D06">
        <w:rPr>
          <w:rFonts w:eastAsia="Times New Roman"/>
          <w:sz w:val="20"/>
          <w:szCs w:val="20"/>
          <w:lang w:val="en-US" w:eastAsia="es-ES" w:bidi="es-ES"/>
        </w:rPr>
        <w:t>I</w:t>
      </w:r>
      <w:r w:rsidRPr="00785D06">
        <w:rPr>
          <w:rFonts w:eastAsia="Times New Roman"/>
          <w:sz w:val="20"/>
          <w:szCs w:val="20"/>
          <w:lang w:val="en-US" w:eastAsia="es-ES" w:bidi="es-ES"/>
        </w:rPr>
        <w:t xml:space="preserve">t has </w:t>
      </w:r>
      <w:r w:rsidR="00E04209" w:rsidRPr="00785D06">
        <w:rPr>
          <w:rFonts w:eastAsia="Times New Roman"/>
          <w:sz w:val="20"/>
          <w:szCs w:val="20"/>
          <w:lang w:val="en-US" w:eastAsia="es-ES" w:bidi="es-ES"/>
        </w:rPr>
        <w:t xml:space="preserve">also </w:t>
      </w:r>
      <w:r w:rsidRPr="00785D06">
        <w:rPr>
          <w:rFonts w:eastAsia="Times New Roman"/>
          <w:sz w:val="20"/>
          <w:szCs w:val="20"/>
          <w:lang w:val="en-US" w:eastAsia="es-ES" w:bidi="es-ES"/>
        </w:rPr>
        <w:t>been established how the</w:t>
      </w:r>
      <w:r w:rsidR="005D2B00" w:rsidRPr="00785D06">
        <w:rPr>
          <w:rFonts w:eastAsia="Times New Roman"/>
          <w:sz w:val="20"/>
          <w:szCs w:val="20"/>
          <w:lang w:val="en-US" w:eastAsia="es-ES" w:bidi="es-ES"/>
        </w:rPr>
        <w:t>se</w:t>
      </w:r>
      <w:r w:rsidRPr="00785D06">
        <w:rPr>
          <w:rFonts w:eastAsia="Times New Roman"/>
          <w:sz w:val="20"/>
          <w:szCs w:val="20"/>
          <w:lang w:val="en-US" w:eastAsia="es-ES" w:bidi="es-ES"/>
        </w:rPr>
        <w:t xml:space="preserve"> </w:t>
      </w:r>
      <w:r w:rsidR="005D2B00" w:rsidRPr="00785D06">
        <w:rPr>
          <w:rFonts w:eastAsia="Times New Roman"/>
          <w:sz w:val="20"/>
          <w:szCs w:val="20"/>
          <w:lang w:val="en-US" w:eastAsia="es-ES" w:bidi="es-ES"/>
        </w:rPr>
        <w:t xml:space="preserve">events </w:t>
      </w:r>
      <w:r w:rsidRPr="00785D06">
        <w:rPr>
          <w:rFonts w:eastAsia="Times New Roman"/>
          <w:sz w:val="20"/>
          <w:szCs w:val="20"/>
          <w:lang w:val="en-US" w:eastAsia="es-ES" w:bidi="es-ES"/>
        </w:rPr>
        <w:t xml:space="preserve">affected Mrs. Petita Paulina Albarracín Albán and Denisse Selena Guzmán Albarracín, including the impunity </w:t>
      </w:r>
      <w:r w:rsidR="00F41701" w:rsidRPr="00785D06">
        <w:rPr>
          <w:rFonts w:eastAsia="Times New Roman"/>
          <w:sz w:val="20"/>
          <w:szCs w:val="20"/>
          <w:lang w:val="en-US" w:eastAsia="es-ES" w:bidi="es-ES"/>
        </w:rPr>
        <w:t xml:space="preserve">surrounding </w:t>
      </w:r>
      <w:r w:rsidR="005D2B00" w:rsidRPr="00785D06">
        <w:rPr>
          <w:rFonts w:eastAsia="Times New Roman"/>
          <w:sz w:val="20"/>
          <w:szCs w:val="20"/>
          <w:lang w:val="en-US" w:eastAsia="es-ES" w:bidi="es-ES"/>
        </w:rPr>
        <w:t xml:space="preserve">this </w:t>
      </w:r>
      <w:r w:rsidRPr="00785D06">
        <w:rPr>
          <w:rFonts w:eastAsia="Times New Roman"/>
          <w:sz w:val="20"/>
          <w:szCs w:val="20"/>
          <w:lang w:val="en-US" w:eastAsia="es-ES" w:bidi="es-ES"/>
        </w:rPr>
        <w:t>case</w:t>
      </w:r>
      <w:r w:rsidR="005D2B00" w:rsidRPr="00785D06">
        <w:rPr>
          <w:rFonts w:eastAsia="Times New Roman"/>
          <w:sz w:val="20"/>
          <w:szCs w:val="20"/>
          <w:lang w:val="en-US" w:eastAsia="es-ES" w:bidi="es-ES"/>
        </w:rPr>
        <w:t xml:space="preserve">, and </w:t>
      </w:r>
      <w:r w:rsidR="00417E72" w:rsidRPr="00785D06">
        <w:rPr>
          <w:rFonts w:eastAsia="Times New Roman"/>
          <w:sz w:val="20"/>
          <w:szCs w:val="20"/>
          <w:lang w:val="en-US" w:eastAsia="es-ES" w:bidi="es-ES"/>
        </w:rPr>
        <w:t xml:space="preserve">their </w:t>
      </w:r>
      <w:r w:rsidR="005D2B00" w:rsidRPr="00785D06">
        <w:rPr>
          <w:rFonts w:eastAsia="Times New Roman"/>
          <w:sz w:val="20"/>
          <w:szCs w:val="20"/>
          <w:lang w:val="en-US" w:eastAsia="es-ES" w:bidi="es-ES"/>
        </w:rPr>
        <w:t>re-victimization</w:t>
      </w:r>
      <w:r w:rsidR="00417E72" w:rsidRPr="00785D06">
        <w:rPr>
          <w:rFonts w:eastAsia="Times New Roman"/>
          <w:sz w:val="20"/>
          <w:szCs w:val="20"/>
          <w:lang w:val="en-US" w:eastAsia="es-ES" w:bidi="es-ES"/>
        </w:rPr>
        <w:t xml:space="preserve"> through actions </w:t>
      </w:r>
      <w:r w:rsidR="005D2B00" w:rsidRPr="00785D06">
        <w:rPr>
          <w:rFonts w:eastAsia="Times New Roman"/>
          <w:sz w:val="20"/>
          <w:szCs w:val="20"/>
          <w:lang w:val="en-US" w:eastAsia="es-ES" w:bidi="es-ES"/>
        </w:rPr>
        <w:t>such</w:t>
      </w:r>
      <w:r w:rsidR="00AB28E8" w:rsidRPr="00785D06">
        <w:rPr>
          <w:rFonts w:eastAsia="Times New Roman"/>
          <w:sz w:val="20"/>
          <w:szCs w:val="20"/>
          <w:lang w:val="en-US" w:eastAsia="es-ES" w:bidi="es-ES"/>
        </w:rPr>
        <w:t xml:space="preserve"> as </w:t>
      </w:r>
      <w:r w:rsidR="00417E72" w:rsidRPr="00785D06">
        <w:rPr>
          <w:rFonts w:eastAsia="Times New Roman"/>
          <w:sz w:val="20"/>
          <w:szCs w:val="20"/>
          <w:lang w:val="en-US" w:eastAsia="es-ES" w:bidi="es-ES"/>
        </w:rPr>
        <w:t xml:space="preserve">showing </w:t>
      </w:r>
      <w:r w:rsidRPr="00785D06">
        <w:rPr>
          <w:rFonts w:eastAsia="Times New Roman"/>
          <w:sz w:val="20"/>
          <w:szCs w:val="20"/>
          <w:lang w:val="en-US" w:eastAsia="es-ES" w:bidi="es-ES"/>
        </w:rPr>
        <w:t>Mrs.</w:t>
      </w:r>
      <w:r w:rsidR="00417E72" w:rsidRPr="00785D06">
        <w:rPr>
          <w:rFonts w:eastAsia="Times New Roman"/>
          <w:sz w:val="20"/>
          <w:szCs w:val="20"/>
          <w:lang w:val="en-US" w:eastAsia="es-ES" w:bidi="es-ES"/>
        </w:rPr>
        <w:t xml:space="preserve"> Albarracín her daughter’s </w:t>
      </w:r>
      <w:r w:rsidRPr="00785D06">
        <w:rPr>
          <w:rFonts w:eastAsia="Times New Roman"/>
          <w:sz w:val="20"/>
          <w:szCs w:val="20"/>
          <w:lang w:val="en-US" w:eastAsia="es-ES" w:bidi="es-ES"/>
        </w:rPr>
        <w:t xml:space="preserve">body </w:t>
      </w:r>
      <w:r w:rsidR="00417E72" w:rsidRPr="00785D06">
        <w:rPr>
          <w:rFonts w:eastAsia="Times New Roman"/>
          <w:sz w:val="20"/>
          <w:szCs w:val="20"/>
          <w:lang w:val="en-US" w:eastAsia="es-ES" w:bidi="es-ES"/>
        </w:rPr>
        <w:t xml:space="preserve">during the autopsy </w:t>
      </w:r>
      <w:r w:rsidRPr="00785D06">
        <w:rPr>
          <w:rFonts w:eastAsia="Times New Roman"/>
          <w:sz w:val="20"/>
          <w:szCs w:val="20"/>
          <w:lang w:val="en-US" w:eastAsia="es-ES" w:bidi="es-ES"/>
        </w:rPr>
        <w:t>(</w:t>
      </w:r>
      <w:r w:rsidRPr="00785D06">
        <w:rPr>
          <w:rFonts w:eastAsia="Times New Roman"/>
          <w:i/>
          <w:sz w:val="20"/>
          <w:szCs w:val="20"/>
          <w:lang w:val="en-US" w:eastAsia="es-ES" w:bidi="es-ES"/>
        </w:rPr>
        <w:t xml:space="preserve">supra </w:t>
      </w:r>
      <w:r w:rsidRPr="00785D06">
        <w:rPr>
          <w:rFonts w:eastAsia="Times New Roman"/>
          <w:sz w:val="20"/>
          <w:szCs w:val="20"/>
          <w:lang w:val="en-US" w:eastAsia="es-ES" w:bidi="es-ES"/>
        </w:rPr>
        <w:t xml:space="preserve">para. 210). </w:t>
      </w:r>
      <w:r w:rsidR="00AB28E8" w:rsidRPr="00785D06">
        <w:rPr>
          <w:rFonts w:eastAsia="Times New Roman"/>
          <w:sz w:val="20"/>
          <w:szCs w:val="20"/>
          <w:lang w:val="en-US" w:eastAsia="es-ES" w:bidi="es-ES"/>
        </w:rPr>
        <w:t>Therefore</w:t>
      </w:r>
      <w:r w:rsidRPr="00785D06">
        <w:rPr>
          <w:rFonts w:eastAsia="Times New Roman"/>
          <w:sz w:val="20"/>
          <w:szCs w:val="20"/>
          <w:lang w:val="en-US" w:eastAsia="es-ES" w:bidi="es-ES"/>
        </w:rPr>
        <w:t xml:space="preserve">, the Court </w:t>
      </w:r>
      <w:r w:rsidR="00AB28E8" w:rsidRPr="00785D06">
        <w:rPr>
          <w:rFonts w:eastAsia="Times New Roman"/>
          <w:sz w:val="20"/>
          <w:szCs w:val="20"/>
          <w:lang w:val="en-US" w:eastAsia="es-ES" w:bidi="es-ES"/>
        </w:rPr>
        <w:t xml:space="preserve">deems it pertinent to </w:t>
      </w:r>
      <w:r w:rsidR="00417E72" w:rsidRPr="00785D06">
        <w:rPr>
          <w:rFonts w:eastAsia="Times New Roman"/>
          <w:sz w:val="20"/>
          <w:szCs w:val="20"/>
          <w:lang w:val="en-US" w:eastAsia="es-ES" w:bidi="es-ES"/>
        </w:rPr>
        <w:t xml:space="preserve">establish </w:t>
      </w:r>
      <w:r w:rsidRPr="00785D06">
        <w:rPr>
          <w:rFonts w:eastAsia="Times New Roman"/>
          <w:sz w:val="20"/>
          <w:szCs w:val="20"/>
          <w:lang w:val="en-US" w:eastAsia="es-ES" w:bidi="es-ES"/>
        </w:rPr>
        <w:t xml:space="preserve">in equity, the sum of USD$ 110,000.00 (one hundred and ten thousand United States dollars) </w:t>
      </w:r>
      <w:r w:rsidR="00417E72" w:rsidRPr="00785D06">
        <w:rPr>
          <w:rFonts w:eastAsia="Times New Roman"/>
          <w:sz w:val="20"/>
          <w:szCs w:val="20"/>
          <w:lang w:val="en-US" w:eastAsia="es-ES" w:bidi="es-ES"/>
        </w:rPr>
        <w:t xml:space="preserve">for non-pecuniary damage </w:t>
      </w:r>
      <w:r w:rsidRPr="00785D06">
        <w:rPr>
          <w:rFonts w:eastAsia="Times New Roman"/>
          <w:sz w:val="20"/>
          <w:szCs w:val="20"/>
          <w:lang w:val="en-US" w:eastAsia="es-ES" w:bidi="es-ES"/>
        </w:rPr>
        <w:t>in favor of Paol</w:t>
      </w:r>
      <w:r w:rsidR="00417E72" w:rsidRPr="00785D06">
        <w:rPr>
          <w:rFonts w:eastAsia="Times New Roman"/>
          <w:sz w:val="20"/>
          <w:szCs w:val="20"/>
          <w:lang w:val="en-US" w:eastAsia="es-ES" w:bidi="es-ES"/>
        </w:rPr>
        <w:t>a del Rosario Guzmán Albarracín;</w:t>
      </w:r>
      <w:r w:rsidRPr="00785D06">
        <w:rPr>
          <w:rFonts w:eastAsia="Times New Roman"/>
          <w:sz w:val="20"/>
          <w:szCs w:val="20"/>
          <w:lang w:val="en-US" w:eastAsia="es-ES" w:bidi="es-ES"/>
        </w:rPr>
        <w:t xml:space="preserve"> the sum of USD$ 55,000.00 (fifty-five thousand United States dollars) in favor </w:t>
      </w:r>
      <w:r w:rsidR="00417E72" w:rsidRPr="00785D06">
        <w:rPr>
          <w:rFonts w:eastAsia="Times New Roman"/>
          <w:sz w:val="20"/>
          <w:szCs w:val="20"/>
          <w:lang w:val="en-US" w:eastAsia="es-ES" w:bidi="es-ES"/>
        </w:rPr>
        <w:t>of Petita Paulina Albarracín Albán;</w:t>
      </w:r>
      <w:r w:rsidRPr="00785D06">
        <w:rPr>
          <w:rFonts w:eastAsia="Times New Roman"/>
          <w:sz w:val="20"/>
          <w:szCs w:val="20"/>
          <w:lang w:val="en-US" w:eastAsia="es-ES" w:bidi="es-ES"/>
        </w:rPr>
        <w:t xml:space="preserve"> and the sum of USD$ 45,000.00 (forty-five thousand United States dollars) in favor of Denisse Selena Guzmán Albarracín. The amount ordered in favor of Paola del Rosario Guzmán Albarracín shall be distributed, in equal parts, between Mrs. Petita Paulina Albarracín Albán and Denisse Selena Guzmán Albarracín. </w:t>
      </w:r>
    </w:p>
    <w:p w14:paraId="5D240FD6" w14:textId="77777777" w:rsidR="00C254BF" w:rsidRPr="00785D06" w:rsidRDefault="00C254BF" w:rsidP="00C254BF">
      <w:pPr>
        <w:pStyle w:val="Prrafodelista"/>
        <w:widowControl w:val="0"/>
        <w:autoSpaceDE w:val="0"/>
        <w:autoSpaceDN w:val="0"/>
        <w:ind w:left="980" w:right="120"/>
        <w:outlineLvl w:val="1"/>
        <w:rPr>
          <w:b/>
          <w:sz w:val="20"/>
          <w:szCs w:val="20"/>
          <w:lang w:val="en-US"/>
        </w:rPr>
      </w:pPr>
      <w:bookmarkStart w:id="184" w:name="_Toc42498080"/>
    </w:p>
    <w:p w14:paraId="4B806ACB" w14:textId="77777777" w:rsidR="00C254BF" w:rsidRPr="00785D06" w:rsidRDefault="00C254BF" w:rsidP="00C254BF">
      <w:pPr>
        <w:pStyle w:val="Prrafodelista"/>
        <w:widowControl w:val="0"/>
        <w:numPr>
          <w:ilvl w:val="0"/>
          <w:numId w:val="12"/>
        </w:numPr>
        <w:autoSpaceDE w:val="0"/>
        <w:autoSpaceDN w:val="0"/>
        <w:ind w:left="284" w:right="120" w:firstLine="0"/>
        <w:outlineLvl w:val="1"/>
        <w:rPr>
          <w:b/>
          <w:i/>
          <w:sz w:val="20"/>
          <w:szCs w:val="20"/>
          <w:lang w:val="en-US"/>
        </w:rPr>
      </w:pPr>
      <w:bookmarkStart w:id="185" w:name="_Toc46937328"/>
      <w:r w:rsidRPr="00785D06">
        <w:rPr>
          <w:b/>
          <w:i/>
          <w:sz w:val="20"/>
          <w:szCs w:val="20"/>
          <w:lang w:val="en-US"/>
        </w:rPr>
        <w:t>Costs and Expenses</w:t>
      </w:r>
      <w:bookmarkEnd w:id="184"/>
      <w:bookmarkEnd w:id="185"/>
    </w:p>
    <w:p w14:paraId="188DD6B9" w14:textId="77777777" w:rsidR="00C254BF" w:rsidRPr="00785D06" w:rsidRDefault="00C254BF" w:rsidP="00C254BF">
      <w:pPr>
        <w:rPr>
          <w:rFonts w:eastAsia="Times New Roman"/>
          <w:sz w:val="20"/>
          <w:szCs w:val="20"/>
          <w:lang w:val="en-US" w:eastAsia="es-ES" w:bidi="es-ES"/>
        </w:rPr>
      </w:pPr>
    </w:p>
    <w:p w14:paraId="14733D0B" w14:textId="77777777" w:rsidR="00C254BF" w:rsidRPr="00785D06" w:rsidRDefault="00417E72"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I</w:t>
      </w:r>
      <w:r w:rsidR="00C254BF" w:rsidRPr="00785D06">
        <w:rPr>
          <w:rFonts w:eastAsia="Times New Roman"/>
          <w:sz w:val="20"/>
          <w:szCs w:val="20"/>
          <w:lang w:val="en-US" w:eastAsia="es-ES" w:bidi="es-ES"/>
        </w:rPr>
        <w:t xml:space="preserve">n their pleadings and motions brief, </w:t>
      </w:r>
      <w:r w:rsidRPr="00785D06">
        <w:rPr>
          <w:rFonts w:eastAsia="Times New Roman"/>
          <w:sz w:val="20"/>
          <w:szCs w:val="20"/>
          <w:lang w:val="en-US" w:eastAsia="es-ES" w:bidi="es-ES"/>
        </w:rPr>
        <w:t xml:space="preserve">the </w:t>
      </w:r>
      <w:r w:rsidRPr="00785D06">
        <w:rPr>
          <w:rFonts w:eastAsia="Times New Roman"/>
          <w:b/>
          <w:i/>
          <w:sz w:val="20"/>
          <w:szCs w:val="20"/>
          <w:lang w:val="en-US" w:eastAsia="es-ES" w:bidi="es-ES"/>
        </w:rPr>
        <w:t xml:space="preserve">representatives </w:t>
      </w:r>
      <w:r w:rsidRPr="00785D06">
        <w:rPr>
          <w:rFonts w:eastAsia="Times New Roman"/>
          <w:sz w:val="20"/>
          <w:szCs w:val="20"/>
          <w:lang w:val="en-US" w:eastAsia="es-ES" w:bidi="es-ES"/>
        </w:rPr>
        <w:t xml:space="preserve">requested that the Court order </w:t>
      </w:r>
      <w:r w:rsidR="00C254BF" w:rsidRPr="00785D06">
        <w:rPr>
          <w:rFonts w:eastAsia="Times New Roman"/>
          <w:sz w:val="20"/>
          <w:szCs w:val="20"/>
          <w:lang w:val="en-US" w:eastAsia="es-ES" w:bidi="es-ES"/>
        </w:rPr>
        <w:t xml:space="preserve">payment </w:t>
      </w:r>
      <w:r w:rsidRPr="00785D06">
        <w:rPr>
          <w:rFonts w:eastAsia="Times New Roman"/>
          <w:sz w:val="20"/>
          <w:szCs w:val="20"/>
          <w:lang w:val="en-US" w:eastAsia="es-ES" w:bidi="es-ES"/>
        </w:rPr>
        <w:t xml:space="preserve">totaling </w:t>
      </w:r>
      <w:r w:rsidR="00C254BF" w:rsidRPr="00785D06">
        <w:rPr>
          <w:rFonts w:eastAsia="Times New Roman"/>
          <w:sz w:val="20"/>
          <w:szCs w:val="20"/>
          <w:lang w:val="en-US" w:eastAsia="es-ES" w:bidi="es-ES"/>
        </w:rPr>
        <w:t xml:space="preserve">USD$ 96,593.49 (ninety-six thousand, five hundred and </w:t>
      </w:r>
      <w:r w:rsidRPr="00785D06">
        <w:rPr>
          <w:rFonts w:eastAsia="Times New Roman"/>
          <w:sz w:val="20"/>
          <w:szCs w:val="20"/>
          <w:lang w:val="en-US" w:eastAsia="es-ES" w:bidi="es-ES"/>
        </w:rPr>
        <w:t>ninety-</w:t>
      </w:r>
      <w:r w:rsidR="00C254BF" w:rsidRPr="00785D06">
        <w:rPr>
          <w:rFonts w:eastAsia="Times New Roman"/>
          <w:sz w:val="20"/>
          <w:szCs w:val="20"/>
          <w:lang w:val="en-US" w:eastAsia="es-ES" w:bidi="es-ES"/>
        </w:rPr>
        <w:t>three United States dollars and forty-nine cents) for costs and expenses,</w:t>
      </w:r>
      <w:r w:rsidR="00C254BF" w:rsidRPr="00785D06">
        <w:rPr>
          <w:rStyle w:val="Refdenotaalpie"/>
          <w:rFonts w:eastAsia="Times New Roman"/>
          <w:sz w:val="20"/>
          <w:szCs w:val="20"/>
          <w:lang w:val="en-US" w:eastAsia="es-ES" w:bidi="es-ES"/>
        </w:rPr>
        <w:footnoteReference w:id="233"/>
      </w:r>
      <w:r w:rsidR="00C254BF" w:rsidRPr="00785D06">
        <w:rPr>
          <w:rFonts w:eastAsia="Times New Roman"/>
          <w:sz w:val="20"/>
          <w:szCs w:val="20"/>
          <w:lang w:val="en-US" w:eastAsia="es-ES" w:bidi="es-ES"/>
        </w:rPr>
        <w:t xml:space="preserve"> </w:t>
      </w:r>
      <w:r w:rsidRPr="00785D06">
        <w:rPr>
          <w:rFonts w:eastAsia="Times New Roman"/>
          <w:sz w:val="20"/>
          <w:szCs w:val="20"/>
          <w:lang w:val="en-US" w:eastAsia="es-ES" w:bidi="es-ES"/>
        </w:rPr>
        <w:t xml:space="preserve">and </w:t>
      </w:r>
      <w:r w:rsidR="00F41701" w:rsidRPr="00785D06">
        <w:rPr>
          <w:rFonts w:eastAsia="Times New Roman"/>
          <w:sz w:val="20"/>
          <w:szCs w:val="20"/>
          <w:lang w:val="en-US" w:eastAsia="es-ES" w:bidi="es-ES"/>
        </w:rPr>
        <w:t xml:space="preserve">provided supporting documentation for </w:t>
      </w:r>
      <w:r w:rsidRPr="00785D06">
        <w:rPr>
          <w:rFonts w:eastAsia="Times New Roman"/>
          <w:sz w:val="20"/>
          <w:szCs w:val="20"/>
          <w:lang w:val="en-US" w:eastAsia="es-ES" w:bidi="es-ES"/>
        </w:rPr>
        <w:t xml:space="preserve">the </w:t>
      </w:r>
      <w:r w:rsidR="00C254BF" w:rsidRPr="00785D06">
        <w:rPr>
          <w:rFonts w:eastAsia="Times New Roman"/>
          <w:sz w:val="20"/>
          <w:szCs w:val="20"/>
          <w:lang w:val="en-US" w:eastAsia="es-ES" w:bidi="es-ES"/>
        </w:rPr>
        <w:t xml:space="preserve">expenses </w:t>
      </w:r>
      <w:r w:rsidRPr="00785D06">
        <w:rPr>
          <w:rFonts w:eastAsia="Times New Roman"/>
          <w:sz w:val="20"/>
          <w:szCs w:val="20"/>
          <w:lang w:val="en-US" w:eastAsia="es-ES" w:bidi="es-ES"/>
        </w:rPr>
        <w:t>incurred</w:t>
      </w:r>
      <w:r w:rsidR="00C254BF" w:rsidRPr="00785D06">
        <w:rPr>
          <w:rFonts w:eastAsia="Times New Roman"/>
          <w:sz w:val="20"/>
          <w:szCs w:val="20"/>
          <w:lang w:val="en-US" w:eastAsia="es-ES" w:bidi="es-ES"/>
        </w:rPr>
        <w:t xml:space="preserve">. </w:t>
      </w:r>
      <w:r w:rsidR="00663702" w:rsidRPr="00785D06">
        <w:rPr>
          <w:rFonts w:eastAsia="Times New Roman"/>
          <w:sz w:val="20"/>
          <w:szCs w:val="20"/>
          <w:lang w:val="en-US" w:eastAsia="es-ES" w:bidi="es-ES"/>
        </w:rPr>
        <w:t>I</w:t>
      </w:r>
      <w:r w:rsidR="00C254BF" w:rsidRPr="00785D06">
        <w:rPr>
          <w:rFonts w:eastAsia="Times New Roman"/>
          <w:sz w:val="20"/>
          <w:szCs w:val="20"/>
          <w:lang w:val="en-US" w:eastAsia="es-ES" w:bidi="es-ES"/>
        </w:rPr>
        <w:t xml:space="preserve">n their final written arguments, the representatives </w:t>
      </w:r>
      <w:r w:rsidR="00663702" w:rsidRPr="00785D06">
        <w:rPr>
          <w:rFonts w:eastAsia="Times New Roman"/>
          <w:sz w:val="20"/>
          <w:szCs w:val="20"/>
          <w:lang w:val="en-US" w:eastAsia="es-ES" w:bidi="es-ES"/>
        </w:rPr>
        <w:t xml:space="preserve">also </w:t>
      </w:r>
      <w:r w:rsidR="00C254BF" w:rsidRPr="00785D06">
        <w:rPr>
          <w:rFonts w:eastAsia="Times New Roman"/>
          <w:sz w:val="20"/>
          <w:szCs w:val="20"/>
          <w:lang w:val="en-US" w:eastAsia="es-ES" w:bidi="es-ES"/>
        </w:rPr>
        <w:t xml:space="preserve">presented details of the expenses incurred since </w:t>
      </w:r>
      <w:r w:rsidR="00F0701A" w:rsidRPr="00785D06">
        <w:rPr>
          <w:rFonts w:eastAsia="Times New Roman"/>
          <w:sz w:val="20"/>
          <w:szCs w:val="20"/>
          <w:lang w:val="en-US" w:eastAsia="es-ES" w:bidi="es-ES"/>
        </w:rPr>
        <w:t>the</w:t>
      </w:r>
      <w:r w:rsidR="00C67C80" w:rsidRPr="00785D06">
        <w:rPr>
          <w:rFonts w:eastAsia="Times New Roman"/>
          <w:sz w:val="20"/>
          <w:szCs w:val="20"/>
          <w:lang w:val="en-US" w:eastAsia="es-ES" w:bidi="es-ES"/>
        </w:rPr>
        <w:t xml:space="preserve"> submi</w:t>
      </w:r>
      <w:r w:rsidR="00F0701A" w:rsidRPr="00785D06">
        <w:rPr>
          <w:rFonts w:eastAsia="Times New Roman"/>
          <w:sz w:val="20"/>
          <w:szCs w:val="20"/>
          <w:lang w:val="en-US" w:eastAsia="es-ES" w:bidi="es-ES"/>
        </w:rPr>
        <w:t xml:space="preserve">ssion of </w:t>
      </w:r>
      <w:r w:rsidR="002D005A" w:rsidRPr="00785D06">
        <w:rPr>
          <w:rFonts w:eastAsia="Times New Roman"/>
          <w:sz w:val="20"/>
          <w:szCs w:val="20"/>
          <w:lang w:val="en-US" w:eastAsia="es-ES" w:bidi="es-ES"/>
        </w:rPr>
        <w:t xml:space="preserve">their </w:t>
      </w:r>
      <w:r w:rsidR="00C254BF" w:rsidRPr="00785D06">
        <w:rPr>
          <w:rFonts w:eastAsia="Times New Roman"/>
          <w:sz w:val="20"/>
          <w:szCs w:val="20"/>
          <w:lang w:val="en-US" w:eastAsia="es-ES" w:bidi="es-ES"/>
        </w:rPr>
        <w:t xml:space="preserve">pleadings and motions brief </w:t>
      </w:r>
      <w:r w:rsidR="00C67C80" w:rsidRPr="00785D06">
        <w:rPr>
          <w:rFonts w:eastAsia="Times New Roman"/>
          <w:sz w:val="20"/>
          <w:szCs w:val="20"/>
          <w:lang w:val="en-US" w:eastAsia="es-ES" w:bidi="es-ES"/>
        </w:rPr>
        <w:t xml:space="preserve">and up </w:t>
      </w:r>
      <w:r w:rsidR="00C254BF" w:rsidRPr="00785D06">
        <w:rPr>
          <w:rFonts w:eastAsia="Times New Roman"/>
          <w:sz w:val="20"/>
          <w:szCs w:val="20"/>
          <w:lang w:val="en-US" w:eastAsia="es-ES" w:bidi="es-ES"/>
        </w:rPr>
        <w:t>until the public hearing, for a total of USD$ 15,637.31 (fifteen thousand</w:t>
      </w:r>
      <w:r w:rsidR="00F0701A" w:rsidRPr="00785D06">
        <w:rPr>
          <w:rFonts w:eastAsia="Times New Roman"/>
          <w:sz w:val="20"/>
          <w:szCs w:val="20"/>
          <w:lang w:val="en-US" w:eastAsia="es-ES" w:bidi="es-ES"/>
        </w:rPr>
        <w:t>,</w:t>
      </w:r>
      <w:r w:rsidR="00C254BF" w:rsidRPr="00785D06">
        <w:rPr>
          <w:rFonts w:eastAsia="Times New Roman"/>
          <w:sz w:val="20"/>
          <w:szCs w:val="20"/>
          <w:lang w:val="en-US" w:eastAsia="es-ES" w:bidi="es-ES"/>
        </w:rPr>
        <w:t xml:space="preserve"> six hundred and thirty-seven United States dollars and thirty-one cents).</w:t>
      </w:r>
      <w:r w:rsidR="00C254BF" w:rsidRPr="00785D06">
        <w:rPr>
          <w:rStyle w:val="Refdenotaalpie"/>
          <w:rFonts w:eastAsia="Times New Roman"/>
          <w:sz w:val="20"/>
          <w:szCs w:val="20"/>
          <w:lang w:val="en-US" w:eastAsia="es-ES" w:bidi="es-ES"/>
        </w:rPr>
        <w:footnoteReference w:id="234"/>
      </w:r>
      <w:r w:rsidR="00C254BF" w:rsidRPr="00785D06">
        <w:rPr>
          <w:rFonts w:eastAsia="Times New Roman"/>
          <w:b/>
          <w:sz w:val="20"/>
          <w:szCs w:val="20"/>
          <w:lang w:val="en-US" w:eastAsia="es-ES" w:bidi="es-ES"/>
        </w:rPr>
        <w:t xml:space="preserve"> </w:t>
      </w:r>
      <w:r w:rsidR="00C254BF" w:rsidRPr="00785D06">
        <w:rPr>
          <w:rFonts w:eastAsia="Times New Roman"/>
          <w:sz w:val="20"/>
          <w:szCs w:val="20"/>
          <w:lang w:val="en-US" w:eastAsia="es-ES" w:bidi="es-ES"/>
        </w:rPr>
        <w:t>The representatives als</w:t>
      </w:r>
      <w:r w:rsidR="00AB28E8" w:rsidRPr="00785D06">
        <w:rPr>
          <w:rFonts w:eastAsia="Times New Roman"/>
          <w:sz w:val="20"/>
          <w:szCs w:val="20"/>
          <w:lang w:val="en-US" w:eastAsia="es-ES" w:bidi="es-ES"/>
        </w:rPr>
        <w:t xml:space="preserve">o requested </w:t>
      </w:r>
      <w:r w:rsidR="00C67C80" w:rsidRPr="00785D06">
        <w:rPr>
          <w:rFonts w:eastAsia="Times New Roman"/>
          <w:sz w:val="20"/>
          <w:szCs w:val="20"/>
          <w:lang w:val="en-US" w:eastAsia="es-ES" w:bidi="es-ES"/>
        </w:rPr>
        <w:t xml:space="preserve">that </w:t>
      </w:r>
      <w:r w:rsidR="00C254BF" w:rsidRPr="00785D06">
        <w:rPr>
          <w:rFonts w:eastAsia="Times New Roman"/>
          <w:sz w:val="20"/>
          <w:szCs w:val="20"/>
          <w:lang w:val="en-US" w:eastAsia="es-ES" w:bidi="es-ES"/>
        </w:rPr>
        <w:t>“future expenses”</w:t>
      </w:r>
      <w:r w:rsidR="00C254BF" w:rsidRPr="00785D06">
        <w:rPr>
          <w:sz w:val="20"/>
          <w:szCs w:val="20"/>
          <w:lang w:val="en-US"/>
        </w:rPr>
        <w:t xml:space="preserve"> </w:t>
      </w:r>
      <w:r w:rsidR="00C67C80" w:rsidRPr="00785D06">
        <w:rPr>
          <w:sz w:val="20"/>
          <w:szCs w:val="20"/>
          <w:lang w:val="en-US"/>
        </w:rPr>
        <w:t xml:space="preserve">be taken into account, pointing out that </w:t>
      </w:r>
      <w:r w:rsidR="00C254BF" w:rsidRPr="00785D06">
        <w:rPr>
          <w:sz w:val="20"/>
          <w:szCs w:val="20"/>
          <w:lang w:val="en-US"/>
        </w:rPr>
        <w:t xml:space="preserve">the </w:t>
      </w:r>
      <w:r w:rsidR="00C254BF" w:rsidRPr="00785D06">
        <w:rPr>
          <w:rFonts w:eastAsia="Times New Roman"/>
          <w:sz w:val="20"/>
          <w:szCs w:val="20"/>
          <w:lang w:val="en-US" w:eastAsia="es-ES" w:bidi="es-ES"/>
        </w:rPr>
        <w:t xml:space="preserve">expenses indicated </w:t>
      </w:r>
      <w:r w:rsidR="007C2B75" w:rsidRPr="00785D06">
        <w:rPr>
          <w:rFonts w:eastAsia="Times New Roman"/>
          <w:sz w:val="20"/>
          <w:szCs w:val="20"/>
          <w:lang w:val="en-US" w:eastAsia="es-ES" w:bidi="es-ES"/>
        </w:rPr>
        <w:t xml:space="preserve">so far </w:t>
      </w:r>
      <w:r w:rsidR="00C254BF" w:rsidRPr="00785D06">
        <w:rPr>
          <w:rFonts w:eastAsia="Times New Roman"/>
          <w:sz w:val="20"/>
          <w:szCs w:val="20"/>
          <w:lang w:val="en-US" w:eastAsia="es-ES" w:bidi="es-ES"/>
        </w:rPr>
        <w:t>do not include all those that m</w:t>
      </w:r>
      <w:r w:rsidR="00C67C80" w:rsidRPr="00785D06">
        <w:rPr>
          <w:rFonts w:eastAsia="Times New Roman"/>
          <w:sz w:val="20"/>
          <w:szCs w:val="20"/>
          <w:lang w:val="en-US" w:eastAsia="es-ES" w:bidi="es-ES"/>
        </w:rPr>
        <w:t xml:space="preserve">ight </w:t>
      </w:r>
      <w:r w:rsidR="00C254BF" w:rsidRPr="00785D06">
        <w:rPr>
          <w:rFonts w:eastAsia="Times New Roman"/>
          <w:sz w:val="20"/>
          <w:szCs w:val="20"/>
          <w:lang w:val="en-US" w:eastAsia="es-ES" w:bidi="es-ES"/>
        </w:rPr>
        <w:t xml:space="preserve">be incurred during the </w:t>
      </w:r>
      <w:r w:rsidR="00C67C80" w:rsidRPr="00785D06">
        <w:rPr>
          <w:rFonts w:eastAsia="Times New Roman"/>
          <w:sz w:val="20"/>
          <w:szCs w:val="20"/>
          <w:lang w:val="en-US" w:eastAsia="es-ES" w:bidi="es-ES"/>
        </w:rPr>
        <w:t xml:space="preserve">remainder of the proceedings </w:t>
      </w:r>
      <w:r w:rsidR="00F0701A" w:rsidRPr="00785D06">
        <w:rPr>
          <w:rFonts w:eastAsia="Times New Roman"/>
          <w:sz w:val="20"/>
          <w:szCs w:val="20"/>
          <w:lang w:val="en-US" w:eastAsia="es-ES" w:bidi="es-ES"/>
        </w:rPr>
        <w:t>before this</w:t>
      </w:r>
      <w:r w:rsidR="00C254BF" w:rsidRPr="00785D06">
        <w:rPr>
          <w:rFonts w:eastAsia="Times New Roman"/>
          <w:sz w:val="20"/>
          <w:szCs w:val="20"/>
          <w:lang w:val="en-US" w:eastAsia="es-ES" w:bidi="es-ES"/>
        </w:rPr>
        <w:t xml:space="preserve"> Court.</w:t>
      </w:r>
    </w:p>
    <w:p w14:paraId="23F98D90" w14:textId="77777777" w:rsidR="00C254BF" w:rsidRPr="00785D06" w:rsidRDefault="00C254BF" w:rsidP="00C254BF">
      <w:pPr>
        <w:pStyle w:val="Prrafodelista"/>
        <w:ind w:left="0"/>
        <w:contextualSpacing w:val="0"/>
        <w:jc w:val="both"/>
        <w:rPr>
          <w:sz w:val="20"/>
          <w:szCs w:val="20"/>
          <w:lang w:val="en-US"/>
        </w:rPr>
      </w:pPr>
    </w:p>
    <w:p w14:paraId="37B89A7D"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Times New Roman"/>
          <w:sz w:val="20"/>
          <w:szCs w:val="20"/>
          <w:lang w:val="en-US" w:eastAsia="es-ES" w:bidi="es-ES"/>
        </w:rPr>
        <w:t xml:space="preserve">The </w:t>
      </w:r>
      <w:r w:rsidRPr="00785D06">
        <w:rPr>
          <w:rFonts w:eastAsia="Times New Roman"/>
          <w:b/>
          <w:i/>
          <w:sz w:val="20"/>
          <w:szCs w:val="20"/>
          <w:lang w:val="en-US" w:eastAsia="es-ES" w:bidi="es-ES"/>
        </w:rPr>
        <w:t xml:space="preserve">State </w:t>
      </w:r>
      <w:r w:rsidR="006C4B83" w:rsidRPr="00785D06">
        <w:rPr>
          <w:rFonts w:eastAsia="Times New Roman"/>
          <w:sz w:val="20"/>
          <w:szCs w:val="20"/>
          <w:lang w:val="en-US" w:eastAsia="es-ES" w:bidi="es-ES"/>
        </w:rPr>
        <w:t xml:space="preserve">asked the Court to reject </w:t>
      </w:r>
      <w:r w:rsidR="00AB28E8" w:rsidRPr="00785D06">
        <w:rPr>
          <w:rFonts w:eastAsia="Times New Roman"/>
          <w:sz w:val="20"/>
          <w:szCs w:val="20"/>
          <w:lang w:val="en-US" w:eastAsia="es-ES" w:bidi="es-ES"/>
        </w:rPr>
        <w:t xml:space="preserve">any receipts </w:t>
      </w:r>
      <w:r w:rsidRPr="00785D06">
        <w:rPr>
          <w:rFonts w:eastAsia="Times New Roman"/>
          <w:sz w:val="20"/>
          <w:szCs w:val="20"/>
          <w:lang w:val="en-US" w:eastAsia="es-ES" w:bidi="es-ES"/>
        </w:rPr>
        <w:t xml:space="preserve">that are not duly justified, </w:t>
      </w:r>
      <w:r w:rsidR="006C4B83" w:rsidRPr="00785D06">
        <w:rPr>
          <w:rFonts w:eastAsia="Times New Roman"/>
          <w:sz w:val="20"/>
          <w:szCs w:val="20"/>
          <w:lang w:val="en-US" w:eastAsia="es-ES" w:bidi="es-ES"/>
        </w:rPr>
        <w:t xml:space="preserve">or </w:t>
      </w:r>
      <w:r w:rsidRPr="00785D06">
        <w:rPr>
          <w:rFonts w:eastAsia="Times New Roman"/>
          <w:sz w:val="20"/>
          <w:szCs w:val="20"/>
          <w:lang w:val="en-US" w:eastAsia="es-ES" w:bidi="es-ES"/>
        </w:rPr>
        <w:t>those corresponding</w:t>
      </w:r>
      <w:r w:rsidR="00AB28E8" w:rsidRPr="00785D06">
        <w:rPr>
          <w:rFonts w:eastAsia="Times New Roman"/>
          <w:sz w:val="20"/>
          <w:szCs w:val="20"/>
          <w:lang w:val="en-US" w:eastAsia="es-ES" w:bidi="es-ES"/>
        </w:rPr>
        <w:t xml:space="preserve"> to </w:t>
      </w:r>
      <w:r w:rsidRPr="00785D06">
        <w:rPr>
          <w:rFonts w:eastAsia="Times New Roman"/>
          <w:sz w:val="20"/>
          <w:szCs w:val="20"/>
          <w:lang w:val="en-US" w:eastAsia="es-ES" w:bidi="es-ES"/>
        </w:rPr>
        <w:t>expenses that were not stric</w:t>
      </w:r>
      <w:r w:rsidR="006C4B83" w:rsidRPr="00785D06">
        <w:rPr>
          <w:rFonts w:eastAsia="Times New Roman"/>
          <w:sz w:val="20"/>
          <w:szCs w:val="20"/>
          <w:lang w:val="en-US" w:eastAsia="es-ES" w:bidi="es-ES"/>
        </w:rPr>
        <w:t>tly necessary to obtain justice.</w:t>
      </w:r>
      <w:r w:rsidRPr="00785D06">
        <w:rPr>
          <w:rStyle w:val="Refdenotaalpie"/>
          <w:rFonts w:eastAsia="Times New Roman"/>
          <w:sz w:val="20"/>
          <w:szCs w:val="20"/>
          <w:lang w:val="en-US" w:eastAsia="es-ES" w:bidi="es-ES"/>
        </w:rPr>
        <w:footnoteReference w:id="235"/>
      </w:r>
      <w:r w:rsidRPr="00785D06">
        <w:rPr>
          <w:rFonts w:eastAsia="Times New Roman"/>
          <w:sz w:val="20"/>
          <w:szCs w:val="20"/>
          <w:lang w:val="en-US" w:eastAsia="es-ES" w:bidi="es-ES"/>
        </w:rPr>
        <w:t xml:space="preserve"> </w:t>
      </w:r>
      <w:r w:rsidR="00AB28E8" w:rsidRPr="00785D06">
        <w:rPr>
          <w:rFonts w:eastAsia="Times New Roman"/>
          <w:sz w:val="20"/>
          <w:szCs w:val="20"/>
          <w:lang w:val="en-US" w:eastAsia="es-ES" w:bidi="es-ES"/>
        </w:rPr>
        <w:t xml:space="preserve">It </w:t>
      </w:r>
      <w:r w:rsidR="006C4B83" w:rsidRPr="00785D06">
        <w:rPr>
          <w:rFonts w:eastAsia="Times New Roman"/>
          <w:sz w:val="20"/>
          <w:szCs w:val="20"/>
          <w:lang w:val="en-US" w:eastAsia="es-ES" w:bidi="es-ES"/>
        </w:rPr>
        <w:t xml:space="preserve">also argued </w:t>
      </w:r>
      <w:r w:rsidRPr="00785D06">
        <w:rPr>
          <w:rFonts w:eastAsia="Times New Roman"/>
          <w:sz w:val="20"/>
          <w:szCs w:val="20"/>
          <w:lang w:val="en-US" w:eastAsia="es-ES" w:bidi="es-ES"/>
        </w:rPr>
        <w:t xml:space="preserve">that </w:t>
      </w:r>
      <w:r w:rsidR="00AB28E8" w:rsidRPr="00785D06">
        <w:rPr>
          <w:rFonts w:eastAsia="Times New Roman"/>
          <w:sz w:val="20"/>
          <w:szCs w:val="20"/>
          <w:lang w:val="en-US" w:eastAsia="es-ES" w:bidi="es-ES"/>
        </w:rPr>
        <w:t xml:space="preserve">it should not have to </w:t>
      </w:r>
      <w:r w:rsidR="00A106BC" w:rsidRPr="00785D06">
        <w:rPr>
          <w:rFonts w:eastAsia="Times New Roman"/>
          <w:sz w:val="20"/>
          <w:szCs w:val="20"/>
          <w:lang w:val="en-US" w:eastAsia="es-ES" w:bidi="es-ES"/>
        </w:rPr>
        <w:t xml:space="preserve">pay </w:t>
      </w:r>
      <w:r w:rsidR="00AB28E8" w:rsidRPr="00785D06">
        <w:rPr>
          <w:rFonts w:eastAsia="Times New Roman"/>
          <w:sz w:val="20"/>
          <w:szCs w:val="20"/>
          <w:lang w:val="en-US" w:eastAsia="es-ES" w:bidi="es-ES"/>
        </w:rPr>
        <w:t xml:space="preserve">expenses for </w:t>
      </w:r>
      <w:r w:rsidRPr="00785D06">
        <w:rPr>
          <w:rFonts w:eastAsia="Times New Roman"/>
          <w:sz w:val="20"/>
          <w:szCs w:val="20"/>
          <w:lang w:val="en-US" w:eastAsia="es-ES" w:bidi="es-ES"/>
        </w:rPr>
        <w:t xml:space="preserve">personnel </w:t>
      </w:r>
      <w:r w:rsidR="00AB28E8" w:rsidRPr="00785D06">
        <w:rPr>
          <w:rFonts w:eastAsia="Times New Roman"/>
          <w:sz w:val="20"/>
          <w:szCs w:val="20"/>
          <w:lang w:val="en-US" w:eastAsia="es-ES" w:bidi="es-ES"/>
        </w:rPr>
        <w:t xml:space="preserve">associated </w:t>
      </w:r>
      <w:r w:rsidRPr="00785D06">
        <w:rPr>
          <w:rFonts w:eastAsia="Times New Roman"/>
          <w:sz w:val="20"/>
          <w:szCs w:val="20"/>
          <w:lang w:val="en-US" w:eastAsia="es-ES" w:bidi="es-ES"/>
        </w:rPr>
        <w:t xml:space="preserve">with the Center for Reproductive Rights, </w:t>
      </w:r>
      <w:r w:rsidR="00A46DE5" w:rsidRPr="00785D06">
        <w:rPr>
          <w:rFonts w:eastAsia="Times New Roman"/>
          <w:sz w:val="20"/>
          <w:szCs w:val="20"/>
          <w:lang w:val="en-US" w:eastAsia="es-ES" w:bidi="es-ES"/>
        </w:rPr>
        <w:t>for whom no work contracts were attached and no justification was provided for their work. It</w:t>
      </w:r>
      <w:r w:rsidR="00AB28E8" w:rsidRPr="00785D06">
        <w:rPr>
          <w:rFonts w:eastAsia="Times New Roman"/>
          <w:sz w:val="20"/>
          <w:szCs w:val="20"/>
          <w:lang w:val="en-US" w:eastAsia="es-ES" w:bidi="es-ES"/>
        </w:rPr>
        <w:t xml:space="preserve"> added </w:t>
      </w:r>
      <w:r w:rsidRPr="00785D06">
        <w:rPr>
          <w:rFonts w:eastAsia="Times New Roman"/>
          <w:sz w:val="20"/>
          <w:szCs w:val="20"/>
          <w:lang w:val="en-US" w:eastAsia="es-ES" w:bidi="es-ES"/>
        </w:rPr>
        <w:t xml:space="preserve">that CEPAM </w:t>
      </w:r>
      <w:r w:rsidR="00A46DE5" w:rsidRPr="00785D06">
        <w:rPr>
          <w:rFonts w:eastAsia="Times New Roman"/>
          <w:sz w:val="20"/>
          <w:szCs w:val="20"/>
          <w:lang w:val="en-US" w:eastAsia="es-ES" w:bidi="es-ES"/>
        </w:rPr>
        <w:t xml:space="preserve">had </w:t>
      </w:r>
      <w:r w:rsidRPr="00785D06">
        <w:rPr>
          <w:rFonts w:eastAsia="Times New Roman"/>
          <w:sz w:val="20"/>
          <w:szCs w:val="20"/>
          <w:lang w:val="en-US" w:eastAsia="es-ES" w:bidi="es-ES"/>
        </w:rPr>
        <w:t xml:space="preserve">attached </w:t>
      </w:r>
      <w:r w:rsidR="00A46DE5" w:rsidRPr="00785D06">
        <w:rPr>
          <w:rFonts w:eastAsia="Times New Roman"/>
          <w:sz w:val="20"/>
          <w:szCs w:val="20"/>
          <w:lang w:val="en-US" w:eastAsia="es-ES" w:bidi="es-ES"/>
        </w:rPr>
        <w:t xml:space="preserve">receipts for a medical appointment (angiology) and medications for </w:t>
      </w:r>
      <w:r w:rsidRPr="00785D06">
        <w:rPr>
          <w:rFonts w:eastAsia="Times New Roman"/>
          <w:sz w:val="20"/>
          <w:szCs w:val="20"/>
          <w:lang w:val="en-US" w:eastAsia="es-ES" w:bidi="es-ES"/>
        </w:rPr>
        <w:t xml:space="preserve">Mrs. Petita Albarracín, </w:t>
      </w:r>
      <w:r w:rsidR="00A46DE5" w:rsidRPr="00785D06">
        <w:rPr>
          <w:rFonts w:eastAsia="Times New Roman"/>
          <w:sz w:val="20"/>
          <w:szCs w:val="20"/>
          <w:lang w:val="en-US" w:eastAsia="es-ES" w:bidi="es-ES"/>
        </w:rPr>
        <w:t xml:space="preserve">even though it </w:t>
      </w:r>
      <w:r w:rsidR="00F0701A" w:rsidRPr="00785D06">
        <w:rPr>
          <w:rFonts w:eastAsia="Times New Roman"/>
          <w:sz w:val="20"/>
          <w:szCs w:val="20"/>
          <w:lang w:val="en-US" w:eastAsia="es-ES" w:bidi="es-ES"/>
        </w:rPr>
        <w:t xml:space="preserve">could not identify </w:t>
      </w:r>
      <w:r w:rsidR="00A46DE5" w:rsidRPr="00785D06">
        <w:rPr>
          <w:rFonts w:eastAsia="Times New Roman"/>
          <w:sz w:val="20"/>
          <w:szCs w:val="20"/>
          <w:lang w:val="en-US" w:eastAsia="es-ES" w:bidi="es-ES"/>
        </w:rPr>
        <w:t xml:space="preserve">a </w:t>
      </w:r>
      <w:r w:rsidRPr="00785D06">
        <w:rPr>
          <w:rFonts w:eastAsia="Times New Roman"/>
          <w:sz w:val="20"/>
          <w:szCs w:val="20"/>
          <w:lang w:val="en-US" w:eastAsia="es-ES" w:bidi="es-ES"/>
        </w:rPr>
        <w:t xml:space="preserve">causal </w:t>
      </w:r>
      <w:r w:rsidR="00F0701A" w:rsidRPr="00785D06">
        <w:rPr>
          <w:rFonts w:eastAsia="Times New Roman"/>
          <w:sz w:val="20"/>
          <w:szCs w:val="20"/>
          <w:lang w:val="en-US" w:eastAsia="es-ES" w:bidi="es-ES"/>
        </w:rPr>
        <w:t xml:space="preserve">link </w:t>
      </w:r>
      <w:r w:rsidRPr="00785D06">
        <w:rPr>
          <w:rFonts w:eastAsia="Times New Roman"/>
          <w:sz w:val="20"/>
          <w:szCs w:val="20"/>
          <w:lang w:val="en-US" w:eastAsia="es-ES" w:bidi="es-ES"/>
        </w:rPr>
        <w:t xml:space="preserve">between those </w:t>
      </w:r>
      <w:r w:rsidR="00A46DE5" w:rsidRPr="00785D06">
        <w:rPr>
          <w:rFonts w:eastAsia="Times New Roman"/>
          <w:sz w:val="20"/>
          <w:szCs w:val="20"/>
          <w:lang w:val="en-US" w:eastAsia="es-ES" w:bidi="es-ES"/>
        </w:rPr>
        <w:t xml:space="preserve">expenses </w:t>
      </w:r>
      <w:r w:rsidRPr="00785D06">
        <w:rPr>
          <w:rFonts w:eastAsia="Times New Roman"/>
          <w:sz w:val="20"/>
          <w:szCs w:val="20"/>
          <w:lang w:val="en-US" w:eastAsia="es-ES" w:bidi="es-ES"/>
        </w:rPr>
        <w:t xml:space="preserve">and the </w:t>
      </w:r>
      <w:r w:rsidR="00A46DE5" w:rsidRPr="00785D06">
        <w:rPr>
          <w:rFonts w:eastAsia="Times New Roman"/>
          <w:sz w:val="20"/>
          <w:szCs w:val="20"/>
          <w:lang w:val="en-US" w:eastAsia="es-ES" w:bidi="es-ES"/>
        </w:rPr>
        <w:t xml:space="preserve">harm </w:t>
      </w:r>
      <w:r w:rsidR="00F0701A" w:rsidRPr="00785D06">
        <w:rPr>
          <w:rFonts w:eastAsia="Times New Roman"/>
          <w:sz w:val="20"/>
          <w:szCs w:val="20"/>
          <w:lang w:val="en-US" w:eastAsia="es-ES" w:bidi="es-ES"/>
        </w:rPr>
        <w:t xml:space="preserve">resulting from </w:t>
      </w:r>
      <w:r w:rsidR="00AB28E8" w:rsidRPr="00785D06">
        <w:rPr>
          <w:rFonts w:eastAsia="Times New Roman"/>
          <w:sz w:val="20"/>
          <w:szCs w:val="20"/>
          <w:lang w:val="en-US" w:eastAsia="es-ES" w:bidi="es-ES"/>
        </w:rPr>
        <w:t xml:space="preserve">this </w:t>
      </w:r>
      <w:r w:rsidRPr="00785D06">
        <w:rPr>
          <w:rFonts w:eastAsia="Times New Roman"/>
          <w:sz w:val="20"/>
          <w:szCs w:val="20"/>
          <w:lang w:val="en-US" w:eastAsia="es-ES" w:bidi="es-ES"/>
        </w:rPr>
        <w:t xml:space="preserve">case. The State </w:t>
      </w:r>
      <w:r w:rsidR="00A46DE5" w:rsidRPr="00785D06">
        <w:rPr>
          <w:rFonts w:eastAsia="Times New Roman"/>
          <w:sz w:val="20"/>
          <w:szCs w:val="20"/>
          <w:lang w:val="en-US" w:eastAsia="es-ES" w:bidi="es-ES"/>
        </w:rPr>
        <w:t xml:space="preserve">further </w:t>
      </w:r>
      <w:r w:rsidR="00AE1BA9" w:rsidRPr="00785D06">
        <w:rPr>
          <w:rFonts w:eastAsia="Times New Roman"/>
          <w:sz w:val="20"/>
          <w:szCs w:val="20"/>
          <w:lang w:val="en-US" w:eastAsia="es-ES" w:bidi="es-ES"/>
        </w:rPr>
        <w:t xml:space="preserve">argued </w:t>
      </w:r>
      <w:r w:rsidRPr="00785D06">
        <w:rPr>
          <w:rFonts w:eastAsia="Times New Roman"/>
          <w:sz w:val="20"/>
          <w:szCs w:val="20"/>
          <w:lang w:val="en-US" w:eastAsia="es-ES" w:bidi="es-ES"/>
        </w:rPr>
        <w:t xml:space="preserve">that the amount claimed by the representatives is excessive and </w:t>
      </w:r>
      <w:r w:rsidR="00A46DE5" w:rsidRPr="00785D06">
        <w:rPr>
          <w:rFonts w:eastAsia="Times New Roman"/>
          <w:sz w:val="20"/>
          <w:szCs w:val="20"/>
          <w:lang w:val="en-US" w:eastAsia="es-ES" w:bidi="es-ES"/>
        </w:rPr>
        <w:t>has not been justified. It</w:t>
      </w:r>
      <w:r w:rsidR="00AE1BA9" w:rsidRPr="00785D06">
        <w:rPr>
          <w:rFonts w:eastAsia="Times New Roman"/>
          <w:sz w:val="20"/>
          <w:szCs w:val="20"/>
          <w:lang w:val="en-US" w:eastAsia="es-ES" w:bidi="es-ES"/>
        </w:rPr>
        <w:t xml:space="preserve"> called for</w:t>
      </w:r>
      <w:r w:rsidR="00E04209" w:rsidRPr="00785D06">
        <w:rPr>
          <w:rFonts w:eastAsia="Times New Roman"/>
          <w:sz w:val="20"/>
          <w:szCs w:val="20"/>
          <w:lang w:val="en-US" w:eastAsia="es-ES" w:bidi="es-ES"/>
        </w:rPr>
        <w:t xml:space="preserve"> a</w:t>
      </w:r>
      <w:r w:rsidR="00AE1BA9" w:rsidRPr="00785D06">
        <w:rPr>
          <w:rFonts w:eastAsia="Times New Roman"/>
          <w:sz w:val="20"/>
          <w:szCs w:val="20"/>
          <w:lang w:val="en-US" w:eastAsia="es-ES" w:bidi="es-ES"/>
        </w:rPr>
        <w:t xml:space="preserve"> </w:t>
      </w:r>
      <w:r w:rsidR="002E00DB" w:rsidRPr="00785D06">
        <w:rPr>
          <w:rFonts w:eastAsia="Times New Roman"/>
          <w:sz w:val="20"/>
          <w:szCs w:val="20"/>
          <w:lang w:val="en-US" w:eastAsia="es-ES" w:bidi="es-ES"/>
        </w:rPr>
        <w:t xml:space="preserve">detailed </w:t>
      </w:r>
      <w:r w:rsidR="00AB28E8" w:rsidRPr="00785D06">
        <w:rPr>
          <w:rFonts w:eastAsia="Times New Roman"/>
          <w:sz w:val="20"/>
          <w:szCs w:val="20"/>
          <w:lang w:val="en-US" w:eastAsia="es-ES" w:bidi="es-ES"/>
        </w:rPr>
        <w:t xml:space="preserve">breakdown </w:t>
      </w:r>
      <w:r w:rsidR="00A46DE5" w:rsidRPr="00785D06">
        <w:rPr>
          <w:rFonts w:eastAsia="Times New Roman"/>
          <w:sz w:val="20"/>
          <w:szCs w:val="20"/>
          <w:lang w:val="en-US" w:eastAsia="es-ES" w:bidi="es-ES"/>
        </w:rPr>
        <w:t xml:space="preserve">of the expenses and asked the Court to </w:t>
      </w:r>
      <w:r w:rsidR="00AB28E8" w:rsidRPr="00785D06">
        <w:rPr>
          <w:rFonts w:eastAsia="Times New Roman"/>
          <w:sz w:val="20"/>
          <w:szCs w:val="20"/>
          <w:lang w:val="en-US" w:eastAsia="es-ES" w:bidi="es-ES"/>
        </w:rPr>
        <w:t xml:space="preserve">set </w:t>
      </w:r>
      <w:r w:rsidRPr="00785D06">
        <w:rPr>
          <w:rFonts w:eastAsia="Times New Roman"/>
          <w:sz w:val="20"/>
          <w:szCs w:val="20"/>
          <w:lang w:val="en-US" w:eastAsia="es-ES" w:bidi="es-ES"/>
        </w:rPr>
        <w:t xml:space="preserve">a reasonable </w:t>
      </w:r>
      <w:r w:rsidR="00AB28E8" w:rsidRPr="00785D06">
        <w:rPr>
          <w:rFonts w:eastAsia="Times New Roman"/>
          <w:sz w:val="20"/>
          <w:szCs w:val="20"/>
          <w:lang w:val="en-US" w:eastAsia="es-ES" w:bidi="es-ES"/>
        </w:rPr>
        <w:t xml:space="preserve">amount of </w:t>
      </w:r>
      <w:r w:rsidRPr="00785D06">
        <w:rPr>
          <w:rFonts w:eastAsia="Times New Roman"/>
          <w:sz w:val="20"/>
          <w:szCs w:val="20"/>
          <w:lang w:val="en-US" w:eastAsia="es-ES" w:bidi="es-ES"/>
        </w:rPr>
        <w:t xml:space="preserve">between USD$ 5,000.00 (five </w:t>
      </w:r>
      <w:r w:rsidR="00AB28E8" w:rsidRPr="00785D06">
        <w:rPr>
          <w:rFonts w:eastAsia="Times New Roman"/>
          <w:sz w:val="20"/>
          <w:szCs w:val="20"/>
          <w:lang w:val="en-US" w:eastAsia="es-ES" w:bidi="es-ES"/>
        </w:rPr>
        <w:t xml:space="preserve">thousand </w:t>
      </w:r>
      <w:r w:rsidRPr="00785D06">
        <w:rPr>
          <w:rFonts w:eastAsia="Times New Roman"/>
          <w:sz w:val="20"/>
          <w:szCs w:val="20"/>
          <w:lang w:val="en-US" w:eastAsia="es-ES" w:bidi="es-ES"/>
        </w:rPr>
        <w:t>United States dollars) and USD$ 10,000.00 (ten thousand United States dollars).</w:t>
      </w:r>
      <w:bookmarkStart w:id="186" w:name="_Ref532988410"/>
    </w:p>
    <w:p w14:paraId="400B8AB2" w14:textId="77777777" w:rsidR="00C254BF" w:rsidRPr="00785D06" w:rsidRDefault="00C254BF" w:rsidP="00C254BF">
      <w:pPr>
        <w:pStyle w:val="Prrafodelista"/>
        <w:rPr>
          <w:sz w:val="20"/>
          <w:szCs w:val="20"/>
          <w:lang w:val="en-US"/>
        </w:rPr>
      </w:pPr>
    </w:p>
    <w:p w14:paraId="15D4ADFA"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The </w:t>
      </w:r>
      <w:r w:rsidRPr="00785D06">
        <w:rPr>
          <w:b/>
          <w:i/>
          <w:sz w:val="20"/>
          <w:szCs w:val="20"/>
          <w:lang w:val="en-US"/>
        </w:rPr>
        <w:t>Court</w:t>
      </w:r>
      <w:r w:rsidRPr="00785D06">
        <w:rPr>
          <w:sz w:val="20"/>
          <w:szCs w:val="20"/>
          <w:lang w:val="en-US"/>
        </w:rPr>
        <w:t xml:space="preserve"> reiterates that, </w:t>
      </w:r>
      <w:r w:rsidR="00A46DE5" w:rsidRPr="00785D06">
        <w:rPr>
          <w:sz w:val="20"/>
          <w:szCs w:val="20"/>
          <w:lang w:val="en-US"/>
        </w:rPr>
        <w:t xml:space="preserve">based on </w:t>
      </w:r>
      <w:r w:rsidRPr="00785D06">
        <w:rPr>
          <w:sz w:val="20"/>
          <w:szCs w:val="20"/>
          <w:lang w:val="en-US"/>
        </w:rPr>
        <w:t xml:space="preserve">its case law, costs and expenses form part of the </w:t>
      </w:r>
      <w:r w:rsidRPr="00785D06">
        <w:rPr>
          <w:rFonts w:eastAsia="Times New Roman"/>
          <w:sz w:val="20"/>
          <w:szCs w:val="20"/>
          <w:lang w:val="en-US" w:eastAsia="es-ES" w:bidi="es-ES"/>
        </w:rPr>
        <w:t>concept</w:t>
      </w:r>
      <w:r w:rsidRPr="00785D06">
        <w:rPr>
          <w:sz w:val="20"/>
          <w:szCs w:val="20"/>
          <w:lang w:val="en-US"/>
        </w:rPr>
        <w:t xml:space="preserve"> of reparation, </w:t>
      </w:r>
      <w:r w:rsidR="00A46DE5" w:rsidRPr="00785D06">
        <w:rPr>
          <w:sz w:val="20"/>
          <w:szCs w:val="20"/>
          <w:lang w:val="en-US"/>
        </w:rPr>
        <w:t xml:space="preserve">because </w:t>
      </w:r>
      <w:r w:rsidRPr="00785D06">
        <w:rPr>
          <w:sz w:val="20"/>
          <w:szCs w:val="20"/>
          <w:lang w:val="en-US"/>
        </w:rPr>
        <w:t xml:space="preserve">the </w:t>
      </w:r>
      <w:r w:rsidR="00AB28E8" w:rsidRPr="00785D06">
        <w:rPr>
          <w:sz w:val="20"/>
          <w:szCs w:val="20"/>
          <w:lang w:val="en-US"/>
        </w:rPr>
        <w:t xml:space="preserve">efforts </w:t>
      </w:r>
      <w:r w:rsidR="00F30EA1" w:rsidRPr="00785D06">
        <w:rPr>
          <w:sz w:val="20"/>
          <w:szCs w:val="20"/>
          <w:lang w:val="en-US"/>
        </w:rPr>
        <w:t xml:space="preserve">made </w:t>
      </w:r>
      <w:r w:rsidRPr="00785D06">
        <w:rPr>
          <w:sz w:val="20"/>
          <w:szCs w:val="20"/>
          <w:lang w:val="en-US"/>
        </w:rPr>
        <w:t xml:space="preserve">by the victims </w:t>
      </w:r>
      <w:r w:rsidR="00A46DE5" w:rsidRPr="00785D06">
        <w:rPr>
          <w:sz w:val="20"/>
          <w:szCs w:val="20"/>
          <w:lang w:val="en-US"/>
        </w:rPr>
        <w:t xml:space="preserve">to obtain </w:t>
      </w:r>
      <w:r w:rsidRPr="00785D06">
        <w:rPr>
          <w:sz w:val="20"/>
          <w:szCs w:val="20"/>
          <w:lang w:val="en-US"/>
        </w:rPr>
        <w:t>justice, both a</w:t>
      </w:r>
      <w:r w:rsidR="00AB28E8" w:rsidRPr="00785D06">
        <w:rPr>
          <w:sz w:val="20"/>
          <w:szCs w:val="20"/>
          <w:lang w:val="en-US"/>
        </w:rPr>
        <w:t>t</w:t>
      </w:r>
      <w:r w:rsidRPr="00785D06">
        <w:rPr>
          <w:sz w:val="20"/>
          <w:szCs w:val="20"/>
          <w:lang w:val="en-US"/>
        </w:rPr>
        <w:t xml:space="preserve"> </w:t>
      </w:r>
      <w:r w:rsidR="00AB28E8" w:rsidRPr="00785D06">
        <w:rPr>
          <w:sz w:val="20"/>
          <w:szCs w:val="20"/>
          <w:lang w:val="en-US"/>
        </w:rPr>
        <w:t>national and</w:t>
      </w:r>
      <w:r w:rsidRPr="00785D06">
        <w:rPr>
          <w:sz w:val="20"/>
          <w:szCs w:val="20"/>
          <w:lang w:val="en-US"/>
        </w:rPr>
        <w:t xml:space="preserve"> international</w:t>
      </w:r>
      <w:r w:rsidR="00A46DE5" w:rsidRPr="00785D06">
        <w:rPr>
          <w:sz w:val="20"/>
          <w:szCs w:val="20"/>
          <w:lang w:val="en-US"/>
        </w:rPr>
        <w:t xml:space="preserve"> level</w:t>
      </w:r>
      <w:r w:rsidRPr="00785D06">
        <w:rPr>
          <w:sz w:val="20"/>
          <w:szCs w:val="20"/>
          <w:lang w:val="en-US"/>
        </w:rPr>
        <w:t xml:space="preserve">, </w:t>
      </w:r>
      <w:r w:rsidR="00A46DE5" w:rsidRPr="00785D06">
        <w:rPr>
          <w:sz w:val="20"/>
          <w:szCs w:val="20"/>
          <w:lang w:val="en-US"/>
        </w:rPr>
        <w:t xml:space="preserve">entail </w:t>
      </w:r>
      <w:r w:rsidRPr="00785D06">
        <w:rPr>
          <w:sz w:val="20"/>
          <w:szCs w:val="20"/>
          <w:lang w:val="en-US"/>
        </w:rPr>
        <w:t xml:space="preserve">disbursements that must be compensated when the State’s international responsibility </w:t>
      </w:r>
      <w:r w:rsidR="00A46DE5" w:rsidRPr="00785D06">
        <w:rPr>
          <w:sz w:val="20"/>
          <w:szCs w:val="20"/>
          <w:lang w:val="en-US"/>
        </w:rPr>
        <w:t xml:space="preserve">has been </w:t>
      </w:r>
      <w:r w:rsidRPr="00785D06">
        <w:rPr>
          <w:sz w:val="20"/>
          <w:szCs w:val="20"/>
          <w:lang w:val="en-US"/>
        </w:rPr>
        <w:t xml:space="preserve">declared in a </w:t>
      </w:r>
      <w:r w:rsidR="007C2B75" w:rsidRPr="00785D06">
        <w:rPr>
          <w:sz w:val="20"/>
          <w:szCs w:val="20"/>
          <w:lang w:val="en-US"/>
        </w:rPr>
        <w:t xml:space="preserve">condemnatory </w:t>
      </w:r>
      <w:r w:rsidRPr="00785D06">
        <w:rPr>
          <w:sz w:val="20"/>
          <w:szCs w:val="20"/>
          <w:lang w:val="en-US"/>
        </w:rPr>
        <w:t>judgment. Regarding</w:t>
      </w:r>
      <w:r w:rsidRPr="00785D06">
        <w:rPr>
          <w:rFonts w:cs="Verdana"/>
          <w:sz w:val="20"/>
          <w:szCs w:val="20"/>
          <w:lang w:val="en-US"/>
        </w:rPr>
        <w:t xml:space="preserve"> the reimbursement of costs and expenses</w:t>
      </w:r>
      <w:r w:rsidR="00AB28E8" w:rsidRPr="00785D06">
        <w:rPr>
          <w:rFonts w:cs="Verdana"/>
          <w:sz w:val="20"/>
          <w:szCs w:val="20"/>
          <w:lang w:val="en-US"/>
        </w:rPr>
        <w:t xml:space="preserve">, it is for the Court to </w:t>
      </w:r>
      <w:r w:rsidRPr="00785D06">
        <w:rPr>
          <w:sz w:val="20"/>
          <w:szCs w:val="20"/>
          <w:lang w:val="en-US"/>
        </w:rPr>
        <w:t xml:space="preserve">prudently </w:t>
      </w:r>
      <w:r w:rsidR="00AB28E8" w:rsidRPr="00785D06">
        <w:rPr>
          <w:sz w:val="20"/>
          <w:szCs w:val="20"/>
          <w:lang w:val="en-US"/>
        </w:rPr>
        <w:t xml:space="preserve">assess </w:t>
      </w:r>
      <w:r w:rsidRPr="00785D06">
        <w:rPr>
          <w:sz w:val="20"/>
          <w:szCs w:val="20"/>
          <w:lang w:val="en-US"/>
        </w:rPr>
        <w:t xml:space="preserve">their </w:t>
      </w:r>
      <w:r w:rsidRPr="00785D06">
        <w:rPr>
          <w:rFonts w:cs="Verdana"/>
          <w:sz w:val="20"/>
          <w:szCs w:val="20"/>
          <w:lang w:val="en-US"/>
        </w:rPr>
        <w:t xml:space="preserve">scope, </w:t>
      </w:r>
      <w:r w:rsidR="00D670A9" w:rsidRPr="00785D06">
        <w:rPr>
          <w:rFonts w:cs="Verdana"/>
          <w:sz w:val="20"/>
          <w:szCs w:val="20"/>
          <w:lang w:val="en-US"/>
        </w:rPr>
        <w:t xml:space="preserve">which includes </w:t>
      </w:r>
      <w:r w:rsidRPr="00785D06">
        <w:rPr>
          <w:rFonts w:cs="Verdana"/>
          <w:sz w:val="20"/>
          <w:szCs w:val="20"/>
          <w:lang w:val="en-US"/>
        </w:rPr>
        <w:t>expenses incurred before the aut</w:t>
      </w:r>
      <w:r w:rsidR="00D670A9" w:rsidRPr="00785D06">
        <w:rPr>
          <w:rFonts w:cs="Verdana"/>
          <w:sz w:val="20"/>
          <w:szCs w:val="20"/>
          <w:lang w:val="en-US"/>
        </w:rPr>
        <w:t>horities of the domestic courts and</w:t>
      </w:r>
      <w:r w:rsidRPr="00785D06">
        <w:rPr>
          <w:rFonts w:cs="Verdana"/>
          <w:sz w:val="20"/>
          <w:szCs w:val="20"/>
          <w:lang w:val="en-US"/>
        </w:rPr>
        <w:t xml:space="preserve"> those generated </w:t>
      </w:r>
      <w:r w:rsidR="00D670A9" w:rsidRPr="00785D06">
        <w:rPr>
          <w:rFonts w:cs="Verdana"/>
          <w:sz w:val="20"/>
          <w:szCs w:val="20"/>
          <w:lang w:val="en-US"/>
        </w:rPr>
        <w:t xml:space="preserve">during </w:t>
      </w:r>
      <w:r w:rsidRPr="00785D06">
        <w:rPr>
          <w:rFonts w:cs="Verdana"/>
          <w:sz w:val="20"/>
          <w:szCs w:val="20"/>
          <w:lang w:val="en-US"/>
        </w:rPr>
        <w:t xml:space="preserve">the proceedings before the Inter-American system, </w:t>
      </w:r>
      <w:r w:rsidR="00D670A9" w:rsidRPr="00785D06">
        <w:rPr>
          <w:rFonts w:cs="Verdana"/>
          <w:sz w:val="20"/>
          <w:szCs w:val="20"/>
          <w:lang w:val="en-US"/>
        </w:rPr>
        <w:t xml:space="preserve">taking into account </w:t>
      </w:r>
      <w:r w:rsidRPr="00785D06">
        <w:rPr>
          <w:rFonts w:cs="Verdana"/>
          <w:sz w:val="20"/>
          <w:szCs w:val="20"/>
          <w:lang w:val="en-US"/>
        </w:rPr>
        <w:t>the circumstances of the specific case and the nature of the international jurisdiction for the protection of human rights. This a</w:t>
      </w:r>
      <w:r w:rsidR="00D670A9" w:rsidRPr="00785D06">
        <w:rPr>
          <w:rFonts w:cs="Verdana"/>
          <w:sz w:val="20"/>
          <w:szCs w:val="20"/>
          <w:lang w:val="en-US"/>
        </w:rPr>
        <w:t xml:space="preserve">ssessment </w:t>
      </w:r>
      <w:r w:rsidRPr="00785D06">
        <w:rPr>
          <w:rFonts w:cs="Verdana"/>
          <w:sz w:val="20"/>
          <w:szCs w:val="20"/>
          <w:lang w:val="en-US"/>
        </w:rPr>
        <w:t>may be based on the principle of equity</w:t>
      </w:r>
      <w:r w:rsidR="00D670A9" w:rsidRPr="00785D06">
        <w:rPr>
          <w:rFonts w:cs="Verdana"/>
          <w:sz w:val="20"/>
          <w:szCs w:val="20"/>
          <w:lang w:val="en-US"/>
        </w:rPr>
        <w:t>,</w:t>
      </w:r>
      <w:r w:rsidRPr="00785D06">
        <w:rPr>
          <w:rFonts w:cs="Verdana"/>
          <w:sz w:val="20"/>
          <w:szCs w:val="20"/>
          <w:lang w:val="en-US"/>
        </w:rPr>
        <w:t xml:space="preserve"> taking into account the expenses indicated by the parties, provided that </w:t>
      </w:r>
      <w:r w:rsidR="00D670A9" w:rsidRPr="00785D06">
        <w:rPr>
          <w:rFonts w:cs="Verdana"/>
          <w:sz w:val="20"/>
          <w:szCs w:val="20"/>
          <w:lang w:val="en-US"/>
        </w:rPr>
        <w:t xml:space="preserve">their </w:t>
      </w:r>
      <w:r w:rsidRPr="00785D06">
        <w:rPr>
          <w:rFonts w:cs="Verdana"/>
          <w:i/>
          <w:iCs/>
          <w:sz w:val="20"/>
          <w:szCs w:val="20"/>
          <w:lang w:val="en-US"/>
        </w:rPr>
        <w:t>quantum</w:t>
      </w:r>
      <w:r w:rsidRPr="00785D06">
        <w:rPr>
          <w:rFonts w:cs="Verdana"/>
          <w:iCs/>
          <w:sz w:val="20"/>
          <w:szCs w:val="20"/>
          <w:lang w:val="en-US"/>
        </w:rPr>
        <w:t xml:space="preserve"> is </w:t>
      </w:r>
      <w:r w:rsidRPr="00785D06">
        <w:rPr>
          <w:rFonts w:cs="Verdana"/>
          <w:sz w:val="20"/>
          <w:szCs w:val="20"/>
          <w:lang w:val="en-US"/>
        </w:rPr>
        <w:t>reasonable.</w:t>
      </w:r>
      <w:r w:rsidRPr="00785D06">
        <w:rPr>
          <w:rStyle w:val="Refdenotaalpie"/>
          <w:sz w:val="20"/>
          <w:szCs w:val="20"/>
          <w:lang w:val="en-US" w:eastAsia="es-ES_tradnl"/>
        </w:rPr>
        <w:footnoteReference w:id="236"/>
      </w:r>
      <w:bookmarkEnd w:id="186"/>
    </w:p>
    <w:p w14:paraId="1B230519" w14:textId="77777777" w:rsidR="00C254BF" w:rsidRPr="00785D06" w:rsidRDefault="00C254BF" w:rsidP="00C254BF">
      <w:pPr>
        <w:pStyle w:val="Prrafodelista"/>
        <w:rPr>
          <w:sz w:val="20"/>
          <w:szCs w:val="20"/>
          <w:lang w:val="en-US"/>
        </w:rPr>
      </w:pPr>
    </w:p>
    <w:p w14:paraId="2987492E"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This Court has </w:t>
      </w:r>
      <w:r w:rsidR="00F0701A" w:rsidRPr="00785D06">
        <w:rPr>
          <w:sz w:val="20"/>
          <w:szCs w:val="20"/>
          <w:lang w:val="en-US"/>
        </w:rPr>
        <w:t xml:space="preserve">indicated </w:t>
      </w:r>
      <w:r w:rsidRPr="00785D06">
        <w:rPr>
          <w:sz w:val="20"/>
          <w:szCs w:val="20"/>
          <w:lang w:val="en-US"/>
        </w:rPr>
        <w:t xml:space="preserve">that, </w:t>
      </w:r>
    </w:p>
    <w:p w14:paraId="460F2CEC" w14:textId="77777777" w:rsidR="00C254BF" w:rsidRPr="00785D06" w:rsidRDefault="00C254BF" w:rsidP="00C254BF">
      <w:pPr>
        <w:pStyle w:val="Prrafodelista"/>
        <w:rPr>
          <w:sz w:val="20"/>
          <w:szCs w:val="20"/>
          <w:lang w:val="en-US"/>
        </w:rPr>
      </w:pPr>
    </w:p>
    <w:p w14:paraId="4F3B30F3" w14:textId="77777777" w:rsidR="00C254BF" w:rsidRPr="00785D06" w:rsidRDefault="00CF3C8F" w:rsidP="00C254BF">
      <w:pPr>
        <w:pStyle w:val="Prrafodelista"/>
        <w:ind w:left="284" w:right="276"/>
        <w:contextualSpacing w:val="0"/>
        <w:jc w:val="both"/>
        <w:rPr>
          <w:lang w:val="en-US"/>
        </w:rPr>
      </w:pPr>
      <w:r w:rsidRPr="00785D06">
        <w:rPr>
          <w:lang w:val="en-US"/>
        </w:rPr>
        <w:t xml:space="preserve">the claims of the victims or their representatives </w:t>
      </w:r>
      <w:r w:rsidR="005B21E6" w:rsidRPr="00785D06">
        <w:rPr>
          <w:lang w:val="en-US"/>
        </w:rPr>
        <w:t xml:space="preserve">with regard to </w:t>
      </w:r>
      <w:r w:rsidRPr="00785D06">
        <w:rPr>
          <w:lang w:val="en-US"/>
        </w:rPr>
        <w:t xml:space="preserve">costs and expenses, and the evidence </w:t>
      </w:r>
      <w:r w:rsidR="005B21E6" w:rsidRPr="00785D06">
        <w:rPr>
          <w:lang w:val="en-US"/>
        </w:rPr>
        <w:t>to support</w:t>
      </w:r>
      <w:r w:rsidRPr="00785D06">
        <w:rPr>
          <w:lang w:val="en-US"/>
        </w:rPr>
        <w:t xml:space="preserve"> them, must be </w:t>
      </w:r>
      <w:r w:rsidR="005B21E6" w:rsidRPr="00785D06">
        <w:rPr>
          <w:lang w:val="en-US"/>
        </w:rPr>
        <w:t xml:space="preserve">submitted </w:t>
      </w:r>
      <w:r w:rsidRPr="00785D06">
        <w:rPr>
          <w:lang w:val="en-US"/>
        </w:rPr>
        <w:t xml:space="preserve">to the Court at the first procedural opportunity granted </w:t>
      </w:r>
      <w:r w:rsidR="005B21E6" w:rsidRPr="00785D06">
        <w:rPr>
          <w:lang w:val="en-US"/>
        </w:rPr>
        <w:t xml:space="preserve">to </w:t>
      </w:r>
      <w:r w:rsidRPr="00785D06">
        <w:rPr>
          <w:lang w:val="en-US"/>
        </w:rPr>
        <w:t>them</w:t>
      </w:r>
      <w:r w:rsidR="005B21E6" w:rsidRPr="00785D06">
        <w:rPr>
          <w:lang w:val="en-US"/>
        </w:rPr>
        <w:t>;</w:t>
      </w:r>
      <w:r w:rsidR="00C254BF" w:rsidRPr="00785D06">
        <w:rPr>
          <w:lang w:val="en-US"/>
        </w:rPr>
        <w:t xml:space="preserve"> </w:t>
      </w:r>
      <w:r w:rsidR="005B21E6" w:rsidRPr="00785D06">
        <w:rPr>
          <w:lang w:val="en-US"/>
        </w:rPr>
        <w:t xml:space="preserve">that is, </w:t>
      </w:r>
      <w:r w:rsidRPr="00785D06">
        <w:rPr>
          <w:lang w:val="en-US"/>
        </w:rPr>
        <w:t>in the pleadings and motions</w:t>
      </w:r>
      <w:r w:rsidR="005B21E6" w:rsidRPr="00785D06">
        <w:rPr>
          <w:lang w:val="en-US"/>
        </w:rPr>
        <w:t xml:space="preserve"> brief, without prejudice to the</w:t>
      </w:r>
      <w:r w:rsidRPr="00785D06">
        <w:rPr>
          <w:lang w:val="en-US"/>
        </w:rPr>
        <w:t xml:space="preserve">se claims being updated subsequently, </w:t>
      </w:r>
      <w:r w:rsidR="005B21E6" w:rsidRPr="00785D06">
        <w:rPr>
          <w:lang w:val="en-US"/>
        </w:rPr>
        <w:t xml:space="preserve">in keeping with the new costs and expenses incurred during </w:t>
      </w:r>
      <w:r w:rsidRPr="00785D06">
        <w:rPr>
          <w:lang w:val="en-US"/>
        </w:rPr>
        <w:t>the proceedings before this Court</w:t>
      </w:r>
      <w:r w:rsidR="00C254BF" w:rsidRPr="00785D06">
        <w:rPr>
          <w:lang w:val="en-US"/>
        </w:rPr>
        <w:t>.</w:t>
      </w:r>
      <w:r w:rsidR="00C254BF" w:rsidRPr="00785D06">
        <w:rPr>
          <w:vertAlign w:val="superscript"/>
          <w:lang w:val="en-US"/>
        </w:rPr>
        <w:footnoteReference w:id="237"/>
      </w:r>
      <w:r w:rsidR="00C254BF" w:rsidRPr="00785D06">
        <w:rPr>
          <w:lang w:val="en-US"/>
        </w:rPr>
        <w:t xml:space="preserve"> </w:t>
      </w:r>
    </w:p>
    <w:p w14:paraId="2CD1C49A" w14:textId="77777777" w:rsidR="00C254BF" w:rsidRPr="00785D06" w:rsidRDefault="00C254BF" w:rsidP="00C254BF">
      <w:pPr>
        <w:pStyle w:val="Prrafodelista"/>
        <w:rPr>
          <w:sz w:val="20"/>
          <w:szCs w:val="20"/>
          <w:lang w:val="en-US"/>
        </w:rPr>
      </w:pPr>
    </w:p>
    <w:p w14:paraId="0670181F" w14:textId="77777777" w:rsidR="00C254BF" w:rsidRPr="00785D06" w:rsidRDefault="00D56953" w:rsidP="00C254BF">
      <w:pPr>
        <w:pStyle w:val="Prrafodelista"/>
        <w:numPr>
          <w:ilvl w:val="0"/>
          <w:numId w:val="35"/>
        </w:numPr>
        <w:ind w:left="0" w:firstLine="0"/>
        <w:contextualSpacing w:val="0"/>
        <w:jc w:val="both"/>
        <w:rPr>
          <w:sz w:val="20"/>
          <w:szCs w:val="20"/>
          <w:lang w:val="en-US"/>
        </w:rPr>
      </w:pPr>
      <w:r w:rsidRPr="00785D06">
        <w:rPr>
          <w:sz w:val="20"/>
          <w:szCs w:val="20"/>
          <w:lang w:val="en-US"/>
        </w:rPr>
        <w:t>T</w:t>
      </w:r>
      <w:r w:rsidR="00C254BF" w:rsidRPr="00785D06">
        <w:rPr>
          <w:sz w:val="20"/>
          <w:szCs w:val="20"/>
          <w:lang w:val="en-US"/>
        </w:rPr>
        <w:t xml:space="preserve">he Court </w:t>
      </w:r>
      <w:r w:rsidRPr="00785D06">
        <w:rPr>
          <w:sz w:val="20"/>
          <w:szCs w:val="20"/>
          <w:lang w:val="en-US"/>
        </w:rPr>
        <w:t xml:space="preserve">also </w:t>
      </w:r>
      <w:r w:rsidR="00C254BF" w:rsidRPr="00785D06">
        <w:rPr>
          <w:sz w:val="20"/>
          <w:szCs w:val="20"/>
          <w:lang w:val="en-US"/>
        </w:rPr>
        <w:t xml:space="preserve">reiterates that </w:t>
      </w:r>
      <w:r w:rsidR="00CF3C8F" w:rsidRPr="00785D06">
        <w:rPr>
          <w:sz w:val="20"/>
          <w:szCs w:val="20"/>
          <w:lang w:val="en-US"/>
        </w:rPr>
        <w:t xml:space="preserve">it is not sufficient </w:t>
      </w:r>
      <w:r w:rsidRPr="00785D06">
        <w:rPr>
          <w:sz w:val="20"/>
          <w:szCs w:val="20"/>
          <w:lang w:val="en-US"/>
        </w:rPr>
        <w:t xml:space="preserve">merely </w:t>
      </w:r>
      <w:r w:rsidR="00CF3C8F" w:rsidRPr="00785D06">
        <w:rPr>
          <w:sz w:val="20"/>
          <w:szCs w:val="20"/>
          <w:lang w:val="en-US"/>
        </w:rPr>
        <w:t xml:space="preserve">to </w:t>
      </w:r>
      <w:r w:rsidRPr="00785D06">
        <w:rPr>
          <w:sz w:val="20"/>
          <w:szCs w:val="20"/>
          <w:lang w:val="en-US"/>
        </w:rPr>
        <w:t xml:space="preserve">forward </w:t>
      </w:r>
      <w:r w:rsidR="00CF3C8F" w:rsidRPr="00785D06">
        <w:rPr>
          <w:sz w:val="20"/>
          <w:szCs w:val="20"/>
          <w:lang w:val="en-US"/>
        </w:rPr>
        <w:t>probative documents; rather</w:t>
      </w:r>
      <w:r w:rsidRPr="00785D06">
        <w:rPr>
          <w:sz w:val="20"/>
          <w:szCs w:val="20"/>
          <w:lang w:val="en-US"/>
        </w:rPr>
        <w:t>,</w:t>
      </w:r>
      <w:r w:rsidR="00CF3C8F" w:rsidRPr="00785D06">
        <w:rPr>
          <w:sz w:val="20"/>
          <w:szCs w:val="20"/>
          <w:lang w:val="en-US"/>
        </w:rPr>
        <w:t xml:space="preserve"> the parties </w:t>
      </w:r>
      <w:r w:rsidRPr="00785D06">
        <w:rPr>
          <w:sz w:val="20"/>
          <w:szCs w:val="20"/>
          <w:lang w:val="en-US"/>
        </w:rPr>
        <w:t xml:space="preserve">are required to include arguments that relate </w:t>
      </w:r>
      <w:r w:rsidR="00CF3C8F" w:rsidRPr="00785D06">
        <w:rPr>
          <w:sz w:val="20"/>
          <w:szCs w:val="20"/>
          <w:lang w:val="en-US"/>
        </w:rPr>
        <w:t xml:space="preserve">the evidence to the fact </w:t>
      </w:r>
      <w:r w:rsidRPr="00785D06">
        <w:rPr>
          <w:sz w:val="20"/>
          <w:szCs w:val="20"/>
          <w:lang w:val="en-US"/>
        </w:rPr>
        <w:t>that it is considered to represent</w:t>
      </w:r>
      <w:r w:rsidR="00CF3C8F" w:rsidRPr="00785D06">
        <w:rPr>
          <w:sz w:val="20"/>
          <w:szCs w:val="20"/>
          <w:lang w:val="en-US"/>
        </w:rPr>
        <w:t xml:space="preserve"> and, in the case of alleged financial disbursements, </w:t>
      </w:r>
      <w:r w:rsidRPr="00785D06">
        <w:rPr>
          <w:sz w:val="20"/>
          <w:szCs w:val="20"/>
          <w:lang w:val="en-US"/>
        </w:rPr>
        <w:t xml:space="preserve">ensure that </w:t>
      </w:r>
      <w:r w:rsidR="00CF3C8F" w:rsidRPr="00785D06">
        <w:rPr>
          <w:sz w:val="20"/>
          <w:szCs w:val="20"/>
          <w:lang w:val="en-US"/>
        </w:rPr>
        <w:t xml:space="preserve">the items and their justification </w:t>
      </w:r>
      <w:r w:rsidRPr="00785D06">
        <w:rPr>
          <w:sz w:val="20"/>
          <w:szCs w:val="20"/>
          <w:lang w:val="en-US"/>
        </w:rPr>
        <w:t xml:space="preserve">are clearly </w:t>
      </w:r>
      <w:r w:rsidR="00CF3C8F" w:rsidRPr="00785D06">
        <w:rPr>
          <w:sz w:val="20"/>
          <w:szCs w:val="20"/>
          <w:lang w:val="en-US"/>
        </w:rPr>
        <w:t>described</w:t>
      </w:r>
      <w:r w:rsidRPr="00785D06">
        <w:rPr>
          <w:sz w:val="20"/>
          <w:szCs w:val="20"/>
          <w:lang w:val="en-US"/>
        </w:rPr>
        <w:t>.</w:t>
      </w:r>
      <w:r w:rsidR="00C254BF" w:rsidRPr="00785D06">
        <w:rPr>
          <w:vertAlign w:val="superscript"/>
          <w:lang w:val="en-US"/>
        </w:rPr>
        <w:footnoteReference w:id="238"/>
      </w:r>
      <w:bookmarkStart w:id="187" w:name="_Ref33110670"/>
      <w:bookmarkStart w:id="188" w:name="_Ref36651082"/>
      <w:r w:rsidR="00C254BF" w:rsidRPr="00785D06">
        <w:rPr>
          <w:sz w:val="20"/>
          <w:szCs w:val="20"/>
          <w:lang w:val="en-US"/>
        </w:rPr>
        <w:t xml:space="preserve"> The representatives provided receipts for expenses </w:t>
      </w:r>
      <w:r w:rsidRPr="00785D06">
        <w:rPr>
          <w:sz w:val="20"/>
          <w:szCs w:val="20"/>
          <w:lang w:val="en-US"/>
        </w:rPr>
        <w:t xml:space="preserve">totaling </w:t>
      </w:r>
      <w:r w:rsidR="00C254BF" w:rsidRPr="00785D06">
        <w:rPr>
          <w:sz w:val="20"/>
          <w:szCs w:val="20"/>
          <w:lang w:val="en-US"/>
        </w:rPr>
        <w:t xml:space="preserve">USD$ 58,500.00 (fifty-eight thousand, five hundred United States dollars) </w:t>
      </w:r>
      <w:r w:rsidRPr="00785D06">
        <w:rPr>
          <w:sz w:val="20"/>
          <w:szCs w:val="20"/>
          <w:lang w:val="en-US"/>
        </w:rPr>
        <w:t xml:space="preserve">from the </w:t>
      </w:r>
      <w:r w:rsidR="00C254BF" w:rsidRPr="00785D06">
        <w:rPr>
          <w:sz w:val="20"/>
          <w:szCs w:val="20"/>
          <w:lang w:val="en-US"/>
        </w:rPr>
        <w:t xml:space="preserve">Center </w:t>
      </w:r>
      <w:r w:rsidRPr="00785D06">
        <w:rPr>
          <w:sz w:val="20"/>
          <w:szCs w:val="20"/>
          <w:lang w:val="en-US"/>
        </w:rPr>
        <w:t xml:space="preserve">for Reproductive Rights, and </w:t>
      </w:r>
      <w:r w:rsidR="00C254BF" w:rsidRPr="00785D06">
        <w:rPr>
          <w:sz w:val="20"/>
          <w:szCs w:val="20"/>
          <w:lang w:val="en-US"/>
        </w:rPr>
        <w:t xml:space="preserve">USD$ 8,618.00 (eight thousand, six hundred and eighteen United States dollars) </w:t>
      </w:r>
      <w:r w:rsidR="00646BB5" w:rsidRPr="00785D06">
        <w:rPr>
          <w:sz w:val="20"/>
          <w:szCs w:val="20"/>
          <w:lang w:val="en-US"/>
        </w:rPr>
        <w:t xml:space="preserve">from </w:t>
      </w:r>
      <w:r w:rsidR="00C254BF" w:rsidRPr="00785D06">
        <w:rPr>
          <w:sz w:val="20"/>
          <w:szCs w:val="20"/>
          <w:lang w:val="en-US"/>
        </w:rPr>
        <w:t xml:space="preserve">the organization CEPAM. </w:t>
      </w:r>
      <w:r w:rsidRPr="00785D06">
        <w:rPr>
          <w:sz w:val="20"/>
          <w:szCs w:val="20"/>
          <w:lang w:val="en-US"/>
        </w:rPr>
        <w:t>However, the link between these expenses and the present litigation has not been proven in all cases</w:t>
      </w:r>
      <w:r w:rsidR="00C254BF" w:rsidRPr="00785D06">
        <w:rPr>
          <w:sz w:val="20"/>
          <w:szCs w:val="20"/>
          <w:lang w:val="en-US"/>
        </w:rPr>
        <w:t>.</w:t>
      </w:r>
      <w:r w:rsidR="00C254BF" w:rsidRPr="00785D06">
        <w:rPr>
          <w:rStyle w:val="Refdenotaalpie"/>
          <w:sz w:val="20"/>
          <w:szCs w:val="20"/>
          <w:lang w:val="en-US"/>
        </w:rPr>
        <w:footnoteReference w:id="239"/>
      </w:r>
      <w:r w:rsidR="00C254BF" w:rsidRPr="00785D06">
        <w:rPr>
          <w:sz w:val="20"/>
          <w:szCs w:val="20"/>
          <w:lang w:val="en-US"/>
        </w:rPr>
        <w:t xml:space="preserve"> </w:t>
      </w:r>
    </w:p>
    <w:p w14:paraId="155A1E61" w14:textId="77777777" w:rsidR="00C254BF" w:rsidRPr="00785D06" w:rsidRDefault="00C254BF" w:rsidP="00C254BF">
      <w:pPr>
        <w:pStyle w:val="Prrafodelista"/>
        <w:ind w:left="0"/>
        <w:contextualSpacing w:val="0"/>
        <w:jc w:val="both"/>
        <w:rPr>
          <w:sz w:val="20"/>
          <w:szCs w:val="20"/>
          <w:lang w:val="en-US"/>
        </w:rPr>
      </w:pPr>
    </w:p>
    <w:p w14:paraId="3D4C1CCC"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Taking into account the amounts requested by each of the</w:t>
      </w:r>
      <w:r w:rsidR="00144DAE" w:rsidRPr="00785D06">
        <w:rPr>
          <w:sz w:val="20"/>
          <w:szCs w:val="20"/>
          <w:lang w:val="en-US"/>
        </w:rPr>
        <w:t>se</w:t>
      </w:r>
      <w:r w:rsidRPr="00785D06">
        <w:rPr>
          <w:sz w:val="20"/>
          <w:szCs w:val="20"/>
          <w:lang w:val="en-US"/>
        </w:rPr>
        <w:t xml:space="preserve"> organizations and the receipts </w:t>
      </w:r>
      <w:r w:rsidR="001D15E0" w:rsidRPr="00785D06">
        <w:rPr>
          <w:sz w:val="20"/>
          <w:szCs w:val="20"/>
          <w:lang w:val="en-US"/>
        </w:rPr>
        <w:t xml:space="preserve">submitted </w:t>
      </w:r>
      <w:r w:rsidRPr="00785D06">
        <w:rPr>
          <w:sz w:val="20"/>
          <w:szCs w:val="20"/>
          <w:lang w:val="en-US"/>
        </w:rPr>
        <w:t xml:space="preserve">for expenses, the Court </w:t>
      </w:r>
      <w:r w:rsidR="00646BB5" w:rsidRPr="00785D06">
        <w:rPr>
          <w:sz w:val="20"/>
          <w:szCs w:val="20"/>
          <w:lang w:val="en-US"/>
        </w:rPr>
        <w:t>sets</w:t>
      </w:r>
      <w:r w:rsidRPr="00785D06">
        <w:rPr>
          <w:sz w:val="20"/>
          <w:szCs w:val="20"/>
          <w:lang w:val="en-US"/>
        </w:rPr>
        <w:t xml:space="preserve">, in equity, the </w:t>
      </w:r>
      <w:r w:rsidR="001D15E0" w:rsidRPr="00785D06">
        <w:rPr>
          <w:sz w:val="20"/>
          <w:szCs w:val="20"/>
          <w:lang w:val="en-US"/>
        </w:rPr>
        <w:t xml:space="preserve">total </w:t>
      </w:r>
      <w:r w:rsidRPr="00785D06">
        <w:rPr>
          <w:sz w:val="20"/>
          <w:szCs w:val="20"/>
          <w:lang w:val="en-US"/>
        </w:rPr>
        <w:t xml:space="preserve">sum of USD$ 57,300.00 (fifty-seven thousand, three hundred United States dollars), which shall be distributed as follows: USD$ 50,000.00 (fifty thousand United States dollars) </w:t>
      </w:r>
      <w:r w:rsidR="00144DAE" w:rsidRPr="00785D06">
        <w:rPr>
          <w:sz w:val="20"/>
          <w:szCs w:val="20"/>
          <w:lang w:val="en-US"/>
        </w:rPr>
        <w:t xml:space="preserve">for </w:t>
      </w:r>
      <w:r w:rsidRPr="00785D06">
        <w:rPr>
          <w:sz w:val="20"/>
          <w:szCs w:val="20"/>
          <w:lang w:val="en-US"/>
        </w:rPr>
        <w:t xml:space="preserve">the Center for Reproductive Rights and USD$ 7,300.00 (seven thousand, three hundred United States dollars) for </w:t>
      </w:r>
      <w:r w:rsidR="00F30EA1" w:rsidRPr="00785D06">
        <w:rPr>
          <w:sz w:val="20"/>
          <w:szCs w:val="20"/>
          <w:lang w:val="en-US"/>
        </w:rPr>
        <w:t>CEPAM. The</w:t>
      </w:r>
      <w:r w:rsidRPr="00785D06">
        <w:rPr>
          <w:sz w:val="20"/>
          <w:szCs w:val="20"/>
          <w:lang w:val="en-US"/>
        </w:rPr>
        <w:t>se amounts shall be delivered directly to the named organizations. The Court notes that th</w:t>
      </w:r>
      <w:r w:rsidR="00F30EA1" w:rsidRPr="00785D06">
        <w:rPr>
          <w:sz w:val="20"/>
          <w:szCs w:val="20"/>
          <w:lang w:val="en-US"/>
        </w:rPr>
        <w:t xml:space="preserve">e representatives requested </w:t>
      </w:r>
      <w:r w:rsidRPr="00785D06">
        <w:rPr>
          <w:sz w:val="20"/>
          <w:szCs w:val="20"/>
          <w:lang w:val="en-US"/>
        </w:rPr>
        <w:t xml:space="preserve">payment for costs and expenses directly </w:t>
      </w:r>
      <w:r w:rsidR="000C48F1" w:rsidRPr="00785D06">
        <w:rPr>
          <w:sz w:val="20"/>
          <w:szCs w:val="20"/>
          <w:lang w:val="en-US"/>
        </w:rPr>
        <w:t xml:space="preserve">to </w:t>
      </w:r>
      <w:r w:rsidRPr="00785D06">
        <w:rPr>
          <w:sz w:val="20"/>
          <w:szCs w:val="20"/>
          <w:lang w:val="en-US"/>
        </w:rPr>
        <w:t xml:space="preserve">the victims, given that </w:t>
      </w:r>
      <w:r w:rsidR="008C7F82">
        <w:rPr>
          <w:sz w:val="20"/>
          <w:szCs w:val="20"/>
          <w:lang w:val="en-US"/>
        </w:rPr>
        <w:t xml:space="preserve">they </w:t>
      </w:r>
      <w:r w:rsidRPr="00785D06">
        <w:rPr>
          <w:sz w:val="20"/>
          <w:szCs w:val="20"/>
          <w:lang w:val="en-US"/>
        </w:rPr>
        <w:t>were assisted by private attorneys “</w:t>
      </w:r>
      <w:r w:rsidR="005A7B28" w:rsidRPr="00785D06">
        <w:rPr>
          <w:sz w:val="20"/>
          <w:szCs w:val="20"/>
          <w:lang w:val="en-US"/>
        </w:rPr>
        <w:t>during the domestic proceedings</w:t>
      </w:r>
      <w:r w:rsidRPr="00785D06">
        <w:rPr>
          <w:sz w:val="20"/>
          <w:szCs w:val="20"/>
          <w:lang w:val="en-US"/>
        </w:rPr>
        <w:t>” between 2002 and 2005 (</w:t>
      </w:r>
      <w:r w:rsidRPr="00785D06">
        <w:rPr>
          <w:i/>
          <w:sz w:val="20"/>
          <w:szCs w:val="20"/>
          <w:lang w:val="en-US"/>
        </w:rPr>
        <w:t xml:space="preserve">supra </w:t>
      </w:r>
      <w:r w:rsidRPr="00785D06">
        <w:rPr>
          <w:sz w:val="20"/>
          <w:szCs w:val="20"/>
          <w:lang w:val="en-US"/>
        </w:rPr>
        <w:t xml:space="preserve">footnote 232). However, the expenses related to their search for justice </w:t>
      </w:r>
      <w:r w:rsidR="00FE14AA" w:rsidRPr="00785D06">
        <w:rPr>
          <w:sz w:val="20"/>
          <w:szCs w:val="20"/>
          <w:lang w:val="en-US"/>
        </w:rPr>
        <w:t xml:space="preserve">have already been </w:t>
      </w:r>
      <w:r w:rsidRPr="00785D06">
        <w:rPr>
          <w:sz w:val="20"/>
          <w:szCs w:val="20"/>
          <w:lang w:val="en-US"/>
        </w:rPr>
        <w:t xml:space="preserve">considered as part of </w:t>
      </w:r>
      <w:r w:rsidR="00646BB5" w:rsidRPr="00785D06">
        <w:rPr>
          <w:sz w:val="20"/>
          <w:szCs w:val="20"/>
          <w:lang w:val="en-US"/>
        </w:rPr>
        <w:t xml:space="preserve">the </w:t>
      </w:r>
      <w:r w:rsidRPr="00785D06">
        <w:rPr>
          <w:sz w:val="20"/>
          <w:szCs w:val="20"/>
          <w:lang w:val="en-US"/>
        </w:rPr>
        <w:t>pecuniary damage</w:t>
      </w:r>
      <w:r w:rsidR="000C48F1" w:rsidRPr="00785D06">
        <w:rPr>
          <w:sz w:val="20"/>
          <w:szCs w:val="20"/>
          <w:lang w:val="en-US"/>
        </w:rPr>
        <w:t>s</w:t>
      </w:r>
      <w:r w:rsidR="00646BB5" w:rsidRPr="00785D06">
        <w:rPr>
          <w:sz w:val="20"/>
          <w:szCs w:val="20"/>
          <w:lang w:val="en-US"/>
        </w:rPr>
        <w:t xml:space="preserve"> awarded</w:t>
      </w:r>
      <w:r w:rsidRPr="00785D06">
        <w:rPr>
          <w:sz w:val="20"/>
          <w:szCs w:val="20"/>
          <w:lang w:val="en-US"/>
        </w:rPr>
        <w:t xml:space="preserve">, </w:t>
      </w:r>
      <w:r w:rsidR="000C48F1" w:rsidRPr="00785D06">
        <w:rPr>
          <w:sz w:val="20"/>
          <w:szCs w:val="20"/>
          <w:lang w:val="en-US"/>
        </w:rPr>
        <w:t xml:space="preserve">as </w:t>
      </w:r>
      <w:r w:rsidR="007C2B75" w:rsidRPr="00785D06">
        <w:rPr>
          <w:sz w:val="20"/>
          <w:szCs w:val="20"/>
          <w:lang w:val="en-US"/>
        </w:rPr>
        <w:t>request</w:t>
      </w:r>
      <w:r w:rsidR="000C48F1" w:rsidRPr="00785D06">
        <w:rPr>
          <w:sz w:val="20"/>
          <w:szCs w:val="20"/>
          <w:lang w:val="en-US"/>
        </w:rPr>
        <w:t>ed</w:t>
      </w:r>
      <w:r w:rsidR="007C2B75" w:rsidRPr="00785D06">
        <w:rPr>
          <w:sz w:val="20"/>
          <w:szCs w:val="20"/>
          <w:lang w:val="en-US"/>
        </w:rPr>
        <w:t xml:space="preserve"> </w:t>
      </w:r>
      <w:r w:rsidR="000C48F1" w:rsidRPr="00785D06">
        <w:rPr>
          <w:sz w:val="20"/>
          <w:szCs w:val="20"/>
          <w:lang w:val="en-US"/>
        </w:rPr>
        <w:t xml:space="preserve">by </w:t>
      </w:r>
      <w:r w:rsidRPr="00785D06">
        <w:rPr>
          <w:sz w:val="20"/>
          <w:szCs w:val="20"/>
          <w:lang w:val="en-US"/>
        </w:rPr>
        <w:t xml:space="preserve">the representatives. </w:t>
      </w:r>
      <w:r w:rsidR="0005711C" w:rsidRPr="00785D06">
        <w:rPr>
          <w:sz w:val="20"/>
          <w:szCs w:val="20"/>
          <w:lang w:val="en-US"/>
        </w:rPr>
        <w:t xml:space="preserve">Therefore, it is not appropriate to </w:t>
      </w:r>
      <w:r w:rsidRPr="00785D06">
        <w:rPr>
          <w:sz w:val="20"/>
          <w:szCs w:val="20"/>
          <w:lang w:val="en-US"/>
        </w:rPr>
        <w:t xml:space="preserve">order the payment of costs and expenses in favor of the victims </w:t>
      </w:r>
      <w:r w:rsidR="0005711C" w:rsidRPr="00785D06">
        <w:rPr>
          <w:sz w:val="20"/>
          <w:szCs w:val="20"/>
          <w:lang w:val="en-US"/>
        </w:rPr>
        <w:t xml:space="preserve">in this </w:t>
      </w:r>
      <w:r w:rsidR="00884810" w:rsidRPr="00785D06">
        <w:rPr>
          <w:sz w:val="20"/>
          <w:szCs w:val="20"/>
          <w:lang w:val="en-US"/>
        </w:rPr>
        <w:t>case. At</w:t>
      </w:r>
      <w:r w:rsidRPr="00785D06">
        <w:rPr>
          <w:sz w:val="20"/>
          <w:szCs w:val="20"/>
          <w:lang w:val="en-US"/>
        </w:rPr>
        <w:t xml:space="preserve"> the stage of monitoring compliance with </w:t>
      </w:r>
      <w:r w:rsidR="00884810" w:rsidRPr="00785D06">
        <w:rPr>
          <w:sz w:val="20"/>
          <w:szCs w:val="20"/>
          <w:lang w:val="en-US"/>
        </w:rPr>
        <w:t xml:space="preserve">this </w:t>
      </w:r>
      <w:r w:rsidRPr="00785D06">
        <w:rPr>
          <w:rFonts w:cs="Verdana"/>
          <w:sz w:val="20"/>
          <w:szCs w:val="20"/>
          <w:lang w:val="en-US"/>
        </w:rPr>
        <w:t>j</w:t>
      </w:r>
      <w:r w:rsidRPr="00785D06">
        <w:rPr>
          <w:sz w:val="20"/>
          <w:szCs w:val="20"/>
          <w:lang w:val="en-US"/>
        </w:rPr>
        <w:t>udgment</w:t>
      </w:r>
      <w:r w:rsidRPr="00785D06">
        <w:rPr>
          <w:rFonts w:cs="Verdana"/>
          <w:sz w:val="20"/>
          <w:szCs w:val="20"/>
          <w:lang w:val="en-US"/>
        </w:rPr>
        <w:t xml:space="preserve">, the Court may order the State </w:t>
      </w:r>
      <w:r w:rsidR="00884810" w:rsidRPr="00785D06">
        <w:rPr>
          <w:rFonts w:cs="Verdana"/>
          <w:sz w:val="20"/>
          <w:szCs w:val="20"/>
          <w:lang w:val="en-US"/>
        </w:rPr>
        <w:t xml:space="preserve">to </w:t>
      </w:r>
      <w:r w:rsidRPr="00785D06">
        <w:rPr>
          <w:rFonts w:cs="Verdana"/>
          <w:sz w:val="20"/>
          <w:szCs w:val="20"/>
          <w:lang w:val="en-US"/>
        </w:rPr>
        <w:t xml:space="preserve">reimburse the victims or their representatives </w:t>
      </w:r>
      <w:r w:rsidR="00884810" w:rsidRPr="00785D06">
        <w:rPr>
          <w:rFonts w:cs="Verdana"/>
          <w:sz w:val="20"/>
          <w:szCs w:val="20"/>
          <w:lang w:val="en-US"/>
        </w:rPr>
        <w:t xml:space="preserve">for </w:t>
      </w:r>
      <w:r w:rsidRPr="00785D06">
        <w:rPr>
          <w:rFonts w:cs="Verdana"/>
          <w:sz w:val="20"/>
          <w:szCs w:val="20"/>
          <w:lang w:val="en-US"/>
        </w:rPr>
        <w:t>any reasonable expenses incurred during that procedural stage.</w:t>
      </w:r>
      <w:r w:rsidRPr="00785D06">
        <w:rPr>
          <w:rStyle w:val="Refdenotaalpie"/>
          <w:sz w:val="20"/>
          <w:szCs w:val="20"/>
          <w:lang w:val="en-US"/>
        </w:rPr>
        <w:footnoteReference w:id="240"/>
      </w:r>
      <w:bookmarkStart w:id="189" w:name="_Ref512872975"/>
      <w:bookmarkEnd w:id="187"/>
      <w:bookmarkEnd w:id="188"/>
    </w:p>
    <w:p w14:paraId="2BF9825F" w14:textId="77777777" w:rsidR="00C254BF" w:rsidRPr="00785D06" w:rsidRDefault="00C254BF" w:rsidP="00C254BF">
      <w:pPr>
        <w:pStyle w:val="Ttulo2"/>
        <w:spacing w:before="0" w:line="240" w:lineRule="auto"/>
        <w:ind w:left="284"/>
        <w:rPr>
          <w:rFonts w:ascii="Verdana" w:eastAsia="SimSun" w:hAnsi="Verdana"/>
          <w:color w:val="auto"/>
          <w:sz w:val="20"/>
          <w:szCs w:val="20"/>
          <w:lang w:val="en-US"/>
        </w:rPr>
      </w:pPr>
    </w:p>
    <w:p w14:paraId="1E0B3C33" w14:textId="77777777" w:rsidR="00C254BF" w:rsidRPr="00785D06" w:rsidRDefault="00C254BF" w:rsidP="00C254BF">
      <w:pPr>
        <w:pStyle w:val="Ttulo2"/>
        <w:numPr>
          <w:ilvl w:val="0"/>
          <w:numId w:val="12"/>
        </w:numPr>
        <w:spacing w:before="0" w:line="240" w:lineRule="auto"/>
        <w:ind w:left="284" w:firstLine="0"/>
        <w:rPr>
          <w:rFonts w:ascii="Verdana" w:eastAsia="SimSun" w:hAnsi="Verdana"/>
          <w:b/>
          <w:i/>
          <w:color w:val="auto"/>
          <w:sz w:val="20"/>
          <w:szCs w:val="20"/>
          <w:lang w:val="en-US"/>
        </w:rPr>
      </w:pPr>
      <w:bookmarkStart w:id="190" w:name="_Toc42498081"/>
      <w:bookmarkStart w:id="191" w:name="_Toc46937329"/>
      <w:r w:rsidRPr="00785D06">
        <w:rPr>
          <w:rFonts w:ascii="Verdana" w:eastAsia="SimSun" w:hAnsi="Verdana"/>
          <w:b/>
          <w:i/>
          <w:color w:val="auto"/>
          <w:sz w:val="20"/>
          <w:szCs w:val="20"/>
          <w:lang w:val="en-US"/>
        </w:rPr>
        <w:t xml:space="preserve">Method of compliance with the payments ordered </w:t>
      </w:r>
      <w:bookmarkEnd w:id="190"/>
      <w:bookmarkEnd w:id="191"/>
    </w:p>
    <w:p w14:paraId="30112128" w14:textId="77777777" w:rsidR="00C254BF" w:rsidRPr="00785D06" w:rsidRDefault="00C254BF" w:rsidP="00C254BF">
      <w:pPr>
        <w:pStyle w:val="Prrafodelista"/>
        <w:rPr>
          <w:rFonts w:eastAsia="SimSun"/>
          <w:sz w:val="20"/>
          <w:szCs w:val="20"/>
          <w:lang w:val="en-US"/>
        </w:rPr>
      </w:pPr>
    </w:p>
    <w:p w14:paraId="1C31D0F4"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SimSun"/>
          <w:sz w:val="20"/>
          <w:szCs w:val="20"/>
          <w:lang w:val="en-US"/>
        </w:rPr>
        <w:t xml:space="preserve">The State shall </w:t>
      </w:r>
      <w:r w:rsidR="00E10A05" w:rsidRPr="00785D06">
        <w:rPr>
          <w:rFonts w:eastAsia="SimSun"/>
          <w:sz w:val="20"/>
          <w:szCs w:val="20"/>
          <w:lang w:val="en-US"/>
        </w:rPr>
        <w:t xml:space="preserve">make the </w:t>
      </w:r>
      <w:r w:rsidRPr="00785D06">
        <w:rPr>
          <w:rFonts w:eastAsia="SimSun"/>
          <w:sz w:val="20"/>
          <w:szCs w:val="20"/>
          <w:lang w:val="en-US"/>
        </w:rPr>
        <w:t>pay</w:t>
      </w:r>
      <w:r w:rsidR="00E10A05" w:rsidRPr="00785D06">
        <w:rPr>
          <w:rFonts w:eastAsia="SimSun"/>
          <w:sz w:val="20"/>
          <w:szCs w:val="20"/>
          <w:lang w:val="en-US"/>
        </w:rPr>
        <w:t>ments for</w:t>
      </w:r>
      <w:r w:rsidRPr="00785D06">
        <w:rPr>
          <w:rFonts w:eastAsia="SimSun"/>
          <w:sz w:val="20"/>
          <w:szCs w:val="20"/>
          <w:lang w:val="en-US"/>
        </w:rPr>
        <w:t xml:space="preserve"> compensation </w:t>
      </w:r>
      <w:r w:rsidR="00E10A05" w:rsidRPr="00785D06">
        <w:rPr>
          <w:rFonts w:eastAsia="SimSun"/>
          <w:sz w:val="20"/>
          <w:szCs w:val="20"/>
          <w:lang w:val="en-US"/>
        </w:rPr>
        <w:t xml:space="preserve">of </w:t>
      </w:r>
      <w:r w:rsidRPr="00785D06">
        <w:rPr>
          <w:rFonts w:eastAsia="SimSun"/>
          <w:sz w:val="20"/>
          <w:szCs w:val="20"/>
          <w:lang w:val="en-US"/>
        </w:rPr>
        <w:t>pec</w:t>
      </w:r>
      <w:r w:rsidR="00E10A05" w:rsidRPr="00785D06">
        <w:rPr>
          <w:rFonts w:eastAsia="SimSun"/>
          <w:sz w:val="20"/>
          <w:szCs w:val="20"/>
          <w:lang w:val="en-US"/>
        </w:rPr>
        <w:t>uniary and non-pecuniary damage,</w:t>
      </w:r>
      <w:r w:rsidRPr="00785D06">
        <w:rPr>
          <w:rFonts w:eastAsia="SimSun"/>
          <w:sz w:val="20"/>
          <w:szCs w:val="20"/>
          <w:lang w:val="en-US"/>
        </w:rPr>
        <w:t xml:space="preserve"> </w:t>
      </w:r>
      <w:r w:rsidR="00E10A05" w:rsidRPr="00785D06">
        <w:rPr>
          <w:rFonts w:eastAsia="SimSun"/>
          <w:sz w:val="20"/>
          <w:szCs w:val="20"/>
          <w:lang w:val="en-US"/>
        </w:rPr>
        <w:t xml:space="preserve">as </w:t>
      </w:r>
      <w:r w:rsidRPr="00785D06">
        <w:rPr>
          <w:rFonts w:eastAsia="SimSun"/>
          <w:sz w:val="20"/>
          <w:szCs w:val="20"/>
          <w:lang w:val="en-US"/>
        </w:rPr>
        <w:t xml:space="preserve">established in this judgment, directly to the persons indicated herein, within one year of notification of this judgment, </w:t>
      </w:r>
      <w:r w:rsidR="00E10A05" w:rsidRPr="00785D06">
        <w:rPr>
          <w:rFonts w:eastAsia="SimSun"/>
          <w:sz w:val="20"/>
          <w:szCs w:val="20"/>
          <w:lang w:val="en-US"/>
        </w:rPr>
        <w:t xml:space="preserve">or it may bring forward the </w:t>
      </w:r>
      <w:r w:rsidRPr="00785D06">
        <w:rPr>
          <w:rFonts w:eastAsia="SimSun"/>
          <w:sz w:val="20"/>
          <w:szCs w:val="20"/>
          <w:lang w:val="en-US"/>
        </w:rPr>
        <w:t xml:space="preserve">full payment, </w:t>
      </w:r>
      <w:r w:rsidR="00E10A05" w:rsidRPr="00785D06">
        <w:rPr>
          <w:rFonts w:eastAsia="SimSun"/>
          <w:sz w:val="20"/>
          <w:szCs w:val="20"/>
          <w:lang w:val="en-US"/>
        </w:rPr>
        <w:t xml:space="preserve">pursuant to </w:t>
      </w:r>
      <w:r w:rsidRPr="00785D06">
        <w:rPr>
          <w:rFonts w:eastAsia="SimSun"/>
          <w:sz w:val="20"/>
          <w:szCs w:val="20"/>
          <w:lang w:val="en-US"/>
        </w:rPr>
        <w:t>the following paragraphs</w:t>
      </w:r>
      <w:bookmarkEnd w:id="189"/>
      <w:r w:rsidRPr="00785D06">
        <w:rPr>
          <w:rFonts w:eastAsia="MS Mincho"/>
          <w:sz w:val="20"/>
          <w:szCs w:val="20"/>
          <w:lang w:val="en-US" w:bidi="en-US"/>
        </w:rPr>
        <w:t>.</w:t>
      </w:r>
    </w:p>
    <w:p w14:paraId="3E29D6D0" w14:textId="77777777" w:rsidR="00C254BF" w:rsidRPr="00785D06" w:rsidRDefault="00C254BF" w:rsidP="00C254BF">
      <w:pPr>
        <w:pStyle w:val="Prrafodelista"/>
        <w:ind w:left="0"/>
        <w:contextualSpacing w:val="0"/>
        <w:jc w:val="both"/>
        <w:rPr>
          <w:sz w:val="20"/>
          <w:szCs w:val="20"/>
          <w:lang w:val="en-US"/>
        </w:rPr>
      </w:pPr>
    </w:p>
    <w:p w14:paraId="6622CFEA"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MS Mincho"/>
          <w:sz w:val="20"/>
          <w:szCs w:val="20"/>
          <w:lang w:val="en-US" w:bidi="en-US"/>
        </w:rPr>
        <w:t xml:space="preserve">If the </w:t>
      </w:r>
      <w:r w:rsidRPr="00785D06">
        <w:rPr>
          <w:spacing w:val="-2"/>
          <w:sz w:val="20"/>
          <w:szCs w:val="20"/>
          <w:lang w:val="en-US"/>
        </w:rPr>
        <w:t xml:space="preserve">beneficiaries are deceased or die before they receive the respective compensation, this shall be delivered directly to their heirs, </w:t>
      </w:r>
      <w:r w:rsidRPr="00785D06">
        <w:rPr>
          <w:rFonts w:eastAsia="MS Mincho"/>
          <w:sz w:val="20"/>
          <w:szCs w:val="20"/>
          <w:lang w:val="en-US" w:bidi="en-US"/>
        </w:rPr>
        <w:t xml:space="preserve">in accordance with </w:t>
      </w:r>
      <w:r w:rsidR="00646BB5" w:rsidRPr="00785D06">
        <w:rPr>
          <w:rFonts w:eastAsia="MS Mincho"/>
          <w:sz w:val="20"/>
          <w:szCs w:val="20"/>
          <w:lang w:val="en-US" w:bidi="en-US"/>
        </w:rPr>
        <w:t xml:space="preserve">the </w:t>
      </w:r>
      <w:r w:rsidRPr="00785D06">
        <w:rPr>
          <w:rFonts w:eastAsia="MS Mincho"/>
          <w:sz w:val="20"/>
          <w:szCs w:val="20"/>
          <w:lang w:val="en-US" w:bidi="en-US"/>
        </w:rPr>
        <w:t>applicable domestic law</w:t>
      </w:r>
      <w:r w:rsidRPr="00785D06">
        <w:rPr>
          <w:rFonts w:eastAsia="SimSun"/>
          <w:sz w:val="20"/>
          <w:szCs w:val="20"/>
          <w:lang w:val="en-US"/>
        </w:rPr>
        <w:t>.</w:t>
      </w:r>
    </w:p>
    <w:p w14:paraId="608F227E" w14:textId="77777777" w:rsidR="00C254BF" w:rsidRPr="00785D06" w:rsidRDefault="00C254BF" w:rsidP="00C254BF">
      <w:pPr>
        <w:pStyle w:val="Prrafodelista"/>
        <w:rPr>
          <w:rFonts w:eastAsia="SimSun"/>
          <w:sz w:val="20"/>
          <w:szCs w:val="20"/>
          <w:lang w:val="en-US"/>
        </w:rPr>
      </w:pPr>
    </w:p>
    <w:p w14:paraId="6E2B177C"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The State shall </w:t>
      </w:r>
      <w:r w:rsidRPr="00785D06">
        <w:rPr>
          <w:bCs/>
          <w:iCs/>
          <w:sz w:val="20"/>
          <w:szCs w:val="20"/>
          <w:lang w:val="en-US"/>
        </w:rPr>
        <w:t>comply with its monetary obligations through payment</w:t>
      </w:r>
      <w:r w:rsidRPr="00785D06">
        <w:rPr>
          <w:sz w:val="20"/>
          <w:szCs w:val="20"/>
          <w:lang w:val="en-US"/>
        </w:rPr>
        <w:t xml:space="preserve"> in United States dollars</w:t>
      </w:r>
      <w:r w:rsidRPr="00785D06">
        <w:rPr>
          <w:rFonts w:eastAsia="SimSun"/>
          <w:sz w:val="20"/>
          <w:szCs w:val="20"/>
          <w:lang w:val="en-US"/>
        </w:rPr>
        <w:t>.</w:t>
      </w:r>
    </w:p>
    <w:p w14:paraId="0630D67A" w14:textId="77777777" w:rsidR="00C254BF" w:rsidRPr="00785D06" w:rsidRDefault="00C254BF" w:rsidP="00C254BF">
      <w:pPr>
        <w:pStyle w:val="Prrafodelista"/>
        <w:rPr>
          <w:rFonts w:eastAsia="SimSun"/>
          <w:sz w:val="20"/>
          <w:szCs w:val="20"/>
          <w:lang w:val="en-US"/>
        </w:rPr>
      </w:pPr>
    </w:p>
    <w:p w14:paraId="1AA0C57D"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MS Mincho"/>
          <w:sz w:val="20"/>
          <w:szCs w:val="20"/>
          <w:lang w:val="en-US" w:bidi="en-US"/>
        </w:rPr>
        <w:t xml:space="preserve">If, </w:t>
      </w:r>
      <w:r w:rsidRPr="00785D06">
        <w:rPr>
          <w:sz w:val="20"/>
          <w:szCs w:val="20"/>
          <w:lang w:val="en-US"/>
        </w:rPr>
        <w:t>for reasons that can be attributed to the benefic</w:t>
      </w:r>
      <w:r w:rsidR="006009A2" w:rsidRPr="00785D06">
        <w:rPr>
          <w:sz w:val="20"/>
          <w:szCs w:val="20"/>
          <w:lang w:val="en-US"/>
        </w:rPr>
        <w:t>iaries of the compensation</w:t>
      </w:r>
      <w:r w:rsidRPr="00785D06">
        <w:rPr>
          <w:sz w:val="20"/>
          <w:szCs w:val="20"/>
          <w:lang w:val="en-US"/>
        </w:rPr>
        <w:t xml:space="preserve"> or their heirs, it is not possible to pay the amounts established within the </w:t>
      </w:r>
      <w:r w:rsidRPr="00785D06">
        <w:rPr>
          <w:rFonts w:eastAsia="MS Mincho"/>
          <w:sz w:val="20"/>
          <w:szCs w:val="20"/>
          <w:lang w:val="en-US" w:bidi="en-US"/>
        </w:rPr>
        <w:t xml:space="preserve">time frame indicated, the State shall </w:t>
      </w:r>
      <w:r w:rsidRPr="00785D06">
        <w:rPr>
          <w:sz w:val="20"/>
          <w:szCs w:val="20"/>
          <w:lang w:val="en-US"/>
        </w:rPr>
        <w:t>deposit the</w:t>
      </w:r>
      <w:r w:rsidR="006009A2" w:rsidRPr="00785D06">
        <w:rPr>
          <w:sz w:val="20"/>
          <w:szCs w:val="20"/>
          <w:lang w:val="en-US"/>
        </w:rPr>
        <w:t>se</w:t>
      </w:r>
      <w:r w:rsidRPr="00785D06">
        <w:rPr>
          <w:sz w:val="20"/>
          <w:szCs w:val="20"/>
          <w:lang w:val="en-US"/>
        </w:rPr>
        <w:t xml:space="preserve"> amounts in </w:t>
      </w:r>
      <w:r w:rsidR="006009A2" w:rsidRPr="00785D06">
        <w:rPr>
          <w:sz w:val="20"/>
          <w:szCs w:val="20"/>
          <w:lang w:val="en-US"/>
        </w:rPr>
        <w:t>a</w:t>
      </w:r>
      <w:r w:rsidR="00646BB5" w:rsidRPr="00785D06">
        <w:rPr>
          <w:sz w:val="20"/>
          <w:szCs w:val="20"/>
          <w:lang w:val="en-US"/>
        </w:rPr>
        <w:t>n</w:t>
      </w:r>
      <w:r w:rsidRPr="00785D06">
        <w:rPr>
          <w:sz w:val="20"/>
          <w:szCs w:val="20"/>
          <w:lang w:val="en-US"/>
        </w:rPr>
        <w:t xml:space="preserve"> account or certificate </w:t>
      </w:r>
      <w:r w:rsidR="00646BB5" w:rsidRPr="00785D06">
        <w:rPr>
          <w:sz w:val="20"/>
          <w:szCs w:val="20"/>
          <w:lang w:val="en-US"/>
        </w:rPr>
        <w:t xml:space="preserve">of deposit </w:t>
      </w:r>
      <w:r w:rsidR="006009A2" w:rsidRPr="00785D06">
        <w:rPr>
          <w:sz w:val="20"/>
          <w:szCs w:val="20"/>
          <w:lang w:val="en-US"/>
        </w:rPr>
        <w:t xml:space="preserve">in their favor </w:t>
      </w:r>
      <w:r w:rsidRPr="00785D06">
        <w:rPr>
          <w:sz w:val="20"/>
          <w:szCs w:val="20"/>
          <w:lang w:val="en-US"/>
        </w:rPr>
        <w:t>in a solvent</w:t>
      </w:r>
      <w:r w:rsidRPr="00785D06">
        <w:rPr>
          <w:rFonts w:eastAsia="SimSun"/>
          <w:sz w:val="20"/>
          <w:szCs w:val="20"/>
          <w:lang w:val="en-US"/>
        </w:rPr>
        <w:t xml:space="preserve"> Ecuadorian </w:t>
      </w:r>
      <w:r w:rsidRPr="00785D06">
        <w:rPr>
          <w:sz w:val="20"/>
          <w:szCs w:val="20"/>
          <w:lang w:val="en-US"/>
        </w:rPr>
        <w:t>financial institution, in United States dollars, and on the most favorable financial terms permitted by the State’s law and banking practice</w:t>
      </w:r>
      <w:r w:rsidRPr="00785D06">
        <w:rPr>
          <w:rFonts w:eastAsia="SimSun"/>
          <w:sz w:val="20"/>
          <w:szCs w:val="20"/>
          <w:lang w:val="en-US"/>
        </w:rPr>
        <w:t xml:space="preserve">. </w:t>
      </w:r>
      <w:r w:rsidRPr="00785D06">
        <w:rPr>
          <w:sz w:val="20"/>
          <w:szCs w:val="20"/>
          <w:lang w:val="en-US"/>
        </w:rPr>
        <w:t>If the corresponding compensation is not claimed after ten years, the amounts shall be returned</w:t>
      </w:r>
      <w:r w:rsidRPr="00785D06">
        <w:rPr>
          <w:rFonts w:eastAsia="SimSun"/>
          <w:sz w:val="20"/>
          <w:szCs w:val="20"/>
          <w:lang w:val="en-US"/>
        </w:rPr>
        <w:t xml:space="preserve"> to the State with the interest accrued.</w:t>
      </w:r>
    </w:p>
    <w:p w14:paraId="24C5049C" w14:textId="77777777" w:rsidR="00C254BF" w:rsidRPr="00785D06" w:rsidRDefault="00C254BF" w:rsidP="00C254BF">
      <w:pPr>
        <w:pStyle w:val="Prrafodelista"/>
        <w:rPr>
          <w:rFonts w:eastAsia="SimSun"/>
          <w:sz w:val="20"/>
          <w:szCs w:val="20"/>
          <w:lang w:val="en-US"/>
        </w:rPr>
      </w:pPr>
    </w:p>
    <w:p w14:paraId="354E90FD"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SimSun"/>
          <w:sz w:val="20"/>
          <w:szCs w:val="20"/>
          <w:lang w:val="en-US"/>
        </w:rPr>
        <w:t>The amounts allocated in this judgment as compensation for pec</w:t>
      </w:r>
      <w:r w:rsidR="006009A2" w:rsidRPr="00785D06">
        <w:rPr>
          <w:rFonts w:eastAsia="SimSun"/>
          <w:sz w:val="20"/>
          <w:szCs w:val="20"/>
          <w:lang w:val="en-US"/>
        </w:rPr>
        <w:t>uniary and non-pecuniary damage,</w:t>
      </w:r>
      <w:r w:rsidRPr="00785D06">
        <w:rPr>
          <w:rFonts w:eastAsia="SimSun"/>
          <w:sz w:val="20"/>
          <w:szCs w:val="20"/>
          <w:lang w:val="en-US"/>
        </w:rPr>
        <w:t xml:space="preserve"> and to reimburse costs and expenses, shall be delivered </w:t>
      </w:r>
      <w:r w:rsidR="006009A2" w:rsidRPr="00785D06">
        <w:rPr>
          <w:rFonts w:eastAsia="SimSun"/>
          <w:sz w:val="20"/>
          <w:szCs w:val="20"/>
          <w:lang w:val="en-US"/>
        </w:rPr>
        <w:t xml:space="preserve">in full </w:t>
      </w:r>
      <w:r w:rsidRPr="00785D06">
        <w:rPr>
          <w:rFonts w:eastAsia="SimSun"/>
          <w:sz w:val="20"/>
          <w:szCs w:val="20"/>
          <w:lang w:val="en-US"/>
        </w:rPr>
        <w:t>to the persons and organizations indicated, as established in this judgment, withou</w:t>
      </w:r>
      <w:r w:rsidR="006009A2" w:rsidRPr="00785D06">
        <w:rPr>
          <w:rFonts w:eastAsia="SimSun"/>
          <w:sz w:val="20"/>
          <w:szCs w:val="20"/>
          <w:lang w:val="en-US"/>
        </w:rPr>
        <w:t>t an</w:t>
      </w:r>
      <w:r w:rsidRPr="00785D06">
        <w:rPr>
          <w:rFonts w:eastAsia="SimSun"/>
          <w:sz w:val="20"/>
          <w:szCs w:val="20"/>
          <w:lang w:val="en-US"/>
        </w:rPr>
        <w:t>y deductions arising from possible taxes or charges.</w:t>
      </w:r>
    </w:p>
    <w:p w14:paraId="221D1C38" w14:textId="77777777" w:rsidR="00C254BF" w:rsidRPr="00785D06" w:rsidRDefault="00C254BF" w:rsidP="00C254BF">
      <w:pPr>
        <w:pStyle w:val="Prrafodelista"/>
        <w:rPr>
          <w:sz w:val="20"/>
          <w:szCs w:val="20"/>
          <w:lang w:val="en-US"/>
        </w:rPr>
      </w:pPr>
    </w:p>
    <w:p w14:paraId="51D04FCF"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sz w:val="20"/>
          <w:szCs w:val="20"/>
          <w:lang w:val="en-US"/>
        </w:rPr>
        <w:t xml:space="preserve">If the State should fall into arrears, it shall pay interest on the amount owed, corresponding to banking interest on arrears in Ecuador. </w:t>
      </w:r>
    </w:p>
    <w:p w14:paraId="3F928C45" w14:textId="77777777" w:rsidR="00C254BF" w:rsidRPr="00785D06" w:rsidRDefault="00C254BF" w:rsidP="00C254BF">
      <w:pPr>
        <w:rPr>
          <w:rFonts w:eastAsia="SimSun"/>
          <w:sz w:val="20"/>
          <w:szCs w:val="20"/>
          <w:lang w:val="en-US"/>
        </w:rPr>
      </w:pPr>
    </w:p>
    <w:p w14:paraId="741C0543" w14:textId="77777777" w:rsidR="00C254BF" w:rsidRPr="00785D06" w:rsidRDefault="00C254BF" w:rsidP="00C254BF">
      <w:pPr>
        <w:pStyle w:val="Ttulo1"/>
        <w:spacing w:before="0"/>
        <w:jc w:val="center"/>
        <w:rPr>
          <w:rFonts w:ascii="Verdana" w:eastAsia="Times New Roman" w:hAnsi="Verdana" w:cs="Times New Roman"/>
          <w:b/>
          <w:color w:val="auto"/>
          <w:sz w:val="20"/>
          <w:szCs w:val="20"/>
          <w:lang w:val="en-US" w:eastAsia="es-ES" w:bidi="es-ES"/>
        </w:rPr>
      </w:pPr>
      <w:bookmarkStart w:id="192" w:name="_Toc42498082"/>
      <w:bookmarkStart w:id="193" w:name="_Toc46937330"/>
      <w:r w:rsidRPr="00785D06">
        <w:rPr>
          <w:rFonts w:ascii="Verdana" w:eastAsia="Times New Roman" w:hAnsi="Verdana" w:cs="Times New Roman"/>
          <w:b/>
          <w:color w:val="auto"/>
          <w:sz w:val="20"/>
          <w:szCs w:val="20"/>
          <w:lang w:val="en-US" w:eastAsia="es-ES" w:bidi="es-ES"/>
        </w:rPr>
        <w:t>IX</w:t>
      </w:r>
      <w:bookmarkEnd w:id="192"/>
      <w:bookmarkEnd w:id="193"/>
    </w:p>
    <w:p w14:paraId="7202BF24" w14:textId="77777777" w:rsidR="00C254BF" w:rsidRPr="00785D06" w:rsidRDefault="00C254BF" w:rsidP="00C254BF">
      <w:pPr>
        <w:pStyle w:val="Ttulo1"/>
        <w:spacing w:before="0"/>
        <w:jc w:val="center"/>
        <w:rPr>
          <w:rFonts w:ascii="Verdana" w:eastAsia="Times New Roman" w:hAnsi="Verdana" w:cs="Times New Roman"/>
          <w:b/>
          <w:color w:val="auto"/>
          <w:sz w:val="20"/>
          <w:szCs w:val="20"/>
          <w:lang w:val="en-US" w:eastAsia="es-ES" w:bidi="es-ES"/>
        </w:rPr>
      </w:pPr>
      <w:bookmarkStart w:id="194" w:name="_Toc42498083"/>
      <w:bookmarkStart w:id="195" w:name="_Toc46937331"/>
      <w:r w:rsidRPr="00785D06">
        <w:rPr>
          <w:rFonts w:ascii="Verdana" w:eastAsia="Times New Roman" w:hAnsi="Verdana" w:cs="Times New Roman"/>
          <w:b/>
          <w:color w:val="auto"/>
          <w:sz w:val="20"/>
          <w:szCs w:val="20"/>
          <w:lang w:val="en-US" w:eastAsia="es-ES" w:bidi="es-ES"/>
        </w:rPr>
        <w:t xml:space="preserve">OPERATIVE PARAGRAPHS </w:t>
      </w:r>
      <w:bookmarkEnd w:id="194"/>
      <w:bookmarkEnd w:id="195"/>
    </w:p>
    <w:p w14:paraId="6E6BC62E" w14:textId="77777777" w:rsidR="00C254BF" w:rsidRPr="00785D06" w:rsidRDefault="00C254BF" w:rsidP="00C254BF">
      <w:pPr>
        <w:pStyle w:val="Prrafodelista"/>
        <w:rPr>
          <w:rFonts w:eastAsia="SimSun"/>
          <w:sz w:val="20"/>
          <w:szCs w:val="20"/>
          <w:lang w:val="en-US"/>
        </w:rPr>
      </w:pPr>
    </w:p>
    <w:p w14:paraId="379EC786" w14:textId="77777777" w:rsidR="00C254BF" w:rsidRPr="00785D06" w:rsidRDefault="00C254BF" w:rsidP="00C254BF">
      <w:pPr>
        <w:pStyle w:val="Prrafodelista"/>
        <w:numPr>
          <w:ilvl w:val="0"/>
          <w:numId w:val="35"/>
        </w:numPr>
        <w:ind w:left="0" w:firstLine="0"/>
        <w:contextualSpacing w:val="0"/>
        <w:jc w:val="both"/>
        <w:rPr>
          <w:sz w:val="20"/>
          <w:szCs w:val="20"/>
          <w:lang w:val="en-US"/>
        </w:rPr>
      </w:pPr>
      <w:r w:rsidRPr="00785D06">
        <w:rPr>
          <w:rFonts w:eastAsia="SimSun"/>
          <w:sz w:val="20"/>
          <w:szCs w:val="20"/>
          <w:lang w:val="en-US"/>
        </w:rPr>
        <w:t>Therefore</w:t>
      </w:r>
      <w:r w:rsidRPr="00785D06">
        <w:rPr>
          <w:rFonts w:eastAsia="Batang" w:cs="Times"/>
          <w:sz w:val="20"/>
          <w:szCs w:val="20"/>
          <w:lang w:val="en-US"/>
        </w:rPr>
        <w:t>,</w:t>
      </w:r>
    </w:p>
    <w:p w14:paraId="61594069" w14:textId="77777777" w:rsidR="00C254BF" w:rsidRPr="00785D06" w:rsidRDefault="00C254BF" w:rsidP="00C254BF">
      <w:pPr>
        <w:tabs>
          <w:tab w:val="left" w:pos="720"/>
        </w:tabs>
        <w:ind w:right="-86"/>
        <w:contextualSpacing/>
        <w:jc w:val="both"/>
        <w:rPr>
          <w:b/>
          <w:bCs/>
          <w:sz w:val="20"/>
          <w:szCs w:val="20"/>
          <w:lang w:val="en-US" w:bidi="en-US"/>
        </w:rPr>
      </w:pPr>
    </w:p>
    <w:p w14:paraId="3808E917" w14:textId="77777777" w:rsidR="00C254BF" w:rsidRPr="00785D06" w:rsidRDefault="00C254BF" w:rsidP="00C254BF">
      <w:pPr>
        <w:tabs>
          <w:tab w:val="left" w:pos="720"/>
        </w:tabs>
        <w:ind w:right="-86"/>
        <w:contextualSpacing/>
        <w:jc w:val="both"/>
        <w:rPr>
          <w:b/>
          <w:bCs/>
          <w:sz w:val="20"/>
          <w:szCs w:val="20"/>
          <w:lang w:val="en-US" w:bidi="en-US"/>
        </w:rPr>
      </w:pPr>
      <w:r w:rsidRPr="00785D06">
        <w:rPr>
          <w:b/>
          <w:bCs/>
          <w:sz w:val="20"/>
          <w:szCs w:val="20"/>
          <w:lang w:val="en-US" w:bidi="en-US"/>
        </w:rPr>
        <w:t>THE COURT</w:t>
      </w:r>
    </w:p>
    <w:p w14:paraId="48E2F53E" w14:textId="77777777" w:rsidR="00C254BF" w:rsidRPr="00785D06" w:rsidRDefault="00C254BF" w:rsidP="00C254BF">
      <w:pPr>
        <w:tabs>
          <w:tab w:val="left" w:pos="720"/>
        </w:tabs>
        <w:ind w:right="-86"/>
        <w:contextualSpacing/>
        <w:jc w:val="both"/>
        <w:rPr>
          <w:b/>
          <w:bCs/>
          <w:sz w:val="20"/>
          <w:szCs w:val="20"/>
          <w:lang w:val="en-US" w:bidi="en-US"/>
        </w:rPr>
      </w:pPr>
    </w:p>
    <w:p w14:paraId="45E715DA" w14:textId="77777777" w:rsidR="00C254BF" w:rsidRPr="00785D06" w:rsidRDefault="00C254BF" w:rsidP="00C254BF">
      <w:pPr>
        <w:tabs>
          <w:tab w:val="left" w:pos="720"/>
        </w:tabs>
        <w:ind w:right="-86"/>
        <w:jc w:val="both"/>
        <w:rPr>
          <w:b/>
          <w:bCs/>
          <w:sz w:val="20"/>
          <w:szCs w:val="20"/>
          <w:lang w:val="en-US" w:bidi="en-US"/>
        </w:rPr>
      </w:pPr>
      <w:r w:rsidRPr="00785D06">
        <w:rPr>
          <w:b/>
          <w:bCs/>
          <w:sz w:val="20"/>
          <w:szCs w:val="20"/>
          <w:lang w:val="en-US" w:bidi="en-US"/>
        </w:rPr>
        <w:t>DECLARES,</w:t>
      </w:r>
    </w:p>
    <w:p w14:paraId="4D3E2D3A" w14:textId="77777777" w:rsidR="00C254BF" w:rsidRPr="00785D06" w:rsidRDefault="00C254BF" w:rsidP="00C254BF">
      <w:pPr>
        <w:tabs>
          <w:tab w:val="left" w:pos="720"/>
        </w:tabs>
        <w:ind w:right="-90"/>
        <w:jc w:val="both"/>
        <w:rPr>
          <w:sz w:val="20"/>
          <w:szCs w:val="20"/>
          <w:lang w:val="en-US" w:bidi="en-US"/>
        </w:rPr>
      </w:pPr>
    </w:p>
    <w:p w14:paraId="6559EC86" w14:textId="77777777" w:rsidR="00C254BF" w:rsidRPr="00785D06" w:rsidRDefault="00C254BF" w:rsidP="00C254BF">
      <w:pPr>
        <w:tabs>
          <w:tab w:val="left" w:pos="720"/>
        </w:tabs>
        <w:ind w:right="-90"/>
        <w:jc w:val="both"/>
        <w:rPr>
          <w:sz w:val="20"/>
          <w:szCs w:val="20"/>
          <w:lang w:val="en-US" w:bidi="en-US"/>
        </w:rPr>
      </w:pPr>
      <w:r w:rsidRPr="00785D06">
        <w:rPr>
          <w:sz w:val="20"/>
          <w:szCs w:val="20"/>
          <w:lang w:val="en-US" w:bidi="en-US"/>
        </w:rPr>
        <w:t>Unanimously, that:</w:t>
      </w:r>
    </w:p>
    <w:p w14:paraId="45D3C472" w14:textId="77777777" w:rsidR="00C254BF" w:rsidRPr="00785D06" w:rsidRDefault="00C254BF" w:rsidP="00C254BF">
      <w:pPr>
        <w:tabs>
          <w:tab w:val="left" w:pos="720"/>
        </w:tabs>
        <w:ind w:right="-90"/>
        <w:contextualSpacing/>
        <w:jc w:val="both"/>
        <w:rPr>
          <w:sz w:val="20"/>
          <w:szCs w:val="20"/>
          <w:lang w:val="en-US"/>
        </w:rPr>
      </w:pPr>
    </w:p>
    <w:p w14:paraId="6824153D" w14:textId="77777777" w:rsidR="00C254BF" w:rsidRPr="00785D06" w:rsidRDefault="00C254BF" w:rsidP="00C254BF">
      <w:pPr>
        <w:pStyle w:val="Prrafodelista"/>
        <w:numPr>
          <w:ilvl w:val="0"/>
          <w:numId w:val="15"/>
        </w:numPr>
        <w:ind w:left="0" w:firstLine="0"/>
        <w:contextualSpacing w:val="0"/>
        <w:jc w:val="both"/>
        <w:rPr>
          <w:sz w:val="20"/>
          <w:szCs w:val="20"/>
          <w:lang w:val="en-US"/>
        </w:rPr>
      </w:pPr>
      <w:r w:rsidRPr="00785D06">
        <w:rPr>
          <w:sz w:val="20"/>
          <w:szCs w:val="20"/>
          <w:lang w:val="en-US"/>
        </w:rPr>
        <w:t xml:space="preserve">The State is responsible for the violation of the rights to life, personal integrity, the protection of honor and dignity and education, recognized in Articles 4(1), 5(1) and 11 of the American Convention and </w:t>
      </w:r>
      <w:r w:rsidR="006009A2" w:rsidRPr="00785D06">
        <w:rPr>
          <w:sz w:val="20"/>
          <w:szCs w:val="20"/>
          <w:lang w:val="en-US"/>
        </w:rPr>
        <w:t xml:space="preserve">Article </w:t>
      </w:r>
      <w:r w:rsidRPr="00785D06">
        <w:rPr>
          <w:sz w:val="20"/>
          <w:szCs w:val="20"/>
          <w:lang w:val="en-US"/>
        </w:rPr>
        <w:t>13 of the Protocol of San Salvador, in relation to Articles 1(1) and 19 of the American Convention on Human Rights</w:t>
      </w:r>
      <w:r w:rsidR="006009A2" w:rsidRPr="00785D06">
        <w:rPr>
          <w:sz w:val="20"/>
          <w:szCs w:val="20"/>
          <w:lang w:val="en-US"/>
        </w:rPr>
        <w:t>,</w:t>
      </w:r>
      <w:r w:rsidRPr="00785D06">
        <w:rPr>
          <w:sz w:val="20"/>
          <w:szCs w:val="20"/>
          <w:lang w:val="en-US"/>
        </w:rPr>
        <w:t xml:space="preserve"> and for failure to comply with the obligations to prevent </w:t>
      </w:r>
      <w:r w:rsidR="0005711C" w:rsidRPr="00785D06">
        <w:rPr>
          <w:sz w:val="20"/>
          <w:szCs w:val="20"/>
          <w:lang w:val="en-US"/>
        </w:rPr>
        <w:t xml:space="preserve">and refrain from </w:t>
      </w:r>
      <w:r w:rsidRPr="00785D06">
        <w:rPr>
          <w:sz w:val="20"/>
          <w:szCs w:val="20"/>
          <w:lang w:val="en-US"/>
        </w:rPr>
        <w:t xml:space="preserve">acts of violence against women, pursuant to Articles 7.a, 7.b and 7.c of the </w:t>
      </w:r>
      <w:r w:rsidR="00B97F8F" w:rsidRPr="00785D06">
        <w:rPr>
          <w:sz w:val="20"/>
          <w:szCs w:val="20"/>
          <w:lang w:val="en-US"/>
        </w:rPr>
        <w:t>Belém do Pará Convention</w:t>
      </w:r>
      <w:r w:rsidRPr="00785D06">
        <w:rPr>
          <w:sz w:val="20"/>
          <w:szCs w:val="20"/>
          <w:lang w:val="en-US"/>
        </w:rPr>
        <w:t xml:space="preserve">, to the detriment of Paola del Rosario Guzmán Albarracín, </w:t>
      </w:r>
      <w:r w:rsidR="00646BB5" w:rsidRPr="00785D06">
        <w:rPr>
          <w:sz w:val="20"/>
          <w:szCs w:val="20"/>
          <w:lang w:val="en-US"/>
        </w:rPr>
        <w:t xml:space="preserve">as established in </w:t>
      </w:r>
      <w:r w:rsidRPr="00785D06">
        <w:rPr>
          <w:sz w:val="20"/>
          <w:szCs w:val="20"/>
          <w:lang w:val="en-US"/>
        </w:rPr>
        <w:t>paragraphs 109</w:t>
      </w:r>
      <w:r w:rsidR="00646BB5" w:rsidRPr="00785D06">
        <w:rPr>
          <w:sz w:val="20"/>
          <w:szCs w:val="20"/>
          <w:lang w:val="en-US"/>
        </w:rPr>
        <w:t xml:space="preserve"> to 144 and 153 to 168 of this j</w:t>
      </w:r>
      <w:r w:rsidRPr="00785D06">
        <w:rPr>
          <w:sz w:val="20"/>
          <w:szCs w:val="20"/>
          <w:lang w:val="en-US"/>
        </w:rPr>
        <w:t xml:space="preserve">udgment. </w:t>
      </w:r>
    </w:p>
    <w:p w14:paraId="4B4FBE78" w14:textId="77777777" w:rsidR="00C254BF" w:rsidRPr="00785D06" w:rsidRDefault="00C254BF" w:rsidP="00C254BF">
      <w:pPr>
        <w:pStyle w:val="Prrafodelista"/>
        <w:ind w:left="0"/>
        <w:contextualSpacing w:val="0"/>
        <w:jc w:val="both"/>
        <w:rPr>
          <w:sz w:val="20"/>
          <w:szCs w:val="20"/>
          <w:lang w:val="en-US"/>
        </w:rPr>
      </w:pPr>
    </w:p>
    <w:p w14:paraId="4D4ADE5B" w14:textId="77777777" w:rsidR="00C254BF" w:rsidRPr="00785D06" w:rsidRDefault="00C254BF" w:rsidP="00C254BF">
      <w:pPr>
        <w:pStyle w:val="Prrafodelista"/>
        <w:numPr>
          <w:ilvl w:val="0"/>
          <w:numId w:val="15"/>
        </w:numPr>
        <w:ind w:left="0" w:firstLine="0"/>
        <w:contextualSpacing w:val="0"/>
        <w:jc w:val="both"/>
        <w:rPr>
          <w:sz w:val="20"/>
          <w:szCs w:val="20"/>
          <w:lang w:val="en-US"/>
        </w:rPr>
      </w:pPr>
      <w:r w:rsidRPr="00785D06">
        <w:rPr>
          <w:sz w:val="20"/>
          <w:szCs w:val="20"/>
          <w:lang w:val="en-US"/>
        </w:rPr>
        <w:t>The State is responsible for the violation of the rights to judicial gua</w:t>
      </w:r>
      <w:r w:rsidR="00A44CC7" w:rsidRPr="00785D06">
        <w:rPr>
          <w:sz w:val="20"/>
          <w:szCs w:val="20"/>
          <w:lang w:val="en-US"/>
        </w:rPr>
        <w:t>rantees and judicial protection</w:t>
      </w:r>
      <w:r w:rsidRPr="00785D06">
        <w:rPr>
          <w:sz w:val="20"/>
          <w:szCs w:val="20"/>
          <w:lang w:val="en-US"/>
        </w:rPr>
        <w:t xml:space="preserve"> recognized in Articles 8(1) and 25(1) of the American Convention on Human Rights, in relation to the right to equality before the law, recognized in Article 24 thereof, and </w:t>
      </w:r>
      <w:r w:rsidR="00A44CC7" w:rsidRPr="00785D06">
        <w:rPr>
          <w:sz w:val="20"/>
          <w:szCs w:val="20"/>
          <w:lang w:val="en-US"/>
        </w:rPr>
        <w:t xml:space="preserve">of </w:t>
      </w:r>
      <w:r w:rsidRPr="00785D06">
        <w:rPr>
          <w:sz w:val="20"/>
          <w:szCs w:val="20"/>
          <w:lang w:val="en-US"/>
        </w:rPr>
        <w:t>the obligations recognized in Articles 1(1) and 2 of the Convention and Article 7.b of the Belem do Pará</w:t>
      </w:r>
      <w:r w:rsidR="00A44CC7" w:rsidRPr="00785D06">
        <w:rPr>
          <w:sz w:val="20"/>
          <w:szCs w:val="20"/>
          <w:lang w:val="en-US"/>
        </w:rPr>
        <w:t xml:space="preserve"> Convention</w:t>
      </w:r>
      <w:r w:rsidRPr="00785D06">
        <w:rPr>
          <w:sz w:val="20"/>
          <w:szCs w:val="20"/>
          <w:lang w:val="en-US"/>
        </w:rPr>
        <w:t>, p</w:t>
      </w:r>
      <w:r w:rsidR="00A44CC7" w:rsidRPr="00785D06">
        <w:rPr>
          <w:sz w:val="20"/>
          <w:szCs w:val="20"/>
          <w:lang w:val="en-US"/>
        </w:rPr>
        <w:t>ursuant to paragraphs 171, 176 to</w:t>
      </w:r>
      <w:r w:rsidRPr="00785D06">
        <w:rPr>
          <w:sz w:val="20"/>
          <w:szCs w:val="20"/>
          <w:lang w:val="en-US"/>
        </w:rPr>
        <w:t xml:space="preserve"> 195, 201 and 202 of this judgment.</w:t>
      </w:r>
    </w:p>
    <w:p w14:paraId="4C411DF4" w14:textId="77777777" w:rsidR="00C254BF" w:rsidRPr="00785D06" w:rsidRDefault="00C254BF" w:rsidP="00C254BF">
      <w:pPr>
        <w:jc w:val="both"/>
        <w:rPr>
          <w:sz w:val="20"/>
          <w:szCs w:val="20"/>
          <w:lang w:val="en-US"/>
        </w:rPr>
      </w:pPr>
    </w:p>
    <w:p w14:paraId="7926EBC2" w14:textId="77777777" w:rsidR="00C254BF" w:rsidRPr="00785D06" w:rsidRDefault="00C254BF" w:rsidP="00C254BF">
      <w:pPr>
        <w:pStyle w:val="Prrafodelista"/>
        <w:numPr>
          <w:ilvl w:val="0"/>
          <w:numId w:val="15"/>
        </w:numPr>
        <w:ind w:left="0" w:firstLine="0"/>
        <w:contextualSpacing w:val="0"/>
        <w:jc w:val="both"/>
        <w:rPr>
          <w:sz w:val="20"/>
          <w:szCs w:val="20"/>
          <w:lang w:val="en-US"/>
        </w:rPr>
      </w:pPr>
      <w:r w:rsidRPr="00785D06">
        <w:rPr>
          <w:sz w:val="20"/>
          <w:szCs w:val="20"/>
          <w:lang w:val="en-US"/>
        </w:rPr>
        <w:t xml:space="preserve">The State is responsible for the violation of the right to personal integrity, recognized in Article 5(1) of the American Convention on Human Rights, in relation to Article 1(1) </w:t>
      </w:r>
      <w:r w:rsidR="00646BB5" w:rsidRPr="00785D06">
        <w:rPr>
          <w:sz w:val="20"/>
          <w:szCs w:val="20"/>
          <w:lang w:val="en-US"/>
        </w:rPr>
        <w:t>of this instrument</w:t>
      </w:r>
      <w:r w:rsidRPr="00785D06">
        <w:rPr>
          <w:sz w:val="20"/>
          <w:szCs w:val="20"/>
          <w:lang w:val="en-US"/>
        </w:rPr>
        <w:t>, to the detriment of Petita Paulina Albarracín Albán and Denisse Selena Guzmán Albarracín, pursuant to</w:t>
      </w:r>
      <w:r w:rsidR="00646BB5" w:rsidRPr="00785D06">
        <w:rPr>
          <w:sz w:val="20"/>
          <w:szCs w:val="20"/>
          <w:lang w:val="en-US"/>
        </w:rPr>
        <w:t xml:space="preserve"> paragraphs 207 to 214 of this j</w:t>
      </w:r>
      <w:r w:rsidRPr="00785D06">
        <w:rPr>
          <w:sz w:val="20"/>
          <w:szCs w:val="20"/>
          <w:lang w:val="en-US"/>
        </w:rPr>
        <w:t>udgment.</w:t>
      </w:r>
    </w:p>
    <w:p w14:paraId="652F74AD" w14:textId="77777777" w:rsidR="00C254BF" w:rsidRPr="00785D06" w:rsidRDefault="00C254BF" w:rsidP="00C254BF">
      <w:pPr>
        <w:pStyle w:val="Prrafodelista"/>
        <w:ind w:left="0"/>
        <w:contextualSpacing w:val="0"/>
        <w:jc w:val="both"/>
        <w:rPr>
          <w:sz w:val="20"/>
          <w:szCs w:val="20"/>
          <w:lang w:val="en-US"/>
        </w:rPr>
      </w:pPr>
    </w:p>
    <w:p w14:paraId="689BECC8" w14:textId="77777777" w:rsidR="00C254BF" w:rsidRPr="00785D06" w:rsidRDefault="00C254BF" w:rsidP="00C254BF">
      <w:pPr>
        <w:pStyle w:val="Prrafodelista"/>
        <w:numPr>
          <w:ilvl w:val="0"/>
          <w:numId w:val="15"/>
        </w:numPr>
        <w:ind w:left="0" w:firstLine="0"/>
        <w:contextualSpacing w:val="0"/>
        <w:jc w:val="both"/>
        <w:rPr>
          <w:sz w:val="20"/>
          <w:szCs w:val="20"/>
          <w:lang w:val="en-US"/>
        </w:rPr>
      </w:pPr>
      <w:r w:rsidRPr="00785D06">
        <w:rPr>
          <w:sz w:val="20"/>
          <w:szCs w:val="20"/>
          <w:lang w:val="en-US"/>
        </w:rPr>
        <w:t>The State is not responsible for the violation of t</w:t>
      </w:r>
      <w:r w:rsidR="0005711C" w:rsidRPr="00785D06">
        <w:rPr>
          <w:sz w:val="20"/>
          <w:szCs w:val="20"/>
          <w:lang w:val="en-US"/>
        </w:rPr>
        <w:t>he right</w:t>
      </w:r>
      <w:r w:rsidRPr="00785D06">
        <w:rPr>
          <w:sz w:val="20"/>
          <w:szCs w:val="20"/>
          <w:lang w:val="en-US"/>
        </w:rPr>
        <w:t xml:space="preserve"> </w:t>
      </w:r>
      <w:r w:rsidR="0005711C" w:rsidRPr="00785D06">
        <w:rPr>
          <w:sz w:val="20"/>
          <w:szCs w:val="20"/>
          <w:lang w:val="en-US"/>
        </w:rPr>
        <w:t xml:space="preserve">not </w:t>
      </w:r>
      <w:r w:rsidRPr="00785D06">
        <w:rPr>
          <w:sz w:val="20"/>
          <w:szCs w:val="20"/>
          <w:lang w:val="en-US"/>
        </w:rPr>
        <w:t xml:space="preserve">to </w:t>
      </w:r>
      <w:r w:rsidR="0005711C" w:rsidRPr="00785D06">
        <w:rPr>
          <w:sz w:val="20"/>
          <w:szCs w:val="20"/>
          <w:lang w:val="en-US"/>
        </w:rPr>
        <w:t xml:space="preserve">be subjected to torture </w:t>
      </w:r>
      <w:r w:rsidR="00E903B4" w:rsidRPr="00785D06">
        <w:rPr>
          <w:sz w:val="20"/>
          <w:szCs w:val="20"/>
          <w:lang w:val="en-US"/>
        </w:rPr>
        <w:t>recognized in Article 5(2) and the right</w:t>
      </w:r>
      <w:r w:rsidR="0005711C" w:rsidRPr="00785D06">
        <w:rPr>
          <w:sz w:val="20"/>
          <w:szCs w:val="20"/>
          <w:lang w:val="en-US"/>
        </w:rPr>
        <w:t xml:space="preserve"> to</w:t>
      </w:r>
      <w:r w:rsidRPr="00785D06">
        <w:rPr>
          <w:sz w:val="20"/>
          <w:szCs w:val="20"/>
          <w:lang w:val="en-US"/>
        </w:rPr>
        <w:t xml:space="preserve"> freedom of thought and expression recognized in </w:t>
      </w:r>
      <w:r w:rsidR="00E903B4" w:rsidRPr="00785D06">
        <w:rPr>
          <w:sz w:val="20"/>
          <w:szCs w:val="20"/>
          <w:lang w:val="en-US"/>
        </w:rPr>
        <w:t xml:space="preserve">Article </w:t>
      </w:r>
      <w:r w:rsidRPr="00785D06">
        <w:rPr>
          <w:sz w:val="20"/>
          <w:szCs w:val="20"/>
          <w:lang w:val="en-US"/>
        </w:rPr>
        <w:t xml:space="preserve">13 of the American Convention on Human Rights, </w:t>
      </w:r>
      <w:r w:rsidR="0005711C" w:rsidRPr="00785D06">
        <w:rPr>
          <w:sz w:val="20"/>
          <w:szCs w:val="20"/>
          <w:lang w:val="en-US"/>
        </w:rPr>
        <w:t xml:space="preserve">or for </w:t>
      </w:r>
      <w:r w:rsidRPr="00785D06">
        <w:rPr>
          <w:sz w:val="20"/>
          <w:szCs w:val="20"/>
          <w:lang w:val="en-US"/>
        </w:rPr>
        <w:t>the violation of the obligations contained in Articles 1 and 8 of the Inter-American Convention to Prevent and Punish Torture, pursuant to paragraphs 147 to</w:t>
      </w:r>
      <w:r w:rsidR="00E903B4" w:rsidRPr="00785D06">
        <w:rPr>
          <w:sz w:val="20"/>
          <w:szCs w:val="20"/>
          <w:lang w:val="en-US"/>
        </w:rPr>
        <w:t xml:space="preserve"> 152, 169, 170 and 203 of this j</w:t>
      </w:r>
      <w:r w:rsidRPr="00785D06">
        <w:rPr>
          <w:sz w:val="20"/>
          <w:szCs w:val="20"/>
          <w:lang w:val="en-US"/>
        </w:rPr>
        <w:t xml:space="preserve">udgment. </w:t>
      </w:r>
    </w:p>
    <w:p w14:paraId="40D7AFFD" w14:textId="77777777" w:rsidR="00C254BF" w:rsidRPr="00785D06" w:rsidRDefault="00C254BF" w:rsidP="00C254BF">
      <w:pPr>
        <w:pStyle w:val="Prrafodelista"/>
        <w:ind w:left="0"/>
        <w:contextualSpacing w:val="0"/>
        <w:jc w:val="both"/>
        <w:rPr>
          <w:sz w:val="20"/>
          <w:szCs w:val="20"/>
          <w:lang w:val="en-US"/>
        </w:rPr>
      </w:pPr>
    </w:p>
    <w:p w14:paraId="2D875600" w14:textId="77777777" w:rsidR="00C254BF" w:rsidRPr="00785D06" w:rsidRDefault="00C254BF" w:rsidP="00C254BF">
      <w:pPr>
        <w:tabs>
          <w:tab w:val="left" w:pos="720"/>
        </w:tabs>
        <w:ind w:right="-86"/>
        <w:contextualSpacing/>
        <w:jc w:val="both"/>
        <w:rPr>
          <w:b/>
          <w:bCs/>
          <w:sz w:val="20"/>
          <w:szCs w:val="20"/>
          <w:lang w:val="en-US" w:bidi="en-US"/>
        </w:rPr>
      </w:pPr>
      <w:r w:rsidRPr="00785D06">
        <w:rPr>
          <w:b/>
          <w:bCs/>
          <w:sz w:val="20"/>
          <w:szCs w:val="20"/>
          <w:lang w:val="en-US" w:bidi="en-US"/>
        </w:rPr>
        <w:t xml:space="preserve">AND </w:t>
      </w:r>
      <w:r w:rsidR="00E903B4" w:rsidRPr="00785D06">
        <w:rPr>
          <w:b/>
          <w:bCs/>
          <w:sz w:val="20"/>
          <w:szCs w:val="20"/>
          <w:lang w:val="en-US" w:bidi="en-US"/>
        </w:rPr>
        <w:t>ORDERS</w:t>
      </w:r>
      <w:r w:rsidRPr="00785D06">
        <w:rPr>
          <w:b/>
          <w:bCs/>
          <w:sz w:val="20"/>
          <w:szCs w:val="20"/>
          <w:lang w:val="en-US" w:bidi="en-US"/>
        </w:rPr>
        <w:t>:</w:t>
      </w:r>
    </w:p>
    <w:p w14:paraId="3BFB16B7" w14:textId="77777777" w:rsidR="00C254BF" w:rsidRPr="00785D06" w:rsidRDefault="00C254BF" w:rsidP="00C254BF">
      <w:pPr>
        <w:tabs>
          <w:tab w:val="left" w:pos="720"/>
        </w:tabs>
        <w:ind w:right="-90"/>
        <w:contextualSpacing/>
        <w:jc w:val="both"/>
        <w:rPr>
          <w:b/>
          <w:bCs/>
          <w:sz w:val="20"/>
          <w:szCs w:val="20"/>
          <w:lang w:val="en-US" w:bidi="en-US"/>
        </w:rPr>
      </w:pPr>
    </w:p>
    <w:p w14:paraId="2AA346B8" w14:textId="77777777" w:rsidR="00C254BF" w:rsidRPr="00785D06" w:rsidRDefault="00C254BF" w:rsidP="00C254BF">
      <w:pPr>
        <w:tabs>
          <w:tab w:val="left" w:pos="720"/>
        </w:tabs>
        <w:ind w:right="-90"/>
        <w:contextualSpacing/>
        <w:jc w:val="both"/>
        <w:rPr>
          <w:sz w:val="20"/>
          <w:szCs w:val="20"/>
          <w:lang w:val="en-US" w:bidi="en-US"/>
        </w:rPr>
      </w:pPr>
      <w:r w:rsidRPr="00785D06">
        <w:rPr>
          <w:sz w:val="20"/>
          <w:szCs w:val="20"/>
          <w:lang w:val="en-US" w:bidi="en-US"/>
        </w:rPr>
        <w:t>Unanimously, that:</w:t>
      </w:r>
    </w:p>
    <w:p w14:paraId="54DCCB52" w14:textId="77777777" w:rsidR="00C254BF" w:rsidRPr="00785D06" w:rsidRDefault="00C254BF" w:rsidP="00C254BF">
      <w:pPr>
        <w:pStyle w:val="Prrafodelista"/>
        <w:ind w:left="0"/>
        <w:contextualSpacing w:val="0"/>
        <w:jc w:val="both"/>
        <w:rPr>
          <w:sz w:val="20"/>
          <w:szCs w:val="20"/>
          <w:lang w:val="en-US"/>
        </w:rPr>
      </w:pPr>
    </w:p>
    <w:p w14:paraId="3570F7C2" w14:textId="77777777" w:rsidR="00C254BF" w:rsidRPr="00785D06" w:rsidRDefault="00C254BF" w:rsidP="00C254BF">
      <w:pPr>
        <w:pStyle w:val="Prrafodelista"/>
        <w:numPr>
          <w:ilvl w:val="0"/>
          <w:numId w:val="15"/>
        </w:numPr>
        <w:ind w:left="0" w:firstLine="0"/>
        <w:contextualSpacing w:val="0"/>
        <w:jc w:val="both"/>
        <w:rPr>
          <w:sz w:val="20"/>
          <w:szCs w:val="20"/>
          <w:lang w:val="en-US"/>
        </w:rPr>
      </w:pPr>
      <w:r w:rsidRPr="00785D06">
        <w:rPr>
          <w:sz w:val="20"/>
          <w:szCs w:val="20"/>
          <w:lang w:val="en-US"/>
        </w:rPr>
        <w:t>This judgment</w:t>
      </w:r>
      <w:r w:rsidRPr="00785D06">
        <w:rPr>
          <w:bCs/>
          <w:sz w:val="20"/>
          <w:szCs w:val="20"/>
          <w:lang w:val="en-US"/>
        </w:rPr>
        <w:t xml:space="preserve"> constitutes, </w:t>
      </w:r>
      <w:r w:rsidRPr="00785D06">
        <w:rPr>
          <w:bCs/>
          <w:i/>
          <w:sz w:val="20"/>
          <w:szCs w:val="20"/>
          <w:lang w:val="en-US"/>
        </w:rPr>
        <w:t>per se</w:t>
      </w:r>
      <w:r w:rsidRPr="00785D06">
        <w:rPr>
          <w:bCs/>
          <w:sz w:val="20"/>
          <w:szCs w:val="20"/>
          <w:lang w:val="en-US"/>
        </w:rPr>
        <w:t>, a form of reparation.</w:t>
      </w:r>
    </w:p>
    <w:p w14:paraId="49DDA7B1" w14:textId="77777777" w:rsidR="00C254BF" w:rsidRPr="00785D06" w:rsidRDefault="00C254BF" w:rsidP="00C254BF">
      <w:pPr>
        <w:widowControl w:val="0"/>
        <w:tabs>
          <w:tab w:val="left" w:pos="567"/>
        </w:tabs>
        <w:adjustRightInd w:val="0"/>
        <w:ind w:right="-91"/>
        <w:jc w:val="both"/>
        <w:textAlignment w:val="baseline"/>
        <w:rPr>
          <w:sz w:val="20"/>
          <w:szCs w:val="20"/>
          <w:lang w:val="en-US"/>
        </w:rPr>
      </w:pPr>
    </w:p>
    <w:p w14:paraId="5776FF73" w14:textId="77777777" w:rsidR="00C254BF" w:rsidRPr="00785D06" w:rsidRDefault="00C254BF" w:rsidP="00C254BF">
      <w:pPr>
        <w:pStyle w:val="Prrafodelista"/>
        <w:widowControl w:val="0"/>
        <w:numPr>
          <w:ilvl w:val="0"/>
          <w:numId w:val="15"/>
        </w:numPr>
        <w:tabs>
          <w:tab w:val="left" w:pos="567"/>
        </w:tabs>
        <w:adjustRightInd w:val="0"/>
        <w:ind w:left="0" w:right="-91" w:firstLine="0"/>
        <w:jc w:val="both"/>
        <w:textAlignment w:val="baseline"/>
        <w:rPr>
          <w:bCs/>
          <w:sz w:val="20"/>
          <w:szCs w:val="20"/>
          <w:lang w:val="en-US"/>
        </w:rPr>
      </w:pPr>
      <w:r w:rsidRPr="00785D06">
        <w:rPr>
          <w:sz w:val="20"/>
          <w:szCs w:val="20"/>
          <w:lang w:val="en-US"/>
        </w:rPr>
        <w:t xml:space="preserve">The State shall provide, free of charge and immediately, appropriate, </w:t>
      </w:r>
      <w:r w:rsidR="00E903B4" w:rsidRPr="00785D06">
        <w:rPr>
          <w:sz w:val="20"/>
          <w:szCs w:val="20"/>
          <w:lang w:val="en-US"/>
        </w:rPr>
        <w:t xml:space="preserve">timely </w:t>
      </w:r>
      <w:r w:rsidRPr="00785D06">
        <w:rPr>
          <w:sz w:val="20"/>
          <w:szCs w:val="20"/>
          <w:lang w:val="en-US"/>
        </w:rPr>
        <w:t xml:space="preserve">and effective, psychological and/or psychiatric treatment to Petita Paulina Albarracín Albán and Denisse Selena Guzmán Albarracín, </w:t>
      </w:r>
      <w:r w:rsidR="00646BB5" w:rsidRPr="00785D06">
        <w:rPr>
          <w:sz w:val="20"/>
          <w:szCs w:val="20"/>
          <w:lang w:val="en-US"/>
        </w:rPr>
        <w:t xml:space="preserve">pursuant to </w:t>
      </w:r>
      <w:r w:rsidRPr="00785D06">
        <w:rPr>
          <w:sz w:val="20"/>
          <w:szCs w:val="20"/>
          <w:lang w:val="en-US"/>
        </w:rPr>
        <w:t>paragraphs 226 to 229 of this judgment.</w:t>
      </w:r>
    </w:p>
    <w:p w14:paraId="0B32C9EE" w14:textId="77777777" w:rsidR="00C254BF" w:rsidRPr="00785D06" w:rsidRDefault="00C254BF" w:rsidP="00C254BF">
      <w:pPr>
        <w:widowControl w:val="0"/>
        <w:tabs>
          <w:tab w:val="left" w:pos="567"/>
        </w:tabs>
        <w:adjustRightInd w:val="0"/>
        <w:ind w:right="-91"/>
        <w:jc w:val="both"/>
        <w:textAlignment w:val="baseline"/>
        <w:rPr>
          <w:sz w:val="20"/>
          <w:szCs w:val="20"/>
          <w:lang w:val="en-US"/>
        </w:rPr>
      </w:pPr>
    </w:p>
    <w:p w14:paraId="36795932" w14:textId="77777777" w:rsidR="00C254BF" w:rsidRPr="00785D06" w:rsidRDefault="00C254BF" w:rsidP="00C254BF">
      <w:pPr>
        <w:widowControl w:val="0"/>
        <w:numPr>
          <w:ilvl w:val="0"/>
          <w:numId w:val="15"/>
        </w:numPr>
        <w:tabs>
          <w:tab w:val="left" w:pos="567"/>
        </w:tabs>
        <w:adjustRightInd w:val="0"/>
        <w:ind w:left="0" w:right="-91" w:firstLine="3"/>
        <w:jc w:val="both"/>
        <w:textAlignment w:val="baseline"/>
        <w:rPr>
          <w:bCs/>
          <w:sz w:val="20"/>
          <w:szCs w:val="20"/>
          <w:lang w:val="en-US"/>
        </w:rPr>
      </w:pPr>
      <w:r w:rsidRPr="00785D06">
        <w:rPr>
          <w:bCs/>
          <w:sz w:val="20"/>
          <w:szCs w:val="20"/>
          <w:lang w:val="en-US"/>
        </w:rPr>
        <w:t>The State shall issue the publications indicated in paragraph 231 of this judgment.</w:t>
      </w:r>
    </w:p>
    <w:p w14:paraId="685FB3AB" w14:textId="77777777" w:rsidR="00C254BF" w:rsidRPr="00785D06" w:rsidRDefault="00C254BF" w:rsidP="00C254BF">
      <w:pPr>
        <w:widowControl w:val="0"/>
        <w:tabs>
          <w:tab w:val="left" w:pos="567"/>
        </w:tabs>
        <w:adjustRightInd w:val="0"/>
        <w:ind w:right="-91"/>
        <w:jc w:val="both"/>
        <w:textAlignment w:val="baseline"/>
        <w:rPr>
          <w:bCs/>
          <w:sz w:val="20"/>
          <w:szCs w:val="20"/>
          <w:lang w:val="en-US"/>
        </w:rPr>
      </w:pPr>
    </w:p>
    <w:p w14:paraId="3A7CA587" w14:textId="77777777" w:rsidR="00C254BF" w:rsidRPr="00785D06" w:rsidRDefault="00C254BF" w:rsidP="00C254BF">
      <w:pPr>
        <w:widowControl w:val="0"/>
        <w:numPr>
          <w:ilvl w:val="0"/>
          <w:numId w:val="15"/>
        </w:numPr>
        <w:tabs>
          <w:tab w:val="left" w:pos="567"/>
        </w:tabs>
        <w:adjustRightInd w:val="0"/>
        <w:ind w:left="0" w:right="-91" w:firstLine="3"/>
        <w:jc w:val="both"/>
        <w:textAlignment w:val="baseline"/>
        <w:rPr>
          <w:bCs/>
          <w:sz w:val="20"/>
          <w:szCs w:val="20"/>
          <w:lang w:val="en-US"/>
        </w:rPr>
      </w:pPr>
      <w:r w:rsidRPr="00785D06">
        <w:rPr>
          <w:sz w:val="20"/>
          <w:szCs w:val="20"/>
          <w:lang w:val="en-US"/>
        </w:rPr>
        <w:t xml:space="preserve">The State shall hold a public act </w:t>
      </w:r>
      <w:r w:rsidR="00625B2E" w:rsidRPr="00785D06">
        <w:rPr>
          <w:sz w:val="20"/>
          <w:szCs w:val="20"/>
          <w:lang w:val="en-US"/>
        </w:rPr>
        <w:t>to acknowledge</w:t>
      </w:r>
      <w:r w:rsidRPr="00785D06">
        <w:rPr>
          <w:sz w:val="20"/>
          <w:szCs w:val="20"/>
          <w:lang w:val="en-US"/>
        </w:rPr>
        <w:t xml:space="preserve"> </w:t>
      </w:r>
      <w:r w:rsidR="00625B2E" w:rsidRPr="00785D06">
        <w:rPr>
          <w:sz w:val="20"/>
          <w:szCs w:val="20"/>
          <w:lang w:val="en-US"/>
        </w:rPr>
        <w:t xml:space="preserve">its </w:t>
      </w:r>
      <w:r w:rsidRPr="00785D06">
        <w:rPr>
          <w:sz w:val="20"/>
          <w:szCs w:val="20"/>
          <w:lang w:val="en-US"/>
        </w:rPr>
        <w:t>international responsibility, in the terms indicated in paragraphs 232 and 233 of this judgment.</w:t>
      </w:r>
    </w:p>
    <w:p w14:paraId="5AE6EFED" w14:textId="77777777" w:rsidR="00C254BF" w:rsidRPr="00785D06" w:rsidRDefault="00C254BF" w:rsidP="00C254BF">
      <w:pPr>
        <w:widowControl w:val="0"/>
        <w:tabs>
          <w:tab w:val="left" w:pos="567"/>
        </w:tabs>
        <w:adjustRightInd w:val="0"/>
        <w:ind w:left="3" w:right="-91"/>
        <w:jc w:val="both"/>
        <w:textAlignment w:val="baseline"/>
        <w:rPr>
          <w:bCs/>
          <w:sz w:val="20"/>
          <w:szCs w:val="20"/>
          <w:lang w:val="en-US"/>
        </w:rPr>
      </w:pPr>
    </w:p>
    <w:p w14:paraId="688F46AA" w14:textId="77777777" w:rsidR="00C254BF" w:rsidRPr="00785D06" w:rsidRDefault="00C254BF" w:rsidP="00C254BF">
      <w:pPr>
        <w:widowControl w:val="0"/>
        <w:numPr>
          <w:ilvl w:val="0"/>
          <w:numId w:val="15"/>
        </w:numPr>
        <w:tabs>
          <w:tab w:val="left" w:pos="567"/>
        </w:tabs>
        <w:adjustRightInd w:val="0"/>
        <w:ind w:left="0" w:right="-91" w:firstLine="3"/>
        <w:jc w:val="both"/>
        <w:textAlignment w:val="baseline"/>
        <w:rPr>
          <w:rFonts w:eastAsia="Times New Roman"/>
          <w:b/>
          <w:i/>
          <w:sz w:val="20"/>
          <w:szCs w:val="20"/>
          <w:lang w:val="en-US" w:eastAsia="es-ES" w:bidi="es-ES"/>
        </w:rPr>
      </w:pPr>
      <w:r w:rsidRPr="00785D06">
        <w:rPr>
          <w:sz w:val="20"/>
          <w:szCs w:val="20"/>
          <w:lang w:val="en-US"/>
        </w:rPr>
        <w:t xml:space="preserve">The State, in agreement with the victims, </w:t>
      </w:r>
      <w:r w:rsidR="00625B2E" w:rsidRPr="00785D06">
        <w:rPr>
          <w:sz w:val="20"/>
          <w:szCs w:val="20"/>
          <w:lang w:val="en-US"/>
        </w:rPr>
        <w:t>shall award a posthumous</w:t>
      </w:r>
      <w:r w:rsidRPr="00785D06">
        <w:rPr>
          <w:sz w:val="20"/>
          <w:szCs w:val="20"/>
          <w:lang w:val="en-US"/>
        </w:rPr>
        <w:t xml:space="preserve"> </w:t>
      </w:r>
      <w:r w:rsidR="00C07DD3" w:rsidRPr="00785D06">
        <w:rPr>
          <w:sz w:val="20"/>
          <w:szCs w:val="20"/>
          <w:lang w:val="en-US"/>
        </w:rPr>
        <w:t xml:space="preserve">high school diploma to </w:t>
      </w:r>
      <w:r w:rsidRPr="00785D06">
        <w:rPr>
          <w:sz w:val="20"/>
          <w:szCs w:val="20"/>
          <w:lang w:val="en-US"/>
        </w:rPr>
        <w:t xml:space="preserve">Paola del Rosario Guzmán Albarracín, </w:t>
      </w:r>
      <w:r w:rsidR="00C07DD3" w:rsidRPr="00785D06">
        <w:rPr>
          <w:sz w:val="20"/>
          <w:szCs w:val="20"/>
          <w:lang w:val="en-US"/>
        </w:rPr>
        <w:t xml:space="preserve">if </w:t>
      </w:r>
      <w:r w:rsidR="00625B2E" w:rsidRPr="00785D06">
        <w:rPr>
          <w:sz w:val="20"/>
          <w:szCs w:val="20"/>
          <w:lang w:val="en-US"/>
        </w:rPr>
        <w:t xml:space="preserve">this is </w:t>
      </w:r>
      <w:r w:rsidRPr="00785D06">
        <w:rPr>
          <w:sz w:val="20"/>
          <w:szCs w:val="20"/>
          <w:lang w:val="en-US"/>
        </w:rPr>
        <w:t xml:space="preserve">accepted by Mrs. Petita Paulina Albarracín Albán, pursuant to paragraph 231 of this judgment. </w:t>
      </w:r>
    </w:p>
    <w:p w14:paraId="5B96D35A" w14:textId="77777777" w:rsidR="00C254BF" w:rsidRPr="00785D06" w:rsidRDefault="00C254BF" w:rsidP="00C254BF">
      <w:pPr>
        <w:pStyle w:val="Prrafodelista"/>
        <w:rPr>
          <w:rFonts w:eastAsia="Times New Roman"/>
          <w:sz w:val="20"/>
          <w:szCs w:val="20"/>
          <w:lang w:val="en-US" w:eastAsia="es-ES" w:bidi="es-ES"/>
        </w:rPr>
      </w:pPr>
    </w:p>
    <w:p w14:paraId="44371D9B" w14:textId="77777777" w:rsidR="00C254BF" w:rsidRPr="00785D06" w:rsidRDefault="00C254BF" w:rsidP="00C254BF">
      <w:pPr>
        <w:widowControl w:val="0"/>
        <w:numPr>
          <w:ilvl w:val="0"/>
          <w:numId w:val="15"/>
        </w:numPr>
        <w:tabs>
          <w:tab w:val="left" w:pos="567"/>
        </w:tabs>
        <w:adjustRightInd w:val="0"/>
        <w:ind w:left="0" w:right="-91" w:firstLine="3"/>
        <w:jc w:val="both"/>
        <w:textAlignment w:val="baseline"/>
        <w:rPr>
          <w:rFonts w:eastAsia="Times New Roman"/>
          <w:b/>
          <w:i/>
          <w:sz w:val="20"/>
          <w:szCs w:val="20"/>
          <w:lang w:val="en-US" w:eastAsia="es-ES" w:bidi="es-ES"/>
        </w:rPr>
      </w:pPr>
      <w:r w:rsidRPr="00785D06">
        <w:rPr>
          <w:rFonts w:eastAsia="Times New Roman"/>
          <w:sz w:val="20"/>
          <w:szCs w:val="20"/>
          <w:lang w:val="en-US" w:eastAsia="es-ES" w:bidi="es-ES"/>
        </w:rPr>
        <w:t>The S</w:t>
      </w:r>
      <w:r w:rsidR="00625B2E" w:rsidRPr="00785D06">
        <w:rPr>
          <w:rFonts w:eastAsia="Times New Roman"/>
          <w:sz w:val="20"/>
          <w:szCs w:val="20"/>
          <w:lang w:val="en-US" w:eastAsia="es-ES" w:bidi="es-ES"/>
        </w:rPr>
        <w:t>tate shall declare an official D</w:t>
      </w:r>
      <w:r w:rsidRPr="00785D06">
        <w:rPr>
          <w:rFonts w:eastAsia="Times New Roman"/>
          <w:sz w:val="20"/>
          <w:szCs w:val="20"/>
          <w:lang w:val="en-US" w:eastAsia="es-ES" w:bidi="es-ES"/>
        </w:rPr>
        <w:t xml:space="preserve">ay </w:t>
      </w:r>
      <w:r w:rsidR="00625B2E" w:rsidRPr="00785D06">
        <w:rPr>
          <w:rFonts w:eastAsia="Times New Roman"/>
          <w:sz w:val="20"/>
          <w:szCs w:val="20"/>
          <w:lang w:val="en-US" w:eastAsia="es-ES" w:bidi="es-ES"/>
        </w:rPr>
        <w:t>Against Sexual V</w:t>
      </w:r>
      <w:r w:rsidRPr="00785D06">
        <w:rPr>
          <w:rFonts w:eastAsia="Times New Roman"/>
          <w:sz w:val="20"/>
          <w:szCs w:val="20"/>
          <w:lang w:val="en-US" w:eastAsia="es-ES" w:bidi="es-ES"/>
        </w:rPr>
        <w:t xml:space="preserve">iolence in </w:t>
      </w:r>
      <w:r w:rsidR="00625B2E" w:rsidRPr="00785D06">
        <w:rPr>
          <w:rFonts w:eastAsia="Times New Roman"/>
          <w:sz w:val="20"/>
          <w:szCs w:val="20"/>
          <w:lang w:val="en-US" w:eastAsia="es-ES" w:bidi="es-ES"/>
        </w:rPr>
        <w:t>Schools</w:t>
      </w:r>
      <w:r w:rsidRPr="00785D06">
        <w:rPr>
          <w:rFonts w:eastAsia="Times New Roman"/>
          <w:sz w:val="20"/>
          <w:szCs w:val="20"/>
          <w:lang w:val="en-US" w:eastAsia="es-ES" w:bidi="es-ES"/>
        </w:rPr>
        <w:t>, pursuant to paragraph 234 of t</w:t>
      </w:r>
      <w:r w:rsidR="00625B2E" w:rsidRPr="00785D06">
        <w:rPr>
          <w:rFonts w:eastAsia="Times New Roman"/>
          <w:sz w:val="20"/>
          <w:szCs w:val="20"/>
          <w:lang w:val="en-US" w:eastAsia="es-ES" w:bidi="es-ES"/>
        </w:rPr>
        <w:t>his j</w:t>
      </w:r>
      <w:r w:rsidRPr="00785D06">
        <w:rPr>
          <w:rFonts w:eastAsia="Times New Roman"/>
          <w:sz w:val="20"/>
          <w:szCs w:val="20"/>
          <w:lang w:val="en-US" w:eastAsia="es-ES" w:bidi="es-ES"/>
        </w:rPr>
        <w:t xml:space="preserve">udgment. </w:t>
      </w:r>
    </w:p>
    <w:p w14:paraId="11778B18" w14:textId="77777777" w:rsidR="00C254BF" w:rsidRPr="00785D06" w:rsidRDefault="00C254BF" w:rsidP="00C254BF">
      <w:pPr>
        <w:widowControl w:val="0"/>
        <w:tabs>
          <w:tab w:val="left" w:pos="567"/>
        </w:tabs>
        <w:adjustRightInd w:val="0"/>
        <w:ind w:right="-91"/>
        <w:jc w:val="both"/>
        <w:textAlignment w:val="baseline"/>
        <w:rPr>
          <w:rFonts w:eastAsia="Times New Roman"/>
          <w:sz w:val="20"/>
          <w:szCs w:val="20"/>
          <w:lang w:val="en-US" w:eastAsia="es-ES" w:bidi="es-ES"/>
        </w:rPr>
      </w:pPr>
    </w:p>
    <w:p w14:paraId="321FCBA5" w14:textId="77777777" w:rsidR="00C254BF" w:rsidRPr="00785D06" w:rsidRDefault="00C254BF" w:rsidP="00C254BF">
      <w:pPr>
        <w:widowControl w:val="0"/>
        <w:numPr>
          <w:ilvl w:val="0"/>
          <w:numId w:val="15"/>
        </w:numPr>
        <w:tabs>
          <w:tab w:val="left" w:pos="567"/>
        </w:tabs>
        <w:adjustRightInd w:val="0"/>
        <w:ind w:left="0" w:right="-91" w:firstLine="3"/>
        <w:jc w:val="both"/>
        <w:textAlignment w:val="baseline"/>
        <w:rPr>
          <w:rFonts w:eastAsia="Times New Roman"/>
          <w:sz w:val="20"/>
          <w:szCs w:val="20"/>
          <w:lang w:val="en-US" w:eastAsia="es-ES" w:bidi="es-ES"/>
        </w:rPr>
      </w:pPr>
      <w:r w:rsidRPr="00785D06">
        <w:rPr>
          <w:rFonts w:eastAsia="Times New Roman"/>
          <w:sz w:val="20"/>
          <w:szCs w:val="20"/>
          <w:lang w:val="en-US" w:eastAsia="es-ES" w:bidi="es-ES"/>
        </w:rPr>
        <w:t xml:space="preserve">The State shall identify and adopt measures to address sexual violence in schools, in accordance with the provisions of </w:t>
      </w:r>
      <w:r w:rsidR="00625B2E" w:rsidRPr="00785D06">
        <w:rPr>
          <w:rFonts w:eastAsia="Times New Roman"/>
          <w:sz w:val="20"/>
          <w:szCs w:val="20"/>
          <w:lang w:val="en-US" w:eastAsia="es-ES" w:bidi="es-ES"/>
        </w:rPr>
        <w:t>paragraphs 245 and 246 of this j</w:t>
      </w:r>
      <w:r w:rsidRPr="00785D06">
        <w:rPr>
          <w:rFonts w:eastAsia="Times New Roman"/>
          <w:sz w:val="20"/>
          <w:szCs w:val="20"/>
          <w:lang w:val="en-US" w:eastAsia="es-ES" w:bidi="es-ES"/>
        </w:rPr>
        <w:t>udgment.</w:t>
      </w:r>
    </w:p>
    <w:p w14:paraId="08D44E10" w14:textId="77777777" w:rsidR="00C254BF" w:rsidRPr="00785D06" w:rsidRDefault="00C254BF" w:rsidP="00C254BF">
      <w:pPr>
        <w:widowControl w:val="0"/>
        <w:tabs>
          <w:tab w:val="left" w:pos="567"/>
        </w:tabs>
        <w:adjustRightInd w:val="0"/>
        <w:ind w:right="-91"/>
        <w:jc w:val="both"/>
        <w:textAlignment w:val="baseline"/>
        <w:rPr>
          <w:bCs/>
          <w:sz w:val="20"/>
          <w:szCs w:val="20"/>
          <w:lang w:val="en-US"/>
        </w:rPr>
      </w:pPr>
    </w:p>
    <w:p w14:paraId="53C37C7A" w14:textId="77777777" w:rsidR="00C254BF" w:rsidRPr="00785D06" w:rsidRDefault="00C254BF" w:rsidP="00C254BF">
      <w:pPr>
        <w:widowControl w:val="0"/>
        <w:numPr>
          <w:ilvl w:val="0"/>
          <w:numId w:val="15"/>
        </w:numPr>
        <w:tabs>
          <w:tab w:val="left" w:pos="567"/>
        </w:tabs>
        <w:adjustRightInd w:val="0"/>
        <w:ind w:left="0" w:right="-91" w:firstLine="3"/>
        <w:jc w:val="both"/>
        <w:textAlignment w:val="baseline"/>
        <w:rPr>
          <w:bCs/>
          <w:sz w:val="20"/>
          <w:szCs w:val="20"/>
          <w:lang w:val="en-US"/>
        </w:rPr>
      </w:pPr>
      <w:r w:rsidRPr="00785D06">
        <w:rPr>
          <w:bCs/>
          <w:sz w:val="20"/>
          <w:szCs w:val="20"/>
          <w:lang w:val="en-US"/>
        </w:rPr>
        <w:t xml:space="preserve">The State shall pay the amounts established in paragraphs 256, 263 and 269 of </w:t>
      </w:r>
      <w:r w:rsidR="00625B2E" w:rsidRPr="00785D06">
        <w:rPr>
          <w:bCs/>
          <w:sz w:val="20"/>
          <w:szCs w:val="20"/>
          <w:lang w:val="en-US"/>
        </w:rPr>
        <w:t>this j</w:t>
      </w:r>
      <w:r w:rsidRPr="00785D06">
        <w:rPr>
          <w:bCs/>
          <w:sz w:val="20"/>
          <w:szCs w:val="20"/>
          <w:lang w:val="en-US"/>
        </w:rPr>
        <w:t xml:space="preserve">udgment </w:t>
      </w:r>
      <w:r w:rsidR="00625B2E" w:rsidRPr="00785D06">
        <w:rPr>
          <w:bCs/>
          <w:sz w:val="20"/>
          <w:szCs w:val="20"/>
          <w:lang w:val="en-US"/>
        </w:rPr>
        <w:t xml:space="preserve">as </w:t>
      </w:r>
      <w:r w:rsidRPr="00785D06">
        <w:rPr>
          <w:bCs/>
          <w:sz w:val="20"/>
          <w:szCs w:val="20"/>
          <w:lang w:val="en-US"/>
        </w:rPr>
        <w:t xml:space="preserve">compensation </w:t>
      </w:r>
      <w:r w:rsidR="00625B2E" w:rsidRPr="00785D06">
        <w:rPr>
          <w:bCs/>
          <w:sz w:val="20"/>
          <w:szCs w:val="20"/>
          <w:lang w:val="en-US"/>
        </w:rPr>
        <w:t xml:space="preserve">for </w:t>
      </w:r>
      <w:r w:rsidRPr="00785D06">
        <w:rPr>
          <w:bCs/>
          <w:sz w:val="20"/>
          <w:szCs w:val="20"/>
          <w:lang w:val="en-US"/>
        </w:rPr>
        <w:t xml:space="preserve">pecuniary and non-pecuniary damage, and </w:t>
      </w:r>
      <w:r w:rsidR="006152B6" w:rsidRPr="00785D06">
        <w:rPr>
          <w:bCs/>
          <w:sz w:val="20"/>
          <w:szCs w:val="20"/>
          <w:lang w:val="en-US"/>
        </w:rPr>
        <w:t>to reimburse</w:t>
      </w:r>
      <w:r w:rsidRPr="00785D06">
        <w:rPr>
          <w:bCs/>
          <w:sz w:val="20"/>
          <w:szCs w:val="20"/>
          <w:lang w:val="en-US"/>
        </w:rPr>
        <w:t xml:space="preserve"> costs and expenses</w:t>
      </w:r>
      <w:r w:rsidRPr="00785D06">
        <w:rPr>
          <w:sz w:val="20"/>
          <w:szCs w:val="20"/>
          <w:lang w:val="en-US"/>
        </w:rPr>
        <w:t>, pursuant to paragraphs 270 to 275 of this judgment</w:t>
      </w:r>
      <w:r w:rsidRPr="00785D06">
        <w:rPr>
          <w:bCs/>
          <w:sz w:val="20"/>
          <w:szCs w:val="20"/>
          <w:lang w:val="en-US"/>
        </w:rPr>
        <w:t xml:space="preserve">. </w:t>
      </w:r>
    </w:p>
    <w:p w14:paraId="0D8B24CC" w14:textId="77777777" w:rsidR="00C254BF" w:rsidRPr="00785D06" w:rsidRDefault="00C254BF" w:rsidP="00C254BF">
      <w:pPr>
        <w:widowControl w:val="0"/>
        <w:tabs>
          <w:tab w:val="left" w:pos="567"/>
        </w:tabs>
        <w:adjustRightInd w:val="0"/>
        <w:ind w:right="-91"/>
        <w:jc w:val="both"/>
        <w:textAlignment w:val="baseline"/>
        <w:rPr>
          <w:bCs/>
          <w:sz w:val="20"/>
          <w:szCs w:val="20"/>
          <w:lang w:val="en-US"/>
        </w:rPr>
      </w:pPr>
    </w:p>
    <w:p w14:paraId="2E0F5CBC" w14:textId="77777777" w:rsidR="00C254BF" w:rsidRPr="00785D06" w:rsidRDefault="00C254BF" w:rsidP="00C254BF">
      <w:pPr>
        <w:widowControl w:val="0"/>
        <w:numPr>
          <w:ilvl w:val="0"/>
          <w:numId w:val="15"/>
        </w:numPr>
        <w:tabs>
          <w:tab w:val="left" w:pos="567"/>
        </w:tabs>
        <w:adjustRightInd w:val="0"/>
        <w:ind w:left="0" w:right="-91" w:firstLine="3"/>
        <w:jc w:val="both"/>
        <w:textAlignment w:val="baseline"/>
        <w:rPr>
          <w:bCs/>
          <w:sz w:val="20"/>
          <w:szCs w:val="20"/>
          <w:lang w:val="en-US" w:bidi="en-US"/>
        </w:rPr>
      </w:pPr>
      <w:bookmarkStart w:id="196" w:name="_Ref35854880"/>
      <w:r w:rsidRPr="00785D06">
        <w:rPr>
          <w:bCs/>
          <w:sz w:val="20"/>
          <w:szCs w:val="20"/>
          <w:lang w:val="en-US"/>
        </w:rPr>
        <w:t>The State, within on</w:t>
      </w:r>
      <w:r w:rsidR="006152B6" w:rsidRPr="00785D06">
        <w:rPr>
          <w:bCs/>
          <w:sz w:val="20"/>
          <w:szCs w:val="20"/>
          <w:lang w:val="en-US"/>
        </w:rPr>
        <w:t>e year of notification of this j</w:t>
      </w:r>
      <w:r w:rsidRPr="00785D06">
        <w:rPr>
          <w:bCs/>
          <w:sz w:val="20"/>
          <w:szCs w:val="20"/>
          <w:lang w:val="en-US"/>
        </w:rPr>
        <w:t xml:space="preserve">udgment, shall </w:t>
      </w:r>
      <w:r w:rsidR="006152B6" w:rsidRPr="00785D06">
        <w:rPr>
          <w:bCs/>
          <w:sz w:val="20"/>
          <w:szCs w:val="20"/>
          <w:lang w:val="en-US"/>
        </w:rPr>
        <w:t xml:space="preserve">provide </w:t>
      </w:r>
      <w:r w:rsidRPr="00785D06">
        <w:rPr>
          <w:bCs/>
          <w:sz w:val="20"/>
          <w:szCs w:val="20"/>
          <w:lang w:val="en-US"/>
        </w:rPr>
        <w:t xml:space="preserve">the Court </w:t>
      </w:r>
      <w:r w:rsidR="006152B6" w:rsidRPr="00785D06">
        <w:rPr>
          <w:bCs/>
          <w:sz w:val="20"/>
          <w:szCs w:val="20"/>
          <w:lang w:val="en-US"/>
        </w:rPr>
        <w:t xml:space="preserve">with </w:t>
      </w:r>
      <w:r w:rsidRPr="00785D06">
        <w:rPr>
          <w:bCs/>
          <w:sz w:val="20"/>
          <w:szCs w:val="20"/>
          <w:lang w:val="en-US"/>
        </w:rPr>
        <w:t>a report on the measures adopted to comply with it</w:t>
      </w:r>
      <w:bookmarkEnd w:id="196"/>
      <w:r w:rsidRPr="00785D06">
        <w:rPr>
          <w:sz w:val="20"/>
          <w:szCs w:val="20"/>
          <w:lang w:val="en-US"/>
        </w:rPr>
        <w:t xml:space="preserve">, </w:t>
      </w:r>
      <w:r w:rsidR="006152B6" w:rsidRPr="00785D06">
        <w:rPr>
          <w:sz w:val="20"/>
          <w:szCs w:val="20"/>
          <w:lang w:val="en-US"/>
        </w:rPr>
        <w:t xml:space="preserve">notwithstanding </w:t>
      </w:r>
      <w:r w:rsidR="00D92B82" w:rsidRPr="00785D06">
        <w:rPr>
          <w:sz w:val="20"/>
          <w:szCs w:val="20"/>
          <w:lang w:val="en-US"/>
        </w:rPr>
        <w:t xml:space="preserve">the provisions of </w:t>
      </w:r>
      <w:r w:rsidR="006308AB" w:rsidRPr="00785D06">
        <w:rPr>
          <w:sz w:val="20"/>
          <w:szCs w:val="20"/>
          <w:lang w:val="en-US"/>
        </w:rPr>
        <w:t>paragraph 231 of this j</w:t>
      </w:r>
      <w:r w:rsidRPr="00785D06">
        <w:rPr>
          <w:sz w:val="20"/>
          <w:szCs w:val="20"/>
          <w:lang w:val="en-US"/>
        </w:rPr>
        <w:t>udgment</w:t>
      </w:r>
      <w:r w:rsidRPr="00785D06">
        <w:rPr>
          <w:bCs/>
          <w:sz w:val="20"/>
          <w:szCs w:val="20"/>
          <w:lang w:val="en-US"/>
        </w:rPr>
        <w:t>.</w:t>
      </w:r>
    </w:p>
    <w:p w14:paraId="1E655BBC" w14:textId="77777777" w:rsidR="00C254BF" w:rsidRPr="00785D06" w:rsidRDefault="00C254BF" w:rsidP="00C254BF">
      <w:pPr>
        <w:widowControl w:val="0"/>
        <w:tabs>
          <w:tab w:val="left" w:pos="567"/>
        </w:tabs>
        <w:adjustRightInd w:val="0"/>
        <w:ind w:right="-91"/>
        <w:jc w:val="both"/>
        <w:textAlignment w:val="baseline"/>
        <w:rPr>
          <w:bCs/>
          <w:sz w:val="20"/>
          <w:szCs w:val="20"/>
          <w:lang w:val="en-US" w:bidi="en-US"/>
        </w:rPr>
      </w:pPr>
    </w:p>
    <w:p w14:paraId="317D010E" w14:textId="77777777" w:rsidR="00C254BF" w:rsidRPr="00785D06" w:rsidRDefault="00C254BF" w:rsidP="00C254BF">
      <w:pPr>
        <w:widowControl w:val="0"/>
        <w:numPr>
          <w:ilvl w:val="0"/>
          <w:numId w:val="15"/>
        </w:numPr>
        <w:tabs>
          <w:tab w:val="left" w:pos="567"/>
        </w:tabs>
        <w:adjustRightInd w:val="0"/>
        <w:ind w:left="0" w:right="-91" w:firstLine="3"/>
        <w:jc w:val="both"/>
        <w:textAlignment w:val="baseline"/>
        <w:rPr>
          <w:b/>
          <w:bCs/>
          <w:sz w:val="20"/>
          <w:szCs w:val="20"/>
          <w:lang w:val="en-US"/>
        </w:rPr>
      </w:pPr>
      <w:r w:rsidRPr="00785D06">
        <w:rPr>
          <w:bCs/>
          <w:sz w:val="20"/>
          <w:szCs w:val="20"/>
          <w:lang w:val="en-US"/>
        </w:rPr>
        <w:t>The Court will mon</w:t>
      </w:r>
      <w:r w:rsidR="00E64B72" w:rsidRPr="00785D06">
        <w:rPr>
          <w:bCs/>
          <w:sz w:val="20"/>
          <w:szCs w:val="20"/>
          <w:lang w:val="en-US"/>
        </w:rPr>
        <w:t>itor full compliance with this j</w:t>
      </w:r>
      <w:r w:rsidRPr="00785D06">
        <w:rPr>
          <w:bCs/>
          <w:sz w:val="20"/>
          <w:szCs w:val="20"/>
          <w:lang w:val="en-US"/>
        </w:rPr>
        <w:t xml:space="preserve">udgment, in exercise of its authority and in fulfilment of its duties under the American Convention on Human Rights, and </w:t>
      </w:r>
      <w:r w:rsidR="00E64B72" w:rsidRPr="00785D06">
        <w:rPr>
          <w:bCs/>
          <w:sz w:val="20"/>
          <w:szCs w:val="20"/>
          <w:lang w:val="en-US"/>
        </w:rPr>
        <w:t xml:space="preserve">will close </w:t>
      </w:r>
      <w:r w:rsidRPr="00785D06">
        <w:rPr>
          <w:bCs/>
          <w:sz w:val="20"/>
          <w:szCs w:val="20"/>
          <w:lang w:val="en-US"/>
        </w:rPr>
        <w:t xml:space="preserve">this </w:t>
      </w:r>
      <w:r w:rsidR="00AB4B77" w:rsidRPr="00785D06">
        <w:rPr>
          <w:bCs/>
          <w:sz w:val="20"/>
          <w:szCs w:val="20"/>
          <w:lang w:val="en-US"/>
        </w:rPr>
        <w:t xml:space="preserve">case </w:t>
      </w:r>
      <w:r w:rsidR="00297B76" w:rsidRPr="00785D06">
        <w:rPr>
          <w:bCs/>
          <w:sz w:val="20"/>
          <w:szCs w:val="20"/>
          <w:lang w:val="en-US"/>
        </w:rPr>
        <w:t xml:space="preserve">when </w:t>
      </w:r>
      <w:r w:rsidRPr="00785D06">
        <w:rPr>
          <w:bCs/>
          <w:sz w:val="20"/>
          <w:szCs w:val="20"/>
          <w:lang w:val="en-US"/>
        </w:rPr>
        <w:t xml:space="preserve">the State has complied fully with </w:t>
      </w:r>
      <w:r w:rsidR="005F179E" w:rsidRPr="00785D06">
        <w:rPr>
          <w:bCs/>
          <w:sz w:val="20"/>
          <w:szCs w:val="20"/>
          <w:lang w:val="en-US"/>
        </w:rPr>
        <w:t xml:space="preserve">all </w:t>
      </w:r>
      <w:r w:rsidRPr="00785D06">
        <w:rPr>
          <w:bCs/>
          <w:sz w:val="20"/>
          <w:szCs w:val="20"/>
          <w:lang w:val="en-US"/>
        </w:rPr>
        <w:t>its provisions.</w:t>
      </w:r>
    </w:p>
    <w:p w14:paraId="239E540C" w14:textId="77777777" w:rsidR="00C254BF" w:rsidRPr="00785D06" w:rsidRDefault="00C254BF" w:rsidP="00C254BF">
      <w:pPr>
        <w:tabs>
          <w:tab w:val="left" w:pos="720"/>
        </w:tabs>
        <w:ind w:right="-93"/>
        <w:contextualSpacing/>
        <w:jc w:val="both"/>
        <w:rPr>
          <w:rFonts w:cs="Verdana"/>
          <w:sz w:val="20"/>
          <w:szCs w:val="20"/>
          <w:lang w:val="en-US"/>
        </w:rPr>
      </w:pPr>
    </w:p>
    <w:p w14:paraId="0C0B21A9" w14:textId="77777777" w:rsidR="00C254BF" w:rsidRPr="00785D06" w:rsidRDefault="00C254BF" w:rsidP="00C254BF">
      <w:pPr>
        <w:tabs>
          <w:tab w:val="left" w:pos="720"/>
        </w:tabs>
        <w:ind w:right="-93"/>
        <w:contextualSpacing/>
        <w:jc w:val="both"/>
        <w:rPr>
          <w:rFonts w:cs="Verdana"/>
          <w:sz w:val="20"/>
          <w:szCs w:val="20"/>
          <w:lang w:val="en-US"/>
        </w:rPr>
      </w:pPr>
    </w:p>
    <w:p w14:paraId="221706F2" w14:textId="77777777" w:rsidR="00C254BF" w:rsidRPr="00785D06" w:rsidRDefault="00297B76" w:rsidP="00C254BF">
      <w:pPr>
        <w:pStyle w:val="Prrafodelista"/>
        <w:ind w:left="0"/>
        <w:jc w:val="both"/>
        <w:rPr>
          <w:rFonts w:cs="Verdana"/>
          <w:sz w:val="20"/>
          <w:szCs w:val="20"/>
          <w:lang w:val="en-US"/>
        </w:rPr>
      </w:pPr>
      <w:r w:rsidRPr="00785D06">
        <w:rPr>
          <w:rFonts w:cs="Verdana"/>
          <w:sz w:val="20"/>
          <w:szCs w:val="20"/>
          <w:lang w:val="en-US"/>
        </w:rPr>
        <w:t>DONE,</w:t>
      </w:r>
      <w:r w:rsidR="00C254BF" w:rsidRPr="00785D06">
        <w:rPr>
          <w:rFonts w:cs="Verdana"/>
          <w:sz w:val="20"/>
          <w:szCs w:val="20"/>
          <w:lang w:val="en-US"/>
        </w:rPr>
        <w:t xml:space="preserve"> at San José, Costa Rica, on June 24, 2020</w:t>
      </w:r>
      <w:r w:rsidR="005F179E" w:rsidRPr="00785D06">
        <w:rPr>
          <w:rFonts w:cs="Verdana"/>
          <w:sz w:val="20"/>
          <w:szCs w:val="20"/>
          <w:lang w:val="en-US"/>
        </w:rPr>
        <w:t>, in the Spanish language</w:t>
      </w:r>
    </w:p>
    <w:p w14:paraId="68722E61" w14:textId="77777777" w:rsidR="00C254BF" w:rsidRPr="00785D06" w:rsidRDefault="00C254BF" w:rsidP="00C254BF">
      <w:pPr>
        <w:pStyle w:val="Prrafodelista"/>
        <w:ind w:left="0"/>
        <w:jc w:val="both"/>
        <w:rPr>
          <w:rFonts w:cs="Verdana"/>
          <w:sz w:val="20"/>
          <w:szCs w:val="20"/>
          <w:lang w:val="en-US"/>
        </w:rPr>
      </w:pPr>
    </w:p>
    <w:p w14:paraId="7F6A2F7A" w14:textId="77777777" w:rsidR="00C254BF" w:rsidRPr="00785D06" w:rsidRDefault="00C254BF" w:rsidP="00C254BF">
      <w:pPr>
        <w:pStyle w:val="Prrafodelista"/>
        <w:ind w:left="0"/>
        <w:jc w:val="both"/>
        <w:rPr>
          <w:rFonts w:cs="Verdana"/>
          <w:sz w:val="20"/>
          <w:szCs w:val="20"/>
          <w:lang w:val="en-US"/>
        </w:rPr>
      </w:pPr>
    </w:p>
    <w:p w14:paraId="27AC5F45" w14:textId="77777777" w:rsidR="00297B76" w:rsidRPr="00785D06" w:rsidRDefault="00297B76">
      <w:pPr>
        <w:spacing w:after="160" w:line="259" w:lineRule="auto"/>
        <w:rPr>
          <w:sz w:val="20"/>
          <w:szCs w:val="20"/>
          <w:lang w:val="en-US"/>
        </w:rPr>
      </w:pPr>
      <w:r w:rsidRPr="00785D06">
        <w:rPr>
          <w:sz w:val="20"/>
          <w:szCs w:val="20"/>
          <w:lang w:val="en-US"/>
        </w:rPr>
        <w:br w:type="page"/>
      </w:r>
    </w:p>
    <w:p w14:paraId="1ACFAEF6" w14:textId="77777777" w:rsidR="00C254BF" w:rsidRPr="00785D06" w:rsidRDefault="00D92B82" w:rsidP="00C254BF">
      <w:pPr>
        <w:jc w:val="both"/>
        <w:rPr>
          <w:sz w:val="20"/>
          <w:szCs w:val="20"/>
          <w:lang w:val="en-US"/>
        </w:rPr>
      </w:pPr>
      <w:r w:rsidRPr="00785D06">
        <w:rPr>
          <w:sz w:val="20"/>
          <w:szCs w:val="20"/>
          <w:lang w:val="en-US"/>
        </w:rPr>
        <w:t xml:space="preserve">I/A </w:t>
      </w:r>
      <w:r w:rsidR="00C254BF" w:rsidRPr="00785D06">
        <w:rPr>
          <w:sz w:val="20"/>
          <w:szCs w:val="20"/>
          <w:lang w:val="en-US"/>
        </w:rPr>
        <w:t>Co</w:t>
      </w:r>
      <w:r w:rsidRPr="00785D06">
        <w:rPr>
          <w:sz w:val="20"/>
          <w:szCs w:val="20"/>
          <w:lang w:val="en-US"/>
        </w:rPr>
        <w:t>urt</w:t>
      </w:r>
      <w:r w:rsidR="00C254BF" w:rsidRPr="00785D06">
        <w:rPr>
          <w:sz w:val="20"/>
          <w:szCs w:val="20"/>
          <w:lang w:val="en-US"/>
        </w:rPr>
        <w:t xml:space="preserve"> </w:t>
      </w:r>
      <w:r w:rsidRPr="00785D06">
        <w:rPr>
          <w:sz w:val="20"/>
          <w:szCs w:val="20"/>
          <w:lang w:val="en-US"/>
        </w:rPr>
        <w:t>HR</w:t>
      </w:r>
      <w:r w:rsidR="00C254BF" w:rsidRPr="00785D06">
        <w:rPr>
          <w:sz w:val="20"/>
          <w:szCs w:val="20"/>
          <w:lang w:val="en-US"/>
        </w:rPr>
        <w:t xml:space="preserve">. </w:t>
      </w:r>
      <w:r w:rsidR="00C254BF" w:rsidRPr="00785D06">
        <w:rPr>
          <w:i/>
          <w:sz w:val="20"/>
          <w:szCs w:val="20"/>
          <w:lang w:val="en-US"/>
        </w:rPr>
        <w:t xml:space="preserve">Case </w:t>
      </w:r>
      <w:r w:rsidR="00F37F2B" w:rsidRPr="00785D06">
        <w:rPr>
          <w:i/>
          <w:sz w:val="20"/>
          <w:szCs w:val="20"/>
          <w:lang w:val="en-US"/>
        </w:rPr>
        <w:t xml:space="preserve">of </w:t>
      </w:r>
      <w:r w:rsidR="00C254BF" w:rsidRPr="00785D06">
        <w:rPr>
          <w:i/>
          <w:iCs/>
          <w:sz w:val="20"/>
          <w:szCs w:val="20"/>
          <w:lang w:val="en-US"/>
        </w:rPr>
        <w:t>Guzmán Albarracín et al. v. Ecuador</w:t>
      </w:r>
      <w:r w:rsidR="00C254BF" w:rsidRPr="00785D06">
        <w:rPr>
          <w:iCs/>
          <w:sz w:val="20"/>
          <w:szCs w:val="20"/>
          <w:lang w:val="en-US"/>
        </w:rPr>
        <w:t xml:space="preserve">. </w:t>
      </w:r>
      <w:r w:rsidR="00297B76" w:rsidRPr="00785D06">
        <w:rPr>
          <w:i/>
          <w:sz w:val="20"/>
          <w:szCs w:val="20"/>
          <w:lang w:val="en-US"/>
        </w:rPr>
        <w:t>Merits, reparations and c</w:t>
      </w:r>
      <w:r w:rsidR="00C254BF" w:rsidRPr="00785D06">
        <w:rPr>
          <w:i/>
          <w:sz w:val="20"/>
          <w:szCs w:val="20"/>
          <w:lang w:val="en-US"/>
        </w:rPr>
        <w:t>osts</w:t>
      </w:r>
      <w:r w:rsidR="00C254BF" w:rsidRPr="00785D06">
        <w:rPr>
          <w:sz w:val="20"/>
          <w:szCs w:val="20"/>
          <w:lang w:val="en-US"/>
        </w:rPr>
        <w:t>. Judgment of June 24, 2020.</w:t>
      </w:r>
    </w:p>
    <w:p w14:paraId="2C77E57D" w14:textId="77777777" w:rsidR="00C254BF" w:rsidRPr="00785D06" w:rsidRDefault="00C254BF" w:rsidP="00C254BF">
      <w:pPr>
        <w:rPr>
          <w:szCs w:val="20"/>
          <w:lang w:val="en-US"/>
        </w:rPr>
      </w:pPr>
    </w:p>
    <w:p w14:paraId="0EABC940" w14:textId="77777777" w:rsidR="00C254BF" w:rsidRPr="00785D06" w:rsidRDefault="00C254BF" w:rsidP="00C254BF">
      <w:pPr>
        <w:tabs>
          <w:tab w:val="left" w:pos="2027"/>
        </w:tabs>
        <w:rPr>
          <w:sz w:val="20"/>
          <w:szCs w:val="20"/>
          <w:lang w:val="en-US"/>
        </w:rPr>
      </w:pPr>
      <w:r w:rsidRPr="00785D06">
        <w:rPr>
          <w:sz w:val="20"/>
          <w:szCs w:val="20"/>
          <w:lang w:val="en-US"/>
        </w:rPr>
        <w:tab/>
      </w:r>
    </w:p>
    <w:p w14:paraId="6F5451BF" w14:textId="77777777" w:rsidR="00C254BF" w:rsidRPr="00785D06" w:rsidRDefault="00C254BF" w:rsidP="00C254BF">
      <w:pPr>
        <w:jc w:val="center"/>
        <w:rPr>
          <w:sz w:val="20"/>
          <w:szCs w:val="20"/>
          <w:lang w:val="en-US"/>
        </w:rPr>
      </w:pPr>
    </w:p>
    <w:p w14:paraId="10D100C1" w14:textId="77777777" w:rsidR="00C254BF" w:rsidRPr="00785D06" w:rsidRDefault="00C254BF" w:rsidP="00C254BF">
      <w:pPr>
        <w:jc w:val="center"/>
        <w:rPr>
          <w:sz w:val="20"/>
          <w:szCs w:val="20"/>
          <w:lang w:val="en-US"/>
        </w:rPr>
      </w:pPr>
    </w:p>
    <w:p w14:paraId="3D16A309" w14:textId="77777777" w:rsidR="00C254BF" w:rsidRPr="00785D06" w:rsidRDefault="00C254BF" w:rsidP="00C254BF">
      <w:pPr>
        <w:jc w:val="center"/>
        <w:rPr>
          <w:sz w:val="20"/>
          <w:szCs w:val="20"/>
          <w:lang w:val="en-US"/>
        </w:rPr>
      </w:pPr>
      <w:r w:rsidRPr="00785D06">
        <w:rPr>
          <w:sz w:val="20"/>
          <w:szCs w:val="20"/>
          <w:lang w:val="en-US"/>
        </w:rPr>
        <w:t>Elizabeth Odio Benito</w:t>
      </w:r>
    </w:p>
    <w:p w14:paraId="28796F95" w14:textId="77777777" w:rsidR="00C254BF" w:rsidRPr="00785D06" w:rsidRDefault="00C254BF" w:rsidP="00C254BF">
      <w:pPr>
        <w:jc w:val="center"/>
        <w:rPr>
          <w:sz w:val="20"/>
          <w:szCs w:val="20"/>
          <w:lang w:val="en-US"/>
        </w:rPr>
      </w:pPr>
      <w:r w:rsidRPr="00785D06">
        <w:rPr>
          <w:sz w:val="20"/>
          <w:szCs w:val="20"/>
          <w:lang w:val="en-US"/>
        </w:rPr>
        <w:t>President</w:t>
      </w:r>
    </w:p>
    <w:p w14:paraId="55BA5C67" w14:textId="77777777" w:rsidR="00C254BF" w:rsidRPr="00785D06" w:rsidRDefault="00C254BF" w:rsidP="00C254BF">
      <w:pPr>
        <w:jc w:val="center"/>
        <w:rPr>
          <w:sz w:val="20"/>
          <w:szCs w:val="20"/>
          <w:lang w:val="en-US"/>
        </w:rPr>
      </w:pPr>
    </w:p>
    <w:p w14:paraId="6977BAE0" w14:textId="77777777" w:rsidR="00C254BF" w:rsidRPr="00785D06" w:rsidRDefault="00C254BF" w:rsidP="00C254BF">
      <w:pPr>
        <w:jc w:val="center"/>
        <w:rPr>
          <w:sz w:val="20"/>
          <w:szCs w:val="20"/>
          <w:lang w:val="en-US"/>
        </w:rPr>
      </w:pPr>
    </w:p>
    <w:p w14:paraId="31490CF3" w14:textId="77777777" w:rsidR="00C254BF" w:rsidRPr="00785D06" w:rsidRDefault="00C254BF" w:rsidP="00C254BF">
      <w:pPr>
        <w:ind w:firstLine="720"/>
        <w:rPr>
          <w:sz w:val="20"/>
          <w:szCs w:val="20"/>
          <w:lang w:val="en-US"/>
        </w:rPr>
      </w:pPr>
    </w:p>
    <w:p w14:paraId="5A829D7E" w14:textId="77777777" w:rsidR="00C254BF" w:rsidRPr="00785D06" w:rsidRDefault="00C254BF" w:rsidP="00C254BF">
      <w:pPr>
        <w:rPr>
          <w:sz w:val="20"/>
          <w:szCs w:val="20"/>
          <w:lang w:val="en-US"/>
        </w:rPr>
      </w:pPr>
      <w:r w:rsidRPr="00785D06">
        <w:rPr>
          <w:sz w:val="20"/>
          <w:szCs w:val="20"/>
          <w:lang w:val="en-US"/>
        </w:rPr>
        <w:t>Eduardo Vio Grossi</w:t>
      </w:r>
      <w:r w:rsidRPr="00785D06">
        <w:rPr>
          <w:sz w:val="20"/>
          <w:szCs w:val="20"/>
          <w:lang w:val="en-US"/>
        </w:rPr>
        <w:tab/>
      </w:r>
      <w:r w:rsidRPr="00785D06">
        <w:rPr>
          <w:sz w:val="20"/>
          <w:szCs w:val="20"/>
          <w:lang w:val="en-US"/>
        </w:rPr>
        <w:tab/>
      </w:r>
      <w:r w:rsidRPr="00785D06">
        <w:rPr>
          <w:sz w:val="20"/>
          <w:szCs w:val="20"/>
          <w:lang w:val="en-US"/>
        </w:rPr>
        <w:tab/>
      </w:r>
      <w:r w:rsidRPr="00785D06">
        <w:rPr>
          <w:sz w:val="20"/>
          <w:szCs w:val="20"/>
          <w:lang w:val="en-US"/>
        </w:rPr>
        <w:tab/>
      </w:r>
      <w:r w:rsidRPr="00785D06">
        <w:rPr>
          <w:sz w:val="20"/>
          <w:szCs w:val="20"/>
          <w:lang w:val="en-US"/>
        </w:rPr>
        <w:tab/>
        <w:t>Humberto Antonio Sierra Porto</w:t>
      </w:r>
      <w:r w:rsidRPr="00785D06">
        <w:rPr>
          <w:sz w:val="20"/>
          <w:szCs w:val="20"/>
          <w:lang w:val="en-US"/>
        </w:rPr>
        <w:tab/>
      </w:r>
      <w:r w:rsidRPr="00785D06">
        <w:rPr>
          <w:sz w:val="20"/>
          <w:szCs w:val="20"/>
          <w:lang w:val="en-US"/>
        </w:rPr>
        <w:tab/>
      </w:r>
      <w:r w:rsidRPr="00785D06">
        <w:rPr>
          <w:sz w:val="20"/>
          <w:szCs w:val="20"/>
          <w:lang w:val="en-US"/>
        </w:rPr>
        <w:tab/>
      </w:r>
      <w:r w:rsidRPr="00785D06">
        <w:rPr>
          <w:sz w:val="20"/>
          <w:szCs w:val="20"/>
          <w:lang w:val="en-US"/>
        </w:rPr>
        <w:tab/>
        <w:t xml:space="preserve">   </w:t>
      </w:r>
    </w:p>
    <w:p w14:paraId="5FE0D518" w14:textId="77777777" w:rsidR="00C254BF" w:rsidRPr="00785D06" w:rsidRDefault="00C254BF" w:rsidP="00C254BF">
      <w:pPr>
        <w:rPr>
          <w:sz w:val="20"/>
          <w:szCs w:val="20"/>
          <w:lang w:val="en-US"/>
        </w:rPr>
      </w:pPr>
    </w:p>
    <w:p w14:paraId="4F5BF041" w14:textId="77777777" w:rsidR="00C254BF" w:rsidRPr="00785D06" w:rsidRDefault="00C254BF" w:rsidP="00C254BF">
      <w:pPr>
        <w:rPr>
          <w:sz w:val="20"/>
          <w:szCs w:val="20"/>
          <w:lang w:val="en-US"/>
        </w:rPr>
      </w:pPr>
    </w:p>
    <w:p w14:paraId="151CD518" w14:textId="77777777" w:rsidR="00C254BF" w:rsidRPr="00785D06" w:rsidRDefault="00C254BF" w:rsidP="00C254BF">
      <w:pPr>
        <w:rPr>
          <w:sz w:val="20"/>
          <w:szCs w:val="20"/>
          <w:lang w:val="en-US"/>
        </w:rPr>
      </w:pPr>
    </w:p>
    <w:p w14:paraId="0E27A747" w14:textId="77777777" w:rsidR="00C254BF" w:rsidRPr="00785D06" w:rsidRDefault="00C254BF" w:rsidP="00C254BF">
      <w:pPr>
        <w:rPr>
          <w:sz w:val="20"/>
          <w:szCs w:val="20"/>
          <w:lang w:val="en-US"/>
        </w:rPr>
      </w:pPr>
    </w:p>
    <w:p w14:paraId="2249130E" w14:textId="77777777" w:rsidR="00C254BF" w:rsidRPr="00785D06" w:rsidRDefault="00C254BF" w:rsidP="00C254BF">
      <w:pPr>
        <w:rPr>
          <w:sz w:val="20"/>
          <w:szCs w:val="20"/>
          <w:lang w:val="en-US"/>
        </w:rPr>
      </w:pPr>
    </w:p>
    <w:p w14:paraId="686CC5C4" w14:textId="77777777" w:rsidR="00C254BF" w:rsidRPr="00785D06" w:rsidRDefault="00C254BF" w:rsidP="00C254BF">
      <w:pPr>
        <w:rPr>
          <w:sz w:val="20"/>
          <w:szCs w:val="20"/>
          <w:lang w:val="en-US"/>
        </w:rPr>
      </w:pPr>
    </w:p>
    <w:p w14:paraId="2FEBED8F" w14:textId="77777777" w:rsidR="00C254BF" w:rsidRPr="00785D06" w:rsidRDefault="00C254BF" w:rsidP="00C254BF">
      <w:pPr>
        <w:rPr>
          <w:sz w:val="20"/>
          <w:szCs w:val="20"/>
          <w:lang w:val="en-US"/>
        </w:rPr>
      </w:pPr>
      <w:r w:rsidRPr="00785D06">
        <w:rPr>
          <w:sz w:val="20"/>
          <w:szCs w:val="20"/>
          <w:lang w:val="en-US"/>
        </w:rPr>
        <w:t>Eduardo Ferrer Mac-Gregor Poisot</w:t>
      </w:r>
      <w:r w:rsidRPr="00785D06">
        <w:rPr>
          <w:sz w:val="20"/>
          <w:szCs w:val="20"/>
          <w:lang w:val="en-US"/>
        </w:rPr>
        <w:tab/>
        <w:t xml:space="preserve">                                         Eugenio Raúl Zaffaroni</w:t>
      </w:r>
    </w:p>
    <w:p w14:paraId="09055C5F" w14:textId="77777777" w:rsidR="00C254BF" w:rsidRPr="00785D06" w:rsidRDefault="00C254BF" w:rsidP="00C254BF">
      <w:pPr>
        <w:rPr>
          <w:sz w:val="20"/>
          <w:szCs w:val="20"/>
          <w:lang w:val="en-US"/>
        </w:rPr>
      </w:pPr>
    </w:p>
    <w:p w14:paraId="2DB55EB0" w14:textId="77777777" w:rsidR="00C254BF" w:rsidRPr="00785D06" w:rsidRDefault="00C254BF" w:rsidP="00C254BF">
      <w:pPr>
        <w:rPr>
          <w:sz w:val="20"/>
          <w:szCs w:val="20"/>
          <w:lang w:val="en-US"/>
        </w:rPr>
      </w:pPr>
    </w:p>
    <w:p w14:paraId="21FE45EE" w14:textId="77777777" w:rsidR="00C254BF" w:rsidRPr="00785D06" w:rsidRDefault="00C254BF" w:rsidP="00C254BF">
      <w:pPr>
        <w:rPr>
          <w:sz w:val="20"/>
          <w:szCs w:val="20"/>
          <w:lang w:val="en-US"/>
        </w:rPr>
      </w:pPr>
    </w:p>
    <w:p w14:paraId="32CD7395" w14:textId="77777777" w:rsidR="00C254BF" w:rsidRPr="00785D06" w:rsidRDefault="00C254BF" w:rsidP="00C254BF">
      <w:pPr>
        <w:rPr>
          <w:sz w:val="20"/>
          <w:szCs w:val="20"/>
          <w:lang w:val="en-US"/>
        </w:rPr>
      </w:pPr>
    </w:p>
    <w:p w14:paraId="0ED7F6D8" w14:textId="77777777" w:rsidR="00C254BF" w:rsidRPr="00785D06" w:rsidRDefault="00C254BF" w:rsidP="00C254BF">
      <w:pPr>
        <w:jc w:val="center"/>
        <w:rPr>
          <w:sz w:val="20"/>
          <w:szCs w:val="20"/>
          <w:lang w:val="en-US"/>
        </w:rPr>
      </w:pPr>
      <w:r w:rsidRPr="00785D06">
        <w:rPr>
          <w:sz w:val="20"/>
          <w:szCs w:val="20"/>
          <w:lang w:val="en-US"/>
        </w:rPr>
        <w:t>Ricardo C. Pérez Manrique</w:t>
      </w:r>
    </w:p>
    <w:p w14:paraId="0E257C89" w14:textId="77777777" w:rsidR="00C254BF" w:rsidRPr="00785D06" w:rsidRDefault="00C254BF" w:rsidP="00C254BF">
      <w:pPr>
        <w:rPr>
          <w:sz w:val="20"/>
          <w:szCs w:val="20"/>
          <w:lang w:val="en-US"/>
        </w:rPr>
      </w:pPr>
    </w:p>
    <w:p w14:paraId="4F2752DC" w14:textId="77777777" w:rsidR="00C254BF" w:rsidRPr="00785D06" w:rsidRDefault="00C254BF" w:rsidP="00C254BF">
      <w:pPr>
        <w:rPr>
          <w:sz w:val="20"/>
          <w:szCs w:val="20"/>
          <w:lang w:val="en-US"/>
        </w:rPr>
      </w:pPr>
    </w:p>
    <w:p w14:paraId="32A29984" w14:textId="77777777" w:rsidR="00C254BF" w:rsidRPr="00785D06" w:rsidRDefault="00C254BF" w:rsidP="00C254BF">
      <w:pPr>
        <w:rPr>
          <w:sz w:val="20"/>
          <w:szCs w:val="20"/>
          <w:lang w:val="en-US"/>
        </w:rPr>
      </w:pPr>
    </w:p>
    <w:p w14:paraId="22E81D65" w14:textId="77777777" w:rsidR="00C254BF" w:rsidRPr="00785D06" w:rsidRDefault="00C254BF" w:rsidP="00C254BF">
      <w:pPr>
        <w:rPr>
          <w:sz w:val="20"/>
          <w:szCs w:val="20"/>
          <w:lang w:val="en-US"/>
        </w:rPr>
      </w:pPr>
    </w:p>
    <w:p w14:paraId="3DBC6743" w14:textId="77777777" w:rsidR="00C254BF" w:rsidRPr="00785D06" w:rsidRDefault="00C254BF" w:rsidP="00C254BF">
      <w:pPr>
        <w:rPr>
          <w:sz w:val="20"/>
          <w:szCs w:val="20"/>
          <w:lang w:val="en-US"/>
        </w:rPr>
      </w:pPr>
    </w:p>
    <w:p w14:paraId="7FD23852" w14:textId="77777777" w:rsidR="00C254BF" w:rsidRPr="00785D06" w:rsidRDefault="00C254BF" w:rsidP="00C254BF">
      <w:pPr>
        <w:jc w:val="center"/>
        <w:rPr>
          <w:sz w:val="20"/>
          <w:szCs w:val="20"/>
          <w:lang w:val="en-US"/>
        </w:rPr>
      </w:pPr>
    </w:p>
    <w:p w14:paraId="3EC7B0D4" w14:textId="77777777" w:rsidR="00C254BF" w:rsidRPr="00785D06" w:rsidRDefault="00C254BF" w:rsidP="00C254BF">
      <w:pPr>
        <w:jc w:val="center"/>
        <w:rPr>
          <w:sz w:val="20"/>
          <w:szCs w:val="20"/>
          <w:lang w:val="en-US"/>
        </w:rPr>
      </w:pPr>
    </w:p>
    <w:p w14:paraId="0DD7856B" w14:textId="77777777" w:rsidR="00C254BF" w:rsidRPr="00785D06" w:rsidRDefault="00C254BF" w:rsidP="00C254BF">
      <w:pPr>
        <w:jc w:val="center"/>
        <w:rPr>
          <w:sz w:val="20"/>
          <w:szCs w:val="20"/>
          <w:lang w:val="en-US"/>
        </w:rPr>
      </w:pPr>
      <w:r w:rsidRPr="00785D06">
        <w:rPr>
          <w:sz w:val="20"/>
          <w:szCs w:val="20"/>
          <w:lang w:val="en-US"/>
        </w:rPr>
        <w:t>Pablo Saavedra Alessandri</w:t>
      </w:r>
    </w:p>
    <w:p w14:paraId="20260987" w14:textId="77777777" w:rsidR="00C254BF" w:rsidRPr="00785D06" w:rsidRDefault="00C254BF" w:rsidP="00C254BF">
      <w:pPr>
        <w:jc w:val="center"/>
        <w:rPr>
          <w:sz w:val="20"/>
          <w:szCs w:val="20"/>
          <w:lang w:val="en-US"/>
        </w:rPr>
      </w:pPr>
      <w:r w:rsidRPr="00785D06">
        <w:rPr>
          <w:sz w:val="20"/>
          <w:szCs w:val="20"/>
          <w:lang w:val="en-US"/>
        </w:rPr>
        <w:t>Secretary</w:t>
      </w:r>
    </w:p>
    <w:p w14:paraId="6E484799" w14:textId="77777777" w:rsidR="00C254BF" w:rsidRPr="00785D06" w:rsidRDefault="00C254BF" w:rsidP="00C254BF">
      <w:pPr>
        <w:pStyle w:val="Textonotapie"/>
        <w:rPr>
          <w:sz w:val="20"/>
          <w:szCs w:val="20"/>
          <w:lang w:val="en-US"/>
        </w:rPr>
      </w:pPr>
    </w:p>
    <w:p w14:paraId="65EFA454" w14:textId="77777777" w:rsidR="00C254BF" w:rsidRPr="00785D06" w:rsidRDefault="00C254BF" w:rsidP="00C254BF">
      <w:pPr>
        <w:rPr>
          <w:sz w:val="20"/>
          <w:szCs w:val="20"/>
          <w:lang w:val="en-US"/>
        </w:rPr>
      </w:pPr>
    </w:p>
    <w:p w14:paraId="35800C26" w14:textId="77777777" w:rsidR="00C254BF" w:rsidRPr="00785D06" w:rsidRDefault="00C254BF" w:rsidP="00C254BF">
      <w:pPr>
        <w:rPr>
          <w:sz w:val="20"/>
          <w:szCs w:val="20"/>
          <w:lang w:val="en-US"/>
        </w:rPr>
      </w:pPr>
      <w:r w:rsidRPr="00785D06">
        <w:rPr>
          <w:sz w:val="20"/>
          <w:szCs w:val="20"/>
          <w:lang w:val="en-US"/>
        </w:rPr>
        <w:t>So ordered,</w:t>
      </w:r>
    </w:p>
    <w:p w14:paraId="0C5EDB49" w14:textId="77777777" w:rsidR="00C254BF" w:rsidRPr="00785D06" w:rsidRDefault="00C254BF" w:rsidP="00C254BF">
      <w:pPr>
        <w:rPr>
          <w:sz w:val="20"/>
          <w:szCs w:val="20"/>
          <w:lang w:val="en-US"/>
        </w:rPr>
      </w:pPr>
    </w:p>
    <w:p w14:paraId="2E0F2BF4" w14:textId="77777777" w:rsidR="00C254BF" w:rsidRPr="00785D06" w:rsidRDefault="00C254BF" w:rsidP="00C254BF">
      <w:pPr>
        <w:jc w:val="center"/>
        <w:rPr>
          <w:sz w:val="20"/>
          <w:szCs w:val="20"/>
          <w:lang w:val="en-US"/>
        </w:rPr>
      </w:pPr>
    </w:p>
    <w:p w14:paraId="1715FE78" w14:textId="77777777" w:rsidR="00C254BF" w:rsidRPr="00785D06" w:rsidRDefault="00C254BF" w:rsidP="00C254BF">
      <w:pPr>
        <w:jc w:val="right"/>
        <w:rPr>
          <w:sz w:val="20"/>
          <w:szCs w:val="20"/>
          <w:lang w:val="en-US"/>
        </w:rPr>
      </w:pPr>
    </w:p>
    <w:p w14:paraId="41CFF85E" w14:textId="77777777" w:rsidR="00C254BF" w:rsidRPr="00785D06" w:rsidRDefault="00C254BF" w:rsidP="00C254BF">
      <w:pPr>
        <w:jc w:val="center"/>
        <w:rPr>
          <w:sz w:val="20"/>
          <w:szCs w:val="20"/>
          <w:lang w:val="en-US"/>
        </w:rPr>
      </w:pPr>
      <w:r w:rsidRPr="00785D06">
        <w:rPr>
          <w:sz w:val="20"/>
          <w:szCs w:val="20"/>
          <w:lang w:val="en-US"/>
        </w:rPr>
        <w:t xml:space="preserve">                                                                                               Elizabeth Odio Benito</w:t>
      </w:r>
    </w:p>
    <w:p w14:paraId="6277FF85" w14:textId="77777777" w:rsidR="00C254BF" w:rsidRPr="00785D06" w:rsidRDefault="00C254BF" w:rsidP="00C254BF">
      <w:pPr>
        <w:ind w:firstLine="720"/>
        <w:rPr>
          <w:sz w:val="20"/>
          <w:szCs w:val="20"/>
          <w:lang w:val="en-US"/>
        </w:rPr>
      </w:pPr>
      <w:r w:rsidRPr="00785D06">
        <w:rPr>
          <w:sz w:val="20"/>
          <w:szCs w:val="20"/>
          <w:lang w:val="en-US"/>
        </w:rPr>
        <w:t xml:space="preserve">     </w:t>
      </w:r>
      <w:r w:rsidRPr="00785D06">
        <w:rPr>
          <w:sz w:val="20"/>
          <w:szCs w:val="20"/>
          <w:lang w:val="en-US"/>
        </w:rPr>
        <w:tab/>
      </w:r>
      <w:r w:rsidRPr="00785D06">
        <w:rPr>
          <w:sz w:val="20"/>
          <w:szCs w:val="20"/>
          <w:lang w:val="en-US"/>
        </w:rPr>
        <w:tab/>
      </w:r>
      <w:r w:rsidRPr="00785D06">
        <w:rPr>
          <w:sz w:val="20"/>
          <w:szCs w:val="20"/>
          <w:lang w:val="en-US"/>
        </w:rPr>
        <w:tab/>
      </w:r>
      <w:r w:rsidRPr="00785D06">
        <w:rPr>
          <w:sz w:val="20"/>
          <w:szCs w:val="20"/>
          <w:lang w:val="en-US"/>
        </w:rPr>
        <w:tab/>
      </w:r>
      <w:r w:rsidRPr="00785D06">
        <w:rPr>
          <w:sz w:val="20"/>
          <w:szCs w:val="20"/>
          <w:lang w:val="en-US"/>
        </w:rPr>
        <w:tab/>
      </w:r>
      <w:r w:rsidRPr="00785D06">
        <w:rPr>
          <w:sz w:val="20"/>
          <w:szCs w:val="20"/>
          <w:lang w:val="en-US"/>
        </w:rPr>
        <w:tab/>
      </w:r>
      <w:r w:rsidRPr="00785D06">
        <w:rPr>
          <w:sz w:val="20"/>
          <w:szCs w:val="20"/>
          <w:lang w:val="en-US"/>
        </w:rPr>
        <w:tab/>
      </w:r>
      <w:r w:rsidRPr="00785D06">
        <w:rPr>
          <w:sz w:val="20"/>
          <w:szCs w:val="20"/>
          <w:lang w:val="en-US"/>
        </w:rPr>
        <w:tab/>
      </w:r>
      <w:r w:rsidRPr="00785D06">
        <w:rPr>
          <w:sz w:val="20"/>
          <w:szCs w:val="20"/>
          <w:lang w:val="en-US"/>
        </w:rPr>
        <w:tab/>
        <w:t xml:space="preserve">   President</w:t>
      </w:r>
    </w:p>
    <w:p w14:paraId="30927532" w14:textId="77777777" w:rsidR="00C254BF" w:rsidRPr="00785D06" w:rsidRDefault="00C254BF" w:rsidP="00C254BF">
      <w:pPr>
        <w:ind w:firstLine="720"/>
        <w:rPr>
          <w:sz w:val="20"/>
          <w:szCs w:val="20"/>
          <w:lang w:val="en-US"/>
        </w:rPr>
      </w:pPr>
    </w:p>
    <w:p w14:paraId="7DA6DDDF" w14:textId="77777777" w:rsidR="00C254BF" w:rsidRPr="00785D06" w:rsidRDefault="00C254BF" w:rsidP="00C254BF">
      <w:pPr>
        <w:ind w:firstLine="720"/>
        <w:rPr>
          <w:sz w:val="20"/>
          <w:szCs w:val="20"/>
          <w:lang w:val="en-US"/>
        </w:rPr>
      </w:pPr>
    </w:p>
    <w:p w14:paraId="059AA4A2" w14:textId="77777777" w:rsidR="00C254BF" w:rsidRPr="00785D06" w:rsidRDefault="00C254BF" w:rsidP="00C254BF">
      <w:pPr>
        <w:rPr>
          <w:sz w:val="20"/>
          <w:szCs w:val="20"/>
          <w:lang w:val="en-US"/>
        </w:rPr>
      </w:pPr>
    </w:p>
    <w:p w14:paraId="18AA8EA1" w14:textId="77777777" w:rsidR="00C254BF" w:rsidRPr="00785D06" w:rsidRDefault="00C254BF" w:rsidP="00C254BF">
      <w:pPr>
        <w:rPr>
          <w:sz w:val="20"/>
          <w:szCs w:val="20"/>
          <w:lang w:val="en-US"/>
        </w:rPr>
      </w:pPr>
    </w:p>
    <w:p w14:paraId="622E7DAB" w14:textId="77777777" w:rsidR="00C254BF" w:rsidRPr="00785D06" w:rsidRDefault="00C254BF" w:rsidP="00C254BF">
      <w:pPr>
        <w:rPr>
          <w:sz w:val="20"/>
          <w:szCs w:val="20"/>
          <w:lang w:val="en-US"/>
        </w:rPr>
      </w:pPr>
    </w:p>
    <w:p w14:paraId="2C97F864" w14:textId="77777777" w:rsidR="00C254BF" w:rsidRPr="00785D06" w:rsidRDefault="00C254BF" w:rsidP="00C254BF">
      <w:pPr>
        <w:rPr>
          <w:sz w:val="20"/>
          <w:szCs w:val="20"/>
          <w:lang w:val="en-US"/>
        </w:rPr>
      </w:pPr>
    </w:p>
    <w:p w14:paraId="5D20E40D" w14:textId="77777777" w:rsidR="00C254BF" w:rsidRPr="00785D06" w:rsidRDefault="00C254BF" w:rsidP="00C254BF">
      <w:pPr>
        <w:rPr>
          <w:sz w:val="20"/>
          <w:szCs w:val="20"/>
          <w:lang w:val="en-US"/>
        </w:rPr>
      </w:pPr>
      <w:r w:rsidRPr="00785D06">
        <w:rPr>
          <w:sz w:val="20"/>
          <w:szCs w:val="20"/>
          <w:lang w:val="en-US"/>
        </w:rPr>
        <w:t>Pablo Saavedra Alessandri</w:t>
      </w:r>
    </w:p>
    <w:p w14:paraId="51D9AAC0" w14:textId="77777777" w:rsidR="00C254BF" w:rsidRPr="00915CFB" w:rsidRDefault="00C254BF" w:rsidP="00C254BF">
      <w:pPr>
        <w:rPr>
          <w:lang w:val="en-US"/>
        </w:rPr>
      </w:pPr>
      <w:r w:rsidRPr="00785D06">
        <w:rPr>
          <w:sz w:val="20"/>
          <w:szCs w:val="20"/>
          <w:lang w:val="en-US"/>
        </w:rPr>
        <w:t xml:space="preserve">          Secretary</w:t>
      </w:r>
    </w:p>
    <w:p w14:paraId="26787466" w14:textId="77777777" w:rsidR="0011045F" w:rsidRDefault="0011045F"/>
    <w:sectPr w:rsidR="0011045F">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09F35" w14:textId="77777777" w:rsidR="008E6839" w:rsidRDefault="008E6839" w:rsidP="00C254BF">
      <w:r>
        <w:separator/>
      </w:r>
    </w:p>
  </w:endnote>
  <w:endnote w:type="continuationSeparator" w:id="0">
    <w:p w14:paraId="5E8C84EF" w14:textId="77777777" w:rsidR="008E6839" w:rsidRDefault="008E6839" w:rsidP="00C2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Italic">
    <w:altName w:val="Malgun Gothic Semilight"/>
    <w:charset w:val="4D"/>
    <w:family w:val="auto"/>
    <w:pitch w:val="variable"/>
    <w:sig w:usb0="A00002FF" w:usb1="7800205A" w:usb2="146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Italic">
    <w:altName w:val="Verdana"/>
    <w:panose1 w:val="00000000000000000000"/>
    <w:charset w:val="00"/>
    <w:family w:val="roman"/>
    <w:notTrueType/>
    <w:pitch w:val="default"/>
  </w:font>
  <w:font w:name="TimesNewRomanPS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
    <w:panose1 w:val="00000000000000000000"/>
    <w:charset w:val="80"/>
    <w:family w:val="auto"/>
    <w:notTrueType/>
    <w:pitch w:val="variable"/>
    <w:sig w:usb0="00000001" w:usb1="08070000" w:usb2="00000010" w:usb3="00000000" w:csb0="00020000" w:csb1="00000000"/>
  </w:font>
  <w:font w:name="Cambria">
    <w:altName w:val="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8313923"/>
      <w:docPartObj>
        <w:docPartGallery w:val="Page Numbers (Bottom of Page)"/>
        <w:docPartUnique/>
      </w:docPartObj>
    </w:sdtPr>
    <w:sdtEndPr/>
    <w:sdtContent>
      <w:p w14:paraId="1B18FE9C" w14:textId="77777777" w:rsidR="00E0703B" w:rsidRDefault="00E0703B">
        <w:pPr>
          <w:pStyle w:val="Piedepgina"/>
          <w:jc w:val="center"/>
        </w:pPr>
        <w:r>
          <w:fldChar w:fldCharType="begin"/>
        </w:r>
        <w:r>
          <w:instrText>PAGE   \* MERGEFORMAT</w:instrText>
        </w:r>
        <w:r>
          <w:fldChar w:fldCharType="separate"/>
        </w:r>
        <w:r w:rsidR="008C7F82" w:rsidRPr="008C7F82">
          <w:rPr>
            <w:noProof/>
            <w:lang w:val="es-ES"/>
          </w:rPr>
          <w:t>80</w:t>
        </w:r>
        <w:r>
          <w:fldChar w:fldCharType="end"/>
        </w:r>
      </w:p>
    </w:sdtContent>
  </w:sdt>
  <w:p w14:paraId="28EC5534" w14:textId="77777777" w:rsidR="00E0703B" w:rsidRDefault="00E070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84136" w14:textId="77777777" w:rsidR="008E6839" w:rsidRDefault="008E6839" w:rsidP="00C254BF">
      <w:r>
        <w:separator/>
      </w:r>
    </w:p>
  </w:footnote>
  <w:footnote w:type="continuationSeparator" w:id="0">
    <w:p w14:paraId="0568CDFB" w14:textId="77777777" w:rsidR="008E6839" w:rsidRDefault="008E6839" w:rsidP="00C254BF">
      <w:r>
        <w:continuationSeparator/>
      </w:r>
    </w:p>
  </w:footnote>
  <w:footnote w:id="1">
    <w:p w14:paraId="04DE00F7" w14:textId="77777777" w:rsidR="00E0703B" w:rsidRPr="00785D06" w:rsidRDefault="00E0703B" w:rsidP="00C254BF">
      <w:pPr>
        <w:pStyle w:val="Textonotapie"/>
        <w:jc w:val="both"/>
        <w:rPr>
          <w:lang w:val="en-US"/>
        </w:rPr>
      </w:pPr>
      <w:r w:rsidRPr="00785D06">
        <w:rPr>
          <w:rStyle w:val="Refdenotaalpie"/>
          <w:lang w:val="en-US"/>
        </w:rPr>
        <w:t>*</w:t>
      </w:r>
      <w:r w:rsidRPr="00785D06">
        <w:rPr>
          <w:rFonts w:eastAsia="Times New Roman"/>
          <w:lang w:val="en-US"/>
        </w:rPr>
        <w:tab/>
        <w:t>Judge L. Patricio Pazmiño Freire, Vice President of the Court and an Ecuadorian national, did not take part in the deliberation and signing of this judgment, pursuant to Articles 19(2) of the Court’s Statute and 19(1) of its Rules of Procedure.</w:t>
      </w:r>
    </w:p>
  </w:footnote>
  <w:footnote w:id="2">
    <w:p w14:paraId="53D7AB5E"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 xml:space="preserve">The petition was presented by the </w:t>
      </w:r>
      <w:r w:rsidRPr="00785D06">
        <w:rPr>
          <w:rFonts w:cs="Arial"/>
          <w:i/>
          <w:shd w:val="clear" w:color="auto" w:fill="FFFFFF"/>
        </w:rPr>
        <w:t>Centro </w:t>
      </w:r>
      <w:r w:rsidRPr="00785D06">
        <w:rPr>
          <w:rStyle w:val="nfasis"/>
          <w:rFonts w:cs="Arial"/>
          <w:bCs/>
          <w:iCs w:val="0"/>
          <w:shd w:val="clear" w:color="auto" w:fill="FFFFFF"/>
        </w:rPr>
        <w:t>Ecuatoriano</w:t>
      </w:r>
      <w:r w:rsidRPr="00785D06">
        <w:rPr>
          <w:rFonts w:cs="Arial"/>
          <w:i/>
          <w:shd w:val="clear" w:color="auto" w:fill="FFFFFF"/>
        </w:rPr>
        <w:t> para la Promoción y Acción de la Mujer/</w:t>
      </w:r>
      <w:r w:rsidRPr="00785D06">
        <w:rPr>
          <w:lang w:val="en-US"/>
        </w:rPr>
        <w:t xml:space="preserve"> Ecuadorian Center for the Promotion and Action of Women (CEPAM-Guayaquil, hereinafter CEPAM) and the Center for Reproductive Rights (hereinafter, in reference to both organizations, “the representatives”). Both civil society organizations acted jointly before the Court in representation of the presumed victims, alleging human rights violations against Paola del Rosario Guzmán Albarracín, Petita Paulina Albarracín Albán and Denisse Selena Guzmán Albarracín (</w:t>
      </w:r>
      <w:r w:rsidRPr="00785D06">
        <w:rPr>
          <w:i/>
          <w:lang w:val="en-US"/>
        </w:rPr>
        <w:t xml:space="preserve">infra </w:t>
      </w:r>
      <w:r w:rsidRPr="00785D06">
        <w:rPr>
          <w:lang w:val="en-US"/>
        </w:rPr>
        <w:t>para. 7).</w:t>
      </w:r>
    </w:p>
    <w:p w14:paraId="13D6125D" w14:textId="77777777" w:rsidR="00E0703B" w:rsidRPr="00785D06" w:rsidRDefault="00E0703B" w:rsidP="00C254BF">
      <w:pPr>
        <w:pStyle w:val="Textonotapie"/>
        <w:jc w:val="both"/>
        <w:rPr>
          <w:lang w:val="en-US"/>
        </w:rPr>
      </w:pPr>
      <w:r w:rsidRPr="00785D06">
        <w:rPr>
          <w:lang w:val="en-US"/>
        </w:rPr>
        <w:t xml:space="preserve"> </w:t>
      </w:r>
    </w:p>
  </w:footnote>
  <w:footnote w:id="3">
    <w:p w14:paraId="168B2BC4" w14:textId="77777777" w:rsidR="00E0703B" w:rsidRPr="00785D06" w:rsidRDefault="00E0703B" w:rsidP="00C254BF">
      <w:pPr>
        <w:pStyle w:val="Textonotapie"/>
        <w:jc w:val="both"/>
        <w:rPr>
          <w:b/>
          <w:color w:val="000000" w:themeColor="text1"/>
          <w:lang w:val="en-US"/>
        </w:rPr>
      </w:pPr>
      <w:r w:rsidRPr="00785D06">
        <w:rPr>
          <w:rStyle w:val="Refdenotaalpie"/>
          <w:lang w:val="en-US"/>
        </w:rPr>
        <w:footnoteRef/>
      </w:r>
      <w:r w:rsidRPr="00785D06">
        <w:rPr>
          <w:rStyle w:val="Refdenotaalpie"/>
          <w:lang w:val="en-US"/>
        </w:rPr>
        <w:t xml:space="preserve"> </w:t>
      </w:r>
      <w:r w:rsidRPr="00785D06">
        <w:rPr>
          <w:color w:val="000000" w:themeColor="text1"/>
          <w:lang w:val="en-US"/>
        </w:rPr>
        <w:tab/>
      </w:r>
      <w:r w:rsidRPr="00785D06">
        <w:rPr>
          <w:lang w:val="en-US"/>
        </w:rPr>
        <w:t>The Commission concluded that the State is responsible for the violation of the rights established in Articles 4(1), 5(1), 11, 19, 24 and 26 of the American Convention, in relation to the obligations to respect and guarantee rights established in Article 1(1) thereof; and of the right recognized in Article 13 of the Protocol of San Salvador and the obligations set forth in Articles 7.a and 7.b of the Belém do Pará Convention, to the detriment of Paola del Rosario Guzmán Albarracín. It also concluded that Ecuador is responsible for the violation of the rights established in Articles 5(1), 24, 8(1) and 25(1) of the American Convention, in relation to Article 1(1) thereof, and of the obligation established in Article 7.b of the Belém do Pará Convention, to the detriment of Paola del Rosario Guzmán Albarracín’s relatives.</w:t>
      </w:r>
    </w:p>
    <w:p w14:paraId="741AB798" w14:textId="77777777" w:rsidR="00E0703B" w:rsidRPr="00785D06" w:rsidRDefault="00E0703B" w:rsidP="00C254BF">
      <w:pPr>
        <w:pStyle w:val="Textonotapie"/>
        <w:jc w:val="both"/>
        <w:rPr>
          <w:color w:val="000000" w:themeColor="text1"/>
          <w:lang w:val="en-US"/>
        </w:rPr>
      </w:pPr>
    </w:p>
  </w:footnote>
  <w:footnote w:id="4">
    <w:p w14:paraId="400247AB" w14:textId="77777777" w:rsidR="00E0703B" w:rsidRPr="00785D06" w:rsidRDefault="00E0703B" w:rsidP="00C254BF">
      <w:pPr>
        <w:jc w:val="both"/>
        <w:rPr>
          <w:lang w:val="en-US"/>
        </w:rPr>
      </w:pPr>
      <w:r w:rsidRPr="00785D06">
        <w:rPr>
          <w:rStyle w:val="Refdenotaalpie"/>
          <w:lang w:val="en-US"/>
        </w:rPr>
        <w:footnoteRef/>
      </w:r>
      <w:r w:rsidRPr="00785D06">
        <w:rPr>
          <w:lang w:val="en-US"/>
        </w:rPr>
        <w:t xml:space="preserve"> </w:t>
      </w:r>
      <w:r w:rsidRPr="00785D06">
        <w:rPr>
          <w:lang w:val="en-US"/>
        </w:rPr>
        <w:tab/>
        <w:t>Previously, on February 28, 2019, the Commission forwarded the documentary annexes to its Merits Report and a copy of the case file processed before the Commission. On March 4, 2019, it forwarded the Spanish version of the curriculum vitae of Mrs. Patricia Viseur Sellers, whom it proposed as an expert witness.</w:t>
      </w:r>
    </w:p>
    <w:p w14:paraId="328431EE" w14:textId="77777777" w:rsidR="00E0703B" w:rsidRPr="00785D06" w:rsidRDefault="00E0703B" w:rsidP="00C254BF">
      <w:pPr>
        <w:jc w:val="both"/>
        <w:rPr>
          <w:lang w:val="en-US"/>
        </w:rPr>
      </w:pPr>
    </w:p>
  </w:footnote>
  <w:footnote w:id="5">
    <w:p w14:paraId="147C43E4" w14:textId="77777777" w:rsidR="00E0703B" w:rsidRPr="00785D06" w:rsidRDefault="00E0703B" w:rsidP="00C254BF">
      <w:pPr>
        <w:pStyle w:val="Textonotapie"/>
        <w:jc w:val="both"/>
        <w:rPr>
          <w:color w:val="000000" w:themeColor="text1"/>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 xml:space="preserve">Cf. Case of </w:t>
      </w:r>
      <w:r w:rsidRPr="00785D06">
        <w:rPr>
          <w:rStyle w:val="Textoennegrita"/>
          <w:b w:val="0"/>
          <w:i/>
          <w:color w:val="000000"/>
          <w:shd w:val="clear" w:color="auto" w:fill="FFFFFF"/>
          <w:lang w:val="en-US"/>
        </w:rPr>
        <w:t>Guzmán Albarracín et al. v. Ecuador. Summons to a Hearing.</w:t>
      </w:r>
      <w:r w:rsidRPr="00785D06">
        <w:rPr>
          <w:rStyle w:val="Textoennegrita"/>
          <w:b w:val="0"/>
          <w:color w:val="000000"/>
          <w:shd w:val="clear" w:color="auto" w:fill="FFFFFF"/>
          <w:lang w:val="en-US"/>
        </w:rPr>
        <w:t xml:space="preserve"> Order of the </w:t>
      </w:r>
      <w:r w:rsidRPr="00785D06">
        <w:rPr>
          <w:rStyle w:val="Textoennegrita"/>
          <w:b w:val="0"/>
          <w:shd w:val="clear" w:color="auto" w:fill="FFFFFF"/>
          <w:lang w:val="en-US"/>
        </w:rPr>
        <w:t>President of the Inter-American Court of Human Rights, December 10, 2019. Available at:</w:t>
      </w:r>
      <w:r w:rsidRPr="00785D06">
        <w:rPr>
          <w:rStyle w:val="Textoennegrita"/>
          <w:shd w:val="clear" w:color="auto" w:fill="FFFFFF"/>
          <w:lang w:val="en-US"/>
        </w:rPr>
        <w:t xml:space="preserve"> </w:t>
      </w:r>
      <w:r w:rsidRPr="00785D06">
        <w:rPr>
          <w:lang w:val="en-US"/>
        </w:rPr>
        <w:t>http://www.corteidh.or.cr/docs/asuntos/guzman_albarracin_10_12_19.pdf</w:t>
      </w:r>
      <w:r w:rsidRPr="00785D06">
        <w:rPr>
          <w:rStyle w:val="Hipervnculo"/>
          <w:shd w:val="clear" w:color="auto" w:fill="FFFFFF"/>
          <w:lang w:val="en-US"/>
        </w:rPr>
        <w:t>.</w:t>
      </w:r>
    </w:p>
  </w:footnote>
  <w:footnote w:id="6">
    <w:p w14:paraId="7E453FCA" w14:textId="77777777" w:rsidR="00E0703B" w:rsidRPr="00785D06" w:rsidRDefault="00E0703B" w:rsidP="00C254BF">
      <w:pPr>
        <w:pStyle w:val="Textonotapie"/>
        <w:jc w:val="both"/>
        <w:rPr>
          <w:lang w:val="en-US"/>
        </w:rPr>
      </w:pPr>
    </w:p>
    <w:p w14:paraId="41AD30E7"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 xml:space="preserve">Cf. Case of </w:t>
      </w:r>
      <w:r w:rsidRPr="00785D06">
        <w:rPr>
          <w:rStyle w:val="Textoennegrita"/>
          <w:b w:val="0"/>
          <w:i/>
          <w:color w:val="000000"/>
          <w:shd w:val="clear" w:color="auto" w:fill="FFFFFF"/>
          <w:lang w:val="en-US"/>
        </w:rPr>
        <w:t>Guzmán Albarracín et al. v. Ecuador.</w:t>
      </w:r>
      <w:r w:rsidRPr="00785D06">
        <w:rPr>
          <w:rStyle w:val="Textoennegrita"/>
          <w:i/>
          <w:color w:val="000000"/>
          <w:shd w:val="clear" w:color="auto" w:fill="FFFFFF"/>
          <w:lang w:val="en-US"/>
        </w:rPr>
        <w:t xml:space="preserve"> </w:t>
      </w:r>
      <w:r w:rsidRPr="00785D06">
        <w:rPr>
          <w:lang w:val="en-US"/>
        </w:rPr>
        <w:t>Order of the Inter-American Court of Human Rights of January 27, 2020. Available at: http://www.corteidh.or.cr/docs/asuntos/guzman_27_01_20.pdf.</w:t>
      </w:r>
    </w:p>
  </w:footnote>
  <w:footnote w:id="7">
    <w:p w14:paraId="2C39E5F6" w14:textId="77777777" w:rsidR="00E0703B" w:rsidRPr="00785D06" w:rsidRDefault="00E0703B" w:rsidP="00C254BF">
      <w:pPr>
        <w:pStyle w:val="Textonotapie"/>
        <w:jc w:val="both"/>
        <w:rPr>
          <w:lang w:val="en-US"/>
        </w:rPr>
      </w:pPr>
    </w:p>
    <w:p w14:paraId="4437D241"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The brief was signed by Lucianne Anabell Gordillo Placencia, Arianna Fernanda Ríos Jiménez, Claudia de los Ángeles Benítez Paccha, Abigail Tello López, Pedro José Gutiérrez Unda, Ana Dolores Verdú Delgado, Gabriela Estefanía Cabrera Febres, María Verónica Valarezo Carrión, Carla Patricia Luzuriaga Salinas and María Isabel Espinosa Ortega. The document contains a legal analysis of the case, primarily based on the characterization of Paola Guzmán Albarracín as a “person in a situation of vulnerability.”</w:t>
      </w:r>
    </w:p>
  </w:footnote>
  <w:footnote w:id="8">
    <w:p w14:paraId="2C89D0D2" w14:textId="77777777" w:rsidR="00E0703B" w:rsidRPr="00785D06" w:rsidRDefault="00E0703B" w:rsidP="00C254BF">
      <w:pPr>
        <w:pStyle w:val="Textonotapie"/>
        <w:jc w:val="both"/>
        <w:rPr>
          <w:lang w:val="en-US"/>
        </w:rPr>
      </w:pPr>
    </w:p>
    <w:p w14:paraId="3E1CCD86"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The brief was signed by Beatriz Galli and Susana Chávez Alvarado. It refers to the State’s obligations in relation to sexual violence, harassment and abuse and due diligence in cases of gender-based violence and the obligation to ensure access to comprehensive sexual education.</w:t>
      </w:r>
    </w:p>
  </w:footnote>
  <w:footnote w:id="9">
    <w:p w14:paraId="72056139" w14:textId="77777777" w:rsidR="00E0703B" w:rsidRPr="00785D06" w:rsidRDefault="00E0703B" w:rsidP="00C254BF">
      <w:pPr>
        <w:pStyle w:val="Textonotapie"/>
        <w:jc w:val="both"/>
        <w:rPr>
          <w:lang w:val="en-US"/>
        </w:rPr>
      </w:pPr>
    </w:p>
    <w:p w14:paraId="536FB5DA"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The brief was signed by Virginia Gómez de la Torre Bermúdez and describes the context of sexual violence against girls in Ecuador.</w:t>
      </w:r>
    </w:p>
  </w:footnote>
  <w:footnote w:id="10">
    <w:p w14:paraId="7FA046A1" w14:textId="77777777" w:rsidR="00E0703B" w:rsidRPr="00785D06" w:rsidRDefault="00E0703B" w:rsidP="00C254BF">
      <w:pPr>
        <w:pStyle w:val="Textonotapie"/>
        <w:jc w:val="both"/>
        <w:rPr>
          <w:lang w:val="en-US"/>
        </w:rPr>
      </w:pPr>
    </w:p>
    <w:p w14:paraId="42C297E8"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The brief was signed by Luz Patricia Mejía Guerrero. It analyzes the State’s obligations under the Belém do Pará Convention, based on the facts described in the Merits Report.</w:t>
      </w:r>
    </w:p>
  </w:footnote>
  <w:footnote w:id="11">
    <w:p w14:paraId="3E4A7E37" w14:textId="77777777" w:rsidR="00E0703B" w:rsidRPr="00785D06" w:rsidRDefault="00E0703B" w:rsidP="00C254BF">
      <w:pPr>
        <w:pStyle w:val="Textonotapie"/>
        <w:jc w:val="both"/>
        <w:rPr>
          <w:lang w:val="en-US"/>
        </w:rPr>
      </w:pPr>
    </w:p>
    <w:p w14:paraId="4AD8E324"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The brief was signed by Mauricio Albarracín Caballero, Nina Chaparro González, María Ximena Dávila Contreras and Alejandro Jiménez Ospina. It refers to good practices for tackling sexual harassment in schools.</w:t>
      </w:r>
    </w:p>
  </w:footnote>
  <w:footnote w:id="12">
    <w:p w14:paraId="7D8EA9C6" w14:textId="77777777" w:rsidR="00E0703B" w:rsidRPr="00785D06" w:rsidRDefault="00E0703B" w:rsidP="00C254BF">
      <w:pPr>
        <w:pStyle w:val="Textonotapie"/>
        <w:jc w:val="both"/>
        <w:rPr>
          <w:lang w:val="en-US"/>
        </w:rPr>
      </w:pPr>
    </w:p>
    <w:p w14:paraId="65141EFE"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The brief was signed by Marie-Laure Lemineur. It analyzes the State’s obligation to define sexual offenses against children and the legislation on sexual abuse and offenses against children.</w:t>
      </w:r>
    </w:p>
  </w:footnote>
  <w:footnote w:id="13">
    <w:p w14:paraId="4FF5DF19" w14:textId="77777777" w:rsidR="00E0703B" w:rsidRPr="00785D06" w:rsidRDefault="00E0703B" w:rsidP="00C254BF">
      <w:pPr>
        <w:pStyle w:val="Textonotapie"/>
        <w:jc w:val="both"/>
        <w:rPr>
          <w:lang w:val="en-US"/>
        </w:rPr>
      </w:pPr>
    </w:p>
    <w:p w14:paraId="267CA058"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The brief was signed by Aisling Reidy. It describes the consequences of sexual violence in schools and access to comprehensive sex education.</w:t>
      </w:r>
    </w:p>
  </w:footnote>
  <w:footnote w:id="14">
    <w:p w14:paraId="162016C7" w14:textId="77777777" w:rsidR="00E0703B" w:rsidRPr="00785D06" w:rsidRDefault="00E0703B" w:rsidP="00C254BF">
      <w:pPr>
        <w:pStyle w:val="Textonotapie"/>
        <w:jc w:val="both"/>
        <w:rPr>
          <w:lang w:val="en-US"/>
        </w:rPr>
      </w:pPr>
    </w:p>
    <w:p w14:paraId="68169CB8"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The brief was signed by Oscar A. Cabrera and Rebecca Reingold. It describes the content of the right to health and, specifically, of the right to health in cases of sexual abuse against girls and adolescents in educational establishments.</w:t>
      </w:r>
    </w:p>
  </w:footnote>
  <w:footnote w:id="15">
    <w:p w14:paraId="4687232C" w14:textId="77777777" w:rsidR="00E0703B" w:rsidRPr="00785D06" w:rsidRDefault="00E0703B" w:rsidP="00C254BF">
      <w:pPr>
        <w:pStyle w:val="Textonotapie"/>
        <w:jc w:val="both"/>
        <w:rPr>
          <w:lang w:val="en-US"/>
        </w:rPr>
      </w:pPr>
    </w:p>
    <w:p w14:paraId="495D3124"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 xml:space="preserve">The brief was signed by Ana Cristina Vera Sánchez and Mayra Tirira Rubio. The document discusses the context of sexual violence in Ecuador’s schools and barriers of access to justice for victims of sexual violence in schools. </w:t>
      </w:r>
    </w:p>
    <w:p w14:paraId="173309F9" w14:textId="77777777" w:rsidR="00E0703B" w:rsidRPr="00785D06" w:rsidRDefault="00E0703B" w:rsidP="00C254BF">
      <w:pPr>
        <w:pStyle w:val="Textonotapie"/>
        <w:jc w:val="both"/>
        <w:rPr>
          <w:lang w:val="en-US"/>
        </w:rPr>
      </w:pPr>
    </w:p>
  </w:footnote>
  <w:footnote w:id="16">
    <w:p w14:paraId="1C124B68"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It is important to clarify that on March 17, 2020, through Agreement 1/20, the Court decided to suspend the calculation of all time limits currently in progress until April 21, 2020, owing to the emergency caused by the COVID-19 pandemic. On April 16, 2020, through Agreement 2/20, the Court decided to extend the suspension of time limits until May 20, 2020.</w:t>
      </w:r>
    </w:p>
    <w:p w14:paraId="04E3A63B" w14:textId="77777777" w:rsidR="00E0703B" w:rsidRPr="00785D06" w:rsidRDefault="00E0703B" w:rsidP="00C254BF">
      <w:pPr>
        <w:pStyle w:val="Textonotapie"/>
        <w:jc w:val="both"/>
        <w:rPr>
          <w:lang w:val="en-US"/>
        </w:rPr>
      </w:pPr>
    </w:p>
  </w:footnote>
  <w:footnote w:id="17">
    <w:p w14:paraId="2C6CE9EB" w14:textId="77777777" w:rsidR="00E0703B" w:rsidRPr="00785D06" w:rsidRDefault="00E0703B" w:rsidP="00C254BF">
      <w:pPr>
        <w:pStyle w:val="Textonotapie"/>
        <w:tabs>
          <w:tab w:val="left" w:pos="567"/>
          <w:tab w:val="left" w:pos="709"/>
        </w:tabs>
        <w:jc w:val="both"/>
        <w:rPr>
          <w:color w:val="000000" w:themeColor="text1"/>
          <w:lang w:val="en-US"/>
        </w:rPr>
      </w:pPr>
      <w:r w:rsidRPr="00785D06">
        <w:rPr>
          <w:rStyle w:val="Refdenotaalpie"/>
          <w:lang w:val="en-US"/>
        </w:rPr>
        <w:footnoteRef/>
      </w:r>
      <w:r w:rsidRPr="00785D06">
        <w:rPr>
          <w:lang w:val="en-US"/>
        </w:rPr>
        <w:t xml:space="preserve"> </w:t>
      </w:r>
      <w:r w:rsidRPr="00785D06">
        <w:rPr>
          <w:lang w:val="en-US"/>
        </w:rPr>
        <w:tab/>
        <w:t xml:space="preserve">Given the </w:t>
      </w:r>
      <w:r w:rsidRPr="00785D06">
        <w:rPr>
          <w:color w:val="000000" w:themeColor="text1"/>
          <w:lang w:val="en-US"/>
        </w:rPr>
        <w:t xml:space="preserve">exceptional circumstances caused by the COVID -19 pandemic, this </w:t>
      </w:r>
      <w:r w:rsidRPr="00785D06">
        <w:rPr>
          <w:lang w:val="en-US"/>
        </w:rPr>
        <w:t>judgment was deliberated and approved during the 135</w:t>
      </w:r>
      <w:r w:rsidRPr="00785D06">
        <w:rPr>
          <w:vertAlign w:val="superscript"/>
          <w:lang w:val="en-US"/>
        </w:rPr>
        <w:t>th</w:t>
      </w:r>
      <w:r w:rsidRPr="00785D06">
        <w:rPr>
          <w:lang w:val="en-US"/>
        </w:rPr>
        <w:t xml:space="preserve"> Regular Session of the Court, which took place virtually, pursuant to </w:t>
      </w:r>
      <w:r w:rsidRPr="00785D06">
        <w:rPr>
          <w:color w:val="000000" w:themeColor="text1"/>
          <w:lang w:val="en-US"/>
        </w:rPr>
        <w:t>its Rules of Procedure.</w:t>
      </w:r>
    </w:p>
    <w:p w14:paraId="6956B6F5" w14:textId="77777777" w:rsidR="00E0703B" w:rsidRPr="00785D06" w:rsidRDefault="00E0703B" w:rsidP="00C254BF">
      <w:pPr>
        <w:pStyle w:val="Textonotapie"/>
        <w:tabs>
          <w:tab w:val="left" w:pos="567"/>
          <w:tab w:val="left" w:pos="709"/>
        </w:tabs>
        <w:jc w:val="both"/>
        <w:rPr>
          <w:lang w:val="en-US"/>
        </w:rPr>
      </w:pPr>
    </w:p>
  </w:footnote>
  <w:footnote w:id="18">
    <w:p w14:paraId="3EB5C5FF" w14:textId="77777777" w:rsidR="00E0703B" w:rsidRPr="00785D06" w:rsidRDefault="00E0703B" w:rsidP="00C254BF">
      <w:pPr>
        <w:pStyle w:val="Footnotes"/>
        <w:spacing w:before="0" w:after="0"/>
        <w:rPr>
          <w:rStyle w:val="Textoennegrita"/>
          <w:b w:val="0"/>
          <w:color w:val="000000"/>
          <w:lang w:val="en-US"/>
        </w:rPr>
      </w:pPr>
      <w:r w:rsidRPr="00785D06">
        <w:rPr>
          <w:rStyle w:val="Refdenotaalpie"/>
          <w:rFonts w:eastAsiaTheme="majorEastAsia"/>
          <w:lang w:val="en-US"/>
        </w:rPr>
        <w:footnoteRef/>
      </w:r>
      <w:r w:rsidRPr="00785D06">
        <w:rPr>
          <w:vertAlign w:val="superscript"/>
          <w:lang w:val="en-US"/>
        </w:rPr>
        <w:t xml:space="preserve"> </w:t>
      </w:r>
      <w:r w:rsidRPr="00785D06">
        <w:rPr>
          <w:lang w:val="en-US"/>
        </w:rPr>
        <w:tab/>
      </w:r>
      <w:r w:rsidRPr="00785D06">
        <w:rPr>
          <w:rFonts w:ascii="Calibri" w:eastAsia="Calibri" w:hAnsi="Calibri" w:cs="Arial"/>
          <w:spacing w:val="0"/>
          <w:sz w:val="22"/>
          <w:szCs w:val="22"/>
          <w:lang w:val="en-US" w:bidi="ar-SA"/>
        </w:rPr>
        <w:t xml:space="preserve"> </w:t>
      </w:r>
      <w:r w:rsidRPr="00785D06">
        <w:rPr>
          <w:rFonts w:eastAsia="Calibri" w:cs="Arial"/>
          <w:i/>
          <w:spacing w:val="0"/>
          <w:lang w:val="en-US" w:bidi="ar-SA"/>
        </w:rPr>
        <w:t>Cf. Case of Kimel v. Argentina. Merits, reparations and costs.</w:t>
      </w:r>
      <w:r w:rsidRPr="00785D06">
        <w:rPr>
          <w:rFonts w:eastAsia="Calibri" w:cs="Arial"/>
          <w:spacing w:val="0"/>
          <w:lang w:val="en-US" w:bidi="ar-SA"/>
        </w:rPr>
        <w:t xml:space="preserve"> Judgment of May 2, 2008. Series C No. 177, para. 24</w:t>
      </w:r>
      <w:r w:rsidRPr="00785D06">
        <w:rPr>
          <w:lang w:val="en-US"/>
        </w:rPr>
        <w:t xml:space="preserve">, and </w:t>
      </w:r>
      <w:r w:rsidRPr="00785D06">
        <w:rPr>
          <w:i/>
          <w:lang w:val="en-US"/>
        </w:rPr>
        <w:t>Case of Noguera et al. v. Paraguay. Merits, reparations and costs.</w:t>
      </w:r>
      <w:r w:rsidRPr="00785D06">
        <w:rPr>
          <w:lang w:val="en-US"/>
        </w:rPr>
        <w:t xml:space="preserve"> Judgment of March 9, 2020. Series C No. 401</w:t>
      </w:r>
      <w:r w:rsidRPr="00785D06">
        <w:rPr>
          <w:rStyle w:val="Textoennegrita"/>
          <w:b w:val="0"/>
          <w:bCs w:val="0"/>
          <w:lang w:val="en-US"/>
        </w:rPr>
        <w:t>, para. 21</w:t>
      </w:r>
      <w:r w:rsidRPr="00785D06">
        <w:rPr>
          <w:rStyle w:val="Textoennegrita"/>
          <w:b w:val="0"/>
          <w:color w:val="000000"/>
          <w:lang w:val="en-US"/>
        </w:rPr>
        <w:t>.</w:t>
      </w:r>
    </w:p>
    <w:p w14:paraId="5E799E2D" w14:textId="77777777" w:rsidR="00E0703B" w:rsidRPr="00785D06" w:rsidRDefault="00E0703B" w:rsidP="00C254BF">
      <w:pPr>
        <w:pStyle w:val="Footnotes"/>
        <w:spacing w:before="0" w:after="0"/>
        <w:rPr>
          <w:rFonts w:cs="Times New Roman"/>
          <w:b/>
          <w:lang w:val="en-US"/>
        </w:rPr>
      </w:pPr>
    </w:p>
  </w:footnote>
  <w:footnote w:id="19">
    <w:p w14:paraId="7AB61CAE" w14:textId="77777777" w:rsidR="00E0703B" w:rsidRPr="00785D06" w:rsidRDefault="00E0703B" w:rsidP="00C254BF">
      <w:pPr>
        <w:pStyle w:val="Textonotapie"/>
        <w:jc w:val="both"/>
        <w:rPr>
          <w:rFonts w:eastAsia="Calibri"/>
          <w:lang w:val="en-US"/>
        </w:rPr>
      </w:pPr>
      <w:r w:rsidRPr="00785D06">
        <w:rPr>
          <w:rStyle w:val="Refdenotaalpie"/>
          <w:lang w:val="en-US"/>
        </w:rPr>
        <w:footnoteRef/>
      </w:r>
      <w:r w:rsidRPr="00785D06">
        <w:rPr>
          <w:lang w:val="en-US"/>
        </w:rPr>
        <w:t xml:space="preserve"> </w:t>
      </w:r>
      <w:r w:rsidRPr="00785D06">
        <w:rPr>
          <w:lang w:val="en-US"/>
        </w:rPr>
        <w:tab/>
      </w:r>
      <w:r w:rsidRPr="00785D06">
        <w:rPr>
          <w:rFonts w:eastAsia="Calibri"/>
          <w:i/>
          <w:lang w:val="en-US"/>
        </w:rPr>
        <w:t>Cf. Case of Velásquez Rodríguez v. Honduras</w:t>
      </w:r>
      <w:r w:rsidRPr="00785D06">
        <w:rPr>
          <w:rFonts w:eastAsia="Calibri"/>
          <w:lang w:val="en-US"/>
        </w:rPr>
        <w:t xml:space="preserve">. </w:t>
      </w:r>
      <w:r w:rsidRPr="00785D06">
        <w:rPr>
          <w:rFonts w:eastAsia="Calibri"/>
          <w:i/>
          <w:lang w:val="en-US"/>
        </w:rPr>
        <w:t>Merits</w:t>
      </w:r>
      <w:r w:rsidRPr="00785D06">
        <w:rPr>
          <w:rFonts w:eastAsia="Calibri"/>
          <w:lang w:val="en-US"/>
        </w:rPr>
        <w:t xml:space="preserve">. Judgment of July 29, 1988. Series C No. 4, para. 140, and </w:t>
      </w:r>
      <w:r w:rsidRPr="00785D06">
        <w:rPr>
          <w:rFonts w:eastAsia="Calibri"/>
          <w:i/>
          <w:lang w:val="en-US"/>
        </w:rPr>
        <w:t>Case of Azul Rojas Marín et al. v. Peru. Preliminary objections, merits, reparations and costs</w:t>
      </w:r>
      <w:r w:rsidRPr="00785D06">
        <w:rPr>
          <w:rFonts w:eastAsia="Calibri"/>
          <w:lang w:val="en-US"/>
        </w:rPr>
        <w:t>. Judgment of March 12, 2020. Series C No. 402, para. 34.</w:t>
      </w:r>
    </w:p>
    <w:p w14:paraId="37773479" w14:textId="77777777" w:rsidR="00E0703B" w:rsidRPr="00785D06" w:rsidRDefault="00E0703B" w:rsidP="00C254BF">
      <w:pPr>
        <w:pStyle w:val="Textonotapie"/>
        <w:jc w:val="both"/>
        <w:rPr>
          <w:lang w:val="en-US"/>
        </w:rPr>
      </w:pPr>
    </w:p>
  </w:footnote>
  <w:footnote w:id="20">
    <w:p w14:paraId="7324EA22" w14:textId="77777777" w:rsidR="00E0703B" w:rsidRPr="00785D06" w:rsidRDefault="00E0703B" w:rsidP="00C254BF">
      <w:pPr>
        <w:pStyle w:val="Textonotapie"/>
        <w:rPr>
          <w:lang w:val="en-US"/>
        </w:rPr>
      </w:pPr>
      <w:r w:rsidRPr="00785D06">
        <w:rPr>
          <w:rStyle w:val="Refdenotaalpie"/>
          <w:lang w:val="en-US"/>
        </w:rPr>
        <w:footnoteRef/>
      </w:r>
      <w:r w:rsidRPr="00785D06">
        <w:rPr>
          <w:lang w:val="en-US"/>
        </w:rPr>
        <w:t xml:space="preserve"> </w:t>
      </w:r>
      <w:r w:rsidRPr="00785D06">
        <w:rPr>
          <w:lang w:val="en-US"/>
        </w:rPr>
        <w:tab/>
        <w:t>These are: 1.-Text of the Criminal Code of 1971; 2. - Official Registry of Ecuador No 45, of June 23, 2005, and 3.-</w:t>
      </w:r>
      <w:r w:rsidRPr="00785D06">
        <w:rPr>
          <w:bCs/>
          <w:lang w:val="en-US"/>
        </w:rPr>
        <w:t>Law on “Sexual Education and Love” of 1998.</w:t>
      </w:r>
      <w:r w:rsidRPr="00785D06">
        <w:rPr>
          <w:lang w:val="en-US"/>
        </w:rPr>
        <w:t xml:space="preserve"> Available at, respectively: http://www.oas.org/juridico/PDFs/mesicic4_ecu_penal.pdf; https://www.derechoecuador.com/registro-oficial/2005/06/registro-oficial-23-de-junio-del-2005#anchor535379, and </w:t>
      </w:r>
      <w:hyperlink r:id="rId1" w:history="1">
        <w:r w:rsidRPr="00785D06">
          <w:rPr>
            <w:rStyle w:val="Hipervnculo"/>
            <w:color w:val="auto"/>
            <w:u w:val="none"/>
            <w:lang w:val="en-US"/>
          </w:rPr>
          <w:t>http://www.efemerides.ec/1/junio/sexual.htm</w:t>
        </w:r>
      </w:hyperlink>
      <w:r w:rsidRPr="00785D06">
        <w:rPr>
          <w:lang w:val="en-US"/>
        </w:rPr>
        <w:t>.</w:t>
      </w:r>
    </w:p>
    <w:p w14:paraId="6A3714EF" w14:textId="77777777" w:rsidR="00E0703B" w:rsidRPr="00785D06" w:rsidRDefault="00E0703B" w:rsidP="00C254BF">
      <w:pPr>
        <w:pStyle w:val="Textonotapie"/>
        <w:jc w:val="both"/>
        <w:rPr>
          <w:lang w:val="en-US"/>
        </w:rPr>
      </w:pPr>
    </w:p>
  </w:footnote>
  <w:footnote w:id="21">
    <w:p w14:paraId="5E2AF4F5"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The State explained that on October 7, 2015, it received a communication from the Commission referring to a hearing (which took place on October 19) supposedly convened in a communication dated September 18, 2015. It argued that it did not receive that communication and requested that the hearing be rescheduled; however, the Commission refused, saying it had “backups” to prove that the summons to the hearing had been sent on September 18, 2015. The State also alleged that the Commission did not provide proof to confirm this.</w:t>
      </w:r>
    </w:p>
    <w:p w14:paraId="31043691" w14:textId="77777777" w:rsidR="00E0703B" w:rsidRPr="00785D06" w:rsidRDefault="00E0703B" w:rsidP="00C254BF">
      <w:pPr>
        <w:pStyle w:val="Textonotapie"/>
        <w:jc w:val="both"/>
        <w:rPr>
          <w:lang w:val="en-US"/>
        </w:rPr>
      </w:pPr>
    </w:p>
  </w:footnote>
  <w:footnote w:id="22">
    <w:p w14:paraId="09AE312B" w14:textId="77777777" w:rsidR="00E0703B" w:rsidRPr="00785D06" w:rsidRDefault="00E0703B" w:rsidP="00C254BF">
      <w:pPr>
        <w:jc w:val="both"/>
        <w:rPr>
          <w:lang w:val="en-US"/>
        </w:rPr>
      </w:pPr>
      <w:r w:rsidRPr="00785D06">
        <w:rPr>
          <w:rStyle w:val="Refdenotaalpie"/>
          <w:lang w:val="en-US"/>
        </w:rPr>
        <w:footnoteRef/>
      </w:r>
      <w:r w:rsidRPr="00785D06">
        <w:rPr>
          <w:lang w:val="en-US"/>
        </w:rPr>
        <w:t xml:space="preserve"> </w:t>
      </w:r>
      <w:r w:rsidRPr="00785D06">
        <w:rPr>
          <w:lang w:val="en-US"/>
        </w:rPr>
        <w:tab/>
        <w:t xml:space="preserve">During the hearing the State was asked to provide information on: how the </w:t>
      </w:r>
      <w:r w:rsidRPr="00785D06">
        <w:rPr>
          <w:rFonts w:eastAsia="Calibri"/>
          <w:lang w:val="en-US"/>
        </w:rPr>
        <w:t xml:space="preserve">domestic laws on prevention of sexual abuse in schools have changed from the time of the facts of this case to the present day; whether the State has statistics on cases of sexual abuse against children and adolescents; and any changes that have taken place in the educational system. The six </w:t>
      </w:r>
      <w:r w:rsidRPr="00785D06">
        <w:rPr>
          <w:lang w:val="en-US"/>
        </w:rPr>
        <w:t>documents provided contain statistical data or information related to actions to address sexual violence in schools.</w:t>
      </w:r>
    </w:p>
    <w:p w14:paraId="7AA105F3" w14:textId="77777777" w:rsidR="00E0703B" w:rsidRPr="00785D06" w:rsidRDefault="00E0703B" w:rsidP="00C254BF">
      <w:pPr>
        <w:jc w:val="both"/>
        <w:rPr>
          <w:lang w:val="en-US"/>
        </w:rPr>
      </w:pPr>
    </w:p>
  </w:footnote>
  <w:footnote w:id="23">
    <w:p w14:paraId="0E6E387C" w14:textId="77777777" w:rsidR="00E0703B" w:rsidRPr="00785D06" w:rsidRDefault="00E0703B" w:rsidP="00C254BF">
      <w:pPr>
        <w:pStyle w:val="Textonotapie"/>
        <w:jc w:val="both"/>
        <w:rPr>
          <w:rStyle w:val="Textoennegrita"/>
          <w:b w:val="0"/>
          <w:color w:val="000000"/>
          <w:shd w:val="clear" w:color="auto" w:fill="FFFFFF"/>
          <w:lang w:val="en-US"/>
        </w:rPr>
      </w:pPr>
      <w:r w:rsidRPr="00785D06">
        <w:rPr>
          <w:rStyle w:val="Refdenotaalpie"/>
          <w:lang w:val="en-US"/>
        </w:rPr>
        <w:footnoteRef/>
      </w:r>
      <w:r w:rsidRPr="00785D06">
        <w:rPr>
          <w:lang w:val="en-US"/>
        </w:rPr>
        <w:t xml:space="preserve"> </w:t>
      </w:r>
      <w:r w:rsidRPr="00785D06">
        <w:rPr>
          <w:lang w:val="en-US"/>
        </w:rPr>
        <w:tab/>
        <w:t>It should be noted that, with the exception of some individuals whose names were mentioned in the Merits Report published on the web site of the Inter-American Commission prior to the issue of this judgment, this document uses initials to refer to persons who were not involved in the international processing of the case before the Inter-American Commission or the Inter-American Court</w:t>
      </w:r>
      <w:r w:rsidRPr="00785D06">
        <w:rPr>
          <w:rStyle w:val="Textoennegrita"/>
          <w:b w:val="0"/>
          <w:color w:val="000000"/>
          <w:shd w:val="clear" w:color="auto" w:fill="FFFFFF"/>
          <w:lang w:val="en-US"/>
        </w:rPr>
        <w:t xml:space="preserve">, or else refers </w:t>
      </w:r>
      <w:r w:rsidRPr="00785D06">
        <w:rPr>
          <w:lang w:val="en-US"/>
        </w:rPr>
        <w:t xml:space="preserve">to their positions. </w:t>
      </w:r>
      <w:r w:rsidRPr="00785D06">
        <w:rPr>
          <w:rStyle w:val="Textoennegrita"/>
          <w:b w:val="0"/>
          <w:color w:val="000000"/>
          <w:shd w:val="clear" w:color="auto" w:fill="FFFFFF"/>
          <w:lang w:val="en-US"/>
        </w:rPr>
        <w:t xml:space="preserve"> </w:t>
      </w:r>
    </w:p>
    <w:p w14:paraId="3579B49B" w14:textId="77777777" w:rsidR="00E0703B" w:rsidRPr="00785D06" w:rsidRDefault="00E0703B" w:rsidP="00C254BF">
      <w:pPr>
        <w:pStyle w:val="Textonotapie"/>
        <w:jc w:val="both"/>
        <w:rPr>
          <w:lang w:val="en-US"/>
        </w:rPr>
      </w:pPr>
    </w:p>
  </w:footnote>
  <w:footnote w:id="24">
    <w:p w14:paraId="191263B2" w14:textId="77777777" w:rsidR="00E0703B" w:rsidRPr="00785D06" w:rsidRDefault="00E0703B" w:rsidP="00C254BF">
      <w:pPr>
        <w:pStyle w:val="Prrafodelista"/>
        <w:tabs>
          <w:tab w:val="left" w:pos="709"/>
        </w:tabs>
        <w:ind w:left="0"/>
        <w:contextualSpacing w:val="0"/>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 Case of Barbani Duarte et al. v. Uruguay. Merits, reparations and costs</w:t>
      </w:r>
      <w:r w:rsidRPr="00785D06">
        <w:rPr>
          <w:lang w:val="en-US"/>
        </w:rPr>
        <w:t xml:space="preserve">. Judgment of October 13, 2011. Series C No. 234, para. 22, and </w:t>
      </w:r>
      <w:r w:rsidRPr="00785D06">
        <w:rPr>
          <w:i/>
          <w:lang w:val="en-US"/>
        </w:rPr>
        <w:t>Case of Montesinos Mejía v. Ecuador. Preliminary objections, merits, reparations and costs</w:t>
      </w:r>
      <w:r w:rsidRPr="00785D06">
        <w:rPr>
          <w:lang w:val="en-US"/>
        </w:rPr>
        <w:t>. Judgment of January 27, 2020. Series C No. 398, para. 43.</w:t>
      </w:r>
      <w:r w:rsidRPr="00785D06">
        <w:rPr>
          <w:i/>
          <w:lang w:val="en-US"/>
        </w:rPr>
        <w:t xml:space="preserve"> </w:t>
      </w:r>
    </w:p>
    <w:p w14:paraId="71875EC8" w14:textId="77777777" w:rsidR="00E0703B" w:rsidRPr="00785D06" w:rsidRDefault="00E0703B" w:rsidP="00C254BF">
      <w:pPr>
        <w:pStyle w:val="Textonotapie"/>
        <w:jc w:val="both"/>
        <w:rPr>
          <w:lang w:val="en-US"/>
        </w:rPr>
      </w:pPr>
    </w:p>
  </w:footnote>
  <w:footnote w:id="25">
    <w:p w14:paraId="714C048E" w14:textId="77777777" w:rsidR="00E0703B" w:rsidRPr="00785D06" w:rsidRDefault="00E0703B" w:rsidP="00C254BF">
      <w:pPr>
        <w:pStyle w:val="Prrafodelista"/>
        <w:ind w:left="0"/>
        <w:contextualSpacing w:val="0"/>
        <w:jc w:val="both"/>
        <w:rPr>
          <w:lang w:val="en-US"/>
        </w:rPr>
      </w:pPr>
      <w:r w:rsidRPr="00785D06">
        <w:rPr>
          <w:rStyle w:val="Refdenotaalpie"/>
          <w:lang w:val="en-US"/>
        </w:rPr>
        <w:footnoteRef/>
      </w:r>
      <w:r w:rsidRPr="00785D06">
        <w:rPr>
          <w:lang w:val="en-US"/>
        </w:rPr>
        <w:t xml:space="preserve"> </w:t>
      </w:r>
      <w:r w:rsidRPr="00785D06">
        <w:rPr>
          <w:lang w:val="en-US"/>
        </w:rPr>
        <w:tab/>
        <w:t>The representatives explained that they were only able to locate the deponents after finding out from a press report published one day before the public hearing that the latter had been in contact with a journalist. This does not explain why it was not possible for the representatives to locate them beforehand. Indeed, they pointed out that the journalist had located the deponents through a search in the “social networks,” without explaining why the representatives themselves had been unable to do so.</w:t>
      </w:r>
    </w:p>
  </w:footnote>
  <w:footnote w:id="26">
    <w:p w14:paraId="0C57BCFE" w14:textId="77777777" w:rsidR="00E0703B" w:rsidRPr="00785D06" w:rsidRDefault="00E0703B" w:rsidP="00C254BF">
      <w:pPr>
        <w:pStyle w:val="Textonotapie"/>
        <w:jc w:val="both"/>
        <w:rPr>
          <w:lang w:val="en-US"/>
        </w:rPr>
      </w:pPr>
    </w:p>
    <w:p w14:paraId="1CFA0410"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 xml:space="preserve">This refers to the following document: </w:t>
      </w:r>
      <w:r w:rsidRPr="00785D06">
        <w:rPr>
          <w:bCs/>
          <w:lang w:val="en-US" w:eastAsia="es-CR"/>
        </w:rPr>
        <w:t xml:space="preserve">“Cordero, T. and Vargas G. M. </w:t>
      </w:r>
      <w:r w:rsidRPr="00785D06">
        <w:rPr>
          <w:bCs/>
          <w:i/>
          <w:lang w:val="es-ES" w:eastAsia="es-CR"/>
        </w:rPr>
        <w:t>A mí también: acoso y abuso sexual en colegios del Ecuador: discursos opuestos y prácticas discriminatorias</w:t>
      </w:r>
      <w:r w:rsidRPr="00785D06">
        <w:rPr>
          <w:bCs/>
          <w:i/>
          <w:lang w:val="en-US" w:eastAsia="es-CR"/>
        </w:rPr>
        <w:t xml:space="preserve">. </w:t>
      </w:r>
      <w:r w:rsidRPr="00785D06">
        <w:rPr>
          <w:bCs/>
          <w:lang w:val="en-US" w:eastAsia="es-CR"/>
        </w:rPr>
        <w:t xml:space="preserve">Quito, Ecuador. National Women’s Council, 2001.” </w:t>
      </w:r>
    </w:p>
  </w:footnote>
  <w:footnote w:id="27">
    <w:p w14:paraId="3E7A9E99" w14:textId="77777777" w:rsidR="00E0703B" w:rsidRPr="00785D06" w:rsidRDefault="00E0703B" w:rsidP="00C254BF">
      <w:pPr>
        <w:pStyle w:val="Textonotapie"/>
        <w:jc w:val="both"/>
        <w:rPr>
          <w:lang w:val="en-US"/>
        </w:rPr>
      </w:pPr>
    </w:p>
    <w:p w14:paraId="012323AF"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During the public hearing, the Court heard the statements of: Petita Paulina Albarracín Albán, an alleged victim and mother of Paola, proposed by the representatives; Ximena Cortés Castillo, an expert witness proposed by the representatives; and the expert witnesses Marlon Alexis Oviedo Ramírez and Guillermo Barragán Moya, proposed by the State, who prepared and presented a joint expert opinion.</w:t>
      </w:r>
    </w:p>
  </w:footnote>
  <w:footnote w:id="28">
    <w:p w14:paraId="3C1CAAB8" w14:textId="77777777" w:rsidR="00E0703B" w:rsidRPr="00785D06" w:rsidRDefault="00E0703B" w:rsidP="00C254BF">
      <w:pPr>
        <w:pStyle w:val="Textonotapie"/>
        <w:jc w:val="both"/>
        <w:rPr>
          <w:lang w:val="en-US"/>
        </w:rPr>
      </w:pPr>
    </w:p>
    <w:p w14:paraId="32CE2CE3" w14:textId="77777777" w:rsidR="00E0703B" w:rsidRPr="00785D06" w:rsidRDefault="00E0703B" w:rsidP="00C254BF">
      <w:pPr>
        <w:pStyle w:val="Textonotapie"/>
        <w:jc w:val="both"/>
        <w:rPr>
          <w:lang w:val="en-US" w:eastAsia="es-ES"/>
        </w:rPr>
      </w:pPr>
      <w:r w:rsidRPr="00785D06">
        <w:rPr>
          <w:rStyle w:val="Refdenotaalpie"/>
          <w:lang w:val="en-US"/>
        </w:rPr>
        <w:footnoteRef/>
      </w:r>
      <w:r w:rsidRPr="00785D06">
        <w:rPr>
          <w:lang w:val="en-US"/>
        </w:rPr>
        <w:t xml:space="preserve"> </w:t>
      </w:r>
      <w:r w:rsidRPr="00785D06">
        <w:rPr>
          <w:lang w:val="en-US"/>
        </w:rPr>
        <w:tab/>
        <w:t>The Court received the written statement, rendered by affidavit, of Denisse Selena Guzmán Albarracín, sister of Paola, proposed as a witness by the representatives. In addition, the Court received, by affidavit, the expert opinions of Vernor Muñoz Villalobos, an expert witness proposed by the representatives; Lidia Casas, an expert witness proposed by the representatives; Iván Patricio Jácome Artieda, an expert witness proposed by the State; Juan Genaro Ayala Yépez and Romel Vladimir Aguirre, proposed by the State to provide a joint expert opinion; Freddy Herrera Almagro, an expert witness proposed by the State; Alex Iván Valle Franco, an expert witness proposed by the State; the expert witnesses Juan Carlos Cobos Velasco and Johana Patricia Bustamante Torres, proposed by the State to provide a joint expert opinion; Ximena Andrea Gauché Marchetti, an expert witness proposed by the Commission, and Patricia Viseur Sellers, an expert witness also proposed by the Commission</w:t>
      </w:r>
      <w:r w:rsidRPr="00785D06">
        <w:rPr>
          <w:lang w:val="en-US" w:eastAsia="es-ES"/>
        </w:rPr>
        <w:t>.</w:t>
      </w:r>
    </w:p>
    <w:p w14:paraId="2A9CCFD1" w14:textId="77777777" w:rsidR="00E0703B" w:rsidRPr="00785D06" w:rsidRDefault="00E0703B" w:rsidP="00C254BF">
      <w:pPr>
        <w:pStyle w:val="Textonotapie"/>
        <w:jc w:val="both"/>
        <w:rPr>
          <w:lang w:val="en-US"/>
        </w:rPr>
      </w:pPr>
    </w:p>
  </w:footnote>
  <w:footnote w:id="29">
    <w:p w14:paraId="5CDD461D"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 xml:space="preserve">In the case of </w:t>
      </w:r>
      <w:r w:rsidRPr="00785D06">
        <w:rPr>
          <w:i/>
          <w:lang w:val="en-US"/>
        </w:rPr>
        <w:t xml:space="preserve">Yarce et al. v. Colombia, </w:t>
      </w:r>
      <w:r w:rsidRPr="00785D06">
        <w:rPr>
          <w:lang w:val="en-US"/>
        </w:rPr>
        <w:t>the Court found that an expert opinion had been submitted in English, and therefore granted an additional period to obtain a translation, which was received opportunely (</w:t>
      </w:r>
      <w:r w:rsidRPr="00785D06">
        <w:rPr>
          <w:i/>
          <w:lang w:val="en-US"/>
        </w:rPr>
        <w:t>Cf. Case of Yarce et al. v. Colombia. Preliminary objection, merits, reparations and costs</w:t>
      </w:r>
      <w:r w:rsidRPr="00785D06">
        <w:rPr>
          <w:lang w:val="en-US"/>
        </w:rPr>
        <w:t xml:space="preserve">. Judgment of November 22, 2016. Series C No. 325, para. 70). </w:t>
      </w:r>
    </w:p>
    <w:p w14:paraId="2FD7A16D" w14:textId="77777777" w:rsidR="00E0703B" w:rsidRPr="00785D06" w:rsidRDefault="00E0703B" w:rsidP="00C254BF">
      <w:pPr>
        <w:pStyle w:val="Textonotapie"/>
        <w:jc w:val="both"/>
        <w:rPr>
          <w:lang w:val="en-US"/>
        </w:rPr>
      </w:pPr>
    </w:p>
  </w:footnote>
  <w:footnote w:id="30">
    <w:p w14:paraId="7E5892BC"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This case is based on the factual framework described in the Merits Report of the Commission; however, it is also necessary to consider facts that explain, clarify or reject that factual framework (</w:t>
      </w:r>
      <w:r w:rsidRPr="00785D06">
        <w:rPr>
          <w:i/>
          <w:lang w:val="en-US"/>
        </w:rPr>
        <w:t xml:space="preserve">Cf. Case of </w:t>
      </w:r>
      <w:r w:rsidRPr="00785D06">
        <w:rPr>
          <w:rFonts w:cs="Verdana,Italic"/>
          <w:i/>
          <w:iCs/>
          <w:lang w:val="en-US"/>
        </w:rPr>
        <w:t xml:space="preserve">"Five Pensioners" v. Peru. Merits, reparations and costs. </w:t>
      </w:r>
      <w:r w:rsidRPr="00785D06">
        <w:rPr>
          <w:rFonts w:cs="Verdana,Italic"/>
          <w:iCs/>
          <w:lang w:val="en-US"/>
        </w:rPr>
        <w:t>Judgment of February 28, 2003. Series C No. 98</w:t>
      </w:r>
      <w:r w:rsidRPr="00785D06">
        <w:rPr>
          <w:rFonts w:cs="Verdana"/>
          <w:lang w:val="en-US"/>
        </w:rPr>
        <w:t xml:space="preserve">, paras. 153 and 155, and </w:t>
      </w:r>
      <w:r w:rsidRPr="00785D06">
        <w:rPr>
          <w:rStyle w:val="Textoennegrita"/>
          <w:b w:val="0"/>
          <w:i/>
          <w:color w:val="000000"/>
          <w:shd w:val="clear" w:color="auto" w:fill="FFFFFF"/>
          <w:lang w:val="en-US"/>
        </w:rPr>
        <w:t>Case of the National Association of Discharged and Retired Employees of the National Tax Administration Superintendence (ANCEJUB-SUNAT) v. Peru. Preliminary objections, merits, reparations and costs.</w:t>
      </w:r>
      <w:r w:rsidRPr="00785D06">
        <w:rPr>
          <w:rStyle w:val="Textoennegrita"/>
          <w:b w:val="0"/>
          <w:color w:val="000000"/>
          <w:shd w:val="clear" w:color="auto" w:fill="FFFFFF"/>
          <w:lang w:val="en-US"/>
        </w:rPr>
        <w:t xml:space="preserve"> Judgment of November 21, 2019. Series C No. 394</w:t>
      </w:r>
      <w:r w:rsidRPr="00785D06">
        <w:rPr>
          <w:lang w:val="en-US"/>
        </w:rPr>
        <w:t>, para. 48).</w:t>
      </w:r>
    </w:p>
    <w:p w14:paraId="270222B8" w14:textId="77777777" w:rsidR="00E0703B" w:rsidRPr="00785D06" w:rsidRDefault="00E0703B" w:rsidP="00C254BF">
      <w:pPr>
        <w:pStyle w:val="Textonotapie"/>
        <w:jc w:val="both"/>
        <w:rPr>
          <w:lang w:val="en-US"/>
        </w:rPr>
      </w:pPr>
    </w:p>
  </w:footnote>
  <w:footnote w:id="31">
    <w:p w14:paraId="17FAC064"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Committee on the Rights of the Child, </w:t>
      </w:r>
      <w:r w:rsidRPr="00785D06">
        <w:rPr>
          <w:i/>
          <w:lang w:val="en-US"/>
        </w:rPr>
        <w:t>Concluding observations of the Committee on the Rights of the Child: Ecuador,</w:t>
      </w:r>
      <w:r w:rsidRPr="00785D06">
        <w:rPr>
          <w:lang w:val="en-US"/>
        </w:rPr>
        <w:t xml:space="preserve"> October 26, 1998, CRC/C/15/Add.93, paras. 21 and 23. </w:t>
      </w:r>
    </w:p>
  </w:footnote>
  <w:footnote w:id="32">
    <w:p w14:paraId="09B3841D" w14:textId="77777777" w:rsidR="00E0703B" w:rsidRPr="00785D06" w:rsidRDefault="00E0703B" w:rsidP="00C254BF">
      <w:pPr>
        <w:pStyle w:val="Textonotapie"/>
        <w:jc w:val="both"/>
        <w:rPr>
          <w:lang w:val="en-US"/>
        </w:rPr>
      </w:pPr>
    </w:p>
    <w:p w14:paraId="46E00076"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Committee on the Rights of the Child, </w:t>
      </w:r>
      <w:r w:rsidRPr="00785D06">
        <w:rPr>
          <w:i/>
          <w:lang w:val="en-US"/>
        </w:rPr>
        <w:t>Concluding observations of the Committee on the Rights of the Child: Ecuador,</w:t>
      </w:r>
      <w:r w:rsidRPr="00785D06">
        <w:rPr>
          <w:lang w:val="en-US"/>
        </w:rPr>
        <w:t xml:space="preserve"> March 2, 2010, Doc. CRC/C/ECU/CO/4, paras. 60 and 65; Committee on the Rights of the Child</w:t>
      </w:r>
      <w:r w:rsidRPr="00785D06">
        <w:rPr>
          <w:i/>
          <w:lang w:val="en-US"/>
        </w:rPr>
        <w:t xml:space="preserve">, </w:t>
      </w:r>
      <w:r w:rsidRPr="00785D06">
        <w:rPr>
          <w:rStyle w:val="nfasis"/>
          <w:rFonts w:cs="Arial"/>
          <w:bCs/>
          <w:shd w:val="clear" w:color="auto" w:fill="FFFFFF"/>
          <w:lang w:val="en-US"/>
        </w:rPr>
        <w:t>Concluding observations</w:t>
      </w:r>
      <w:r w:rsidRPr="00785D06">
        <w:rPr>
          <w:rFonts w:cs="Arial"/>
          <w:i/>
          <w:shd w:val="clear" w:color="auto" w:fill="FFFFFF"/>
          <w:lang w:val="en-US"/>
        </w:rPr>
        <w:t> on the combined fifth and sixth periodic </w:t>
      </w:r>
      <w:r w:rsidRPr="00785D06">
        <w:rPr>
          <w:rStyle w:val="nfasis"/>
          <w:rFonts w:cs="Arial"/>
          <w:bCs/>
          <w:shd w:val="clear" w:color="auto" w:fill="FFFFFF"/>
          <w:lang w:val="en-US"/>
        </w:rPr>
        <w:t>reports</w:t>
      </w:r>
      <w:r w:rsidRPr="00785D06">
        <w:rPr>
          <w:rFonts w:cs="Arial"/>
          <w:i/>
          <w:shd w:val="clear" w:color="auto" w:fill="FFFFFF"/>
          <w:lang w:val="en-US"/>
        </w:rPr>
        <w:t> of </w:t>
      </w:r>
      <w:r w:rsidRPr="00785D06">
        <w:rPr>
          <w:rStyle w:val="nfasis"/>
          <w:rFonts w:cs="Arial"/>
          <w:bCs/>
          <w:shd w:val="clear" w:color="auto" w:fill="FFFFFF"/>
          <w:lang w:val="en-US"/>
        </w:rPr>
        <w:t>Ecuador</w:t>
      </w:r>
      <w:r w:rsidRPr="00785D06">
        <w:rPr>
          <w:lang w:val="en-US"/>
        </w:rPr>
        <w:t xml:space="preserve">, October 26, 2017, Doc. CRC/C/ECU/CO/5-6, paras. 24, 26, and 35; CEDAW Committee, </w:t>
      </w:r>
      <w:r w:rsidRPr="00785D06">
        <w:rPr>
          <w:i/>
          <w:lang w:val="en-US"/>
        </w:rPr>
        <w:t xml:space="preserve">Concluding observations of the </w:t>
      </w:r>
      <w:r w:rsidRPr="00785D06">
        <w:rPr>
          <w:rStyle w:val="nfasis"/>
          <w:rFonts w:cs="Arial"/>
          <w:bCs/>
          <w:shd w:val="clear" w:color="auto" w:fill="FFFFFF"/>
          <w:lang w:val="en-US"/>
        </w:rPr>
        <w:t>Committee on the Elimination</w:t>
      </w:r>
      <w:r w:rsidRPr="00785D06">
        <w:rPr>
          <w:rFonts w:cs="Arial"/>
          <w:shd w:val="clear" w:color="auto" w:fill="FFFFFF"/>
          <w:lang w:val="en-US"/>
        </w:rPr>
        <w:t> of </w:t>
      </w:r>
      <w:r w:rsidRPr="00785D06">
        <w:rPr>
          <w:rStyle w:val="nfasis"/>
          <w:rFonts w:cs="Arial"/>
          <w:bCs/>
          <w:shd w:val="clear" w:color="auto" w:fill="FFFFFF"/>
          <w:lang w:val="en-US"/>
        </w:rPr>
        <w:t>Discrimination against Women</w:t>
      </w:r>
      <w:r w:rsidRPr="00785D06">
        <w:rPr>
          <w:i/>
          <w:lang w:val="en-US"/>
        </w:rPr>
        <w:t>: Ecuador</w:t>
      </w:r>
      <w:r w:rsidRPr="00785D06">
        <w:rPr>
          <w:lang w:val="en-US"/>
        </w:rPr>
        <w:t xml:space="preserve">, November 7, 2008, Doc. CEDAW/C/ECU/CO/7, paras. 20, 32, and 33; </w:t>
      </w:r>
      <w:r w:rsidRPr="00785D06">
        <w:rPr>
          <w:i/>
          <w:lang w:val="en-US"/>
        </w:rPr>
        <w:t>Concluding observations on the combined eighth and ninth periodic reports of Ecuador</w:t>
      </w:r>
      <w:r w:rsidRPr="00785D06">
        <w:rPr>
          <w:lang w:val="en-US"/>
        </w:rPr>
        <w:t xml:space="preserve">, April 10, 2017, Doc. CEDAW/C/ECU/CO/8-9/Add.1, paras. 18, 19, 26 and 27; Human Rights Committee, </w:t>
      </w:r>
      <w:r w:rsidRPr="00785D06">
        <w:rPr>
          <w:i/>
          <w:lang w:val="en-US"/>
        </w:rPr>
        <w:t>Concluding observations of the Human Rights Committee: Ecuador</w:t>
      </w:r>
      <w:r w:rsidRPr="00785D06">
        <w:rPr>
          <w:lang w:val="en-US"/>
        </w:rPr>
        <w:t xml:space="preserve">, November 4, 2008, Doc. CCPR/C/ECU/CO/5, para. 9; Human Rights Committee, </w:t>
      </w:r>
      <w:r w:rsidRPr="00785D06">
        <w:rPr>
          <w:i/>
          <w:lang w:val="en-US"/>
        </w:rPr>
        <w:t>Concluding observations on the sixth periodic report of Ecuador</w:t>
      </w:r>
      <w:r w:rsidRPr="00785D06">
        <w:rPr>
          <w:lang w:val="en-US"/>
        </w:rPr>
        <w:t xml:space="preserve">, August 11, 2016, Doc. CCPR/C/ECU/CO/6, paras. 16 and 17; Committee Against Torture, </w:t>
      </w:r>
      <w:r w:rsidRPr="00785D06">
        <w:rPr>
          <w:i/>
          <w:lang w:val="en-US"/>
        </w:rPr>
        <w:t>Concluding observations on the seventh periodic report of Ecuador</w:t>
      </w:r>
      <w:r w:rsidRPr="00785D06">
        <w:rPr>
          <w:lang w:val="en-US"/>
        </w:rPr>
        <w:t xml:space="preserve">, December 7, 2010, Doc. CAT/C/ECU/CO/4-6, para. 18; Committee Against Torture, </w:t>
      </w:r>
      <w:r w:rsidRPr="00785D06">
        <w:rPr>
          <w:i/>
          <w:lang w:val="en-US"/>
        </w:rPr>
        <w:t>Concluding observations on the seventh periodic report of Ecuador</w:t>
      </w:r>
      <w:r w:rsidRPr="00785D06">
        <w:rPr>
          <w:lang w:val="en-US"/>
        </w:rPr>
        <w:t xml:space="preserve">, January 11, 2017, Doc. CAT/C/ECU/CO/7, paras. 47 and 48, and ESCR Committee, </w:t>
      </w:r>
      <w:r w:rsidRPr="00785D06">
        <w:rPr>
          <w:i/>
          <w:lang w:val="en-US"/>
        </w:rPr>
        <w:t>Concluding observations on the third periodic report of Ecuador</w:t>
      </w:r>
      <w:r w:rsidRPr="00785D06">
        <w:rPr>
          <w:lang w:val="en-US"/>
        </w:rPr>
        <w:t>, December 13, 2012, Doc. E/C.12/ECU/CO/3.</w:t>
      </w:r>
    </w:p>
    <w:p w14:paraId="1A7E83FD" w14:textId="77777777" w:rsidR="00E0703B" w:rsidRPr="00785D06" w:rsidRDefault="00E0703B" w:rsidP="00C254BF">
      <w:pPr>
        <w:pStyle w:val="Textonotapie"/>
        <w:jc w:val="both"/>
        <w:rPr>
          <w:lang w:val="en-US"/>
        </w:rPr>
      </w:pPr>
    </w:p>
  </w:footnote>
  <w:footnote w:id="33">
    <w:p w14:paraId="029A4194" w14:textId="77777777" w:rsidR="00E0703B" w:rsidRPr="00785D06" w:rsidRDefault="00E0703B" w:rsidP="00C254BF">
      <w:pPr>
        <w:pStyle w:val="Textonotapie"/>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World Health Organization, </w:t>
      </w:r>
      <w:r w:rsidRPr="00785D06">
        <w:rPr>
          <w:i/>
          <w:lang w:val="en-US"/>
        </w:rPr>
        <w:t>Understanding and addressing violence against women: intimate partner violence</w:t>
      </w:r>
      <w:r w:rsidRPr="00785D06">
        <w:rPr>
          <w:lang w:val="en-US"/>
        </w:rPr>
        <w:t xml:space="preserve">, 2013, page 5. Available at: https://apps.who.int/iris/bitstream/handle/10665/98821/WHO_RHR_12.37_spa.pdf?sequence=1&amp;isAllowed=y, and amicus curiae brief presented by the Committee of Experts of the Follow-up Mechanism of the Convention of Belém do Pará (hereinafter also “Committee of Experts of MESECVI”). </w:t>
      </w:r>
    </w:p>
  </w:footnote>
  <w:footnote w:id="34">
    <w:p w14:paraId="72D274DF" w14:textId="77777777" w:rsidR="00E0703B" w:rsidRPr="00785D06" w:rsidRDefault="00E0703B" w:rsidP="00C254BF">
      <w:pPr>
        <w:pStyle w:val="Textonotapie"/>
        <w:jc w:val="both"/>
        <w:rPr>
          <w:lang w:val="en-US"/>
        </w:rPr>
      </w:pPr>
    </w:p>
    <w:p w14:paraId="0EDA925E"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 xml:space="preserve">That information was published in the context of the </w:t>
      </w:r>
      <w:r w:rsidRPr="00785D06">
        <w:rPr>
          <w:rFonts w:eastAsia="Verdana" w:cs="Verdana"/>
          <w:lang w:val="en-US"/>
        </w:rPr>
        <w:t xml:space="preserve">Equal Opportunities Plan 1996-2000, by CONAMU, an Ecuadorian governmental organization. </w:t>
      </w:r>
      <w:r w:rsidRPr="00785D06">
        <w:rPr>
          <w:rFonts w:eastAsia="Verdana" w:cs="Verdana"/>
          <w:i/>
          <w:lang w:val="en-US"/>
        </w:rPr>
        <w:t>Cf.</w:t>
      </w:r>
      <w:r w:rsidRPr="00785D06">
        <w:rPr>
          <w:rFonts w:eastAsia="Verdana" w:cs="Verdana"/>
          <w:lang w:val="en-US"/>
        </w:rPr>
        <w:t xml:space="preserve"> </w:t>
      </w:r>
      <w:r w:rsidRPr="00785D06">
        <w:rPr>
          <w:bCs/>
          <w:lang w:val="en-US" w:eastAsia="es-CR"/>
        </w:rPr>
        <w:t xml:space="preserve">Cordero, T. and Vargas G., M. </w:t>
      </w:r>
      <w:r w:rsidRPr="00785D06">
        <w:rPr>
          <w:bCs/>
          <w:i/>
          <w:lang w:val="es-ES" w:eastAsia="es-CR"/>
        </w:rPr>
        <w:t>A mí también: acoso y abuso sexual en colegios del Ecuador: discursos opuestos y prácticas discriminatorias</w:t>
      </w:r>
      <w:r w:rsidRPr="00785D06">
        <w:rPr>
          <w:bCs/>
          <w:lang w:val="en-US" w:eastAsia="es-CR"/>
        </w:rPr>
        <w:t xml:space="preserve">. Quito, Ecuador: National Council for Women, 2001, page. 35. The </w:t>
      </w:r>
      <w:r w:rsidRPr="00785D06">
        <w:rPr>
          <w:rFonts w:eastAsia="Verdana" w:cs="Verdana"/>
          <w:lang w:val="en-US"/>
        </w:rPr>
        <w:t xml:space="preserve">document also states that: (i) it is difficult to define harassment and sexual abuse, although teachers know about cases in their own schools; (ii) among teachers there is “a perception that (female) students bear some responsibility in cases of sexual abuse,” since they consider that “they provoke or accept it”, and (iii) there is a tendency to minimize the problem or ignore the effects on the victims, […] by denying cases, or not conceptualizing certain practices by teachers as abuse, or not perceiving them as crimes. According to a World Bank document cited by the representatives in their pleadings and motions brief, in 2004 one in every four high school students in Ecuador had experienced sexual abuse and one in every three students knew about a case of abuse. </w:t>
      </w:r>
      <w:r w:rsidRPr="00785D06">
        <w:rPr>
          <w:rFonts w:eastAsia="Verdana" w:cs="Verdana"/>
          <w:i/>
          <w:lang w:val="en-US"/>
        </w:rPr>
        <w:t>Cf.</w:t>
      </w:r>
      <w:r w:rsidRPr="00785D06">
        <w:rPr>
          <w:rFonts w:eastAsia="Verdana" w:cs="Verdana"/>
          <w:lang w:val="en-US"/>
        </w:rPr>
        <w:t xml:space="preserve"> Cevallos, Maluf and Sánchez. </w:t>
      </w:r>
      <w:r w:rsidRPr="00785D06">
        <w:rPr>
          <w:rFonts w:eastAsia="Verdana" w:cs="Verdana"/>
          <w:i/>
          <w:lang w:val="en-US"/>
        </w:rPr>
        <w:t>Analisis situacional de la juventud en el Ecuador</w:t>
      </w:r>
      <w:r w:rsidRPr="00785D06">
        <w:rPr>
          <w:rFonts w:eastAsia="Verdana" w:cs="Verdana"/>
          <w:lang w:val="en-US"/>
        </w:rPr>
        <w:t>, 2004, pages 144 and 145.</w:t>
      </w:r>
      <w:r w:rsidRPr="00785D06">
        <w:rPr>
          <w:rFonts w:eastAsia="Verdana" w:cs="Verdana"/>
          <w:i/>
          <w:lang w:val="en-US"/>
        </w:rPr>
        <w:t xml:space="preserve"> </w:t>
      </w:r>
      <w:r w:rsidRPr="00785D06">
        <w:rPr>
          <w:rFonts w:eastAsia="Verdana" w:cs="Verdana"/>
          <w:lang w:val="en-US"/>
        </w:rPr>
        <w:t xml:space="preserve">Available at: </w:t>
      </w:r>
      <w:r w:rsidRPr="00785D06">
        <w:rPr>
          <w:rFonts w:eastAsia="Verdana" w:cs="Verdana"/>
          <w:i/>
          <w:lang w:val="en-US"/>
        </w:rPr>
        <w:t xml:space="preserve"> </w:t>
      </w:r>
      <w:r w:rsidRPr="00785D06">
        <w:rPr>
          <w:lang w:val="en-US"/>
        </w:rPr>
        <w:t>https://books.google.com.co/books?redir_esc=y&amp;hl=es&amp;id=GgeaAAAAIAAJ&amp;focus=searchwithinvolume&amp;q=.</w:t>
      </w:r>
    </w:p>
  </w:footnote>
  <w:footnote w:id="35">
    <w:p w14:paraId="722DD439" w14:textId="77777777" w:rsidR="00E0703B" w:rsidRPr="00785D06" w:rsidRDefault="00E0703B" w:rsidP="00C254BF">
      <w:pPr>
        <w:pStyle w:val="Textonotapie"/>
        <w:jc w:val="both"/>
        <w:rPr>
          <w:lang w:val="en-US"/>
        </w:rPr>
      </w:pPr>
    </w:p>
    <w:p w14:paraId="633371C3"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The complaint filed on December 17, 2002 (</w:t>
      </w:r>
      <w:r w:rsidRPr="00785D06">
        <w:rPr>
          <w:i/>
          <w:lang w:val="en-US"/>
        </w:rPr>
        <w:t>infra</w:t>
      </w:r>
      <w:r w:rsidRPr="00785D06">
        <w:rPr>
          <w:lang w:val="en-US"/>
        </w:rPr>
        <w:t>, para. 59) describes it as a school “for young ladies.”</w:t>
      </w:r>
    </w:p>
    <w:p w14:paraId="47A024C6" w14:textId="77777777" w:rsidR="00E0703B" w:rsidRPr="00785D06" w:rsidRDefault="00E0703B" w:rsidP="00C254BF">
      <w:pPr>
        <w:pStyle w:val="Textonotapie"/>
        <w:jc w:val="both"/>
        <w:rPr>
          <w:lang w:val="en-US"/>
        </w:rPr>
      </w:pPr>
    </w:p>
  </w:footnote>
  <w:footnote w:id="36">
    <w:p w14:paraId="65AF9F16"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In her statement, one of Paola’s schoolmates, E.T. (</w:t>
      </w:r>
      <w:r w:rsidRPr="00785D06">
        <w:rPr>
          <w:i/>
          <w:lang w:val="en-US"/>
        </w:rPr>
        <w:t xml:space="preserve">infra </w:t>
      </w:r>
      <w:r w:rsidRPr="00785D06">
        <w:rPr>
          <w:lang w:val="en-US"/>
        </w:rPr>
        <w:t xml:space="preserve">para. 65), mentioned that Paola and the assistant principal had been “going out since 2001, because she was falling behind in a subject and he told her that he would help her enroll in third year, but with conditions […], she had to go out with him and have romantic relations with him.” In the same statement, E.T. says that Paola told her that she began having sexual relations with the vice principal in 2002. On March 20, 2003, Paola’s ‘cousin in law’ stated that she had accompanied Paola and her mother to the school, and had noticed that the vice </w:t>
      </w:r>
      <w:r w:rsidRPr="00785D06">
        <w:rPr>
          <w:rFonts w:cs="Arial"/>
          <w:lang w:val="en-US"/>
        </w:rPr>
        <w:t>principal spoke to Paola using “very familiar” terms and that he insisted on speaking with her alone. She added that Paola had tried to calm her down, saying that his treatment of her was “simply affectionate.” See a similar statement by V.O. of March 20, 2003 (</w:t>
      </w:r>
      <w:r w:rsidRPr="00785D06">
        <w:rPr>
          <w:rFonts w:cs="Arial"/>
          <w:i/>
          <w:lang w:val="en-US"/>
        </w:rPr>
        <w:t>infra</w:t>
      </w:r>
      <w:r w:rsidRPr="00785D06">
        <w:rPr>
          <w:rFonts w:cs="Arial"/>
          <w:lang w:val="en-US"/>
        </w:rPr>
        <w:t xml:space="preserve">, para. 67 and footnote 60). </w:t>
      </w:r>
    </w:p>
  </w:footnote>
  <w:footnote w:id="37">
    <w:p w14:paraId="1D77030F" w14:textId="77777777" w:rsidR="00E0703B" w:rsidRPr="00785D06" w:rsidRDefault="00E0703B" w:rsidP="00C254BF">
      <w:pPr>
        <w:pStyle w:val="Textonotapie"/>
        <w:jc w:val="both"/>
        <w:rPr>
          <w:lang w:val="en-US"/>
        </w:rPr>
      </w:pPr>
    </w:p>
    <w:p w14:paraId="79BD17C9"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Similarly, a school friend of Paola, J.M., stated on January 31, 2003 (</w:t>
      </w:r>
      <w:r w:rsidRPr="00785D06">
        <w:rPr>
          <w:i/>
          <w:lang w:val="en-US"/>
        </w:rPr>
        <w:t xml:space="preserve">infra </w:t>
      </w:r>
      <w:r w:rsidRPr="00785D06">
        <w:rPr>
          <w:lang w:val="en-US"/>
        </w:rPr>
        <w:t>para. 65) that Paola “was a cheerful and fun-loving girl,” but that she noticed that she had become very tense from November 2002.</w:t>
      </w:r>
    </w:p>
  </w:footnote>
  <w:footnote w:id="38">
    <w:p w14:paraId="664662D8" w14:textId="77777777" w:rsidR="00E0703B" w:rsidRPr="00785D06" w:rsidRDefault="00E0703B" w:rsidP="00C254BF">
      <w:pPr>
        <w:pStyle w:val="Textonotapie"/>
        <w:jc w:val="both"/>
        <w:rPr>
          <w:lang w:val="en-US"/>
        </w:rPr>
      </w:pPr>
    </w:p>
    <w:p w14:paraId="354AD6CE"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Statement made by V.O. on March 20, 2003 (</w:t>
      </w:r>
      <w:r w:rsidRPr="00785D06">
        <w:rPr>
          <w:i/>
          <w:lang w:val="en-US"/>
        </w:rPr>
        <w:t>infra</w:t>
      </w:r>
      <w:r w:rsidRPr="00785D06">
        <w:rPr>
          <w:lang w:val="en-US"/>
        </w:rPr>
        <w:t xml:space="preserve"> para. 67 and footnote 60). V.O. referred to Paola’s “cousin in law” in this way in her statement. </w:t>
      </w:r>
    </w:p>
  </w:footnote>
  <w:footnote w:id="39">
    <w:p w14:paraId="131F6A9D" w14:textId="77777777" w:rsidR="00E0703B" w:rsidRPr="00785D06" w:rsidRDefault="00E0703B" w:rsidP="00C254BF">
      <w:pPr>
        <w:pStyle w:val="Textonotapie"/>
        <w:jc w:val="both"/>
        <w:rPr>
          <w:lang w:val="en-US"/>
        </w:rPr>
      </w:pPr>
    </w:p>
    <w:p w14:paraId="3749D158"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 xml:space="preserve">In addition to the information contained </w:t>
      </w:r>
      <w:r w:rsidRPr="00785D06">
        <w:rPr>
          <w:rFonts w:cs="Arial"/>
          <w:lang w:val="en-US"/>
        </w:rPr>
        <w:t>in footnotes 35 and 40, E.T.</w:t>
      </w:r>
      <w:r w:rsidRPr="00785D06">
        <w:rPr>
          <w:rFonts w:cs="Arial"/>
          <w:lang w:val="en-GB"/>
        </w:rPr>
        <w:t xml:space="preserve">’s </w:t>
      </w:r>
      <w:r w:rsidRPr="00785D06">
        <w:rPr>
          <w:rFonts w:cs="Arial"/>
          <w:lang w:val="en-US"/>
        </w:rPr>
        <w:t>statement of January 31, 2003 (</w:t>
      </w:r>
      <w:r w:rsidRPr="00785D06">
        <w:rPr>
          <w:rFonts w:cs="Arial"/>
          <w:i/>
          <w:lang w:val="en-US"/>
        </w:rPr>
        <w:t xml:space="preserve">infra </w:t>
      </w:r>
      <w:r w:rsidRPr="00785D06">
        <w:rPr>
          <w:rFonts w:cs="Arial"/>
          <w:lang w:val="en-US"/>
        </w:rPr>
        <w:t>para. 65) mentions that in order to see Paola, the vice principal would ask her to attend a “recovery class” on Saturdays, even though she did not need to go, and that “he would also arrange for her to see the school doctor.” Other school friends made similar comments (</w:t>
      </w:r>
      <w:r w:rsidRPr="00785D06">
        <w:rPr>
          <w:rFonts w:cs="Arial"/>
          <w:i/>
          <w:lang w:val="en-US"/>
        </w:rPr>
        <w:t>Cf.</w:t>
      </w:r>
      <w:r w:rsidRPr="00785D06">
        <w:rPr>
          <w:rFonts w:cs="Arial"/>
          <w:lang w:val="en-US"/>
        </w:rPr>
        <w:t xml:space="preserve"> statement of J.M. of January 31, 2003 (</w:t>
      </w:r>
      <w:r w:rsidRPr="00785D06">
        <w:rPr>
          <w:rFonts w:cs="Arial"/>
          <w:i/>
          <w:lang w:val="en-US"/>
        </w:rPr>
        <w:t xml:space="preserve">infra </w:t>
      </w:r>
      <w:r w:rsidRPr="00785D06">
        <w:rPr>
          <w:rFonts w:cs="Arial"/>
          <w:lang w:val="en-US"/>
        </w:rPr>
        <w:t>para. 65) and statement of I.I of March 14, 2003 (</w:t>
      </w:r>
      <w:r w:rsidRPr="00785D06">
        <w:rPr>
          <w:rFonts w:cs="Arial"/>
          <w:i/>
          <w:lang w:val="en-US"/>
        </w:rPr>
        <w:t xml:space="preserve">infra, </w:t>
      </w:r>
      <w:r w:rsidRPr="00785D06">
        <w:rPr>
          <w:rFonts w:cs="Arial"/>
          <w:lang w:val="en-US"/>
        </w:rPr>
        <w:t>para. 67). This information is also mentioned in a police report dated March 16, 2003 (</w:t>
      </w:r>
      <w:r w:rsidRPr="00785D06">
        <w:rPr>
          <w:rFonts w:cs="Arial"/>
          <w:i/>
          <w:lang w:val="en-US"/>
        </w:rPr>
        <w:t xml:space="preserve">infra </w:t>
      </w:r>
      <w:r w:rsidRPr="00785D06">
        <w:rPr>
          <w:rFonts w:cs="Arial"/>
          <w:lang w:val="en-US"/>
        </w:rPr>
        <w:t xml:space="preserve">para. 68), which refers to comments made by several of Paola’s school friends to the media. The </w:t>
      </w:r>
      <w:r w:rsidRPr="00785D06">
        <w:rPr>
          <w:lang w:val="en-US"/>
        </w:rPr>
        <w:t>summons to a trial (</w:t>
      </w:r>
      <w:r w:rsidRPr="00785D06">
        <w:rPr>
          <w:i/>
          <w:lang w:val="en-US"/>
        </w:rPr>
        <w:t xml:space="preserve">infra </w:t>
      </w:r>
      <w:r w:rsidRPr="00785D06">
        <w:rPr>
          <w:lang w:val="en-US"/>
        </w:rPr>
        <w:t>para. 74) mentions that a teacher at Paola’s school said she was informed by the Inspector General that a student, who was Paola, “was in love” with the vice principal, and that the school principal admitted that he “was aware of what was going on and that [it was] nothing.” The charges filed by the public prosecutor on June 12, 2003 mention an “anonymous survey” of students carried out by the Provincial Office of Education (</w:t>
      </w:r>
      <w:r w:rsidRPr="00785D06">
        <w:rPr>
          <w:i/>
          <w:lang w:val="en-US"/>
        </w:rPr>
        <w:t xml:space="preserve">infra </w:t>
      </w:r>
      <w:r w:rsidRPr="00785D06">
        <w:rPr>
          <w:lang w:val="en-US"/>
        </w:rPr>
        <w:t xml:space="preserve">para. 51 and footnote 122) in which the majority of those surveyed answered “yes” to the question: “Do you think that the vice principal had something to do with what happened?” Also, on September 10, 2003, the supervisor of the grade in which Paola studied gave a statement to the prosecutor describing how she discovered </w:t>
      </w:r>
      <w:r w:rsidRPr="00785D06">
        <w:rPr>
          <w:rFonts w:cs="Arial"/>
          <w:lang w:val="en-US"/>
        </w:rPr>
        <w:t>that Paola was involved in a possible relationship with the vice principal (</w:t>
      </w:r>
      <w:r w:rsidRPr="00785D06">
        <w:rPr>
          <w:rFonts w:cs="Arial"/>
          <w:i/>
          <w:lang w:val="en-US"/>
        </w:rPr>
        <w:t>infra</w:t>
      </w:r>
      <w:r w:rsidRPr="00785D06">
        <w:rPr>
          <w:rFonts w:cs="Arial"/>
          <w:lang w:val="en-US"/>
        </w:rPr>
        <w:t>, para. 67)</w:t>
      </w:r>
      <w:r w:rsidRPr="00785D06">
        <w:rPr>
          <w:lang w:val="en-US"/>
        </w:rPr>
        <w:t xml:space="preserve">. </w:t>
      </w:r>
    </w:p>
  </w:footnote>
  <w:footnote w:id="40">
    <w:p w14:paraId="25F0DB50" w14:textId="77777777" w:rsidR="00E0703B" w:rsidRPr="00785D06" w:rsidRDefault="00E0703B" w:rsidP="00C254BF">
      <w:pPr>
        <w:pStyle w:val="Textonotapie"/>
        <w:jc w:val="both"/>
        <w:rPr>
          <w:lang w:val="en-US"/>
        </w:rPr>
      </w:pPr>
    </w:p>
    <w:p w14:paraId="241A4456" w14:textId="77777777" w:rsidR="00E0703B" w:rsidRPr="00785D06" w:rsidRDefault="00E0703B" w:rsidP="00C254BF">
      <w:pPr>
        <w:pStyle w:val="Textonotapie"/>
        <w:jc w:val="both"/>
        <w:rPr>
          <w:i/>
          <w:lang w:val="en-US"/>
        </w:rPr>
      </w:pPr>
      <w:r w:rsidRPr="00785D06">
        <w:rPr>
          <w:rStyle w:val="Refdenotaalpie"/>
          <w:lang w:val="en-US"/>
        </w:rPr>
        <w:footnoteRef/>
      </w:r>
      <w:r w:rsidRPr="00785D06">
        <w:rPr>
          <w:lang w:val="en-US"/>
        </w:rPr>
        <w:t xml:space="preserve"> </w:t>
      </w:r>
      <w:r w:rsidRPr="00785D06">
        <w:rPr>
          <w:lang w:val="en-US"/>
        </w:rPr>
        <w:tab/>
        <w:t xml:space="preserve"> The summons to a trial (</w:t>
      </w:r>
      <w:r w:rsidRPr="00785D06">
        <w:rPr>
          <w:i/>
          <w:lang w:val="en-US"/>
        </w:rPr>
        <w:t xml:space="preserve">infra </w:t>
      </w:r>
      <w:r w:rsidRPr="00785D06">
        <w:rPr>
          <w:lang w:val="en-US"/>
        </w:rPr>
        <w:t xml:space="preserve">para. 74) includes a statement to this effect made by the mother of a former student at the school. Similar statements were also given by some of Paola’s classmates (E.T, </w:t>
      </w:r>
      <w:r w:rsidRPr="00785D06">
        <w:rPr>
          <w:i/>
          <w:lang w:val="en-US"/>
        </w:rPr>
        <w:t xml:space="preserve">infra </w:t>
      </w:r>
      <w:r w:rsidRPr="00785D06">
        <w:rPr>
          <w:lang w:val="en-US"/>
        </w:rPr>
        <w:t>para. 65) and I.I., and by the grade supervisor (</w:t>
      </w:r>
      <w:r w:rsidRPr="00785D06">
        <w:rPr>
          <w:i/>
          <w:lang w:val="en-US"/>
        </w:rPr>
        <w:t>infra</w:t>
      </w:r>
      <w:r w:rsidRPr="00785D06">
        <w:rPr>
          <w:lang w:val="en-US"/>
        </w:rPr>
        <w:t>, para. 67). According to one of the notes written by Paola before she died, she was aware that the vice principal had relationships with other women. Furthermore, on August 15, 2003, Petita Paulina Albarracín Albán submitted a brief to the Public Prosecutor, stating that two students from Paola’s school had appeared on TV news saying that the vice principal and the principal of their school had asked some students to have sexual relations with them so that they could move up to the next grade. On the same date, Mrs. Albarracín informed the prosecutor that according to a newspaper report published that day, in addition to Paola, and after her death, three more students had committed suicide, and one of them had been pregnant (</w:t>
      </w:r>
      <w:r w:rsidRPr="00785D06">
        <w:rPr>
          <w:i/>
          <w:lang w:val="en-US"/>
        </w:rPr>
        <w:t>Cf.</w:t>
      </w:r>
      <w:r w:rsidRPr="00785D06">
        <w:rPr>
          <w:lang w:val="en-US"/>
        </w:rPr>
        <w:t xml:space="preserve"> briefs filed by Mrs. Albarracín of August 15, 2003, in the context of the criminal investigation N-79-2003 (evidence file, annex 37 to the pleadings and motions brief, folios 5844 to 5852). </w:t>
      </w:r>
    </w:p>
  </w:footnote>
  <w:footnote w:id="41">
    <w:p w14:paraId="1EBC5A88" w14:textId="77777777" w:rsidR="00E0703B" w:rsidRPr="00785D06" w:rsidRDefault="00E0703B" w:rsidP="00C254BF">
      <w:pPr>
        <w:pStyle w:val="Textonotapie"/>
        <w:jc w:val="both"/>
        <w:rPr>
          <w:lang w:val="en-US"/>
        </w:rPr>
      </w:pPr>
    </w:p>
    <w:p w14:paraId="3AE9CB3A"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 xml:space="preserve">In a </w:t>
      </w:r>
      <w:r w:rsidRPr="00785D06">
        <w:rPr>
          <w:rFonts w:cs="Arial"/>
          <w:lang w:val="en-US"/>
        </w:rPr>
        <w:t>statement, one of Paola’s school friends said that Paola told her that she was pregnant and had shown her a pregnancy test. She said she had been having sexual relations with the vice principal since October 2002, although they had “been going out” since 2001. When this same friend was asked where the vice principal had sexual encounters with Paola, she answered “mostly, they met up in school, in his office.” (</w:t>
      </w:r>
      <w:r w:rsidRPr="00785D06">
        <w:rPr>
          <w:i/>
          <w:lang w:val="en-US"/>
        </w:rPr>
        <w:t>Cf.</w:t>
      </w:r>
      <w:r w:rsidRPr="00785D06">
        <w:rPr>
          <w:lang w:val="en-US"/>
        </w:rPr>
        <w:t xml:space="preserve"> statement of E.T. of January 31, 2003 (</w:t>
      </w:r>
      <w:r w:rsidRPr="00785D06">
        <w:rPr>
          <w:i/>
          <w:lang w:val="en-US"/>
        </w:rPr>
        <w:t xml:space="preserve">infra </w:t>
      </w:r>
      <w:r w:rsidRPr="00785D06">
        <w:rPr>
          <w:lang w:val="en-US"/>
        </w:rPr>
        <w:t>para. 65)). Another witness made a similar statement (</w:t>
      </w:r>
      <w:r w:rsidRPr="00785D06">
        <w:rPr>
          <w:i/>
          <w:lang w:val="en-US"/>
        </w:rPr>
        <w:t>Cf.</w:t>
      </w:r>
      <w:r w:rsidRPr="00785D06">
        <w:rPr>
          <w:lang w:val="en-US"/>
        </w:rPr>
        <w:t xml:space="preserve"> statement of J.M. of January 31, 2003 (</w:t>
      </w:r>
      <w:r w:rsidRPr="00785D06">
        <w:rPr>
          <w:i/>
          <w:lang w:val="en-US"/>
        </w:rPr>
        <w:t>infra</w:t>
      </w:r>
      <w:r w:rsidRPr="00785D06">
        <w:rPr>
          <w:lang w:val="en-US"/>
        </w:rPr>
        <w:t xml:space="preserve"> para. 65)).</w:t>
      </w:r>
      <w:r w:rsidRPr="00785D06">
        <w:rPr>
          <w:i/>
          <w:lang w:val="en-US"/>
        </w:rPr>
        <w:t xml:space="preserve"> </w:t>
      </w:r>
      <w:r w:rsidRPr="00785D06">
        <w:rPr>
          <w:rFonts w:cs="Arial"/>
          <w:lang w:val="en-US"/>
        </w:rPr>
        <w:t>In addition, the “private lawsuit” filed by Paola’s mother (</w:t>
      </w:r>
      <w:r w:rsidRPr="00785D06">
        <w:rPr>
          <w:rFonts w:cs="Arial"/>
          <w:i/>
          <w:lang w:val="en-US"/>
        </w:rPr>
        <w:t xml:space="preserve">infra </w:t>
      </w:r>
      <w:r w:rsidRPr="00785D06">
        <w:rPr>
          <w:rFonts w:cs="Arial"/>
          <w:lang w:val="en-US"/>
        </w:rPr>
        <w:t>para. 71) alleges that the adolescent became pregnant from the relationship with the vice principal, and referred to statements given by E.T and J.M, who said they knew the vice principal had given Paola money to buy an injection so that the school doctor could terminate her pregnancy. Also, the investigation file in the “private lawsuit” contained audio and video recordings of television news reports, in which students of the Martínez Serrano High School said that Paola had told them that she had sexual relations with the vice principal and had shown them lab tests of the pregnancy. The sexual relationship between the vice principal and Paola was also alleged by the representatives, who considered it “proven” that the vice principal “had sexual relations with Paola Guzmán on repeated occasions,” and this appears to be confirmed in certain affirmations by the State during the processing of the case before the Commission: in brief dated November 16, 2007 submitted to the Commission, Ecuador mentioned as “facts” of the case, that “Paola […] was victim of the crimes of sexual harassment and rape by the […] vice principal of the school [she attended], a public education establishment where the minor studied.”</w:t>
      </w:r>
      <w:r w:rsidRPr="00785D06">
        <w:rPr>
          <w:rFonts w:cs="Arial"/>
          <w:b/>
          <w:lang w:val="en-US"/>
        </w:rPr>
        <w:t xml:space="preserve"> </w:t>
      </w:r>
      <w:r w:rsidRPr="00785D06">
        <w:rPr>
          <w:rFonts w:cs="Arial"/>
          <w:lang w:val="en-US"/>
        </w:rPr>
        <w:t>In its Admissibility Report</w:t>
      </w:r>
      <w:r w:rsidRPr="00785D06">
        <w:rPr>
          <w:rFonts w:cs="Arial"/>
          <w:b/>
          <w:lang w:val="en-US"/>
        </w:rPr>
        <w:t xml:space="preserve"> </w:t>
      </w:r>
      <w:r w:rsidRPr="00785D06">
        <w:rPr>
          <w:rFonts w:cs="Arial"/>
          <w:lang w:val="en-US"/>
        </w:rPr>
        <w:t>and in</w:t>
      </w:r>
      <w:r w:rsidRPr="00785D06">
        <w:rPr>
          <w:rFonts w:cs="Arial"/>
          <w:b/>
          <w:lang w:val="en-US"/>
        </w:rPr>
        <w:t xml:space="preserve"> </w:t>
      </w:r>
      <w:r w:rsidRPr="00785D06">
        <w:rPr>
          <w:rFonts w:cs="Arial"/>
          <w:lang w:val="en-US"/>
        </w:rPr>
        <w:t>its</w:t>
      </w:r>
      <w:r w:rsidRPr="00785D06">
        <w:rPr>
          <w:rFonts w:cs="Arial"/>
          <w:b/>
          <w:lang w:val="en-US"/>
        </w:rPr>
        <w:t xml:space="preserve"> </w:t>
      </w:r>
      <w:r w:rsidRPr="00785D06">
        <w:rPr>
          <w:rFonts w:cs="Arial"/>
          <w:lang w:val="en-US"/>
        </w:rPr>
        <w:t>Merits Report, the Commission noted this comment by the State, considering that it implied an “acknowledgement of facts.” It should be recalled that, as the Commission stated in its Merits Report, the Ecuadorian Criminal Code in force at the time of the facts defined “rape” as “copulation” through the use of “seduction or deception” to obtain consent, which was punished by imprisonment if the victim of the crime is older than 14 years of age and under 18 (</w:t>
      </w:r>
      <w:r w:rsidRPr="00785D06">
        <w:rPr>
          <w:rFonts w:cs="Arial"/>
          <w:i/>
          <w:lang w:val="en-US"/>
        </w:rPr>
        <w:t xml:space="preserve">infra </w:t>
      </w:r>
      <w:r w:rsidRPr="00785D06">
        <w:rPr>
          <w:rFonts w:cs="Arial"/>
          <w:lang w:val="en-US"/>
        </w:rPr>
        <w:t>footnote 70).</w:t>
      </w:r>
      <w:r w:rsidRPr="00785D06">
        <w:rPr>
          <w:rFonts w:cs="Arial"/>
          <w:b/>
          <w:lang w:val="en-US"/>
        </w:rPr>
        <w:t xml:space="preserve"> </w:t>
      </w:r>
    </w:p>
  </w:footnote>
  <w:footnote w:id="42">
    <w:p w14:paraId="36265646" w14:textId="77777777" w:rsidR="00E0703B" w:rsidRPr="00785D06" w:rsidRDefault="00E0703B" w:rsidP="00C254BF">
      <w:pPr>
        <w:pStyle w:val="Textonotapie"/>
        <w:jc w:val="both"/>
        <w:rPr>
          <w:lang w:val="en-US"/>
        </w:rPr>
      </w:pPr>
    </w:p>
    <w:p w14:paraId="77C88BF9"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Communication from the petitioner of October 14, 2014 (evidence file, annex 1 to the Merits Report, folios 6 to 110) and clinical history (evidence file, annex 3 to the Merits Report, folios 115 to 135).</w:t>
      </w:r>
    </w:p>
  </w:footnote>
  <w:footnote w:id="43">
    <w:p w14:paraId="63AED9C6" w14:textId="77777777" w:rsidR="00E0703B" w:rsidRPr="00785D06" w:rsidRDefault="00E0703B" w:rsidP="00C254BF">
      <w:pPr>
        <w:pStyle w:val="Textonotapie"/>
        <w:jc w:val="both"/>
        <w:rPr>
          <w:lang w:val="en-US"/>
        </w:rPr>
      </w:pPr>
    </w:p>
    <w:p w14:paraId="45E566C2"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Statement of the grade inspector of January 7, 2003 (</w:t>
      </w:r>
      <w:r w:rsidRPr="00785D06">
        <w:rPr>
          <w:i/>
          <w:lang w:val="en-US"/>
        </w:rPr>
        <w:t xml:space="preserve">infra </w:t>
      </w:r>
      <w:r w:rsidRPr="00785D06">
        <w:rPr>
          <w:lang w:val="en-US"/>
        </w:rPr>
        <w:t>para. 62). See also the statement of the Inspector General of January 3, 2003 (</w:t>
      </w:r>
      <w:r w:rsidRPr="00785D06">
        <w:rPr>
          <w:i/>
          <w:lang w:val="en-US"/>
        </w:rPr>
        <w:t xml:space="preserve">infra </w:t>
      </w:r>
      <w:r w:rsidRPr="00785D06">
        <w:rPr>
          <w:lang w:val="en-US"/>
        </w:rPr>
        <w:t>para. 62), and the communication of the petitioners of October 14, 2014.</w:t>
      </w:r>
    </w:p>
  </w:footnote>
  <w:footnote w:id="44">
    <w:p w14:paraId="0CA3F48D" w14:textId="77777777" w:rsidR="00E0703B" w:rsidRPr="00785D06" w:rsidRDefault="00E0703B" w:rsidP="00C254BF">
      <w:pPr>
        <w:pStyle w:val="Prrafodelista"/>
        <w:ind w:left="0"/>
        <w:contextualSpacing w:val="0"/>
        <w:jc w:val="both"/>
        <w:rPr>
          <w:lang w:val="en-US"/>
        </w:rPr>
      </w:pPr>
    </w:p>
    <w:p w14:paraId="08E9710F" w14:textId="77777777" w:rsidR="00E0703B" w:rsidRPr="00785D06" w:rsidRDefault="00E0703B" w:rsidP="00C254BF">
      <w:pPr>
        <w:pStyle w:val="Prrafodelista"/>
        <w:ind w:left="0"/>
        <w:contextualSpacing w:val="0"/>
        <w:jc w:val="both"/>
        <w:rPr>
          <w:rFonts w:cstheme="minorBidi"/>
          <w:lang w:val="en-US"/>
        </w:rPr>
      </w:pPr>
      <w:r w:rsidRPr="00785D06">
        <w:rPr>
          <w:rStyle w:val="Refdenotaalpie"/>
          <w:lang w:val="en-US"/>
        </w:rPr>
        <w:footnoteRef/>
      </w:r>
      <w:r w:rsidRPr="00785D06">
        <w:rPr>
          <w:lang w:val="en-US"/>
        </w:rPr>
        <w:t xml:space="preserve"> </w:t>
      </w:r>
      <w:r w:rsidRPr="00785D06">
        <w:rPr>
          <w:lang w:val="en-US"/>
        </w:rPr>
        <w:tab/>
        <w:t xml:space="preserve">The formal charges filed on </w:t>
      </w:r>
      <w:r w:rsidRPr="00785D06">
        <w:rPr>
          <w:rFonts w:cs="Arial"/>
          <w:lang w:val="en-US"/>
        </w:rPr>
        <w:t>June 12, 2003 (</w:t>
      </w:r>
      <w:r w:rsidRPr="00785D06">
        <w:rPr>
          <w:rFonts w:cs="Arial"/>
          <w:i/>
          <w:lang w:val="en-US"/>
        </w:rPr>
        <w:t xml:space="preserve">infra </w:t>
      </w:r>
      <w:r w:rsidRPr="00785D06">
        <w:rPr>
          <w:rFonts w:cs="Arial"/>
          <w:lang w:val="en-US"/>
        </w:rPr>
        <w:t>para. 70) describe the facts in a manner consistent with this account, as does the complaint</w:t>
      </w:r>
      <w:r w:rsidRPr="00785D06">
        <w:rPr>
          <w:lang w:val="en-US"/>
        </w:rPr>
        <w:t xml:space="preserve"> filed by Mr. Guzmán Bustos on December 17, 2002 (</w:t>
      </w:r>
      <w:r w:rsidRPr="00785D06">
        <w:rPr>
          <w:i/>
          <w:lang w:val="en-US"/>
        </w:rPr>
        <w:t xml:space="preserve">infra </w:t>
      </w:r>
      <w:r w:rsidRPr="00785D06">
        <w:rPr>
          <w:lang w:val="en-US"/>
        </w:rPr>
        <w:t>para. 59). The statement made by E.T. before the domestic court provides a similar account (</w:t>
      </w:r>
      <w:r w:rsidRPr="00785D06">
        <w:rPr>
          <w:i/>
          <w:lang w:val="en-US"/>
        </w:rPr>
        <w:t xml:space="preserve">infra </w:t>
      </w:r>
      <w:r w:rsidRPr="00785D06">
        <w:rPr>
          <w:lang w:val="en-US"/>
        </w:rPr>
        <w:t>para. 65). There are also records of other circumstances related to these events, such as a police report of February 3, 2003 (</w:t>
      </w:r>
      <w:r w:rsidRPr="00785D06">
        <w:rPr>
          <w:i/>
          <w:lang w:val="en-US"/>
        </w:rPr>
        <w:t xml:space="preserve">infra </w:t>
      </w:r>
      <w:r w:rsidRPr="00785D06">
        <w:rPr>
          <w:lang w:val="en-US"/>
        </w:rPr>
        <w:t xml:space="preserve">footnote 59) indicating that </w:t>
      </w:r>
      <w:r w:rsidRPr="00785D06">
        <w:rPr>
          <w:rFonts w:cs="Arial"/>
          <w:lang w:val="en-US"/>
        </w:rPr>
        <w:t xml:space="preserve">“Paola swallowed the </w:t>
      </w:r>
      <w:r w:rsidRPr="00785D06">
        <w:rPr>
          <w:rFonts w:cs="Arial"/>
          <w:i/>
          <w:lang w:val="en-US"/>
        </w:rPr>
        <w:t>diablillos</w:t>
      </w:r>
      <w:r w:rsidRPr="00785D06">
        <w:rPr>
          <w:rFonts w:cs="Arial"/>
          <w:lang w:val="en-US"/>
        </w:rPr>
        <w:t xml:space="preserve"> with her food before going to school, while seated on a red plastic chair in the living room in front of the television.”</w:t>
      </w:r>
      <w:r w:rsidRPr="00785D06">
        <w:rPr>
          <w:rFonts w:cs="Arial"/>
          <w:vertAlign w:val="superscript"/>
          <w:lang w:val="en-US"/>
        </w:rPr>
        <w:t xml:space="preserve"> </w:t>
      </w:r>
      <w:r w:rsidRPr="00785D06">
        <w:rPr>
          <w:lang w:val="en-US"/>
        </w:rPr>
        <w:t>One of Paola’s schoolmates who testified on January 31, 2003 (</w:t>
      </w:r>
      <w:r w:rsidRPr="00785D06">
        <w:rPr>
          <w:i/>
          <w:lang w:val="en-US"/>
        </w:rPr>
        <w:t>infra</w:t>
      </w:r>
      <w:r w:rsidRPr="00785D06">
        <w:rPr>
          <w:lang w:val="en-US"/>
        </w:rPr>
        <w:t xml:space="preserve"> para. 65) recalled that when Paola was taken to the school infirmary, “they didn’t do anything to help her,” but only “made her talk” until her mother arrived. In this regard, the Inspector General (</w:t>
      </w:r>
      <w:r w:rsidRPr="00785D06">
        <w:rPr>
          <w:i/>
          <w:lang w:val="en-US"/>
        </w:rPr>
        <w:t xml:space="preserve">infra </w:t>
      </w:r>
      <w:r w:rsidRPr="00785D06">
        <w:rPr>
          <w:lang w:val="en-US"/>
        </w:rPr>
        <w:t xml:space="preserve">para. 62) stated that she told Paola that if she believed in God she should ask his forgiveness, and that they prayed together in the school infirmary. In her </w:t>
      </w:r>
      <w:r w:rsidRPr="00785D06">
        <w:rPr>
          <w:rFonts w:cs="Arial"/>
          <w:lang w:val="en-US"/>
        </w:rPr>
        <w:t>testimony on January 28, 2003 (</w:t>
      </w:r>
      <w:r w:rsidRPr="00785D06">
        <w:rPr>
          <w:rFonts w:cs="Arial"/>
          <w:i/>
          <w:lang w:val="en-US"/>
        </w:rPr>
        <w:t>infra</w:t>
      </w:r>
      <w:r w:rsidRPr="00785D06">
        <w:rPr>
          <w:rFonts w:cs="Arial"/>
          <w:lang w:val="en-US"/>
        </w:rPr>
        <w:t xml:space="preserve"> para. 65), Paola’s mother stated that her daughter had failed the previous grade, despite having asked for help from the vice principal, who, in turn, was unable to obtain the “help” of the mathematics teacher for that purpose. Mrs. Albarracín explained that they asked the Principal if Paola could remain at the school despite having failed the grade, which they managed to achieve. Mrs. Albarracín added that in October 2003, the Inspector General of the school told her that Paola visited the principal’s offices very often, and that Paola then told her (Mrs. Albarracín) that this was true, but that she only went there to drink water. Mrs. Albarracín stated that on December 12, 2002, she had an appointment to go to the school because she had been summoned, but on that day, just before leaving home she received a call from the school informing her that Paola had swallowed “diablillos.” She said she then went to the school, accompanied by a friend and a nephew, and found Paola on a couch, with the Inspector General, the vice principal and the school doctor present. She said that her daughter hugged her and asked her forgiveness, and that the vice principal told her “ma’am, this isn’t the time for hugging or crying, take hold of your daughter and get her to a hospital.” So, she walked out with Paola and took her in a taxi to the Luis Vernaza Hospital where she remained until 6 p.m. after which she was transferred to the Clínica Kennedy, where she died the following day. Mrs. Albarracín added that the following day a journalist called her, saying that a school friend of Paola had told her that she was pregnant by the vice principal. In her statement Mrs. Albarracín said that she received the call from the school on December 12, at around 1p.m. However, at the public hearing (</w:t>
      </w:r>
      <w:r w:rsidRPr="00785D06">
        <w:rPr>
          <w:rFonts w:cs="Arial"/>
          <w:i/>
          <w:lang w:val="en-US"/>
        </w:rPr>
        <w:t xml:space="preserve">supra </w:t>
      </w:r>
      <w:r w:rsidRPr="00785D06">
        <w:rPr>
          <w:rFonts w:cs="Arial"/>
          <w:lang w:val="en-US"/>
        </w:rPr>
        <w:t xml:space="preserve">para. 10), she stated that it was between 2p.m. and 2.30 pm. The </w:t>
      </w:r>
      <w:r w:rsidRPr="00785D06">
        <w:rPr>
          <w:lang w:val="en-US"/>
        </w:rPr>
        <w:t>statements of the vice principal and the school doctor, made in January 2003 at the Prosecutor’s Office (</w:t>
      </w:r>
      <w:r w:rsidRPr="00785D06">
        <w:rPr>
          <w:i/>
          <w:lang w:val="en-US"/>
        </w:rPr>
        <w:t xml:space="preserve">infra </w:t>
      </w:r>
      <w:r w:rsidRPr="00785D06">
        <w:rPr>
          <w:lang w:val="en-US"/>
        </w:rPr>
        <w:t xml:space="preserve">paras. 61 and 62), are consistent with the accounts describing how the facts unfolded on December 12, from the time Paola arrived at the school until she was taken to the Hospital Luis Vernaza. In his statement, the school doctor indicates that Paola told him that she had swallowed the “diablillos” between 10.30 am and 11 00 am.  </w:t>
      </w:r>
    </w:p>
  </w:footnote>
  <w:footnote w:id="45">
    <w:p w14:paraId="7EA309E3" w14:textId="77777777" w:rsidR="00E0703B" w:rsidRPr="00785D06" w:rsidRDefault="00E0703B" w:rsidP="00C254BF">
      <w:pPr>
        <w:pStyle w:val="Textonotapie"/>
        <w:jc w:val="both"/>
        <w:rPr>
          <w:lang w:val="en-US"/>
        </w:rPr>
      </w:pPr>
    </w:p>
    <w:p w14:paraId="4FBF4792"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 xml:space="preserve">In </w:t>
      </w:r>
      <w:r w:rsidRPr="00785D06">
        <w:rPr>
          <w:lang w:val="en-GB"/>
        </w:rPr>
        <w:t xml:space="preserve">addition to the details provided below </w:t>
      </w:r>
      <w:r w:rsidRPr="00785D06">
        <w:rPr>
          <w:lang w:val="en-US"/>
        </w:rPr>
        <w:t>(</w:t>
      </w:r>
      <w:r w:rsidRPr="00785D06">
        <w:rPr>
          <w:i/>
          <w:lang w:val="en-US"/>
        </w:rPr>
        <w:t xml:space="preserve">infra </w:t>
      </w:r>
      <w:r w:rsidRPr="00785D06">
        <w:rPr>
          <w:lang w:val="en-US"/>
        </w:rPr>
        <w:t>para. 58), the autopsy examination of December 13, 2002, states that samples of different parts of Paola’s body were taken for subsequent analysis. Medical information presented on February 4, (</w:t>
      </w:r>
      <w:r w:rsidRPr="00785D06">
        <w:rPr>
          <w:i/>
          <w:lang w:val="en-US"/>
        </w:rPr>
        <w:t xml:space="preserve">infra </w:t>
      </w:r>
      <w:r w:rsidRPr="00785D06">
        <w:rPr>
          <w:lang w:val="en-US"/>
        </w:rPr>
        <w:t>footnote 59) and March 31, 2003 (</w:t>
      </w:r>
      <w:r w:rsidRPr="00785D06">
        <w:rPr>
          <w:i/>
          <w:lang w:val="en-US"/>
        </w:rPr>
        <w:t xml:space="preserve">infra </w:t>
      </w:r>
      <w:r w:rsidRPr="00785D06">
        <w:rPr>
          <w:lang w:val="en-US"/>
        </w:rPr>
        <w:t>para. 69), respectively, confirmed the presence of phosphorus in samples taken from Paola’s body and stated that she died by “poisoning with white phosphorus.”</w:t>
      </w:r>
    </w:p>
  </w:footnote>
  <w:footnote w:id="46">
    <w:p w14:paraId="78297A7C" w14:textId="77777777" w:rsidR="00E0703B" w:rsidRPr="00785D06" w:rsidRDefault="00E0703B" w:rsidP="00C254BF">
      <w:pPr>
        <w:pStyle w:val="Prrafodelista"/>
        <w:ind w:left="0"/>
        <w:contextualSpacing w:val="0"/>
        <w:jc w:val="both"/>
        <w:rPr>
          <w:lang w:val="en-US"/>
        </w:rPr>
      </w:pPr>
    </w:p>
    <w:p w14:paraId="6A4CEE11" w14:textId="77777777" w:rsidR="00E0703B" w:rsidRPr="00785D06" w:rsidRDefault="00E0703B" w:rsidP="00C254BF">
      <w:pPr>
        <w:pStyle w:val="Prrafodelista"/>
        <w:ind w:left="0"/>
        <w:contextualSpacing w:val="0"/>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Letter of Paola del Rosario Guzmán Albarracín addressed to the vice principal (evidence file, annex 82 to the pleadings and motions brief, folios 6013 to 6017). The complaint filed by Máximo Guzmán on December 17, 2002 (</w:t>
      </w:r>
      <w:r w:rsidRPr="00785D06">
        <w:rPr>
          <w:i/>
          <w:lang w:val="en-US"/>
        </w:rPr>
        <w:t xml:space="preserve">infra </w:t>
      </w:r>
      <w:r w:rsidRPr="00785D06">
        <w:rPr>
          <w:lang w:val="en-US"/>
        </w:rPr>
        <w:t>para. 59) states that Paola sent one of the letters to her mother, and the other two to the vice principal. The representatives suggested that one of these two letters appears to be a draft of the other. As to the letter addressed to her mother, a police report of March 16, 2003 (</w:t>
      </w:r>
      <w:r w:rsidRPr="00785D06">
        <w:rPr>
          <w:i/>
          <w:lang w:val="en-US"/>
        </w:rPr>
        <w:t xml:space="preserve">infra </w:t>
      </w:r>
      <w:r w:rsidRPr="00785D06">
        <w:rPr>
          <w:lang w:val="en-US"/>
        </w:rPr>
        <w:t>para. 68) states that the letter said “I won’t be a hindrance to you anymore or make you feel ashamed.” The indictment of June 12, 2003 (</w:t>
      </w:r>
      <w:r w:rsidRPr="00785D06">
        <w:rPr>
          <w:i/>
          <w:lang w:val="en-US"/>
        </w:rPr>
        <w:t xml:space="preserve">infra </w:t>
      </w:r>
      <w:r w:rsidRPr="00785D06">
        <w:rPr>
          <w:lang w:val="en-US"/>
        </w:rPr>
        <w:t xml:space="preserve">para. 70) also mentions that in her letter Paola apologized to her mother. On </w:t>
      </w:r>
      <w:r w:rsidRPr="00785D06">
        <w:rPr>
          <w:rFonts w:cs="Arial"/>
          <w:lang w:val="en-US"/>
        </w:rPr>
        <w:t>January 15, 2003, a report forwarded to the prosecutor appointed on December 19 (</w:t>
      </w:r>
      <w:r w:rsidRPr="00785D06">
        <w:rPr>
          <w:rFonts w:cs="Arial"/>
          <w:i/>
          <w:lang w:val="en-US"/>
        </w:rPr>
        <w:t xml:space="preserve">infra </w:t>
      </w:r>
      <w:r w:rsidRPr="00785D06">
        <w:rPr>
          <w:rFonts w:cs="Arial"/>
          <w:lang w:val="en-US"/>
        </w:rPr>
        <w:t>para. 60) found that there was “calligraphic identity” (similar handwriting) between the three letters left by Paola and other texts in her handwriting that were used for comparison (</w:t>
      </w:r>
      <w:r w:rsidRPr="00785D06">
        <w:rPr>
          <w:rFonts w:cs="Arial"/>
          <w:i/>
          <w:lang w:val="en-US"/>
        </w:rPr>
        <w:t>Cf.</w:t>
      </w:r>
      <w:r w:rsidRPr="00785D06">
        <w:rPr>
          <w:rFonts w:cs="Arial"/>
          <w:lang w:val="en-US"/>
        </w:rPr>
        <w:t xml:space="preserve"> Expert report No. 008-03 of January 15, 2003; evidence file, </w:t>
      </w:r>
      <w:r w:rsidRPr="00785D06">
        <w:rPr>
          <w:lang w:val="en-US"/>
        </w:rPr>
        <w:t>annex 18 to the answering brief, folios 7018 to 7035)</w:t>
      </w:r>
      <w:r w:rsidRPr="00785D06">
        <w:rPr>
          <w:rFonts w:cs="Arial"/>
          <w:lang w:val="en-US"/>
        </w:rPr>
        <w:t>.</w:t>
      </w:r>
      <w:r w:rsidRPr="00785D06">
        <w:rPr>
          <w:lang w:val="en-US"/>
        </w:rPr>
        <w:t xml:space="preserve"> In addition to the information below (</w:t>
      </w:r>
      <w:r w:rsidRPr="00785D06">
        <w:rPr>
          <w:i/>
          <w:lang w:val="en-US"/>
        </w:rPr>
        <w:t xml:space="preserve">infra </w:t>
      </w:r>
      <w:r w:rsidRPr="00785D06">
        <w:rPr>
          <w:lang w:val="en-US"/>
        </w:rPr>
        <w:t>para. 68) the police report indicated that Paola and the vice principal had “argued on December 10, 2002,” the day of her birthday. In a statement made on January 31, 2003 (</w:t>
      </w:r>
      <w:r w:rsidRPr="00785D06">
        <w:rPr>
          <w:i/>
          <w:lang w:val="en-US"/>
        </w:rPr>
        <w:t xml:space="preserve">infra </w:t>
      </w:r>
      <w:r w:rsidRPr="00785D06">
        <w:rPr>
          <w:lang w:val="en-US"/>
        </w:rPr>
        <w:t>para. 65), one of Paola’s schoolmates said that Paola had told them (the deponent and other friends), referring to the vice principal and to the fact that she had swallowed “diablillos”: “he knows why I did it,” without explaining what she meant. Another school friend made a statement the same day (</w:t>
      </w:r>
      <w:r w:rsidRPr="00785D06">
        <w:rPr>
          <w:i/>
          <w:lang w:val="en-US"/>
        </w:rPr>
        <w:t xml:space="preserve">infra </w:t>
      </w:r>
      <w:r w:rsidRPr="00785D06">
        <w:rPr>
          <w:lang w:val="en-US"/>
        </w:rPr>
        <w:t>para. 65), saying that Paola had told her that she and the vice principal sometimes had arguments and, specifically, that on December 10, 2002, she and the vice principal had argued “after school, when there were [no teachers] around in the administration offices.” See also, expert opinion of Ximena Cortés Castillo before the Commission (evidence file, annex 12 to the Merits Report, folios 174 to 202) and communication of the petitioners dated October 14, 2014.</w:t>
      </w:r>
    </w:p>
  </w:footnote>
  <w:footnote w:id="47">
    <w:p w14:paraId="2455E84E" w14:textId="77777777" w:rsidR="00E0703B" w:rsidRPr="00785D06" w:rsidRDefault="00E0703B" w:rsidP="00C254BF">
      <w:pPr>
        <w:pStyle w:val="Textonotapie"/>
        <w:jc w:val="both"/>
        <w:rPr>
          <w:lang w:val="en-US"/>
        </w:rPr>
      </w:pPr>
    </w:p>
    <w:p w14:paraId="0EBDC1EB"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Police report of December 13, 2002 (evidence file, annex 7 to the answering brief, folios 6991 to 6993).</w:t>
      </w:r>
    </w:p>
  </w:footnote>
  <w:footnote w:id="48">
    <w:p w14:paraId="20C51616" w14:textId="77777777" w:rsidR="00E0703B" w:rsidRPr="00785D06" w:rsidRDefault="00E0703B" w:rsidP="00C254BF">
      <w:pPr>
        <w:pStyle w:val="Textonotapie"/>
        <w:jc w:val="both"/>
        <w:rPr>
          <w:lang w:val="en-US"/>
        </w:rPr>
      </w:pPr>
    </w:p>
    <w:p w14:paraId="43ED08EF"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Medical certificate of death (evidence file, annex 4 to the Merits Report, folios 137 and 138).</w:t>
      </w:r>
    </w:p>
  </w:footnote>
  <w:footnote w:id="49">
    <w:p w14:paraId="777C827A"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Autopsy Report No. 931 of December 13, 2002 (evidence file, annex 5 to the Merits Report, folios 140 and 141).</w:t>
      </w:r>
    </w:p>
  </w:footnote>
  <w:footnote w:id="50">
    <w:p w14:paraId="7EA6715C" w14:textId="77777777" w:rsidR="00E0703B" w:rsidRPr="00785D06" w:rsidRDefault="00E0703B" w:rsidP="00C254BF">
      <w:pPr>
        <w:pStyle w:val="Textonotapie"/>
        <w:jc w:val="both"/>
        <w:rPr>
          <w:lang w:val="en-US"/>
        </w:rPr>
      </w:pPr>
    </w:p>
    <w:p w14:paraId="5257DE1E"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Complaint filed by Mr. Guzmán Bustos on August 17, 2002 (evidence file, annex 10 to the answering brief, folios 6998 to 7000), and communication of the petitioners of October 14, 2014.</w:t>
      </w:r>
    </w:p>
  </w:footnote>
  <w:footnote w:id="51">
    <w:p w14:paraId="0FF0FCF1" w14:textId="77777777" w:rsidR="00E0703B" w:rsidRPr="00785D06" w:rsidRDefault="00E0703B" w:rsidP="00C254BF">
      <w:pPr>
        <w:pStyle w:val="Textonotapie"/>
        <w:jc w:val="both"/>
        <w:rPr>
          <w:lang w:val="en-US"/>
        </w:rPr>
      </w:pPr>
    </w:p>
    <w:p w14:paraId="2B246D70"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Communication of the Criminal Prosecutor of December 19, 2002 (evidence file, annex 6 al pleadings and motions brief, folio 5689). </w:t>
      </w:r>
    </w:p>
    <w:p w14:paraId="2F872AE5" w14:textId="77777777" w:rsidR="00E0703B" w:rsidRPr="00785D06" w:rsidRDefault="00E0703B" w:rsidP="00C254BF">
      <w:pPr>
        <w:pStyle w:val="Textonotapie"/>
        <w:jc w:val="both"/>
        <w:rPr>
          <w:lang w:val="en-US"/>
        </w:rPr>
      </w:pPr>
    </w:p>
  </w:footnote>
  <w:footnote w:id="52">
    <w:p w14:paraId="6F85586C"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 xml:space="preserve">The vice </w:t>
      </w:r>
      <w:r w:rsidRPr="00785D06">
        <w:rPr>
          <w:rFonts w:cs="Arial"/>
          <w:lang w:val="en-US"/>
        </w:rPr>
        <w:t xml:space="preserve">principal alleged that on November 12, 2002 he arrived at the school where he worked at approximately 2 pm and was in his office when the Inspector General came in and told him that a student had taken “diablillos,” that she was in the school infirmary and it was urgent to contact her mother. The vice principal stated that when he heard what had happened, he immediately went to the infirmary where he found Paola, together with the doctor, the Inspector General, the school counsellors and several students and that Mrs. Albarracín had already been contacted. He added that when he saw Paola he asked her why she had swallowed the </w:t>
      </w:r>
      <w:r w:rsidRPr="00785D06">
        <w:rPr>
          <w:rFonts w:cs="Arial"/>
          <w:i/>
          <w:lang w:val="en-US"/>
        </w:rPr>
        <w:t>diablillos</w:t>
      </w:r>
      <w:r w:rsidRPr="00785D06">
        <w:rPr>
          <w:rFonts w:cs="Arial"/>
          <w:lang w:val="en-US"/>
        </w:rPr>
        <w:t xml:space="preserve">, and whether she had some problem at home or with a family member, to which Paola, in an apparent state of lucidity, cried and shook her head. Immediately after that, according to Mr. Bolívar Espín, the girl’s mother arrived at the school, accompanied by others. The vice principal explained that because the school did not have the means to treat health emergencies, he ordered the doctor to arrange for Paola to be taken to the Hospital Luis Vernaza and, in addition, ordered the school’s concierge to call a taxi to take the girl, her relatives, the doctor and the Inspector General to that hospital. </w:t>
      </w:r>
      <w:r w:rsidRPr="00785D06">
        <w:rPr>
          <w:rFonts w:cs="Arial"/>
          <w:i/>
          <w:lang w:val="en-US"/>
        </w:rPr>
        <w:t>Cf.</w:t>
      </w:r>
      <w:r w:rsidRPr="00785D06">
        <w:rPr>
          <w:rFonts w:cs="Arial"/>
          <w:lang w:val="en-US"/>
        </w:rPr>
        <w:t xml:space="preserve"> </w:t>
      </w:r>
      <w:r w:rsidRPr="00785D06">
        <w:rPr>
          <w:lang w:val="en-US"/>
        </w:rPr>
        <w:t>Statement of Mr. Bolívar Eduardo Espín Zurita of January 2, 2003 (evidence file, annex 15 to the Merits Report, folios 222 and 223).</w:t>
      </w:r>
    </w:p>
  </w:footnote>
  <w:footnote w:id="53">
    <w:p w14:paraId="699E2124" w14:textId="77777777" w:rsidR="00E0703B" w:rsidRPr="00785D06" w:rsidRDefault="00E0703B" w:rsidP="00C254BF">
      <w:pPr>
        <w:pStyle w:val="Textonotapie"/>
        <w:jc w:val="both"/>
        <w:rPr>
          <w:lang w:val="en-US"/>
        </w:rPr>
      </w:pPr>
    </w:p>
    <w:p w14:paraId="726A504B"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Statements of January 3, 2003, of R.O. (evidence file, annex 15 to the answering brief, folios 7011 and 7013); V.B. (evidence file, annex 12 to the answering brief, folio 7005); G.A. (evidence file, annex 13 to the answering brief, folio 7007), and L.A. (evidence file, annex 16 to the Merits Report, folio 225); statement made by the grade inspector of January 7, 2003 (evidence file, annex 16 to the answering brief, folio 7014), and statement of M.J. of  January 13, 2003 (evidence file, annex 17 to the answering brief, folio 7017). It is important to note the doctor’s reference to the events that occurred on the day prior to Paola’s death (</w:t>
      </w:r>
      <w:r w:rsidRPr="00785D06">
        <w:rPr>
          <w:i/>
          <w:lang w:val="en-US"/>
        </w:rPr>
        <w:t xml:space="preserve">supra </w:t>
      </w:r>
      <w:r w:rsidRPr="00785D06">
        <w:rPr>
          <w:lang w:val="en-US"/>
        </w:rPr>
        <w:t xml:space="preserve">para. 53). He stated that the delay in taking Paola to hospital was “five minutes,” but that by then her relatives had arrived; thus, he appears to refer to the time elapsed between the arrival of the mother and those who accompanied her and the time they left to go to the hospital. He also alleged that he had treated Paola earlier for a headache, and that he was not aware that the girl was pregnant. For her part, the last deponent, M.J., stated that she had never been a close friend of Paola and that she knew nothing about the situation. </w:t>
      </w:r>
    </w:p>
  </w:footnote>
  <w:footnote w:id="54">
    <w:p w14:paraId="739754DD" w14:textId="77777777" w:rsidR="00E0703B" w:rsidRPr="00785D06" w:rsidRDefault="00E0703B" w:rsidP="00C254BF">
      <w:pPr>
        <w:pStyle w:val="Textonotapie"/>
        <w:jc w:val="both"/>
        <w:rPr>
          <w:lang w:val="en-US"/>
        </w:rPr>
      </w:pPr>
    </w:p>
    <w:p w14:paraId="0F9F99CD"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Statement of Mr. Guzmán Bustos of January 16, 2003 (evidence file, annex 21 to the Merits Report, folios 245 and 246). Also, a schoolmate of Paola stated that she (the deponent) and other students were pressured by the President of the Teacher’s Association, O.T., to support the assistant principal. </w:t>
      </w:r>
    </w:p>
  </w:footnote>
  <w:footnote w:id="55">
    <w:p w14:paraId="78DBF628" w14:textId="77777777" w:rsidR="00E0703B" w:rsidRPr="00785D06" w:rsidRDefault="00E0703B" w:rsidP="00C254BF">
      <w:pPr>
        <w:pStyle w:val="Textonotapie"/>
        <w:jc w:val="both"/>
        <w:rPr>
          <w:lang w:val="en-US"/>
        </w:rPr>
      </w:pPr>
    </w:p>
    <w:p w14:paraId="297F4E93"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Brief of Mrs. Albarracín of January 22, 2003 (evidence file, annex 22 to the Merits Report, folio 248).</w:t>
      </w:r>
    </w:p>
  </w:footnote>
  <w:footnote w:id="56">
    <w:p w14:paraId="13F62290" w14:textId="77777777" w:rsidR="00E0703B" w:rsidRPr="00785D06" w:rsidRDefault="00E0703B" w:rsidP="00C254BF">
      <w:pPr>
        <w:pStyle w:val="Textonotapie"/>
        <w:jc w:val="both"/>
        <w:rPr>
          <w:lang w:val="en-US"/>
        </w:rPr>
      </w:pPr>
    </w:p>
    <w:p w14:paraId="6498BAE3"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Letters sent by the mothers of several students at the school (evidence file, annex 24 to the Merits Report, folios 252 to 274), stating</w:t>
      </w:r>
      <w:r w:rsidRPr="00785D06">
        <w:rPr>
          <w:rFonts w:cs="Arial"/>
          <w:lang w:val="en-US"/>
        </w:rPr>
        <w:t xml:space="preserve"> that the prosecutor “may not take any statements from the minors who, in most cases, were not even classmates [of Paola] so that they could hardly know the reason for her suicide.”</w:t>
      </w:r>
    </w:p>
  </w:footnote>
  <w:footnote w:id="57">
    <w:p w14:paraId="524688BB" w14:textId="77777777" w:rsidR="00E0703B" w:rsidRPr="00785D06" w:rsidRDefault="00E0703B" w:rsidP="00C254BF">
      <w:pPr>
        <w:pStyle w:val="Textonotapie"/>
        <w:jc w:val="both"/>
        <w:rPr>
          <w:lang w:val="en-US"/>
        </w:rPr>
      </w:pPr>
    </w:p>
    <w:p w14:paraId="76F847D8"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Brief of Mr. Guzmán Bustos of January 27, 2003 (evidence file, annex 23 to the Merits Report, folio 250); Official letter No. 114-2003-MFD-G of January 28, 2003, from the Office of the District Prosecutor of Guayas and Galápagos (evidence file, annex 6 to the Merits Report, folio 143), and letter sent by the clinical pathologist, J.K., to Dr. J.M., Chief of the Medical Department of the Judicial Police of Guayas in Criminal Investigation No. 4541-14 (evidence file, annex 7 to the Merits Report, folio 145).</w:t>
      </w:r>
    </w:p>
    <w:p w14:paraId="2DE92879" w14:textId="77777777" w:rsidR="00E0703B" w:rsidRPr="00785D06" w:rsidRDefault="00E0703B" w:rsidP="00C254BF">
      <w:pPr>
        <w:pStyle w:val="Textonotapie"/>
        <w:jc w:val="both"/>
        <w:rPr>
          <w:lang w:val="en-US"/>
        </w:rPr>
      </w:pPr>
    </w:p>
  </w:footnote>
  <w:footnote w:id="58">
    <w:p w14:paraId="64C27F4C"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Testimony given by Petita Paulina Albarracín Albán to the police officer I.Y., in Criminal Investigation N. 4541-14, of January 28, 2003 (evidence file, annex 9 to the pleadings and motions brief, folios 5695 to 5697). Also, in expanding his statement</w:t>
      </w:r>
      <w:r w:rsidRPr="00785D06">
        <w:rPr>
          <w:rFonts w:cs="Arial"/>
          <w:lang w:val="en-US"/>
        </w:rPr>
        <w:t xml:space="preserve">, </w:t>
      </w:r>
      <w:r w:rsidRPr="00785D06">
        <w:rPr>
          <w:lang w:val="en-US"/>
        </w:rPr>
        <w:t xml:space="preserve">the vice principal </w:t>
      </w:r>
      <w:r w:rsidRPr="00785D06">
        <w:rPr>
          <w:rFonts w:cs="Arial"/>
          <w:lang w:val="en-US"/>
        </w:rPr>
        <w:t>explained that he was presenting himself before the authorities to deny news reports by various media organizations, including press, radio and television (evidence file, annex 19 to the answering brief, folios 7037 to 7039).</w:t>
      </w:r>
    </w:p>
  </w:footnote>
  <w:footnote w:id="59">
    <w:p w14:paraId="149A828B" w14:textId="77777777" w:rsidR="00E0703B" w:rsidRPr="00785D06" w:rsidRDefault="00E0703B" w:rsidP="00C254BF">
      <w:pPr>
        <w:pStyle w:val="Textonotapie"/>
        <w:jc w:val="both"/>
        <w:rPr>
          <w:lang w:val="en-US"/>
        </w:rPr>
      </w:pPr>
    </w:p>
    <w:p w14:paraId="068ED29C"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Statements of E.T. and J.M. of January 31, 2003 (evidence file, annexes 19 and 20 to the Merits Report, folios 233 to 236 and 239 to 243, respectively). </w:t>
      </w:r>
    </w:p>
  </w:footnote>
  <w:footnote w:id="60">
    <w:p w14:paraId="3032626B" w14:textId="77777777" w:rsidR="00E0703B" w:rsidRPr="00785D06" w:rsidRDefault="00E0703B" w:rsidP="00C254BF">
      <w:pPr>
        <w:pStyle w:val="Prrafodelista"/>
        <w:ind w:left="0"/>
        <w:contextualSpacing w:val="0"/>
        <w:jc w:val="both"/>
        <w:rPr>
          <w:lang w:val="en-US"/>
        </w:rPr>
      </w:pPr>
    </w:p>
    <w:p w14:paraId="17F6821C" w14:textId="77777777" w:rsidR="00E0703B" w:rsidRPr="00785D06" w:rsidRDefault="00E0703B" w:rsidP="00C254BF">
      <w:pPr>
        <w:pStyle w:val="Prrafodelista"/>
        <w:ind w:left="0"/>
        <w:contextualSpacing w:val="0"/>
        <w:jc w:val="both"/>
        <w:rPr>
          <w:rFonts w:cstheme="minorBidi"/>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Official letter No. 0134-MFD-G, forwarded to the Criminal Judge of Guayas by the Criminal Prosecutor in the criminal investigation, of February 4, 2003 (evidence file, annex 25 to the Merits Report, folio 276); Official letter Ex46-03.J.T.P.O, forwarded by the Third Criminal Judge of Guayas to the police, on February 6, 2003 (evidence file, annex 26 to the Merits Report, folio 278), and Official Letter No. 728-JTPG-46-2003, forwarded by the Third Criminal Judge of Guayas to the Chief of the Judicial Police of Guayas (evidence file, annex 27 to the Merits Report, folio 280). Without denying this, the State indicated that after the trial was suspended, on October 5, 2005 (</w:t>
      </w:r>
      <w:r w:rsidRPr="00785D06">
        <w:rPr>
          <w:i/>
          <w:lang w:val="en-US"/>
        </w:rPr>
        <w:t>infra</w:t>
      </w:r>
      <w:r w:rsidRPr="00785D06">
        <w:rPr>
          <w:lang w:val="en-US"/>
        </w:rPr>
        <w:t xml:space="preserve"> para. 77), “the defendant Bolívar Espín became a fugitive.” Also</w:t>
      </w:r>
      <w:r w:rsidRPr="00785D06">
        <w:rPr>
          <w:rFonts w:cs="Arial"/>
          <w:lang w:val="en-US"/>
        </w:rPr>
        <w:t>, according to information presented by the State, on February 3, 2003, the police issued a report on their search of Paola’s home and school, attaching 12 photographs. On February 4, 2003, a toxicology report was presented (</w:t>
      </w:r>
      <w:r w:rsidRPr="00785D06">
        <w:rPr>
          <w:lang w:val="en-US"/>
        </w:rPr>
        <w:t>Toxicology report of February 4, 2003; evidence file, annex 25 to the answering brief, folio 7059).</w:t>
      </w:r>
    </w:p>
  </w:footnote>
  <w:footnote w:id="61">
    <w:p w14:paraId="66EA1A7A" w14:textId="77777777" w:rsidR="00E0703B" w:rsidRPr="00785D06" w:rsidRDefault="00E0703B" w:rsidP="00C254BF">
      <w:pPr>
        <w:pStyle w:val="Textonotapie"/>
        <w:jc w:val="both"/>
        <w:rPr>
          <w:lang w:val="en-US"/>
        </w:rPr>
      </w:pPr>
    </w:p>
    <w:p w14:paraId="3E069DE7"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Statement of the Principal of February 14, 2003 (evidence file, annex 28 to the Merits Report, folios 282 and 283). Also, statements of I.I. of March 14, 2003 (evidence file, annex 29 to the Merits Report, folio 285); V.O. of March 20, 2003</w:t>
      </w:r>
      <w:r w:rsidRPr="00785D06">
        <w:rPr>
          <w:vertAlign w:val="subscript"/>
          <w:lang w:val="en-US"/>
        </w:rPr>
        <w:t xml:space="preserve"> </w:t>
      </w:r>
      <w:r w:rsidRPr="00785D06">
        <w:rPr>
          <w:lang w:val="en-US"/>
        </w:rPr>
        <w:t xml:space="preserve">(evidence file, annex 2 to the Merits Report, folios 112 and 113), and </w:t>
      </w:r>
      <w:r w:rsidRPr="00785D06">
        <w:rPr>
          <w:rFonts w:cs="Arial"/>
          <w:lang w:val="en-US"/>
        </w:rPr>
        <w:t>B.C. of September 10, 2003 (evidence file</w:t>
      </w:r>
      <w:r w:rsidRPr="00785D06">
        <w:rPr>
          <w:lang w:val="en-US"/>
        </w:rPr>
        <w:t>, annex 32 to the Merits Report, folios 311 to 313).</w:t>
      </w:r>
    </w:p>
  </w:footnote>
  <w:footnote w:id="62">
    <w:p w14:paraId="1EE469C2" w14:textId="77777777" w:rsidR="00E0703B" w:rsidRPr="00785D06" w:rsidRDefault="00E0703B" w:rsidP="00C254BF">
      <w:pPr>
        <w:pStyle w:val="Textonotapie"/>
        <w:jc w:val="both"/>
        <w:rPr>
          <w:lang w:val="en-US"/>
        </w:rPr>
      </w:pPr>
    </w:p>
    <w:p w14:paraId="3BB9EBDA"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Preliminary report S/N-PJG, prepared by the investigator from the National Office of the National Police (evidence file, annex 28 to the answering brief, folios 7065 to 7071).</w:t>
      </w:r>
    </w:p>
  </w:footnote>
  <w:footnote w:id="63">
    <w:p w14:paraId="6699E2C2" w14:textId="77777777" w:rsidR="00E0703B" w:rsidRPr="00785D06" w:rsidRDefault="00E0703B" w:rsidP="00C254BF">
      <w:pPr>
        <w:pStyle w:val="Textonotapie"/>
        <w:jc w:val="both"/>
        <w:rPr>
          <w:lang w:val="en-US"/>
        </w:rPr>
      </w:pPr>
    </w:p>
    <w:p w14:paraId="389D2124"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Official letter 138-DINHMT, dated March 31, 2003, National Institute of Hygiene “Leopoldo Izquieta Pérez” (evidence file, annex 29 to the answering brief, folios 7073 to 7078).</w:t>
      </w:r>
    </w:p>
    <w:p w14:paraId="7F0D34CC" w14:textId="77777777" w:rsidR="00E0703B" w:rsidRPr="00785D06" w:rsidRDefault="00E0703B" w:rsidP="00C254BF">
      <w:pPr>
        <w:pStyle w:val="Textonotapie"/>
        <w:jc w:val="both"/>
        <w:rPr>
          <w:lang w:val="en-US"/>
        </w:rPr>
      </w:pPr>
    </w:p>
  </w:footnote>
  <w:footnote w:id="64">
    <w:p w14:paraId="38AF6454" w14:textId="77777777" w:rsidR="00E0703B" w:rsidRPr="00785D06" w:rsidRDefault="00E0703B" w:rsidP="00C254BF">
      <w:pPr>
        <w:pStyle w:val="Textonotapie"/>
        <w:jc w:val="both"/>
        <w:rPr>
          <w:rFonts w:cs="Arial"/>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Formal accusation by the Criminal Prosecutor of Guayas against Bolívar Eduardo Espín Zurita of June 12, 2003 (evidence file, annex 31 to the Merits Report, folios 294 to 303); Official letter No. 1034-MFD-G of August 22, 2003 (evidence file, annex 33 to the Merits Report, folio 315.) The State indicated that earlier, on August 15 and 22, 2003, Mrs. Albarracín had asked the prosecutor to seek an order for the pre-trial detention of the vice principal. The crime of </w:t>
      </w:r>
      <w:r w:rsidRPr="00785D06">
        <w:rPr>
          <w:rFonts w:cs="Arial"/>
          <w:lang w:val="en-US"/>
        </w:rPr>
        <w:t>“sexual harassment is defined in Article 551 of the Criminal Code, in the following terms: “Anyone who solicits sexual favors for himself or for a third party, taking advantage of a position of authority in the workplace, classroom or similar situation, with the explicit or tacit understanding that harm may be caused in relation to the legitimate expectations that the victim may have in the context of that relationship, shall be punished with a prison term of six months to two years. […] If sexual harassment is committed against a minor, it shall be punished with a prison term of two to four years.”</w:t>
      </w:r>
    </w:p>
    <w:p w14:paraId="3BA8CBD9" w14:textId="77777777" w:rsidR="00E0703B" w:rsidRPr="00785D06" w:rsidRDefault="00E0703B" w:rsidP="00C254BF">
      <w:pPr>
        <w:pStyle w:val="Textonotapie"/>
        <w:jc w:val="both"/>
        <w:rPr>
          <w:lang w:val="en-US"/>
        </w:rPr>
      </w:pPr>
    </w:p>
  </w:footnote>
  <w:footnote w:id="65">
    <w:p w14:paraId="55A11BCC"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Complaint filed by Mrs. Albarracín on October 13, 2003 (evidence file, annex 35 to the Merits Report, folios 321 to 327). It is important to note that </w:t>
      </w:r>
      <w:r w:rsidRPr="00785D06">
        <w:rPr>
          <w:rFonts w:cs="Arial"/>
          <w:lang w:val="en-US"/>
        </w:rPr>
        <w:t xml:space="preserve">Article 512 of </w:t>
      </w:r>
      <w:r w:rsidRPr="00785D06">
        <w:rPr>
          <w:lang w:val="en-US"/>
        </w:rPr>
        <w:t xml:space="preserve">the Criminal Code in force at that time defined </w:t>
      </w:r>
      <w:r w:rsidRPr="00785D06">
        <w:rPr>
          <w:rFonts w:cs="Arial"/>
          <w:lang w:val="en-US"/>
        </w:rPr>
        <w:t xml:space="preserve">“rape” in the following terms: “Rape is carnal intrusion, through total or partial penetration of the male organ, orally, anally or vaginally; or vaginal or anal penetration with objects, fingers or body parts other than the male organ, of a person of any sex, in the following situations: 1.When the offended party is deprived of reason or consciousness, or when, due to illness or for any other reason, the victim cannot resist; and 3.- When violence, threats or intimidation are used.” Under Article 515 of the Criminal Code, the punishments for such crimes were more severe when the perpetrator had authority or power over the victim or were committed by public officials who “have abused their offices to commit those offenses.” Article 454 of that Code indicates that such actions </w:t>
      </w:r>
      <w:r w:rsidRPr="00785D06">
        <w:rPr>
          <w:lang w:val="en-US"/>
        </w:rPr>
        <w:t xml:space="preserve">“shall be punished with prison terms of one to four years and a fine of eight to seventy-seven dollars of the United States of America, to anyone who instigates or assists another person to commit suicide, if the suicide has been attempted or consummated.” (Criminal Code of 1971. Evidence included </w:t>
      </w:r>
      <w:r w:rsidRPr="00785D06">
        <w:rPr>
          <w:i/>
          <w:lang w:val="en-US"/>
        </w:rPr>
        <w:t>ex officio</w:t>
      </w:r>
      <w:r w:rsidRPr="00785D06">
        <w:rPr>
          <w:lang w:val="en-US"/>
        </w:rPr>
        <w:t xml:space="preserve">). </w:t>
      </w:r>
    </w:p>
    <w:p w14:paraId="20B44464" w14:textId="77777777" w:rsidR="00E0703B" w:rsidRPr="00785D06" w:rsidRDefault="00E0703B" w:rsidP="00C254BF">
      <w:pPr>
        <w:pStyle w:val="Textonotapie"/>
        <w:jc w:val="both"/>
        <w:rPr>
          <w:lang w:val="en-US"/>
        </w:rPr>
      </w:pPr>
    </w:p>
  </w:footnote>
  <w:footnote w:id="66">
    <w:p w14:paraId="3EB07DA8"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Criminal investigation No. 74-03, Prosecutor’s report of October 28, 2003, issued by the Criminal Prosecutor of Guayas (evidence file, annex 34 to the answering brief, folios 7100 to 7109). </w:t>
      </w:r>
    </w:p>
  </w:footnote>
  <w:footnote w:id="67">
    <w:p w14:paraId="13D15AE5" w14:textId="77777777" w:rsidR="00E0703B" w:rsidRPr="00785D06" w:rsidRDefault="00E0703B" w:rsidP="00C254BF">
      <w:pPr>
        <w:pStyle w:val="Textonotapie"/>
        <w:jc w:val="both"/>
        <w:rPr>
          <w:lang w:val="en-US"/>
        </w:rPr>
      </w:pPr>
    </w:p>
    <w:p w14:paraId="6198B3E5"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Order for pretrial detention issued by the Superior Court of Justice on December 16, 2003 (evidence file, annex 38 to the Merits Report, folio 335) and Official letter No. 011-J-20PG (evidence file, annex 39 to the Merits Report, folio 337).</w:t>
      </w:r>
    </w:p>
    <w:p w14:paraId="3A3A3494" w14:textId="77777777" w:rsidR="00E0703B" w:rsidRPr="00785D06" w:rsidRDefault="00E0703B" w:rsidP="00C254BF">
      <w:pPr>
        <w:pStyle w:val="Textonotapie"/>
        <w:jc w:val="both"/>
        <w:rPr>
          <w:lang w:val="en-US"/>
        </w:rPr>
      </w:pPr>
    </w:p>
  </w:footnote>
  <w:footnote w:id="68">
    <w:p w14:paraId="65FFEA2E"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Summons to a trial (evidence file, annex 38 to the answering brief, folios 7117 to 7123). Prior to this, on </w:t>
      </w:r>
      <w:r w:rsidRPr="00785D06">
        <w:rPr>
          <w:rFonts w:cs="Arial"/>
          <w:lang w:val="en-US"/>
        </w:rPr>
        <w:t xml:space="preserve">April 13, 2004, the Fifth Judge had summoned the parties to a “preliminary hearing” which, after several postponements, took place on August 20. </w:t>
      </w:r>
      <w:r w:rsidRPr="00785D06">
        <w:rPr>
          <w:lang w:val="en-US"/>
        </w:rPr>
        <w:t xml:space="preserve">According to the State, the </w:t>
      </w:r>
      <w:r w:rsidRPr="00785D06">
        <w:rPr>
          <w:rFonts w:cs="Arial"/>
          <w:lang w:val="en-US"/>
        </w:rPr>
        <w:t xml:space="preserve">hearing was originally scheduled for April 27, 2004, but on May 4 it was rescheduled for May 13. No reason was given as to why the hearing did not take place on April 27 and May 13. On May 17, 2004, the hearing was convened again for the last day of that month. However, it did not take place owing to the absence of the prosecutor. On August 9, the hearing was once again postponed until August 20. </w:t>
      </w:r>
    </w:p>
  </w:footnote>
  <w:footnote w:id="69">
    <w:p w14:paraId="25C7CD71" w14:textId="77777777" w:rsidR="00E0703B" w:rsidRPr="00785D06" w:rsidRDefault="00E0703B" w:rsidP="00C254BF">
      <w:pPr>
        <w:pStyle w:val="Textonotapie"/>
        <w:jc w:val="both"/>
        <w:rPr>
          <w:lang w:val="en-US"/>
        </w:rPr>
      </w:pPr>
    </w:p>
    <w:p w14:paraId="7D211CA6"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Criminal Trial 351-2003, Official letter 1273J-20PG of August 27, 2004, signed by the Fifth Criminal Judge of Guayas, addressed to the Provincial Chief of the Judicial Police of Guayas (evidence file, annex 39 to the answering brief, folio 7125). </w:t>
      </w:r>
    </w:p>
  </w:footnote>
  <w:footnote w:id="70">
    <w:p w14:paraId="7A54F9C6" w14:textId="77777777" w:rsidR="00E0703B" w:rsidRPr="00785D06" w:rsidRDefault="00E0703B" w:rsidP="00C254BF">
      <w:pPr>
        <w:pStyle w:val="Textonotapie"/>
        <w:jc w:val="both"/>
        <w:rPr>
          <w:i/>
          <w:lang w:val="en-US"/>
        </w:rPr>
      </w:pPr>
    </w:p>
    <w:p w14:paraId="28FF094E"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i/>
          <w:lang w:val="en-US"/>
        </w:rPr>
        <w:tab/>
        <w:t>Cf.</w:t>
      </w:r>
      <w:r w:rsidRPr="00785D06">
        <w:rPr>
          <w:lang w:val="en-US"/>
        </w:rPr>
        <w:t xml:space="preserve"> Criminal Trial 351-2003, brief submitted by the vice principal to the Fifth Criminal Judge of Guayas filing appeals against the summons to a trial and a motion of annulment (evidence file, annex 69 to the pleadings and motions brief, folios 5976 to 5980). According to the State, on that same date, the </w:t>
      </w:r>
      <w:r w:rsidRPr="00785D06">
        <w:rPr>
          <w:rFonts w:cs="Arial"/>
          <w:lang w:val="en-US"/>
        </w:rPr>
        <w:t xml:space="preserve">Fifth Criminal Judge of Guayas ordered an increase in the amount of the surety for the accused. </w:t>
      </w:r>
    </w:p>
  </w:footnote>
  <w:footnote w:id="71">
    <w:p w14:paraId="5B14D039" w14:textId="77777777" w:rsidR="00E0703B" w:rsidRPr="00785D06" w:rsidRDefault="00E0703B" w:rsidP="00C254BF">
      <w:pPr>
        <w:pStyle w:val="Textonotapie"/>
        <w:jc w:val="both"/>
        <w:rPr>
          <w:lang w:val="en-US"/>
        </w:rPr>
      </w:pPr>
    </w:p>
    <w:p w14:paraId="48850135"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Decision on the appeal, Superior Court of Justice of Guayaquil, September 2, 2005 (evidence file, annex 41 to the Merits Report, folios 344 and 345). The Court notes that in its Merits Report the Commission indicated that Articles 509 and 510 of the Criminal Code in force at the time stated, respectively:</w:t>
      </w:r>
      <w:r w:rsidRPr="00785D06">
        <w:rPr>
          <w:rFonts w:cs="Arial"/>
          <w:lang w:val="en-US"/>
        </w:rPr>
        <w:t xml:space="preserve"> “Rape is copulation with a person, using seduction or deception to obtain their consent” and “rape shall be punished with a prison term of three months to three years if the victim is older than fourteen years of age and younger than eighteen.” However, it has been confirmed that this wording corresponds to an amendment introduced in 2005, and that Article 509 previously stated “with an honest woman” instead of “with a person,” and Article 510 stated “woman” instead of “victim” (</w:t>
      </w:r>
      <w:r w:rsidRPr="00785D06">
        <w:rPr>
          <w:rFonts w:cs="Arial"/>
          <w:i/>
          <w:lang w:val="en-US"/>
        </w:rPr>
        <w:t>Cf.</w:t>
      </w:r>
      <w:r w:rsidRPr="00785D06">
        <w:rPr>
          <w:rFonts w:cs="Arial"/>
          <w:lang w:val="en-US"/>
        </w:rPr>
        <w:t xml:space="preserve"> Official Registry of Ecuador No 45, of June 23, 2005. Evidence included </w:t>
      </w:r>
      <w:r w:rsidRPr="00785D06">
        <w:rPr>
          <w:rFonts w:cs="Arial"/>
          <w:i/>
          <w:lang w:val="en-US"/>
        </w:rPr>
        <w:t>ex officio</w:t>
      </w:r>
      <w:r w:rsidRPr="00785D06">
        <w:rPr>
          <w:rFonts w:cs="Arial"/>
          <w:lang w:val="en-US"/>
        </w:rPr>
        <w:t>).</w:t>
      </w:r>
    </w:p>
  </w:footnote>
  <w:footnote w:id="72">
    <w:p w14:paraId="318C3AAD" w14:textId="77777777" w:rsidR="00E0703B" w:rsidRPr="00785D06" w:rsidRDefault="00E0703B" w:rsidP="00C254BF">
      <w:pPr>
        <w:pStyle w:val="Textonotapie"/>
        <w:rPr>
          <w:lang w:val="en-US"/>
        </w:rPr>
      </w:pPr>
    </w:p>
    <w:p w14:paraId="6BB3D251" w14:textId="77777777" w:rsidR="00E0703B" w:rsidRPr="00785D06" w:rsidRDefault="00E0703B" w:rsidP="00C254BF">
      <w:pPr>
        <w:pStyle w:val="Textonotapie"/>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Decision of October 5, 2005 (evidence file, annex 42 to the Merits Report, folio 357).</w:t>
      </w:r>
    </w:p>
  </w:footnote>
  <w:footnote w:id="73">
    <w:p w14:paraId="6C98549A" w14:textId="77777777" w:rsidR="00E0703B" w:rsidRPr="00785D06" w:rsidRDefault="00E0703B" w:rsidP="00C254BF">
      <w:pPr>
        <w:pStyle w:val="Textonotapie"/>
        <w:jc w:val="both"/>
        <w:rPr>
          <w:lang w:val="en-US"/>
        </w:rPr>
      </w:pPr>
    </w:p>
    <w:p w14:paraId="2AF2766E"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Official letter No. 1703-J-20PG of November 18, 2008 (evidence file, annex 44 to the Merits Report, folio 362).</w:t>
      </w:r>
    </w:p>
    <w:p w14:paraId="32B635C0" w14:textId="77777777" w:rsidR="00E0703B" w:rsidRPr="00785D06" w:rsidRDefault="00E0703B" w:rsidP="00C254BF">
      <w:pPr>
        <w:pStyle w:val="Textonotapie"/>
        <w:jc w:val="both"/>
        <w:rPr>
          <w:lang w:val="en-US"/>
        </w:rPr>
      </w:pPr>
    </w:p>
  </w:footnote>
  <w:footnote w:id="74">
    <w:p w14:paraId="1338CDC9" w14:textId="77777777" w:rsidR="00E0703B" w:rsidRPr="00785D06" w:rsidRDefault="00E0703B" w:rsidP="00C254BF">
      <w:pPr>
        <w:pStyle w:val="Textonotapie"/>
        <w:jc w:val="both"/>
        <w:rPr>
          <w:lang w:val="en-US"/>
        </w:rPr>
      </w:pPr>
    </w:p>
    <w:p w14:paraId="053B52FE"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Civil lawsuit of October 13, 2003 (evidence file, annex 45 to the Merits Report, folios 364 to 374).</w:t>
      </w:r>
    </w:p>
    <w:p w14:paraId="4FEB8BE0" w14:textId="77777777" w:rsidR="00E0703B" w:rsidRPr="00785D06" w:rsidRDefault="00E0703B" w:rsidP="00C254BF">
      <w:pPr>
        <w:pStyle w:val="Textonotapie"/>
        <w:jc w:val="both"/>
        <w:rPr>
          <w:lang w:val="en-US"/>
        </w:rPr>
      </w:pPr>
    </w:p>
  </w:footnote>
  <w:footnote w:id="75">
    <w:p w14:paraId="1A61F3A8"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Brief answering the lawsuit of April 15, 2004 (evidence file, annex 50 to the Merits Report, folios 385 to 388). </w:t>
      </w:r>
    </w:p>
  </w:footnote>
  <w:footnote w:id="76">
    <w:p w14:paraId="3ACD415C" w14:textId="77777777" w:rsidR="00E0703B" w:rsidRPr="00785D06" w:rsidRDefault="00E0703B" w:rsidP="00C254BF">
      <w:pPr>
        <w:pStyle w:val="Textonotapie"/>
        <w:jc w:val="both"/>
        <w:rPr>
          <w:lang w:val="en-US"/>
        </w:rPr>
      </w:pPr>
    </w:p>
    <w:p w14:paraId="6F512B47"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Decision of September 14, 2004 (evidence file, annex 53 to the Merits Report, folio 401).</w:t>
      </w:r>
    </w:p>
  </w:footnote>
  <w:footnote w:id="77">
    <w:p w14:paraId="17F6403A" w14:textId="77777777" w:rsidR="00E0703B" w:rsidRPr="00785D06" w:rsidRDefault="00E0703B" w:rsidP="00C254BF">
      <w:pPr>
        <w:pStyle w:val="Textonotapie"/>
        <w:jc w:val="both"/>
        <w:rPr>
          <w:lang w:val="en-US"/>
        </w:rPr>
      </w:pPr>
    </w:p>
    <w:p w14:paraId="5D0AA73E"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Appeal of May 15, 2006 (evidence file, annex 103 to the pleadings and motions brief, folios 6155 to 6156).</w:t>
      </w:r>
    </w:p>
  </w:footnote>
  <w:footnote w:id="78">
    <w:p w14:paraId="7CBEDBDF" w14:textId="77777777" w:rsidR="00E0703B" w:rsidRPr="00785D06" w:rsidRDefault="00E0703B" w:rsidP="00C254BF">
      <w:pPr>
        <w:pStyle w:val="Textonotapie"/>
        <w:jc w:val="both"/>
        <w:rPr>
          <w:lang w:val="en-US"/>
        </w:rPr>
      </w:pPr>
    </w:p>
    <w:p w14:paraId="4105FEDC"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Decision 341-06 of September 1, 2006, of the Second Chamber of the Superior Court of Justice of Guayaquil (evidence file, annex 51 to the answering brief, folio 7193).</w:t>
      </w:r>
    </w:p>
  </w:footnote>
  <w:footnote w:id="79">
    <w:p w14:paraId="1E0F19B6" w14:textId="77777777" w:rsidR="00E0703B" w:rsidRPr="00785D06" w:rsidRDefault="00E0703B" w:rsidP="00C254BF">
      <w:pPr>
        <w:pStyle w:val="Textonotapie"/>
        <w:jc w:val="both"/>
        <w:rPr>
          <w:lang w:val="en-US"/>
        </w:rPr>
      </w:pPr>
    </w:p>
    <w:p w14:paraId="445A2226"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Decisions of February 13, 2007 (545-C-2007) and July 16, 2012 (545-2003) of the Twenty-third Civil Court of Guayaquil (evidence file, annexes 105 to the pleadings and motions brief and 54 to the answering brief, folios 6159 and 7195, respectively).</w:t>
      </w:r>
    </w:p>
  </w:footnote>
  <w:footnote w:id="80">
    <w:p w14:paraId="50DCED23" w14:textId="77777777" w:rsidR="00E0703B" w:rsidRPr="00785D06" w:rsidRDefault="00E0703B" w:rsidP="00C254BF">
      <w:pPr>
        <w:pStyle w:val="Textonotapie"/>
        <w:jc w:val="both"/>
        <w:rPr>
          <w:lang w:val="en-US"/>
        </w:rPr>
      </w:pPr>
    </w:p>
    <w:p w14:paraId="46822FAE"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Letter from Mrs. Albarracín to the Provincial Superintendent of Education of Guayas (evidence file, annex 58 to the Merits Report, folio 434); complaint submitted to the Undersecretary of the Ministry of Education (evidence file, annex 63 to the Merits Report, folio 451); communication of August 19, 2003 (evidence file, annex 67 to the Merits Report, folio 571), and brief of Mrs. Albarracín to the Provincial Director of Education of Guayas (evidence file, annex 70 to the Merits Report, folio 618). </w:t>
      </w:r>
      <w:r w:rsidRPr="00785D06">
        <w:rPr>
          <w:rFonts w:cs="Arial"/>
          <w:lang w:val="en-US"/>
        </w:rPr>
        <w:t xml:space="preserve">Also, in September 2003, four teachers at the school made a complaint to the administration alleging that the principal had covered up a “series of improprieties” and that the vice principal was having relations with a fourth year student; thus, Paola’s case was not isolated. In this regard, see the </w:t>
      </w:r>
      <w:r w:rsidRPr="00785D06">
        <w:rPr>
          <w:lang w:val="en-US"/>
        </w:rPr>
        <w:t>communication dated September 2003 (evidence file, annex 68 to the Merits Report, folios 574 to 576).</w:t>
      </w:r>
      <w:r w:rsidRPr="00785D06">
        <w:rPr>
          <w:rFonts w:cs="Arial"/>
          <w:lang w:val="en-US"/>
        </w:rPr>
        <w:t xml:space="preserve"> </w:t>
      </w:r>
    </w:p>
  </w:footnote>
  <w:footnote w:id="81">
    <w:p w14:paraId="0B6C097F" w14:textId="77777777" w:rsidR="00E0703B" w:rsidRPr="00785D06" w:rsidRDefault="00E0703B" w:rsidP="00C254BF">
      <w:pPr>
        <w:pStyle w:val="Textonotapie"/>
        <w:jc w:val="both"/>
        <w:rPr>
          <w:lang w:val="en-US"/>
        </w:rPr>
      </w:pPr>
    </w:p>
    <w:p w14:paraId="4AB4F419"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First Report of the Provincial Office of Education, of December 22, 2002 (evidence file, annex 61 to the Merits Report, folios 444 to 447), and Second Report of the Provincial Office of Education, of January 23, 2003 (evidence file, annex 65 to the Merits Report, folios 562 to 566). </w:t>
      </w:r>
    </w:p>
  </w:footnote>
  <w:footnote w:id="82">
    <w:p w14:paraId="1B054E4F" w14:textId="77777777" w:rsidR="00E0703B" w:rsidRPr="00785D06" w:rsidRDefault="00E0703B" w:rsidP="00C254BF">
      <w:pPr>
        <w:pStyle w:val="Textonotapie"/>
        <w:jc w:val="both"/>
        <w:rPr>
          <w:lang w:val="en-US"/>
        </w:rPr>
      </w:pPr>
    </w:p>
    <w:p w14:paraId="3599DD67"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Communication of January 24, 2011 (evidence file, annex 71 to the Merits Report, folio 620). Prior to this, on </w:t>
      </w:r>
      <w:r w:rsidRPr="00785D06">
        <w:rPr>
          <w:rFonts w:cs="Arial"/>
          <w:lang w:val="en-US"/>
        </w:rPr>
        <w:t xml:space="preserve">May 14, 2003, the Provincial Supervisor of Education of Guayas informed the Provincial Sub-Director of Education of Guayas that the vice principal had not come to work in May 2003. See also the </w:t>
      </w:r>
      <w:r w:rsidRPr="00785D06">
        <w:rPr>
          <w:lang w:val="en-US"/>
        </w:rPr>
        <w:t xml:space="preserve">communication of May 14, 2003, signed by M.A., Provincial Supervisor of Education of Guayas, addressed to C.M., </w:t>
      </w:r>
      <w:r w:rsidRPr="00785D06">
        <w:rPr>
          <w:rFonts w:cs="Arial"/>
          <w:lang w:val="en-US"/>
        </w:rPr>
        <w:t>Provincial Sub-Director of Education</w:t>
      </w:r>
      <w:r w:rsidRPr="00785D06">
        <w:rPr>
          <w:lang w:val="en-US"/>
        </w:rPr>
        <w:t xml:space="preserve"> of Guayas (evidence file, annex 55 to the answering brief, folio 7209).</w:t>
      </w:r>
    </w:p>
  </w:footnote>
  <w:footnote w:id="83">
    <w:p w14:paraId="6ACF94CD" w14:textId="77777777" w:rsidR="00E0703B" w:rsidRPr="00785D06" w:rsidRDefault="00E0703B" w:rsidP="00C254BF">
      <w:pPr>
        <w:pStyle w:val="Textonotapie"/>
        <w:jc w:val="both"/>
        <w:rPr>
          <w:lang w:val="en-US"/>
        </w:rPr>
      </w:pPr>
    </w:p>
    <w:p w14:paraId="388C7B41" w14:textId="77777777" w:rsidR="00E0703B" w:rsidRPr="00785D06" w:rsidRDefault="00E0703B" w:rsidP="00C254BF">
      <w:pPr>
        <w:pStyle w:val="Textonotapie"/>
        <w:jc w:val="both"/>
        <w:rPr>
          <w:b/>
          <w:lang w:val="en-US"/>
        </w:rPr>
      </w:pPr>
      <w:r w:rsidRPr="00785D06">
        <w:rPr>
          <w:rStyle w:val="Refdenotaalpie"/>
          <w:lang w:val="en-US"/>
        </w:rPr>
        <w:footnoteRef/>
      </w:r>
      <w:r w:rsidRPr="00785D06">
        <w:rPr>
          <w:lang w:val="en-US"/>
        </w:rPr>
        <w:t xml:space="preserve"> </w:t>
      </w:r>
      <w:r w:rsidRPr="00785D06">
        <w:rPr>
          <w:lang w:val="en-US"/>
        </w:rPr>
        <w:tab/>
        <w:t>The Court will consider the violations of rights alleged by the Commission and the representatives. In this regard, the Court has repeatedly indicated in its case law that “</w:t>
      </w:r>
      <w:r w:rsidRPr="00785D06">
        <w:rPr>
          <w:rFonts w:eastAsia="Batang" w:cs="Times"/>
          <w:szCs w:val="20"/>
          <w:lang w:val="en-US"/>
        </w:rPr>
        <w:t xml:space="preserve">the representatives may invoke rights different to those indicated by the Commission in its Merits Report,” provided these are </w:t>
      </w:r>
      <w:r w:rsidRPr="00785D06">
        <w:rPr>
          <w:lang w:val="en-US"/>
        </w:rPr>
        <w:t xml:space="preserve">based on the factual framework presented by the Commission. </w:t>
      </w:r>
      <w:r w:rsidRPr="00785D06">
        <w:rPr>
          <w:i/>
          <w:lang w:val="en-US"/>
        </w:rPr>
        <w:t xml:space="preserve">Cf. Case of </w:t>
      </w:r>
      <w:r w:rsidRPr="00785D06">
        <w:rPr>
          <w:rFonts w:cs="Verdana,Italic"/>
          <w:i/>
          <w:iCs/>
          <w:lang w:val="en-US"/>
        </w:rPr>
        <w:t xml:space="preserve">Godínez Cruz v. Honduras. Merits. </w:t>
      </w:r>
      <w:r w:rsidRPr="00785D06">
        <w:rPr>
          <w:rFonts w:cs="Verdana,Italic"/>
          <w:iCs/>
          <w:lang w:val="en-US"/>
        </w:rPr>
        <w:t>Judgment of January 20, 1989. Series C No. 5, para. 172</w:t>
      </w:r>
      <w:r w:rsidRPr="00785D06">
        <w:rPr>
          <w:rFonts w:cs="Verdana"/>
          <w:lang w:val="en-US"/>
        </w:rPr>
        <w:t xml:space="preserve">, and </w:t>
      </w:r>
      <w:r w:rsidRPr="00785D06">
        <w:rPr>
          <w:rStyle w:val="Textoennegrita"/>
          <w:b w:val="0"/>
          <w:i/>
          <w:color w:val="000000"/>
          <w:shd w:val="clear" w:color="auto" w:fill="FFFFFF"/>
          <w:lang w:val="en-US"/>
        </w:rPr>
        <w:t>Case López et al. v. Argentina. Preliminary objections, merits, reparations and costs.</w:t>
      </w:r>
      <w:r w:rsidRPr="00785D06">
        <w:rPr>
          <w:rStyle w:val="Textoennegrita"/>
          <w:b w:val="0"/>
          <w:color w:val="000000"/>
          <w:shd w:val="clear" w:color="auto" w:fill="FFFFFF"/>
          <w:lang w:val="en-US"/>
        </w:rPr>
        <w:t xml:space="preserve"> Judgment of November 25, 2019. Series C No. 396, para. 196.</w:t>
      </w:r>
    </w:p>
  </w:footnote>
  <w:footnote w:id="84">
    <w:p w14:paraId="00612CFB" w14:textId="77777777" w:rsidR="00E0703B" w:rsidRPr="00785D06" w:rsidRDefault="00E0703B" w:rsidP="00C254BF">
      <w:pPr>
        <w:pStyle w:val="Textonotapie"/>
        <w:jc w:val="both"/>
        <w:rPr>
          <w:lang w:val="en-US"/>
        </w:rPr>
      </w:pPr>
    </w:p>
    <w:p w14:paraId="2B074DC9"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This section considers arguments concerning the violations of the rights to life, personal integrity, personal liberty, the protection of honor and dignity, freedom of thought and expression, the Rights of the Child, the right to equality before the law, the right to education and the right to health, as well as the obligations to respect and guarantee rights without discrimination, based on, respectively, Articles 4(1), 5(1), 5(2), 7(1), 11, 13, 19, 24, 26 and 1(1) of the American Convention. The Court also examines arguments on the right to education based on Article 13 of the Protocol of San Salvador. In addition, it considers arguments concerning the violation of Article 1 of the Inter-American Convention to Prevent and Punish Torture, which establishes the State’s obligation to “prevent and punish torture,” as well as the obligations to prevent and eradicate violence against women established in Article 7 of the Belém do Pará Convention. Ecuador ratified the Protocol of San Salvador on March 25, 1993, the Convention of Belém do Pará on September 15, 1995, and the Inter-American Convention to Prevent and Punish Torture on September 30, 1999. Those instruments entered into force, respectively, on November 16, 1999, March 5, 1995 and February 28, 1987.</w:t>
      </w:r>
    </w:p>
    <w:p w14:paraId="523FDF21" w14:textId="77777777" w:rsidR="00E0703B" w:rsidRPr="00785D06" w:rsidRDefault="00E0703B" w:rsidP="00C254BF">
      <w:pPr>
        <w:pStyle w:val="Textonotapie"/>
        <w:jc w:val="both"/>
        <w:rPr>
          <w:lang w:val="en-US"/>
        </w:rPr>
      </w:pPr>
    </w:p>
  </w:footnote>
  <w:footnote w:id="85">
    <w:p w14:paraId="775FC54F" w14:textId="77777777" w:rsidR="00E0703B" w:rsidRPr="00785D06" w:rsidRDefault="00E0703B" w:rsidP="00C254BF">
      <w:pPr>
        <w:pStyle w:val="Textonotapie"/>
        <w:jc w:val="both"/>
        <w:rPr>
          <w:color w:val="000000"/>
          <w:lang w:val="en-US"/>
        </w:rPr>
      </w:pPr>
      <w:r w:rsidRPr="00785D06">
        <w:rPr>
          <w:rStyle w:val="Refdenotaalpie"/>
          <w:lang w:val="en-US"/>
        </w:rPr>
        <w:footnoteRef/>
      </w:r>
      <w:r w:rsidRPr="00785D06">
        <w:rPr>
          <w:lang w:val="en-US"/>
        </w:rPr>
        <w:t xml:space="preserve"> </w:t>
      </w:r>
      <w:r w:rsidRPr="00785D06">
        <w:rPr>
          <w:lang w:val="en-US"/>
        </w:rPr>
        <w:tab/>
        <w:t>It is clear from paragraph 25 of the Admissibility Report (</w:t>
      </w:r>
      <w:r w:rsidRPr="00785D06">
        <w:rPr>
          <w:i/>
          <w:lang w:val="en-US"/>
        </w:rPr>
        <w:t xml:space="preserve">supra </w:t>
      </w:r>
      <w:r w:rsidRPr="00785D06">
        <w:rPr>
          <w:lang w:val="en-US"/>
        </w:rPr>
        <w:t>para. 2), under the heading “Position of the State,” that “i</w:t>
      </w:r>
      <w:r w:rsidRPr="00785D06">
        <w:rPr>
          <w:color w:val="000000"/>
          <w:lang w:val="en-US"/>
        </w:rPr>
        <w:t xml:space="preserve">n relation to the facts, the State observed that Paola del Rosario was the victim of sexual harassment and statutory rape by the assistant principal, who took advantage of his authority to sexually harass her and ultimately forced Guzmán Albarracín, a child, into a sexual act than in the end left her pregnant.” The text, as indicated in a footnote, is based on the following document: “Note Nº 4-2-277/07 of the Ministry of Foreign Relations of Ecuador, dated November 16, 2007.” </w:t>
      </w:r>
    </w:p>
    <w:p w14:paraId="30215D1D" w14:textId="77777777" w:rsidR="00E0703B" w:rsidRPr="00785D06" w:rsidRDefault="00E0703B" w:rsidP="00C254BF">
      <w:pPr>
        <w:pStyle w:val="Textonotapie"/>
        <w:jc w:val="both"/>
        <w:rPr>
          <w:lang w:val="en-US"/>
        </w:rPr>
      </w:pPr>
    </w:p>
  </w:footnote>
  <w:footnote w:id="86">
    <w:p w14:paraId="0AFDED4B" w14:textId="77777777" w:rsidR="00E0703B" w:rsidRPr="00785D06" w:rsidRDefault="00E0703B" w:rsidP="00C254BF">
      <w:pPr>
        <w:pStyle w:val="Textonotapie"/>
        <w:jc w:val="both"/>
        <w:rPr>
          <w:b/>
          <w:lang w:val="en-US"/>
        </w:rPr>
      </w:pPr>
      <w:r w:rsidRPr="00785D06">
        <w:rPr>
          <w:rStyle w:val="Refdenotaalpie"/>
          <w:lang w:val="en-US"/>
        </w:rPr>
        <w:footnoteRef/>
      </w:r>
      <w:r w:rsidRPr="00785D06">
        <w:rPr>
          <w:lang w:val="en-US"/>
        </w:rPr>
        <w:t xml:space="preserve"> </w:t>
      </w:r>
      <w:r w:rsidRPr="00785D06">
        <w:rPr>
          <w:lang w:val="en-US"/>
        </w:rPr>
        <w:tab/>
        <w:t>In their pleadings and motions brief, the representatives were not clear in their assertions regarding the doctor: on the one hand, they stated that “there are sufficient elements to consider that Paola” was the “victim of rape” by the school doctor, but on the other hand, they indicated that he had “possibly” had sexual relations with her. In their final written arguments the representatives held that “Paola was victim of rape by the school doctor.”</w:t>
      </w:r>
    </w:p>
    <w:p w14:paraId="4A84FBDC" w14:textId="77777777" w:rsidR="00E0703B" w:rsidRPr="00785D06" w:rsidRDefault="00E0703B" w:rsidP="00C254BF">
      <w:pPr>
        <w:pStyle w:val="Textonotapie"/>
        <w:jc w:val="both"/>
        <w:rPr>
          <w:lang w:val="en-US"/>
        </w:rPr>
      </w:pPr>
    </w:p>
  </w:footnote>
  <w:footnote w:id="87">
    <w:p w14:paraId="6ABF07CD"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 xml:space="preserve">The representatives stated that “lack of information and education on her sexual and reproductive rights intensified Paola’s situation of vulnerability and facilitated her subjection to the relationship of power perpetrated both by the vice principal and by the school doctor”.  </w:t>
      </w:r>
    </w:p>
    <w:p w14:paraId="3D9B3E5B" w14:textId="77777777" w:rsidR="00E0703B" w:rsidRPr="00785D06" w:rsidRDefault="00E0703B" w:rsidP="00C254BF">
      <w:pPr>
        <w:pStyle w:val="Textonotapie"/>
        <w:jc w:val="both"/>
        <w:rPr>
          <w:lang w:val="en-US"/>
        </w:rPr>
      </w:pPr>
    </w:p>
  </w:footnote>
  <w:footnote w:id="88">
    <w:p w14:paraId="07B3FEB5" w14:textId="77777777" w:rsidR="00E0703B" w:rsidRPr="00785D06" w:rsidRDefault="00E0703B" w:rsidP="00C254BF">
      <w:pPr>
        <w:pStyle w:val="Textonotapie"/>
        <w:jc w:val="both"/>
        <w:rPr>
          <w:b/>
          <w:lang w:val="en-US"/>
        </w:rPr>
      </w:pPr>
      <w:r w:rsidRPr="00785D06">
        <w:rPr>
          <w:rStyle w:val="Refdenotaalpie"/>
          <w:lang w:val="en-US"/>
        </w:rPr>
        <w:footnoteRef/>
      </w:r>
      <w:r w:rsidRPr="00785D06">
        <w:rPr>
          <w:lang w:val="en-US"/>
        </w:rPr>
        <w:t xml:space="preserve"> </w:t>
      </w:r>
      <w:r w:rsidRPr="00785D06">
        <w:rPr>
          <w:lang w:val="en-US"/>
        </w:rPr>
        <w:tab/>
        <w:t>As to the “factors that increased her vulnerability,” the representatives mentioned that she was a girl and a woman, arguing that her “age and gender increased the individual risk of suffering violence within the educational context.” They added that a lack of “sexual education” was another factor, since this was clearly insufficient in Paola’s case. They indicated that “if [she] had been older, and had benefited from sexual education, she would have had the autonomy to take decisions on her sexuality and reproduction and to denounce any harassment to which she may have been subjected.” They also mentioned her “economic situation.”</w:t>
      </w:r>
    </w:p>
    <w:p w14:paraId="1F3F0A79" w14:textId="77777777" w:rsidR="00E0703B" w:rsidRPr="00785D06" w:rsidRDefault="00E0703B" w:rsidP="00C254BF">
      <w:pPr>
        <w:pStyle w:val="Textonotapie"/>
        <w:jc w:val="both"/>
        <w:rPr>
          <w:lang w:val="en-US"/>
        </w:rPr>
      </w:pPr>
    </w:p>
  </w:footnote>
  <w:footnote w:id="89">
    <w:p w14:paraId="50817795" w14:textId="77777777" w:rsidR="00E0703B" w:rsidRPr="00785D06" w:rsidRDefault="00E0703B" w:rsidP="00C254BF">
      <w:pPr>
        <w:pStyle w:val="Textonotapie"/>
        <w:jc w:val="both"/>
        <w:rPr>
          <w:b/>
          <w:lang w:val="en-US"/>
        </w:rPr>
      </w:pPr>
      <w:r w:rsidRPr="00785D06">
        <w:rPr>
          <w:rStyle w:val="Refdenotaalpie"/>
          <w:lang w:val="en-US"/>
        </w:rPr>
        <w:footnoteRef/>
      </w:r>
      <w:r w:rsidRPr="00785D06">
        <w:rPr>
          <w:lang w:val="en-US"/>
        </w:rPr>
        <w:t xml:space="preserve"> </w:t>
      </w:r>
      <w:r w:rsidRPr="00785D06">
        <w:rPr>
          <w:lang w:val="en-US"/>
        </w:rPr>
        <w:tab/>
        <w:t xml:space="preserve">In support of their position they affirmed that “accessibility to education, as a component of the right to education […] requires that girls and adolescents can attend school without being victims of sexual harassment, [which is] a barrier to access to education.” </w:t>
      </w:r>
    </w:p>
    <w:p w14:paraId="11D56EBE" w14:textId="77777777" w:rsidR="00E0703B" w:rsidRPr="00785D06" w:rsidRDefault="00E0703B" w:rsidP="00C254BF">
      <w:pPr>
        <w:pStyle w:val="Textonotapie"/>
        <w:jc w:val="both"/>
        <w:rPr>
          <w:lang w:val="en-US"/>
        </w:rPr>
      </w:pPr>
    </w:p>
  </w:footnote>
  <w:footnote w:id="90">
    <w:p w14:paraId="440619CF" w14:textId="77777777" w:rsidR="00E0703B" w:rsidRPr="00785D06" w:rsidRDefault="00E0703B" w:rsidP="00C254BF">
      <w:pPr>
        <w:pStyle w:val="Textonotapie"/>
        <w:jc w:val="both"/>
        <w:rPr>
          <w:b/>
          <w:lang w:val="en-US"/>
        </w:rPr>
      </w:pPr>
      <w:r w:rsidRPr="00785D06">
        <w:rPr>
          <w:rStyle w:val="Refdenotaalpie"/>
          <w:lang w:val="en-US"/>
        </w:rPr>
        <w:footnoteRef/>
      </w:r>
      <w:r w:rsidRPr="00785D06">
        <w:rPr>
          <w:lang w:val="en-US"/>
        </w:rPr>
        <w:t xml:space="preserve"> </w:t>
      </w:r>
      <w:r w:rsidRPr="00785D06">
        <w:rPr>
          <w:lang w:val="en-US"/>
        </w:rPr>
        <w:tab/>
        <w:t xml:space="preserve">During the public hearing the State was asked whether or not it recognized that there had been an improper relationship between Paola and the vice principal. In its written arguments, Ecuador stated that it could not define that relationship, since the judgment issued during the criminal proceedings did not establish a legal definition for it. </w:t>
      </w:r>
    </w:p>
    <w:p w14:paraId="3918E92D" w14:textId="77777777" w:rsidR="00E0703B" w:rsidRPr="00785D06" w:rsidRDefault="00E0703B" w:rsidP="00C254BF">
      <w:pPr>
        <w:pStyle w:val="Textonotapie"/>
        <w:jc w:val="both"/>
        <w:rPr>
          <w:lang w:val="en-US"/>
        </w:rPr>
      </w:pPr>
    </w:p>
  </w:footnote>
  <w:footnote w:id="91">
    <w:p w14:paraId="0BB6280F" w14:textId="77777777" w:rsidR="00E0703B" w:rsidRPr="00785D06" w:rsidRDefault="00E0703B" w:rsidP="00C254BF">
      <w:pPr>
        <w:pStyle w:val="Prrafodelista"/>
        <w:ind w:left="0"/>
        <w:jc w:val="both"/>
        <w:rPr>
          <w:lang w:val="en-US"/>
        </w:rPr>
      </w:pPr>
      <w:r w:rsidRPr="00785D06">
        <w:rPr>
          <w:rStyle w:val="Refdenotaalpie"/>
          <w:lang w:val="en-US"/>
        </w:rPr>
        <w:footnoteRef/>
      </w:r>
      <w:r w:rsidRPr="00785D06">
        <w:rPr>
          <w:lang w:val="en-US"/>
        </w:rPr>
        <w:t xml:space="preserve"> </w:t>
      </w:r>
      <w:r w:rsidRPr="00785D06">
        <w:rPr>
          <w:lang w:val="en-US"/>
        </w:rPr>
        <w:tab/>
        <w:t>Among those policies, the State pointed out that: a) the Ministries of Health and Education implemented the “Comprehensive Health Manual for Educational Contexts” (which includes aspects of sexual and reproductive health); b) in 2014, the national campaign “</w:t>
      </w:r>
      <w:r w:rsidRPr="00785D06">
        <w:rPr>
          <w:i/>
          <w:lang w:val="en-US"/>
        </w:rPr>
        <w:t>Nadie nunca mas</w:t>
      </w:r>
      <w:r w:rsidRPr="00785D06">
        <w:rPr>
          <w:lang w:val="en-US"/>
        </w:rPr>
        <w:t>! Education without sexual violence” was launched; c) the Ministry of Education also implemented the Campaign for the Prevention of Sexual Violence in the Family “</w:t>
      </w:r>
      <w:r w:rsidRPr="00785D06">
        <w:rPr>
          <w:i/>
          <w:lang w:val="en-US"/>
        </w:rPr>
        <w:t>Ponle los seis sentidos</w:t>
      </w:r>
      <w:r w:rsidRPr="00785D06">
        <w:rPr>
          <w:lang w:val="en-US"/>
        </w:rPr>
        <w:t>”; d) the “Super Heroes” campaign was also implemented to prevent sexual abuse; e) “under a similar approach the State launched the campaigns ‘Super Padres’ (Super Parents)  and ‘Super Profes’ (Super Teachers)”; f) the “</w:t>
      </w:r>
      <w:r w:rsidRPr="00785D06">
        <w:rPr>
          <w:i/>
          <w:lang w:val="en-US"/>
        </w:rPr>
        <w:t>Educa TV</w:t>
      </w:r>
      <w:r w:rsidRPr="00785D06">
        <w:rPr>
          <w:lang w:val="en-US"/>
        </w:rPr>
        <w:t xml:space="preserve">” television program broadcasts “the teaching hour,” which includes content on violence and sexuality; g) since March 2016, the Ministry of Public Health has followed the “Operative Guidelines for the Prevention of Self-harm/Suicide”; h) in 2016 the “Guide to Community Mental Health” was disseminated; i) in 2017, the “Guide to Clinical Practice in Depression” was produced; j) the Ministry of Health implements local suicide prevention plans; k) the State has produced a “Manual of Standards and Procedures to Assist Victims of Domestic and Gender-based Violence”; l) Ministerial Agreement No. 267-2019 regulates the “First Assistance Service” and the “Mandatory Form for Notification of Cases of Presumed Gender-based Violence and Serious Human Rights Violations;” m) Ecuador has developed a “Sexual and Reproductive Health Plan (2017-2021);” n) since 2007, the State has adopted the “National Plan for the Prevention of Adolescent Pregnancy;” ñ) in 2010 Ecuador established the “Intersectional Strategy for the Prevention of Pregnancy and Family Planning in Adolescence (ENIPLA)”, and o) the State has implemented an “Intersectoral Policy for the Prevention of Pregnancy in Girls and Adolescents (2018-2025).” </w:t>
      </w:r>
    </w:p>
    <w:p w14:paraId="662B9094" w14:textId="77777777" w:rsidR="00E0703B" w:rsidRPr="00785D06" w:rsidRDefault="00E0703B" w:rsidP="00C254BF">
      <w:pPr>
        <w:pStyle w:val="Prrafodelista"/>
        <w:ind w:left="0"/>
        <w:jc w:val="both"/>
        <w:rPr>
          <w:lang w:val="en-US"/>
        </w:rPr>
      </w:pPr>
    </w:p>
  </w:footnote>
  <w:footnote w:id="92">
    <w:p w14:paraId="30566265" w14:textId="77777777" w:rsidR="00E0703B" w:rsidRPr="00785D06" w:rsidRDefault="00E0703B" w:rsidP="00C254BF">
      <w:pPr>
        <w:pStyle w:val="Textonotapie"/>
        <w:jc w:val="both"/>
        <w:rPr>
          <w:b/>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w:t>
      </w:r>
      <w:r w:rsidRPr="00785D06">
        <w:rPr>
          <w:rStyle w:val="Textoennegrita"/>
          <w:b w:val="0"/>
          <w:i/>
          <w:color w:val="000000"/>
          <w:shd w:val="clear" w:color="auto" w:fill="FFFFFF"/>
          <w:lang w:val="en-US"/>
        </w:rPr>
        <w:t>Case of the Miguel Castro-Castro Prison v. Peru. Merits, reparations and costs.</w:t>
      </w:r>
      <w:r w:rsidRPr="00785D06">
        <w:rPr>
          <w:rStyle w:val="Textoennegrita"/>
          <w:b w:val="0"/>
          <w:color w:val="000000"/>
          <w:shd w:val="clear" w:color="auto" w:fill="FFFFFF"/>
          <w:lang w:val="en-US"/>
        </w:rPr>
        <w:t xml:space="preserve"> Judgment of November 25, 2006. Series C No. 160, and </w:t>
      </w:r>
      <w:r w:rsidRPr="00785D06">
        <w:rPr>
          <w:rStyle w:val="Textoennegrita"/>
          <w:b w:val="0"/>
          <w:i/>
          <w:color w:val="000000"/>
          <w:shd w:val="clear" w:color="auto" w:fill="FFFFFF"/>
          <w:lang w:val="en-US"/>
        </w:rPr>
        <w:t>Case of the Women Victims of Sexual Torture in Atenco v. Mexico. Preliminary objection, merits, reparations and costs.</w:t>
      </w:r>
      <w:r w:rsidRPr="00785D06">
        <w:rPr>
          <w:rStyle w:val="Textoennegrita"/>
          <w:b w:val="0"/>
          <w:color w:val="000000"/>
          <w:shd w:val="clear" w:color="auto" w:fill="FFFFFF"/>
          <w:lang w:val="en-US"/>
        </w:rPr>
        <w:t xml:space="preserve"> Judgment of November 28, 2018. Series C No. 371.</w:t>
      </w:r>
    </w:p>
    <w:p w14:paraId="7D09945B" w14:textId="77777777" w:rsidR="00E0703B" w:rsidRPr="00785D06" w:rsidRDefault="00E0703B" w:rsidP="00C254BF">
      <w:pPr>
        <w:pStyle w:val="Textonotapie"/>
        <w:jc w:val="both"/>
        <w:rPr>
          <w:lang w:val="en-US"/>
        </w:rPr>
      </w:pPr>
    </w:p>
  </w:footnote>
  <w:footnote w:id="93">
    <w:p w14:paraId="738D54D3"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w:t>
      </w:r>
      <w:r w:rsidRPr="00785D06">
        <w:rPr>
          <w:i/>
          <w:lang w:val="en-US"/>
        </w:rPr>
        <w:t>Case of the "Institute of Reeducation of Minors" v. Paraguay. Preliminary objections, merits, reparations and costs.</w:t>
      </w:r>
      <w:r w:rsidRPr="00785D06">
        <w:rPr>
          <w:lang w:val="en-US"/>
        </w:rPr>
        <w:t xml:space="preserve"> Judgment of September 2, 2004. Series C No. 112, and </w:t>
      </w:r>
      <w:r w:rsidRPr="00785D06">
        <w:rPr>
          <w:i/>
          <w:lang w:val="en-US"/>
        </w:rPr>
        <w:t>Case of Mendoza et al. v. Argentina. Preliminary objections, merits and reparations.</w:t>
      </w:r>
      <w:r w:rsidRPr="00785D06">
        <w:rPr>
          <w:lang w:val="en-US"/>
        </w:rPr>
        <w:t xml:space="preserve"> Judgment of May 14, 2013. Series C. No. 260.</w:t>
      </w:r>
    </w:p>
    <w:p w14:paraId="0FFC26E7" w14:textId="77777777" w:rsidR="00E0703B" w:rsidRPr="00785D06" w:rsidRDefault="00E0703B" w:rsidP="00C254BF">
      <w:pPr>
        <w:pStyle w:val="Textonotapie"/>
        <w:jc w:val="both"/>
        <w:rPr>
          <w:lang w:val="en-US"/>
        </w:rPr>
      </w:pPr>
    </w:p>
  </w:footnote>
  <w:footnote w:id="94">
    <w:p w14:paraId="576D3652"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w:t>
      </w:r>
      <w:r w:rsidRPr="00785D06">
        <w:rPr>
          <w:i/>
          <w:lang w:val="en-US"/>
        </w:rPr>
        <w:t>Case of the Dos Erres Massacre v. Guatemala. Preliminary objection, merits, reparations and costs.</w:t>
      </w:r>
      <w:r w:rsidRPr="00785D06">
        <w:rPr>
          <w:lang w:val="en-US"/>
        </w:rPr>
        <w:t xml:space="preserve"> Judgment of November 24, 2009. Series C No. 211, and </w:t>
      </w:r>
      <w:r w:rsidRPr="00785D06">
        <w:rPr>
          <w:i/>
          <w:lang w:val="en-US"/>
        </w:rPr>
        <w:t>Case of Vereda La Esperanza v. Colombia. Preliminary objections, merits, reparations and costs.</w:t>
      </w:r>
      <w:r w:rsidRPr="00785D06">
        <w:rPr>
          <w:lang w:val="en-US"/>
        </w:rPr>
        <w:t xml:space="preserve"> Judgment of August 31, 2017. Series C No. 341.</w:t>
      </w:r>
    </w:p>
    <w:p w14:paraId="13C9CFCB" w14:textId="77777777" w:rsidR="00E0703B" w:rsidRPr="00785D06" w:rsidRDefault="00E0703B" w:rsidP="00C254BF">
      <w:pPr>
        <w:pStyle w:val="Textonotapie"/>
        <w:jc w:val="both"/>
        <w:rPr>
          <w:lang w:val="en-US"/>
        </w:rPr>
      </w:pPr>
    </w:p>
  </w:footnote>
  <w:footnote w:id="95">
    <w:p w14:paraId="403556B8"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w:t>
      </w:r>
      <w:r w:rsidRPr="00785D06">
        <w:rPr>
          <w:i/>
          <w:lang w:val="en-US"/>
        </w:rPr>
        <w:t>Case of the “Street Children” (Villagrán Morales et al.) v. Guatemala. Merits.</w:t>
      </w:r>
      <w:r w:rsidRPr="00785D06">
        <w:rPr>
          <w:lang w:val="en-US"/>
        </w:rPr>
        <w:t xml:space="preserve"> Judgment of November 19, 1999, and </w:t>
      </w:r>
      <w:r w:rsidRPr="00785D06">
        <w:rPr>
          <w:i/>
          <w:lang w:val="en-US"/>
        </w:rPr>
        <w:t>Case of Servellón García et al. v. Honduras.</w:t>
      </w:r>
      <w:r w:rsidRPr="00785D06">
        <w:rPr>
          <w:lang w:val="en-US"/>
        </w:rPr>
        <w:t xml:space="preserve"> Judgment of September 21, 2006. Series C. No. 152.</w:t>
      </w:r>
    </w:p>
    <w:p w14:paraId="594C9E9E" w14:textId="77777777" w:rsidR="00E0703B" w:rsidRPr="00785D06" w:rsidRDefault="00E0703B" w:rsidP="00C254BF">
      <w:pPr>
        <w:pStyle w:val="Textonotapie"/>
        <w:jc w:val="both"/>
        <w:rPr>
          <w:lang w:val="en-US"/>
        </w:rPr>
      </w:pPr>
    </w:p>
  </w:footnote>
  <w:footnote w:id="96">
    <w:p w14:paraId="6B6E0211"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 Case of the Pacheco Tineo Family v. Bolivia. Preliminary objections, merits, reparations and costs.</w:t>
      </w:r>
      <w:r w:rsidRPr="00785D06">
        <w:rPr>
          <w:lang w:val="en-US"/>
        </w:rPr>
        <w:t xml:space="preserve"> Judgment of November 25, 2013. Series C No. 272, and </w:t>
      </w:r>
      <w:r w:rsidRPr="00785D06">
        <w:rPr>
          <w:i/>
          <w:lang w:val="en-US"/>
        </w:rPr>
        <w:t>Case of Expelled Dominicans and Haitians v. Dominican Republic. Preliminary objections, merits, reparations and costs</w:t>
      </w:r>
      <w:r w:rsidRPr="00785D06">
        <w:rPr>
          <w:lang w:val="en-US"/>
        </w:rPr>
        <w:t>. Judgment of August 28, 2014. Series C No. 282.</w:t>
      </w:r>
    </w:p>
    <w:p w14:paraId="76522AE0" w14:textId="77777777" w:rsidR="00E0703B" w:rsidRPr="00785D06" w:rsidRDefault="00E0703B" w:rsidP="00C254BF">
      <w:pPr>
        <w:pStyle w:val="Textonotapie"/>
        <w:tabs>
          <w:tab w:val="left" w:pos="3120"/>
        </w:tabs>
        <w:jc w:val="both"/>
        <w:rPr>
          <w:lang w:val="en-US"/>
        </w:rPr>
      </w:pPr>
    </w:p>
  </w:footnote>
  <w:footnote w:id="97">
    <w:p w14:paraId="4943D85F" w14:textId="77777777" w:rsidR="00E0703B" w:rsidRPr="00785D06" w:rsidRDefault="00E0703B" w:rsidP="00C254BF">
      <w:pPr>
        <w:pStyle w:val="Textonotapie"/>
        <w:jc w:val="both"/>
        <w:rPr>
          <w:rStyle w:val="Textoennegrita"/>
          <w:b w:val="0"/>
          <w:color w:val="000000"/>
          <w:shd w:val="clear" w:color="auto" w:fill="FFFFFF"/>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w:t>
      </w:r>
      <w:r w:rsidRPr="00785D06">
        <w:rPr>
          <w:i/>
          <w:lang w:val="en-US"/>
        </w:rPr>
        <w:t>inter alia</w:t>
      </w:r>
      <w:r w:rsidRPr="00785D06">
        <w:rPr>
          <w:lang w:val="en-US"/>
        </w:rPr>
        <w:t xml:space="preserve">, </w:t>
      </w:r>
      <w:r w:rsidRPr="00785D06">
        <w:rPr>
          <w:rStyle w:val="Textoennegrita"/>
          <w:b w:val="0"/>
          <w:i/>
          <w:color w:val="000000"/>
          <w:shd w:val="clear" w:color="auto" w:fill="FFFFFF"/>
          <w:lang w:val="en-US"/>
        </w:rPr>
        <w:t>Case of González et al. (“Cotton Field”) v. Mexico. Preliminary objection, merits, reparations and costs.</w:t>
      </w:r>
      <w:r w:rsidRPr="00785D06">
        <w:rPr>
          <w:rStyle w:val="Textoennegrita"/>
          <w:b w:val="0"/>
          <w:color w:val="000000"/>
          <w:shd w:val="clear" w:color="auto" w:fill="FFFFFF"/>
          <w:lang w:val="en-US"/>
        </w:rPr>
        <w:t xml:space="preserve"> Judgment of November 16, 2009. Series C No. 205, and </w:t>
      </w:r>
      <w:r w:rsidRPr="00785D06">
        <w:rPr>
          <w:rStyle w:val="Textoennegrita"/>
          <w:b w:val="0"/>
          <w:i/>
          <w:color w:val="000000"/>
          <w:shd w:val="clear" w:color="auto" w:fill="FFFFFF"/>
          <w:lang w:val="en-US"/>
        </w:rPr>
        <w:t>Case of V.R.P., V.P.C. et al. v. Nicaragua. Preliminary objections, merits, reparations and costs.</w:t>
      </w:r>
      <w:r w:rsidRPr="00785D06">
        <w:rPr>
          <w:rStyle w:val="Textoennegrita"/>
          <w:b w:val="0"/>
          <w:color w:val="000000"/>
          <w:shd w:val="clear" w:color="auto" w:fill="FFFFFF"/>
          <w:lang w:val="en-US"/>
        </w:rPr>
        <w:t xml:space="preserve"> Judgment of March 8, 2018. Series C No. 350. </w:t>
      </w:r>
    </w:p>
    <w:p w14:paraId="4AD09E3C" w14:textId="77777777" w:rsidR="00E0703B" w:rsidRPr="00785D06" w:rsidRDefault="00E0703B" w:rsidP="00C254BF">
      <w:pPr>
        <w:pStyle w:val="Textonotapie"/>
        <w:jc w:val="both"/>
        <w:rPr>
          <w:b/>
          <w:lang w:val="en-US"/>
        </w:rPr>
      </w:pPr>
    </w:p>
  </w:footnote>
  <w:footnote w:id="98">
    <w:p w14:paraId="405348F3" w14:textId="77777777" w:rsidR="00E0703B" w:rsidRPr="00785D06" w:rsidRDefault="00E0703B" w:rsidP="00C254BF">
      <w:pPr>
        <w:pStyle w:val="Prrafodelista"/>
        <w:ind w:left="0"/>
        <w:contextualSpacing w:val="0"/>
        <w:jc w:val="both"/>
        <w:rPr>
          <w:lang w:val="en-US"/>
        </w:rPr>
      </w:pPr>
      <w:r w:rsidRPr="00785D06">
        <w:rPr>
          <w:rStyle w:val="Refdenotaalpie"/>
          <w:lang w:val="en-US"/>
        </w:rPr>
        <w:footnoteRef/>
      </w:r>
      <w:r w:rsidRPr="00785D06">
        <w:rPr>
          <w:lang w:val="en-US"/>
        </w:rPr>
        <w:t xml:space="preserve"> </w:t>
      </w:r>
      <w:r w:rsidRPr="00785D06">
        <w:rPr>
          <w:lang w:val="en-US"/>
        </w:rPr>
        <w:tab/>
        <w:t>This Court has indicated that Article 5 of the Convention protects personal integrity, both physical and mental as well as moral (</w:t>
      </w:r>
      <w:r w:rsidRPr="00785D06">
        <w:rPr>
          <w:i/>
          <w:lang w:val="en-US"/>
        </w:rPr>
        <w:t>infra</w:t>
      </w:r>
      <w:r w:rsidRPr="00785D06">
        <w:rPr>
          <w:lang w:val="en-US"/>
        </w:rPr>
        <w:t xml:space="preserve"> para. 148).</w:t>
      </w:r>
      <w:r w:rsidRPr="00785D06">
        <w:rPr>
          <w:bCs/>
          <w:lang w:val="en-US"/>
        </w:rPr>
        <w:t xml:space="preserve"> For its part, Article</w:t>
      </w:r>
      <w:r w:rsidRPr="00785D06">
        <w:rPr>
          <w:lang w:val="en-US" w:eastAsia="es-ES_tradnl"/>
        </w:rPr>
        <w:t xml:space="preserve"> 11 of the American Convention prohibits all arbitrary or abusive interference in the private life of persons. In </w:t>
      </w:r>
      <w:r w:rsidRPr="00785D06">
        <w:rPr>
          <w:bCs/>
          <w:lang w:val="en-US"/>
        </w:rPr>
        <w:t>cases of sexual violence, the violation of personal integrity is an infringement of private life</w:t>
      </w:r>
      <w:r w:rsidRPr="00785D06">
        <w:rPr>
          <w:lang w:val="en-US"/>
        </w:rPr>
        <w:t>, which “encompasses sexual life or sexuality.” (</w:t>
      </w:r>
      <w:r w:rsidRPr="00785D06">
        <w:rPr>
          <w:i/>
          <w:lang w:val="en-US"/>
        </w:rPr>
        <w:t xml:space="preserve">Cf. Case of Fernández Ortega et al. v. Mexico. Preliminary objection, Merits, reparations and costs. </w:t>
      </w:r>
      <w:r w:rsidRPr="00785D06">
        <w:rPr>
          <w:lang w:val="en-US"/>
        </w:rPr>
        <w:t>Judgment of 30 August 2010. Series C No. 215</w:t>
      </w:r>
      <w:r w:rsidRPr="00785D06">
        <w:rPr>
          <w:i/>
          <w:lang w:val="en-US"/>
        </w:rPr>
        <w:t>,</w:t>
      </w:r>
      <w:r w:rsidRPr="00785D06">
        <w:rPr>
          <w:lang w:val="en-US"/>
        </w:rPr>
        <w:t xml:space="preserve"> para. 129, and </w:t>
      </w:r>
      <w:r w:rsidRPr="00785D06">
        <w:rPr>
          <w:bCs/>
          <w:i/>
          <w:lang w:val="en-US"/>
        </w:rPr>
        <w:t>Case of Azul Rojas Marín et al. v. Peru</w:t>
      </w:r>
      <w:r w:rsidRPr="00785D06">
        <w:rPr>
          <w:bCs/>
          <w:lang w:val="en-US"/>
        </w:rPr>
        <w:t>, para. 141</w:t>
      </w:r>
      <w:r w:rsidRPr="00785D06">
        <w:rPr>
          <w:lang w:val="en-US"/>
        </w:rPr>
        <w:t xml:space="preserve">). In that regard, the Court has indicated that the </w:t>
      </w:r>
      <w:r w:rsidRPr="00785D06">
        <w:rPr>
          <w:lang w:val="en-US" w:eastAsia="es-ES_tradnl"/>
        </w:rPr>
        <w:t xml:space="preserve">protection of private life “includes a series of factors related to the dignity of the individual, including, for example, the capacity to […] determine their own personal relationships. The concept of private life encompasses aspects of physical and social identity, including the right to personal autonomy, personal development and the right to establish and develop relationships with other human beings and with the outside world.” </w:t>
      </w:r>
      <w:r w:rsidRPr="00785D06">
        <w:rPr>
          <w:lang w:val="en-US"/>
        </w:rPr>
        <w:t>(</w:t>
      </w:r>
      <w:r w:rsidRPr="00785D06">
        <w:rPr>
          <w:i/>
          <w:lang w:val="en-US"/>
        </w:rPr>
        <w:t>Cf. Case of Fernández Ortega et al. v. Mexico</w:t>
      </w:r>
      <w:r w:rsidRPr="00785D06">
        <w:rPr>
          <w:lang w:val="en-US"/>
        </w:rPr>
        <w:t xml:space="preserve">, para. 129, and </w:t>
      </w:r>
      <w:r w:rsidRPr="00785D06">
        <w:rPr>
          <w:rFonts w:cs="Arial"/>
          <w:i/>
          <w:shd w:val="clear" w:color="auto" w:fill="FFFFFF"/>
          <w:lang w:val="en-US"/>
        </w:rPr>
        <w:t>Case of López et al. v. Argentina</w:t>
      </w:r>
      <w:r w:rsidRPr="00785D06">
        <w:rPr>
          <w:rFonts w:cs="Arial"/>
          <w:shd w:val="clear" w:color="auto" w:fill="FFFFFF"/>
          <w:lang w:val="en-US"/>
        </w:rPr>
        <w:t>, para. 97</w:t>
      </w:r>
      <w:r w:rsidRPr="00785D06">
        <w:rPr>
          <w:lang w:val="en-US"/>
        </w:rPr>
        <w:t xml:space="preserve">). The </w:t>
      </w:r>
      <w:r w:rsidRPr="00785D06">
        <w:rPr>
          <w:rFonts w:eastAsia="Times New Roman"/>
          <w:color w:val="000000"/>
          <w:lang w:val="en-US"/>
        </w:rPr>
        <w:t>Committee on the Rights of the Child has indicated that “</w:t>
      </w:r>
      <w:r w:rsidRPr="00785D06">
        <w:rPr>
          <w:lang w:val="en-US"/>
        </w:rPr>
        <w:t>the freedoms that are of increasing importance in accordance with growing capacity and maturity, include the right to control one’s health and body, including sexual and reproductive freedom.</w:t>
      </w:r>
      <w:r w:rsidRPr="00785D06">
        <w:rPr>
          <w:rFonts w:eastAsia="Times New Roman"/>
          <w:color w:val="000000"/>
          <w:lang w:val="en-US"/>
        </w:rPr>
        <w:t>” (</w:t>
      </w:r>
      <w:r w:rsidRPr="00785D06">
        <w:rPr>
          <w:bCs/>
          <w:lang w:val="en-US"/>
        </w:rPr>
        <w:t xml:space="preserve">Committee on the Rights of the Child. </w:t>
      </w:r>
      <w:r w:rsidRPr="00785D06">
        <w:rPr>
          <w:bCs/>
          <w:i/>
          <w:lang w:val="en-US"/>
        </w:rPr>
        <w:t>General Comment 15 on the right of the child to the enjoyment of the highest attainable standard of health</w:t>
      </w:r>
      <w:r w:rsidRPr="00785D06">
        <w:rPr>
          <w:bCs/>
          <w:lang w:val="en-US"/>
        </w:rPr>
        <w:t xml:space="preserve"> </w:t>
      </w:r>
      <w:r w:rsidRPr="00785D06">
        <w:rPr>
          <w:bCs/>
          <w:i/>
          <w:lang w:val="en-US"/>
        </w:rPr>
        <w:t>(Article 24)</w:t>
      </w:r>
      <w:r w:rsidRPr="00785D06">
        <w:rPr>
          <w:bCs/>
          <w:lang w:val="en-US"/>
        </w:rPr>
        <w:t xml:space="preserve">. </w:t>
      </w:r>
      <w:r w:rsidRPr="00785D06">
        <w:rPr>
          <w:rFonts w:eastAsia="Times New Roman"/>
          <w:color w:val="000000"/>
          <w:lang w:val="en-US"/>
        </w:rPr>
        <w:t xml:space="preserve">April 17, 2013. Doc. CRC/C/GC/15, para. 24). </w:t>
      </w:r>
    </w:p>
    <w:p w14:paraId="5622745C" w14:textId="77777777" w:rsidR="00E0703B" w:rsidRPr="00785D06" w:rsidRDefault="00E0703B" w:rsidP="00C254BF">
      <w:pPr>
        <w:pStyle w:val="Textonotapie"/>
        <w:jc w:val="both"/>
        <w:rPr>
          <w:lang w:val="en-US"/>
        </w:rPr>
      </w:pPr>
    </w:p>
  </w:footnote>
  <w:footnote w:id="99">
    <w:p w14:paraId="02D6BE59" w14:textId="77777777" w:rsidR="00E0703B" w:rsidRPr="00785D06" w:rsidRDefault="00E0703B" w:rsidP="00C254BF">
      <w:pPr>
        <w:pStyle w:val="Textonotapie"/>
        <w:jc w:val="both"/>
        <w:rPr>
          <w:rFonts w:eastAsia="Times New Roman"/>
          <w:color w:val="000000"/>
          <w:lang w:val="en-US" w:eastAsia="es-ES_tradnl"/>
        </w:rPr>
      </w:pPr>
      <w:r w:rsidRPr="00785D06">
        <w:rPr>
          <w:rStyle w:val="Refdenotaalpie"/>
          <w:lang w:val="en-US"/>
        </w:rPr>
        <w:footnoteRef/>
      </w:r>
      <w:r w:rsidRPr="00785D06">
        <w:rPr>
          <w:lang w:val="en-US"/>
        </w:rPr>
        <w:t xml:space="preserve"> </w:t>
      </w:r>
      <w:r w:rsidRPr="00785D06">
        <w:rPr>
          <w:lang w:val="en-US"/>
        </w:rPr>
        <w:tab/>
        <w:t xml:space="preserve">The same applies to Article 2 of the Declaration on the Elimination of Violence Against Women. In addition, </w:t>
      </w:r>
      <w:r w:rsidRPr="00785D06">
        <w:rPr>
          <w:rFonts w:eastAsia="Times New Roman"/>
          <w:color w:val="000000"/>
          <w:lang w:val="en-US" w:eastAsia="es-ES_tradnl"/>
        </w:rPr>
        <w:t>Article 10 of the Convention on the Elimination of All Forms of Discrimination against Women requires States to adopt the necessary measures to eliminate discrimination against women in education and ensure them equal rights with men in that sphere. The Convention entered into force on September 3, 1981, and Ecuador ratified it on November 9 of that same year.</w:t>
      </w:r>
    </w:p>
    <w:p w14:paraId="03511668" w14:textId="77777777" w:rsidR="00E0703B" w:rsidRPr="00785D06" w:rsidRDefault="00E0703B" w:rsidP="00C254BF">
      <w:pPr>
        <w:pStyle w:val="Textonotapie"/>
        <w:rPr>
          <w:lang w:val="en-US"/>
        </w:rPr>
      </w:pPr>
    </w:p>
  </w:footnote>
  <w:footnote w:id="100">
    <w:p w14:paraId="58D53E7E" w14:textId="77777777" w:rsidR="00E0703B" w:rsidRPr="00785D06" w:rsidRDefault="00E0703B" w:rsidP="00C254BF">
      <w:pPr>
        <w:jc w:val="both"/>
        <w:rPr>
          <w:rFonts w:eastAsia="Times New Roman"/>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 xml:space="preserve">Cf. Case of the Miguel Castro-Castro Prison v. Peru, </w:t>
      </w:r>
      <w:r w:rsidRPr="00785D06">
        <w:rPr>
          <w:lang w:val="en-US"/>
        </w:rPr>
        <w:t xml:space="preserve">para. 303, and </w:t>
      </w:r>
      <w:r w:rsidRPr="00785D06">
        <w:rPr>
          <w:i/>
          <w:lang w:val="en-US"/>
        </w:rPr>
        <w:t>Case of the Women Victims of Sexual Torture in Atenco v. Mexico</w:t>
      </w:r>
      <w:r w:rsidRPr="00785D06">
        <w:rPr>
          <w:lang w:val="en-US"/>
        </w:rPr>
        <w:t xml:space="preserve">, para. 221. </w:t>
      </w:r>
    </w:p>
    <w:p w14:paraId="07CB46C8" w14:textId="77777777" w:rsidR="00E0703B" w:rsidRPr="00785D06" w:rsidRDefault="00E0703B" w:rsidP="00C254BF">
      <w:pPr>
        <w:pStyle w:val="Textonotapie"/>
        <w:rPr>
          <w:lang w:val="en-US"/>
        </w:rPr>
      </w:pPr>
    </w:p>
  </w:footnote>
  <w:footnote w:id="101">
    <w:p w14:paraId="1C671EC8" w14:textId="77777777" w:rsidR="00E0703B" w:rsidRPr="00785D06" w:rsidRDefault="00E0703B" w:rsidP="00C254BF">
      <w:pPr>
        <w:pStyle w:val="Textonotapie"/>
        <w:jc w:val="both"/>
        <w:rPr>
          <w:b/>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 xml:space="preserve">Cf. Case of </w:t>
      </w:r>
      <w:r w:rsidRPr="00785D06">
        <w:rPr>
          <w:rStyle w:val="Textoennegrita"/>
          <w:b w:val="0"/>
          <w:i/>
          <w:color w:val="000000"/>
          <w:shd w:val="clear" w:color="auto" w:fill="FFFFFF"/>
          <w:lang w:val="en-US"/>
        </w:rPr>
        <w:t>López Soto et al. v. Venezuela. Merits, reparations and costs.</w:t>
      </w:r>
      <w:r w:rsidRPr="00785D06">
        <w:rPr>
          <w:rStyle w:val="Textoennegrita"/>
          <w:b w:val="0"/>
          <w:color w:val="000000"/>
          <w:shd w:val="clear" w:color="auto" w:fill="FFFFFF"/>
          <w:lang w:val="en-US"/>
        </w:rPr>
        <w:t xml:space="preserve"> Judgment of September 26, 2018. Series C No. 362</w:t>
      </w:r>
      <w:r w:rsidRPr="00785D06">
        <w:rPr>
          <w:lang w:val="en-US"/>
        </w:rPr>
        <w:t xml:space="preserve">, para. 124. See, also, </w:t>
      </w:r>
      <w:r w:rsidRPr="00785D06">
        <w:rPr>
          <w:rStyle w:val="Textoennegrita"/>
          <w:b w:val="0"/>
          <w:i/>
          <w:color w:val="000000"/>
          <w:shd w:val="clear" w:color="auto" w:fill="FFFFFF"/>
          <w:lang w:val="en-US"/>
        </w:rPr>
        <w:t>Case of Véliz Franco et al. v. Guatemala. Preliminary objections, merits, reparations and costs</w:t>
      </w:r>
      <w:r w:rsidRPr="00785D06">
        <w:rPr>
          <w:rStyle w:val="Textoennegrita"/>
          <w:b w:val="0"/>
          <w:color w:val="000000"/>
          <w:shd w:val="clear" w:color="auto" w:fill="FFFFFF"/>
          <w:lang w:val="en-US"/>
        </w:rPr>
        <w:t>. Judgment of May 19, 2014. Series C No. 277</w:t>
      </w:r>
      <w:r w:rsidRPr="00785D06">
        <w:rPr>
          <w:lang w:val="en-US"/>
        </w:rPr>
        <w:t xml:space="preserve">, para. 207. The Court shares the view of the Committee for the Elimination of Discrimination Against Women regarding the fact that “violence against women is a form of discrimination that seriously inhibits the capacity of women to enjoy rights and freedoms on an equal footing with men.” The Committee has stated that “violence against women […] undermines or annuls women’s enjoyment of their human rights and fundamental freedoms,” and that “traditional attitudes that regard women as subordinate to men or as having stereotyped roles perpetuate widespread practices involving violence or coercion” and that the “underlying consequences” of that violence “help to maintain women in subordinate roles.” It also recommends that States “take positive measures to eliminate all forms of violence against women” (Committee for the Elimination of Discrimination Against Women, General Recommendation No. 19, </w:t>
      </w:r>
      <w:r w:rsidRPr="00785D06">
        <w:rPr>
          <w:i/>
          <w:lang w:val="en-US"/>
        </w:rPr>
        <w:t>Violence against women</w:t>
      </w:r>
      <w:r w:rsidRPr="00785D06">
        <w:rPr>
          <w:lang w:val="en-US"/>
        </w:rPr>
        <w:t>, 1992, Doc. A/47/38, paras. 1, 7, 11 and 4, respectively).</w:t>
      </w:r>
    </w:p>
    <w:p w14:paraId="3B149401" w14:textId="77777777" w:rsidR="00E0703B" w:rsidRPr="00785D06" w:rsidRDefault="00E0703B" w:rsidP="00C254BF">
      <w:pPr>
        <w:pStyle w:val="Textonotapie"/>
        <w:rPr>
          <w:lang w:val="en-US"/>
        </w:rPr>
      </w:pPr>
    </w:p>
  </w:footnote>
  <w:footnote w:id="102">
    <w:p w14:paraId="1F7ED0CB"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 Case of González et al. (“Cotton Field”) v. Mexico</w:t>
      </w:r>
      <w:r w:rsidRPr="00785D06">
        <w:rPr>
          <w:lang w:val="en-US"/>
        </w:rPr>
        <w:t xml:space="preserve">, para. 258, and </w:t>
      </w:r>
      <w:r w:rsidRPr="00785D06">
        <w:rPr>
          <w:i/>
          <w:lang w:val="en-US"/>
        </w:rPr>
        <w:t>Case of Women Victims of Sexual Torture in Atenco v. Mexico</w:t>
      </w:r>
      <w:r w:rsidRPr="00785D06">
        <w:rPr>
          <w:lang w:val="en-US"/>
        </w:rPr>
        <w:t>, para. 180.</w:t>
      </w:r>
      <w:r w:rsidRPr="00785D06">
        <w:rPr>
          <w:i/>
          <w:lang w:val="en-US"/>
        </w:rPr>
        <w:t xml:space="preserve"> </w:t>
      </w:r>
    </w:p>
    <w:p w14:paraId="5F1CBAD6" w14:textId="77777777" w:rsidR="00E0703B" w:rsidRPr="00785D06" w:rsidRDefault="00E0703B" w:rsidP="00C254BF">
      <w:pPr>
        <w:pStyle w:val="Textonotapie"/>
        <w:rPr>
          <w:lang w:val="en-US"/>
        </w:rPr>
      </w:pPr>
    </w:p>
  </w:footnote>
  <w:footnote w:id="103">
    <w:p w14:paraId="6C387B55"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 Case of González et al. (“Cotton Field”) v. Mexico</w:t>
      </w:r>
      <w:r w:rsidRPr="00785D06">
        <w:rPr>
          <w:lang w:val="en-US"/>
        </w:rPr>
        <w:t xml:space="preserve">, para. 258, and </w:t>
      </w:r>
      <w:r w:rsidRPr="00785D06">
        <w:rPr>
          <w:rStyle w:val="Textoennegrita"/>
          <w:b w:val="0"/>
          <w:i/>
          <w:color w:val="000000"/>
          <w:shd w:val="clear" w:color="auto" w:fill="FFFFFF"/>
          <w:lang w:val="en-US"/>
        </w:rPr>
        <w:t>Case of López Soto et al. v. Venezuela</w:t>
      </w:r>
      <w:r w:rsidRPr="00785D06">
        <w:rPr>
          <w:lang w:val="en-US"/>
        </w:rPr>
        <w:t>, para. 131.</w:t>
      </w:r>
    </w:p>
    <w:p w14:paraId="4DE052AE" w14:textId="77777777" w:rsidR="00E0703B" w:rsidRPr="00785D06" w:rsidRDefault="00E0703B" w:rsidP="00C254BF">
      <w:pPr>
        <w:pStyle w:val="Textonotapie"/>
        <w:jc w:val="both"/>
        <w:rPr>
          <w:lang w:val="en-US"/>
        </w:rPr>
      </w:pPr>
    </w:p>
  </w:footnote>
  <w:footnote w:id="104">
    <w:p w14:paraId="31D0BF25" w14:textId="77777777" w:rsidR="00E0703B" w:rsidRPr="00785D06" w:rsidRDefault="00E0703B" w:rsidP="00C254BF">
      <w:pPr>
        <w:pStyle w:val="Textonotapie"/>
        <w:jc w:val="both"/>
        <w:rPr>
          <w:b/>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 xml:space="preserve">Cf. Case of </w:t>
      </w:r>
      <w:r w:rsidRPr="00785D06">
        <w:rPr>
          <w:rStyle w:val="Textoennegrita"/>
          <w:b w:val="0"/>
          <w:i/>
          <w:color w:val="000000"/>
          <w:shd w:val="clear" w:color="auto" w:fill="FFFFFF"/>
          <w:lang w:val="en-US"/>
        </w:rPr>
        <w:t>the “Street Children” (Villagrán Morales et al.) v. Guatemala. Merits, para.</w:t>
      </w:r>
      <w:r w:rsidRPr="00785D06">
        <w:rPr>
          <w:rStyle w:val="Textoennegrita"/>
          <w:b w:val="0"/>
          <w:color w:val="000000"/>
          <w:shd w:val="clear" w:color="auto" w:fill="FFFFFF"/>
          <w:lang w:val="en-US"/>
        </w:rPr>
        <w:t xml:space="preserve"> 194, and </w:t>
      </w:r>
      <w:r w:rsidRPr="00785D06">
        <w:rPr>
          <w:rStyle w:val="Textoennegrita"/>
          <w:b w:val="0"/>
          <w:i/>
          <w:color w:val="000000"/>
          <w:shd w:val="clear" w:color="auto" w:fill="FFFFFF"/>
          <w:lang w:val="en-US"/>
        </w:rPr>
        <w:t>Case of V.R.P., V.P.C. et al. v. Nicaragua</w:t>
      </w:r>
      <w:r w:rsidRPr="00785D06">
        <w:rPr>
          <w:rStyle w:val="Textoennegrita"/>
          <w:b w:val="0"/>
          <w:color w:val="000000"/>
          <w:shd w:val="clear" w:color="auto" w:fill="FFFFFF"/>
          <w:lang w:val="en-US"/>
        </w:rPr>
        <w:t>, para. 42.</w:t>
      </w:r>
      <w:r w:rsidRPr="00785D06">
        <w:rPr>
          <w:b/>
          <w:lang w:val="en-US"/>
        </w:rPr>
        <w:t xml:space="preserve"> </w:t>
      </w:r>
      <w:r w:rsidRPr="00785D06">
        <w:rPr>
          <w:lang w:val="en-US"/>
        </w:rPr>
        <w:t>The Court has stated that such “measures of protection” can “be interpreted bearing in mind other provisions” (</w:t>
      </w:r>
      <w:r w:rsidRPr="00785D06">
        <w:rPr>
          <w:rStyle w:val="Textoennegrita"/>
          <w:b w:val="0"/>
          <w:i/>
          <w:color w:val="000000"/>
          <w:shd w:val="clear" w:color="auto" w:fill="FFFFFF"/>
          <w:lang w:val="en-US"/>
        </w:rPr>
        <w:t>Case of the Gómez Paquiyauri Brothers v. Peru. Merits, reparations and costs.</w:t>
      </w:r>
      <w:r w:rsidRPr="00785D06">
        <w:rPr>
          <w:rStyle w:val="Textoennegrita"/>
          <w:b w:val="0"/>
          <w:color w:val="000000"/>
          <w:shd w:val="clear" w:color="auto" w:fill="FFFFFF"/>
          <w:lang w:val="en-US"/>
        </w:rPr>
        <w:t xml:space="preserve"> Judgment of July 8, 2004. Series C No. 110, para. 164 and, similarly, the </w:t>
      </w:r>
      <w:r w:rsidRPr="00785D06">
        <w:rPr>
          <w:rStyle w:val="Textoennegrita"/>
          <w:b w:val="0"/>
          <w:i/>
          <w:color w:val="000000"/>
          <w:shd w:val="clear" w:color="auto" w:fill="FFFFFF"/>
          <w:lang w:val="en-US"/>
        </w:rPr>
        <w:t>Case of Ramírez Escobar et al. v. Guatemala. Merits, reparations and costs.</w:t>
      </w:r>
      <w:r w:rsidRPr="00785D06">
        <w:rPr>
          <w:rStyle w:val="Textoennegrita"/>
          <w:b w:val="0"/>
          <w:color w:val="000000"/>
          <w:shd w:val="clear" w:color="auto" w:fill="FFFFFF"/>
          <w:lang w:val="en-US"/>
        </w:rPr>
        <w:t xml:space="preserve"> Judgment of March 9, 2018. Series C No. 351, para. 149). It is important to note that Ecuador ratified the Convention on the Rights of the Child on March 23, 1990, and that this treaty entered into force on September 2, 1990.</w:t>
      </w:r>
      <w:r w:rsidRPr="00785D06">
        <w:rPr>
          <w:rStyle w:val="Textoennegrita"/>
          <w:color w:val="000000"/>
          <w:shd w:val="clear" w:color="auto" w:fill="FFFFFF"/>
          <w:lang w:val="en-US"/>
        </w:rPr>
        <w:t xml:space="preserve"> </w:t>
      </w:r>
    </w:p>
    <w:p w14:paraId="3041B16E" w14:textId="77777777" w:rsidR="00E0703B" w:rsidRPr="00785D06" w:rsidRDefault="00E0703B" w:rsidP="00C254BF">
      <w:pPr>
        <w:pStyle w:val="Textonotapie"/>
        <w:rPr>
          <w:lang w:val="en-US"/>
        </w:rPr>
      </w:pPr>
    </w:p>
  </w:footnote>
  <w:footnote w:id="105">
    <w:p w14:paraId="63408B45" w14:textId="77777777" w:rsidR="00E0703B" w:rsidRPr="00785D06" w:rsidRDefault="00E0703B" w:rsidP="00C254BF">
      <w:pPr>
        <w:pStyle w:val="Textonotapie"/>
        <w:jc w:val="both"/>
        <w:rPr>
          <w:b/>
          <w:lang w:val="en-US"/>
        </w:rPr>
      </w:pPr>
      <w:r w:rsidRPr="00785D06">
        <w:rPr>
          <w:rStyle w:val="Refdenotaalpie"/>
          <w:lang w:val="en-US"/>
        </w:rPr>
        <w:footnoteRef/>
      </w:r>
      <w:r w:rsidRPr="00785D06">
        <w:rPr>
          <w:lang w:val="en-US"/>
        </w:rPr>
        <w:t xml:space="preserve"> </w:t>
      </w:r>
      <w:r w:rsidRPr="00785D06">
        <w:rPr>
          <w:lang w:val="en-US"/>
        </w:rPr>
        <w:tab/>
        <w:t xml:space="preserve">Committee on the Rights of the Child, General Comment No. 13, </w:t>
      </w:r>
      <w:r w:rsidRPr="00785D06">
        <w:rPr>
          <w:i/>
          <w:lang w:val="en-US"/>
        </w:rPr>
        <w:t xml:space="preserve">Right of the child to freedom from all forms of violence, </w:t>
      </w:r>
      <w:r w:rsidRPr="00785D06">
        <w:rPr>
          <w:lang w:val="en-US"/>
        </w:rPr>
        <w:t>April 18, 2011, Doc. CRC/C/GC/13, para. 4.</w:t>
      </w:r>
    </w:p>
    <w:p w14:paraId="3E2BCCC1" w14:textId="77777777" w:rsidR="00E0703B" w:rsidRPr="00785D06" w:rsidRDefault="00E0703B" w:rsidP="00C254BF">
      <w:pPr>
        <w:pStyle w:val="Textonotapie"/>
        <w:tabs>
          <w:tab w:val="left" w:pos="7485"/>
        </w:tabs>
        <w:rPr>
          <w:lang w:val="en-US"/>
        </w:rPr>
      </w:pPr>
      <w:r w:rsidRPr="00785D06">
        <w:rPr>
          <w:lang w:val="en-US"/>
        </w:rPr>
        <w:tab/>
      </w:r>
    </w:p>
  </w:footnote>
  <w:footnote w:id="106">
    <w:p w14:paraId="315AD72A"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 xml:space="preserve">Report of the United Nations independent expert for the study of violence against children, </w:t>
      </w:r>
      <w:r w:rsidRPr="00785D06">
        <w:rPr>
          <w:lang w:val="en-US"/>
        </w:rPr>
        <w:t>August 29, 2006, Doc. A/61/299, para. 8.</w:t>
      </w:r>
    </w:p>
    <w:p w14:paraId="04FD31F0" w14:textId="77777777" w:rsidR="00E0703B" w:rsidRPr="00785D06" w:rsidRDefault="00E0703B" w:rsidP="00C254BF">
      <w:pPr>
        <w:pStyle w:val="Textonotapie"/>
        <w:rPr>
          <w:lang w:val="en-US"/>
        </w:rPr>
      </w:pPr>
    </w:p>
  </w:footnote>
  <w:footnote w:id="107">
    <w:p w14:paraId="00718933" w14:textId="77777777" w:rsidR="00E0703B" w:rsidRPr="00785D06" w:rsidRDefault="00E0703B" w:rsidP="00C254BF">
      <w:pPr>
        <w:pStyle w:val="Textonotapie"/>
        <w:jc w:val="both"/>
        <w:rPr>
          <w:rStyle w:val="Textoennegrita"/>
          <w:b w:val="0"/>
          <w:color w:val="000000"/>
          <w:shd w:val="clear" w:color="auto" w:fill="FFFFFF"/>
          <w:lang w:val="en-US"/>
        </w:rPr>
      </w:pPr>
      <w:r w:rsidRPr="00785D06">
        <w:rPr>
          <w:rStyle w:val="Refdenotaalpie"/>
          <w:lang w:val="en-US"/>
        </w:rPr>
        <w:footnoteRef/>
      </w:r>
      <w:r w:rsidRPr="00785D06">
        <w:rPr>
          <w:lang w:val="en-US"/>
        </w:rPr>
        <w:t xml:space="preserve">  </w:t>
      </w:r>
      <w:r w:rsidRPr="00785D06">
        <w:rPr>
          <w:lang w:val="en-US"/>
        </w:rPr>
        <w:tab/>
        <w:t>T</w:t>
      </w:r>
      <w:r w:rsidRPr="00785D06">
        <w:rPr>
          <w:rStyle w:val="Textoennegrita"/>
          <w:b w:val="0"/>
          <w:color w:val="000000"/>
          <w:shd w:val="clear" w:color="auto" w:fill="FFFFFF"/>
          <w:lang w:val="en-US"/>
        </w:rPr>
        <w:t>he measures of protection mandated “</w:t>
      </w:r>
      <w:r w:rsidRPr="00785D06">
        <w:rPr>
          <w:lang w:val="en-US"/>
        </w:rPr>
        <w:t>go well beyond the sphere of strictly civil and political rights. The measures that the State must undertake, particularly given the provisions of the Convention on the Rights of the Child, encompass economic, social and cultural aspects that pertain, first and foremost, to the children’s right to life and right to humane treatment.” (</w:t>
      </w:r>
      <w:r w:rsidRPr="00785D06">
        <w:rPr>
          <w:rStyle w:val="Textoennegrita"/>
          <w:b w:val="0"/>
          <w:i/>
          <w:color w:val="000000"/>
          <w:shd w:val="clear" w:color="auto" w:fill="FFFFFF"/>
          <w:lang w:val="en-US"/>
        </w:rPr>
        <w:t>Case of the “Juvenile Reeducation Institute” v. Paraguay</w:t>
      </w:r>
      <w:r w:rsidRPr="00785D06">
        <w:rPr>
          <w:rStyle w:val="Textoennegrita"/>
          <w:b w:val="0"/>
          <w:color w:val="000000"/>
          <w:shd w:val="clear" w:color="auto" w:fill="FFFFFF"/>
          <w:lang w:val="en-US"/>
        </w:rPr>
        <w:t>, para. 149).</w:t>
      </w:r>
    </w:p>
    <w:p w14:paraId="1EA9282B" w14:textId="77777777" w:rsidR="00E0703B" w:rsidRPr="00785D06" w:rsidRDefault="00E0703B" w:rsidP="00C254BF">
      <w:pPr>
        <w:pStyle w:val="Textonotapie"/>
        <w:jc w:val="both"/>
        <w:rPr>
          <w:lang w:val="en-US"/>
        </w:rPr>
      </w:pPr>
    </w:p>
  </w:footnote>
  <w:footnote w:id="108">
    <w:p w14:paraId="5A76CDC4"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 Case of Carvajal Carvajal et al. v. Colombia. Merits, reparations and costs</w:t>
      </w:r>
      <w:r w:rsidRPr="00785D06">
        <w:rPr>
          <w:lang w:val="en-US"/>
        </w:rPr>
        <w:t xml:space="preserve">. Judgment of March 13, 2018. Series C No. 352, para. 193. See also </w:t>
      </w:r>
      <w:r w:rsidRPr="00785D06">
        <w:rPr>
          <w:i/>
          <w:lang w:val="en-US"/>
        </w:rPr>
        <w:t>Juridical Condition and Human Rights of the Child. Advisory Opinion OC 17/02</w:t>
      </w:r>
      <w:r w:rsidRPr="00785D06">
        <w:rPr>
          <w:lang w:val="en-US"/>
        </w:rPr>
        <w:t xml:space="preserve"> of August 28, 2002. Series A No. 17, paras. 53, 54, 60, 86, 91, and 93, and </w:t>
      </w:r>
      <w:r w:rsidRPr="00785D06">
        <w:rPr>
          <w:bCs/>
          <w:i/>
          <w:lang w:val="en-US"/>
        </w:rPr>
        <w:t>Case of the "</w:t>
      </w:r>
      <w:r w:rsidRPr="00785D06">
        <w:rPr>
          <w:i/>
          <w:lang w:val="en-US"/>
        </w:rPr>
        <w:t>Juvenile Reeducation Institute</w:t>
      </w:r>
      <w:r w:rsidRPr="00785D06">
        <w:rPr>
          <w:bCs/>
          <w:i/>
          <w:lang w:val="en-US"/>
        </w:rPr>
        <w:t>" v. Paraguay</w:t>
      </w:r>
      <w:r w:rsidRPr="00785D06">
        <w:rPr>
          <w:lang w:val="en-US"/>
        </w:rPr>
        <w:t>, para. 160.</w:t>
      </w:r>
    </w:p>
    <w:p w14:paraId="1AC0BCDF" w14:textId="77777777" w:rsidR="00E0703B" w:rsidRPr="00785D06" w:rsidRDefault="00E0703B" w:rsidP="00C254BF">
      <w:pPr>
        <w:pStyle w:val="Textonotapie"/>
        <w:jc w:val="both"/>
        <w:rPr>
          <w:lang w:val="en-US"/>
        </w:rPr>
      </w:pPr>
    </w:p>
  </w:footnote>
  <w:footnote w:id="109">
    <w:p w14:paraId="6F1A7EF1"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 Juridical Condition and Human Rights of the Child. Advisory Opinion OC 17/02</w:t>
      </w:r>
      <w:r w:rsidRPr="00785D06">
        <w:rPr>
          <w:lang w:val="en-US"/>
        </w:rPr>
        <w:t>, para. 84.</w:t>
      </w:r>
    </w:p>
    <w:p w14:paraId="6684CBC6" w14:textId="77777777" w:rsidR="00E0703B" w:rsidRPr="00785D06" w:rsidRDefault="00E0703B" w:rsidP="00C254BF">
      <w:pPr>
        <w:pStyle w:val="Textonotapie"/>
        <w:jc w:val="both"/>
        <w:rPr>
          <w:lang w:val="en-US"/>
        </w:rPr>
      </w:pPr>
    </w:p>
  </w:footnote>
  <w:footnote w:id="110">
    <w:p w14:paraId="0F8A5E3F" w14:textId="77777777" w:rsidR="00E0703B" w:rsidRPr="00785D06" w:rsidRDefault="00E0703B" w:rsidP="00C254BF">
      <w:pPr>
        <w:pStyle w:val="Textonotapie"/>
        <w:jc w:val="both"/>
        <w:rPr>
          <w:rStyle w:val="Textoennegrita"/>
          <w:b w:val="0"/>
          <w:color w:val="000000"/>
          <w:shd w:val="clear" w:color="auto" w:fill="FFFFFF"/>
          <w:lang w:val="en-US"/>
        </w:rPr>
      </w:pPr>
      <w:r w:rsidRPr="00785D06">
        <w:rPr>
          <w:rStyle w:val="Refdenotaalpie"/>
          <w:lang w:val="en-US"/>
        </w:rPr>
        <w:footnoteRef/>
      </w:r>
      <w:r w:rsidRPr="00785D06">
        <w:rPr>
          <w:lang w:val="en-US"/>
        </w:rPr>
        <w:t xml:space="preserve"> </w:t>
      </w:r>
      <w:r w:rsidRPr="00785D06">
        <w:rPr>
          <w:lang w:val="en-US"/>
        </w:rPr>
        <w:tab/>
      </w:r>
      <w:r w:rsidRPr="00785D06">
        <w:rPr>
          <w:rStyle w:val="Textoennegrita"/>
          <w:b w:val="0"/>
          <w:i/>
          <w:color w:val="000000"/>
          <w:shd w:val="clear" w:color="auto" w:fill="FFFFFF"/>
          <w:lang w:val="en-US"/>
        </w:rPr>
        <w:t>Cf. Case of the Girls Yean and Bosico v. Dominican Republic.</w:t>
      </w:r>
      <w:r w:rsidRPr="00785D06">
        <w:rPr>
          <w:rStyle w:val="Textoennegrita"/>
          <w:b w:val="0"/>
          <w:color w:val="000000"/>
          <w:shd w:val="clear" w:color="auto" w:fill="FFFFFF"/>
          <w:lang w:val="en-US"/>
        </w:rPr>
        <w:t xml:space="preserve"> Judgment of September 8, 2005. Series C No. 130, para. 185. Although in that case the Court referred to “primary” education, these comments also cover the right to different aspects of education</w:t>
      </w:r>
      <w:r w:rsidRPr="00785D06">
        <w:rPr>
          <w:rStyle w:val="Textoennegrita"/>
          <w:b w:val="0"/>
          <w:color w:val="000000"/>
          <w:shd w:val="clear" w:color="auto" w:fill="FFFFFF"/>
          <w:lang w:val="en-GB"/>
        </w:rPr>
        <w:t xml:space="preserve">. As to </w:t>
      </w:r>
      <w:r w:rsidRPr="00785D06">
        <w:rPr>
          <w:rStyle w:val="Textoennegrita"/>
          <w:b w:val="0"/>
          <w:color w:val="000000"/>
          <w:shd w:val="clear" w:color="auto" w:fill="FFFFFF"/>
          <w:lang w:val="en-US"/>
        </w:rPr>
        <w:t>Article 26 of the American Convention, the Court has indicated that the provisions of Article 49 of the Charter of the Organization of American States, to which Article 26 refers, contemplate the right to education (</w:t>
      </w:r>
      <w:r w:rsidRPr="00785D06">
        <w:rPr>
          <w:i/>
          <w:lang w:val="en-US"/>
        </w:rPr>
        <w:t xml:space="preserve">Cf. Case of </w:t>
      </w:r>
      <w:r w:rsidRPr="00785D06">
        <w:rPr>
          <w:rStyle w:val="Textoennegrita"/>
          <w:b w:val="0"/>
          <w:i/>
          <w:color w:val="000000"/>
          <w:shd w:val="clear" w:color="auto" w:fill="FFFFFF"/>
          <w:lang w:val="en-US"/>
        </w:rPr>
        <w:t xml:space="preserve">Gonzales Lluy et al. v. Ecuador. Preliminary objections, merits, reparations and costs. </w:t>
      </w:r>
      <w:r w:rsidRPr="00785D06">
        <w:rPr>
          <w:rStyle w:val="Textoennegrita"/>
          <w:b w:val="0"/>
          <w:color w:val="000000"/>
          <w:shd w:val="clear" w:color="auto" w:fill="FFFFFF"/>
          <w:lang w:val="en-US"/>
        </w:rPr>
        <w:t>Judgment of September 1, 2015. Series C No. 298</w:t>
      </w:r>
      <w:r w:rsidRPr="00785D06">
        <w:rPr>
          <w:lang w:val="en-US"/>
        </w:rPr>
        <w:t>, para. 234 and footnote 264)</w:t>
      </w:r>
      <w:r w:rsidRPr="00785D06">
        <w:rPr>
          <w:rStyle w:val="Textoennegrita"/>
          <w:b w:val="0"/>
          <w:color w:val="000000"/>
          <w:shd w:val="clear" w:color="auto" w:fill="FFFFFF"/>
          <w:lang w:val="en-US"/>
        </w:rPr>
        <w:t>.</w:t>
      </w:r>
    </w:p>
    <w:p w14:paraId="4A4E5F44" w14:textId="77777777" w:rsidR="00E0703B" w:rsidRPr="00785D06" w:rsidRDefault="00E0703B" w:rsidP="00C254BF">
      <w:pPr>
        <w:pStyle w:val="Textonotapie"/>
        <w:jc w:val="both"/>
        <w:rPr>
          <w:b/>
          <w:lang w:val="en-US"/>
        </w:rPr>
      </w:pPr>
    </w:p>
  </w:footnote>
  <w:footnote w:id="111">
    <w:p w14:paraId="3BA99F60"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 xml:space="preserve">The Court has jurisdiction to rule on contentious cases related to the right to education under Article 19(6) of the Protocol of San Salvador. This allows for the application of the system of individual petitions regulated by Articles 44 to 51 and 61 to 69 of the American Convention on Human Rights in the event of a violation of Article 8, paragraph a) (Union Rights) and 13 (Right to Education) of the Protocol </w:t>
      </w:r>
      <w:r w:rsidRPr="00785D06">
        <w:rPr>
          <w:rStyle w:val="Textoennegrita"/>
          <w:b w:val="0"/>
          <w:color w:val="000000"/>
          <w:shd w:val="clear" w:color="auto" w:fill="FFFFFF"/>
          <w:lang w:val="en-US"/>
        </w:rPr>
        <w:t>(</w:t>
      </w:r>
      <w:r w:rsidRPr="00785D06">
        <w:rPr>
          <w:i/>
          <w:lang w:val="en-US"/>
        </w:rPr>
        <w:t xml:space="preserve">Cf. Case of </w:t>
      </w:r>
      <w:r w:rsidRPr="00785D06">
        <w:rPr>
          <w:rStyle w:val="Textoennegrita"/>
          <w:b w:val="0"/>
          <w:i/>
          <w:color w:val="000000"/>
          <w:shd w:val="clear" w:color="auto" w:fill="FFFFFF"/>
          <w:lang w:val="en-US"/>
        </w:rPr>
        <w:t>Gonzales Lluy et al. v. Ecuador</w:t>
      </w:r>
      <w:r w:rsidRPr="00785D06">
        <w:rPr>
          <w:lang w:val="en-US"/>
        </w:rPr>
        <w:t>, para. 234 and footnote 263).</w:t>
      </w:r>
    </w:p>
    <w:p w14:paraId="75540063" w14:textId="77777777" w:rsidR="00E0703B" w:rsidRPr="00785D06" w:rsidRDefault="00E0703B" w:rsidP="00C254BF">
      <w:pPr>
        <w:pStyle w:val="Textonotapie"/>
        <w:tabs>
          <w:tab w:val="left" w:pos="1170"/>
        </w:tabs>
        <w:rPr>
          <w:lang w:val="en-US"/>
        </w:rPr>
      </w:pPr>
    </w:p>
  </w:footnote>
  <w:footnote w:id="112">
    <w:p w14:paraId="329FBFFD" w14:textId="77777777" w:rsidR="00E0703B" w:rsidRPr="00785D06" w:rsidRDefault="00E0703B" w:rsidP="00C254BF">
      <w:pPr>
        <w:pStyle w:val="Prrafodelista"/>
        <w:ind w:left="0"/>
        <w:contextualSpacing w:val="0"/>
        <w:jc w:val="both"/>
        <w:rPr>
          <w:rFonts w:eastAsia="Times New Roman"/>
          <w:lang w:val="en-US" w:eastAsia="es-ES_tradnl"/>
        </w:rPr>
      </w:pPr>
      <w:r w:rsidRPr="00785D06">
        <w:rPr>
          <w:rStyle w:val="Refdenotaalpie"/>
          <w:lang w:val="en-US"/>
        </w:rPr>
        <w:footnoteRef/>
      </w:r>
      <w:r w:rsidRPr="00785D06">
        <w:rPr>
          <w:lang w:val="en-US"/>
        </w:rPr>
        <w:t xml:space="preserve"> </w:t>
      </w:r>
      <w:r w:rsidRPr="00785D06">
        <w:rPr>
          <w:lang w:val="en-US"/>
        </w:rPr>
        <w:tab/>
        <w:t>Aside from</w:t>
      </w:r>
      <w:r w:rsidRPr="00785D06">
        <w:rPr>
          <w:rFonts w:eastAsia="Times New Roman"/>
          <w:color w:val="000000"/>
          <w:lang w:val="en-US"/>
        </w:rPr>
        <w:t xml:space="preserve"> other more specific actions, States must adopt prevention measures that include those aimed at “[c]hallenging attitudes which perpetuate tolerance and acceptance of violence in all its forms, including gender-based </w:t>
      </w:r>
      <w:r w:rsidRPr="00785D06">
        <w:rPr>
          <w:rFonts w:eastAsia="Times New Roman"/>
          <w:color w:val="000000"/>
          <w:lang w:val="en-GB"/>
        </w:rPr>
        <w:t>[</w:t>
      </w:r>
      <w:r w:rsidRPr="00785D06">
        <w:rPr>
          <w:rFonts w:eastAsia="Times New Roman"/>
          <w:color w:val="000000"/>
          <w:lang w:val="en-US"/>
        </w:rPr>
        <w:t>violence …] and other power imbalances.” Also important are “educational measures” that “</w:t>
      </w:r>
      <w:r w:rsidRPr="00785D06">
        <w:rPr>
          <w:lang w:val="en-US"/>
        </w:rPr>
        <w:t>address attitudes, traditions, customs and behavioral practices which condone and promote violence against children</w:t>
      </w:r>
      <w:r w:rsidRPr="00785D06">
        <w:rPr>
          <w:rFonts w:eastAsia="Times New Roman"/>
          <w:color w:val="000000"/>
          <w:lang w:val="en-US"/>
        </w:rPr>
        <w:t xml:space="preserve"> [and] </w:t>
      </w:r>
      <w:r w:rsidRPr="00785D06">
        <w:rPr>
          <w:lang w:val="en-US"/>
        </w:rPr>
        <w:t>should encourage open discussion about violence</w:t>
      </w:r>
      <w:r w:rsidRPr="00785D06">
        <w:rPr>
          <w:rFonts w:eastAsia="Times New Roman"/>
          <w:color w:val="000000"/>
          <w:lang w:val="en-US"/>
        </w:rPr>
        <w:t xml:space="preserve">.” Those measures “should </w:t>
      </w:r>
      <w:r w:rsidRPr="00785D06">
        <w:rPr>
          <w:lang w:val="en-US"/>
        </w:rPr>
        <w:t>support children’s life skills, knowledge and participation and enhance the capacities of caregivers and professionals in contact with children</w:t>
      </w:r>
      <w:r w:rsidRPr="00785D06">
        <w:rPr>
          <w:rFonts w:eastAsia="Times New Roman"/>
          <w:color w:val="000000"/>
          <w:lang w:val="en-US"/>
        </w:rPr>
        <w:t>.” (</w:t>
      </w:r>
      <w:r w:rsidRPr="00785D06">
        <w:rPr>
          <w:lang w:val="en-US"/>
        </w:rPr>
        <w:t xml:space="preserve">Committee on the Rights of the Child, General Comment No. 13, paras. 47 and 44, respectively). The United Nations Organization for Education, Science and Culture (UNESCO) and UN Women have identified “strategic areas” that are essential to achieving a “robust response to school related gender-based violence,” something that requires careful analysis of “each context.” Among other aspects, they emphasized the key role played by education in “transforming the root causes of violence,” and mentioned the importance </w:t>
      </w:r>
      <w:r w:rsidRPr="00785D06">
        <w:rPr>
          <w:rFonts w:eastAsia="Times New Roman"/>
          <w:lang w:val="en-US" w:eastAsia="es-ES_tradnl"/>
        </w:rPr>
        <w:t xml:space="preserve">of curricula to prevent violence and promote gender equality, as well as “training for education staff to give them </w:t>
      </w:r>
      <w:r w:rsidRPr="00785D06">
        <w:rPr>
          <w:lang w:val="en-US"/>
        </w:rPr>
        <w:t xml:space="preserve">the tools to prevent and respond to school-related </w:t>
      </w:r>
      <w:r w:rsidRPr="00785D06">
        <w:rPr>
          <w:rFonts w:eastAsia="Times New Roman"/>
          <w:lang w:val="en-US" w:eastAsia="es-ES_tradnl"/>
        </w:rPr>
        <w:t xml:space="preserve">gender-based violence.” They also emphasized the </w:t>
      </w:r>
      <w:r w:rsidRPr="00785D06">
        <w:rPr>
          <w:lang w:val="en-US"/>
        </w:rPr>
        <w:t xml:space="preserve">need for “national policies and action plans” that facilitate efforts to prevent violence, the “quality of the school environment,” which should be safe and welcoming, the availability of “clear, safe and accessible procedures and mechanisms for reporting incidents” and actions for “monitoring, evaluation and research on school related gender-based violence </w:t>
      </w:r>
      <w:r w:rsidRPr="00785D06">
        <w:rPr>
          <w:rFonts w:eastAsia="Times New Roman"/>
          <w:lang w:val="en-US" w:eastAsia="es-ES_tradnl"/>
        </w:rPr>
        <w:t xml:space="preserve">(UNESCO and UN Women, </w:t>
      </w:r>
      <w:r w:rsidRPr="00785D06">
        <w:rPr>
          <w:rFonts w:eastAsia="Times New Roman"/>
          <w:bCs/>
          <w:i/>
          <w:lang w:val="en-US" w:eastAsia="es-ES_tradnl"/>
        </w:rPr>
        <w:t>Global Guidance: Addressing School Related Gender-Based Violence</w:t>
      </w:r>
      <w:r w:rsidRPr="00785D06">
        <w:rPr>
          <w:rFonts w:eastAsia="Times New Roman"/>
          <w:bCs/>
          <w:lang w:val="en-US" w:eastAsia="es-ES_tradnl"/>
        </w:rPr>
        <w:t xml:space="preserve">, 2019, pages 14 and 15). </w:t>
      </w:r>
    </w:p>
    <w:p w14:paraId="359527A6" w14:textId="77777777" w:rsidR="00E0703B" w:rsidRPr="00785D06" w:rsidRDefault="00E0703B" w:rsidP="00C254BF">
      <w:pPr>
        <w:pStyle w:val="Textonotapie"/>
        <w:jc w:val="both"/>
        <w:rPr>
          <w:lang w:val="en-US"/>
        </w:rPr>
      </w:pPr>
    </w:p>
  </w:footnote>
  <w:footnote w:id="113">
    <w:p w14:paraId="361EE3DF" w14:textId="77777777" w:rsidR="00E0703B" w:rsidRPr="00785D06" w:rsidRDefault="00E0703B" w:rsidP="00C254BF">
      <w:pPr>
        <w:pStyle w:val="Prrafodelista"/>
        <w:ind w:left="0"/>
        <w:contextualSpacing w:val="0"/>
        <w:jc w:val="both"/>
        <w:rPr>
          <w:rFonts w:eastAsia="Times New Roman"/>
          <w:lang w:val="en-US" w:eastAsia="es-ES_tradnl"/>
        </w:rPr>
      </w:pPr>
      <w:r w:rsidRPr="00785D06">
        <w:rPr>
          <w:rStyle w:val="Refdenotaalpie"/>
          <w:lang w:val="en-US"/>
        </w:rPr>
        <w:footnoteRef/>
      </w:r>
      <w:r w:rsidRPr="00785D06">
        <w:rPr>
          <w:lang w:val="en-US"/>
        </w:rPr>
        <w:t xml:space="preserve"> </w:t>
      </w:r>
      <w:r w:rsidRPr="00785D06">
        <w:rPr>
          <w:lang w:val="en-US"/>
        </w:rPr>
        <w:tab/>
        <w:t xml:space="preserve">These forms of violence often overlap, since they are closely related. </w:t>
      </w:r>
      <w:r w:rsidRPr="00785D06">
        <w:rPr>
          <w:rFonts w:eastAsia="Times New Roman"/>
          <w:color w:val="000000"/>
          <w:lang w:val="en-US" w:eastAsia="es-ES_tradnl"/>
        </w:rPr>
        <w:t>In this regard, UNESCO and UN Women have stated that “</w:t>
      </w:r>
      <w:r w:rsidRPr="00785D06">
        <w:rPr>
          <w:rFonts w:eastAsia="Times New Roman"/>
          <w:lang w:val="en-US" w:eastAsia="es-ES_tradnl"/>
        </w:rPr>
        <w:t xml:space="preserve">gender-based violence in schools […] may be defined as acts or threats of sexual, physical or psychological violence occurring in and around schools, perpetrated as a result of gender norms and stereotypes and enforced by unequal power dynamics. […it] is complex and multifaceted [and] includes different manifestations of physical, sexual and/or psychological violence, such as verbal abuse, bullying, sexual abuse and harassment, coercion and assault, and rape. These different forms of violence often overlap and reinforce each other.” (UNESCO and UN Women, </w:t>
      </w:r>
      <w:r w:rsidRPr="00785D06">
        <w:rPr>
          <w:rFonts w:eastAsia="Times New Roman"/>
          <w:bCs/>
          <w:i/>
          <w:lang w:val="en-US" w:eastAsia="es-ES_tradnl"/>
        </w:rPr>
        <w:t>Global Guidance: Addressing School Related Gender-Based Violence</w:t>
      </w:r>
      <w:r w:rsidRPr="00785D06">
        <w:rPr>
          <w:rFonts w:eastAsia="Times New Roman"/>
          <w:bCs/>
          <w:lang w:val="en-US" w:eastAsia="es-ES_tradnl"/>
        </w:rPr>
        <w:t>, page 20). Based on</w:t>
      </w:r>
      <w:r w:rsidRPr="00785D06">
        <w:rPr>
          <w:lang w:val="en-US"/>
        </w:rPr>
        <w:t xml:space="preserve"> statements by UNESCO, the O’Neill Institute, in its </w:t>
      </w:r>
      <w:r w:rsidRPr="00785D06">
        <w:rPr>
          <w:i/>
          <w:lang w:val="en-US"/>
        </w:rPr>
        <w:t>amicus curiae</w:t>
      </w:r>
      <w:r w:rsidRPr="00785D06">
        <w:rPr>
          <w:lang w:val="en-US"/>
        </w:rPr>
        <w:t xml:space="preserve">, stressed that sexual violence particularly affects the “educational prospects, job opportunities and the development of the life project” of girl victims. The </w:t>
      </w:r>
      <w:r w:rsidRPr="00785D06">
        <w:rPr>
          <w:i/>
          <w:lang w:val="en-US"/>
        </w:rPr>
        <w:t>amicus curiae</w:t>
      </w:r>
      <w:r w:rsidRPr="00785D06">
        <w:rPr>
          <w:lang w:val="en-US"/>
        </w:rPr>
        <w:t xml:space="preserve"> brief submitted by CLACAI emphasized that “comprehensive sexual education is a measure for the prevention of all forms of sexual violence,” as long as it is implemented with a “gender perspective” and in an age-appropriate manner. It also explained that education encourages children to exercise their sexual and reproductive rights.</w:t>
      </w:r>
    </w:p>
    <w:p w14:paraId="5A18B04F" w14:textId="77777777" w:rsidR="00E0703B" w:rsidRPr="00785D06" w:rsidRDefault="00E0703B" w:rsidP="00C254BF">
      <w:pPr>
        <w:pStyle w:val="Textonotapie"/>
        <w:jc w:val="both"/>
        <w:rPr>
          <w:lang w:val="en-US"/>
        </w:rPr>
      </w:pPr>
    </w:p>
  </w:footnote>
  <w:footnote w:id="114">
    <w:p w14:paraId="0030BFCA"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 xml:space="preserve">ESCR Committee, General Comment No. 13, </w:t>
      </w:r>
      <w:r w:rsidRPr="00785D06">
        <w:rPr>
          <w:i/>
          <w:lang w:val="en-US"/>
        </w:rPr>
        <w:t>Right to education (Article 13 of the International Covenant on Economic, Social and Cultural Rights)</w:t>
      </w:r>
      <w:r w:rsidRPr="00785D06">
        <w:rPr>
          <w:lang w:val="en-US"/>
        </w:rPr>
        <w:t>. December 1999, Doc. E/C.12/1999/108, paras. 6 and 31.</w:t>
      </w:r>
      <w:r w:rsidRPr="00785D06">
        <w:rPr>
          <w:color w:val="000000"/>
          <w:lang w:val="en-US"/>
        </w:rPr>
        <w:t xml:space="preserve"> The Committee emphasized that the obligation of non-discrimination “</w:t>
      </w:r>
      <w:r w:rsidRPr="00785D06">
        <w:rPr>
          <w:lang w:val="en-US"/>
        </w:rPr>
        <w:t>is subject to neither progressive realization nor the availability of resources</w:t>
      </w:r>
      <w:r w:rsidRPr="00785D06">
        <w:rPr>
          <w:color w:val="000000"/>
          <w:lang w:val="en-US"/>
        </w:rPr>
        <w:t>.”</w:t>
      </w:r>
    </w:p>
    <w:p w14:paraId="693A49E0" w14:textId="77777777" w:rsidR="00E0703B" w:rsidRPr="00785D06" w:rsidRDefault="00E0703B" w:rsidP="00C254BF">
      <w:pPr>
        <w:pStyle w:val="Textonotapie"/>
        <w:jc w:val="both"/>
        <w:rPr>
          <w:lang w:val="en-US"/>
        </w:rPr>
      </w:pPr>
    </w:p>
  </w:footnote>
  <w:footnote w:id="115">
    <w:p w14:paraId="7C30F7A1"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 xml:space="preserve">Committee on the Rights of the Child, General Comment No. 4, </w:t>
      </w:r>
      <w:r w:rsidRPr="00785D06">
        <w:rPr>
          <w:i/>
          <w:lang w:val="en-US"/>
        </w:rPr>
        <w:t>Health and development of adolescents in the context of the Convention on the Rights of the Child</w:t>
      </w:r>
      <w:r w:rsidRPr="00785D06">
        <w:rPr>
          <w:lang w:val="en-US"/>
        </w:rPr>
        <w:t xml:space="preserve">, July 2003, Doc. CRC/GC/2003/4, para. 17. </w:t>
      </w:r>
    </w:p>
    <w:p w14:paraId="7D98E13B" w14:textId="77777777" w:rsidR="00E0703B" w:rsidRPr="00785D06" w:rsidRDefault="00E0703B" w:rsidP="00C254BF">
      <w:pPr>
        <w:pStyle w:val="Textonotapie"/>
        <w:jc w:val="both"/>
        <w:rPr>
          <w:lang w:val="en-US"/>
        </w:rPr>
      </w:pPr>
    </w:p>
  </w:footnote>
  <w:footnote w:id="116">
    <w:p w14:paraId="6D059D7A" w14:textId="77777777" w:rsidR="00E0703B" w:rsidRPr="00785D06" w:rsidRDefault="00E0703B" w:rsidP="00C254BF">
      <w:pPr>
        <w:pStyle w:val="Textonotapie"/>
        <w:jc w:val="both"/>
        <w:rPr>
          <w:rFonts w:eastAsia="Times New Roman"/>
          <w:color w:val="000000"/>
          <w:lang w:val="en-US"/>
        </w:rPr>
      </w:pPr>
      <w:r w:rsidRPr="00785D06">
        <w:rPr>
          <w:rStyle w:val="Refdenotaalpie"/>
          <w:lang w:val="en-US"/>
        </w:rPr>
        <w:footnoteRef/>
      </w:r>
      <w:r w:rsidRPr="00785D06">
        <w:rPr>
          <w:lang w:val="en-US"/>
        </w:rPr>
        <w:t xml:space="preserve"> </w:t>
      </w:r>
      <w:r w:rsidRPr="00785D06">
        <w:rPr>
          <w:lang w:val="en-US"/>
        </w:rPr>
        <w:tab/>
        <w:t xml:space="preserve">As indicated by </w:t>
      </w:r>
      <w:r w:rsidRPr="00785D06">
        <w:rPr>
          <w:rFonts w:eastAsia="Times New Roman"/>
          <w:color w:val="000000"/>
          <w:shd w:val="clear" w:color="auto" w:fill="FFFFFF"/>
          <w:lang w:val="en-US" w:eastAsia="es-ES_tradnl"/>
        </w:rPr>
        <w:t>the Committee on the Rights of the Child, “adolescence is not easily defined.” General Comment No. 20, concerning adolescence focuses on the period of childhood from 10 to 18 years of age, explaining that it does not seek to define adolescence (</w:t>
      </w:r>
      <w:r w:rsidRPr="00785D06">
        <w:rPr>
          <w:rFonts w:eastAsia="Times New Roman"/>
          <w:i/>
          <w:color w:val="000000"/>
          <w:shd w:val="clear" w:color="auto" w:fill="FFFFFF"/>
          <w:lang w:val="en-US" w:eastAsia="es-ES_tradnl"/>
        </w:rPr>
        <w:t xml:space="preserve">Cf. </w:t>
      </w:r>
      <w:r w:rsidRPr="00785D06">
        <w:rPr>
          <w:bCs/>
          <w:color w:val="000000"/>
          <w:lang w:val="en-US"/>
        </w:rPr>
        <w:t xml:space="preserve">Committee on the Rights of the Child, </w:t>
      </w:r>
      <w:r w:rsidRPr="00785D06">
        <w:rPr>
          <w:rFonts w:eastAsia="Times New Roman"/>
          <w:bCs/>
          <w:i/>
          <w:color w:val="000000"/>
          <w:lang w:val="en-US" w:eastAsia="es-ES_tradnl"/>
        </w:rPr>
        <w:t xml:space="preserve">General Comment 20 </w:t>
      </w:r>
      <w:r w:rsidRPr="00785D06">
        <w:rPr>
          <w:rFonts w:cs="Arial"/>
          <w:bCs/>
          <w:i/>
          <w:shd w:val="clear" w:color="auto" w:fill="FFFFFF"/>
          <w:lang w:val="en-US"/>
        </w:rPr>
        <w:t>on the implementation of the rights of the child during adolescence</w:t>
      </w:r>
      <w:r w:rsidRPr="00785D06">
        <w:rPr>
          <w:rFonts w:eastAsia="Times New Roman"/>
          <w:bCs/>
          <w:i/>
          <w:color w:val="000000"/>
          <w:lang w:val="en-US" w:eastAsia="es-ES_tradnl"/>
        </w:rPr>
        <w:t>,</w:t>
      </w:r>
      <w:r w:rsidRPr="00785D06">
        <w:rPr>
          <w:rFonts w:eastAsia="Times New Roman"/>
          <w:bCs/>
          <w:color w:val="000000"/>
          <w:lang w:val="en-US" w:eastAsia="es-ES_tradnl"/>
        </w:rPr>
        <w:t xml:space="preserve"> December 6, 2016, Doc. </w:t>
      </w:r>
      <w:r w:rsidRPr="00785D06">
        <w:rPr>
          <w:rFonts w:eastAsia="Times New Roman"/>
          <w:color w:val="000000"/>
          <w:lang w:val="en-US" w:eastAsia="es-ES_tradnl"/>
        </w:rPr>
        <w:t>CRC/C/GC/20, paras. 1</w:t>
      </w:r>
      <w:r w:rsidRPr="00785D06">
        <w:rPr>
          <w:rFonts w:eastAsia="Times New Roman"/>
          <w:color w:val="000000"/>
          <w:lang w:val="en-US"/>
        </w:rPr>
        <w:t xml:space="preserve"> and 5.)</w:t>
      </w:r>
      <w:r w:rsidRPr="00785D06">
        <w:rPr>
          <w:rFonts w:eastAsia="Times New Roman"/>
          <w:color w:val="000000"/>
          <w:shd w:val="clear" w:color="auto" w:fill="FFFFFF"/>
          <w:lang w:val="en-US"/>
        </w:rPr>
        <w:t xml:space="preserve"> It should be recalled that Article 1 of the Convention on the Rights of the Child defines a child as “any human being below the age of 18, unless </w:t>
      </w:r>
      <w:r w:rsidRPr="00785D06">
        <w:rPr>
          <w:lang w:val="en-US"/>
        </w:rPr>
        <w:t>under the law applicable to the child majority is attained earlier</w:t>
      </w:r>
      <w:r w:rsidRPr="00785D06">
        <w:rPr>
          <w:rFonts w:eastAsia="Times New Roman"/>
          <w:color w:val="000000"/>
          <w:shd w:val="clear" w:color="auto" w:fill="FFFFFF"/>
          <w:lang w:val="en-US"/>
        </w:rPr>
        <w:t xml:space="preserve">.” Therefore, the Court makes clear that adolescents, as minors under 18 years of age are, in legal terms, children. The words “adolescent” and “girl” are used interchangeably in this judgment, particularly with reference to Paola Guzmán, and do not denote a differentiated legal regimen. </w:t>
      </w:r>
    </w:p>
    <w:p w14:paraId="0B7733B4" w14:textId="77777777" w:rsidR="00E0703B" w:rsidRPr="00785D06" w:rsidRDefault="00E0703B" w:rsidP="00C254BF">
      <w:pPr>
        <w:pStyle w:val="Textonotapie"/>
        <w:jc w:val="both"/>
        <w:rPr>
          <w:lang w:val="en-US"/>
        </w:rPr>
      </w:pPr>
    </w:p>
  </w:footnote>
  <w:footnote w:id="117">
    <w:p w14:paraId="770746E5"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 xml:space="preserve">CEDAW Committee, General Recommendation No 24, </w:t>
      </w:r>
      <w:r w:rsidRPr="00785D06">
        <w:rPr>
          <w:i/>
          <w:lang w:val="en-US"/>
        </w:rPr>
        <w:t>Women and Health</w:t>
      </w:r>
      <w:r w:rsidRPr="00785D06">
        <w:rPr>
          <w:lang w:val="en-US"/>
        </w:rPr>
        <w:t xml:space="preserve">, </w:t>
      </w:r>
      <w:r w:rsidRPr="00785D06">
        <w:rPr>
          <w:color w:val="000000"/>
          <w:shd w:val="clear" w:color="auto" w:fill="FFFFFF"/>
          <w:lang w:val="en-US"/>
        </w:rPr>
        <w:t>1999</w:t>
      </w:r>
      <w:r w:rsidRPr="00785D06">
        <w:rPr>
          <w:lang w:val="en-US"/>
        </w:rPr>
        <w:t xml:space="preserve">, Doc. A/54/38/Rev.1 chap. I, para. 12. </w:t>
      </w:r>
    </w:p>
    <w:p w14:paraId="6D37BC78" w14:textId="77777777" w:rsidR="00E0703B" w:rsidRPr="00785D06" w:rsidRDefault="00E0703B" w:rsidP="00C254BF">
      <w:pPr>
        <w:pStyle w:val="Textonotapie"/>
        <w:jc w:val="both"/>
        <w:rPr>
          <w:lang w:val="en-US"/>
        </w:rPr>
      </w:pPr>
    </w:p>
  </w:footnote>
  <w:footnote w:id="118">
    <w:p w14:paraId="0E463C69" w14:textId="77777777" w:rsidR="00E0703B" w:rsidRPr="00785D06" w:rsidRDefault="00E0703B" w:rsidP="00C254BF">
      <w:pPr>
        <w:pStyle w:val="Textonotapie"/>
        <w:jc w:val="both"/>
        <w:rPr>
          <w:rFonts w:eastAsia="Times New Roman"/>
          <w:color w:val="000000"/>
          <w:lang w:val="en-US"/>
        </w:rPr>
      </w:pPr>
      <w:r w:rsidRPr="00785D06">
        <w:rPr>
          <w:rStyle w:val="Refdenotaalpie"/>
          <w:lang w:val="en-US"/>
        </w:rPr>
        <w:footnoteRef/>
      </w:r>
      <w:r w:rsidRPr="00785D06">
        <w:rPr>
          <w:lang w:val="en-US"/>
        </w:rPr>
        <w:t xml:space="preserve"> </w:t>
      </w:r>
      <w:r w:rsidRPr="00785D06">
        <w:rPr>
          <w:lang w:val="en-US"/>
        </w:rPr>
        <w:tab/>
        <w:t xml:space="preserve">The Committee emphasized that the obligation refers to all forms of violence against children, and therefore “cannot be </w:t>
      </w:r>
      <w:r w:rsidRPr="00785D06">
        <w:rPr>
          <w:rFonts w:eastAsia="Times New Roman"/>
          <w:color w:val="000000"/>
          <w:lang w:val="en-US"/>
        </w:rPr>
        <w:t xml:space="preserve">interpreted as accepting some forms of violence.” It called on the </w:t>
      </w:r>
      <w:r w:rsidRPr="00785D06">
        <w:rPr>
          <w:lang w:val="en-US"/>
        </w:rPr>
        <w:t>States to “</w:t>
      </w:r>
      <w:r w:rsidRPr="00785D06">
        <w:rPr>
          <w:rFonts w:eastAsia="Times New Roman"/>
          <w:color w:val="000000"/>
          <w:lang w:val="en-US"/>
        </w:rPr>
        <w:t xml:space="preserve">establish the absolute prohibition of all forms of violence against children in all contexts, as well as effective and appropriate sanctions against those responsible.” It is also pertinent to point out that the obligation to protect children against all forms of violence encompasses legislative measures, including budget allocations, as well as administrative measures. Other relevant aspects of </w:t>
      </w:r>
      <w:r w:rsidRPr="00785D06">
        <w:rPr>
          <w:lang w:val="en-US"/>
        </w:rPr>
        <w:t xml:space="preserve">the obligation to prevent violence are those described by  the Committee on the Rights of the Child such as the wide range of actions that include </w:t>
      </w:r>
      <w:r w:rsidRPr="00785D06">
        <w:rPr>
          <w:rFonts w:eastAsia="Times New Roman"/>
          <w:color w:val="000000"/>
          <w:lang w:val="en-US"/>
        </w:rPr>
        <w:t>“policies, programs and monitoring and oversight systems required to protect the child from all forms of violence;</w:t>
      </w:r>
      <w:r w:rsidRPr="00785D06">
        <w:rPr>
          <w:rStyle w:val="apple-converted-space"/>
          <w:rFonts w:eastAsia="Times New Roman"/>
          <w:color w:val="000000"/>
          <w:lang w:val="en-US"/>
        </w:rPr>
        <w:t>” inclusive “</w:t>
      </w:r>
      <w:r w:rsidRPr="00785D06">
        <w:rPr>
          <w:lang w:val="en-US"/>
        </w:rPr>
        <w:t>intra- and inter-agency child protection policies</w:t>
      </w:r>
      <w:r w:rsidRPr="00785D06">
        <w:rPr>
          <w:rStyle w:val="apple-converted-space"/>
          <w:rFonts w:eastAsia="Times New Roman"/>
          <w:color w:val="000000"/>
          <w:lang w:val="en-US"/>
        </w:rPr>
        <w:t>;” and the e</w:t>
      </w:r>
      <w:r w:rsidRPr="00785D06">
        <w:rPr>
          <w:rFonts w:eastAsia="Times New Roman"/>
          <w:color w:val="000000"/>
          <w:lang w:val="en-US"/>
        </w:rPr>
        <w:t>stablishment of “</w:t>
      </w:r>
      <w:r w:rsidRPr="00785D06">
        <w:rPr>
          <w:lang w:val="en-US"/>
        </w:rPr>
        <w:t>a comprehensive and reliable national data collection system in order to ensure systematic monitoring and evaluation of systems (impact analyses), services, programmes and outcomes based on indicators aligned with universal standards, and adjusted for and guided by locally established goals and objectives</w:t>
      </w:r>
      <w:r w:rsidRPr="00785D06">
        <w:rPr>
          <w:rFonts w:eastAsia="Times New Roman"/>
          <w:color w:val="000000"/>
          <w:lang w:val="en-US"/>
        </w:rPr>
        <w:t>.” In addition, prevention must include legal actions.</w:t>
      </w:r>
      <w:r w:rsidRPr="00785D06">
        <w:rPr>
          <w:rFonts w:eastAsia="Times New Roman"/>
          <w:lang w:val="en-US"/>
        </w:rPr>
        <w:t xml:space="preserve"> </w:t>
      </w:r>
      <w:r w:rsidRPr="00785D06">
        <w:rPr>
          <w:rStyle w:val="apple-converted-space"/>
          <w:rFonts w:eastAsia="Times New Roman"/>
          <w:color w:val="000000"/>
          <w:lang w:val="en-US"/>
        </w:rPr>
        <w:t>(</w:t>
      </w:r>
      <w:r w:rsidRPr="00785D06">
        <w:rPr>
          <w:rFonts w:eastAsia="Times New Roman"/>
          <w:i/>
          <w:color w:val="000000"/>
          <w:lang w:val="en-US"/>
        </w:rPr>
        <w:t>Cf.</w:t>
      </w:r>
      <w:r w:rsidRPr="00785D06">
        <w:rPr>
          <w:rFonts w:eastAsia="Times New Roman"/>
          <w:color w:val="000000"/>
          <w:lang w:val="en-US"/>
        </w:rPr>
        <w:t xml:space="preserve"> </w:t>
      </w:r>
      <w:r w:rsidRPr="00785D06">
        <w:rPr>
          <w:lang w:val="en-US"/>
        </w:rPr>
        <w:t xml:space="preserve">Committee on the Rights of the Child, General Comment No. 13, paras. </w:t>
      </w:r>
      <w:r w:rsidRPr="00785D06">
        <w:rPr>
          <w:rFonts w:eastAsia="Times New Roman"/>
          <w:color w:val="000000"/>
          <w:lang w:val="en-US"/>
        </w:rPr>
        <w:t>37, 39, 40, 41, 42, 46 and 54.) With particular regard to adolescents, the Committee on the Rights of the Child stresses that “</w:t>
      </w:r>
      <w:r w:rsidRPr="00785D06">
        <w:rPr>
          <w:lang w:val="en-US"/>
        </w:rPr>
        <w:t>engaging adolescents in the identification of potential risks and the development and implementation of programmes to mitigate them will lead to more effective protection.</w:t>
      </w:r>
      <w:r w:rsidRPr="00785D06">
        <w:rPr>
          <w:rFonts w:eastAsia="Times New Roman"/>
          <w:color w:val="000000"/>
          <w:lang w:val="en-US"/>
        </w:rPr>
        <w:t xml:space="preserve">” It </w:t>
      </w:r>
      <w:r w:rsidRPr="00785D06">
        <w:rPr>
          <w:lang w:val="en-US"/>
        </w:rPr>
        <w:t>added that, “by being guaranteed the right to be heard, to challenge rights violations and to seek redress, adolescents are enabled to exercise agency progressively in their own protection.</w:t>
      </w:r>
      <w:r w:rsidRPr="00785D06">
        <w:rPr>
          <w:rFonts w:eastAsia="Times New Roman"/>
          <w:color w:val="000000"/>
          <w:lang w:val="en-US"/>
        </w:rPr>
        <w:t>” (</w:t>
      </w:r>
      <w:r w:rsidRPr="00785D06">
        <w:rPr>
          <w:bCs/>
          <w:color w:val="000000"/>
          <w:lang w:val="en-US"/>
        </w:rPr>
        <w:t xml:space="preserve">Committee on the Rights of the Child, </w:t>
      </w:r>
      <w:r w:rsidRPr="00785D06">
        <w:rPr>
          <w:rFonts w:eastAsia="Times New Roman"/>
          <w:bCs/>
          <w:i/>
          <w:color w:val="000000"/>
          <w:lang w:val="en-US"/>
        </w:rPr>
        <w:t>General Comment 20 on the implementation of the rights of the child during adolescence,</w:t>
      </w:r>
      <w:r w:rsidRPr="00785D06">
        <w:rPr>
          <w:rFonts w:eastAsia="Times New Roman"/>
          <w:bCs/>
          <w:color w:val="000000"/>
          <w:lang w:val="en-US"/>
        </w:rPr>
        <w:t xml:space="preserve"> </w:t>
      </w:r>
      <w:r w:rsidRPr="00785D06">
        <w:rPr>
          <w:rFonts w:eastAsia="Times New Roman"/>
          <w:color w:val="000000"/>
          <w:lang w:val="en-US"/>
        </w:rPr>
        <w:t>para. 19.)</w:t>
      </w:r>
    </w:p>
    <w:p w14:paraId="37884284" w14:textId="77777777" w:rsidR="00E0703B" w:rsidRPr="00785D06" w:rsidRDefault="00E0703B" w:rsidP="00C254BF">
      <w:pPr>
        <w:pStyle w:val="Textonotapie"/>
        <w:jc w:val="both"/>
        <w:rPr>
          <w:lang w:val="en-US"/>
        </w:rPr>
      </w:pPr>
    </w:p>
  </w:footnote>
  <w:footnote w:id="119">
    <w:p w14:paraId="016C888A"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ESCR Committee, </w:t>
      </w:r>
      <w:r w:rsidRPr="00785D06">
        <w:rPr>
          <w:i/>
          <w:lang w:val="en-US"/>
        </w:rPr>
        <w:t xml:space="preserve">General Comment No 22 on the </w:t>
      </w:r>
      <w:r w:rsidRPr="00785D06">
        <w:rPr>
          <w:rStyle w:val="nfasis"/>
          <w:rFonts w:cs="Arial"/>
          <w:bCs/>
          <w:shd w:val="clear" w:color="auto" w:fill="FFFFFF"/>
          <w:lang w:val="en-US"/>
        </w:rPr>
        <w:t>right</w:t>
      </w:r>
      <w:r w:rsidRPr="00785D06">
        <w:rPr>
          <w:rFonts w:cs="Arial"/>
          <w:shd w:val="clear" w:color="auto" w:fill="FFFFFF"/>
          <w:lang w:val="en-US"/>
        </w:rPr>
        <w:t> to </w:t>
      </w:r>
      <w:r w:rsidRPr="00785D06">
        <w:rPr>
          <w:rStyle w:val="nfasis"/>
          <w:rFonts w:cs="Arial"/>
          <w:bCs/>
          <w:shd w:val="clear" w:color="auto" w:fill="FFFFFF"/>
          <w:lang w:val="en-US"/>
        </w:rPr>
        <w:t>sexual</w:t>
      </w:r>
      <w:r w:rsidRPr="00785D06">
        <w:rPr>
          <w:rFonts w:cs="Arial"/>
          <w:shd w:val="clear" w:color="auto" w:fill="FFFFFF"/>
          <w:lang w:val="en-US"/>
        </w:rPr>
        <w:t> and </w:t>
      </w:r>
      <w:r w:rsidRPr="00785D06">
        <w:rPr>
          <w:rStyle w:val="nfasis"/>
          <w:rFonts w:cs="Arial"/>
          <w:bCs/>
          <w:shd w:val="clear" w:color="auto" w:fill="FFFFFF"/>
          <w:lang w:val="en-US"/>
        </w:rPr>
        <w:t>reproductive health</w:t>
      </w:r>
      <w:r w:rsidRPr="00785D06">
        <w:rPr>
          <w:i/>
          <w:lang w:val="en-US"/>
        </w:rPr>
        <w:t xml:space="preserve"> (Article 12 of the International Covenant on Economic, Social and Cultural Rights)</w:t>
      </w:r>
      <w:r w:rsidRPr="00785D06">
        <w:rPr>
          <w:lang w:val="en-US"/>
        </w:rPr>
        <w:t xml:space="preserve">, May 2, 2016, Doc. E/C.12/GC/22, para. 30. </w:t>
      </w:r>
    </w:p>
    <w:p w14:paraId="3BBECDA8" w14:textId="77777777" w:rsidR="00E0703B" w:rsidRPr="00785D06" w:rsidRDefault="00E0703B" w:rsidP="00C254BF">
      <w:pPr>
        <w:pStyle w:val="Textonotapie"/>
        <w:jc w:val="both"/>
        <w:rPr>
          <w:lang w:val="en-US"/>
        </w:rPr>
      </w:pPr>
    </w:p>
  </w:footnote>
  <w:footnote w:id="120">
    <w:p w14:paraId="21E4705D" w14:textId="77777777" w:rsidR="00E0703B" w:rsidRPr="00785D06" w:rsidRDefault="00E0703B" w:rsidP="00C254BF">
      <w:pPr>
        <w:jc w:val="both"/>
        <w:rPr>
          <w:lang w:val="en-US"/>
        </w:rPr>
      </w:pPr>
      <w:r w:rsidRPr="00785D06">
        <w:rPr>
          <w:rStyle w:val="Refdenotaalpie"/>
          <w:lang w:val="en-US"/>
        </w:rPr>
        <w:footnoteRef/>
      </w:r>
      <w:r w:rsidRPr="00785D06">
        <w:rPr>
          <w:lang w:val="en-US"/>
        </w:rPr>
        <w:t xml:space="preserve"> </w:t>
      </w:r>
      <w:r w:rsidRPr="00785D06">
        <w:rPr>
          <w:lang w:val="en-US"/>
        </w:rPr>
        <w:tab/>
        <w:t xml:space="preserve">The Committee on the Rights of the Child has indicated that the States have “special obligations” to act “with due diligence, and the obligation to prevent violence or violations of human rights, the obligation to protect child victims and witnesses from human rights violations, the obligation to investigate and to punish those responsible, and the obligation to provide access to redress human rights violations.” (Committee on the Rights of the Child, General Comment No. 13, para. 5). UNESCO and UN Women have indicated that national action on school related gender-based violence should be informed by research and data, emphasizing the importance of “monitoring, evaluation and research.” </w:t>
      </w:r>
      <w:r w:rsidRPr="00785D06">
        <w:rPr>
          <w:rFonts w:eastAsia="Times New Roman"/>
          <w:lang w:val="en-US" w:eastAsia="es-ES_tradnl"/>
        </w:rPr>
        <w:t xml:space="preserve">(UNESCO and UN Women, </w:t>
      </w:r>
      <w:r w:rsidRPr="00785D06">
        <w:rPr>
          <w:rFonts w:eastAsia="Times New Roman"/>
          <w:bCs/>
          <w:i/>
          <w:lang w:val="en-US" w:eastAsia="es-ES_tradnl"/>
        </w:rPr>
        <w:t>Global Guidance: Addressing School Related Gender-Based Violence,</w:t>
      </w:r>
      <w:r w:rsidRPr="00785D06">
        <w:rPr>
          <w:rFonts w:eastAsia="Times New Roman"/>
          <w:bCs/>
          <w:lang w:val="en-US" w:eastAsia="es-ES_tradnl"/>
        </w:rPr>
        <w:t xml:space="preserve"> page 15)</w:t>
      </w:r>
      <w:r w:rsidRPr="00785D06">
        <w:rPr>
          <w:i/>
          <w:lang w:val="en-US"/>
        </w:rPr>
        <w:t>.</w:t>
      </w:r>
      <w:r w:rsidRPr="00785D06">
        <w:rPr>
          <w:lang w:val="en-US"/>
        </w:rPr>
        <w:t xml:space="preserve"> As indicated by the expert witness Gauché Marchetti, State policies should include “increasing the capacity” of those who work with children, through training efforts. </w:t>
      </w:r>
    </w:p>
    <w:p w14:paraId="53B765EB" w14:textId="77777777" w:rsidR="00E0703B" w:rsidRPr="00785D06" w:rsidRDefault="00E0703B" w:rsidP="00C254BF">
      <w:pPr>
        <w:jc w:val="both"/>
        <w:rPr>
          <w:rFonts w:eastAsia="Times New Roman"/>
          <w:lang w:val="en-US" w:eastAsia="es-ES_tradnl"/>
        </w:rPr>
      </w:pPr>
    </w:p>
  </w:footnote>
  <w:footnote w:id="121">
    <w:p w14:paraId="3DCDC2CF" w14:textId="77777777" w:rsidR="00E0703B" w:rsidRPr="00785D06" w:rsidRDefault="00E0703B" w:rsidP="00C254BF">
      <w:pPr>
        <w:jc w:val="both"/>
        <w:rPr>
          <w:rFonts w:eastAsia="Times New Roman"/>
          <w:i/>
          <w:lang w:val="en-US" w:eastAsia="es-ES_tradnl"/>
        </w:rPr>
      </w:pPr>
      <w:r w:rsidRPr="00785D06">
        <w:rPr>
          <w:rStyle w:val="Refdenotaalpie"/>
          <w:lang w:val="en-US"/>
        </w:rPr>
        <w:footnoteRef/>
      </w:r>
      <w:r w:rsidRPr="00785D06">
        <w:rPr>
          <w:lang w:val="en-US"/>
        </w:rPr>
        <w:t xml:space="preserve"> </w:t>
      </w:r>
      <w:r w:rsidRPr="00785D06">
        <w:rPr>
          <w:lang w:val="en-US"/>
        </w:rPr>
        <w:tab/>
        <w:t>UNESCO and UN Women indicated that “there should be clear, safe and accessible procedures and mechanisms for reporting incidents, assisting victims and referring cases to the appropriate authorities</w:t>
      </w:r>
      <w:r w:rsidRPr="00785D06">
        <w:rPr>
          <w:rFonts w:eastAsia="Times New Roman"/>
          <w:lang w:val="en-US" w:eastAsia="es-ES_tradnl"/>
        </w:rPr>
        <w:t xml:space="preserve">. Reponses to school-related gender-based violence should ensure the availability of easily-accessible, child-sensitive and confidential reporting mechanisms, health care services, including counselling and support, and referral to law enforcement.” (UNESCO and ONU Women, </w:t>
      </w:r>
      <w:r w:rsidRPr="00785D06">
        <w:rPr>
          <w:rFonts w:eastAsia="Times New Roman"/>
          <w:bCs/>
          <w:i/>
          <w:lang w:val="en-US" w:eastAsia="es-ES_tradnl"/>
        </w:rPr>
        <w:t>Global Guidance: Addressing School Related Gender-Based Violence,</w:t>
      </w:r>
      <w:r w:rsidRPr="00785D06">
        <w:rPr>
          <w:rFonts w:eastAsia="Times New Roman"/>
          <w:bCs/>
          <w:lang w:val="en-US" w:eastAsia="es-ES_tradnl"/>
        </w:rPr>
        <w:t xml:space="preserve"> page 14). </w:t>
      </w:r>
    </w:p>
    <w:p w14:paraId="19B76242" w14:textId="77777777" w:rsidR="00E0703B" w:rsidRPr="00785D06" w:rsidRDefault="00E0703B" w:rsidP="00C254BF">
      <w:pPr>
        <w:pStyle w:val="Textonotapie"/>
        <w:jc w:val="both"/>
        <w:rPr>
          <w:lang w:val="en-US"/>
        </w:rPr>
      </w:pPr>
    </w:p>
  </w:footnote>
  <w:footnote w:id="122">
    <w:p w14:paraId="2B413666" w14:textId="77777777" w:rsidR="00E0703B" w:rsidRPr="00785D06" w:rsidRDefault="00E0703B" w:rsidP="00C254BF">
      <w:pPr>
        <w:pStyle w:val="NormalWeb"/>
        <w:spacing w:before="0" w:beforeAutospacing="0" w:after="0" w:afterAutospacing="0"/>
        <w:jc w:val="both"/>
        <w:rPr>
          <w:lang w:val="en-US"/>
        </w:rPr>
      </w:pPr>
      <w:r w:rsidRPr="00785D06">
        <w:rPr>
          <w:rStyle w:val="Refdenotaalpie"/>
          <w:lang w:val="en-US"/>
        </w:rPr>
        <w:footnoteRef/>
      </w:r>
      <w:r w:rsidRPr="00785D06">
        <w:rPr>
          <w:lang w:val="en-US"/>
        </w:rPr>
        <w:t xml:space="preserve"> </w:t>
      </w:r>
      <w:r w:rsidRPr="00785D06">
        <w:rPr>
          <w:lang w:val="en-US"/>
        </w:rPr>
        <w:tab/>
        <w:t>Since its first decision on the merits of a contentious case, the Court has indicated that for an international court, whose role is to determine the State’s responsibility, the criteria for assessing evidence are less rigid than in the domestic legal systems (</w:t>
      </w:r>
      <w:r w:rsidRPr="00785D06">
        <w:rPr>
          <w:i/>
          <w:lang w:val="en-US"/>
        </w:rPr>
        <w:t>Cf. Case of Velásquez Rodríguez v. Honduras. Merits</w:t>
      </w:r>
      <w:r w:rsidRPr="00785D06">
        <w:rPr>
          <w:lang w:val="en-US"/>
        </w:rPr>
        <w:t xml:space="preserve">, paras. 127, 128, 130 and 132 to 136, and </w:t>
      </w:r>
      <w:r w:rsidRPr="00785D06">
        <w:rPr>
          <w:i/>
          <w:lang w:val="en-US"/>
        </w:rPr>
        <w:t xml:space="preserve">Case of Alvarado Espinoza et al. v. Mexico. Merits, reparations and costs. </w:t>
      </w:r>
      <w:r w:rsidRPr="00785D06">
        <w:rPr>
          <w:lang w:val="en-US"/>
        </w:rPr>
        <w:t>Judgment of November 28, 2018. Series C No. 370, para. 168). Also, as indicated previously, it should be borne in mind that acts of sexual violence, particularly those involving penetration, constitute a “particular type of aggression that, in general, is characterized by occurring in the absence of people other than the victim and the aggressor or aggressors. Given the nature of this type of violence, the existence of graphic or documentary evidence cannot be expected.” (</w:t>
      </w:r>
      <w:r w:rsidRPr="00785D06">
        <w:rPr>
          <w:i/>
          <w:lang w:val="en-US"/>
        </w:rPr>
        <w:t>Case Fernández Ortega et al. v. Mexico</w:t>
      </w:r>
      <w:r w:rsidRPr="00785D06">
        <w:rPr>
          <w:lang w:val="en-US"/>
        </w:rPr>
        <w:t xml:space="preserve">, para. 100, and </w:t>
      </w:r>
      <w:r w:rsidRPr="00785D06">
        <w:rPr>
          <w:i/>
          <w:lang w:val="en-US"/>
        </w:rPr>
        <w:t>Case of Azul Rojas Marín et al. v. Peru</w:t>
      </w:r>
      <w:r w:rsidRPr="00785D06">
        <w:rPr>
          <w:lang w:val="en-US"/>
        </w:rPr>
        <w:t xml:space="preserve">, para. 146). Consequently, as is evident from the aforementioned case law, in the majority of cases, when the victim of sexual aggression is alive, his or her statement “constitutes fundamental evidence of the fact.” In this case, however, the victim is deceased and it is necessary to resort to other elements. </w:t>
      </w:r>
    </w:p>
    <w:p w14:paraId="7FD0B846" w14:textId="77777777" w:rsidR="00E0703B" w:rsidRPr="00785D06" w:rsidRDefault="00E0703B" w:rsidP="00C254BF">
      <w:pPr>
        <w:pStyle w:val="Textonotapie"/>
        <w:jc w:val="both"/>
        <w:rPr>
          <w:lang w:val="en-US"/>
        </w:rPr>
      </w:pPr>
    </w:p>
  </w:footnote>
  <w:footnote w:id="123">
    <w:p w14:paraId="053A51BD" w14:textId="77777777" w:rsidR="00E0703B" w:rsidRPr="00785D06" w:rsidRDefault="00E0703B" w:rsidP="00C254BF">
      <w:pPr>
        <w:pStyle w:val="Prrafodelista"/>
        <w:ind w:left="0"/>
        <w:contextualSpacing w:val="0"/>
        <w:jc w:val="both"/>
        <w:rPr>
          <w:lang w:val="en-US"/>
        </w:rPr>
      </w:pPr>
      <w:r w:rsidRPr="00785D06">
        <w:rPr>
          <w:rStyle w:val="Refdenotaalpie"/>
          <w:lang w:val="en-US"/>
        </w:rPr>
        <w:footnoteRef/>
      </w:r>
      <w:r w:rsidRPr="00785D06">
        <w:rPr>
          <w:lang w:val="en-US"/>
        </w:rPr>
        <w:t xml:space="preserve"> </w:t>
      </w:r>
      <w:r w:rsidRPr="00785D06">
        <w:rPr>
          <w:lang w:val="en-US"/>
        </w:rPr>
        <w:tab/>
        <w:t>In this regard, reference has already been made to the letters left by Paola, together with various testimonies provided by her schoolmates, in which they claimed to have observed acts of a sexual nature between Paola and the vice principal, and stated that Paola mentioned that she had sexual relations with him, that she was pregnant and that she had taken a pregnancy test (</w:t>
      </w:r>
      <w:r w:rsidRPr="00785D06">
        <w:rPr>
          <w:i/>
          <w:lang w:val="en-US"/>
        </w:rPr>
        <w:t xml:space="preserve">supra </w:t>
      </w:r>
      <w:r w:rsidRPr="00785D06">
        <w:rPr>
          <w:lang w:val="en-US"/>
        </w:rPr>
        <w:t>paras. 49 a 51 and 56). These statements, regardless of Paola’s supposed pregnancy, show that she had sexual intercourse involving vaginal penetration. There is no reason to consider the girl’s statement false, or to conclude that her comments did not correspond to the facts. Furthermore, from the evidence it is clear that the relationship between the vice principal and Paola was public knowledge or widely known in her school community. This is also clear from statements made by various teachers and even from a survey of students and their comments to the media, included in a police report (</w:t>
      </w:r>
      <w:r w:rsidRPr="00785D06">
        <w:rPr>
          <w:i/>
          <w:lang w:val="en-US"/>
        </w:rPr>
        <w:t xml:space="preserve">supra </w:t>
      </w:r>
      <w:r w:rsidRPr="00785D06">
        <w:rPr>
          <w:lang w:val="en-US"/>
        </w:rPr>
        <w:t xml:space="preserve">para. 68 and footnote 38 ; </w:t>
      </w:r>
      <w:r w:rsidRPr="00785D06">
        <w:rPr>
          <w:i/>
          <w:lang w:val="en-US"/>
        </w:rPr>
        <w:t>Cf.</w:t>
      </w:r>
      <w:r w:rsidRPr="00785D06">
        <w:rPr>
          <w:lang w:val="en-US"/>
        </w:rPr>
        <w:t xml:space="preserve"> statements of E.T. and J.M. of January 31, 2003, </w:t>
      </w:r>
      <w:r w:rsidRPr="00785D06">
        <w:rPr>
          <w:i/>
          <w:lang w:val="en-US"/>
        </w:rPr>
        <w:t xml:space="preserve">supra </w:t>
      </w:r>
      <w:r w:rsidRPr="00785D06">
        <w:rPr>
          <w:lang w:val="en-US"/>
        </w:rPr>
        <w:t xml:space="preserve">para. 65; statement of I.I. of March 14, 2003, </w:t>
      </w:r>
      <w:r w:rsidRPr="00785D06">
        <w:rPr>
          <w:i/>
          <w:lang w:val="en-US"/>
        </w:rPr>
        <w:t xml:space="preserve">supra </w:t>
      </w:r>
      <w:r w:rsidRPr="00785D06">
        <w:rPr>
          <w:lang w:val="en-US"/>
        </w:rPr>
        <w:t>para. 67; anonymous survey of January 31, 2003 carried out among students at the Martínez Serrano secondary school (evidence file, annex 64 to the Merits Report, folios 452 to 560); letter from Paola del Rosario Guzmán Albarracín to the vice principal (</w:t>
      </w:r>
      <w:r w:rsidRPr="00785D06">
        <w:rPr>
          <w:i/>
          <w:lang w:val="en-US"/>
        </w:rPr>
        <w:t xml:space="preserve">supra </w:t>
      </w:r>
      <w:r w:rsidRPr="00785D06">
        <w:rPr>
          <w:lang w:val="en-US"/>
        </w:rPr>
        <w:t>para. 56); Mrs. Albarracín’s submissions to the Criminal Prosecutor of  August 15, 2003 (</w:t>
      </w:r>
      <w:r w:rsidRPr="00785D06">
        <w:rPr>
          <w:i/>
          <w:lang w:val="en-US"/>
        </w:rPr>
        <w:t>supra</w:t>
      </w:r>
      <w:r w:rsidRPr="00785D06">
        <w:rPr>
          <w:lang w:val="en-US"/>
        </w:rPr>
        <w:t xml:space="preserve"> footnote 39); brief of Petita Paulina Albarracín Albán of illegible date, in the context of Criminal Prosecution N-74-2003 (evidence file, annex 43 to the pleadings and motions brief, folios 5881 to 5886), and statement of the teacher G.B. of September 17, 2003, provided during the administrative  procedure (evidence file, annex 89 to the pleadings and motions brief, folios 6034 and 6035).</w:t>
      </w:r>
    </w:p>
    <w:p w14:paraId="295E8053" w14:textId="77777777" w:rsidR="00E0703B" w:rsidRPr="00785D06" w:rsidRDefault="00E0703B" w:rsidP="00C254BF">
      <w:pPr>
        <w:pStyle w:val="Textonotapie"/>
        <w:jc w:val="both"/>
        <w:rPr>
          <w:lang w:val="en-US"/>
        </w:rPr>
      </w:pPr>
    </w:p>
  </w:footnote>
  <w:footnote w:id="124">
    <w:p w14:paraId="296DC0A1" w14:textId="77777777" w:rsidR="00E0703B" w:rsidRPr="00785D06" w:rsidRDefault="00E0703B" w:rsidP="00C254BF">
      <w:pPr>
        <w:pStyle w:val="Textonotapie"/>
        <w:jc w:val="both"/>
        <w:rPr>
          <w:b/>
          <w:lang w:val="en-US"/>
        </w:rPr>
      </w:pPr>
      <w:r w:rsidRPr="00785D06">
        <w:rPr>
          <w:rStyle w:val="Refdenotaalpie"/>
          <w:lang w:val="en-US"/>
        </w:rPr>
        <w:footnoteRef/>
      </w:r>
      <w:r w:rsidRPr="00785D06">
        <w:rPr>
          <w:lang w:val="en-US"/>
        </w:rPr>
        <w:t xml:space="preserve"> </w:t>
      </w:r>
      <w:r w:rsidRPr="00785D06">
        <w:rPr>
          <w:lang w:val="en-US"/>
        </w:rPr>
        <w:tab/>
        <w:t xml:space="preserve">The Committee on the Rights of the Child has explained that “while respecting the evolving capacities and progressive autonomy of the child, all human beings below the age of 18 years are nonetheless “in the care of” someone, or should be, and indicated that the definition of “caregivers” in Article 19 of the Convention on the Rights of the Child includes, </w:t>
      </w:r>
      <w:r w:rsidRPr="00785D06">
        <w:rPr>
          <w:i/>
          <w:lang w:val="en-US"/>
        </w:rPr>
        <w:t>inter alia</w:t>
      </w:r>
      <w:r w:rsidRPr="00785D06">
        <w:rPr>
          <w:lang w:val="en-US"/>
        </w:rPr>
        <w:t>, “education, school and early childhood personnel.” (Committee on the Rights of the Child, General Comment No. 13, para. 33).</w:t>
      </w:r>
    </w:p>
    <w:p w14:paraId="7283971C" w14:textId="77777777" w:rsidR="00E0703B" w:rsidRPr="00785D06" w:rsidRDefault="00E0703B" w:rsidP="00C254BF">
      <w:pPr>
        <w:pStyle w:val="Textonotapie"/>
        <w:rPr>
          <w:lang w:val="en-US"/>
        </w:rPr>
      </w:pPr>
    </w:p>
  </w:footnote>
  <w:footnote w:id="125">
    <w:p w14:paraId="3D48F6F9"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With regard to the exploitation of situations of vulnerability or power, the Court shares the view expressed by the Committee of Lanzarote, which calls for the protection of children - even when they reach the legal age to have sexual relations and the perpetrator does not use coercion, force or threats - when persons abuse of a relationship of trust or authority (</w:t>
      </w:r>
      <w:r w:rsidRPr="00785D06">
        <w:rPr>
          <w:i/>
          <w:lang w:val="en-US"/>
        </w:rPr>
        <w:t>Cf.</w:t>
      </w:r>
      <w:r w:rsidRPr="00785D06">
        <w:rPr>
          <w:lang w:val="en-US"/>
        </w:rPr>
        <w:t xml:space="preserve"> Lanzarote Committee, </w:t>
      </w:r>
      <w:r w:rsidRPr="00785D06">
        <w:rPr>
          <w:i/>
          <w:lang w:val="en-US"/>
        </w:rPr>
        <w:t>First Implementation Report: Protection of children against sexual abuse in the circle of trust</w:t>
      </w:r>
      <w:r w:rsidRPr="00785D06">
        <w:rPr>
          <w:lang w:val="en-US"/>
        </w:rPr>
        <w:t xml:space="preserve">, December 4, 2015, para. 42). Similarly, in its </w:t>
      </w:r>
      <w:r w:rsidRPr="00785D06">
        <w:rPr>
          <w:i/>
          <w:lang w:val="en-US"/>
        </w:rPr>
        <w:t>amicus curiae</w:t>
      </w:r>
      <w:r w:rsidRPr="00785D06">
        <w:rPr>
          <w:lang w:val="en-US"/>
        </w:rPr>
        <w:t xml:space="preserve"> brief, ECPAT refers to the text of the Council of Europe Convention on the protection of children against sexual exploitation and sexual abuse, known as the “Lanzarote Convention,” particularly Article 18, and stresses that, regardless of whether a child has reached the age for sexual activity, children should be legally protected until the age of 18 from “sexual abuse in the circle of trust.” The Lanzarote Convention was adopted on October 25, 2007, and entered into force on July 1, 2010. ECPAT emphasized that this treaty has been ratified by 44 States and “is one of the most ambitious, comprehensive and advanced international legal instruments for the protection of children against sexual exploitation and sexual abuse. It may also be signed by countries that are not members of the European Council.” </w:t>
      </w:r>
    </w:p>
    <w:p w14:paraId="33377437" w14:textId="77777777" w:rsidR="00E0703B" w:rsidRPr="00785D06" w:rsidRDefault="00E0703B" w:rsidP="00C254BF">
      <w:pPr>
        <w:pStyle w:val="Textonotapie"/>
        <w:jc w:val="both"/>
        <w:rPr>
          <w:lang w:val="en-US"/>
        </w:rPr>
      </w:pPr>
    </w:p>
  </w:footnote>
  <w:footnote w:id="126">
    <w:p w14:paraId="71723FF0"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w:t>
      </w:r>
      <w:r w:rsidRPr="00785D06">
        <w:rPr>
          <w:i/>
          <w:lang w:val="en-US"/>
        </w:rPr>
        <w:t>Case of</w:t>
      </w:r>
      <w:r w:rsidRPr="00785D06">
        <w:rPr>
          <w:lang w:val="en-US"/>
        </w:rPr>
        <w:t xml:space="preserve"> </w:t>
      </w:r>
      <w:r w:rsidRPr="00785D06">
        <w:rPr>
          <w:i/>
          <w:lang w:val="en-US"/>
        </w:rPr>
        <w:t>Velásquez Rodríguez v. Honduras. Merits, para.</w:t>
      </w:r>
      <w:r w:rsidRPr="00785D06">
        <w:rPr>
          <w:lang w:val="en-US"/>
        </w:rPr>
        <w:t xml:space="preserve"> 170, and </w:t>
      </w:r>
      <w:r w:rsidRPr="00785D06">
        <w:rPr>
          <w:i/>
          <w:lang w:val="en-US"/>
        </w:rPr>
        <w:t>Case of Villamizar Durán et al. v. Colombia. Preliminary objection, merits, reparations and costs.</w:t>
      </w:r>
      <w:r w:rsidRPr="00785D06">
        <w:rPr>
          <w:lang w:val="en-US"/>
        </w:rPr>
        <w:t xml:space="preserve"> Judgment of November 20, 2018. Series C No. 364, para. 139. </w:t>
      </w:r>
    </w:p>
    <w:p w14:paraId="470BD1D9" w14:textId="77777777" w:rsidR="00E0703B" w:rsidRPr="00785D06" w:rsidRDefault="00E0703B" w:rsidP="00C254BF">
      <w:pPr>
        <w:pStyle w:val="Textonotapie"/>
        <w:jc w:val="both"/>
        <w:rPr>
          <w:lang w:val="en-US"/>
        </w:rPr>
      </w:pPr>
    </w:p>
  </w:footnote>
  <w:footnote w:id="127">
    <w:p w14:paraId="2B7E4ED2" w14:textId="77777777" w:rsidR="00E0703B" w:rsidRPr="00785D06" w:rsidRDefault="00E0703B" w:rsidP="00C254BF">
      <w:pPr>
        <w:pStyle w:val="Textonotapie"/>
        <w:jc w:val="both"/>
        <w:rPr>
          <w:rFonts w:eastAsia="Calibri"/>
          <w:w w:val="105"/>
          <w:lang w:val="en-US" w:eastAsia="es-ES" w:bidi="es-ES"/>
        </w:rPr>
      </w:pPr>
      <w:r w:rsidRPr="00785D06">
        <w:rPr>
          <w:rStyle w:val="Refdenotaalpie"/>
          <w:lang w:val="en-US"/>
        </w:rPr>
        <w:footnoteRef/>
      </w:r>
      <w:r w:rsidRPr="00785D06">
        <w:rPr>
          <w:lang w:val="en-US"/>
        </w:rPr>
        <w:t xml:space="preserve"> </w:t>
      </w:r>
      <w:r w:rsidRPr="00785D06">
        <w:rPr>
          <w:b/>
          <w:lang w:val="en-US"/>
        </w:rPr>
        <w:tab/>
      </w:r>
      <w:r w:rsidRPr="00785D06">
        <w:rPr>
          <w:lang w:val="en-US"/>
        </w:rPr>
        <w:t xml:space="preserve">In that regard, the Court shares the view expressed by the Committee of Experts of MESECVI, in its </w:t>
      </w:r>
      <w:r w:rsidRPr="00785D06">
        <w:rPr>
          <w:i/>
          <w:lang w:val="en-US"/>
        </w:rPr>
        <w:t>amicus curiae</w:t>
      </w:r>
      <w:r w:rsidRPr="00785D06">
        <w:rPr>
          <w:lang w:val="en-US"/>
        </w:rPr>
        <w:t xml:space="preserve"> brief, that those working in the area of education have </w:t>
      </w:r>
      <w:r w:rsidRPr="00785D06">
        <w:rPr>
          <w:rFonts w:eastAsia="Calibri"/>
          <w:w w:val="105"/>
          <w:lang w:val="en-US" w:eastAsia="es-ES" w:bidi="es-ES"/>
        </w:rPr>
        <w:t xml:space="preserve">the ineludible obligation to safeguard the personal integrity of the students and avoid, at all costs, situations that may create improper advantages or benefits as a consequence of their subordinate position. This duty is especially reinforced in relationships involving children and adolescents, as developing individuals. Ecuador’s domestic laws also recognize the right of students to be protected against all forms of violence in educational institutions. As indicated by SURKUNA in its </w:t>
      </w:r>
      <w:r w:rsidRPr="00785D06">
        <w:rPr>
          <w:rFonts w:eastAsia="Calibri"/>
          <w:i/>
          <w:w w:val="105"/>
          <w:lang w:val="en-US" w:eastAsia="es-ES" w:bidi="es-ES"/>
        </w:rPr>
        <w:t>amicus curiae</w:t>
      </w:r>
      <w:r w:rsidRPr="00785D06">
        <w:rPr>
          <w:rFonts w:eastAsia="Calibri"/>
          <w:w w:val="105"/>
          <w:lang w:val="en-US" w:eastAsia="es-ES" w:bidi="es-ES"/>
        </w:rPr>
        <w:t xml:space="preserve"> brief, this is stipulated in the Organic Law on Intercultural Education, of 2011.</w:t>
      </w:r>
    </w:p>
    <w:p w14:paraId="27A291BA" w14:textId="77777777" w:rsidR="00E0703B" w:rsidRPr="00785D06" w:rsidRDefault="00E0703B" w:rsidP="00C254BF">
      <w:pPr>
        <w:pStyle w:val="Textonotapie"/>
        <w:jc w:val="both"/>
        <w:rPr>
          <w:lang w:val="en-US"/>
        </w:rPr>
      </w:pPr>
    </w:p>
  </w:footnote>
  <w:footnote w:id="128">
    <w:p w14:paraId="22BD5255"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 xml:space="preserve">In its </w:t>
      </w:r>
      <w:r w:rsidRPr="00785D06">
        <w:rPr>
          <w:i/>
          <w:lang w:val="en-US"/>
        </w:rPr>
        <w:t>amicus curiae</w:t>
      </w:r>
      <w:r w:rsidRPr="00785D06">
        <w:rPr>
          <w:lang w:val="en-US"/>
        </w:rPr>
        <w:t xml:space="preserve"> brief, the Committee of Experts of MESECVI “recognize[d] the progressive autonomy of adolescents in establishing their sexual and affective relationships,” but added that “on many occasions, particularly where age differences and superior-subordinate relationships exist, </w:t>
      </w:r>
      <w:r w:rsidRPr="00785D06">
        <w:rPr>
          <w:lang w:val="en-GB"/>
        </w:rPr>
        <w:t>[…]</w:t>
      </w:r>
      <w:r w:rsidRPr="00785D06">
        <w:rPr>
          <w:lang w:val="en-US"/>
        </w:rPr>
        <w:t xml:space="preserve"> there are cases in which, according to the particular circumstances, consent is annulled or invalidated.” It explained that any analysis must consider “the relationship of power between the parties from a gender perspective; whether there is a particular context that encourages violence; whether other cases exist with the same patterns; the particular conditions of the victim (age, gender, etc.); the actions of the perpetrators, and the visible and invisible consequences in the victims.” It added that sexual harassment is not always identified as such by women victims when there is no explicit act of violence, owing to “accepted cultural and social patterns, which consider as ‘normal’ certain relations and interactions between men and women that are really a perverse abuse of power [, and </w:t>
      </w:r>
      <w:r w:rsidRPr="00785D06">
        <w:rPr>
          <w:lang w:val="en-GB"/>
        </w:rPr>
        <w:t xml:space="preserve">regard] </w:t>
      </w:r>
      <w:r w:rsidRPr="00785D06">
        <w:rPr>
          <w:lang w:val="en-US"/>
        </w:rPr>
        <w:t>women and girls as exploitable sexual objects.”</w:t>
      </w:r>
      <w:r w:rsidRPr="00785D06">
        <w:rPr>
          <w:b/>
          <w:lang w:val="en-US"/>
        </w:rPr>
        <w:t xml:space="preserve"> </w:t>
      </w:r>
    </w:p>
    <w:p w14:paraId="540C3E7A" w14:textId="77777777" w:rsidR="00E0703B" w:rsidRPr="00785D06" w:rsidRDefault="00E0703B" w:rsidP="00C254BF">
      <w:pPr>
        <w:pStyle w:val="Textonotapie"/>
        <w:jc w:val="both"/>
        <w:rPr>
          <w:lang w:val="en-US"/>
        </w:rPr>
      </w:pPr>
    </w:p>
  </w:footnote>
  <w:footnote w:id="129">
    <w:p w14:paraId="74C59F9D" w14:textId="77777777" w:rsidR="00E0703B" w:rsidRPr="00785D06" w:rsidRDefault="00E0703B" w:rsidP="00C254BF">
      <w:pPr>
        <w:pStyle w:val="Textonotapie"/>
        <w:jc w:val="both"/>
        <w:rPr>
          <w:b/>
          <w:lang w:val="en-US"/>
        </w:rPr>
      </w:pPr>
      <w:r w:rsidRPr="00785D06">
        <w:rPr>
          <w:rStyle w:val="Refdenotaalpie"/>
          <w:lang w:val="en-US"/>
        </w:rPr>
        <w:footnoteRef/>
      </w:r>
      <w:r w:rsidRPr="00785D06">
        <w:rPr>
          <w:lang w:val="en-US"/>
        </w:rPr>
        <w:t xml:space="preserve"> </w:t>
      </w:r>
      <w:r w:rsidRPr="00785D06">
        <w:rPr>
          <w:lang w:val="en-US"/>
        </w:rPr>
        <w:tab/>
        <w:t>This Court has already noted that negative or harmful gender stereotypes may have a negative impact on the exercise of rights (</w:t>
      </w:r>
      <w:r w:rsidRPr="00785D06">
        <w:rPr>
          <w:i/>
          <w:lang w:val="en-US"/>
        </w:rPr>
        <w:t>Cf. Case of González et al. (“Cotton Field”) v. Mexico</w:t>
      </w:r>
      <w:r w:rsidRPr="00785D06">
        <w:rPr>
          <w:lang w:val="en-US"/>
        </w:rPr>
        <w:t xml:space="preserve">, para. 401; </w:t>
      </w:r>
      <w:r w:rsidRPr="00785D06">
        <w:rPr>
          <w:rStyle w:val="Textoennegrita"/>
          <w:b w:val="0"/>
          <w:i/>
          <w:color w:val="000000"/>
          <w:shd w:val="clear" w:color="auto" w:fill="FFFFFF"/>
          <w:lang w:val="en-US"/>
        </w:rPr>
        <w:t>Case of I.V. v. Bolivia. Preliminary objections, merits, reparations and costs.</w:t>
      </w:r>
      <w:r w:rsidRPr="00785D06">
        <w:rPr>
          <w:rStyle w:val="Textoennegrita"/>
          <w:b w:val="0"/>
          <w:color w:val="000000"/>
          <w:shd w:val="clear" w:color="auto" w:fill="FFFFFF"/>
          <w:lang w:val="en-US"/>
        </w:rPr>
        <w:t xml:space="preserve"> Judgment of November 30, 2016. Series C No. 329</w:t>
      </w:r>
      <w:r w:rsidRPr="00785D06">
        <w:rPr>
          <w:lang w:val="en-US"/>
        </w:rPr>
        <w:t xml:space="preserve">, para. 187, and </w:t>
      </w:r>
      <w:r w:rsidRPr="00785D06">
        <w:rPr>
          <w:i/>
          <w:lang w:val="en-US"/>
        </w:rPr>
        <w:t>Case of Azul Rojas Marín et al. v. Peru</w:t>
      </w:r>
      <w:r w:rsidRPr="00785D06">
        <w:rPr>
          <w:lang w:val="en-US"/>
        </w:rPr>
        <w:t>, para. 199). The Court has indicated that gender stereotypes involve pre-conceptions about roles attributed to men and women that are often related to the subordination of women. The concept is explained in greater detail below (</w:t>
      </w:r>
      <w:r w:rsidRPr="00785D06">
        <w:rPr>
          <w:i/>
          <w:lang w:val="en-US"/>
        </w:rPr>
        <w:t>infra</w:t>
      </w:r>
      <w:r w:rsidRPr="00785D06">
        <w:rPr>
          <w:lang w:val="en-US"/>
        </w:rPr>
        <w:t xml:space="preserve"> para. 188). In this regard, the representatives have pointed out that in the instant case Paola was affected by the stereotype of “seductive adolescent girl,” and was blamed for the sexual violence that she suffered. In relation to sexual harassment, the International Labour Organization (ILO) has noted that there is a false idea that “women are to blame for being harassed for being provocative,” emphasizing that this is “[false, since men objectify women as sexual objects of their fantasies.” (ILO. </w:t>
      </w:r>
      <w:r w:rsidRPr="00785D06">
        <w:rPr>
          <w:i/>
          <w:lang w:val="en-US"/>
        </w:rPr>
        <w:t>Sexual harassment at work. Gender, health and safety at work</w:t>
      </w:r>
      <w:r w:rsidRPr="00785D06">
        <w:rPr>
          <w:lang w:val="en-US"/>
        </w:rPr>
        <w:t>. Fact Sheet 4, page 3).</w:t>
      </w:r>
    </w:p>
    <w:p w14:paraId="5C894D4F" w14:textId="77777777" w:rsidR="00E0703B" w:rsidRPr="00785D06" w:rsidRDefault="00E0703B" w:rsidP="00C254BF">
      <w:pPr>
        <w:pStyle w:val="Textonotapie"/>
        <w:rPr>
          <w:b/>
          <w:lang w:val="en-US"/>
        </w:rPr>
      </w:pPr>
    </w:p>
  </w:footnote>
  <w:footnote w:id="130">
    <w:p w14:paraId="1A67B288"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The expert witness Gauché Marchetti considers that “a relationship between an adult in charge of a public school - and therefore in a position of authority as a State agent responsible for providing the right to education - and one of his underage students, may be considered sexual harassment, when grades or other academic benefits are offered in return for such a relationship. This, in turn, is considered one of the most serious forms of violence against girls and adolescents […] since it also amounts to sexual abuse if it leads to a sexual relationship that can bring unwanted and unforeseen consequences for an adolescent.”</w:t>
      </w:r>
    </w:p>
    <w:p w14:paraId="1738D54A" w14:textId="77777777" w:rsidR="00E0703B" w:rsidRPr="00785D06" w:rsidRDefault="00E0703B" w:rsidP="00C254BF">
      <w:pPr>
        <w:pStyle w:val="Textonotapie"/>
        <w:jc w:val="both"/>
        <w:rPr>
          <w:lang w:val="en-US"/>
        </w:rPr>
      </w:pPr>
    </w:p>
  </w:footnote>
  <w:footnote w:id="131">
    <w:p w14:paraId="7A5B2F1A"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 xml:space="preserve">Similarly, in their joint expert opinion the expert witnesses Cobos Velazco and Bustamante Torres, proposed by the State, noted that “in 2002 there was no public policy to enable victims of sexual violence in schools to report their abusers.” </w:t>
      </w:r>
    </w:p>
    <w:p w14:paraId="172AF3A1" w14:textId="77777777" w:rsidR="00E0703B" w:rsidRPr="00785D06" w:rsidRDefault="00E0703B" w:rsidP="00C254BF">
      <w:pPr>
        <w:pStyle w:val="Textonotapie"/>
        <w:jc w:val="both"/>
        <w:rPr>
          <w:lang w:val="en-US"/>
        </w:rPr>
      </w:pPr>
    </w:p>
  </w:footnote>
  <w:footnote w:id="132">
    <w:p w14:paraId="65D132A4"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According to the expert opinion presented before the Inter-American Commission by Ximena Cortés Castillo, Paola belonged to a “vulnerable educational community” because the school she attended had a “precarious administration,” “lacked potable water and hygiene services,” shared its facilities with another school and carried out its activities in “overcrowded conditions.” Also, its students came from “low-income families” and parents with “low levels of education,” who were “unemployed and/or in precarious jobs” (expert opinion of Ximena Cortés Castillo provided to the Commission). The Court notes that Ecuador challenged the validity of Ms. Cortés’ statements before the Commission and the Court, because they were based on the “psychological autopsy” technique which, according to the State, should have been carried out within a few months after the suicide, based on the relevant protocols. Ms. Cortés stated that her study was conducted nearly 12 years after the events. The expert witnesses Ayala Yépez and Aguirre explained that over time the “psyche” of the persons interviewed would have changed and that this “undermines the precision” of the “psychological autopsy.” Ms. Cortés argued that several authors consider that it is possible to conduct a “psychological autopsy” a long time after the events. She added that she had not only carried out interviews, but had also studied documents, which remain unaltered over time. The Court finds that the arguments made by the State and by the experts Ayala Yépez and Aguirre do not wholly invalidate Ms. Cortés’ study, but considers that its “accuracy” may have been weakened. Therefore, based on its authority to assess evidence, and taking into account the above considerations, the Court deems it pertinent to assess the expert opinion of Ximena Cortés Castillo.</w:t>
      </w:r>
    </w:p>
    <w:p w14:paraId="25909E8A" w14:textId="77777777" w:rsidR="00E0703B" w:rsidRPr="00785D06" w:rsidRDefault="00E0703B" w:rsidP="00C254BF">
      <w:pPr>
        <w:pStyle w:val="Textonotapie"/>
        <w:jc w:val="both"/>
        <w:rPr>
          <w:lang w:val="en-US"/>
        </w:rPr>
      </w:pPr>
    </w:p>
  </w:footnote>
  <w:footnote w:id="133">
    <w:p w14:paraId="381EC942"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 xml:space="preserve">The expert witness Gauché Marchetti indicated that “[a] school in which such acts are permitted on a regular basis and over a period of time, suggests a serious failing on the part of the State.” </w:t>
      </w:r>
    </w:p>
    <w:p w14:paraId="101BBA80" w14:textId="77777777" w:rsidR="00E0703B" w:rsidRPr="00785D06" w:rsidRDefault="00E0703B" w:rsidP="00C254BF">
      <w:pPr>
        <w:pStyle w:val="Textonotapie"/>
        <w:jc w:val="both"/>
        <w:rPr>
          <w:lang w:val="en-US"/>
        </w:rPr>
      </w:pPr>
    </w:p>
  </w:footnote>
  <w:footnote w:id="134">
    <w:p w14:paraId="12CE8BF5" w14:textId="77777777" w:rsidR="00E0703B" w:rsidRPr="00785D06" w:rsidRDefault="00E0703B" w:rsidP="00C254BF">
      <w:pPr>
        <w:pStyle w:val="Prrafodelista"/>
        <w:ind w:left="0"/>
        <w:jc w:val="both"/>
        <w:rPr>
          <w:lang w:val="en-US"/>
        </w:rPr>
      </w:pPr>
      <w:r w:rsidRPr="00785D06">
        <w:rPr>
          <w:rStyle w:val="Refdenotaalpie"/>
          <w:lang w:val="en-US"/>
        </w:rPr>
        <w:footnoteRef/>
      </w:r>
      <w:r w:rsidRPr="00785D06">
        <w:rPr>
          <w:lang w:val="en-US"/>
        </w:rPr>
        <w:t xml:space="preserve">  </w:t>
      </w:r>
      <w:r w:rsidRPr="00785D06">
        <w:rPr>
          <w:lang w:val="en-US"/>
        </w:rPr>
        <w:tab/>
        <w:t>Evidence provided by the State indicates that, from 1994, it decreed “universal access, without cost, to a set of essential sexual and reproductive health services,” under the “Free Maternity and Child Care Program.” According to the State’s comments on this matter, that provision is related to medical attention, not to education. Also, in 1998, the “Law on Sexual Education and Love” was approved to “promote sexual education in the country’s schools.” (Both laws are mentioned in evidence presented by the State (</w:t>
      </w:r>
      <w:r w:rsidRPr="00785D06">
        <w:rPr>
          <w:i/>
          <w:lang w:val="en-US"/>
        </w:rPr>
        <w:t>Cf.</w:t>
      </w:r>
      <w:r w:rsidRPr="00785D06">
        <w:rPr>
          <w:lang w:val="en-US"/>
        </w:rPr>
        <w:t xml:space="preserve"> Ministry of Public Health, Official letter No. MSP-DNDHGI-033-0 of August 6, 2019, Technical Report DNDHGI-67; evidence file, annex 58 to the answering brief, folios 7218 to 7232).) The text of this last law states, in Article 4, that “the Ministry of Education shall be responsible for preparing open and flexible education plans and programs on sexuality and love” and that “each </w:t>
      </w:r>
      <w:r w:rsidRPr="00785D06">
        <w:rPr>
          <w:rFonts w:eastAsia="Times New Roman"/>
          <w:bCs/>
          <w:color w:val="000000"/>
          <w:lang w:val="en-US" w:eastAsia="es-ES_tradnl"/>
        </w:rPr>
        <w:t>school shall adapt those plans and programs to its own cultural reality and submit them to the consideration and approval of the institution’s Parental Counseling Department” (</w:t>
      </w:r>
      <w:r w:rsidRPr="00785D06">
        <w:rPr>
          <w:rFonts w:eastAsia="Times New Roman"/>
          <w:bCs/>
          <w:i/>
          <w:color w:val="000000"/>
          <w:lang w:val="en-US" w:eastAsia="es-ES_tradnl"/>
        </w:rPr>
        <w:t>Cf.</w:t>
      </w:r>
      <w:r w:rsidRPr="00785D06">
        <w:rPr>
          <w:rFonts w:eastAsia="Times New Roman"/>
          <w:bCs/>
          <w:color w:val="000000"/>
          <w:lang w:val="en-US" w:eastAsia="es-ES_tradnl"/>
        </w:rPr>
        <w:t xml:space="preserve"> Law on Sexual Education and Love, 1998, evidence included </w:t>
      </w:r>
      <w:r w:rsidRPr="00785D06">
        <w:rPr>
          <w:rFonts w:eastAsia="Times New Roman"/>
          <w:bCs/>
          <w:i/>
          <w:color w:val="000000"/>
          <w:lang w:val="en-US" w:eastAsia="es-ES_tradnl"/>
        </w:rPr>
        <w:t>ex officio</w:t>
      </w:r>
      <w:r w:rsidRPr="00785D06">
        <w:rPr>
          <w:rFonts w:eastAsia="Times New Roman"/>
          <w:bCs/>
          <w:color w:val="000000"/>
          <w:lang w:val="en-US" w:eastAsia="es-ES_tradnl"/>
        </w:rPr>
        <w:t xml:space="preserve">). No information was provided on the implementation of those plans and programs prior to 2003. In </w:t>
      </w:r>
      <w:r w:rsidRPr="00785D06">
        <w:rPr>
          <w:lang w:val="en-US"/>
        </w:rPr>
        <w:t>1999 the State published “Standards and Procedures for Reproductive Health Care,” which contains a section on reproductive health for adolescents, including educational activities to promote adolescent health care.” (</w:t>
      </w:r>
      <w:r w:rsidRPr="00785D06">
        <w:rPr>
          <w:i/>
          <w:lang w:val="en-US"/>
        </w:rPr>
        <w:t>Cf.</w:t>
      </w:r>
      <w:r w:rsidRPr="00785D06">
        <w:rPr>
          <w:lang w:val="en-US"/>
        </w:rPr>
        <w:t xml:space="preserve"> Ministry of Public Health, Official letter No. MSP-DNDHGI-033-0 of August 6, 2019, Technical Report DNDHGI-67). Although the documentary evidence forwarded by the State indicates that these norms establish “methodological recommendations” for the design of “contents,” there is no information as to whether these were applied, either in general terms or in specific aspects, in the area where Paola lived or at the school she attended. Also, the expert witnesses Cobos Velazco and Bustamante Torres explained that at the end of the 1990s “sexual orientation and individual counseling” were included among the activities for students, but that in 2000 the government approved the “National Plan for Education on Sexuality and Love ‘PLANSA,’” which was “implemented” in 2003, along with the “National Program for Education on Sexuality and Love ‘PRONESA.’” When both expert witnesses were questioned about the obligation of schools, in 2002, to include sex education in the school curriculum, they did not mention any regulations or policies other than those which were in force prior to 2003. </w:t>
      </w:r>
    </w:p>
    <w:p w14:paraId="18DBE61C" w14:textId="77777777" w:rsidR="00E0703B" w:rsidRPr="00785D06" w:rsidRDefault="00E0703B" w:rsidP="00C254BF">
      <w:pPr>
        <w:pStyle w:val="Textonotapie"/>
        <w:jc w:val="both"/>
        <w:rPr>
          <w:lang w:val="en-US"/>
        </w:rPr>
      </w:pPr>
    </w:p>
  </w:footnote>
  <w:footnote w:id="135">
    <w:p w14:paraId="47178B2D"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ab/>
        <w:t xml:space="preserve">It should be noted that a number of States subject to this Court’s jurisdiction adopted legislation that contemplates the right to sexual and reproductive health education: </w:t>
      </w:r>
      <w:r w:rsidRPr="00785D06">
        <w:rPr>
          <w:u w:val="single"/>
          <w:lang w:val="en-US"/>
        </w:rPr>
        <w:t>Argentina</w:t>
      </w:r>
      <w:r w:rsidRPr="00785D06">
        <w:rPr>
          <w:lang w:val="en-US"/>
        </w:rPr>
        <w:t xml:space="preserve"> approved National Law 26.150, and provincial legislation such as the Comprehensive Sexual Education Law of Buenos Aires No. 2110. The first law establishes that all students have the right to receive comprehensive sexual education at school, while the second establishes the duty of care and responsibility in the exercise of sexuality. </w:t>
      </w:r>
      <w:r w:rsidRPr="00785D06">
        <w:rPr>
          <w:u w:val="single"/>
          <w:lang w:val="en-US"/>
        </w:rPr>
        <w:t>Bolivia</w:t>
      </w:r>
      <w:r w:rsidRPr="00785D06">
        <w:rPr>
          <w:lang w:val="en-US"/>
        </w:rPr>
        <w:t xml:space="preserve"> approved Law No. 342 on Youth and Law No. 548, Code of Childhood and Adolescence. Article 39 of the first law provides for education on sexuality and reproductive health</w:t>
      </w:r>
      <w:r w:rsidRPr="00785D06">
        <w:rPr>
          <w:lang w:val="en-GB"/>
        </w:rPr>
        <w:t>;</w:t>
      </w:r>
      <w:r w:rsidRPr="00785D06">
        <w:rPr>
          <w:lang w:val="en-US"/>
        </w:rPr>
        <w:t xml:space="preserve"> the second establishes the right to differentiated services in sexual and reproductive health, the right to sexual education, information based on science and actions to prevent adolescent pregnancy. In </w:t>
      </w:r>
      <w:r w:rsidRPr="00785D06">
        <w:rPr>
          <w:u w:val="single"/>
          <w:lang w:val="en-US"/>
        </w:rPr>
        <w:t>Chile</w:t>
      </w:r>
      <w:r w:rsidRPr="00785D06">
        <w:rPr>
          <w:lang w:val="en-US"/>
        </w:rPr>
        <w:t xml:space="preserve">, Law 20.418 establishes the right to information and counseling on fertility, sexuality and relationships. It recognizes the right of everyone to receive education, information and counseling on the regulation of fertility in order to decide on contraceptive methods and seeks to prevent pregnancy in adolescents. </w:t>
      </w:r>
      <w:r w:rsidRPr="00785D06">
        <w:rPr>
          <w:u w:val="single"/>
          <w:lang w:val="en-US"/>
        </w:rPr>
        <w:t>Colombia</w:t>
      </w:r>
      <w:r w:rsidRPr="00785D06">
        <w:rPr>
          <w:lang w:val="en-US"/>
        </w:rPr>
        <w:t xml:space="preserve"> has enacted the following laws: 115, General Law of Education of 1994; 1098, Code of Childhood and Adolescence of 2006, and 1620, Law of Coexistence in Schools of 2013. These establish, respectively, that: </w:t>
      </w:r>
      <w:r w:rsidRPr="00785D06">
        <w:rPr>
          <w:rStyle w:val="Hipervnculo"/>
          <w:color w:val="auto"/>
          <w:u w:val="none"/>
          <w:lang w:val="en-US"/>
        </w:rPr>
        <w:t>a)</w:t>
      </w:r>
      <w:r w:rsidRPr="00785D06">
        <w:rPr>
          <w:lang w:val="en-US"/>
        </w:rPr>
        <w:t xml:space="preserve"> sex education is obligatory in all public or private institutions offering formal education at the preschool, elementary and secondary levels (Article 14.e); b) the administration and teachers of academic institutions and the education community in general must implement guidance mechanisms for teaching on sexual and reproductive health (Article 44), and c) education on human, sexual and reproductive rights seeks to train individuals to recognize themselves as active subjects of human, sexual and reproductive rights and to enable them to take assertive, informed and autonomous decisions to freely exercise their sexuality (Article 2.b). </w:t>
      </w:r>
      <w:r w:rsidRPr="00785D06">
        <w:rPr>
          <w:u w:val="single"/>
          <w:lang w:val="en-US"/>
        </w:rPr>
        <w:t>Costa Rica</w:t>
      </w:r>
      <w:r w:rsidRPr="00785D06">
        <w:rPr>
          <w:lang w:val="en-US"/>
        </w:rPr>
        <w:t xml:space="preserve"> has implemented Decision N° 04-17-2012, Comprehensive Education Program on Affectivity and Sexuality; Law 7739, Code of Childhood and Adolescence; and Law N° 7735 on Comprehensive Protection for Adolescent Mothers, each of which includes: a) the Education Program on Integral Affectivity and Sexuality as part of science studies; b) the State’s obligation to include topics related to sexual education, reproduction and pregnancy for adolescents in national education policies (Article 58), and c) the obligation of public and private health services to “impart informative courses on sexual education for adolescent mothers, with the aim of preventing another unplanned pregnancy” (Article 9.d). </w:t>
      </w:r>
      <w:r w:rsidRPr="00785D06">
        <w:rPr>
          <w:u w:val="single"/>
          <w:lang w:val="en-US"/>
        </w:rPr>
        <w:t>Ecuador</w:t>
      </w:r>
      <w:r w:rsidRPr="00785D06">
        <w:rPr>
          <w:lang w:val="en-US"/>
        </w:rPr>
        <w:t xml:space="preserve">’s Organic Law on Intercultural Education, of 2011, supported by Articles 3, 6, 7, 11, 132, establishes the right to mandatory comprehensive sex education in public and private educational establishments. </w:t>
      </w:r>
      <w:r w:rsidRPr="00785D06">
        <w:rPr>
          <w:u w:val="single"/>
          <w:lang w:val="en-US"/>
        </w:rPr>
        <w:t>Guatemala</w:t>
      </w:r>
      <w:r w:rsidRPr="00785D06">
        <w:rPr>
          <w:lang w:val="en-US"/>
        </w:rPr>
        <w:t xml:space="preserve"> approved the laws on Comprehensive Protection for Children and Adolescents and Universal and Equitable Access to Family Planning Services, 2012, which establish the State’s obligation to design and implement sexual education programs (Article 30) and require the Ministry of Education to promote integrated education on health care and sexuality for adolescents (Article 10), respectively. In </w:t>
      </w:r>
      <w:r w:rsidRPr="00785D06">
        <w:rPr>
          <w:u w:val="single"/>
          <w:lang w:val="en-US"/>
        </w:rPr>
        <w:t>Mexico</w:t>
      </w:r>
      <w:r w:rsidRPr="00785D06">
        <w:rPr>
          <w:lang w:val="en-US"/>
        </w:rPr>
        <w:t xml:space="preserve">, sexual education has been a constitutional right since 2019 (Article 3 of the Constitution). Mexico has also approved the General Law on the Rights of Children and Adolescents and the General Law of Education which require, respectively, the promotion of comprehensive sex education that is appropriate to the age, cognitive development and maturity of children and adolescents, so that they may exercise their rights in an informed and responsible manner (Article 58, viii), and that schools include comprehensive sexual education in their study plans and programs (Article 30.x). In </w:t>
      </w:r>
      <w:r w:rsidRPr="00785D06">
        <w:rPr>
          <w:u w:val="single"/>
          <w:lang w:val="en-US"/>
        </w:rPr>
        <w:t>Nicaragua,</w:t>
      </w:r>
      <w:r w:rsidRPr="00785D06">
        <w:rPr>
          <w:lang w:val="en-US"/>
        </w:rPr>
        <w:t xml:space="preserve"> Law No. 287, Code of Childhood and Adolescence, establishes the right of children and adolescents to receive integral sexual education (Article 44). In </w:t>
      </w:r>
      <w:r w:rsidRPr="00785D06">
        <w:rPr>
          <w:u w:val="single"/>
          <w:lang w:val="en-US"/>
        </w:rPr>
        <w:t xml:space="preserve">Panama, </w:t>
      </w:r>
      <w:r w:rsidRPr="00785D06">
        <w:rPr>
          <w:lang w:val="en-US"/>
        </w:rPr>
        <w:t xml:space="preserve">Law No. 3, the Family Code, states that “public and private educational institutions shall implement mandatory sexual and family education programs for adolescent mothers and fathers.” In </w:t>
      </w:r>
      <w:r w:rsidRPr="00785D06">
        <w:rPr>
          <w:u w:val="single"/>
          <w:lang w:val="en-US"/>
        </w:rPr>
        <w:t>Paraguay</w:t>
      </w:r>
      <w:r w:rsidRPr="00785D06">
        <w:rPr>
          <w:lang w:val="en-US"/>
        </w:rPr>
        <w:t xml:space="preserve">, Law No. 1680, Code of Childhood and Adolescence, establishes that the State, with the participation of parents and relatives, shall provide children and adolescents with comprehensive health and sexual education services and programs and recognizes their right to be informed and educated according to their level of development, culture and family values (Article 14). In </w:t>
      </w:r>
      <w:r w:rsidRPr="00785D06">
        <w:rPr>
          <w:u w:val="single"/>
          <w:lang w:val="en-US"/>
        </w:rPr>
        <w:t>Uruguay,</w:t>
      </w:r>
      <w:r w:rsidRPr="00785D06">
        <w:rPr>
          <w:lang w:val="en-US"/>
        </w:rPr>
        <w:t xml:space="preserve"> Law No. 17.823, Code of Childhood and Adolescence, and Law No. 18.426, Defense of the Right to Sexual and Reproductive Health, ensure the right of every child and adolescent to information on and access to health care services, including sexual and reproductive health services, and promote teacher training on sexual and reproductive rights for teachers in primary, secondary and tertiary education.</w:t>
      </w:r>
    </w:p>
    <w:p w14:paraId="6D43105E" w14:textId="77777777" w:rsidR="00E0703B" w:rsidRPr="00785D06" w:rsidRDefault="00E0703B" w:rsidP="00C254BF">
      <w:pPr>
        <w:pStyle w:val="Textonotapie"/>
        <w:jc w:val="both"/>
        <w:rPr>
          <w:rFonts w:cs="Arial"/>
          <w:i/>
          <w:iCs/>
          <w:lang w:val="en-US"/>
        </w:rPr>
      </w:pPr>
    </w:p>
  </w:footnote>
  <w:footnote w:id="136">
    <w:p w14:paraId="40D7C9E1"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 xml:space="preserve">ESCR Committee, </w:t>
      </w:r>
      <w:r w:rsidRPr="00785D06">
        <w:rPr>
          <w:i/>
          <w:lang w:val="en-US"/>
        </w:rPr>
        <w:t>General Comment No 22, Right to sexual and reproductive health (Article 12 of the International Covenant on Economic, Social and Cultural Rights)</w:t>
      </w:r>
      <w:r w:rsidRPr="00785D06">
        <w:rPr>
          <w:lang w:val="en-US"/>
        </w:rPr>
        <w:t>, paras. 9 and 49.</w:t>
      </w:r>
    </w:p>
    <w:p w14:paraId="31688D96" w14:textId="77777777" w:rsidR="00E0703B" w:rsidRPr="00785D06" w:rsidRDefault="00E0703B" w:rsidP="00C254BF">
      <w:pPr>
        <w:pStyle w:val="Textonotapie"/>
        <w:rPr>
          <w:lang w:val="en-US"/>
        </w:rPr>
      </w:pPr>
    </w:p>
  </w:footnote>
  <w:footnote w:id="137">
    <w:p w14:paraId="130C8CF6"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 xml:space="preserve">The expert witness Muñoz Villalobos, citing the Committee on the Rights of the Child, explained that </w:t>
      </w:r>
      <w:r w:rsidRPr="00785D06">
        <w:rPr>
          <w:rFonts w:cs="Arial"/>
          <w:lang w:val="en-US"/>
        </w:rPr>
        <w:t>“the levels of comprehension in boys and girls are not uniformly linked to their biological age. Studies have shown that information, experience, social environment, cultural expectations and the level of support received contribute the development of the child’s capacity to form an opinion."</w:t>
      </w:r>
      <w:r w:rsidRPr="00785D06">
        <w:rPr>
          <w:lang w:val="en-US"/>
        </w:rPr>
        <w:t xml:space="preserve"> He added that, based on guidelines from international law, when trying to ensure a proper balance between respect for the progressive autonomy and appropriate levels of protection, we must bear in mind a number of factors that influence the decision-making of children and adolescents. Similarly, </w:t>
      </w:r>
      <w:r w:rsidRPr="00785D06">
        <w:rPr>
          <w:rFonts w:cs="Arial"/>
          <w:lang w:val="en-US"/>
        </w:rPr>
        <w:t xml:space="preserve">in its </w:t>
      </w:r>
      <w:r w:rsidRPr="00785D06">
        <w:rPr>
          <w:rFonts w:cs="Arial"/>
          <w:i/>
          <w:lang w:val="en-US"/>
        </w:rPr>
        <w:t>amicus curiae</w:t>
      </w:r>
      <w:r w:rsidRPr="00785D06">
        <w:rPr>
          <w:rFonts w:cs="Arial"/>
          <w:lang w:val="en-US"/>
        </w:rPr>
        <w:t xml:space="preserve"> brief, </w:t>
      </w:r>
      <w:r w:rsidRPr="00785D06">
        <w:rPr>
          <w:rFonts w:cs="Arial"/>
          <w:i/>
          <w:lang w:val="en-US"/>
        </w:rPr>
        <w:t>Human Rights Watch</w:t>
      </w:r>
      <w:r w:rsidRPr="00785D06">
        <w:rPr>
          <w:rFonts w:cs="Arial"/>
          <w:lang w:val="en-US"/>
        </w:rPr>
        <w:t xml:space="preserve"> referred to investigations conducted in more than 40 countries which show that the absence of comprehensive sexual education deprives children and adolescents from accessing the necessary information about their sexuality and reproduction, which “may expose them to sexual exploitation and abuse.”</w:t>
      </w:r>
    </w:p>
    <w:p w14:paraId="63886832" w14:textId="77777777" w:rsidR="00E0703B" w:rsidRPr="00785D06" w:rsidRDefault="00E0703B" w:rsidP="00C254BF">
      <w:pPr>
        <w:pStyle w:val="Textonotapie"/>
        <w:jc w:val="both"/>
        <w:rPr>
          <w:lang w:val="en-US"/>
        </w:rPr>
      </w:pPr>
    </w:p>
  </w:footnote>
  <w:footnote w:id="138">
    <w:p w14:paraId="0312342A" w14:textId="77777777" w:rsidR="00E0703B" w:rsidRPr="00785D06" w:rsidRDefault="00E0703B" w:rsidP="00C254BF">
      <w:pPr>
        <w:jc w:val="both"/>
        <w:rPr>
          <w:b/>
          <w:lang w:val="en-US"/>
        </w:rPr>
      </w:pPr>
      <w:r w:rsidRPr="00785D06">
        <w:rPr>
          <w:rStyle w:val="Refdenotaalpie"/>
          <w:lang w:val="en-US"/>
        </w:rPr>
        <w:footnoteRef/>
      </w:r>
      <w:r w:rsidRPr="00785D06">
        <w:rPr>
          <w:lang w:val="en-US"/>
        </w:rPr>
        <w:t xml:space="preserve"> </w:t>
      </w:r>
      <w:r w:rsidRPr="00785D06">
        <w:rPr>
          <w:lang w:val="en-US"/>
        </w:rPr>
        <w:tab/>
        <w:t>The Court has explained that “the phrase ‘any other social consideration’ in Article 1(1) of the Convention […] must be interpreted in the most favorable perspective for the individual and for the evolution of fundamental rights in contemporary international law” (</w:t>
      </w:r>
      <w:r w:rsidRPr="00785D06">
        <w:rPr>
          <w:rStyle w:val="Textoennegrita"/>
          <w:b w:val="0"/>
          <w:i/>
          <w:color w:val="000000"/>
          <w:shd w:val="clear" w:color="auto" w:fill="FFFFFF"/>
          <w:lang w:val="en-US"/>
        </w:rPr>
        <w:t xml:space="preserve">Gender Identity, equality and non-discrimination of same sex couples. State obligations in relation to the change of name, gender identity, and the rights derived from a link between same sex couples (interpretation and scope of Articles 1(1), 3, 7, 11.2, 13, 17, 18 and 24, in relation to Article 1 of the American Convention on Human Rights). </w:t>
      </w:r>
      <w:r w:rsidRPr="00785D06">
        <w:rPr>
          <w:rStyle w:val="Textoennegrita"/>
          <w:b w:val="0"/>
          <w:color w:val="000000"/>
          <w:shd w:val="clear" w:color="auto" w:fill="FFFFFF"/>
          <w:lang w:val="en-US"/>
        </w:rPr>
        <w:t xml:space="preserve">Advisory Opinion OC-24/17 of November 24, 2017. Series A No. 24, para. 70. Also see, </w:t>
      </w:r>
      <w:r w:rsidRPr="00785D06">
        <w:rPr>
          <w:rStyle w:val="Textoennegrita"/>
          <w:b w:val="0"/>
          <w:i/>
          <w:color w:val="000000"/>
          <w:shd w:val="clear" w:color="auto" w:fill="FFFFFF"/>
          <w:lang w:val="en-US"/>
        </w:rPr>
        <w:t xml:space="preserve">Right to information on consular assistance in the framework of the guarantees of due legal process. </w:t>
      </w:r>
      <w:r w:rsidRPr="00785D06">
        <w:rPr>
          <w:rStyle w:val="Textoennegrita"/>
          <w:b w:val="0"/>
          <w:color w:val="000000"/>
          <w:shd w:val="clear" w:color="auto" w:fill="FFFFFF"/>
          <w:lang w:val="en-US"/>
        </w:rPr>
        <w:t>Advisory Opinion OC-16/99 of October 1, 1999. Series A No. 16</w:t>
      </w:r>
      <w:r w:rsidRPr="00785D06">
        <w:rPr>
          <w:lang w:val="en-US"/>
        </w:rPr>
        <w:t>, para. 115.</w:t>
      </w:r>
      <w:r w:rsidRPr="00785D06">
        <w:rPr>
          <w:rStyle w:val="Textoennegrita"/>
          <w:b w:val="0"/>
          <w:color w:val="000000"/>
          <w:shd w:val="clear" w:color="auto" w:fill="FFFFFF"/>
          <w:lang w:val="en-US"/>
        </w:rPr>
        <w:t>)</w:t>
      </w:r>
      <w:r w:rsidRPr="00785D06">
        <w:rPr>
          <w:lang w:val="en-US"/>
        </w:rPr>
        <w:t xml:space="preserve"> The </w:t>
      </w:r>
      <w:r w:rsidRPr="00785D06">
        <w:rPr>
          <w:rFonts w:eastAsia="Times New Roman"/>
          <w:color w:val="000000"/>
          <w:lang w:val="en-US" w:eastAsia="es-ES_tradnl"/>
        </w:rPr>
        <w:t xml:space="preserve">ESCR Committee has explained that “the nature of the discrimination varies according to the context and evolves over time. Therefore, discrimination based on ‘other social condition’ requires a flexible approach that includes other forms of differentiated treatment that cannot be justified reasonably and objectively and are comparable to the specific reasons recognized in Article 2(2)  [of ICESCR]. These additional motives are generally recognized when they reflect the experience of vulnerable social groups that have been marginalized in the past or that are at present.” It added that “age is a prohibited reason for discrimination in different contexts.” (ESCR Committee, General Comment. No. 20, </w:t>
      </w:r>
      <w:r w:rsidRPr="00785D06">
        <w:rPr>
          <w:rFonts w:eastAsia="Times New Roman"/>
          <w:i/>
          <w:color w:val="000000"/>
          <w:lang w:val="en-US" w:eastAsia="es-ES_tradnl"/>
        </w:rPr>
        <w:t>Non-discrimination in economic, social and cultural rights (Article 2, paragraph 2 of the International Covenant on Economic, Social and Cultural Rights)</w:t>
      </w:r>
      <w:r w:rsidRPr="00785D06">
        <w:rPr>
          <w:rFonts w:eastAsia="Times New Roman"/>
          <w:color w:val="000000"/>
          <w:lang w:val="en-US" w:eastAsia="es-ES_tradnl"/>
        </w:rPr>
        <w:t xml:space="preserve">, July 2, 2009, Doc. E/C.12/GC/20, paras. 27 and 29, respectively). </w:t>
      </w:r>
    </w:p>
    <w:p w14:paraId="6C67D53E" w14:textId="77777777" w:rsidR="00E0703B" w:rsidRPr="00785D06" w:rsidRDefault="00E0703B" w:rsidP="00C254BF">
      <w:pPr>
        <w:jc w:val="both"/>
        <w:rPr>
          <w:rFonts w:eastAsia="Times New Roman"/>
          <w:color w:val="000000"/>
          <w:lang w:val="en-US" w:eastAsia="es-ES_tradnl"/>
        </w:rPr>
      </w:pPr>
    </w:p>
  </w:footnote>
  <w:footnote w:id="139">
    <w:p w14:paraId="666CAF3F"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The Court has already examined circumstances in which “numerous factors of vulnerability and risk of discrimination intersected that were associated with [the individual’s] condition as a minor [and] a female” and has noted that “certain groups of women suffer discrimination throughout their life based on more than one factor combined with their gender.” (</w:t>
      </w:r>
      <w:r w:rsidRPr="00785D06">
        <w:rPr>
          <w:i/>
          <w:lang w:val="en-US"/>
        </w:rPr>
        <w:t xml:space="preserve">Cf. Case of </w:t>
      </w:r>
      <w:r w:rsidRPr="00785D06">
        <w:rPr>
          <w:rStyle w:val="Textoennegrita"/>
          <w:b w:val="0"/>
          <w:i/>
          <w:color w:val="000000"/>
          <w:shd w:val="clear" w:color="auto" w:fill="FFFFFF"/>
          <w:lang w:val="en-US"/>
        </w:rPr>
        <w:t>Gonzales Lluy et al. v. Ecuador</w:t>
      </w:r>
      <w:r w:rsidRPr="00785D06">
        <w:rPr>
          <w:lang w:val="en-US"/>
        </w:rPr>
        <w:t xml:space="preserve">, paras. 290 and 288, respectively, and </w:t>
      </w:r>
      <w:r w:rsidRPr="00785D06">
        <w:rPr>
          <w:i/>
          <w:lang w:val="en-US"/>
        </w:rPr>
        <w:t>Case of I.V. v. Bolivia</w:t>
      </w:r>
      <w:r w:rsidRPr="00785D06">
        <w:rPr>
          <w:lang w:val="en-US"/>
        </w:rPr>
        <w:t>, para. 247).</w:t>
      </w:r>
    </w:p>
  </w:footnote>
  <w:footnote w:id="140">
    <w:p w14:paraId="728C013D" w14:textId="77777777" w:rsidR="00E0703B" w:rsidRPr="00785D06" w:rsidRDefault="00E0703B" w:rsidP="00C254BF">
      <w:pPr>
        <w:pStyle w:val="Textonotapie"/>
        <w:jc w:val="both"/>
        <w:rPr>
          <w:lang w:val="en-US"/>
        </w:rPr>
      </w:pPr>
    </w:p>
    <w:p w14:paraId="00187CF2"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 xml:space="preserve">Committee on the Rights of the Child, General Comment No 1, </w:t>
      </w:r>
      <w:r w:rsidRPr="00785D06">
        <w:rPr>
          <w:i/>
          <w:lang w:val="en-US"/>
        </w:rPr>
        <w:t>The Aims of Education</w:t>
      </w:r>
      <w:r w:rsidRPr="00785D06">
        <w:rPr>
          <w:lang w:val="en-US"/>
        </w:rPr>
        <w:t xml:space="preserve">, April 2001, Doc. CRC/GC/2001/1, para. 10. </w:t>
      </w:r>
    </w:p>
    <w:p w14:paraId="467E0616" w14:textId="77777777" w:rsidR="00E0703B" w:rsidRPr="00785D06" w:rsidRDefault="00E0703B" w:rsidP="00C254BF">
      <w:pPr>
        <w:pStyle w:val="Textonotapie"/>
        <w:jc w:val="both"/>
        <w:rPr>
          <w:lang w:val="en-US"/>
        </w:rPr>
      </w:pPr>
    </w:p>
  </w:footnote>
  <w:footnote w:id="141">
    <w:p w14:paraId="6BBC6058" w14:textId="77777777" w:rsidR="00E0703B" w:rsidRPr="00785D06" w:rsidRDefault="00E0703B" w:rsidP="00C254BF">
      <w:pPr>
        <w:pStyle w:val="Textonotapie"/>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Case</w:t>
      </w:r>
      <w:r w:rsidRPr="00785D06">
        <w:rPr>
          <w:rStyle w:val="Textoennegrita"/>
          <w:i/>
          <w:color w:val="000000"/>
          <w:shd w:val="clear" w:color="auto" w:fill="FFFFFF"/>
          <w:lang w:val="en-US"/>
        </w:rPr>
        <w:t xml:space="preserve"> </w:t>
      </w:r>
      <w:r w:rsidRPr="00785D06">
        <w:rPr>
          <w:rStyle w:val="Textoennegrita"/>
          <w:b w:val="0"/>
          <w:i/>
          <w:color w:val="000000"/>
          <w:shd w:val="clear" w:color="auto" w:fill="FFFFFF"/>
          <w:lang w:val="en-US"/>
        </w:rPr>
        <w:t>of</w:t>
      </w:r>
      <w:r w:rsidRPr="00785D06">
        <w:rPr>
          <w:rStyle w:val="Textoennegrita"/>
          <w:i/>
          <w:color w:val="000000"/>
          <w:shd w:val="clear" w:color="auto" w:fill="FFFFFF"/>
          <w:lang w:val="en-US"/>
        </w:rPr>
        <w:t xml:space="preserve"> </w:t>
      </w:r>
      <w:r w:rsidRPr="00785D06">
        <w:rPr>
          <w:rStyle w:val="Textoennegrita"/>
          <w:b w:val="0"/>
          <w:i/>
          <w:color w:val="000000"/>
          <w:shd w:val="clear" w:color="auto" w:fill="FFFFFF"/>
          <w:lang w:val="en-US"/>
        </w:rPr>
        <w:t>V.R.P., V.P.C. et al. v. Nicaragua</w:t>
      </w:r>
      <w:r w:rsidRPr="00785D06">
        <w:rPr>
          <w:rStyle w:val="Textoennegrita"/>
          <w:b w:val="0"/>
          <w:color w:val="000000"/>
          <w:shd w:val="clear" w:color="auto" w:fill="FFFFFF"/>
          <w:lang w:val="en-US"/>
        </w:rPr>
        <w:t>, para. 163.</w:t>
      </w:r>
    </w:p>
  </w:footnote>
  <w:footnote w:id="142">
    <w:p w14:paraId="34C8FC17" w14:textId="77777777" w:rsidR="00E0703B" w:rsidRPr="00785D06" w:rsidRDefault="00E0703B" w:rsidP="00C254BF">
      <w:pPr>
        <w:pStyle w:val="Textonotapie"/>
        <w:jc w:val="both"/>
        <w:rPr>
          <w:lang w:val="en-US"/>
        </w:rPr>
      </w:pPr>
    </w:p>
    <w:p w14:paraId="1D7BDC65"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Case of Azul Rojas</w:t>
      </w:r>
      <w:r w:rsidRPr="00785D06">
        <w:rPr>
          <w:rStyle w:val="Textoennegrita"/>
          <w:b w:val="0"/>
          <w:i/>
          <w:color w:val="000000"/>
          <w:shd w:val="clear" w:color="auto" w:fill="FFFFFF"/>
          <w:lang w:val="en-US"/>
        </w:rPr>
        <w:t xml:space="preserve"> Marín et al. v. Peru</w:t>
      </w:r>
      <w:r w:rsidRPr="00785D06">
        <w:rPr>
          <w:rStyle w:val="Textoennegrita"/>
          <w:b w:val="0"/>
          <w:color w:val="000000"/>
          <w:shd w:val="clear" w:color="auto" w:fill="FFFFFF"/>
          <w:lang w:val="en-US"/>
        </w:rPr>
        <w:t>, para.</w:t>
      </w:r>
      <w:r w:rsidRPr="00785D06">
        <w:rPr>
          <w:lang w:val="en-US"/>
        </w:rPr>
        <w:t xml:space="preserve"> 89. </w:t>
      </w:r>
    </w:p>
  </w:footnote>
  <w:footnote w:id="143">
    <w:p w14:paraId="33C2C098" w14:textId="77777777" w:rsidR="00E0703B" w:rsidRPr="00785D06" w:rsidRDefault="00E0703B" w:rsidP="00C254BF">
      <w:pPr>
        <w:pStyle w:val="Textonotapie"/>
        <w:jc w:val="both"/>
        <w:rPr>
          <w:lang w:val="en-US"/>
        </w:rPr>
      </w:pPr>
    </w:p>
    <w:p w14:paraId="51636002" w14:textId="77777777" w:rsidR="00E0703B" w:rsidRPr="00785D06" w:rsidRDefault="00E0703B" w:rsidP="00C254BF">
      <w:pPr>
        <w:pStyle w:val="Textonotapie"/>
        <w:jc w:val="both"/>
        <w:rPr>
          <w:rFonts w:eastAsia="Times New Roman"/>
          <w:color w:val="000000"/>
          <w:lang w:val="en-US"/>
        </w:rPr>
      </w:pPr>
      <w:r w:rsidRPr="00785D06">
        <w:rPr>
          <w:rStyle w:val="Refdenotaalpie"/>
          <w:lang w:val="en-US"/>
        </w:rPr>
        <w:footnoteRef/>
      </w:r>
      <w:r w:rsidRPr="00785D06">
        <w:rPr>
          <w:lang w:val="en-US"/>
        </w:rPr>
        <w:t xml:space="preserve"> </w:t>
      </w:r>
      <w:r w:rsidRPr="00785D06">
        <w:rPr>
          <w:lang w:val="en-US"/>
        </w:rPr>
        <w:tab/>
      </w:r>
      <w:r w:rsidRPr="00785D06">
        <w:rPr>
          <w:bCs/>
          <w:color w:val="000000"/>
          <w:lang w:val="en-US"/>
        </w:rPr>
        <w:t xml:space="preserve">Committee on the Rights of the Child, </w:t>
      </w:r>
      <w:r w:rsidRPr="00785D06">
        <w:rPr>
          <w:rFonts w:eastAsia="Times New Roman"/>
          <w:bCs/>
          <w:i/>
          <w:color w:val="000000"/>
          <w:lang w:val="en-US" w:eastAsia="es-ES_tradnl"/>
        </w:rPr>
        <w:t>General Comment 20 on the implementation of the rights of the child during adolescence,</w:t>
      </w:r>
      <w:r w:rsidRPr="00785D06">
        <w:rPr>
          <w:rFonts w:eastAsia="Times New Roman"/>
          <w:bCs/>
          <w:color w:val="000000"/>
          <w:lang w:val="en-US" w:eastAsia="es-ES_tradnl"/>
        </w:rPr>
        <w:t xml:space="preserve"> </w:t>
      </w:r>
      <w:r w:rsidRPr="00785D06">
        <w:rPr>
          <w:rFonts w:eastAsia="Times New Roman"/>
          <w:color w:val="000000"/>
          <w:lang w:val="en-US" w:eastAsia="es-ES_tradnl"/>
        </w:rPr>
        <w:t>para.</w:t>
      </w:r>
      <w:r w:rsidRPr="00785D06">
        <w:rPr>
          <w:rFonts w:eastAsia="Times New Roman"/>
          <w:color w:val="000000"/>
          <w:lang w:val="en-US"/>
        </w:rPr>
        <w:t xml:space="preserve"> 28.</w:t>
      </w:r>
    </w:p>
    <w:p w14:paraId="6C670FEE" w14:textId="77777777" w:rsidR="00E0703B" w:rsidRPr="00785D06" w:rsidRDefault="00E0703B" w:rsidP="00C254BF">
      <w:pPr>
        <w:pStyle w:val="Textonotapie"/>
        <w:jc w:val="both"/>
        <w:rPr>
          <w:lang w:val="en-US"/>
        </w:rPr>
      </w:pPr>
    </w:p>
  </w:footnote>
  <w:footnote w:id="144">
    <w:p w14:paraId="48DB0A2F" w14:textId="77777777" w:rsidR="00E0703B" w:rsidRPr="00785D06" w:rsidRDefault="00E0703B" w:rsidP="00C254BF">
      <w:pPr>
        <w:pStyle w:val="Textonotapie"/>
        <w:jc w:val="both"/>
        <w:rPr>
          <w:b/>
          <w:lang w:val="en-US"/>
        </w:rPr>
      </w:pPr>
      <w:r w:rsidRPr="00785D06">
        <w:rPr>
          <w:rStyle w:val="Refdenotaalpie"/>
          <w:lang w:val="en-US"/>
        </w:rPr>
        <w:footnoteRef/>
      </w:r>
      <w:r w:rsidRPr="00785D06">
        <w:rPr>
          <w:lang w:val="en-US"/>
        </w:rPr>
        <w:t xml:space="preserve"> </w:t>
      </w:r>
      <w:r w:rsidRPr="00785D06">
        <w:rPr>
          <w:lang w:val="en-US"/>
        </w:rPr>
        <w:tab/>
        <w:t>Regarding the concepts of intersectional and structural discrimination, see the Court’s judgments in the cases</w:t>
      </w:r>
      <w:r w:rsidRPr="00785D06">
        <w:rPr>
          <w:rStyle w:val="Textoennegrita"/>
          <w:i/>
          <w:color w:val="000000"/>
          <w:shd w:val="clear" w:color="auto" w:fill="FFFFFF"/>
          <w:lang w:val="en-US"/>
        </w:rPr>
        <w:t xml:space="preserve"> </w:t>
      </w:r>
      <w:r w:rsidRPr="00785D06">
        <w:rPr>
          <w:rStyle w:val="Textoennegrita"/>
          <w:b w:val="0"/>
          <w:i/>
          <w:color w:val="000000"/>
          <w:shd w:val="clear" w:color="auto" w:fill="FFFFFF"/>
          <w:lang w:val="en-US"/>
        </w:rPr>
        <w:t>of</w:t>
      </w:r>
      <w:r w:rsidRPr="00785D06">
        <w:rPr>
          <w:rStyle w:val="Textoennegrita"/>
          <w:i/>
          <w:color w:val="000000"/>
          <w:shd w:val="clear" w:color="auto" w:fill="FFFFFF"/>
          <w:lang w:val="en-US"/>
        </w:rPr>
        <w:t xml:space="preserve"> </w:t>
      </w:r>
      <w:r w:rsidRPr="00785D06">
        <w:rPr>
          <w:rStyle w:val="Textoennegrita"/>
          <w:b w:val="0"/>
          <w:i/>
          <w:color w:val="000000"/>
          <w:shd w:val="clear" w:color="auto" w:fill="FFFFFF"/>
          <w:lang w:val="en-US"/>
        </w:rPr>
        <w:t xml:space="preserve">Gonzales Lluy et al. v. Ecuador </w:t>
      </w:r>
      <w:r w:rsidRPr="00785D06">
        <w:rPr>
          <w:rStyle w:val="Textoennegrita"/>
          <w:b w:val="0"/>
          <w:color w:val="000000"/>
          <w:shd w:val="clear" w:color="auto" w:fill="FFFFFF"/>
          <w:lang w:val="en-US"/>
        </w:rPr>
        <w:t>(</w:t>
      </w:r>
      <w:r w:rsidRPr="00785D06">
        <w:rPr>
          <w:lang w:val="en-US"/>
        </w:rPr>
        <w:t xml:space="preserve">para. 290); </w:t>
      </w:r>
      <w:r w:rsidRPr="00785D06">
        <w:rPr>
          <w:rStyle w:val="Textoennegrita"/>
          <w:b w:val="0"/>
          <w:i/>
          <w:color w:val="000000"/>
          <w:shd w:val="clear" w:color="auto" w:fill="FFFFFF"/>
          <w:lang w:val="en-US"/>
        </w:rPr>
        <w:t>Workers of Hacienda Brasil Verde v. Brazil.</w:t>
      </w:r>
      <w:r w:rsidRPr="00785D06">
        <w:rPr>
          <w:rStyle w:val="Textoennegrita"/>
          <w:b w:val="0"/>
          <w:color w:val="000000"/>
          <w:shd w:val="clear" w:color="auto" w:fill="FFFFFF"/>
          <w:lang w:val="en-US"/>
        </w:rPr>
        <w:t xml:space="preserve"> (</w:t>
      </w:r>
      <w:r w:rsidRPr="00785D06">
        <w:rPr>
          <w:rStyle w:val="Textoennegrita"/>
          <w:b w:val="0"/>
          <w:i/>
          <w:color w:val="000000"/>
          <w:shd w:val="clear" w:color="auto" w:fill="FFFFFF"/>
          <w:lang w:val="en-US"/>
        </w:rPr>
        <w:t xml:space="preserve">Preliminary objections, merits, reparations and costs. </w:t>
      </w:r>
      <w:r w:rsidRPr="00785D06">
        <w:rPr>
          <w:rStyle w:val="Textoennegrita"/>
          <w:b w:val="0"/>
          <w:color w:val="000000"/>
          <w:shd w:val="clear" w:color="auto" w:fill="FFFFFF"/>
          <w:lang w:val="en-US"/>
        </w:rPr>
        <w:t>Judgment of October 20, 2016. Series C No. 318, paras.</w:t>
      </w:r>
      <w:r w:rsidRPr="00785D06">
        <w:rPr>
          <w:lang w:val="en-US"/>
        </w:rPr>
        <w:t xml:space="preserve"> 334 to 343);</w:t>
      </w:r>
      <w:r w:rsidRPr="00785D06">
        <w:rPr>
          <w:rStyle w:val="Textoennegrita"/>
          <w:b w:val="0"/>
          <w:i/>
          <w:color w:val="000000"/>
          <w:shd w:val="clear" w:color="auto" w:fill="FFFFFF"/>
          <w:lang w:val="en-US"/>
        </w:rPr>
        <w:t xml:space="preserve"> I.</w:t>
      </w:r>
      <w:r w:rsidRPr="00785D06">
        <w:rPr>
          <w:i/>
          <w:lang w:val="en-US"/>
        </w:rPr>
        <w:t xml:space="preserve">V. v. Bolivia </w:t>
      </w:r>
      <w:r w:rsidRPr="00785D06">
        <w:rPr>
          <w:lang w:val="en-US"/>
        </w:rPr>
        <w:t xml:space="preserve">(para. 247); </w:t>
      </w:r>
      <w:r w:rsidRPr="00785D06">
        <w:rPr>
          <w:i/>
          <w:lang w:val="en-US"/>
        </w:rPr>
        <w:t>Ramírez Escobar et al. v. Guatemala</w:t>
      </w:r>
      <w:r w:rsidRPr="00785D06">
        <w:rPr>
          <w:lang w:val="en-US"/>
        </w:rPr>
        <w:t xml:space="preserve"> (paras. 276 and 177), and </w:t>
      </w:r>
      <w:r w:rsidRPr="00785D06">
        <w:rPr>
          <w:i/>
          <w:lang w:val="en-US"/>
        </w:rPr>
        <w:t>Cuscul Pivaral et al. v. Guatemala (Preliminary objection, merits, reparations and costs.</w:t>
      </w:r>
      <w:r w:rsidRPr="00785D06">
        <w:rPr>
          <w:lang w:val="en-US"/>
        </w:rPr>
        <w:t xml:space="preserve"> Judgment of August 23, 2018. Series C No. 359, paras.128 and 138). Similarly, the </w:t>
      </w:r>
      <w:r w:rsidRPr="00785D06">
        <w:rPr>
          <w:i/>
          <w:lang w:val="en-US"/>
        </w:rPr>
        <w:t>amicus curiae</w:t>
      </w:r>
      <w:r w:rsidRPr="00785D06">
        <w:rPr>
          <w:lang w:val="en-US"/>
        </w:rPr>
        <w:t xml:space="preserve"> brief of the Human Rights Club of the Private Technical University of Loja and the Center for Social Action and Legal Policy considered that the situation of a girl in the school environment is one of “aggravated vulnerability,” given her gender and age. </w:t>
      </w:r>
    </w:p>
    <w:p w14:paraId="16227622" w14:textId="77777777" w:rsidR="00E0703B" w:rsidRPr="00785D06" w:rsidRDefault="00E0703B" w:rsidP="00C254BF">
      <w:pPr>
        <w:pStyle w:val="Textonotapie"/>
        <w:jc w:val="both"/>
        <w:rPr>
          <w:lang w:val="en-US"/>
        </w:rPr>
      </w:pPr>
    </w:p>
  </w:footnote>
  <w:footnote w:id="145">
    <w:p w14:paraId="431AADA6" w14:textId="77777777" w:rsidR="00E0703B" w:rsidRPr="00785D06" w:rsidRDefault="00E0703B" w:rsidP="00C254BF">
      <w:pPr>
        <w:jc w:val="both"/>
        <w:rPr>
          <w:rFonts w:cs="Arial"/>
          <w:lang w:val="en-US"/>
        </w:rPr>
      </w:pPr>
      <w:r w:rsidRPr="00785D06">
        <w:rPr>
          <w:rStyle w:val="Refdenotaalpie"/>
          <w:lang w:val="en-US"/>
        </w:rPr>
        <w:footnoteRef/>
      </w:r>
      <w:r w:rsidRPr="00785D06">
        <w:rPr>
          <w:lang w:val="en-US"/>
        </w:rPr>
        <w:t xml:space="preserve"> </w:t>
      </w:r>
      <w:r w:rsidRPr="00785D06">
        <w:rPr>
          <w:lang w:val="en-US"/>
        </w:rPr>
        <w:tab/>
        <w:t>The expert witness Herrera Almagro explained that during an autopsy it is essential to consider the circumstances prior to a person’s death so as to guide the examination of the body, and that this information is usually included in the police record of the official removal of the body. In this case, the police report on the official removal of the body included Mrs. Albarracín’s comments about Paola’s letters in which she professed her “love” for the vice principal. In his testimony before the Commission, the expert witness Dr. Nájera pointed out that the autopsy was conducted without considering “the background to her death.” In his expert report he noted that the autopsy did not investigate certain aspects related to sexual activity: no “vaginal swab” was taken to establish “the presence of spermatozoids and/or semen” and no general information was recorded, such as the description of the hymen. Dr. Nájera also noted various failings in the labeling, identification and chain of custody of the samples taken from Paola’s body. (</w:t>
      </w:r>
      <w:r w:rsidRPr="00785D06">
        <w:rPr>
          <w:i/>
          <w:lang w:val="en-US"/>
        </w:rPr>
        <w:t>Cf.</w:t>
      </w:r>
      <w:r w:rsidRPr="00785D06">
        <w:rPr>
          <w:lang w:val="en-US"/>
        </w:rPr>
        <w:t xml:space="preserve"> Statement of José Mario Nájera Ochoa before the Commission; evidence file, annex 10 to the Merits Report, folios 159 to 164.) Furthermore, after the prosecutor ordered blood tests to be taken from Paola’s body on January 28 and February 10, 2003 (</w:t>
      </w:r>
      <w:r w:rsidRPr="00785D06">
        <w:rPr>
          <w:i/>
          <w:lang w:val="en-US"/>
        </w:rPr>
        <w:t xml:space="preserve">supra </w:t>
      </w:r>
      <w:r w:rsidRPr="00785D06">
        <w:rPr>
          <w:lang w:val="en-US"/>
        </w:rPr>
        <w:t xml:space="preserve">para. 64), a report on the “toxicology and pathology tests” was issued on February 12, 2003, indicating that the “quantitative beta chorionic gonadotropin test was negative,” but that “the sample is old and not adequately conserved,” and that “even if beta chorionic gonadotropin had been present, it would be totally destroyed within one week” (Toxicology and pathology tests, February 2003; evidence file, annex 27 to the answering brief, folio 7063). The test </w:t>
      </w:r>
      <w:r w:rsidRPr="00785D06">
        <w:rPr>
          <w:rFonts w:cs="Arial"/>
          <w:lang w:val="en-US"/>
        </w:rPr>
        <w:t>forwarded to the prosecutor on March 31, 2003 (</w:t>
      </w:r>
      <w:r w:rsidRPr="00785D06">
        <w:rPr>
          <w:rFonts w:cs="Arial"/>
          <w:i/>
          <w:lang w:val="en-US"/>
        </w:rPr>
        <w:t xml:space="preserve">supra </w:t>
      </w:r>
      <w:r w:rsidRPr="00785D06">
        <w:rPr>
          <w:rFonts w:cs="Arial"/>
          <w:lang w:val="en-US"/>
        </w:rPr>
        <w:t xml:space="preserve">para. 69) indicated that the studies of the organ samples taken in the autopsy “rule out a pregnancy.” The report also “emphasize[d] that upon receiving the containers with samples of the viscera, the uterus and its right and left attachments (ovaries), these were completely open.” Also, on </w:t>
      </w:r>
      <w:r w:rsidRPr="00785D06">
        <w:rPr>
          <w:lang w:val="en-US"/>
        </w:rPr>
        <w:t>September</w:t>
      </w:r>
      <w:r w:rsidRPr="00785D06">
        <w:rPr>
          <w:rFonts w:cs="Arial"/>
          <w:lang w:val="en-US"/>
        </w:rPr>
        <w:t xml:space="preserve"> 30, 2003, a medical examiner who was the Head of the Police Forensic Medicine Service, made a statement to the Prosecutor denying previous statements (</w:t>
      </w:r>
      <w:r w:rsidRPr="00785D06">
        <w:rPr>
          <w:rFonts w:cs="Arial"/>
          <w:i/>
          <w:lang w:val="en-US"/>
        </w:rPr>
        <w:t>Cf.</w:t>
      </w:r>
      <w:r w:rsidRPr="00785D06">
        <w:rPr>
          <w:rFonts w:cs="Arial"/>
          <w:lang w:val="en-US"/>
        </w:rPr>
        <w:t xml:space="preserve"> </w:t>
      </w:r>
      <w:r w:rsidRPr="00785D06">
        <w:rPr>
          <w:lang w:val="en-US"/>
        </w:rPr>
        <w:t>brief of Petita Paulina Albarracín Albán with illegible date, in the context of the criminal investigation N-74-2003, evidence file, annex 43 to the pleadings and motions brief, folios 5881 to 5886)</w:t>
      </w:r>
      <w:r w:rsidRPr="00785D06">
        <w:rPr>
          <w:rFonts w:cs="Arial"/>
          <w:lang w:val="en-US"/>
        </w:rPr>
        <w:t>, that he had not told the news media that Paola had been pregnant, and also that “the results of the macroscopic autopsy [,] the histopathological report and the test of human chorionic gonadotropin in the blood, determined that there was no pregnancy” (statement of the medical examiner J.M. of September 30, 2003, evidence file, annex 32 to the answering brief, folio 7090). The Court also notes that the testimonies regarding Paola’s pregnancy mention that she believed that she was pregnant because she had used a “test” and there were no elements to suggest this was based on any obvious bodily signs. The expert witness Jacome Artieda also indicated that “it is possible to have a positive test prior to the expected date of menstruation and then not have clinical pregnancy.”</w:t>
      </w:r>
    </w:p>
    <w:p w14:paraId="71849517" w14:textId="77777777" w:rsidR="00E0703B" w:rsidRPr="00785D06" w:rsidRDefault="00E0703B" w:rsidP="00C254BF">
      <w:pPr>
        <w:pStyle w:val="Textonotapie"/>
        <w:rPr>
          <w:lang w:val="en-US"/>
        </w:rPr>
      </w:pPr>
    </w:p>
  </w:footnote>
  <w:footnote w:id="146">
    <w:p w14:paraId="065880C1"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 xml:space="preserve">Cf. </w:t>
      </w:r>
      <w:r w:rsidRPr="00785D06">
        <w:rPr>
          <w:rStyle w:val="Textoennegrita"/>
          <w:b w:val="0"/>
          <w:i/>
          <w:color w:val="000000"/>
          <w:shd w:val="clear" w:color="auto" w:fill="FFFFFF"/>
          <w:lang w:val="en-US"/>
        </w:rPr>
        <w:t>Case of Yvon Neptune v. Haiti. Merits, reparations and costs.</w:t>
      </w:r>
      <w:r w:rsidRPr="00785D06">
        <w:rPr>
          <w:rStyle w:val="Textoennegrita"/>
          <w:b w:val="0"/>
          <w:color w:val="000000"/>
          <w:shd w:val="clear" w:color="auto" w:fill="FFFFFF"/>
          <w:lang w:val="en-US"/>
        </w:rPr>
        <w:t xml:space="preserve"> Judgment of May 6, 2008. Series C No. 180</w:t>
      </w:r>
      <w:r w:rsidRPr="00785D06">
        <w:rPr>
          <w:lang w:val="en-US"/>
        </w:rPr>
        <w:t xml:space="preserve">, para. 129, and </w:t>
      </w:r>
      <w:r w:rsidRPr="00785D06">
        <w:rPr>
          <w:i/>
          <w:lang w:val="en-US"/>
        </w:rPr>
        <w:t>Case of Azul Rojas Marín et al. v. Peru</w:t>
      </w:r>
      <w:r w:rsidRPr="00785D06">
        <w:rPr>
          <w:lang w:val="en-US"/>
        </w:rPr>
        <w:t xml:space="preserve">, para. 139. </w:t>
      </w:r>
    </w:p>
    <w:p w14:paraId="0C502716" w14:textId="77777777" w:rsidR="00E0703B" w:rsidRPr="00785D06" w:rsidRDefault="00E0703B" w:rsidP="00C254BF">
      <w:pPr>
        <w:pStyle w:val="Textonotapie"/>
        <w:jc w:val="both"/>
        <w:rPr>
          <w:lang w:val="en-US"/>
        </w:rPr>
      </w:pPr>
    </w:p>
  </w:footnote>
  <w:footnote w:id="147">
    <w:p w14:paraId="79F82897"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 xml:space="preserve">Cf. </w:t>
      </w:r>
      <w:r w:rsidRPr="00785D06">
        <w:rPr>
          <w:rStyle w:val="Textoennegrita"/>
          <w:b w:val="0"/>
          <w:i/>
          <w:color w:val="000000"/>
          <w:shd w:val="clear" w:color="auto" w:fill="FFFFFF"/>
          <w:lang w:val="en-US"/>
        </w:rPr>
        <w:t>Case of Loayza Tamayo v. Peru. Merits.</w:t>
      </w:r>
      <w:r w:rsidRPr="00785D06">
        <w:rPr>
          <w:rStyle w:val="Textoennegrita"/>
          <w:b w:val="0"/>
          <w:color w:val="000000"/>
          <w:shd w:val="clear" w:color="auto" w:fill="FFFFFF"/>
          <w:lang w:val="en-US"/>
        </w:rPr>
        <w:t xml:space="preserve"> Judgment of September 17, 1997. Series C No. 33</w:t>
      </w:r>
      <w:r w:rsidRPr="00785D06">
        <w:rPr>
          <w:lang w:val="en-US"/>
        </w:rPr>
        <w:t xml:space="preserve">, paras. 57 and 58, and </w:t>
      </w:r>
      <w:r w:rsidRPr="00785D06">
        <w:rPr>
          <w:i/>
          <w:lang w:val="en-US"/>
        </w:rPr>
        <w:t>Case of Azul Rojas Marín et al. v. Peru</w:t>
      </w:r>
      <w:r w:rsidRPr="00785D06">
        <w:rPr>
          <w:lang w:val="en-US"/>
        </w:rPr>
        <w:t>, para. 159.</w:t>
      </w:r>
    </w:p>
    <w:p w14:paraId="403A3280" w14:textId="77777777" w:rsidR="00E0703B" w:rsidRPr="00785D06" w:rsidRDefault="00E0703B" w:rsidP="00C254BF">
      <w:pPr>
        <w:pStyle w:val="Textonotapie"/>
        <w:jc w:val="both"/>
        <w:rPr>
          <w:lang w:val="en-US"/>
        </w:rPr>
      </w:pPr>
    </w:p>
  </w:footnote>
  <w:footnote w:id="148">
    <w:p w14:paraId="13B025E7" w14:textId="77777777" w:rsidR="00E0703B" w:rsidRPr="00785D06" w:rsidRDefault="00E0703B" w:rsidP="00C254BF">
      <w:pPr>
        <w:tabs>
          <w:tab w:val="left" w:pos="426"/>
          <w:tab w:val="left" w:pos="720"/>
        </w:tabs>
        <w:contextualSpacing/>
        <w:jc w:val="both"/>
        <w:rPr>
          <w:bCs/>
          <w:iCs/>
          <w:lang w:val="en-US"/>
        </w:rPr>
      </w:pPr>
      <w:r w:rsidRPr="00785D06">
        <w:rPr>
          <w:rStyle w:val="Refdenotaalpie"/>
          <w:rFonts w:eastAsia="Calibri"/>
          <w:lang w:val="en-US"/>
        </w:rPr>
        <w:footnoteRef/>
      </w:r>
      <w:r w:rsidRPr="00785D06">
        <w:rPr>
          <w:rStyle w:val="Refdenotaalpie"/>
          <w:rFonts w:eastAsia="Calibri"/>
          <w:lang w:val="en-US"/>
        </w:rPr>
        <w:t xml:space="preserve"> </w:t>
      </w:r>
      <w:r w:rsidRPr="00785D06">
        <w:rPr>
          <w:lang w:val="en-US"/>
        </w:rPr>
        <w:tab/>
      </w:r>
      <w:r w:rsidRPr="00785D06">
        <w:rPr>
          <w:i/>
          <w:lang w:val="en-US"/>
        </w:rPr>
        <w:t xml:space="preserve">Cf. Case of Bueno Alves v. Argentina. Merits, reparations and costs. </w:t>
      </w:r>
      <w:r w:rsidRPr="00785D06">
        <w:rPr>
          <w:lang w:val="en-US"/>
        </w:rPr>
        <w:t xml:space="preserve">Judgment of May 11, 2007. Series C No. 164, para. 79, and </w:t>
      </w:r>
      <w:r w:rsidRPr="00785D06">
        <w:rPr>
          <w:i/>
          <w:lang w:val="en-US"/>
        </w:rPr>
        <w:t>Case of Azul Rojas Marín et al. v. Peru</w:t>
      </w:r>
      <w:r w:rsidRPr="00785D06">
        <w:rPr>
          <w:lang w:val="en-US"/>
        </w:rPr>
        <w:t>, para. 160</w:t>
      </w:r>
      <w:r w:rsidRPr="00785D06">
        <w:rPr>
          <w:bCs/>
          <w:iCs/>
          <w:lang w:val="en-US"/>
        </w:rPr>
        <w:t>.</w:t>
      </w:r>
    </w:p>
    <w:p w14:paraId="67AADABE" w14:textId="77777777" w:rsidR="00E0703B" w:rsidRPr="00785D06" w:rsidRDefault="00E0703B" w:rsidP="00C254BF">
      <w:pPr>
        <w:tabs>
          <w:tab w:val="left" w:pos="426"/>
          <w:tab w:val="left" w:pos="720"/>
        </w:tabs>
        <w:contextualSpacing/>
        <w:jc w:val="both"/>
        <w:rPr>
          <w:lang w:val="en-US"/>
        </w:rPr>
      </w:pPr>
    </w:p>
  </w:footnote>
  <w:footnote w:id="149">
    <w:p w14:paraId="2096A456"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 Case of the Women Victims of Sexual Torture in Atenco v. Mexico</w:t>
      </w:r>
      <w:r w:rsidRPr="00785D06">
        <w:rPr>
          <w:lang w:val="en-US"/>
        </w:rPr>
        <w:t xml:space="preserve">, para. 180, and </w:t>
      </w:r>
      <w:r w:rsidRPr="00785D06">
        <w:rPr>
          <w:i/>
          <w:lang w:val="en-US"/>
        </w:rPr>
        <w:t>Case of Azul Rojas Marín et al. v. Peru</w:t>
      </w:r>
      <w:r w:rsidRPr="00785D06">
        <w:rPr>
          <w:lang w:val="en-US"/>
        </w:rPr>
        <w:t xml:space="preserve">, para. 143. Also see, </w:t>
      </w:r>
      <w:r w:rsidRPr="00785D06">
        <w:rPr>
          <w:i/>
          <w:lang w:val="en-US"/>
        </w:rPr>
        <w:t>Case of the Gómez Paquiyauri Brothers v. Peru</w:t>
      </w:r>
      <w:r w:rsidRPr="00785D06">
        <w:rPr>
          <w:lang w:val="en-US"/>
        </w:rPr>
        <w:t>, paras. 106, 114 and 117. Regarding sexual violence, in their final written arguments the representatives alleged violations of the provisions of the Inter-American Convention to Prevent and Punish Torture other than Article 1. Those allegations are time-barred and will not be examined. Nor will the Court consider other extemporaneous arguments presented by the representatives concerning the definition of facts that are addressed below (</w:t>
      </w:r>
      <w:r w:rsidRPr="00785D06">
        <w:rPr>
          <w:i/>
          <w:lang w:val="en-US"/>
        </w:rPr>
        <w:t xml:space="preserve">infra </w:t>
      </w:r>
      <w:r w:rsidRPr="00785D06">
        <w:rPr>
          <w:lang w:val="en-US"/>
        </w:rPr>
        <w:t>Chapters VII.2 and VII.3), different to the sexual violence suffered by Paola</w:t>
      </w:r>
      <w:r w:rsidRPr="00785D06">
        <w:rPr>
          <w:rStyle w:val="Textoennegrita"/>
          <w:b w:val="0"/>
          <w:color w:val="000000"/>
          <w:shd w:val="clear" w:color="auto" w:fill="FFFFFF"/>
          <w:lang w:val="en-US"/>
        </w:rPr>
        <w:t xml:space="preserve">. On several previous occasions, the Court has excluded time-barred arguments from its considerations (see, for example, </w:t>
      </w:r>
      <w:r w:rsidRPr="00785D06">
        <w:rPr>
          <w:rStyle w:val="Textoennegrita"/>
          <w:b w:val="0"/>
          <w:i/>
          <w:color w:val="000000"/>
          <w:shd w:val="clear" w:color="auto" w:fill="FFFFFF"/>
          <w:lang w:val="en-US"/>
        </w:rPr>
        <w:t>Case of Lori Berenson Mejía v. Peru. Merits, reparations and costs.</w:t>
      </w:r>
      <w:r w:rsidRPr="00785D06">
        <w:rPr>
          <w:rStyle w:val="Textoennegrita"/>
          <w:b w:val="0"/>
          <w:color w:val="000000"/>
          <w:shd w:val="clear" w:color="auto" w:fill="FFFFFF"/>
          <w:lang w:val="en-US"/>
        </w:rPr>
        <w:t xml:space="preserve"> Judgment of November 25, 2004. Series C No. 119, para. 214 and </w:t>
      </w:r>
      <w:r w:rsidRPr="00785D06">
        <w:rPr>
          <w:i/>
          <w:lang w:val="en-US"/>
        </w:rPr>
        <w:t>Case of Arrom Suhurt et al. v. Paraguay. Merits.</w:t>
      </w:r>
      <w:r w:rsidRPr="00785D06">
        <w:rPr>
          <w:lang w:val="en-US"/>
        </w:rPr>
        <w:t xml:space="preserve"> Judgment of May 13, 2019. Series C No. 377, footnote 123).</w:t>
      </w:r>
    </w:p>
    <w:p w14:paraId="4E2B2DA4" w14:textId="77777777" w:rsidR="00E0703B" w:rsidRPr="00785D06" w:rsidRDefault="00E0703B" w:rsidP="00C254BF">
      <w:pPr>
        <w:pStyle w:val="Textonotapie"/>
        <w:rPr>
          <w:lang w:val="en-US"/>
        </w:rPr>
      </w:pPr>
    </w:p>
  </w:footnote>
  <w:footnote w:id="150">
    <w:p w14:paraId="6982C178" w14:textId="77777777" w:rsidR="00E0703B" w:rsidRPr="00785D06" w:rsidRDefault="00E0703B" w:rsidP="00C254BF">
      <w:pPr>
        <w:pStyle w:val="Textonotapie"/>
        <w:tabs>
          <w:tab w:val="left" w:pos="426"/>
        </w:tabs>
        <w:jc w:val="both"/>
        <w:rPr>
          <w:rStyle w:val="Textoennegrita"/>
          <w:b w:val="0"/>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 Case of Rosendo Cantú et al. v. Mexico</w:t>
      </w:r>
      <w:r w:rsidRPr="00785D06">
        <w:rPr>
          <w:lang w:val="en-US"/>
        </w:rPr>
        <w:t xml:space="preserve">. </w:t>
      </w:r>
      <w:r w:rsidRPr="00785D06">
        <w:rPr>
          <w:rStyle w:val="Textoennegrita"/>
          <w:b w:val="0"/>
          <w:i/>
          <w:color w:val="000000"/>
          <w:shd w:val="clear" w:color="auto" w:fill="FFFFFF"/>
          <w:lang w:val="en-US"/>
        </w:rPr>
        <w:t>Preliminary objection, Merits, reparations and costs.</w:t>
      </w:r>
      <w:r w:rsidRPr="00785D06">
        <w:rPr>
          <w:rStyle w:val="Textoennegrita"/>
          <w:b w:val="0"/>
          <w:color w:val="000000"/>
          <w:shd w:val="clear" w:color="auto" w:fill="FFFFFF"/>
          <w:lang w:val="en-US"/>
        </w:rPr>
        <w:t xml:space="preserve"> Judgment of August 31, 2010. Series C No. 216, </w:t>
      </w:r>
      <w:r w:rsidRPr="00785D06">
        <w:rPr>
          <w:lang w:val="en-US"/>
        </w:rPr>
        <w:t xml:space="preserve">paras. 110 and 112, and </w:t>
      </w:r>
      <w:r w:rsidRPr="00785D06">
        <w:rPr>
          <w:i/>
          <w:lang w:val="en-US"/>
        </w:rPr>
        <w:t>Case of Azul Rojas Marín et al. v. Peru</w:t>
      </w:r>
      <w:r w:rsidRPr="00785D06">
        <w:rPr>
          <w:lang w:val="en-US"/>
        </w:rPr>
        <w:t>, para. 160</w:t>
      </w:r>
      <w:r w:rsidRPr="00785D06">
        <w:rPr>
          <w:bCs/>
          <w:iCs/>
          <w:lang w:val="en-US"/>
        </w:rPr>
        <w:t>.</w:t>
      </w:r>
    </w:p>
    <w:p w14:paraId="58451114" w14:textId="77777777" w:rsidR="00E0703B" w:rsidRPr="00785D06" w:rsidRDefault="00E0703B" w:rsidP="00C254BF">
      <w:pPr>
        <w:pStyle w:val="Textonotapie"/>
        <w:tabs>
          <w:tab w:val="left" w:pos="426"/>
        </w:tabs>
        <w:jc w:val="both"/>
        <w:rPr>
          <w:lang w:val="en-US"/>
        </w:rPr>
      </w:pPr>
    </w:p>
  </w:footnote>
  <w:footnote w:id="151">
    <w:p w14:paraId="6CAD0919"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In this section the expression “ill-treatment” is used as a general and comprehensive term for torture and other cruel, inhuman or degrading treatment or punishment. Nevertheless, the Court’s examination of this point refers to the arguments presented by the representatives regarding their definition of sexual violence in this case as torture (</w:t>
      </w:r>
      <w:r w:rsidRPr="00785D06">
        <w:rPr>
          <w:i/>
          <w:lang w:val="en-US"/>
        </w:rPr>
        <w:t xml:space="preserve">supra </w:t>
      </w:r>
      <w:r w:rsidRPr="00785D06">
        <w:rPr>
          <w:lang w:val="en-US"/>
        </w:rPr>
        <w:t xml:space="preserve">para. 147).  </w:t>
      </w:r>
    </w:p>
    <w:p w14:paraId="4543064F" w14:textId="77777777" w:rsidR="00E0703B" w:rsidRPr="00785D06" w:rsidRDefault="00E0703B" w:rsidP="00C254BF">
      <w:pPr>
        <w:pStyle w:val="Textonotapie"/>
        <w:jc w:val="both"/>
        <w:rPr>
          <w:lang w:val="en-US"/>
        </w:rPr>
      </w:pPr>
    </w:p>
  </w:footnote>
  <w:footnote w:id="152">
    <w:p w14:paraId="3755D2DA" w14:textId="77777777" w:rsidR="00E0703B" w:rsidRPr="00785D06" w:rsidRDefault="00E0703B" w:rsidP="00C254BF">
      <w:pPr>
        <w:pStyle w:val="NormalWeb"/>
        <w:spacing w:before="0" w:beforeAutospacing="0" w:after="0" w:afterAutospacing="0"/>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rFonts w:eastAsia="Times New Roman"/>
          <w:lang w:val="en-US"/>
        </w:rPr>
        <w:t>The Report of the Special Rapporteur on torture and other cruel, inhuman or degrading treatment or punishment has expressed similar views, referencing the Convention against Torture and Other Cruel, Inhuman or Degrading Treatment or Punishment, and stating: “</w:t>
      </w:r>
      <w:r w:rsidRPr="00785D06">
        <w:rPr>
          <w:lang w:val="en-US"/>
        </w:rPr>
        <w:t>Full integration of a gender perspective into any analysis of torture and ill-treatment is critical to ensuring that violations rooted in discriminatory social norms around gender and sexuality are fully recognized, addressed and remedied</w:t>
      </w:r>
      <w:r w:rsidRPr="00785D06">
        <w:rPr>
          <w:rFonts w:eastAsia="Times New Roman"/>
          <w:lang w:val="en-US"/>
        </w:rPr>
        <w:t>.” (</w:t>
      </w:r>
      <w:r w:rsidRPr="00785D06">
        <w:rPr>
          <w:lang w:val="en-US"/>
        </w:rPr>
        <w:t xml:space="preserve">Human Rights Council, Thirty-first Session, </w:t>
      </w:r>
      <w:r w:rsidRPr="00785D06">
        <w:rPr>
          <w:i/>
          <w:lang w:val="en-US"/>
        </w:rPr>
        <w:t>Report of the Special Rapporteur on torture and other cruel, inhuman or degrading treatment or punishment</w:t>
      </w:r>
      <w:r w:rsidRPr="00785D06">
        <w:rPr>
          <w:lang w:val="en-US"/>
        </w:rPr>
        <w:t xml:space="preserve">, January 5, 2016. Doc. A/HRC/31/57, para. 6).  </w:t>
      </w:r>
    </w:p>
    <w:p w14:paraId="7286B9FA" w14:textId="77777777" w:rsidR="00E0703B" w:rsidRPr="00785D06" w:rsidRDefault="00E0703B" w:rsidP="00C254BF">
      <w:pPr>
        <w:pStyle w:val="Textonotapie"/>
        <w:jc w:val="both"/>
        <w:rPr>
          <w:lang w:val="en-US"/>
        </w:rPr>
      </w:pPr>
    </w:p>
  </w:footnote>
  <w:footnote w:id="153">
    <w:p w14:paraId="3599A248" w14:textId="77777777" w:rsidR="00E0703B" w:rsidRPr="00785D06" w:rsidRDefault="00E0703B" w:rsidP="00C254BF">
      <w:pPr>
        <w:jc w:val="both"/>
        <w:rPr>
          <w:rFonts w:eastAsia="Times New Roman"/>
          <w:lang w:val="en-US"/>
        </w:rPr>
      </w:pPr>
      <w:r w:rsidRPr="00785D06">
        <w:rPr>
          <w:rStyle w:val="Refdenotaalpie"/>
          <w:lang w:val="en-US"/>
        </w:rPr>
        <w:footnoteRef/>
      </w:r>
      <w:r w:rsidRPr="00785D06">
        <w:rPr>
          <w:lang w:val="en-US"/>
        </w:rPr>
        <w:t xml:space="preserve"> </w:t>
      </w:r>
      <w:r w:rsidRPr="00785D06">
        <w:rPr>
          <w:lang w:val="en-US"/>
        </w:rPr>
        <w:tab/>
      </w:r>
      <w:r w:rsidRPr="00785D06">
        <w:rPr>
          <w:rFonts w:eastAsia="Times New Roman"/>
          <w:lang w:val="en-US"/>
        </w:rPr>
        <w:t xml:space="preserve">According to the United Nations </w:t>
      </w:r>
      <w:r w:rsidRPr="00785D06">
        <w:rPr>
          <w:lang w:val="en-US"/>
        </w:rPr>
        <w:t>Special Rapporteur on torture and other cruel, inhuman or degrading treatment or punishment</w:t>
      </w:r>
      <w:r w:rsidRPr="00785D06">
        <w:rPr>
          <w:rFonts w:eastAsia="Times New Roman"/>
          <w:lang w:val="en-US"/>
        </w:rPr>
        <w:t xml:space="preserve"> “</w:t>
      </w:r>
      <w:r w:rsidRPr="00785D06">
        <w:rPr>
          <w:lang w:val="en-US"/>
        </w:rPr>
        <w:t>women are subjected to gender-specific forms of torture, including rape, sexual abuse and harassment, virginity testing, forced abortion or forced miscarriage</w:t>
      </w:r>
      <w:r w:rsidRPr="00785D06">
        <w:rPr>
          <w:rFonts w:eastAsia="Times New Roman"/>
          <w:lang w:val="en-US"/>
        </w:rPr>
        <w:t>.</w:t>
      </w:r>
      <w:r w:rsidRPr="00785D06">
        <w:rPr>
          <w:lang w:val="en-US"/>
        </w:rPr>
        <w:t>” He has also stated that “forms of sexual abuse” may constitute acts of torture against children. (</w:t>
      </w:r>
      <w:r w:rsidRPr="00785D06">
        <w:rPr>
          <w:i/>
          <w:lang w:val="en-US"/>
        </w:rPr>
        <w:t>Provisional report of the Special Rapporteur on torture and other cruel, inhuman or degrading treatment or punishment</w:t>
      </w:r>
      <w:r w:rsidRPr="00785D06">
        <w:rPr>
          <w:lang w:val="en-US"/>
        </w:rPr>
        <w:t xml:space="preserve">, </w:t>
      </w:r>
      <w:r w:rsidRPr="00785D06">
        <w:rPr>
          <w:i/>
          <w:lang w:val="en-US"/>
        </w:rPr>
        <w:t>to the Human Rights Council,</w:t>
      </w:r>
      <w:r w:rsidRPr="00785D06">
        <w:rPr>
          <w:lang w:val="en-US"/>
        </w:rPr>
        <w:t xml:space="preserve"> August 11, 2000, Doc. A/55/290, paras. 5 and 10.)</w:t>
      </w:r>
    </w:p>
    <w:p w14:paraId="61F384BD" w14:textId="77777777" w:rsidR="00E0703B" w:rsidRPr="00785D06" w:rsidRDefault="00E0703B" w:rsidP="00C254BF">
      <w:pPr>
        <w:pStyle w:val="Textonotapie"/>
        <w:jc w:val="both"/>
        <w:rPr>
          <w:lang w:val="en-US"/>
        </w:rPr>
      </w:pPr>
    </w:p>
  </w:footnote>
  <w:footnote w:id="154">
    <w:p w14:paraId="563825AB" w14:textId="77777777" w:rsidR="00E0703B" w:rsidRPr="00785D06" w:rsidRDefault="00E0703B" w:rsidP="00C254BF">
      <w:pPr>
        <w:jc w:val="both"/>
        <w:rPr>
          <w:rFonts w:eastAsia="Times New Roman"/>
          <w:lang w:val="en-US"/>
        </w:rPr>
      </w:pPr>
      <w:r w:rsidRPr="00785D06">
        <w:rPr>
          <w:rStyle w:val="Refdenotaalpie"/>
          <w:lang w:val="en-US"/>
        </w:rPr>
        <w:footnoteRef/>
      </w:r>
      <w:r w:rsidRPr="00785D06">
        <w:rPr>
          <w:lang w:val="en-US"/>
        </w:rPr>
        <w:t xml:space="preserve"> </w:t>
      </w:r>
      <w:r w:rsidRPr="00785D06">
        <w:rPr>
          <w:lang w:val="en-US"/>
        </w:rPr>
        <w:tab/>
        <w:t xml:space="preserve">Committee against Torture, General Comment No. 2, </w:t>
      </w:r>
      <w:r w:rsidRPr="00785D06">
        <w:rPr>
          <w:i/>
          <w:lang w:val="en-US"/>
        </w:rPr>
        <w:t xml:space="preserve">Application of Article 2 by the States Parties, </w:t>
      </w:r>
      <w:r w:rsidRPr="00785D06">
        <w:rPr>
          <w:lang w:val="en-US"/>
        </w:rPr>
        <w:t>January 24, 2008, Doc. CAT/C/GC/2, para. 22</w:t>
      </w:r>
      <w:r w:rsidRPr="00785D06">
        <w:rPr>
          <w:rFonts w:eastAsia="Times New Roman"/>
          <w:color w:val="000000"/>
          <w:lang w:val="en-US"/>
        </w:rPr>
        <w:t xml:space="preserve">. </w:t>
      </w:r>
    </w:p>
    <w:p w14:paraId="4309F740" w14:textId="77777777" w:rsidR="00E0703B" w:rsidRPr="00785D06" w:rsidRDefault="00E0703B" w:rsidP="00C254BF">
      <w:pPr>
        <w:pStyle w:val="Textonotapie"/>
        <w:jc w:val="both"/>
        <w:rPr>
          <w:lang w:val="en-US"/>
        </w:rPr>
      </w:pPr>
    </w:p>
  </w:footnote>
  <w:footnote w:id="155">
    <w:p w14:paraId="705F1BD4"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 xml:space="preserve">Committee on the Rights of the Child, General Comment 13, para. 26. Article 37 of the Convention on </w:t>
      </w:r>
      <w:r w:rsidRPr="00785D06">
        <w:rPr>
          <w:rFonts w:eastAsia="Times New Roman"/>
          <w:color w:val="000000"/>
          <w:lang w:val="en-US"/>
        </w:rPr>
        <w:t xml:space="preserve">the Rights of the Child </w:t>
      </w:r>
      <w:r w:rsidRPr="00785D06">
        <w:rPr>
          <w:lang w:val="en-US"/>
        </w:rPr>
        <w:t>requires States to ensure that “no child shall be subjected to torture or other cruel, inhuman or degrading treatment or punishment.” The Committee adds that “this is complemented and extended by Article 19, which requires States to ‘take all appropriate legislative, administrative, social and educational measures to protect the child from all forms of physical or mental violence, injury or abuse, neglect or negligent treatment, maltreatment or exploitation, including sexual abuse</w:t>
      </w:r>
      <w:r w:rsidRPr="00785D06">
        <w:rPr>
          <w:rFonts w:eastAsia="Times New Roman"/>
          <w:color w:val="000000"/>
          <w:lang w:val="en-US"/>
        </w:rPr>
        <w:t>.’</w:t>
      </w:r>
      <w:r w:rsidRPr="00785D06">
        <w:rPr>
          <w:lang w:val="en-US"/>
        </w:rPr>
        <w:t>”</w:t>
      </w:r>
      <w:r w:rsidRPr="00785D06">
        <w:rPr>
          <w:rFonts w:eastAsia="Times New Roman"/>
          <w:color w:val="000000"/>
          <w:lang w:val="en-US"/>
        </w:rPr>
        <w:t xml:space="preserve"> (</w:t>
      </w:r>
      <w:r w:rsidRPr="00785D06">
        <w:rPr>
          <w:lang w:val="en-US"/>
        </w:rPr>
        <w:t xml:space="preserve">Committee on the Rights of the Child, General Comment 8, </w:t>
      </w:r>
      <w:r w:rsidRPr="00785D06">
        <w:rPr>
          <w:i/>
          <w:lang w:val="en-US"/>
        </w:rPr>
        <w:t xml:space="preserve">The right of the child to protection from corporal punishment and other cruel or degrading forms of punishment </w:t>
      </w:r>
      <w:r w:rsidRPr="00785D06">
        <w:rPr>
          <w:lang w:val="en-US"/>
        </w:rPr>
        <w:t xml:space="preserve">(Arts. 19; 28, para. 2; and 37, </w:t>
      </w:r>
      <w:r w:rsidRPr="00785D06">
        <w:rPr>
          <w:i/>
          <w:lang w:val="en-US"/>
        </w:rPr>
        <w:t>inter alia</w:t>
      </w:r>
      <w:r w:rsidRPr="00785D06">
        <w:rPr>
          <w:lang w:val="en-US"/>
        </w:rPr>
        <w:t>)</w:t>
      </w:r>
      <w:r w:rsidRPr="00785D06">
        <w:rPr>
          <w:i/>
          <w:lang w:val="en-US"/>
        </w:rPr>
        <w:t xml:space="preserve"> </w:t>
      </w:r>
      <w:r w:rsidRPr="00785D06">
        <w:rPr>
          <w:lang w:val="en-US"/>
        </w:rPr>
        <w:t>August 21, 2006, Doc. CRC/C/GC/8, para. 18)</w:t>
      </w:r>
      <w:r w:rsidRPr="00785D06">
        <w:rPr>
          <w:rFonts w:eastAsia="Times New Roman"/>
          <w:color w:val="000000"/>
          <w:lang w:val="en-US"/>
        </w:rPr>
        <w:t>.</w:t>
      </w:r>
    </w:p>
    <w:p w14:paraId="0BBB7C18" w14:textId="77777777" w:rsidR="00E0703B" w:rsidRPr="00785D06" w:rsidRDefault="00E0703B" w:rsidP="00C254BF">
      <w:pPr>
        <w:pStyle w:val="Textonotapie"/>
        <w:jc w:val="both"/>
        <w:rPr>
          <w:lang w:val="en-US"/>
        </w:rPr>
      </w:pPr>
    </w:p>
  </w:footnote>
  <w:footnote w:id="156">
    <w:p w14:paraId="329463BC"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Committee Against Torture, General Comment No. 2, para. 15.</w:t>
      </w:r>
    </w:p>
    <w:p w14:paraId="01C2F3ED" w14:textId="77777777" w:rsidR="00E0703B" w:rsidRPr="00785D06" w:rsidRDefault="00E0703B" w:rsidP="00C254BF">
      <w:pPr>
        <w:pStyle w:val="Textonotapie"/>
        <w:jc w:val="both"/>
        <w:rPr>
          <w:lang w:val="en-US"/>
        </w:rPr>
      </w:pPr>
    </w:p>
  </w:footnote>
  <w:footnote w:id="157">
    <w:p w14:paraId="2F14694C"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According to the expert witness, Paola did not really wish to stop living; however, from a psychological perspective, her suicide was “enunciative.” In other words, this act sought to “convey a message associated with psychological suffering.” This supports the view that she had experienced a high level of suffering</w:t>
      </w:r>
      <w:r w:rsidRPr="00785D06">
        <w:rPr>
          <w:rFonts w:cstheme="minorBidi"/>
          <w:lang w:val="en-US"/>
        </w:rPr>
        <w:t xml:space="preserve">. </w:t>
      </w:r>
    </w:p>
    <w:p w14:paraId="3D1843CE" w14:textId="77777777" w:rsidR="00E0703B" w:rsidRPr="00785D06" w:rsidRDefault="00E0703B" w:rsidP="00C254BF">
      <w:pPr>
        <w:pStyle w:val="Textonotapie"/>
        <w:jc w:val="both"/>
        <w:rPr>
          <w:lang w:val="en-US"/>
        </w:rPr>
      </w:pPr>
    </w:p>
  </w:footnote>
  <w:footnote w:id="158">
    <w:p w14:paraId="66EE1358" w14:textId="77777777" w:rsidR="00E0703B" w:rsidRPr="00785D06" w:rsidRDefault="00E0703B" w:rsidP="00C254BF">
      <w:pPr>
        <w:pStyle w:val="NormalWeb"/>
        <w:spacing w:before="0" w:beforeAutospacing="0" w:after="0" w:afterAutospacing="0"/>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 See also</w:t>
      </w:r>
      <w:r w:rsidRPr="00785D06">
        <w:rPr>
          <w:lang w:val="en-US"/>
        </w:rPr>
        <w:t xml:space="preserve">, Report of the Special Rapporteur on torture and other </w:t>
      </w:r>
      <w:r w:rsidRPr="00785D06">
        <w:rPr>
          <w:rFonts w:eastAsia="Times New Roman"/>
          <w:color w:val="000000"/>
          <w:lang w:val="en-US"/>
        </w:rPr>
        <w:t>cruel, inhuman or degrading treatment or punishment</w:t>
      </w:r>
      <w:r w:rsidRPr="00785D06">
        <w:rPr>
          <w:lang w:val="en-US"/>
        </w:rPr>
        <w:t xml:space="preserve">, </w:t>
      </w:r>
      <w:r w:rsidRPr="00785D06">
        <w:rPr>
          <w:i/>
          <w:lang w:val="en-US"/>
        </w:rPr>
        <w:t>Study on the phenomena of torture, cruel, inhuman or degrading treatment or punishment in the world, including an assessment of conditions of detention</w:t>
      </w:r>
      <w:r w:rsidRPr="00785D06">
        <w:rPr>
          <w:lang w:val="en-US"/>
        </w:rPr>
        <w:t xml:space="preserve">, February 5, 2010, Doc. </w:t>
      </w:r>
      <w:r w:rsidRPr="00785D06">
        <w:rPr>
          <w:rFonts w:cs="TimesNewRomanPSMT"/>
          <w:lang w:val="en-US"/>
        </w:rPr>
        <w:t xml:space="preserve">A/HRC/13/39/Add.5, </w:t>
      </w:r>
      <w:r w:rsidRPr="00785D06">
        <w:rPr>
          <w:lang w:val="en-US"/>
        </w:rPr>
        <w:t xml:space="preserve">paras. 33 and 188. </w:t>
      </w:r>
    </w:p>
    <w:p w14:paraId="56690B2E" w14:textId="77777777" w:rsidR="00E0703B" w:rsidRPr="00785D06" w:rsidRDefault="00E0703B" w:rsidP="00C254BF">
      <w:pPr>
        <w:pStyle w:val="NormalWeb"/>
        <w:spacing w:before="0" w:beforeAutospacing="0" w:after="0" w:afterAutospacing="0"/>
        <w:jc w:val="both"/>
        <w:rPr>
          <w:lang w:val="en-US"/>
        </w:rPr>
      </w:pPr>
    </w:p>
  </w:footnote>
  <w:footnote w:id="159">
    <w:p w14:paraId="16DED95A"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 Case of Cuscul Pivaral et al. v. Guatemala</w:t>
      </w:r>
      <w:r w:rsidRPr="00785D06">
        <w:rPr>
          <w:lang w:val="en-US"/>
        </w:rPr>
        <w:t>, para. 155,</w:t>
      </w:r>
      <w:r w:rsidRPr="00785D06">
        <w:rPr>
          <w:i/>
          <w:lang w:val="en-US"/>
        </w:rPr>
        <w:t xml:space="preserve"> and Case of Noguera et al. v. Paraguay</w:t>
      </w:r>
      <w:r w:rsidRPr="00785D06">
        <w:rPr>
          <w:lang w:val="en-US"/>
        </w:rPr>
        <w:t>, para. 65. Also</w:t>
      </w:r>
      <w:r w:rsidRPr="00785D06">
        <w:rPr>
          <w:i/>
          <w:lang w:val="en-US"/>
        </w:rPr>
        <w:t xml:space="preserve"> see, Case of the “Street Children” (Villagrán Morales et al.) v. Guatemala. Merits, para.</w:t>
      </w:r>
      <w:r w:rsidRPr="00785D06">
        <w:rPr>
          <w:lang w:val="en-US"/>
        </w:rPr>
        <w:t xml:space="preserve"> 144, and </w:t>
      </w:r>
      <w:r w:rsidRPr="00785D06">
        <w:rPr>
          <w:i/>
          <w:lang w:val="en-US"/>
        </w:rPr>
        <w:t>Case of Myrna Mack Chang v. Guatemala. Merits, reparations and costs.</w:t>
      </w:r>
      <w:r w:rsidRPr="00785D06">
        <w:rPr>
          <w:lang w:val="en-US"/>
        </w:rPr>
        <w:t xml:space="preserve"> Judgment of November 25, 2003. Series C No. 101, para. 153.</w:t>
      </w:r>
    </w:p>
    <w:p w14:paraId="7E450BE9" w14:textId="77777777" w:rsidR="00E0703B" w:rsidRPr="00785D06" w:rsidRDefault="00E0703B" w:rsidP="00C254BF">
      <w:pPr>
        <w:pStyle w:val="Textonotapie"/>
        <w:jc w:val="both"/>
        <w:rPr>
          <w:lang w:val="en-US"/>
        </w:rPr>
      </w:pPr>
    </w:p>
  </w:footnote>
  <w:footnote w:id="160">
    <w:p w14:paraId="39E6EF05"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rStyle w:val="Textoennegrita"/>
          <w:b w:val="0"/>
          <w:i/>
          <w:color w:val="000000"/>
          <w:shd w:val="clear" w:color="auto" w:fill="FFFFFF"/>
          <w:lang w:val="en-US"/>
        </w:rPr>
        <w:t>Cf.</w:t>
      </w:r>
      <w:r w:rsidRPr="00785D06">
        <w:rPr>
          <w:rStyle w:val="Textoennegrita"/>
          <w:b w:val="0"/>
          <w:color w:val="000000"/>
          <w:shd w:val="clear" w:color="auto" w:fill="FFFFFF"/>
          <w:lang w:val="en-US"/>
        </w:rPr>
        <w:t xml:space="preserve"> </w:t>
      </w:r>
      <w:r w:rsidRPr="00785D06">
        <w:rPr>
          <w:rStyle w:val="Textoennegrita"/>
          <w:b w:val="0"/>
          <w:i/>
          <w:color w:val="000000"/>
          <w:shd w:val="clear" w:color="auto" w:fill="FFFFFF"/>
          <w:lang w:val="en-US"/>
        </w:rPr>
        <w:t>Case of the “Street Children” (Villagrán Morales et al.) v. Guatemala. Merits, para.</w:t>
      </w:r>
      <w:r w:rsidRPr="00785D06">
        <w:rPr>
          <w:lang w:val="en-US"/>
        </w:rPr>
        <w:t xml:space="preserve"> 144;</w:t>
      </w:r>
      <w:r w:rsidRPr="00785D06">
        <w:rPr>
          <w:b/>
          <w:lang w:val="en-US"/>
        </w:rPr>
        <w:t xml:space="preserve"> </w:t>
      </w:r>
      <w:r w:rsidRPr="00785D06">
        <w:rPr>
          <w:rStyle w:val="Textoennegrita"/>
          <w:b w:val="0"/>
          <w:i/>
          <w:color w:val="000000"/>
          <w:shd w:val="clear" w:color="auto" w:fill="FFFFFF"/>
          <w:lang w:val="en-US"/>
        </w:rPr>
        <w:t>Case of the Yakye Axa Indigenous Community v. Paraguay. Merits, reparations and costs.</w:t>
      </w:r>
      <w:r w:rsidRPr="00785D06">
        <w:rPr>
          <w:rStyle w:val="Textoennegrita"/>
          <w:b w:val="0"/>
          <w:color w:val="000000"/>
          <w:shd w:val="clear" w:color="auto" w:fill="FFFFFF"/>
          <w:lang w:val="en-US"/>
        </w:rPr>
        <w:t xml:space="preserve"> Judgment of June 17, 2005. Series C No. 125</w:t>
      </w:r>
      <w:r w:rsidRPr="00785D06">
        <w:rPr>
          <w:lang w:val="en-US"/>
        </w:rPr>
        <w:t xml:space="preserve">, paras. 162 and 163, and </w:t>
      </w:r>
      <w:r w:rsidRPr="00785D06">
        <w:rPr>
          <w:rFonts w:cs="Arial"/>
          <w:i/>
          <w:shd w:val="clear" w:color="auto" w:fill="FFFFFF"/>
          <w:lang w:val="en-US"/>
        </w:rPr>
        <w:t>Case of the National Association of Discharged and Retired Employees of the National Tax Administration Superintendence (ANCEJUB-SUNAT) v. Peru</w:t>
      </w:r>
      <w:r w:rsidRPr="00785D06">
        <w:rPr>
          <w:rFonts w:cs="Arial"/>
          <w:shd w:val="clear" w:color="auto" w:fill="FFFFFF"/>
          <w:lang w:val="en-US"/>
        </w:rPr>
        <w:t>, para. 186</w:t>
      </w:r>
      <w:r w:rsidRPr="00785D06">
        <w:rPr>
          <w:lang w:val="en-US"/>
        </w:rPr>
        <w:t xml:space="preserve">. </w:t>
      </w:r>
    </w:p>
    <w:p w14:paraId="6B6C5294" w14:textId="77777777" w:rsidR="00E0703B" w:rsidRPr="00785D06" w:rsidRDefault="00E0703B" w:rsidP="00C254BF">
      <w:pPr>
        <w:pStyle w:val="Textonotapie"/>
        <w:jc w:val="both"/>
        <w:rPr>
          <w:lang w:val="en-US"/>
        </w:rPr>
      </w:pPr>
    </w:p>
  </w:footnote>
  <w:footnote w:id="161">
    <w:p w14:paraId="35A8E7B6"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rStyle w:val="Textoennegrita"/>
          <w:b w:val="0"/>
          <w:i/>
          <w:color w:val="000000"/>
          <w:shd w:val="clear" w:color="auto" w:fill="FFFFFF"/>
          <w:lang w:val="en-US"/>
        </w:rPr>
        <w:t>Case of the “Street Children” (Villagrán Morales et al.) v. Guatemala. Merits, para.</w:t>
      </w:r>
      <w:r w:rsidRPr="00785D06">
        <w:rPr>
          <w:lang w:val="en-US"/>
        </w:rPr>
        <w:t xml:space="preserve"> 144. Similarly, see </w:t>
      </w:r>
      <w:r w:rsidRPr="00785D06">
        <w:rPr>
          <w:rStyle w:val="Textoennegrita"/>
          <w:b w:val="0"/>
          <w:i/>
          <w:color w:val="000000"/>
          <w:shd w:val="clear" w:color="auto" w:fill="FFFFFF"/>
          <w:lang w:val="en-US"/>
        </w:rPr>
        <w:t>Case of the Yakye Axa Indigenous Community v. Paraguay</w:t>
      </w:r>
      <w:r w:rsidRPr="00785D06">
        <w:rPr>
          <w:lang w:val="en-US"/>
        </w:rPr>
        <w:t xml:space="preserve">, paras. 162, and </w:t>
      </w:r>
      <w:r w:rsidRPr="00785D06">
        <w:rPr>
          <w:rFonts w:cs="Arial"/>
          <w:i/>
          <w:shd w:val="clear" w:color="auto" w:fill="FFFFFF"/>
          <w:lang w:val="en-US"/>
        </w:rPr>
        <w:t>Case of the National Association of Discharged and Retired Employees of the National Tax Administration Superintendence (ANCEJUB-SUNAT) v. Peru</w:t>
      </w:r>
      <w:r w:rsidRPr="00785D06">
        <w:rPr>
          <w:rFonts w:cs="Arial"/>
          <w:shd w:val="clear" w:color="auto" w:fill="FFFFFF"/>
          <w:lang w:val="en-US"/>
        </w:rPr>
        <w:t>, para. 186.</w:t>
      </w:r>
    </w:p>
    <w:p w14:paraId="2BCDF2FB" w14:textId="77777777" w:rsidR="00E0703B" w:rsidRPr="00785D06" w:rsidRDefault="00E0703B" w:rsidP="00C254BF">
      <w:pPr>
        <w:pStyle w:val="Textonotapie"/>
        <w:jc w:val="both"/>
        <w:rPr>
          <w:lang w:val="en-US"/>
        </w:rPr>
      </w:pPr>
    </w:p>
  </w:footnote>
  <w:footnote w:id="162">
    <w:p w14:paraId="16EF5410"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 xml:space="preserve">Human Rights Committee, General Comment No. 36, </w:t>
      </w:r>
      <w:r w:rsidRPr="00785D06">
        <w:rPr>
          <w:i/>
          <w:lang w:val="en-US"/>
        </w:rPr>
        <w:t>Article 6. Right to Life,</w:t>
      </w:r>
      <w:r w:rsidRPr="00785D06">
        <w:rPr>
          <w:lang w:val="en-US"/>
        </w:rPr>
        <w:t xml:space="preserve"> September 3, 2019, Doc. CCPR/C/GC/36, para. 3.</w:t>
      </w:r>
    </w:p>
    <w:p w14:paraId="7678AB39" w14:textId="77777777" w:rsidR="00E0703B" w:rsidRPr="00785D06" w:rsidRDefault="00E0703B" w:rsidP="00C254BF">
      <w:pPr>
        <w:pStyle w:val="Textonotapie"/>
        <w:jc w:val="both"/>
        <w:rPr>
          <w:lang w:val="en-US"/>
        </w:rPr>
      </w:pPr>
    </w:p>
  </w:footnote>
  <w:footnote w:id="163">
    <w:p w14:paraId="0E4D9981"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 xml:space="preserve">Committee on the Rights of the Child, General Comment No. 13, para.15. </w:t>
      </w:r>
    </w:p>
    <w:p w14:paraId="52069DA3" w14:textId="77777777" w:rsidR="00E0703B" w:rsidRPr="00785D06" w:rsidRDefault="00E0703B" w:rsidP="00C254BF">
      <w:pPr>
        <w:pStyle w:val="Textonotapie"/>
        <w:jc w:val="both"/>
        <w:rPr>
          <w:lang w:val="en-US"/>
        </w:rPr>
      </w:pPr>
    </w:p>
  </w:footnote>
  <w:footnote w:id="164">
    <w:p w14:paraId="62DA63C2"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 xml:space="preserve">Committee on the Rights of the Child, General Comment No. 4, para. 22. </w:t>
      </w:r>
    </w:p>
    <w:p w14:paraId="6F31F8BE" w14:textId="77777777" w:rsidR="00E0703B" w:rsidRPr="00785D06" w:rsidRDefault="00E0703B" w:rsidP="00C254BF">
      <w:pPr>
        <w:pStyle w:val="Textonotapie"/>
        <w:jc w:val="both"/>
        <w:rPr>
          <w:lang w:val="en-US"/>
        </w:rPr>
      </w:pPr>
    </w:p>
  </w:footnote>
  <w:footnote w:id="165">
    <w:p w14:paraId="6B20871C" w14:textId="77777777" w:rsidR="00E0703B" w:rsidRPr="00785D06" w:rsidRDefault="00E0703B" w:rsidP="00C254BF">
      <w:pPr>
        <w:jc w:val="both"/>
        <w:rPr>
          <w:rFonts w:eastAsia="Times New Roman"/>
          <w:color w:val="000000"/>
          <w:lang w:val="en-US"/>
        </w:rPr>
      </w:pPr>
      <w:r w:rsidRPr="00785D06">
        <w:rPr>
          <w:rStyle w:val="Refdenotaalpie"/>
          <w:lang w:val="en-US"/>
        </w:rPr>
        <w:footnoteRef/>
      </w:r>
      <w:r w:rsidRPr="00785D06">
        <w:rPr>
          <w:lang w:val="en-US"/>
        </w:rPr>
        <w:t xml:space="preserve"> </w:t>
      </w:r>
      <w:r w:rsidRPr="00785D06">
        <w:rPr>
          <w:lang w:val="en-US"/>
        </w:rPr>
        <w:tab/>
        <w:t>The Committee on the Rights of the Child has identified suicide as one of the “primary causes” of “mortality among adolescents” and, like other “mental and psychosocial health problems,” it is influenced by a “complex interplay” of causes that are “compounded” by experiences of conflict and bullying. The Committee has also indicated that “the factors known to promote resilience and healthy development and to protect against mental ill health include strong relationships with and support from key adults,</w:t>
      </w:r>
      <w:r w:rsidRPr="00785D06">
        <w:rPr>
          <w:rFonts w:eastAsia="Times New Roman"/>
          <w:color w:val="000000"/>
          <w:lang w:val="en-US"/>
        </w:rPr>
        <w:t xml:space="preserve">” as well as </w:t>
      </w:r>
      <w:r w:rsidRPr="00785D06">
        <w:rPr>
          <w:lang w:val="en-US"/>
        </w:rPr>
        <w:t>“access to quality secondary education [and] freedom from violence and discrimination.”</w:t>
      </w:r>
      <w:r w:rsidRPr="00785D06">
        <w:rPr>
          <w:rFonts w:eastAsia="Times New Roman"/>
          <w:color w:val="000000"/>
          <w:lang w:val="en-US"/>
        </w:rPr>
        <w:t xml:space="preserve"> (</w:t>
      </w:r>
      <w:r w:rsidRPr="00785D06">
        <w:rPr>
          <w:bCs/>
          <w:color w:val="000000"/>
          <w:lang w:val="en-US"/>
        </w:rPr>
        <w:t xml:space="preserve">Committee on the Rights of the Child, </w:t>
      </w:r>
      <w:r w:rsidRPr="00785D06">
        <w:rPr>
          <w:rFonts w:eastAsia="Times New Roman"/>
          <w:bCs/>
          <w:i/>
          <w:color w:val="000000"/>
          <w:lang w:val="en-US"/>
        </w:rPr>
        <w:t>General Comment No. 20 on the implementation of the rights of the child during adolescence,</w:t>
      </w:r>
      <w:r w:rsidRPr="00785D06">
        <w:rPr>
          <w:rFonts w:eastAsia="Times New Roman"/>
          <w:bCs/>
          <w:color w:val="000000"/>
          <w:lang w:val="en-US"/>
        </w:rPr>
        <w:t xml:space="preserve"> </w:t>
      </w:r>
      <w:r w:rsidRPr="00785D06">
        <w:rPr>
          <w:rFonts w:eastAsia="Times New Roman"/>
          <w:color w:val="000000"/>
          <w:lang w:val="en-US"/>
        </w:rPr>
        <w:t xml:space="preserve">para. 58). The Committee has also expressed “concern [at] </w:t>
      </w:r>
      <w:r w:rsidRPr="00785D06">
        <w:rPr>
          <w:lang w:val="en-US"/>
        </w:rPr>
        <w:t>the increase in mental ill-health among adolescents</w:t>
      </w:r>
      <w:r w:rsidRPr="00785D06">
        <w:rPr>
          <w:rFonts w:eastAsia="Times New Roman"/>
          <w:color w:val="000000"/>
          <w:lang w:val="en-US"/>
        </w:rPr>
        <w:t>, including […] depression, […] psychological trauma resulting from abuse, […] and […] self-harm and suicide.” (</w:t>
      </w:r>
      <w:r w:rsidRPr="00785D06">
        <w:rPr>
          <w:bCs/>
          <w:lang w:val="en-US"/>
        </w:rPr>
        <w:t xml:space="preserve">Committee on the Rights of the Child, </w:t>
      </w:r>
      <w:r w:rsidRPr="00785D06">
        <w:rPr>
          <w:bCs/>
          <w:i/>
          <w:lang w:val="en-US"/>
        </w:rPr>
        <w:t>General Comment No. 15 on the Right of the child to enjoy the highest attainable level of health (Article 24)</w:t>
      </w:r>
      <w:r w:rsidRPr="00785D06">
        <w:rPr>
          <w:bCs/>
          <w:lang w:val="en-US"/>
        </w:rPr>
        <w:t xml:space="preserve">, </w:t>
      </w:r>
      <w:r w:rsidRPr="00785D06">
        <w:rPr>
          <w:rFonts w:eastAsia="Times New Roman"/>
          <w:color w:val="000000"/>
          <w:lang w:val="en-US"/>
        </w:rPr>
        <w:t>para. 38).</w:t>
      </w:r>
    </w:p>
    <w:p w14:paraId="59EC2133" w14:textId="77777777" w:rsidR="00E0703B" w:rsidRPr="00785D06" w:rsidRDefault="00E0703B" w:rsidP="00C254BF">
      <w:pPr>
        <w:pStyle w:val="Textonotapie"/>
        <w:jc w:val="both"/>
        <w:rPr>
          <w:lang w:val="en-US"/>
        </w:rPr>
      </w:pPr>
    </w:p>
  </w:footnote>
  <w:footnote w:id="166">
    <w:p w14:paraId="52C28E3F"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Human Rights Committee, General Comment No. 36, para. 23.</w:t>
      </w:r>
    </w:p>
  </w:footnote>
  <w:footnote w:id="167">
    <w:p w14:paraId="0CD7F63C" w14:textId="77777777" w:rsidR="00E0703B" w:rsidRPr="00785D06" w:rsidRDefault="00E0703B" w:rsidP="00C254BF">
      <w:pPr>
        <w:pStyle w:val="Textonotapie"/>
        <w:jc w:val="both"/>
        <w:rPr>
          <w:lang w:val="en-US"/>
        </w:rPr>
      </w:pPr>
    </w:p>
    <w:p w14:paraId="540E0C20"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The Human Rights Committee has advised that this must be done acknowledging “</w:t>
      </w:r>
      <w:r w:rsidRPr="00785D06">
        <w:rPr>
          <w:rFonts w:eastAsia="Times New Roman"/>
          <w:color w:val="000000"/>
          <w:lang w:val="en-US"/>
        </w:rPr>
        <w:t>the central importance to human dignity of personal autonomy” and “</w:t>
      </w:r>
      <w:r w:rsidRPr="00785D06">
        <w:rPr>
          <w:lang w:val="en-US"/>
        </w:rPr>
        <w:t xml:space="preserve">without violating their </w:t>
      </w:r>
      <w:r w:rsidRPr="00785D06">
        <w:rPr>
          <w:rFonts w:eastAsia="Times New Roman"/>
          <w:color w:val="000000"/>
          <w:lang w:val="en-US"/>
        </w:rPr>
        <w:t xml:space="preserve">[the States’] </w:t>
      </w:r>
      <w:r w:rsidRPr="00785D06">
        <w:rPr>
          <w:lang w:val="en-US"/>
        </w:rPr>
        <w:t>other Covenant obligations to prevent suicides</w:t>
      </w:r>
      <w:r w:rsidRPr="00785D06">
        <w:rPr>
          <w:rFonts w:eastAsia="Times New Roman"/>
          <w:color w:val="000000"/>
          <w:lang w:val="en-US"/>
        </w:rPr>
        <w:t xml:space="preserve"> [International Covenant on Civil and Political Rights]” (</w:t>
      </w:r>
      <w:r w:rsidRPr="00785D06">
        <w:rPr>
          <w:lang w:val="en-US"/>
        </w:rPr>
        <w:t xml:space="preserve">Human Rights Committee, General Comment No. 36, para. </w:t>
      </w:r>
      <w:r w:rsidRPr="00785D06">
        <w:rPr>
          <w:rFonts w:eastAsia="Times New Roman"/>
          <w:color w:val="000000"/>
          <w:lang w:val="en-US"/>
        </w:rPr>
        <w:t>9).</w:t>
      </w:r>
    </w:p>
    <w:p w14:paraId="39F40789" w14:textId="77777777" w:rsidR="00E0703B" w:rsidRPr="00785D06" w:rsidRDefault="00E0703B" w:rsidP="00C254BF">
      <w:pPr>
        <w:pStyle w:val="Textonotapie"/>
        <w:jc w:val="both"/>
        <w:rPr>
          <w:lang w:val="en-US"/>
        </w:rPr>
      </w:pPr>
    </w:p>
  </w:footnote>
  <w:footnote w:id="168">
    <w:p w14:paraId="61D1D96D"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 xml:space="preserve">Committee on the Rights of the Child, General Comment No. 13, para. 28. The </w:t>
      </w:r>
      <w:r w:rsidRPr="00785D06">
        <w:rPr>
          <w:i/>
          <w:lang w:val="en-US"/>
        </w:rPr>
        <w:t>amicus curiae</w:t>
      </w:r>
      <w:r w:rsidRPr="00785D06">
        <w:rPr>
          <w:lang w:val="en-US"/>
        </w:rPr>
        <w:t xml:space="preserve"> brief presented by the Human Rights Club of the Private Technical University of Loja and the Center for Social Action and Legal Policy referred to the link between failure to satisfy a child’s need for a dignified life in the area of education, and acts of suicide.</w:t>
      </w:r>
    </w:p>
    <w:p w14:paraId="4A8F0F73" w14:textId="77777777" w:rsidR="00E0703B" w:rsidRPr="00785D06" w:rsidRDefault="00E0703B" w:rsidP="00C254BF">
      <w:pPr>
        <w:pStyle w:val="Textonotapie"/>
        <w:jc w:val="both"/>
        <w:rPr>
          <w:lang w:val="en-US"/>
        </w:rPr>
      </w:pPr>
    </w:p>
  </w:footnote>
  <w:footnote w:id="169">
    <w:p w14:paraId="6D509B59"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 xml:space="preserve">The expert witness Dr. Barragán explained that it would dangerous for a person to treat someone with the type of poisoning suffered by Paola, if that person did not have specialized knowledge, or the treatment was not provided at a suitable hospital. It is reasonable to assume that this was the case at the school; thus, it would not have been feasible to provide direct medical treatment to Paola at the school. Consequently, it would have been even more important to transfer her to a hospital as soon as possible. Dr. Barragán added that since medical assistance protocols could not be implemented without medical knowledge, the recommended course of action by the school would have been “to make the necessary arrangements to immediately transfer the patient into the care of health professionals.” He added that “this should be done in all emergencies: if [there is] an emergency, […] you have to [act] as quickly as possible.” </w:t>
      </w:r>
    </w:p>
    <w:p w14:paraId="486486BD" w14:textId="77777777" w:rsidR="00E0703B" w:rsidRPr="00785D06" w:rsidRDefault="00E0703B" w:rsidP="00C254BF">
      <w:pPr>
        <w:pStyle w:val="Textonotapie"/>
        <w:jc w:val="both"/>
        <w:rPr>
          <w:lang w:val="en-US"/>
        </w:rPr>
      </w:pPr>
    </w:p>
  </w:footnote>
  <w:footnote w:id="170">
    <w:p w14:paraId="5391DF98"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 xml:space="preserve">Articles 8 and 25 of the American Convention, 7 of the Belém do Pará Convention and 8 of the Inter-American Convention to Prevent and Punish Torture. </w:t>
      </w:r>
    </w:p>
  </w:footnote>
  <w:footnote w:id="171">
    <w:p w14:paraId="1E3BA961" w14:textId="77777777" w:rsidR="00E0703B" w:rsidRPr="00785D06" w:rsidRDefault="00E0703B" w:rsidP="00C254BF">
      <w:pPr>
        <w:pStyle w:val="Textonotapie"/>
        <w:jc w:val="both"/>
        <w:rPr>
          <w:lang w:val="en-US"/>
        </w:rPr>
      </w:pPr>
    </w:p>
    <w:p w14:paraId="71DDBBF0" w14:textId="77777777" w:rsidR="00E0703B" w:rsidRPr="00785D06" w:rsidRDefault="00E0703B" w:rsidP="00C254BF">
      <w:pPr>
        <w:pStyle w:val="Textonotapie"/>
        <w:jc w:val="both"/>
        <w:rPr>
          <w:b/>
          <w:lang w:val="en-US"/>
        </w:rPr>
      </w:pPr>
      <w:r w:rsidRPr="00785D06">
        <w:rPr>
          <w:rStyle w:val="Refdenotaalpie"/>
          <w:lang w:val="en-US"/>
        </w:rPr>
        <w:footnoteRef/>
      </w:r>
      <w:r w:rsidRPr="00785D06">
        <w:rPr>
          <w:lang w:val="en-US"/>
        </w:rPr>
        <w:t xml:space="preserve"> </w:t>
      </w:r>
      <w:r w:rsidRPr="00785D06">
        <w:rPr>
          <w:lang w:val="en-US"/>
        </w:rPr>
        <w:tab/>
        <w:t xml:space="preserve">The State considered that the decisions of the domestic authorities were not motivated by gender stereotypes. In particular, it referred to the administrative proceedings which, according to the representatives, had sought to transfer responsibility for the events onto Paola, by pointing out that she was “in love” with the vice principal. The State argued that “in no way is responsibility for what happened being placed on [Paola], nor does [it] deny that the facts denounced by her relatives […] occurred; [it] simply states that ‘there is no evidence to demonstrate [it] conclusively.’” (The State indicated that the latter is a quote from the Report of the Provincial Supervisor of Education to the Provincial Superintendent of Education of Guayas, dated January 23, 2003) </w:t>
      </w:r>
    </w:p>
    <w:p w14:paraId="627FCDE3" w14:textId="77777777" w:rsidR="00E0703B" w:rsidRPr="00785D06" w:rsidRDefault="00E0703B" w:rsidP="00C254BF">
      <w:pPr>
        <w:pStyle w:val="Textonotapie"/>
        <w:jc w:val="both"/>
        <w:rPr>
          <w:lang w:val="en-US"/>
        </w:rPr>
      </w:pPr>
    </w:p>
  </w:footnote>
  <w:footnote w:id="172">
    <w:p w14:paraId="5C0A664A" w14:textId="77777777" w:rsidR="00E0703B" w:rsidRPr="00785D06" w:rsidRDefault="00E0703B" w:rsidP="00C254BF">
      <w:pPr>
        <w:widowControl w:val="0"/>
        <w:tabs>
          <w:tab w:val="left" w:pos="525"/>
        </w:tabs>
        <w:autoSpaceDE w:val="0"/>
        <w:autoSpaceDN w:val="0"/>
        <w:ind w:right="126"/>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 xml:space="preserve">Cf. Case of Velásquez Rodríguez v. Honduras. Preliminary objections. </w:t>
      </w:r>
      <w:r w:rsidRPr="00785D06">
        <w:rPr>
          <w:lang w:val="en-US"/>
        </w:rPr>
        <w:t xml:space="preserve">Judgment of June 26, 1987. Series C No. 1, para. 91, and </w:t>
      </w:r>
      <w:r w:rsidRPr="00785D06">
        <w:rPr>
          <w:i/>
          <w:lang w:val="en-US"/>
        </w:rPr>
        <w:t>Case of the Women Victims of Sexual Torture in Atenco v. Mexico</w:t>
      </w:r>
      <w:r w:rsidRPr="00785D06">
        <w:rPr>
          <w:lang w:val="en-US"/>
        </w:rPr>
        <w:t>, para. 267.</w:t>
      </w:r>
    </w:p>
    <w:p w14:paraId="16030325" w14:textId="77777777" w:rsidR="00E0703B" w:rsidRPr="00785D06" w:rsidRDefault="00E0703B" w:rsidP="00C254BF">
      <w:pPr>
        <w:widowControl w:val="0"/>
        <w:tabs>
          <w:tab w:val="left" w:pos="525"/>
        </w:tabs>
        <w:autoSpaceDE w:val="0"/>
        <w:autoSpaceDN w:val="0"/>
        <w:ind w:right="126"/>
        <w:jc w:val="both"/>
        <w:rPr>
          <w:lang w:val="en-US"/>
        </w:rPr>
      </w:pPr>
    </w:p>
  </w:footnote>
  <w:footnote w:id="173">
    <w:p w14:paraId="0C9C6941" w14:textId="77777777" w:rsidR="00E0703B" w:rsidRPr="00785D06" w:rsidRDefault="00E0703B" w:rsidP="00C254BF">
      <w:pPr>
        <w:pStyle w:val="Textonotapie"/>
        <w:jc w:val="both"/>
        <w:rPr>
          <w:lang w:val="en-US" w:bidi="es-ES"/>
        </w:rPr>
      </w:pPr>
      <w:r w:rsidRPr="00785D06">
        <w:rPr>
          <w:rStyle w:val="Refdenotaalpie"/>
          <w:lang w:val="en-US"/>
        </w:rPr>
        <w:footnoteRef/>
      </w:r>
      <w:r w:rsidRPr="00785D06">
        <w:rPr>
          <w:lang w:val="en-US"/>
        </w:rPr>
        <w:t xml:space="preserve"> </w:t>
      </w:r>
      <w:r w:rsidRPr="00785D06">
        <w:rPr>
          <w:lang w:val="en-US"/>
        </w:rPr>
        <w:tab/>
      </w:r>
      <w:r w:rsidRPr="00785D06">
        <w:rPr>
          <w:i/>
          <w:lang w:val="en-US" w:bidi="es-ES"/>
        </w:rPr>
        <w:t xml:space="preserve">Cf. Case of Bulacio v. Argentina. Merits, reparations and costs. </w:t>
      </w:r>
      <w:r w:rsidRPr="00785D06">
        <w:rPr>
          <w:lang w:val="en-US" w:bidi="es-ES"/>
        </w:rPr>
        <w:t xml:space="preserve">Judgment of September 18, 2003. Series C No. 100, para. 114, and </w:t>
      </w:r>
      <w:r w:rsidRPr="00785D06">
        <w:rPr>
          <w:i/>
          <w:lang w:val="en-US"/>
        </w:rPr>
        <w:t>Case of the Women Victims of Sexual Torture in Atenco v. Mexico</w:t>
      </w:r>
      <w:r w:rsidRPr="00785D06">
        <w:rPr>
          <w:lang w:val="en-US"/>
        </w:rPr>
        <w:t>, para. 267.</w:t>
      </w:r>
    </w:p>
    <w:p w14:paraId="677E88AD" w14:textId="77777777" w:rsidR="00E0703B" w:rsidRPr="00785D06" w:rsidRDefault="00E0703B" w:rsidP="00C254BF">
      <w:pPr>
        <w:pStyle w:val="Textonotapie"/>
        <w:jc w:val="both"/>
        <w:rPr>
          <w:lang w:val="en-US" w:bidi="es-ES"/>
        </w:rPr>
      </w:pPr>
    </w:p>
  </w:footnote>
  <w:footnote w:id="174">
    <w:p w14:paraId="7C4E392C" w14:textId="77777777" w:rsidR="00E0703B" w:rsidRPr="00785D06" w:rsidRDefault="00E0703B" w:rsidP="00C254BF">
      <w:pPr>
        <w:pStyle w:val="Textonotapie"/>
        <w:jc w:val="both"/>
        <w:rPr>
          <w:i/>
          <w:lang w:val="en-US" w:bidi="es-ES"/>
        </w:rPr>
      </w:pPr>
      <w:r w:rsidRPr="00785D06">
        <w:rPr>
          <w:rStyle w:val="Refdenotaalpie"/>
          <w:lang w:val="en-US"/>
        </w:rPr>
        <w:footnoteRef/>
      </w:r>
      <w:r w:rsidRPr="00785D06">
        <w:rPr>
          <w:lang w:val="en-US"/>
        </w:rPr>
        <w:t xml:space="preserve"> </w:t>
      </w:r>
      <w:r w:rsidRPr="00785D06">
        <w:rPr>
          <w:lang w:val="en-US"/>
        </w:rPr>
        <w:tab/>
      </w:r>
      <w:r w:rsidRPr="00785D06">
        <w:rPr>
          <w:i/>
          <w:lang w:val="en-US" w:bidi="es-ES"/>
        </w:rPr>
        <w:t>Cf. Case of Fernández Ortega et al. v. Mexico</w:t>
      </w:r>
      <w:r w:rsidRPr="00785D06">
        <w:rPr>
          <w:lang w:val="en-US" w:bidi="es-ES"/>
        </w:rPr>
        <w:t>, para.</w:t>
      </w:r>
      <w:r w:rsidRPr="00785D06">
        <w:rPr>
          <w:rFonts w:eastAsia="Times New Roman"/>
          <w:lang w:val="en-US" w:eastAsia="es-ES" w:bidi="es-ES"/>
        </w:rPr>
        <w:t xml:space="preserve"> </w:t>
      </w:r>
      <w:r w:rsidRPr="00785D06">
        <w:rPr>
          <w:lang w:val="en-US" w:bidi="es-ES"/>
        </w:rPr>
        <w:t xml:space="preserve">193, and </w:t>
      </w:r>
      <w:r w:rsidRPr="00785D06">
        <w:rPr>
          <w:i/>
          <w:lang w:val="en-US"/>
        </w:rPr>
        <w:t>Case of the Women Victims of Sexual Torture in Atenco v. Mexico</w:t>
      </w:r>
      <w:r w:rsidRPr="00785D06">
        <w:rPr>
          <w:lang w:val="en-US"/>
        </w:rPr>
        <w:t>, para. 270.</w:t>
      </w:r>
    </w:p>
    <w:p w14:paraId="5FF45581" w14:textId="77777777" w:rsidR="00E0703B" w:rsidRPr="00785D06" w:rsidRDefault="00E0703B" w:rsidP="00C254BF">
      <w:pPr>
        <w:pStyle w:val="Textonotapie"/>
        <w:jc w:val="both"/>
        <w:rPr>
          <w:i/>
          <w:lang w:val="en-US" w:bidi="es-ES"/>
        </w:rPr>
      </w:pPr>
    </w:p>
  </w:footnote>
  <w:footnote w:id="175">
    <w:p w14:paraId="3B810DE8" w14:textId="77777777" w:rsidR="00E0703B" w:rsidRPr="00785D06" w:rsidRDefault="00E0703B" w:rsidP="00C254BF">
      <w:pPr>
        <w:pStyle w:val="Textonotapie"/>
        <w:jc w:val="both"/>
        <w:rPr>
          <w:lang w:val="en-US" w:bidi="es-ES"/>
        </w:rPr>
      </w:pPr>
      <w:r w:rsidRPr="00785D06">
        <w:rPr>
          <w:rStyle w:val="Refdenotaalpie"/>
          <w:lang w:val="en-US"/>
        </w:rPr>
        <w:footnoteRef/>
      </w:r>
      <w:r w:rsidRPr="00785D06">
        <w:rPr>
          <w:lang w:val="en-US"/>
        </w:rPr>
        <w:t xml:space="preserve"> </w:t>
      </w:r>
      <w:r w:rsidRPr="00785D06">
        <w:rPr>
          <w:lang w:val="en-US"/>
        </w:rPr>
        <w:tab/>
      </w:r>
      <w:r w:rsidRPr="00785D06">
        <w:rPr>
          <w:i/>
          <w:lang w:val="en-US" w:bidi="es-ES"/>
        </w:rPr>
        <w:t>Cf. Case of Fernández Ortega et al. v. Mexico</w:t>
      </w:r>
      <w:r w:rsidRPr="00785D06">
        <w:rPr>
          <w:lang w:val="en-US" w:bidi="es-ES"/>
        </w:rPr>
        <w:t>, para.</w:t>
      </w:r>
      <w:r w:rsidRPr="00785D06">
        <w:rPr>
          <w:rFonts w:eastAsia="Times New Roman"/>
          <w:lang w:val="en-US" w:eastAsia="es-ES" w:bidi="es-ES"/>
        </w:rPr>
        <w:t xml:space="preserve"> </w:t>
      </w:r>
      <w:r w:rsidRPr="00785D06">
        <w:rPr>
          <w:lang w:val="en-US" w:bidi="es-ES"/>
        </w:rPr>
        <w:t xml:space="preserve">193, and </w:t>
      </w:r>
      <w:r w:rsidRPr="00785D06">
        <w:rPr>
          <w:i/>
          <w:lang w:val="en-US" w:bidi="es-ES"/>
        </w:rPr>
        <w:t>Case of V.R.P., V.P.C. et al. v. Nicaragua</w:t>
      </w:r>
      <w:r w:rsidRPr="00785D06">
        <w:rPr>
          <w:lang w:val="en-US" w:bidi="es-ES"/>
        </w:rPr>
        <w:t>, para. 152.</w:t>
      </w:r>
    </w:p>
    <w:p w14:paraId="60FF412A" w14:textId="77777777" w:rsidR="00E0703B" w:rsidRPr="00785D06" w:rsidRDefault="00E0703B" w:rsidP="00C254BF">
      <w:pPr>
        <w:pStyle w:val="Textonotapie"/>
        <w:jc w:val="both"/>
        <w:rPr>
          <w:lang w:val="en-US"/>
        </w:rPr>
      </w:pPr>
    </w:p>
  </w:footnote>
  <w:footnote w:id="176">
    <w:p w14:paraId="3B73D7D4"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 Case of García Prieto et al. v. El Salvador. Preliminary objections, merits, reparations and costs</w:t>
      </w:r>
      <w:r w:rsidRPr="00785D06">
        <w:rPr>
          <w:lang w:val="en-US"/>
        </w:rPr>
        <w:t xml:space="preserve">. Judgment of November 20, 2007. Series C No. 168, para. 104, and </w:t>
      </w:r>
      <w:r w:rsidRPr="00785D06">
        <w:rPr>
          <w:i/>
          <w:lang w:val="en-US"/>
        </w:rPr>
        <w:t>Case of Véliz Franco et al. v. Guatemala</w:t>
      </w:r>
      <w:r w:rsidRPr="00785D06">
        <w:rPr>
          <w:lang w:val="en-US"/>
        </w:rPr>
        <w:t xml:space="preserve">, para. 184. </w:t>
      </w:r>
    </w:p>
    <w:p w14:paraId="662BA53F" w14:textId="77777777" w:rsidR="00E0703B" w:rsidRPr="00785D06" w:rsidRDefault="00E0703B" w:rsidP="00C254BF">
      <w:pPr>
        <w:pStyle w:val="Textonotapie"/>
        <w:jc w:val="both"/>
        <w:rPr>
          <w:lang w:val="en-US"/>
        </w:rPr>
      </w:pPr>
    </w:p>
  </w:footnote>
  <w:footnote w:id="177">
    <w:p w14:paraId="336F5BCC"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 Case of Hilaire, Constantine and Benjamin et al. v. Trinidad and Tobago</w:t>
      </w:r>
      <w:r w:rsidRPr="00785D06">
        <w:rPr>
          <w:lang w:val="en-US"/>
        </w:rPr>
        <w:t xml:space="preserve">. </w:t>
      </w:r>
      <w:r w:rsidRPr="00785D06">
        <w:rPr>
          <w:i/>
          <w:lang w:val="en-US"/>
        </w:rPr>
        <w:t>Merits, reparations and costs.</w:t>
      </w:r>
      <w:r w:rsidRPr="00785D06">
        <w:rPr>
          <w:lang w:val="en-US"/>
        </w:rPr>
        <w:t xml:space="preserve"> Judgment of June 21, 2002. Series C No. 94, para. 145, and </w:t>
      </w:r>
      <w:r w:rsidRPr="00785D06">
        <w:rPr>
          <w:i/>
          <w:lang w:val="en-US"/>
        </w:rPr>
        <w:t>Case of Noguera et al. v. Paraguay</w:t>
      </w:r>
      <w:r w:rsidRPr="00785D06">
        <w:rPr>
          <w:lang w:val="en-US"/>
        </w:rPr>
        <w:t>, para. 83.</w:t>
      </w:r>
    </w:p>
    <w:p w14:paraId="522168E4" w14:textId="77777777" w:rsidR="00E0703B" w:rsidRPr="00785D06" w:rsidRDefault="00E0703B" w:rsidP="00C254BF">
      <w:pPr>
        <w:pStyle w:val="Textonotapie"/>
        <w:jc w:val="both"/>
        <w:rPr>
          <w:lang w:val="en-US"/>
        </w:rPr>
      </w:pPr>
    </w:p>
  </w:footnote>
  <w:footnote w:id="178">
    <w:p w14:paraId="66C1CD1D" w14:textId="77777777" w:rsidR="00E0703B" w:rsidRPr="00785D06" w:rsidRDefault="00E0703B" w:rsidP="00C254BF">
      <w:pPr>
        <w:pStyle w:val="Textonotapie"/>
        <w:jc w:val="both"/>
        <w:rPr>
          <w:lang w:val="en-US"/>
        </w:rPr>
      </w:pPr>
      <w:r w:rsidRPr="00785D06">
        <w:rPr>
          <w:rStyle w:val="Refdenotaalpie"/>
          <w:rFonts w:eastAsia="MS ????"/>
          <w:spacing w:val="-2"/>
          <w:lang w:val="en-US"/>
        </w:rPr>
        <w:footnoteRef/>
      </w:r>
      <w:r w:rsidRPr="00785D06">
        <w:rPr>
          <w:spacing w:val="-2"/>
          <w:lang w:val="en-US"/>
        </w:rPr>
        <w:t xml:space="preserve"> </w:t>
      </w:r>
      <w:r w:rsidRPr="00785D06">
        <w:rPr>
          <w:spacing w:val="-2"/>
          <w:lang w:val="en-US"/>
        </w:rPr>
        <w:tab/>
      </w:r>
      <w:r w:rsidRPr="00785D06">
        <w:rPr>
          <w:i/>
          <w:iCs/>
          <w:spacing w:val="-2"/>
          <w:lang w:val="en-US"/>
        </w:rPr>
        <w:t xml:space="preserve">Cf. Case of </w:t>
      </w:r>
      <w:r w:rsidRPr="00785D06">
        <w:rPr>
          <w:i/>
          <w:lang w:val="en-US"/>
        </w:rPr>
        <w:t>Suárez</w:t>
      </w:r>
      <w:r w:rsidRPr="00785D06">
        <w:rPr>
          <w:i/>
          <w:iCs/>
          <w:spacing w:val="-2"/>
          <w:lang w:val="en-US"/>
        </w:rPr>
        <w:t xml:space="preserve"> Rosero v. Ecuador. Merits</w:t>
      </w:r>
      <w:r w:rsidRPr="00785D06">
        <w:rPr>
          <w:spacing w:val="-2"/>
          <w:lang w:val="en-US"/>
        </w:rPr>
        <w:t>. Judgment of November 12, 1997. Series C No. 35, para. 71</w:t>
      </w:r>
      <w:r w:rsidRPr="00785D06">
        <w:rPr>
          <w:lang w:val="en-US"/>
        </w:rPr>
        <w:t xml:space="preserve">, and </w:t>
      </w:r>
      <w:r w:rsidRPr="00785D06">
        <w:rPr>
          <w:i/>
          <w:lang w:val="en-US"/>
        </w:rPr>
        <w:t>Case Noguera et al. v. Paraguay</w:t>
      </w:r>
      <w:r w:rsidRPr="00785D06">
        <w:rPr>
          <w:lang w:val="en-US"/>
        </w:rPr>
        <w:t>, para. 83.</w:t>
      </w:r>
    </w:p>
    <w:p w14:paraId="33E6CD05" w14:textId="77777777" w:rsidR="00E0703B" w:rsidRPr="00785D06" w:rsidRDefault="00E0703B" w:rsidP="00C254BF">
      <w:pPr>
        <w:pStyle w:val="Textonotapie"/>
        <w:jc w:val="both"/>
        <w:rPr>
          <w:lang w:val="en-US"/>
        </w:rPr>
      </w:pPr>
    </w:p>
  </w:footnote>
  <w:footnote w:id="179">
    <w:p w14:paraId="3853F97B"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 Case of the Afro-descendant Communities Displaced from the Cacarica River Basin (Operation Genesis) v. Colombia</w:t>
      </w:r>
      <w:r w:rsidRPr="00785D06">
        <w:rPr>
          <w:lang w:val="en-US"/>
        </w:rPr>
        <w:t xml:space="preserve">. </w:t>
      </w:r>
      <w:r w:rsidRPr="00785D06">
        <w:rPr>
          <w:i/>
          <w:lang w:val="en-US"/>
        </w:rPr>
        <w:t>Preliminary objections, merits, reparations and costs</w:t>
      </w:r>
      <w:r w:rsidRPr="00785D06">
        <w:rPr>
          <w:lang w:val="en-US"/>
        </w:rPr>
        <w:t xml:space="preserve">. Judgment of November 20, 2013. Series C No. 270, para. 403, and </w:t>
      </w:r>
      <w:r w:rsidRPr="00785D06">
        <w:rPr>
          <w:i/>
          <w:lang w:val="en-US"/>
        </w:rPr>
        <w:t xml:space="preserve">Case of Carvajal Carvajal et al. v. Colombia, </w:t>
      </w:r>
      <w:r w:rsidRPr="00785D06">
        <w:rPr>
          <w:lang w:val="en-US"/>
        </w:rPr>
        <w:t xml:space="preserve">para. 106. </w:t>
      </w:r>
    </w:p>
    <w:p w14:paraId="0896B429" w14:textId="77777777" w:rsidR="00E0703B" w:rsidRPr="00785D06" w:rsidRDefault="00E0703B" w:rsidP="00C254BF">
      <w:pPr>
        <w:pStyle w:val="Textonotapie"/>
        <w:jc w:val="both"/>
        <w:rPr>
          <w:lang w:val="en-US"/>
        </w:rPr>
      </w:pPr>
    </w:p>
  </w:footnote>
  <w:footnote w:id="180">
    <w:p w14:paraId="188A3F85"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 Case of Genie Lacayo v. Nicaragua. Merits, reparations and costs.</w:t>
      </w:r>
      <w:r w:rsidRPr="00785D06">
        <w:rPr>
          <w:lang w:val="en-US"/>
        </w:rPr>
        <w:t xml:space="preserve"> Judgment of January 29, 1997. Series C No. 30, para. 77; </w:t>
      </w:r>
      <w:r w:rsidRPr="00785D06">
        <w:rPr>
          <w:i/>
          <w:lang w:val="en-US"/>
        </w:rPr>
        <w:t>Case Valle Jaramillo et al. v. Colombia. Merits, reparations and costs.</w:t>
      </w:r>
      <w:r w:rsidRPr="00785D06">
        <w:rPr>
          <w:lang w:val="en-US"/>
        </w:rPr>
        <w:t xml:space="preserve"> Judgment of November 27, 2008. Series C No. 192, para. 155, and </w:t>
      </w:r>
      <w:r w:rsidRPr="00785D06">
        <w:rPr>
          <w:i/>
          <w:lang w:val="en-US"/>
        </w:rPr>
        <w:t>Case of Noguera et al. v. Paraguay</w:t>
      </w:r>
      <w:r w:rsidRPr="00785D06">
        <w:rPr>
          <w:lang w:val="en-US"/>
        </w:rPr>
        <w:t>, para. 83.</w:t>
      </w:r>
    </w:p>
    <w:p w14:paraId="0AB394C1" w14:textId="77777777" w:rsidR="00E0703B" w:rsidRPr="00785D06" w:rsidRDefault="00E0703B" w:rsidP="00C254BF">
      <w:pPr>
        <w:pStyle w:val="Textonotapie"/>
        <w:jc w:val="both"/>
        <w:rPr>
          <w:lang w:val="en-US"/>
        </w:rPr>
      </w:pPr>
    </w:p>
  </w:footnote>
  <w:footnote w:id="181">
    <w:p w14:paraId="265E75E0"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 xml:space="preserve">Subsequent actions were related to the ruling on the appeals filed by the defendant, through his lawyer. </w:t>
      </w:r>
    </w:p>
    <w:p w14:paraId="10DCC9FA" w14:textId="77777777" w:rsidR="00E0703B" w:rsidRPr="00785D06" w:rsidRDefault="00E0703B" w:rsidP="00C254BF">
      <w:pPr>
        <w:pStyle w:val="Textonotapie"/>
        <w:jc w:val="both"/>
        <w:rPr>
          <w:lang w:val="en-US"/>
        </w:rPr>
      </w:pPr>
    </w:p>
  </w:footnote>
  <w:footnote w:id="182">
    <w:p w14:paraId="013D26C2"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 Case of Valle Jaramillo et al. v. Colombia</w:t>
      </w:r>
      <w:r w:rsidRPr="00785D06">
        <w:rPr>
          <w:lang w:val="en-US"/>
        </w:rPr>
        <w:t xml:space="preserve">, para. 155, and </w:t>
      </w:r>
      <w:r w:rsidRPr="00785D06">
        <w:rPr>
          <w:rFonts w:cstheme="minorBidi"/>
          <w:i/>
          <w:lang w:val="en-US"/>
        </w:rPr>
        <w:t>Case of Montesinos Mejía v. Ecuador</w:t>
      </w:r>
      <w:r w:rsidRPr="00785D06">
        <w:rPr>
          <w:rFonts w:cstheme="minorBidi"/>
          <w:lang w:val="en-US"/>
        </w:rPr>
        <w:t xml:space="preserve">, para. 187. </w:t>
      </w:r>
    </w:p>
    <w:p w14:paraId="22049707" w14:textId="77777777" w:rsidR="00E0703B" w:rsidRPr="00785D06" w:rsidRDefault="00E0703B" w:rsidP="00C254BF">
      <w:pPr>
        <w:pStyle w:val="Textonotapie"/>
        <w:jc w:val="both"/>
        <w:rPr>
          <w:lang w:val="en-US"/>
        </w:rPr>
      </w:pPr>
    </w:p>
  </w:footnote>
  <w:footnote w:id="183">
    <w:p w14:paraId="2522A403"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See the statements of the expert witness Ximena Cortés Castillo during the public hearing held on January 28, 2020 (</w:t>
      </w:r>
      <w:r w:rsidRPr="00785D06">
        <w:rPr>
          <w:i/>
          <w:lang w:val="en-US"/>
        </w:rPr>
        <w:t xml:space="preserve">supra </w:t>
      </w:r>
      <w:r w:rsidRPr="00785D06">
        <w:rPr>
          <w:lang w:val="en-US"/>
        </w:rPr>
        <w:t>para. 10).</w:t>
      </w:r>
    </w:p>
    <w:p w14:paraId="3CFADC79" w14:textId="77777777" w:rsidR="00E0703B" w:rsidRPr="00785D06" w:rsidRDefault="00E0703B" w:rsidP="00C254BF">
      <w:pPr>
        <w:pStyle w:val="Textonotapie"/>
        <w:jc w:val="both"/>
        <w:rPr>
          <w:lang w:val="en-US"/>
        </w:rPr>
      </w:pPr>
    </w:p>
  </w:footnote>
  <w:footnote w:id="184">
    <w:p w14:paraId="7EE8D3D3" w14:textId="77777777" w:rsidR="00E0703B" w:rsidRPr="00785D06" w:rsidRDefault="00E0703B" w:rsidP="00C254BF">
      <w:pPr>
        <w:pStyle w:val="Textonotapie"/>
        <w:jc w:val="both"/>
        <w:rPr>
          <w:lang w:val="en-US" w:bidi="es-ES"/>
        </w:rPr>
      </w:pPr>
      <w:r w:rsidRPr="00785D06">
        <w:rPr>
          <w:rStyle w:val="Refdenotaalpie"/>
          <w:lang w:val="en-US"/>
        </w:rPr>
        <w:footnoteRef/>
      </w:r>
      <w:r w:rsidRPr="00785D06">
        <w:rPr>
          <w:lang w:val="en-US"/>
        </w:rPr>
        <w:t xml:space="preserve"> </w:t>
      </w:r>
      <w:r w:rsidRPr="00785D06">
        <w:rPr>
          <w:lang w:val="en-US"/>
        </w:rPr>
        <w:tab/>
      </w:r>
      <w:r w:rsidRPr="00785D06">
        <w:rPr>
          <w:i/>
          <w:lang w:val="en-US" w:bidi="es-ES"/>
        </w:rPr>
        <w:t>Case of González et al. (“Cotton Field”) v. Mexico</w:t>
      </w:r>
      <w:r w:rsidRPr="00785D06">
        <w:rPr>
          <w:lang w:val="en-US" w:bidi="es-ES"/>
        </w:rPr>
        <w:t xml:space="preserve">, para. 401, and </w:t>
      </w:r>
      <w:r w:rsidRPr="00785D06">
        <w:rPr>
          <w:i/>
          <w:lang w:val="en-US"/>
        </w:rPr>
        <w:t>Case of the Women Victims of Sexual Torture in Atenco v. Mexico</w:t>
      </w:r>
      <w:r w:rsidRPr="00785D06">
        <w:rPr>
          <w:lang w:val="en-US"/>
        </w:rPr>
        <w:t>, para. 213.</w:t>
      </w:r>
    </w:p>
    <w:p w14:paraId="45134149" w14:textId="77777777" w:rsidR="00E0703B" w:rsidRPr="00785D06" w:rsidRDefault="00E0703B" w:rsidP="00C254BF">
      <w:pPr>
        <w:pStyle w:val="Textonotapie"/>
        <w:jc w:val="both"/>
        <w:rPr>
          <w:lang w:val="en-US" w:bidi="es-ES"/>
        </w:rPr>
      </w:pPr>
    </w:p>
  </w:footnote>
  <w:footnote w:id="185">
    <w:p w14:paraId="0EBC5C46" w14:textId="77777777" w:rsidR="00E0703B" w:rsidRPr="00785D06" w:rsidRDefault="00E0703B" w:rsidP="00C254BF">
      <w:pPr>
        <w:pStyle w:val="Textonotapie"/>
        <w:jc w:val="both"/>
        <w:rPr>
          <w:lang w:val="en-US" w:bidi="es-ES"/>
        </w:rPr>
      </w:pPr>
      <w:r w:rsidRPr="00785D06">
        <w:rPr>
          <w:rStyle w:val="Refdenotaalpie"/>
          <w:lang w:val="en-US"/>
        </w:rPr>
        <w:footnoteRef/>
      </w:r>
      <w:r w:rsidRPr="00785D06">
        <w:rPr>
          <w:lang w:val="en-US"/>
        </w:rPr>
        <w:t xml:space="preserve"> </w:t>
      </w:r>
      <w:r w:rsidRPr="00785D06">
        <w:rPr>
          <w:lang w:val="en-US"/>
        </w:rPr>
        <w:tab/>
      </w:r>
      <w:r w:rsidRPr="00785D06">
        <w:rPr>
          <w:i/>
          <w:lang w:val="en-US" w:bidi="es-ES"/>
        </w:rPr>
        <w:t xml:space="preserve">Cf. </w:t>
      </w:r>
      <w:r w:rsidRPr="00785D06">
        <w:rPr>
          <w:lang w:val="en-US" w:bidi="es-ES"/>
        </w:rPr>
        <w:t xml:space="preserve">CEDAW Committee, General Recommendation No. 33, </w:t>
      </w:r>
      <w:r w:rsidRPr="00785D06">
        <w:rPr>
          <w:i/>
          <w:lang w:val="en-US" w:bidi="es-ES"/>
        </w:rPr>
        <w:t>Women’s access to Justice</w:t>
      </w:r>
      <w:r w:rsidRPr="00785D06">
        <w:rPr>
          <w:lang w:val="en-US" w:bidi="es-ES"/>
        </w:rPr>
        <w:t>, August 3, 2015, Doc. CEDAW/C/GC/33, para. 26.</w:t>
      </w:r>
    </w:p>
    <w:p w14:paraId="6B2C993B" w14:textId="77777777" w:rsidR="00E0703B" w:rsidRPr="00785D06" w:rsidRDefault="00E0703B" w:rsidP="00C254BF">
      <w:pPr>
        <w:pStyle w:val="Textonotapie"/>
        <w:jc w:val="both"/>
        <w:rPr>
          <w:lang w:val="en-US" w:bidi="es-ES"/>
        </w:rPr>
      </w:pPr>
    </w:p>
  </w:footnote>
  <w:footnote w:id="186">
    <w:p w14:paraId="28FF684B"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 Case of Atala Riffo and girls v. Chile. Merits, reparations and costs</w:t>
      </w:r>
      <w:r w:rsidRPr="00785D06">
        <w:rPr>
          <w:lang w:val="en-US"/>
        </w:rPr>
        <w:t xml:space="preserve">. Judgment of February 24, 2012. Series C No. 239, para. 125, and </w:t>
      </w:r>
      <w:r w:rsidRPr="00785D06">
        <w:rPr>
          <w:rStyle w:val="Textoennegrita"/>
          <w:b w:val="0"/>
          <w:i/>
          <w:color w:val="000000"/>
          <w:shd w:val="clear" w:color="auto" w:fill="FFFFFF"/>
          <w:lang w:val="en-US"/>
        </w:rPr>
        <w:t>Case of López Soto et al. v. Venezuela</w:t>
      </w:r>
      <w:r w:rsidRPr="00785D06">
        <w:rPr>
          <w:lang w:val="en-US"/>
        </w:rPr>
        <w:t>, para. 231.</w:t>
      </w:r>
    </w:p>
    <w:p w14:paraId="6950C276" w14:textId="77777777" w:rsidR="00E0703B" w:rsidRPr="00785D06" w:rsidRDefault="00E0703B" w:rsidP="00C254BF">
      <w:pPr>
        <w:pStyle w:val="Textonotapie"/>
        <w:jc w:val="both"/>
        <w:rPr>
          <w:lang w:val="en-US"/>
        </w:rPr>
      </w:pPr>
    </w:p>
  </w:footnote>
  <w:footnote w:id="187">
    <w:p w14:paraId="5A411211"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 xml:space="preserve"> </w:t>
      </w:r>
      <w:r w:rsidRPr="00785D06">
        <w:rPr>
          <w:i/>
          <w:lang w:val="en-US"/>
        </w:rPr>
        <w:t>Cf. Case of Espinoza Gonzáles v. Peru. Preliminary objections, merits, reparations and costs.</w:t>
      </w:r>
      <w:r w:rsidRPr="00785D06">
        <w:rPr>
          <w:lang w:val="en-US"/>
        </w:rPr>
        <w:t xml:space="preserve"> Judgment of November 20, 2014. Series C No. 289, para. 218. The determination regarding Article 2 is based on the </w:t>
      </w:r>
      <w:r w:rsidRPr="00785D06">
        <w:rPr>
          <w:i/>
          <w:lang w:val="en-US"/>
        </w:rPr>
        <w:t>iura novit curia</w:t>
      </w:r>
      <w:r w:rsidRPr="00785D06">
        <w:rPr>
          <w:lang w:val="en-US"/>
        </w:rPr>
        <w:t xml:space="preserve"> principle, under which a court has the power and the duty to apply the juridical provisions relevant to a proceeding, even when the parties do not expressly invoke them (</w:t>
      </w:r>
      <w:r w:rsidRPr="00785D06">
        <w:rPr>
          <w:i/>
          <w:lang w:val="en-US"/>
        </w:rPr>
        <w:t>Cf. Case of Velásquez Rodríguez v. Honduras. Merits, para.</w:t>
      </w:r>
      <w:r w:rsidRPr="00785D06">
        <w:rPr>
          <w:lang w:val="en-US"/>
        </w:rPr>
        <w:t xml:space="preserve"> 163, and </w:t>
      </w:r>
      <w:r w:rsidRPr="00785D06">
        <w:rPr>
          <w:i/>
          <w:lang w:val="en-US"/>
        </w:rPr>
        <w:t xml:space="preserve">Case of the </w:t>
      </w:r>
      <w:r w:rsidRPr="00785D06">
        <w:rPr>
          <w:rFonts w:cs="Arial"/>
          <w:bCs/>
          <w:i/>
          <w:color w:val="222222"/>
          <w:shd w:val="clear" w:color="auto" w:fill="FFFFFF"/>
          <w:lang w:val="en-US"/>
        </w:rPr>
        <w:t>Indigenous Communities Members</w:t>
      </w:r>
      <w:r w:rsidRPr="00785D06">
        <w:rPr>
          <w:rFonts w:cs="Arial"/>
          <w:i/>
          <w:color w:val="222222"/>
          <w:shd w:val="clear" w:color="auto" w:fill="FFFFFF"/>
          <w:lang w:val="en-US"/>
        </w:rPr>
        <w:t> of the </w:t>
      </w:r>
      <w:r w:rsidRPr="00785D06">
        <w:rPr>
          <w:rFonts w:cs="Arial"/>
          <w:bCs/>
          <w:i/>
          <w:color w:val="222222"/>
          <w:shd w:val="clear" w:color="auto" w:fill="FFFFFF"/>
          <w:lang w:val="en-US"/>
        </w:rPr>
        <w:t>Lhaka Honhat Association</w:t>
      </w:r>
      <w:r w:rsidRPr="00785D06">
        <w:rPr>
          <w:rFonts w:ascii="Arial" w:hAnsi="Arial" w:cs="Arial"/>
          <w:b/>
          <w:bCs/>
          <w:color w:val="222222"/>
          <w:shd w:val="clear" w:color="auto" w:fill="FFFFFF"/>
          <w:lang w:val="en-US"/>
        </w:rPr>
        <w:t> </w:t>
      </w:r>
      <w:r w:rsidRPr="00785D06">
        <w:rPr>
          <w:i/>
          <w:lang w:val="en-US"/>
        </w:rPr>
        <w:t>(Nuestra Tierra) v. Argentina. Merits, reparations and costs</w:t>
      </w:r>
      <w:r w:rsidRPr="00785D06">
        <w:rPr>
          <w:lang w:val="en-US"/>
        </w:rPr>
        <w:t>. Judgment of February 6, 2020. Series C No. 400, para. 200)</w:t>
      </w:r>
      <w:r w:rsidRPr="00785D06">
        <w:rPr>
          <w:i/>
          <w:lang w:val="en-US"/>
        </w:rPr>
        <w:t>.</w:t>
      </w:r>
    </w:p>
    <w:p w14:paraId="0D5EF0EB" w14:textId="77777777" w:rsidR="00E0703B" w:rsidRPr="00785D06" w:rsidRDefault="00E0703B" w:rsidP="00C254BF">
      <w:pPr>
        <w:pStyle w:val="Textonotapie"/>
        <w:ind w:firstLine="708"/>
        <w:jc w:val="both"/>
        <w:rPr>
          <w:lang w:val="en-US"/>
        </w:rPr>
      </w:pPr>
    </w:p>
  </w:footnote>
  <w:footnote w:id="188">
    <w:p w14:paraId="0E4D1994"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 xml:space="preserve">They appear to argue, at least from a legal perspective, that Mrs. Albarracín could have continued taking action, but was prevented from doing so because she had reached “breaking point.” </w:t>
      </w:r>
    </w:p>
    <w:p w14:paraId="3EDAEAB4" w14:textId="77777777" w:rsidR="00E0703B" w:rsidRPr="00785D06" w:rsidRDefault="00E0703B" w:rsidP="00C254BF">
      <w:pPr>
        <w:pStyle w:val="Textonotapie"/>
        <w:jc w:val="both"/>
        <w:rPr>
          <w:lang w:val="en-US"/>
        </w:rPr>
      </w:pPr>
    </w:p>
  </w:footnote>
  <w:footnote w:id="189">
    <w:p w14:paraId="6F6ACE1C"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The Court notes that there is no record that Denisse Albarracín, Paola’s sister, participated directly in the judicial or administrative proceedings. However, it is clear that the actions taken by her mother were aimed at protecting the legal interests of both of them as family members of Paola. (</w:t>
      </w:r>
      <w:r w:rsidRPr="00785D06">
        <w:rPr>
          <w:i/>
          <w:lang w:val="en-US"/>
        </w:rPr>
        <w:t>Cf.</w:t>
      </w:r>
      <w:r w:rsidRPr="00785D06">
        <w:rPr>
          <w:lang w:val="en-US"/>
        </w:rPr>
        <w:t xml:space="preserve"> </w:t>
      </w:r>
      <w:r w:rsidRPr="00785D06">
        <w:rPr>
          <w:i/>
          <w:lang w:val="en-US"/>
        </w:rPr>
        <w:t>Case of Coc Max et al. (Massacre of Xamán) v. Guatemala. Merits, reparations and costs.</w:t>
      </w:r>
      <w:r w:rsidRPr="00785D06">
        <w:rPr>
          <w:lang w:val="en-US"/>
        </w:rPr>
        <w:t xml:space="preserve"> Judgment of August 22, 2018. Series C No. 356, footnote 144, and </w:t>
      </w:r>
      <w:r w:rsidRPr="00785D06">
        <w:rPr>
          <w:rStyle w:val="Textoennegrita"/>
          <w:b w:val="0"/>
          <w:i/>
          <w:color w:val="000000"/>
          <w:shd w:val="clear" w:color="auto" w:fill="FFFFFF"/>
          <w:lang w:val="en-US"/>
        </w:rPr>
        <w:t>Case of the Indigenous Communities Members of the Lhaka Honhat Association (Nuestra Tierra) v. Argentina</w:t>
      </w:r>
      <w:r w:rsidRPr="00785D06">
        <w:rPr>
          <w:rStyle w:val="Textoennegrita"/>
          <w:b w:val="0"/>
          <w:color w:val="000000"/>
          <w:shd w:val="clear" w:color="auto" w:fill="FFFFFF"/>
          <w:lang w:val="en-US"/>
        </w:rPr>
        <w:t>, footnote 312</w:t>
      </w:r>
      <w:r w:rsidRPr="00785D06">
        <w:rPr>
          <w:lang w:val="en-US"/>
        </w:rPr>
        <w:t>).</w:t>
      </w:r>
    </w:p>
    <w:p w14:paraId="6F71F664" w14:textId="77777777" w:rsidR="00E0703B" w:rsidRPr="00785D06" w:rsidRDefault="00E0703B" w:rsidP="00C254BF">
      <w:pPr>
        <w:pStyle w:val="Textonotapie"/>
        <w:jc w:val="both"/>
        <w:rPr>
          <w:lang w:val="en-US"/>
        </w:rPr>
      </w:pPr>
    </w:p>
  </w:footnote>
  <w:footnote w:id="190">
    <w:p w14:paraId="02063BAA"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 Case of Castillo Páez v. Peru. Merits</w:t>
      </w:r>
      <w:r w:rsidRPr="00785D06">
        <w:rPr>
          <w:lang w:val="en-US"/>
        </w:rPr>
        <w:t xml:space="preserve">. Judgment of November 3, 1997. Series C No. 34, Fourth operative paragraph, and </w:t>
      </w:r>
      <w:r w:rsidRPr="00785D06">
        <w:rPr>
          <w:i/>
          <w:lang w:val="en-US"/>
        </w:rPr>
        <w:t xml:space="preserve">Case of Hernández v. Argentina. Preliminary objection, merits, reparations and costs. </w:t>
      </w:r>
      <w:r w:rsidRPr="00785D06">
        <w:rPr>
          <w:lang w:val="en-US"/>
        </w:rPr>
        <w:t>Judgment of November 22, 2019. Series C No. 395, para. 148.</w:t>
      </w:r>
    </w:p>
    <w:p w14:paraId="442B9A6F" w14:textId="77777777" w:rsidR="00E0703B" w:rsidRPr="00785D06" w:rsidRDefault="00E0703B" w:rsidP="00C254BF">
      <w:pPr>
        <w:pStyle w:val="Textonotapie"/>
        <w:jc w:val="both"/>
        <w:rPr>
          <w:lang w:val="en-US"/>
        </w:rPr>
      </w:pPr>
    </w:p>
  </w:footnote>
  <w:footnote w:id="191">
    <w:p w14:paraId="57D07E93"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 Case of Gudiel Álvarez et al. (Diario Militar) v. Guatemala. Merits, reparations and costs</w:t>
      </w:r>
      <w:r w:rsidRPr="00785D06">
        <w:rPr>
          <w:lang w:val="en-US"/>
        </w:rPr>
        <w:t xml:space="preserve">. Judgment of November 20, 2012 Series C No. 253, para. 286; </w:t>
      </w:r>
      <w:r w:rsidRPr="00785D06">
        <w:rPr>
          <w:i/>
          <w:lang w:val="en-US"/>
        </w:rPr>
        <w:t>Case of Osorio Rivera and Family v. Peru. Preliminary objections, merits, reparations and costs</w:t>
      </w:r>
      <w:r w:rsidRPr="00785D06">
        <w:rPr>
          <w:lang w:val="en-US"/>
        </w:rPr>
        <w:t xml:space="preserve">. Judgment of November 26, 2013. Series C No. 274, para. 227, and </w:t>
      </w:r>
      <w:r w:rsidRPr="00785D06">
        <w:rPr>
          <w:i/>
          <w:lang w:val="en-US"/>
        </w:rPr>
        <w:t>Case of the Women Victims of Sexual Torture in Atenco v. Mexico</w:t>
      </w:r>
      <w:r w:rsidRPr="00785D06">
        <w:rPr>
          <w:lang w:val="en-US"/>
        </w:rPr>
        <w:t>, para. 320.</w:t>
      </w:r>
    </w:p>
    <w:p w14:paraId="7494AD9B" w14:textId="77777777" w:rsidR="00E0703B" w:rsidRPr="00785D06" w:rsidRDefault="00E0703B" w:rsidP="00C254BF">
      <w:pPr>
        <w:pStyle w:val="Textonotapie"/>
        <w:jc w:val="both"/>
        <w:rPr>
          <w:lang w:val="en-US"/>
        </w:rPr>
      </w:pPr>
    </w:p>
  </w:footnote>
  <w:footnote w:id="192">
    <w:p w14:paraId="06D51C35"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 Case of Valle Jaramillo et al. v. Colombia</w:t>
      </w:r>
      <w:r w:rsidRPr="00785D06">
        <w:rPr>
          <w:lang w:val="en-US"/>
        </w:rPr>
        <w:t xml:space="preserve">, para. 119, and </w:t>
      </w:r>
      <w:r w:rsidRPr="00785D06">
        <w:rPr>
          <w:i/>
          <w:lang w:val="en-US"/>
        </w:rPr>
        <w:t>Case of the Women Victims of Sexual Torture in Atenco v. Mexico</w:t>
      </w:r>
      <w:r w:rsidRPr="00785D06">
        <w:rPr>
          <w:lang w:val="en-US"/>
        </w:rPr>
        <w:t>, para. 320.</w:t>
      </w:r>
    </w:p>
    <w:p w14:paraId="38A7CB56" w14:textId="77777777" w:rsidR="00E0703B" w:rsidRPr="00785D06" w:rsidRDefault="00E0703B" w:rsidP="00C254BF">
      <w:pPr>
        <w:pStyle w:val="Textonotapie"/>
        <w:jc w:val="both"/>
        <w:rPr>
          <w:lang w:val="en-US"/>
        </w:rPr>
      </w:pPr>
    </w:p>
  </w:footnote>
  <w:footnote w:id="193">
    <w:p w14:paraId="183070EB"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 Case of Blake v. Guatemala. Merits</w:t>
      </w:r>
      <w:r w:rsidRPr="00785D06">
        <w:rPr>
          <w:lang w:val="en-US"/>
        </w:rPr>
        <w:t xml:space="preserve">. Judgment of January 24, 1998. Series C No. 36, para. 114, and </w:t>
      </w:r>
      <w:r w:rsidRPr="00785D06">
        <w:rPr>
          <w:i/>
          <w:lang w:val="en-US"/>
        </w:rPr>
        <w:t>Case Hernández v. Argentina</w:t>
      </w:r>
      <w:r w:rsidRPr="00785D06">
        <w:rPr>
          <w:lang w:val="en-US"/>
        </w:rPr>
        <w:t>, para. 148.</w:t>
      </w:r>
    </w:p>
    <w:p w14:paraId="1568B693" w14:textId="77777777" w:rsidR="00E0703B" w:rsidRPr="00785D06" w:rsidRDefault="00E0703B" w:rsidP="00C254BF">
      <w:pPr>
        <w:pStyle w:val="Textonotapie"/>
        <w:jc w:val="both"/>
        <w:rPr>
          <w:lang w:val="en-US"/>
        </w:rPr>
      </w:pPr>
    </w:p>
  </w:footnote>
  <w:footnote w:id="194">
    <w:p w14:paraId="6D30D8A7" w14:textId="77777777" w:rsidR="00E0703B" w:rsidRPr="00785D06" w:rsidRDefault="00E0703B" w:rsidP="00C254BF">
      <w:pPr>
        <w:pStyle w:val="Textonotapie"/>
        <w:jc w:val="both"/>
        <w:rPr>
          <w:b/>
          <w:lang w:val="en-US"/>
        </w:rPr>
      </w:pPr>
      <w:r w:rsidRPr="00785D06">
        <w:rPr>
          <w:rStyle w:val="Refdenotaalpie"/>
          <w:lang w:val="en-US"/>
        </w:rPr>
        <w:footnoteRef/>
      </w:r>
      <w:r w:rsidRPr="00785D06">
        <w:rPr>
          <w:lang w:val="en-US"/>
        </w:rPr>
        <w:t xml:space="preserve"> </w:t>
      </w:r>
      <w:r w:rsidRPr="00785D06">
        <w:rPr>
          <w:lang w:val="en-US"/>
        </w:rPr>
        <w:tab/>
        <w:t>At the public hearing held on January 28, 2020, the expert witness Ximena Cortés Castillo stated that because Mrs. Petita Albarracín had to “shoulder the enormity of the legal proceedings […] and had to dedicate herself to the case of her […] deceased daughter, she was co-opted away from her other daughter, damaging the mother-daughter bond with Denisse; thus, she lost not just one daughter, but two.”</w:t>
      </w:r>
    </w:p>
    <w:p w14:paraId="05F461CD" w14:textId="77777777" w:rsidR="00E0703B" w:rsidRPr="00785D06" w:rsidRDefault="00E0703B" w:rsidP="00C254BF">
      <w:pPr>
        <w:pStyle w:val="Textonotapie"/>
        <w:jc w:val="both"/>
        <w:rPr>
          <w:lang w:val="en-US"/>
        </w:rPr>
      </w:pPr>
    </w:p>
  </w:footnote>
  <w:footnote w:id="195">
    <w:p w14:paraId="0B58B4F1" w14:textId="77777777" w:rsidR="00E0703B" w:rsidRPr="00785D06" w:rsidRDefault="00E0703B" w:rsidP="00C254BF">
      <w:pPr>
        <w:pStyle w:val="Textonotapie"/>
        <w:jc w:val="both"/>
        <w:rPr>
          <w:b/>
          <w:lang w:val="en-US"/>
        </w:rPr>
      </w:pPr>
      <w:r w:rsidRPr="00785D06">
        <w:rPr>
          <w:rStyle w:val="Refdenotaalpie"/>
          <w:lang w:val="en-US"/>
        </w:rPr>
        <w:footnoteRef/>
      </w:r>
      <w:r w:rsidRPr="00785D06">
        <w:rPr>
          <w:lang w:val="en-US"/>
        </w:rPr>
        <w:t xml:space="preserve"> </w:t>
      </w:r>
      <w:r w:rsidRPr="00785D06">
        <w:rPr>
          <w:lang w:val="en-US"/>
        </w:rPr>
        <w:tab/>
        <w:t xml:space="preserve">In her expert opinion, Patricia Viseur Sellers held that “the inappropriate conduct of an autopsy may result in the violation of the right to psychological and mental health because the family may be left without answers or may see the mutilated body of a loved one.” </w:t>
      </w:r>
    </w:p>
    <w:p w14:paraId="65222F41" w14:textId="77777777" w:rsidR="00E0703B" w:rsidRPr="00785D06" w:rsidRDefault="00E0703B" w:rsidP="00C254BF">
      <w:pPr>
        <w:pStyle w:val="Textonotapie"/>
        <w:jc w:val="both"/>
        <w:rPr>
          <w:lang w:val="en-US"/>
        </w:rPr>
      </w:pPr>
    </w:p>
  </w:footnote>
  <w:footnote w:id="196">
    <w:p w14:paraId="6B7BC92C" w14:textId="77777777" w:rsidR="00E0703B" w:rsidRPr="00785D06" w:rsidRDefault="00E0703B" w:rsidP="00C254BF">
      <w:pPr>
        <w:pStyle w:val="Textonotapie"/>
        <w:jc w:val="both"/>
        <w:rPr>
          <w:b/>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Affidavit of Denisse Selena Guzmán Albarracín of January 17, 2020. </w:t>
      </w:r>
    </w:p>
    <w:p w14:paraId="06E180CB" w14:textId="77777777" w:rsidR="00E0703B" w:rsidRPr="00785D06" w:rsidRDefault="00E0703B" w:rsidP="00C254BF">
      <w:pPr>
        <w:pStyle w:val="Textonotapie"/>
        <w:jc w:val="both"/>
        <w:rPr>
          <w:lang w:val="en-US"/>
        </w:rPr>
      </w:pPr>
    </w:p>
  </w:footnote>
  <w:footnote w:id="197">
    <w:p w14:paraId="14169D20" w14:textId="77777777" w:rsidR="00E0703B" w:rsidRPr="00785D06" w:rsidRDefault="00E0703B" w:rsidP="00C254BF">
      <w:pPr>
        <w:jc w:val="both"/>
        <w:rPr>
          <w:rFonts w:eastAsia="Times New Roman" w:cs="Segoe UI"/>
          <w:b/>
          <w:bCs/>
          <w:color w:val="212121"/>
          <w:lang w:val="en-US" w:eastAsia="es-ES_tradnl"/>
        </w:rPr>
      </w:pPr>
      <w:r w:rsidRPr="00785D06">
        <w:rPr>
          <w:rStyle w:val="Refdenotaalpie"/>
          <w:lang w:val="en-US"/>
        </w:rPr>
        <w:footnoteRef/>
      </w:r>
      <w:r w:rsidRPr="00785D06">
        <w:rPr>
          <w:lang w:val="en-US"/>
        </w:rPr>
        <w:t xml:space="preserve"> </w:t>
      </w:r>
      <w:r w:rsidRPr="00785D06">
        <w:rPr>
          <w:lang w:val="en-US"/>
        </w:rPr>
        <w:tab/>
      </w:r>
      <w:r w:rsidRPr="00785D06">
        <w:rPr>
          <w:rFonts w:eastAsia="Times New Roman" w:cs="Segoe UI"/>
          <w:color w:val="212121"/>
          <w:lang w:val="en-US" w:eastAsia="es-ES_tradnl"/>
        </w:rPr>
        <w:t>In an interview with the expert witness Ximena Cortés, presented before the Commission, Mrs. Albarracín stated: “After my daughter’s death, life became worse because I had to deal with all the legal proceedings, so other people had to take care of Denisse. There was no one to help us.” She added “I still keep [Paola’s] uniform, her shoes, I kept her little school blouse with the smell of her scent […] I don’t want to throw it away because I want it here … it would be so wonderful if my daughter could be with me!”</w:t>
      </w:r>
    </w:p>
    <w:p w14:paraId="4296A300" w14:textId="77777777" w:rsidR="00E0703B" w:rsidRPr="00785D06" w:rsidRDefault="00E0703B" w:rsidP="00C254BF">
      <w:pPr>
        <w:jc w:val="both"/>
        <w:rPr>
          <w:lang w:val="en-US"/>
        </w:rPr>
      </w:pPr>
    </w:p>
  </w:footnote>
  <w:footnote w:id="198">
    <w:p w14:paraId="27F810B1" w14:textId="77777777" w:rsidR="00E0703B" w:rsidRPr="00785D06" w:rsidRDefault="00E0703B" w:rsidP="00C254BF">
      <w:pPr>
        <w:pStyle w:val="Textonotapie"/>
        <w:jc w:val="both"/>
        <w:rPr>
          <w:b/>
          <w:lang w:val="en-US"/>
        </w:rPr>
      </w:pPr>
      <w:r w:rsidRPr="00785D06">
        <w:rPr>
          <w:rStyle w:val="Refdenotaalpie"/>
          <w:lang w:val="en-US"/>
        </w:rPr>
        <w:footnoteRef/>
      </w:r>
      <w:r w:rsidRPr="00785D06">
        <w:rPr>
          <w:lang w:val="en-US"/>
        </w:rPr>
        <w:t xml:space="preserve"> </w:t>
      </w:r>
      <w:r w:rsidRPr="00785D06">
        <w:rPr>
          <w:lang w:val="en-US"/>
        </w:rPr>
        <w:tab/>
      </w:r>
      <w:r w:rsidRPr="00785D06">
        <w:rPr>
          <w:rFonts w:eastAsia="Times New Roman" w:cs="Segoe UI"/>
          <w:color w:val="212121"/>
          <w:lang w:val="en-US" w:eastAsia="es-ES_tradnl"/>
        </w:rPr>
        <w:t>The expert witness</w:t>
      </w:r>
      <w:r w:rsidRPr="00785D06">
        <w:rPr>
          <w:lang w:val="en-US"/>
        </w:rPr>
        <w:t xml:space="preserve"> Ximena Cortés Castillo explained that “unresolved grief refers to […] a process of loss that has not ended, has not concluded and has not been elaborated; pathological grief, or ongoing or unresolved grief persists in a person’s mind, so the departed loved one does not fully leave and [the person who mourns] cannot rearrange the roles or move beyond the memory of the being who has gone. It’s as if that person appears to live in their mind all the time and the person who suffers that grief, that is, the mother has to use mental energy to keep her alive.” </w:t>
      </w:r>
    </w:p>
    <w:p w14:paraId="72A51A08" w14:textId="77777777" w:rsidR="00E0703B" w:rsidRPr="00785D06" w:rsidRDefault="00E0703B" w:rsidP="00C254BF">
      <w:pPr>
        <w:pStyle w:val="Textonotapie"/>
        <w:jc w:val="both"/>
        <w:rPr>
          <w:lang w:val="en-US"/>
        </w:rPr>
      </w:pPr>
    </w:p>
  </w:footnote>
  <w:footnote w:id="199">
    <w:p w14:paraId="42E4ACE7" w14:textId="77777777" w:rsidR="00E0703B" w:rsidRPr="00785D06" w:rsidRDefault="00E0703B" w:rsidP="00C254BF">
      <w:pPr>
        <w:pStyle w:val="Textonotapie"/>
        <w:jc w:val="both"/>
        <w:rPr>
          <w:b/>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Statement of Denisse Selena Guzmán Albarracín before affidavit of January 17, 2020.</w:t>
      </w:r>
    </w:p>
    <w:p w14:paraId="59C9E778" w14:textId="77777777" w:rsidR="00E0703B" w:rsidRPr="00785D06" w:rsidRDefault="00E0703B" w:rsidP="00C254BF">
      <w:pPr>
        <w:pStyle w:val="Textonotapie"/>
        <w:jc w:val="both"/>
        <w:rPr>
          <w:lang w:val="en-US"/>
        </w:rPr>
      </w:pPr>
    </w:p>
  </w:footnote>
  <w:footnote w:id="200">
    <w:p w14:paraId="31C1C05C"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 Case of Velásquez Rodríguez v. Honduras. Reparations and costs</w:t>
      </w:r>
      <w:r w:rsidRPr="00785D06">
        <w:rPr>
          <w:lang w:val="en-US"/>
        </w:rPr>
        <w:t xml:space="preserve">. Judgment of July 21, 1989. Series C No. 7, para. 26, and </w:t>
      </w:r>
      <w:r w:rsidRPr="00785D06">
        <w:rPr>
          <w:i/>
          <w:lang w:val="en-US"/>
        </w:rPr>
        <w:t>Case of Azul Rojas Marín et al. v. Peru</w:t>
      </w:r>
      <w:r w:rsidRPr="00785D06">
        <w:rPr>
          <w:lang w:val="en-US"/>
        </w:rPr>
        <w:t>, para. 224.</w:t>
      </w:r>
    </w:p>
    <w:p w14:paraId="70FD541F" w14:textId="77777777" w:rsidR="00E0703B" w:rsidRPr="00785D06" w:rsidRDefault="00E0703B" w:rsidP="00C254BF">
      <w:pPr>
        <w:pStyle w:val="Textonotapie"/>
        <w:jc w:val="both"/>
        <w:rPr>
          <w:lang w:val="en-US"/>
        </w:rPr>
      </w:pPr>
    </w:p>
  </w:footnote>
  <w:footnote w:id="201">
    <w:p w14:paraId="41912D23" w14:textId="77777777" w:rsidR="00E0703B" w:rsidRPr="00785D06" w:rsidRDefault="00E0703B" w:rsidP="00C254BF">
      <w:pPr>
        <w:pStyle w:val="Textonotapie"/>
        <w:jc w:val="both"/>
        <w:rPr>
          <w:lang w:val="en-US"/>
        </w:rPr>
      </w:pPr>
      <w:r w:rsidRPr="00785D06">
        <w:rPr>
          <w:rStyle w:val="Refdenotaalpie"/>
          <w:lang w:val="en-US"/>
        </w:rPr>
        <w:footnoteRef/>
      </w:r>
      <w:r w:rsidRPr="00785D06">
        <w:rPr>
          <w:vertAlign w:val="superscript"/>
          <w:lang w:val="en-US"/>
        </w:rPr>
        <w:t xml:space="preserve"> </w:t>
      </w:r>
      <w:r w:rsidRPr="00785D06">
        <w:rPr>
          <w:lang w:val="en-US"/>
        </w:rPr>
        <w:tab/>
      </w:r>
      <w:r w:rsidRPr="00785D06">
        <w:rPr>
          <w:i/>
          <w:iCs/>
          <w:lang w:val="en-US"/>
        </w:rPr>
        <w:t>Cf. Case of Ticona Estrada et al. v. Bolivia. Merits, reparations and costs.</w:t>
      </w:r>
      <w:r w:rsidRPr="00785D06">
        <w:rPr>
          <w:lang w:val="en-US"/>
        </w:rPr>
        <w:t xml:space="preserve"> Judgment of November 27, 2008. Series C No. 191, para. 110, and </w:t>
      </w:r>
      <w:r w:rsidRPr="00785D06">
        <w:rPr>
          <w:i/>
          <w:lang w:val="en-US"/>
        </w:rPr>
        <w:t>Case of Azul Rojas Marín et al. v. Peru</w:t>
      </w:r>
      <w:r w:rsidRPr="00785D06">
        <w:rPr>
          <w:i/>
          <w:iCs/>
          <w:lang w:val="en-US"/>
        </w:rPr>
        <w:t xml:space="preserve">, </w:t>
      </w:r>
      <w:r w:rsidRPr="00785D06">
        <w:rPr>
          <w:lang w:val="en-US"/>
        </w:rPr>
        <w:t>para. 224.</w:t>
      </w:r>
    </w:p>
    <w:p w14:paraId="797D6590" w14:textId="77777777" w:rsidR="00E0703B" w:rsidRPr="00785D06" w:rsidRDefault="00E0703B" w:rsidP="00C254BF">
      <w:pPr>
        <w:pStyle w:val="Textonotapie"/>
        <w:jc w:val="both"/>
        <w:rPr>
          <w:rFonts w:eastAsia="MS Mincho"/>
          <w:lang w:val="en-US"/>
        </w:rPr>
      </w:pPr>
    </w:p>
  </w:footnote>
  <w:footnote w:id="202">
    <w:p w14:paraId="5AAE3AF3" w14:textId="77777777" w:rsidR="00E0703B" w:rsidRPr="00785D06" w:rsidRDefault="00E0703B" w:rsidP="00C254BF">
      <w:pPr>
        <w:widowControl w:val="0"/>
        <w:autoSpaceDE w:val="0"/>
        <w:autoSpaceDN w:val="0"/>
        <w:ind w:right="120"/>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iCs/>
          <w:lang w:val="en-US"/>
        </w:rPr>
        <w:t>Cf. Case of Velásquez Rodríguez v. Honduras. Reparations and costs</w:t>
      </w:r>
      <w:r w:rsidRPr="00785D06">
        <w:rPr>
          <w:lang w:val="en-US"/>
        </w:rPr>
        <w:t>, paras. 25 and 26</w:t>
      </w:r>
      <w:r w:rsidRPr="00785D06">
        <w:rPr>
          <w:rStyle w:val="Textoennegrita"/>
          <w:b w:val="0"/>
          <w:color w:val="000000"/>
          <w:shd w:val="clear" w:color="auto" w:fill="FFFFFF"/>
          <w:lang w:val="en-US"/>
        </w:rPr>
        <w:t>,</w:t>
      </w:r>
      <w:r w:rsidRPr="00785D06">
        <w:rPr>
          <w:lang w:val="en-US"/>
        </w:rPr>
        <w:t xml:space="preserve"> and </w:t>
      </w:r>
      <w:r w:rsidRPr="00785D06">
        <w:rPr>
          <w:i/>
          <w:lang w:val="en-US"/>
        </w:rPr>
        <w:t>Case of Azul Rojas Marín et al. v. Peru</w:t>
      </w:r>
      <w:r w:rsidRPr="00785D06">
        <w:rPr>
          <w:lang w:val="en-US"/>
        </w:rPr>
        <w:t>, para. 225.</w:t>
      </w:r>
    </w:p>
    <w:p w14:paraId="69185D02" w14:textId="77777777" w:rsidR="00E0703B" w:rsidRPr="00785D06" w:rsidRDefault="00E0703B" w:rsidP="00C254BF">
      <w:pPr>
        <w:widowControl w:val="0"/>
        <w:autoSpaceDE w:val="0"/>
        <w:autoSpaceDN w:val="0"/>
        <w:ind w:right="120"/>
        <w:jc w:val="both"/>
        <w:rPr>
          <w:lang w:val="en-US"/>
        </w:rPr>
      </w:pPr>
    </w:p>
  </w:footnote>
  <w:footnote w:id="203">
    <w:p w14:paraId="66B502AC" w14:textId="77777777" w:rsidR="00E0703B" w:rsidRPr="00785D06" w:rsidRDefault="00E0703B" w:rsidP="00C254BF">
      <w:pPr>
        <w:pStyle w:val="Textonotapie"/>
        <w:jc w:val="both"/>
        <w:rPr>
          <w:lang w:val="en-US" w:eastAsia="es-ES_tradnl"/>
        </w:rPr>
      </w:pPr>
      <w:r w:rsidRPr="00785D06">
        <w:rPr>
          <w:rStyle w:val="Refdenotaalpie"/>
          <w:lang w:val="en-US"/>
        </w:rPr>
        <w:footnoteRef/>
      </w:r>
      <w:r w:rsidRPr="00785D06">
        <w:rPr>
          <w:lang w:val="en-US"/>
        </w:rPr>
        <w:t xml:space="preserve"> </w:t>
      </w:r>
      <w:r w:rsidRPr="00785D06">
        <w:rPr>
          <w:lang w:val="en-US"/>
        </w:rPr>
        <w:tab/>
      </w:r>
      <w:r w:rsidRPr="00785D06">
        <w:rPr>
          <w:i/>
          <w:iCs/>
          <w:lang w:val="en-US" w:eastAsia="es-ES_tradnl"/>
        </w:rPr>
        <w:t xml:space="preserve">Cf. Case of Barrios Altos v. Peru. Reparations and Costs. </w:t>
      </w:r>
      <w:r w:rsidRPr="00785D06">
        <w:rPr>
          <w:lang w:val="en-US" w:eastAsia="es-ES_tradnl"/>
        </w:rPr>
        <w:t xml:space="preserve">Judgment of November 30, 2001. Series C No. 87, para. 42 and 45, and </w:t>
      </w:r>
      <w:r w:rsidRPr="00785D06">
        <w:rPr>
          <w:i/>
          <w:lang w:val="en-US" w:eastAsia="es-ES_tradnl"/>
        </w:rPr>
        <w:t>Case of Azul Rojas Marín et al. v. Peru</w:t>
      </w:r>
      <w:r w:rsidRPr="00785D06">
        <w:rPr>
          <w:lang w:val="en-US" w:eastAsia="es-ES_tradnl"/>
        </w:rPr>
        <w:t>, para. 236.</w:t>
      </w:r>
    </w:p>
    <w:p w14:paraId="49345E5F" w14:textId="77777777" w:rsidR="00E0703B" w:rsidRPr="00785D06" w:rsidRDefault="00E0703B" w:rsidP="00C254BF">
      <w:pPr>
        <w:pStyle w:val="Textonotapie"/>
        <w:jc w:val="both"/>
        <w:rPr>
          <w:lang w:val="en-US"/>
        </w:rPr>
      </w:pPr>
    </w:p>
  </w:footnote>
  <w:footnote w:id="204">
    <w:p w14:paraId="79152CD6" w14:textId="77777777" w:rsidR="00E0703B" w:rsidRPr="00785D06" w:rsidRDefault="00E0703B" w:rsidP="00C254BF">
      <w:pPr>
        <w:pStyle w:val="NormalWeb"/>
        <w:spacing w:before="0" w:beforeAutospacing="0" w:after="0" w:afterAutospacing="0"/>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Also, the </w:t>
      </w:r>
      <w:r w:rsidRPr="00785D06">
        <w:rPr>
          <w:i/>
          <w:iCs/>
          <w:lang w:val="en-US"/>
        </w:rPr>
        <w:t xml:space="preserve">Case of Rosendo Cantú et al. v. Mexico, </w:t>
      </w:r>
      <w:r w:rsidRPr="00785D06">
        <w:rPr>
          <w:lang w:val="en-US"/>
        </w:rPr>
        <w:t xml:space="preserve">para. 253, and </w:t>
      </w:r>
      <w:r w:rsidRPr="00785D06">
        <w:rPr>
          <w:rStyle w:val="Textoennegrita"/>
          <w:b w:val="0"/>
          <w:i/>
          <w:color w:val="000000"/>
          <w:shd w:val="clear" w:color="auto" w:fill="FFFFFF"/>
          <w:lang w:val="en-US"/>
        </w:rPr>
        <w:t>Case of Azul Rojas Marín et al. v. Peru</w:t>
      </w:r>
      <w:r w:rsidRPr="00785D06">
        <w:rPr>
          <w:iCs/>
          <w:lang w:val="en-US"/>
        </w:rPr>
        <w:t>, para.</w:t>
      </w:r>
      <w:r w:rsidRPr="00785D06">
        <w:rPr>
          <w:lang w:val="en-US"/>
        </w:rPr>
        <w:t xml:space="preserve"> 237.</w:t>
      </w:r>
    </w:p>
    <w:p w14:paraId="3C661523" w14:textId="77777777" w:rsidR="00E0703B" w:rsidRPr="00785D06" w:rsidRDefault="00E0703B" w:rsidP="00C254BF">
      <w:pPr>
        <w:pStyle w:val="Textonotapie"/>
        <w:jc w:val="both"/>
        <w:rPr>
          <w:lang w:val="en-US"/>
        </w:rPr>
      </w:pPr>
    </w:p>
  </w:footnote>
  <w:footnote w:id="205">
    <w:p w14:paraId="3345C23F" w14:textId="77777777" w:rsidR="00E0703B" w:rsidRPr="00785D06" w:rsidRDefault="00E0703B" w:rsidP="00C254BF">
      <w:pPr>
        <w:pStyle w:val="Textonotapie"/>
        <w:tabs>
          <w:tab w:val="left" w:pos="540"/>
        </w:tabs>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iCs/>
          <w:lang w:val="en-US"/>
        </w:rPr>
        <w:t xml:space="preserve">Cf. Case of Cantoral Benavides v. Peru. Reparations and costs, </w:t>
      </w:r>
      <w:r w:rsidRPr="00785D06">
        <w:rPr>
          <w:lang w:val="en-US"/>
        </w:rPr>
        <w:t xml:space="preserve">para. 79, and </w:t>
      </w:r>
      <w:r w:rsidRPr="00785D06">
        <w:rPr>
          <w:i/>
          <w:iCs/>
          <w:lang w:val="en-US"/>
        </w:rPr>
        <w:t>Case of Azul Rojas Marín et al. v. Peru</w:t>
      </w:r>
      <w:r w:rsidRPr="00785D06">
        <w:rPr>
          <w:lang w:val="en-US"/>
        </w:rPr>
        <w:t>, para. 231.</w:t>
      </w:r>
    </w:p>
    <w:p w14:paraId="1639BF42" w14:textId="77777777" w:rsidR="00E0703B" w:rsidRPr="00785D06" w:rsidRDefault="00E0703B" w:rsidP="00C254BF">
      <w:pPr>
        <w:pStyle w:val="Textonotapie"/>
        <w:tabs>
          <w:tab w:val="left" w:pos="540"/>
        </w:tabs>
        <w:jc w:val="both"/>
        <w:rPr>
          <w:rFonts w:eastAsia="Times New Roman"/>
          <w:lang w:val="en-US"/>
        </w:rPr>
      </w:pPr>
    </w:p>
  </w:footnote>
  <w:footnote w:id="206">
    <w:p w14:paraId="406B0EAF"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 xml:space="preserve">Cf. Case of Radilla Pacheco v. Mexico. Preliminary objections, merits, reparations and costs. </w:t>
      </w:r>
      <w:r w:rsidRPr="00785D06">
        <w:rPr>
          <w:lang w:val="en-US"/>
        </w:rPr>
        <w:t xml:space="preserve">Judgment of November 23, 2009. Series C No. 209, para. 353, and </w:t>
      </w:r>
      <w:r w:rsidRPr="00785D06">
        <w:rPr>
          <w:i/>
          <w:lang w:val="en-US"/>
        </w:rPr>
        <w:t>Case of Azul Rojas Marín et al. v. Peru</w:t>
      </w:r>
      <w:r w:rsidRPr="00785D06">
        <w:rPr>
          <w:lang w:val="en-US"/>
        </w:rPr>
        <w:t>, para. 234.</w:t>
      </w:r>
    </w:p>
    <w:p w14:paraId="661F22E4" w14:textId="77777777" w:rsidR="00E0703B" w:rsidRPr="00785D06" w:rsidRDefault="00E0703B" w:rsidP="00C254BF">
      <w:pPr>
        <w:pStyle w:val="Textonotapie"/>
        <w:jc w:val="both"/>
        <w:rPr>
          <w:lang w:val="en-US"/>
        </w:rPr>
      </w:pPr>
    </w:p>
  </w:footnote>
  <w:footnote w:id="207">
    <w:p w14:paraId="538A846E" w14:textId="77777777" w:rsidR="00E0703B" w:rsidRPr="00785D06" w:rsidRDefault="00E0703B" w:rsidP="00C254BF">
      <w:pPr>
        <w:pStyle w:val="Textonotapie"/>
        <w:jc w:val="both"/>
        <w:rPr>
          <w:iCs/>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 for example, Case of the Miguel Castro-Castro Prison v. Peru</w:t>
      </w:r>
      <w:r w:rsidRPr="00785D06">
        <w:rPr>
          <w:rStyle w:val="Textoennegrita"/>
          <w:b w:val="0"/>
          <w:color w:val="000000"/>
          <w:shd w:val="clear" w:color="auto" w:fill="FFFFFF"/>
          <w:lang w:val="en-US"/>
        </w:rPr>
        <w:t>,</w:t>
      </w:r>
      <w:r w:rsidRPr="00785D06">
        <w:rPr>
          <w:iCs/>
          <w:lang w:val="en-US"/>
        </w:rPr>
        <w:t xml:space="preserve"> para. 445</w:t>
      </w:r>
      <w:r w:rsidRPr="00785D06">
        <w:rPr>
          <w:i/>
          <w:lang w:val="en-US"/>
        </w:rPr>
        <w:t xml:space="preserve">, and </w:t>
      </w:r>
      <w:r w:rsidRPr="00785D06">
        <w:rPr>
          <w:rStyle w:val="Textoennegrita"/>
          <w:b w:val="0"/>
          <w:i/>
          <w:color w:val="000000"/>
          <w:shd w:val="clear" w:color="auto" w:fill="FFFFFF"/>
          <w:lang w:val="en-US"/>
        </w:rPr>
        <w:t>Case of Azul Rojas Marín et al. v. Peru</w:t>
      </w:r>
      <w:r w:rsidRPr="00785D06">
        <w:rPr>
          <w:i/>
          <w:lang w:val="en-US"/>
        </w:rPr>
        <w:t xml:space="preserve">, </w:t>
      </w:r>
      <w:r w:rsidRPr="00785D06">
        <w:rPr>
          <w:iCs/>
          <w:lang w:val="en-US"/>
        </w:rPr>
        <w:t>para. 234.</w:t>
      </w:r>
    </w:p>
    <w:p w14:paraId="0407569E" w14:textId="77777777" w:rsidR="00E0703B" w:rsidRPr="00785D06" w:rsidRDefault="00E0703B" w:rsidP="00C254BF">
      <w:pPr>
        <w:pStyle w:val="Textonotapie"/>
        <w:jc w:val="both"/>
        <w:rPr>
          <w:lang w:val="en-US"/>
        </w:rPr>
      </w:pPr>
    </w:p>
  </w:footnote>
  <w:footnote w:id="208">
    <w:p w14:paraId="28929908" w14:textId="77777777" w:rsidR="00E0703B" w:rsidRPr="00785D06" w:rsidRDefault="00E0703B" w:rsidP="00C254BF">
      <w:pPr>
        <w:widowControl w:val="0"/>
        <w:tabs>
          <w:tab w:val="left" w:pos="633"/>
        </w:tabs>
        <w:autoSpaceDE w:val="0"/>
        <w:autoSpaceDN w:val="0"/>
        <w:ind w:right="117"/>
        <w:jc w:val="both"/>
        <w:rPr>
          <w:rFonts w:eastAsia="Times New Roman"/>
          <w:b/>
          <w:lang w:val="en-US" w:eastAsia="es-ES" w:bidi="es-ES"/>
        </w:rPr>
      </w:pPr>
      <w:r w:rsidRPr="00785D06">
        <w:rPr>
          <w:rStyle w:val="Refdenotaalpie"/>
          <w:lang w:val="en-US"/>
        </w:rPr>
        <w:footnoteRef/>
      </w:r>
      <w:r w:rsidRPr="00785D06">
        <w:rPr>
          <w:lang w:val="en-US"/>
        </w:rPr>
        <w:t xml:space="preserve"> </w:t>
      </w:r>
      <w:r w:rsidRPr="00785D06">
        <w:rPr>
          <w:lang w:val="en-US"/>
        </w:rPr>
        <w:tab/>
        <w:t xml:space="preserve">They considered </w:t>
      </w:r>
      <w:r w:rsidRPr="00785D06">
        <w:rPr>
          <w:rFonts w:eastAsia="Times New Roman"/>
          <w:lang w:val="en-US" w:eastAsia="es-ES" w:bidi="es-ES"/>
        </w:rPr>
        <w:t xml:space="preserve">that these measures should ensure that health care provision for adolescent victims of sexual violence: i) is differentiated for adolescents with an emphasis on their sexual and reproductive health; ii) respects doctor-patient confidentiality during medical consultations; iii) includes counseling services on sexual and reproductive health, iv) guarantees immediate provision of emergency and prophylactic oral contraception for the prevention of </w:t>
      </w:r>
      <w:r w:rsidRPr="00785D06">
        <w:rPr>
          <w:rFonts w:cs="Arial"/>
          <w:color w:val="222222"/>
          <w:shd w:val="clear" w:color="auto" w:fill="FFFFFF"/>
          <w:lang w:val="en-US"/>
        </w:rPr>
        <w:t>human immunodeficiency virus</w:t>
      </w:r>
      <w:r w:rsidRPr="00785D06">
        <w:rPr>
          <w:rFonts w:eastAsia="Times New Roman"/>
          <w:lang w:val="en-US" w:eastAsia="es-ES" w:bidi="es-ES"/>
        </w:rPr>
        <w:t xml:space="preserve"> (HIV), as part of care for victims of sexual violence.</w:t>
      </w:r>
      <w:r w:rsidRPr="00785D06">
        <w:rPr>
          <w:rFonts w:eastAsia="Times New Roman"/>
          <w:b/>
          <w:lang w:val="en-US" w:eastAsia="es-ES" w:bidi="es-ES"/>
        </w:rPr>
        <w:t xml:space="preserve"> </w:t>
      </w:r>
    </w:p>
    <w:p w14:paraId="1B059323" w14:textId="77777777" w:rsidR="00E0703B" w:rsidRPr="00785D06" w:rsidRDefault="00E0703B" w:rsidP="00C254BF">
      <w:pPr>
        <w:pStyle w:val="Textonotapie"/>
        <w:jc w:val="both"/>
        <w:rPr>
          <w:lang w:val="en-US"/>
        </w:rPr>
      </w:pPr>
    </w:p>
  </w:footnote>
  <w:footnote w:id="209">
    <w:p w14:paraId="3FEA6747"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Ministry of Public Health, Undersecretary for the Promotion of Health and Equality, National Office of Human Rights, Gender and Inclusion, Official letter MSP-DNDHGI-2019-0033-0 of August 6, 2019.</w:t>
      </w:r>
    </w:p>
    <w:p w14:paraId="1E88E629" w14:textId="77777777" w:rsidR="00E0703B" w:rsidRPr="00785D06" w:rsidRDefault="00E0703B" w:rsidP="00C254BF">
      <w:pPr>
        <w:pStyle w:val="Textonotapie"/>
        <w:jc w:val="both"/>
        <w:rPr>
          <w:lang w:val="en-US"/>
        </w:rPr>
      </w:pPr>
    </w:p>
  </w:footnote>
  <w:footnote w:id="210">
    <w:p w14:paraId="04F284CC"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Ministry of Education, Undersecretary for Innovation in Education and Well-being. National Office of Education for Democracy and Well-being. Report on measures to prevent and eradicate sexual violence in schools, March 29, 2019 (evidence file, annex 59 to the answering brief, folios 7233 to 7298).</w:t>
      </w:r>
    </w:p>
    <w:p w14:paraId="66DD27AD" w14:textId="77777777" w:rsidR="00E0703B" w:rsidRPr="00785D06" w:rsidRDefault="00E0703B" w:rsidP="00C254BF">
      <w:pPr>
        <w:pStyle w:val="Textonotapie"/>
        <w:jc w:val="both"/>
        <w:rPr>
          <w:lang w:val="en-US"/>
        </w:rPr>
      </w:pPr>
    </w:p>
  </w:footnote>
  <w:footnote w:id="211">
    <w:p w14:paraId="4D480013"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Ministry of Public Health, Undersecretary for the Promotion of Health and Equality, National Office of Human Rights, Gender and Inclusion, Official letter MSP-DNDHGI-2019-0033-0 of August 6, 2019.</w:t>
      </w:r>
    </w:p>
    <w:p w14:paraId="5E37A5C7" w14:textId="77777777" w:rsidR="00E0703B" w:rsidRPr="00785D06" w:rsidRDefault="00E0703B" w:rsidP="00C254BF">
      <w:pPr>
        <w:pStyle w:val="Textonotapie"/>
        <w:jc w:val="both"/>
        <w:rPr>
          <w:lang w:val="en-US"/>
        </w:rPr>
      </w:pPr>
    </w:p>
  </w:footnote>
  <w:footnote w:id="212">
    <w:p w14:paraId="17DFAB12"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Manual on Comprehensive Sexual and Reproductive Health Care for disabled persons, for the National Health System, and Manual on Sexual and Reproductive Health Counseling, directed at “health professionals” (</w:t>
      </w:r>
      <w:r w:rsidRPr="00785D06">
        <w:rPr>
          <w:i/>
          <w:lang w:val="en-US"/>
        </w:rPr>
        <w:t>Cf.</w:t>
      </w:r>
      <w:r w:rsidRPr="00785D06">
        <w:rPr>
          <w:lang w:val="en-US"/>
        </w:rPr>
        <w:t xml:space="preserve"> Ministry of Public Health, Undersecretary for the Promotion of Health and Equality, National Office of Human Rights, Gender and Inclusion, Official letter MSP-DNDHGI-2019-0033-0 of August 6, 2019).</w:t>
      </w:r>
    </w:p>
  </w:footnote>
  <w:footnote w:id="213">
    <w:p w14:paraId="7AB29AF7" w14:textId="77777777" w:rsidR="00E0703B" w:rsidRPr="00785D06" w:rsidRDefault="00E0703B" w:rsidP="00C254BF">
      <w:pPr>
        <w:pStyle w:val="Textonotapie"/>
        <w:jc w:val="both"/>
        <w:rPr>
          <w:lang w:val="en-US"/>
        </w:rPr>
      </w:pPr>
    </w:p>
    <w:p w14:paraId="30EFF63C"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The State indicated that this Protocol establishes mandatory guidelines to be applied by all educational institutions and their staff, and imposes administrative and criminal sanctions for non-compliance. The first principle established is the obligation to report acts of sexual violence.</w:t>
      </w:r>
    </w:p>
  </w:footnote>
  <w:footnote w:id="214">
    <w:p w14:paraId="00C6230F" w14:textId="77777777" w:rsidR="00E0703B" w:rsidRPr="00785D06" w:rsidRDefault="00E0703B" w:rsidP="00C254BF">
      <w:pPr>
        <w:pStyle w:val="Textonotapie"/>
        <w:jc w:val="both"/>
        <w:rPr>
          <w:lang w:val="en-US"/>
        </w:rPr>
      </w:pPr>
    </w:p>
    <w:p w14:paraId="4C3B9FF6"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 xml:space="preserve">The State indicated that despite this, “[o]n that occasion teachers and officials of the district conflict resolution boards received training on the administrative procedures to be followed in cases of sexual violence. Actions were coordinated to prevent sexual violence in […] 2017 through the Plan of Harmonious Coexistence and Culture of Peace, and in […] 2018, through the </w:t>
      </w:r>
      <w:r w:rsidRPr="00785D06">
        <w:rPr>
          <w:color w:val="000000"/>
          <w:shd w:val="clear" w:color="auto" w:fill="FFFFFF"/>
          <w:lang w:val="en-US"/>
        </w:rPr>
        <w:t>Intersectoral Policy for the Prevention of Pregnancy in Girls and Adolescent</w:t>
      </w:r>
      <w:r w:rsidRPr="00785D06">
        <w:rPr>
          <w:lang w:val="en-US"/>
        </w:rPr>
        <w:t>s.” (</w:t>
      </w:r>
      <w:r w:rsidRPr="00785D06">
        <w:rPr>
          <w:i/>
          <w:lang w:val="en-US"/>
        </w:rPr>
        <w:t>Cf.</w:t>
      </w:r>
      <w:r w:rsidRPr="00785D06">
        <w:rPr>
          <w:lang w:val="en-US"/>
        </w:rPr>
        <w:t xml:space="preserve"> Ministry of Education, Undersecretary for Educational Innovation and Well-being. National Office of Education for Democracy and Well-being. Report on measures to prevent and eradicate school-related sexual violence, March 29, 2019.)</w:t>
      </w:r>
    </w:p>
  </w:footnote>
  <w:footnote w:id="215">
    <w:p w14:paraId="26746BF9" w14:textId="77777777" w:rsidR="00E0703B" w:rsidRPr="00785D06" w:rsidRDefault="00E0703B" w:rsidP="00C254BF">
      <w:pPr>
        <w:pStyle w:val="Textonotapie"/>
        <w:jc w:val="both"/>
        <w:rPr>
          <w:lang w:val="en-US"/>
        </w:rPr>
      </w:pPr>
    </w:p>
    <w:p w14:paraId="5B5EF8F6"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Ministry of Education, Undersecretary for Educational Innovation and Well-being. National Office of Education for Democracy and Well-being. Report on measures to prevent and eradicate sexual violence in schools, March 29, 2019.</w:t>
      </w:r>
    </w:p>
    <w:p w14:paraId="6581D679" w14:textId="77777777" w:rsidR="00E0703B" w:rsidRPr="00785D06" w:rsidRDefault="00E0703B" w:rsidP="00C254BF">
      <w:pPr>
        <w:pStyle w:val="Textonotapie"/>
        <w:jc w:val="both"/>
        <w:rPr>
          <w:lang w:val="en-US"/>
        </w:rPr>
      </w:pPr>
    </w:p>
  </w:footnote>
  <w:footnote w:id="216">
    <w:p w14:paraId="410DC962"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Ministry of Education, Undersecretary for Educational Innovation and Well-being. National Office of Education for Democracy and Well-being. Report on measures to prevent and eradicate sexual violence in schools, March 29, 2019.</w:t>
      </w:r>
    </w:p>
    <w:p w14:paraId="48F37DE2" w14:textId="77777777" w:rsidR="00E0703B" w:rsidRPr="00785D06" w:rsidRDefault="00E0703B" w:rsidP="00C254BF">
      <w:pPr>
        <w:pStyle w:val="Textonotapie"/>
        <w:jc w:val="both"/>
        <w:rPr>
          <w:lang w:val="en-US"/>
        </w:rPr>
      </w:pPr>
    </w:p>
  </w:footnote>
  <w:footnote w:id="217">
    <w:p w14:paraId="4031134E"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In August 2018, a course on prevention and actions to address violence was implemented with school teachers and authorities of the educational system in order to raise awareness: 13,874 teachers have completed the course and 5,000 were taking the course when Ecuador presented its answering brief. In 2020, the plan was to train 164,000 teachers in this subject. (</w:t>
      </w:r>
      <w:r w:rsidRPr="00785D06">
        <w:rPr>
          <w:i/>
          <w:lang w:val="en-US"/>
        </w:rPr>
        <w:t>Cf.</w:t>
      </w:r>
      <w:r w:rsidRPr="00785D06">
        <w:rPr>
          <w:lang w:val="en-US"/>
        </w:rPr>
        <w:t xml:space="preserve"> Ministry of Education, Undersecretary for Educational Innovation and Well-being. National Office of Education for Democracy and Well-being. Report on measures to prevent and eradicate sexual violence in schools, March 29, 2019).</w:t>
      </w:r>
    </w:p>
  </w:footnote>
  <w:footnote w:id="218">
    <w:p w14:paraId="35BE66C3" w14:textId="77777777" w:rsidR="00E0703B" w:rsidRPr="00785D06" w:rsidRDefault="00E0703B" w:rsidP="00C254BF">
      <w:pPr>
        <w:pStyle w:val="Textonotapie"/>
        <w:jc w:val="both"/>
        <w:rPr>
          <w:lang w:val="en-US"/>
        </w:rPr>
      </w:pPr>
    </w:p>
    <w:p w14:paraId="64790EFE"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The workshop contents include: human rights, gender, gender-based violence and mandatory notification form for alleged cases of gender-based violence and serious human rights violations. The State added that the Ministry of Health implements the following training courses for public officials: workshop for the implementation of the Technical Standards for Comprehensive Action on Gender-based Violence; awareness-raising workshops on the Primary Assistance Service and Mandatory Form for Notification of Alleged Cases of Gender-based Violence and Serious Human Rights Violations; and, virtual course on Technical Standards for comprehensive care of victims of gender-based violence.</w:t>
      </w:r>
      <w:r w:rsidRPr="00785D06">
        <w:rPr>
          <w:b/>
          <w:lang w:val="en-US"/>
        </w:rPr>
        <w:t xml:space="preserve"> </w:t>
      </w:r>
    </w:p>
  </w:footnote>
  <w:footnote w:id="219">
    <w:p w14:paraId="13412368" w14:textId="77777777" w:rsidR="00E0703B" w:rsidRPr="00785D06" w:rsidRDefault="00E0703B" w:rsidP="00C254BF">
      <w:pPr>
        <w:pStyle w:val="Textonotapie"/>
        <w:jc w:val="both"/>
        <w:rPr>
          <w:lang w:val="en-US"/>
        </w:rPr>
      </w:pPr>
    </w:p>
    <w:p w14:paraId="44F80D4B"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During the second semester of 2018, 140 professionals of the Student Counseling Department received training (</w:t>
      </w:r>
      <w:r w:rsidRPr="00785D06">
        <w:rPr>
          <w:i/>
          <w:lang w:val="en-US"/>
        </w:rPr>
        <w:t>Cf.</w:t>
      </w:r>
      <w:r w:rsidRPr="00785D06">
        <w:rPr>
          <w:lang w:val="en-US"/>
        </w:rPr>
        <w:t xml:space="preserve"> Ministry of Education, Undersecretary for Educational Innovation and Well-being. National Office of Education for Democracy and Well-being. Report on measures to prevent and eradicate sexual violence in schools, March 29, 2019).</w:t>
      </w:r>
    </w:p>
  </w:footnote>
  <w:footnote w:id="220">
    <w:p w14:paraId="7B22DF24" w14:textId="77777777" w:rsidR="00E0703B" w:rsidRPr="00785D06" w:rsidRDefault="00E0703B" w:rsidP="00C254BF">
      <w:pPr>
        <w:pStyle w:val="Textonotapie"/>
        <w:jc w:val="both"/>
        <w:rPr>
          <w:lang w:val="en-US"/>
        </w:rPr>
      </w:pPr>
    </w:p>
    <w:p w14:paraId="03D773AC"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Ministry of Education, Undersecretary for Educational Innovation and Well-being. National Office of Education for Democracy and Well-being. Report on measures to prevent and eradicate sexual violence in schools, March 29, 2019.</w:t>
      </w:r>
    </w:p>
  </w:footnote>
  <w:footnote w:id="221">
    <w:p w14:paraId="7B7D503E" w14:textId="77777777" w:rsidR="00E0703B" w:rsidRPr="00785D06" w:rsidRDefault="00E0703B" w:rsidP="00C254BF">
      <w:pPr>
        <w:pStyle w:val="Textonotapie"/>
        <w:jc w:val="both"/>
        <w:rPr>
          <w:lang w:val="en-US"/>
        </w:rPr>
      </w:pPr>
    </w:p>
    <w:p w14:paraId="117C54A9"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The State indicated that the system “registers information on the alleged perpetrator, the victim, the school in which he/she studies, psychosocial support as well as administrative and legal actions implemented in each case detected.” In this regard, the State presented the following document: Ministry of Education, Official letter No. MINEDUC-CGAJ-2020-0009-OF, of January 20, 2020, Annex II: REDEVI, Complaints of sexual violence detected or committed in the education system, December 30, 2019 (evidence file, annex 7 to the State’s final written arguments, folios 7622 to 7624).</w:t>
      </w:r>
    </w:p>
  </w:footnote>
  <w:footnote w:id="222">
    <w:p w14:paraId="69C88DDD" w14:textId="77777777" w:rsidR="00E0703B" w:rsidRPr="00785D06" w:rsidRDefault="00E0703B" w:rsidP="00C254BF">
      <w:pPr>
        <w:widowControl w:val="0"/>
        <w:tabs>
          <w:tab w:val="left" w:pos="633"/>
        </w:tabs>
        <w:autoSpaceDE w:val="0"/>
        <w:autoSpaceDN w:val="0"/>
        <w:ind w:right="117"/>
        <w:jc w:val="both"/>
        <w:rPr>
          <w:lang w:val="en-US"/>
        </w:rPr>
      </w:pPr>
    </w:p>
    <w:p w14:paraId="4DF75983" w14:textId="77777777" w:rsidR="00E0703B" w:rsidRPr="00785D06" w:rsidRDefault="00E0703B" w:rsidP="00C254BF">
      <w:pPr>
        <w:widowControl w:val="0"/>
        <w:tabs>
          <w:tab w:val="left" w:pos="633"/>
        </w:tabs>
        <w:autoSpaceDE w:val="0"/>
        <w:autoSpaceDN w:val="0"/>
        <w:ind w:right="117"/>
        <w:jc w:val="both"/>
        <w:rPr>
          <w:lang w:val="en-US"/>
        </w:rPr>
      </w:pPr>
      <w:r w:rsidRPr="00785D06">
        <w:rPr>
          <w:rStyle w:val="Refdenotaalpie"/>
          <w:lang w:val="en-US"/>
        </w:rPr>
        <w:footnoteRef/>
      </w:r>
      <w:r w:rsidRPr="00785D06">
        <w:rPr>
          <w:lang w:val="en-US"/>
        </w:rPr>
        <w:t xml:space="preserve"> </w:t>
      </w:r>
      <w:r w:rsidRPr="00785D06">
        <w:rPr>
          <w:lang w:val="en-US"/>
        </w:rPr>
        <w:tab/>
        <w:t>It referred to: a) the Organic Law on Intercultural Education, of March 31, 2011, and b) the General Regulations of the Organic Law on Intercultural Education of July 26, 2012.</w:t>
      </w:r>
    </w:p>
  </w:footnote>
  <w:footnote w:id="223">
    <w:p w14:paraId="2531C498" w14:textId="77777777" w:rsidR="00E0703B" w:rsidRPr="00785D06" w:rsidRDefault="00E0703B" w:rsidP="00C254BF">
      <w:pPr>
        <w:pStyle w:val="Textonotapie"/>
        <w:jc w:val="both"/>
        <w:rPr>
          <w:lang w:val="en-US"/>
        </w:rPr>
      </w:pPr>
    </w:p>
    <w:p w14:paraId="014FB212"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Ministerial Decision No. 340·11 of September 30, 2011. It also mentioned the following: Special Rules of Procedure and Mechanisms to Detect and Address Sexual Offenses in the Educational System (Ministerial Decision No. 4708 published in the Official Register 738 of January 6, 2003) and protocols to address acts of violence committed or detected in schools or the provisions </w:t>
      </w:r>
      <w:r w:rsidR="00AF7BC6" w:rsidRPr="00785D06">
        <w:rPr>
          <w:lang w:val="en-US"/>
        </w:rPr>
        <w:t xml:space="preserve">to </w:t>
      </w:r>
      <w:r w:rsidRPr="00785D06">
        <w:rPr>
          <w:lang w:val="en-US"/>
        </w:rPr>
        <w:t>ensure that education responds to the constitutional and legal principle of the best interests of children and adolescents (Ministerial Decision No. 020-12 of January 25, 2012, Ministerial Decision No. MINEDUC-MINEDUC-2017-00052-A of June 22, 2017, and Ministerial Decision No. MINEDUC-MINEDUC-2017-00055-A of June 23, 2017).</w:t>
      </w:r>
    </w:p>
  </w:footnote>
  <w:footnote w:id="224">
    <w:p w14:paraId="696F0E84" w14:textId="77777777" w:rsidR="00E0703B" w:rsidRPr="00785D06" w:rsidRDefault="00E0703B" w:rsidP="00C254BF">
      <w:pPr>
        <w:pStyle w:val="Textonotapie"/>
        <w:jc w:val="both"/>
        <w:rPr>
          <w:lang w:val="en-US"/>
        </w:rPr>
      </w:pPr>
    </w:p>
    <w:p w14:paraId="648CBDB6"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The State referred to the following: a) Comprehensive project to strengthen efforts to address violence in the National Education System, developed in 2018</w:t>
      </w:r>
      <w:r w:rsidR="00AF7BC6" w:rsidRPr="00785D06">
        <w:rPr>
          <w:lang w:val="en-US"/>
        </w:rPr>
        <w:t>. This</w:t>
      </w:r>
      <w:r w:rsidRPr="00785D06">
        <w:rPr>
          <w:lang w:val="en-US"/>
        </w:rPr>
        <w:t xml:space="preserve"> will be implemented from March 2019 until 2022, to benefit all actors of the educational community. The aim is to strengthen efforts to tackle different forms of violence detected or committed in the National Education System, through various actions, and with two operational objectives: i) to prevent violence in the National Education System, and ii) to provide comprehensive protection and care for children and adolescents who are victims of violence in the National Education System. The project uses a participatory methodology for the prevention of violence, includes teacher training aimed at p</w:t>
      </w:r>
      <w:r w:rsidR="0051144E" w:rsidRPr="00785D06">
        <w:rPr>
          <w:lang w:val="en-US"/>
        </w:rPr>
        <w:t>reventing violence and promoting</w:t>
      </w:r>
      <w:r w:rsidRPr="00785D06">
        <w:rPr>
          <w:lang w:val="en-US"/>
        </w:rPr>
        <w:t xml:space="preserve"> reading on this topic, and implementation of </w:t>
      </w:r>
      <w:r w:rsidRPr="00785D06">
        <w:rPr>
          <w:rFonts w:eastAsia="Times New Roman"/>
          <w:lang w:val="en-US" w:eastAsia="es-ES" w:bidi="es-ES"/>
        </w:rPr>
        <w:t>the methodology of supportive accompaniment– care for caregivers of the Ministry of education teams that intervene</w:t>
      </w:r>
      <w:r w:rsidR="0051144E" w:rsidRPr="00785D06">
        <w:rPr>
          <w:rFonts w:eastAsia="Times New Roman"/>
          <w:lang w:val="en-US" w:eastAsia="es-ES" w:bidi="es-ES"/>
        </w:rPr>
        <w:t xml:space="preserve"> in efforts to address violence-</w:t>
      </w:r>
      <w:r w:rsidRPr="00785D06">
        <w:rPr>
          <w:rFonts w:eastAsia="Times New Roman"/>
          <w:lang w:val="en-US" w:eastAsia="es-ES" w:bidi="es-ES"/>
        </w:rPr>
        <w:t xml:space="preserve"> plus the </w:t>
      </w:r>
      <w:r w:rsidR="0051144E" w:rsidRPr="00785D06">
        <w:rPr>
          <w:rFonts w:eastAsia="Times New Roman"/>
          <w:lang w:val="en-US" w:eastAsia="es-ES" w:bidi="es-ES"/>
        </w:rPr>
        <w:t>M</w:t>
      </w:r>
      <w:r w:rsidRPr="00785D06">
        <w:rPr>
          <w:rFonts w:eastAsia="Times New Roman"/>
          <w:lang w:val="en-US" w:eastAsia="es-ES" w:bidi="es-ES"/>
        </w:rPr>
        <w:t>anual of the district boards for conflict resolution in cases of sexual violence committed in the National Education System</w:t>
      </w:r>
      <w:r w:rsidRPr="00785D06">
        <w:rPr>
          <w:lang w:val="en-US"/>
        </w:rPr>
        <w:t xml:space="preserve">. b) Intersectoral Policy to Prevent Pregnancy in Girls and Adolescents 2018 – 2025. c) Routes and protocols for action, investigation and care for child victims of violence and sexual violence committed and detected in the education system. In the second semester of 2018 a Pocket Guide was published and distributed to tackle sexual violence in schools, with around 610,000 copies printed. d) In 2017, the State published the action protocol to address pregnancy, motherhood and fatherhood in the education system. In 2019, a methodological guide was produced to prevent pregnancy in girls and adolescents. In the 2018-2019 academic year, the “human development hour” was implemented in the National Education Curriculum to help prevent different forms of violence within the school community. This classroom activity seeks to strengthen the students’ all-round education. e) Inter-institutional coordination for effective detection and protection: on August 17, 2017, the Framework Agreement on Interinstitutional Cooperation was signed between the Attorney General’s Office, the Judiciary Council, the Ministry of Education and the Ministry of Justice and Human Rights, to ensure violence-free spaces in schools. Subsequently, different “work groups” were set up to coordinate actions on topics related to the prevention and eradication of violence within the education system. f) Development of curriculum contents on human rights and gender perspective. g) Various teacher training programs such as the MOOC on "Preventing and addressing violence in the education system" (to date, 35,912 teachers have completed the course. In 2020, there are plans to train 164,000 teachers throughout the country), plus the training process for SCD professionals (Student Counseling Departments). Since 2017, a total of 426 SCD professionals have received training nationwide. </w:t>
      </w:r>
    </w:p>
    <w:p w14:paraId="0656D9AB" w14:textId="77777777" w:rsidR="00E0703B" w:rsidRPr="00785D06" w:rsidRDefault="00E0703B" w:rsidP="00C254BF">
      <w:pPr>
        <w:pStyle w:val="Textonotapie"/>
        <w:jc w:val="both"/>
        <w:rPr>
          <w:lang w:val="en-US"/>
        </w:rPr>
      </w:pPr>
    </w:p>
  </w:footnote>
  <w:footnote w:id="225">
    <w:p w14:paraId="4CE933D6"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 xml:space="preserve">In this regard, this Court recalls that in 2017 the Committee on the Rights of the Child stated, in its observations on Ecuador that, “although it [took] note of the information regarding the National Plan to Eradicate Sex Offenses,” as well as “the zero tolerance approach toward sexual violence in schools, it show[ed] deep concern at the prevalence of gender-based violence, especially sexual violence, harassment and ill-treatment of girls in all spheres, together with the high rate of impunity in cases of sexual violence.” According to the </w:t>
      </w:r>
      <w:r w:rsidRPr="00785D06">
        <w:rPr>
          <w:i/>
          <w:lang w:val="en-US"/>
        </w:rPr>
        <w:t>amicus curiae</w:t>
      </w:r>
      <w:r w:rsidRPr="00785D06">
        <w:rPr>
          <w:lang w:val="en-US"/>
        </w:rPr>
        <w:t xml:space="preserve"> documents forwarded by </w:t>
      </w:r>
      <w:r w:rsidRPr="00785D06">
        <w:rPr>
          <w:i/>
          <w:lang w:val="en-US"/>
        </w:rPr>
        <w:t>Fundación Desafío</w:t>
      </w:r>
      <w:r w:rsidRPr="00785D06">
        <w:rPr>
          <w:lang w:val="en-US"/>
        </w:rPr>
        <w:t xml:space="preserve"> and by SURKUNA containing data that they presented, a significant number of cases of sexual rights violations against girls continues in schools. In 2017, the Committee on the Rights of the Child included the following among its recommendations to Ecuador: “[a]dopt a nationwide strategy without delay, to eliminate sexual violence against girls in […] the education system, […] ensure that girls have access to effective complaint mechanisms to report sexual violence and to information about their sexual and reproductive rights,” and “adopt clear standards for the provision of remedies and redress for girl victims of sexual violence and abuse, including psychosocial redress and counseling, reparations, compensation and guarantees of non-repetition” (Committee on the Rights of the Child, </w:t>
      </w:r>
      <w:r w:rsidRPr="00785D06">
        <w:rPr>
          <w:i/>
          <w:lang w:val="en-US"/>
        </w:rPr>
        <w:t>Concluding observations on the combined fifth and sixth periodic reports of Ecuador</w:t>
      </w:r>
      <w:r w:rsidRPr="00785D06">
        <w:rPr>
          <w:lang w:val="en-US"/>
        </w:rPr>
        <w:t xml:space="preserve">, paras. 24 and 25). In addition, the expert witness Gauché Marchetti emphasized the importance of “keeping statistical records of complaints and follow-up investigations,” since “it is essential to effectively prevent and eliminate harassment through strategies that take account of local conditions.” In its </w:t>
      </w:r>
      <w:r w:rsidRPr="00785D06">
        <w:rPr>
          <w:i/>
          <w:lang w:val="en-US"/>
        </w:rPr>
        <w:t xml:space="preserve">amicus curiae </w:t>
      </w:r>
      <w:r w:rsidRPr="00785D06">
        <w:rPr>
          <w:lang w:val="en-US"/>
        </w:rPr>
        <w:t xml:space="preserve">brief, SURKUNA enumerated various measures implemented by Ecuador to tackle sexual violence in schools, including PRONESA and the National Plan for the Eradication of Sexual Offenses in Schools, of 2006, which includes actions of “prevention”, “protection”, “restitution of rights” and “investigation” and punishment of offenders. However, it indicated that in 2019 the Ecuadorian Technical Planning Secretariat, a State institution, assessed PRONESA and recommended “strengthening actions in schools,” “providing specialized services for girls and adolescents [victims]” and “setting targets and indicators to conduct adequate monitoring, follow-up and evaluation.” According to the expert witnesses proposed by the State, SURKUNA considers that the “public policy tools have not undergone an effective monitoring and evaluation phase” and that the proposed objectives and actions “have not materialized.” In its </w:t>
      </w:r>
      <w:r w:rsidRPr="00785D06">
        <w:rPr>
          <w:i/>
          <w:lang w:val="en-US"/>
        </w:rPr>
        <w:t>amicus curiae</w:t>
      </w:r>
      <w:r w:rsidRPr="00785D06">
        <w:rPr>
          <w:lang w:val="en-US"/>
        </w:rPr>
        <w:t xml:space="preserve"> brief, and based on guidelines adopted by at least 13 universities, </w:t>
      </w:r>
      <w:r w:rsidRPr="00785D06">
        <w:rPr>
          <w:i/>
          <w:lang w:val="en-US"/>
        </w:rPr>
        <w:t>DeJusticia</w:t>
      </w:r>
      <w:r w:rsidRPr="00785D06">
        <w:rPr>
          <w:lang w:val="en-US"/>
        </w:rPr>
        <w:t xml:space="preserve"> referred to “good practices” for addressing sexual harassment, including “measures of protection” for victims, divided into “measures of containment or immediate action,” “psychosocial support measures” and “legal assistance measures.”</w:t>
      </w:r>
    </w:p>
    <w:p w14:paraId="297673DB" w14:textId="77777777" w:rsidR="00E0703B" w:rsidRPr="00785D06" w:rsidRDefault="00E0703B" w:rsidP="00C254BF">
      <w:pPr>
        <w:pStyle w:val="Textonotapie"/>
        <w:jc w:val="both"/>
        <w:rPr>
          <w:lang w:val="en-US"/>
        </w:rPr>
      </w:pPr>
    </w:p>
  </w:footnote>
  <w:footnote w:id="226">
    <w:p w14:paraId="40476D9A" w14:textId="77777777" w:rsidR="00E0703B" w:rsidRPr="00785D06" w:rsidRDefault="00E0703B" w:rsidP="00C254BF">
      <w:pPr>
        <w:pStyle w:val="Textonotapie"/>
        <w:rPr>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Cf.</w:t>
      </w:r>
      <w:r w:rsidRPr="00785D06">
        <w:rPr>
          <w:lang w:val="en-US"/>
        </w:rPr>
        <w:t xml:space="preserve"> Committee on the Rights of the Child, General Comment No. 13, para. 39.</w:t>
      </w:r>
    </w:p>
    <w:p w14:paraId="0F448D02" w14:textId="77777777" w:rsidR="00E0703B" w:rsidRPr="00785D06" w:rsidRDefault="00E0703B" w:rsidP="00C254BF">
      <w:pPr>
        <w:pStyle w:val="Textonotapie"/>
        <w:rPr>
          <w:lang w:val="en-US"/>
        </w:rPr>
      </w:pPr>
    </w:p>
  </w:footnote>
  <w:footnote w:id="227">
    <w:p w14:paraId="53E233F5" w14:textId="77777777" w:rsidR="00E0703B" w:rsidRPr="00785D06" w:rsidRDefault="00E0703B" w:rsidP="00C254BF">
      <w:pPr>
        <w:pStyle w:val="Textonotapie"/>
        <w:jc w:val="both"/>
        <w:rPr>
          <w:rFonts w:eastAsia="Times New Roman"/>
          <w:lang w:val="en-US" w:eastAsia="es-ES" w:bidi="es-ES"/>
        </w:rPr>
      </w:pPr>
      <w:r w:rsidRPr="00785D06">
        <w:rPr>
          <w:rStyle w:val="Refdenotaalpie"/>
          <w:lang w:val="en-US"/>
        </w:rPr>
        <w:footnoteRef/>
      </w:r>
      <w:r w:rsidRPr="00785D06">
        <w:rPr>
          <w:lang w:val="en-US"/>
        </w:rPr>
        <w:t xml:space="preserve"> </w:t>
      </w:r>
      <w:r w:rsidRPr="00785D06">
        <w:rPr>
          <w:lang w:val="en-US"/>
        </w:rPr>
        <w:tab/>
        <w:t xml:space="preserve">They stated that if this is not </w:t>
      </w:r>
      <w:r w:rsidRPr="00785D06">
        <w:rPr>
          <w:rFonts w:eastAsia="Times New Roman"/>
          <w:lang w:val="en-US" w:eastAsia="es-ES" w:bidi="es-ES"/>
        </w:rPr>
        <w:t>possible, she should be provided with access to a business development program or be granted a specific sum of money to set up a business or “seed capital” to start a production project.</w:t>
      </w:r>
    </w:p>
    <w:p w14:paraId="27F01A9E" w14:textId="77777777" w:rsidR="00E0703B" w:rsidRPr="00785D06" w:rsidRDefault="00E0703B" w:rsidP="00C254BF">
      <w:pPr>
        <w:pStyle w:val="Textonotapie"/>
        <w:jc w:val="both"/>
        <w:rPr>
          <w:lang w:val="en-US"/>
        </w:rPr>
      </w:pPr>
    </w:p>
  </w:footnote>
  <w:footnote w:id="228">
    <w:p w14:paraId="4139E65B" w14:textId="77777777" w:rsidR="00E0703B" w:rsidRPr="00785D06" w:rsidRDefault="00E0703B" w:rsidP="00C254BF">
      <w:pPr>
        <w:pStyle w:val="Textonotapie"/>
        <w:jc w:val="both"/>
        <w:rPr>
          <w:b/>
          <w:lang w:val="en-US"/>
        </w:rPr>
      </w:pPr>
      <w:r w:rsidRPr="00785D06">
        <w:rPr>
          <w:rStyle w:val="Refdenotaalpie"/>
          <w:lang w:val="en-US"/>
        </w:rPr>
        <w:footnoteRef/>
      </w:r>
      <w:r w:rsidRPr="00785D06">
        <w:rPr>
          <w:lang w:val="en-US"/>
        </w:rPr>
        <w:t xml:space="preserve"> </w:t>
      </w:r>
      <w:r w:rsidRPr="00785D06">
        <w:rPr>
          <w:lang w:val="en-US"/>
        </w:rPr>
        <w:tab/>
        <w:t xml:space="preserve">The representatives explained that Paola’s death entailed expenses for her family: funeral expenses and 17 years of efforts to obtain justice. However, they indicated that Paola’s family does </w:t>
      </w:r>
      <w:r w:rsidR="00373B4B" w:rsidRPr="00785D06">
        <w:rPr>
          <w:lang w:val="en-US"/>
        </w:rPr>
        <w:t>not have documents</w:t>
      </w:r>
      <w:r w:rsidRPr="00785D06">
        <w:rPr>
          <w:lang w:val="en-US"/>
        </w:rPr>
        <w:t xml:space="preserve"> </w:t>
      </w:r>
      <w:r w:rsidR="00373B4B" w:rsidRPr="00785D06">
        <w:rPr>
          <w:lang w:val="en-US"/>
        </w:rPr>
        <w:t xml:space="preserve">to support </w:t>
      </w:r>
      <w:r w:rsidRPr="00785D06">
        <w:rPr>
          <w:lang w:val="en-US"/>
        </w:rPr>
        <w:t>those expenses.</w:t>
      </w:r>
    </w:p>
    <w:p w14:paraId="65470B6C" w14:textId="77777777" w:rsidR="00E0703B" w:rsidRPr="00785D06" w:rsidRDefault="00E0703B" w:rsidP="00C254BF">
      <w:pPr>
        <w:pStyle w:val="Textonotapie"/>
        <w:jc w:val="both"/>
        <w:rPr>
          <w:lang w:val="en-US"/>
        </w:rPr>
      </w:pPr>
    </w:p>
  </w:footnote>
  <w:footnote w:id="229">
    <w:p w14:paraId="718E0A52"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 xml:space="preserve">The representatives argued that, according to the World Bank, in 2001 life expectancy in Ecuador was 73 years, and the minimum </w:t>
      </w:r>
      <w:r w:rsidR="003262F3" w:rsidRPr="00785D06">
        <w:rPr>
          <w:lang w:val="en-US"/>
        </w:rPr>
        <w:t xml:space="preserve">monthly </w:t>
      </w:r>
      <w:r w:rsidRPr="00785D06">
        <w:rPr>
          <w:lang w:val="en-US"/>
        </w:rPr>
        <w:t>wage for that year was USD$ 86 (eighty-six United States dollars). They considered that the amount should include not only 12 annual salaries but also the corresponding annual bonuses, so that Paola would have an annual income equivalent to 14 minimum salaries. They understood that 25% should be deducted from that sum for personal expenses.</w:t>
      </w:r>
      <w:r w:rsidRPr="00785D06">
        <w:rPr>
          <w:b/>
          <w:lang w:val="en-US"/>
        </w:rPr>
        <w:t xml:space="preserve"> </w:t>
      </w:r>
    </w:p>
  </w:footnote>
  <w:footnote w:id="230">
    <w:p w14:paraId="712ECEB1" w14:textId="77777777" w:rsidR="00E0703B" w:rsidRPr="00785D06" w:rsidRDefault="00E0703B" w:rsidP="00C254BF">
      <w:pPr>
        <w:pStyle w:val="Textonotapie"/>
        <w:jc w:val="both"/>
        <w:rPr>
          <w:lang w:val="en-US"/>
        </w:rPr>
      </w:pPr>
    </w:p>
    <w:p w14:paraId="2BBC5383"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It added that: a) regarding the claim for consequential damages, the representatives did not provide any justification or substantiate their claim with any evidence, and therefore it should be dismissed, and b) in relation to loss of profits, an eventual calculation should include an assessment of the victim’s future income prospects, considering her academic record and professional development at the time of her death.</w:t>
      </w:r>
    </w:p>
    <w:p w14:paraId="72DCA220" w14:textId="77777777" w:rsidR="00E0703B" w:rsidRPr="00785D06" w:rsidRDefault="00E0703B" w:rsidP="00C254BF">
      <w:pPr>
        <w:pStyle w:val="Textonotapie"/>
        <w:jc w:val="both"/>
        <w:rPr>
          <w:lang w:val="en-US"/>
        </w:rPr>
      </w:pPr>
    </w:p>
  </w:footnote>
  <w:footnote w:id="231">
    <w:p w14:paraId="1544A827" w14:textId="77777777" w:rsidR="00E0703B" w:rsidRPr="00785D06" w:rsidRDefault="00E0703B" w:rsidP="00C254BF">
      <w:pPr>
        <w:pStyle w:val="NormalWeb"/>
        <w:spacing w:before="0" w:beforeAutospacing="0" w:after="0" w:afterAutospacing="0"/>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iCs/>
          <w:lang w:val="en-US"/>
        </w:rPr>
        <w:t>Cf. Case of Bámaca Velásquez v. Guatemala. Reparations and costs</w:t>
      </w:r>
      <w:r w:rsidRPr="00785D06">
        <w:rPr>
          <w:lang w:val="en-US"/>
        </w:rPr>
        <w:t xml:space="preserve">. Judgment of February 22, 2002. Series C No. 91, para. 43, and </w:t>
      </w:r>
      <w:r w:rsidRPr="00785D06">
        <w:rPr>
          <w:i/>
          <w:lang w:val="en-US"/>
        </w:rPr>
        <w:t>Case of Azul Rojas Marín et al. v. Peru</w:t>
      </w:r>
      <w:r w:rsidRPr="00785D06">
        <w:rPr>
          <w:lang w:val="en-US"/>
        </w:rPr>
        <w:t xml:space="preserve">, para. 256. </w:t>
      </w:r>
    </w:p>
    <w:p w14:paraId="05F3A3D5" w14:textId="77777777" w:rsidR="00E0703B" w:rsidRPr="00785D06" w:rsidRDefault="00E0703B" w:rsidP="00C254BF">
      <w:pPr>
        <w:pStyle w:val="Textonotapie"/>
        <w:jc w:val="both"/>
        <w:rPr>
          <w:lang w:val="en-US"/>
        </w:rPr>
      </w:pPr>
    </w:p>
  </w:footnote>
  <w:footnote w:id="232">
    <w:p w14:paraId="6EE0D6AD" w14:textId="77777777" w:rsidR="00E0703B" w:rsidRPr="00785D06" w:rsidRDefault="00E0703B" w:rsidP="00C254BF">
      <w:pPr>
        <w:pStyle w:val="NormalWeb"/>
        <w:spacing w:before="0" w:beforeAutospacing="0" w:after="0" w:afterAutospacing="0"/>
        <w:jc w:val="both"/>
        <w:rPr>
          <w:lang w:val="en-US"/>
        </w:rPr>
      </w:pPr>
      <w:r w:rsidRPr="00785D06">
        <w:rPr>
          <w:rStyle w:val="Refdenotaalpie"/>
          <w:lang w:val="en-US"/>
        </w:rPr>
        <w:footnoteRef/>
      </w:r>
      <w:r w:rsidRPr="00785D06">
        <w:rPr>
          <w:lang w:val="en-US"/>
        </w:rPr>
        <w:t xml:space="preserve"> </w:t>
      </w:r>
      <w:r w:rsidRPr="00785D06">
        <w:rPr>
          <w:lang w:val="en-US"/>
        </w:rPr>
        <w:tab/>
      </w:r>
      <w:r w:rsidRPr="00785D06">
        <w:rPr>
          <w:i/>
          <w:iCs/>
          <w:lang w:val="en-US"/>
        </w:rPr>
        <w:t xml:space="preserve">Cf. Case of the “Street Children” (Villagrán Morales et al.) v. Guatemala. Reparations and costs. </w:t>
      </w:r>
      <w:r w:rsidRPr="00785D06">
        <w:rPr>
          <w:iCs/>
          <w:lang w:val="en-US"/>
        </w:rPr>
        <w:t xml:space="preserve">Judgment of May 26, 2001. </w:t>
      </w:r>
      <w:r w:rsidRPr="00785D06">
        <w:rPr>
          <w:lang w:val="en-US"/>
        </w:rPr>
        <w:t xml:space="preserve">Series C No. 77, para. 84, and </w:t>
      </w:r>
      <w:r w:rsidRPr="00785D06">
        <w:rPr>
          <w:i/>
          <w:lang w:val="en-US"/>
        </w:rPr>
        <w:t>Case of Azul Rojas Marín</w:t>
      </w:r>
      <w:r w:rsidRPr="00785D06">
        <w:rPr>
          <w:lang w:val="en-US"/>
        </w:rPr>
        <w:t xml:space="preserve"> et al. v. </w:t>
      </w:r>
      <w:r w:rsidRPr="00785D06">
        <w:rPr>
          <w:i/>
          <w:lang w:val="en-US"/>
        </w:rPr>
        <w:t>Peru</w:t>
      </w:r>
      <w:r w:rsidRPr="00785D06">
        <w:rPr>
          <w:rStyle w:val="Textoennegrita"/>
          <w:b w:val="0"/>
          <w:color w:val="000000"/>
          <w:shd w:val="clear" w:color="auto" w:fill="FFFFFF"/>
          <w:lang w:val="en-US"/>
        </w:rPr>
        <w:t xml:space="preserve">, </w:t>
      </w:r>
      <w:r w:rsidRPr="00785D06">
        <w:rPr>
          <w:lang w:val="en-US"/>
        </w:rPr>
        <w:t xml:space="preserve">para. 261. </w:t>
      </w:r>
    </w:p>
    <w:p w14:paraId="4298A2CF" w14:textId="77777777" w:rsidR="00E0703B" w:rsidRPr="00785D06" w:rsidRDefault="00E0703B" w:rsidP="00C254BF">
      <w:pPr>
        <w:pStyle w:val="Textonotapie"/>
        <w:jc w:val="both"/>
        <w:rPr>
          <w:lang w:val="en-US"/>
        </w:rPr>
      </w:pPr>
    </w:p>
  </w:footnote>
  <w:footnote w:id="233">
    <w:p w14:paraId="74AAB1B1" w14:textId="77777777" w:rsidR="00E0703B" w:rsidRPr="00785D06" w:rsidRDefault="00E0703B" w:rsidP="00C254BF">
      <w:pPr>
        <w:pStyle w:val="Textonotapie"/>
        <w:jc w:val="both"/>
        <w:rPr>
          <w:rFonts w:eastAsia="Times New Roman"/>
          <w:lang w:val="en-US" w:eastAsia="es-ES" w:bidi="es-ES"/>
        </w:rPr>
      </w:pPr>
      <w:r w:rsidRPr="00785D06">
        <w:rPr>
          <w:rStyle w:val="Refdenotaalpie"/>
          <w:lang w:val="en-US"/>
        </w:rPr>
        <w:footnoteRef/>
      </w:r>
      <w:r w:rsidRPr="00785D06">
        <w:rPr>
          <w:lang w:val="en-US"/>
        </w:rPr>
        <w:t xml:space="preserve"> </w:t>
      </w:r>
      <w:r w:rsidRPr="00785D06">
        <w:rPr>
          <w:lang w:val="en-US"/>
        </w:rPr>
        <w:tab/>
      </w:r>
      <w:r w:rsidRPr="00785D06">
        <w:rPr>
          <w:rFonts w:eastAsia="Times New Roman"/>
          <w:lang w:val="en-US" w:eastAsia="es-ES" w:bidi="es-ES"/>
        </w:rPr>
        <w:t>In this regard, they provided the following details: a) expenses incurred by the victims: USD$ 3,500.00 (three thousand, five hundred United States dollars) for legal assistance from private lawyers “during the domestic proceedings” from 2002-2005; b) expenses and costs incurred by CEPAM: USD$ 18,195.92 (eighteen thousand, one hundred and ninety-five United States dollars and ninety-two cents), arising from: USD$ 3,605.64 (three thousand six hundred and five United States dollars and sixty-four cents) in “travel expenses” and USD$ 14,590.98 (fourteen thousand five hundred and ninety United States dollars and ninety-eight cents) for “legal assistance”; c) costs and expenses incurred by the Center for Reproductive Rights: USD$ 74,879.57 (seventy-four thousand, eight hundred and seventy-nine United States dollars and fifty-seven cents), arising from: “travel expenses,” USD$ 45,735.75 (forty-five thousand, seven hundred and thirty-five United States dollars and seventy-five</w:t>
      </w:r>
      <w:r w:rsidR="00F0701A" w:rsidRPr="00785D06">
        <w:rPr>
          <w:rFonts w:eastAsia="Times New Roman"/>
          <w:lang w:val="en-US" w:eastAsia="es-ES" w:bidi="es-ES"/>
        </w:rPr>
        <w:t xml:space="preserve"> cents)</w:t>
      </w:r>
      <w:r w:rsidRPr="00785D06">
        <w:rPr>
          <w:rFonts w:eastAsia="Times New Roman"/>
          <w:lang w:val="en-US" w:eastAsia="es-ES" w:bidi="es-ES"/>
        </w:rPr>
        <w:t xml:space="preserve"> and “legal assistance” USD$ 29,143.82 (twenty-nine thousand, one hundred and forty-three United States dollars and eighty-two cents).  </w:t>
      </w:r>
    </w:p>
    <w:p w14:paraId="536FD2FA" w14:textId="77777777" w:rsidR="00E0703B" w:rsidRPr="00785D06" w:rsidRDefault="00E0703B" w:rsidP="00C254BF">
      <w:pPr>
        <w:pStyle w:val="Textonotapie"/>
        <w:jc w:val="both"/>
        <w:rPr>
          <w:lang w:val="en-US"/>
        </w:rPr>
      </w:pPr>
    </w:p>
  </w:footnote>
  <w:footnote w:id="234">
    <w:p w14:paraId="03FDAE72" w14:textId="77777777" w:rsidR="00E0703B" w:rsidRPr="00785D06" w:rsidRDefault="00E0703B" w:rsidP="00C254BF">
      <w:pPr>
        <w:pStyle w:val="Textonotapie"/>
        <w:jc w:val="both"/>
        <w:rPr>
          <w:rFonts w:eastAsia="Times New Roman"/>
          <w:lang w:val="en-US" w:eastAsia="es-ES" w:bidi="es-ES"/>
        </w:rPr>
      </w:pPr>
      <w:r w:rsidRPr="00785D06">
        <w:rPr>
          <w:rStyle w:val="Refdenotaalpie"/>
          <w:lang w:val="en-US"/>
        </w:rPr>
        <w:footnoteRef/>
      </w:r>
      <w:r w:rsidRPr="00785D06">
        <w:rPr>
          <w:lang w:val="en-US"/>
        </w:rPr>
        <w:t xml:space="preserve"> </w:t>
      </w:r>
      <w:r w:rsidRPr="00785D06">
        <w:rPr>
          <w:lang w:val="en-US"/>
        </w:rPr>
        <w:tab/>
      </w:r>
      <w:r w:rsidRPr="00785D06">
        <w:rPr>
          <w:rFonts w:eastAsia="Times New Roman"/>
          <w:lang w:val="en-US" w:eastAsia="es-ES" w:bidi="es-ES"/>
        </w:rPr>
        <w:t xml:space="preserve">In this regard, they indicated the total expenses incurred by the Center for Reproductive Rights: USD$ 10,967.75 (ten thousand nine hundred and sixty-seven United States dollars and seventy-five cents), and expenses incurred by CEPAM: USD$ 4,669.56 (four thousand, six hundred and sixty-nine United States dollars and fifty-six cents). </w:t>
      </w:r>
    </w:p>
    <w:p w14:paraId="3619F4ED" w14:textId="77777777" w:rsidR="00E0703B" w:rsidRPr="00785D06" w:rsidRDefault="00E0703B" w:rsidP="00C254BF">
      <w:pPr>
        <w:pStyle w:val="Textonotapie"/>
        <w:jc w:val="both"/>
        <w:rPr>
          <w:lang w:val="en-US"/>
        </w:rPr>
      </w:pPr>
    </w:p>
  </w:footnote>
  <w:footnote w:id="235">
    <w:p w14:paraId="1CD5F3B4" w14:textId="77777777" w:rsidR="00E0703B" w:rsidRPr="00785D06" w:rsidRDefault="00E0703B" w:rsidP="00C254BF">
      <w:pPr>
        <w:pStyle w:val="Textonotapie"/>
        <w:jc w:val="both"/>
        <w:rPr>
          <w:lang w:val="en-US"/>
        </w:rPr>
      </w:pPr>
      <w:r w:rsidRPr="00785D06">
        <w:rPr>
          <w:rStyle w:val="Refdenotaalpie"/>
          <w:lang w:val="en-US"/>
        </w:rPr>
        <w:footnoteRef/>
      </w:r>
      <w:r w:rsidRPr="00785D06">
        <w:rPr>
          <w:lang w:val="en-US"/>
        </w:rPr>
        <w:t xml:space="preserve"> </w:t>
      </w:r>
      <w:r w:rsidRPr="00785D06">
        <w:rPr>
          <w:lang w:val="en-US"/>
        </w:rPr>
        <w:tab/>
        <w:t>Expenses such as food, cell phone recharging, computer and accessories, etc.</w:t>
      </w:r>
    </w:p>
    <w:p w14:paraId="56F2FE6E" w14:textId="77777777" w:rsidR="00E0703B" w:rsidRPr="00785D06" w:rsidRDefault="00E0703B" w:rsidP="00C254BF">
      <w:pPr>
        <w:pStyle w:val="Textonotapie"/>
        <w:jc w:val="both"/>
        <w:rPr>
          <w:lang w:val="en-US"/>
        </w:rPr>
      </w:pPr>
    </w:p>
  </w:footnote>
  <w:footnote w:id="236">
    <w:p w14:paraId="4317AB16" w14:textId="77777777" w:rsidR="00E0703B" w:rsidRPr="00785D06" w:rsidRDefault="00E0703B" w:rsidP="00C254BF">
      <w:pPr>
        <w:pStyle w:val="Textonotapie"/>
        <w:tabs>
          <w:tab w:val="left" w:pos="426"/>
        </w:tabs>
        <w:jc w:val="both"/>
        <w:rPr>
          <w:bCs/>
          <w:iCs/>
          <w:lang w:val="en-US"/>
        </w:rPr>
      </w:pPr>
      <w:r w:rsidRPr="00785D06">
        <w:rPr>
          <w:rStyle w:val="Refdenotaalpie"/>
          <w:lang w:val="en-US"/>
        </w:rPr>
        <w:footnoteRef/>
      </w:r>
      <w:r w:rsidRPr="00785D06">
        <w:rPr>
          <w:lang w:val="en-US"/>
        </w:rPr>
        <w:t xml:space="preserve"> </w:t>
      </w:r>
      <w:r w:rsidRPr="00785D06">
        <w:rPr>
          <w:lang w:val="en-US"/>
        </w:rPr>
        <w:tab/>
      </w:r>
      <w:r w:rsidRPr="00785D06">
        <w:rPr>
          <w:lang w:val="en-US"/>
        </w:rPr>
        <w:tab/>
      </w:r>
      <w:r w:rsidRPr="00785D06">
        <w:rPr>
          <w:i/>
          <w:lang w:val="en-US"/>
        </w:rPr>
        <w:t xml:space="preserve">Cf. Case of Garrido and Baigorria v. Argentina. Reparations and costs. </w:t>
      </w:r>
      <w:r w:rsidRPr="00785D06">
        <w:rPr>
          <w:iCs/>
          <w:lang w:val="en-US"/>
        </w:rPr>
        <w:t>Judgment of August 27, 1998. Series C No. 39</w:t>
      </w:r>
      <w:r w:rsidRPr="00785D06">
        <w:rPr>
          <w:i/>
          <w:lang w:val="en-US"/>
        </w:rPr>
        <w:t xml:space="preserve">, </w:t>
      </w:r>
      <w:r w:rsidRPr="00785D06">
        <w:rPr>
          <w:iCs/>
          <w:lang w:val="en-US"/>
        </w:rPr>
        <w:t xml:space="preserve">para. 82, and </w:t>
      </w:r>
      <w:r w:rsidRPr="00785D06">
        <w:rPr>
          <w:rStyle w:val="Textoennegrita"/>
          <w:b w:val="0"/>
          <w:i/>
          <w:color w:val="000000"/>
          <w:shd w:val="clear" w:color="auto" w:fill="FFFFFF"/>
          <w:lang w:val="en-US"/>
        </w:rPr>
        <w:t>Case of Azul Rojas Marín et al. v. Peru</w:t>
      </w:r>
      <w:r w:rsidRPr="00785D06">
        <w:rPr>
          <w:lang w:val="en-US"/>
        </w:rPr>
        <w:t>, para. 274.</w:t>
      </w:r>
    </w:p>
  </w:footnote>
  <w:footnote w:id="237">
    <w:p w14:paraId="7E0B3EC2" w14:textId="77777777" w:rsidR="00E0703B" w:rsidRPr="00785D06" w:rsidRDefault="00E0703B" w:rsidP="00C254BF">
      <w:pPr>
        <w:pStyle w:val="Textonotapie"/>
        <w:tabs>
          <w:tab w:val="left" w:pos="426"/>
        </w:tabs>
        <w:jc w:val="both"/>
        <w:rPr>
          <w:lang w:val="en-US"/>
        </w:rPr>
      </w:pPr>
    </w:p>
    <w:p w14:paraId="10739B88" w14:textId="77777777" w:rsidR="00E0703B" w:rsidRPr="00785D06" w:rsidRDefault="00E0703B" w:rsidP="00C254BF">
      <w:pPr>
        <w:pStyle w:val="Textonotapie"/>
        <w:tabs>
          <w:tab w:val="left" w:pos="426"/>
        </w:tabs>
        <w:jc w:val="both"/>
        <w:rPr>
          <w:lang w:val="en-US" w:bidi="en-US"/>
        </w:rPr>
      </w:pPr>
      <w:r w:rsidRPr="00785D06">
        <w:rPr>
          <w:rStyle w:val="Refdenotaalpie"/>
          <w:lang w:val="en-US"/>
        </w:rPr>
        <w:footnoteRef/>
      </w:r>
      <w:r w:rsidRPr="00785D06">
        <w:rPr>
          <w:lang w:val="en-US"/>
        </w:rPr>
        <w:tab/>
      </w:r>
      <w:r w:rsidRPr="00785D06">
        <w:rPr>
          <w:lang w:val="en-US"/>
        </w:rPr>
        <w:tab/>
      </w:r>
      <w:r w:rsidRPr="00785D06">
        <w:rPr>
          <w:i/>
          <w:lang w:val="en-US"/>
        </w:rPr>
        <w:t xml:space="preserve">Cf. Case of Garrido and Baigorria v. Argentina. Reparations and costs, </w:t>
      </w:r>
      <w:r w:rsidRPr="00785D06">
        <w:rPr>
          <w:iCs/>
          <w:lang w:val="en-US"/>
        </w:rPr>
        <w:t xml:space="preserve">para. 79, and </w:t>
      </w:r>
      <w:r w:rsidRPr="00785D06">
        <w:rPr>
          <w:rStyle w:val="Textoennegrita"/>
          <w:b w:val="0"/>
          <w:i/>
          <w:color w:val="000000"/>
          <w:shd w:val="clear" w:color="auto" w:fill="FFFFFF"/>
          <w:lang w:val="en-US"/>
        </w:rPr>
        <w:t>Case of Azul Rojas Marín et al. v. Peru</w:t>
      </w:r>
      <w:r w:rsidRPr="00785D06">
        <w:rPr>
          <w:lang w:val="en-US"/>
        </w:rPr>
        <w:t>, para. 275</w:t>
      </w:r>
      <w:r w:rsidRPr="00785D06">
        <w:rPr>
          <w:iCs/>
          <w:lang w:val="en-US"/>
        </w:rPr>
        <w:t>.</w:t>
      </w:r>
    </w:p>
  </w:footnote>
  <w:footnote w:id="238">
    <w:p w14:paraId="3E22580B" w14:textId="77777777" w:rsidR="00E0703B" w:rsidRPr="00785D06" w:rsidRDefault="00E0703B" w:rsidP="00C254BF">
      <w:pPr>
        <w:pStyle w:val="Textonotapie"/>
        <w:tabs>
          <w:tab w:val="left" w:pos="426"/>
        </w:tabs>
        <w:jc w:val="both"/>
        <w:rPr>
          <w:lang w:val="en-US"/>
        </w:rPr>
      </w:pPr>
    </w:p>
    <w:p w14:paraId="46987B35" w14:textId="77777777" w:rsidR="00E0703B" w:rsidRPr="00785D06" w:rsidRDefault="00E0703B" w:rsidP="00C254BF">
      <w:pPr>
        <w:pStyle w:val="Textonotapie"/>
        <w:tabs>
          <w:tab w:val="left" w:pos="426"/>
        </w:tabs>
        <w:jc w:val="both"/>
        <w:rPr>
          <w:iCs/>
          <w:lang w:val="en-US"/>
        </w:rPr>
      </w:pPr>
      <w:r w:rsidRPr="00785D06">
        <w:rPr>
          <w:rStyle w:val="Refdenotaalpie"/>
          <w:lang w:val="en-US"/>
        </w:rPr>
        <w:footnoteRef/>
      </w:r>
      <w:r w:rsidRPr="00785D06">
        <w:rPr>
          <w:lang w:val="en-US"/>
        </w:rPr>
        <w:t xml:space="preserve"> </w:t>
      </w:r>
      <w:r w:rsidRPr="00785D06">
        <w:rPr>
          <w:lang w:val="en-US"/>
        </w:rPr>
        <w:tab/>
      </w:r>
      <w:r w:rsidRPr="00785D06">
        <w:rPr>
          <w:lang w:val="en-US"/>
        </w:rPr>
        <w:tab/>
      </w:r>
      <w:r w:rsidRPr="00785D06">
        <w:rPr>
          <w:i/>
          <w:lang w:val="en-US"/>
        </w:rPr>
        <w:t>Cf. Case of Chaparro Álvarez and Lapo Íñiguez v. Ecuador. Preliminary objections, merits, reparations and costs.</w:t>
      </w:r>
      <w:r w:rsidRPr="00785D06">
        <w:rPr>
          <w:color w:val="000000"/>
          <w:shd w:val="clear" w:color="auto" w:fill="FFFFFF"/>
          <w:lang w:val="en-US"/>
        </w:rPr>
        <w:t xml:space="preserve"> </w:t>
      </w:r>
      <w:r w:rsidRPr="00785D06">
        <w:rPr>
          <w:rStyle w:val="Textoennegrita"/>
          <w:b w:val="0"/>
          <w:color w:val="000000"/>
          <w:shd w:val="clear" w:color="auto" w:fill="FFFFFF"/>
          <w:lang w:val="en-US"/>
        </w:rPr>
        <w:t>Judgment of November 21, 2007. Series C No. 170</w:t>
      </w:r>
      <w:r w:rsidRPr="00785D06">
        <w:rPr>
          <w:i/>
          <w:lang w:val="en-US"/>
        </w:rPr>
        <w:t xml:space="preserve">, </w:t>
      </w:r>
      <w:r w:rsidRPr="00785D06">
        <w:rPr>
          <w:iCs/>
          <w:lang w:val="en-US"/>
        </w:rPr>
        <w:t xml:space="preserve">para. 277, and </w:t>
      </w:r>
      <w:r w:rsidRPr="00785D06">
        <w:rPr>
          <w:rStyle w:val="Textoennegrita"/>
          <w:b w:val="0"/>
          <w:i/>
          <w:color w:val="000000"/>
          <w:shd w:val="clear" w:color="auto" w:fill="FFFFFF"/>
          <w:lang w:val="en-US"/>
        </w:rPr>
        <w:t>Case of Azul Rojas Marín et al. v. Peru</w:t>
      </w:r>
      <w:r w:rsidRPr="00785D06">
        <w:rPr>
          <w:lang w:val="en-US"/>
        </w:rPr>
        <w:t>, para. 275</w:t>
      </w:r>
      <w:r w:rsidRPr="00785D06">
        <w:rPr>
          <w:iCs/>
          <w:lang w:val="en-US"/>
        </w:rPr>
        <w:t>.</w:t>
      </w:r>
    </w:p>
    <w:p w14:paraId="62BB7898" w14:textId="77777777" w:rsidR="00E0703B" w:rsidRPr="00785D06" w:rsidRDefault="00E0703B" w:rsidP="00C254BF">
      <w:pPr>
        <w:pStyle w:val="Textonotapie"/>
        <w:tabs>
          <w:tab w:val="left" w:pos="426"/>
        </w:tabs>
        <w:jc w:val="both"/>
        <w:rPr>
          <w:lang w:val="en-US"/>
        </w:rPr>
      </w:pPr>
    </w:p>
  </w:footnote>
  <w:footnote w:id="239">
    <w:p w14:paraId="4D0E3EFA" w14:textId="77777777" w:rsidR="00E0703B" w:rsidRPr="00785D06" w:rsidRDefault="00E0703B" w:rsidP="00C254BF">
      <w:pPr>
        <w:pStyle w:val="Prrafodelista"/>
        <w:ind w:left="0"/>
        <w:contextualSpacing w:val="0"/>
        <w:jc w:val="both"/>
        <w:rPr>
          <w:lang w:val="en-US"/>
        </w:rPr>
      </w:pPr>
      <w:r w:rsidRPr="00785D06">
        <w:rPr>
          <w:rStyle w:val="Refdenotaalpie"/>
          <w:lang w:val="en-US"/>
        </w:rPr>
        <w:footnoteRef/>
      </w:r>
      <w:r w:rsidRPr="00785D06">
        <w:rPr>
          <w:lang w:val="en-US"/>
        </w:rPr>
        <w:t xml:space="preserve"> </w:t>
      </w:r>
      <w:r w:rsidRPr="00785D06">
        <w:rPr>
          <w:lang w:val="en-US"/>
        </w:rPr>
        <w:tab/>
        <w:t xml:space="preserve">By way of example, the representatives included Mrs. Albarracín’s medical expenses, and the salaries for professional services corresponding to a proportion of their working time, which is an unconfirmed estimate. </w:t>
      </w:r>
    </w:p>
    <w:p w14:paraId="3692DBE8" w14:textId="77777777" w:rsidR="00E0703B" w:rsidRPr="00785D06" w:rsidRDefault="00E0703B" w:rsidP="00C254BF">
      <w:pPr>
        <w:pStyle w:val="Textonotapie"/>
        <w:rPr>
          <w:lang w:val="en-US"/>
        </w:rPr>
      </w:pPr>
    </w:p>
  </w:footnote>
  <w:footnote w:id="240">
    <w:p w14:paraId="3B0B1A04" w14:textId="77777777" w:rsidR="00E0703B" w:rsidRPr="00915CFB" w:rsidRDefault="00E0703B" w:rsidP="00C254BF">
      <w:pPr>
        <w:pStyle w:val="Textonotapie"/>
        <w:jc w:val="both"/>
        <w:rPr>
          <w:iCs/>
          <w:lang w:val="en-US"/>
        </w:rPr>
      </w:pPr>
      <w:r w:rsidRPr="00785D06">
        <w:rPr>
          <w:rStyle w:val="Refdenotaalpie"/>
          <w:lang w:val="en-US"/>
        </w:rPr>
        <w:footnoteRef/>
      </w:r>
      <w:r w:rsidRPr="00785D06">
        <w:rPr>
          <w:lang w:val="en-US"/>
        </w:rPr>
        <w:t xml:space="preserve"> </w:t>
      </w:r>
      <w:r w:rsidRPr="00785D06">
        <w:rPr>
          <w:lang w:val="en-US"/>
        </w:rPr>
        <w:tab/>
      </w:r>
      <w:r w:rsidRPr="00785D06">
        <w:rPr>
          <w:i/>
          <w:lang w:val="en-US"/>
        </w:rPr>
        <w:t xml:space="preserve">Cf. Case of Ibsen Cárdenas and Ibsen Peña v. Bolivia. Merits, reparations and costs. </w:t>
      </w:r>
      <w:r w:rsidRPr="00785D06">
        <w:rPr>
          <w:iCs/>
          <w:lang w:val="en-US"/>
        </w:rPr>
        <w:t xml:space="preserve">Judgment of September 1, 2010. Series C No. 217, para. 29, and </w:t>
      </w:r>
      <w:r w:rsidRPr="00785D06">
        <w:rPr>
          <w:i/>
          <w:lang w:val="en-US"/>
        </w:rPr>
        <w:t xml:space="preserve">Case of Rojas Marín et al. v. </w:t>
      </w:r>
      <w:r w:rsidRPr="00785D06">
        <w:rPr>
          <w:rStyle w:val="Textoennegrita"/>
          <w:b w:val="0"/>
          <w:i/>
          <w:color w:val="000000"/>
          <w:shd w:val="clear" w:color="auto" w:fill="FFFFFF"/>
          <w:lang w:val="en-US"/>
        </w:rPr>
        <w:t>Peru</w:t>
      </w:r>
      <w:r w:rsidRPr="00785D06">
        <w:rPr>
          <w:lang w:val="en-US"/>
        </w:rPr>
        <w:t>, para.</w:t>
      </w:r>
      <w:r w:rsidRPr="00785D06">
        <w:rPr>
          <w:i/>
          <w:lang w:val="en-US"/>
        </w:rPr>
        <w:t xml:space="preserve"> </w:t>
      </w:r>
      <w:r w:rsidRPr="00785D06">
        <w:rPr>
          <w:iCs/>
          <w:lang w:val="en-US"/>
        </w:rPr>
        <w:t>275.</w:t>
      </w:r>
    </w:p>
    <w:p w14:paraId="33F1D0EA" w14:textId="77777777" w:rsidR="00E0703B" w:rsidRPr="00915CFB" w:rsidRDefault="00E0703B" w:rsidP="00C254BF">
      <w:pPr>
        <w:pStyle w:val="Textonotapie"/>
        <w:spacing w:before="60" w:after="60"/>
        <w:jc w:val="both"/>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6B66"/>
    <w:multiLevelType w:val="hybridMultilevel"/>
    <w:tmpl w:val="3830D59E"/>
    <w:lvl w:ilvl="0" w:tplc="4E2A0C4C">
      <w:start w:val="1"/>
      <w:numFmt w:val="decimal"/>
      <w:pStyle w:val="PrrafodeSentencia"/>
      <w:lvlText w:val="%1."/>
      <w:lvlJc w:val="left"/>
      <w:pPr>
        <w:ind w:left="5130" w:hanging="360"/>
      </w:pPr>
      <w:rPr>
        <w:rFonts w:ascii="Verdana" w:hAnsi="Verdana" w:hint="default"/>
        <w:b w:val="0"/>
        <w:i w:val="0"/>
        <w:strike w:val="0"/>
        <w:dstrike w:val="0"/>
        <w:color w:val="auto"/>
        <w:sz w:val="20"/>
        <w:szCs w:val="20"/>
        <w:u w:val="none"/>
        <w:effect w:val="none"/>
        <w:vertAlign w:val="baseline"/>
        <w:lang w:val="es-CR"/>
      </w:rPr>
    </w:lvl>
    <w:lvl w:ilvl="1" w:tplc="CEA4ED48">
      <w:start w:val="1"/>
      <w:numFmt w:val="upp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071734CC"/>
    <w:multiLevelType w:val="hybridMultilevel"/>
    <w:tmpl w:val="AD30BD0A"/>
    <w:lvl w:ilvl="0" w:tplc="0C0A000F">
      <w:start w:val="84"/>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83644D"/>
    <w:multiLevelType w:val="hybridMultilevel"/>
    <w:tmpl w:val="991408C8"/>
    <w:lvl w:ilvl="0" w:tplc="1D14C780">
      <w:start w:val="1"/>
      <w:numFmt w:val="upperLetter"/>
      <w:lvlText w:val="%1."/>
      <w:lvlJc w:val="left"/>
      <w:pPr>
        <w:ind w:left="720" w:hanging="360"/>
      </w:pPr>
      <w:rPr>
        <w:rFonts w:ascii="Verdana" w:hAnsi="Verdana" w:hint="default"/>
        <w:b/>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C5430D7"/>
    <w:multiLevelType w:val="hybridMultilevel"/>
    <w:tmpl w:val="5E94C680"/>
    <w:lvl w:ilvl="0" w:tplc="981CCE44">
      <w:start w:val="1"/>
      <w:numFmt w:val="decimal"/>
      <w:lvlText w:val="%1."/>
      <w:lvlJc w:val="left"/>
      <w:pPr>
        <w:ind w:left="360" w:hanging="360"/>
      </w:pPr>
      <w:rPr>
        <w:rFonts w:hint="default"/>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C8B5EF4"/>
    <w:multiLevelType w:val="hybridMultilevel"/>
    <w:tmpl w:val="E99CB418"/>
    <w:lvl w:ilvl="0" w:tplc="9A320E86">
      <w:start w:val="1"/>
      <w:numFmt w:val="upp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5" w15:restartNumberingAfterBreak="0">
    <w:nsid w:val="14DF6E44"/>
    <w:multiLevelType w:val="hybridMultilevel"/>
    <w:tmpl w:val="195AD438"/>
    <w:lvl w:ilvl="0" w:tplc="E1228446">
      <w:start w:val="1"/>
      <w:numFmt w:val="lowerLetter"/>
      <w:lvlText w:val="%1)"/>
      <w:lvlJc w:val="left"/>
      <w:pPr>
        <w:ind w:left="720" w:hanging="360"/>
      </w:pPr>
      <w:rPr>
        <w:rFonts w:ascii="Verdana" w:eastAsia="Times New Roman" w:hAnsi="Verdana" w:cs="Times New Roman"/>
        <w:b w:val="0"/>
        <w:i w:val="0"/>
      </w:rPr>
    </w:lvl>
    <w:lvl w:ilvl="1" w:tplc="53A677C0">
      <w:start w:val="1"/>
      <w:numFmt w:val="upperLetter"/>
      <w:lvlText w:val="%2."/>
      <w:lvlJc w:val="left"/>
      <w:pPr>
        <w:ind w:left="1790" w:hanging="71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435A61"/>
    <w:multiLevelType w:val="hybridMultilevel"/>
    <w:tmpl w:val="705299FC"/>
    <w:lvl w:ilvl="0" w:tplc="0C0A000F">
      <w:start w:val="86"/>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6322F81"/>
    <w:multiLevelType w:val="hybridMultilevel"/>
    <w:tmpl w:val="46A0E484"/>
    <w:lvl w:ilvl="0" w:tplc="61B61ECE">
      <w:start w:val="91"/>
      <w:numFmt w:val="decimal"/>
      <w:lvlText w:val="%1."/>
      <w:lvlJc w:val="left"/>
      <w:pPr>
        <w:ind w:left="6172" w:hanging="360"/>
      </w:pPr>
      <w:rPr>
        <w:rFonts w:ascii="Verdana" w:hAnsi="Verdana" w:hint="default"/>
        <w:b w:val="0"/>
        <w:i w:val="0"/>
        <w:strike w:val="0"/>
        <w:sz w:val="20"/>
        <w:szCs w:val="20"/>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E3164DC"/>
    <w:multiLevelType w:val="hybridMultilevel"/>
    <w:tmpl w:val="2A6E2EE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2154101"/>
    <w:multiLevelType w:val="hybridMultilevel"/>
    <w:tmpl w:val="23EC804C"/>
    <w:lvl w:ilvl="0" w:tplc="0C0A000F">
      <w:start w:val="8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3B7589A"/>
    <w:multiLevelType w:val="multilevel"/>
    <w:tmpl w:val="97425D18"/>
    <w:lvl w:ilvl="0">
      <w:start w:val="1"/>
      <w:numFmt w:val="upperLetter"/>
      <w:lvlText w:val="%1."/>
      <w:lvlJc w:val="left"/>
      <w:pPr>
        <w:ind w:left="980" w:hanging="281"/>
      </w:pPr>
      <w:rPr>
        <w:rFonts w:ascii="Verdana" w:eastAsia="Times New Roman" w:hAnsi="Verdana" w:cs="Times New Roman" w:hint="default"/>
        <w:b/>
        <w:bCs/>
        <w:i/>
        <w:w w:val="100"/>
        <w:sz w:val="20"/>
        <w:szCs w:val="20"/>
        <w:lang w:val="es-ES" w:eastAsia="es-ES" w:bidi="es-ES"/>
      </w:rPr>
    </w:lvl>
    <w:lvl w:ilvl="1">
      <w:start w:val="1"/>
      <w:numFmt w:val="decimal"/>
      <w:lvlText w:val="%1.%2"/>
      <w:lvlJc w:val="left"/>
      <w:pPr>
        <w:ind w:left="1065" w:hanging="365"/>
        <w:jc w:val="right"/>
      </w:pPr>
      <w:rPr>
        <w:rFonts w:hint="default"/>
        <w:b/>
        <w:bCs/>
        <w:spacing w:val="-23"/>
        <w:w w:val="100"/>
        <w:lang w:val="es-ES" w:eastAsia="es-ES" w:bidi="es-ES"/>
      </w:rPr>
    </w:lvl>
    <w:lvl w:ilvl="2">
      <w:start w:val="1"/>
      <w:numFmt w:val="lowerLetter"/>
      <w:lvlText w:val="%1.%2.%3"/>
      <w:lvlJc w:val="left"/>
      <w:pPr>
        <w:ind w:left="1821" w:hanging="522"/>
      </w:pPr>
      <w:rPr>
        <w:rFonts w:hint="default"/>
        <w:spacing w:val="-134"/>
        <w:u w:val="single" w:color="000000"/>
        <w:lang w:val="es-ES" w:eastAsia="es-ES" w:bidi="es-ES"/>
      </w:rPr>
    </w:lvl>
    <w:lvl w:ilvl="3">
      <w:numFmt w:val="bullet"/>
      <w:lvlText w:val="•"/>
      <w:lvlJc w:val="left"/>
      <w:pPr>
        <w:ind w:left="1720" w:hanging="522"/>
      </w:pPr>
      <w:rPr>
        <w:rFonts w:hint="default"/>
        <w:lang w:val="es-ES" w:eastAsia="es-ES" w:bidi="es-ES"/>
      </w:rPr>
    </w:lvl>
    <w:lvl w:ilvl="4">
      <w:numFmt w:val="bullet"/>
      <w:lvlText w:val="•"/>
      <w:lvlJc w:val="left"/>
      <w:pPr>
        <w:ind w:left="1820" w:hanging="522"/>
      </w:pPr>
      <w:rPr>
        <w:rFonts w:hint="default"/>
        <w:lang w:val="es-ES" w:eastAsia="es-ES" w:bidi="es-ES"/>
      </w:rPr>
    </w:lvl>
    <w:lvl w:ilvl="5">
      <w:numFmt w:val="bullet"/>
      <w:lvlText w:val="•"/>
      <w:lvlJc w:val="left"/>
      <w:pPr>
        <w:ind w:left="1900" w:hanging="522"/>
      </w:pPr>
      <w:rPr>
        <w:rFonts w:hint="default"/>
        <w:lang w:val="es-ES" w:eastAsia="es-ES" w:bidi="es-ES"/>
      </w:rPr>
    </w:lvl>
    <w:lvl w:ilvl="6">
      <w:numFmt w:val="bullet"/>
      <w:lvlText w:val="•"/>
      <w:lvlJc w:val="left"/>
      <w:pPr>
        <w:ind w:left="2480" w:hanging="522"/>
      </w:pPr>
      <w:rPr>
        <w:rFonts w:hint="default"/>
        <w:lang w:val="es-ES" w:eastAsia="es-ES" w:bidi="es-ES"/>
      </w:rPr>
    </w:lvl>
    <w:lvl w:ilvl="7">
      <w:numFmt w:val="bullet"/>
      <w:lvlText w:val="•"/>
      <w:lvlJc w:val="left"/>
      <w:pPr>
        <w:ind w:left="4544" w:hanging="522"/>
      </w:pPr>
      <w:rPr>
        <w:rFonts w:hint="default"/>
        <w:lang w:val="es-ES" w:eastAsia="es-ES" w:bidi="es-ES"/>
      </w:rPr>
    </w:lvl>
    <w:lvl w:ilvl="8">
      <w:numFmt w:val="bullet"/>
      <w:lvlText w:val="•"/>
      <w:lvlJc w:val="left"/>
      <w:pPr>
        <w:ind w:left="6609" w:hanging="522"/>
      </w:pPr>
      <w:rPr>
        <w:rFonts w:hint="default"/>
        <w:lang w:val="es-ES" w:eastAsia="es-ES" w:bidi="es-ES"/>
      </w:rPr>
    </w:lvl>
  </w:abstractNum>
  <w:abstractNum w:abstractNumId="11" w15:restartNumberingAfterBreak="0">
    <w:nsid w:val="267A465B"/>
    <w:multiLevelType w:val="hybridMultilevel"/>
    <w:tmpl w:val="970E9F5C"/>
    <w:lvl w:ilvl="0" w:tplc="3A12502E">
      <w:start w:val="2"/>
      <w:numFmt w:val="upperLetter"/>
      <w:lvlText w:val="%1."/>
      <w:lvlJc w:val="left"/>
      <w:pPr>
        <w:ind w:left="5888"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B0355F8"/>
    <w:multiLevelType w:val="hybridMultilevel"/>
    <w:tmpl w:val="542EE24C"/>
    <w:lvl w:ilvl="0" w:tplc="0C0A000F">
      <w:start w:val="88"/>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BA10417"/>
    <w:multiLevelType w:val="hybridMultilevel"/>
    <w:tmpl w:val="6556E9F2"/>
    <w:lvl w:ilvl="0" w:tplc="D2AA8492">
      <w:start w:val="2"/>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3CA0A6C"/>
    <w:multiLevelType w:val="hybridMultilevel"/>
    <w:tmpl w:val="703C0F64"/>
    <w:lvl w:ilvl="0" w:tplc="E000F090">
      <w:start w:val="1"/>
      <w:numFmt w:val="decimal"/>
      <w:lvlText w:val="%1."/>
      <w:lvlJc w:val="left"/>
      <w:pPr>
        <w:ind w:left="6172" w:hanging="360"/>
      </w:pPr>
      <w:rPr>
        <w:rFonts w:ascii="Verdana" w:hAnsi="Verdana" w:hint="default"/>
        <w:b w:val="0"/>
        <w:i w:val="0"/>
        <w:strike w:val="0"/>
        <w:sz w:val="20"/>
        <w:szCs w:val="20"/>
        <w:vertAlign w:val="baseline"/>
      </w:rPr>
    </w:lvl>
    <w:lvl w:ilvl="1" w:tplc="0234FCEC">
      <w:start w:val="1"/>
      <w:numFmt w:val="lowerLetter"/>
      <w:lvlText w:val="%2."/>
      <w:lvlJc w:val="left"/>
      <w:pPr>
        <w:ind w:left="3411" w:hanging="360"/>
      </w:pPr>
      <w:rPr>
        <w:b w:val="0"/>
      </w:rPr>
    </w:lvl>
    <w:lvl w:ilvl="2" w:tplc="0409001B" w:tentative="1">
      <w:start w:val="1"/>
      <w:numFmt w:val="lowerRoman"/>
      <w:lvlText w:val="%3."/>
      <w:lvlJc w:val="right"/>
      <w:pPr>
        <w:ind w:left="4131" w:hanging="180"/>
      </w:pPr>
    </w:lvl>
    <w:lvl w:ilvl="3" w:tplc="0409000F" w:tentative="1">
      <w:start w:val="1"/>
      <w:numFmt w:val="decimal"/>
      <w:lvlText w:val="%4."/>
      <w:lvlJc w:val="left"/>
      <w:pPr>
        <w:ind w:left="4851" w:hanging="360"/>
      </w:pPr>
    </w:lvl>
    <w:lvl w:ilvl="4" w:tplc="04090019" w:tentative="1">
      <w:start w:val="1"/>
      <w:numFmt w:val="lowerLetter"/>
      <w:lvlText w:val="%5."/>
      <w:lvlJc w:val="left"/>
      <w:pPr>
        <w:ind w:left="5571" w:hanging="360"/>
      </w:pPr>
    </w:lvl>
    <w:lvl w:ilvl="5" w:tplc="0409001B" w:tentative="1">
      <w:start w:val="1"/>
      <w:numFmt w:val="lowerRoman"/>
      <w:lvlText w:val="%6."/>
      <w:lvlJc w:val="right"/>
      <w:pPr>
        <w:ind w:left="6291" w:hanging="180"/>
      </w:pPr>
    </w:lvl>
    <w:lvl w:ilvl="6" w:tplc="0409000F" w:tentative="1">
      <w:start w:val="1"/>
      <w:numFmt w:val="decimal"/>
      <w:lvlText w:val="%7."/>
      <w:lvlJc w:val="left"/>
      <w:pPr>
        <w:ind w:left="7011" w:hanging="360"/>
      </w:pPr>
    </w:lvl>
    <w:lvl w:ilvl="7" w:tplc="04090019" w:tentative="1">
      <w:start w:val="1"/>
      <w:numFmt w:val="lowerLetter"/>
      <w:lvlText w:val="%8."/>
      <w:lvlJc w:val="left"/>
      <w:pPr>
        <w:ind w:left="7731" w:hanging="360"/>
      </w:pPr>
    </w:lvl>
    <w:lvl w:ilvl="8" w:tplc="0409001B" w:tentative="1">
      <w:start w:val="1"/>
      <w:numFmt w:val="lowerRoman"/>
      <w:lvlText w:val="%9."/>
      <w:lvlJc w:val="right"/>
      <w:pPr>
        <w:ind w:left="8451" w:hanging="180"/>
      </w:pPr>
    </w:lvl>
  </w:abstractNum>
  <w:abstractNum w:abstractNumId="15" w15:restartNumberingAfterBreak="0">
    <w:nsid w:val="3BDB0AD4"/>
    <w:multiLevelType w:val="hybridMultilevel"/>
    <w:tmpl w:val="FF3EAFB8"/>
    <w:lvl w:ilvl="0" w:tplc="6E4A8642">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E0508A0"/>
    <w:multiLevelType w:val="hybridMultilevel"/>
    <w:tmpl w:val="096CD31C"/>
    <w:lvl w:ilvl="0" w:tplc="0C0A000F">
      <w:start w:val="88"/>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E7E1C32"/>
    <w:multiLevelType w:val="hybridMultilevel"/>
    <w:tmpl w:val="497C7672"/>
    <w:lvl w:ilvl="0" w:tplc="0C0A000F">
      <w:start w:val="85"/>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8" w15:restartNumberingAfterBreak="0">
    <w:nsid w:val="413961CD"/>
    <w:multiLevelType w:val="hybridMultilevel"/>
    <w:tmpl w:val="DFF8DF90"/>
    <w:lvl w:ilvl="0" w:tplc="0C0A000F">
      <w:start w:val="87"/>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3751159"/>
    <w:multiLevelType w:val="hybridMultilevel"/>
    <w:tmpl w:val="5E94C680"/>
    <w:lvl w:ilvl="0" w:tplc="981CCE44">
      <w:start w:val="1"/>
      <w:numFmt w:val="decimal"/>
      <w:lvlText w:val="%1."/>
      <w:lvlJc w:val="left"/>
      <w:pPr>
        <w:ind w:left="360" w:hanging="360"/>
      </w:pPr>
      <w:rPr>
        <w:rFonts w:hint="default"/>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5336A7C"/>
    <w:multiLevelType w:val="hybridMultilevel"/>
    <w:tmpl w:val="54E40E10"/>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C366D43"/>
    <w:multiLevelType w:val="hybridMultilevel"/>
    <w:tmpl w:val="D1BE0240"/>
    <w:lvl w:ilvl="0" w:tplc="E84A0D6E">
      <w:start w:val="1"/>
      <w:numFmt w:val="upperRoman"/>
      <w:pStyle w:val="Ttulo"/>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4F7F20"/>
    <w:multiLevelType w:val="hybridMultilevel"/>
    <w:tmpl w:val="769E1CAE"/>
    <w:lvl w:ilvl="0" w:tplc="92A2DC40">
      <w:start w:val="1"/>
      <w:numFmt w:val="decimal"/>
      <w:lvlText w:val="%1."/>
      <w:lvlJc w:val="left"/>
      <w:pPr>
        <w:ind w:left="5463" w:hanging="360"/>
      </w:pPr>
      <w:rPr>
        <w:rFonts w:hint="default"/>
        <w:strike w:val="0"/>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23" w15:restartNumberingAfterBreak="0">
    <w:nsid w:val="4EC1005D"/>
    <w:multiLevelType w:val="hybridMultilevel"/>
    <w:tmpl w:val="A4D05C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F065104"/>
    <w:multiLevelType w:val="hybridMultilevel"/>
    <w:tmpl w:val="17BC0FC6"/>
    <w:lvl w:ilvl="0" w:tplc="7C62319A">
      <w:start w:val="1"/>
      <w:numFmt w:val="upperLetter"/>
      <w:lvlText w:val="%1."/>
      <w:lvlJc w:val="left"/>
      <w:pPr>
        <w:ind w:left="720" w:hanging="360"/>
      </w:pPr>
      <w:rPr>
        <w:rFonts w:hint="default"/>
        <w:b/>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1BC7196"/>
    <w:multiLevelType w:val="hybridMultilevel"/>
    <w:tmpl w:val="5D24A3AE"/>
    <w:lvl w:ilvl="0" w:tplc="0C0A000F">
      <w:start w:val="86"/>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AF82CF4"/>
    <w:multiLevelType w:val="hybridMultilevel"/>
    <w:tmpl w:val="54E40E10"/>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BBB598F"/>
    <w:multiLevelType w:val="hybridMultilevel"/>
    <w:tmpl w:val="612AF72E"/>
    <w:lvl w:ilvl="0" w:tplc="82F8F40E">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5FB852C4"/>
    <w:multiLevelType w:val="hybridMultilevel"/>
    <w:tmpl w:val="FC90C504"/>
    <w:lvl w:ilvl="0" w:tplc="8DDA4644">
      <w:start w:val="1"/>
      <w:numFmt w:val="upperLetter"/>
      <w:lvlText w:val="%1."/>
      <w:lvlJc w:val="left"/>
      <w:pPr>
        <w:ind w:left="704" w:hanging="42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9" w15:restartNumberingAfterBreak="0">
    <w:nsid w:val="604E5477"/>
    <w:multiLevelType w:val="hybridMultilevel"/>
    <w:tmpl w:val="EC9EEB12"/>
    <w:lvl w:ilvl="0" w:tplc="0C0A000F">
      <w:start w:val="88"/>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07D6B56"/>
    <w:multiLevelType w:val="hybridMultilevel"/>
    <w:tmpl w:val="698EEE3C"/>
    <w:lvl w:ilvl="0" w:tplc="140A0017">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D994840"/>
    <w:multiLevelType w:val="hybridMultilevel"/>
    <w:tmpl w:val="429CD686"/>
    <w:lvl w:ilvl="0" w:tplc="11FEBB56">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2" w15:restartNumberingAfterBreak="0">
    <w:nsid w:val="705A6F5C"/>
    <w:multiLevelType w:val="hybridMultilevel"/>
    <w:tmpl w:val="554EE8C4"/>
    <w:lvl w:ilvl="0" w:tplc="6722D962">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AR"/>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32777FA"/>
    <w:multiLevelType w:val="hybridMultilevel"/>
    <w:tmpl w:val="E5EAEA3E"/>
    <w:lvl w:ilvl="0" w:tplc="96582B8C">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3636B14"/>
    <w:multiLevelType w:val="hybridMultilevel"/>
    <w:tmpl w:val="0F8A8A90"/>
    <w:lvl w:ilvl="0" w:tplc="0C0A000F">
      <w:start w:val="89"/>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CA227E1"/>
    <w:multiLevelType w:val="hybridMultilevel"/>
    <w:tmpl w:val="511E49FA"/>
    <w:lvl w:ilvl="0" w:tplc="9B94FB82">
      <w:start w:val="87"/>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2"/>
  </w:num>
  <w:num w:numId="2">
    <w:abstractNumId w:val="14"/>
  </w:num>
  <w:num w:numId="3">
    <w:abstractNumId w:val="15"/>
  </w:num>
  <w:num w:numId="4">
    <w:abstractNumId w:val="26"/>
  </w:num>
  <w:num w:numId="5">
    <w:abstractNumId w:val="22"/>
  </w:num>
  <w:num w:numId="6">
    <w:abstractNumId w:val="21"/>
  </w:num>
  <w:num w:numId="7">
    <w:abstractNumId w:val="30"/>
  </w:num>
  <w:num w:numId="8">
    <w:abstractNumId w:val="24"/>
  </w:num>
  <w:num w:numId="9">
    <w:abstractNumId w:val="33"/>
  </w:num>
  <w:num w:numId="10">
    <w:abstractNumId w:val="27"/>
  </w:num>
  <w:num w:numId="11">
    <w:abstractNumId w:val="31"/>
  </w:num>
  <w:num w:numId="12">
    <w:abstractNumId w:val="10"/>
  </w:num>
  <w:num w:numId="13">
    <w:abstractNumId w:val="0"/>
  </w:num>
  <w:num w:numId="14">
    <w:abstractNumId w:val="5"/>
  </w:num>
  <w:num w:numId="15">
    <w:abstractNumId w:val="3"/>
  </w:num>
  <w:num w:numId="16">
    <w:abstractNumId w:val="2"/>
  </w:num>
  <w:num w:numId="17">
    <w:abstractNumId w:val="13"/>
  </w:num>
  <w:num w:numId="18">
    <w:abstractNumId w:val="4"/>
  </w:num>
  <w:num w:numId="19">
    <w:abstractNumId w:val="23"/>
  </w:num>
  <w:num w:numId="20">
    <w:abstractNumId w:val="1"/>
  </w:num>
  <w:num w:numId="21">
    <w:abstractNumId w:val="9"/>
  </w:num>
  <w:num w:numId="22">
    <w:abstractNumId w:val="17"/>
  </w:num>
  <w:num w:numId="23">
    <w:abstractNumId w:val="8"/>
  </w:num>
  <w:num w:numId="24">
    <w:abstractNumId w:val="25"/>
  </w:num>
  <w:num w:numId="25">
    <w:abstractNumId w:val="6"/>
  </w:num>
  <w:num w:numId="26">
    <w:abstractNumId w:val="18"/>
  </w:num>
  <w:num w:numId="27">
    <w:abstractNumId w:val="35"/>
  </w:num>
  <w:num w:numId="28">
    <w:abstractNumId w:val="16"/>
  </w:num>
  <w:num w:numId="29">
    <w:abstractNumId w:val="12"/>
  </w:num>
  <w:num w:numId="30">
    <w:abstractNumId w:val="29"/>
  </w:num>
  <w:num w:numId="31">
    <w:abstractNumId w:val="34"/>
  </w:num>
  <w:num w:numId="32">
    <w:abstractNumId w:val="28"/>
  </w:num>
  <w:num w:numId="33">
    <w:abstractNumId w:val="11"/>
  </w:num>
  <w:num w:numId="34">
    <w:abstractNumId w:val="20"/>
  </w:num>
  <w:num w:numId="35">
    <w:abstractNumId w:val="7"/>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DC3"/>
    <w:rsid w:val="00006D9A"/>
    <w:rsid w:val="00010B4B"/>
    <w:rsid w:val="00011A12"/>
    <w:rsid w:val="00012205"/>
    <w:rsid w:val="0001225F"/>
    <w:rsid w:val="00014990"/>
    <w:rsid w:val="00023F61"/>
    <w:rsid w:val="000254C2"/>
    <w:rsid w:val="00027FE6"/>
    <w:rsid w:val="0003486C"/>
    <w:rsid w:val="00034C44"/>
    <w:rsid w:val="0003793F"/>
    <w:rsid w:val="00042F20"/>
    <w:rsid w:val="00044B34"/>
    <w:rsid w:val="00045853"/>
    <w:rsid w:val="000462B0"/>
    <w:rsid w:val="0005076E"/>
    <w:rsid w:val="000532C8"/>
    <w:rsid w:val="000542E1"/>
    <w:rsid w:val="00055471"/>
    <w:rsid w:val="0005711C"/>
    <w:rsid w:val="00057812"/>
    <w:rsid w:val="00060237"/>
    <w:rsid w:val="0006375F"/>
    <w:rsid w:val="00065B6F"/>
    <w:rsid w:val="000716EF"/>
    <w:rsid w:val="00073AE1"/>
    <w:rsid w:val="00081654"/>
    <w:rsid w:val="00081666"/>
    <w:rsid w:val="00084240"/>
    <w:rsid w:val="00085186"/>
    <w:rsid w:val="0008623D"/>
    <w:rsid w:val="000872C8"/>
    <w:rsid w:val="00090AB4"/>
    <w:rsid w:val="00091C3F"/>
    <w:rsid w:val="00092452"/>
    <w:rsid w:val="00093BC3"/>
    <w:rsid w:val="0009653D"/>
    <w:rsid w:val="00096775"/>
    <w:rsid w:val="000A06AA"/>
    <w:rsid w:val="000A1D53"/>
    <w:rsid w:val="000A24EF"/>
    <w:rsid w:val="000A4A94"/>
    <w:rsid w:val="000A509B"/>
    <w:rsid w:val="000A53AF"/>
    <w:rsid w:val="000A55CD"/>
    <w:rsid w:val="000B0FAC"/>
    <w:rsid w:val="000B1A89"/>
    <w:rsid w:val="000B2E8E"/>
    <w:rsid w:val="000B40BF"/>
    <w:rsid w:val="000B418A"/>
    <w:rsid w:val="000B665D"/>
    <w:rsid w:val="000C0339"/>
    <w:rsid w:val="000C2FC3"/>
    <w:rsid w:val="000C38AD"/>
    <w:rsid w:val="000C3C4B"/>
    <w:rsid w:val="000C48F1"/>
    <w:rsid w:val="000C5F8B"/>
    <w:rsid w:val="000D34FC"/>
    <w:rsid w:val="000D6A0C"/>
    <w:rsid w:val="000E001A"/>
    <w:rsid w:val="000E00E7"/>
    <w:rsid w:val="000E1203"/>
    <w:rsid w:val="000E2616"/>
    <w:rsid w:val="000E2FF5"/>
    <w:rsid w:val="000E374E"/>
    <w:rsid w:val="000E3F91"/>
    <w:rsid w:val="000E4602"/>
    <w:rsid w:val="000E65D1"/>
    <w:rsid w:val="000E6962"/>
    <w:rsid w:val="000F1153"/>
    <w:rsid w:val="000F15CC"/>
    <w:rsid w:val="000F1925"/>
    <w:rsid w:val="000F25FE"/>
    <w:rsid w:val="000F4C7B"/>
    <w:rsid w:val="000F7CC0"/>
    <w:rsid w:val="001022C7"/>
    <w:rsid w:val="00103799"/>
    <w:rsid w:val="00103E3F"/>
    <w:rsid w:val="0011045F"/>
    <w:rsid w:val="001122D9"/>
    <w:rsid w:val="00112CFE"/>
    <w:rsid w:val="00116998"/>
    <w:rsid w:val="0012116E"/>
    <w:rsid w:val="001218A0"/>
    <w:rsid w:val="00122836"/>
    <w:rsid w:val="0012334D"/>
    <w:rsid w:val="0012398F"/>
    <w:rsid w:val="00123B82"/>
    <w:rsid w:val="00125073"/>
    <w:rsid w:val="0012574C"/>
    <w:rsid w:val="00132C2E"/>
    <w:rsid w:val="00132F52"/>
    <w:rsid w:val="00140D54"/>
    <w:rsid w:val="00142754"/>
    <w:rsid w:val="00144DAE"/>
    <w:rsid w:val="00145063"/>
    <w:rsid w:val="00146DF8"/>
    <w:rsid w:val="00152BC4"/>
    <w:rsid w:val="0015637D"/>
    <w:rsid w:val="0016124F"/>
    <w:rsid w:val="00171699"/>
    <w:rsid w:val="00171A07"/>
    <w:rsid w:val="00172D44"/>
    <w:rsid w:val="001738D0"/>
    <w:rsid w:val="00174C01"/>
    <w:rsid w:val="00175E11"/>
    <w:rsid w:val="00176E6F"/>
    <w:rsid w:val="00182375"/>
    <w:rsid w:val="00182B0E"/>
    <w:rsid w:val="001854E2"/>
    <w:rsid w:val="00187719"/>
    <w:rsid w:val="00192FBE"/>
    <w:rsid w:val="00193496"/>
    <w:rsid w:val="00195CD3"/>
    <w:rsid w:val="00196661"/>
    <w:rsid w:val="001A103A"/>
    <w:rsid w:val="001A2844"/>
    <w:rsid w:val="001A2D39"/>
    <w:rsid w:val="001A32AF"/>
    <w:rsid w:val="001A74C7"/>
    <w:rsid w:val="001B0EEB"/>
    <w:rsid w:val="001B1CBA"/>
    <w:rsid w:val="001B2C6E"/>
    <w:rsid w:val="001C179D"/>
    <w:rsid w:val="001C25BB"/>
    <w:rsid w:val="001C2C34"/>
    <w:rsid w:val="001C33B9"/>
    <w:rsid w:val="001C4342"/>
    <w:rsid w:val="001C45D8"/>
    <w:rsid w:val="001C46C1"/>
    <w:rsid w:val="001C6AAC"/>
    <w:rsid w:val="001C76A4"/>
    <w:rsid w:val="001D0BB1"/>
    <w:rsid w:val="001D0E36"/>
    <w:rsid w:val="001D15E0"/>
    <w:rsid w:val="001D1E88"/>
    <w:rsid w:val="001D630A"/>
    <w:rsid w:val="001E0356"/>
    <w:rsid w:val="001E307D"/>
    <w:rsid w:val="001F1377"/>
    <w:rsid w:val="001F4609"/>
    <w:rsid w:val="001F4B79"/>
    <w:rsid w:val="001F5502"/>
    <w:rsid w:val="002038D0"/>
    <w:rsid w:val="0021218D"/>
    <w:rsid w:val="002140CA"/>
    <w:rsid w:val="00217B39"/>
    <w:rsid w:val="0022145A"/>
    <w:rsid w:val="00221E6B"/>
    <w:rsid w:val="00222AE9"/>
    <w:rsid w:val="00226189"/>
    <w:rsid w:val="00227228"/>
    <w:rsid w:val="0023121B"/>
    <w:rsid w:val="00231FD0"/>
    <w:rsid w:val="0023686B"/>
    <w:rsid w:val="00236F9B"/>
    <w:rsid w:val="002379CC"/>
    <w:rsid w:val="00240E34"/>
    <w:rsid w:val="00241286"/>
    <w:rsid w:val="00241EFD"/>
    <w:rsid w:val="00242614"/>
    <w:rsid w:val="0025407B"/>
    <w:rsid w:val="00255525"/>
    <w:rsid w:val="00255CDC"/>
    <w:rsid w:val="00255F8F"/>
    <w:rsid w:val="00260845"/>
    <w:rsid w:val="00262D17"/>
    <w:rsid w:val="0026434B"/>
    <w:rsid w:val="00267562"/>
    <w:rsid w:val="0026775F"/>
    <w:rsid w:val="00270DAB"/>
    <w:rsid w:val="00270F2A"/>
    <w:rsid w:val="00273904"/>
    <w:rsid w:val="002765CE"/>
    <w:rsid w:val="00280E58"/>
    <w:rsid w:val="002810F0"/>
    <w:rsid w:val="0028131B"/>
    <w:rsid w:val="00281C7F"/>
    <w:rsid w:val="00285477"/>
    <w:rsid w:val="00290AB1"/>
    <w:rsid w:val="00297B76"/>
    <w:rsid w:val="002A32CE"/>
    <w:rsid w:val="002A3D9B"/>
    <w:rsid w:val="002A4E8D"/>
    <w:rsid w:val="002A6D38"/>
    <w:rsid w:val="002A7D14"/>
    <w:rsid w:val="002B32B2"/>
    <w:rsid w:val="002B5B7B"/>
    <w:rsid w:val="002B74E3"/>
    <w:rsid w:val="002B7EFF"/>
    <w:rsid w:val="002C2C17"/>
    <w:rsid w:val="002C4285"/>
    <w:rsid w:val="002C5C9C"/>
    <w:rsid w:val="002C622B"/>
    <w:rsid w:val="002C7ED8"/>
    <w:rsid w:val="002D005A"/>
    <w:rsid w:val="002D2F09"/>
    <w:rsid w:val="002D5E8F"/>
    <w:rsid w:val="002E00DB"/>
    <w:rsid w:val="002E0837"/>
    <w:rsid w:val="002E1E86"/>
    <w:rsid w:val="002E30C6"/>
    <w:rsid w:val="002E3D1D"/>
    <w:rsid w:val="002E5292"/>
    <w:rsid w:val="002E7221"/>
    <w:rsid w:val="002F1159"/>
    <w:rsid w:val="002F2AC1"/>
    <w:rsid w:val="002F4C1E"/>
    <w:rsid w:val="002F5725"/>
    <w:rsid w:val="002F65C0"/>
    <w:rsid w:val="00301A1E"/>
    <w:rsid w:val="003041ED"/>
    <w:rsid w:val="003055C8"/>
    <w:rsid w:val="0030735C"/>
    <w:rsid w:val="00307543"/>
    <w:rsid w:val="00307BB8"/>
    <w:rsid w:val="00310BFB"/>
    <w:rsid w:val="00313BE6"/>
    <w:rsid w:val="00317A84"/>
    <w:rsid w:val="00320ADB"/>
    <w:rsid w:val="0032156D"/>
    <w:rsid w:val="00321FDE"/>
    <w:rsid w:val="003249A3"/>
    <w:rsid w:val="00325376"/>
    <w:rsid w:val="003261E8"/>
    <w:rsid w:val="003262F3"/>
    <w:rsid w:val="003307B3"/>
    <w:rsid w:val="003316E2"/>
    <w:rsid w:val="00335F28"/>
    <w:rsid w:val="00336101"/>
    <w:rsid w:val="00336916"/>
    <w:rsid w:val="00336DD3"/>
    <w:rsid w:val="003400CB"/>
    <w:rsid w:val="00342521"/>
    <w:rsid w:val="00343638"/>
    <w:rsid w:val="00345713"/>
    <w:rsid w:val="00345E41"/>
    <w:rsid w:val="0034608F"/>
    <w:rsid w:val="00346729"/>
    <w:rsid w:val="00346777"/>
    <w:rsid w:val="00347A22"/>
    <w:rsid w:val="00352842"/>
    <w:rsid w:val="00355BC2"/>
    <w:rsid w:val="00357D8D"/>
    <w:rsid w:val="00360DC6"/>
    <w:rsid w:val="00363F6F"/>
    <w:rsid w:val="00365DEB"/>
    <w:rsid w:val="003673FE"/>
    <w:rsid w:val="00371100"/>
    <w:rsid w:val="00372478"/>
    <w:rsid w:val="00373B4B"/>
    <w:rsid w:val="00377ACA"/>
    <w:rsid w:val="003834B5"/>
    <w:rsid w:val="00387A98"/>
    <w:rsid w:val="00391BED"/>
    <w:rsid w:val="00393DEA"/>
    <w:rsid w:val="003A2FD2"/>
    <w:rsid w:val="003A7A6F"/>
    <w:rsid w:val="003B1016"/>
    <w:rsid w:val="003B18D4"/>
    <w:rsid w:val="003B282A"/>
    <w:rsid w:val="003B524F"/>
    <w:rsid w:val="003B6ED6"/>
    <w:rsid w:val="003C0316"/>
    <w:rsid w:val="003C1756"/>
    <w:rsid w:val="003C24D8"/>
    <w:rsid w:val="003C273A"/>
    <w:rsid w:val="003C455F"/>
    <w:rsid w:val="003C45BB"/>
    <w:rsid w:val="003C4876"/>
    <w:rsid w:val="003C5F5F"/>
    <w:rsid w:val="003D3B93"/>
    <w:rsid w:val="003D4669"/>
    <w:rsid w:val="003D5357"/>
    <w:rsid w:val="003D5653"/>
    <w:rsid w:val="003D7435"/>
    <w:rsid w:val="003D76ED"/>
    <w:rsid w:val="003D7922"/>
    <w:rsid w:val="003E0457"/>
    <w:rsid w:val="003E0C89"/>
    <w:rsid w:val="003E3D69"/>
    <w:rsid w:val="003E6F1A"/>
    <w:rsid w:val="003F1A6F"/>
    <w:rsid w:val="003F3DC9"/>
    <w:rsid w:val="003F7695"/>
    <w:rsid w:val="00401930"/>
    <w:rsid w:val="00404099"/>
    <w:rsid w:val="00406B82"/>
    <w:rsid w:val="00407152"/>
    <w:rsid w:val="0041003C"/>
    <w:rsid w:val="00412A29"/>
    <w:rsid w:val="00413AA9"/>
    <w:rsid w:val="00414030"/>
    <w:rsid w:val="00415C64"/>
    <w:rsid w:val="00416223"/>
    <w:rsid w:val="0041743F"/>
    <w:rsid w:val="00417E72"/>
    <w:rsid w:val="00420801"/>
    <w:rsid w:val="00422516"/>
    <w:rsid w:val="0042569D"/>
    <w:rsid w:val="00426887"/>
    <w:rsid w:val="00427D63"/>
    <w:rsid w:val="00431758"/>
    <w:rsid w:val="00431A1E"/>
    <w:rsid w:val="0043267C"/>
    <w:rsid w:val="00432EC7"/>
    <w:rsid w:val="00433C2D"/>
    <w:rsid w:val="00434832"/>
    <w:rsid w:val="00434F27"/>
    <w:rsid w:val="004360AC"/>
    <w:rsid w:val="00436336"/>
    <w:rsid w:val="004413AF"/>
    <w:rsid w:val="00443447"/>
    <w:rsid w:val="004501A3"/>
    <w:rsid w:val="004504C7"/>
    <w:rsid w:val="004533E2"/>
    <w:rsid w:val="00454F20"/>
    <w:rsid w:val="00455997"/>
    <w:rsid w:val="00460F99"/>
    <w:rsid w:val="0046141D"/>
    <w:rsid w:val="004621A0"/>
    <w:rsid w:val="0046243A"/>
    <w:rsid w:val="004633DA"/>
    <w:rsid w:val="004662AD"/>
    <w:rsid w:val="004713C3"/>
    <w:rsid w:val="00473D1A"/>
    <w:rsid w:val="00477D47"/>
    <w:rsid w:val="00481DF7"/>
    <w:rsid w:val="00482293"/>
    <w:rsid w:val="00482B80"/>
    <w:rsid w:val="004836AC"/>
    <w:rsid w:val="00485212"/>
    <w:rsid w:val="00491DF4"/>
    <w:rsid w:val="00492275"/>
    <w:rsid w:val="004922C6"/>
    <w:rsid w:val="00493771"/>
    <w:rsid w:val="00497E2F"/>
    <w:rsid w:val="004A5A2E"/>
    <w:rsid w:val="004A636B"/>
    <w:rsid w:val="004A7A7C"/>
    <w:rsid w:val="004B0B6F"/>
    <w:rsid w:val="004B0BAE"/>
    <w:rsid w:val="004B102C"/>
    <w:rsid w:val="004B14FA"/>
    <w:rsid w:val="004B233C"/>
    <w:rsid w:val="004C0712"/>
    <w:rsid w:val="004C51EC"/>
    <w:rsid w:val="004C5CF3"/>
    <w:rsid w:val="004C70ED"/>
    <w:rsid w:val="004D3D72"/>
    <w:rsid w:val="004D56C4"/>
    <w:rsid w:val="004D6677"/>
    <w:rsid w:val="004D7F09"/>
    <w:rsid w:val="004E5A59"/>
    <w:rsid w:val="004E5B5A"/>
    <w:rsid w:val="004E688C"/>
    <w:rsid w:val="004F3CE1"/>
    <w:rsid w:val="004F632D"/>
    <w:rsid w:val="004F78FC"/>
    <w:rsid w:val="004F7B2A"/>
    <w:rsid w:val="00504845"/>
    <w:rsid w:val="00505519"/>
    <w:rsid w:val="00506A87"/>
    <w:rsid w:val="0051144E"/>
    <w:rsid w:val="00512806"/>
    <w:rsid w:val="0052391B"/>
    <w:rsid w:val="00523B26"/>
    <w:rsid w:val="005258B4"/>
    <w:rsid w:val="00527435"/>
    <w:rsid w:val="00527B8F"/>
    <w:rsid w:val="00527FFA"/>
    <w:rsid w:val="00533B7E"/>
    <w:rsid w:val="00533EC7"/>
    <w:rsid w:val="00534464"/>
    <w:rsid w:val="005378D9"/>
    <w:rsid w:val="005404FB"/>
    <w:rsid w:val="00542B4C"/>
    <w:rsid w:val="005448DF"/>
    <w:rsid w:val="0054504E"/>
    <w:rsid w:val="00547484"/>
    <w:rsid w:val="0055547D"/>
    <w:rsid w:val="00557243"/>
    <w:rsid w:val="005609AF"/>
    <w:rsid w:val="00561052"/>
    <w:rsid w:val="00565B0F"/>
    <w:rsid w:val="00566E9E"/>
    <w:rsid w:val="0057027E"/>
    <w:rsid w:val="00570695"/>
    <w:rsid w:val="00570B84"/>
    <w:rsid w:val="00570C14"/>
    <w:rsid w:val="00572E43"/>
    <w:rsid w:val="00576ECF"/>
    <w:rsid w:val="0057725C"/>
    <w:rsid w:val="00581DE3"/>
    <w:rsid w:val="005855A6"/>
    <w:rsid w:val="00590C47"/>
    <w:rsid w:val="00596725"/>
    <w:rsid w:val="00596B24"/>
    <w:rsid w:val="00597B71"/>
    <w:rsid w:val="005A03C1"/>
    <w:rsid w:val="005A0DC6"/>
    <w:rsid w:val="005A1BF8"/>
    <w:rsid w:val="005A31B4"/>
    <w:rsid w:val="005A75A5"/>
    <w:rsid w:val="005A7B28"/>
    <w:rsid w:val="005B0439"/>
    <w:rsid w:val="005B21E6"/>
    <w:rsid w:val="005B2D59"/>
    <w:rsid w:val="005B390A"/>
    <w:rsid w:val="005B3FCF"/>
    <w:rsid w:val="005B6470"/>
    <w:rsid w:val="005C029A"/>
    <w:rsid w:val="005C1125"/>
    <w:rsid w:val="005C369A"/>
    <w:rsid w:val="005C48BC"/>
    <w:rsid w:val="005C742F"/>
    <w:rsid w:val="005D0122"/>
    <w:rsid w:val="005D2379"/>
    <w:rsid w:val="005D2B00"/>
    <w:rsid w:val="005D3F88"/>
    <w:rsid w:val="005D4F9D"/>
    <w:rsid w:val="005D6A24"/>
    <w:rsid w:val="005D7E85"/>
    <w:rsid w:val="005E0A5A"/>
    <w:rsid w:val="005E0CC4"/>
    <w:rsid w:val="005E1086"/>
    <w:rsid w:val="005E1B08"/>
    <w:rsid w:val="005E1DA0"/>
    <w:rsid w:val="005E3961"/>
    <w:rsid w:val="005F179E"/>
    <w:rsid w:val="005F371A"/>
    <w:rsid w:val="005F471F"/>
    <w:rsid w:val="005F5C83"/>
    <w:rsid w:val="005F7545"/>
    <w:rsid w:val="006009A2"/>
    <w:rsid w:val="00602C94"/>
    <w:rsid w:val="0060304F"/>
    <w:rsid w:val="006074C9"/>
    <w:rsid w:val="006111C4"/>
    <w:rsid w:val="006152B6"/>
    <w:rsid w:val="00617651"/>
    <w:rsid w:val="00622CB4"/>
    <w:rsid w:val="00625B2E"/>
    <w:rsid w:val="00626128"/>
    <w:rsid w:val="00627C03"/>
    <w:rsid w:val="006303D1"/>
    <w:rsid w:val="006308AB"/>
    <w:rsid w:val="006324B7"/>
    <w:rsid w:val="00633289"/>
    <w:rsid w:val="00636EFB"/>
    <w:rsid w:val="006442F2"/>
    <w:rsid w:val="00646BB5"/>
    <w:rsid w:val="006477EB"/>
    <w:rsid w:val="006505EE"/>
    <w:rsid w:val="00650B45"/>
    <w:rsid w:val="00650C0B"/>
    <w:rsid w:val="00654D1F"/>
    <w:rsid w:val="0065668F"/>
    <w:rsid w:val="00656913"/>
    <w:rsid w:val="0066019F"/>
    <w:rsid w:val="006604CC"/>
    <w:rsid w:val="00660B75"/>
    <w:rsid w:val="006625BD"/>
    <w:rsid w:val="00663702"/>
    <w:rsid w:val="00664387"/>
    <w:rsid w:val="00665674"/>
    <w:rsid w:val="00665C06"/>
    <w:rsid w:val="006728D2"/>
    <w:rsid w:val="00677731"/>
    <w:rsid w:val="006815CC"/>
    <w:rsid w:val="00682841"/>
    <w:rsid w:val="0068760D"/>
    <w:rsid w:val="006904A1"/>
    <w:rsid w:val="00691491"/>
    <w:rsid w:val="00691B1E"/>
    <w:rsid w:val="00695778"/>
    <w:rsid w:val="00695EC9"/>
    <w:rsid w:val="0069644A"/>
    <w:rsid w:val="0069778D"/>
    <w:rsid w:val="006A42FF"/>
    <w:rsid w:val="006A45DE"/>
    <w:rsid w:val="006B0110"/>
    <w:rsid w:val="006B0E93"/>
    <w:rsid w:val="006B13C6"/>
    <w:rsid w:val="006B16CC"/>
    <w:rsid w:val="006B49B4"/>
    <w:rsid w:val="006B7541"/>
    <w:rsid w:val="006C008A"/>
    <w:rsid w:val="006C0133"/>
    <w:rsid w:val="006C0400"/>
    <w:rsid w:val="006C2E97"/>
    <w:rsid w:val="006C3198"/>
    <w:rsid w:val="006C4072"/>
    <w:rsid w:val="006C4B83"/>
    <w:rsid w:val="006C6B39"/>
    <w:rsid w:val="006D2A61"/>
    <w:rsid w:val="006D2FEA"/>
    <w:rsid w:val="006D6A06"/>
    <w:rsid w:val="006D7DDC"/>
    <w:rsid w:val="006E636C"/>
    <w:rsid w:val="006E7475"/>
    <w:rsid w:val="006F00D7"/>
    <w:rsid w:val="006F097A"/>
    <w:rsid w:val="006F2CD2"/>
    <w:rsid w:val="006F3276"/>
    <w:rsid w:val="006F33CB"/>
    <w:rsid w:val="006F5A8D"/>
    <w:rsid w:val="0070069C"/>
    <w:rsid w:val="00701589"/>
    <w:rsid w:val="00702A2B"/>
    <w:rsid w:val="00702A87"/>
    <w:rsid w:val="0070638F"/>
    <w:rsid w:val="00707D69"/>
    <w:rsid w:val="00711B38"/>
    <w:rsid w:val="00711F3C"/>
    <w:rsid w:val="00712527"/>
    <w:rsid w:val="00717195"/>
    <w:rsid w:val="00717D5A"/>
    <w:rsid w:val="007212F5"/>
    <w:rsid w:val="0072217F"/>
    <w:rsid w:val="00724CF9"/>
    <w:rsid w:val="00724D48"/>
    <w:rsid w:val="00724F6A"/>
    <w:rsid w:val="0072703D"/>
    <w:rsid w:val="00732429"/>
    <w:rsid w:val="00734DC9"/>
    <w:rsid w:val="0073572A"/>
    <w:rsid w:val="007374E3"/>
    <w:rsid w:val="0074683C"/>
    <w:rsid w:val="00751365"/>
    <w:rsid w:val="00761462"/>
    <w:rsid w:val="007619E5"/>
    <w:rsid w:val="00762526"/>
    <w:rsid w:val="00764F73"/>
    <w:rsid w:val="00765893"/>
    <w:rsid w:val="007667AD"/>
    <w:rsid w:val="00770F5C"/>
    <w:rsid w:val="00772333"/>
    <w:rsid w:val="007744AD"/>
    <w:rsid w:val="00776371"/>
    <w:rsid w:val="0077725A"/>
    <w:rsid w:val="00780C5B"/>
    <w:rsid w:val="007830B6"/>
    <w:rsid w:val="00785D06"/>
    <w:rsid w:val="00786BB3"/>
    <w:rsid w:val="00786F70"/>
    <w:rsid w:val="0079235D"/>
    <w:rsid w:val="00794D20"/>
    <w:rsid w:val="00794E0D"/>
    <w:rsid w:val="0079599C"/>
    <w:rsid w:val="007A3232"/>
    <w:rsid w:val="007A555B"/>
    <w:rsid w:val="007B6B60"/>
    <w:rsid w:val="007C1C0E"/>
    <w:rsid w:val="007C2B75"/>
    <w:rsid w:val="007C331F"/>
    <w:rsid w:val="007C7218"/>
    <w:rsid w:val="007C7C31"/>
    <w:rsid w:val="007D2C26"/>
    <w:rsid w:val="007D3153"/>
    <w:rsid w:val="007D4FF3"/>
    <w:rsid w:val="007E034C"/>
    <w:rsid w:val="007E086F"/>
    <w:rsid w:val="007E15C2"/>
    <w:rsid w:val="007E23BD"/>
    <w:rsid w:val="007E2971"/>
    <w:rsid w:val="007E58DA"/>
    <w:rsid w:val="007E65C1"/>
    <w:rsid w:val="007E6DB4"/>
    <w:rsid w:val="007F26A9"/>
    <w:rsid w:val="007F5C21"/>
    <w:rsid w:val="007F7A91"/>
    <w:rsid w:val="008001F9"/>
    <w:rsid w:val="00801B00"/>
    <w:rsid w:val="00801F81"/>
    <w:rsid w:val="00802103"/>
    <w:rsid w:val="00803EC8"/>
    <w:rsid w:val="00805936"/>
    <w:rsid w:val="00805F99"/>
    <w:rsid w:val="0080770A"/>
    <w:rsid w:val="0081188B"/>
    <w:rsid w:val="00813013"/>
    <w:rsid w:val="008140B9"/>
    <w:rsid w:val="00816191"/>
    <w:rsid w:val="008202BA"/>
    <w:rsid w:val="0083214B"/>
    <w:rsid w:val="00832DF9"/>
    <w:rsid w:val="0083507D"/>
    <w:rsid w:val="008409F1"/>
    <w:rsid w:val="00841C13"/>
    <w:rsid w:val="0084456C"/>
    <w:rsid w:val="008520AA"/>
    <w:rsid w:val="00852234"/>
    <w:rsid w:val="008526B2"/>
    <w:rsid w:val="00853879"/>
    <w:rsid w:val="00853885"/>
    <w:rsid w:val="008549E5"/>
    <w:rsid w:val="008624AA"/>
    <w:rsid w:val="008625C2"/>
    <w:rsid w:val="00862973"/>
    <w:rsid w:val="00864596"/>
    <w:rsid w:val="00864820"/>
    <w:rsid w:val="00873832"/>
    <w:rsid w:val="00873DEC"/>
    <w:rsid w:val="0087444D"/>
    <w:rsid w:val="008747A2"/>
    <w:rsid w:val="008815AD"/>
    <w:rsid w:val="00884810"/>
    <w:rsid w:val="00885FD7"/>
    <w:rsid w:val="00890498"/>
    <w:rsid w:val="00891A40"/>
    <w:rsid w:val="008921C4"/>
    <w:rsid w:val="0089411F"/>
    <w:rsid w:val="0089489F"/>
    <w:rsid w:val="00894CE5"/>
    <w:rsid w:val="008A31CB"/>
    <w:rsid w:val="008A5463"/>
    <w:rsid w:val="008B0476"/>
    <w:rsid w:val="008B1030"/>
    <w:rsid w:val="008B3621"/>
    <w:rsid w:val="008B37E4"/>
    <w:rsid w:val="008B4153"/>
    <w:rsid w:val="008C0326"/>
    <w:rsid w:val="008C5776"/>
    <w:rsid w:val="008C66A3"/>
    <w:rsid w:val="008C7F82"/>
    <w:rsid w:val="008D3CB4"/>
    <w:rsid w:val="008D5EB4"/>
    <w:rsid w:val="008D62E0"/>
    <w:rsid w:val="008E144E"/>
    <w:rsid w:val="008E14AA"/>
    <w:rsid w:val="008E259A"/>
    <w:rsid w:val="008E312B"/>
    <w:rsid w:val="008E4A65"/>
    <w:rsid w:val="008E5213"/>
    <w:rsid w:val="008E5A41"/>
    <w:rsid w:val="008E6839"/>
    <w:rsid w:val="008E7386"/>
    <w:rsid w:val="008E7411"/>
    <w:rsid w:val="008F2423"/>
    <w:rsid w:val="008F25DD"/>
    <w:rsid w:val="008F49E7"/>
    <w:rsid w:val="008F6E79"/>
    <w:rsid w:val="00900A27"/>
    <w:rsid w:val="0090680A"/>
    <w:rsid w:val="009075D0"/>
    <w:rsid w:val="00907B63"/>
    <w:rsid w:val="00913A41"/>
    <w:rsid w:val="009158B7"/>
    <w:rsid w:val="00915B79"/>
    <w:rsid w:val="009177F4"/>
    <w:rsid w:val="00920525"/>
    <w:rsid w:val="00921987"/>
    <w:rsid w:val="00924968"/>
    <w:rsid w:val="00925959"/>
    <w:rsid w:val="0092629C"/>
    <w:rsid w:val="00930E33"/>
    <w:rsid w:val="00930F2C"/>
    <w:rsid w:val="00931115"/>
    <w:rsid w:val="009321B3"/>
    <w:rsid w:val="00933118"/>
    <w:rsid w:val="00933894"/>
    <w:rsid w:val="00933FE6"/>
    <w:rsid w:val="00936125"/>
    <w:rsid w:val="00943E88"/>
    <w:rsid w:val="00944DB8"/>
    <w:rsid w:val="00951F36"/>
    <w:rsid w:val="00951FB0"/>
    <w:rsid w:val="00953BBC"/>
    <w:rsid w:val="009574E5"/>
    <w:rsid w:val="00960271"/>
    <w:rsid w:val="00960453"/>
    <w:rsid w:val="00961461"/>
    <w:rsid w:val="00961575"/>
    <w:rsid w:val="0096626E"/>
    <w:rsid w:val="00971599"/>
    <w:rsid w:val="00971900"/>
    <w:rsid w:val="00971ADC"/>
    <w:rsid w:val="00971DD9"/>
    <w:rsid w:val="00971F64"/>
    <w:rsid w:val="0097298A"/>
    <w:rsid w:val="00974881"/>
    <w:rsid w:val="00976A21"/>
    <w:rsid w:val="00982285"/>
    <w:rsid w:val="00983FBA"/>
    <w:rsid w:val="00990A71"/>
    <w:rsid w:val="00993612"/>
    <w:rsid w:val="009945B1"/>
    <w:rsid w:val="009950B7"/>
    <w:rsid w:val="00995A2F"/>
    <w:rsid w:val="0099658A"/>
    <w:rsid w:val="00996D93"/>
    <w:rsid w:val="00996F77"/>
    <w:rsid w:val="009A0435"/>
    <w:rsid w:val="009A6258"/>
    <w:rsid w:val="009B1454"/>
    <w:rsid w:val="009B2989"/>
    <w:rsid w:val="009B4234"/>
    <w:rsid w:val="009B7131"/>
    <w:rsid w:val="009B7F6F"/>
    <w:rsid w:val="009C3E5C"/>
    <w:rsid w:val="009C4692"/>
    <w:rsid w:val="009C4EE1"/>
    <w:rsid w:val="009D7724"/>
    <w:rsid w:val="009D7E79"/>
    <w:rsid w:val="009E05FF"/>
    <w:rsid w:val="009E69BC"/>
    <w:rsid w:val="009F09AA"/>
    <w:rsid w:val="009F2153"/>
    <w:rsid w:val="009F2451"/>
    <w:rsid w:val="009F4791"/>
    <w:rsid w:val="009F4C01"/>
    <w:rsid w:val="009F6708"/>
    <w:rsid w:val="009F758D"/>
    <w:rsid w:val="009F7CAD"/>
    <w:rsid w:val="00A00282"/>
    <w:rsid w:val="00A00A77"/>
    <w:rsid w:val="00A04F6E"/>
    <w:rsid w:val="00A07D51"/>
    <w:rsid w:val="00A106BC"/>
    <w:rsid w:val="00A1694C"/>
    <w:rsid w:val="00A216E9"/>
    <w:rsid w:val="00A217D8"/>
    <w:rsid w:val="00A2200B"/>
    <w:rsid w:val="00A22845"/>
    <w:rsid w:val="00A27D99"/>
    <w:rsid w:val="00A30B81"/>
    <w:rsid w:val="00A30B9B"/>
    <w:rsid w:val="00A340DB"/>
    <w:rsid w:val="00A34340"/>
    <w:rsid w:val="00A363BC"/>
    <w:rsid w:val="00A366B8"/>
    <w:rsid w:val="00A407F2"/>
    <w:rsid w:val="00A44CC7"/>
    <w:rsid w:val="00A451E5"/>
    <w:rsid w:val="00A46DE5"/>
    <w:rsid w:val="00A50A59"/>
    <w:rsid w:val="00A51107"/>
    <w:rsid w:val="00A51995"/>
    <w:rsid w:val="00A52402"/>
    <w:rsid w:val="00A56975"/>
    <w:rsid w:val="00A56ADE"/>
    <w:rsid w:val="00A60C00"/>
    <w:rsid w:val="00A61900"/>
    <w:rsid w:val="00A61F5F"/>
    <w:rsid w:val="00A622B5"/>
    <w:rsid w:val="00A62636"/>
    <w:rsid w:val="00A62DEA"/>
    <w:rsid w:val="00A62E44"/>
    <w:rsid w:val="00A63A91"/>
    <w:rsid w:val="00A6449D"/>
    <w:rsid w:val="00A66036"/>
    <w:rsid w:val="00A71380"/>
    <w:rsid w:val="00A71B72"/>
    <w:rsid w:val="00A734D3"/>
    <w:rsid w:val="00A7412F"/>
    <w:rsid w:val="00A824C4"/>
    <w:rsid w:val="00A84D51"/>
    <w:rsid w:val="00A923BF"/>
    <w:rsid w:val="00A92657"/>
    <w:rsid w:val="00A95637"/>
    <w:rsid w:val="00AA4E84"/>
    <w:rsid w:val="00AA61A2"/>
    <w:rsid w:val="00AA6EBE"/>
    <w:rsid w:val="00AB28E8"/>
    <w:rsid w:val="00AB3F2F"/>
    <w:rsid w:val="00AB464A"/>
    <w:rsid w:val="00AB4B77"/>
    <w:rsid w:val="00AB5525"/>
    <w:rsid w:val="00AB73ED"/>
    <w:rsid w:val="00AB741D"/>
    <w:rsid w:val="00AC05FA"/>
    <w:rsid w:val="00AC0963"/>
    <w:rsid w:val="00AC13CF"/>
    <w:rsid w:val="00AC31D0"/>
    <w:rsid w:val="00AC49E7"/>
    <w:rsid w:val="00AC745E"/>
    <w:rsid w:val="00AC75EF"/>
    <w:rsid w:val="00AC7DD5"/>
    <w:rsid w:val="00AD03B4"/>
    <w:rsid w:val="00AD6D6F"/>
    <w:rsid w:val="00AD75FE"/>
    <w:rsid w:val="00AE074A"/>
    <w:rsid w:val="00AE1BA9"/>
    <w:rsid w:val="00AE29C0"/>
    <w:rsid w:val="00AE2BE0"/>
    <w:rsid w:val="00AE3D14"/>
    <w:rsid w:val="00AE3FA5"/>
    <w:rsid w:val="00AE76E8"/>
    <w:rsid w:val="00AF0C3E"/>
    <w:rsid w:val="00AF2F5E"/>
    <w:rsid w:val="00AF767F"/>
    <w:rsid w:val="00AF7BC6"/>
    <w:rsid w:val="00B00B31"/>
    <w:rsid w:val="00B02C73"/>
    <w:rsid w:val="00B05919"/>
    <w:rsid w:val="00B077F0"/>
    <w:rsid w:val="00B1427C"/>
    <w:rsid w:val="00B2094B"/>
    <w:rsid w:val="00B21479"/>
    <w:rsid w:val="00B3564F"/>
    <w:rsid w:val="00B35DC3"/>
    <w:rsid w:val="00B37C9D"/>
    <w:rsid w:val="00B409F1"/>
    <w:rsid w:val="00B41224"/>
    <w:rsid w:val="00B45FC1"/>
    <w:rsid w:val="00B46FE7"/>
    <w:rsid w:val="00B50FED"/>
    <w:rsid w:val="00B511E1"/>
    <w:rsid w:val="00B512D1"/>
    <w:rsid w:val="00B51F70"/>
    <w:rsid w:val="00B52756"/>
    <w:rsid w:val="00B6049A"/>
    <w:rsid w:val="00B60EB1"/>
    <w:rsid w:val="00B63CEE"/>
    <w:rsid w:val="00B644CC"/>
    <w:rsid w:val="00B71244"/>
    <w:rsid w:val="00B713D0"/>
    <w:rsid w:val="00B72578"/>
    <w:rsid w:val="00B72696"/>
    <w:rsid w:val="00B7292A"/>
    <w:rsid w:val="00B734ED"/>
    <w:rsid w:val="00B77CB6"/>
    <w:rsid w:val="00B85055"/>
    <w:rsid w:val="00B864F9"/>
    <w:rsid w:val="00B87C35"/>
    <w:rsid w:val="00B87E5F"/>
    <w:rsid w:val="00B90230"/>
    <w:rsid w:val="00B9786E"/>
    <w:rsid w:val="00B97F8F"/>
    <w:rsid w:val="00BA139B"/>
    <w:rsid w:val="00BA167C"/>
    <w:rsid w:val="00BA24B5"/>
    <w:rsid w:val="00BA55A8"/>
    <w:rsid w:val="00BB0B9C"/>
    <w:rsid w:val="00BB0BB9"/>
    <w:rsid w:val="00BB14FE"/>
    <w:rsid w:val="00BB1F09"/>
    <w:rsid w:val="00BB528C"/>
    <w:rsid w:val="00BB70C4"/>
    <w:rsid w:val="00BC1BED"/>
    <w:rsid w:val="00BC2F54"/>
    <w:rsid w:val="00BC3806"/>
    <w:rsid w:val="00BC71E5"/>
    <w:rsid w:val="00BD3E28"/>
    <w:rsid w:val="00BD3F44"/>
    <w:rsid w:val="00BE0328"/>
    <w:rsid w:val="00BE0871"/>
    <w:rsid w:val="00BE2B74"/>
    <w:rsid w:val="00BE2E81"/>
    <w:rsid w:val="00BE2F21"/>
    <w:rsid w:val="00BE3CE8"/>
    <w:rsid w:val="00BE48B3"/>
    <w:rsid w:val="00BE4B79"/>
    <w:rsid w:val="00BF06B1"/>
    <w:rsid w:val="00BF27CE"/>
    <w:rsid w:val="00BF3188"/>
    <w:rsid w:val="00BF354B"/>
    <w:rsid w:val="00BF3EED"/>
    <w:rsid w:val="00BF42BA"/>
    <w:rsid w:val="00C001B9"/>
    <w:rsid w:val="00C015D4"/>
    <w:rsid w:val="00C02228"/>
    <w:rsid w:val="00C04826"/>
    <w:rsid w:val="00C058E0"/>
    <w:rsid w:val="00C07DD3"/>
    <w:rsid w:val="00C11EEE"/>
    <w:rsid w:val="00C175E7"/>
    <w:rsid w:val="00C2137B"/>
    <w:rsid w:val="00C223D9"/>
    <w:rsid w:val="00C23C7E"/>
    <w:rsid w:val="00C254BF"/>
    <w:rsid w:val="00C261B4"/>
    <w:rsid w:val="00C2641D"/>
    <w:rsid w:val="00C26B16"/>
    <w:rsid w:val="00C278BC"/>
    <w:rsid w:val="00C32B66"/>
    <w:rsid w:val="00C349BB"/>
    <w:rsid w:val="00C369A5"/>
    <w:rsid w:val="00C40961"/>
    <w:rsid w:val="00C45962"/>
    <w:rsid w:val="00C4686D"/>
    <w:rsid w:val="00C47662"/>
    <w:rsid w:val="00C5211D"/>
    <w:rsid w:val="00C52D84"/>
    <w:rsid w:val="00C5751C"/>
    <w:rsid w:val="00C605DF"/>
    <w:rsid w:val="00C60C3C"/>
    <w:rsid w:val="00C61B03"/>
    <w:rsid w:val="00C61BD7"/>
    <w:rsid w:val="00C62E33"/>
    <w:rsid w:val="00C62F7A"/>
    <w:rsid w:val="00C63CA3"/>
    <w:rsid w:val="00C66EC1"/>
    <w:rsid w:val="00C66F59"/>
    <w:rsid w:val="00C67357"/>
    <w:rsid w:val="00C67C80"/>
    <w:rsid w:val="00C712A5"/>
    <w:rsid w:val="00C72720"/>
    <w:rsid w:val="00C8165E"/>
    <w:rsid w:val="00C83920"/>
    <w:rsid w:val="00C8703A"/>
    <w:rsid w:val="00C90479"/>
    <w:rsid w:val="00C90697"/>
    <w:rsid w:val="00C92716"/>
    <w:rsid w:val="00C92B7F"/>
    <w:rsid w:val="00C9586B"/>
    <w:rsid w:val="00C97325"/>
    <w:rsid w:val="00CA1439"/>
    <w:rsid w:val="00CA1589"/>
    <w:rsid w:val="00CA4C9D"/>
    <w:rsid w:val="00CB0B64"/>
    <w:rsid w:val="00CB4F1A"/>
    <w:rsid w:val="00CC1558"/>
    <w:rsid w:val="00CC2D55"/>
    <w:rsid w:val="00CC6293"/>
    <w:rsid w:val="00CD07C6"/>
    <w:rsid w:val="00CD0A6E"/>
    <w:rsid w:val="00CD2E93"/>
    <w:rsid w:val="00CD572F"/>
    <w:rsid w:val="00CD6E0D"/>
    <w:rsid w:val="00CE08CE"/>
    <w:rsid w:val="00CE1646"/>
    <w:rsid w:val="00CE36CB"/>
    <w:rsid w:val="00CE4495"/>
    <w:rsid w:val="00CE508A"/>
    <w:rsid w:val="00CE6018"/>
    <w:rsid w:val="00CE7A79"/>
    <w:rsid w:val="00CF3956"/>
    <w:rsid w:val="00CF3C8F"/>
    <w:rsid w:val="00CF5579"/>
    <w:rsid w:val="00CF64D8"/>
    <w:rsid w:val="00CF743C"/>
    <w:rsid w:val="00D01081"/>
    <w:rsid w:val="00D01F90"/>
    <w:rsid w:val="00D033E3"/>
    <w:rsid w:val="00D04854"/>
    <w:rsid w:val="00D107BC"/>
    <w:rsid w:val="00D10967"/>
    <w:rsid w:val="00D120B2"/>
    <w:rsid w:val="00D13E9D"/>
    <w:rsid w:val="00D15B0C"/>
    <w:rsid w:val="00D1618D"/>
    <w:rsid w:val="00D1636E"/>
    <w:rsid w:val="00D16F83"/>
    <w:rsid w:val="00D172F5"/>
    <w:rsid w:val="00D17588"/>
    <w:rsid w:val="00D20AAC"/>
    <w:rsid w:val="00D23BDB"/>
    <w:rsid w:val="00D27A3C"/>
    <w:rsid w:val="00D302DF"/>
    <w:rsid w:val="00D30795"/>
    <w:rsid w:val="00D3179F"/>
    <w:rsid w:val="00D342F5"/>
    <w:rsid w:val="00D3435D"/>
    <w:rsid w:val="00D4262C"/>
    <w:rsid w:val="00D43657"/>
    <w:rsid w:val="00D43931"/>
    <w:rsid w:val="00D444D7"/>
    <w:rsid w:val="00D44949"/>
    <w:rsid w:val="00D4676E"/>
    <w:rsid w:val="00D56953"/>
    <w:rsid w:val="00D5715D"/>
    <w:rsid w:val="00D57311"/>
    <w:rsid w:val="00D6290E"/>
    <w:rsid w:val="00D64FB7"/>
    <w:rsid w:val="00D6589A"/>
    <w:rsid w:val="00D66298"/>
    <w:rsid w:val="00D67004"/>
    <w:rsid w:val="00D670A9"/>
    <w:rsid w:val="00D6760B"/>
    <w:rsid w:val="00D73A30"/>
    <w:rsid w:val="00D75944"/>
    <w:rsid w:val="00D81493"/>
    <w:rsid w:val="00D82F2F"/>
    <w:rsid w:val="00D83B45"/>
    <w:rsid w:val="00D84EDD"/>
    <w:rsid w:val="00D84FCF"/>
    <w:rsid w:val="00D86247"/>
    <w:rsid w:val="00D913EE"/>
    <w:rsid w:val="00D9267F"/>
    <w:rsid w:val="00D92B82"/>
    <w:rsid w:val="00D96C53"/>
    <w:rsid w:val="00DA45ED"/>
    <w:rsid w:val="00DA4EE3"/>
    <w:rsid w:val="00DA78BB"/>
    <w:rsid w:val="00DB116A"/>
    <w:rsid w:val="00DB1215"/>
    <w:rsid w:val="00DB3ED2"/>
    <w:rsid w:val="00DB4A3E"/>
    <w:rsid w:val="00DB5F92"/>
    <w:rsid w:val="00DC1E9E"/>
    <w:rsid w:val="00DC24EC"/>
    <w:rsid w:val="00DC2C33"/>
    <w:rsid w:val="00DC4338"/>
    <w:rsid w:val="00DC43E2"/>
    <w:rsid w:val="00DC48D6"/>
    <w:rsid w:val="00DC5111"/>
    <w:rsid w:val="00DC58D7"/>
    <w:rsid w:val="00DD23FE"/>
    <w:rsid w:val="00DD2D98"/>
    <w:rsid w:val="00DD2F08"/>
    <w:rsid w:val="00DD32CE"/>
    <w:rsid w:val="00DD53F1"/>
    <w:rsid w:val="00DD66F9"/>
    <w:rsid w:val="00DE07E5"/>
    <w:rsid w:val="00DE1156"/>
    <w:rsid w:val="00DE1ABD"/>
    <w:rsid w:val="00DE1BEC"/>
    <w:rsid w:val="00DE2601"/>
    <w:rsid w:val="00DE3E9F"/>
    <w:rsid w:val="00DE5995"/>
    <w:rsid w:val="00DE7321"/>
    <w:rsid w:val="00DE7B33"/>
    <w:rsid w:val="00DF0643"/>
    <w:rsid w:val="00DF0923"/>
    <w:rsid w:val="00DF4F7D"/>
    <w:rsid w:val="00E015A2"/>
    <w:rsid w:val="00E02B45"/>
    <w:rsid w:val="00E04209"/>
    <w:rsid w:val="00E04760"/>
    <w:rsid w:val="00E049F9"/>
    <w:rsid w:val="00E0703B"/>
    <w:rsid w:val="00E0779F"/>
    <w:rsid w:val="00E10528"/>
    <w:rsid w:val="00E10A05"/>
    <w:rsid w:val="00E11964"/>
    <w:rsid w:val="00E11A63"/>
    <w:rsid w:val="00E129DF"/>
    <w:rsid w:val="00E1422D"/>
    <w:rsid w:val="00E17051"/>
    <w:rsid w:val="00E1716E"/>
    <w:rsid w:val="00E23DE9"/>
    <w:rsid w:val="00E25534"/>
    <w:rsid w:val="00E32191"/>
    <w:rsid w:val="00E3225A"/>
    <w:rsid w:val="00E367BC"/>
    <w:rsid w:val="00E37181"/>
    <w:rsid w:val="00E45A08"/>
    <w:rsid w:val="00E45C33"/>
    <w:rsid w:val="00E46780"/>
    <w:rsid w:val="00E50DB8"/>
    <w:rsid w:val="00E52247"/>
    <w:rsid w:val="00E536E6"/>
    <w:rsid w:val="00E54C13"/>
    <w:rsid w:val="00E56390"/>
    <w:rsid w:val="00E610D5"/>
    <w:rsid w:val="00E630C6"/>
    <w:rsid w:val="00E64B72"/>
    <w:rsid w:val="00E65194"/>
    <w:rsid w:val="00E65DE6"/>
    <w:rsid w:val="00E661C4"/>
    <w:rsid w:val="00E666B6"/>
    <w:rsid w:val="00E66937"/>
    <w:rsid w:val="00E70882"/>
    <w:rsid w:val="00E72824"/>
    <w:rsid w:val="00E73268"/>
    <w:rsid w:val="00E736B6"/>
    <w:rsid w:val="00E7479D"/>
    <w:rsid w:val="00E74C84"/>
    <w:rsid w:val="00E74EC6"/>
    <w:rsid w:val="00E755A3"/>
    <w:rsid w:val="00E82AFF"/>
    <w:rsid w:val="00E839B4"/>
    <w:rsid w:val="00E84939"/>
    <w:rsid w:val="00E8529A"/>
    <w:rsid w:val="00E86745"/>
    <w:rsid w:val="00E86F5B"/>
    <w:rsid w:val="00E90325"/>
    <w:rsid w:val="00E903B4"/>
    <w:rsid w:val="00E90BBF"/>
    <w:rsid w:val="00E925CF"/>
    <w:rsid w:val="00E927DA"/>
    <w:rsid w:val="00E93DEC"/>
    <w:rsid w:val="00EA0E86"/>
    <w:rsid w:val="00EA1187"/>
    <w:rsid w:val="00EA22D3"/>
    <w:rsid w:val="00EB420B"/>
    <w:rsid w:val="00EB49F1"/>
    <w:rsid w:val="00EC143C"/>
    <w:rsid w:val="00EC3CAD"/>
    <w:rsid w:val="00EC4A2A"/>
    <w:rsid w:val="00EC6BF6"/>
    <w:rsid w:val="00EC7E5C"/>
    <w:rsid w:val="00ED0917"/>
    <w:rsid w:val="00ED2D1B"/>
    <w:rsid w:val="00ED7904"/>
    <w:rsid w:val="00ED7C10"/>
    <w:rsid w:val="00EE2802"/>
    <w:rsid w:val="00EE472C"/>
    <w:rsid w:val="00EE6F6F"/>
    <w:rsid w:val="00EE71EA"/>
    <w:rsid w:val="00EF4019"/>
    <w:rsid w:val="00EF5373"/>
    <w:rsid w:val="00F01CD7"/>
    <w:rsid w:val="00F03D04"/>
    <w:rsid w:val="00F0701A"/>
    <w:rsid w:val="00F1168F"/>
    <w:rsid w:val="00F11E61"/>
    <w:rsid w:val="00F12D19"/>
    <w:rsid w:val="00F15068"/>
    <w:rsid w:val="00F208EC"/>
    <w:rsid w:val="00F20D60"/>
    <w:rsid w:val="00F23098"/>
    <w:rsid w:val="00F23FFD"/>
    <w:rsid w:val="00F25813"/>
    <w:rsid w:val="00F259D2"/>
    <w:rsid w:val="00F30EA1"/>
    <w:rsid w:val="00F3119D"/>
    <w:rsid w:val="00F34EA1"/>
    <w:rsid w:val="00F36968"/>
    <w:rsid w:val="00F376BD"/>
    <w:rsid w:val="00F37F2B"/>
    <w:rsid w:val="00F41701"/>
    <w:rsid w:val="00F42224"/>
    <w:rsid w:val="00F43A25"/>
    <w:rsid w:val="00F43FA0"/>
    <w:rsid w:val="00F443FE"/>
    <w:rsid w:val="00F45559"/>
    <w:rsid w:val="00F52CDC"/>
    <w:rsid w:val="00F61EF6"/>
    <w:rsid w:val="00F63D47"/>
    <w:rsid w:val="00F63DBE"/>
    <w:rsid w:val="00F655B9"/>
    <w:rsid w:val="00F67706"/>
    <w:rsid w:val="00F67E9B"/>
    <w:rsid w:val="00F703F6"/>
    <w:rsid w:val="00F70D0C"/>
    <w:rsid w:val="00F715C8"/>
    <w:rsid w:val="00F717FC"/>
    <w:rsid w:val="00F71C01"/>
    <w:rsid w:val="00F71F43"/>
    <w:rsid w:val="00F72D08"/>
    <w:rsid w:val="00F73789"/>
    <w:rsid w:val="00F73BA5"/>
    <w:rsid w:val="00F74A9E"/>
    <w:rsid w:val="00F75B54"/>
    <w:rsid w:val="00F7664F"/>
    <w:rsid w:val="00F76A4C"/>
    <w:rsid w:val="00F80F52"/>
    <w:rsid w:val="00F843E2"/>
    <w:rsid w:val="00F868B9"/>
    <w:rsid w:val="00F8732E"/>
    <w:rsid w:val="00F87B00"/>
    <w:rsid w:val="00F939FA"/>
    <w:rsid w:val="00F96849"/>
    <w:rsid w:val="00F96EA6"/>
    <w:rsid w:val="00FA6F9F"/>
    <w:rsid w:val="00FA7C8C"/>
    <w:rsid w:val="00FB3B64"/>
    <w:rsid w:val="00FB3E74"/>
    <w:rsid w:val="00FB58F3"/>
    <w:rsid w:val="00FC6C4A"/>
    <w:rsid w:val="00FD223F"/>
    <w:rsid w:val="00FE0244"/>
    <w:rsid w:val="00FE067F"/>
    <w:rsid w:val="00FE14AA"/>
    <w:rsid w:val="00FE2C12"/>
    <w:rsid w:val="00FE6CFB"/>
    <w:rsid w:val="00FF05E5"/>
    <w:rsid w:val="00FF2C58"/>
    <w:rsid w:val="00FF5373"/>
    <w:rsid w:val="00FF579E"/>
    <w:rsid w:val="00FF5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16E9"/>
  <w15:chartTrackingRefBased/>
  <w15:docId w15:val="{12E48047-C6B1-4E1F-A373-92632C160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4BF"/>
    <w:pPr>
      <w:spacing w:after="0" w:line="240" w:lineRule="auto"/>
    </w:pPr>
    <w:rPr>
      <w:rFonts w:ascii="Verdana" w:hAnsi="Verdana" w:cs="Times New Roman"/>
      <w:sz w:val="16"/>
      <w:szCs w:val="16"/>
      <w:lang w:val="es-ES_tradnl"/>
    </w:rPr>
  </w:style>
  <w:style w:type="paragraph" w:styleId="Ttulo1">
    <w:name w:val="heading 1"/>
    <w:basedOn w:val="Normal"/>
    <w:next w:val="Normal"/>
    <w:link w:val="Ttulo1Car"/>
    <w:uiPriority w:val="9"/>
    <w:qFormat/>
    <w:rsid w:val="00C254B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54BF"/>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CR"/>
    </w:rPr>
  </w:style>
  <w:style w:type="paragraph" w:styleId="Ttulo3">
    <w:name w:val="heading 3"/>
    <w:basedOn w:val="Normal"/>
    <w:next w:val="Normal"/>
    <w:link w:val="Ttulo3Car"/>
    <w:uiPriority w:val="9"/>
    <w:semiHidden/>
    <w:unhideWhenUsed/>
    <w:qFormat/>
    <w:rsid w:val="00C254BF"/>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link w:val="Ttulo4Car"/>
    <w:uiPriority w:val="9"/>
    <w:qFormat/>
    <w:rsid w:val="00C254BF"/>
    <w:pPr>
      <w:spacing w:before="100" w:beforeAutospacing="1" w:after="100" w:afterAutospacing="1"/>
      <w:outlineLvl w:val="3"/>
    </w:pPr>
    <w:rPr>
      <w:b/>
      <w:bCs/>
      <w:lang w:eastAsia="es-ES_tradnl"/>
    </w:rPr>
  </w:style>
  <w:style w:type="paragraph" w:styleId="Ttulo5">
    <w:name w:val="heading 5"/>
    <w:basedOn w:val="Normal"/>
    <w:next w:val="Normal"/>
    <w:link w:val="Ttulo5Car"/>
    <w:uiPriority w:val="9"/>
    <w:semiHidden/>
    <w:unhideWhenUsed/>
    <w:qFormat/>
    <w:rsid w:val="00C254BF"/>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54BF"/>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C254BF"/>
    <w:rPr>
      <w:rFonts w:asciiTheme="majorHAnsi" w:eastAsiaTheme="majorEastAsia" w:hAnsiTheme="majorHAnsi" w:cstheme="majorBidi"/>
      <w:color w:val="2E74B5" w:themeColor="accent1" w:themeShade="BF"/>
      <w:sz w:val="26"/>
      <w:szCs w:val="26"/>
      <w:lang w:val="es-CR"/>
    </w:rPr>
  </w:style>
  <w:style w:type="character" w:customStyle="1" w:styleId="Ttulo3Car">
    <w:name w:val="Título 3 Car"/>
    <w:basedOn w:val="Fuentedeprrafopredeter"/>
    <w:link w:val="Ttulo3"/>
    <w:uiPriority w:val="9"/>
    <w:semiHidden/>
    <w:rsid w:val="00C254BF"/>
    <w:rPr>
      <w:rFonts w:asciiTheme="majorHAnsi" w:eastAsiaTheme="majorEastAsia" w:hAnsiTheme="majorHAnsi" w:cstheme="majorBidi"/>
      <w:color w:val="1F4D78" w:themeColor="accent1" w:themeShade="7F"/>
      <w:sz w:val="16"/>
      <w:szCs w:val="16"/>
      <w:lang w:val="es-ES_tradnl"/>
    </w:rPr>
  </w:style>
  <w:style w:type="character" w:customStyle="1" w:styleId="Ttulo4Car">
    <w:name w:val="Título 4 Car"/>
    <w:basedOn w:val="Fuentedeprrafopredeter"/>
    <w:link w:val="Ttulo4"/>
    <w:uiPriority w:val="9"/>
    <w:rsid w:val="00C254BF"/>
    <w:rPr>
      <w:rFonts w:ascii="Verdana" w:hAnsi="Verdana" w:cs="Times New Roman"/>
      <w:b/>
      <w:bCs/>
      <w:sz w:val="16"/>
      <w:szCs w:val="16"/>
      <w:lang w:val="es-ES_tradnl" w:eastAsia="es-ES_tradnl"/>
    </w:rPr>
  </w:style>
  <w:style w:type="character" w:customStyle="1" w:styleId="Ttulo5Car">
    <w:name w:val="Título 5 Car"/>
    <w:basedOn w:val="Fuentedeprrafopredeter"/>
    <w:link w:val="Ttulo5"/>
    <w:uiPriority w:val="9"/>
    <w:semiHidden/>
    <w:rsid w:val="00C254BF"/>
    <w:rPr>
      <w:rFonts w:asciiTheme="majorHAnsi" w:eastAsiaTheme="majorEastAsia" w:hAnsiTheme="majorHAnsi" w:cstheme="majorBidi"/>
      <w:color w:val="2E74B5" w:themeColor="accent1" w:themeShade="BF"/>
      <w:sz w:val="16"/>
      <w:szCs w:val="16"/>
      <w:lang w:val="es-ES_tradnl"/>
    </w:rPr>
  </w:style>
  <w:style w:type="paragraph" w:styleId="Prrafodelista">
    <w:name w:val="List Paragraph"/>
    <w:aliases w:val="Párrafo de lista1,List Paragraph1,Colorful List - Accent 11,List Paragraph2,Footnote,Lista vistosa - Énfasis 11,Subtle Emphasis1,Footnote1,List Paragraph11"/>
    <w:basedOn w:val="Normal"/>
    <w:link w:val="PrrafodelistaCar"/>
    <w:uiPriority w:val="99"/>
    <w:qFormat/>
    <w:rsid w:val="00C254BF"/>
    <w:pPr>
      <w:ind w:left="720"/>
      <w:contextualSpacing/>
    </w:pPr>
  </w:style>
  <w:style w:type="character" w:customStyle="1" w:styleId="PrrafodelistaCar">
    <w:name w:val="Párrafo de lista Car"/>
    <w:aliases w:val="Párrafo de lista1 Car,List Paragraph1 Car,Colorful List - Accent 11 Car,List Paragraph2 Car,Footnote Car,Lista vistosa - Énfasis 11 Car,Subtle Emphasis1 Car,Footnote1 Car,List Paragraph11 Car1"/>
    <w:link w:val="Prrafodelista"/>
    <w:uiPriority w:val="99"/>
    <w:rsid w:val="00C254BF"/>
    <w:rPr>
      <w:rFonts w:ascii="Verdana" w:hAnsi="Verdana" w:cs="Times New Roman"/>
      <w:sz w:val="16"/>
      <w:szCs w:val="16"/>
      <w:lang w:val="es-ES_tradnl"/>
    </w:rPr>
  </w:style>
  <w:style w:type="paragraph" w:styleId="NormalWeb">
    <w:name w:val="Normal (Web)"/>
    <w:basedOn w:val="Normal"/>
    <w:uiPriority w:val="99"/>
    <w:unhideWhenUsed/>
    <w:rsid w:val="00C254BF"/>
    <w:pPr>
      <w:spacing w:before="100" w:beforeAutospacing="1" w:after="100" w:afterAutospacing="1"/>
    </w:pPr>
    <w:rPr>
      <w:lang w:eastAsia="es-ES_tradnl"/>
    </w:rPr>
  </w:style>
  <w:style w:type="paragraph" w:styleId="Textonotapie">
    <w:name w:val="footnote text"/>
    <w:aliases w:val="Footnote Text Char Char Char Char Char,Footnote Text Char Char Char Char,Footnote reference,FA Fu,Footnote Text Char Char Char,FA Fu Car,FA Fu Car Car,Footnote Text Cha,FA Fußnotentext,FA Fuﬂnotentext,FA Fu?notentext,Ca,C,ft,FA Fu?notente"/>
    <w:basedOn w:val="Normal"/>
    <w:link w:val="TextonotapieCar"/>
    <w:unhideWhenUsed/>
    <w:qFormat/>
    <w:rsid w:val="00C254BF"/>
  </w:style>
  <w:style w:type="character" w:customStyle="1" w:styleId="TextonotapieCar">
    <w:name w:val="Texto nota pie Car"/>
    <w:aliases w:val="Footnote Text Char Char Char Char Char Car1,Footnote Text Char Char Char Char Car1,Footnote reference Car1,FA Fu Car2,Footnote Text Char Char Char Car1,FA Fu Car Car2,FA Fu Car Car Car1,Footnote Text Cha Car1,FA Fußnotentext Car,C Car"/>
    <w:basedOn w:val="Fuentedeprrafopredeter"/>
    <w:link w:val="Textonotapie"/>
    <w:qFormat/>
    <w:rsid w:val="00C254BF"/>
    <w:rPr>
      <w:rFonts w:ascii="Verdana" w:hAnsi="Verdana" w:cs="Times New Roman"/>
      <w:sz w:val="16"/>
      <w:szCs w:val="16"/>
      <w:lang w:val="es-ES_tradnl"/>
    </w:rPr>
  </w:style>
  <w:style w:type="character" w:styleId="Refdenotaalpie">
    <w:name w:val="footnote reference"/>
    <w:aliases w:val="Texto de nota al pie,Appel note de bas de page,Footnotes refss,Footnote number,referencia nota al pie,BVI fnr,f,4_G,16 Point,Superscript 6 Point,Footnote Reference Char3,Footnote Reference Char1 Char,Footnote Reference Char Char Char"/>
    <w:basedOn w:val="Fuentedeprrafopredeter"/>
    <w:link w:val="4GChar"/>
    <w:unhideWhenUsed/>
    <w:qFormat/>
    <w:rsid w:val="00C254B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C254BF"/>
    <w:pPr>
      <w:jc w:val="both"/>
    </w:pPr>
    <w:rPr>
      <w:rFonts w:asciiTheme="minorHAnsi" w:hAnsiTheme="minorHAnsi" w:cstheme="minorBidi"/>
      <w:sz w:val="22"/>
      <w:szCs w:val="22"/>
      <w:vertAlign w:val="superscript"/>
      <w:lang w:val="en-GB"/>
    </w:rPr>
  </w:style>
  <w:style w:type="character" w:customStyle="1" w:styleId="TextonotapieCar1">
    <w:name w:val="Texto nota pie Car1"/>
    <w:aliases w:val="FA Fu Car1,Footnote Text Char Char Char Char Char Car,Footnote Text Char Char Char Char Car,Footnote reference Car,Footnote Text Char Char Char Car,Texto nota pie Car Car,FA Fu Car Car1,FA Fu Car Car Car,Footnote Text Cha Car,Ca Car"/>
    <w:basedOn w:val="Fuentedeprrafopredeter"/>
    <w:qFormat/>
    <w:locked/>
    <w:rsid w:val="00C254BF"/>
    <w:rPr>
      <w:rFonts w:ascii="Verdana" w:eastAsia="Calibri" w:hAnsi="Verdana" w:cs="Verdana"/>
      <w:sz w:val="16"/>
      <w:szCs w:val="16"/>
      <w:lang w:val="es-ES_tradnl" w:eastAsia="es-ES"/>
    </w:rPr>
  </w:style>
  <w:style w:type="character" w:styleId="Textoennegrita">
    <w:name w:val="Strong"/>
    <w:aliases w:val="Heading 2.1"/>
    <w:basedOn w:val="Fuentedeprrafopredeter"/>
    <w:uiPriority w:val="22"/>
    <w:qFormat/>
    <w:rsid w:val="00C254BF"/>
    <w:rPr>
      <w:b/>
      <w:bCs/>
    </w:rPr>
  </w:style>
  <w:style w:type="paragraph" w:customStyle="1" w:styleId="Numberedparagraphs">
    <w:name w:val="Numbered paragraphs"/>
    <w:basedOn w:val="Normal"/>
    <w:qFormat/>
    <w:rsid w:val="00C254BF"/>
    <w:pPr>
      <w:numPr>
        <w:numId w:val="1"/>
      </w:numPr>
      <w:jc w:val="both"/>
    </w:pPr>
    <w:rPr>
      <w:rFonts w:eastAsia="MS Mincho"/>
      <w:color w:val="000000"/>
      <w:sz w:val="20"/>
      <w:szCs w:val="20"/>
    </w:rPr>
  </w:style>
  <w:style w:type="character" w:customStyle="1" w:styleId="apple-converted-space">
    <w:name w:val="apple-converted-space"/>
    <w:basedOn w:val="Fuentedeprrafopredeter"/>
    <w:rsid w:val="00C254BF"/>
  </w:style>
  <w:style w:type="paragraph" w:styleId="Textonotaalfinal">
    <w:name w:val="endnote text"/>
    <w:basedOn w:val="Normal"/>
    <w:link w:val="TextonotaalfinalCar"/>
    <w:uiPriority w:val="99"/>
    <w:unhideWhenUsed/>
    <w:rsid w:val="00C254BF"/>
  </w:style>
  <w:style w:type="character" w:customStyle="1" w:styleId="TextonotaalfinalCar">
    <w:name w:val="Texto nota al final Car"/>
    <w:basedOn w:val="Fuentedeprrafopredeter"/>
    <w:link w:val="Textonotaalfinal"/>
    <w:uiPriority w:val="99"/>
    <w:rsid w:val="00C254BF"/>
    <w:rPr>
      <w:rFonts w:ascii="Verdana" w:hAnsi="Verdana" w:cs="Times New Roman"/>
      <w:sz w:val="16"/>
      <w:szCs w:val="16"/>
      <w:lang w:val="es-ES_tradnl"/>
    </w:rPr>
  </w:style>
  <w:style w:type="character" w:styleId="Refdenotaalfinal">
    <w:name w:val="endnote reference"/>
    <w:basedOn w:val="Fuentedeprrafopredeter"/>
    <w:uiPriority w:val="99"/>
    <w:unhideWhenUsed/>
    <w:rsid w:val="00C254BF"/>
    <w:rPr>
      <w:vertAlign w:val="superscript"/>
    </w:rPr>
  </w:style>
  <w:style w:type="character" w:styleId="Hipervnculo">
    <w:name w:val="Hyperlink"/>
    <w:basedOn w:val="Fuentedeprrafopredeter"/>
    <w:uiPriority w:val="99"/>
    <w:unhideWhenUsed/>
    <w:rsid w:val="00C254BF"/>
    <w:rPr>
      <w:color w:val="0563C1" w:themeColor="hyperlink"/>
      <w:u w:val="single"/>
    </w:rPr>
  </w:style>
  <w:style w:type="paragraph" w:customStyle="1" w:styleId="Default">
    <w:name w:val="Default"/>
    <w:rsid w:val="00C254BF"/>
    <w:pPr>
      <w:autoSpaceDE w:val="0"/>
      <w:autoSpaceDN w:val="0"/>
      <w:adjustRightInd w:val="0"/>
      <w:spacing w:after="0" w:line="240" w:lineRule="auto"/>
    </w:pPr>
    <w:rPr>
      <w:rFonts w:ascii="Verdana" w:hAnsi="Verdana" w:cs="Verdana"/>
      <w:color w:val="000000"/>
      <w:sz w:val="16"/>
      <w:szCs w:val="16"/>
      <w:lang w:val="en-US"/>
    </w:rPr>
  </w:style>
  <w:style w:type="paragraph" w:styleId="Ttulo">
    <w:name w:val="Title"/>
    <w:basedOn w:val="Normal"/>
    <w:link w:val="TtuloCar"/>
    <w:qFormat/>
    <w:rsid w:val="00C254BF"/>
    <w:pPr>
      <w:numPr>
        <w:numId w:val="6"/>
      </w:numPr>
      <w:jc w:val="both"/>
    </w:pPr>
    <w:rPr>
      <w:rFonts w:eastAsia="Times New Roman"/>
      <w:b/>
      <w:sz w:val="20"/>
      <w:szCs w:val="20"/>
      <w:lang w:eastAsia="es-ES" w:bidi="en-US"/>
    </w:rPr>
  </w:style>
  <w:style w:type="character" w:customStyle="1" w:styleId="TtuloCar">
    <w:name w:val="Título Car"/>
    <w:basedOn w:val="Fuentedeprrafopredeter"/>
    <w:link w:val="Ttulo"/>
    <w:rsid w:val="00C254BF"/>
    <w:rPr>
      <w:rFonts w:ascii="Verdana" w:eastAsia="Times New Roman" w:hAnsi="Verdana" w:cs="Times New Roman"/>
      <w:b/>
      <w:sz w:val="20"/>
      <w:szCs w:val="20"/>
      <w:lang w:val="es-ES_tradnl" w:eastAsia="es-ES" w:bidi="en-US"/>
    </w:rPr>
  </w:style>
  <w:style w:type="paragraph" w:styleId="TDC1">
    <w:name w:val="toc 1"/>
    <w:basedOn w:val="Normal"/>
    <w:next w:val="Normal"/>
    <w:autoRedefine/>
    <w:uiPriority w:val="39"/>
    <w:unhideWhenUsed/>
    <w:rsid w:val="00C254BF"/>
    <w:pPr>
      <w:tabs>
        <w:tab w:val="right" w:leader="dot" w:pos="8828"/>
      </w:tabs>
      <w:jc w:val="center"/>
    </w:pPr>
    <w:rPr>
      <w:rFonts w:eastAsia="Times New Roman"/>
      <w:b/>
      <w:bCs/>
      <w:caps/>
      <w:noProof/>
      <w:sz w:val="20"/>
      <w:szCs w:val="20"/>
      <w:lang w:val="es-CR" w:eastAsia="es-ES" w:bidi="es-ES"/>
    </w:rPr>
  </w:style>
  <w:style w:type="paragraph" w:styleId="TDC2">
    <w:name w:val="toc 2"/>
    <w:basedOn w:val="Normal"/>
    <w:next w:val="Normal"/>
    <w:autoRedefine/>
    <w:uiPriority w:val="39"/>
    <w:unhideWhenUsed/>
    <w:rsid w:val="00C254BF"/>
    <w:pPr>
      <w:ind w:left="160"/>
    </w:pPr>
    <w:rPr>
      <w:rFonts w:asciiTheme="minorHAnsi" w:hAnsiTheme="minorHAnsi" w:cstheme="minorHAnsi"/>
      <w:smallCaps/>
      <w:sz w:val="20"/>
      <w:szCs w:val="20"/>
    </w:rPr>
  </w:style>
  <w:style w:type="paragraph" w:styleId="Piedepgina">
    <w:name w:val="footer"/>
    <w:basedOn w:val="Normal"/>
    <w:link w:val="PiedepginaCar"/>
    <w:uiPriority w:val="99"/>
    <w:unhideWhenUsed/>
    <w:rsid w:val="00C254BF"/>
    <w:pPr>
      <w:tabs>
        <w:tab w:val="center" w:pos="4419"/>
        <w:tab w:val="right" w:pos="8838"/>
      </w:tabs>
    </w:pPr>
  </w:style>
  <w:style w:type="character" w:customStyle="1" w:styleId="PiedepginaCar">
    <w:name w:val="Pie de página Car"/>
    <w:basedOn w:val="Fuentedeprrafopredeter"/>
    <w:link w:val="Piedepgina"/>
    <w:uiPriority w:val="99"/>
    <w:rsid w:val="00C254BF"/>
    <w:rPr>
      <w:rFonts w:ascii="Verdana" w:hAnsi="Verdana" w:cs="Times New Roman"/>
      <w:sz w:val="16"/>
      <w:szCs w:val="16"/>
      <w:lang w:val="es-ES_tradnl"/>
    </w:rPr>
  </w:style>
  <w:style w:type="paragraph" w:styleId="TDC3">
    <w:name w:val="toc 3"/>
    <w:basedOn w:val="Normal"/>
    <w:next w:val="Normal"/>
    <w:autoRedefine/>
    <w:uiPriority w:val="39"/>
    <w:unhideWhenUsed/>
    <w:rsid w:val="00C254BF"/>
    <w:pPr>
      <w:ind w:left="320"/>
    </w:pPr>
    <w:rPr>
      <w:rFonts w:asciiTheme="minorHAnsi" w:hAnsiTheme="minorHAnsi" w:cstheme="minorHAnsi"/>
      <w:i/>
      <w:iCs/>
      <w:sz w:val="20"/>
      <w:szCs w:val="20"/>
    </w:rPr>
  </w:style>
  <w:style w:type="paragraph" w:styleId="TDC4">
    <w:name w:val="toc 4"/>
    <w:basedOn w:val="Normal"/>
    <w:next w:val="Normal"/>
    <w:autoRedefine/>
    <w:uiPriority w:val="39"/>
    <w:unhideWhenUsed/>
    <w:rsid w:val="00C254BF"/>
    <w:pPr>
      <w:ind w:left="480"/>
    </w:pPr>
    <w:rPr>
      <w:rFonts w:asciiTheme="minorHAnsi" w:hAnsiTheme="minorHAnsi" w:cstheme="minorHAnsi"/>
      <w:sz w:val="18"/>
      <w:szCs w:val="18"/>
    </w:rPr>
  </w:style>
  <w:style w:type="paragraph" w:styleId="TDC5">
    <w:name w:val="toc 5"/>
    <w:basedOn w:val="Normal"/>
    <w:next w:val="Normal"/>
    <w:autoRedefine/>
    <w:uiPriority w:val="39"/>
    <w:unhideWhenUsed/>
    <w:rsid w:val="00C254BF"/>
    <w:pPr>
      <w:ind w:left="640"/>
    </w:pPr>
    <w:rPr>
      <w:rFonts w:asciiTheme="minorHAnsi" w:hAnsiTheme="minorHAnsi" w:cstheme="minorHAnsi"/>
      <w:sz w:val="18"/>
      <w:szCs w:val="18"/>
    </w:rPr>
  </w:style>
  <w:style w:type="paragraph" w:styleId="TDC6">
    <w:name w:val="toc 6"/>
    <w:basedOn w:val="Normal"/>
    <w:next w:val="Normal"/>
    <w:autoRedefine/>
    <w:uiPriority w:val="39"/>
    <w:unhideWhenUsed/>
    <w:rsid w:val="00C254BF"/>
    <w:pPr>
      <w:ind w:left="800"/>
    </w:pPr>
    <w:rPr>
      <w:rFonts w:asciiTheme="minorHAnsi" w:hAnsiTheme="minorHAnsi" w:cstheme="minorHAnsi"/>
      <w:sz w:val="18"/>
      <w:szCs w:val="18"/>
    </w:rPr>
  </w:style>
  <w:style w:type="paragraph" w:styleId="TDC7">
    <w:name w:val="toc 7"/>
    <w:basedOn w:val="Normal"/>
    <w:next w:val="Normal"/>
    <w:autoRedefine/>
    <w:uiPriority w:val="39"/>
    <w:unhideWhenUsed/>
    <w:rsid w:val="00C254BF"/>
    <w:pPr>
      <w:ind w:left="960"/>
    </w:pPr>
    <w:rPr>
      <w:rFonts w:asciiTheme="minorHAnsi" w:hAnsiTheme="minorHAnsi" w:cstheme="minorHAnsi"/>
      <w:sz w:val="18"/>
      <w:szCs w:val="18"/>
    </w:rPr>
  </w:style>
  <w:style w:type="paragraph" w:styleId="TDC8">
    <w:name w:val="toc 8"/>
    <w:basedOn w:val="Normal"/>
    <w:next w:val="Normal"/>
    <w:autoRedefine/>
    <w:uiPriority w:val="39"/>
    <w:unhideWhenUsed/>
    <w:rsid w:val="00C254BF"/>
    <w:pPr>
      <w:ind w:left="1120"/>
    </w:pPr>
    <w:rPr>
      <w:rFonts w:asciiTheme="minorHAnsi" w:hAnsiTheme="minorHAnsi" w:cstheme="minorHAnsi"/>
      <w:sz w:val="18"/>
      <w:szCs w:val="18"/>
    </w:rPr>
  </w:style>
  <w:style w:type="paragraph" w:styleId="TDC9">
    <w:name w:val="toc 9"/>
    <w:basedOn w:val="Normal"/>
    <w:next w:val="Normal"/>
    <w:autoRedefine/>
    <w:uiPriority w:val="39"/>
    <w:unhideWhenUsed/>
    <w:rsid w:val="00C254BF"/>
    <w:pPr>
      <w:ind w:left="1280"/>
    </w:pPr>
    <w:rPr>
      <w:rFonts w:asciiTheme="minorHAnsi" w:hAnsiTheme="minorHAnsi" w:cstheme="minorHAnsi"/>
      <w:sz w:val="18"/>
      <w:szCs w:val="18"/>
    </w:rPr>
  </w:style>
  <w:style w:type="character" w:customStyle="1" w:styleId="TextodegloboCar">
    <w:name w:val="Texto de globo Car"/>
    <w:basedOn w:val="Fuentedeprrafopredeter"/>
    <w:link w:val="Textodeglobo"/>
    <w:uiPriority w:val="99"/>
    <w:semiHidden/>
    <w:rsid w:val="00C254BF"/>
    <w:rPr>
      <w:rFonts w:ascii="Times New Roman" w:hAnsi="Times New Roman" w:cs="Times New Roman"/>
      <w:sz w:val="18"/>
      <w:szCs w:val="18"/>
      <w:lang w:val="es-ES_tradnl"/>
    </w:rPr>
  </w:style>
  <w:style w:type="paragraph" w:styleId="Textodeglobo">
    <w:name w:val="Balloon Text"/>
    <w:basedOn w:val="Normal"/>
    <w:link w:val="TextodegloboCar"/>
    <w:uiPriority w:val="99"/>
    <w:semiHidden/>
    <w:unhideWhenUsed/>
    <w:rsid w:val="00C254BF"/>
    <w:rPr>
      <w:rFonts w:ascii="Times New Roman" w:hAnsi="Times New Roman"/>
      <w:sz w:val="18"/>
      <w:szCs w:val="18"/>
    </w:rPr>
  </w:style>
  <w:style w:type="character" w:customStyle="1" w:styleId="TextodegloboCar1">
    <w:name w:val="Texto de globo Car1"/>
    <w:basedOn w:val="Fuentedeprrafopredeter"/>
    <w:uiPriority w:val="99"/>
    <w:semiHidden/>
    <w:rsid w:val="00C254BF"/>
    <w:rPr>
      <w:rFonts w:ascii="Segoe UI" w:hAnsi="Segoe UI" w:cs="Segoe UI"/>
      <w:sz w:val="18"/>
      <w:szCs w:val="18"/>
      <w:lang w:val="es-ES_tradnl"/>
    </w:rPr>
  </w:style>
  <w:style w:type="paragraph" w:styleId="Textocomentario">
    <w:name w:val="annotation text"/>
    <w:basedOn w:val="Normal"/>
    <w:link w:val="TextocomentarioCar"/>
    <w:uiPriority w:val="99"/>
    <w:unhideWhenUsed/>
    <w:rsid w:val="00C254BF"/>
    <w:rPr>
      <w:sz w:val="20"/>
      <w:szCs w:val="20"/>
    </w:rPr>
  </w:style>
  <w:style w:type="character" w:customStyle="1" w:styleId="TextocomentarioCar">
    <w:name w:val="Texto comentario Car"/>
    <w:basedOn w:val="Fuentedeprrafopredeter"/>
    <w:link w:val="Textocomentario"/>
    <w:uiPriority w:val="99"/>
    <w:rsid w:val="00C254BF"/>
    <w:rPr>
      <w:rFonts w:ascii="Verdana" w:hAnsi="Verdana" w:cs="Times New Roman"/>
      <w:sz w:val="20"/>
      <w:szCs w:val="20"/>
      <w:lang w:val="es-ES_tradnl"/>
    </w:rPr>
  </w:style>
  <w:style w:type="character" w:customStyle="1" w:styleId="AsuntodelcomentarioCar">
    <w:name w:val="Asunto del comentario Car"/>
    <w:basedOn w:val="TextocomentarioCar"/>
    <w:link w:val="Asuntodelcomentario"/>
    <w:uiPriority w:val="99"/>
    <w:semiHidden/>
    <w:rsid w:val="00C254BF"/>
    <w:rPr>
      <w:rFonts w:ascii="Verdana" w:hAnsi="Verdana" w:cs="Times New Roman"/>
      <w:b/>
      <w:bCs/>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C254BF"/>
    <w:rPr>
      <w:b/>
      <w:bCs/>
    </w:rPr>
  </w:style>
  <w:style w:type="character" w:customStyle="1" w:styleId="AsuntodelcomentarioCar1">
    <w:name w:val="Asunto del comentario Car1"/>
    <w:basedOn w:val="TextocomentarioCar"/>
    <w:uiPriority w:val="99"/>
    <w:semiHidden/>
    <w:rsid w:val="00C254BF"/>
    <w:rPr>
      <w:rFonts w:ascii="Verdana" w:hAnsi="Verdana" w:cs="Times New Roman"/>
      <w:b/>
      <w:bCs/>
      <w:sz w:val="20"/>
      <w:szCs w:val="20"/>
      <w:lang w:val="es-ES_tradnl"/>
    </w:rPr>
  </w:style>
  <w:style w:type="paragraph" w:customStyle="1" w:styleId="Footnotes">
    <w:name w:val="**. Footnotes"/>
    <w:basedOn w:val="Textonotapie"/>
    <w:link w:val="FootnotesChar"/>
    <w:autoRedefine/>
    <w:qFormat/>
    <w:rsid w:val="00C254BF"/>
    <w:pPr>
      <w:spacing w:before="120" w:after="120"/>
      <w:jc w:val="both"/>
    </w:pPr>
    <w:rPr>
      <w:rFonts w:eastAsia="Times New Roman" w:cs="Palatino-Italic"/>
      <w:iCs/>
      <w:spacing w:val="-4"/>
      <w:lang w:val="es-ES" w:bidi="en-US"/>
    </w:rPr>
  </w:style>
  <w:style w:type="character" w:customStyle="1" w:styleId="FootnotesChar">
    <w:name w:val="**. Footnotes Char"/>
    <w:basedOn w:val="Fuentedeprrafopredeter"/>
    <w:link w:val="Footnotes"/>
    <w:rsid w:val="00C254BF"/>
    <w:rPr>
      <w:rFonts w:ascii="Verdana" w:eastAsia="Times New Roman" w:hAnsi="Verdana" w:cs="Palatino-Italic"/>
      <w:iCs/>
      <w:spacing w:val="-4"/>
      <w:sz w:val="16"/>
      <w:szCs w:val="16"/>
      <w:lang w:val="es-ES" w:bidi="en-US"/>
    </w:rPr>
  </w:style>
  <w:style w:type="paragraph" w:customStyle="1" w:styleId="Estilo1">
    <w:name w:val="Estilo1"/>
    <w:basedOn w:val="Normal"/>
    <w:link w:val="Estilo1Car"/>
    <w:qFormat/>
    <w:rsid w:val="00C254BF"/>
    <w:pPr>
      <w:spacing w:after="120"/>
      <w:ind w:left="2018" w:right="6" w:hanging="180"/>
      <w:jc w:val="both"/>
    </w:pPr>
    <w:rPr>
      <w:rFonts w:eastAsia="Batang" w:cs="Times"/>
      <w:i/>
      <w:sz w:val="20"/>
      <w:szCs w:val="24"/>
    </w:rPr>
  </w:style>
  <w:style w:type="character" w:customStyle="1" w:styleId="Estilo1Car">
    <w:name w:val="Estilo1 Car"/>
    <w:basedOn w:val="Fuentedeprrafopredeter"/>
    <w:link w:val="Estilo1"/>
    <w:rsid w:val="00C254BF"/>
    <w:rPr>
      <w:rFonts w:ascii="Verdana" w:eastAsia="Batang" w:hAnsi="Verdana" w:cs="Times"/>
      <w:i/>
      <w:sz w:val="20"/>
      <w:szCs w:val="24"/>
      <w:lang w:val="es-ES_tradnl"/>
    </w:rPr>
  </w:style>
  <w:style w:type="paragraph" w:customStyle="1" w:styleId="PrrafodeSentencia">
    <w:name w:val="*. Párrafo de Sentencia"/>
    <w:basedOn w:val="Normal"/>
    <w:next w:val="Normal"/>
    <w:link w:val="PrrafodeSentenciaChar"/>
    <w:qFormat/>
    <w:rsid w:val="00C254BF"/>
    <w:pPr>
      <w:numPr>
        <w:numId w:val="13"/>
      </w:numPr>
      <w:tabs>
        <w:tab w:val="left" w:pos="567"/>
      </w:tabs>
      <w:ind w:left="0" w:firstLine="0"/>
      <w:jc w:val="both"/>
    </w:pPr>
    <w:rPr>
      <w:rFonts w:eastAsia="Batang" w:cstheme="minorBidi"/>
      <w:spacing w:val="-4"/>
      <w:sz w:val="20"/>
      <w:szCs w:val="22"/>
      <w:lang w:val="es-CR" w:eastAsia="es-MX"/>
    </w:rPr>
  </w:style>
  <w:style w:type="character" w:customStyle="1" w:styleId="PrrafodeSentenciaChar">
    <w:name w:val="*. Párrafo de Sentencia Char"/>
    <w:link w:val="PrrafodeSentencia"/>
    <w:locked/>
    <w:rsid w:val="00C254BF"/>
    <w:rPr>
      <w:rFonts w:ascii="Verdana" w:eastAsia="Batang" w:hAnsi="Verdana"/>
      <w:spacing w:val="-4"/>
      <w:sz w:val="20"/>
      <w:lang w:val="es-CR" w:eastAsia="es-MX"/>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C254BF"/>
    <w:pPr>
      <w:spacing w:after="160" w:line="240" w:lineRule="exact"/>
    </w:pPr>
    <w:rPr>
      <w:rFonts w:asciiTheme="minorHAnsi" w:hAnsiTheme="minorHAnsi" w:cstheme="minorBidi"/>
      <w:sz w:val="22"/>
      <w:szCs w:val="22"/>
      <w:vertAlign w:val="superscript"/>
      <w:lang w:val="es-ES"/>
    </w:rPr>
  </w:style>
  <w:style w:type="character" w:customStyle="1" w:styleId="PrrafodelistaCar1">
    <w:name w:val="Párrafo de lista Car1"/>
    <w:aliases w:val="List Paragraph1 Car1,Colorful List - Accent 11 Car1,Párrafo de lista1 Car1,List Paragraph2 Car1,Lista vistosa - Énfasis 11 Car1,Subtle Emphasis1 Car1,Footnote1 Car1,List Paragraph11 Car"/>
    <w:basedOn w:val="Fuentedeprrafopredeter"/>
    <w:uiPriority w:val="34"/>
    <w:locked/>
    <w:rsid w:val="00C254BF"/>
    <w:rPr>
      <w:rFonts w:ascii="Verdana" w:eastAsia="MS Mincho" w:hAnsi="Verdana" w:cs="Times New Roman"/>
      <w:sz w:val="20"/>
      <w:szCs w:val="24"/>
    </w:rPr>
  </w:style>
  <w:style w:type="character" w:customStyle="1" w:styleId="FootnoteTextChar1">
    <w:name w:val="Footnote Text Char1"/>
    <w:aliases w:val="2. Footnote Text Char1,Footnote Tesina Char1,FA Fu Char2,Footnote Text Char Char Char Char Char Char2,Footnote Text Char Char Char Char Char3,Footnote reference Char2,Footnote Text Char Char Char Char3,Footnote Text Cha Char2,C Char1"/>
    <w:basedOn w:val="Fuentedeprrafopredeter"/>
    <w:qFormat/>
    <w:rsid w:val="00C254BF"/>
    <w:rPr>
      <w:rFonts w:ascii="Verdana" w:eastAsia="Batang" w:hAnsi="Verdana" w:cs="Times"/>
      <w:noProof/>
      <w:sz w:val="16"/>
      <w:szCs w:val="20"/>
      <w:lang w:val="es-ES_tradnl"/>
    </w:rPr>
  </w:style>
  <w:style w:type="paragraph" w:styleId="Encabezado">
    <w:name w:val="header"/>
    <w:basedOn w:val="Normal"/>
    <w:link w:val="EncabezadoCar"/>
    <w:uiPriority w:val="99"/>
    <w:unhideWhenUsed/>
    <w:rsid w:val="00C254BF"/>
    <w:pPr>
      <w:tabs>
        <w:tab w:val="center" w:pos="4419"/>
        <w:tab w:val="right" w:pos="8838"/>
      </w:tabs>
    </w:pPr>
    <w:rPr>
      <w:rFonts w:asciiTheme="minorHAnsi" w:hAnsiTheme="minorHAnsi" w:cstheme="minorBidi"/>
      <w:sz w:val="22"/>
      <w:szCs w:val="22"/>
      <w:lang w:val="es-ES"/>
    </w:rPr>
  </w:style>
  <w:style w:type="character" w:customStyle="1" w:styleId="EncabezadoCar">
    <w:name w:val="Encabezado Car"/>
    <w:basedOn w:val="Fuentedeprrafopredeter"/>
    <w:link w:val="Encabezado"/>
    <w:uiPriority w:val="99"/>
    <w:rsid w:val="00C254BF"/>
    <w:rPr>
      <w:lang w:val="es-ES"/>
    </w:rPr>
  </w:style>
  <w:style w:type="paragraph" w:styleId="TtuloTDC">
    <w:name w:val="TOC Heading"/>
    <w:basedOn w:val="Ttulo1"/>
    <w:next w:val="Normal"/>
    <w:uiPriority w:val="39"/>
    <w:unhideWhenUsed/>
    <w:qFormat/>
    <w:rsid w:val="00C254BF"/>
    <w:pPr>
      <w:spacing w:line="259" w:lineRule="auto"/>
      <w:outlineLvl w:val="9"/>
    </w:pPr>
    <w:rPr>
      <w:lang w:val="es-CR" w:eastAsia="es-CR"/>
    </w:rPr>
  </w:style>
  <w:style w:type="character" w:styleId="nfasis">
    <w:name w:val="Emphasis"/>
    <w:basedOn w:val="Fuentedeprrafopredeter"/>
    <w:uiPriority w:val="20"/>
    <w:qFormat/>
    <w:rsid w:val="00C254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08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femerides.ec/1/junio/sexual.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29778</Words>
  <Characters>163779</Characters>
  <Application>Microsoft Office Word</Application>
  <DocSecurity>0</DocSecurity>
  <Lines>1364</Lines>
  <Paragraphs>386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Francella Hernandez</cp:lastModifiedBy>
  <cp:revision>4</cp:revision>
  <cp:lastPrinted>2020-12-01T18:55:00Z</cp:lastPrinted>
  <dcterms:created xsi:type="dcterms:W3CDTF">2020-12-01T18:54:00Z</dcterms:created>
  <dcterms:modified xsi:type="dcterms:W3CDTF">2020-12-01T18:55:00Z</dcterms:modified>
</cp:coreProperties>
</file>