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B5065" w14:textId="77777777" w:rsidR="00AF480D" w:rsidRPr="00AF480D" w:rsidRDefault="00AF480D" w:rsidP="00AF480D">
      <w:pPr>
        <w:spacing w:line="240" w:lineRule="auto"/>
        <w:jc w:val="center"/>
        <w:rPr>
          <w:rFonts w:ascii="Verdana" w:hAnsi="Verdana"/>
          <w:sz w:val="20"/>
          <w:szCs w:val="20"/>
        </w:rPr>
      </w:pPr>
      <w:bookmarkStart w:id="0" w:name="_Hlk54357717"/>
      <w:r w:rsidRPr="00AF480D">
        <w:rPr>
          <w:rFonts w:ascii="Verdana" w:hAnsi="Verdana"/>
          <w:b/>
          <w:bCs/>
          <w:sz w:val="20"/>
          <w:szCs w:val="20"/>
        </w:rPr>
        <w:t>CORTE INTERAMERICANA DE DERECHOS HUMANOS</w:t>
      </w:r>
    </w:p>
    <w:p w14:paraId="443806FC" w14:textId="77777777" w:rsidR="00AF480D" w:rsidRPr="00305C34" w:rsidRDefault="00AF480D" w:rsidP="00AF480D">
      <w:pPr>
        <w:spacing w:line="240" w:lineRule="auto"/>
        <w:jc w:val="center"/>
        <w:rPr>
          <w:rFonts w:ascii="Verdana" w:hAnsi="Verdana"/>
          <w:sz w:val="20"/>
          <w:szCs w:val="20"/>
        </w:rPr>
      </w:pPr>
      <w:r w:rsidRPr="00305C34">
        <w:rPr>
          <w:rFonts w:ascii="Verdana" w:hAnsi="Verdana" w:cs="Calibri"/>
          <w:b/>
          <w:sz w:val="20"/>
          <w:szCs w:val="20"/>
          <w:lang w:eastAsia="es-CR"/>
        </w:rPr>
        <w:t xml:space="preserve">CASO </w:t>
      </w:r>
      <w:r w:rsidRPr="00903D88">
        <w:rPr>
          <w:rFonts w:ascii="Verdana" w:hAnsi="Verdana" w:cs="Arial"/>
          <w:b/>
          <w:sz w:val="20"/>
          <w:szCs w:val="20"/>
          <w:lang w:eastAsia="es-CR"/>
        </w:rPr>
        <w:t>ASOCIACIÓN NACIONAL DE CESANTES Y JUBILADOS DE LA SUPERINTENDENCIA NACIONAL DE ADMINISTRACIÓN TRIBUTARIA (ANCEJUB-SUNAT</w:t>
      </w:r>
      <w:r w:rsidRPr="00305C34">
        <w:rPr>
          <w:rFonts w:ascii="Verdana" w:hAnsi="Verdana" w:cs="Calibri"/>
          <w:b/>
          <w:sz w:val="20"/>
          <w:szCs w:val="20"/>
          <w:lang w:eastAsia="es-CR"/>
        </w:rPr>
        <w:t xml:space="preserve">) </w:t>
      </w:r>
      <w:r w:rsidRPr="00305C34">
        <w:rPr>
          <w:rFonts w:ascii="Verdana" w:hAnsi="Verdana" w:cs="Calibri"/>
          <w:b/>
          <w:i/>
          <w:sz w:val="20"/>
          <w:szCs w:val="20"/>
          <w:lang w:eastAsia="es-CR"/>
        </w:rPr>
        <w:t>VS.</w:t>
      </w:r>
      <w:r w:rsidRPr="00514356">
        <w:rPr>
          <w:rFonts w:ascii="Verdana" w:hAnsi="Verdana" w:cs="Calibri"/>
          <w:b/>
          <w:sz w:val="20"/>
          <w:szCs w:val="20"/>
          <w:lang w:eastAsia="es-CR"/>
        </w:rPr>
        <w:t xml:space="preserve"> PERÚ</w:t>
      </w:r>
    </w:p>
    <w:p w14:paraId="3470D8A6" w14:textId="4126CF8E" w:rsidR="00AF480D" w:rsidRPr="00CB38F8" w:rsidRDefault="00AF480D" w:rsidP="00AF480D">
      <w:pPr>
        <w:spacing w:line="240" w:lineRule="auto"/>
        <w:jc w:val="center"/>
        <w:rPr>
          <w:rFonts w:ascii="Verdana" w:hAnsi="Verdana"/>
          <w:sz w:val="20"/>
          <w:szCs w:val="20"/>
        </w:rPr>
      </w:pPr>
      <w:r w:rsidRPr="00CB38F8">
        <w:rPr>
          <w:rFonts w:ascii="Verdana" w:hAnsi="Verdana"/>
          <w:b/>
          <w:bCs/>
          <w:sz w:val="20"/>
          <w:szCs w:val="20"/>
        </w:rPr>
        <w:t xml:space="preserve">SENTENCIA DE </w:t>
      </w:r>
      <w:r w:rsidR="00A457AC">
        <w:rPr>
          <w:rFonts w:ascii="Verdana" w:hAnsi="Verdana"/>
          <w:b/>
          <w:bCs/>
          <w:sz w:val="20"/>
          <w:szCs w:val="20"/>
        </w:rPr>
        <w:t>8</w:t>
      </w:r>
      <w:r w:rsidR="00A457AC" w:rsidRPr="00CB38F8">
        <w:rPr>
          <w:rFonts w:ascii="Verdana" w:hAnsi="Verdana"/>
          <w:b/>
          <w:bCs/>
          <w:sz w:val="20"/>
          <w:szCs w:val="20"/>
        </w:rPr>
        <w:t xml:space="preserve"> </w:t>
      </w:r>
      <w:r w:rsidRPr="00CB38F8">
        <w:rPr>
          <w:rFonts w:ascii="Verdana" w:hAnsi="Verdana"/>
          <w:b/>
          <w:bCs/>
          <w:sz w:val="20"/>
          <w:szCs w:val="20"/>
        </w:rPr>
        <w:t xml:space="preserve">DE </w:t>
      </w:r>
      <w:r>
        <w:rPr>
          <w:rFonts w:ascii="Verdana" w:hAnsi="Verdana"/>
          <w:b/>
          <w:bCs/>
          <w:sz w:val="20"/>
          <w:szCs w:val="20"/>
        </w:rPr>
        <w:t xml:space="preserve">OCTUBRE </w:t>
      </w:r>
      <w:r w:rsidRPr="00CB38F8">
        <w:rPr>
          <w:rFonts w:ascii="Verdana" w:hAnsi="Verdana"/>
          <w:b/>
          <w:bCs/>
          <w:sz w:val="20"/>
          <w:szCs w:val="20"/>
        </w:rPr>
        <w:t>DE 2020</w:t>
      </w:r>
    </w:p>
    <w:p w14:paraId="68342FBE" w14:textId="77777777" w:rsidR="00AF480D" w:rsidRPr="00CB38F8" w:rsidRDefault="00AF480D" w:rsidP="00AF480D">
      <w:pPr>
        <w:spacing w:line="240" w:lineRule="auto"/>
        <w:jc w:val="center"/>
        <w:rPr>
          <w:rFonts w:ascii="Verdana" w:hAnsi="Verdana"/>
          <w:sz w:val="20"/>
          <w:szCs w:val="20"/>
        </w:rPr>
      </w:pPr>
      <w:r w:rsidRPr="00CB38F8">
        <w:rPr>
          <w:rFonts w:ascii="Verdana" w:hAnsi="Verdana"/>
          <w:b/>
          <w:bCs/>
          <w:i/>
          <w:iCs/>
          <w:sz w:val="20"/>
          <w:szCs w:val="20"/>
        </w:rPr>
        <w:t>(</w:t>
      </w:r>
      <w:r>
        <w:rPr>
          <w:rFonts w:ascii="Verdana" w:hAnsi="Verdana"/>
          <w:b/>
          <w:bCs/>
          <w:i/>
          <w:iCs/>
          <w:sz w:val="20"/>
          <w:szCs w:val="20"/>
        </w:rPr>
        <w:t>Interpretación de la Sentencia de Excepciones Preliminares, Fondo, Reparaciones y Costas</w:t>
      </w:r>
      <w:r w:rsidRPr="00CB38F8">
        <w:rPr>
          <w:rFonts w:ascii="Verdana" w:hAnsi="Verdana"/>
          <w:b/>
          <w:bCs/>
          <w:i/>
          <w:iCs/>
          <w:sz w:val="20"/>
          <w:szCs w:val="20"/>
        </w:rPr>
        <w:t>)</w:t>
      </w:r>
    </w:p>
    <w:p w14:paraId="35188B41" w14:textId="77777777" w:rsidR="00AF480D" w:rsidRPr="00CB38F8" w:rsidRDefault="00AF480D" w:rsidP="00AF480D">
      <w:pPr>
        <w:spacing w:after="0" w:line="240" w:lineRule="auto"/>
        <w:rPr>
          <w:rFonts w:ascii="Verdana" w:hAnsi="Verdana"/>
          <w:sz w:val="20"/>
          <w:szCs w:val="20"/>
        </w:rPr>
      </w:pPr>
    </w:p>
    <w:p w14:paraId="09A3006D" w14:textId="77777777" w:rsidR="00AF480D" w:rsidRPr="00CB38F8" w:rsidRDefault="00AF480D" w:rsidP="00AF480D">
      <w:pPr>
        <w:spacing w:after="0" w:line="240" w:lineRule="auto"/>
        <w:rPr>
          <w:rFonts w:ascii="Verdana" w:hAnsi="Verdana"/>
          <w:sz w:val="20"/>
          <w:szCs w:val="20"/>
        </w:rPr>
      </w:pPr>
    </w:p>
    <w:p w14:paraId="4D5417D5" w14:textId="77777777" w:rsidR="00AF480D" w:rsidRPr="00CB38F8" w:rsidRDefault="00AF480D" w:rsidP="00AF480D">
      <w:pPr>
        <w:spacing w:after="0" w:line="240" w:lineRule="auto"/>
        <w:rPr>
          <w:rFonts w:ascii="Verdana" w:hAnsi="Verdana"/>
          <w:sz w:val="20"/>
          <w:szCs w:val="20"/>
        </w:rPr>
      </w:pPr>
    </w:p>
    <w:p w14:paraId="2E233619" w14:textId="77777777" w:rsidR="00AF480D" w:rsidRPr="00CB38F8" w:rsidRDefault="00AF480D" w:rsidP="00AF480D">
      <w:pPr>
        <w:spacing w:after="0" w:line="240" w:lineRule="auto"/>
        <w:rPr>
          <w:rFonts w:ascii="Verdana" w:hAnsi="Verdana"/>
          <w:sz w:val="20"/>
          <w:szCs w:val="20"/>
        </w:rPr>
      </w:pPr>
    </w:p>
    <w:p w14:paraId="17DF3041" w14:textId="77777777" w:rsidR="00AF480D" w:rsidRPr="00CB38F8" w:rsidRDefault="00AF480D" w:rsidP="00AF480D">
      <w:pPr>
        <w:spacing w:after="0" w:line="240" w:lineRule="auto"/>
        <w:rPr>
          <w:rFonts w:ascii="Verdana" w:hAnsi="Verdana"/>
          <w:sz w:val="20"/>
          <w:szCs w:val="20"/>
        </w:rPr>
      </w:pPr>
    </w:p>
    <w:p w14:paraId="684AF8EA" w14:textId="77777777" w:rsidR="00AF480D" w:rsidRPr="00B25F3C" w:rsidRDefault="00AF480D" w:rsidP="00AF480D">
      <w:pPr>
        <w:spacing w:after="0" w:line="240" w:lineRule="auto"/>
        <w:rPr>
          <w:rFonts w:ascii="Verdana" w:hAnsi="Verdana"/>
          <w:sz w:val="20"/>
          <w:szCs w:val="20"/>
          <w:lang w:val="es-ES"/>
        </w:rPr>
      </w:pPr>
      <w:r w:rsidRPr="00B25F3C">
        <w:rPr>
          <w:rFonts w:ascii="Verdana" w:hAnsi="Verdana"/>
          <w:sz w:val="20"/>
          <w:szCs w:val="20"/>
          <w:lang w:val="es-ES"/>
        </w:rPr>
        <w:t xml:space="preserve">En el caso </w:t>
      </w:r>
      <w:r>
        <w:rPr>
          <w:rFonts w:ascii="Verdana" w:hAnsi="Verdana"/>
          <w:i/>
          <w:sz w:val="20"/>
          <w:szCs w:val="20"/>
          <w:lang w:val="es-ES"/>
        </w:rPr>
        <w:t>ANCEJUB-SUNAT</w:t>
      </w:r>
      <w:r w:rsidRPr="00B25F3C">
        <w:rPr>
          <w:rFonts w:ascii="Verdana" w:hAnsi="Verdana"/>
          <w:i/>
          <w:sz w:val="20"/>
          <w:szCs w:val="20"/>
          <w:lang w:val="es-ES"/>
        </w:rPr>
        <w:t xml:space="preserve"> Vs.</w:t>
      </w:r>
      <w:r>
        <w:rPr>
          <w:rFonts w:ascii="Verdana" w:hAnsi="Verdana"/>
          <w:i/>
          <w:sz w:val="20"/>
          <w:szCs w:val="20"/>
          <w:lang w:val="es-ES"/>
        </w:rPr>
        <w:t xml:space="preserve"> Perú</w:t>
      </w:r>
      <w:r w:rsidRPr="00B25F3C">
        <w:rPr>
          <w:rFonts w:ascii="Verdana" w:hAnsi="Verdana"/>
          <w:sz w:val="20"/>
          <w:szCs w:val="20"/>
          <w:lang w:val="es-ES"/>
        </w:rPr>
        <w:t xml:space="preserve">, </w:t>
      </w:r>
    </w:p>
    <w:p w14:paraId="1F3C17E7" w14:textId="77777777" w:rsidR="00AF480D" w:rsidRPr="00B25F3C" w:rsidRDefault="00AF480D" w:rsidP="00AF480D">
      <w:pPr>
        <w:spacing w:after="0" w:line="240" w:lineRule="auto"/>
        <w:jc w:val="both"/>
        <w:rPr>
          <w:rFonts w:ascii="Verdana" w:hAnsi="Verdana"/>
          <w:sz w:val="20"/>
          <w:szCs w:val="20"/>
          <w:lang w:val="es-ES"/>
        </w:rPr>
      </w:pPr>
    </w:p>
    <w:p w14:paraId="5F6DCC29" w14:textId="2DB652EE" w:rsidR="00AF480D" w:rsidRPr="00B25F3C" w:rsidRDefault="00AF480D" w:rsidP="00AF480D">
      <w:pPr>
        <w:spacing w:after="0" w:line="240" w:lineRule="auto"/>
        <w:jc w:val="both"/>
        <w:rPr>
          <w:rFonts w:ascii="Verdana" w:hAnsi="Verdana"/>
          <w:sz w:val="20"/>
          <w:szCs w:val="20"/>
          <w:lang w:val="es-ES"/>
        </w:rPr>
      </w:pPr>
      <w:r w:rsidRPr="00B25F3C">
        <w:rPr>
          <w:rFonts w:ascii="Verdana" w:hAnsi="Verdana"/>
          <w:sz w:val="20"/>
          <w:szCs w:val="20"/>
          <w:lang w:val="es-ES"/>
        </w:rPr>
        <w:t xml:space="preserve">la Corte Interamericana de Derechos Humanos (en adelante “la Corte Interamericana”, “la Corte” o </w:t>
      </w:r>
      <w:r>
        <w:rPr>
          <w:rFonts w:ascii="Verdana" w:hAnsi="Verdana"/>
          <w:sz w:val="20"/>
          <w:szCs w:val="20"/>
          <w:lang w:val="es-ES"/>
        </w:rPr>
        <w:t xml:space="preserve">“el Tribunal” o </w:t>
      </w:r>
      <w:r w:rsidRPr="00B25F3C">
        <w:rPr>
          <w:rFonts w:ascii="Verdana" w:hAnsi="Verdana"/>
          <w:sz w:val="20"/>
          <w:szCs w:val="20"/>
          <w:lang w:val="es-ES"/>
        </w:rPr>
        <w:t>“este Tribunal”), integrada por los siguientes Jueces</w:t>
      </w:r>
      <w:r w:rsidR="002F3064">
        <w:rPr>
          <w:rStyle w:val="Refdenotaalpie"/>
        </w:rPr>
        <w:footnoteReference w:customMarkFollows="1" w:id="1"/>
        <w:sym w:font="Symbol" w:char="F02A"/>
      </w:r>
      <w:r w:rsidR="00A457AC">
        <w:rPr>
          <w:rFonts w:ascii="Verdana" w:hAnsi="Verdana"/>
          <w:sz w:val="20"/>
          <w:szCs w:val="20"/>
          <w:lang w:val="es-ES"/>
        </w:rPr>
        <w:t>:</w:t>
      </w:r>
    </w:p>
    <w:p w14:paraId="123E3988" w14:textId="77777777" w:rsidR="00AF480D" w:rsidRPr="00B25F3C" w:rsidRDefault="00AF480D" w:rsidP="00AF480D">
      <w:pPr>
        <w:spacing w:after="0" w:line="240" w:lineRule="auto"/>
        <w:jc w:val="both"/>
        <w:rPr>
          <w:rFonts w:ascii="Verdana" w:hAnsi="Verdana"/>
          <w:sz w:val="20"/>
          <w:szCs w:val="20"/>
          <w:lang w:val="es-ES"/>
        </w:rPr>
      </w:pPr>
    </w:p>
    <w:p w14:paraId="2BA4578C" w14:textId="77777777" w:rsidR="00AF480D" w:rsidRPr="00B25F3C" w:rsidRDefault="00AF480D" w:rsidP="00AF480D">
      <w:pPr>
        <w:spacing w:after="0" w:line="240" w:lineRule="auto"/>
        <w:jc w:val="both"/>
        <w:rPr>
          <w:rFonts w:ascii="Verdana" w:hAnsi="Verdana"/>
          <w:sz w:val="20"/>
          <w:szCs w:val="20"/>
          <w:lang w:val="es-ES"/>
        </w:rPr>
      </w:pPr>
      <w:r w:rsidRPr="00B25F3C">
        <w:rPr>
          <w:rFonts w:ascii="Verdana" w:hAnsi="Verdana"/>
          <w:sz w:val="20"/>
          <w:szCs w:val="20"/>
          <w:lang w:val="es-ES"/>
        </w:rPr>
        <w:t xml:space="preserve">Patricio Pazmiño Freire, </w:t>
      </w:r>
      <w:proofErr w:type="gramStart"/>
      <w:r w:rsidRPr="00B25F3C">
        <w:rPr>
          <w:rFonts w:ascii="Verdana" w:hAnsi="Verdana"/>
          <w:sz w:val="20"/>
          <w:szCs w:val="20"/>
          <w:lang w:val="es-ES"/>
        </w:rPr>
        <w:t>Vicepresidente</w:t>
      </w:r>
      <w:proofErr w:type="gramEnd"/>
      <w:r w:rsidRPr="00B25F3C">
        <w:rPr>
          <w:rFonts w:ascii="Verdana" w:hAnsi="Verdana"/>
          <w:sz w:val="20"/>
          <w:szCs w:val="20"/>
          <w:lang w:val="es-ES"/>
        </w:rPr>
        <w:t>;</w:t>
      </w:r>
    </w:p>
    <w:p w14:paraId="5ABF649C" w14:textId="77777777" w:rsidR="00AF480D" w:rsidRDefault="00AF480D" w:rsidP="00AF480D">
      <w:pPr>
        <w:spacing w:after="0" w:line="240" w:lineRule="auto"/>
        <w:jc w:val="both"/>
        <w:rPr>
          <w:rFonts w:ascii="Verdana" w:hAnsi="Verdana"/>
          <w:sz w:val="20"/>
          <w:szCs w:val="20"/>
          <w:lang w:val="es-ES"/>
        </w:rPr>
      </w:pPr>
      <w:r w:rsidRPr="009D61F2">
        <w:rPr>
          <w:rFonts w:ascii="Verdana" w:hAnsi="Verdana"/>
          <w:sz w:val="20"/>
          <w:szCs w:val="20"/>
          <w:lang w:val="es-ES"/>
        </w:rPr>
        <w:t>Eduardo Vio Grossi, Juez;</w:t>
      </w:r>
    </w:p>
    <w:p w14:paraId="7B838AD6" w14:textId="77777777" w:rsidR="00AF480D" w:rsidRPr="00AF480D" w:rsidRDefault="00AF480D" w:rsidP="00AF480D">
      <w:pPr>
        <w:spacing w:after="0" w:line="240" w:lineRule="auto"/>
        <w:jc w:val="both"/>
        <w:rPr>
          <w:rFonts w:ascii="Verdana" w:hAnsi="Verdana"/>
          <w:sz w:val="20"/>
          <w:szCs w:val="20"/>
          <w:lang w:val="es-ES"/>
        </w:rPr>
      </w:pPr>
      <w:r w:rsidRPr="00AF480D">
        <w:rPr>
          <w:rFonts w:ascii="Verdana" w:hAnsi="Verdana"/>
          <w:sz w:val="20"/>
          <w:szCs w:val="20"/>
        </w:rPr>
        <w:t>Humberto Antonio Sierra Porto, Juez;</w:t>
      </w:r>
    </w:p>
    <w:p w14:paraId="00722F9A" w14:textId="77777777" w:rsidR="00AF480D" w:rsidRPr="009D61F2" w:rsidRDefault="00AF480D" w:rsidP="00AF480D">
      <w:pPr>
        <w:spacing w:after="0" w:line="240" w:lineRule="auto"/>
        <w:jc w:val="both"/>
        <w:rPr>
          <w:rFonts w:ascii="Verdana" w:hAnsi="Verdana"/>
          <w:sz w:val="20"/>
          <w:szCs w:val="20"/>
          <w:lang w:val="es-ES"/>
        </w:rPr>
      </w:pPr>
      <w:r w:rsidRPr="009D61F2">
        <w:rPr>
          <w:rFonts w:ascii="Verdana" w:hAnsi="Verdana"/>
          <w:sz w:val="20"/>
          <w:szCs w:val="20"/>
          <w:lang w:val="es-ES"/>
        </w:rPr>
        <w:t>Eduardo Ferrer Mac-</w:t>
      </w:r>
      <w:proofErr w:type="spellStart"/>
      <w:r w:rsidRPr="009D61F2">
        <w:rPr>
          <w:rFonts w:ascii="Verdana" w:hAnsi="Verdana"/>
          <w:sz w:val="20"/>
          <w:szCs w:val="20"/>
          <w:lang w:val="es-ES"/>
        </w:rPr>
        <w:t>Gregor</w:t>
      </w:r>
      <w:proofErr w:type="spellEnd"/>
      <w:r w:rsidRPr="009D61F2">
        <w:rPr>
          <w:rFonts w:ascii="Verdana" w:hAnsi="Verdana"/>
          <w:sz w:val="20"/>
          <w:szCs w:val="20"/>
          <w:lang w:val="es-ES"/>
        </w:rPr>
        <w:t xml:space="preserve"> Poisot, Juez;</w:t>
      </w:r>
    </w:p>
    <w:p w14:paraId="3798E42A" w14:textId="77777777" w:rsidR="00AF480D" w:rsidRPr="00B25F3C" w:rsidRDefault="00AF480D" w:rsidP="00AF480D">
      <w:pPr>
        <w:spacing w:after="0" w:line="240" w:lineRule="auto"/>
        <w:jc w:val="both"/>
        <w:rPr>
          <w:rFonts w:ascii="Verdana" w:hAnsi="Verdana"/>
          <w:sz w:val="20"/>
          <w:szCs w:val="20"/>
          <w:lang w:val="es-ES"/>
        </w:rPr>
      </w:pPr>
      <w:r w:rsidRPr="00B25F3C">
        <w:rPr>
          <w:rFonts w:ascii="Verdana" w:hAnsi="Verdana"/>
          <w:sz w:val="20"/>
          <w:szCs w:val="20"/>
          <w:lang w:val="es-ES"/>
        </w:rPr>
        <w:t xml:space="preserve">Eugenio Raúl Zaffaroni, Juez, y </w:t>
      </w:r>
    </w:p>
    <w:p w14:paraId="7F75E217" w14:textId="77777777" w:rsidR="00AF480D" w:rsidRPr="00B25F3C" w:rsidRDefault="00AF480D" w:rsidP="00AF480D">
      <w:pPr>
        <w:spacing w:after="0" w:line="240" w:lineRule="auto"/>
        <w:jc w:val="both"/>
        <w:rPr>
          <w:rFonts w:ascii="Verdana" w:hAnsi="Verdana"/>
          <w:sz w:val="20"/>
          <w:szCs w:val="20"/>
          <w:lang w:val="es-ES"/>
        </w:rPr>
      </w:pPr>
      <w:r w:rsidRPr="00B25F3C">
        <w:rPr>
          <w:rFonts w:ascii="Verdana" w:hAnsi="Verdana"/>
          <w:sz w:val="20"/>
          <w:szCs w:val="20"/>
          <w:lang w:val="es-ES"/>
        </w:rPr>
        <w:t>Ricardo Pérez Manrique, Juez,</w:t>
      </w:r>
    </w:p>
    <w:p w14:paraId="686F98EB" w14:textId="77777777" w:rsidR="00AF480D" w:rsidRPr="00B25F3C" w:rsidRDefault="00AF480D" w:rsidP="00AF480D">
      <w:pPr>
        <w:spacing w:after="0" w:line="240" w:lineRule="auto"/>
        <w:rPr>
          <w:rFonts w:ascii="Verdana" w:hAnsi="Verdana"/>
          <w:sz w:val="20"/>
          <w:szCs w:val="20"/>
          <w:lang w:val="es-ES"/>
        </w:rPr>
      </w:pPr>
    </w:p>
    <w:p w14:paraId="1C4A6649" w14:textId="77777777" w:rsidR="00AF480D" w:rsidRPr="00B25F3C" w:rsidRDefault="00AF480D" w:rsidP="00AF480D">
      <w:pPr>
        <w:spacing w:after="0" w:line="240" w:lineRule="auto"/>
        <w:rPr>
          <w:rFonts w:ascii="Verdana" w:hAnsi="Verdana"/>
          <w:sz w:val="20"/>
          <w:szCs w:val="20"/>
          <w:lang w:val="es-ES"/>
        </w:rPr>
      </w:pPr>
      <w:proofErr w:type="gramStart"/>
      <w:r w:rsidRPr="00B25F3C">
        <w:rPr>
          <w:rFonts w:ascii="Verdana" w:hAnsi="Verdana"/>
          <w:sz w:val="20"/>
          <w:szCs w:val="20"/>
          <w:lang w:val="es-ES"/>
        </w:rPr>
        <w:t>presente</w:t>
      </w:r>
      <w:r>
        <w:rPr>
          <w:rFonts w:ascii="Verdana" w:hAnsi="Verdana"/>
          <w:sz w:val="20"/>
          <w:szCs w:val="20"/>
          <w:lang w:val="es-ES"/>
        </w:rPr>
        <w:t>s</w:t>
      </w:r>
      <w:proofErr w:type="gramEnd"/>
      <w:r w:rsidRPr="00B25F3C">
        <w:rPr>
          <w:rFonts w:ascii="Verdana" w:hAnsi="Verdana"/>
          <w:sz w:val="20"/>
          <w:szCs w:val="20"/>
          <w:lang w:val="es-ES"/>
        </w:rPr>
        <w:t xml:space="preserve"> además, </w:t>
      </w:r>
    </w:p>
    <w:p w14:paraId="6D42BC1C" w14:textId="77777777" w:rsidR="00AF480D" w:rsidRPr="00B25F3C" w:rsidRDefault="00AF480D" w:rsidP="00AF480D">
      <w:pPr>
        <w:spacing w:after="0" w:line="240" w:lineRule="auto"/>
        <w:rPr>
          <w:rFonts w:ascii="Verdana" w:hAnsi="Verdana"/>
          <w:sz w:val="20"/>
          <w:szCs w:val="20"/>
          <w:lang w:val="es-ES"/>
        </w:rPr>
      </w:pPr>
    </w:p>
    <w:p w14:paraId="343763DA" w14:textId="77777777" w:rsidR="00AF480D" w:rsidRPr="00B25F3C" w:rsidRDefault="00AF480D" w:rsidP="00AF480D">
      <w:pPr>
        <w:spacing w:after="0" w:line="240" w:lineRule="auto"/>
        <w:rPr>
          <w:rFonts w:ascii="Verdana" w:hAnsi="Verdana"/>
          <w:sz w:val="20"/>
          <w:szCs w:val="20"/>
          <w:lang w:val="es-ES"/>
        </w:rPr>
      </w:pPr>
      <w:r w:rsidRPr="00B25F3C">
        <w:rPr>
          <w:rFonts w:ascii="Verdana" w:hAnsi="Verdana"/>
          <w:sz w:val="20"/>
          <w:szCs w:val="20"/>
          <w:lang w:val="es-ES"/>
        </w:rPr>
        <w:t xml:space="preserve">Pablo Saavedra Alessandri, </w:t>
      </w:r>
      <w:proofErr w:type="gramStart"/>
      <w:r w:rsidRPr="00B25F3C">
        <w:rPr>
          <w:rFonts w:ascii="Verdana" w:hAnsi="Verdana"/>
          <w:sz w:val="20"/>
          <w:szCs w:val="20"/>
          <w:lang w:val="es-ES"/>
        </w:rPr>
        <w:t>Secretario</w:t>
      </w:r>
      <w:proofErr w:type="gramEnd"/>
      <w:r w:rsidRPr="00B25F3C">
        <w:rPr>
          <w:rFonts w:ascii="Verdana" w:hAnsi="Verdana"/>
          <w:sz w:val="20"/>
          <w:szCs w:val="20"/>
          <w:lang w:val="es-ES"/>
        </w:rPr>
        <w:t>, y</w:t>
      </w:r>
    </w:p>
    <w:p w14:paraId="4BFE6867" w14:textId="77777777" w:rsidR="00AF480D" w:rsidRPr="00B25F3C" w:rsidRDefault="00AF480D" w:rsidP="00AF480D">
      <w:pPr>
        <w:spacing w:after="0" w:line="240" w:lineRule="auto"/>
        <w:rPr>
          <w:rFonts w:ascii="Verdana" w:hAnsi="Verdana"/>
          <w:sz w:val="20"/>
          <w:szCs w:val="20"/>
          <w:lang w:val="es-ES"/>
        </w:rPr>
      </w:pPr>
      <w:r w:rsidRPr="00B25F3C">
        <w:rPr>
          <w:rFonts w:ascii="Verdana" w:hAnsi="Verdana"/>
          <w:sz w:val="20"/>
          <w:szCs w:val="20"/>
          <w:lang w:val="es-ES"/>
        </w:rPr>
        <w:t xml:space="preserve">Romina </w:t>
      </w:r>
      <w:r>
        <w:rPr>
          <w:rFonts w:ascii="Verdana" w:hAnsi="Verdana"/>
          <w:sz w:val="20"/>
          <w:szCs w:val="20"/>
          <w:lang w:val="es-ES"/>
        </w:rPr>
        <w:t xml:space="preserve">I. </w:t>
      </w:r>
      <w:r w:rsidRPr="00B25F3C">
        <w:rPr>
          <w:rFonts w:ascii="Verdana" w:hAnsi="Verdana"/>
          <w:sz w:val="20"/>
          <w:szCs w:val="20"/>
          <w:lang w:val="es-ES"/>
        </w:rPr>
        <w:t>Sijniensky, Secretaria Adjunta,</w:t>
      </w:r>
    </w:p>
    <w:p w14:paraId="79F818D2" w14:textId="77777777" w:rsidR="00AF480D" w:rsidRPr="00B25F3C" w:rsidRDefault="00AF480D" w:rsidP="00AF480D">
      <w:pPr>
        <w:spacing w:after="0" w:line="240" w:lineRule="auto"/>
        <w:jc w:val="both"/>
        <w:rPr>
          <w:rFonts w:ascii="Verdana" w:hAnsi="Verdana"/>
          <w:sz w:val="20"/>
          <w:szCs w:val="20"/>
          <w:lang w:val="es-ES"/>
        </w:rPr>
      </w:pPr>
    </w:p>
    <w:p w14:paraId="3DDD3596" w14:textId="77777777" w:rsidR="00AF480D" w:rsidRPr="00B25F3C" w:rsidRDefault="00AF480D" w:rsidP="00AF480D">
      <w:pPr>
        <w:spacing w:after="0" w:line="240" w:lineRule="auto"/>
        <w:jc w:val="both"/>
        <w:rPr>
          <w:rFonts w:ascii="Verdana" w:hAnsi="Verdana"/>
          <w:sz w:val="20"/>
          <w:szCs w:val="20"/>
          <w:lang w:val="es-ES"/>
        </w:rPr>
      </w:pPr>
    </w:p>
    <w:p w14:paraId="6A5D9AB9" w14:textId="12EE79AD" w:rsidR="00577097" w:rsidRPr="00BE133F" w:rsidRDefault="00577097" w:rsidP="00577097">
      <w:pPr>
        <w:tabs>
          <w:tab w:val="left" w:pos="567"/>
        </w:tabs>
        <w:autoSpaceDE w:val="0"/>
        <w:autoSpaceDN w:val="0"/>
        <w:adjustRightInd w:val="0"/>
        <w:spacing w:after="0" w:line="240" w:lineRule="auto"/>
        <w:jc w:val="both"/>
        <w:rPr>
          <w:rFonts w:ascii="Verdana" w:hAnsi="Verdana" w:cs="Verdana"/>
          <w:sz w:val="20"/>
          <w:szCs w:val="20"/>
        </w:rPr>
      </w:pPr>
      <w:r w:rsidRPr="00BE133F">
        <w:rPr>
          <w:rFonts w:ascii="Verdana" w:hAnsi="Verdana" w:cs="Verdana"/>
          <w:sz w:val="20"/>
          <w:szCs w:val="20"/>
        </w:rPr>
        <w:t>de conformidad con el artículo 67 de la Convención Americana sobre Derechos Humanos (en adelante también “la Convención Americana” o “la Convención”) y el artículo 68 del Reglamento de la Corte (en adelante “el Reglamento”), resuelve las solicitudes de interpretación de la Sentencia de E</w:t>
      </w:r>
      <w:r w:rsidR="0040422A" w:rsidRPr="00BE133F">
        <w:rPr>
          <w:rFonts w:ascii="Verdana" w:hAnsi="Verdana" w:cs="Verdana"/>
          <w:sz w:val="20"/>
          <w:szCs w:val="20"/>
        </w:rPr>
        <w:t>xcepcio</w:t>
      </w:r>
      <w:r w:rsidRPr="00BE133F">
        <w:rPr>
          <w:rFonts w:ascii="Verdana" w:hAnsi="Verdana" w:cs="Verdana"/>
          <w:sz w:val="20"/>
          <w:szCs w:val="20"/>
        </w:rPr>
        <w:t>n</w:t>
      </w:r>
      <w:r w:rsidR="0040422A" w:rsidRPr="00BE133F">
        <w:rPr>
          <w:rFonts w:ascii="Verdana" w:hAnsi="Verdana" w:cs="Verdana"/>
          <w:sz w:val="20"/>
          <w:szCs w:val="20"/>
        </w:rPr>
        <w:t>es</w:t>
      </w:r>
      <w:r w:rsidRPr="00BE133F">
        <w:rPr>
          <w:rFonts w:ascii="Verdana" w:hAnsi="Verdana" w:cs="Verdana"/>
          <w:sz w:val="20"/>
          <w:szCs w:val="20"/>
        </w:rPr>
        <w:t xml:space="preserve"> Preliminar</w:t>
      </w:r>
      <w:r w:rsidR="0040422A" w:rsidRPr="00BE133F">
        <w:rPr>
          <w:rFonts w:ascii="Verdana" w:hAnsi="Verdana" w:cs="Verdana"/>
          <w:sz w:val="20"/>
          <w:szCs w:val="20"/>
        </w:rPr>
        <w:t>es</w:t>
      </w:r>
      <w:r w:rsidRPr="00BE133F">
        <w:rPr>
          <w:rFonts w:ascii="Verdana" w:hAnsi="Verdana" w:cs="Verdana"/>
          <w:sz w:val="20"/>
          <w:szCs w:val="20"/>
        </w:rPr>
        <w:t xml:space="preserve">, Fondo, Reparaciones y Costas emitida por este Tribunal el </w:t>
      </w:r>
      <w:r w:rsidR="00AF480D">
        <w:rPr>
          <w:rFonts w:ascii="Verdana" w:hAnsi="Verdana" w:cs="Verdana"/>
          <w:sz w:val="20"/>
          <w:szCs w:val="20"/>
        </w:rPr>
        <w:t>21 de noviembre de 2019</w:t>
      </w:r>
      <w:r w:rsidRPr="00BE133F">
        <w:rPr>
          <w:rFonts w:ascii="Verdana" w:hAnsi="Verdana" w:cs="Verdana"/>
          <w:sz w:val="20"/>
          <w:szCs w:val="20"/>
        </w:rPr>
        <w:t xml:space="preserve"> en el presente caso (en adelante también “la Sentencia”), interpuestas el </w:t>
      </w:r>
      <w:r w:rsidR="00842D74">
        <w:rPr>
          <w:rFonts w:ascii="Verdana" w:hAnsi="Verdana" w:cs="Verdana"/>
          <w:sz w:val="20"/>
          <w:szCs w:val="20"/>
        </w:rPr>
        <w:t>29 de enero de 2020</w:t>
      </w:r>
      <w:r w:rsidR="00031F46">
        <w:rPr>
          <w:rFonts w:ascii="Verdana" w:hAnsi="Verdana" w:cs="Verdana"/>
          <w:sz w:val="20"/>
          <w:szCs w:val="20"/>
        </w:rPr>
        <w:t xml:space="preserve"> por</w:t>
      </w:r>
      <w:r w:rsidR="00630E7E">
        <w:rPr>
          <w:rFonts w:ascii="Verdana" w:hAnsi="Verdana" w:cs="Verdana"/>
          <w:sz w:val="20"/>
          <w:szCs w:val="20"/>
        </w:rPr>
        <w:t xml:space="preserve"> </w:t>
      </w:r>
      <w:r w:rsidR="00842D74">
        <w:rPr>
          <w:rFonts w:ascii="Verdana" w:hAnsi="Verdana" w:cs="Verdana"/>
          <w:sz w:val="20"/>
          <w:szCs w:val="20"/>
        </w:rPr>
        <w:t>la Asociación Nacional de Cesantes y Jubilados de la Superintendencia Nacional de Administración Tributaria (ANCEJUB-SUNAT)</w:t>
      </w:r>
      <w:r w:rsidR="00031F46">
        <w:rPr>
          <w:rFonts w:ascii="Verdana" w:hAnsi="Verdana" w:cs="Verdana"/>
          <w:sz w:val="20"/>
          <w:szCs w:val="20"/>
        </w:rPr>
        <w:t>,</w:t>
      </w:r>
      <w:r w:rsidR="00842D74">
        <w:rPr>
          <w:rFonts w:ascii="Verdana" w:hAnsi="Verdana" w:cs="Verdana"/>
          <w:sz w:val="20"/>
          <w:szCs w:val="20"/>
        </w:rPr>
        <w:t xml:space="preserve"> y</w:t>
      </w:r>
      <w:r w:rsidRPr="00BE133F">
        <w:rPr>
          <w:rFonts w:ascii="Verdana" w:hAnsi="Verdana" w:cs="Verdana"/>
          <w:sz w:val="20"/>
          <w:szCs w:val="20"/>
        </w:rPr>
        <w:t xml:space="preserve"> </w:t>
      </w:r>
      <w:r w:rsidR="00031F46">
        <w:rPr>
          <w:rFonts w:ascii="Verdana" w:hAnsi="Verdana" w:cs="Verdana"/>
          <w:sz w:val="20"/>
          <w:szCs w:val="20"/>
        </w:rPr>
        <w:t xml:space="preserve">el </w:t>
      </w:r>
      <w:r w:rsidR="00842D74">
        <w:rPr>
          <w:rFonts w:ascii="Verdana" w:hAnsi="Verdana" w:cs="Verdana"/>
          <w:sz w:val="20"/>
          <w:szCs w:val="20"/>
        </w:rPr>
        <w:t>22</w:t>
      </w:r>
      <w:r w:rsidR="00031F46">
        <w:rPr>
          <w:rFonts w:ascii="Verdana" w:hAnsi="Verdana" w:cs="Verdana"/>
          <w:sz w:val="20"/>
          <w:szCs w:val="20"/>
        </w:rPr>
        <w:t xml:space="preserve"> de </w:t>
      </w:r>
      <w:r w:rsidR="00842D74">
        <w:rPr>
          <w:rFonts w:ascii="Verdana" w:hAnsi="Verdana" w:cs="Verdana"/>
          <w:sz w:val="20"/>
          <w:szCs w:val="20"/>
        </w:rPr>
        <w:t>mayo de 2020</w:t>
      </w:r>
      <w:r w:rsidR="00031F46">
        <w:rPr>
          <w:rFonts w:ascii="Verdana" w:hAnsi="Verdana" w:cs="Verdana"/>
          <w:sz w:val="20"/>
          <w:szCs w:val="20"/>
        </w:rPr>
        <w:t xml:space="preserve"> </w:t>
      </w:r>
      <w:r w:rsidRPr="00BE133F">
        <w:rPr>
          <w:rFonts w:ascii="Verdana" w:hAnsi="Verdana" w:cs="Verdana"/>
          <w:sz w:val="20"/>
          <w:szCs w:val="20"/>
        </w:rPr>
        <w:t xml:space="preserve">por </w:t>
      </w:r>
      <w:r w:rsidR="0040422A" w:rsidRPr="00BE133F">
        <w:rPr>
          <w:rFonts w:ascii="Verdana" w:hAnsi="Verdana" w:cs="Verdana"/>
          <w:sz w:val="20"/>
          <w:szCs w:val="20"/>
        </w:rPr>
        <w:t>el Estado del Perú</w:t>
      </w:r>
      <w:r w:rsidRPr="00BE133F">
        <w:rPr>
          <w:rFonts w:ascii="Verdana" w:hAnsi="Verdana" w:cs="Verdana"/>
          <w:sz w:val="20"/>
          <w:szCs w:val="20"/>
        </w:rPr>
        <w:t>.</w:t>
      </w:r>
      <w:r w:rsidR="00263FFA">
        <w:rPr>
          <w:rStyle w:val="Refdenotaalpie"/>
          <w:rFonts w:ascii="Verdana" w:hAnsi="Verdana" w:cs="Verdana"/>
          <w:sz w:val="20"/>
          <w:szCs w:val="20"/>
        </w:rPr>
        <w:footnoteReference w:id="2"/>
      </w:r>
    </w:p>
    <w:p w14:paraId="2405A63E" w14:textId="77777777" w:rsidR="00577097" w:rsidRPr="00BE133F" w:rsidRDefault="00577097" w:rsidP="00577097">
      <w:pPr>
        <w:tabs>
          <w:tab w:val="left" w:pos="567"/>
        </w:tabs>
        <w:autoSpaceDE w:val="0"/>
        <w:autoSpaceDN w:val="0"/>
        <w:adjustRightInd w:val="0"/>
        <w:spacing w:after="0" w:line="240" w:lineRule="auto"/>
        <w:jc w:val="center"/>
        <w:rPr>
          <w:rFonts w:ascii="Verdana" w:hAnsi="Verdana" w:cs="Verdana"/>
          <w:sz w:val="20"/>
          <w:szCs w:val="20"/>
        </w:rPr>
      </w:pPr>
      <w:r w:rsidRPr="00BE133F">
        <w:rPr>
          <w:rFonts w:ascii="Verdana" w:hAnsi="Verdana" w:cs="Verdana"/>
          <w:sz w:val="20"/>
          <w:szCs w:val="20"/>
        </w:rPr>
        <w:br w:type="page"/>
      </w:r>
      <w:bookmarkEnd w:id="0"/>
      <w:r w:rsidRPr="00BE133F">
        <w:rPr>
          <w:rFonts w:ascii="Verdana" w:eastAsia="Times New Roman" w:hAnsi="Verdana" w:cs="Verdana"/>
          <w:b/>
          <w:bCs/>
          <w:iCs/>
          <w:caps/>
          <w:snapToGrid w:val="0"/>
          <w:sz w:val="20"/>
          <w:szCs w:val="20"/>
          <w:lang w:eastAsia="es-ES"/>
        </w:rPr>
        <w:lastRenderedPageBreak/>
        <w:t>I</w:t>
      </w:r>
    </w:p>
    <w:p w14:paraId="07C755BE" w14:textId="77777777" w:rsidR="00577097" w:rsidRPr="00BE133F" w:rsidRDefault="00577097" w:rsidP="00577097">
      <w:pPr>
        <w:tabs>
          <w:tab w:val="left" w:pos="567"/>
        </w:tabs>
        <w:autoSpaceDE w:val="0"/>
        <w:autoSpaceDN w:val="0"/>
        <w:adjustRightInd w:val="0"/>
        <w:spacing w:after="0" w:line="240" w:lineRule="auto"/>
        <w:jc w:val="center"/>
        <w:rPr>
          <w:rFonts w:ascii="Verdana" w:eastAsia="Times" w:hAnsi="Verdana"/>
          <w:sz w:val="20"/>
          <w:szCs w:val="20"/>
          <w:lang w:eastAsia="es-ES"/>
        </w:rPr>
      </w:pPr>
      <w:r w:rsidRPr="00BE133F">
        <w:rPr>
          <w:rFonts w:ascii="Verdana" w:hAnsi="Verdana" w:cs="Verdana"/>
          <w:b/>
          <w:bCs/>
          <w:sz w:val="20"/>
          <w:szCs w:val="20"/>
        </w:rPr>
        <w:t>SOLICITUD DE INTERPRETACIÓN Y PROCEDIMIENTO ANTE LA CORTE</w:t>
      </w:r>
    </w:p>
    <w:p w14:paraId="05311CDD" w14:textId="77777777" w:rsidR="00577097" w:rsidRPr="00BE133F" w:rsidRDefault="00577097" w:rsidP="00577097">
      <w:pPr>
        <w:tabs>
          <w:tab w:val="left" w:pos="567"/>
        </w:tabs>
        <w:spacing w:after="0" w:line="240" w:lineRule="auto"/>
        <w:jc w:val="both"/>
        <w:rPr>
          <w:rFonts w:ascii="Verdana" w:eastAsia="Times" w:hAnsi="Verdana"/>
          <w:sz w:val="20"/>
          <w:szCs w:val="20"/>
        </w:rPr>
      </w:pPr>
    </w:p>
    <w:p w14:paraId="482CFEA9" w14:textId="027B41BE" w:rsidR="00577097" w:rsidRPr="00BE133F" w:rsidRDefault="00577097" w:rsidP="00577097">
      <w:pPr>
        <w:numPr>
          <w:ilvl w:val="0"/>
          <w:numId w:val="1"/>
        </w:numPr>
        <w:tabs>
          <w:tab w:val="left" w:pos="567"/>
          <w:tab w:val="num" w:pos="720"/>
        </w:tabs>
        <w:autoSpaceDE w:val="0"/>
        <w:autoSpaceDN w:val="0"/>
        <w:adjustRightInd w:val="0"/>
        <w:spacing w:after="0" w:line="240" w:lineRule="auto"/>
        <w:jc w:val="both"/>
        <w:rPr>
          <w:rFonts w:ascii="Verdana" w:hAnsi="Verdana" w:cs="Verdana"/>
          <w:sz w:val="20"/>
          <w:szCs w:val="20"/>
        </w:rPr>
      </w:pPr>
      <w:r w:rsidRPr="00BE133F">
        <w:rPr>
          <w:rFonts w:ascii="Verdana" w:hAnsi="Verdana" w:cs="Verdana"/>
          <w:sz w:val="20"/>
          <w:szCs w:val="20"/>
        </w:rPr>
        <w:t xml:space="preserve">El </w:t>
      </w:r>
      <w:r w:rsidR="003E06A1">
        <w:rPr>
          <w:rFonts w:ascii="Verdana" w:hAnsi="Verdana" w:cs="Verdana"/>
          <w:sz w:val="20"/>
          <w:szCs w:val="20"/>
        </w:rPr>
        <w:t>21 de noviembre de 2019</w:t>
      </w:r>
      <w:r w:rsidRPr="00BE133F">
        <w:rPr>
          <w:rFonts w:ascii="Verdana" w:eastAsia="Times" w:hAnsi="Verdana"/>
          <w:sz w:val="20"/>
          <w:szCs w:val="20"/>
          <w:lang w:val="es-ES_tradnl"/>
        </w:rPr>
        <w:t xml:space="preserve"> la Corte emitió la Sentencia, la cual fue notificada a las partes y a la Comisión Interamericana de </w:t>
      </w:r>
      <w:r w:rsidRPr="00BE133F">
        <w:rPr>
          <w:rFonts w:ascii="Verdana" w:hAnsi="Verdana" w:cs="Verdana"/>
          <w:sz w:val="20"/>
          <w:szCs w:val="20"/>
        </w:rPr>
        <w:t xml:space="preserve">Derechos Humanos (en adelante “la Comisión Interamericana” o “la Comisión”) </w:t>
      </w:r>
      <w:r w:rsidRPr="00BE133F">
        <w:rPr>
          <w:rFonts w:ascii="Verdana" w:eastAsia="Times" w:hAnsi="Verdana"/>
          <w:sz w:val="20"/>
          <w:szCs w:val="20"/>
          <w:lang w:val="es-ES_tradnl"/>
        </w:rPr>
        <w:t xml:space="preserve">el </w:t>
      </w:r>
      <w:r w:rsidR="003E06A1">
        <w:rPr>
          <w:rFonts w:ascii="Verdana" w:eastAsia="Times" w:hAnsi="Verdana"/>
          <w:sz w:val="20"/>
          <w:szCs w:val="20"/>
          <w:lang w:val="es-ES_tradnl"/>
        </w:rPr>
        <w:t>19 de diciembre de 2019</w:t>
      </w:r>
      <w:r w:rsidRPr="00BE133F">
        <w:rPr>
          <w:rFonts w:ascii="Verdana" w:eastAsia="Times" w:hAnsi="Verdana"/>
          <w:sz w:val="20"/>
          <w:szCs w:val="20"/>
          <w:lang w:val="es-ES_tradnl"/>
        </w:rPr>
        <w:t>.</w:t>
      </w:r>
    </w:p>
    <w:p w14:paraId="013271F7" w14:textId="77777777" w:rsidR="00577097" w:rsidRPr="00BE133F" w:rsidRDefault="00577097" w:rsidP="00577097">
      <w:pPr>
        <w:tabs>
          <w:tab w:val="left" w:pos="567"/>
        </w:tabs>
        <w:autoSpaceDE w:val="0"/>
        <w:autoSpaceDN w:val="0"/>
        <w:adjustRightInd w:val="0"/>
        <w:spacing w:after="0" w:line="240" w:lineRule="auto"/>
        <w:jc w:val="both"/>
        <w:rPr>
          <w:rFonts w:ascii="Verdana" w:hAnsi="Verdana" w:cs="Verdana"/>
          <w:sz w:val="20"/>
          <w:szCs w:val="20"/>
        </w:rPr>
      </w:pPr>
    </w:p>
    <w:p w14:paraId="074AB8AC" w14:textId="7B83B9BF" w:rsidR="00577097" w:rsidRPr="00C941D7" w:rsidRDefault="00577097" w:rsidP="00577097">
      <w:pPr>
        <w:numPr>
          <w:ilvl w:val="0"/>
          <w:numId w:val="1"/>
        </w:numPr>
        <w:tabs>
          <w:tab w:val="left" w:pos="567"/>
          <w:tab w:val="num" w:pos="720"/>
        </w:tabs>
        <w:autoSpaceDE w:val="0"/>
        <w:autoSpaceDN w:val="0"/>
        <w:adjustRightInd w:val="0"/>
        <w:spacing w:after="0" w:line="240" w:lineRule="auto"/>
        <w:jc w:val="both"/>
        <w:rPr>
          <w:rFonts w:ascii="Verdana" w:hAnsi="Verdana" w:cs="Verdana"/>
          <w:sz w:val="20"/>
          <w:szCs w:val="20"/>
          <w:u w:val="single"/>
        </w:rPr>
      </w:pPr>
      <w:r w:rsidRPr="00C941D7">
        <w:rPr>
          <w:rFonts w:ascii="Verdana" w:hAnsi="Verdana" w:cs="Verdana"/>
          <w:sz w:val="20"/>
          <w:szCs w:val="20"/>
        </w:rPr>
        <w:t xml:space="preserve">El </w:t>
      </w:r>
      <w:r w:rsidR="00B76D76">
        <w:rPr>
          <w:rFonts w:ascii="Verdana" w:hAnsi="Verdana" w:cs="Verdana"/>
          <w:sz w:val="20"/>
          <w:szCs w:val="20"/>
        </w:rPr>
        <w:t xml:space="preserve">29 de enero de 2020 </w:t>
      </w:r>
      <w:r w:rsidR="005B50A4">
        <w:rPr>
          <w:rFonts w:ascii="Verdana" w:hAnsi="Verdana" w:cs="Verdana"/>
          <w:sz w:val="20"/>
          <w:szCs w:val="20"/>
        </w:rPr>
        <w:t xml:space="preserve">los representantes de las víctimas </w:t>
      </w:r>
      <w:r w:rsidRPr="00C941D7">
        <w:rPr>
          <w:rFonts w:ascii="Verdana" w:hAnsi="Verdana" w:cs="Verdana"/>
          <w:sz w:val="20"/>
          <w:szCs w:val="20"/>
        </w:rPr>
        <w:t>present</w:t>
      </w:r>
      <w:r w:rsidR="005B50A4">
        <w:rPr>
          <w:rFonts w:ascii="Verdana" w:hAnsi="Verdana" w:cs="Verdana"/>
          <w:sz w:val="20"/>
          <w:szCs w:val="20"/>
        </w:rPr>
        <w:t>aron</w:t>
      </w:r>
      <w:r w:rsidRPr="00C941D7">
        <w:rPr>
          <w:rFonts w:ascii="Verdana" w:hAnsi="Verdana" w:cs="Verdana"/>
          <w:sz w:val="20"/>
          <w:szCs w:val="20"/>
        </w:rPr>
        <w:t xml:space="preserve"> </w:t>
      </w:r>
      <w:bookmarkStart w:id="1" w:name="_Ref363085373"/>
      <w:r w:rsidRPr="00C941D7">
        <w:rPr>
          <w:rFonts w:ascii="Verdana" w:eastAsia="Times" w:hAnsi="Verdana"/>
          <w:bCs/>
          <w:sz w:val="20"/>
          <w:szCs w:val="20"/>
        </w:rPr>
        <w:t xml:space="preserve">una solicitud de interpretación de la Sentencia </w:t>
      </w:r>
      <w:r w:rsidR="00930265">
        <w:rPr>
          <w:rFonts w:ascii="Verdana" w:eastAsia="Times" w:hAnsi="Verdana"/>
          <w:bCs/>
          <w:sz w:val="20"/>
          <w:szCs w:val="20"/>
        </w:rPr>
        <w:t>en</w:t>
      </w:r>
      <w:r w:rsidRPr="00C941D7">
        <w:rPr>
          <w:rFonts w:ascii="Verdana" w:eastAsia="Times" w:hAnsi="Verdana"/>
          <w:bCs/>
          <w:sz w:val="20"/>
          <w:szCs w:val="20"/>
        </w:rPr>
        <w:t xml:space="preserve"> </w:t>
      </w:r>
      <w:r w:rsidR="002A13A7">
        <w:rPr>
          <w:rFonts w:ascii="Verdana" w:eastAsia="Times" w:hAnsi="Verdana"/>
          <w:bCs/>
          <w:sz w:val="20"/>
          <w:szCs w:val="20"/>
        </w:rPr>
        <w:t xml:space="preserve">relación </w:t>
      </w:r>
      <w:r w:rsidR="00A3442B">
        <w:rPr>
          <w:rFonts w:ascii="Verdana" w:eastAsia="Times" w:hAnsi="Verdana"/>
          <w:bCs/>
          <w:sz w:val="20"/>
          <w:szCs w:val="20"/>
        </w:rPr>
        <w:t>con</w:t>
      </w:r>
      <w:r w:rsidR="002A13A7">
        <w:rPr>
          <w:rFonts w:ascii="Verdana" w:eastAsia="Times" w:hAnsi="Verdana"/>
          <w:bCs/>
          <w:sz w:val="20"/>
          <w:szCs w:val="20"/>
        </w:rPr>
        <w:t xml:space="preserve"> </w:t>
      </w:r>
      <w:r w:rsidR="00677B81">
        <w:rPr>
          <w:rFonts w:ascii="Verdana" w:eastAsia="Times" w:hAnsi="Verdana"/>
          <w:bCs/>
          <w:sz w:val="20"/>
          <w:szCs w:val="20"/>
        </w:rPr>
        <w:t>lo siguiente</w:t>
      </w:r>
      <w:r w:rsidR="002A13A7">
        <w:rPr>
          <w:rFonts w:ascii="Verdana" w:eastAsia="Times" w:hAnsi="Verdana"/>
          <w:bCs/>
          <w:sz w:val="20"/>
          <w:szCs w:val="20"/>
        </w:rPr>
        <w:t>: a) la determinación del número de personas miembros de</w:t>
      </w:r>
      <w:r w:rsidR="00930265">
        <w:rPr>
          <w:rFonts w:ascii="Verdana" w:eastAsia="Times" w:hAnsi="Verdana"/>
          <w:bCs/>
          <w:sz w:val="20"/>
          <w:szCs w:val="20"/>
        </w:rPr>
        <w:t xml:space="preserve"> la Asociación Nacional de Cesantes y Jubilados de la Superintendencia Nacional de Administración Tributaria</w:t>
      </w:r>
      <w:r w:rsidR="002A13A7">
        <w:rPr>
          <w:rFonts w:ascii="Verdana" w:eastAsia="Times" w:hAnsi="Verdana"/>
          <w:bCs/>
          <w:sz w:val="20"/>
          <w:szCs w:val="20"/>
        </w:rPr>
        <w:t xml:space="preserve"> </w:t>
      </w:r>
      <w:r w:rsidR="00930265">
        <w:rPr>
          <w:rFonts w:ascii="Verdana" w:eastAsia="Times" w:hAnsi="Verdana"/>
          <w:bCs/>
          <w:sz w:val="20"/>
          <w:szCs w:val="20"/>
        </w:rPr>
        <w:t>(en adelante “</w:t>
      </w:r>
      <w:r w:rsidR="002A13A7">
        <w:rPr>
          <w:rFonts w:ascii="Verdana" w:eastAsia="Times" w:hAnsi="Verdana"/>
          <w:bCs/>
          <w:sz w:val="20"/>
          <w:szCs w:val="20"/>
        </w:rPr>
        <w:t>ANCEJUB-SUNAT</w:t>
      </w:r>
      <w:r w:rsidR="00930265">
        <w:rPr>
          <w:rFonts w:ascii="Verdana" w:eastAsia="Times" w:hAnsi="Verdana"/>
          <w:bCs/>
          <w:sz w:val="20"/>
          <w:szCs w:val="20"/>
        </w:rPr>
        <w:t>”)</w:t>
      </w:r>
      <w:r w:rsidR="002A13A7">
        <w:rPr>
          <w:rFonts w:ascii="Verdana" w:eastAsia="Times" w:hAnsi="Verdana"/>
          <w:bCs/>
          <w:sz w:val="20"/>
          <w:szCs w:val="20"/>
        </w:rPr>
        <w:t xml:space="preserve"> que resultaron beneficiadas de la sentencia de la Corte Suprema de Justicia de</w:t>
      </w:r>
      <w:r w:rsidR="00930265">
        <w:rPr>
          <w:rFonts w:ascii="Verdana" w:eastAsia="Times" w:hAnsi="Verdana"/>
          <w:bCs/>
          <w:sz w:val="20"/>
          <w:szCs w:val="20"/>
        </w:rPr>
        <w:t xml:space="preserve"> la República de</w:t>
      </w:r>
      <w:r w:rsidR="002A13A7">
        <w:rPr>
          <w:rFonts w:ascii="Verdana" w:eastAsia="Times" w:hAnsi="Verdana"/>
          <w:bCs/>
          <w:sz w:val="20"/>
          <w:szCs w:val="20"/>
        </w:rPr>
        <w:t xml:space="preserve"> 25 de octubre de 1993; b) el alcance de la decisión tomada por la Corte </w:t>
      </w:r>
      <w:r w:rsidR="002A26D8">
        <w:rPr>
          <w:rFonts w:ascii="Verdana" w:eastAsia="Times" w:hAnsi="Verdana"/>
          <w:bCs/>
          <w:sz w:val="20"/>
          <w:szCs w:val="20"/>
        </w:rPr>
        <w:t xml:space="preserve">Interamericana </w:t>
      </w:r>
      <w:r w:rsidR="002A13A7">
        <w:rPr>
          <w:rFonts w:ascii="Verdana" w:eastAsia="Times" w:hAnsi="Verdana"/>
          <w:bCs/>
          <w:sz w:val="20"/>
          <w:szCs w:val="20"/>
        </w:rPr>
        <w:t xml:space="preserve">en el Punto Resolutivo </w:t>
      </w:r>
      <w:r w:rsidR="0084733F">
        <w:rPr>
          <w:rFonts w:ascii="Verdana" w:eastAsia="Times" w:hAnsi="Verdana"/>
          <w:bCs/>
          <w:sz w:val="20"/>
          <w:szCs w:val="20"/>
        </w:rPr>
        <w:t>Sexto</w:t>
      </w:r>
      <w:r w:rsidR="002A13A7">
        <w:rPr>
          <w:rFonts w:ascii="Verdana" w:eastAsia="Times" w:hAnsi="Verdana"/>
          <w:bCs/>
          <w:sz w:val="20"/>
          <w:szCs w:val="20"/>
        </w:rPr>
        <w:t xml:space="preserve"> </w:t>
      </w:r>
      <w:r w:rsidR="00C9437A">
        <w:rPr>
          <w:rFonts w:ascii="Verdana" w:eastAsia="Times" w:hAnsi="Verdana"/>
          <w:bCs/>
          <w:sz w:val="20"/>
          <w:szCs w:val="20"/>
        </w:rPr>
        <w:t>de la</w:t>
      </w:r>
      <w:r w:rsidR="002A13A7">
        <w:rPr>
          <w:rFonts w:ascii="Verdana" w:eastAsia="Times" w:hAnsi="Verdana"/>
          <w:bCs/>
          <w:sz w:val="20"/>
          <w:szCs w:val="20"/>
        </w:rPr>
        <w:t xml:space="preserve"> Sentencia </w:t>
      </w:r>
      <w:r w:rsidR="00A164FC">
        <w:rPr>
          <w:rFonts w:ascii="Verdana" w:eastAsia="Times" w:hAnsi="Verdana"/>
          <w:bCs/>
          <w:sz w:val="20"/>
          <w:szCs w:val="20"/>
        </w:rPr>
        <w:t>respecto del</w:t>
      </w:r>
      <w:r w:rsidR="002A13A7">
        <w:rPr>
          <w:rFonts w:ascii="Verdana" w:eastAsia="Times" w:hAnsi="Verdana"/>
          <w:bCs/>
          <w:sz w:val="20"/>
          <w:szCs w:val="20"/>
        </w:rPr>
        <w:t xml:space="preserve"> pago efectivo e inmediato de los conceptos pendientes en virtud de lo dispuesto por la sentencia de 25 de octubre de 1993; y c) el alcance de la decisión tomada por la Corte </w:t>
      </w:r>
      <w:r w:rsidR="00D97820">
        <w:rPr>
          <w:rFonts w:ascii="Verdana" w:eastAsia="Times" w:hAnsi="Verdana"/>
          <w:bCs/>
          <w:sz w:val="20"/>
          <w:szCs w:val="20"/>
        </w:rPr>
        <w:t xml:space="preserve">Interamericana </w:t>
      </w:r>
      <w:r w:rsidR="002A13A7">
        <w:rPr>
          <w:rFonts w:ascii="Verdana" w:eastAsia="Times" w:hAnsi="Verdana"/>
          <w:bCs/>
          <w:sz w:val="20"/>
          <w:szCs w:val="20"/>
        </w:rPr>
        <w:t xml:space="preserve">en el Punto Resolutivo </w:t>
      </w:r>
      <w:r w:rsidR="00930265">
        <w:rPr>
          <w:rFonts w:ascii="Verdana" w:eastAsia="Times" w:hAnsi="Verdana"/>
          <w:bCs/>
          <w:sz w:val="20"/>
          <w:szCs w:val="20"/>
        </w:rPr>
        <w:t>Octavo</w:t>
      </w:r>
      <w:r w:rsidR="002A13A7">
        <w:rPr>
          <w:rFonts w:ascii="Verdana" w:eastAsia="Times" w:hAnsi="Verdana"/>
          <w:bCs/>
          <w:sz w:val="20"/>
          <w:szCs w:val="20"/>
        </w:rPr>
        <w:t xml:space="preserve"> de la Sentencia respecto de las personas que serán incluidas en el registro que el Estado deberá crear para ejecutar integralmente la Sentencia.</w:t>
      </w:r>
    </w:p>
    <w:p w14:paraId="589B4AD8" w14:textId="77777777" w:rsidR="00C941D7" w:rsidRPr="00C941D7" w:rsidRDefault="00C941D7" w:rsidP="00C941D7">
      <w:pPr>
        <w:tabs>
          <w:tab w:val="left" w:pos="567"/>
        </w:tabs>
        <w:autoSpaceDE w:val="0"/>
        <w:autoSpaceDN w:val="0"/>
        <w:adjustRightInd w:val="0"/>
        <w:spacing w:after="0" w:line="240" w:lineRule="auto"/>
        <w:jc w:val="both"/>
        <w:rPr>
          <w:rFonts w:ascii="Verdana" w:hAnsi="Verdana" w:cs="Verdana"/>
          <w:sz w:val="20"/>
          <w:szCs w:val="20"/>
          <w:u w:val="single"/>
        </w:rPr>
      </w:pPr>
    </w:p>
    <w:p w14:paraId="589313D3" w14:textId="13766585" w:rsidR="00577097" w:rsidRPr="00BE133F" w:rsidRDefault="002A13A7" w:rsidP="00577097">
      <w:pPr>
        <w:numPr>
          <w:ilvl w:val="0"/>
          <w:numId w:val="1"/>
        </w:numPr>
        <w:tabs>
          <w:tab w:val="left" w:pos="567"/>
          <w:tab w:val="num" w:pos="720"/>
        </w:tabs>
        <w:autoSpaceDE w:val="0"/>
        <w:autoSpaceDN w:val="0"/>
        <w:adjustRightInd w:val="0"/>
        <w:spacing w:after="0" w:line="240" w:lineRule="auto"/>
        <w:jc w:val="both"/>
        <w:rPr>
          <w:rFonts w:ascii="Verdana" w:hAnsi="Verdana" w:cs="Verdana"/>
          <w:sz w:val="20"/>
          <w:szCs w:val="20"/>
          <w:u w:val="single"/>
        </w:rPr>
      </w:pPr>
      <w:r>
        <w:rPr>
          <w:rFonts w:ascii="Verdana" w:hAnsi="Verdana" w:cs="Verdana"/>
          <w:sz w:val="20"/>
          <w:szCs w:val="20"/>
        </w:rPr>
        <w:t>El 22 de mayo de 2020</w:t>
      </w:r>
      <w:r w:rsidR="0079659A">
        <w:rPr>
          <w:rFonts w:ascii="Verdana" w:hAnsi="Verdana" w:cs="Verdana"/>
          <w:sz w:val="20"/>
          <w:szCs w:val="20"/>
        </w:rPr>
        <w:t xml:space="preserve"> el Estado presentó una solicitud de interpretación, en lo que respecta </w:t>
      </w:r>
      <w:r w:rsidR="00677B81">
        <w:rPr>
          <w:rFonts w:ascii="Verdana" w:hAnsi="Verdana" w:cs="Verdana"/>
          <w:sz w:val="20"/>
          <w:szCs w:val="20"/>
        </w:rPr>
        <w:t xml:space="preserve">a lo siguiente: a) los eventuales efectos del </w:t>
      </w:r>
      <w:r w:rsidR="00BB55C9">
        <w:rPr>
          <w:rFonts w:ascii="Verdana" w:hAnsi="Verdana" w:cs="Verdana"/>
          <w:sz w:val="20"/>
          <w:szCs w:val="20"/>
        </w:rPr>
        <w:t>P</w:t>
      </w:r>
      <w:r w:rsidR="00677B81">
        <w:rPr>
          <w:rFonts w:ascii="Verdana" w:hAnsi="Verdana" w:cs="Verdana"/>
          <w:sz w:val="20"/>
          <w:szCs w:val="20"/>
        </w:rPr>
        <w:t xml:space="preserve">unto </w:t>
      </w:r>
      <w:r w:rsidR="00BB55C9">
        <w:rPr>
          <w:rFonts w:ascii="Verdana" w:hAnsi="Verdana" w:cs="Verdana"/>
          <w:sz w:val="20"/>
          <w:szCs w:val="20"/>
        </w:rPr>
        <w:t>R</w:t>
      </w:r>
      <w:r w:rsidR="00677B81">
        <w:rPr>
          <w:rFonts w:ascii="Verdana" w:hAnsi="Verdana" w:cs="Verdana"/>
          <w:sz w:val="20"/>
          <w:szCs w:val="20"/>
        </w:rPr>
        <w:t xml:space="preserve">esolutivo </w:t>
      </w:r>
      <w:r w:rsidR="0084733F">
        <w:rPr>
          <w:rFonts w:ascii="Verdana" w:hAnsi="Verdana" w:cs="Verdana"/>
          <w:sz w:val="20"/>
          <w:szCs w:val="20"/>
        </w:rPr>
        <w:t>Octavo</w:t>
      </w:r>
      <w:r w:rsidR="00677B81">
        <w:rPr>
          <w:rFonts w:ascii="Verdana" w:hAnsi="Verdana" w:cs="Verdana"/>
          <w:sz w:val="20"/>
          <w:szCs w:val="20"/>
        </w:rPr>
        <w:t xml:space="preserve"> de la Sentencia</w:t>
      </w:r>
      <w:r w:rsidR="00F35BB7">
        <w:rPr>
          <w:rFonts w:ascii="Verdana" w:hAnsi="Verdana" w:cs="Verdana"/>
          <w:sz w:val="20"/>
          <w:szCs w:val="20"/>
        </w:rPr>
        <w:t xml:space="preserve"> emitida por la </w:t>
      </w:r>
      <w:r w:rsidR="00F35BB7">
        <w:rPr>
          <w:rFonts w:ascii="Verdana" w:eastAsia="Times" w:hAnsi="Verdana"/>
          <w:bCs/>
          <w:sz w:val="20"/>
          <w:szCs w:val="20"/>
        </w:rPr>
        <w:t>Corte Interamericana</w:t>
      </w:r>
      <w:r w:rsidR="00677B81">
        <w:rPr>
          <w:rFonts w:ascii="Verdana" w:hAnsi="Verdana" w:cs="Verdana"/>
          <w:sz w:val="20"/>
          <w:szCs w:val="20"/>
        </w:rPr>
        <w:t>; b) el registro de otros integrantes de ANCEJUB-SUNAT que no figuran como víctimas del caso; c) el registro de otras personas que no siendo miembros de ANCEJUB-SUNAT sean cesantes o jubilados de la SUNAT</w:t>
      </w:r>
      <w:r w:rsidR="00BB55C9">
        <w:rPr>
          <w:rFonts w:ascii="Verdana" w:hAnsi="Verdana" w:cs="Verdana"/>
          <w:sz w:val="20"/>
          <w:szCs w:val="20"/>
        </w:rPr>
        <w:t>,</w:t>
      </w:r>
      <w:r w:rsidR="00A164FC">
        <w:rPr>
          <w:rFonts w:ascii="Verdana" w:hAnsi="Verdana" w:cs="Verdana"/>
          <w:sz w:val="20"/>
          <w:szCs w:val="20"/>
        </w:rPr>
        <w:t xml:space="preserve"> y</w:t>
      </w:r>
      <w:r w:rsidR="00677B81">
        <w:rPr>
          <w:rFonts w:ascii="Verdana" w:hAnsi="Verdana" w:cs="Verdana"/>
          <w:sz w:val="20"/>
          <w:szCs w:val="20"/>
        </w:rPr>
        <w:t xml:space="preserve"> d) aspectos respecto al derecho a la pensión.</w:t>
      </w:r>
    </w:p>
    <w:p w14:paraId="1D6C7599" w14:textId="77777777" w:rsidR="00577097" w:rsidRPr="00BE133F" w:rsidRDefault="00577097" w:rsidP="00577097">
      <w:pPr>
        <w:tabs>
          <w:tab w:val="left" w:pos="567"/>
        </w:tabs>
        <w:autoSpaceDE w:val="0"/>
        <w:autoSpaceDN w:val="0"/>
        <w:adjustRightInd w:val="0"/>
        <w:spacing w:after="0" w:line="240" w:lineRule="auto"/>
        <w:jc w:val="both"/>
        <w:rPr>
          <w:rFonts w:ascii="Verdana" w:hAnsi="Verdana" w:cs="Verdana"/>
          <w:sz w:val="20"/>
          <w:szCs w:val="20"/>
          <w:u w:val="single"/>
        </w:rPr>
      </w:pPr>
    </w:p>
    <w:p w14:paraId="64E8304B" w14:textId="71E5AF52" w:rsidR="00577097" w:rsidRPr="00BE133F" w:rsidRDefault="00577097" w:rsidP="00577097">
      <w:pPr>
        <w:numPr>
          <w:ilvl w:val="0"/>
          <w:numId w:val="1"/>
        </w:numPr>
        <w:tabs>
          <w:tab w:val="left" w:pos="567"/>
          <w:tab w:val="num" w:pos="720"/>
        </w:tabs>
        <w:autoSpaceDE w:val="0"/>
        <w:autoSpaceDN w:val="0"/>
        <w:adjustRightInd w:val="0"/>
        <w:spacing w:after="0" w:line="240" w:lineRule="auto"/>
        <w:jc w:val="both"/>
        <w:rPr>
          <w:rFonts w:ascii="Verdana" w:eastAsia="Times" w:hAnsi="Verdana"/>
          <w:bCs/>
          <w:sz w:val="20"/>
          <w:szCs w:val="20"/>
          <w:lang w:val="es-ES_tradnl"/>
        </w:rPr>
      </w:pPr>
      <w:bookmarkStart w:id="2" w:name="_Ref324683819"/>
      <w:bookmarkStart w:id="3" w:name="_Ref364679847"/>
      <w:bookmarkEnd w:id="1"/>
      <w:r w:rsidRPr="00BE133F">
        <w:rPr>
          <w:rFonts w:ascii="Verdana" w:hAnsi="Verdana" w:cs="Verdana"/>
          <w:sz w:val="20"/>
          <w:szCs w:val="20"/>
        </w:rPr>
        <w:t xml:space="preserve">El </w:t>
      </w:r>
      <w:r w:rsidR="00780BAF">
        <w:rPr>
          <w:rFonts w:ascii="Verdana" w:hAnsi="Verdana" w:cs="Verdana"/>
          <w:sz w:val="20"/>
          <w:szCs w:val="20"/>
        </w:rPr>
        <w:t>20</w:t>
      </w:r>
      <w:r w:rsidR="00677B81">
        <w:rPr>
          <w:rFonts w:ascii="Verdana" w:hAnsi="Verdana" w:cs="Verdana"/>
          <w:sz w:val="20"/>
          <w:szCs w:val="20"/>
        </w:rPr>
        <w:t xml:space="preserve"> de junio de 2020</w:t>
      </w:r>
      <w:r w:rsidR="00E80F07">
        <w:rPr>
          <w:rFonts w:ascii="Verdana" w:hAnsi="Verdana" w:cs="Verdana"/>
          <w:sz w:val="20"/>
          <w:szCs w:val="20"/>
        </w:rPr>
        <w:t xml:space="preserve"> </w:t>
      </w:r>
      <w:r w:rsidR="00677B81">
        <w:rPr>
          <w:rFonts w:ascii="Verdana" w:hAnsi="Verdana" w:cs="Verdana"/>
          <w:sz w:val="20"/>
          <w:szCs w:val="20"/>
        </w:rPr>
        <w:t>los representantes</w:t>
      </w:r>
      <w:r w:rsidR="00E80F07">
        <w:rPr>
          <w:rFonts w:ascii="Verdana" w:hAnsi="Verdana" w:cs="Verdana"/>
          <w:sz w:val="20"/>
          <w:szCs w:val="20"/>
        </w:rPr>
        <w:t xml:space="preserve"> </w:t>
      </w:r>
      <w:r w:rsidR="00677B81">
        <w:rPr>
          <w:rFonts w:ascii="Verdana" w:hAnsi="Verdana" w:cs="Verdana"/>
          <w:sz w:val="20"/>
          <w:szCs w:val="20"/>
        </w:rPr>
        <w:t>presentaron</w:t>
      </w:r>
      <w:r w:rsidR="003016B2" w:rsidRPr="00BE133F">
        <w:rPr>
          <w:rFonts w:ascii="Verdana" w:hAnsi="Verdana" w:cs="Verdana"/>
          <w:sz w:val="20"/>
          <w:szCs w:val="20"/>
        </w:rPr>
        <w:t xml:space="preserve"> sus observaciones escritas a la solicitud de interpretación</w:t>
      </w:r>
      <w:r w:rsidRPr="00BE133F">
        <w:rPr>
          <w:rFonts w:ascii="Verdana" w:hAnsi="Verdana" w:cs="Verdana"/>
          <w:sz w:val="20"/>
          <w:szCs w:val="20"/>
        </w:rPr>
        <w:t xml:space="preserve"> </w:t>
      </w:r>
      <w:r w:rsidR="003016B2" w:rsidRPr="00BE133F">
        <w:rPr>
          <w:rFonts w:ascii="Verdana" w:hAnsi="Verdana" w:cs="Verdana"/>
          <w:sz w:val="20"/>
          <w:szCs w:val="20"/>
        </w:rPr>
        <w:t>d</w:t>
      </w:r>
      <w:r w:rsidRPr="00BE133F">
        <w:rPr>
          <w:rFonts w:ascii="Verdana" w:hAnsi="Verdana" w:cs="Verdana"/>
          <w:sz w:val="20"/>
          <w:szCs w:val="20"/>
        </w:rPr>
        <w:t>el Estado</w:t>
      </w:r>
      <w:r w:rsidR="003016B2" w:rsidRPr="00BE133F">
        <w:rPr>
          <w:rFonts w:ascii="Verdana" w:hAnsi="Verdana" w:cs="Verdana"/>
          <w:sz w:val="20"/>
          <w:szCs w:val="20"/>
        </w:rPr>
        <w:t xml:space="preserve">. El </w:t>
      </w:r>
      <w:r w:rsidR="00C9437A">
        <w:rPr>
          <w:rFonts w:ascii="Verdana" w:hAnsi="Verdana" w:cs="Verdana"/>
          <w:sz w:val="20"/>
          <w:szCs w:val="20"/>
        </w:rPr>
        <w:t>2</w:t>
      </w:r>
      <w:r w:rsidR="00677B81">
        <w:rPr>
          <w:rFonts w:ascii="Verdana" w:hAnsi="Verdana" w:cs="Verdana"/>
          <w:sz w:val="20"/>
          <w:szCs w:val="20"/>
        </w:rPr>
        <w:t>9 de junio de 2020</w:t>
      </w:r>
      <w:r w:rsidR="003016B2" w:rsidRPr="00BE133F">
        <w:rPr>
          <w:rFonts w:ascii="Verdana" w:hAnsi="Verdana" w:cs="Verdana"/>
          <w:sz w:val="20"/>
          <w:szCs w:val="20"/>
        </w:rPr>
        <w:t xml:space="preserve"> el Estado presentó sus observaciones escritas a la solicitud de interpretación de</w:t>
      </w:r>
      <w:r w:rsidR="001519BE">
        <w:rPr>
          <w:rFonts w:ascii="Verdana" w:hAnsi="Verdana" w:cs="Verdana"/>
          <w:sz w:val="20"/>
          <w:szCs w:val="20"/>
        </w:rPr>
        <w:t xml:space="preserve"> </w:t>
      </w:r>
      <w:r w:rsidR="00677B81">
        <w:rPr>
          <w:rFonts w:ascii="Verdana" w:hAnsi="Verdana" w:cs="Verdana"/>
          <w:sz w:val="20"/>
          <w:szCs w:val="20"/>
        </w:rPr>
        <w:t>los representantes</w:t>
      </w:r>
      <w:r w:rsidR="001519BE">
        <w:rPr>
          <w:rFonts w:ascii="Verdana" w:hAnsi="Verdana" w:cs="Verdana"/>
          <w:sz w:val="20"/>
          <w:szCs w:val="20"/>
        </w:rPr>
        <w:t>,</w:t>
      </w:r>
      <w:r w:rsidR="00C9437A">
        <w:rPr>
          <w:rFonts w:ascii="Verdana" w:hAnsi="Verdana" w:cs="Verdana"/>
          <w:sz w:val="20"/>
          <w:szCs w:val="20"/>
        </w:rPr>
        <w:t xml:space="preserve"> y</w:t>
      </w:r>
      <w:r w:rsidR="008500AF" w:rsidRPr="00BE133F">
        <w:rPr>
          <w:rFonts w:ascii="Verdana" w:hAnsi="Verdana" w:cs="Verdana"/>
          <w:sz w:val="20"/>
          <w:szCs w:val="20"/>
        </w:rPr>
        <w:t xml:space="preserve"> </w:t>
      </w:r>
      <w:r w:rsidRPr="00BE133F">
        <w:rPr>
          <w:rFonts w:ascii="Verdana" w:hAnsi="Verdana" w:cs="Verdana"/>
          <w:sz w:val="20"/>
          <w:szCs w:val="20"/>
        </w:rPr>
        <w:t xml:space="preserve">la Comisión </w:t>
      </w:r>
      <w:r w:rsidR="00F56B02" w:rsidRPr="00BE133F">
        <w:rPr>
          <w:rFonts w:ascii="Verdana" w:hAnsi="Verdana" w:cs="Verdana"/>
          <w:sz w:val="20"/>
          <w:szCs w:val="20"/>
        </w:rPr>
        <w:t>presentó</w:t>
      </w:r>
      <w:r w:rsidRPr="00BE133F">
        <w:rPr>
          <w:rFonts w:ascii="Verdana" w:hAnsi="Verdana" w:cs="Verdana"/>
          <w:sz w:val="20"/>
          <w:szCs w:val="20"/>
        </w:rPr>
        <w:t xml:space="preserve"> sus observaciones escritas respecto de las referidas solicitudes de interpretación.</w:t>
      </w:r>
      <w:bookmarkEnd w:id="2"/>
      <w:bookmarkEnd w:id="3"/>
    </w:p>
    <w:p w14:paraId="3A91928D" w14:textId="77777777" w:rsidR="00577097" w:rsidRPr="004B01A4" w:rsidRDefault="00577097" w:rsidP="00577097">
      <w:pPr>
        <w:tabs>
          <w:tab w:val="left" w:pos="567"/>
        </w:tabs>
        <w:autoSpaceDE w:val="0"/>
        <w:autoSpaceDN w:val="0"/>
        <w:adjustRightInd w:val="0"/>
        <w:spacing w:after="0" w:line="240" w:lineRule="auto"/>
        <w:jc w:val="both"/>
        <w:rPr>
          <w:rFonts w:ascii="Verdana" w:hAnsi="Verdana" w:cs="Verdana"/>
          <w:sz w:val="20"/>
          <w:szCs w:val="20"/>
        </w:rPr>
      </w:pPr>
    </w:p>
    <w:p w14:paraId="7DAFF4E0" w14:textId="77777777" w:rsidR="00577097" w:rsidRPr="00BE133F" w:rsidRDefault="00577097" w:rsidP="00577097">
      <w:pPr>
        <w:tabs>
          <w:tab w:val="left" w:pos="567"/>
        </w:tabs>
        <w:spacing w:after="0" w:line="240" w:lineRule="auto"/>
        <w:jc w:val="center"/>
        <w:rPr>
          <w:rFonts w:ascii="Verdana" w:eastAsia="Times" w:hAnsi="Verdana"/>
          <w:b/>
          <w:bCs/>
          <w:sz w:val="20"/>
          <w:szCs w:val="20"/>
        </w:rPr>
      </w:pPr>
      <w:r w:rsidRPr="00BE133F">
        <w:rPr>
          <w:rFonts w:ascii="Verdana" w:eastAsia="Times" w:hAnsi="Verdana"/>
          <w:b/>
          <w:bCs/>
          <w:sz w:val="20"/>
          <w:szCs w:val="20"/>
        </w:rPr>
        <w:t>II</w:t>
      </w:r>
    </w:p>
    <w:p w14:paraId="6252246B" w14:textId="77777777" w:rsidR="00577097" w:rsidRPr="00BE133F" w:rsidRDefault="00577097" w:rsidP="00577097">
      <w:pPr>
        <w:tabs>
          <w:tab w:val="left" w:pos="567"/>
        </w:tabs>
        <w:spacing w:after="0" w:line="240" w:lineRule="auto"/>
        <w:jc w:val="center"/>
        <w:rPr>
          <w:rFonts w:ascii="Verdana" w:eastAsia="Times" w:hAnsi="Verdana"/>
          <w:b/>
          <w:bCs/>
          <w:sz w:val="20"/>
          <w:szCs w:val="20"/>
        </w:rPr>
      </w:pPr>
      <w:r w:rsidRPr="00BE133F">
        <w:rPr>
          <w:rFonts w:ascii="Verdana" w:eastAsia="Times" w:hAnsi="Verdana"/>
          <w:b/>
          <w:bCs/>
          <w:sz w:val="20"/>
          <w:szCs w:val="20"/>
        </w:rPr>
        <w:t>COMPETENCIA</w:t>
      </w:r>
    </w:p>
    <w:p w14:paraId="044BFE35" w14:textId="77777777" w:rsidR="00577097" w:rsidRPr="00BE133F" w:rsidRDefault="00577097" w:rsidP="00577097">
      <w:pPr>
        <w:tabs>
          <w:tab w:val="left" w:pos="567"/>
        </w:tabs>
        <w:spacing w:after="0" w:line="240" w:lineRule="auto"/>
        <w:ind w:left="720"/>
        <w:jc w:val="both"/>
        <w:rPr>
          <w:rFonts w:ascii="Verdana" w:eastAsia="Batang" w:hAnsi="Verdana"/>
          <w:sz w:val="20"/>
          <w:szCs w:val="20"/>
        </w:rPr>
      </w:pPr>
    </w:p>
    <w:p w14:paraId="7263E8DB" w14:textId="77777777" w:rsidR="00577097" w:rsidRPr="00BE133F" w:rsidRDefault="00577097" w:rsidP="00577097">
      <w:pPr>
        <w:numPr>
          <w:ilvl w:val="0"/>
          <w:numId w:val="1"/>
        </w:numPr>
        <w:tabs>
          <w:tab w:val="left" w:pos="567"/>
          <w:tab w:val="num" w:pos="720"/>
        </w:tabs>
        <w:autoSpaceDE w:val="0"/>
        <w:autoSpaceDN w:val="0"/>
        <w:adjustRightInd w:val="0"/>
        <w:spacing w:after="0" w:line="240" w:lineRule="auto"/>
        <w:jc w:val="both"/>
        <w:rPr>
          <w:rFonts w:ascii="Verdana" w:eastAsia="Times" w:hAnsi="Verdana"/>
          <w:bCs/>
          <w:sz w:val="20"/>
          <w:szCs w:val="20"/>
          <w:lang w:val="es-ES_tradnl"/>
        </w:rPr>
      </w:pPr>
      <w:bookmarkStart w:id="4" w:name="_Ref361668910"/>
      <w:r w:rsidRPr="00BE133F">
        <w:rPr>
          <w:rFonts w:ascii="Verdana" w:eastAsia="Times" w:hAnsi="Verdana"/>
          <w:sz w:val="20"/>
          <w:szCs w:val="20"/>
        </w:rPr>
        <w:t>El artículo 67 de la Convención establece que:</w:t>
      </w:r>
      <w:bookmarkEnd w:id="4"/>
    </w:p>
    <w:p w14:paraId="7DE8FCD6" w14:textId="77777777" w:rsidR="00577097" w:rsidRPr="00BE133F" w:rsidRDefault="00577097" w:rsidP="00577097">
      <w:pPr>
        <w:tabs>
          <w:tab w:val="left" w:pos="567"/>
        </w:tabs>
        <w:autoSpaceDE w:val="0"/>
        <w:autoSpaceDN w:val="0"/>
        <w:adjustRightInd w:val="0"/>
        <w:spacing w:after="0" w:line="240" w:lineRule="auto"/>
        <w:jc w:val="both"/>
        <w:rPr>
          <w:rFonts w:ascii="Verdana" w:eastAsia="Times" w:hAnsi="Verdana"/>
          <w:bCs/>
          <w:sz w:val="20"/>
          <w:szCs w:val="20"/>
          <w:lang w:val="es-ES_tradnl"/>
        </w:rPr>
      </w:pPr>
    </w:p>
    <w:p w14:paraId="6E389181" w14:textId="77777777" w:rsidR="00577097" w:rsidRPr="007274AC" w:rsidRDefault="00577097" w:rsidP="007274AC">
      <w:pPr>
        <w:pStyle w:val="Textodebloque"/>
      </w:pPr>
      <w:r w:rsidRPr="007274AC">
        <w:t>El fallo de la Corte será definitivo e inapelable. En caso de desacuerdo sobre el sentido o alcance del fallo, la Corte lo interpretará a solicitud de cualquiera de las partes, siempre que dicha solicitud se presente dentro de los noventa días a partir de la fecha de la notificación del fallo.</w:t>
      </w:r>
    </w:p>
    <w:p w14:paraId="0B32F422" w14:textId="77777777" w:rsidR="00577097" w:rsidRPr="00BE133F" w:rsidRDefault="00577097" w:rsidP="00577097">
      <w:pPr>
        <w:tabs>
          <w:tab w:val="left" w:pos="567"/>
        </w:tabs>
        <w:spacing w:after="0" w:line="240" w:lineRule="auto"/>
        <w:ind w:left="720" w:right="639"/>
        <w:jc w:val="both"/>
        <w:rPr>
          <w:rFonts w:ascii="Verdana" w:eastAsia="Times" w:hAnsi="Verdana"/>
          <w:sz w:val="20"/>
          <w:szCs w:val="20"/>
          <w:lang w:val="es-ES_tradnl"/>
        </w:rPr>
      </w:pPr>
    </w:p>
    <w:p w14:paraId="3CCC6FFA" w14:textId="28627D19" w:rsidR="009D52B4" w:rsidRPr="00FB62DA" w:rsidRDefault="00577097" w:rsidP="00FB62DA">
      <w:pPr>
        <w:pStyle w:val="Prrafodelista"/>
        <w:numPr>
          <w:ilvl w:val="0"/>
          <w:numId w:val="1"/>
        </w:numPr>
        <w:tabs>
          <w:tab w:val="clear" w:pos="1247"/>
          <w:tab w:val="num" w:pos="567"/>
        </w:tabs>
        <w:spacing w:after="0" w:line="240" w:lineRule="auto"/>
        <w:jc w:val="both"/>
        <w:rPr>
          <w:rFonts w:ascii="Verdana" w:eastAsia="Times" w:hAnsi="Verdana"/>
          <w:bCs/>
          <w:sz w:val="20"/>
          <w:szCs w:val="20"/>
          <w:lang w:val="es-ES_tradnl"/>
        </w:rPr>
      </w:pPr>
      <w:r w:rsidRPr="00FB62DA">
        <w:rPr>
          <w:rFonts w:ascii="Verdana" w:eastAsia="Times" w:hAnsi="Verdana"/>
          <w:sz w:val="20"/>
          <w:szCs w:val="20"/>
        </w:rPr>
        <w:t xml:space="preserve">De conformidad con el artículo citado, la Corte es competente para interpretar sus fallos. Para realizar el examen de la solicitud de interpretación y resolver lo que a este respecto corresponda, el Tribunal debe tener, si es posible, la misma composición que tenía al dictar la Sentencia respectiva, de acuerdo con el artículo 68.3 del Reglamento. </w:t>
      </w:r>
      <w:r w:rsidR="00FB62DA" w:rsidRPr="00FB62DA">
        <w:rPr>
          <w:rFonts w:ascii="Verdana" w:hAnsi="Verdana"/>
          <w:sz w:val="20"/>
          <w:szCs w:val="20"/>
        </w:rPr>
        <w:t>En esta ocasión, la Corte está integrada</w:t>
      </w:r>
      <w:r w:rsidR="00E31807">
        <w:rPr>
          <w:rFonts w:ascii="Verdana" w:hAnsi="Verdana"/>
          <w:sz w:val="20"/>
          <w:szCs w:val="20"/>
        </w:rPr>
        <w:t>, en su mayoría,</w:t>
      </w:r>
      <w:r w:rsidR="00FB62DA" w:rsidRPr="00FB62DA">
        <w:rPr>
          <w:rFonts w:ascii="Verdana" w:hAnsi="Verdana"/>
          <w:sz w:val="20"/>
          <w:szCs w:val="20"/>
        </w:rPr>
        <w:t xml:space="preserve"> por los mismos Jueces que dictaron la Sentencia cuya interpretación ha sido solicitada</w:t>
      </w:r>
      <w:r w:rsidR="00E31807">
        <w:rPr>
          <w:rFonts w:ascii="Verdana" w:hAnsi="Verdana"/>
          <w:sz w:val="20"/>
          <w:szCs w:val="20"/>
        </w:rPr>
        <w:t xml:space="preserve"> (</w:t>
      </w:r>
      <w:r w:rsidR="00E31807">
        <w:rPr>
          <w:rFonts w:ascii="Verdana" w:hAnsi="Verdana"/>
          <w:i/>
          <w:sz w:val="20"/>
          <w:szCs w:val="20"/>
        </w:rPr>
        <w:t xml:space="preserve">supra </w:t>
      </w:r>
      <w:r w:rsidR="00E31807">
        <w:rPr>
          <w:rFonts w:ascii="Verdana" w:hAnsi="Verdana"/>
          <w:sz w:val="20"/>
          <w:szCs w:val="20"/>
        </w:rPr>
        <w:t>nota 1)</w:t>
      </w:r>
      <w:r w:rsidR="00FB62DA" w:rsidRPr="00FB62DA">
        <w:rPr>
          <w:rFonts w:ascii="Verdana" w:hAnsi="Verdana"/>
          <w:sz w:val="20"/>
          <w:szCs w:val="20"/>
        </w:rPr>
        <w:t>.</w:t>
      </w:r>
    </w:p>
    <w:p w14:paraId="09F0A96F" w14:textId="77777777" w:rsidR="00C82D0E" w:rsidRDefault="00C82D0E" w:rsidP="00577097">
      <w:pPr>
        <w:tabs>
          <w:tab w:val="left" w:pos="567"/>
        </w:tabs>
        <w:autoSpaceDE w:val="0"/>
        <w:autoSpaceDN w:val="0"/>
        <w:adjustRightInd w:val="0"/>
        <w:spacing w:after="0" w:line="240" w:lineRule="auto"/>
        <w:jc w:val="center"/>
        <w:rPr>
          <w:rFonts w:ascii="Verdana" w:hAnsi="Verdana" w:cs="Verdana"/>
          <w:b/>
          <w:sz w:val="20"/>
          <w:szCs w:val="20"/>
        </w:rPr>
      </w:pPr>
    </w:p>
    <w:p w14:paraId="70A0B21B" w14:textId="77777777" w:rsidR="00577097" w:rsidRPr="00BE133F" w:rsidRDefault="00577097" w:rsidP="00577097">
      <w:pPr>
        <w:tabs>
          <w:tab w:val="left" w:pos="567"/>
        </w:tabs>
        <w:autoSpaceDE w:val="0"/>
        <w:autoSpaceDN w:val="0"/>
        <w:adjustRightInd w:val="0"/>
        <w:spacing w:after="0" w:line="240" w:lineRule="auto"/>
        <w:jc w:val="center"/>
        <w:rPr>
          <w:rFonts w:ascii="Verdana" w:hAnsi="Verdana" w:cs="Verdana"/>
          <w:b/>
          <w:sz w:val="20"/>
          <w:szCs w:val="20"/>
        </w:rPr>
      </w:pPr>
      <w:r w:rsidRPr="00BE133F">
        <w:rPr>
          <w:rFonts w:ascii="Verdana" w:hAnsi="Verdana" w:cs="Verdana"/>
          <w:b/>
          <w:sz w:val="20"/>
          <w:szCs w:val="20"/>
        </w:rPr>
        <w:t>III</w:t>
      </w:r>
    </w:p>
    <w:p w14:paraId="5FDDAB25" w14:textId="77777777" w:rsidR="00577097" w:rsidRPr="00BE133F" w:rsidRDefault="00577097" w:rsidP="00577097">
      <w:pPr>
        <w:tabs>
          <w:tab w:val="left" w:pos="567"/>
        </w:tabs>
        <w:autoSpaceDE w:val="0"/>
        <w:autoSpaceDN w:val="0"/>
        <w:adjustRightInd w:val="0"/>
        <w:spacing w:after="0" w:line="240" w:lineRule="auto"/>
        <w:jc w:val="center"/>
        <w:rPr>
          <w:rFonts w:ascii="Verdana" w:hAnsi="Verdana" w:cs="Verdana"/>
          <w:b/>
          <w:sz w:val="20"/>
          <w:szCs w:val="20"/>
        </w:rPr>
      </w:pPr>
      <w:r w:rsidRPr="00BE133F">
        <w:rPr>
          <w:rFonts w:ascii="Verdana" w:hAnsi="Verdana" w:cs="Verdana"/>
          <w:b/>
          <w:sz w:val="20"/>
          <w:szCs w:val="20"/>
        </w:rPr>
        <w:t>ADMISIBILIDAD</w:t>
      </w:r>
    </w:p>
    <w:p w14:paraId="55FB95AA" w14:textId="77777777" w:rsidR="00577097" w:rsidRPr="00BE133F" w:rsidRDefault="00577097" w:rsidP="00577097">
      <w:pPr>
        <w:tabs>
          <w:tab w:val="left" w:pos="567"/>
        </w:tabs>
        <w:autoSpaceDE w:val="0"/>
        <w:autoSpaceDN w:val="0"/>
        <w:adjustRightInd w:val="0"/>
        <w:spacing w:after="0" w:line="240" w:lineRule="auto"/>
        <w:jc w:val="both"/>
        <w:rPr>
          <w:rFonts w:ascii="Verdana" w:hAnsi="Verdana" w:cs="Verdana"/>
          <w:sz w:val="20"/>
          <w:szCs w:val="20"/>
        </w:rPr>
      </w:pPr>
      <w:bookmarkStart w:id="5" w:name="_Ref363125960"/>
    </w:p>
    <w:bookmarkEnd w:id="5"/>
    <w:p w14:paraId="2FA971D3" w14:textId="77777777" w:rsidR="00FD0EB6" w:rsidRPr="00FD0EB6" w:rsidRDefault="00FD0EB6" w:rsidP="00577097">
      <w:pPr>
        <w:numPr>
          <w:ilvl w:val="0"/>
          <w:numId w:val="1"/>
        </w:numPr>
        <w:tabs>
          <w:tab w:val="left" w:pos="567"/>
          <w:tab w:val="num" w:pos="720"/>
        </w:tabs>
        <w:spacing w:after="0" w:line="240" w:lineRule="auto"/>
        <w:jc w:val="both"/>
        <w:rPr>
          <w:rFonts w:ascii="Verdana" w:eastAsia="Times" w:hAnsi="Verdana"/>
          <w:sz w:val="20"/>
          <w:szCs w:val="20"/>
          <w:lang w:val="es-ES_tradnl"/>
        </w:rPr>
      </w:pPr>
      <w:r w:rsidRPr="00FD0EB6">
        <w:rPr>
          <w:rFonts w:ascii="Verdana" w:hAnsi="Verdana"/>
          <w:sz w:val="20"/>
          <w:szCs w:val="20"/>
        </w:rPr>
        <w:t xml:space="preserve">Corresponde a la Corte verificar si las solicitudes presentadas por los representantes y por el Estado cumplen con los requisitos establecidos en las normas aplicables a una solicitud </w:t>
      </w:r>
      <w:r w:rsidRPr="00FD0EB6">
        <w:rPr>
          <w:rFonts w:ascii="Verdana" w:hAnsi="Verdana"/>
          <w:sz w:val="20"/>
          <w:szCs w:val="20"/>
        </w:rPr>
        <w:lastRenderedPageBreak/>
        <w:t>de interpretación de Sentencia, a saber, el artículo 67 de la Convención anteriormente citado, y el artículo 68 del Reglamento. Asimismo, el artículo 31.3 del Reglamento establece que “[c]</w:t>
      </w:r>
      <w:proofErr w:type="spellStart"/>
      <w:r w:rsidRPr="00FD0EB6">
        <w:rPr>
          <w:rFonts w:ascii="Verdana" w:hAnsi="Verdana"/>
          <w:sz w:val="20"/>
          <w:szCs w:val="20"/>
        </w:rPr>
        <w:t>ontra</w:t>
      </w:r>
      <w:proofErr w:type="spellEnd"/>
      <w:r w:rsidRPr="00FD0EB6">
        <w:rPr>
          <w:rFonts w:ascii="Verdana" w:hAnsi="Verdana"/>
          <w:sz w:val="20"/>
          <w:szCs w:val="20"/>
        </w:rPr>
        <w:t xml:space="preserve"> las sentencias y resoluciones de la Corte no procede ningún medio de impugnación”.</w:t>
      </w:r>
    </w:p>
    <w:p w14:paraId="1280880B" w14:textId="77777777" w:rsidR="00FD0EB6" w:rsidRPr="00FD0EB6" w:rsidRDefault="00FD0EB6" w:rsidP="00FD0EB6">
      <w:pPr>
        <w:tabs>
          <w:tab w:val="left" w:pos="567"/>
        </w:tabs>
        <w:spacing w:after="0" w:line="240" w:lineRule="auto"/>
        <w:jc w:val="both"/>
        <w:rPr>
          <w:rFonts w:ascii="Verdana" w:eastAsia="Times" w:hAnsi="Verdana"/>
          <w:sz w:val="20"/>
          <w:szCs w:val="20"/>
          <w:lang w:val="es-ES_tradnl"/>
        </w:rPr>
      </w:pPr>
    </w:p>
    <w:p w14:paraId="67EFC00C" w14:textId="19F7CBD1" w:rsidR="00577097" w:rsidRPr="00FD0EB6" w:rsidRDefault="00FD0EB6" w:rsidP="00577097">
      <w:pPr>
        <w:numPr>
          <w:ilvl w:val="0"/>
          <w:numId w:val="1"/>
        </w:numPr>
        <w:tabs>
          <w:tab w:val="left" w:pos="567"/>
          <w:tab w:val="num" w:pos="720"/>
        </w:tabs>
        <w:spacing w:after="0" w:line="240" w:lineRule="auto"/>
        <w:jc w:val="both"/>
        <w:rPr>
          <w:rFonts w:ascii="Verdana" w:eastAsia="Times" w:hAnsi="Verdana"/>
          <w:sz w:val="20"/>
          <w:szCs w:val="20"/>
          <w:lang w:val="es-ES_tradnl"/>
        </w:rPr>
      </w:pPr>
      <w:r w:rsidRPr="00FD0EB6">
        <w:rPr>
          <w:rFonts w:ascii="Verdana" w:hAnsi="Verdana"/>
          <w:sz w:val="20"/>
          <w:szCs w:val="20"/>
        </w:rPr>
        <w:t xml:space="preserve">La Corte advierte que tanto los representantes como el Estado presentaron sus solicitudes de interpretación dentro del plazo de noventa días establecido en el artículo 67 de la Convención, ya que las mismas fueron presentadas el </w:t>
      </w:r>
      <w:r>
        <w:rPr>
          <w:rFonts w:ascii="Verdana" w:hAnsi="Verdana"/>
          <w:sz w:val="20"/>
          <w:szCs w:val="20"/>
        </w:rPr>
        <w:t>29 de enero de 2020 y el 22 de mayo de 2020</w:t>
      </w:r>
      <w:r w:rsidRPr="00FD0EB6">
        <w:rPr>
          <w:rFonts w:ascii="Verdana" w:hAnsi="Verdana"/>
          <w:sz w:val="20"/>
          <w:szCs w:val="20"/>
        </w:rPr>
        <w:t>, respectivamente, y las partes fueron n</w:t>
      </w:r>
      <w:r>
        <w:rPr>
          <w:rFonts w:ascii="Verdana" w:hAnsi="Verdana"/>
          <w:sz w:val="20"/>
          <w:szCs w:val="20"/>
        </w:rPr>
        <w:t>otificadas de la Sentencia el 19 de diciembre de 2019</w:t>
      </w:r>
      <w:r>
        <w:rPr>
          <w:rStyle w:val="Refdenotaalpie"/>
          <w:rFonts w:ascii="Verdana" w:hAnsi="Verdana"/>
          <w:sz w:val="20"/>
          <w:szCs w:val="20"/>
        </w:rPr>
        <w:footnoteReference w:id="3"/>
      </w:r>
      <w:r w:rsidRPr="00FD0EB6">
        <w:rPr>
          <w:rFonts w:ascii="Verdana" w:hAnsi="Verdana"/>
          <w:sz w:val="20"/>
          <w:szCs w:val="20"/>
        </w:rPr>
        <w:t xml:space="preserve">. Por ende, la solicitud resulta admisible en lo que se refiere al plazo de su presentación. En cuanto a los demás requisitos, la Corte Interamericana realizará el análisis </w:t>
      </w:r>
      <w:r w:rsidR="00BB55C9">
        <w:rPr>
          <w:rFonts w:ascii="Verdana" w:hAnsi="Verdana"/>
          <w:sz w:val="20"/>
          <w:szCs w:val="20"/>
        </w:rPr>
        <w:t>en cuanto al</w:t>
      </w:r>
      <w:r w:rsidRPr="00FD0EB6">
        <w:rPr>
          <w:rFonts w:ascii="Verdana" w:hAnsi="Verdana"/>
          <w:sz w:val="20"/>
          <w:szCs w:val="20"/>
        </w:rPr>
        <w:t xml:space="preserve"> mérito de dichas solicitudes en el siguiente capítulo.</w:t>
      </w:r>
    </w:p>
    <w:p w14:paraId="73A77315" w14:textId="77777777" w:rsidR="00FD0EB6" w:rsidRPr="00FD0EB6" w:rsidRDefault="00FD0EB6" w:rsidP="00FD0EB6">
      <w:pPr>
        <w:tabs>
          <w:tab w:val="left" w:pos="567"/>
        </w:tabs>
        <w:spacing w:after="0" w:line="240" w:lineRule="auto"/>
        <w:jc w:val="both"/>
        <w:rPr>
          <w:rFonts w:ascii="Verdana" w:eastAsia="Times" w:hAnsi="Verdana"/>
          <w:sz w:val="20"/>
          <w:szCs w:val="20"/>
          <w:lang w:val="es-ES_tradnl"/>
        </w:rPr>
      </w:pPr>
    </w:p>
    <w:p w14:paraId="79F6EDF4" w14:textId="77777777" w:rsidR="00577097" w:rsidRPr="00BE133F" w:rsidRDefault="00577097" w:rsidP="00577097">
      <w:pPr>
        <w:tabs>
          <w:tab w:val="left" w:pos="567"/>
        </w:tabs>
        <w:spacing w:after="0" w:line="240" w:lineRule="auto"/>
        <w:jc w:val="center"/>
        <w:rPr>
          <w:rFonts w:ascii="Verdana" w:eastAsia="Times" w:hAnsi="Verdana"/>
          <w:b/>
          <w:sz w:val="20"/>
          <w:szCs w:val="20"/>
        </w:rPr>
      </w:pPr>
      <w:r w:rsidRPr="00BE133F">
        <w:rPr>
          <w:rFonts w:ascii="Verdana" w:eastAsia="Times" w:hAnsi="Verdana"/>
          <w:b/>
          <w:sz w:val="20"/>
          <w:szCs w:val="20"/>
        </w:rPr>
        <w:t>IV</w:t>
      </w:r>
    </w:p>
    <w:p w14:paraId="11139744" w14:textId="77777777" w:rsidR="00577097" w:rsidRPr="0093256C" w:rsidRDefault="00577097" w:rsidP="00577097">
      <w:pPr>
        <w:tabs>
          <w:tab w:val="left" w:pos="567"/>
        </w:tabs>
        <w:autoSpaceDE w:val="0"/>
        <w:autoSpaceDN w:val="0"/>
        <w:adjustRightInd w:val="0"/>
        <w:spacing w:after="0" w:line="240" w:lineRule="auto"/>
        <w:jc w:val="center"/>
        <w:rPr>
          <w:rFonts w:ascii="Verdana" w:hAnsi="Verdana" w:cs="Verdana"/>
          <w:b/>
          <w:caps/>
          <w:sz w:val="20"/>
          <w:szCs w:val="20"/>
        </w:rPr>
      </w:pPr>
      <w:r w:rsidRPr="00B8255C">
        <w:rPr>
          <w:rFonts w:ascii="Verdana" w:hAnsi="Verdana" w:cs="Verdana"/>
          <w:b/>
          <w:caps/>
          <w:sz w:val="20"/>
          <w:szCs w:val="20"/>
        </w:rPr>
        <w:t>ANÁLISIS DE PROCEDENCIA DE LAs SOLICITUDes DE INTERPRETACIÓN</w:t>
      </w:r>
    </w:p>
    <w:p w14:paraId="379EB54A" w14:textId="77777777" w:rsidR="00577097" w:rsidRPr="00BE133F" w:rsidRDefault="00577097" w:rsidP="00577097">
      <w:pPr>
        <w:tabs>
          <w:tab w:val="left" w:pos="567"/>
        </w:tabs>
        <w:autoSpaceDE w:val="0"/>
        <w:autoSpaceDN w:val="0"/>
        <w:adjustRightInd w:val="0"/>
        <w:spacing w:after="0" w:line="240" w:lineRule="auto"/>
        <w:jc w:val="center"/>
        <w:rPr>
          <w:rFonts w:ascii="Verdana" w:hAnsi="Verdana" w:cs="Verdana"/>
          <w:b/>
          <w:caps/>
          <w:sz w:val="20"/>
          <w:szCs w:val="20"/>
        </w:rPr>
      </w:pPr>
    </w:p>
    <w:p w14:paraId="5E9DAA74" w14:textId="77777777" w:rsidR="00FD0EB6" w:rsidRPr="00FD0EB6" w:rsidRDefault="00FD0EB6" w:rsidP="00A164FC">
      <w:pPr>
        <w:numPr>
          <w:ilvl w:val="0"/>
          <w:numId w:val="1"/>
        </w:numPr>
        <w:tabs>
          <w:tab w:val="clear" w:pos="1247"/>
          <w:tab w:val="num" w:pos="567"/>
        </w:tabs>
        <w:spacing w:after="0" w:line="240" w:lineRule="auto"/>
        <w:jc w:val="both"/>
        <w:rPr>
          <w:rFonts w:ascii="Verdana" w:eastAsia="Times" w:hAnsi="Verdana"/>
          <w:bCs/>
          <w:spacing w:val="-2"/>
          <w:sz w:val="20"/>
          <w:szCs w:val="20"/>
          <w:lang w:val="es-ES_tradnl"/>
        </w:rPr>
      </w:pPr>
      <w:bookmarkStart w:id="6" w:name="_Ref324754196"/>
      <w:r w:rsidRPr="00FD0EB6">
        <w:rPr>
          <w:rFonts w:ascii="Verdana" w:eastAsia="Times" w:hAnsi="Verdana"/>
          <w:spacing w:val="-2"/>
          <w:sz w:val="20"/>
          <w:szCs w:val="20"/>
          <w:lang w:val="es-ES_tradnl"/>
        </w:rPr>
        <w:t xml:space="preserve">Este Tribunal analizará las solicitudes de los representantes y del Estado para determinar si, de acuerdo a la normativa y a los estándares desarrollados en su jurisprudencia, procede aclarar el sentido o alcance </w:t>
      </w:r>
      <w:r w:rsidR="00A164FC">
        <w:rPr>
          <w:rFonts w:ascii="Verdana" w:eastAsia="Times" w:hAnsi="Verdana"/>
          <w:spacing w:val="-2"/>
          <w:sz w:val="20"/>
          <w:szCs w:val="20"/>
          <w:lang w:val="es-ES_tradnl"/>
        </w:rPr>
        <w:t>de algún punto de la Sentencia.</w:t>
      </w:r>
    </w:p>
    <w:p w14:paraId="61A1046C" w14:textId="77777777" w:rsidR="00FD0EB6" w:rsidRPr="00FD0EB6" w:rsidRDefault="00FD0EB6" w:rsidP="00A164FC">
      <w:pPr>
        <w:tabs>
          <w:tab w:val="num" w:pos="567"/>
          <w:tab w:val="num" w:pos="720"/>
        </w:tabs>
        <w:spacing w:after="0" w:line="240" w:lineRule="auto"/>
        <w:jc w:val="both"/>
        <w:rPr>
          <w:rFonts w:ascii="Verdana" w:eastAsia="Times" w:hAnsi="Verdana"/>
          <w:bCs/>
          <w:spacing w:val="-2"/>
          <w:sz w:val="20"/>
          <w:szCs w:val="20"/>
          <w:lang w:val="es-ES_tradnl"/>
        </w:rPr>
      </w:pPr>
    </w:p>
    <w:p w14:paraId="79338CBB" w14:textId="3F4641C9" w:rsidR="00FD0EB6" w:rsidRDefault="00B76D76" w:rsidP="00A164FC">
      <w:pPr>
        <w:numPr>
          <w:ilvl w:val="0"/>
          <w:numId w:val="1"/>
        </w:numPr>
        <w:tabs>
          <w:tab w:val="clear" w:pos="1247"/>
          <w:tab w:val="num" w:pos="567"/>
        </w:tabs>
        <w:spacing w:after="0" w:line="240" w:lineRule="auto"/>
        <w:jc w:val="both"/>
        <w:rPr>
          <w:rFonts w:ascii="Verdana" w:hAnsi="Verdana"/>
          <w:sz w:val="20"/>
          <w:szCs w:val="20"/>
        </w:rPr>
      </w:pPr>
      <w:bookmarkStart w:id="7" w:name="_Ref392082429"/>
      <w:r>
        <w:rPr>
          <w:rFonts w:ascii="Verdana" w:hAnsi="Verdana"/>
          <w:sz w:val="20"/>
          <w:szCs w:val="20"/>
        </w:rPr>
        <w:t>L</w:t>
      </w:r>
      <w:r w:rsidR="00FD0EB6" w:rsidRPr="00FD0EB6">
        <w:rPr>
          <w:rFonts w:ascii="Verdana" w:hAnsi="Verdana"/>
          <w:sz w:val="20"/>
          <w:szCs w:val="20"/>
        </w:rPr>
        <w:t xml:space="preserve">a Corte </w:t>
      </w:r>
      <w:r>
        <w:rPr>
          <w:rFonts w:ascii="Verdana" w:hAnsi="Verdana"/>
          <w:sz w:val="20"/>
          <w:szCs w:val="20"/>
        </w:rPr>
        <w:t xml:space="preserve">ha señalado </w:t>
      </w:r>
      <w:r w:rsidR="00FD0EB6" w:rsidRPr="00FD0EB6">
        <w:rPr>
          <w:rFonts w:ascii="Verdana" w:hAnsi="Verdana"/>
          <w:sz w:val="20"/>
          <w:szCs w:val="20"/>
        </w:rPr>
        <w:t>que una solicitud de interpretación de sentencia no puede utilizarse como medio de impugnación de la decisión cuya interpretación se requiere. Dicha solicitud tiene como objeto, exclusivamente, determinar el sentido de un fallo cuando alguna de las partes sostiene que el texto de sus puntos resolutivos o de sus consideraciones carece de claridad o precisión, siempre y cuando esas consideraciones incidan en dicha parte resolutiva. Por lo tanto, no se puede solicitar la modificación o anulación de la sentencia respectiva a través de una solicitud de interpretación</w:t>
      </w:r>
      <w:r w:rsidR="00FD0EB6" w:rsidRPr="00FD0EB6">
        <w:rPr>
          <w:rStyle w:val="Refdenotaalpie"/>
          <w:rFonts w:ascii="Verdana" w:hAnsi="Verdana"/>
          <w:sz w:val="20"/>
          <w:szCs w:val="20"/>
        </w:rPr>
        <w:footnoteReference w:id="4"/>
      </w:r>
      <w:r w:rsidR="00FD0EB6" w:rsidRPr="00FD0EB6">
        <w:rPr>
          <w:rFonts w:ascii="Verdana" w:hAnsi="Verdana"/>
          <w:sz w:val="20"/>
          <w:szCs w:val="20"/>
        </w:rPr>
        <w:t>.</w:t>
      </w:r>
      <w:bookmarkEnd w:id="7"/>
    </w:p>
    <w:p w14:paraId="49AAD88B" w14:textId="77777777" w:rsidR="00FD0EB6" w:rsidRPr="00FD0EB6" w:rsidRDefault="00FD0EB6" w:rsidP="00A164FC">
      <w:pPr>
        <w:tabs>
          <w:tab w:val="num" w:pos="567"/>
          <w:tab w:val="num" w:pos="720"/>
        </w:tabs>
        <w:spacing w:after="0" w:line="240" w:lineRule="auto"/>
        <w:jc w:val="both"/>
        <w:rPr>
          <w:rFonts w:ascii="Verdana" w:hAnsi="Verdana"/>
          <w:sz w:val="20"/>
          <w:szCs w:val="20"/>
        </w:rPr>
      </w:pPr>
    </w:p>
    <w:p w14:paraId="49CC94AF" w14:textId="50C642F8" w:rsidR="00521460" w:rsidRDefault="00FD0EB6" w:rsidP="00521460">
      <w:pPr>
        <w:numPr>
          <w:ilvl w:val="0"/>
          <w:numId w:val="1"/>
        </w:numPr>
        <w:tabs>
          <w:tab w:val="clear" w:pos="1247"/>
          <w:tab w:val="num" w:pos="567"/>
          <w:tab w:val="num" w:pos="720"/>
        </w:tabs>
        <w:spacing w:after="0" w:line="240" w:lineRule="auto"/>
        <w:jc w:val="both"/>
        <w:rPr>
          <w:rFonts w:ascii="Verdana" w:eastAsia="Times" w:hAnsi="Verdana"/>
          <w:sz w:val="20"/>
          <w:szCs w:val="20"/>
          <w:lang w:val="es-ES_tradnl"/>
        </w:rPr>
      </w:pPr>
      <w:r w:rsidRPr="00FD0EB6">
        <w:rPr>
          <w:rFonts w:ascii="Verdana" w:hAnsi="Verdana"/>
          <w:sz w:val="20"/>
          <w:szCs w:val="20"/>
        </w:rPr>
        <w:t xml:space="preserve">Adicionalmente, la Corte ha sostenido la improcedencia de utilizar una solicitud de interpretación para someter </w:t>
      </w:r>
      <w:r w:rsidR="00B76D76">
        <w:rPr>
          <w:rFonts w:ascii="Verdana" w:hAnsi="Verdana"/>
          <w:sz w:val="20"/>
          <w:szCs w:val="20"/>
        </w:rPr>
        <w:t xml:space="preserve">consideraciones sobre </w:t>
      </w:r>
      <w:r w:rsidRPr="00FD0EB6">
        <w:rPr>
          <w:rFonts w:ascii="Verdana" w:hAnsi="Verdana"/>
          <w:sz w:val="20"/>
          <w:szCs w:val="20"/>
        </w:rPr>
        <w:t>cuestiones de hecho y de derecho que ya fueron planteadas en su oportunidad procesal y sobre las cuales la Corte ya adoptó una decisión</w:t>
      </w:r>
      <w:r w:rsidRPr="00FD0EB6">
        <w:rPr>
          <w:rStyle w:val="Refdenotaalpie"/>
          <w:rFonts w:ascii="Verdana" w:hAnsi="Verdana"/>
          <w:sz w:val="20"/>
          <w:szCs w:val="20"/>
        </w:rPr>
        <w:footnoteReference w:id="5"/>
      </w:r>
      <w:r w:rsidRPr="00FD0EB6">
        <w:rPr>
          <w:rFonts w:ascii="Verdana" w:hAnsi="Verdana"/>
          <w:sz w:val="20"/>
          <w:szCs w:val="20"/>
        </w:rPr>
        <w:t xml:space="preserve">, así como para pretender que la Corte valore nuevamente cuestiones que ya han sido resueltas </w:t>
      </w:r>
      <w:r w:rsidR="00CF1AC6">
        <w:rPr>
          <w:rFonts w:ascii="Verdana" w:hAnsi="Verdana"/>
          <w:sz w:val="20"/>
          <w:szCs w:val="20"/>
        </w:rPr>
        <w:t>en la</w:t>
      </w:r>
      <w:r w:rsidRPr="00FD0EB6">
        <w:rPr>
          <w:rFonts w:ascii="Verdana" w:hAnsi="Verdana"/>
          <w:sz w:val="20"/>
          <w:szCs w:val="20"/>
        </w:rPr>
        <w:t xml:space="preserve"> Sentencia</w:t>
      </w:r>
      <w:r w:rsidRPr="00FD0EB6">
        <w:rPr>
          <w:rStyle w:val="Refdenotaalpie"/>
          <w:rFonts w:ascii="Verdana" w:hAnsi="Verdana"/>
          <w:sz w:val="20"/>
          <w:szCs w:val="20"/>
        </w:rPr>
        <w:footnoteReference w:id="6"/>
      </w:r>
      <w:r w:rsidRPr="00FD0EB6">
        <w:rPr>
          <w:rFonts w:ascii="Verdana" w:hAnsi="Verdana"/>
          <w:sz w:val="20"/>
          <w:szCs w:val="20"/>
        </w:rPr>
        <w:t>. De igual manera, por esta vía tampoco se puede intentar que se amplíe el alcance de una medida de reparación ordenada oportunamente</w:t>
      </w:r>
      <w:r w:rsidRPr="00FD0EB6">
        <w:rPr>
          <w:rStyle w:val="Refdenotaalpie"/>
          <w:rFonts w:ascii="Verdana" w:hAnsi="Verdana"/>
          <w:sz w:val="20"/>
          <w:szCs w:val="20"/>
        </w:rPr>
        <w:footnoteReference w:id="7"/>
      </w:r>
      <w:r w:rsidRPr="00FD0EB6">
        <w:rPr>
          <w:rFonts w:ascii="Verdana" w:hAnsi="Verdana"/>
          <w:sz w:val="20"/>
          <w:szCs w:val="20"/>
        </w:rPr>
        <w:t>.</w:t>
      </w:r>
    </w:p>
    <w:p w14:paraId="4747AF0B" w14:textId="77777777" w:rsidR="00521460" w:rsidRPr="00521460" w:rsidRDefault="00521460" w:rsidP="00521460">
      <w:pPr>
        <w:tabs>
          <w:tab w:val="num" w:pos="720"/>
        </w:tabs>
        <w:spacing w:after="0" w:line="240" w:lineRule="auto"/>
        <w:jc w:val="both"/>
        <w:rPr>
          <w:rFonts w:ascii="Verdana" w:eastAsia="Times" w:hAnsi="Verdana"/>
          <w:sz w:val="20"/>
          <w:szCs w:val="20"/>
          <w:lang w:val="es-ES_tradnl"/>
        </w:rPr>
      </w:pPr>
    </w:p>
    <w:p w14:paraId="16264E39" w14:textId="5DEFC337" w:rsidR="00577097" w:rsidRPr="00521460" w:rsidRDefault="00FD0EB6" w:rsidP="00521460">
      <w:pPr>
        <w:numPr>
          <w:ilvl w:val="0"/>
          <w:numId w:val="1"/>
        </w:numPr>
        <w:tabs>
          <w:tab w:val="clear" w:pos="1247"/>
          <w:tab w:val="num" w:pos="567"/>
          <w:tab w:val="num" w:pos="720"/>
        </w:tabs>
        <w:spacing w:after="0" w:line="240" w:lineRule="auto"/>
        <w:jc w:val="both"/>
        <w:rPr>
          <w:rFonts w:ascii="Verdana" w:eastAsia="Times" w:hAnsi="Verdana"/>
          <w:sz w:val="20"/>
          <w:szCs w:val="20"/>
          <w:lang w:val="es-ES_tradnl"/>
        </w:rPr>
      </w:pPr>
      <w:r w:rsidRPr="00521460">
        <w:rPr>
          <w:rFonts w:ascii="Verdana" w:hAnsi="Verdana"/>
          <w:sz w:val="20"/>
          <w:szCs w:val="20"/>
        </w:rPr>
        <w:t>A continuación</w:t>
      </w:r>
      <w:r w:rsidR="00FE4B8A" w:rsidRPr="00521460">
        <w:rPr>
          <w:rFonts w:ascii="Verdana" w:hAnsi="Verdana"/>
          <w:sz w:val="20"/>
          <w:szCs w:val="20"/>
        </w:rPr>
        <w:t>,</w:t>
      </w:r>
      <w:r w:rsidRPr="00521460">
        <w:rPr>
          <w:rFonts w:ascii="Verdana" w:hAnsi="Verdana"/>
          <w:sz w:val="20"/>
          <w:szCs w:val="20"/>
        </w:rPr>
        <w:t xml:space="preserve"> la Corte Interamericana examinará las cuestiones planteadas por los representantes y el Estado en el siguiente orden: </w:t>
      </w:r>
      <w:r w:rsidR="00A164FC" w:rsidRPr="00521460">
        <w:rPr>
          <w:rFonts w:ascii="Verdana" w:hAnsi="Verdana"/>
          <w:sz w:val="20"/>
          <w:szCs w:val="20"/>
        </w:rPr>
        <w:t xml:space="preserve">a) </w:t>
      </w:r>
      <w:r w:rsidR="00DD53D3" w:rsidRPr="00521460">
        <w:rPr>
          <w:rFonts w:ascii="Verdana" w:hAnsi="Verdana"/>
          <w:sz w:val="20"/>
          <w:szCs w:val="20"/>
        </w:rPr>
        <w:t xml:space="preserve">la determinación del número de víctimas </w:t>
      </w:r>
      <w:r w:rsidR="00DD53D3" w:rsidRPr="00521460">
        <w:rPr>
          <w:rFonts w:ascii="Verdana" w:hAnsi="Verdana"/>
          <w:sz w:val="20"/>
          <w:szCs w:val="20"/>
        </w:rPr>
        <w:lastRenderedPageBreak/>
        <w:t xml:space="preserve">y el alcance del Punto Resolutivo </w:t>
      </w:r>
      <w:r w:rsidR="0084733F">
        <w:rPr>
          <w:rFonts w:ascii="Verdana" w:hAnsi="Verdana"/>
          <w:sz w:val="20"/>
          <w:szCs w:val="20"/>
        </w:rPr>
        <w:t>Sexto</w:t>
      </w:r>
      <w:r w:rsidR="00DD53D3" w:rsidRPr="00521460">
        <w:rPr>
          <w:rFonts w:ascii="Verdana" w:hAnsi="Verdana"/>
          <w:sz w:val="20"/>
          <w:szCs w:val="20"/>
        </w:rPr>
        <w:t xml:space="preserve"> de la Sentencia</w:t>
      </w:r>
      <w:r w:rsidR="00BB55C9">
        <w:rPr>
          <w:rFonts w:ascii="Verdana" w:hAnsi="Verdana"/>
          <w:sz w:val="20"/>
          <w:szCs w:val="20"/>
        </w:rPr>
        <w:t>,</w:t>
      </w:r>
      <w:r w:rsidR="00875055" w:rsidRPr="00521460">
        <w:rPr>
          <w:rFonts w:ascii="Verdana" w:hAnsi="Verdana"/>
          <w:sz w:val="20"/>
          <w:szCs w:val="20"/>
        </w:rPr>
        <w:t xml:space="preserve"> y</w:t>
      </w:r>
      <w:r w:rsidR="00DD53D3" w:rsidRPr="00521460">
        <w:rPr>
          <w:rFonts w:ascii="Verdana" w:hAnsi="Verdana"/>
          <w:sz w:val="20"/>
          <w:szCs w:val="20"/>
        </w:rPr>
        <w:t xml:space="preserve"> b) </w:t>
      </w:r>
      <w:r w:rsidR="00875055" w:rsidRPr="00521460">
        <w:rPr>
          <w:rFonts w:ascii="Verdana" w:hAnsi="Verdana"/>
          <w:sz w:val="20"/>
          <w:szCs w:val="20"/>
        </w:rPr>
        <w:t>l</w:t>
      </w:r>
      <w:r w:rsidR="00875055" w:rsidRPr="00521460">
        <w:rPr>
          <w:rFonts w:ascii="Verdana" w:hAnsi="Verdana" w:cs="Verdana"/>
          <w:sz w:val="20"/>
          <w:szCs w:val="20"/>
          <w:lang w:val="es-PA"/>
        </w:rPr>
        <w:t>os alcances de la medida de reparación prevista en el apartado B.3 de la Sentencia.</w:t>
      </w:r>
    </w:p>
    <w:p w14:paraId="5693A33E" w14:textId="77777777" w:rsidR="00FD0EB6" w:rsidRDefault="00FD0EB6" w:rsidP="00FD0EB6">
      <w:pPr>
        <w:tabs>
          <w:tab w:val="left" w:pos="567"/>
        </w:tabs>
        <w:spacing w:after="0" w:line="240" w:lineRule="auto"/>
        <w:jc w:val="both"/>
        <w:rPr>
          <w:rFonts w:ascii="Verdana" w:eastAsia="Times" w:hAnsi="Verdana"/>
          <w:sz w:val="20"/>
          <w:szCs w:val="20"/>
          <w:lang w:val="es-ES_tradnl"/>
        </w:rPr>
      </w:pPr>
    </w:p>
    <w:p w14:paraId="78EA66C0" w14:textId="0CF83FE7" w:rsidR="0089460F" w:rsidRPr="003B7EE4" w:rsidRDefault="003B7EE4" w:rsidP="0089460F">
      <w:pPr>
        <w:pStyle w:val="Prrafodelista"/>
        <w:numPr>
          <w:ilvl w:val="0"/>
          <w:numId w:val="3"/>
        </w:numPr>
        <w:tabs>
          <w:tab w:val="left" w:pos="567"/>
        </w:tabs>
        <w:spacing w:after="0" w:line="240" w:lineRule="auto"/>
        <w:jc w:val="both"/>
        <w:rPr>
          <w:rFonts w:ascii="Verdana" w:eastAsia="Times" w:hAnsi="Verdana"/>
          <w:b/>
          <w:i/>
          <w:sz w:val="20"/>
          <w:szCs w:val="20"/>
        </w:rPr>
      </w:pPr>
      <w:r w:rsidRPr="003B7EE4">
        <w:rPr>
          <w:rFonts w:ascii="Verdana" w:hAnsi="Verdana"/>
          <w:b/>
          <w:i/>
          <w:sz w:val="20"/>
          <w:szCs w:val="20"/>
          <w:lang w:val="es-ES_tradnl"/>
        </w:rPr>
        <w:t>L</w:t>
      </w:r>
      <w:r w:rsidRPr="003B7EE4">
        <w:rPr>
          <w:rFonts w:ascii="Verdana" w:hAnsi="Verdana"/>
          <w:b/>
          <w:i/>
          <w:sz w:val="20"/>
          <w:szCs w:val="20"/>
        </w:rPr>
        <w:t xml:space="preserve">a determinación del número de víctimas y el alcance del Punto Resolutivo </w:t>
      </w:r>
      <w:r w:rsidR="00E00337">
        <w:rPr>
          <w:rFonts w:ascii="Verdana" w:hAnsi="Verdana"/>
          <w:b/>
          <w:i/>
          <w:sz w:val="20"/>
          <w:szCs w:val="20"/>
        </w:rPr>
        <w:t>Sexto</w:t>
      </w:r>
      <w:r w:rsidRPr="003B7EE4">
        <w:rPr>
          <w:rFonts w:ascii="Verdana" w:hAnsi="Verdana"/>
          <w:b/>
          <w:i/>
          <w:sz w:val="20"/>
          <w:szCs w:val="20"/>
        </w:rPr>
        <w:t xml:space="preserve"> de la Sentencia</w:t>
      </w:r>
      <w:r w:rsidR="00EB2EE4" w:rsidRPr="003B7EE4">
        <w:rPr>
          <w:rFonts w:ascii="Verdana" w:eastAsia="Times" w:hAnsi="Verdana"/>
          <w:b/>
          <w:i/>
          <w:sz w:val="20"/>
          <w:szCs w:val="20"/>
        </w:rPr>
        <w:t xml:space="preserve"> </w:t>
      </w:r>
    </w:p>
    <w:p w14:paraId="5374BCCC" w14:textId="77777777" w:rsidR="00EB2EE4" w:rsidRPr="00EB2EE4" w:rsidRDefault="00EB2EE4" w:rsidP="0089460F">
      <w:pPr>
        <w:tabs>
          <w:tab w:val="left" w:pos="567"/>
        </w:tabs>
        <w:spacing w:after="0" w:line="240" w:lineRule="auto"/>
        <w:jc w:val="both"/>
        <w:rPr>
          <w:rFonts w:ascii="Verdana" w:eastAsia="Times" w:hAnsi="Verdana"/>
          <w:sz w:val="20"/>
          <w:szCs w:val="20"/>
        </w:rPr>
      </w:pPr>
    </w:p>
    <w:p w14:paraId="407BD16D" w14:textId="77777777" w:rsidR="00064C1E" w:rsidRPr="00BE133F" w:rsidRDefault="00064C1E" w:rsidP="007274AC">
      <w:pPr>
        <w:pStyle w:val="Ttulo1"/>
      </w:pPr>
      <w:r w:rsidRPr="00BE133F">
        <w:t xml:space="preserve">A.1 </w:t>
      </w:r>
      <w:r w:rsidR="0089460F">
        <w:t>Argumentos de las partes</w:t>
      </w:r>
      <w:r w:rsidR="007274AC">
        <w:t xml:space="preserve"> y </w:t>
      </w:r>
      <w:r w:rsidR="003B7EE4">
        <w:t xml:space="preserve">observaciones </w:t>
      </w:r>
      <w:r w:rsidR="007274AC">
        <w:t>de la Comisión</w:t>
      </w:r>
    </w:p>
    <w:p w14:paraId="691E0AFA" w14:textId="77777777" w:rsidR="00577097" w:rsidRPr="00BE133F" w:rsidRDefault="00577097" w:rsidP="00577097">
      <w:pPr>
        <w:tabs>
          <w:tab w:val="left" w:pos="567"/>
        </w:tabs>
        <w:spacing w:after="0" w:line="240" w:lineRule="auto"/>
        <w:jc w:val="both"/>
        <w:rPr>
          <w:rFonts w:ascii="Verdana" w:eastAsia="Times" w:hAnsi="Verdana"/>
          <w:sz w:val="20"/>
          <w:szCs w:val="20"/>
        </w:rPr>
      </w:pPr>
    </w:p>
    <w:p w14:paraId="4098047E" w14:textId="4758FA7A" w:rsidR="00C37AA8" w:rsidRPr="00C37AA8" w:rsidRDefault="003B7EE4" w:rsidP="00A1757A">
      <w:pPr>
        <w:numPr>
          <w:ilvl w:val="0"/>
          <w:numId w:val="1"/>
        </w:numPr>
        <w:tabs>
          <w:tab w:val="left" w:pos="567"/>
          <w:tab w:val="num" w:pos="720"/>
        </w:tabs>
        <w:autoSpaceDE w:val="0"/>
        <w:autoSpaceDN w:val="0"/>
        <w:adjustRightInd w:val="0"/>
        <w:spacing w:after="0" w:line="240" w:lineRule="auto"/>
        <w:jc w:val="both"/>
        <w:rPr>
          <w:rFonts w:ascii="Verdana" w:hAnsi="Verdana"/>
          <w:sz w:val="20"/>
          <w:szCs w:val="20"/>
        </w:rPr>
      </w:pPr>
      <w:r>
        <w:rPr>
          <w:rFonts w:ascii="Verdana" w:hAnsi="Verdana" w:cs="Verdana"/>
          <w:sz w:val="20"/>
          <w:szCs w:val="20"/>
        </w:rPr>
        <w:t xml:space="preserve">Los </w:t>
      </w:r>
      <w:r>
        <w:rPr>
          <w:rFonts w:ascii="Verdana" w:hAnsi="Verdana" w:cs="Verdana"/>
          <w:b/>
          <w:i/>
          <w:sz w:val="20"/>
          <w:szCs w:val="20"/>
        </w:rPr>
        <w:t xml:space="preserve">representantes </w:t>
      </w:r>
      <w:r>
        <w:rPr>
          <w:rFonts w:ascii="Verdana" w:hAnsi="Verdana" w:cs="Verdana"/>
          <w:sz w:val="20"/>
          <w:szCs w:val="20"/>
        </w:rPr>
        <w:t xml:space="preserve">solicitaron a la Corte </w:t>
      </w:r>
      <w:r w:rsidR="00931DE2">
        <w:rPr>
          <w:rFonts w:ascii="Verdana" w:hAnsi="Verdana" w:cs="Verdana"/>
          <w:sz w:val="20"/>
          <w:szCs w:val="20"/>
        </w:rPr>
        <w:t xml:space="preserve">que </w:t>
      </w:r>
      <w:r>
        <w:rPr>
          <w:rFonts w:ascii="Verdana" w:hAnsi="Verdana" w:cs="Verdana"/>
          <w:sz w:val="20"/>
          <w:szCs w:val="20"/>
        </w:rPr>
        <w:t>precisar</w:t>
      </w:r>
      <w:r w:rsidR="00931DE2">
        <w:rPr>
          <w:rFonts w:ascii="Verdana" w:hAnsi="Verdana" w:cs="Verdana"/>
          <w:sz w:val="20"/>
          <w:szCs w:val="20"/>
        </w:rPr>
        <w:t>a</w:t>
      </w:r>
      <w:r>
        <w:rPr>
          <w:rFonts w:ascii="Verdana" w:hAnsi="Verdana" w:cs="Verdana"/>
          <w:sz w:val="20"/>
          <w:szCs w:val="20"/>
        </w:rPr>
        <w:t xml:space="preserve"> la identidad y el número de personas a quienes deberá entenderse como beneficiarias de las reparaciones, puesto que los párrafos 120, 121 y 138 de la Sentencia se refieren a 604 personas, mientras que los párrafos 12</w:t>
      </w:r>
      <w:r w:rsidR="00FE4B8A">
        <w:rPr>
          <w:rFonts w:ascii="Verdana" w:hAnsi="Verdana" w:cs="Verdana"/>
          <w:sz w:val="20"/>
          <w:szCs w:val="20"/>
        </w:rPr>
        <w:t xml:space="preserve">2, 123 y el Punto Resolutivo </w:t>
      </w:r>
      <w:r w:rsidR="0084733F">
        <w:rPr>
          <w:rFonts w:ascii="Verdana" w:hAnsi="Verdana" w:cs="Verdana"/>
          <w:sz w:val="20"/>
          <w:szCs w:val="20"/>
        </w:rPr>
        <w:t>Cuarto</w:t>
      </w:r>
      <w:r>
        <w:rPr>
          <w:rFonts w:ascii="Verdana" w:hAnsi="Verdana" w:cs="Verdana"/>
          <w:sz w:val="20"/>
          <w:szCs w:val="20"/>
        </w:rPr>
        <w:t xml:space="preserve"> se refiere a 598 personas y una de ellas se menciona dos veces. Por otro lado, los representantes solicitaron </w:t>
      </w:r>
      <w:r w:rsidR="00E249C6">
        <w:rPr>
          <w:rFonts w:ascii="Verdana" w:hAnsi="Verdana" w:cs="Verdana"/>
          <w:sz w:val="20"/>
          <w:szCs w:val="20"/>
        </w:rPr>
        <w:t xml:space="preserve">que se aclare cuál es el alcance que la Sentencia otorga al informe pericial de 18 de octubre de 2011, sobre la base del cual deben pagarse los conceptos </w:t>
      </w:r>
      <w:r w:rsidR="00E10701">
        <w:rPr>
          <w:rFonts w:ascii="Verdana" w:hAnsi="Verdana" w:cs="Verdana"/>
          <w:sz w:val="20"/>
          <w:szCs w:val="20"/>
        </w:rPr>
        <w:t xml:space="preserve">en términos del Punto Resolutivo </w:t>
      </w:r>
      <w:r w:rsidR="0084733F">
        <w:rPr>
          <w:rFonts w:ascii="Verdana" w:hAnsi="Verdana" w:cs="Verdana"/>
          <w:sz w:val="20"/>
          <w:szCs w:val="20"/>
        </w:rPr>
        <w:t>Sexto</w:t>
      </w:r>
      <w:r w:rsidR="00E10701">
        <w:rPr>
          <w:rFonts w:ascii="Verdana" w:hAnsi="Verdana" w:cs="Verdana"/>
          <w:sz w:val="20"/>
          <w:szCs w:val="20"/>
        </w:rPr>
        <w:t xml:space="preserve"> de la Sentencia</w:t>
      </w:r>
      <w:r w:rsidR="00E249C6">
        <w:rPr>
          <w:rFonts w:ascii="Verdana" w:hAnsi="Verdana" w:cs="Verdana"/>
          <w:sz w:val="20"/>
          <w:szCs w:val="20"/>
        </w:rPr>
        <w:t xml:space="preserve">. En relación con dicha solicitud, </w:t>
      </w:r>
      <w:r w:rsidR="00C37AA8">
        <w:rPr>
          <w:rFonts w:ascii="Verdana" w:hAnsi="Verdana" w:cs="Verdana"/>
          <w:sz w:val="20"/>
          <w:szCs w:val="20"/>
        </w:rPr>
        <w:t>solicitaron que la Corte clarifique si la obligación del Estado de realizar “el pago efectivo e inmediato de los conceptos pendientes en virtud de la sentencia de 25 de octubre de 1993, en los términos del párrafo 217 de la presente Sentencia” significa que dicho pago se debe ceñir a los alcances de las conclusiones No. 1 y No. 4 del Informe Técnico-Pericial C.S.J.L. de 18 de octubre de 2011, o bien si el sentido de lo resuelto es otro</w:t>
      </w:r>
      <w:r w:rsidR="00150F39">
        <w:rPr>
          <w:rFonts w:ascii="Verdana" w:hAnsi="Verdana" w:cs="Verdana"/>
          <w:sz w:val="20"/>
          <w:szCs w:val="20"/>
        </w:rPr>
        <w:t xml:space="preserve">. Como parte de sus argumentos, los representantes manifestaron que el Informe Pericial antes mencionado se refiere a supuestos no contemplados en la sentencia de la Corte Suprema </w:t>
      </w:r>
      <w:r w:rsidR="00931DE2">
        <w:rPr>
          <w:rFonts w:ascii="Verdana" w:hAnsi="Verdana" w:cs="Verdana"/>
          <w:sz w:val="20"/>
          <w:szCs w:val="20"/>
        </w:rPr>
        <w:t xml:space="preserve">de Justicia </w:t>
      </w:r>
      <w:r w:rsidR="00150F39">
        <w:rPr>
          <w:rFonts w:ascii="Verdana" w:hAnsi="Verdana" w:cs="Verdana"/>
          <w:sz w:val="20"/>
          <w:szCs w:val="20"/>
        </w:rPr>
        <w:t xml:space="preserve">de 1993, por lo que no guarda una relación con la pensión </w:t>
      </w:r>
      <w:proofErr w:type="spellStart"/>
      <w:r w:rsidR="00150F39">
        <w:rPr>
          <w:rFonts w:ascii="Verdana" w:hAnsi="Verdana" w:cs="Verdana"/>
          <w:sz w:val="20"/>
          <w:szCs w:val="20"/>
        </w:rPr>
        <w:t>nivelable</w:t>
      </w:r>
      <w:proofErr w:type="spellEnd"/>
      <w:r w:rsidR="00150F39">
        <w:rPr>
          <w:rFonts w:ascii="Verdana" w:hAnsi="Verdana" w:cs="Verdana"/>
          <w:sz w:val="20"/>
          <w:szCs w:val="20"/>
        </w:rPr>
        <w:t xml:space="preserve"> materia de ejecución de la </w:t>
      </w:r>
      <w:r w:rsidR="00FE4B8A">
        <w:rPr>
          <w:rFonts w:ascii="Verdana" w:hAnsi="Verdana" w:cs="Verdana"/>
          <w:sz w:val="20"/>
          <w:szCs w:val="20"/>
        </w:rPr>
        <w:t>sentencia de amparo</w:t>
      </w:r>
      <w:r w:rsidR="00150F39">
        <w:rPr>
          <w:rFonts w:ascii="Verdana" w:hAnsi="Verdana" w:cs="Verdana"/>
          <w:sz w:val="20"/>
          <w:szCs w:val="20"/>
        </w:rPr>
        <w:t>.</w:t>
      </w:r>
    </w:p>
    <w:p w14:paraId="22F1304A" w14:textId="77777777" w:rsidR="00C37AA8" w:rsidRDefault="00C37AA8" w:rsidP="00C37AA8">
      <w:pPr>
        <w:tabs>
          <w:tab w:val="left" w:pos="567"/>
        </w:tabs>
        <w:autoSpaceDE w:val="0"/>
        <w:autoSpaceDN w:val="0"/>
        <w:adjustRightInd w:val="0"/>
        <w:spacing w:after="0" w:line="240" w:lineRule="auto"/>
        <w:jc w:val="both"/>
        <w:rPr>
          <w:rFonts w:ascii="Verdana" w:hAnsi="Verdana"/>
          <w:sz w:val="20"/>
          <w:szCs w:val="20"/>
        </w:rPr>
      </w:pPr>
    </w:p>
    <w:p w14:paraId="19D64A8C" w14:textId="082ABA81" w:rsidR="00DF53A3" w:rsidRDefault="00C37AA8" w:rsidP="00DF53A3">
      <w:pPr>
        <w:numPr>
          <w:ilvl w:val="0"/>
          <w:numId w:val="1"/>
        </w:numPr>
        <w:tabs>
          <w:tab w:val="left" w:pos="567"/>
          <w:tab w:val="num" w:pos="720"/>
        </w:tabs>
        <w:autoSpaceDE w:val="0"/>
        <w:autoSpaceDN w:val="0"/>
        <w:adjustRightInd w:val="0"/>
        <w:spacing w:after="0" w:line="240" w:lineRule="auto"/>
        <w:jc w:val="both"/>
        <w:rPr>
          <w:rFonts w:ascii="Verdana" w:eastAsiaTheme="minorHAnsi" w:hAnsi="Verdana" w:cs="Arial"/>
          <w:sz w:val="20"/>
          <w:szCs w:val="20"/>
        </w:rPr>
      </w:pPr>
      <w:r w:rsidRPr="00DF53A3">
        <w:rPr>
          <w:rFonts w:ascii="Verdana" w:hAnsi="Verdana"/>
          <w:sz w:val="20"/>
          <w:szCs w:val="20"/>
        </w:rPr>
        <w:t>Respecto a la solicitud de los representantes, e</w:t>
      </w:r>
      <w:r w:rsidR="00A5262F" w:rsidRPr="00DF53A3">
        <w:rPr>
          <w:rFonts w:ascii="Verdana" w:hAnsi="Verdana"/>
          <w:sz w:val="20"/>
          <w:szCs w:val="20"/>
        </w:rPr>
        <w:t xml:space="preserve">l </w:t>
      </w:r>
      <w:r w:rsidR="00A5262F" w:rsidRPr="00DF53A3">
        <w:rPr>
          <w:rFonts w:ascii="Verdana" w:hAnsi="Verdana"/>
          <w:b/>
          <w:i/>
          <w:sz w:val="20"/>
          <w:szCs w:val="20"/>
        </w:rPr>
        <w:t>Estado</w:t>
      </w:r>
      <w:r w:rsidR="00A5262F" w:rsidRPr="00DF53A3">
        <w:rPr>
          <w:rFonts w:ascii="Verdana" w:hAnsi="Verdana"/>
          <w:sz w:val="20"/>
          <w:szCs w:val="20"/>
        </w:rPr>
        <w:t xml:space="preserve"> </w:t>
      </w:r>
      <w:r w:rsidRPr="00DF53A3">
        <w:rPr>
          <w:rFonts w:ascii="Verdana" w:eastAsiaTheme="minorHAnsi" w:hAnsi="Verdana" w:cs="Arial"/>
          <w:sz w:val="20"/>
          <w:szCs w:val="20"/>
        </w:rPr>
        <w:t>manifestó</w:t>
      </w:r>
      <w:r w:rsidR="00A1757A" w:rsidRPr="00DF53A3">
        <w:rPr>
          <w:rFonts w:ascii="Verdana" w:eastAsiaTheme="minorHAnsi" w:hAnsi="Verdana" w:cs="Arial"/>
          <w:sz w:val="20"/>
          <w:szCs w:val="20"/>
        </w:rPr>
        <w:t xml:space="preserve"> que el número de víctimas fue una constan</w:t>
      </w:r>
      <w:r w:rsidRPr="00DF53A3">
        <w:rPr>
          <w:rFonts w:ascii="Verdana" w:eastAsiaTheme="minorHAnsi" w:hAnsi="Verdana" w:cs="Arial"/>
          <w:sz w:val="20"/>
          <w:szCs w:val="20"/>
        </w:rPr>
        <w:t xml:space="preserve">te en el debate a nivel interno. En ese sentido, </w:t>
      </w:r>
      <w:r w:rsidR="00150F39">
        <w:rPr>
          <w:rFonts w:ascii="Verdana" w:eastAsiaTheme="minorHAnsi" w:hAnsi="Verdana" w:cs="Arial"/>
          <w:sz w:val="20"/>
          <w:szCs w:val="20"/>
        </w:rPr>
        <w:t>expresó</w:t>
      </w:r>
      <w:r w:rsidRPr="00DF53A3">
        <w:rPr>
          <w:rFonts w:ascii="Verdana" w:eastAsiaTheme="minorHAnsi" w:hAnsi="Verdana" w:cs="Arial"/>
          <w:sz w:val="20"/>
          <w:szCs w:val="20"/>
        </w:rPr>
        <w:t xml:space="preserve"> que </w:t>
      </w:r>
      <w:r w:rsidR="00A1757A" w:rsidRPr="00DF53A3">
        <w:rPr>
          <w:rFonts w:ascii="Verdana" w:eastAsiaTheme="minorHAnsi" w:hAnsi="Verdana" w:cs="Arial"/>
          <w:sz w:val="20"/>
          <w:szCs w:val="20"/>
        </w:rPr>
        <w:t xml:space="preserve">la Corte </w:t>
      </w:r>
      <w:r w:rsidR="00BB147C">
        <w:rPr>
          <w:rFonts w:ascii="Verdana" w:eastAsiaTheme="minorHAnsi" w:hAnsi="Verdana" w:cs="Arial"/>
          <w:sz w:val="20"/>
          <w:szCs w:val="20"/>
        </w:rPr>
        <w:t xml:space="preserve">Interamericana </w:t>
      </w:r>
      <w:r w:rsidR="00A1757A" w:rsidRPr="00DF53A3">
        <w:rPr>
          <w:rFonts w:ascii="Verdana" w:eastAsiaTheme="minorHAnsi" w:hAnsi="Verdana" w:cs="Arial"/>
          <w:sz w:val="20"/>
          <w:szCs w:val="20"/>
        </w:rPr>
        <w:t>resolvió clara y definitivamente la</w:t>
      </w:r>
      <w:r w:rsidRPr="00DF53A3">
        <w:rPr>
          <w:rFonts w:ascii="Verdana" w:eastAsiaTheme="minorHAnsi" w:hAnsi="Verdana" w:cs="Arial"/>
          <w:sz w:val="20"/>
          <w:szCs w:val="20"/>
        </w:rPr>
        <w:t xml:space="preserve"> </w:t>
      </w:r>
      <w:r w:rsidR="00A1757A" w:rsidRPr="00DF53A3">
        <w:rPr>
          <w:rFonts w:ascii="Verdana" w:eastAsiaTheme="minorHAnsi" w:hAnsi="Verdana" w:cs="Arial"/>
          <w:sz w:val="20"/>
          <w:szCs w:val="20"/>
        </w:rPr>
        <w:t>disputa entre las partes</w:t>
      </w:r>
      <w:r w:rsidRPr="00DF53A3">
        <w:rPr>
          <w:rFonts w:ascii="Verdana" w:eastAsiaTheme="minorHAnsi" w:hAnsi="Verdana" w:cs="Arial"/>
          <w:sz w:val="20"/>
          <w:szCs w:val="20"/>
        </w:rPr>
        <w:t xml:space="preserve"> en ese punto</w:t>
      </w:r>
      <w:r w:rsidR="00A1757A" w:rsidRPr="00DF53A3">
        <w:rPr>
          <w:rFonts w:ascii="Verdana" w:eastAsiaTheme="minorHAnsi" w:hAnsi="Verdana" w:cs="Arial"/>
          <w:sz w:val="20"/>
          <w:szCs w:val="20"/>
        </w:rPr>
        <w:t>, razón por la cual en el</w:t>
      </w:r>
      <w:r w:rsidR="00150F39">
        <w:rPr>
          <w:rFonts w:ascii="Verdana" w:eastAsiaTheme="minorHAnsi" w:hAnsi="Verdana" w:cs="Arial"/>
          <w:sz w:val="20"/>
          <w:szCs w:val="20"/>
        </w:rPr>
        <w:t xml:space="preserve"> “Anexo 2. Listado de Víctimas del Caso”</w:t>
      </w:r>
      <w:r w:rsidR="00A1757A" w:rsidRPr="00DF53A3">
        <w:rPr>
          <w:rFonts w:ascii="Verdana" w:eastAsiaTheme="minorHAnsi" w:hAnsi="Verdana" w:cs="ArialMT"/>
          <w:sz w:val="20"/>
          <w:szCs w:val="20"/>
        </w:rPr>
        <w:t xml:space="preserve"> </w:t>
      </w:r>
      <w:r w:rsidR="00A1757A" w:rsidRPr="00DF53A3">
        <w:rPr>
          <w:rFonts w:ascii="Verdana" w:eastAsiaTheme="minorHAnsi" w:hAnsi="Verdana" w:cs="Arial"/>
          <w:sz w:val="20"/>
          <w:szCs w:val="20"/>
        </w:rPr>
        <w:t>de la Sentencia de 21 de noviembre de 2019, precisó la identidad (con</w:t>
      </w:r>
      <w:r w:rsidRPr="00DF53A3">
        <w:rPr>
          <w:rFonts w:ascii="Verdana" w:eastAsiaTheme="minorHAnsi" w:hAnsi="Verdana" w:cs="Arial"/>
          <w:sz w:val="20"/>
          <w:szCs w:val="20"/>
        </w:rPr>
        <w:t xml:space="preserve"> </w:t>
      </w:r>
      <w:r w:rsidR="00A1757A" w:rsidRPr="00DF53A3">
        <w:rPr>
          <w:rFonts w:ascii="Verdana" w:eastAsiaTheme="minorHAnsi" w:hAnsi="Verdana" w:cs="Arial"/>
          <w:sz w:val="20"/>
          <w:szCs w:val="20"/>
        </w:rPr>
        <w:t>nombres y apellidos) de las víctimas del presente caso</w:t>
      </w:r>
      <w:r w:rsidRPr="00DF53A3">
        <w:rPr>
          <w:rFonts w:ascii="Verdana" w:eastAsiaTheme="minorHAnsi" w:hAnsi="Verdana" w:cs="Arial"/>
          <w:sz w:val="20"/>
          <w:szCs w:val="20"/>
        </w:rPr>
        <w:t>. El Estado expresó que</w:t>
      </w:r>
      <w:r w:rsidR="00A1757A" w:rsidRPr="00DF53A3">
        <w:rPr>
          <w:rFonts w:ascii="Verdana" w:eastAsiaTheme="minorHAnsi" w:hAnsi="Verdana" w:cs="Arial"/>
          <w:sz w:val="20"/>
          <w:szCs w:val="20"/>
        </w:rPr>
        <w:t xml:space="preserve"> </w:t>
      </w:r>
      <w:r w:rsidRPr="00DF53A3">
        <w:rPr>
          <w:rFonts w:ascii="Verdana" w:eastAsiaTheme="minorHAnsi" w:hAnsi="Verdana" w:cs="Arial"/>
          <w:sz w:val="20"/>
          <w:szCs w:val="20"/>
        </w:rPr>
        <w:t xml:space="preserve">no existe duda respecto </w:t>
      </w:r>
      <w:r w:rsidR="007D4DBF">
        <w:rPr>
          <w:rFonts w:ascii="Verdana" w:eastAsiaTheme="minorHAnsi" w:hAnsi="Verdana" w:cs="Arial"/>
          <w:sz w:val="20"/>
          <w:szCs w:val="20"/>
        </w:rPr>
        <w:t xml:space="preserve">a </w:t>
      </w:r>
      <w:r w:rsidRPr="00DF53A3">
        <w:rPr>
          <w:rFonts w:ascii="Verdana" w:eastAsiaTheme="minorHAnsi" w:hAnsi="Verdana" w:cs="Arial"/>
          <w:sz w:val="20"/>
          <w:szCs w:val="20"/>
        </w:rPr>
        <w:t>que</w:t>
      </w:r>
      <w:r w:rsidR="00A1757A" w:rsidRPr="00DF53A3">
        <w:rPr>
          <w:rFonts w:ascii="Verdana" w:eastAsiaTheme="minorHAnsi" w:hAnsi="Verdana" w:cs="Arial"/>
          <w:sz w:val="20"/>
          <w:szCs w:val="20"/>
        </w:rPr>
        <w:t xml:space="preserve"> la Corte</w:t>
      </w:r>
      <w:r w:rsidRPr="00DF53A3">
        <w:rPr>
          <w:rFonts w:ascii="Verdana" w:eastAsiaTheme="minorHAnsi" w:hAnsi="Verdana" w:cs="Arial"/>
          <w:sz w:val="20"/>
          <w:szCs w:val="20"/>
        </w:rPr>
        <w:t xml:space="preserve"> </w:t>
      </w:r>
      <w:r w:rsidR="00A1757A" w:rsidRPr="00DF53A3">
        <w:rPr>
          <w:rFonts w:ascii="Verdana" w:eastAsiaTheme="minorHAnsi" w:hAnsi="Verdana" w:cs="Arial"/>
          <w:sz w:val="20"/>
          <w:szCs w:val="20"/>
        </w:rPr>
        <w:t>consideró</w:t>
      </w:r>
      <w:r w:rsidRPr="00DF53A3">
        <w:rPr>
          <w:rFonts w:ascii="Verdana" w:eastAsiaTheme="minorHAnsi" w:hAnsi="Verdana" w:cs="Arial"/>
          <w:sz w:val="20"/>
          <w:szCs w:val="20"/>
        </w:rPr>
        <w:t xml:space="preserve"> </w:t>
      </w:r>
      <w:r w:rsidR="00A1757A" w:rsidRPr="00DF53A3">
        <w:rPr>
          <w:rFonts w:ascii="Verdana" w:eastAsiaTheme="minorHAnsi" w:hAnsi="Verdana" w:cs="Arial"/>
          <w:sz w:val="20"/>
          <w:szCs w:val="20"/>
        </w:rPr>
        <w:t xml:space="preserve">que dicho punto controvertido </w:t>
      </w:r>
      <w:r w:rsidRPr="00DF53A3">
        <w:rPr>
          <w:rFonts w:ascii="Verdana" w:eastAsiaTheme="minorHAnsi" w:hAnsi="Verdana" w:cs="Arial"/>
          <w:sz w:val="20"/>
          <w:szCs w:val="20"/>
        </w:rPr>
        <w:t>fue</w:t>
      </w:r>
      <w:r w:rsidR="00A1757A" w:rsidRPr="00DF53A3">
        <w:rPr>
          <w:rFonts w:ascii="Verdana" w:eastAsiaTheme="minorHAnsi" w:hAnsi="Verdana" w:cs="Arial"/>
          <w:sz w:val="20"/>
          <w:szCs w:val="20"/>
        </w:rPr>
        <w:t xml:space="preserve"> resuelto judicialmente a nivel interno, y</w:t>
      </w:r>
      <w:r w:rsidRPr="00DF53A3">
        <w:rPr>
          <w:rFonts w:ascii="Verdana" w:eastAsiaTheme="minorHAnsi" w:hAnsi="Verdana" w:cs="Arial"/>
          <w:sz w:val="20"/>
          <w:szCs w:val="20"/>
        </w:rPr>
        <w:t xml:space="preserve"> </w:t>
      </w:r>
      <w:r w:rsidR="00A1757A" w:rsidRPr="00DF53A3">
        <w:rPr>
          <w:rFonts w:ascii="Verdana" w:eastAsiaTheme="minorHAnsi" w:hAnsi="Verdana" w:cs="Arial"/>
          <w:sz w:val="20"/>
          <w:szCs w:val="20"/>
        </w:rPr>
        <w:t>que al aprobar el peritaje de 18 de octubre de 2011, el Tribunal Constitucional,</w:t>
      </w:r>
      <w:r w:rsidRPr="00DF53A3">
        <w:rPr>
          <w:rFonts w:ascii="Verdana" w:eastAsiaTheme="minorHAnsi" w:hAnsi="Verdana" w:cs="Arial"/>
          <w:sz w:val="20"/>
          <w:szCs w:val="20"/>
        </w:rPr>
        <w:t xml:space="preserve"> </w:t>
      </w:r>
      <w:r w:rsidR="00A1757A" w:rsidRPr="00DF53A3">
        <w:rPr>
          <w:rFonts w:ascii="Verdana" w:eastAsiaTheme="minorHAnsi" w:hAnsi="Verdana" w:cs="Arial"/>
          <w:sz w:val="20"/>
          <w:szCs w:val="20"/>
        </w:rPr>
        <w:t xml:space="preserve">mediante </w:t>
      </w:r>
      <w:r w:rsidR="00C93EB3">
        <w:rPr>
          <w:rFonts w:ascii="Verdana" w:eastAsiaTheme="minorHAnsi" w:hAnsi="Verdana" w:cs="Arial"/>
          <w:sz w:val="20"/>
          <w:szCs w:val="20"/>
        </w:rPr>
        <w:t xml:space="preserve">resolución </w:t>
      </w:r>
      <w:r w:rsidR="00A1757A" w:rsidRPr="00DF53A3">
        <w:rPr>
          <w:rFonts w:ascii="Verdana" w:eastAsiaTheme="minorHAnsi" w:hAnsi="Verdana" w:cs="Arial"/>
          <w:sz w:val="20"/>
          <w:szCs w:val="20"/>
        </w:rPr>
        <w:t>de 23 de abril de 2019, consideró como beneficiarias de la</w:t>
      </w:r>
      <w:r w:rsidRPr="00DF53A3">
        <w:rPr>
          <w:rFonts w:ascii="Verdana" w:eastAsiaTheme="minorHAnsi" w:hAnsi="Verdana" w:cs="Arial"/>
          <w:sz w:val="20"/>
          <w:szCs w:val="20"/>
        </w:rPr>
        <w:t xml:space="preserve"> </w:t>
      </w:r>
      <w:r w:rsidR="00A1757A" w:rsidRPr="00DF53A3">
        <w:rPr>
          <w:rFonts w:ascii="Verdana" w:eastAsiaTheme="minorHAnsi" w:hAnsi="Verdana" w:cs="Arial"/>
          <w:sz w:val="20"/>
          <w:szCs w:val="20"/>
        </w:rPr>
        <w:t>sentencia de 25 de octubre de 1993 a las personas listadas en los anexos del citado</w:t>
      </w:r>
      <w:r w:rsidRPr="00DF53A3">
        <w:rPr>
          <w:rFonts w:ascii="Verdana" w:eastAsiaTheme="minorHAnsi" w:hAnsi="Verdana" w:cs="Arial"/>
          <w:sz w:val="20"/>
          <w:szCs w:val="20"/>
        </w:rPr>
        <w:t xml:space="preserve"> </w:t>
      </w:r>
      <w:r w:rsidR="00A1757A" w:rsidRPr="00DF53A3">
        <w:rPr>
          <w:rFonts w:ascii="Verdana" w:eastAsiaTheme="minorHAnsi" w:hAnsi="Verdana" w:cs="Arial"/>
          <w:sz w:val="20"/>
          <w:szCs w:val="20"/>
        </w:rPr>
        <w:t>informe pericial, quinientos noventa y ocho (598) personas, que fueron identificadas</w:t>
      </w:r>
      <w:r w:rsidR="00DF53A3" w:rsidRPr="00DF53A3">
        <w:rPr>
          <w:rFonts w:ascii="Verdana" w:eastAsiaTheme="minorHAnsi" w:hAnsi="Verdana" w:cs="Arial"/>
          <w:sz w:val="20"/>
          <w:szCs w:val="20"/>
        </w:rPr>
        <w:t xml:space="preserve"> </w:t>
      </w:r>
      <w:r w:rsidR="00A1757A" w:rsidRPr="00DF53A3">
        <w:rPr>
          <w:rFonts w:ascii="Verdana" w:eastAsiaTheme="minorHAnsi" w:hAnsi="Verdana" w:cs="Arial"/>
          <w:sz w:val="20"/>
          <w:szCs w:val="20"/>
        </w:rPr>
        <w:t>inicialmente en la Resolución de 3 de junio de 2005 y</w:t>
      </w:r>
      <w:r w:rsidR="007E4E98">
        <w:rPr>
          <w:rFonts w:ascii="Verdana" w:eastAsiaTheme="minorHAnsi" w:hAnsi="Verdana" w:cs="Arial"/>
          <w:sz w:val="20"/>
          <w:szCs w:val="20"/>
        </w:rPr>
        <w:t>,</w:t>
      </w:r>
      <w:r w:rsidR="00A1757A" w:rsidRPr="00DF53A3">
        <w:rPr>
          <w:rFonts w:ascii="Verdana" w:eastAsiaTheme="minorHAnsi" w:hAnsi="Verdana" w:cs="Arial"/>
          <w:sz w:val="20"/>
          <w:szCs w:val="20"/>
        </w:rPr>
        <w:t xml:space="preserve"> posteriormente</w:t>
      </w:r>
      <w:r w:rsidR="007E4E98">
        <w:rPr>
          <w:rFonts w:ascii="Verdana" w:eastAsiaTheme="minorHAnsi" w:hAnsi="Verdana" w:cs="Arial"/>
          <w:sz w:val="20"/>
          <w:szCs w:val="20"/>
        </w:rPr>
        <w:t>,</w:t>
      </w:r>
      <w:r w:rsidR="00A1757A" w:rsidRPr="00DF53A3">
        <w:rPr>
          <w:rFonts w:ascii="Verdana" w:eastAsiaTheme="minorHAnsi" w:hAnsi="Verdana" w:cs="Arial"/>
          <w:sz w:val="20"/>
          <w:szCs w:val="20"/>
        </w:rPr>
        <w:t xml:space="preserve"> en el peritaje</w:t>
      </w:r>
      <w:r w:rsidR="00DF53A3" w:rsidRPr="00DF53A3">
        <w:rPr>
          <w:rFonts w:ascii="Verdana" w:eastAsiaTheme="minorHAnsi" w:hAnsi="Verdana" w:cs="Arial"/>
          <w:sz w:val="20"/>
          <w:szCs w:val="20"/>
        </w:rPr>
        <w:t xml:space="preserve"> </w:t>
      </w:r>
      <w:r w:rsidR="00A1757A" w:rsidRPr="00DF53A3">
        <w:rPr>
          <w:rFonts w:ascii="Verdana" w:eastAsiaTheme="minorHAnsi" w:hAnsi="Verdana" w:cs="Arial"/>
          <w:sz w:val="20"/>
          <w:szCs w:val="20"/>
        </w:rPr>
        <w:t xml:space="preserve">aprobado por la </w:t>
      </w:r>
      <w:r w:rsidR="00C93EB3">
        <w:rPr>
          <w:rFonts w:ascii="Verdana" w:eastAsiaTheme="minorHAnsi" w:hAnsi="Verdana" w:cs="Arial"/>
          <w:sz w:val="20"/>
          <w:szCs w:val="20"/>
        </w:rPr>
        <w:t>resolución</w:t>
      </w:r>
      <w:r w:rsidR="00C93EB3" w:rsidRPr="00DF53A3">
        <w:rPr>
          <w:rFonts w:ascii="Verdana" w:eastAsiaTheme="minorHAnsi" w:hAnsi="Verdana" w:cs="Arial"/>
          <w:sz w:val="20"/>
          <w:szCs w:val="20"/>
        </w:rPr>
        <w:t xml:space="preserve"> </w:t>
      </w:r>
      <w:r w:rsidR="00DF53A3" w:rsidRPr="00DF53A3">
        <w:rPr>
          <w:rFonts w:ascii="Verdana" w:eastAsiaTheme="minorHAnsi" w:hAnsi="Verdana" w:cs="Arial"/>
          <w:sz w:val="20"/>
          <w:szCs w:val="20"/>
        </w:rPr>
        <w:t>de 23 de abril de 2019. P</w:t>
      </w:r>
      <w:r w:rsidR="00A1757A" w:rsidRPr="00DF53A3">
        <w:rPr>
          <w:rFonts w:ascii="Verdana" w:eastAsiaTheme="minorHAnsi" w:hAnsi="Verdana" w:cs="Arial"/>
          <w:sz w:val="20"/>
          <w:szCs w:val="20"/>
        </w:rPr>
        <w:t>or ello, q</w:t>
      </w:r>
      <w:r w:rsidR="00DF53A3" w:rsidRPr="00DF53A3">
        <w:rPr>
          <w:rFonts w:ascii="Verdana" w:eastAsiaTheme="minorHAnsi" w:hAnsi="Verdana" w:cs="Arial"/>
          <w:sz w:val="20"/>
          <w:szCs w:val="20"/>
        </w:rPr>
        <w:t>uinienta</w:t>
      </w:r>
      <w:r w:rsidR="00A1757A" w:rsidRPr="00DF53A3">
        <w:rPr>
          <w:rFonts w:ascii="Verdana" w:eastAsiaTheme="minorHAnsi" w:hAnsi="Verdana" w:cs="Arial"/>
          <w:sz w:val="20"/>
          <w:szCs w:val="20"/>
        </w:rPr>
        <w:t>s noventa y ocho (598) personas son las únicas que pueden ser</w:t>
      </w:r>
      <w:r w:rsidR="00DF53A3" w:rsidRPr="00DF53A3">
        <w:rPr>
          <w:rFonts w:ascii="Verdana" w:eastAsiaTheme="minorHAnsi" w:hAnsi="Verdana" w:cs="Arial"/>
          <w:sz w:val="20"/>
          <w:szCs w:val="20"/>
        </w:rPr>
        <w:t xml:space="preserve"> </w:t>
      </w:r>
      <w:r w:rsidR="00A1757A" w:rsidRPr="00DF53A3">
        <w:rPr>
          <w:rFonts w:ascii="Verdana" w:eastAsiaTheme="minorHAnsi" w:hAnsi="Verdana" w:cs="Arial"/>
          <w:sz w:val="20"/>
          <w:szCs w:val="20"/>
        </w:rPr>
        <w:t>consideradas como presuntas víctimas de las vulneraciones alegadas en el</w:t>
      </w:r>
      <w:r w:rsidR="00DF53A3" w:rsidRPr="00DF53A3">
        <w:rPr>
          <w:rFonts w:ascii="Verdana" w:eastAsiaTheme="minorHAnsi" w:hAnsi="Verdana" w:cs="Arial"/>
          <w:sz w:val="20"/>
          <w:szCs w:val="20"/>
        </w:rPr>
        <w:t xml:space="preserve"> </w:t>
      </w:r>
      <w:r w:rsidR="00A1757A" w:rsidRPr="00DF53A3">
        <w:rPr>
          <w:rFonts w:ascii="Verdana" w:eastAsiaTheme="minorHAnsi" w:hAnsi="Verdana" w:cs="Arial"/>
          <w:sz w:val="20"/>
          <w:szCs w:val="20"/>
        </w:rPr>
        <w:t>presente caso.</w:t>
      </w:r>
    </w:p>
    <w:p w14:paraId="4CF69129" w14:textId="77777777" w:rsidR="00DF53A3" w:rsidRDefault="00DF53A3" w:rsidP="00DF53A3">
      <w:pPr>
        <w:tabs>
          <w:tab w:val="left" w:pos="567"/>
        </w:tabs>
        <w:autoSpaceDE w:val="0"/>
        <w:autoSpaceDN w:val="0"/>
        <w:adjustRightInd w:val="0"/>
        <w:spacing w:after="0" w:line="240" w:lineRule="auto"/>
        <w:jc w:val="both"/>
        <w:rPr>
          <w:rFonts w:ascii="Verdana" w:eastAsiaTheme="minorHAnsi" w:hAnsi="Verdana" w:cs="Arial"/>
          <w:sz w:val="20"/>
          <w:szCs w:val="20"/>
        </w:rPr>
      </w:pPr>
    </w:p>
    <w:p w14:paraId="2A2BA37E" w14:textId="2B4F3F12" w:rsidR="00DF53A3" w:rsidRPr="00DF53A3" w:rsidRDefault="00DF53A3" w:rsidP="00DF53A3">
      <w:pPr>
        <w:numPr>
          <w:ilvl w:val="0"/>
          <w:numId w:val="1"/>
        </w:numPr>
        <w:tabs>
          <w:tab w:val="left" w:pos="567"/>
          <w:tab w:val="num" w:pos="720"/>
        </w:tabs>
        <w:autoSpaceDE w:val="0"/>
        <w:autoSpaceDN w:val="0"/>
        <w:adjustRightInd w:val="0"/>
        <w:spacing w:after="0" w:line="240" w:lineRule="auto"/>
        <w:jc w:val="both"/>
        <w:rPr>
          <w:rFonts w:ascii="Verdana" w:eastAsiaTheme="minorHAnsi" w:hAnsi="Verdana" w:cs="Arial"/>
          <w:sz w:val="20"/>
          <w:szCs w:val="20"/>
        </w:rPr>
      </w:pPr>
      <w:r w:rsidRPr="00DF53A3">
        <w:rPr>
          <w:rFonts w:ascii="Verdana" w:eastAsiaTheme="minorHAnsi" w:hAnsi="Verdana" w:cs="Arial"/>
          <w:sz w:val="20"/>
          <w:szCs w:val="20"/>
        </w:rPr>
        <w:t>Por otro lado, el Estado puntualizó que no corresponde, vía interpretación de la Sentencia, el cuestionamiento del Informe Técnico Pericial del 18 de octubre de 2011 respecto al monto calculado en el peritaje o la cantidad que correspondería a cada una de las víctimas, menos aún, si ello no fue materia de cuestionamiento en sede supranacional. En tal sentido, manifestó que los representantes alegan aspectos que se relacionan con discusiones que pertenecen al ámbito interno y además sobre las cuales ya existe un pronunciamiento judicial que determinó la aprobación de la pericia en cuestión, por lo que no es posible su modificación, ni que se busque dar otro alcanc</w:t>
      </w:r>
      <w:r w:rsidR="0042565C">
        <w:rPr>
          <w:rFonts w:ascii="Verdana" w:eastAsiaTheme="minorHAnsi" w:hAnsi="Verdana" w:cs="Arial"/>
          <w:sz w:val="20"/>
          <w:szCs w:val="20"/>
        </w:rPr>
        <w:t>e al P</w:t>
      </w:r>
      <w:r w:rsidRPr="00DF53A3">
        <w:rPr>
          <w:rFonts w:ascii="Verdana" w:eastAsiaTheme="minorHAnsi" w:hAnsi="Verdana" w:cs="Arial"/>
          <w:sz w:val="20"/>
          <w:szCs w:val="20"/>
        </w:rPr>
        <w:t xml:space="preserve">unto </w:t>
      </w:r>
      <w:r w:rsidR="0042565C">
        <w:rPr>
          <w:rFonts w:ascii="Verdana" w:eastAsiaTheme="minorHAnsi" w:hAnsi="Verdana" w:cs="Arial"/>
          <w:sz w:val="20"/>
          <w:szCs w:val="20"/>
        </w:rPr>
        <w:t xml:space="preserve">Resolutivo </w:t>
      </w:r>
      <w:r w:rsidR="00195B27">
        <w:rPr>
          <w:rFonts w:ascii="Verdana" w:eastAsiaTheme="minorHAnsi" w:hAnsi="Verdana" w:cs="Arial"/>
          <w:sz w:val="20"/>
          <w:szCs w:val="20"/>
        </w:rPr>
        <w:t>Sexto de</w:t>
      </w:r>
      <w:r w:rsidRPr="00DF53A3">
        <w:rPr>
          <w:rFonts w:ascii="Verdana" w:eastAsiaTheme="minorHAnsi" w:hAnsi="Verdana" w:cs="Arial"/>
          <w:sz w:val="20"/>
          <w:szCs w:val="20"/>
        </w:rPr>
        <w:t xml:space="preserve"> la Sentencia del presente caso emitida por la Corte</w:t>
      </w:r>
      <w:r w:rsidR="00344748">
        <w:rPr>
          <w:rFonts w:ascii="Verdana" w:eastAsiaTheme="minorHAnsi" w:hAnsi="Verdana" w:cs="Arial"/>
          <w:sz w:val="20"/>
          <w:szCs w:val="20"/>
        </w:rPr>
        <w:t xml:space="preserve"> Interamericana</w:t>
      </w:r>
      <w:r w:rsidRPr="00DF53A3">
        <w:rPr>
          <w:rFonts w:ascii="Verdana" w:eastAsiaTheme="minorHAnsi" w:hAnsi="Verdana" w:cs="Arial"/>
          <w:sz w:val="20"/>
          <w:szCs w:val="20"/>
        </w:rPr>
        <w:t xml:space="preserve">. En ese sentido, observó que la solicitud formulada por los representantes no se sustenta en una interpretación jurídica de la Sentencia, sino en una pretensión destinada a cuestionar el </w:t>
      </w:r>
      <w:r w:rsidR="00DD1B68">
        <w:rPr>
          <w:rFonts w:ascii="Verdana" w:eastAsiaTheme="minorHAnsi" w:hAnsi="Verdana" w:cs="Arial"/>
          <w:sz w:val="20"/>
          <w:szCs w:val="20"/>
        </w:rPr>
        <w:t xml:space="preserve">Punto Resolutivo </w:t>
      </w:r>
      <w:r w:rsidR="00AB2BAA">
        <w:rPr>
          <w:rFonts w:ascii="Verdana" w:eastAsiaTheme="minorHAnsi" w:hAnsi="Verdana" w:cs="Arial"/>
          <w:sz w:val="20"/>
          <w:szCs w:val="20"/>
        </w:rPr>
        <w:t>Sexto</w:t>
      </w:r>
      <w:r w:rsidR="00DD1B68">
        <w:rPr>
          <w:rFonts w:ascii="Verdana" w:eastAsiaTheme="minorHAnsi" w:hAnsi="Verdana" w:cs="Arial"/>
          <w:sz w:val="20"/>
          <w:szCs w:val="20"/>
        </w:rPr>
        <w:t xml:space="preserve"> </w:t>
      </w:r>
      <w:r w:rsidRPr="00DF53A3">
        <w:rPr>
          <w:rFonts w:ascii="Verdana" w:eastAsiaTheme="minorHAnsi" w:hAnsi="Verdana" w:cs="Arial"/>
          <w:sz w:val="20"/>
          <w:szCs w:val="20"/>
        </w:rPr>
        <w:t xml:space="preserve">y el párrafo 217. </w:t>
      </w:r>
      <w:r w:rsidRPr="00DF53A3">
        <w:rPr>
          <w:rFonts w:ascii="Verdana" w:eastAsiaTheme="minorHAnsi" w:hAnsi="Verdana" w:cs="Arial"/>
          <w:bCs/>
          <w:sz w:val="20"/>
          <w:szCs w:val="20"/>
        </w:rPr>
        <w:t xml:space="preserve">Bajo tales consideraciones, el Estado </w:t>
      </w:r>
      <w:r w:rsidR="00A24D9F">
        <w:rPr>
          <w:rFonts w:ascii="Verdana" w:eastAsiaTheme="minorHAnsi" w:hAnsi="Verdana" w:cs="Arial"/>
          <w:bCs/>
          <w:sz w:val="20"/>
          <w:szCs w:val="20"/>
        </w:rPr>
        <w:t>sostuvo</w:t>
      </w:r>
      <w:r w:rsidR="00A24D9F" w:rsidRPr="00DF53A3">
        <w:rPr>
          <w:rFonts w:ascii="Verdana" w:eastAsiaTheme="minorHAnsi" w:hAnsi="Verdana" w:cs="Arial"/>
          <w:bCs/>
          <w:sz w:val="20"/>
          <w:szCs w:val="20"/>
        </w:rPr>
        <w:t xml:space="preserve"> </w:t>
      </w:r>
      <w:r w:rsidRPr="00DF53A3">
        <w:rPr>
          <w:rFonts w:ascii="Verdana" w:eastAsiaTheme="minorHAnsi" w:hAnsi="Verdana" w:cs="Arial"/>
          <w:bCs/>
          <w:sz w:val="20"/>
          <w:szCs w:val="20"/>
        </w:rPr>
        <w:t>que este extremo de la solicitud de interpretación</w:t>
      </w:r>
      <w:r w:rsidR="00CF1AC6">
        <w:rPr>
          <w:rFonts w:ascii="Verdana" w:eastAsiaTheme="minorHAnsi" w:hAnsi="Verdana" w:cs="Arial"/>
          <w:bCs/>
          <w:sz w:val="20"/>
          <w:szCs w:val="20"/>
        </w:rPr>
        <w:t xml:space="preserve"> debe ser declarado</w:t>
      </w:r>
      <w:r>
        <w:rPr>
          <w:rFonts w:ascii="Verdana" w:eastAsiaTheme="minorHAnsi" w:hAnsi="Verdana" w:cs="Arial"/>
          <w:bCs/>
          <w:sz w:val="20"/>
          <w:szCs w:val="20"/>
        </w:rPr>
        <w:t xml:space="preserve"> improcedente</w:t>
      </w:r>
      <w:r w:rsidRPr="00DF53A3">
        <w:rPr>
          <w:rFonts w:ascii="Verdana" w:eastAsiaTheme="minorHAnsi" w:hAnsi="Verdana" w:cs="Arial"/>
          <w:bCs/>
          <w:sz w:val="20"/>
          <w:szCs w:val="20"/>
        </w:rPr>
        <w:t>.</w:t>
      </w:r>
    </w:p>
    <w:p w14:paraId="672BEB31" w14:textId="77777777" w:rsidR="00DF53A3" w:rsidRDefault="00DF53A3" w:rsidP="00DF53A3">
      <w:pPr>
        <w:tabs>
          <w:tab w:val="left" w:pos="567"/>
        </w:tabs>
        <w:autoSpaceDE w:val="0"/>
        <w:autoSpaceDN w:val="0"/>
        <w:adjustRightInd w:val="0"/>
        <w:spacing w:after="0" w:line="240" w:lineRule="auto"/>
        <w:jc w:val="both"/>
        <w:rPr>
          <w:rFonts w:ascii="Verdana" w:eastAsiaTheme="minorHAnsi" w:hAnsi="Verdana" w:cs="Arial"/>
          <w:sz w:val="20"/>
          <w:szCs w:val="20"/>
        </w:rPr>
      </w:pPr>
    </w:p>
    <w:p w14:paraId="1AEAAF83" w14:textId="2C7AA709" w:rsidR="00AA48CE" w:rsidRDefault="003B7EE4" w:rsidP="00AA48CE">
      <w:pPr>
        <w:pStyle w:val="Prrafodelista"/>
        <w:numPr>
          <w:ilvl w:val="0"/>
          <w:numId w:val="1"/>
        </w:numPr>
        <w:tabs>
          <w:tab w:val="clear" w:pos="1247"/>
          <w:tab w:val="num" w:pos="567"/>
        </w:tabs>
        <w:autoSpaceDE w:val="0"/>
        <w:autoSpaceDN w:val="0"/>
        <w:adjustRightInd w:val="0"/>
        <w:spacing w:after="0" w:line="240" w:lineRule="auto"/>
        <w:jc w:val="both"/>
        <w:rPr>
          <w:rFonts w:ascii="Verdana" w:eastAsiaTheme="minorHAnsi" w:hAnsi="Verdana" w:cs="Cambria"/>
          <w:sz w:val="20"/>
          <w:szCs w:val="20"/>
        </w:rPr>
      </w:pPr>
      <w:r w:rsidRPr="00AA48CE">
        <w:rPr>
          <w:rFonts w:ascii="Verdana" w:hAnsi="Verdana"/>
          <w:sz w:val="20"/>
          <w:szCs w:val="20"/>
        </w:rPr>
        <w:t xml:space="preserve">La </w:t>
      </w:r>
      <w:r w:rsidRPr="00AA48CE">
        <w:rPr>
          <w:rFonts w:ascii="Verdana" w:hAnsi="Verdana"/>
          <w:b/>
          <w:i/>
          <w:sz w:val="20"/>
          <w:szCs w:val="20"/>
        </w:rPr>
        <w:t>Comisión</w:t>
      </w:r>
      <w:r w:rsidRPr="00AA48CE">
        <w:rPr>
          <w:rFonts w:ascii="Verdana" w:hAnsi="Verdana"/>
          <w:sz w:val="20"/>
          <w:szCs w:val="20"/>
        </w:rPr>
        <w:t xml:space="preserve"> </w:t>
      </w:r>
      <w:r w:rsidR="00AA48CE" w:rsidRPr="00AA48CE">
        <w:rPr>
          <w:rFonts w:ascii="Verdana" w:hAnsi="Verdana"/>
          <w:sz w:val="20"/>
          <w:szCs w:val="20"/>
        </w:rPr>
        <w:t>consideró que</w:t>
      </w:r>
      <w:r w:rsidR="00514356">
        <w:rPr>
          <w:rFonts w:ascii="Verdana" w:hAnsi="Verdana"/>
          <w:sz w:val="20"/>
          <w:szCs w:val="20"/>
        </w:rPr>
        <w:t>,</w:t>
      </w:r>
      <w:r w:rsidR="00AA48CE" w:rsidRPr="00AA48CE">
        <w:rPr>
          <w:rFonts w:ascii="Verdana" w:hAnsi="Verdana"/>
          <w:sz w:val="20"/>
          <w:szCs w:val="20"/>
        </w:rPr>
        <w:t xml:space="preserve"> de acuerdo a lo señalado por los representantes</w:t>
      </w:r>
      <w:r w:rsidR="00514356">
        <w:rPr>
          <w:rFonts w:ascii="Verdana" w:hAnsi="Verdana"/>
          <w:sz w:val="20"/>
          <w:szCs w:val="20"/>
        </w:rPr>
        <w:t>,</w:t>
      </w:r>
      <w:r w:rsidR="00AA48CE" w:rsidRPr="00AA48CE">
        <w:rPr>
          <w:rFonts w:ascii="Verdana" w:hAnsi="Verdana"/>
          <w:sz w:val="20"/>
          <w:szCs w:val="20"/>
        </w:rPr>
        <w:t xml:space="preserve"> </w:t>
      </w:r>
      <w:r w:rsidR="00AA48CE" w:rsidRPr="00AA48CE">
        <w:rPr>
          <w:rFonts w:ascii="Verdana" w:eastAsiaTheme="minorHAnsi" w:hAnsi="Verdana" w:cs="Cambria"/>
          <w:sz w:val="20"/>
          <w:szCs w:val="20"/>
        </w:rPr>
        <w:t xml:space="preserve">existiría una contradicción entre la cantidad de víctimas identificadas por la Corte </w:t>
      </w:r>
      <w:r w:rsidR="00170FD3">
        <w:rPr>
          <w:rFonts w:ascii="Verdana" w:eastAsiaTheme="minorHAnsi" w:hAnsi="Verdana" w:cs="Cambria"/>
          <w:sz w:val="20"/>
          <w:szCs w:val="20"/>
        </w:rPr>
        <w:t xml:space="preserve">Interamericana </w:t>
      </w:r>
      <w:r w:rsidR="00AA48CE" w:rsidRPr="00AA48CE">
        <w:rPr>
          <w:rFonts w:ascii="Verdana" w:eastAsiaTheme="minorHAnsi" w:hAnsi="Verdana" w:cs="Cambria"/>
          <w:sz w:val="20"/>
          <w:szCs w:val="20"/>
        </w:rPr>
        <w:t>e</w:t>
      </w:r>
      <w:r w:rsidR="0042565C">
        <w:rPr>
          <w:rFonts w:ascii="Verdana" w:eastAsiaTheme="minorHAnsi" w:hAnsi="Verdana" w:cs="Cambria"/>
          <w:sz w:val="20"/>
          <w:szCs w:val="20"/>
        </w:rPr>
        <w:t>n</w:t>
      </w:r>
      <w:r w:rsidR="009341A9">
        <w:rPr>
          <w:rFonts w:ascii="Verdana" w:eastAsiaTheme="minorHAnsi" w:hAnsi="Verdana" w:cs="Cambria"/>
          <w:sz w:val="20"/>
          <w:szCs w:val="20"/>
        </w:rPr>
        <w:t>: a)</w:t>
      </w:r>
      <w:r w:rsidR="0042565C">
        <w:rPr>
          <w:rFonts w:ascii="Verdana" w:eastAsiaTheme="minorHAnsi" w:hAnsi="Verdana" w:cs="Cambria"/>
          <w:sz w:val="20"/>
          <w:szCs w:val="20"/>
        </w:rPr>
        <w:t xml:space="preserve"> los párrafos 120 y 122 de su S</w:t>
      </w:r>
      <w:r w:rsidR="00AA48CE" w:rsidRPr="00AA48CE">
        <w:rPr>
          <w:rFonts w:ascii="Verdana" w:eastAsiaTheme="minorHAnsi" w:hAnsi="Verdana" w:cs="Cambria"/>
          <w:sz w:val="20"/>
          <w:szCs w:val="20"/>
        </w:rPr>
        <w:t>entencia (604 personas)</w:t>
      </w:r>
      <w:r w:rsidR="007D4DBF">
        <w:rPr>
          <w:rFonts w:ascii="Verdana" w:eastAsiaTheme="minorHAnsi" w:hAnsi="Verdana" w:cs="Cambria"/>
          <w:sz w:val="20"/>
          <w:szCs w:val="20"/>
        </w:rPr>
        <w:t>,</w:t>
      </w:r>
      <w:r w:rsidR="00CF1AC6">
        <w:rPr>
          <w:rFonts w:ascii="Verdana" w:eastAsiaTheme="minorHAnsi" w:hAnsi="Verdana" w:cs="Cambria"/>
          <w:sz w:val="20"/>
          <w:szCs w:val="20"/>
        </w:rPr>
        <w:t xml:space="preserve"> </w:t>
      </w:r>
      <w:r w:rsidR="00AA48CE" w:rsidRPr="00AA48CE">
        <w:rPr>
          <w:rFonts w:ascii="Verdana" w:eastAsiaTheme="minorHAnsi" w:hAnsi="Verdana" w:cs="Cambria"/>
          <w:sz w:val="20"/>
          <w:szCs w:val="20"/>
        </w:rPr>
        <w:t xml:space="preserve">y </w:t>
      </w:r>
      <w:r w:rsidR="00DD1B68">
        <w:rPr>
          <w:rFonts w:ascii="Verdana" w:eastAsiaTheme="minorHAnsi" w:hAnsi="Verdana" w:cs="Cambria"/>
          <w:sz w:val="20"/>
          <w:szCs w:val="20"/>
        </w:rPr>
        <w:t>b</w:t>
      </w:r>
      <w:r w:rsidR="00AA48CE" w:rsidRPr="00AA48CE">
        <w:rPr>
          <w:rFonts w:ascii="Verdana" w:eastAsiaTheme="minorHAnsi" w:hAnsi="Verdana" w:cs="Cambria"/>
          <w:sz w:val="20"/>
          <w:szCs w:val="20"/>
        </w:rPr>
        <w:t xml:space="preserve">) los párrafos 121, 122 y </w:t>
      </w:r>
      <w:r w:rsidR="007D4DBF">
        <w:rPr>
          <w:rFonts w:ascii="Verdana" w:eastAsiaTheme="minorHAnsi" w:hAnsi="Verdana" w:cs="Cambria"/>
          <w:sz w:val="20"/>
          <w:szCs w:val="20"/>
        </w:rPr>
        <w:t xml:space="preserve">el </w:t>
      </w:r>
      <w:r w:rsidR="00AA48CE" w:rsidRPr="00AA48CE">
        <w:rPr>
          <w:rFonts w:ascii="Verdana" w:eastAsiaTheme="minorHAnsi" w:hAnsi="Verdana" w:cs="Cambria"/>
          <w:sz w:val="20"/>
          <w:szCs w:val="20"/>
        </w:rPr>
        <w:t xml:space="preserve">Punto Resolutivo </w:t>
      </w:r>
      <w:r w:rsidR="009341A9">
        <w:rPr>
          <w:rFonts w:ascii="Verdana" w:eastAsiaTheme="minorHAnsi" w:hAnsi="Verdana" w:cs="Cambria"/>
          <w:sz w:val="20"/>
          <w:szCs w:val="20"/>
        </w:rPr>
        <w:t>Cuarto</w:t>
      </w:r>
      <w:r w:rsidR="00AA48CE" w:rsidRPr="00AA48CE">
        <w:rPr>
          <w:rFonts w:ascii="Verdana" w:eastAsiaTheme="minorHAnsi" w:hAnsi="Verdana" w:cs="Cambria"/>
          <w:sz w:val="20"/>
          <w:szCs w:val="20"/>
        </w:rPr>
        <w:t xml:space="preserve"> de su </w:t>
      </w:r>
      <w:r w:rsidR="00170FD3">
        <w:rPr>
          <w:rFonts w:ascii="Verdana" w:eastAsiaTheme="minorHAnsi" w:hAnsi="Verdana" w:cs="Cambria"/>
          <w:sz w:val="20"/>
          <w:szCs w:val="20"/>
        </w:rPr>
        <w:t>S</w:t>
      </w:r>
      <w:r w:rsidR="00AA48CE" w:rsidRPr="00AA48CE">
        <w:rPr>
          <w:rFonts w:ascii="Verdana" w:eastAsiaTheme="minorHAnsi" w:hAnsi="Verdana" w:cs="Cambria"/>
          <w:sz w:val="20"/>
          <w:szCs w:val="20"/>
        </w:rPr>
        <w:t xml:space="preserve">entencia (598 personas). Adicionalmente, la Comisión tomó nota de que, conforme a lo indicado por los representantes, en la sentencia de la Corte se registraron 597 víctimas y no 598. Adicionalmente, respecto a la solicitud de interpretación </w:t>
      </w:r>
      <w:r w:rsidR="00987237">
        <w:rPr>
          <w:rFonts w:ascii="Verdana" w:eastAsiaTheme="minorHAnsi" w:hAnsi="Verdana" w:cs="Cambria"/>
          <w:sz w:val="20"/>
          <w:szCs w:val="20"/>
        </w:rPr>
        <w:t>con</w:t>
      </w:r>
      <w:r w:rsidR="00987237" w:rsidRPr="00AA48CE">
        <w:rPr>
          <w:rFonts w:ascii="Verdana" w:eastAsiaTheme="minorHAnsi" w:hAnsi="Verdana" w:cs="Cambria"/>
          <w:sz w:val="20"/>
          <w:szCs w:val="20"/>
        </w:rPr>
        <w:t xml:space="preserve"> </w:t>
      </w:r>
      <w:r w:rsidR="00AA48CE" w:rsidRPr="00AA48CE">
        <w:rPr>
          <w:rFonts w:ascii="Verdana" w:eastAsiaTheme="minorHAnsi" w:hAnsi="Verdana" w:cs="Cambria"/>
          <w:sz w:val="20"/>
          <w:szCs w:val="20"/>
        </w:rPr>
        <w:t xml:space="preserve">relación al Punto Resolutivo </w:t>
      </w:r>
      <w:r w:rsidR="009341A9">
        <w:rPr>
          <w:rFonts w:ascii="Verdana" w:eastAsiaTheme="minorHAnsi" w:hAnsi="Verdana" w:cs="Cambria"/>
          <w:sz w:val="20"/>
          <w:szCs w:val="20"/>
        </w:rPr>
        <w:t>Sexto</w:t>
      </w:r>
      <w:r w:rsidR="00AA48CE" w:rsidRPr="00AA48CE">
        <w:rPr>
          <w:rFonts w:ascii="Verdana" w:eastAsiaTheme="minorHAnsi" w:hAnsi="Verdana" w:cs="Cambria"/>
          <w:sz w:val="20"/>
          <w:szCs w:val="20"/>
        </w:rPr>
        <w:t>, la Comisión observó con preocupación la información presentada por los representantes sobre el alcance de dicho informe pericial</w:t>
      </w:r>
      <w:r w:rsidR="00CF1AC6">
        <w:rPr>
          <w:rFonts w:ascii="Verdana" w:eastAsiaTheme="minorHAnsi" w:hAnsi="Verdana" w:cs="Cambria"/>
          <w:sz w:val="20"/>
          <w:szCs w:val="20"/>
        </w:rPr>
        <w:t>,</w:t>
      </w:r>
      <w:r w:rsidR="00AA48CE" w:rsidRPr="00AA48CE">
        <w:rPr>
          <w:rFonts w:ascii="Verdana" w:eastAsiaTheme="minorHAnsi" w:hAnsi="Verdana" w:cs="Cambria"/>
          <w:sz w:val="20"/>
          <w:szCs w:val="20"/>
        </w:rPr>
        <w:t xml:space="preserve"> y resaltó</w:t>
      </w:r>
      <w:r w:rsidR="00DD1B68">
        <w:rPr>
          <w:rFonts w:ascii="Verdana" w:eastAsiaTheme="minorHAnsi" w:hAnsi="Verdana" w:cs="Cambria"/>
          <w:sz w:val="20"/>
          <w:szCs w:val="20"/>
        </w:rPr>
        <w:t xml:space="preserve"> que</w:t>
      </w:r>
      <w:r w:rsidR="00AA48CE" w:rsidRPr="00AA48CE">
        <w:rPr>
          <w:rFonts w:ascii="Verdana" w:eastAsiaTheme="minorHAnsi" w:hAnsi="Verdana" w:cs="Cambria"/>
          <w:sz w:val="20"/>
          <w:szCs w:val="20"/>
        </w:rPr>
        <w:t xml:space="preserve"> la naturaleza del informe pericial distorsionaría el efecto reparador de la medida</w:t>
      </w:r>
      <w:r w:rsidR="00DD1B68">
        <w:rPr>
          <w:rFonts w:ascii="Verdana" w:eastAsiaTheme="minorHAnsi" w:hAnsi="Verdana" w:cs="Cambria"/>
          <w:sz w:val="20"/>
          <w:szCs w:val="20"/>
        </w:rPr>
        <w:t xml:space="preserve"> de restitución. Ello en tanto</w:t>
      </w:r>
      <w:r w:rsidR="009341A9">
        <w:rPr>
          <w:rFonts w:ascii="Verdana" w:eastAsiaTheme="minorHAnsi" w:hAnsi="Verdana" w:cs="Cambria"/>
          <w:sz w:val="20"/>
          <w:szCs w:val="20"/>
        </w:rPr>
        <w:t>:</w:t>
      </w:r>
      <w:r w:rsidR="00DD1B68">
        <w:rPr>
          <w:rFonts w:ascii="Verdana" w:eastAsiaTheme="minorHAnsi" w:hAnsi="Verdana" w:cs="Cambria"/>
          <w:sz w:val="20"/>
          <w:szCs w:val="20"/>
        </w:rPr>
        <w:t xml:space="preserve"> a</w:t>
      </w:r>
      <w:r w:rsidR="00AA48CE" w:rsidRPr="00AA48CE">
        <w:rPr>
          <w:rFonts w:ascii="Verdana" w:eastAsiaTheme="minorHAnsi" w:hAnsi="Verdana" w:cs="Cambria"/>
          <w:sz w:val="20"/>
          <w:szCs w:val="20"/>
        </w:rPr>
        <w:t>) no abarcaría al universo de todas las víctimas cuyos derechos fueron violados, tal como fue acreditado por la Corte</w:t>
      </w:r>
      <w:r w:rsidR="007D4DBF">
        <w:rPr>
          <w:rFonts w:ascii="Verdana" w:eastAsiaTheme="minorHAnsi" w:hAnsi="Verdana" w:cs="Cambria"/>
          <w:sz w:val="20"/>
          <w:szCs w:val="20"/>
        </w:rPr>
        <w:t>,</w:t>
      </w:r>
      <w:r w:rsidR="00DD1B68">
        <w:rPr>
          <w:rFonts w:ascii="Verdana" w:eastAsiaTheme="minorHAnsi" w:hAnsi="Verdana" w:cs="Cambria"/>
          <w:sz w:val="20"/>
          <w:szCs w:val="20"/>
        </w:rPr>
        <w:t xml:space="preserve"> y b</w:t>
      </w:r>
      <w:r w:rsidR="00AA48CE" w:rsidRPr="00AA48CE">
        <w:rPr>
          <w:rFonts w:ascii="Verdana" w:eastAsiaTheme="minorHAnsi" w:hAnsi="Verdana" w:cs="Cambria"/>
          <w:sz w:val="20"/>
          <w:szCs w:val="20"/>
        </w:rPr>
        <w:t xml:space="preserve">) los montos a recibir serían </w:t>
      </w:r>
      <w:r w:rsidR="00FE4B8A" w:rsidRPr="00AA48CE">
        <w:rPr>
          <w:rFonts w:ascii="Verdana" w:eastAsiaTheme="minorHAnsi" w:hAnsi="Verdana" w:cs="Cambria"/>
          <w:sz w:val="20"/>
          <w:szCs w:val="20"/>
        </w:rPr>
        <w:t>ínfimos</w:t>
      </w:r>
      <w:r w:rsidR="00AA48CE" w:rsidRPr="00AA48CE">
        <w:rPr>
          <w:rFonts w:ascii="Verdana" w:eastAsiaTheme="minorHAnsi" w:hAnsi="Verdana" w:cs="Cambria"/>
          <w:sz w:val="20"/>
          <w:szCs w:val="20"/>
        </w:rPr>
        <w:t xml:space="preserve"> en comparación con medidas ordenadas por la Corte en sentencias de carácter similar.</w:t>
      </w:r>
      <w:r w:rsidR="00AA48CE">
        <w:rPr>
          <w:rFonts w:ascii="Verdana" w:eastAsiaTheme="minorHAnsi" w:hAnsi="Verdana" w:cs="Cambria"/>
          <w:sz w:val="20"/>
          <w:szCs w:val="20"/>
        </w:rPr>
        <w:t xml:space="preserve"> </w:t>
      </w:r>
      <w:r w:rsidR="00AA48CE" w:rsidRPr="00AA48CE">
        <w:rPr>
          <w:rFonts w:ascii="Verdana" w:eastAsiaTheme="minorHAnsi" w:hAnsi="Verdana" w:cs="Cambria"/>
          <w:sz w:val="20"/>
          <w:szCs w:val="20"/>
        </w:rPr>
        <w:t>En consecuencia, la Comisión coincidió con la solicitud de los representantes para determinar la cantidad d</w:t>
      </w:r>
      <w:r w:rsidR="00DD1B68">
        <w:rPr>
          <w:rFonts w:ascii="Verdana" w:eastAsiaTheme="minorHAnsi" w:hAnsi="Verdana" w:cs="Cambria"/>
          <w:sz w:val="20"/>
          <w:szCs w:val="20"/>
        </w:rPr>
        <w:t>e víctimas identificadas en la S</w:t>
      </w:r>
      <w:r w:rsidR="00AA48CE" w:rsidRPr="00AA48CE">
        <w:rPr>
          <w:rFonts w:ascii="Verdana" w:eastAsiaTheme="minorHAnsi" w:hAnsi="Verdana" w:cs="Cambria"/>
          <w:sz w:val="20"/>
          <w:szCs w:val="20"/>
        </w:rPr>
        <w:t>entencia que recibirían un pago, así como los montos a ser pagados.</w:t>
      </w:r>
    </w:p>
    <w:p w14:paraId="385BFFF8" w14:textId="77777777" w:rsidR="0089460F" w:rsidRPr="00BE133F" w:rsidRDefault="0089460F" w:rsidP="0089460F">
      <w:pPr>
        <w:tabs>
          <w:tab w:val="left" w:pos="567"/>
        </w:tabs>
        <w:autoSpaceDE w:val="0"/>
        <w:autoSpaceDN w:val="0"/>
        <w:adjustRightInd w:val="0"/>
        <w:spacing w:after="0" w:line="240" w:lineRule="auto"/>
        <w:jc w:val="both"/>
        <w:rPr>
          <w:rFonts w:ascii="Verdana" w:hAnsi="Verdana"/>
          <w:sz w:val="20"/>
          <w:szCs w:val="20"/>
        </w:rPr>
      </w:pPr>
    </w:p>
    <w:p w14:paraId="3C779C98" w14:textId="77777777" w:rsidR="0089460F" w:rsidRPr="00FE4B8A" w:rsidRDefault="0089460F" w:rsidP="001D14A6">
      <w:pPr>
        <w:tabs>
          <w:tab w:val="left" w:pos="567"/>
        </w:tabs>
        <w:spacing w:after="0" w:line="240" w:lineRule="auto"/>
        <w:ind w:left="720"/>
        <w:jc w:val="both"/>
        <w:rPr>
          <w:rFonts w:ascii="Verdana" w:eastAsia="Times" w:hAnsi="Verdana"/>
          <w:i/>
          <w:sz w:val="20"/>
          <w:szCs w:val="20"/>
        </w:rPr>
      </w:pPr>
      <w:r w:rsidRPr="00FE4B8A">
        <w:rPr>
          <w:rFonts w:ascii="Verdana" w:eastAsia="Times" w:hAnsi="Verdana"/>
          <w:i/>
          <w:sz w:val="20"/>
          <w:szCs w:val="20"/>
        </w:rPr>
        <w:t>A.2 Consideraciones de la Corte</w:t>
      </w:r>
    </w:p>
    <w:p w14:paraId="53BF4258" w14:textId="77777777" w:rsidR="00F16B34" w:rsidRPr="00FE4B8A" w:rsidRDefault="00F16B34" w:rsidP="001D14A6">
      <w:pPr>
        <w:tabs>
          <w:tab w:val="left" w:pos="567"/>
        </w:tabs>
        <w:spacing w:after="0" w:line="240" w:lineRule="auto"/>
        <w:ind w:left="720"/>
        <w:jc w:val="both"/>
        <w:rPr>
          <w:rFonts w:ascii="Verdana" w:eastAsia="Times" w:hAnsi="Verdana"/>
          <w:i/>
          <w:sz w:val="20"/>
          <w:szCs w:val="20"/>
        </w:rPr>
      </w:pPr>
    </w:p>
    <w:p w14:paraId="6B60FC9D" w14:textId="0C6EB69E" w:rsidR="00F16B34" w:rsidRPr="00FE4B8A" w:rsidRDefault="00740459" w:rsidP="00F16B34">
      <w:pPr>
        <w:pStyle w:val="Prrafodelista"/>
        <w:numPr>
          <w:ilvl w:val="0"/>
          <w:numId w:val="1"/>
        </w:numPr>
        <w:tabs>
          <w:tab w:val="clear" w:pos="1247"/>
          <w:tab w:val="num" w:pos="567"/>
        </w:tabs>
        <w:autoSpaceDE w:val="0"/>
        <w:autoSpaceDN w:val="0"/>
        <w:adjustRightInd w:val="0"/>
        <w:spacing w:after="0" w:line="240" w:lineRule="auto"/>
        <w:jc w:val="both"/>
        <w:rPr>
          <w:rFonts w:ascii="Verdana" w:eastAsiaTheme="minorHAnsi" w:hAnsi="Verdana" w:cs="Cambria"/>
          <w:sz w:val="20"/>
          <w:szCs w:val="20"/>
        </w:rPr>
      </w:pPr>
      <w:r w:rsidRPr="00FE4B8A">
        <w:rPr>
          <w:rFonts w:ascii="Verdana" w:hAnsi="Verdana"/>
          <w:sz w:val="20"/>
          <w:szCs w:val="20"/>
          <w:lang w:val="es-CO"/>
        </w:rPr>
        <w:t>En primer lugar, r</w:t>
      </w:r>
      <w:r w:rsidR="00F16B34" w:rsidRPr="00FE4B8A">
        <w:rPr>
          <w:rFonts w:ascii="Verdana" w:hAnsi="Verdana"/>
          <w:sz w:val="20"/>
          <w:szCs w:val="20"/>
          <w:lang w:val="es-CO"/>
        </w:rPr>
        <w:t>especto a la</w:t>
      </w:r>
      <w:r w:rsidR="00AF7BE8" w:rsidRPr="00FE4B8A">
        <w:rPr>
          <w:rFonts w:ascii="Verdana" w:hAnsi="Verdana"/>
          <w:sz w:val="20"/>
          <w:szCs w:val="20"/>
          <w:lang w:val="es-CO"/>
        </w:rPr>
        <w:t xml:space="preserve"> solicitud de interpretación sobre la</w:t>
      </w:r>
      <w:r w:rsidR="00F16B34" w:rsidRPr="00FE4B8A">
        <w:rPr>
          <w:rFonts w:ascii="Verdana" w:hAnsi="Verdana"/>
          <w:sz w:val="20"/>
          <w:szCs w:val="20"/>
          <w:lang w:val="es-CO"/>
        </w:rPr>
        <w:t xml:space="preserve"> determinación del número de víctimas, la Corte reitera lo establecido en los párrafos 120, 121 y 122 de la Sentencia: </w:t>
      </w:r>
    </w:p>
    <w:p w14:paraId="02C7FA4A" w14:textId="77777777" w:rsidR="00F16B34" w:rsidRPr="00FE4B8A" w:rsidRDefault="00F16B34" w:rsidP="00F16B34">
      <w:pPr>
        <w:pStyle w:val="Prrafodelista"/>
        <w:autoSpaceDE w:val="0"/>
        <w:autoSpaceDN w:val="0"/>
        <w:adjustRightInd w:val="0"/>
        <w:spacing w:after="0" w:line="240" w:lineRule="auto"/>
        <w:ind w:left="0"/>
        <w:jc w:val="both"/>
        <w:rPr>
          <w:rFonts w:ascii="Verdana" w:eastAsiaTheme="minorHAnsi" w:hAnsi="Verdana" w:cs="Cambria"/>
          <w:sz w:val="20"/>
          <w:szCs w:val="20"/>
        </w:rPr>
      </w:pPr>
    </w:p>
    <w:p w14:paraId="4CD9A80C" w14:textId="77777777" w:rsidR="00F16B34" w:rsidRPr="00FE4B8A" w:rsidRDefault="00F16B34" w:rsidP="00F16B34">
      <w:pPr>
        <w:spacing w:line="240" w:lineRule="auto"/>
        <w:ind w:left="1094" w:right="706"/>
        <w:jc w:val="both"/>
        <w:rPr>
          <w:rFonts w:ascii="Verdana" w:hAnsi="Verdana"/>
          <w:sz w:val="18"/>
          <w:szCs w:val="20"/>
          <w:lang w:val="es-CO"/>
        </w:rPr>
      </w:pPr>
      <w:r w:rsidRPr="00FE4B8A">
        <w:rPr>
          <w:rFonts w:ascii="Verdana" w:hAnsi="Verdana"/>
          <w:sz w:val="18"/>
          <w:szCs w:val="20"/>
          <w:lang w:val="es-CO"/>
        </w:rPr>
        <w:t xml:space="preserve">120. La cuestión antes mencionada fue abordada por la sentencia de 3 de junio de 2005 de la Sexta Sala Civil, en la cual se reconoció como beneficiarios de la sentencia de 25 de octubre de 1993 a las personas que habían sido parte de ANCEJUB-SUNAT al momento de la interposición de la acción de amparo y, a tales efectos, identificó a 604 personas, cuyos nombres consignó en un listado construido a partir del libro registro de asociados de ANCEJUB-SUNAT y una lista de descuentos de los cesantes de la SUNAT. En sus motivaciones, dicho tribunal sostuvo que “(…) Atendiendo a que la demanda fue presentada por la [ANCEJUB-SUNAT], en nombre y representación de sus miembros, sólo deben considerarse demandantes a quienes fueron asociados al tiempo que en que se entabló el proceso, esto al [30] de diciembre de [1991] en que se admitió a trámite la demanda (…), pues los demás que se incorporaron que se incorporaron en la persona jurídica con posterioridad a dicha fecha no fueron representados en el juicio por esta última y por lo tanto tampoco tienen la calidad de demandas”. </w:t>
      </w:r>
    </w:p>
    <w:p w14:paraId="5510B2EC" w14:textId="78276D88" w:rsidR="00F16B34" w:rsidRPr="00FE4B8A" w:rsidRDefault="00F16B34" w:rsidP="00F16B34">
      <w:pPr>
        <w:spacing w:line="240" w:lineRule="auto"/>
        <w:ind w:left="1094" w:right="706"/>
        <w:jc w:val="both"/>
        <w:rPr>
          <w:rFonts w:ascii="Verdana" w:hAnsi="Verdana"/>
          <w:sz w:val="18"/>
          <w:szCs w:val="20"/>
          <w:lang w:val="es-CO"/>
        </w:rPr>
      </w:pPr>
      <w:r w:rsidRPr="00FE4B8A">
        <w:rPr>
          <w:rFonts w:ascii="Verdana" w:hAnsi="Verdana"/>
          <w:sz w:val="18"/>
          <w:szCs w:val="20"/>
          <w:lang w:val="es-CO"/>
        </w:rPr>
        <w:t xml:space="preserve">121. La Corte concuerda con la indicada resolución en el sentido de que si ANCEJUB-SUNAT actuaba en representación de sus miembros, resulta lógico que solo quienes poseían tal calidad al momento de interponerse el recurso de amparo en 1991 puedan ser considerados beneficiarios de la decisión que lo declaró procedente. Asimismo, la Corte observa que, en adición a las 604 personas identificadas en la resolución de 3 de junio de 2005, al aprobar el peritaje de 18 de octubre de 2011 y ordenar el pago de los reintegros allí consignados, el Tribunal Constitucional, mediante sentencia de 23 de abril de 2019, consideró como beneficiarias de la sentencia de 25 de octubre de 1993 a las personas listadas en los anexos del citado informe pericial. Dado que la Corte no tiene constancia de la revocación de las referidas resoluciones, este Tribunal estima que la determinación de las personas a las cuales aplicaba lo ordenado por la sentencia de 25 de octubre de 1993 fue resuelta tanto por la sentencia de 3 de junio de 2005 como por la de 23 de abril de 2019. </w:t>
      </w:r>
    </w:p>
    <w:p w14:paraId="7CACDB0D" w14:textId="77777777" w:rsidR="00F16B34" w:rsidRPr="00FE4B8A" w:rsidRDefault="00F16B34" w:rsidP="00F16B34">
      <w:pPr>
        <w:spacing w:line="240" w:lineRule="auto"/>
        <w:ind w:left="1094" w:right="706"/>
        <w:jc w:val="both"/>
        <w:rPr>
          <w:rFonts w:ascii="Verdana" w:hAnsi="Verdana"/>
          <w:sz w:val="18"/>
          <w:szCs w:val="20"/>
          <w:lang w:val="es-CO"/>
        </w:rPr>
      </w:pPr>
      <w:r w:rsidRPr="00FE4B8A">
        <w:rPr>
          <w:rFonts w:ascii="Verdana" w:hAnsi="Verdana"/>
          <w:sz w:val="18"/>
          <w:szCs w:val="20"/>
          <w:lang w:val="es-CO"/>
        </w:rPr>
        <w:t xml:space="preserve">122. En relación con lo anterior, la Corte recuerda que el objeto principal de la controversia en el presente caso consiste en determinar si el Estado es internacionalmente responsable por la inejecución de la sentencia judicial de la Corte Suprema de 25 de octubre de 1993 y sobre los efectos que esta sentencia pudo tener en otros derechos de las presuntas víctimas. </w:t>
      </w:r>
      <w:r w:rsidRPr="00A91865">
        <w:rPr>
          <w:rFonts w:ascii="Verdana" w:hAnsi="Verdana"/>
          <w:sz w:val="18"/>
          <w:szCs w:val="20"/>
          <w:lang w:val="es-CO"/>
        </w:rPr>
        <w:t xml:space="preserve">En consecuencia, dado que solo han sido </w:t>
      </w:r>
      <w:r w:rsidRPr="00A91865">
        <w:rPr>
          <w:rFonts w:ascii="Verdana" w:hAnsi="Verdana"/>
          <w:sz w:val="18"/>
          <w:szCs w:val="20"/>
          <w:lang w:val="es-CO"/>
        </w:rPr>
        <w:lastRenderedPageBreak/>
        <w:t>reconocidas como beneficiarias de la sentencia de 25 de octubre de 1993 las 598 personas identificadas ya sea en la resolución de 3 de junio de 2005 o en el peritaje aprobado por la sentencia de 23 de abril de 2019, el Tribunal considera que estas son las únicas personas que pueden ser consideradas como presuntas víctimas de las vulneraciones alegadas en este caso, siempre que se encuentren contempladas en el “Anexo único” de la Comisión en su Informe de Fondo. Por la misma razón, el señor Ipanaqué tampoco podrá ser considerado como presunta víctima en el presente caso a pesar de haber sido considerado como tal por la Comisión en su Informe de Fondo.</w:t>
      </w:r>
    </w:p>
    <w:p w14:paraId="7D0F0405" w14:textId="5F9B187A" w:rsidR="00B37237" w:rsidRDefault="00EC7F54" w:rsidP="00F16B34">
      <w:pPr>
        <w:pStyle w:val="Prrafodelista"/>
        <w:numPr>
          <w:ilvl w:val="0"/>
          <w:numId w:val="1"/>
        </w:numPr>
        <w:tabs>
          <w:tab w:val="clear" w:pos="1247"/>
          <w:tab w:val="num" w:pos="567"/>
        </w:tabs>
        <w:autoSpaceDE w:val="0"/>
        <w:autoSpaceDN w:val="0"/>
        <w:adjustRightInd w:val="0"/>
        <w:spacing w:after="0" w:line="240" w:lineRule="auto"/>
        <w:jc w:val="both"/>
        <w:rPr>
          <w:rFonts w:ascii="Verdana" w:hAnsi="Verdana"/>
          <w:sz w:val="20"/>
          <w:szCs w:val="20"/>
          <w:lang w:val="es-CO"/>
        </w:rPr>
      </w:pPr>
      <w:r w:rsidRPr="00FE4B8A">
        <w:rPr>
          <w:rFonts w:ascii="Verdana" w:hAnsi="Verdana"/>
          <w:sz w:val="20"/>
          <w:szCs w:val="20"/>
          <w:lang w:val="es-CO"/>
        </w:rPr>
        <w:t>En relación con los párrafos anteriores, la Corte aclara que l</w:t>
      </w:r>
      <w:r w:rsidR="00F16B34" w:rsidRPr="00FE4B8A">
        <w:rPr>
          <w:rFonts w:ascii="Verdana" w:hAnsi="Verdana"/>
          <w:sz w:val="20"/>
          <w:szCs w:val="20"/>
          <w:lang w:val="es-CO"/>
        </w:rPr>
        <w:t>a diferencia entre el número de beneficiarios de la sentencia de 3 de junio de 2005 (604 personas) y la cantidad de personas inclui</w:t>
      </w:r>
      <w:r w:rsidR="005251BE">
        <w:rPr>
          <w:rFonts w:ascii="Verdana" w:hAnsi="Verdana"/>
          <w:sz w:val="20"/>
          <w:szCs w:val="20"/>
          <w:lang w:val="es-CO"/>
        </w:rPr>
        <w:t>das como víctimas en el Anexo 2</w:t>
      </w:r>
      <w:r w:rsidR="00F16B34" w:rsidRPr="00FE4B8A">
        <w:rPr>
          <w:rFonts w:ascii="Verdana" w:hAnsi="Verdana"/>
          <w:sz w:val="20"/>
          <w:szCs w:val="20"/>
          <w:lang w:val="es-CO"/>
        </w:rPr>
        <w:t xml:space="preserve"> de la Sentencia (598 personas) se debe a que </w:t>
      </w:r>
      <w:r w:rsidR="00AF7BE8" w:rsidRPr="00FE4B8A">
        <w:rPr>
          <w:rFonts w:ascii="Verdana" w:hAnsi="Verdana"/>
          <w:sz w:val="20"/>
          <w:szCs w:val="20"/>
          <w:lang w:val="es-CO"/>
        </w:rPr>
        <w:t xml:space="preserve">los </w:t>
      </w:r>
      <w:r w:rsidRPr="00FE4B8A">
        <w:rPr>
          <w:rFonts w:ascii="Verdana" w:hAnsi="Verdana"/>
          <w:sz w:val="20"/>
          <w:szCs w:val="20"/>
        </w:rPr>
        <w:t xml:space="preserve">señores </w:t>
      </w:r>
      <w:r w:rsidRPr="00FE4B8A">
        <w:rPr>
          <w:rFonts w:ascii="Verdana" w:hAnsi="Verdana"/>
          <w:sz w:val="20"/>
          <w:szCs w:val="20"/>
          <w:lang w:val="es-DO"/>
        </w:rPr>
        <w:t>Víctor José Gutiérrez Infantas, María Rosario Medina Serrano de Rojas, Jorge Nieto Garrido, Néstor Pagaza Aguilar, Herbert Belisario Mon</w:t>
      </w:r>
      <w:r w:rsidR="00570A7C">
        <w:rPr>
          <w:rFonts w:ascii="Verdana" w:hAnsi="Verdana"/>
          <w:sz w:val="20"/>
          <w:szCs w:val="20"/>
          <w:lang w:val="es-DO"/>
        </w:rPr>
        <w:t>z</w:t>
      </w:r>
      <w:r w:rsidRPr="00FE4B8A">
        <w:rPr>
          <w:rFonts w:ascii="Verdana" w:hAnsi="Verdana"/>
          <w:sz w:val="20"/>
          <w:szCs w:val="20"/>
          <w:lang w:val="es-DO"/>
        </w:rPr>
        <w:t xml:space="preserve">ón </w:t>
      </w:r>
      <w:proofErr w:type="spellStart"/>
      <w:r w:rsidRPr="00FE4B8A">
        <w:rPr>
          <w:rFonts w:ascii="Verdana" w:hAnsi="Verdana"/>
          <w:sz w:val="20"/>
          <w:szCs w:val="20"/>
          <w:lang w:val="es-DO"/>
        </w:rPr>
        <w:t>Ugas</w:t>
      </w:r>
      <w:proofErr w:type="spellEnd"/>
      <w:r w:rsidRPr="00FE4B8A">
        <w:rPr>
          <w:rFonts w:ascii="Verdana" w:hAnsi="Verdana"/>
          <w:sz w:val="20"/>
          <w:szCs w:val="20"/>
          <w:lang w:val="es-DO"/>
        </w:rPr>
        <w:t xml:space="preserve"> y Sixto Melena Ballesteros </w:t>
      </w:r>
      <w:r w:rsidRPr="00FE4B8A">
        <w:rPr>
          <w:rFonts w:ascii="Verdana" w:hAnsi="Verdana"/>
          <w:sz w:val="20"/>
          <w:szCs w:val="20"/>
          <w:lang w:val="es-CO"/>
        </w:rPr>
        <w:t xml:space="preserve">no fueron </w:t>
      </w:r>
      <w:r w:rsidRPr="00FE4B8A">
        <w:rPr>
          <w:rFonts w:ascii="Verdana" w:hAnsi="Verdana"/>
          <w:sz w:val="20"/>
          <w:szCs w:val="20"/>
          <w:lang w:val="es-DO"/>
        </w:rPr>
        <w:t>incluidos en el Informe de Fondo</w:t>
      </w:r>
      <w:r w:rsidR="00AF7BE8" w:rsidRPr="00FE4B8A">
        <w:rPr>
          <w:rFonts w:ascii="Verdana" w:hAnsi="Verdana"/>
          <w:sz w:val="20"/>
          <w:szCs w:val="20"/>
          <w:lang w:val="es-DO"/>
        </w:rPr>
        <w:t>. De esta forma, si bien dichas personas fueron consideradas en la sentencia de 3 de junio de 2005, no gozaron de la calidad de presuntas víctimas en el procedimiento ante la Corte y</w:t>
      </w:r>
      <w:r w:rsidR="000B4C0A">
        <w:rPr>
          <w:rFonts w:ascii="Verdana" w:hAnsi="Verdana"/>
          <w:sz w:val="20"/>
          <w:szCs w:val="20"/>
          <w:lang w:val="es-DO"/>
        </w:rPr>
        <w:t>,</w:t>
      </w:r>
      <w:r w:rsidR="00AF7BE8" w:rsidRPr="00FE4B8A">
        <w:rPr>
          <w:rFonts w:ascii="Verdana" w:hAnsi="Verdana"/>
          <w:sz w:val="20"/>
          <w:szCs w:val="20"/>
          <w:lang w:val="es-DO"/>
        </w:rPr>
        <w:t xml:space="preserve"> por lo tanto</w:t>
      </w:r>
      <w:r w:rsidR="000B4C0A">
        <w:rPr>
          <w:rFonts w:ascii="Verdana" w:hAnsi="Verdana"/>
          <w:sz w:val="20"/>
          <w:szCs w:val="20"/>
          <w:lang w:val="es-DO"/>
        </w:rPr>
        <w:t>,</w:t>
      </w:r>
      <w:r w:rsidR="00AF7BE8" w:rsidRPr="00FE4B8A">
        <w:rPr>
          <w:rFonts w:ascii="Verdana" w:hAnsi="Verdana"/>
          <w:sz w:val="20"/>
          <w:szCs w:val="20"/>
          <w:lang w:val="es-DO"/>
        </w:rPr>
        <w:t xml:space="preserve"> tampoco fueron contabilizadas como parte del número de víctimas del caso</w:t>
      </w:r>
      <w:r w:rsidR="00B37237">
        <w:rPr>
          <w:rFonts w:ascii="Verdana" w:hAnsi="Verdana"/>
          <w:sz w:val="20"/>
          <w:szCs w:val="20"/>
          <w:lang w:val="es-CO"/>
        </w:rPr>
        <w:t>.</w:t>
      </w:r>
    </w:p>
    <w:p w14:paraId="6FE79194" w14:textId="77777777" w:rsidR="00B37237" w:rsidRDefault="00B37237" w:rsidP="00B37237">
      <w:pPr>
        <w:pStyle w:val="Prrafodelista"/>
        <w:autoSpaceDE w:val="0"/>
        <w:autoSpaceDN w:val="0"/>
        <w:adjustRightInd w:val="0"/>
        <w:spacing w:after="0" w:line="240" w:lineRule="auto"/>
        <w:ind w:left="0"/>
        <w:jc w:val="both"/>
        <w:rPr>
          <w:rFonts w:ascii="Verdana" w:hAnsi="Verdana"/>
          <w:sz w:val="20"/>
          <w:szCs w:val="20"/>
          <w:lang w:val="es-CO"/>
        </w:rPr>
      </w:pPr>
    </w:p>
    <w:p w14:paraId="0E5C8154" w14:textId="1F427F36" w:rsidR="00F16B34" w:rsidRPr="00B23528" w:rsidRDefault="00F16B34" w:rsidP="00822119">
      <w:pPr>
        <w:pStyle w:val="Prrafodelista"/>
        <w:numPr>
          <w:ilvl w:val="0"/>
          <w:numId w:val="1"/>
        </w:numPr>
        <w:tabs>
          <w:tab w:val="clear" w:pos="1247"/>
          <w:tab w:val="num" w:pos="567"/>
        </w:tabs>
        <w:autoSpaceDE w:val="0"/>
        <w:autoSpaceDN w:val="0"/>
        <w:adjustRightInd w:val="0"/>
        <w:spacing w:after="0" w:line="240" w:lineRule="auto"/>
        <w:jc w:val="both"/>
        <w:rPr>
          <w:rFonts w:ascii="Verdana" w:hAnsi="Verdana"/>
          <w:sz w:val="20"/>
          <w:szCs w:val="20"/>
          <w:lang w:val="es-CO"/>
        </w:rPr>
      </w:pPr>
      <w:r w:rsidRPr="00822119">
        <w:rPr>
          <w:rFonts w:ascii="Verdana" w:hAnsi="Verdana"/>
          <w:sz w:val="20"/>
          <w:szCs w:val="20"/>
          <w:lang w:val="es-CO"/>
        </w:rPr>
        <w:t>Sin perjuicio de lo anterior, la Corte observa que</w:t>
      </w:r>
      <w:r w:rsidR="00B37237" w:rsidRPr="00822119">
        <w:rPr>
          <w:rFonts w:ascii="Verdana" w:hAnsi="Verdana"/>
          <w:sz w:val="20"/>
          <w:szCs w:val="20"/>
          <w:lang w:val="es-CO"/>
        </w:rPr>
        <w:t xml:space="preserve"> </w:t>
      </w:r>
      <w:r w:rsidRPr="00822119">
        <w:rPr>
          <w:rFonts w:ascii="Verdana" w:hAnsi="Verdana"/>
          <w:sz w:val="20"/>
          <w:szCs w:val="20"/>
          <w:lang w:val="es-CO"/>
        </w:rPr>
        <w:t>en los párrafos 74, 120, 121</w:t>
      </w:r>
      <w:r w:rsidR="00B37237" w:rsidRPr="00822119">
        <w:rPr>
          <w:rFonts w:ascii="Verdana" w:hAnsi="Verdana"/>
          <w:sz w:val="20"/>
          <w:szCs w:val="20"/>
          <w:lang w:val="es-CO"/>
        </w:rPr>
        <w:t>, 122</w:t>
      </w:r>
      <w:r w:rsidRPr="00822119">
        <w:rPr>
          <w:rFonts w:ascii="Verdana" w:hAnsi="Verdana"/>
          <w:sz w:val="20"/>
          <w:szCs w:val="20"/>
          <w:lang w:val="es-CO"/>
        </w:rPr>
        <w:t xml:space="preserve"> y 138 de la Sentencia existe un error</w:t>
      </w:r>
      <w:r w:rsidR="00EC7F54" w:rsidRPr="00B23528">
        <w:rPr>
          <w:rFonts w:ascii="Verdana" w:hAnsi="Verdana"/>
          <w:sz w:val="20"/>
          <w:szCs w:val="20"/>
          <w:lang w:val="es-CO"/>
        </w:rPr>
        <w:t xml:space="preserve"> material</w:t>
      </w:r>
      <w:r w:rsidRPr="00AB2BAA">
        <w:rPr>
          <w:rFonts w:ascii="Verdana" w:hAnsi="Verdana"/>
          <w:sz w:val="20"/>
          <w:szCs w:val="20"/>
          <w:lang w:val="es-CO"/>
        </w:rPr>
        <w:t xml:space="preserve"> con relación </w:t>
      </w:r>
      <w:r w:rsidR="00EF6117" w:rsidRPr="00822119">
        <w:rPr>
          <w:rFonts w:ascii="Verdana" w:hAnsi="Verdana"/>
          <w:sz w:val="20"/>
          <w:szCs w:val="20"/>
          <w:lang w:val="es-CO"/>
        </w:rPr>
        <w:t>al número de</w:t>
      </w:r>
      <w:r w:rsidRPr="00822119">
        <w:rPr>
          <w:rFonts w:ascii="Verdana" w:hAnsi="Verdana"/>
          <w:sz w:val="20"/>
          <w:szCs w:val="20"/>
          <w:lang w:val="es-CO"/>
        </w:rPr>
        <w:t xml:space="preserve"> beneficiarios </w:t>
      </w:r>
      <w:r w:rsidR="00EF6117" w:rsidRPr="00822119">
        <w:rPr>
          <w:rFonts w:ascii="Verdana" w:hAnsi="Verdana"/>
          <w:sz w:val="20"/>
          <w:szCs w:val="20"/>
          <w:lang w:val="es-CO"/>
        </w:rPr>
        <w:t xml:space="preserve">al que </w:t>
      </w:r>
      <w:r w:rsidRPr="00822119">
        <w:rPr>
          <w:rFonts w:ascii="Verdana" w:hAnsi="Verdana"/>
          <w:sz w:val="20"/>
          <w:szCs w:val="20"/>
          <w:lang w:val="es-CO"/>
        </w:rPr>
        <w:t>hace</w:t>
      </w:r>
      <w:r w:rsidR="00EF6117" w:rsidRPr="00822119">
        <w:rPr>
          <w:rFonts w:ascii="Verdana" w:hAnsi="Verdana"/>
          <w:sz w:val="20"/>
          <w:szCs w:val="20"/>
          <w:lang w:val="es-CO"/>
        </w:rPr>
        <w:t xml:space="preserve"> referencia</w:t>
      </w:r>
      <w:r w:rsidRPr="00822119">
        <w:rPr>
          <w:rFonts w:ascii="Verdana" w:hAnsi="Verdana"/>
          <w:sz w:val="20"/>
          <w:szCs w:val="20"/>
          <w:lang w:val="es-CO"/>
        </w:rPr>
        <w:t xml:space="preserve"> la sentencia de 3 de junio de 2005</w:t>
      </w:r>
      <w:r w:rsidR="00EF6117" w:rsidRPr="00822119">
        <w:rPr>
          <w:rFonts w:ascii="Verdana" w:hAnsi="Verdana"/>
          <w:sz w:val="20"/>
          <w:szCs w:val="20"/>
          <w:lang w:val="es-CO"/>
        </w:rPr>
        <w:t>. Este error es resultado de que</w:t>
      </w:r>
      <w:r w:rsidR="004A617B" w:rsidRPr="00822119">
        <w:rPr>
          <w:rFonts w:ascii="Verdana" w:hAnsi="Verdana"/>
          <w:sz w:val="20"/>
          <w:szCs w:val="20"/>
          <w:lang w:val="es-CO"/>
        </w:rPr>
        <w:t>,</w:t>
      </w:r>
      <w:r w:rsidRPr="00822119">
        <w:rPr>
          <w:rFonts w:ascii="Verdana" w:hAnsi="Verdana"/>
          <w:sz w:val="20"/>
          <w:szCs w:val="20"/>
          <w:lang w:val="es-CO"/>
        </w:rPr>
        <w:t xml:space="preserve"> si bien </w:t>
      </w:r>
      <w:r w:rsidR="00EF6117" w:rsidRPr="00822119">
        <w:rPr>
          <w:rFonts w:ascii="Verdana" w:hAnsi="Verdana"/>
          <w:sz w:val="20"/>
          <w:szCs w:val="20"/>
          <w:lang w:val="es-CO"/>
        </w:rPr>
        <w:t>dicha sentencia</w:t>
      </w:r>
      <w:r w:rsidR="00EC7F54" w:rsidRPr="00822119">
        <w:rPr>
          <w:rFonts w:ascii="Verdana" w:hAnsi="Verdana"/>
          <w:sz w:val="20"/>
          <w:szCs w:val="20"/>
          <w:lang w:val="es-CO"/>
        </w:rPr>
        <w:t xml:space="preserve"> menciona</w:t>
      </w:r>
      <w:r w:rsidRPr="00822119">
        <w:rPr>
          <w:rFonts w:ascii="Verdana" w:hAnsi="Verdana"/>
          <w:sz w:val="20"/>
          <w:szCs w:val="20"/>
          <w:lang w:val="es-CO"/>
        </w:rPr>
        <w:t xml:space="preserve"> </w:t>
      </w:r>
      <w:r w:rsidR="00EC7F54" w:rsidRPr="00822119">
        <w:rPr>
          <w:rFonts w:ascii="Verdana" w:hAnsi="Verdana"/>
          <w:sz w:val="20"/>
          <w:szCs w:val="20"/>
          <w:lang w:val="es-CO"/>
        </w:rPr>
        <w:t xml:space="preserve">la existencia de </w:t>
      </w:r>
      <w:r w:rsidRPr="00822119">
        <w:rPr>
          <w:rFonts w:ascii="Verdana" w:hAnsi="Verdana"/>
          <w:sz w:val="20"/>
          <w:szCs w:val="20"/>
          <w:lang w:val="es-CO"/>
        </w:rPr>
        <w:t xml:space="preserve">604 </w:t>
      </w:r>
      <w:r w:rsidR="00EC7F54" w:rsidRPr="00822119">
        <w:rPr>
          <w:rFonts w:ascii="Verdana" w:hAnsi="Verdana"/>
          <w:sz w:val="20"/>
          <w:szCs w:val="20"/>
          <w:lang w:val="es-CO"/>
        </w:rPr>
        <w:t>personas</w:t>
      </w:r>
      <w:r w:rsidR="00EF6117" w:rsidRPr="00822119">
        <w:rPr>
          <w:rFonts w:ascii="Verdana" w:hAnsi="Verdana"/>
          <w:sz w:val="20"/>
          <w:szCs w:val="20"/>
          <w:lang w:val="es-CO"/>
        </w:rPr>
        <w:t xml:space="preserve"> beneficiarias</w:t>
      </w:r>
      <w:r w:rsidRPr="00822119">
        <w:rPr>
          <w:rFonts w:ascii="Verdana" w:hAnsi="Verdana"/>
          <w:sz w:val="20"/>
          <w:szCs w:val="20"/>
          <w:lang w:val="es-CO"/>
        </w:rPr>
        <w:t xml:space="preserve">, </w:t>
      </w:r>
      <w:r w:rsidR="00EF6117" w:rsidRPr="00822119">
        <w:rPr>
          <w:rFonts w:ascii="Verdana" w:hAnsi="Verdana"/>
          <w:sz w:val="20"/>
          <w:szCs w:val="20"/>
          <w:lang w:val="es-CO"/>
        </w:rPr>
        <w:t>una de ella</w:t>
      </w:r>
      <w:r w:rsidRPr="00822119">
        <w:rPr>
          <w:rFonts w:ascii="Verdana" w:hAnsi="Verdana"/>
          <w:sz w:val="20"/>
          <w:szCs w:val="20"/>
          <w:lang w:val="es-CO"/>
        </w:rPr>
        <w:t>s se</w:t>
      </w:r>
      <w:r w:rsidR="00EF6117" w:rsidRPr="00822119">
        <w:rPr>
          <w:rFonts w:ascii="Verdana" w:hAnsi="Verdana"/>
          <w:sz w:val="20"/>
          <w:szCs w:val="20"/>
          <w:lang w:val="es-CO"/>
        </w:rPr>
        <w:t xml:space="preserve"> encuentra dos veces mencionada</w:t>
      </w:r>
      <w:r w:rsidR="00AF7BE8" w:rsidRPr="00822119">
        <w:rPr>
          <w:rFonts w:ascii="Verdana" w:hAnsi="Verdana"/>
          <w:sz w:val="20"/>
          <w:szCs w:val="20"/>
          <w:lang w:val="es-CO"/>
        </w:rPr>
        <w:t>.</w:t>
      </w:r>
      <w:r w:rsidR="00EF6117" w:rsidRPr="00822119">
        <w:rPr>
          <w:rFonts w:ascii="Verdana" w:hAnsi="Verdana"/>
          <w:sz w:val="20"/>
          <w:szCs w:val="20"/>
          <w:lang w:val="es-CO"/>
        </w:rPr>
        <w:t xml:space="preserve"> </w:t>
      </w:r>
      <w:r w:rsidR="005251BE" w:rsidRPr="00822119">
        <w:rPr>
          <w:rFonts w:ascii="Verdana" w:hAnsi="Verdana"/>
          <w:sz w:val="20"/>
          <w:szCs w:val="20"/>
          <w:lang w:val="es-CO"/>
        </w:rPr>
        <w:t>Esta</w:t>
      </w:r>
      <w:r w:rsidR="00937AB1" w:rsidRPr="00822119">
        <w:rPr>
          <w:rFonts w:ascii="Verdana" w:hAnsi="Verdana"/>
          <w:sz w:val="20"/>
          <w:szCs w:val="20"/>
          <w:lang w:val="es-CO"/>
        </w:rPr>
        <w:t xml:space="preserve"> </w:t>
      </w:r>
      <w:r w:rsidR="005251BE" w:rsidRPr="00822119">
        <w:rPr>
          <w:rFonts w:ascii="Verdana" w:hAnsi="Verdana"/>
          <w:sz w:val="20"/>
          <w:szCs w:val="20"/>
          <w:lang w:val="es-CO"/>
        </w:rPr>
        <w:t>reiteración</w:t>
      </w:r>
      <w:r w:rsidR="00937AB1" w:rsidRPr="00822119">
        <w:rPr>
          <w:rFonts w:ascii="Verdana" w:hAnsi="Verdana"/>
          <w:sz w:val="20"/>
          <w:szCs w:val="20"/>
          <w:lang w:val="es-CO"/>
        </w:rPr>
        <w:t xml:space="preserve"> se trasladó a la Sentencia. </w:t>
      </w:r>
      <w:r w:rsidR="003B7258" w:rsidRPr="0084733F">
        <w:rPr>
          <w:rFonts w:ascii="Verdana" w:hAnsi="Verdana"/>
          <w:sz w:val="20"/>
          <w:szCs w:val="20"/>
          <w:lang w:val="es-CO"/>
        </w:rPr>
        <w:t>De esta forma, s</w:t>
      </w:r>
      <w:r w:rsidRPr="0084733F">
        <w:rPr>
          <w:rFonts w:ascii="Verdana" w:hAnsi="Verdana"/>
          <w:sz w:val="20"/>
          <w:szCs w:val="20"/>
          <w:lang w:val="es-CO"/>
        </w:rPr>
        <w:t xml:space="preserve">i bien </w:t>
      </w:r>
      <w:r w:rsidR="007C7BF3" w:rsidRPr="00B23528">
        <w:rPr>
          <w:rFonts w:ascii="Verdana" w:hAnsi="Verdana"/>
          <w:sz w:val="20"/>
          <w:szCs w:val="20"/>
          <w:lang w:val="es-CO"/>
        </w:rPr>
        <w:t>a lo largo de la Sentencia</w:t>
      </w:r>
      <w:r w:rsidR="00AF7BE8" w:rsidRPr="00AB2BAA">
        <w:rPr>
          <w:rFonts w:ascii="Verdana" w:hAnsi="Verdana"/>
          <w:sz w:val="20"/>
          <w:szCs w:val="20"/>
          <w:lang w:val="es-CO"/>
        </w:rPr>
        <w:t xml:space="preserve"> se </w:t>
      </w:r>
      <w:r w:rsidR="007C7BF3" w:rsidRPr="00822119">
        <w:rPr>
          <w:rFonts w:ascii="Verdana" w:hAnsi="Verdana"/>
          <w:sz w:val="20"/>
          <w:szCs w:val="20"/>
          <w:lang w:val="es-CO"/>
        </w:rPr>
        <w:t>mencionaron 604 personas</w:t>
      </w:r>
      <w:r w:rsidR="00B37237" w:rsidRPr="00822119">
        <w:rPr>
          <w:rFonts w:ascii="Verdana" w:hAnsi="Verdana"/>
          <w:sz w:val="20"/>
          <w:szCs w:val="20"/>
          <w:lang w:val="es-CO"/>
        </w:rPr>
        <w:t xml:space="preserve"> </w:t>
      </w:r>
      <w:r w:rsidRPr="00822119">
        <w:rPr>
          <w:rFonts w:ascii="Verdana" w:hAnsi="Verdana"/>
          <w:sz w:val="20"/>
          <w:szCs w:val="20"/>
          <w:lang w:val="es-CO"/>
        </w:rPr>
        <w:t xml:space="preserve">como el total de </w:t>
      </w:r>
      <w:r w:rsidR="007C7BF3" w:rsidRPr="00822119">
        <w:rPr>
          <w:rFonts w:ascii="Verdana" w:hAnsi="Verdana"/>
          <w:sz w:val="20"/>
          <w:szCs w:val="20"/>
          <w:lang w:val="es-CO"/>
        </w:rPr>
        <w:t>personas beneficiarias de la sentencia de 3 de junio de 2005</w:t>
      </w:r>
      <w:r w:rsidRPr="00822119">
        <w:rPr>
          <w:rFonts w:ascii="Verdana" w:hAnsi="Verdana"/>
          <w:sz w:val="20"/>
          <w:szCs w:val="20"/>
          <w:lang w:val="es-CO"/>
        </w:rPr>
        <w:t xml:space="preserve">, la Corte nota que el nombre de la señora </w:t>
      </w:r>
      <w:proofErr w:type="spellStart"/>
      <w:r w:rsidR="00822119" w:rsidRPr="00822119">
        <w:rPr>
          <w:rFonts w:ascii="Verdana" w:hAnsi="Verdana"/>
          <w:sz w:val="20"/>
          <w:szCs w:val="20"/>
          <w:lang w:val="es-CO"/>
        </w:rPr>
        <w:t>Grimanesa</w:t>
      </w:r>
      <w:proofErr w:type="spellEnd"/>
      <w:r w:rsidR="00822119" w:rsidRPr="00822119">
        <w:rPr>
          <w:rFonts w:ascii="Verdana" w:hAnsi="Verdana"/>
          <w:sz w:val="20"/>
          <w:szCs w:val="20"/>
          <w:lang w:val="es-CO"/>
        </w:rPr>
        <w:t xml:space="preserve"> Barrera Cárdenas </w:t>
      </w:r>
      <w:r w:rsidR="007C7BF3" w:rsidRPr="00822119">
        <w:rPr>
          <w:rFonts w:ascii="Verdana" w:hAnsi="Verdana"/>
          <w:sz w:val="20"/>
          <w:szCs w:val="20"/>
          <w:lang w:val="es-CO"/>
        </w:rPr>
        <w:t>fue contabilizado</w:t>
      </w:r>
      <w:r w:rsidRPr="00822119">
        <w:rPr>
          <w:rFonts w:ascii="Verdana" w:hAnsi="Verdana"/>
          <w:sz w:val="20"/>
          <w:szCs w:val="20"/>
          <w:lang w:val="es-CO"/>
        </w:rPr>
        <w:t xml:space="preserve"> dos veces, de modo que la cantidad total de </w:t>
      </w:r>
      <w:r w:rsidR="007C7BF3" w:rsidRPr="00822119">
        <w:rPr>
          <w:rFonts w:ascii="Verdana" w:hAnsi="Verdana"/>
          <w:sz w:val="20"/>
          <w:szCs w:val="20"/>
          <w:lang w:val="es-CO"/>
        </w:rPr>
        <w:t>personas referidas debe ser 603</w:t>
      </w:r>
      <w:r w:rsidR="00AF7BE8" w:rsidRPr="00822119">
        <w:rPr>
          <w:rFonts w:ascii="Verdana" w:hAnsi="Verdana"/>
          <w:sz w:val="20"/>
          <w:szCs w:val="20"/>
          <w:lang w:val="es-CO"/>
        </w:rPr>
        <w:t>.</w:t>
      </w:r>
      <w:r w:rsidR="00B37237" w:rsidRPr="00822119">
        <w:rPr>
          <w:rFonts w:ascii="Verdana" w:hAnsi="Verdana"/>
          <w:sz w:val="20"/>
          <w:szCs w:val="20"/>
          <w:lang w:val="es-CO"/>
        </w:rPr>
        <w:t xml:space="preserve"> Asimismo, </w:t>
      </w:r>
      <w:r w:rsidR="007C7BF3" w:rsidRPr="00822119">
        <w:rPr>
          <w:rFonts w:ascii="Verdana" w:hAnsi="Verdana"/>
          <w:sz w:val="20"/>
          <w:szCs w:val="20"/>
          <w:lang w:val="es-CO"/>
        </w:rPr>
        <w:t xml:space="preserve">en </w:t>
      </w:r>
      <w:r w:rsidR="00B37237" w:rsidRPr="00822119">
        <w:rPr>
          <w:rFonts w:ascii="Verdana" w:hAnsi="Verdana"/>
          <w:sz w:val="20"/>
          <w:szCs w:val="20"/>
          <w:lang w:val="es-CO"/>
        </w:rPr>
        <w:t xml:space="preserve">el párrafo 122 deberá </w:t>
      </w:r>
      <w:r w:rsidR="007C7BF3" w:rsidRPr="00822119">
        <w:rPr>
          <w:rFonts w:ascii="Verdana" w:hAnsi="Verdana"/>
          <w:sz w:val="20"/>
          <w:szCs w:val="20"/>
          <w:lang w:val="es-CO"/>
        </w:rPr>
        <w:t xml:space="preserve">entenderse que son 603 y no 598 las personas beneficiarias de la sentencia de 3 de junio de 2005. </w:t>
      </w:r>
      <w:r w:rsidR="00822119" w:rsidRPr="00822119">
        <w:rPr>
          <w:rFonts w:ascii="Verdana" w:hAnsi="Verdana"/>
          <w:sz w:val="20"/>
          <w:szCs w:val="20"/>
          <w:lang w:val="es-CO"/>
        </w:rPr>
        <w:t>Del mismo modo, la Corte nota que el A</w:t>
      </w:r>
      <w:r w:rsidR="009341A9">
        <w:rPr>
          <w:rFonts w:ascii="Verdana" w:hAnsi="Verdana"/>
          <w:sz w:val="20"/>
          <w:szCs w:val="20"/>
          <w:lang w:val="es-CO"/>
        </w:rPr>
        <w:t>nexo 2 de la S</w:t>
      </w:r>
      <w:r w:rsidR="00822119" w:rsidRPr="009341A9">
        <w:rPr>
          <w:rFonts w:ascii="Verdana" w:hAnsi="Verdana"/>
          <w:sz w:val="20"/>
          <w:szCs w:val="20"/>
          <w:lang w:val="es-CO"/>
        </w:rPr>
        <w:t>entencia se</w:t>
      </w:r>
      <w:r w:rsidR="009341A9">
        <w:rPr>
          <w:rFonts w:ascii="Verdana" w:hAnsi="Verdana"/>
          <w:sz w:val="20"/>
          <w:szCs w:val="20"/>
          <w:lang w:val="es-CO"/>
        </w:rPr>
        <w:t xml:space="preserve"> refiere a 598 como la cantidad total de víctimas del caso</w:t>
      </w:r>
      <w:r w:rsidR="00822119" w:rsidRPr="009341A9">
        <w:rPr>
          <w:rFonts w:ascii="Verdana" w:hAnsi="Verdana"/>
          <w:sz w:val="20"/>
          <w:szCs w:val="20"/>
          <w:lang w:val="es-CO"/>
        </w:rPr>
        <w:t xml:space="preserve">, cuando realmente </w:t>
      </w:r>
      <w:r w:rsidR="00C93EB3">
        <w:rPr>
          <w:rFonts w:ascii="Verdana" w:hAnsi="Verdana"/>
          <w:sz w:val="20"/>
          <w:szCs w:val="20"/>
          <w:lang w:val="es-CO"/>
        </w:rPr>
        <w:t xml:space="preserve">este número asciende a </w:t>
      </w:r>
      <w:r w:rsidR="00822119" w:rsidRPr="009341A9">
        <w:rPr>
          <w:rFonts w:ascii="Verdana" w:hAnsi="Verdana"/>
          <w:sz w:val="20"/>
          <w:szCs w:val="20"/>
          <w:lang w:val="es-CO"/>
        </w:rPr>
        <w:t>597</w:t>
      </w:r>
      <w:r w:rsidR="00C93EB3">
        <w:rPr>
          <w:rFonts w:ascii="Verdana" w:hAnsi="Verdana"/>
          <w:sz w:val="20"/>
          <w:szCs w:val="20"/>
          <w:lang w:val="es-CO"/>
        </w:rPr>
        <w:t>, es decir a las 597 personas mencionadas en la sentencia de 3 de junio de 2005 que fueron incluidas en el Informe de Fondo</w:t>
      </w:r>
      <w:r w:rsidR="00822119" w:rsidRPr="009341A9">
        <w:rPr>
          <w:rFonts w:ascii="Verdana" w:hAnsi="Verdana"/>
          <w:sz w:val="20"/>
          <w:szCs w:val="20"/>
          <w:lang w:val="es-CO"/>
        </w:rPr>
        <w:t>. E</w:t>
      </w:r>
      <w:r w:rsidR="000C6A21">
        <w:rPr>
          <w:rFonts w:ascii="Verdana" w:hAnsi="Verdana"/>
          <w:sz w:val="20"/>
          <w:szCs w:val="20"/>
          <w:lang w:val="es-CO"/>
        </w:rPr>
        <w:t>ste error</w:t>
      </w:r>
      <w:r w:rsidR="00822119" w:rsidRPr="009341A9">
        <w:rPr>
          <w:rFonts w:ascii="Verdana" w:hAnsi="Verdana"/>
          <w:sz w:val="20"/>
          <w:szCs w:val="20"/>
          <w:lang w:val="es-CO"/>
        </w:rPr>
        <w:t xml:space="preserve"> se debió a que el nombre de la señora Emma Raquel Llamas </w:t>
      </w:r>
      <w:proofErr w:type="spellStart"/>
      <w:r w:rsidR="00822119" w:rsidRPr="009341A9">
        <w:rPr>
          <w:rFonts w:ascii="Verdana" w:hAnsi="Verdana"/>
          <w:sz w:val="20"/>
          <w:szCs w:val="20"/>
          <w:lang w:val="es-CO"/>
        </w:rPr>
        <w:t>Ordaya</w:t>
      </w:r>
      <w:proofErr w:type="spellEnd"/>
      <w:r w:rsidR="00822119" w:rsidRPr="009341A9">
        <w:rPr>
          <w:rFonts w:ascii="Verdana" w:hAnsi="Verdana"/>
          <w:sz w:val="20"/>
          <w:szCs w:val="20"/>
          <w:lang w:val="es-CO"/>
        </w:rPr>
        <w:t xml:space="preserve"> fue listado dos veces</w:t>
      </w:r>
      <w:r w:rsidR="000C6A21">
        <w:rPr>
          <w:rFonts w:ascii="Verdana" w:hAnsi="Verdana"/>
          <w:sz w:val="20"/>
          <w:szCs w:val="20"/>
          <w:lang w:val="es-CO"/>
        </w:rPr>
        <w:t xml:space="preserve"> en el Anexo 2</w:t>
      </w:r>
      <w:r w:rsidR="00BB7108">
        <w:rPr>
          <w:rFonts w:ascii="Verdana" w:hAnsi="Verdana"/>
          <w:sz w:val="20"/>
          <w:szCs w:val="20"/>
          <w:lang w:val="es-CO"/>
        </w:rPr>
        <w:t xml:space="preserve"> de la Sentencia</w:t>
      </w:r>
      <w:r w:rsidR="00822119" w:rsidRPr="009341A9">
        <w:rPr>
          <w:rFonts w:ascii="Verdana" w:hAnsi="Verdana"/>
          <w:sz w:val="20"/>
          <w:szCs w:val="20"/>
          <w:lang w:val="es-CO"/>
        </w:rPr>
        <w:t xml:space="preserve">. </w:t>
      </w:r>
      <w:r w:rsidR="007C7BF3" w:rsidRPr="009341A9">
        <w:rPr>
          <w:rFonts w:ascii="Verdana" w:hAnsi="Verdana"/>
          <w:sz w:val="20"/>
          <w:szCs w:val="20"/>
          <w:lang w:val="es-CO"/>
        </w:rPr>
        <w:t>En consecuencia, en razón de lo mencionado en el párrafo anterior (</w:t>
      </w:r>
      <w:r w:rsidR="007C7BF3" w:rsidRPr="00BB7108">
        <w:rPr>
          <w:rFonts w:ascii="Verdana" w:hAnsi="Verdana"/>
          <w:i/>
          <w:sz w:val="20"/>
          <w:szCs w:val="20"/>
          <w:lang w:val="es-CO"/>
        </w:rPr>
        <w:t>supra</w:t>
      </w:r>
      <w:r w:rsidR="007C7BF3" w:rsidRPr="00822119">
        <w:rPr>
          <w:rFonts w:ascii="Verdana" w:hAnsi="Verdana"/>
          <w:sz w:val="20"/>
          <w:szCs w:val="20"/>
          <w:lang w:val="es-CO"/>
        </w:rPr>
        <w:t xml:space="preserve"> párr. 18), el número de víctimas del caso es de 597 y no 598.</w:t>
      </w:r>
    </w:p>
    <w:p w14:paraId="0DDA33E2" w14:textId="77777777" w:rsidR="00F16B34" w:rsidRPr="00FE4B8A" w:rsidRDefault="00F16B34" w:rsidP="00F16B34">
      <w:pPr>
        <w:pStyle w:val="Prrafodelista"/>
        <w:autoSpaceDE w:val="0"/>
        <w:autoSpaceDN w:val="0"/>
        <w:adjustRightInd w:val="0"/>
        <w:spacing w:after="0" w:line="240" w:lineRule="auto"/>
        <w:ind w:left="0"/>
        <w:jc w:val="both"/>
        <w:rPr>
          <w:rFonts w:ascii="Verdana" w:hAnsi="Verdana"/>
          <w:sz w:val="20"/>
          <w:szCs w:val="20"/>
          <w:lang w:val="es-CO"/>
        </w:rPr>
      </w:pPr>
    </w:p>
    <w:p w14:paraId="070519B4" w14:textId="694F0CB5" w:rsidR="00F16B34" w:rsidRPr="00FE4B8A" w:rsidRDefault="00AF7BE8" w:rsidP="00F16B34">
      <w:pPr>
        <w:pStyle w:val="Prrafodelista"/>
        <w:numPr>
          <w:ilvl w:val="0"/>
          <w:numId w:val="1"/>
        </w:numPr>
        <w:tabs>
          <w:tab w:val="clear" w:pos="1247"/>
          <w:tab w:val="num" w:pos="567"/>
        </w:tabs>
        <w:autoSpaceDE w:val="0"/>
        <w:autoSpaceDN w:val="0"/>
        <w:adjustRightInd w:val="0"/>
        <w:spacing w:after="0" w:line="240" w:lineRule="auto"/>
        <w:jc w:val="both"/>
        <w:rPr>
          <w:rFonts w:ascii="Verdana" w:hAnsi="Verdana"/>
          <w:sz w:val="20"/>
          <w:szCs w:val="20"/>
          <w:lang w:val="es-CO"/>
        </w:rPr>
      </w:pPr>
      <w:r w:rsidRPr="00FE4B8A">
        <w:rPr>
          <w:rFonts w:ascii="Verdana" w:hAnsi="Verdana"/>
          <w:sz w:val="20"/>
          <w:szCs w:val="20"/>
          <w:lang w:val="es-CO"/>
        </w:rPr>
        <w:t>En segundo lugar, respecto a la solicitud de interpretación sobre el</w:t>
      </w:r>
      <w:r w:rsidR="00F16B34" w:rsidRPr="00FE4B8A">
        <w:rPr>
          <w:rFonts w:ascii="Verdana" w:hAnsi="Verdana"/>
          <w:sz w:val="20"/>
          <w:szCs w:val="20"/>
          <w:lang w:val="es-CO"/>
        </w:rPr>
        <w:t xml:space="preserve"> alcance del </w:t>
      </w:r>
      <w:r w:rsidRPr="00FE4B8A">
        <w:rPr>
          <w:rFonts w:ascii="Verdana" w:hAnsi="Verdana"/>
          <w:sz w:val="20"/>
          <w:szCs w:val="20"/>
          <w:lang w:val="es-CO"/>
        </w:rPr>
        <w:t xml:space="preserve">Punto Resolutivo </w:t>
      </w:r>
      <w:r w:rsidR="00780BAF">
        <w:rPr>
          <w:rFonts w:ascii="Verdana" w:hAnsi="Verdana"/>
          <w:sz w:val="20"/>
          <w:szCs w:val="20"/>
          <w:lang w:val="es-CO"/>
        </w:rPr>
        <w:t>Sexto</w:t>
      </w:r>
      <w:r w:rsidR="00F16B34" w:rsidRPr="00FE4B8A">
        <w:rPr>
          <w:rFonts w:ascii="Verdana" w:hAnsi="Verdana"/>
          <w:sz w:val="20"/>
          <w:szCs w:val="20"/>
          <w:lang w:val="es-CO"/>
        </w:rPr>
        <w:t xml:space="preserve">, la Corte reitera lo </w:t>
      </w:r>
      <w:r w:rsidR="007C7BF3">
        <w:rPr>
          <w:rFonts w:ascii="Verdana" w:hAnsi="Verdana"/>
          <w:sz w:val="20"/>
          <w:szCs w:val="20"/>
          <w:lang w:val="es-CO"/>
        </w:rPr>
        <w:t>mencionado en la Sentencia</w:t>
      </w:r>
      <w:r w:rsidR="008D19B3" w:rsidRPr="00FE4B8A">
        <w:rPr>
          <w:rFonts w:ascii="Verdana" w:hAnsi="Verdana"/>
          <w:sz w:val="20"/>
          <w:szCs w:val="20"/>
          <w:lang w:val="es-CO"/>
        </w:rPr>
        <w:t>:</w:t>
      </w:r>
    </w:p>
    <w:p w14:paraId="1A145086" w14:textId="77777777" w:rsidR="008D19B3" w:rsidRPr="00FE4B8A" w:rsidRDefault="008D19B3" w:rsidP="008D19B3">
      <w:pPr>
        <w:tabs>
          <w:tab w:val="num" w:pos="567"/>
        </w:tabs>
        <w:autoSpaceDE w:val="0"/>
        <w:autoSpaceDN w:val="0"/>
        <w:adjustRightInd w:val="0"/>
        <w:spacing w:after="0" w:line="240" w:lineRule="auto"/>
        <w:jc w:val="both"/>
        <w:rPr>
          <w:rFonts w:ascii="Verdana" w:hAnsi="Verdana"/>
          <w:sz w:val="20"/>
          <w:szCs w:val="20"/>
          <w:lang w:val="es-DO"/>
        </w:rPr>
      </w:pPr>
    </w:p>
    <w:p w14:paraId="2D703013" w14:textId="2A222F2E" w:rsidR="00F16B34" w:rsidRPr="00FE4B8A" w:rsidRDefault="008D19B3" w:rsidP="00837AA9">
      <w:pPr>
        <w:tabs>
          <w:tab w:val="num" w:pos="567"/>
        </w:tabs>
        <w:autoSpaceDE w:val="0"/>
        <w:autoSpaceDN w:val="0"/>
        <w:adjustRightInd w:val="0"/>
        <w:spacing w:after="0" w:line="240" w:lineRule="auto"/>
        <w:ind w:left="993" w:right="968"/>
        <w:jc w:val="both"/>
        <w:rPr>
          <w:rFonts w:ascii="Verdana" w:hAnsi="Verdana"/>
          <w:sz w:val="18"/>
          <w:szCs w:val="18"/>
          <w:lang w:val="es-DO"/>
        </w:rPr>
      </w:pPr>
      <w:r w:rsidRPr="00FE4B8A">
        <w:rPr>
          <w:rFonts w:ascii="Verdana" w:hAnsi="Verdana"/>
          <w:sz w:val="18"/>
          <w:szCs w:val="18"/>
        </w:rPr>
        <w:t xml:space="preserve">[Punto Resolutivo </w:t>
      </w:r>
      <w:r w:rsidR="007D4DBF">
        <w:rPr>
          <w:rFonts w:ascii="Verdana" w:hAnsi="Verdana"/>
          <w:sz w:val="18"/>
          <w:szCs w:val="18"/>
        </w:rPr>
        <w:t>No. 6</w:t>
      </w:r>
      <w:r w:rsidRPr="00FE4B8A">
        <w:rPr>
          <w:rFonts w:ascii="Verdana" w:hAnsi="Verdana"/>
          <w:sz w:val="18"/>
          <w:szCs w:val="18"/>
        </w:rPr>
        <w:t>] El Estado realizará el pago efectivo e inmediato de los conceptos pendientes en virtud de lo dispuesto por la sentencia de 25 de octubre de 1993, en los términos del párrafo 217 de presente Sentencia.</w:t>
      </w:r>
      <w:r w:rsidR="00F16B34" w:rsidRPr="00FE4B8A">
        <w:rPr>
          <w:rFonts w:ascii="Verdana" w:hAnsi="Verdana" w:cs="Arial"/>
          <w:sz w:val="20"/>
          <w:szCs w:val="20"/>
          <w:lang w:val="es-CO"/>
        </w:rPr>
        <w:t xml:space="preserve"> </w:t>
      </w:r>
    </w:p>
    <w:p w14:paraId="43F112A2" w14:textId="77777777" w:rsidR="00F16B34" w:rsidRPr="00FE4B8A" w:rsidRDefault="00F16B34" w:rsidP="00F16B34">
      <w:pPr>
        <w:pStyle w:val="Prrafodelista"/>
        <w:autoSpaceDE w:val="0"/>
        <w:autoSpaceDN w:val="0"/>
        <w:adjustRightInd w:val="0"/>
        <w:spacing w:after="0" w:line="240" w:lineRule="auto"/>
        <w:ind w:left="0"/>
        <w:jc w:val="both"/>
        <w:rPr>
          <w:rFonts w:ascii="Verdana" w:hAnsi="Verdana" w:cs="Arial"/>
          <w:sz w:val="20"/>
          <w:szCs w:val="20"/>
          <w:lang w:val="es-CO"/>
        </w:rPr>
      </w:pPr>
    </w:p>
    <w:p w14:paraId="5FE305B6" w14:textId="6A4543E4" w:rsidR="00374F3C" w:rsidRPr="00FE4B8A" w:rsidRDefault="00374F3C" w:rsidP="00374F3C">
      <w:pPr>
        <w:pStyle w:val="Prrafodelista"/>
        <w:numPr>
          <w:ilvl w:val="0"/>
          <w:numId w:val="1"/>
        </w:numPr>
        <w:tabs>
          <w:tab w:val="clear" w:pos="1247"/>
          <w:tab w:val="num" w:pos="567"/>
        </w:tabs>
        <w:autoSpaceDE w:val="0"/>
        <w:autoSpaceDN w:val="0"/>
        <w:adjustRightInd w:val="0"/>
        <w:spacing w:after="0" w:line="240" w:lineRule="auto"/>
        <w:jc w:val="both"/>
        <w:rPr>
          <w:rFonts w:ascii="Verdana" w:hAnsi="Verdana" w:cs="Arial"/>
          <w:sz w:val="20"/>
          <w:szCs w:val="20"/>
          <w:lang w:val="es-CO"/>
        </w:rPr>
      </w:pPr>
      <w:r w:rsidRPr="00FE4B8A">
        <w:rPr>
          <w:rFonts w:ascii="Verdana" w:hAnsi="Verdana" w:cs="Arial"/>
          <w:sz w:val="20"/>
          <w:szCs w:val="20"/>
          <w:lang w:val="es-CO"/>
        </w:rPr>
        <w:t xml:space="preserve">La Corte estima que la consulta planteada por los representantes respecto a los alcances del Punto Resolutivo </w:t>
      </w:r>
      <w:r w:rsidR="00AB2BAA">
        <w:rPr>
          <w:rFonts w:ascii="Verdana" w:hAnsi="Verdana" w:cs="Arial"/>
          <w:sz w:val="20"/>
          <w:szCs w:val="20"/>
          <w:lang w:val="es-CO"/>
        </w:rPr>
        <w:t>Sexto</w:t>
      </w:r>
      <w:r w:rsidR="00BB7108">
        <w:rPr>
          <w:rFonts w:ascii="Verdana" w:hAnsi="Verdana" w:cs="Arial"/>
          <w:sz w:val="20"/>
          <w:szCs w:val="20"/>
          <w:lang w:val="es-CO"/>
        </w:rPr>
        <w:t xml:space="preserve"> </w:t>
      </w:r>
      <w:r w:rsidRPr="00FE4B8A">
        <w:rPr>
          <w:rFonts w:ascii="Verdana" w:hAnsi="Verdana" w:cs="Arial"/>
          <w:sz w:val="20"/>
          <w:szCs w:val="20"/>
          <w:lang w:val="es-CO"/>
        </w:rPr>
        <w:t>se responde con claridad en lo dispuesto por el párrafo 217 de la Sentencia, el cual señala lo siguiente:</w:t>
      </w:r>
    </w:p>
    <w:p w14:paraId="2CC75F33" w14:textId="77777777" w:rsidR="00374F3C" w:rsidRPr="00FE4B8A" w:rsidRDefault="00374F3C" w:rsidP="00374F3C">
      <w:pPr>
        <w:pStyle w:val="Prrafodelista"/>
        <w:autoSpaceDE w:val="0"/>
        <w:autoSpaceDN w:val="0"/>
        <w:adjustRightInd w:val="0"/>
        <w:spacing w:after="0" w:line="240" w:lineRule="auto"/>
        <w:ind w:left="0"/>
        <w:jc w:val="both"/>
        <w:rPr>
          <w:rFonts w:ascii="Verdana" w:hAnsi="Verdana" w:cs="Arial"/>
          <w:sz w:val="20"/>
          <w:szCs w:val="20"/>
          <w:lang w:val="es-CO"/>
        </w:rPr>
      </w:pPr>
    </w:p>
    <w:p w14:paraId="31879296" w14:textId="77777777" w:rsidR="00837AA9" w:rsidRPr="00FE4B8A" w:rsidRDefault="00837AA9" w:rsidP="00837AA9">
      <w:pPr>
        <w:pStyle w:val="Prrafodelista"/>
        <w:spacing w:after="0" w:line="240" w:lineRule="auto"/>
        <w:ind w:left="993" w:right="968"/>
        <w:jc w:val="both"/>
        <w:rPr>
          <w:rFonts w:ascii="Verdana" w:hAnsi="Verdana"/>
          <w:sz w:val="18"/>
          <w:szCs w:val="18"/>
          <w:lang w:val="es-DO"/>
        </w:rPr>
      </w:pPr>
      <w:r w:rsidRPr="00FE4B8A">
        <w:rPr>
          <w:rFonts w:ascii="Verdana" w:hAnsi="Verdana" w:cs="Arial"/>
          <w:sz w:val="18"/>
          <w:szCs w:val="18"/>
        </w:rPr>
        <w:t xml:space="preserve">217. En el presente caso, el Tribunal concluyó que el Estado violó el derecho a la protección judicial al no haber garantizado la ejecución integral, sin dilaciones injustificadas, de la sentencia de 25 de octubre de 1993. En tal sentido, la Corte determinó que, pese a haber transcurrido aproximadamente 27 años desde su emisión, el proceso de ejecución de la referida sentencia todavía se encuentra abierto porque aún no se ha hecho efectivo el pago de los reintegros correspondientes a la nivelación de las pensiones de las víctimas durante el periodo de aplicación de la Tercera Disposición Transitoria del Decreto 673. En virtud de </w:t>
      </w:r>
      <w:r w:rsidRPr="00FE4B8A">
        <w:rPr>
          <w:rFonts w:ascii="Verdana" w:hAnsi="Verdana" w:cs="Arial"/>
          <w:sz w:val="18"/>
          <w:szCs w:val="18"/>
        </w:rPr>
        <w:lastRenderedPageBreak/>
        <w:t>ello, la Corte determinó que el Estado incumplió con su deber de garantizar los medios necesarios para lograr la ejecución de la sentencia de 25 de octubre de 1993, en contravención a las obligaciones dispuestas en el artículo 25.2.c de la Convención. De igual modo, el Tribunal concluyó que constituye un plazo irrazonable el periodo de 27 de años transcurrido desde la expedición de la sentencia antes mencionada, sin que a la fecha el Estado haya garantizado su cumplimiento integral. Por tanto, la Corte ordena al Estado que garantice el pago efectivo e inmediato de los reintegros pendientes de pago por concepto de lo dispuesto por la sentencia de 25 de octubre de 1993, en los términos fijados por el informe pericial de 18 de octubre de 2011, el cual fue aprobado mediante resoluciones de 13 de junio de 2017 y 23 de abril de 2019.</w:t>
      </w:r>
    </w:p>
    <w:p w14:paraId="689F48E5" w14:textId="77777777" w:rsidR="00374F3C" w:rsidRPr="00FE4B8A" w:rsidRDefault="00374F3C" w:rsidP="00374F3C">
      <w:pPr>
        <w:pStyle w:val="Prrafodelista"/>
        <w:rPr>
          <w:rFonts w:ascii="Verdana" w:hAnsi="Verdana" w:cs="Arial"/>
          <w:sz w:val="20"/>
          <w:szCs w:val="20"/>
          <w:lang w:val="es-CO"/>
        </w:rPr>
      </w:pPr>
    </w:p>
    <w:p w14:paraId="0F5BECDB" w14:textId="77822B4A" w:rsidR="00AB5017" w:rsidRDefault="00837AA9" w:rsidP="00F16B34">
      <w:pPr>
        <w:pStyle w:val="Prrafodelista"/>
        <w:numPr>
          <w:ilvl w:val="0"/>
          <w:numId w:val="1"/>
        </w:numPr>
        <w:tabs>
          <w:tab w:val="clear" w:pos="1247"/>
          <w:tab w:val="num" w:pos="567"/>
        </w:tabs>
        <w:autoSpaceDE w:val="0"/>
        <w:autoSpaceDN w:val="0"/>
        <w:adjustRightInd w:val="0"/>
        <w:spacing w:after="0" w:line="240" w:lineRule="auto"/>
        <w:jc w:val="both"/>
        <w:rPr>
          <w:rFonts w:ascii="Verdana" w:hAnsi="Verdana" w:cs="Arial"/>
          <w:sz w:val="20"/>
          <w:szCs w:val="20"/>
          <w:lang w:val="es-CO"/>
        </w:rPr>
      </w:pPr>
      <w:r w:rsidRPr="00FE4B8A">
        <w:rPr>
          <w:rFonts w:ascii="Verdana" w:hAnsi="Verdana" w:cs="Arial"/>
          <w:sz w:val="20"/>
          <w:szCs w:val="20"/>
          <w:lang w:val="es-CO"/>
        </w:rPr>
        <w:t xml:space="preserve">Lo anterior no deja lugar a duda respecto </w:t>
      </w:r>
      <w:r w:rsidR="000B4C0A">
        <w:rPr>
          <w:rFonts w:ascii="Verdana" w:hAnsi="Verdana" w:cs="Arial"/>
          <w:sz w:val="20"/>
          <w:szCs w:val="20"/>
          <w:lang w:val="es-CO"/>
        </w:rPr>
        <w:t xml:space="preserve">a </w:t>
      </w:r>
      <w:r w:rsidRPr="00FE4B8A">
        <w:rPr>
          <w:rFonts w:ascii="Verdana" w:hAnsi="Verdana" w:cs="Arial"/>
          <w:sz w:val="20"/>
          <w:szCs w:val="20"/>
          <w:lang w:val="es-CO"/>
        </w:rPr>
        <w:t>que el pago de los reintegros pendientes</w:t>
      </w:r>
      <w:r w:rsidR="003F351E">
        <w:rPr>
          <w:rFonts w:ascii="Verdana" w:hAnsi="Verdana" w:cs="Arial"/>
          <w:sz w:val="20"/>
          <w:szCs w:val="20"/>
          <w:lang w:val="es-CO"/>
        </w:rPr>
        <w:t>,</w:t>
      </w:r>
      <w:r w:rsidRPr="00FE4B8A">
        <w:rPr>
          <w:rFonts w:ascii="Verdana" w:hAnsi="Verdana" w:cs="Arial"/>
          <w:sz w:val="20"/>
          <w:szCs w:val="20"/>
          <w:lang w:val="es-CO"/>
        </w:rPr>
        <w:t xml:space="preserve"> </w:t>
      </w:r>
      <w:r w:rsidR="000423C1">
        <w:rPr>
          <w:rFonts w:ascii="Verdana" w:hAnsi="Verdana" w:cs="Arial"/>
          <w:sz w:val="20"/>
          <w:szCs w:val="20"/>
          <w:lang w:val="es-CO"/>
        </w:rPr>
        <w:t>en virtud de</w:t>
      </w:r>
      <w:r w:rsidRPr="00FE4B8A">
        <w:rPr>
          <w:rFonts w:ascii="Verdana" w:hAnsi="Verdana" w:cs="Arial"/>
          <w:sz w:val="20"/>
          <w:szCs w:val="20"/>
          <w:lang w:val="es-CO"/>
        </w:rPr>
        <w:t xml:space="preserve"> lo dispuesto por la sentencia de 25 de octubre de 1993</w:t>
      </w:r>
      <w:r w:rsidR="003F351E">
        <w:rPr>
          <w:rFonts w:ascii="Verdana" w:hAnsi="Verdana" w:cs="Arial"/>
          <w:sz w:val="20"/>
          <w:szCs w:val="20"/>
          <w:lang w:val="es-CO"/>
        </w:rPr>
        <w:t>,</w:t>
      </w:r>
      <w:r w:rsidRPr="00FE4B8A">
        <w:rPr>
          <w:rFonts w:ascii="Verdana" w:hAnsi="Verdana" w:cs="Arial"/>
          <w:sz w:val="20"/>
          <w:szCs w:val="20"/>
          <w:lang w:val="es-CO"/>
        </w:rPr>
        <w:t xml:space="preserve"> se deberá </w:t>
      </w:r>
      <w:r w:rsidR="00422A93" w:rsidRPr="00FE4B8A">
        <w:rPr>
          <w:rFonts w:ascii="Verdana" w:hAnsi="Verdana" w:cs="Arial"/>
          <w:sz w:val="20"/>
          <w:szCs w:val="20"/>
          <w:lang w:val="es-CO"/>
        </w:rPr>
        <w:t>realizar</w:t>
      </w:r>
      <w:r w:rsidRPr="00FE4B8A">
        <w:rPr>
          <w:rFonts w:ascii="Verdana" w:hAnsi="Verdana" w:cs="Arial"/>
          <w:sz w:val="20"/>
          <w:szCs w:val="20"/>
          <w:lang w:val="es-CO"/>
        </w:rPr>
        <w:t xml:space="preserve"> en el marco del cumplimiento de la medida de restitución ordenada por la Corte</w:t>
      </w:r>
      <w:r w:rsidR="000B4C0A">
        <w:rPr>
          <w:rFonts w:ascii="Verdana" w:hAnsi="Verdana" w:cs="Arial"/>
          <w:sz w:val="20"/>
          <w:szCs w:val="20"/>
          <w:lang w:val="es-CO"/>
        </w:rPr>
        <w:t xml:space="preserve"> Interamericana</w:t>
      </w:r>
      <w:r w:rsidRPr="00FE4B8A">
        <w:rPr>
          <w:rFonts w:ascii="Verdana" w:hAnsi="Verdana" w:cs="Arial"/>
          <w:sz w:val="20"/>
          <w:szCs w:val="20"/>
          <w:lang w:val="es-CO"/>
        </w:rPr>
        <w:t xml:space="preserve"> en</w:t>
      </w:r>
      <w:r w:rsidR="000B4C0A">
        <w:rPr>
          <w:rFonts w:ascii="Verdana" w:hAnsi="Verdana" w:cs="Arial"/>
          <w:sz w:val="20"/>
          <w:szCs w:val="20"/>
          <w:lang w:val="es-CO"/>
        </w:rPr>
        <w:t xml:space="preserve"> </w:t>
      </w:r>
      <w:r w:rsidR="000B4C0A" w:rsidRPr="000B4C0A">
        <w:rPr>
          <w:rFonts w:ascii="Verdana" w:hAnsi="Verdana" w:cs="Arial"/>
          <w:sz w:val="20"/>
          <w:szCs w:val="20"/>
          <w:lang w:val="es-CO"/>
        </w:rPr>
        <w:t>el Punto Resolutivo Sexto de</w:t>
      </w:r>
      <w:r w:rsidRPr="00FE4B8A">
        <w:rPr>
          <w:rFonts w:ascii="Verdana" w:hAnsi="Verdana" w:cs="Arial"/>
          <w:sz w:val="20"/>
          <w:szCs w:val="20"/>
          <w:lang w:val="es-CO"/>
        </w:rPr>
        <w:t xml:space="preserve"> la Sentencia, “en los términos fijados por el informe pericial de 18 de octubre de 2011”</w:t>
      </w:r>
      <w:r w:rsidR="004A48BA">
        <w:rPr>
          <w:rFonts w:ascii="Verdana" w:hAnsi="Verdana" w:cs="Arial"/>
          <w:sz w:val="20"/>
          <w:szCs w:val="20"/>
          <w:lang w:val="es-CO"/>
        </w:rPr>
        <w:t>, entendido este en su integralidad</w:t>
      </w:r>
      <w:r w:rsidR="00AB5017">
        <w:rPr>
          <w:rFonts w:ascii="Verdana" w:hAnsi="Verdana" w:cs="Arial"/>
          <w:sz w:val="20"/>
          <w:szCs w:val="20"/>
          <w:lang w:val="es-CO"/>
        </w:rPr>
        <w:t>.</w:t>
      </w:r>
    </w:p>
    <w:p w14:paraId="5D9F2858" w14:textId="77777777" w:rsidR="00AB5017" w:rsidRDefault="00AB5017" w:rsidP="00AB5017">
      <w:pPr>
        <w:pStyle w:val="Prrafodelista"/>
        <w:autoSpaceDE w:val="0"/>
        <w:autoSpaceDN w:val="0"/>
        <w:adjustRightInd w:val="0"/>
        <w:spacing w:after="0" w:line="240" w:lineRule="auto"/>
        <w:ind w:left="0"/>
        <w:jc w:val="both"/>
        <w:rPr>
          <w:rFonts w:ascii="Verdana" w:hAnsi="Verdana" w:cs="Arial"/>
          <w:sz w:val="20"/>
          <w:szCs w:val="20"/>
          <w:lang w:val="es-CO"/>
        </w:rPr>
      </w:pPr>
    </w:p>
    <w:p w14:paraId="1264A081" w14:textId="08DA4E89" w:rsidR="00F16B34" w:rsidRPr="00FE4B8A" w:rsidRDefault="004A48BA" w:rsidP="00F16B34">
      <w:pPr>
        <w:pStyle w:val="Prrafodelista"/>
        <w:numPr>
          <w:ilvl w:val="0"/>
          <w:numId w:val="1"/>
        </w:numPr>
        <w:tabs>
          <w:tab w:val="clear" w:pos="1247"/>
          <w:tab w:val="num" w:pos="567"/>
        </w:tabs>
        <w:autoSpaceDE w:val="0"/>
        <w:autoSpaceDN w:val="0"/>
        <w:adjustRightInd w:val="0"/>
        <w:spacing w:after="0" w:line="240" w:lineRule="auto"/>
        <w:jc w:val="both"/>
        <w:rPr>
          <w:rFonts w:ascii="Verdana" w:hAnsi="Verdana" w:cs="Arial"/>
          <w:sz w:val="20"/>
          <w:szCs w:val="20"/>
          <w:lang w:val="es-CO"/>
        </w:rPr>
      </w:pPr>
      <w:r>
        <w:rPr>
          <w:rFonts w:ascii="Verdana" w:hAnsi="Verdana" w:cs="Arial"/>
          <w:sz w:val="20"/>
          <w:szCs w:val="20"/>
          <w:lang w:val="es-CO"/>
        </w:rPr>
        <w:t>Ahora bien, e</w:t>
      </w:r>
      <w:r w:rsidR="00422A93" w:rsidRPr="00FE4B8A">
        <w:rPr>
          <w:rFonts w:ascii="Verdana" w:hAnsi="Verdana" w:cs="Arial"/>
          <w:sz w:val="20"/>
          <w:szCs w:val="20"/>
          <w:lang w:val="es-CO"/>
        </w:rPr>
        <w:t>l Tribunal</w:t>
      </w:r>
      <w:r w:rsidR="00F16B34" w:rsidRPr="00FE4B8A">
        <w:rPr>
          <w:rFonts w:ascii="Verdana" w:hAnsi="Verdana" w:cs="Arial"/>
          <w:sz w:val="20"/>
          <w:szCs w:val="20"/>
          <w:lang w:val="es-CO"/>
        </w:rPr>
        <w:t xml:space="preserve"> observa que la solicitud de interpretación </w:t>
      </w:r>
      <w:r>
        <w:rPr>
          <w:rFonts w:ascii="Verdana" w:hAnsi="Verdana" w:cs="Arial"/>
          <w:sz w:val="20"/>
          <w:szCs w:val="20"/>
          <w:lang w:val="es-CO"/>
        </w:rPr>
        <w:t>de</w:t>
      </w:r>
      <w:r w:rsidR="00F16B34" w:rsidRPr="00FE4B8A">
        <w:rPr>
          <w:rFonts w:ascii="Verdana" w:hAnsi="Verdana" w:cs="Arial"/>
          <w:sz w:val="20"/>
          <w:szCs w:val="20"/>
          <w:lang w:val="es-CO"/>
        </w:rPr>
        <w:t xml:space="preserve"> los representantes</w:t>
      </w:r>
      <w:r w:rsidR="00B05D94" w:rsidRPr="00FE4B8A">
        <w:rPr>
          <w:rFonts w:ascii="Verdana" w:hAnsi="Verdana" w:cs="Arial"/>
          <w:sz w:val="20"/>
          <w:szCs w:val="20"/>
          <w:lang w:val="es-CO"/>
        </w:rPr>
        <w:t>,</w:t>
      </w:r>
      <w:r w:rsidR="00422A93" w:rsidRPr="00FE4B8A">
        <w:rPr>
          <w:rFonts w:ascii="Verdana" w:hAnsi="Verdana" w:cs="Arial"/>
          <w:sz w:val="20"/>
          <w:szCs w:val="20"/>
          <w:lang w:val="es-CO"/>
        </w:rPr>
        <w:t xml:space="preserve"> además de solicitar una aclaraci</w:t>
      </w:r>
      <w:r>
        <w:rPr>
          <w:rFonts w:ascii="Verdana" w:hAnsi="Verdana" w:cs="Arial"/>
          <w:sz w:val="20"/>
          <w:szCs w:val="20"/>
          <w:lang w:val="es-CO"/>
        </w:rPr>
        <w:t xml:space="preserve">ón sobre el sentido del Punto Resolutivo </w:t>
      </w:r>
      <w:r w:rsidR="00F25FE6">
        <w:rPr>
          <w:rFonts w:ascii="Verdana" w:hAnsi="Verdana" w:cs="Arial"/>
          <w:sz w:val="20"/>
          <w:szCs w:val="20"/>
          <w:lang w:val="es-CO"/>
        </w:rPr>
        <w:t>Sexto</w:t>
      </w:r>
      <w:r w:rsidR="00B05D94" w:rsidRPr="00FE4B8A">
        <w:rPr>
          <w:rFonts w:ascii="Verdana" w:hAnsi="Verdana" w:cs="Arial"/>
          <w:sz w:val="20"/>
          <w:szCs w:val="20"/>
          <w:lang w:val="es-CO"/>
        </w:rPr>
        <w:t>,</w:t>
      </w:r>
      <w:r w:rsidR="00F16B34" w:rsidRPr="00FE4B8A">
        <w:rPr>
          <w:rFonts w:ascii="Verdana" w:hAnsi="Verdana" w:cs="Arial"/>
          <w:sz w:val="20"/>
          <w:szCs w:val="20"/>
          <w:lang w:val="es-CO"/>
        </w:rPr>
        <w:t xml:space="preserve"> cuestiona las conclusiones arrojadas en el pe</w:t>
      </w:r>
      <w:r w:rsidR="00837AA9" w:rsidRPr="00FE4B8A">
        <w:rPr>
          <w:rFonts w:ascii="Verdana" w:hAnsi="Verdana" w:cs="Arial"/>
          <w:sz w:val="20"/>
          <w:szCs w:val="20"/>
          <w:lang w:val="es-CO"/>
        </w:rPr>
        <w:t>ritaje de 18 de octubre de 2011</w:t>
      </w:r>
      <w:r w:rsidR="00F16B34" w:rsidRPr="00FE4B8A">
        <w:rPr>
          <w:rFonts w:ascii="Verdana" w:hAnsi="Verdana" w:cs="Arial"/>
          <w:sz w:val="20"/>
          <w:szCs w:val="20"/>
          <w:lang w:val="es-CO"/>
        </w:rPr>
        <w:t>.</w:t>
      </w:r>
      <w:r>
        <w:rPr>
          <w:rFonts w:ascii="Verdana" w:hAnsi="Verdana" w:cs="Arial"/>
          <w:sz w:val="20"/>
          <w:szCs w:val="20"/>
          <w:lang w:val="es-CO"/>
        </w:rPr>
        <w:t xml:space="preserve"> Al respecto</w:t>
      </w:r>
      <w:r w:rsidR="00837AA9" w:rsidRPr="00FE4B8A">
        <w:rPr>
          <w:rFonts w:ascii="Verdana" w:hAnsi="Verdana" w:cs="Arial"/>
          <w:sz w:val="20"/>
          <w:szCs w:val="20"/>
          <w:lang w:val="es-CO"/>
        </w:rPr>
        <w:t>,</w:t>
      </w:r>
      <w:r w:rsidR="00422A93" w:rsidRPr="00FE4B8A">
        <w:rPr>
          <w:rFonts w:ascii="Verdana" w:hAnsi="Verdana" w:cs="Arial"/>
          <w:sz w:val="20"/>
          <w:szCs w:val="20"/>
          <w:lang w:val="es-CO"/>
        </w:rPr>
        <w:t xml:space="preserve"> la Corte considera que</w:t>
      </w:r>
      <w:r w:rsidR="00837AA9" w:rsidRPr="00FE4B8A">
        <w:rPr>
          <w:rFonts w:ascii="Verdana" w:hAnsi="Verdana" w:cs="Arial"/>
          <w:sz w:val="20"/>
          <w:szCs w:val="20"/>
          <w:lang w:val="es-CO"/>
        </w:rPr>
        <w:t xml:space="preserve"> no es materia de interpretación de la Sentencia determinar el alcance</w:t>
      </w:r>
      <w:r w:rsidR="00F16B34" w:rsidRPr="00FE4B8A">
        <w:rPr>
          <w:rFonts w:ascii="Verdana" w:hAnsi="Verdana" w:cs="Arial"/>
          <w:sz w:val="20"/>
          <w:szCs w:val="20"/>
          <w:lang w:val="es-CO"/>
        </w:rPr>
        <w:t xml:space="preserve"> sobre las conclusiones contenidas en dicho informe,</w:t>
      </w:r>
      <w:r w:rsidR="00837AA9" w:rsidRPr="00FE4B8A">
        <w:rPr>
          <w:rFonts w:ascii="Verdana" w:hAnsi="Verdana" w:cs="Arial"/>
          <w:sz w:val="20"/>
          <w:szCs w:val="20"/>
          <w:lang w:val="es-CO"/>
        </w:rPr>
        <w:t xml:space="preserve"> </w:t>
      </w:r>
      <w:r w:rsidR="00B05D94" w:rsidRPr="00FE4B8A">
        <w:rPr>
          <w:rFonts w:ascii="Verdana" w:hAnsi="Verdana" w:cs="Arial"/>
          <w:sz w:val="20"/>
          <w:szCs w:val="20"/>
          <w:lang w:val="es-CO"/>
        </w:rPr>
        <w:t>pues</w:t>
      </w:r>
      <w:r w:rsidR="00837AA9" w:rsidRPr="00FE4B8A">
        <w:rPr>
          <w:rFonts w:ascii="Verdana" w:hAnsi="Verdana" w:cs="Arial"/>
          <w:sz w:val="20"/>
          <w:szCs w:val="20"/>
          <w:lang w:val="es-CO"/>
        </w:rPr>
        <w:t xml:space="preserve"> las mismas</w:t>
      </w:r>
      <w:r w:rsidR="00F16B34" w:rsidRPr="00FE4B8A">
        <w:rPr>
          <w:rFonts w:ascii="Verdana" w:hAnsi="Verdana" w:cs="Arial"/>
          <w:sz w:val="20"/>
          <w:szCs w:val="20"/>
          <w:lang w:val="es-CO"/>
        </w:rPr>
        <w:t xml:space="preserve"> ya fueron objeto de debate por las partes en las instancias procesales en sede interna, y abordadas </w:t>
      </w:r>
      <w:r w:rsidR="00422A93" w:rsidRPr="00FE4B8A">
        <w:rPr>
          <w:rFonts w:ascii="Verdana" w:hAnsi="Verdana" w:cs="Arial"/>
          <w:sz w:val="20"/>
          <w:szCs w:val="20"/>
          <w:lang w:val="es-CO"/>
        </w:rPr>
        <w:t xml:space="preserve">por la Corte </w:t>
      </w:r>
      <w:r w:rsidR="00F16B34" w:rsidRPr="00FE4B8A">
        <w:rPr>
          <w:rFonts w:ascii="Verdana" w:hAnsi="Verdana" w:cs="Arial"/>
          <w:sz w:val="20"/>
          <w:szCs w:val="20"/>
          <w:lang w:val="es-CO"/>
        </w:rPr>
        <w:t xml:space="preserve">en los párrafos 108 a 116 de la Sentencia. Por consiguiente, la Corte estima </w:t>
      </w:r>
      <w:r w:rsidR="004D5C13">
        <w:rPr>
          <w:rFonts w:ascii="Verdana" w:hAnsi="Verdana" w:cs="Arial"/>
          <w:sz w:val="20"/>
          <w:szCs w:val="20"/>
          <w:lang w:val="es-CO"/>
        </w:rPr>
        <w:t xml:space="preserve">que </w:t>
      </w:r>
      <w:r w:rsidR="00837AA9" w:rsidRPr="00FE4B8A">
        <w:rPr>
          <w:rFonts w:ascii="Verdana" w:hAnsi="Verdana"/>
          <w:sz w:val="20"/>
          <w:szCs w:val="20"/>
          <w:lang w:val="es-CO"/>
        </w:rPr>
        <w:t>dicha consulta</w:t>
      </w:r>
      <w:r w:rsidR="00F16B34" w:rsidRPr="00FE4B8A">
        <w:rPr>
          <w:rFonts w:ascii="Verdana" w:hAnsi="Verdana"/>
          <w:sz w:val="20"/>
          <w:szCs w:val="20"/>
          <w:lang w:val="es-CO"/>
        </w:rPr>
        <w:t xml:space="preserve"> desborda los supuestos de interpretación establecidos en el artículo 67 de la Convención, ya que no versa sobre el sentido o alcance del fallo, sino </w:t>
      </w:r>
      <w:r w:rsidR="000423C1">
        <w:rPr>
          <w:rFonts w:ascii="Verdana" w:hAnsi="Verdana"/>
          <w:sz w:val="20"/>
          <w:szCs w:val="20"/>
          <w:lang w:val="es-CO"/>
        </w:rPr>
        <w:t xml:space="preserve">que </w:t>
      </w:r>
      <w:r>
        <w:rPr>
          <w:rFonts w:ascii="Verdana" w:hAnsi="Verdana"/>
          <w:sz w:val="20"/>
          <w:szCs w:val="20"/>
          <w:lang w:val="es-CO"/>
        </w:rPr>
        <w:t>cuestiona un asunto que atañe al</w:t>
      </w:r>
      <w:r w:rsidR="00B05D94" w:rsidRPr="00FE4B8A">
        <w:rPr>
          <w:rFonts w:ascii="Verdana" w:hAnsi="Verdana"/>
          <w:sz w:val="20"/>
          <w:szCs w:val="20"/>
          <w:lang w:val="es-CO"/>
        </w:rPr>
        <w:t xml:space="preserve"> fondo</w:t>
      </w:r>
      <w:r w:rsidR="00F16B34" w:rsidRPr="00FE4B8A">
        <w:rPr>
          <w:rFonts w:ascii="Verdana" w:hAnsi="Verdana"/>
          <w:sz w:val="20"/>
          <w:szCs w:val="20"/>
          <w:lang w:val="es-CO"/>
        </w:rPr>
        <w:t>.</w:t>
      </w:r>
      <w:r w:rsidR="00837AA9" w:rsidRPr="00FE4B8A">
        <w:rPr>
          <w:rFonts w:ascii="Verdana" w:hAnsi="Verdana"/>
          <w:sz w:val="20"/>
          <w:szCs w:val="20"/>
          <w:lang w:val="es-CO"/>
        </w:rPr>
        <w:t xml:space="preserve"> En consecuencia, la Corte</w:t>
      </w:r>
      <w:r w:rsidR="00F16B34" w:rsidRPr="00FE4B8A">
        <w:rPr>
          <w:rFonts w:ascii="Verdana" w:hAnsi="Verdana"/>
          <w:sz w:val="20"/>
          <w:szCs w:val="20"/>
          <w:lang w:val="es-CO"/>
        </w:rPr>
        <w:t xml:space="preserve"> declara improcedente la solicitud de interpretación presentada por los representantes</w:t>
      </w:r>
      <w:r w:rsidR="00837AA9" w:rsidRPr="00FE4B8A">
        <w:rPr>
          <w:rFonts w:ascii="Verdana" w:hAnsi="Verdana"/>
          <w:sz w:val="20"/>
          <w:szCs w:val="20"/>
          <w:lang w:val="es-CO"/>
        </w:rPr>
        <w:t xml:space="preserve"> </w:t>
      </w:r>
      <w:r w:rsidR="00422A93" w:rsidRPr="00FE4B8A">
        <w:rPr>
          <w:rFonts w:ascii="Verdana" w:hAnsi="Verdana"/>
          <w:sz w:val="20"/>
          <w:szCs w:val="20"/>
          <w:lang w:val="es-CO"/>
        </w:rPr>
        <w:t>en dicho extremo</w:t>
      </w:r>
      <w:r w:rsidR="00F16B34" w:rsidRPr="00FE4B8A">
        <w:rPr>
          <w:rFonts w:ascii="Verdana" w:hAnsi="Verdana"/>
          <w:sz w:val="20"/>
          <w:szCs w:val="20"/>
          <w:lang w:val="es-CO"/>
        </w:rPr>
        <w:t>.</w:t>
      </w:r>
    </w:p>
    <w:p w14:paraId="396E2B90" w14:textId="77777777" w:rsidR="00CA10AA" w:rsidRDefault="00CA10AA" w:rsidP="00064C1E">
      <w:pPr>
        <w:tabs>
          <w:tab w:val="left" w:pos="567"/>
        </w:tabs>
        <w:autoSpaceDE w:val="0"/>
        <w:autoSpaceDN w:val="0"/>
        <w:adjustRightInd w:val="0"/>
        <w:spacing w:after="0" w:line="240" w:lineRule="auto"/>
        <w:jc w:val="both"/>
        <w:rPr>
          <w:rFonts w:ascii="Verdana" w:hAnsi="Verdana"/>
          <w:sz w:val="20"/>
          <w:szCs w:val="20"/>
          <w:lang w:val="es-ES_tradnl"/>
        </w:rPr>
      </w:pPr>
    </w:p>
    <w:p w14:paraId="5289FDB7" w14:textId="77777777" w:rsidR="009C3B55" w:rsidRPr="009C3B55" w:rsidRDefault="009C3B55" w:rsidP="009C3B55">
      <w:pPr>
        <w:pStyle w:val="Prrafodelista"/>
        <w:numPr>
          <w:ilvl w:val="0"/>
          <w:numId w:val="3"/>
        </w:numPr>
        <w:tabs>
          <w:tab w:val="left" w:pos="567"/>
        </w:tabs>
        <w:spacing w:after="0" w:line="240" w:lineRule="auto"/>
        <w:jc w:val="both"/>
        <w:rPr>
          <w:rFonts w:ascii="Verdana" w:eastAsia="Times" w:hAnsi="Verdana"/>
          <w:b/>
          <w:i/>
          <w:sz w:val="20"/>
          <w:szCs w:val="20"/>
        </w:rPr>
      </w:pPr>
      <w:r w:rsidRPr="009C3B55">
        <w:rPr>
          <w:rFonts w:ascii="Verdana" w:hAnsi="Verdana" w:cs="Verdana"/>
          <w:b/>
          <w:i/>
          <w:sz w:val="20"/>
          <w:szCs w:val="20"/>
          <w:lang w:val="es-ES_tradnl"/>
        </w:rPr>
        <w:t>L</w:t>
      </w:r>
      <w:r w:rsidRPr="009C3B55">
        <w:rPr>
          <w:rFonts w:ascii="Verdana" w:hAnsi="Verdana" w:cs="Verdana"/>
          <w:b/>
          <w:i/>
          <w:sz w:val="20"/>
          <w:szCs w:val="20"/>
          <w:lang w:val="es-PA"/>
        </w:rPr>
        <w:t xml:space="preserve">os alcances de la medida de reparación prevista en el apartado </w:t>
      </w:r>
      <w:r w:rsidR="00684687">
        <w:rPr>
          <w:rFonts w:ascii="Verdana" w:hAnsi="Verdana" w:cs="Verdana"/>
          <w:b/>
          <w:i/>
          <w:sz w:val="20"/>
          <w:szCs w:val="20"/>
          <w:lang w:val="es-PA"/>
        </w:rPr>
        <w:t>B.3</w:t>
      </w:r>
      <w:r w:rsidRPr="009C3B55">
        <w:rPr>
          <w:rFonts w:ascii="Verdana" w:eastAsia="Times" w:hAnsi="Verdana"/>
          <w:b/>
          <w:i/>
          <w:sz w:val="20"/>
          <w:szCs w:val="20"/>
        </w:rPr>
        <w:t xml:space="preserve"> </w:t>
      </w:r>
    </w:p>
    <w:p w14:paraId="12D73D7C" w14:textId="77777777" w:rsidR="009C3B55" w:rsidRPr="00EB2EE4" w:rsidRDefault="009C3B55" w:rsidP="009C3B55">
      <w:pPr>
        <w:tabs>
          <w:tab w:val="left" w:pos="567"/>
        </w:tabs>
        <w:spacing w:after="0" w:line="240" w:lineRule="auto"/>
        <w:jc w:val="both"/>
        <w:rPr>
          <w:rFonts w:ascii="Verdana" w:eastAsia="Times" w:hAnsi="Verdana"/>
          <w:sz w:val="20"/>
          <w:szCs w:val="20"/>
        </w:rPr>
      </w:pPr>
    </w:p>
    <w:p w14:paraId="665E7604" w14:textId="4AC7E1D0" w:rsidR="009C3B55" w:rsidRPr="00BE133F" w:rsidRDefault="008A6E29" w:rsidP="009C3B55">
      <w:pPr>
        <w:pStyle w:val="Ttulo1"/>
      </w:pPr>
      <w:r>
        <w:t>B</w:t>
      </w:r>
      <w:r w:rsidR="009C3B55" w:rsidRPr="00BE133F">
        <w:t xml:space="preserve">.1 </w:t>
      </w:r>
      <w:r w:rsidR="009C3B55">
        <w:t>Argumentos de las partes y</w:t>
      </w:r>
      <w:r w:rsidR="003829A1">
        <w:t xml:space="preserve"> observaciones </w:t>
      </w:r>
      <w:r w:rsidR="009C3B55">
        <w:t>de la Comisión</w:t>
      </w:r>
    </w:p>
    <w:p w14:paraId="50E26B97" w14:textId="77777777" w:rsidR="009C3B55" w:rsidRPr="009C3B55" w:rsidRDefault="009C3B55" w:rsidP="00064C1E">
      <w:pPr>
        <w:tabs>
          <w:tab w:val="left" w:pos="567"/>
        </w:tabs>
        <w:autoSpaceDE w:val="0"/>
        <w:autoSpaceDN w:val="0"/>
        <w:adjustRightInd w:val="0"/>
        <w:spacing w:after="0" w:line="240" w:lineRule="auto"/>
        <w:jc w:val="both"/>
        <w:rPr>
          <w:rFonts w:ascii="Verdana" w:hAnsi="Verdana"/>
          <w:sz w:val="20"/>
          <w:szCs w:val="20"/>
        </w:rPr>
      </w:pPr>
    </w:p>
    <w:p w14:paraId="19466E87" w14:textId="4CFB4FC1" w:rsidR="009C3B55" w:rsidRDefault="003829A1" w:rsidP="009C3B55">
      <w:pPr>
        <w:pStyle w:val="Prrafodelista2"/>
        <w:numPr>
          <w:ilvl w:val="0"/>
          <w:numId w:val="1"/>
        </w:numPr>
        <w:tabs>
          <w:tab w:val="left" w:pos="567"/>
          <w:tab w:val="left" w:pos="720"/>
          <w:tab w:val="num" w:pos="15467"/>
        </w:tabs>
        <w:contextualSpacing/>
        <w:jc w:val="both"/>
      </w:pPr>
      <w:r>
        <w:t xml:space="preserve">Los </w:t>
      </w:r>
      <w:r w:rsidRPr="003829A1">
        <w:rPr>
          <w:b/>
          <w:i/>
        </w:rPr>
        <w:t>representantes</w:t>
      </w:r>
      <w:r>
        <w:t xml:space="preserve"> solicitaron que la Corte se pronuncie sobre el sentido del párrafo 226 de la Sentencia respecto de la expresión “cualquier otro dato o documento necesario para ejecutar integralmente la sentencia emitida a su favor”.</w:t>
      </w:r>
      <w:r w:rsidR="00957A6F">
        <w:t xml:space="preserve"> En concreto, expresaron que dado que el párrafo 225 hace referencia a “beneficiarios de una sentencia judicial o decisión administrativa, ya sea en el marco de un proceso de amparo u cualquier otro recurso judicial o trámite administrativo contra la aplicación del Decreto 673”, solicit</w:t>
      </w:r>
      <w:r w:rsidR="006E412A">
        <w:t>aban</w:t>
      </w:r>
      <w:r w:rsidR="00957A6F">
        <w:t xml:space="preserve"> que se precise si con la expresión referida en el párrafo 226 la Corte </w:t>
      </w:r>
      <w:r w:rsidR="00430E8C">
        <w:t xml:space="preserve">Interamericana </w:t>
      </w:r>
      <w:r w:rsidR="00957A6F">
        <w:t xml:space="preserve">alude a su Sentencia de 21 de noviembre de 2019 o, en defecto, a las sentencias a las que </w:t>
      </w:r>
      <w:r w:rsidR="00182CB2">
        <w:t>aluden</w:t>
      </w:r>
      <w:r w:rsidR="00957A6F">
        <w:t xml:space="preserve"> los párrafos 224 y 225 de la misma Sentencia, o ambos tipos de sentencia.</w:t>
      </w:r>
      <w:r>
        <w:t xml:space="preserve"> En ese mismo sentido, solicitaron que la Corte precise si los cesantes y jubilados de la SUNAT que encaran “condiciones similares a las víctimas del presente caso”, pero que solo son beneficiarios de una decisión administrativa y no judicial, deben o no transitar previamente a la vía judicial en </w:t>
      </w:r>
      <w:proofErr w:type="spellStart"/>
      <w:r>
        <w:t>pos</w:t>
      </w:r>
      <w:proofErr w:type="spellEnd"/>
      <w:r>
        <w:t xml:space="preserve"> de una sentencia que ordene la restitución de su derecho antes de acogerse a lo establecido en el Punto Resolutivo </w:t>
      </w:r>
      <w:r w:rsidR="00997C81">
        <w:t>Octavo</w:t>
      </w:r>
      <w:r>
        <w:t xml:space="preserve"> de la Sentencia.</w:t>
      </w:r>
      <w:r w:rsidR="00D371DF">
        <w:t xml:space="preserve"> </w:t>
      </w:r>
    </w:p>
    <w:p w14:paraId="3E0AEF62" w14:textId="77777777" w:rsidR="003829A1" w:rsidRDefault="003829A1" w:rsidP="003829A1">
      <w:pPr>
        <w:pStyle w:val="Prrafodelista2"/>
        <w:tabs>
          <w:tab w:val="left" w:pos="567"/>
          <w:tab w:val="left" w:pos="720"/>
          <w:tab w:val="num" w:pos="15467"/>
        </w:tabs>
        <w:ind w:left="0"/>
        <w:contextualSpacing/>
        <w:jc w:val="both"/>
      </w:pPr>
    </w:p>
    <w:p w14:paraId="448E613C" w14:textId="72DC8BFC" w:rsidR="0044561B" w:rsidRDefault="003829A1" w:rsidP="0044561B">
      <w:pPr>
        <w:pStyle w:val="Prrafodelista2"/>
        <w:numPr>
          <w:ilvl w:val="0"/>
          <w:numId w:val="1"/>
        </w:numPr>
        <w:tabs>
          <w:tab w:val="left" w:pos="567"/>
          <w:tab w:val="left" w:pos="720"/>
          <w:tab w:val="num" w:pos="15467"/>
        </w:tabs>
        <w:autoSpaceDE w:val="0"/>
        <w:autoSpaceDN w:val="0"/>
        <w:adjustRightInd w:val="0"/>
        <w:contextualSpacing/>
        <w:jc w:val="both"/>
      </w:pPr>
      <w:r w:rsidRPr="007308D6">
        <w:t xml:space="preserve">El </w:t>
      </w:r>
      <w:r w:rsidRPr="007308D6">
        <w:rPr>
          <w:b/>
          <w:i/>
        </w:rPr>
        <w:t xml:space="preserve">Estado </w:t>
      </w:r>
      <w:r w:rsidR="00957A6F">
        <w:t xml:space="preserve">también </w:t>
      </w:r>
      <w:r w:rsidRPr="007308D6">
        <w:t xml:space="preserve">solicitó que la Corte interprete los párrafos 225, 226, y 227, así como el Punto Resolutivo </w:t>
      </w:r>
      <w:r w:rsidR="003E12BC">
        <w:t>Octavo</w:t>
      </w:r>
      <w:r w:rsidRPr="007308D6">
        <w:t xml:space="preserve"> de la Sentencia. </w:t>
      </w:r>
      <w:r w:rsidR="006E412A">
        <w:t>Con</w:t>
      </w:r>
      <w:r w:rsidR="006E412A" w:rsidRPr="007308D6">
        <w:t xml:space="preserve"> </w:t>
      </w:r>
      <w:r w:rsidRPr="007308D6">
        <w:t xml:space="preserve">relación a dicha solicitud, </w:t>
      </w:r>
      <w:r w:rsidR="00DF5520">
        <w:t>solicitó</w:t>
      </w:r>
      <w:r w:rsidRPr="007308D6">
        <w:t xml:space="preserve"> a la Corte que especifique el contenido de la Sentencia respecto al alcance, finalidad e implicancias que acarrearía el registro ordenado en el Punto Resolutivo </w:t>
      </w:r>
      <w:r w:rsidR="003E12BC">
        <w:t>Octavo</w:t>
      </w:r>
      <w:r w:rsidR="00497AD2" w:rsidRPr="007308D6">
        <w:t xml:space="preserve"> de la </w:t>
      </w:r>
      <w:r w:rsidR="00497AD2" w:rsidRPr="007308D6">
        <w:rPr>
          <w:rFonts w:eastAsiaTheme="minorHAnsi" w:cs="Arial"/>
        </w:rPr>
        <w:t xml:space="preserve">Sentencia, sobre todo respecto a las consecuencias no patrimoniales del registro, considerando las expectativas que </w:t>
      </w:r>
      <w:r w:rsidR="00497AD2" w:rsidRPr="007308D6">
        <w:rPr>
          <w:rFonts w:eastAsiaTheme="minorHAnsi" w:cs="Arial"/>
        </w:rPr>
        <w:lastRenderedPageBreak/>
        <w:t>se podrían generar en las personas.</w:t>
      </w:r>
      <w:r w:rsidRPr="007308D6">
        <w:t xml:space="preserve"> Las dudas del Estado se refieren fundamentalmente </w:t>
      </w:r>
      <w:r w:rsidR="007308D6">
        <w:t>a</w:t>
      </w:r>
      <w:r w:rsidRPr="007308D6">
        <w:t xml:space="preserve"> que la Sentencia no especifica expresamente la finalidad de la creación de dicho registro, lo cual podría acarrear consecuencias en el cumplimiento de la misma. </w:t>
      </w:r>
      <w:r w:rsidR="00293B55">
        <w:t>E</w:t>
      </w:r>
      <w:r w:rsidRPr="007308D6">
        <w:t xml:space="preserve">l Estado solicitó a la Corte que aclare que las personas inscritas en el registro nominal ordenado no podrían obtener </w:t>
      </w:r>
      <w:r w:rsidRPr="007308D6">
        <w:rPr>
          <w:i/>
        </w:rPr>
        <w:t xml:space="preserve">per se </w:t>
      </w:r>
      <w:r w:rsidRPr="007308D6">
        <w:t>ningún beneficio patrimonial a partir de su mera inscripción y</w:t>
      </w:r>
      <w:r w:rsidR="00A87A2A">
        <w:t>,</w:t>
      </w:r>
      <w:r w:rsidRPr="007308D6">
        <w:t xml:space="preserve"> por ende</w:t>
      </w:r>
      <w:r w:rsidR="00A87A2A">
        <w:t>,</w:t>
      </w:r>
      <w:r w:rsidRPr="007308D6">
        <w:t xml:space="preserve"> tampoco daría lugar a obligaciones patrimoniales para el Estado. En ese sentido, el Estado entiende que los únicos beneficiarios de la Sentencia </w:t>
      </w:r>
      <w:r w:rsidR="004D4BE9">
        <w:t xml:space="preserve">de la Corte Interamericana </w:t>
      </w:r>
      <w:r w:rsidRPr="007308D6">
        <w:t xml:space="preserve">son las 598 personas listadas como víctimas en el Anexo 2 de la </w:t>
      </w:r>
      <w:r w:rsidR="004D4BE9">
        <w:t>misma</w:t>
      </w:r>
      <w:r w:rsidR="007308D6" w:rsidRPr="007308D6">
        <w:t>.</w:t>
      </w:r>
      <w:r w:rsidR="007308D6">
        <w:t xml:space="preserve"> En el mismo sentido, el Estado solicitó que la Corte clarifique el alcance de las personas a las que se refiere el párrafo 225 de la Sentencia.</w:t>
      </w:r>
    </w:p>
    <w:p w14:paraId="25352473" w14:textId="77777777" w:rsidR="0044561B" w:rsidRDefault="0044561B" w:rsidP="0044561B">
      <w:pPr>
        <w:pStyle w:val="Prrafodelista2"/>
        <w:tabs>
          <w:tab w:val="left" w:pos="567"/>
          <w:tab w:val="left" w:pos="720"/>
          <w:tab w:val="num" w:pos="15467"/>
        </w:tabs>
        <w:autoSpaceDE w:val="0"/>
        <w:autoSpaceDN w:val="0"/>
        <w:adjustRightInd w:val="0"/>
        <w:ind w:left="0"/>
        <w:contextualSpacing/>
        <w:jc w:val="both"/>
      </w:pPr>
    </w:p>
    <w:p w14:paraId="02C4079A" w14:textId="43E102D3" w:rsidR="0044561B" w:rsidRDefault="0044561B" w:rsidP="0044561B">
      <w:pPr>
        <w:pStyle w:val="Prrafodelista2"/>
        <w:numPr>
          <w:ilvl w:val="0"/>
          <w:numId w:val="1"/>
        </w:numPr>
        <w:tabs>
          <w:tab w:val="left" w:pos="567"/>
          <w:tab w:val="left" w:pos="720"/>
          <w:tab w:val="num" w:pos="15467"/>
        </w:tabs>
        <w:autoSpaceDE w:val="0"/>
        <w:autoSpaceDN w:val="0"/>
        <w:adjustRightInd w:val="0"/>
        <w:contextualSpacing/>
        <w:jc w:val="both"/>
      </w:pPr>
      <w:r>
        <w:rPr>
          <w:rFonts w:eastAsia="Calibri" w:cs="Arial"/>
        </w:rPr>
        <w:t>Por otro lado, en relación con la misma medida de reparación, e</w:t>
      </w:r>
      <w:r w:rsidRPr="0044561B">
        <w:rPr>
          <w:rFonts w:eastAsia="Calibri" w:cs="Arial"/>
        </w:rPr>
        <w:t>l Estado</w:t>
      </w:r>
      <w:r w:rsidRPr="0044561B">
        <w:rPr>
          <w:rFonts w:eastAsia="Calibri" w:cs="Arial"/>
          <w:i/>
        </w:rPr>
        <w:t xml:space="preserve"> </w:t>
      </w:r>
      <w:r w:rsidRPr="0044561B">
        <w:rPr>
          <w:rFonts w:eastAsia="Calibri" w:cs="Arial"/>
        </w:rPr>
        <w:t>solicitó a la Corte que esclarezca si –tal como lo entiende el Estado- las personas que formen parte del registro ordenado por la Sentencia deberán contar con un pronunciamiento de la autoridad administrativa o judicial, en el cual se reconozca expresamente el cumplimiento de todos los requisitos legales para la obtención del derecho a la pensión. Al respecto</w:t>
      </w:r>
      <w:r w:rsidR="001A17D5">
        <w:rPr>
          <w:rFonts w:eastAsia="Calibri" w:cs="Arial"/>
        </w:rPr>
        <w:t>,</w:t>
      </w:r>
      <w:r w:rsidRPr="0044561B">
        <w:rPr>
          <w:rFonts w:eastAsia="Calibri" w:cs="Arial"/>
        </w:rPr>
        <w:t xml:space="preserve"> manifestó que entiende, </w:t>
      </w:r>
      <w:r w:rsidRPr="0044561B">
        <w:rPr>
          <w:rFonts w:eastAsiaTheme="minorHAnsi" w:cs="Arial"/>
        </w:rPr>
        <w:t xml:space="preserve">respecto al registro de </w:t>
      </w:r>
      <w:r w:rsidRPr="0044561B">
        <w:rPr>
          <w:rFonts w:eastAsiaTheme="minorHAnsi" w:cs="ArialMT"/>
        </w:rPr>
        <w:t>“</w:t>
      </w:r>
      <w:r w:rsidRPr="0044561B">
        <w:rPr>
          <w:rFonts w:eastAsiaTheme="minorHAnsi" w:cs="Arial"/>
          <w:iCs/>
        </w:rPr>
        <w:t>otras personas que, no siendo miembros de dicha asociación, sean cesantes o jubilados de la SUNAT, que enfrentan condiciones similares a las víctimas del presente caso</w:t>
      </w:r>
      <w:r w:rsidRPr="0044561B">
        <w:rPr>
          <w:rFonts w:eastAsiaTheme="minorHAnsi" w:cs="Arial-ItalicMT"/>
          <w:iCs/>
        </w:rPr>
        <w:t>”</w:t>
      </w:r>
      <w:r w:rsidRPr="0044561B">
        <w:rPr>
          <w:rFonts w:eastAsiaTheme="minorHAnsi" w:cs="Arial"/>
        </w:rPr>
        <w:t>, que</w:t>
      </w:r>
      <w:r w:rsidR="00293B55">
        <w:rPr>
          <w:rFonts w:eastAsiaTheme="minorHAnsi" w:cs="Arial"/>
        </w:rPr>
        <w:t xml:space="preserve"> esto</w:t>
      </w:r>
      <w:r w:rsidRPr="0044561B">
        <w:rPr>
          <w:rFonts w:eastAsiaTheme="minorHAnsi" w:cs="Arial"/>
        </w:rPr>
        <w:t xml:space="preserve"> implica que el registro comprendería beneficiarios/as de una sentencia judicial o decisión administrativa, en la cual la autoridad: i) declare inaplicable la Tercera Disposición Transitoria del Decreto Legislativo N</w:t>
      </w:r>
      <w:r w:rsidR="00F25FE6">
        <w:rPr>
          <w:rFonts w:eastAsiaTheme="minorHAnsi" w:cs="Arial"/>
        </w:rPr>
        <w:t>o.</w:t>
      </w:r>
      <w:r w:rsidRPr="0044561B">
        <w:rPr>
          <w:rFonts w:eastAsiaTheme="minorHAnsi" w:cs="Arial"/>
        </w:rPr>
        <w:t xml:space="preserve"> 673, </w:t>
      </w:r>
      <w:proofErr w:type="spellStart"/>
      <w:r w:rsidRPr="0044561B">
        <w:rPr>
          <w:rFonts w:eastAsiaTheme="minorHAnsi" w:cs="Arial"/>
        </w:rPr>
        <w:t>ii</w:t>
      </w:r>
      <w:proofErr w:type="spellEnd"/>
      <w:r w:rsidRPr="0044561B">
        <w:rPr>
          <w:rFonts w:eastAsiaTheme="minorHAnsi" w:cs="Arial"/>
        </w:rPr>
        <w:t xml:space="preserve">) reponga el derecho a percibir la pensión que les corresponda, nivelada con las remuneraciones pensionables de los servidores activos del sector público de la SUNAT, y, </w:t>
      </w:r>
      <w:proofErr w:type="spellStart"/>
      <w:r w:rsidRPr="0044561B">
        <w:rPr>
          <w:rFonts w:eastAsiaTheme="minorHAnsi" w:cs="Arial"/>
        </w:rPr>
        <w:t>iii</w:t>
      </w:r>
      <w:proofErr w:type="spellEnd"/>
      <w:r w:rsidRPr="0044561B">
        <w:rPr>
          <w:rFonts w:eastAsiaTheme="minorHAnsi" w:cs="Arial"/>
        </w:rPr>
        <w:t>) disponga el reintegro de los incrementos dejados de percibir como consecuencia de la aplicación de la mencionada Tercera Disposición Transitoria del Decreto Legislativo N</w:t>
      </w:r>
      <w:r w:rsidR="00F25FE6">
        <w:rPr>
          <w:rFonts w:eastAsiaTheme="minorHAnsi" w:cs="Arial"/>
        </w:rPr>
        <w:t>o.</w:t>
      </w:r>
      <w:r w:rsidRPr="0044561B">
        <w:rPr>
          <w:rFonts w:eastAsiaTheme="minorHAnsi" w:cs="Arial"/>
        </w:rPr>
        <w:t>673.</w:t>
      </w:r>
    </w:p>
    <w:p w14:paraId="35645EC9" w14:textId="77777777" w:rsidR="00D371DF" w:rsidRDefault="00D371DF" w:rsidP="00D371DF">
      <w:pPr>
        <w:pStyle w:val="Prrafodelista2"/>
        <w:tabs>
          <w:tab w:val="left" w:pos="567"/>
          <w:tab w:val="left" w:pos="720"/>
          <w:tab w:val="num" w:pos="15467"/>
        </w:tabs>
        <w:autoSpaceDE w:val="0"/>
        <w:autoSpaceDN w:val="0"/>
        <w:adjustRightInd w:val="0"/>
        <w:ind w:left="0"/>
        <w:contextualSpacing/>
        <w:jc w:val="both"/>
      </w:pPr>
    </w:p>
    <w:p w14:paraId="66951591" w14:textId="0EFC8D69" w:rsidR="00E80D9E" w:rsidRDefault="00D371DF" w:rsidP="00E80D9E">
      <w:pPr>
        <w:pStyle w:val="Prrafodelista2"/>
        <w:numPr>
          <w:ilvl w:val="0"/>
          <w:numId w:val="1"/>
        </w:numPr>
        <w:tabs>
          <w:tab w:val="left" w:pos="567"/>
          <w:tab w:val="left" w:pos="720"/>
          <w:tab w:val="num" w:pos="15467"/>
        </w:tabs>
        <w:autoSpaceDE w:val="0"/>
        <w:autoSpaceDN w:val="0"/>
        <w:adjustRightInd w:val="0"/>
        <w:contextualSpacing/>
        <w:jc w:val="both"/>
      </w:pPr>
      <w:r>
        <w:t xml:space="preserve">Respecto a las solicitudes del Estado, los </w:t>
      </w:r>
      <w:r w:rsidRPr="00D04D55">
        <w:rPr>
          <w:b/>
          <w:i/>
        </w:rPr>
        <w:t>representantes</w:t>
      </w:r>
      <w:r>
        <w:t xml:space="preserve"> manifestaron que </w:t>
      </w:r>
      <w:r w:rsidR="001A17D5">
        <w:t xml:space="preserve">es necesario que </w:t>
      </w:r>
      <w:r>
        <w:t xml:space="preserve">la Corte clarifique que el Punto Resolutivo </w:t>
      </w:r>
      <w:r w:rsidR="00293B55">
        <w:t>Octavo</w:t>
      </w:r>
      <w:r>
        <w:t xml:space="preserve"> de la Sentencia sí tiene efectos patrimoniales, pues de esta forma se permitiría que </w:t>
      </w:r>
      <w:r w:rsidR="00924C54">
        <w:t xml:space="preserve">a </w:t>
      </w:r>
      <w:r>
        <w:t>los 106 asociados de ANCEJUB-SUNAT no incluidos en el Anexo No. 2 de la Sentencia se les reconozca algún tipo de reparación en su condición de víctimas</w:t>
      </w:r>
      <w:r w:rsidR="00DF5520">
        <w:t>,</w:t>
      </w:r>
      <w:r>
        <w:t xml:space="preserve"> al haber sido privados de una pensión </w:t>
      </w:r>
      <w:proofErr w:type="spellStart"/>
      <w:r>
        <w:t>nivelable</w:t>
      </w:r>
      <w:proofErr w:type="spellEnd"/>
      <w:r>
        <w:t xml:space="preserve"> que legalmente les correspondía. Asimismo, respecto al “registro de otras personas que no siendo miembros de ANCEJUB sean cesantes o jubilados de la SUNAT” manifestaron que el sentido de la Sentencia es claro respecto a que el Estado debe crear un registro identificando otras personas que, no siendo miembros de ANCEJUB-SUNAT</w:t>
      </w:r>
      <w:r w:rsidR="00293B55">
        <w:t>,</w:t>
      </w:r>
      <w:r>
        <w:t xml:space="preserve"> sean cesantes o jubilados de la SUNAT que enfrentan situaciones similares a las víctimas del caso</w:t>
      </w:r>
      <w:r w:rsidR="00671D8E">
        <w:t xml:space="preserve">. De esta forma, manifestaron que lo que </w:t>
      </w:r>
      <w:r w:rsidR="0044561B">
        <w:t xml:space="preserve">el Estado le </w:t>
      </w:r>
      <w:r w:rsidR="00671D8E">
        <w:t>solicita a la Corte</w:t>
      </w:r>
      <w:r w:rsidR="003D41AA">
        <w:t xml:space="preserve"> constituye</w:t>
      </w:r>
      <w:r w:rsidR="00671D8E">
        <w:t xml:space="preserve"> </w:t>
      </w:r>
      <w:r w:rsidR="003D41AA">
        <w:t>“</w:t>
      </w:r>
      <w:r w:rsidR="00671D8E">
        <w:t>una versión tergiversada</w:t>
      </w:r>
      <w:r w:rsidR="003D41AA">
        <w:t>”</w:t>
      </w:r>
      <w:r w:rsidR="00671D8E">
        <w:t xml:space="preserve"> de lo que resolvió la Sala de Derecho Constitucional y Social de la Corte Suprema de Justicia en su sentencia de 25 de octubre de 1993.</w:t>
      </w:r>
    </w:p>
    <w:p w14:paraId="006956A3" w14:textId="77777777" w:rsidR="00E80D9E" w:rsidRPr="00E80D9E" w:rsidRDefault="00E80D9E" w:rsidP="00E80D9E">
      <w:pPr>
        <w:pStyle w:val="Prrafodelista2"/>
        <w:tabs>
          <w:tab w:val="left" w:pos="567"/>
          <w:tab w:val="left" w:pos="720"/>
        </w:tabs>
        <w:autoSpaceDE w:val="0"/>
        <w:autoSpaceDN w:val="0"/>
        <w:adjustRightInd w:val="0"/>
        <w:ind w:left="0"/>
        <w:contextualSpacing/>
        <w:jc w:val="both"/>
      </w:pPr>
    </w:p>
    <w:p w14:paraId="642D6176" w14:textId="24D43C1C" w:rsidR="000A021E" w:rsidRPr="00E80D9E" w:rsidRDefault="000A021E" w:rsidP="00E80D9E">
      <w:pPr>
        <w:pStyle w:val="Prrafodelista2"/>
        <w:numPr>
          <w:ilvl w:val="0"/>
          <w:numId w:val="1"/>
        </w:numPr>
        <w:tabs>
          <w:tab w:val="left" w:pos="567"/>
          <w:tab w:val="left" w:pos="720"/>
          <w:tab w:val="num" w:pos="15467"/>
        </w:tabs>
        <w:autoSpaceDE w:val="0"/>
        <w:autoSpaceDN w:val="0"/>
        <w:adjustRightInd w:val="0"/>
        <w:contextualSpacing/>
        <w:jc w:val="both"/>
      </w:pPr>
      <w:r w:rsidRPr="00E80D9E">
        <w:rPr>
          <w:rFonts w:eastAsiaTheme="minorHAnsi" w:cs="Arial"/>
        </w:rPr>
        <w:t xml:space="preserve">Respecto </w:t>
      </w:r>
      <w:r w:rsidR="00DF53A3" w:rsidRPr="00E80D9E">
        <w:rPr>
          <w:rFonts w:eastAsiaTheme="minorHAnsi" w:cs="Arial"/>
        </w:rPr>
        <w:t xml:space="preserve">de la solicitud de los representantes relativa a la interpretación del alcance </w:t>
      </w:r>
      <w:r w:rsidR="00293B55">
        <w:rPr>
          <w:rFonts w:eastAsiaTheme="minorHAnsi" w:cs="Arial"/>
        </w:rPr>
        <w:t>de</w:t>
      </w:r>
      <w:r w:rsidR="00E80D9E" w:rsidRPr="00E80D9E">
        <w:rPr>
          <w:rFonts w:eastAsiaTheme="minorHAnsi" w:cs="Arial"/>
        </w:rPr>
        <w:t xml:space="preserve"> la expresión </w:t>
      </w:r>
      <w:r w:rsidR="00E80D9E" w:rsidRPr="00E80D9E">
        <w:rPr>
          <w:rFonts w:eastAsiaTheme="minorHAnsi" w:cs="Arial-ItalicMT"/>
          <w:iCs/>
        </w:rPr>
        <w:t xml:space="preserve">“cualquier otro dato o documento necesario para </w:t>
      </w:r>
      <w:r w:rsidR="00E80D9E" w:rsidRPr="00E80D9E">
        <w:rPr>
          <w:rFonts w:eastAsiaTheme="minorHAnsi" w:cs="Arial"/>
          <w:iCs/>
        </w:rPr>
        <w:t xml:space="preserve">ejecutar integralmente </w:t>
      </w:r>
      <w:r w:rsidR="00E80D9E" w:rsidRPr="00E80D9E">
        <w:rPr>
          <w:rFonts w:eastAsiaTheme="minorHAnsi" w:cs="Arial"/>
          <w:bCs/>
          <w:iCs/>
        </w:rPr>
        <w:t>la sentencia emitida a su favor</w:t>
      </w:r>
      <w:r w:rsidR="00E80D9E" w:rsidRPr="00E80D9E">
        <w:rPr>
          <w:rFonts w:eastAsiaTheme="minorHAnsi" w:cs="Arial-ItalicMT"/>
          <w:iCs/>
        </w:rPr>
        <w:t>”</w:t>
      </w:r>
      <w:r w:rsidR="00293B55">
        <w:rPr>
          <w:rFonts w:eastAsiaTheme="minorHAnsi" w:cs="Arial-ItalicMT"/>
          <w:iCs/>
        </w:rPr>
        <w:t xml:space="preserve"> prevista en el párrafo 226</w:t>
      </w:r>
      <w:r w:rsidRPr="00E80D9E">
        <w:rPr>
          <w:rFonts w:eastAsiaTheme="minorHAnsi" w:cs="Arial"/>
        </w:rPr>
        <w:t xml:space="preserve">, el </w:t>
      </w:r>
      <w:r w:rsidRPr="00E80D9E">
        <w:rPr>
          <w:rFonts w:eastAsiaTheme="minorHAnsi" w:cs="Arial"/>
          <w:b/>
          <w:i/>
        </w:rPr>
        <w:t>Estado</w:t>
      </w:r>
      <w:r w:rsidRPr="00E80D9E">
        <w:rPr>
          <w:rFonts w:eastAsiaTheme="minorHAnsi" w:cs="Arial"/>
        </w:rPr>
        <w:t xml:space="preserve"> </w:t>
      </w:r>
      <w:r w:rsidR="00DF53A3" w:rsidRPr="00E80D9E">
        <w:rPr>
          <w:rFonts w:eastAsiaTheme="minorHAnsi" w:cs="Arial"/>
        </w:rPr>
        <w:t>sostuvo que resulta</w:t>
      </w:r>
      <w:r w:rsidRPr="00E80D9E">
        <w:rPr>
          <w:rFonts w:eastAsiaTheme="minorHAnsi" w:cs="Arial"/>
        </w:rPr>
        <w:t xml:space="preserve"> claro que la </w:t>
      </w:r>
      <w:r w:rsidR="00DF53A3" w:rsidRPr="00E80D9E">
        <w:rPr>
          <w:rFonts w:eastAsiaTheme="minorHAnsi" w:cs="Arial"/>
        </w:rPr>
        <w:t>Sentencia</w:t>
      </w:r>
      <w:r w:rsidRPr="00E80D9E">
        <w:rPr>
          <w:rFonts w:eastAsiaTheme="minorHAnsi" w:cs="Arial"/>
        </w:rPr>
        <w:t xml:space="preserve"> se refiere a</w:t>
      </w:r>
      <w:r w:rsidR="00DF53A3" w:rsidRPr="00E80D9E">
        <w:rPr>
          <w:rFonts w:eastAsiaTheme="minorHAnsi" w:cs="Arial"/>
        </w:rPr>
        <w:t xml:space="preserve"> </w:t>
      </w:r>
      <w:r w:rsidRPr="00E80D9E">
        <w:rPr>
          <w:rFonts w:eastAsiaTheme="minorHAnsi" w:cs="Arial"/>
        </w:rPr>
        <w:t xml:space="preserve">otras sentencias obtenidas en el fuero interno por otros miembros de </w:t>
      </w:r>
      <w:r w:rsidR="00997C81">
        <w:rPr>
          <w:rFonts w:eastAsiaTheme="minorHAnsi" w:cs="Arial"/>
        </w:rPr>
        <w:t>ANCEJUB</w:t>
      </w:r>
      <w:r w:rsidRPr="00E80D9E">
        <w:rPr>
          <w:rFonts w:eastAsiaTheme="minorHAnsi" w:cs="Arial"/>
        </w:rPr>
        <w:t xml:space="preserve"> u otras</w:t>
      </w:r>
      <w:r w:rsidR="00DF53A3" w:rsidRPr="00E80D9E">
        <w:rPr>
          <w:rFonts w:eastAsiaTheme="minorHAnsi" w:cs="Arial"/>
        </w:rPr>
        <w:t xml:space="preserve"> </w:t>
      </w:r>
      <w:r w:rsidRPr="00E80D9E">
        <w:rPr>
          <w:rFonts w:eastAsiaTheme="minorHAnsi" w:cs="Arial"/>
        </w:rPr>
        <w:t>personas, que no siendo miembros de dicha asociación, sean cesantes o jubilados de la</w:t>
      </w:r>
      <w:r w:rsidR="00DF53A3" w:rsidRPr="00E80D9E">
        <w:rPr>
          <w:rFonts w:eastAsiaTheme="minorHAnsi" w:cs="Arial"/>
        </w:rPr>
        <w:t xml:space="preserve"> SUNAT</w:t>
      </w:r>
      <w:r w:rsidRPr="00E80D9E">
        <w:rPr>
          <w:rFonts w:eastAsiaTheme="minorHAnsi" w:cs="Arial"/>
        </w:rPr>
        <w:t>, ya que dichas personas no</w:t>
      </w:r>
      <w:r w:rsidR="00DF53A3" w:rsidRPr="00E80D9E">
        <w:rPr>
          <w:rFonts w:eastAsiaTheme="minorHAnsi" w:cs="Arial"/>
        </w:rPr>
        <w:t xml:space="preserve"> </w:t>
      </w:r>
      <w:r w:rsidRPr="00E80D9E">
        <w:rPr>
          <w:rFonts w:eastAsiaTheme="minorHAnsi" w:cs="Arial"/>
        </w:rPr>
        <w:t>resultarían beneficiarias de la Sentencia de 21 de noviembre de 2019. Asimismo, el</w:t>
      </w:r>
      <w:r w:rsidR="00DF53A3" w:rsidRPr="00E80D9E">
        <w:rPr>
          <w:rFonts w:eastAsiaTheme="minorHAnsi" w:cs="Arial"/>
        </w:rPr>
        <w:t xml:space="preserve"> </w:t>
      </w:r>
      <w:r w:rsidRPr="00E80D9E">
        <w:rPr>
          <w:rFonts w:eastAsiaTheme="minorHAnsi" w:cs="Arial"/>
        </w:rPr>
        <w:t>Estado peruano</w:t>
      </w:r>
      <w:r w:rsidR="00293B55">
        <w:rPr>
          <w:rFonts w:eastAsiaTheme="minorHAnsi" w:cs="Arial"/>
        </w:rPr>
        <w:t xml:space="preserve"> entiende que</w:t>
      </w:r>
      <w:r w:rsidR="00C73C6B">
        <w:rPr>
          <w:rFonts w:eastAsiaTheme="minorHAnsi" w:cs="Arial"/>
        </w:rPr>
        <w:t>,</w:t>
      </w:r>
      <w:r w:rsidR="00293B55">
        <w:rPr>
          <w:rFonts w:eastAsiaTheme="minorHAnsi" w:cs="Arial"/>
        </w:rPr>
        <w:t xml:space="preserve"> para acogerse al Punto Resolutivo Octavo</w:t>
      </w:r>
      <w:r w:rsidRPr="00E80D9E">
        <w:rPr>
          <w:rFonts w:eastAsiaTheme="minorHAnsi" w:cs="Arial"/>
        </w:rPr>
        <w:t>, los cesantes y jubilados</w:t>
      </w:r>
      <w:r w:rsidR="00DF53A3" w:rsidRPr="00E80D9E">
        <w:rPr>
          <w:rFonts w:eastAsiaTheme="minorHAnsi" w:cs="Arial"/>
        </w:rPr>
        <w:t xml:space="preserve"> </w:t>
      </w:r>
      <w:r w:rsidRPr="00E80D9E">
        <w:rPr>
          <w:rFonts w:eastAsiaTheme="minorHAnsi" w:cs="Arial"/>
        </w:rPr>
        <w:t xml:space="preserve">de la </w:t>
      </w:r>
      <w:r w:rsidR="00293B55">
        <w:rPr>
          <w:rFonts w:eastAsiaTheme="minorHAnsi" w:cs="Arial"/>
        </w:rPr>
        <w:t>SUNAT</w:t>
      </w:r>
      <w:r w:rsidRPr="00E80D9E">
        <w:rPr>
          <w:rFonts w:eastAsiaTheme="minorHAnsi" w:cs="Arial"/>
        </w:rPr>
        <w:t xml:space="preserve"> que cuentan con una</w:t>
      </w:r>
      <w:r w:rsidR="00DF53A3" w:rsidRPr="00E80D9E">
        <w:rPr>
          <w:rFonts w:eastAsiaTheme="minorHAnsi" w:cs="Arial"/>
        </w:rPr>
        <w:t xml:space="preserve"> </w:t>
      </w:r>
      <w:r w:rsidRPr="00E80D9E">
        <w:rPr>
          <w:rFonts w:eastAsiaTheme="minorHAnsi" w:cs="Arial"/>
        </w:rPr>
        <w:t>resolución administrativa, deberían ceñirse al ordenamiento jurídico peruano, ya que dicha</w:t>
      </w:r>
      <w:r w:rsidR="00DF53A3" w:rsidRPr="00E80D9E">
        <w:rPr>
          <w:rFonts w:eastAsiaTheme="minorHAnsi" w:cs="Arial"/>
        </w:rPr>
        <w:t xml:space="preserve"> </w:t>
      </w:r>
      <w:r w:rsidRPr="00E80D9E">
        <w:rPr>
          <w:rFonts w:eastAsiaTheme="minorHAnsi" w:cs="Arial"/>
        </w:rPr>
        <w:t>decisión, podría ser cuestionada en la vía judicial. Por ello, sobre este extremo, el Estado</w:t>
      </w:r>
      <w:r w:rsidR="00E80D9E" w:rsidRPr="00E80D9E">
        <w:rPr>
          <w:rFonts w:eastAsiaTheme="minorHAnsi" w:cs="Arial"/>
        </w:rPr>
        <w:t xml:space="preserve"> peruano también consideró</w:t>
      </w:r>
      <w:r w:rsidRPr="00E80D9E">
        <w:rPr>
          <w:rFonts w:eastAsiaTheme="minorHAnsi" w:cs="Arial"/>
        </w:rPr>
        <w:t xml:space="preserve"> que corresponde se declare improcedente la solicitud de</w:t>
      </w:r>
      <w:r w:rsidR="00E80D9E" w:rsidRPr="00E80D9E">
        <w:rPr>
          <w:rFonts w:eastAsiaTheme="minorHAnsi" w:cs="Arial"/>
        </w:rPr>
        <w:t xml:space="preserve"> </w:t>
      </w:r>
      <w:r w:rsidRPr="00E80D9E">
        <w:rPr>
          <w:rFonts w:eastAsiaTheme="minorHAnsi" w:cs="Arial"/>
        </w:rPr>
        <w:t>interpretación de los representantes.</w:t>
      </w:r>
    </w:p>
    <w:p w14:paraId="3C00D931" w14:textId="77777777" w:rsidR="00684687" w:rsidRPr="00684687" w:rsidRDefault="00684687" w:rsidP="00684687">
      <w:pPr>
        <w:pStyle w:val="Prrafodelista2"/>
        <w:tabs>
          <w:tab w:val="left" w:pos="567"/>
          <w:tab w:val="left" w:pos="720"/>
        </w:tabs>
        <w:autoSpaceDE w:val="0"/>
        <w:autoSpaceDN w:val="0"/>
        <w:adjustRightInd w:val="0"/>
        <w:ind w:left="0"/>
        <w:contextualSpacing/>
        <w:jc w:val="both"/>
      </w:pPr>
    </w:p>
    <w:p w14:paraId="0798EF31" w14:textId="370F58DA" w:rsidR="005939E6" w:rsidRPr="00684687" w:rsidRDefault="00684687" w:rsidP="00684687">
      <w:pPr>
        <w:pStyle w:val="Prrafodelista2"/>
        <w:numPr>
          <w:ilvl w:val="0"/>
          <w:numId w:val="1"/>
        </w:numPr>
        <w:tabs>
          <w:tab w:val="left" w:pos="567"/>
          <w:tab w:val="left" w:pos="720"/>
          <w:tab w:val="num" w:pos="15467"/>
        </w:tabs>
        <w:autoSpaceDE w:val="0"/>
        <w:autoSpaceDN w:val="0"/>
        <w:adjustRightInd w:val="0"/>
        <w:contextualSpacing/>
        <w:jc w:val="both"/>
      </w:pPr>
      <w:r w:rsidRPr="00684687">
        <w:rPr>
          <w:rFonts w:eastAsiaTheme="minorHAnsi" w:cs="Cambria"/>
        </w:rPr>
        <w:lastRenderedPageBreak/>
        <w:t xml:space="preserve">La </w:t>
      </w:r>
      <w:r w:rsidRPr="00684687">
        <w:rPr>
          <w:rFonts w:eastAsiaTheme="minorHAnsi" w:cs="Cambria"/>
          <w:b/>
          <w:i/>
        </w:rPr>
        <w:t>Comisión</w:t>
      </w:r>
      <w:r w:rsidRPr="00684687">
        <w:rPr>
          <w:rFonts w:eastAsiaTheme="minorHAnsi" w:cs="Cambria"/>
        </w:rPr>
        <w:t xml:space="preserve"> observó que los representantes se refirieron al alcance del párrafo 226 en relación con el Punto Resolutivo </w:t>
      </w:r>
      <w:r w:rsidR="00293B55">
        <w:rPr>
          <w:rFonts w:eastAsiaTheme="minorHAnsi" w:cs="Cambria"/>
        </w:rPr>
        <w:t>Octavo de la S</w:t>
      </w:r>
      <w:r w:rsidRPr="00684687">
        <w:rPr>
          <w:rFonts w:eastAsiaTheme="minorHAnsi" w:cs="Cambria"/>
        </w:rPr>
        <w:t xml:space="preserve">entencia de la Corte. La Comisión coincidió con la solicitud de los representantes a efectos de aclarar qué personas podrían inscribirse en el </w:t>
      </w:r>
      <w:r w:rsidR="00195B27">
        <w:rPr>
          <w:rFonts w:eastAsiaTheme="minorHAnsi" w:cs="Cambria"/>
        </w:rPr>
        <w:t>r</w:t>
      </w:r>
      <w:r w:rsidRPr="00684687">
        <w:rPr>
          <w:rFonts w:eastAsiaTheme="minorHAnsi" w:cs="Cambria"/>
        </w:rPr>
        <w:t xml:space="preserve">egistro a ser creado por el Estado. Por otro lado, respecto de la </w:t>
      </w:r>
      <w:r>
        <w:rPr>
          <w:rFonts w:eastAsiaTheme="minorHAnsi" w:cs="Cambria"/>
        </w:rPr>
        <w:t>solicitud</w:t>
      </w:r>
      <w:r w:rsidRPr="00684687">
        <w:rPr>
          <w:rFonts w:eastAsiaTheme="minorHAnsi" w:cs="Cambria"/>
        </w:rPr>
        <w:t xml:space="preserve"> del Estado,</w:t>
      </w:r>
      <w:r>
        <w:rPr>
          <w:rFonts w:eastAsiaTheme="minorHAnsi" w:cs="Cambria"/>
        </w:rPr>
        <w:t xml:space="preserve"> la Comisión</w:t>
      </w:r>
      <w:r w:rsidRPr="00684687">
        <w:rPr>
          <w:rFonts w:eastAsiaTheme="minorHAnsi" w:cs="Cambria"/>
        </w:rPr>
        <w:t xml:space="preserve"> </w:t>
      </w:r>
      <w:r>
        <w:rPr>
          <w:rFonts w:eastAsiaTheme="minorHAnsi" w:cs="Cambria"/>
        </w:rPr>
        <w:t>entendió</w:t>
      </w:r>
      <w:r w:rsidRPr="00684687">
        <w:rPr>
          <w:rFonts w:eastAsiaTheme="minorHAnsi" w:cs="Cambria"/>
        </w:rPr>
        <w:t xml:space="preserve"> que el objetivo de dicho registro </w:t>
      </w:r>
      <w:r>
        <w:rPr>
          <w:rFonts w:eastAsiaTheme="minorHAnsi" w:cs="Cambria"/>
        </w:rPr>
        <w:t>es</w:t>
      </w:r>
      <w:r w:rsidRPr="00684687">
        <w:rPr>
          <w:rFonts w:eastAsiaTheme="minorHAnsi" w:cs="Cambria"/>
        </w:rPr>
        <w:t xml:space="preserve"> identificar a todas las personas que a la fecha no han recibido el pago de derechos pensionarios por la falta de ejecución de una decisión interna. Ello a efectos de que puedan recibir dichos pagos que les corres</w:t>
      </w:r>
      <w:r>
        <w:rPr>
          <w:rFonts w:eastAsiaTheme="minorHAnsi" w:cs="Cambria"/>
        </w:rPr>
        <w:t>ponden. En consecuencia, la Comisión</w:t>
      </w:r>
      <w:r w:rsidRPr="00684687">
        <w:rPr>
          <w:rFonts w:eastAsiaTheme="minorHAnsi" w:cs="Cambria"/>
        </w:rPr>
        <w:t xml:space="preserve"> </w:t>
      </w:r>
      <w:r>
        <w:rPr>
          <w:rFonts w:eastAsiaTheme="minorHAnsi" w:cs="Cambria"/>
        </w:rPr>
        <w:t>consideró</w:t>
      </w:r>
      <w:r w:rsidRPr="00684687">
        <w:rPr>
          <w:rFonts w:eastAsiaTheme="minorHAnsi" w:cs="Cambria"/>
        </w:rPr>
        <w:t xml:space="preserve"> que el registro sí tendría un efecto patrimonial pues suponer lo contrar</w:t>
      </w:r>
      <w:r w:rsidR="00EE2CEA">
        <w:rPr>
          <w:rFonts w:eastAsiaTheme="minorHAnsi" w:cs="Cambria"/>
        </w:rPr>
        <w:t>io</w:t>
      </w:r>
      <w:r w:rsidRPr="00684687">
        <w:rPr>
          <w:rFonts w:eastAsiaTheme="minorHAnsi" w:cs="Cambria"/>
        </w:rPr>
        <w:t xml:space="preserve"> implicaría denegar la propia naturaleza reparadora de dicho mecanismo. Adicionalmente, la Comisión resalta que dicho registro guarda relación con la solicitud de los representantes sobre la cantidad de víctimas en la sentencia. Ello a efectos de determinar qué personas tendrían que formar parte de dicho registro.</w:t>
      </w:r>
    </w:p>
    <w:p w14:paraId="111CDBBB" w14:textId="77777777" w:rsidR="009C3B55" w:rsidRDefault="009C3B55" w:rsidP="00064C1E">
      <w:pPr>
        <w:tabs>
          <w:tab w:val="left" w:pos="567"/>
        </w:tabs>
        <w:autoSpaceDE w:val="0"/>
        <w:autoSpaceDN w:val="0"/>
        <w:adjustRightInd w:val="0"/>
        <w:spacing w:after="0" w:line="240" w:lineRule="auto"/>
        <w:jc w:val="both"/>
        <w:rPr>
          <w:rFonts w:ascii="Verdana" w:hAnsi="Verdana"/>
          <w:sz w:val="20"/>
          <w:szCs w:val="20"/>
          <w:lang w:val="es-ES_tradnl"/>
        </w:rPr>
      </w:pPr>
    </w:p>
    <w:p w14:paraId="1B265FDD" w14:textId="61699475" w:rsidR="00BF1334" w:rsidRPr="00A9351C" w:rsidRDefault="008A6E29" w:rsidP="00BF1334">
      <w:pPr>
        <w:tabs>
          <w:tab w:val="left" w:pos="567"/>
        </w:tabs>
        <w:spacing w:after="0" w:line="240" w:lineRule="auto"/>
        <w:ind w:left="720"/>
        <w:jc w:val="both"/>
        <w:rPr>
          <w:rFonts w:ascii="Verdana" w:eastAsia="Times" w:hAnsi="Verdana"/>
          <w:i/>
          <w:sz w:val="20"/>
          <w:szCs w:val="20"/>
        </w:rPr>
      </w:pPr>
      <w:r>
        <w:rPr>
          <w:rFonts w:ascii="Verdana" w:eastAsia="Times" w:hAnsi="Verdana"/>
          <w:i/>
          <w:sz w:val="20"/>
          <w:szCs w:val="20"/>
        </w:rPr>
        <w:t>B</w:t>
      </w:r>
      <w:r w:rsidR="00BF1334" w:rsidRPr="00A9351C">
        <w:rPr>
          <w:rFonts w:ascii="Verdana" w:eastAsia="Times" w:hAnsi="Verdana"/>
          <w:i/>
          <w:sz w:val="20"/>
          <w:szCs w:val="20"/>
        </w:rPr>
        <w:t>.2 Consideraciones de la Corte</w:t>
      </w:r>
    </w:p>
    <w:p w14:paraId="2A386D57" w14:textId="77777777" w:rsidR="009C3B55" w:rsidRPr="00A9351C" w:rsidRDefault="009C3B55" w:rsidP="00064C1E">
      <w:pPr>
        <w:tabs>
          <w:tab w:val="left" w:pos="567"/>
        </w:tabs>
        <w:autoSpaceDE w:val="0"/>
        <w:autoSpaceDN w:val="0"/>
        <w:adjustRightInd w:val="0"/>
        <w:spacing w:after="0" w:line="240" w:lineRule="auto"/>
        <w:jc w:val="both"/>
        <w:rPr>
          <w:rFonts w:ascii="Verdana" w:hAnsi="Verdana"/>
          <w:sz w:val="20"/>
          <w:szCs w:val="20"/>
          <w:lang w:val="es-ES_tradnl"/>
        </w:rPr>
      </w:pPr>
    </w:p>
    <w:p w14:paraId="51C76418" w14:textId="77777777" w:rsidR="00BF1334" w:rsidRPr="00A9351C" w:rsidRDefault="00BF1334" w:rsidP="00BF1334">
      <w:pPr>
        <w:pStyle w:val="Prrafodelista"/>
        <w:numPr>
          <w:ilvl w:val="0"/>
          <w:numId w:val="1"/>
        </w:numPr>
        <w:tabs>
          <w:tab w:val="left" w:pos="567"/>
        </w:tabs>
        <w:spacing w:after="0" w:line="240" w:lineRule="auto"/>
        <w:jc w:val="both"/>
        <w:rPr>
          <w:rFonts w:ascii="Verdana" w:eastAsia="Times" w:hAnsi="Verdana"/>
          <w:sz w:val="20"/>
          <w:szCs w:val="20"/>
        </w:rPr>
      </w:pPr>
      <w:r w:rsidRPr="00A9351C">
        <w:rPr>
          <w:rFonts w:ascii="Verdana" w:eastAsia="Times" w:hAnsi="Verdana"/>
          <w:sz w:val="20"/>
          <w:szCs w:val="20"/>
        </w:rPr>
        <w:t xml:space="preserve">La Corte </w:t>
      </w:r>
      <w:r w:rsidR="00D0414B" w:rsidRPr="00A9351C">
        <w:rPr>
          <w:rFonts w:ascii="Verdana" w:eastAsia="Times" w:hAnsi="Verdana"/>
          <w:sz w:val="20"/>
          <w:szCs w:val="20"/>
        </w:rPr>
        <w:t>reitera</w:t>
      </w:r>
      <w:r w:rsidRPr="00A9351C">
        <w:rPr>
          <w:rFonts w:ascii="Verdana" w:eastAsia="Times" w:hAnsi="Verdana"/>
          <w:sz w:val="20"/>
          <w:szCs w:val="20"/>
        </w:rPr>
        <w:t xml:space="preserve"> lo establecido en </w:t>
      </w:r>
      <w:r w:rsidR="00A9351C" w:rsidRPr="00A9351C">
        <w:rPr>
          <w:rFonts w:ascii="Verdana" w:eastAsia="Times" w:hAnsi="Verdana"/>
          <w:sz w:val="20"/>
          <w:szCs w:val="20"/>
        </w:rPr>
        <w:t>los párrafos</w:t>
      </w:r>
      <w:r w:rsidR="00A9351C">
        <w:rPr>
          <w:rFonts w:ascii="Verdana" w:eastAsia="Times" w:hAnsi="Verdana"/>
          <w:sz w:val="20"/>
          <w:szCs w:val="20"/>
        </w:rPr>
        <w:t xml:space="preserve"> 224 a 226 de la Sentencia y en</w:t>
      </w:r>
      <w:r w:rsidR="001F0C47">
        <w:rPr>
          <w:rFonts w:ascii="Verdana" w:eastAsia="Times" w:hAnsi="Verdana"/>
          <w:sz w:val="20"/>
          <w:szCs w:val="20"/>
        </w:rPr>
        <w:t xml:space="preserve"> el</w:t>
      </w:r>
      <w:r w:rsidR="00A9351C">
        <w:rPr>
          <w:rFonts w:ascii="Verdana" w:eastAsia="Times" w:hAnsi="Verdana"/>
          <w:sz w:val="20"/>
          <w:szCs w:val="20"/>
        </w:rPr>
        <w:t xml:space="preserve"> Punto Resolutivo Octavo</w:t>
      </w:r>
      <w:r w:rsidRPr="00A9351C">
        <w:rPr>
          <w:rFonts w:ascii="Verdana" w:eastAsia="Times" w:hAnsi="Verdana"/>
          <w:sz w:val="20"/>
          <w:szCs w:val="20"/>
        </w:rPr>
        <w:t>:</w:t>
      </w:r>
    </w:p>
    <w:p w14:paraId="6957BD1D" w14:textId="77777777" w:rsidR="00BF1334" w:rsidRPr="009235CB" w:rsidRDefault="00BF1334" w:rsidP="00BF1334">
      <w:pPr>
        <w:tabs>
          <w:tab w:val="left" w:pos="567"/>
        </w:tabs>
        <w:spacing w:after="0" w:line="240" w:lineRule="auto"/>
        <w:jc w:val="both"/>
        <w:rPr>
          <w:rFonts w:ascii="Verdana" w:eastAsia="Times" w:hAnsi="Verdana"/>
          <w:sz w:val="18"/>
          <w:szCs w:val="18"/>
          <w:highlight w:val="yellow"/>
        </w:rPr>
      </w:pPr>
    </w:p>
    <w:p w14:paraId="65FEFDEA" w14:textId="77777777" w:rsidR="00A9351C" w:rsidRPr="00A9351C" w:rsidRDefault="00A9351C" w:rsidP="00A9351C">
      <w:pPr>
        <w:pStyle w:val="Prrafodelista"/>
        <w:spacing w:after="0" w:line="240" w:lineRule="auto"/>
        <w:ind w:right="968"/>
        <w:jc w:val="both"/>
        <w:rPr>
          <w:rFonts w:ascii="Verdana" w:hAnsi="Verdana"/>
          <w:sz w:val="18"/>
          <w:szCs w:val="18"/>
          <w:lang w:val="es-DO"/>
        </w:rPr>
      </w:pPr>
      <w:r w:rsidRPr="00A9351C">
        <w:rPr>
          <w:rFonts w:ascii="Verdana" w:hAnsi="Verdana"/>
          <w:sz w:val="18"/>
          <w:szCs w:val="18"/>
        </w:rPr>
        <w:t xml:space="preserve">224. En el presente caso, la Corte ordenó una medida de restitución en virtud de las violaciones a los derechos humanos declaradas en la presente sentencia. No obstante, en razón de lo alegado por la Comisión y los representantes, el Tribunal advierte que otros miembros de ANCEJUB-SUNAT pueden encontrarse en situaciones similares a las analizadas en el presente caso, dada la posible falta de ejecución de sentencias judiciales en cuanto a la nivelación de sus pensiones y al pago de los reintegros que hayan dejado de percibir por la aplicación del Decreto 673. La Corte destaca que en aquellos casos donde existan violaciones a las pensiones de grupos vulnerables, es necesario ordenar garantías de no repetición. </w:t>
      </w:r>
    </w:p>
    <w:p w14:paraId="025FE7EF" w14:textId="77777777" w:rsidR="00A9351C" w:rsidRPr="00A9351C" w:rsidRDefault="00A9351C" w:rsidP="00A9351C">
      <w:pPr>
        <w:pStyle w:val="Prrafodelista"/>
        <w:ind w:right="968"/>
        <w:rPr>
          <w:rFonts w:ascii="Verdana" w:hAnsi="Verdana"/>
          <w:sz w:val="18"/>
          <w:szCs w:val="18"/>
        </w:rPr>
      </w:pPr>
    </w:p>
    <w:p w14:paraId="34515AD8" w14:textId="77777777" w:rsidR="00A9351C" w:rsidRPr="00A9351C" w:rsidRDefault="00A9351C" w:rsidP="00A9351C">
      <w:pPr>
        <w:pStyle w:val="Prrafodelista"/>
        <w:spacing w:after="0" w:line="240" w:lineRule="auto"/>
        <w:ind w:right="968"/>
        <w:jc w:val="both"/>
        <w:rPr>
          <w:rFonts w:ascii="Verdana" w:hAnsi="Verdana"/>
          <w:sz w:val="18"/>
          <w:szCs w:val="18"/>
        </w:rPr>
      </w:pPr>
      <w:r w:rsidRPr="00A9351C">
        <w:rPr>
          <w:rFonts w:ascii="Verdana" w:hAnsi="Verdana"/>
          <w:sz w:val="18"/>
          <w:szCs w:val="18"/>
        </w:rPr>
        <w:t xml:space="preserve">225. En virtud de ello, como garantía de no repetición, el Tribunal considera conveniente ordenar al Estado la creación de un registro que identifique: a) otros integrantes de ANCEJUB-SUNAT que no figuran como víctimas en este caso, y b) otras personas que, no siendo miembros de dicha asociación, sean cesantes o jubilados de la Superintendencia Nacional de Administración Tributaria, que enfrentan condiciones similares a las víctimas del presente caso, en el sentido de que han sido beneficiarios de una sentencia judicial o decisión administrativa, ya sea en el marco de un proceso de amparo u cualquier otro recurso judicial o trámite administrativo contra la aplicación del Decreto 673, que les reconoce, restituye u otorga derechos pensionarios, y cuya ejecución no se haya iniciado </w:t>
      </w:r>
      <w:r w:rsidR="00294672">
        <w:rPr>
          <w:rFonts w:ascii="Verdana" w:hAnsi="Verdana"/>
          <w:sz w:val="18"/>
          <w:szCs w:val="18"/>
        </w:rPr>
        <w:t>o todavía se encuentre abierta.</w:t>
      </w:r>
    </w:p>
    <w:p w14:paraId="3016F1F4" w14:textId="77777777" w:rsidR="00A9351C" w:rsidRPr="00A9351C" w:rsidRDefault="00A9351C" w:rsidP="00A9351C">
      <w:pPr>
        <w:pStyle w:val="Prrafodelista"/>
        <w:spacing w:after="0" w:line="240" w:lineRule="auto"/>
        <w:ind w:right="968"/>
        <w:jc w:val="both"/>
        <w:rPr>
          <w:rFonts w:ascii="Verdana" w:hAnsi="Verdana"/>
          <w:sz w:val="18"/>
          <w:szCs w:val="18"/>
        </w:rPr>
      </w:pPr>
    </w:p>
    <w:p w14:paraId="7B4CF42E" w14:textId="77777777" w:rsidR="00DA224A" w:rsidRPr="00A9351C" w:rsidRDefault="00A9351C" w:rsidP="00A9351C">
      <w:pPr>
        <w:pStyle w:val="Prrafodelista"/>
        <w:spacing w:after="0" w:line="240" w:lineRule="auto"/>
        <w:ind w:right="968"/>
        <w:jc w:val="both"/>
        <w:rPr>
          <w:rFonts w:ascii="Verdana" w:hAnsi="Verdana"/>
          <w:sz w:val="18"/>
          <w:szCs w:val="18"/>
          <w:lang w:val="es-DO"/>
        </w:rPr>
      </w:pPr>
      <w:r w:rsidRPr="00A9351C">
        <w:rPr>
          <w:rFonts w:ascii="Verdana" w:hAnsi="Verdana"/>
          <w:sz w:val="18"/>
          <w:szCs w:val="18"/>
        </w:rPr>
        <w:t>226. El Estado se encargará de: a) crear y manejar el registro, en el que inscribirá e individualizará adecuadamente a todas las personas que reúnan las condiciones referidas en esta medida, y b) recopilar, revisar y registrar la información y/o documentación de su proceso judicial, condiciones de trabajo mientras fue servidor del Estado (puesto, categoría, salario, tiempo de servicios, fecha del cese, etc.) y cualquier otro dato o documento necesario para ejecutar integralmente la sentencia emitida a su favor.</w:t>
      </w:r>
      <w:r w:rsidR="00DA224A" w:rsidRPr="00A9351C">
        <w:rPr>
          <w:rFonts w:ascii="Verdana" w:hAnsi="Verdana" w:cs="Verdana"/>
          <w:bCs/>
          <w:iCs/>
          <w:noProof/>
          <w:sz w:val="18"/>
          <w:szCs w:val="18"/>
          <w:highlight w:val="yellow"/>
          <w:lang w:val="es-ES_tradnl"/>
        </w:rPr>
        <w:t xml:space="preserve"> </w:t>
      </w:r>
    </w:p>
    <w:p w14:paraId="5240810C" w14:textId="77777777" w:rsidR="00BF1334" w:rsidRDefault="00BF1334" w:rsidP="00BF1334">
      <w:pPr>
        <w:tabs>
          <w:tab w:val="left" w:pos="720"/>
        </w:tabs>
        <w:spacing w:after="0" w:line="240" w:lineRule="auto"/>
        <w:ind w:left="720" w:right="968"/>
        <w:jc w:val="both"/>
        <w:rPr>
          <w:rFonts w:ascii="Verdana" w:hAnsi="Verdana" w:cs="Verdana"/>
          <w:bCs/>
          <w:iCs/>
          <w:noProof/>
          <w:sz w:val="18"/>
          <w:szCs w:val="18"/>
          <w:highlight w:val="yellow"/>
          <w:lang w:val="es-ES_tradnl"/>
        </w:rPr>
      </w:pPr>
    </w:p>
    <w:p w14:paraId="0FA37869" w14:textId="77777777" w:rsidR="00294672" w:rsidRPr="00294672" w:rsidRDefault="00294672" w:rsidP="00BF1334">
      <w:pPr>
        <w:tabs>
          <w:tab w:val="left" w:pos="720"/>
        </w:tabs>
        <w:spacing w:after="0" w:line="240" w:lineRule="auto"/>
        <w:ind w:left="720" w:right="968"/>
        <w:jc w:val="both"/>
        <w:rPr>
          <w:rFonts w:ascii="Verdana" w:hAnsi="Verdana" w:cs="Verdana"/>
          <w:bCs/>
          <w:iCs/>
          <w:noProof/>
          <w:sz w:val="18"/>
          <w:szCs w:val="18"/>
          <w:highlight w:val="yellow"/>
          <w:lang w:val="es-ES_tradnl"/>
        </w:rPr>
      </w:pPr>
      <w:r w:rsidRPr="00294672">
        <w:rPr>
          <w:rFonts w:ascii="Verdana" w:hAnsi="Verdana" w:cs="Arial"/>
          <w:sz w:val="18"/>
          <w:szCs w:val="18"/>
        </w:rPr>
        <w:t>227. Para la creación del referido registro, el Estado cuenta con un plazo de seis meses, contado a partir de la notificación de la Sentencia. Una vez creado el registro, el Estado deberá informar anualmente sobre los avances de la garantía de no repetición antes mencionada por un periodo de tres años. La Corte valorará esta información en la etapa de supervisión de la presente sentencia y se pronunciará al respecto.</w:t>
      </w:r>
    </w:p>
    <w:p w14:paraId="0D4F1FD3" w14:textId="77777777" w:rsidR="00294672" w:rsidRPr="00A9351C" w:rsidRDefault="00294672" w:rsidP="00BF1334">
      <w:pPr>
        <w:tabs>
          <w:tab w:val="left" w:pos="720"/>
        </w:tabs>
        <w:spacing w:after="0" w:line="240" w:lineRule="auto"/>
        <w:ind w:left="720" w:right="968"/>
        <w:jc w:val="both"/>
        <w:rPr>
          <w:rFonts w:ascii="Verdana" w:hAnsi="Verdana" w:cs="Verdana"/>
          <w:bCs/>
          <w:iCs/>
          <w:noProof/>
          <w:sz w:val="18"/>
          <w:szCs w:val="18"/>
          <w:highlight w:val="yellow"/>
          <w:lang w:val="es-ES_tradnl"/>
        </w:rPr>
      </w:pPr>
    </w:p>
    <w:p w14:paraId="2F84A6AA" w14:textId="77777777" w:rsidR="00A9351C" w:rsidRPr="00A9351C" w:rsidRDefault="00A9351C" w:rsidP="00BF1334">
      <w:pPr>
        <w:tabs>
          <w:tab w:val="left" w:pos="720"/>
        </w:tabs>
        <w:spacing w:after="0" w:line="240" w:lineRule="auto"/>
        <w:ind w:left="720" w:right="968"/>
        <w:jc w:val="both"/>
        <w:rPr>
          <w:rFonts w:ascii="Verdana" w:hAnsi="Verdana" w:cs="Verdana"/>
          <w:bCs/>
          <w:iCs/>
          <w:noProof/>
          <w:sz w:val="18"/>
          <w:szCs w:val="18"/>
          <w:lang w:val="es-ES_tradnl"/>
        </w:rPr>
      </w:pPr>
      <w:r w:rsidRPr="00A9351C">
        <w:rPr>
          <w:rFonts w:ascii="Verdana" w:hAnsi="Verdana" w:cs="Verdana"/>
          <w:bCs/>
          <w:iCs/>
          <w:noProof/>
          <w:sz w:val="18"/>
          <w:szCs w:val="18"/>
          <w:lang w:val="es-ES_tradnl"/>
        </w:rPr>
        <w:t xml:space="preserve">[…] </w:t>
      </w:r>
    </w:p>
    <w:p w14:paraId="0EFA8667" w14:textId="77777777" w:rsidR="00A9351C" w:rsidRPr="00A9351C" w:rsidRDefault="00A9351C" w:rsidP="00BF1334">
      <w:pPr>
        <w:tabs>
          <w:tab w:val="left" w:pos="720"/>
        </w:tabs>
        <w:spacing w:after="0" w:line="240" w:lineRule="auto"/>
        <w:ind w:left="720" w:right="968"/>
        <w:jc w:val="both"/>
        <w:rPr>
          <w:rFonts w:ascii="Verdana" w:hAnsi="Verdana" w:cs="Verdana"/>
          <w:bCs/>
          <w:iCs/>
          <w:noProof/>
          <w:sz w:val="18"/>
          <w:szCs w:val="18"/>
          <w:highlight w:val="yellow"/>
          <w:lang w:val="es-ES_tradnl"/>
        </w:rPr>
      </w:pPr>
    </w:p>
    <w:p w14:paraId="3C02CB33" w14:textId="77777777" w:rsidR="00A9351C" w:rsidRPr="00A9351C" w:rsidRDefault="00A9351C" w:rsidP="00BF1334">
      <w:pPr>
        <w:tabs>
          <w:tab w:val="left" w:pos="720"/>
        </w:tabs>
        <w:spacing w:after="0" w:line="240" w:lineRule="auto"/>
        <w:ind w:left="720" w:right="968"/>
        <w:jc w:val="both"/>
        <w:rPr>
          <w:rFonts w:ascii="Verdana" w:hAnsi="Verdana" w:cs="Verdana"/>
          <w:bCs/>
          <w:iCs/>
          <w:noProof/>
          <w:sz w:val="18"/>
          <w:szCs w:val="18"/>
          <w:highlight w:val="yellow"/>
          <w:lang w:val="es-ES_tradnl"/>
        </w:rPr>
      </w:pPr>
      <w:r w:rsidRPr="00A9351C">
        <w:rPr>
          <w:rFonts w:ascii="Verdana" w:hAnsi="Verdana" w:cs="Verdana"/>
          <w:bCs/>
          <w:iCs/>
          <w:noProof/>
          <w:sz w:val="18"/>
          <w:szCs w:val="18"/>
          <w:lang w:val="es-ES_tradnl"/>
        </w:rPr>
        <w:lastRenderedPageBreak/>
        <w:t xml:space="preserve">[Punto Resolutivo Octavo] </w:t>
      </w:r>
      <w:r w:rsidRPr="00A9351C">
        <w:rPr>
          <w:rFonts w:ascii="Verdana" w:hAnsi="Verdana"/>
          <w:sz w:val="18"/>
          <w:szCs w:val="18"/>
        </w:rPr>
        <w:t>El Estado creará, dentro de los seis meses que siguen a la notificación de esta Sentencia, un registro para la solución de casos similares al presente, en los términos de los párrafos 225 al 227 de la presente Sentencia.</w:t>
      </w:r>
    </w:p>
    <w:p w14:paraId="523A3CB1" w14:textId="77777777" w:rsidR="00A9351C" w:rsidRPr="009235CB" w:rsidRDefault="00A9351C" w:rsidP="00BF1334">
      <w:pPr>
        <w:tabs>
          <w:tab w:val="left" w:pos="720"/>
        </w:tabs>
        <w:spacing w:after="0" w:line="240" w:lineRule="auto"/>
        <w:ind w:left="720" w:right="968"/>
        <w:jc w:val="both"/>
        <w:rPr>
          <w:rFonts w:ascii="Verdana" w:hAnsi="Verdana" w:cs="Verdana"/>
          <w:bCs/>
          <w:iCs/>
          <w:noProof/>
          <w:sz w:val="18"/>
          <w:szCs w:val="18"/>
          <w:highlight w:val="yellow"/>
          <w:lang w:val="es-ES_tradnl"/>
        </w:rPr>
      </w:pPr>
    </w:p>
    <w:p w14:paraId="42751BBE" w14:textId="786F9CBB" w:rsidR="00A91865" w:rsidRDefault="00A9351C" w:rsidP="00A91865">
      <w:pPr>
        <w:pStyle w:val="Prrafodelista2"/>
        <w:numPr>
          <w:ilvl w:val="0"/>
          <w:numId w:val="1"/>
        </w:numPr>
        <w:tabs>
          <w:tab w:val="left" w:pos="567"/>
          <w:tab w:val="left" w:pos="720"/>
          <w:tab w:val="num" w:pos="15467"/>
        </w:tabs>
        <w:contextualSpacing/>
        <w:jc w:val="both"/>
      </w:pPr>
      <w:r>
        <w:t xml:space="preserve">La Corte considera que </w:t>
      </w:r>
      <w:r w:rsidR="008B7E9C">
        <w:t>los párrafos antes mencionados</w:t>
      </w:r>
      <w:r>
        <w:t xml:space="preserve"> </w:t>
      </w:r>
      <w:r w:rsidR="008B7E9C">
        <w:t>debe</w:t>
      </w:r>
      <w:r w:rsidR="00794B8E">
        <w:t>n</w:t>
      </w:r>
      <w:r w:rsidR="008B7E9C">
        <w:t xml:space="preserve"> ser interpretado</w:t>
      </w:r>
      <w:r w:rsidR="00903D88">
        <w:t>s</w:t>
      </w:r>
      <w:r w:rsidR="008B7E9C">
        <w:t xml:space="preserve"> en relación con el resto de la Sentencia</w:t>
      </w:r>
      <w:r w:rsidR="00497565">
        <w:t>,</w:t>
      </w:r>
      <w:r w:rsidR="008B7E9C">
        <w:t xml:space="preserve"> así como con los alegatos que fueron presentados por las partes y las observaciones de la Comisión respecto de la necesidad de reconocer garantías de no repetición</w:t>
      </w:r>
      <w:r w:rsidR="00294672">
        <w:t xml:space="preserve"> en el caso</w:t>
      </w:r>
      <w:r w:rsidR="008B7E9C">
        <w:t xml:space="preserve">. En ese sentido, el Tribunal </w:t>
      </w:r>
      <w:r w:rsidR="00A91865">
        <w:t>considera que</w:t>
      </w:r>
      <w:r w:rsidR="007C1523" w:rsidRPr="009620A4">
        <w:t xml:space="preserve"> </w:t>
      </w:r>
      <w:r w:rsidR="00A91865">
        <w:t>la Sentencia es clara respecto a que</w:t>
      </w:r>
      <w:r w:rsidR="009620A4" w:rsidRPr="009620A4">
        <w:t xml:space="preserve"> </w:t>
      </w:r>
      <w:r w:rsidR="00372282">
        <w:t>las</w:t>
      </w:r>
      <w:r w:rsidR="000D0A24" w:rsidRPr="009620A4">
        <w:t xml:space="preserve"> medidas de restituci</w:t>
      </w:r>
      <w:r w:rsidR="009620A4" w:rsidRPr="009620A4">
        <w:t>ón y/o</w:t>
      </w:r>
      <w:r w:rsidR="000D0A24" w:rsidRPr="009620A4">
        <w:t xml:space="preserve"> indemnizaciones compensatorias por daño inmaterial</w:t>
      </w:r>
      <w:r w:rsidR="00372282">
        <w:t xml:space="preserve"> fueron dictadas en favor de</w:t>
      </w:r>
      <w:r w:rsidR="000D0A24" w:rsidRPr="009620A4">
        <w:t xml:space="preserve"> </w:t>
      </w:r>
      <w:r w:rsidR="00372282">
        <w:t xml:space="preserve">las </w:t>
      </w:r>
      <w:r w:rsidR="004A48BA">
        <w:t>597</w:t>
      </w:r>
      <w:r w:rsidR="000D0A24" w:rsidRPr="009620A4">
        <w:t xml:space="preserve"> personas</w:t>
      </w:r>
      <w:r w:rsidR="00C93465" w:rsidRPr="009620A4">
        <w:t xml:space="preserve"> </w:t>
      </w:r>
      <w:r w:rsidR="009620A4" w:rsidRPr="009620A4">
        <w:t>señaladas en el Anexo 2 de la Sentencia</w:t>
      </w:r>
      <w:r w:rsidR="00A91865">
        <w:t xml:space="preserve"> (</w:t>
      </w:r>
      <w:r w:rsidR="00A91865" w:rsidRPr="005251BE">
        <w:rPr>
          <w:i/>
        </w:rPr>
        <w:t>supra</w:t>
      </w:r>
      <w:r w:rsidR="00A91865">
        <w:t xml:space="preserve"> </w:t>
      </w:r>
      <w:proofErr w:type="spellStart"/>
      <w:r w:rsidR="00A91865">
        <w:t>párrs</w:t>
      </w:r>
      <w:proofErr w:type="spellEnd"/>
      <w:r w:rsidR="00A91865">
        <w:t>. 18 y 19)</w:t>
      </w:r>
      <w:r w:rsidR="009620A4" w:rsidRPr="009620A4">
        <w:t>, las cuales constituyeron la parte lesionada en los términos del artículo 63.1 de la Convención.</w:t>
      </w:r>
      <w:r w:rsidR="00A91865">
        <w:t xml:space="preserve"> </w:t>
      </w:r>
      <w:r w:rsidR="009620A4" w:rsidRPr="009620A4">
        <w:t xml:space="preserve">Sin embargo, el hecho de que solo dichas personas fueran consideradas como víctimas en </w:t>
      </w:r>
      <w:r w:rsidR="00A91865">
        <w:t>la Sentencia</w:t>
      </w:r>
      <w:r w:rsidR="009620A4" w:rsidRPr="009620A4">
        <w:t xml:space="preserve"> </w:t>
      </w:r>
      <w:r w:rsidR="000D0A24" w:rsidRPr="009620A4">
        <w:t xml:space="preserve">no desconoce que otros miembros de </w:t>
      </w:r>
      <w:r w:rsidR="009620A4" w:rsidRPr="009620A4">
        <w:t>ANCEJUB-SUNAT</w:t>
      </w:r>
      <w:r w:rsidR="00C93465" w:rsidRPr="009620A4">
        <w:t>, o bien otras personas que fueran parte de la SUNAT,</w:t>
      </w:r>
      <w:r w:rsidR="00587012" w:rsidRPr="009620A4">
        <w:t xml:space="preserve"> aun cuando no </w:t>
      </w:r>
      <w:r w:rsidR="009620A4" w:rsidRPr="009620A4">
        <w:t xml:space="preserve">fueron reconocidas como </w:t>
      </w:r>
      <w:r w:rsidR="00587012" w:rsidRPr="009620A4">
        <w:t>víctimas del caso,</w:t>
      </w:r>
      <w:r w:rsidR="007B21CA" w:rsidRPr="009620A4">
        <w:t xml:space="preserve"> </w:t>
      </w:r>
      <w:r w:rsidR="00372282">
        <w:t>pudieron ser</w:t>
      </w:r>
      <w:r w:rsidR="000D0A24" w:rsidRPr="009620A4">
        <w:t xml:space="preserve"> afectad</w:t>
      </w:r>
      <w:r w:rsidR="00D44E09">
        <w:t>a</w:t>
      </w:r>
      <w:r w:rsidR="000D0A24" w:rsidRPr="009620A4">
        <w:t>s</w:t>
      </w:r>
      <w:r w:rsidR="00372282">
        <w:t xml:space="preserve"> en</w:t>
      </w:r>
      <w:r w:rsidR="000D0A24" w:rsidRPr="009620A4">
        <w:t xml:space="preserve"> sus derechos en virtud de la aplicación del Decreto </w:t>
      </w:r>
      <w:r w:rsidR="009620A4" w:rsidRPr="009620A4">
        <w:t>673</w:t>
      </w:r>
      <w:r w:rsidR="00DF5520">
        <w:t>,</w:t>
      </w:r>
      <w:r w:rsidR="00372282">
        <w:t xml:space="preserve"> y que sus derechos pensionarios</w:t>
      </w:r>
      <w:r w:rsidR="009620A4" w:rsidRPr="009620A4">
        <w:t xml:space="preserve"> </w:t>
      </w:r>
      <w:r w:rsidR="00014B11">
        <w:t>pudieron haber</w:t>
      </w:r>
      <w:r w:rsidR="00372282">
        <w:t xml:space="preserve"> sido</w:t>
      </w:r>
      <w:r w:rsidR="009620A4" w:rsidRPr="009620A4">
        <w:t xml:space="preserve"> reconocido</w:t>
      </w:r>
      <w:r w:rsidR="000950B9">
        <w:t>s</w:t>
      </w:r>
      <w:r w:rsidR="009620A4" w:rsidRPr="009620A4">
        <w:t xml:space="preserve"> </w:t>
      </w:r>
      <w:r w:rsidR="00014B11">
        <w:t>a través de una sentencia judicial o decisión administrativa</w:t>
      </w:r>
      <w:r w:rsidR="00CD2FA4">
        <w:t xml:space="preserve"> a nivel interno</w:t>
      </w:r>
      <w:r w:rsidR="00AB5017">
        <w:t>, y que esta no haya sido ejecutada</w:t>
      </w:r>
      <w:r w:rsidR="009620A4" w:rsidRPr="009620A4">
        <w:t xml:space="preserve">. </w:t>
      </w:r>
    </w:p>
    <w:p w14:paraId="55044B78" w14:textId="77777777" w:rsidR="00A91865" w:rsidRDefault="00A91865" w:rsidP="00A91865">
      <w:pPr>
        <w:pStyle w:val="Prrafodelista2"/>
        <w:tabs>
          <w:tab w:val="left" w:pos="567"/>
          <w:tab w:val="left" w:pos="720"/>
        </w:tabs>
        <w:ind w:left="0"/>
        <w:contextualSpacing/>
        <w:jc w:val="both"/>
      </w:pPr>
    </w:p>
    <w:p w14:paraId="4AA372DF" w14:textId="2AF6AA8A" w:rsidR="009620A4" w:rsidRDefault="009620A4" w:rsidP="00A91865">
      <w:pPr>
        <w:pStyle w:val="Prrafodelista2"/>
        <w:numPr>
          <w:ilvl w:val="0"/>
          <w:numId w:val="1"/>
        </w:numPr>
        <w:tabs>
          <w:tab w:val="left" w:pos="567"/>
          <w:tab w:val="left" w:pos="720"/>
          <w:tab w:val="num" w:pos="15467"/>
        </w:tabs>
        <w:contextualSpacing/>
        <w:jc w:val="both"/>
      </w:pPr>
      <w:r w:rsidRPr="009620A4">
        <w:t xml:space="preserve">En este sentido, el párrafo 225 </w:t>
      </w:r>
      <w:r w:rsidR="00AB5017">
        <w:t xml:space="preserve">de la Sentencia </w:t>
      </w:r>
      <w:r w:rsidR="00C67D22">
        <w:t>es claro y preciso</w:t>
      </w:r>
      <w:r w:rsidR="00014B11">
        <w:t xml:space="preserve"> respecto a que</w:t>
      </w:r>
      <w:r w:rsidRPr="009620A4">
        <w:t xml:space="preserve"> los beneficiarios de la </w:t>
      </w:r>
      <w:r w:rsidR="00AB5017">
        <w:t>garantía de no repetición</w:t>
      </w:r>
      <w:r w:rsidR="00014B11">
        <w:t xml:space="preserve"> </w:t>
      </w:r>
      <w:r w:rsidR="00C67D22">
        <w:t>son</w:t>
      </w:r>
      <w:r w:rsidRPr="009620A4">
        <w:t xml:space="preserve"> “a) otros integrantes de ANCEJUB-SUNAT que no figuran como víctimas en este caso, y b) otras personas que, no siendo miembros de dicha asociación, sean cesantes o jubilados de la Superintendencia Nacional de Administración Tributaria”</w:t>
      </w:r>
      <w:r w:rsidR="00014B11">
        <w:t xml:space="preserve">. Ahora bien, la misma medida </w:t>
      </w:r>
      <w:r w:rsidR="00C67D22">
        <w:t>no deja lugar a dudas</w:t>
      </w:r>
      <w:r w:rsidR="00014B11">
        <w:t xml:space="preserve"> en cuanto a que los beneficiarios de esta medida deben haber enfrentado</w:t>
      </w:r>
      <w:r w:rsidRPr="009620A4">
        <w:t xml:space="preserve"> “condiciones similares a las de las víctimas del presente caso”</w:t>
      </w:r>
      <w:r w:rsidR="00014B11">
        <w:t xml:space="preserve">, lo que significa </w:t>
      </w:r>
      <w:r w:rsidRPr="009620A4">
        <w:t>“que han sido beneficiarios de una sentencia judicial o decisión administrativa, ya sea en el marco de un proceso de amparo u cualquier otro recurso judicial o trámite administrativo contra la aplicación del Decreto 673, que les reconoce, restituye u otorga derechos pensionarios, y cuya ejecución no se haya iniciado o todavía se encuentre abierta”</w:t>
      </w:r>
      <w:r w:rsidR="00862FDF">
        <w:t>.</w:t>
      </w:r>
      <w:r>
        <w:t xml:space="preserve"> El Tribunal advierte que </w:t>
      </w:r>
      <w:r w:rsidR="00C67D22">
        <w:t>existe claridad</w:t>
      </w:r>
      <w:r>
        <w:t xml:space="preserve"> respecto al grupo de personas a las que se encuentra dirigida dicha medida de reparación y las condiciones que deben cumplir para que sean consideradas como tales.</w:t>
      </w:r>
    </w:p>
    <w:p w14:paraId="7B7AA508" w14:textId="77777777" w:rsidR="00C67D22" w:rsidRDefault="00C67D22" w:rsidP="00C67D22">
      <w:pPr>
        <w:pStyle w:val="Prrafodelista2"/>
        <w:tabs>
          <w:tab w:val="left" w:pos="567"/>
          <w:tab w:val="left" w:pos="720"/>
          <w:tab w:val="num" w:pos="15467"/>
        </w:tabs>
        <w:ind w:left="0"/>
        <w:contextualSpacing/>
        <w:jc w:val="both"/>
      </w:pPr>
    </w:p>
    <w:p w14:paraId="2B1A23CF" w14:textId="7176CE6D" w:rsidR="00C67D22" w:rsidRPr="009620A4" w:rsidRDefault="00372282" w:rsidP="009620A4">
      <w:pPr>
        <w:pStyle w:val="Prrafodelista2"/>
        <w:numPr>
          <w:ilvl w:val="0"/>
          <w:numId w:val="1"/>
        </w:numPr>
        <w:tabs>
          <w:tab w:val="left" w:pos="567"/>
          <w:tab w:val="left" w:pos="720"/>
          <w:tab w:val="num" w:pos="15467"/>
        </w:tabs>
        <w:contextualSpacing/>
        <w:jc w:val="both"/>
      </w:pPr>
      <w:r>
        <w:t xml:space="preserve">En relación </w:t>
      </w:r>
      <w:r w:rsidR="002912A2">
        <w:t xml:space="preserve">con </w:t>
      </w:r>
      <w:r>
        <w:t>lo anterior,</w:t>
      </w:r>
      <w:r w:rsidR="000416A1">
        <w:t xml:space="preserve"> la </w:t>
      </w:r>
      <w:r>
        <w:t>referencia a</w:t>
      </w:r>
      <w:r w:rsidR="000416A1">
        <w:t xml:space="preserve"> “cualquier otro dato o documento necesario para ejecutar integralmente la sentencia emitida a su favor”</w:t>
      </w:r>
      <w:r w:rsidR="00AB5017">
        <w:t>,</w:t>
      </w:r>
      <w:r w:rsidR="000416A1">
        <w:t xml:space="preserve"> a la que hace </w:t>
      </w:r>
      <w:r w:rsidR="00C96601">
        <w:t xml:space="preserve">alusión </w:t>
      </w:r>
      <w:r w:rsidR="000416A1">
        <w:t>el párrafo 226</w:t>
      </w:r>
      <w:r w:rsidR="00C61708">
        <w:t xml:space="preserve"> de la Sentencia</w:t>
      </w:r>
      <w:r w:rsidR="00AB5017">
        <w:t>,</w:t>
      </w:r>
      <w:r>
        <w:t xml:space="preserve"> debe ser entendida </w:t>
      </w:r>
      <w:r w:rsidR="000416A1">
        <w:t xml:space="preserve">como parte de la obligación estatal de crear el registro que es el objeto principal de la </w:t>
      </w:r>
      <w:r w:rsidR="00CD2FA4">
        <w:t>garantía de no repetición</w:t>
      </w:r>
      <w:r w:rsidR="000416A1">
        <w:t xml:space="preserve">. De esta forma, </w:t>
      </w:r>
      <w:r>
        <w:t>los datos o documentos a</w:t>
      </w:r>
      <w:r w:rsidR="000416A1">
        <w:t xml:space="preserve"> que se refiere el punto b) del </w:t>
      </w:r>
      <w:r w:rsidR="00686B5A">
        <w:t>párrafo</w:t>
      </w:r>
      <w:r w:rsidR="000416A1">
        <w:t xml:space="preserve"> 226 </w:t>
      </w:r>
      <w:r w:rsidR="000950B9">
        <w:t>comprenden</w:t>
      </w:r>
      <w:r w:rsidR="000416A1">
        <w:t xml:space="preserve"> </w:t>
      </w:r>
      <w:r w:rsidR="00CD2FA4">
        <w:t>la</w:t>
      </w:r>
      <w:r w:rsidR="000416A1">
        <w:t xml:space="preserve"> </w:t>
      </w:r>
      <w:r>
        <w:t>información</w:t>
      </w:r>
      <w:r w:rsidR="000416A1">
        <w:t xml:space="preserve"> que </w:t>
      </w:r>
      <w:r w:rsidR="00CD2FA4">
        <w:t xml:space="preserve">le </w:t>
      </w:r>
      <w:r w:rsidR="000416A1">
        <w:t xml:space="preserve">permita al Estado </w:t>
      </w:r>
      <w:r w:rsidR="00686B5A">
        <w:t>individualizar adecuadamente a las personas que cumplan con las condiciones previstas en el párrafo 225</w:t>
      </w:r>
      <w:r w:rsidR="008B391A">
        <w:t>, así como el alcance de las prestaciones que hayan dejado de percibir y a las que tienen derecho,</w:t>
      </w:r>
      <w:r w:rsidR="00686B5A">
        <w:t xml:space="preserve"> y de esta forma poder </w:t>
      </w:r>
      <w:r w:rsidR="000416A1">
        <w:t>cumplir</w:t>
      </w:r>
      <w:r w:rsidR="008B391A">
        <w:t xml:space="preserve"> adecuadamente</w:t>
      </w:r>
      <w:r w:rsidR="000416A1">
        <w:t xml:space="preserve"> con la ejecución de </w:t>
      </w:r>
      <w:r w:rsidR="008B391A">
        <w:t>las</w:t>
      </w:r>
      <w:r w:rsidR="007B2F67">
        <w:t xml:space="preserve"> sentencia</w:t>
      </w:r>
      <w:r w:rsidR="008B391A">
        <w:t>s</w:t>
      </w:r>
      <w:r w:rsidR="007B2F67">
        <w:t xml:space="preserve"> judicial</w:t>
      </w:r>
      <w:r w:rsidR="008B391A">
        <w:t>es</w:t>
      </w:r>
      <w:r w:rsidR="007B2F67">
        <w:t xml:space="preserve"> o decisi</w:t>
      </w:r>
      <w:r w:rsidR="008B391A">
        <w:t>ones</w:t>
      </w:r>
      <w:r w:rsidR="007B2F67">
        <w:t xml:space="preserve"> administrativa</w:t>
      </w:r>
      <w:r w:rsidR="00EE2CEA">
        <w:t>s</w:t>
      </w:r>
      <w:r w:rsidR="007B2F67">
        <w:t xml:space="preserve"> que haya</w:t>
      </w:r>
      <w:r w:rsidR="00EE2CEA">
        <w:t>n</w:t>
      </w:r>
      <w:r w:rsidR="007B2F67">
        <w:t xml:space="preserve"> sido dictada</w:t>
      </w:r>
      <w:r w:rsidR="00EE2CEA">
        <w:t>s</w:t>
      </w:r>
      <w:r w:rsidR="008B391A">
        <w:t xml:space="preserve"> en el ámbito interno</w:t>
      </w:r>
      <w:r w:rsidR="007B2F67">
        <w:t xml:space="preserve"> a favor</w:t>
      </w:r>
      <w:r w:rsidR="008B391A">
        <w:t xml:space="preserve"> de dichas personas</w:t>
      </w:r>
      <w:r w:rsidR="000416A1">
        <w:t xml:space="preserve">. </w:t>
      </w:r>
      <w:r w:rsidR="00686B5A">
        <w:t xml:space="preserve">Sin embargo, </w:t>
      </w:r>
      <w:r w:rsidR="00AB5017">
        <w:t>este Tribunal aclara que esta medida no</w:t>
      </w:r>
      <w:r w:rsidR="000416A1">
        <w:t xml:space="preserve"> </w:t>
      </w:r>
      <w:r w:rsidR="00AB5017">
        <w:t>implica</w:t>
      </w:r>
      <w:r w:rsidR="000416A1">
        <w:t xml:space="preserve"> que las personas que sean</w:t>
      </w:r>
      <w:r w:rsidR="00686B5A">
        <w:t xml:space="preserve"> incorporadas al registro</w:t>
      </w:r>
      <w:r w:rsidR="00AB5017">
        <w:t xml:space="preserve"> creado por</w:t>
      </w:r>
      <w:r w:rsidR="00686B5A">
        <w:t xml:space="preserve"> el Estado sean</w:t>
      </w:r>
      <w:r w:rsidR="000416A1">
        <w:t xml:space="preserve"> beneficiarias directas de la Sentencia dictada por este Tribunal</w:t>
      </w:r>
      <w:r w:rsidR="00AB5017">
        <w:t xml:space="preserve"> (como lo son las 597 p</w:t>
      </w:r>
      <w:r w:rsidR="005251BE">
        <w:t>ersonas señaladas en el Anexo 2</w:t>
      </w:r>
      <w:r w:rsidR="00AB5017">
        <w:t xml:space="preserve"> de la Sentencia)</w:t>
      </w:r>
      <w:r w:rsidR="00686B5A">
        <w:t xml:space="preserve">, ni que aquellas personas incorporadas en el registro adquieran por ese </w:t>
      </w:r>
      <w:r w:rsidR="008B391A">
        <w:t xml:space="preserve">mero </w:t>
      </w:r>
      <w:r w:rsidR="00686B5A">
        <w:t>hecho un derecho a ser reparadas</w:t>
      </w:r>
      <w:r w:rsidR="005251BE" w:rsidRPr="005251BE">
        <w:t>.</w:t>
      </w:r>
      <w:r w:rsidR="000416A1">
        <w:t xml:space="preserve"> </w:t>
      </w:r>
      <w:r w:rsidR="00686B5A">
        <w:t>En esa lógica, es claro que aquellas personas que gocen de</w:t>
      </w:r>
      <w:r w:rsidR="000416A1">
        <w:t xml:space="preserve"> una decisión administrativa a su favor no</w:t>
      </w:r>
      <w:r w:rsidR="00686B5A">
        <w:t xml:space="preserve"> necesariamente deben</w:t>
      </w:r>
      <w:r w:rsidR="000416A1">
        <w:t xml:space="preserve"> transitar a la vía judicial para que </w:t>
      </w:r>
      <w:r w:rsidR="00686B5A">
        <w:t>puedan ser integradas al registro que el Estado deberá crear como</w:t>
      </w:r>
      <w:r w:rsidR="007B2F67">
        <w:t xml:space="preserve"> parte del cumplimiento de su</w:t>
      </w:r>
      <w:r w:rsidR="00686B5A">
        <w:t xml:space="preserve"> garantía de no repetición</w:t>
      </w:r>
      <w:r w:rsidR="000416A1">
        <w:t>.</w:t>
      </w:r>
    </w:p>
    <w:p w14:paraId="24DC9870" w14:textId="77777777" w:rsidR="009620A4" w:rsidRDefault="009620A4" w:rsidP="00C94064">
      <w:pPr>
        <w:pStyle w:val="Prrafodelista2"/>
        <w:tabs>
          <w:tab w:val="left" w:pos="567"/>
          <w:tab w:val="left" w:pos="720"/>
        </w:tabs>
        <w:ind w:left="0"/>
        <w:contextualSpacing/>
        <w:jc w:val="both"/>
      </w:pPr>
    </w:p>
    <w:p w14:paraId="3DD0CB2B" w14:textId="5E80F009" w:rsidR="00A9351C" w:rsidRDefault="00686B5A" w:rsidP="00CB34DD">
      <w:pPr>
        <w:pStyle w:val="Prrafodelista2"/>
        <w:numPr>
          <w:ilvl w:val="0"/>
          <w:numId w:val="1"/>
        </w:numPr>
        <w:tabs>
          <w:tab w:val="left" w:pos="567"/>
          <w:tab w:val="left" w:pos="720"/>
          <w:tab w:val="num" w:pos="15467"/>
        </w:tabs>
        <w:contextualSpacing/>
        <w:jc w:val="both"/>
      </w:pPr>
      <w:r>
        <w:t xml:space="preserve">Por otro lado, </w:t>
      </w:r>
      <w:r w:rsidR="00F3728F">
        <w:t>respecto al</w:t>
      </w:r>
      <w:r w:rsidRPr="007308D6">
        <w:t xml:space="preserve"> alcance, finalidad e implicancias</w:t>
      </w:r>
      <w:r>
        <w:t xml:space="preserve"> de la garantía de no repetición ordenada por la Corte en la Sentencia, e</w:t>
      </w:r>
      <w:r w:rsidR="00C67D22">
        <w:t>l Tribunal considera</w:t>
      </w:r>
      <w:r w:rsidR="00672186">
        <w:t xml:space="preserve"> relevante señalar que </w:t>
      </w:r>
      <w:r w:rsidR="00CB34DD">
        <w:t>dichos elementos</w:t>
      </w:r>
      <w:r w:rsidR="00672186">
        <w:t xml:space="preserve"> se desprende</w:t>
      </w:r>
      <w:r w:rsidR="00CB34DD">
        <w:t>n</w:t>
      </w:r>
      <w:r w:rsidR="00672186">
        <w:t xml:space="preserve"> de</w:t>
      </w:r>
      <w:r w:rsidR="002912A2">
        <w:t xml:space="preserve"> </w:t>
      </w:r>
      <w:r w:rsidR="00672186">
        <w:t>l</w:t>
      </w:r>
      <w:r w:rsidR="002912A2">
        <w:t>os</w:t>
      </w:r>
      <w:r w:rsidR="00672186">
        <w:t xml:space="preserve"> párrafo</w:t>
      </w:r>
      <w:r w:rsidR="002912A2">
        <w:t>s</w:t>
      </w:r>
      <w:r w:rsidR="00672186">
        <w:t xml:space="preserve"> 225</w:t>
      </w:r>
      <w:r w:rsidR="00CB34DD">
        <w:t xml:space="preserve"> y 226 de la Sentencia</w:t>
      </w:r>
      <w:r w:rsidR="00672186">
        <w:t xml:space="preserve"> cuando</w:t>
      </w:r>
      <w:r w:rsidR="002D0816">
        <w:t xml:space="preserve"> se</w:t>
      </w:r>
      <w:r w:rsidR="00672186">
        <w:t xml:space="preserve"> señala que el </w:t>
      </w:r>
      <w:r w:rsidR="00672186">
        <w:lastRenderedPageBreak/>
        <w:t xml:space="preserve">Estado deberá </w:t>
      </w:r>
      <w:r w:rsidR="00CB34DD">
        <w:t>“</w:t>
      </w:r>
      <w:r w:rsidR="00672186">
        <w:t>crear un registro</w:t>
      </w:r>
      <w:r w:rsidR="00CB34DD">
        <w:t>”</w:t>
      </w:r>
      <w:r w:rsidR="00672186">
        <w:t xml:space="preserve"> </w:t>
      </w:r>
      <w:r w:rsidR="00A661CA">
        <w:t>que le permita identifica</w:t>
      </w:r>
      <w:r w:rsidR="00CB34DD">
        <w:t>r</w:t>
      </w:r>
      <w:r w:rsidR="007B21CA">
        <w:t xml:space="preserve"> a aquellas personas que se encuentren en situaciones similares a las víctimas del presente caso en los términos establecidos en los párrafos 225 y 226, y en ese sentido c</w:t>
      </w:r>
      <w:r w:rsidR="00EE2CEA">
        <w:t>ontar</w:t>
      </w:r>
      <w:r w:rsidR="007B21CA">
        <w:t xml:space="preserve"> con los elementos necesarios </w:t>
      </w:r>
      <w:r w:rsidR="00F3728F">
        <w:t>para la ejecución</w:t>
      </w:r>
      <w:r w:rsidR="007B21CA">
        <w:t xml:space="preserve"> </w:t>
      </w:r>
      <w:r w:rsidR="00F3728F">
        <w:t>de</w:t>
      </w:r>
      <w:r w:rsidR="007B21CA">
        <w:t xml:space="preserve"> </w:t>
      </w:r>
      <w:r w:rsidR="00672186">
        <w:t>las</w:t>
      </w:r>
      <w:r w:rsidR="007B21CA">
        <w:t xml:space="preserve"> sentencias judiciales o actos administrativos que </w:t>
      </w:r>
      <w:r w:rsidR="00F3728F" w:rsidRPr="00F3728F">
        <w:t>“les reconoce, restituye u otorga derechos pensionarios, y cuya ejecución no se haya iniciado o todavía se encuentre abierta”</w:t>
      </w:r>
      <w:r w:rsidR="007B21CA" w:rsidRPr="00F3728F">
        <w:t>.</w:t>
      </w:r>
      <w:r w:rsidR="00C94064">
        <w:t xml:space="preserve"> De esta forma, la garantía de no repetición mencionada tiene el alcance de una obligación de medios</w:t>
      </w:r>
      <w:r w:rsidR="002D0816">
        <w:t>, la cual busca que</w:t>
      </w:r>
      <w:r w:rsidR="00F414E3">
        <w:t>,</w:t>
      </w:r>
      <w:r w:rsidR="00C94064">
        <w:t xml:space="preserve"> a través </w:t>
      </w:r>
      <w:r w:rsidR="00F3728F">
        <w:t>de la creación del</w:t>
      </w:r>
      <w:r w:rsidR="00AB5017">
        <w:t xml:space="preserve"> mencionado</w:t>
      </w:r>
      <w:r w:rsidR="00F3728F">
        <w:t xml:space="preserve"> registro</w:t>
      </w:r>
      <w:r w:rsidR="00F414E3">
        <w:t>,</w:t>
      </w:r>
      <w:r w:rsidR="00CB34DD">
        <w:t xml:space="preserve"> el Estado </w:t>
      </w:r>
      <w:r w:rsidR="00F3728F">
        <w:t>avance en la adopción de</w:t>
      </w:r>
      <w:r w:rsidR="00CB34DD">
        <w:t xml:space="preserve"> medidas que </w:t>
      </w:r>
      <w:r w:rsidR="00F3728F">
        <w:t>permitan solucionar violaciones a los derechos humanos similares a</w:t>
      </w:r>
      <w:r w:rsidR="00CD2FA4">
        <w:t xml:space="preserve"> las declaradas en la</w:t>
      </w:r>
      <w:r w:rsidR="00CB34DD">
        <w:t xml:space="preserve"> Sentencia</w:t>
      </w:r>
      <w:r w:rsidR="00C94064">
        <w:t xml:space="preserve">. </w:t>
      </w:r>
      <w:r w:rsidR="00CB34DD">
        <w:t xml:space="preserve">En este punto cabe </w:t>
      </w:r>
      <w:r w:rsidR="00DC68E6">
        <w:t>mencionar que la</w:t>
      </w:r>
      <w:r w:rsidR="00CB34DD">
        <w:t xml:space="preserve"> </w:t>
      </w:r>
      <w:r w:rsidR="002D0816">
        <w:t>medida de reparación</w:t>
      </w:r>
      <w:r w:rsidR="00DC68E6">
        <w:t xml:space="preserve"> ordenada tiene un carácter general</w:t>
      </w:r>
      <w:r w:rsidR="00CD2FA4">
        <w:t xml:space="preserve"> por su propia naturaleza como garantía de no repetición</w:t>
      </w:r>
      <w:r w:rsidR="00DC68E6">
        <w:t>, pero está dirigida a</w:t>
      </w:r>
      <w:r w:rsidR="00CD2FA4">
        <w:t xml:space="preserve"> coadyuvar para que el Estado</w:t>
      </w:r>
      <w:r w:rsidR="002D0816">
        <w:t xml:space="preserve"> –en cumplimiento de sus obligaciones de </w:t>
      </w:r>
      <w:r w:rsidR="00AB5017">
        <w:t>respeto y garantía de los derechos</w:t>
      </w:r>
      <w:r w:rsidR="002D0816">
        <w:t>-</w:t>
      </w:r>
      <w:r w:rsidR="00CD2FA4">
        <w:t xml:space="preserve"> avance</w:t>
      </w:r>
      <w:r w:rsidR="00DC68E6">
        <w:t xml:space="preserve"> en la solución de la problemática más amplia que significa la inejecución de sentencias o decisiones administrativas que reconozcan derechos pension</w:t>
      </w:r>
      <w:r w:rsidR="002D0816">
        <w:t>arios a los miembros de ANCEJUB</w:t>
      </w:r>
      <w:r w:rsidR="00CD2FA4">
        <w:t xml:space="preserve"> </w:t>
      </w:r>
      <w:r w:rsidR="00DC68E6">
        <w:t>que se vieron afectados por la aplicación del Decreto 673</w:t>
      </w:r>
      <w:r w:rsidR="002D0816">
        <w:t>,</w:t>
      </w:r>
      <w:r w:rsidR="00CD2FA4">
        <w:t xml:space="preserve"> pero que no están reconocidos como víctimas en la Sentencia</w:t>
      </w:r>
      <w:r w:rsidR="00DC68E6">
        <w:t>.</w:t>
      </w:r>
    </w:p>
    <w:p w14:paraId="0E0EF93B" w14:textId="77777777" w:rsidR="00CB34DD" w:rsidRDefault="00CB34DD" w:rsidP="00CB34DD">
      <w:pPr>
        <w:pStyle w:val="Prrafodelista2"/>
        <w:tabs>
          <w:tab w:val="left" w:pos="567"/>
          <w:tab w:val="left" w:pos="720"/>
        </w:tabs>
        <w:ind w:left="0"/>
        <w:contextualSpacing/>
        <w:jc w:val="both"/>
      </w:pPr>
    </w:p>
    <w:bookmarkEnd w:id="6"/>
    <w:p w14:paraId="6F7C0048" w14:textId="77777777" w:rsidR="00577097" w:rsidRPr="00BE133F" w:rsidRDefault="00577097" w:rsidP="00577097">
      <w:pPr>
        <w:spacing w:after="0" w:line="240" w:lineRule="auto"/>
        <w:jc w:val="center"/>
        <w:rPr>
          <w:rFonts w:ascii="Verdana" w:hAnsi="Verdana"/>
          <w:b/>
          <w:sz w:val="20"/>
          <w:szCs w:val="20"/>
        </w:rPr>
      </w:pPr>
      <w:r w:rsidRPr="00BE133F">
        <w:rPr>
          <w:rFonts w:ascii="Verdana" w:hAnsi="Verdana"/>
          <w:b/>
          <w:sz w:val="20"/>
          <w:szCs w:val="20"/>
        </w:rPr>
        <w:t>V</w:t>
      </w:r>
    </w:p>
    <w:p w14:paraId="0323BEAC" w14:textId="77777777" w:rsidR="00577097" w:rsidRPr="00BE133F" w:rsidRDefault="00577097" w:rsidP="00577097">
      <w:pPr>
        <w:spacing w:after="0" w:line="240" w:lineRule="auto"/>
        <w:jc w:val="center"/>
        <w:rPr>
          <w:rFonts w:ascii="Verdana" w:hAnsi="Verdana"/>
          <w:b/>
          <w:sz w:val="20"/>
          <w:szCs w:val="20"/>
        </w:rPr>
      </w:pPr>
      <w:r w:rsidRPr="00BE133F">
        <w:rPr>
          <w:rFonts w:ascii="Verdana" w:hAnsi="Verdana"/>
          <w:b/>
          <w:sz w:val="20"/>
          <w:szCs w:val="20"/>
        </w:rPr>
        <w:t xml:space="preserve">PUNTOS RESOLUTIVOS </w:t>
      </w:r>
    </w:p>
    <w:p w14:paraId="0D569159" w14:textId="77777777" w:rsidR="00577097" w:rsidRPr="005847FB" w:rsidRDefault="00577097" w:rsidP="00577097">
      <w:pPr>
        <w:spacing w:after="0" w:line="240" w:lineRule="auto"/>
        <w:jc w:val="center"/>
        <w:rPr>
          <w:rFonts w:ascii="Verdana" w:hAnsi="Verdana" w:cs="Arial"/>
          <w:sz w:val="20"/>
          <w:szCs w:val="20"/>
        </w:rPr>
      </w:pPr>
    </w:p>
    <w:p w14:paraId="4D12B40A" w14:textId="77777777" w:rsidR="00577097" w:rsidRPr="00BE133F" w:rsidRDefault="00577097" w:rsidP="00DC68E6">
      <w:pPr>
        <w:numPr>
          <w:ilvl w:val="0"/>
          <w:numId w:val="1"/>
        </w:numPr>
        <w:tabs>
          <w:tab w:val="clear" w:pos="1247"/>
          <w:tab w:val="num" w:pos="709"/>
        </w:tabs>
        <w:spacing w:after="0" w:line="240" w:lineRule="auto"/>
        <w:jc w:val="both"/>
        <w:rPr>
          <w:rFonts w:ascii="Verdana" w:hAnsi="Verdana" w:cs="Arial"/>
          <w:b/>
          <w:i/>
          <w:sz w:val="20"/>
          <w:szCs w:val="20"/>
        </w:rPr>
      </w:pPr>
      <w:r w:rsidRPr="00BE133F">
        <w:rPr>
          <w:rFonts w:ascii="Verdana" w:hAnsi="Verdana"/>
          <w:sz w:val="20"/>
          <w:szCs w:val="20"/>
        </w:rPr>
        <w:t xml:space="preserve">Por tanto, </w:t>
      </w:r>
    </w:p>
    <w:p w14:paraId="6191B0A6" w14:textId="77777777" w:rsidR="00577097" w:rsidRPr="00BE133F" w:rsidRDefault="00577097" w:rsidP="005251BE">
      <w:pPr>
        <w:spacing w:after="0" w:line="240" w:lineRule="auto"/>
        <w:jc w:val="center"/>
        <w:rPr>
          <w:rFonts w:ascii="Verdana" w:hAnsi="Verdana"/>
          <w:b/>
          <w:sz w:val="20"/>
          <w:szCs w:val="20"/>
        </w:rPr>
      </w:pPr>
    </w:p>
    <w:p w14:paraId="2D32B6BC" w14:textId="77777777" w:rsidR="00577097" w:rsidRPr="00BE133F" w:rsidRDefault="00577097" w:rsidP="00577097">
      <w:pPr>
        <w:spacing w:after="0" w:line="240" w:lineRule="auto"/>
        <w:rPr>
          <w:rFonts w:ascii="Verdana" w:hAnsi="Verdana"/>
          <w:b/>
          <w:sz w:val="20"/>
          <w:szCs w:val="20"/>
        </w:rPr>
      </w:pPr>
      <w:r w:rsidRPr="00BE133F">
        <w:rPr>
          <w:rFonts w:ascii="Verdana" w:hAnsi="Verdana"/>
          <w:b/>
          <w:sz w:val="20"/>
          <w:szCs w:val="20"/>
        </w:rPr>
        <w:t xml:space="preserve">LA CORTE, </w:t>
      </w:r>
    </w:p>
    <w:p w14:paraId="0D990964" w14:textId="77777777" w:rsidR="00577097" w:rsidRPr="00BE133F" w:rsidRDefault="00577097" w:rsidP="00577097">
      <w:pPr>
        <w:spacing w:after="0" w:line="240" w:lineRule="auto"/>
        <w:rPr>
          <w:rFonts w:ascii="Verdana" w:hAnsi="Verdana"/>
          <w:sz w:val="20"/>
          <w:szCs w:val="20"/>
        </w:rPr>
      </w:pPr>
    </w:p>
    <w:p w14:paraId="4309F28E" w14:textId="77777777" w:rsidR="00577097" w:rsidRPr="00BE133F" w:rsidRDefault="00577097" w:rsidP="00577097">
      <w:pPr>
        <w:spacing w:after="0" w:line="240" w:lineRule="auto"/>
        <w:jc w:val="both"/>
        <w:rPr>
          <w:rFonts w:ascii="Verdana" w:hAnsi="Verdana"/>
          <w:sz w:val="20"/>
          <w:szCs w:val="20"/>
        </w:rPr>
      </w:pPr>
      <w:r w:rsidRPr="00BE133F">
        <w:rPr>
          <w:rFonts w:ascii="Verdana" w:hAnsi="Verdana"/>
          <w:sz w:val="20"/>
          <w:szCs w:val="20"/>
        </w:rPr>
        <w:t>de conformidad con el artículo 67 de la Convención Americana sobre Derechos Humanos y los artículos 31.3 y 68 del Reglamento,</w:t>
      </w:r>
    </w:p>
    <w:p w14:paraId="6FAB1863" w14:textId="77777777" w:rsidR="00577097" w:rsidRPr="00BE133F" w:rsidRDefault="00577097" w:rsidP="00577097">
      <w:pPr>
        <w:spacing w:after="0" w:line="240" w:lineRule="auto"/>
        <w:rPr>
          <w:rFonts w:ascii="Verdana" w:hAnsi="Verdana"/>
          <w:b/>
          <w:sz w:val="20"/>
          <w:szCs w:val="20"/>
        </w:rPr>
      </w:pPr>
    </w:p>
    <w:p w14:paraId="11D36FE6" w14:textId="77777777" w:rsidR="00577097" w:rsidRPr="00BE133F" w:rsidRDefault="00577097" w:rsidP="00577097">
      <w:pPr>
        <w:spacing w:after="0" w:line="240" w:lineRule="auto"/>
        <w:rPr>
          <w:rFonts w:ascii="Verdana" w:hAnsi="Verdana"/>
          <w:b/>
          <w:sz w:val="20"/>
          <w:szCs w:val="20"/>
        </w:rPr>
      </w:pPr>
      <w:r w:rsidRPr="00BE133F">
        <w:rPr>
          <w:rFonts w:ascii="Verdana" w:hAnsi="Verdana"/>
          <w:b/>
          <w:sz w:val="20"/>
          <w:szCs w:val="20"/>
        </w:rPr>
        <w:t>DECIDE:</w:t>
      </w:r>
    </w:p>
    <w:p w14:paraId="77788D9D" w14:textId="77777777" w:rsidR="00577097" w:rsidRPr="00BE133F" w:rsidRDefault="00577097" w:rsidP="00577097">
      <w:pPr>
        <w:spacing w:after="0" w:line="240" w:lineRule="auto"/>
        <w:rPr>
          <w:rFonts w:ascii="Verdana" w:hAnsi="Verdana"/>
          <w:sz w:val="20"/>
          <w:szCs w:val="20"/>
        </w:rPr>
      </w:pPr>
    </w:p>
    <w:p w14:paraId="66DDAFAD" w14:textId="1FCB0279" w:rsidR="00577097" w:rsidRPr="00BE133F" w:rsidRDefault="00577097" w:rsidP="00577097">
      <w:pPr>
        <w:tabs>
          <w:tab w:val="center" w:pos="4252"/>
          <w:tab w:val="right" w:pos="8504"/>
        </w:tabs>
        <w:spacing w:after="0" w:line="240" w:lineRule="auto"/>
        <w:rPr>
          <w:rFonts w:ascii="Verdana" w:hAnsi="Verdana"/>
          <w:sz w:val="20"/>
          <w:szCs w:val="20"/>
        </w:rPr>
      </w:pPr>
      <w:r w:rsidRPr="00BE133F">
        <w:rPr>
          <w:rFonts w:ascii="Verdana" w:hAnsi="Verdana"/>
          <w:sz w:val="20"/>
          <w:szCs w:val="20"/>
        </w:rPr>
        <w:t xml:space="preserve">Por </w:t>
      </w:r>
      <w:r w:rsidR="009B3911">
        <w:rPr>
          <w:rFonts w:ascii="Verdana" w:hAnsi="Verdana"/>
          <w:sz w:val="20"/>
          <w:szCs w:val="20"/>
        </w:rPr>
        <w:t>unanimidad</w:t>
      </w:r>
      <w:r w:rsidRPr="00BE133F">
        <w:rPr>
          <w:rFonts w:ascii="Verdana" w:hAnsi="Verdana"/>
          <w:sz w:val="20"/>
          <w:szCs w:val="20"/>
        </w:rPr>
        <w:t>,</w:t>
      </w:r>
    </w:p>
    <w:p w14:paraId="61A97290" w14:textId="77777777" w:rsidR="00577097" w:rsidRPr="00BE133F" w:rsidRDefault="00577097" w:rsidP="00577097">
      <w:pPr>
        <w:spacing w:after="0" w:line="240" w:lineRule="auto"/>
        <w:jc w:val="both"/>
        <w:rPr>
          <w:rFonts w:ascii="Verdana" w:hAnsi="Verdana"/>
          <w:sz w:val="20"/>
          <w:szCs w:val="20"/>
          <w:u w:val="single"/>
        </w:rPr>
      </w:pPr>
    </w:p>
    <w:p w14:paraId="3C9CDBAC" w14:textId="69240FAB" w:rsidR="00543B7C" w:rsidRDefault="008213BB" w:rsidP="00411AA0">
      <w:pPr>
        <w:numPr>
          <w:ilvl w:val="0"/>
          <w:numId w:val="2"/>
        </w:numPr>
        <w:spacing w:after="0" w:line="240" w:lineRule="auto"/>
        <w:ind w:left="0" w:firstLine="0"/>
        <w:jc w:val="both"/>
        <w:rPr>
          <w:rFonts w:ascii="Verdana" w:hAnsi="Verdana"/>
          <w:sz w:val="20"/>
          <w:szCs w:val="20"/>
        </w:rPr>
      </w:pPr>
      <w:r>
        <w:rPr>
          <w:rFonts w:ascii="Verdana" w:hAnsi="Verdana"/>
          <w:sz w:val="20"/>
          <w:szCs w:val="20"/>
        </w:rPr>
        <w:t xml:space="preserve">Declarar admisible la solicitud de interpretación </w:t>
      </w:r>
      <w:r w:rsidR="00AC63CC">
        <w:rPr>
          <w:rFonts w:ascii="Verdana" w:hAnsi="Verdana"/>
          <w:sz w:val="20"/>
          <w:szCs w:val="20"/>
        </w:rPr>
        <w:t xml:space="preserve">presentada por </w:t>
      </w:r>
      <w:r w:rsidR="00543B7C">
        <w:rPr>
          <w:rFonts w:ascii="Verdana" w:hAnsi="Verdana"/>
          <w:sz w:val="20"/>
          <w:szCs w:val="20"/>
        </w:rPr>
        <w:t>los representantes de las víctimas</w:t>
      </w:r>
      <w:r w:rsidR="00DC68E6">
        <w:rPr>
          <w:rFonts w:ascii="Verdana" w:hAnsi="Verdana"/>
          <w:sz w:val="20"/>
          <w:szCs w:val="20"/>
        </w:rPr>
        <w:t xml:space="preserve"> y por el Estado</w:t>
      </w:r>
      <w:r w:rsidR="00AC63CC">
        <w:rPr>
          <w:rFonts w:ascii="Verdana" w:hAnsi="Verdana"/>
          <w:sz w:val="20"/>
          <w:szCs w:val="20"/>
        </w:rPr>
        <w:t xml:space="preserve">, </w:t>
      </w:r>
      <w:r w:rsidR="006B7212">
        <w:rPr>
          <w:rFonts w:ascii="Verdana" w:hAnsi="Verdana"/>
          <w:sz w:val="20"/>
          <w:szCs w:val="20"/>
        </w:rPr>
        <w:t>en relación con</w:t>
      </w:r>
      <w:r>
        <w:rPr>
          <w:rFonts w:ascii="Verdana" w:hAnsi="Verdana"/>
          <w:sz w:val="20"/>
          <w:szCs w:val="20"/>
        </w:rPr>
        <w:t xml:space="preserve"> la </w:t>
      </w:r>
      <w:r w:rsidR="00AC63CC" w:rsidRPr="00BE133F">
        <w:rPr>
          <w:rFonts w:ascii="Verdana" w:hAnsi="Verdana"/>
          <w:sz w:val="20"/>
          <w:szCs w:val="20"/>
        </w:rPr>
        <w:t>Sentencia de Excepciones Preliminares, Fondo, Reparaciones y Costas dictada en el caso</w:t>
      </w:r>
      <w:r w:rsidR="00DC68E6">
        <w:rPr>
          <w:rFonts w:ascii="Verdana" w:hAnsi="Verdana"/>
          <w:sz w:val="20"/>
          <w:szCs w:val="20"/>
        </w:rPr>
        <w:t xml:space="preserve"> Asociación Nacional de Cesantes y Jubilados de la Superintendencia Nacional de Administración Tributaria (ANCEJUB-SUNAT) Vs. Perú</w:t>
      </w:r>
      <w:r w:rsidR="00543B7C">
        <w:rPr>
          <w:rFonts w:ascii="Verdana" w:hAnsi="Verdana"/>
          <w:sz w:val="20"/>
          <w:szCs w:val="20"/>
        </w:rPr>
        <w:t xml:space="preserve"> en términos del párrafo </w:t>
      </w:r>
      <w:r w:rsidR="00EE2CEA">
        <w:rPr>
          <w:rFonts w:ascii="Verdana" w:hAnsi="Verdana"/>
          <w:sz w:val="20"/>
          <w:szCs w:val="20"/>
        </w:rPr>
        <w:t>8</w:t>
      </w:r>
      <w:r w:rsidR="00543B7C">
        <w:rPr>
          <w:rFonts w:ascii="Verdana" w:hAnsi="Verdana"/>
          <w:sz w:val="20"/>
          <w:szCs w:val="20"/>
        </w:rPr>
        <w:t xml:space="preserve"> de la presente Sentencia</w:t>
      </w:r>
      <w:r w:rsidR="00DC68E6">
        <w:rPr>
          <w:rFonts w:ascii="Verdana" w:hAnsi="Verdana"/>
          <w:sz w:val="20"/>
          <w:szCs w:val="20"/>
        </w:rPr>
        <w:t>.</w:t>
      </w:r>
    </w:p>
    <w:p w14:paraId="68A43BC2" w14:textId="77777777" w:rsidR="00543B7C" w:rsidRDefault="00543B7C" w:rsidP="00543B7C">
      <w:pPr>
        <w:spacing w:after="0" w:line="240" w:lineRule="auto"/>
        <w:jc w:val="both"/>
        <w:rPr>
          <w:rFonts w:ascii="Verdana" w:hAnsi="Verdana"/>
          <w:sz w:val="20"/>
          <w:szCs w:val="20"/>
        </w:rPr>
      </w:pPr>
    </w:p>
    <w:p w14:paraId="15CDF74D" w14:textId="29378F70" w:rsidR="00C462FA" w:rsidRDefault="00543B7C" w:rsidP="00C462FA">
      <w:pPr>
        <w:numPr>
          <w:ilvl w:val="0"/>
          <w:numId w:val="2"/>
        </w:numPr>
        <w:spacing w:after="0" w:line="240" w:lineRule="auto"/>
        <w:ind w:left="0" w:firstLine="0"/>
        <w:jc w:val="both"/>
        <w:rPr>
          <w:rFonts w:ascii="Verdana" w:hAnsi="Verdana"/>
          <w:sz w:val="20"/>
          <w:szCs w:val="20"/>
        </w:rPr>
      </w:pPr>
      <w:r w:rsidRPr="00543B7C">
        <w:rPr>
          <w:rFonts w:ascii="Verdana" w:hAnsi="Verdana"/>
          <w:sz w:val="20"/>
          <w:szCs w:val="20"/>
        </w:rPr>
        <w:t>Aclarar</w:t>
      </w:r>
      <w:r w:rsidR="00067B12">
        <w:rPr>
          <w:rFonts w:ascii="Verdana" w:hAnsi="Verdana"/>
          <w:sz w:val="20"/>
          <w:szCs w:val="20"/>
        </w:rPr>
        <w:t>, por medio de Interpretación</w:t>
      </w:r>
      <w:r w:rsidR="00C462FA">
        <w:rPr>
          <w:rFonts w:ascii="Verdana" w:hAnsi="Verdana"/>
          <w:sz w:val="20"/>
          <w:szCs w:val="20"/>
        </w:rPr>
        <w:t>,</w:t>
      </w:r>
      <w:r w:rsidRPr="00543B7C">
        <w:rPr>
          <w:rFonts w:ascii="Verdana" w:hAnsi="Verdana"/>
          <w:sz w:val="20"/>
          <w:szCs w:val="20"/>
        </w:rPr>
        <w:t xml:space="preserve"> la Sentencia de Fondo, Reparaciones y Costas emitida en el </w:t>
      </w:r>
      <w:r>
        <w:rPr>
          <w:rFonts w:ascii="Verdana" w:hAnsi="Verdana"/>
          <w:sz w:val="20"/>
          <w:szCs w:val="20"/>
        </w:rPr>
        <w:t xml:space="preserve">Caso </w:t>
      </w:r>
      <w:r w:rsidRPr="00543B7C">
        <w:rPr>
          <w:rFonts w:ascii="Verdana" w:hAnsi="Verdana"/>
          <w:sz w:val="20"/>
          <w:szCs w:val="20"/>
        </w:rPr>
        <w:t>Asociación Nacional de Cesantes y Jubilados de la Superintendencia Nacional de Administración Tributaria (ANCEJUB-SUNAT) Vs. Perú,</w:t>
      </w:r>
      <w:r w:rsidR="00067B12">
        <w:rPr>
          <w:rFonts w:ascii="Verdana" w:hAnsi="Verdana"/>
          <w:sz w:val="20"/>
          <w:szCs w:val="20"/>
        </w:rPr>
        <w:t xml:space="preserve"> presentada por los representantes</w:t>
      </w:r>
      <w:r w:rsidR="00A65AF1">
        <w:rPr>
          <w:rFonts w:ascii="Verdana" w:hAnsi="Verdana"/>
          <w:sz w:val="20"/>
          <w:szCs w:val="20"/>
        </w:rPr>
        <w:t>,</w:t>
      </w:r>
      <w:r w:rsidR="00067B12">
        <w:rPr>
          <w:rFonts w:ascii="Verdana" w:hAnsi="Verdana"/>
          <w:sz w:val="20"/>
          <w:szCs w:val="20"/>
        </w:rPr>
        <w:t xml:space="preserve"> en el extremo que se refiere a la determinación del número de víctimas previsto en los párrafos 120, 121, 122, 123 y 138,</w:t>
      </w:r>
      <w:r w:rsidRPr="00543B7C">
        <w:rPr>
          <w:rFonts w:ascii="Verdana" w:hAnsi="Verdana"/>
          <w:sz w:val="20"/>
          <w:szCs w:val="20"/>
        </w:rPr>
        <w:t xml:space="preserve"> en los términos de</w:t>
      </w:r>
      <w:r w:rsidR="00AB5017">
        <w:rPr>
          <w:rFonts w:ascii="Verdana" w:hAnsi="Verdana"/>
          <w:sz w:val="20"/>
          <w:szCs w:val="20"/>
        </w:rPr>
        <w:t xml:space="preserve"> </w:t>
      </w:r>
      <w:r w:rsidRPr="00543B7C">
        <w:rPr>
          <w:rFonts w:ascii="Verdana" w:hAnsi="Verdana"/>
          <w:sz w:val="20"/>
          <w:szCs w:val="20"/>
        </w:rPr>
        <w:t>l</w:t>
      </w:r>
      <w:r w:rsidR="00AB5017">
        <w:rPr>
          <w:rFonts w:ascii="Verdana" w:hAnsi="Verdana"/>
          <w:sz w:val="20"/>
          <w:szCs w:val="20"/>
        </w:rPr>
        <w:t>os</w:t>
      </w:r>
      <w:r w:rsidRPr="00543B7C">
        <w:rPr>
          <w:rFonts w:ascii="Verdana" w:hAnsi="Verdana"/>
          <w:sz w:val="20"/>
          <w:szCs w:val="20"/>
        </w:rPr>
        <w:t xml:space="preserve"> párrafo</w:t>
      </w:r>
      <w:r w:rsidR="00AB5017">
        <w:rPr>
          <w:rFonts w:ascii="Verdana" w:hAnsi="Verdana"/>
          <w:sz w:val="20"/>
          <w:szCs w:val="20"/>
        </w:rPr>
        <w:t>s</w:t>
      </w:r>
      <w:r w:rsidRPr="00543B7C">
        <w:rPr>
          <w:rFonts w:ascii="Verdana" w:hAnsi="Verdana"/>
          <w:sz w:val="20"/>
          <w:szCs w:val="20"/>
        </w:rPr>
        <w:t xml:space="preserve"> </w:t>
      </w:r>
      <w:r w:rsidR="00C462FA">
        <w:rPr>
          <w:rFonts w:ascii="Verdana" w:hAnsi="Verdana"/>
          <w:sz w:val="20"/>
          <w:szCs w:val="20"/>
        </w:rPr>
        <w:t>17 a 19</w:t>
      </w:r>
      <w:r w:rsidRPr="00543B7C">
        <w:rPr>
          <w:rFonts w:ascii="Verdana" w:hAnsi="Verdana"/>
          <w:sz w:val="20"/>
          <w:szCs w:val="20"/>
        </w:rPr>
        <w:t xml:space="preserve"> de la presente Sentencia de Interpretación. </w:t>
      </w:r>
    </w:p>
    <w:p w14:paraId="0446A4EF" w14:textId="6FCC1027" w:rsidR="00C462FA" w:rsidRPr="00C462FA" w:rsidRDefault="00C462FA" w:rsidP="00C462FA">
      <w:pPr>
        <w:spacing w:after="0" w:line="240" w:lineRule="auto"/>
        <w:jc w:val="both"/>
        <w:rPr>
          <w:rFonts w:ascii="Verdana" w:hAnsi="Verdana"/>
          <w:sz w:val="20"/>
          <w:szCs w:val="20"/>
        </w:rPr>
      </w:pPr>
    </w:p>
    <w:p w14:paraId="049A03F0" w14:textId="785CD3AF" w:rsidR="00C462FA" w:rsidRPr="00C462FA" w:rsidRDefault="00C462FA" w:rsidP="00BC0529">
      <w:pPr>
        <w:numPr>
          <w:ilvl w:val="0"/>
          <w:numId w:val="2"/>
        </w:numPr>
        <w:spacing w:after="0" w:line="240" w:lineRule="auto"/>
        <w:ind w:left="0" w:firstLine="0"/>
        <w:jc w:val="both"/>
        <w:rPr>
          <w:rFonts w:ascii="Verdana" w:hAnsi="Verdana"/>
          <w:sz w:val="20"/>
          <w:szCs w:val="20"/>
        </w:rPr>
      </w:pPr>
      <w:r w:rsidRPr="00543B7C">
        <w:rPr>
          <w:rFonts w:ascii="Verdana" w:hAnsi="Verdana"/>
          <w:sz w:val="20"/>
          <w:szCs w:val="20"/>
        </w:rPr>
        <w:t>Aclarar, por medio de Interpretación</w:t>
      </w:r>
      <w:r w:rsidR="00067B12">
        <w:rPr>
          <w:rFonts w:ascii="Verdana" w:hAnsi="Verdana"/>
          <w:sz w:val="20"/>
          <w:szCs w:val="20"/>
        </w:rPr>
        <w:t xml:space="preserve">, </w:t>
      </w:r>
      <w:r w:rsidRPr="00543B7C">
        <w:rPr>
          <w:rFonts w:ascii="Verdana" w:hAnsi="Verdana"/>
          <w:sz w:val="20"/>
          <w:szCs w:val="20"/>
        </w:rPr>
        <w:t xml:space="preserve">la Sentencia de Fondo, Reparaciones y Costas emitida en el </w:t>
      </w:r>
      <w:r>
        <w:rPr>
          <w:rFonts w:ascii="Verdana" w:hAnsi="Verdana"/>
          <w:sz w:val="20"/>
          <w:szCs w:val="20"/>
        </w:rPr>
        <w:t xml:space="preserve">Caso </w:t>
      </w:r>
      <w:r w:rsidRPr="00543B7C">
        <w:rPr>
          <w:rFonts w:ascii="Verdana" w:hAnsi="Verdana"/>
          <w:sz w:val="20"/>
          <w:szCs w:val="20"/>
        </w:rPr>
        <w:t>Asociación Nacional de Cesantes y Jubilados de la Superintendencia Nacional de Administración Tributaria (ANCEJUB-SUNAT) Vs. Perú,</w:t>
      </w:r>
      <w:r w:rsidR="00067B12">
        <w:rPr>
          <w:rFonts w:ascii="Verdana" w:hAnsi="Verdana"/>
          <w:sz w:val="20"/>
          <w:szCs w:val="20"/>
        </w:rPr>
        <w:t xml:space="preserve"> presentada por los representantes</w:t>
      </w:r>
      <w:r w:rsidR="00A65AF1">
        <w:rPr>
          <w:rFonts w:ascii="Verdana" w:hAnsi="Verdana"/>
          <w:sz w:val="20"/>
          <w:szCs w:val="20"/>
        </w:rPr>
        <w:t>,</w:t>
      </w:r>
      <w:r w:rsidR="00067B12">
        <w:rPr>
          <w:rFonts w:ascii="Verdana" w:hAnsi="Verdana"/>
          <w:sz w:val="20"/>
          <w:szCs w:val="20"/>
        </w:rPr>
        <w:t xml:space="preserve"> en el extremo que se refiere al alcance del párrafo 217 y el Punto Resolutivo Sexto</w:t>
      </w:r>
      <w:r w:rsidR="00A65AF1">
        <w:rPr>
          <w:rFonts w:ascii="Verdana" w:hAnsi="Verdana"/>
          <w:sz w:val="20"/>
          <w:szCs w:val="20"/>
        </w:rPr>
        <w:t>,</w:t>
      </w:r>
      <w:r w:rsidRPr="00543B7C">
        <w:rPr>
          <w:rFonts w:ascii="Verdana" w:hAnsi="Verdana"/>
          <w:sz w:val="20"/>
          <w:szCs w:val="20"/>
        </w:rPr>
        <w:t xml:space="preserve"> en los términos de</w:t>
      </w:r>
      <w:r>
        <w:rPr>
          <w:rFonts w:ascii="Verdana" w:hAnsi="Verdana"/>
          <w:sz w:val="20"/>
          <w:szCs w:val="20"/>
        </w:rPr>
        <w:t xml:space="preserve"> </w:t>
      </w:r>
      <w:r w:rsidRPr="00543B7C">
        <w:rPr>
          <w:rFonts w:ascii="Verdana" w:hAnsi="Verdana"/>
          <w:sz w:val="20"/>
          <w:szCs w:val="20"/>
        </w:rPr>
        <w:t>l</w:t>
      </w:r>
      <w:r>
        <w:rPr>
          <w:rFonts w:ascii="Verdana" w:hAnsi="Verdana"/>
          <w:sz w:val="20"/>
          <w:szCs w:val="20"/>
        </w:rPr>
        <w:t>os</w:t>
      </w:r>
      <w:r w:rsidRPr="00543B7C">
        <w:rPr>
          <w:rFonts w:ascii="Verdana" w:hAnsi="Verdana"/>
          <w:sz w:val="20"/>
          <w:szCs w:val="20"/>
        </w:rPr>
        <w:t xml:space="preserve"> párrafo</w:t>
      </w:r>
      <w:r>
        <w:rPr>
          <w:rFonts w:ascii="Verdana" w:hAnsi="Verdana"/>
          <w:sz w:val="20"/>
          <w:szCs w:val="20"/>
        </w:rPr>
        <w:t>s</w:t>
      </w:r>
      <w:r w:rsidRPr="00543B7C">
        <w:rPr>
          <w:rFonts w:ascii="Verdana" w:hAnsi="Verdana"/>
          <w:sz w:val="20"/>
          <w:szCs w:val="20"/>
        </w:rPr>
        <w:t xml:space="preserve"> </w:t>
      </w:r>
      <w:r>
        <w:rPr>
          <w:rFonts w:ascii="Verdana" w:hAnsi="Verdana"/>
          <w:sz w:val="20"/>
          <w:szCs w:val="20"/>
        </w:rPr>
        <w:t>20 a 22</w:t>
      </w:r>
      <w:r w:rsidRPr="00543B7C">
        <w:rPr>
          <w:rFonts w:ascii="Verdana" w:hAnsi="Verdana"/>
          <w:sz w:val="20"/>
          <w:szCs w:val="20"/>
        </w:rPr>
        <w:t xml:space="preserve"> de la presente Sentencia de Interpretación</w:t>
      </w:r>
      <w:r w:rsidR="000950B9">
        <w:rPr>
          <w:rFonts w:ascii="Verdana" w:hAnsi="Verdana"/>
          <w:sz w:val="20"/>
          <w:szCs w:val="20"/>
        </w:rPr>
        <w:t>.</w:t>
      </w:r>
    </w:p>
    <w:p w14:paraId="650B6C87" w14:textId="77777777" w:rsidR="00C462FA" w:rsidRPr="00BC0529" w:rsidRDefault="00C462FA" w:rsidP="00BC0529">
      <w:pPr>
        <w:spacing w:after="0" w:line="240" w:lineRule="auto"/>
        <w:jc w:val="both"/>
        <w:rPr>
          <w:rFonts w:ascii="Verdana" w:hAnsi="Verdana"/>
          <w:sz w:val="20"/>
          <w:szCs w:val="20"/>
        </w:rPr>
      </w:pPr>
    </w:p>
    <w:p w14:paraId="23393E79" w14:textId="42D12291" w:rsidR="00BC0529" w:rsidRPr="00543B7C" w:rsidRDefault="00BC0529" w:rsidP="00543B7C">
      <w:pPr>
        <w:numPr>
          <w:ilvl w:val="0"/>
          <w:numId w:val="2"/>
        </w:numPr>
        <w:spacing w:after="0" w:line="240" w:lineRule="auto"/>
        <w:ind w:left="0" w:firstLine="0"/>
        <w:jc w:val="both"/>
        <w:rPr>
          <w:rFonts w:ascii="Verdana" w:hAnsi="Verdana"/>
          <w:sz w:val="20"/>
          <w:szCs w:val="20"/>
        </w:rPr>
      </w:pPr>
      <w:r w:rsidRPr="00543B7C">
        <w:rPr>
          <w:rFonts w:ascii="Verdana" w:hAnsi="Verdana"/>
          <w:sz w:val="20"/>
          <w:szCs w:val="20"/>
        </w:rPr>
        <w:t>Aclar</w:t>
      </w:r>
      <w:r w:rsidR="00067B12">
        <w:rPr>
          <w:rFonts w:ascii="Verdana" w:hAnsi="Verdana"/>
          <w:sz w:val="20"/>
          <w:szCs w:val="20"/>
        </w:rPr>
        <w:t>ar, por medio de Interpretación</w:t>
      </w:r>
      <w:r w:rsidR="00C462FA">
        <w:rPr>
          <w:rFonts w:ascii="Verdana" w:hAnsi="Verdana"/>
          <w:sz w:val="20"/>
          <w:szCs w:val="20"/>
        </w:rPr>
        <w:t>,</w:t>
      </w:r>
      <w:r w:rsidRPr="00543B7C">
        <w:rPr>
          <w:rFonts w:ascii="Verdana" w:hAnsi="Verdana"/>
          <w:sz w:val="20"/>
          <w:szCs w:val="20"/>
        </w:rPr>
        <w:t xml:space="preserve"> la Sentencia de Fondo, Reparaciones y Costas emitida en el </w:t>
      </w:r>
      <w:r>
        <w:rPr>
          <w:rFonts w:ascii="Verdana" w:hAnsi="Verdana"/>
          <w:sz w:val="20"/>
          <w:szCs w:val="20"/>
        </w:rPr>
        <w:t xml:space="preserve">Caso </w:t>
      </w:r>
      <w:r w:rsidRPr="00543B7C">
        <w:rPr>
          <w:rFonts w:ascii="Verdana" w:hAnsi="Verdana"/>
          <w:sz w:val="20"/>
          <w:szCs w:val="20"/>
        </w:rPr>
        <w:t>Asociación Nacional de Cesantes y Jubilados de la Superintendencia Nacional de Administración Tributaria (ANCEJUB-SUNAT) Vs. Perú,</w:t>
      </w:r>
      <w:r w:rsidR="00067B12">
        <w:rPr>
          <w:rFonts w:ascii="Verdana" w:hAnsi="Verdana"/>
          <w:sz w:val="20"/>
          <w:szCs w:val="20"/>
        </w:rPr>
        <w:t xml:space="preserve"> presentada por los representantes y </w:t>
      </w:r>
      <w:r w:rsidR="00067B12">
        <w:rPr>
          <w:rFonts w:ascii="Verdana" w:hAnsi="Verdana"/>
          <w:sz w:val="20"/>
          <w:szCs w:val="20"/>
        </w:rPr>
        <w:lastRenderedPageBreak/>
        <w:t>el Estado</w:t>
      </w:r>
      <w:r w:rsidR="00A65AF1">
        <w:rPr>
          <w:rFonts w:ascii="Verdana" w:hAnsi="Verdana"/>
          <w:sz w:val="20"/>
          <w:szCs w:val="20"/>
        </w:rPr>
        <w:t>,</w:t>
      </w:r>
      <w:r w:rsidR="00067B12">
        <w:rPr>
          <w:rFonts w:ascii="Verdana" w:hAnsi="Verdana"/>
          <w:sz w:val="20"/>
          <w:szCs w:val="20"/>
        </w:rPr>
        <w:t xml:space="preserve"> en el extremo que se refiere a los párrafos 225, 226, 227 y el Punto Resolutivo Octavo</w:t>
      </w:r>
      <w:r w:rsidR="00A65AF1">
        <w:rPr>
          <w:rFonts w:ascii="Verdana" w:hAnsi="Verdana"/>
          <w:sz w:val="20"/>
          <w:szCs w:val="20"/>
        </w:rPr>
        <w:t>,</w:t>
      </w:r>
      <w:r w:rsidRPr="00543B7C">
        <w:rPr>
          <w:rFonts w:ascii="Verdana" w:hAnsi="Verdana"/>
          <w:sz w:val="20"/>
          <w:szCs w:val="20"/>
        </w:rPr>
        <w:t xml:space="preserve"> en los términos de</w:t>
      </w:r>
      <w:r>
        <w:rPr>
          <w:rFonts w:ascii="Verdana" w:hAnsi="Verdana"/>
          <w:sz w:val="20"/>
          <w:szCs w:val="20"/>
        </w:rPr>
        <w:t xml:space="preserve"> </w:t>
      </w:r>
      <w:r w:rsidRPr="00543B7C">
        <w:rPr>
          <w:rFonts w:ascii="Verdana" w:hAnsi="Verdana"/>
          <w:sz w:val="20"/>
          <w:szCs w:val="20"/>
        </w:rPr>
        <w:t>l</w:t>
      </w:r>
      <w:r>
        <w:rPr>
          <w:rFonts w:ascii="Verdana" w:hAnsi="Verdana"/>
          <w:sz w:val="20"/>
          <w:szCs w:val="20"/>
        </w:rPr>
        <w:t>os</w:t>
      </w:r>
      <w:r w:rsidRPr="00543B7C">
        <w:rPr>
          <w:rFonts w:ascii="Verdana" w:hAnsi="Verdana"/>
          <w:sz w:val="20"/>
          <w:szCs w:val="20"/>
        </w:rPr>
        <w:t xml:space="preserve"> párrafo</w:t>
      </w:r>
      <w:r>
        <w:rPr>
          <w:rFonts w:ascii="Verdana" w:hAnsi="Verdana"/>
          <w:sz w:val="20"/>
          <w:szCs w:val="20"/>
        </w:rPr>
        <w:t>s</w:t>
      </w:r>
      <w:r w:rsidRPr="00543B7C">
        <w:rPr>
          <w:rFonts w:ascii="Verdana" w:hAnsi="Verdana"/>
          <w:sz w:val="20"/>
          <w:szCs w:val="20"/>
        </w:rPr>
        <w:t xml:space="preserve"> </w:t>
      </w:r>
      <w:r>
        <w:rPr>
          <w:rFonts w:ascii="Verdana" w:hAnsi="Verdana"/>
          <w:sz w:val="20"/>
          <w:szCs w:val="20"/>
        </w:rPr>
        <w:t>30 a 34</w:t>
      </w:r>
      <w:r w:rsidRPr="00543B7C">
        <w:rPr>
          <w:rFonts w:ascii="Verdana" w:hAnsi="Verdana"/>
          <w:sz w:val="20"/>
          <w:szCs w:val="20"/>
        </w:rPr>
        <w:t xml:space="preserve"> de la presente Sentencia de Interpretación. </w:t>
      </w:r>
    </w:p>
    <w:p w14:paraId="2543A5E5" w14:textId="77777777" w:rsidR="00543B7C" w:rsidRPr="00543B7C" w:rsidRDefault="00543B7C" w:rsidP="00543B7C">
      <w:pPr>
        <w:spacing w:after="0" w:line="240" w:lineRule="auto"/>
        <w:jc w:val="both"/>
        <w:rPr>
          <w:rFonts w:ascii="Verdana" w:hAnsi="Verdana"/>
          <w:sz w:val="20"/>
          <w:szCs w:val="20"/>
        </w:rPr>
      </w:pPr>
    </w:p>
    <w:p w14:paraId="2F4001F5" w14:textId="6D168763" w:rsidR="00543B7C" w:rsidRDefault="00543B7C" w:rsidP="00543B7C">
      <w:pPr>
        <w:numPr>
          <w:ilvl w:val="0"/>
          <w:numId w:val="2"/>
        </w:numPr>
        <w:spacing w:after="0" w:line="240" w:lineRule="auto"/>
        <w:ind w:left="0" w:firstLine="0"/>
        <w:jc w:val="both"/>
        <w:rPr>
          <w:rFonts w:ascii="Verdana" w:hAnsi="Verdana"/>
          <w:sz w:val="20"/>
          <w:szCs w:val="20"/>
        </w:rPr>
      </w:pPr>
      <w:r w:rsidRPr="00543B7C">
        <w:rPr>
          <w:rFonts w:ascii="Verdana" w:hAnsi="Verdana"/>
          <w:sz w:val="20"/>
          <w:szCs w:val="20"/>
        </w:rPr>
        <w:t xml:space="preserve">Desestimar por improcedente la solicitud de interpretación de la Sentencia de Fondo, Reparaciones y Costas emitida en el </w:t>
      </w:r>
      <w:r>
        <w:rPr>
          <w:rFonts w:ascii="Verdana" w:hAnsi="Verdana"/>
          <w:sz w:val="20"/>
          <w:szCs w:val="20"/>
        </w:rPr>
        <w:t xml:space="preserve">Caso </w:t>
      </w:r>
      <w:r w:rsidRPr="00543B7C">
        <w:rPr>
          <w:rFonts w:ascii="Verdana" w:hAnsi="Verdana"/>
          <w:sz w:val="20"/>
          <w:szCs w:val="20"/>
        </w:rPr>
        <w:t>Asociación Nacional de Cesantes y Jubilados de la Superintendencia Nacional de Administración Tributaria (ANCEJUB-SUNA</w:t>
      </w:r>
      <w:r w:rsidR="00AB5017">
        <w:rPr>
          <w:rFonts w:ascii="Verdana" w:hAnsi="Verdana"/>
          <w:sz w:val="20"/>
          <w:szCs w:val="20"/>
        </w:rPr>
        <w:t>T) Vs. Perú</w:t>
      </w:r>
      <w:r w:rsidR="00C7103D">
        <w:rPr>
          <w:rFonts w:ascii="Verdana" w:hAnsi="Verdana"/>
          <w:sz w:val="20"/>
          <w:szCs w:val="20"/>
        </w:rPr>
        <w:t xml:space="preserve"> presentada por los representantes en el extremo que se refiere al </w:t>
      </w:r>
      <w:r w:rsidR="00C7103D">
        <w:rPr>
          <w:rFonts w:ascii="Verdana" w:hAnsi="Verdana" w:cs="Arial"/>
          <w:sz w:val="20"/>
          <w:szCs w:val="20"/>
          <w:lang w:val="es-CO"/>
        </w:rPr>
        <w:t>Punto Resolutivo Sexto</w:t>
      </w:r>
      <w:r w:rsidR="00AB5017">
        <w:rPr>
          <w:rFonts w:ascii="Verdana" w:hAnsi="Verdana"/>
          <w:sz w:val="20"/>
          <w:szCs w:val="20"/>
        </w:rPr>
        <w:t xml:space="preserve">, en los términos del párrafo 23 </w:t>
      </w:r>
      <w:r w:rsidRPr="00543B7C">
        <w:rPr>
          <w:rFonts w:ascii="Verdana" w:hAnsi="Verdana"/>
          <w:sz w:val="20"/>
          <w:szCs w:val="20"/>
        </w:rPr>
        <w:t>de la presen</w:t>
      </w:r>
      <w:r w:rsidR="00067B12">
        <w:rPr>
          <w:rFonts w:ascii="Verdana" w:hAnsi="Verdana"/>
          <w:sz w:val="20"/>
          <w:szCs w:val="20"/>
        </w:rPr>
        <w:t>te Sentencia de Interpretación.</w:t>
      </w:r>
    </w:p>
    <w:p w14:paraId="4597DD95" w14:textId="77777777" w:rsidR="00543B7C" w:rsidRPr="00543B7C" w:rsidRDefault="00543B7C" w:rsidP="00543B7C">
      <w:pPr>
        <w:spacing w:after="0" w:line="240" w:lineRule="auto"/>
        <w:jc w:val="both"/>
        <w:rPr>
          <w:rFonts w:ascii="Verdana" w:hAnsi="Verdana"/>
          <w:sz w:val="20"/>
          <w:szCs w:val="20"/>
        </w:rPr>
      </w:pPr>
    </w:p>
    <w:p w14:paraId="6E1C8534" w14:textId="5ADE8546" w:rsidR="00411AA0" w:rsidRPr="00543B7C" w:rsidRDefault="00543B7C" w:rsidP="00543B7C">
      <w:pPr>
        <w:numPr>
          <w:ilvl w:val="0"/>
          <w:numId w:val="2"/>
        </w:numPr>
        <w:spacing w:after="0" w:line="240" w:lineRule="auto"/>
        <w:ind w:left="0" w:firstLine="0"/>
        <w:jc w:val="both"/>
        <w:rPr>
          <w:rFonts w:ascii="Verdana" w:hAnsi="Verdana"/>
          <w:sz w:val="20"/>
          <w:szCs w:val="20"/>
        </w:rPr>
      </w:pPr>
      <w:r w:rsidRPr="00543B7C">
        <w:rPr>
          <w:rFonts w:ascii="Verdana" w:hAnsi="Verdana"/>
          <w:sz w:val="20"/>
          <w:szCs w:val="20"/>
        </w:rPr>
        <w:t>Disponer que la Secretaría de la Corte notifique la presente Sentencia</w:t>
      </w:r>
      <w:r w:rsidR="009B3911">
        <w:rPr>
          <w:rFonts w:ascii="Verdana" w:hAnsi="Verdana"/>
          <w:sz w:val="20"/>
          <w:szCs w:val="20"/>
        </w:rPr>
        <w:t xml:space="preserve"> de Interpretación al Estado, lo</w:t>
      </w:r>
      <w:r w:rsidRPr="00543B7C">
        <w:rPr>
          <w:rFonts w:ascii="Verdana" w:hAnsi="Verdana"/>
          <w:sz w:val="20"/>
          <w:szCs w:val="20"/>
        </w:rPr>
        <w:t>s representantes y a la Comisión.</w:t>
      </w:r>
    </w:p>
    <w:p w14:paraId="572F0131" w14:textId="77777777" w:rsidR="00543B7C" w:rsidRDefault="00543B7C">
      <w:pPr>
        <w:rPr>
          <w:rFonts w:ascii="Verdana" w:hAnsi="Verdana"/>
          <w:sz w:val="20"/>
          <w:szCs w:val="20"/>
        </w:rPr>
      </w:pPr>
      <w:r>
        <w:rPr>
          <w:rFonts w:ascii="Verdana" w:hAnsi="Verdana"/>
          <w:sz w:val="20"/>
          <w:szCs w:val="20"/>
        </w:rPr>
        <w:br w:type="page"/>
      </w:r>
    </w:p>
    <w:p w14:paraId="414DA4D2" w14:textId="02DAD4F3" w:rsidR="004D022F" w:rsidRPr="0012360A" w:rsidRDefault="004D022F" w:rsidP="004D022F">
      <w:pPr>
        <w:keepNext/>
        <w:spacing w:after="0" w:line="240" w:lineRule="auto"/>
        <w:jc w:val="both"/>
        <w:outlineLvl w:val="0"/>
        <w:rPr>
          <w:rFonts w:ascii="Verdana" w:eastAsia="Times" w:hAnsi="Verdana"/>
          <w:sz w:val="20"/>
          <w:szCs w:val="20"/>
        </w:rPr>
      </w:pPr>
      <w:r w:rsidRPr="0012360A">
        <w:rPr>
          <w:rFonts w:ascii="Verdana" w:eastAsia="Times" w:hAnsi="Verdana"/>
          <w:sz w:val="20"/>
          <w:szCs w:val="20"/>
        </w:rPr>
        <w:lastRenderedPageBreak/>
        <w:t xml:space="preserve">Corte IDH. </w:t>
      </w:r>
      <w:r w:rsidR="00543B7C" w:rsidRPr="0012360A">
        <w:rPr>
          <w:rFonts w:ascii="Verdana" w:hAnsi="Verdana"/>
          <w:sz w:val="20"/>
          <w:szCs w:val="20"/>
        </w:rPr>
        <w:t>Caso Asociación Nacional de Cesantes y Jubilados de la Superintendencia Nacional de Administración Tributaria (ANCEJUB-SUNAT) Vs. Perú</w:t>
      </w:r>
      <w:r w:rsidRPr="0012360A">
        <w:rPr>
          <w:rFonts w:ascii="Verdana" w:eastAsia="Times" w:hAnsi="Verdana"/>
          <w:sz w:val="20"/>
          <w:szCs w:val="20"/>
        </w:rPr>
        <w:t xml:space="preserve">. Interpretación de la Sentencia de Excepciones Preliminares, Fondo, Reparaciones y Costas. Sentencia de </w:t>
      </w:r>
      <w:r w:rsidR="009B3911" w:rsidRPr="0012360A">
        <w:rPr>
          <w:rFonts w:ascii="Verdana" w:eastAsia="Times" w:hAnsi="Verdana"/>
          <w:sz w:val="20"/>
          <w:szCs w:val="20"/>
        </w:rPr>
        <w:t>8</w:t>
      </w:r>
      <w:r w:rsidR="00543B7C" w:rsidRPr="0012360A">
        <w:rPr>
          <w:rFonts w:ascii="Verdana" w:eastAsia="Times" w:hAnsi="Verdana"/>
          <w:sz w:val="20"/>
          <w:szCs w:val="20"/>
        </w:rPr>
        <w:t xml:space="preserve"> de octubre de 2020</w:t>
      </w:r>
      <w:r w:rsidRPr="0012360A">
        <w:rPr>
          <w:rFonts w:ascii="Verdana" w:eastAsia="Times" w:hAnsi="Verdana"/>
          <w:sz w:val="20"/>
          <w:szCs w:val="20"/>
        </w:rPr>
        <w:t>.</w:t>
      </w:r>
    </w:p>
    <w:p w14:paraId="65109325" w14:textId="27E16DD9" w:rsidR="0012360A" w:rsidRPr="0012360A" w:rsidRDefault="0012360A" w:rsidP="0012360A">
      <w:pPr>
        <w:spacing w:after="0" w:line="240" w:lineRule="auto"/>
        <w:jc w:val="both"/>
        <w:rPr>
          <w:rFonts w:ascii="Verdana" w:hAnsi="Verdana"/>
          <w:sz w:val="20"/>
          <w:szCs w:val="20"/>
          <w:lang w:val="es-DO"/>
        </w:rPr>
      </w:pPr>
    </w:p>
    <w:p w14:paraId="47E9D62C" w14:textId="77777777" w:rsidR="0012360A" w:rsidRPr="0012360A" w:rsidRDefault="0012360A" w:rsidP="0012360A">
      <w:pPr>
        <w:spacing w:after="0" w:line="240" w:lineRule="auto"/>
        <w:jc w:val="both"/>
        <w:rPr>
          <w:rFonts w:ascii="Verdana" w:hAnsi="Verdana"/>
          <w:sz w:val="20"/>
          <w:szCs w:val="20"/>
          <w:lang w:val="es-DO"/>
        </w:rPr>
      </w:pPr>
    </w:p>
    <w:p w14:paraId="70CA26C1" w14:textId="3B6651CB" w:rsidR="0012360A" w:rsidRPr="0012360A" w:rsidRDefault="0012360A" w:rsidP="0012360A">
      <w:pPr>
        <w:spacing w:after="0" w:line="240" w:lineRule="auto"/>
        <w:jc w:val="both"/>
        <w:rPr>
          <w:rFonts w:ascii="Verdana" w:hAnsi="Verdana"/>
          <w:sz w:val="20"/>
          <w:szCs w:val="20"/>
          <w:lang w:val="es-DO"/>
        </w:rPr>
      </w:pPr>
    </w:p>
    <w:p w14:paraId="163DB2FA" w14:textId="69D38021" w:rsidR="0012360A" w:rsidRPr="0012360A" w:rsidRDefault="0012360A" w:rsidP="0012360A">
      <w:pPr>
        <w:spacing w:after="0" w:line="240" w:lineRule="auto"/>
        <w:jc w:val="both"/>
        <w:rPr>
          <w:rFonts w:ascii="Verdana" w:hAnsi="Verdana"/>
          <w:sz w:val="20"/>
          <w:szCs w:val="20"/>
          <w:lang w:val="es-DO"/>
        </w:rPr>
      </w:pPr>
    </w:p>
    <w:p w14:paraId="5807D3D8" w14:textId="77777777" w:rsidR="0012360A" w:rsidRPr="0012360A" w:rsidRDefault="0012360A" w:rsidP="0012360A">
      <w:pPr>
        <w:spacing w:after="0" w:line="240" w:lineRule="auto"/>
        <w:jc w:val="both"/>
        <w:rPr>
          <w:rFonts w:ascii="Verdana" w:hAnsi="Verdana"/>
          <w:sz w:val="20"/>
          <w:szCs w:val="20"/>
          <w:lang w:val="es-DO"/>
        </w:rPr>
      </w:pPr>
    </w:p>
    <w:p w14:paraId="389F46EE" w14:textId="77777777" w:rsidR="0012360A" w:rsidRPr="00C750C9" w:rsidRDefault="0012360A" w:rsidP="0012360A">
      <w:pPr>
        <w:spacing w:after="0" w:line="240" w:lineRule="auto"/>
        <w:jc w:val="center"/>
        <w:rPr>
          <w:rFonts w:ascii="Verdana" w:hAnsi="Verdana"/>
          <w:sz w:val="20"/>
          <w:szCs w:val="20"/>
        </w:rPr>
      </w:pPr>
      <w:bookmarkStart w:id="8" w:name="_Hlk54356987"/>
      <w:r w:rsidRPr="00C750C9">
        <w:rPr>
          <w:rFonts w:ascii="Verdana" w:hAnsi="Verdana"/>
          <w:sz w:val="20"/>
          <w:szCs w:val="20"/>
        </w:rPr>
        <w:t xml:space="preserve">L. Patricio Pazmiño Freire </w:t>
      </w:r>
    </w:p>
    <w:p w14:paraId="06C3DD35" w14:textId="73889697" w:rsidR="0012360A" w:rsidRPr="00C750C9" w:rsidRDefault="0012360A" w:rsidP="0012360A">
      <w:pPr>
        <w:spacing w:after="0" w:line="240" w:lineRule="auto"/>
        <w:jc w:val="center"/>
        <w:rPr>
          <w:rFonts w:ascii="Verdana" w:hAnsi="Verdana"/>
          <w:sz w:val="20"/>
          <w:szCs w:val="20"/>
        </w:rPr>
      </w:pPr>
      <w:r w:rsidRPr="00C750C9">
        <w:rPr>
          <w:rFonts w:ascii="Verdana" w:hAnsi="Verdana"/>
          <w:sz w:val="20"/>
          <w:szCs w:val="20"/>
        </w:rPr>
        <w:t>Vicepresidente</w:t>
      </w:r>
    </w:p>
    <w:bookmarkEnd w:id="8"/>
    <w:p w14:paraId="2309DFDF" w14:textId="44B1AE51" w:rsidR="0012360A" w:rsidRPr="00C750C9" w:rsidRDefault="0012360A" w:rsidP="0012360A">
      <w:pPr>
        <w:spacing w:after="0" w:line="240" w:lineRule="auto"/>
        <w:jc w:val="both"/>
        <w:rPr>
          <w:rFonts w:ascii="Verdana" w:hAnsi="Verdana"/>
          <w:sz w:val="20"/>
          <w:szCs w:val="20"/>
        </w:rPr>
      </w:pPr>
    </w:p>
    <w:p w14:paraId="4CDE2888" w14:textId="0E3FE7F1" w:rsidR="0012360A" w:rsidRPr="00C750C9" w:rsidRDefault="0012360A" w:rsidP="0012360A">
      <w:pPr>
        <w:spacing w:after="0" w:line="240" w:lineRule="auto"/>
        <w:jc w:val="both"/>
        <w:rPr>
          <w:rFonts w:ascii="Verdana" w:hAnsi="Verdana"/>
          <w:sz w:val="20"/>
          <w:szCs w:val="20"/>
        </w:rPr>
      </w:pPr>
    </w:p>
    <w:p w14:paraId="01C5BDEE" w14:textId="2AE18B51" w:rsidR="0012360A" w:rsidRPr="00C750C9" w:rsidRDefault="0012360A" w:rsidP="0012360A">
      <w:pPr>
        <w:spacing w:after="0" w:line="240" w:lineRule="auto"/>
        <w:jc w:val="both"/>
        <w:rPr>
          <w:rFonts w:ascii="Verdana" w:hAnsi="Verdana"/>
          <w:sz w:val="20"/>
          <w:szCs w:val="20"/>
        </w:rPr>
      </w:pPr>
    </w:p>
    <w:p w14:paraId="1A1402BE" w14:textId="54B6C38B" w:rsidR="0012360A" w:rsidRPr="00C750C9" w:rsidRDefault="0012360A" w:rsidP="0012360A">
      <w:pPr>
        <w:spacing w:after="0" w:line="240" w:lineRule="auto"/>
        <w:jc w:val="both"/>
        <w:rPr>
          <w:rFonts w:ascii="Verdana" w:hAnsi="Verdana"/>
          <w:sz w:val="20"/>
          <w:szCs w:val="20"/>
        </w:rPr>
      </w:pPr>
    </w:p>
    <w:p w14:paraId="0CB9FE1B" w14:textId="69E02D76" w:rsidR="0012360A" w:rsidRPr="00C750C9" w:rsidRDefault="0012360A" w:rsidP="0012360A">
      <w:pPr>
        <w:spacing w:after="0" w:line="240" w:lineRule="auto"/>
        <w:jc w:val="both"/>
        <w:rPr>
          <w:rFonts w:ascii="Verdana" w:hAnsi="Verdana"/>
          <w:sz w:val="20"/>
          <w:szCs w:val="20"/>
        </w:rPr>
      </w:pPr>
    </w:p>
    <w:p w14:paraId="56561C70" w14:textId="1515A762" w:rsidR="0012360A" w:rsidRPr="00C750C9" w:rsidRDefault="0012360A" w:rsidP="0012360A">
      <w:pPr>
        <w:spacing w:after="0" w:line="240" w:lineRule="auto"/>
        <w:jc w:val="both"/>
        <w:rPr>
          <w:rFonts w:ascii="Verdana" w:hAnsi="Verdana"/>
          <w:sz w:val="20"/>
          <w:szCs w:val="20"/>
        </w:rPr>
      </w:pPr>
      <w:r w:rsidRPr="00C750C9">
        <w:rPr>
          <w:rFonts w:ascii="Verdana" w:hAnsi="Verdana"/>
          <w:sz w:val="20"/>
          <w:szCs w:val="20"/>
        </w:rPr>
        <w:t>Eduardo Vio Grossi</w:t>
      </w:r>
      <w:r w:rsidRPr="00C750C9">
        <w:rPr>
          <w:rFonts w:ascii="Verdana" w:hAnsi="Verdana"/>
          <w:sz w:val="20"/>
          <w:szCs w:val="20"/>
        </w:rPr>
        <w:tab/>
      </w:r>
      <w:r w:rsidRPr="00C750C9">
        <w:rPr>
          <w:rFonts w:ascii="Verdana" w:hAnsi="Verdana"/>
          <w:sz w:val="20"/>
          <w:szCs w:val="20"/>
        </w:rPr>
        <w:tab/>
      </w:r>
      <w:r w:rsidRPr="00C750C9">
        <w:rPr>
          <w:rFonts w:ascii="Verdana" w:hAnsi="Verdana"/>
          <w:sz w:val="20"/>
          <w:szCs w:val="20"/>
        </w:rPr>
        <w:tab/>
      </w:r>
      <w:r w:rsidRPr="00C750C9">
        <w:rPr>
          <w:rFonts w:ascii="Verdana" w:hAnsi="Verdana"/>
          <w:sz w:val="20"/>
          <w:szCs w:val="20"/>
        </w:rPr>
        <w:tab/>
      </w:r>
      <w:r w:rsidRPr="00C750C9">
        <w:rPr>
          <w:rFonts w:ascii="Verdana" w:hAnsi="Verdana"/>
          <w:sz w:val="20"/>
          <w:szCs w:val="20"/>
        </w:rPr>
        <w:tab/>
        <w:t xml:space="preserve"> </w:t>
      </w:r>
      <w:r w:rsidRPr="00C750C9">
        <w:rPr>
          <w:rFonts w:ascii="Verdana" w:hAnsi="Verdana"/>
          <w:sz w:val="20"/>
          <w:szCs w:val="20"/>
        </w:rPr>
        <w:tab/>
        <w:t xml:space="preserve">         Humberto Antonio Sierra Porto</w:t>
      </w:r>
    </w:p>
    <w:p w14:paraId="408DCB3B" w14:textId="6F7921E1" w:rsidR="0012360A" w:rsidRPr="00C750C9" w:rsidRDefault="0012360A" w:rsidP="0012360A">
      <w:pPr>
        <w:spacing w:after="0" w:line="240" w:lineRule="auto"/>
        <w:jc w:val="both"/>
        <w:rPr>
          <w:rFonts w:ascii="Verdana" w:hAnsi="Verdana"/>
          <w:sz w:val="20"/>
          <w:szCs w:val="20"/>
        </w:rPr>
      </w:pPr>
    </w:p>
    <w:p w14:paraId="1ABA6868" w14:textId="162D223B" w:rsidR="0012360A" w:rsidRPr="00C750C9" w:rsidRDefault="0012360A" w:rsidP="0012360A">
      <w:pPr>
        <w:spacing w:after="0" w:line="240" w:lineRule="auto"/>
        <w:jc w:val="both"/>
        <w:rPr>
          <w:rFonts w:ascii="Verdana" w:hAnsi="Verdana"/>
          <w:sz w:val="20"/>
          <w:szCs w:val="20"/>
        </w:rPr>
      </w:pPr>
    </w:p>
    <w:p w14:paraId="7C442CAD" w14:textId="7A65B882" w:rsidR="0012360A" w:rsidRPr="00C750C9" w:rsidRDefault="0012360A" w:rsidP="0012360A">
      <w:pPr>
        <w:spacing w:after="0" w:line="240" w:lineRule="auto"/>
        <w:jc w:val="both"/>
        <w:rPr>
          <w:rFonts w:ascii="Verdana" w:hAnsi="Verdana"/>
          <w:sz w:val="20"/>
          <w:szCs w:val="20"/>
        </w:rPr>
      </w:pPr>
    </w:p>
    <w:p w14:paraId="5E72F350" w14:textId="14EED050" w:rsidR="0012360A" w:rsidRPr="00C750C9" w:rsidRDefault="0012360A" w:rsidP="0012360A">
      <w:pPr>
        <w:spacing w:after="0" w:line="240" w:lineRule="auto"/>
        <w:jc w:val="both"/>
        <w:rPr>
          <w:rFonts w:ascii="Verdana" w:hAnsi="Verdana"/>
          <w:sz w:val="20"/>
          <w:szCs w:val="20"/>
        </w:rPr>
      </w:pPr>
    </w:p>
    <w:p w14:paraId="7AED37AC" w14:textId="77777777" w:rsidR="0012360A" w:rsidRPr="00C750C9" w:rsidRDefault="0012360A" w:rsidP="0012360A">
      <w:pPr>
        <w:spacing w:after="0" w:line="240" w:lineRule="auto"/>
        <w:jc w:val="both"/>
        <w:rPr>
          <w:rFonts w:ascii="Verdana" w:hAnsi="Verdana"/>
          <w:sz w:val="20"/>
          <w:szCs w:val="20"/>
        </w:rPr>
      </w:pPr>
    </w:p>
    <w:p w14:paraId="797DCC19" w14:textId="7FEC689C" w:rsidR="0012360A" w:rsidRPr="00C750C9" w:rsidRDefault="0012360A" w:rsidP="0012360A">
      <w:pPr>
        <w:spacing w:after="0" w:line="240" w:lineRule="auto"/>
        <w:jc w:val="both"/>
        <w:rPr>
          <w:rFonts w:ascii="Verdana" w:hAnsi="Verdana"/>
          <w:sz w:val="20"/>
          <w:szCs w:val="20"/>
        </w:rPr>
      </w:pPr>
      <w:r w:rsidRPr="00C750C9">
        <w:rPr>
          <w:rFonts w:ascii="Verdana" w:hAnsi="Verdana"/>
          <w:sz w:val="20"/>
          <w:szCs w:val="20"/>
        </w:rPr>
        <w:t>Eduardo Ferrer Mac-</w:t>
      </w:r>
      <w:proofErr w:type="spellStart"/>
      <w:r w:rsidRPr="00C750C9">
        <w:rPr>
          <w:rFonts w:ascii="Verdana" w:hAnsi="Verdana"/>
          <w:sz w:val="20"/>
          <w:szCs w:val="20"/>
        </w:rPr>
        <w:t>Gregor</w:t>
      </w:r>
      <w:proofErr w:type="spellEnd"/>
      <w:r w:rsidRPr="00C750C9">
        <w:rPr>
          <w:rFonts w:ascii="Verdana" w:hAnsi="Verdana"/>
          <w:sz w:val="20"/>
          <w:szCs w:val="20"/>
        </w:rPr>
        <w:t xml:space="preserve"> Poisot</w:t>
      </w:r>
      <w:r w:rsidRPr="00C750C9">
        <w:rPr>
          <w:rFonts w:ascii="Verdana" w:hAnsi="Verdana"/>
          <w:sz w:val="20"/>
          <w:szCs w:val="20"/>
        </w:rPr>
        <w:tab/>
      </w:r>
      <w:r w:rsidRPr="00C750C9">
        <w:rPr>
          <w:rFonts w:ascii="Verdana" w:hAnsi="Verdana"/>
          <w:sz w:val="20"/>
          <w:szCs w:val="20"/>
        </w:rPr>
        <w:tab/>
      </w:r>
      <w:r w:rsidRPr="00C750C9">
        <w:rPr>
          <w:rFonts w:ascii="Verdana" w:hAnsi="Verdana"/>
          <w:sz w:val="20"/>
          <w:szCs w:val="20"/>
        </w:rPr>
        <w:tab/>
      </w:r>
      <w:r w:rsidRPr="00C750C9">
        <w:rPr>
          <w:rFonts w:ascii="Verdana" w:hAnsi="Verdana"/>
          <w:sz w:val="20"/>
          <w:szCs w:val="20"/>
        </w:rPr>
        <w:tab/>
      </w:r>
      <w:r w:rsidRPr="00C750C9">
        <w:rPr>
          <w:rFonts w:ascii="Verdana" w:hAnsi="Verdana"/>
          <w:sz w:val="20"/>
          <w:szCs w:val="20"/>
        </w:rPr>
        <w:tab/>
      </w:r>
      <w:r w:rsidRPr="00C750C9">
        <w:rPr>
          <w:rFonts w:ascii="Verdana" w:hAnsi="Verdana"/>
          <w:sz w:val="20"/>
          <w:szCs w:val="20"/>
        </w:rPr>
        <w:tab/>
        <w:t>Eugenio Raúl Zaffaroni</w:t>
      </w:r>
    </w:p>
    <w:p w14:paraId="6A0BDCC8" w14:textId="7294F763" w:rsidR="0012360A" w:rsidRPr="00C750C9" w:rsidRDefault="0012360A" w:rsidP="0012360A">
      <w:pPr>
        <w:spacing w:after="0" w:line="240" w:lineRule="auto"/>
        <w:jc w:val="both"/>
        <w:rPr>
          <w:rFonts w:ascii="Verdana" w:hAnsi="Verdana"/>
          <w:sz w:val="20"/>
          <w:szCs w:val="20"/>
        </w:rPr>
      </w:pPr>
    </w:p>
    <w:p w14:paraId="6421CEAE" w14:textId="252E9C05" w:rsidR="0012360A" w:rsidRPr="00C750C9" w:rsidRDefault="0012360A" w:rsidP="0012360A">
      <w:pPr>
        <w:tabs>
          <w:tab w:val="left" w:pos="8460"/>
          <w:tab w:val="left" w:pos="8640"/>
        </w:tabs>
        <w:spacing w:after="0" w:line="240" w:lineRule="auto"/>
        <w:jc w:val="both"/>
        <w:rPr>
          <w:rFonts w:ascii="Verdana" w:hAnsi="Verdana"/>
          <w:sz w:val="20"/>
          <w:szCs w:val="20"/>
        </w:rPr>
      </w:pPr>
    </w:p>
    <w:p w14:paraId="0002C3E1" w14:textId="7AC30AC7" w:rsidR="0012360A" w:rsidRPr="00C750C9" w:rsidRDefault="0012360A" w:rsidP="0012360A">
      <w:pPr>
        <w:tabs>
          <w:tab w:val="left" w:pos="8460"/>
          <w:tab w:val="left" w:pos="8640"/>
        </w:tabs>
        <w:spacing w:after="0" w:line="240" w:lineRule="auto"/>
        <w:jc w:val="both"/>
        <w:rPr>
          <w:rFonts w:ascii="Verdana" w:hAnsi="Verdana"/>
          <w:sz w:val="20"/>
          <w:szCs w:val="20"/>
        </w:rPr>
      </w:pPr>
    </w:p>
    <w:p w14:paraId="052139FA" w14:textId="1B74A8C3" w:rsidR="0012360A" w:rsidRPr="00C750C9" w:rsidRDefault="0012360A" w:rsidP="0012360A">
      <w:pPr>
        <w:tabs>
          <w:tab w:val="left" w:pos="8460"/>
          <w:tab w:val="left" w:pos="8640"/>
        </w:tabs>
        <w:spacing w:after="0" w:line="240" w:lineRule="auto"/>
        <w:jc w:val="both"/>
        <w:rPr>
          <w:rFonts w:ascii="Verdana" w:hAnsi="Verdana"/>
          <w:sz w:val="20"/>
          <w:szCs w:val="20"/>
        </w:rPr>
      </w:pPr>
    </w:p>
    <w:p w14:paraId="66B9D7E1" w14:textId="2B312B8A" w:rsidR="0012360A" w:rsidRPr="00C750C9" w:rsidRDefault="0012360A" w:rsidP="0012360A">
      <w:pPr>
        <w:tabs>
          <w:tab w:val="left" w:pos="8460"/>
          <w:tab w:val="left" w:pos="8640"/>
        </w:tabs>
        <w:spacing w:after="0" w:line="240" w:lineRule="auto"/>
        <w:jc w:val="both"/>
        <w:rPr>
          <w:rFonts w:ascii="Verdana" w:hAnsi="Verdana"/>
          <w:sz w:val="20"/>
          <w:szCs w:val="20"/>
        </w:rPr>
      </w:pPr>
    </w:p>
    <w:p w14:paraId="029BB2EC" w14:textId="50F726F9" w:rsidR="0012360A" w:rsidRPr="0012360A" w:rsidRDefault="0012360A" w:rsidP="0012360A">
      <w:pPr>
        <w:spacing w:after="0" w:line="240" w:lineRule="auto"/>
        <w:jc w:val="center"/>
        <w:rPr>
          <w:rFonts w:ascii="Verdana" w:hAnsi="Verdana"/>
          <w:sz w:val="20"/>
          <w:szCs w:val="20"/>
          <w:lang w:val="pt-BR"/>
        </w:rPr>
      </w:pPr>
      <w:r w:rsidRPr="0012360A">
        <w:rPr>
          <w:rFonts w:ascii="Verdana" w:hAnsi="Verdana"/>
          <w:sz w:val="20"/>
          <w:szCs w:val="20"/>
          <w:lang w:val="pt-BR"/>
        </w:rPr>
        <w:t>Ricardo C. Pérez Manrique</w:t>
      </w:r>
    </w:p>
    <w:p w14:paraId="2A2BBC7C" w14:textId="12F4553A" w:rsidR="0012360A" w:rsidRPr="0012360A" w:rsidRDefault="0012360A" w:rsidP="0012360A">
      <w:pPr>
        <w:tabs>
          <w:tab w:val="left" w:pos="8460"/>
          <w:tab w:val="left" w:pos="8640"/>
        </w:tabs>
        <w:spacing w:after="0" w:line="240" w:lineRule="auto"/>
        <w:jc w:val="center"/>
        <w:rPr>
          <w:rFonts w:ascii="Verdana" w:hAnsi="Verdana"/>
          <w:sz w:val="20"/>
          <w:szCs w:val="20"/>
          <w:lang w:val="pt-BR"/>
        </w:rPr>
      </w:pPr>
    </w:p>
    <w:p w14:paraId="6AEAB617" w14:textId="61906282" w:rsidR="0012360A" w:rsidRPr="0012360A" w:rsidRDefault="0012360A" w:rsidP="0012360A">
      <w:pPr>
        <w:tabs>
          <w:tab w:val="left" w:pos="8460"/>
          <w:tab w:val="left" w:pos="8640"/>
        </w:tabs>
        <w:spacing w:after="0" w:line="240" w:lineRule="auto"/>
        <w:jc w:val="center"/>
        <w:rPr>
          <w:rFonts w:ascii="Verdana" w:hAnsi="Verdana"/>
          <w:sz w:val="20"/>
          <w:szCs w:val="20"/>
          <w:lang w:val="pt-BR"/>
        </w:rPr>
      </w:pPr>
    </w:p>
    <w:p w14:paraId="4958876B" w14:textId="77777777" w:rsidR="0012360A" w:rsidRPr="0012360A" w:rsidRDefault="0012360A" w:rsidP="0012360A">
      <w:pPr>
        <w:tabs>
          <w:tab w:val="left" w:pos="8460"/>
          <w:tab w:val="left" w:pos="8640"/>
        </w:tabs>
        <w:spacing w:after="0" w:line="240" w:lineRule="auto"/>
        <w:jc w:val="center"/>
        <w:rPr>
          <w:rFonts w:ascii="Verdana" w:hAnsi="Verdana"/>
          <w:sz w:val="20"/>
          <w:szCs w:val="20"/>
          <w:lang w:val="pt-BR"/>
        </w:rPr>
      </w:pPr>
    </w:p>
    <w:p w14:paraId="644FDF79" w14:textId="6B4205FA" w:rsidR="0012360A" w:rsidRPr="0012360A" w:rsidRDefault="0012360A" w:rsidP="00370DF5">
      <w:pPr>
        <w:tabs>
          <w:tab w:val="left" w:pos="8460"/>
          <w:tab w:val="left" w:pos="8640"/>
        </w:tabs>
        <w:spacing w:after="0" w:line="240" w:lineRule="auto"/>
        <w:rPr>
          <w:rFonts w:ascii="Verdana" w:hAnsi="Verdana"/>
          <w:sz w:val="20"/>
          <w:szCs w:val="20"/>
          <w:lang w:val="pt-BR"/>
        </w:rPr>
      </w:pPr>
    </w:p>
    <w:p w14:paraId="673D095C" w14:textId="77777777" w:rsidR="0012360A" w:rsidRPr="0012360A" w:rsidRDefault="0012360A" w:rsidP="0012360A">
      <w:pPr>
        <w:tabs>
          <w:tab w:val="left" w:pos="8460"/>
          <w:tab w:val="left" w:pos="8640"/>
        </w:tabs>
        <w:spacing w:after="0" w:line="240" w:lineRule="auto"/>
        <w:jc w:val="center"/>
        <w:rPr>
          <w:rFonts w:ascii="Verdana" w:hAnsi="Verdana"/>
          <w:sz w:val="20"/>
          <w:szCs w:val="20"/>
          <w:lang w:val="pt-BR"/>
        </w:rPr>
      </w:pPr>
    </w:p>
    <w:p w14:paraId="2B9CF78C" w14:textId="77777777" w:rsidR="0012360A" w:rsidRPr="0012360A" w:rsidRDefault="0012360A" w:rsidP="0012360A">
      <w:pPr>
        <w:tabs>
          <w:tab w:val="left" w:pos="8460"/>
          <w:tab w:val="left" w:pos="8640"/>
        </w:tabs>
        <w:spacing w:after="0" w:line="240" w:lineRule="auto"/>
        <w:jc w:val="center"/>
        <w:rPr>
          <w:rFonts w:ascii="Verdana" w:hAnsi="Verdana"/>
          <w:sz w:val="20"/>
          <w:szCs w:val="20"/>
          <w:lang w:val="pt-BR"/>
        </w:rPr>
      </w:pPr>
      <w:r w:rsidRPr="0012360A">
        <w:rPr>
          <w:rFonts w:ascii="Verdana" w:hAnsi="Verdana"/>
          <w:sz w:val="20"/>
          <w:szCs w:val="20"/>
          <w:lang w:val="pt-BR"/>
        </w:rPr>
        <w:t xml:space="preserve">Pablo Saavedra </w:t>
      </w:r>
      <w:proofErr w:type="spellStart"/>
      <w:r w:rsidRPr="0012360A">
        <w:rPr>
          <w:rFonts w:ascii="Verdana" w:hAnsi="Verdana"/>
          <w:sz w:val="20"/>
          <w:szCs w:val="20"/>
          <w:lang w:val="pt-BR"/>
        </w:rPr>
        <w:t>Alessandri</w:t>
      </w:r>
      <w:proofErr w:type="spellEnd"/>
    </w:p>
    <w:p w14:paraId="3FD189A1" w14:textId="77777777" w:rsidR="0012360A" w:rsidRPr="0012360A" w:rsidRDefault="0012360A" w:rsidP="0012360A">
      <w:pPr>
        <w:tabs>
          <w:tab w:val="left" w:pos="8460"/>
          <w:tab w:val="left" w:pos="8640"/>
        </w:tabs>
        <w:spacing w:after="0" w:line="240" w:lineRule="auto"/>
        <w:jc w:val="center"/>
        <w:rPr>
          <w:rFonts w:ascii="Verdana" w:hAnsi="Verdana"/>
          <w:sz w:val="20"/>
          <w:szCs w:val="20"/>
          <w:lang w:val="pt-BR"/>
        </w:rPr>
      </w:pPr>
      <w:r w:rsidRPr="0012360A">
        <w:rPr>
          <w:rFonts w:ascii="Verdana" w:hAnsi="Verdana"/>
          <w:sz w:val="20"/>
          <w:szCs w:val="20"/>
          <w:lang w:val="pt-BR"/>
        </w:rPr>
        <w:t>Secretario</w:t>
      </w:r>
    </w:p>
    <w:p w14:paraId="6499C22C" w14:textId="77777777" w:rsidR="0012360A" w:rsidRPr="0012360A" w:rsidRDefault="0012360A" w:rsidP="0012360A">
      <w:pPr>
        <w:tabs>
          <w:tab w:val="left" w:pos="8460"/>
          <w:tab w:val="left" w:pos="8640"/>
        </w:tabs>
        <w:spacing w:after="0" w:line="240" w:lineRule="auto"/>
        <w:jc w:val="both"/>
        <w:rPr>
          <w:rFonts w:ascii="Verdana" w:hAnsi="Verdana"/>
          <w:sz w:val="20"/>
          <w:szCs w:val="20"/>
          <w:lang w:val="pt-BR"/>
        </w:rPr>
      </w:pPr>
    </w:p>
    <w:p w14:paraId="79BB0645" w14:textId="77777777" w:rsidR="0012360A" w:rsidRPr="0012360A" w:rsidRDefault="0012360A" w:rsidP="0012360A">
      <w:pPr>
        <w:spacing w:after="0" w:line="240" w:lineRule="auto"/>
        <w:jc w:val="both"/>
        <w:rPr>
          <w:rFonts w:ascii="Verdana" w:hAnsi="Verdana"/>
          <w:sz w:val="20"/>
          <w:szCs w:val="20"/>
          <w:lang w:val="pt-BR"/>
        </w:rPr>
      </w:pPr>
    </w:p>
    <w:p w14:paraId="16EC81AD" w14:textId="77777777" w:rsidR="0012360A" w:rsidRPr="0012360A" w:rsidRDefault="0012360A" w:rsidP="0012360A">
      <w:pPr>
        <w:tabs>
          <w:tab w:val="left" w:pos="8460"/>
          <w:tab w:val="left" w:pos="8640"/>
        </w:tabs>
        <w:spacing w:after="0" w:line="240" w:lineRule="auto"/>
        <w:jc w:val="both"/>
        <w:rPr>
          <w:rFonts w:ascii="Verdana" w:hAnsi="Verdana"/>
          <w:sz w:val="20"/>
          <w:szCs w:val="20"/>
          <w:lang w:val="pt-BR"/>
        </w:rPr>
      </w:pPr>
    </w:p>
    <w:p w14:paraId="0A378006" w14:textId="186018D0" w:rsidR="0012360A" w:rsidRPr="0012360A" w:rsidRDefault="0012360A" w:rsidP="0012360A">
      <w:pPr>
        <w:tabs>
          <w:tab w:val="left" w:pos="8460"/>
          <w:tab w:val="left" w:pos="8640"/>
        </w:tabs>
        <w:spacing w:after="0" w:line="240" w:lineRule="auto"/>
        <w:jc w:val="both"/>
        <w:rPr>
          <w:rFonts w:ascii="Verdana" w:hAnsi="Verdana"/>
          <w:sz w:val="20"/>
          <w:szCs w:val="20"/>
          <w:lang w:val="pt-BR"/>
        </w:rPr>
      </w:pPr>
    </w:p>
    <w:p w14:paraId="0E37262C" w14:textId="1D42E4D6" w:rsidR="0012360A" w:rsidRPr="0012360A" w:rsidRDefault="0012360A" w:rsidP="0012360A">
      <w:pPr>
        <w:tabs>
          <w:tab w:val="left" w:pos="8460"/>
          <w:tab w:val="left" w:pos="8640"/>
        </w:tabs>
        <w:spacing w:after="0" w:line="240" w:lineRule="auto"/>
        <w:jc w:val="both"/>
        <w:rPr>
          <w:rFonts w:ascii="Verdana" w:hAnsi="Verdana"/>
          <w:sz w:val="20"/>
          <w:szCs w:val="20"/>
          <w:lang w:val="pt-BR"/>
        </w:rPr>
      </w:pPr>
      <w:proofErr w:type="spellStart"/>
      <w:r w:rsidRPr="0012360A">
        <w:rPr>
          <w:rFonts w:ascii="Verdana" w:hAnsi="Verdana"/>
          <w:sz w:val="20"/>
          <w:szCs w:val="20"/>
          <w:lang w:val="pt-BR"/>
        </w:rPr>
        <w:t>Comuníquese</w:t>
      </w:r>
      <w:proofErr w:type="spellEnd"/>
      <w:r w:rsidRPr="0012360A">
        <w:rPr>
          <w:rFonts w:ascii="Verdana" w:hAnsi="Verdana"/>
          <w:sz w:val="20"/>
          <w:szCs w:val="20"/>
          <w:lang w:val="pt-BR"/>
        </w:rPr>
        <w:t xml:space="preserve"> y </w:t>
      </w:r>
      <w:proofErr w:type="spellStart"/>
      <w:r w:rsidRPr="0012360A">
        <w:rPr>
          <w:rFonts w:ascii="Verdana" w:hAnsi="Verdana"/>
          <w:sz w:val="20"/>
          <w:szCs w:val="20"/>
          <w:lang w:val="pt-BR"/>
        </w:rPr>
        <w:t>ejecútese</w:t>
      </w:r>
      <w:proofErr w:type="spellEnd"/>
      <w:r w:rsidRPr="0012360A">
        <w:rPr>
          <w:rFonts w:ascii="Verdana" w:hAnsi="Verdana"/>
          <w:sz w:val="20"/>
          <w:szCs w:val="20"/>
          <w:lang w:val="pt-BR"/>
        </w:rPr>
        <w:t>,</w:t>
      </w:r>
    </w:p>
    <w:p w14:paraId="74C01E1A" w14:textId="2477AA28" w:rsidR="0012360A" w:rsidRPr="0012360A" w:rsidRDefault="0012360A" w:rsidP="0012360A">
      <w:pPr>
        <w:tabs>
          <w:tab w:val="left" w:pos="8460"/>
          <w:tab w:val="left" w:pos="8640"/>
        </w:tabs>
        <w:spacing w:after="0" w:line="240" w:lineRule="auto"/>
        <w:jc w:val="both"/>
        <w:rPr>
          <w:rFonts w:ascii="Verdana" w:hAnsi="Verdana"/>
          <w:sz w:val="20"/>
          <w:szCs w:val="20"/>
          <w:lang w:val="pt-BR"/>
        </w:rPr>
      </w:pPr>
    </w:p>
    <w:p w14:paraId="094FCD86" w14:textId="42B7EC7B" w:rsidR="0012360A" w:rsidRDefault="0012360A" w:rsidP="0012360A">
      <w:pPr>
        <w:tabs>
          <w:tab w:val="left" w:pos="8460"/>
          <w:tab w:val="left" w:pos="8640"/>
        </w:tabs>
        <w:spacing w:after="0" w:line="240" w:lineRule="auto"/>
        <w:jc w:val="both"/>
        <w:rPr>
          <w:rFonts w:ascii="Verdana" w:hAnsi="Verdana"/>
          <w:sz w:val="20"/>
          <w:szCs w:val="20"/>
          <w:lang w:val="pt-BR"/>
        </w:rPr>
      </w:pPr>
    </w:p>
    <w:p w14:paraId="558C4DBE" w14:textId="27816CA1" w:rsidR="0012360A" w:rsidRPr="0012360A" w:rsidRDefault="0012360A" w:rsidP="0012360A">
      <w:pPr>
        <w:tabs>
          <w:tab w:val="left" w:pos="8460"/>
          <w:tab w:val="left" w:pos="8640"/>
        </w:tabs>
        <w:spacing w:after="0" w:line="240" w:lineRule="auto"/>
        <w:jc w:val="both"/>
        <w:rPr>
          <w:rFonts w:ascii="Verdana" w:hAnsi="Verdana"/>
          <w:sz w:val="20"/>
          <w:szCs w:val="20"/>
          <w:lang w:val="pt-BR"/>
        </w:rPr>
      </w:pPr>
    </w:p>
    <w:p w14:paraId="028F577B" w14:textId="77777777" w:rsidR="0012360A" w:rsidRPr="0012360A" w:rsidRDefault="0012360A" w:rsidP="0012360A">
      <w:pPr>
        <w:tabs>
          <w:tab w:val="left" w:pos="8460"/>
          <w:tab w:val="left" w:pos="8640"/>
        </w:tabs>
        <w:spacing w:after="0" w:line="240" w:lineRule="auto"/>
        <w:jc w:val="both"/>
        <w:rPr>
          <w:rFonts w:ascii="Verdana" w:hAnsi="Verdana"/>
          <w:sz w:val="20"/>
          <w:szCs w:val="20"/>
          <w:lang w:val="pt-BR"/>
        </w:rPr>
      </w:pPr>
    </w:p>
    <w:p w14:paraId="5202DFE0" w14:textId="0D025312" w:rsidR="0012360A" w:rsidRPr="0012360A" w:rsidRDefault="0012360A" w:rsidP="0012360A">
      <w:pPr>
        <w:spacing w:after="0" w:line="240" w:lineRule="auto"/>
        <w:ind w:left="5760"/>
        <w:jc w:val="center"/>
        <w:rPr>
          <w:rFonts w:ascii="Verdana" w:hAnsi="Verdana"/>
          <w:sz w:val="20"/>
          <w:szCs w:val="20"/>
          <w:lang w:val="pt-BR"/>
        </w:rPr>
      </w:pPr>
      <w:r w:rsidRPr="0012360A">
        <w:rPr>
          <w:rFonts w:ascii="Verdana" w:hAnsi="Verdana"/>
          <w:sz w:val="20"/>
          <w:szCs w:val="20"/>
          <w:lang w:val="pt-BR"/>
        </w:rPr>
        <w:t xml:space="preserve">L. </w:t>
      </w:r>
      <w:proofErr w:type="spellStart"/>
      <w:r w:rsidRPr="0012360A">
        <w:rPr>
          <w:rFonts w:ascii="Verdana" w:hAnsi="Verdana"/>
          <w:sz w:val="20"/>
          <w:szCs w:val="20"/>
          <w:lang w:val="pt-BR"/>
        </w:rPr>
        <w:t>Patricio</w:t>
      </w:r>
      <w:proofErr w:type="spellEnd"/>
      <w:r w:rsidRPr="0012360A">
        <w:rPr>
          <w:rFonts w:ascii="Verdana" w:hAnsi="Verdana"/>
          <w:sz w:val="20"/>
          <w:szCs w:val="20"/>
          <w:lang w:val="pt-BR"/>
        </w:rPr>
        <w:t xml:space="preserve"> </w:t>
      </w:r>
      <w:proofErr w:type="spellStart"/>
      <w:r w:rsidRPr="0012360A">
        <w:rPr>
          <w:rFonts w:ascii="Verdana" w:hAnsi="Verdana"/>
          <w:sz w:val="20"/>
          <w:szCs w:val="20"/>
          <w:lang w:val="pt-BR"/>
        </w:rPr>
        <w:t>Pazmiño</w:t>
      </w:r>
      <w:proofErr w:type="spellEnd"/>
      <w:r w:rsidRPr="0012360A">
        <w:rPr>
          <w:rFonts w:ascii="Verdana" w:hAnsi="Verdana"/>
          <w:sz w:val="20"/>
          <w:szCs w:val="20"/>
          <w:lang w:val="pt-BR"/>
        </w:rPr>
        <w:t xml:space="preserve"> Freire </w:t>
      </w:r>
    </w:p>
    <w:p w14:paraId="5353697E" w14:textId="2498EA7C" w:rsidR="0012360A" w:rsidRPr="0012360A" w:rsidRDefault="0012360A" w:rsidP="0012360A">
      <w:pPr>
        <w:spacing w:after="0" w:line="240" w:lineRule="auto"/>
        <w:ind w:left="5760"/>
        <w:jc w:val="center"/>
        <w:rPr>
          <w:rFonts w:ascii="Verdana" w:hAnsi="Verdana"/>
          <w:sz w:val="20"/>
          <w:szCs w:val="20"/>
          <w:lang w:val="pt-BR"/>
        </w:rPr>
      </w:pPr>
      <w:proofErr w:type="spellStart"/>
      <w:r w:rsidRPr="0012360A">
        <w:rPr>
          <w:rFonts w:ascii="Verdana" w:hAnsi="Verdana"/>
          <w:sz w:val="20"/>
          <w:szCs w:val="20"/>
          <w:lang w:val="pt-BR"/>
        </w:rPr>
        <w:t>Vicepresidente</w:t>
      </w:r>
      <w:proofErr w:type="spellEnd"/>
    </w:p>
    <w:p w14:paraId="389A0559" w14:textId="77777777" w:rsidR="0012360A" w:rsidRPr="0012360A" w:rsidRDefault="0012360A" w:rsidP="0012360A">
      <w:pPr>
        <w:tabs>
          <w:tab w:val="left" w:pos="8460"/>
          <w:tab w:val="left" w:pos="8640"/>
        </w:tabs>
        <w:spacing w:after="0" w:line="240" w:lineRule="auto"/>
        <w:jc w:val="both"/>
        <w:rPr>
          <w:rFonts w:ascii="Verdana" w:hAnsi="Verdana"/>
          <w:sz w:val="20"/>
          <w:szCs w:val="20"/>
          <w:lang w:val="pt-BR"/>
        </w:rPr>
      </w:pPr>
    </w:p>
    <w:p w14:paraId="07CC079E" w14:textId="33F14C84" w:rsidR="0012360A" w:rsidRPr="0012360A" w:rsidRDefault="0012360A" w:rsidP="0012360A">
      <w:pPr>
        <w:tabs>
          <w:tab w:val="left" w:pos="8460"/>
          <w:tab w:val="left" w:pos="8640"/>
        </w:tabs>
        <w:spacing w:after="0" w:line="240" w:lineRule="auto"/>
        <w:jc w:val="both"/>
        <w:rPr>
          <w:rFonts w:ascii="Verdana" w:hAnsi="Verdana"/>
          <w:sz w:val="20"/>
          <w:szCs w:val="20"/>
          <w:lang w:val="pt-BR"/>
        </w:rPr>
      </w:pPr>
    </w:p>
    <w:p w14:paraId="394CFB89" w14:textId="6CB47980" w:rsidR="0012360A" w:rsidRPr="0012360A" w:rsidRDefault="0012360A" w:rsidP="0012360A">
      <w:pPr>
        <w:tabs>
          <w:tab w:val="left" w:pos="8460"/>
          <w:tab w:val="left" w:pos="8640"/>
        </w:tabs>
        <w:spacing w:after="0" w:line="240" w:lineRule="auto"/>
        <w:jc w:val="both"/>
        <w:rPr>
          <w:rFonts w:ascii="Verdana" w:hAnsi="Verdana"/>
          <w:sz w:val="20"/>
          <w:szCs w:val="20"/>
          <w:lang w:val="pt-BR"/>
        </w:rPr>
      </w:pPr>
    </w:p>
    <w:p w14:paraId="595A8704" w14:textId="77777777" w:rsidR="0012360A" w:rsidRPr="0012360A" w:rsidRDefault="0012360A" w:rsidP="0012360A">
      <w:pPr>
        <w:tabs>
          <w:tab w:val="left" w:pos="8460"/>
          <w:tab w:val="left" w:pos="8640"/>
        </w:tabs>
        <w:spacing w:after="0" w:line="240" w:lineRule="auto"/>
        <w:jc w:val="both"/>
        <w:rPr>
          <w:rFonts w:ascii="Verdana" w:hAnsi="Verdana"/>
          <w:sz w:val="20"/>
          <w:szCs w:val="20"/>
          <w:lang w:val="pt-BR"/>
        </w:rPr>
      </w:pPr>
    </w:p>
    <w:p w14:paraId="00FA92E7" w14:textId="77777777" w:rsidR="0012360A" w:rsidRPr="0012360A" w:rsidRDefault="0012360A" w:rsidP="0012360A">
      <w:pPr>
        <w:tabs>
          <w:tab w:val="left" w:pos="8460"/>
          <w:tab w:val="left" w:pos="8640"/>
        </w:tabs>
        <w:spacing w:after="0" w:line="240" w:lineRule="auto"/>
        <w:jc w:val="both"/>
        <w:rPr>
          <w:rFonts w:ascii="Verdana" w:hAnsi="Verdana"/>
          <w:sz w:val="20"/>
          <w:szCs w:val="20"/>
          <w:lang w:val="pt-BR"/>
        </w:rPr>
      </w:pPr>
      <w:r w:rsidRPr="0012360A">
        <w:rPr>
          <w:rFonts w:ascii="Verdana" w:hAnsi="Verdana"/>
          <w:sz w:val="20"/>
          <w:szCs w:val="20"/>
          <w:lang w:val="pt-BR"/>
        </w:rPr>
        <w:t xml:space="preserve">Pablo Saavedra </w:t>
      </w:r>
      <w:proofErr w:type="spellStart"/>
      <w:r w:rsidRPr="0012360A">
        <w:rPr>
          <w:rFonts w:ascii="Verdana" w:hAnsi="Verdana"/>
          <w:sz w:val="20"/>
          <w:szCs w:val="20"/>
          <w:lang w:val="pt-BR"/>
        </w:rPr>
        <w:t>Alessandri</w:t>
      </w:r>
      <w:proofErr w:type="spellEnd"/>
    </w:p>
    <w:p w14:paraId="27E2515B" w14:textId="77777777" w:rsidR="0012360A" w:rsidRPr="0012360A" w:rsidRDefault="0012360A" w:rsidP="0012360A">
      <w:pPr>
        <w:tabs>
          <w:tab w:val="left" w:pos="8640"/>
        </w:tabs>
        <w:spacing w:after="0" w:line="240" w:lineRule="auto"/>
        <w:ind w:left="720"/>
        <w:jc w:val="both"/>
        <w:rPr>
          <w:rFonts w:ascii="Verdana" w:hAnsi="Verdana"/>
          <w:sz w:val="20"/>
          <w:szCs w:val="20"/>
          <w:lang w:val="pt-BR"/>
        </w:rPr>
      </w:pPr>
      <w:r w:rsidRPr="0012360A">
        <w:rPr>
          <w:rFonts w:ascii="Verdana" w:hAnsi="Verdana"/>
          <w:sz w:val="20"/>
          <w:szCs w:val="20"/>
          <w:lang w:val="pt-BR"/>
        </w:rPr>
        <w:t>Secretario</w:t>
      </w:r>
    </w:p>
    <w:p w14:paraId="5AB8D4F8" w14:textId="77777777" w:rsidR="004D022F" w:rsidRPr="00AF480D" w:rsidRDefault="004D022F" w:rsidP="004D022F">
      <w:pPr>
        <w:spacing w:after="0" w:line="240" w:lineRule="auto"/>
        <w:jc w:val="center"/>
        <w:rPr>
          <w:rFonts w:ascii="Verdana" w:eastAsia="Times" w:hAnsi="Verdana"/>
          <w:sz w:val="20"/>
          <w:szCs w:val="20"/>
          <w:lang w:val="pt-BR"/>
        </w:rPr>
      </w:pPr>
    </w:p>
    <w:sectPr w:rsidR="004D022F" w:rsidRPr="00AF480D" w:rsidSect="00671D8E">
      <w:headerReference w:type="even" r:id="rId8"/>
      <w:headerReference w:type="default" r:id="rId9"/>
      <w:footerReference w:type="default" r:id="rId10"/>
      <w:headerReference w:type="first" r:id="rId11"/>
      <w:pgSz w:w="12240" w:h="15840" w:code="1"/>
      <w:pgMar w:top="1440" w:right="1327"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19E36" w14:textId="77777777" w:rsidR="001C46C2" w:rsidRDefault="001C46C2" w:rsidP="00577097">
      <w:pPr>
        <w:spacing w:after="0" w:line="240" w:lineRule="auto"/>
      </w:pPr>
      <w:r>
        <w:separator/>
      </w:r>
    </w:p>
  </w:endnote>
  <w:endnote w:type="continuationSeparator" w:id="0">
    <w:p w14:paraId="7BEB1648" w14:textId="77777777" w:rsidR="001C46C2" w:rsidRDefault="001C46C2" w:rsidP="00577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MT">
    <w:altName w:val="Arial"/>
    <w:charset w:val="00"/>
    <w:family w:val="auto"/>
    <w:pitch w:val="variable"/>
    <w:sig w:usb0="00000003"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36913" w14:textId="36825211" w:rsidR="00671D8E" w:rsidRPr="002434DF" w:rsidRDefault="00671D8E">
    <w:pPr>
      <w:pStyle w:val="Piedepgina"/>
      <w:jc w:val="center"/>
      <w:rPr>
        <w:rFonts w:ascii="Verdana" w:hAnsi="Verdana"/>
        <w:sz w:val="20"/>
        <w:szCs w:val="20"/>
      </w:rPr>
    </w:pPr>
    <w:r w:rsidRPr="002434DF">
      <w:rPr>
        <w:rFonts w:ascii="Verdana" w:hAnsi="Verdana"/>
        <w:sz w:val="20"/>
        <w:szCs w:val="20"/>
      </w:rPr>
      <w:fldChar w:fldCharType="begin"/>
    </w:r>
    <w:r w:rsidRPr="002434DF">
      <w:rPr>
        <w:rFonts w:ascii="Verdana" w:hAnsi="Verdana"/>
        <w:sz w:val="20"/>
        <w:szCs w:val="20"/>
      </w:rPr>
      <w:instrText xml:space="preserve"> PAGE   \* MERGEFORMAT </w:instrText>
    </w:r>
    <w:r w:rsidRPr="002434DF">
      <w:rPr>
        <w:rFonts w:ascii="Verdana" w:hAnsi="Verdana"/>
        <w:sz w:val="20"/>
        <w:szCs w:val="20"/>
      </w:rPr>
      <w:fldChar w:fldCharType="separate"/>
    </w:r>
    <w:r w:rsidR="003F351E">
      <w:rPr>
        <w:rFonts w:ascii="Verdana" w:hAnsi="Verdana"/>
        <w:noProof/>
        <w:sz w:val="20"/>
        <w:szCs w:val="20"/>
      </w:rPr>
      <w:t>2</w:t>
    </w:r>
    <w:r w:rsidRPr="002434DF">
      <w:rPr>
        <w:rFonts w:ascii="Verdana" w:hAnsi="Verdana"/>
        <w:sz w:val="20"/>
        <w:szCs w:val="20"/>
      </w:rPr>
      <w:fldChar w:fldCharType="end"/>
    </w:r>
  </w:p>
  <w:p w14:paraId="0452D679" w14:textId="77777777" w:rsidR="00671D8E" w:rsidRDefault="00671D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9B550" w14:textId="77777777" w:rsidR="001C46C2" w:rsidRDefault="001C46C2" w:rsidP="00577097">
      <w:pPr>
        <w:spacing w:after="0" w:line="240" w:lineRule="auto"/>
      </w:pPr>
      <w:r>
        <w:separator/>
      </w:r>
    </w:p>
  </w:footnote>
  <w:footnote w:type="continuationSeparator" w:id="0">
    <w:p w14:paraId="071DAA01" w14:textId="77777777" w:rsidR="001C46C2" w:rsidRDefault="001C46C2" w:rsidP="00577097">
      <w:pPr>
        <w:spacing w:after="0" w:line="240" w:lineRule="auto"/>
      </w:pPr>
      <w:r>
        <w:continuationSeparator/>
      </w:r>
    </w:p>
  </w:footnote>
  <w:footnote w:id="1">
    <w:p w14:paraId="469847C8" w14:textId="48A5A8EE" w:rsidR="002F3064" w:rsidRPr="005A7530" w:rsidRDefault="002F3064" w:rsidP="005A7530">
      <w:pPr>
        <w:pStyle w:val="Textonotapie"/>
        <w:tabs>
          <w:tab w:val="left" w:pos="450"/>
          <w:tab w:val="left" w:pos="720"/>
        </w:tabs>
        <w:jc w:val="both"/>
        <w:rPr>
          <w:rFonts w:ascii="Verdana" w:eastAsia="Times New Roman" w:hAnsi="Verdana"/>
          <w:sz w:val="16"/>
          <w:szCs w:val="16"/>
          <w:lang w:val="es-ES" w:eastAsia="en-US"/>
        </w:rPr>
      </w:pPr>
      <w:r w:rsidRPr="005A7530">
        <w:rPr>
          <w:rFonts w:ascii="Verdana" w:hAnsi="Verdana" w:cs="Microsoft Sans Serif"/>
          <w:spacing w:val="-4"/>
          <w:sz w:val="16"/>
          <w:szCs w:val="16"/>
          <w:vertAlign w:val="superscript"/>
          <w:lang w:val="es-PR"/>
        </w:rPr>
        <w:t>*</w:t>
      </w:r>
      <w:r w:rsidRPr="005A7530">
        <w:rPr>
          <w:rFonts w:ascii="Verdana" w:hAnsi="Verdana" w:cs="Microsoft Sans Serif"/>
          <w:spacing w:val="-4"/>
          <w:sz w:val="16"/>
          <w:szCs w:val="16"/>
          <w:vertAlign w:val="superscript"/>
          <w:lang w:val="es-PR"/>
        </w:rPr>
        <w:tab/>
      </w:r>
      <w:r w:rsidRPr="005A7530">
        <w:rPr>
          <w:rFonts w:ascii="Verdana" w:hAnsi="Verdana"/>
          <w:sz w:val="16"/>
          <w:szCs w:val="16"/>
          <w:lang w:val="es-ES"/>
        </w:rPr>
        <w:t>La Jueza Elizabeth Odio</w:t>
      </w:r>
      <w:r w:rsidR="005A7530">
        <w:rPr>
          <w:rFonts w:ascii="Verdana" w:hAnsi="Verdana"/>
          <w:sz w:val="16"/>
          <w:szCs w:val="16"/>
          <w:lang w:val="es-ES"/>
        </w:rPr>
        <w:t xml:space="preserve"> Benito</w:t>
      </w:r>
      <w:r w:rsidRPr="005A7530">
        <w:rPr>
          <w:rFonts w:ascii="Verdana" w:hAnsi="Verdana"/>
          <w:sz w:val="16"/>
          <w:szCs w:val="16"/>
        </w:rPr>
        <w:t xml:space="preserve">, </w:t>
      </w:r>
      <w:proofErr w:type="gramStart"/>
      <w:r w:rsidRPr="005A7530">
        <w:rPr>
          <w:rFonts w:ascii="Verdana" w:hAnsi="Verdana"/>
          <w:sz w:val="16"/>
          <w:szCs w:val="16"/>
          <w:lang w:val="es-ES"/>
        </w:rPr>
        <w:t>Presidenta</w:t>
      </w:r>
      <w:proofErr w:type="gramEnd"/>
      <w:r w:rsidRPr="005A7530">
        <w:rPr>
          <w:rFonts w:ascii="Verdana" w:hAnsi="Verdana"/>
          <w:sz w:val="16"/>
          <w:szCs w:val="16"/>
        </w:rPr>
        <w:t xml:space="preserve"> de la Corte, por razones de fuerza mayor aceptadas por el Pleno del Tribunal, no participó en la deliberación y firma de la presente Sentencia.</w:t>
      </w:r>
      <w:r w:rsidR="00E31807" w:rsidRPr="005A7530">
        <w:rPr>
          <w:rFonts w:ascii="Verdana" w:hAnsi="Verdana"/>
          <w:sz w:val="16"/>
          <w:szCs w:val="16"/>
          <w:lang w:val="es-ES"/>
        </w:rPr>
        <w:t xml:space="preserve"> </w:t>
      </w:r>
      <w:r w:rsidR="00E31807" w:rsidRPr="005A7530">
        <w:rPr>
          <w:rFonts w:ascii="Verdana" w:hAnsi="Verdana"/>
          <w:sz w:val="16"/>
          <w:szCs w:val="16"/>
        </w:rPr>
        <w:t xml:space="preserve">Por tal motivo, de conformidad con los artículos 4.2 y 5 del Reglamento del Tribunal, el Juez </w:t>
      </w:r>
      <w:r w:rsidR="00E31807" w:rsidRPr="005A7530">
        <w:rPr>
          <w:rFonts w:ascii="Verdana" w:hAnsi="Verdana"/>
          <w:sz w:val="16"/>
          <w:szCs w:val="16"/>
          <w:lang w:val="es-ES"/>
        </w:rPr>
        <w:t>Patricio Pazmiño Freire</w:t>
      </w:r>
      <w:r w:rsidR="00E31807" w:rsidRPr="005A7530">
        <w:rPr>
          <w:rFonts w:ascii="Verdana" w:hAnsi="Verdana"/>
          <w:sz w:val="16"/>
          <w:szCs w:val="16"/>
        </w:rPr>
        <w:t>, Vicepresidente de la Corte, asumió la Presidencia en ejercicio</w:t>
      </w:r>
      <w:r w:rsidR="00E31807" w:rsidRPr="005A7530">
        <w:rPr>
          <w:rFonts w:ascii="Verdana" w:hAnsi="Verdana"/>
          <w:sz w:val="16"/>
          <w:szCs w:val="16"/>
          <w:lang w:val="es-ES"/>
        </w:rPr>
        <w:t>.</w:t>
      </w:r>
    </w:p>
  </w:footnote>
  <w:footnote w:id="2">
    <w:p w14:paraId="61BE9BEA" w14:textId="39A4FF3D" w:rsidR="00263FFA" w:rsidRPr="00263FFA" w:rsidRDefault="00263FFA" w:rsidP="00263FFA">
      <w:pPr>
        <w:pStyle w:val="Textonotapie"/>
        <w:jc w:val="both"/>
        <w:rPr>
          <w:rFonts w:ascii="Verdana" w:hAnsi="Verdana" w:cstheme="minorHAnsi"/>
          <w:sz w:val="16"/>
          <w:szCs w:val="16"/>
        </w:rPr>
      </w:pPr>
      <w:r w:rsidRPr="00263FFA">
        <w:rPr>
          <w:rStyle w:val="Refdenotaalpie"/>
          <w:rFonts w:ascii="Verdana" w:hAnsi="Verdana" w:cstheme="minorHAnsi"/>
          <w:sz w:val="16"/>
          <w:szCs w:val="16"/>
        </w:rPr>
        <w:footnoteRef/>
      </w:r>
      <w:r w:rsidRPr="00263FFA">
        <w:rPr>
          <w:rFonts w:ascii="Verdana" w:hAnsi="Verdana" w:cstheme="minorHAnsi"/>
          <w:sz w:val="16"/>
          <w:szCs w:val="16"/>
        </w:rPr>
        <w:t xml:space="preserve"> </w:t>
      </w:r>
      <w:r w:rsidRPr="00263FFA">
        <w:rPr>
          <w:rFonts w:ascii="Verdana" w:hAnsi="Verdana" w:cstheme="minorHAnsi"/>
          <w:sz w:val="16"/>
          <w:szCs w:val="16"/>
        </w:rPr>
        <w:tab/>
      </w:r>
      <w:r w:rsidRPr="00263FFA">
        <w:rPr>
          <w:rFonts w:ascii="Verdana" w:hAnsi="Verdana" w:cstheme="minorHAnsi"/>
          <w:sz w:val="16"/>
          <w:szCs w:val="16"/>
        </w:rPr>
        <w:t>Debido a las circunstancias excepcionales ocasionadas por la pandemia COVID-19, esta Sentencia fue deli</w:t>
      </w:r>
      <w:r>
        <w:rPr>
          <w:rFonts w:ascii="Verdana" w:hAnsi="Verdana" w:cstheme="minorHAnsi"/>
          <w:sz w:val="16"/>
          <w:szCs w:val="16"/>
        </w:rPr>
        <w:t>berada y aprobada durante el 137</w:t>
      </w:r>
      <w:r w:rsidRPr="00263FFA">
        <w:rPr>
          <w:rFonts w:ascii="Verdana" w:hAnsi="Verdana" w:cstheme="minorHAnsi"/>
          <w:sz w:val="16"/>
          <w:szCs w:val="16"/>
        </w:rPr>
        <w:t xml:space="preserve"> Período Ordinario de Sesiones, el cual se llevó a cabo de forma no presencial utilizando medios tecnológicos de conformidad con lo establecido en el Reglamento de la Corte.</w:t>
      </w:r>
    </w:p>
  </w:footnote>
  <w:footnote w:id="3">
    <w:p w14:paraId="46D6C67E" w14:textId="77777777" w:rsidR="00671D8E" w:rsidRPr="00A164FC" w:rsidRDefault="00671D8E" w:rsidP="00A164FC">
      <w:pPr>
        <w:pStyle w:val="Textonotapie"/>
        <w:spacing w:before="120" w:after="120"/>
        <w:jc w:val="both"/>
        <w:rPr>
          <w:rFonts w:ascii="Verdana" w:hAnsi="Verdana"/>
          <w:sz w:val="16"/>
          <w:szCs w:val="16"/>
        </w:rPr>
      </w:pPr>
      <w:r w:rsidRPr="00A164FC">
        <w:rPr>
          <w:rStyle w:val="Refdenotaalpie"/>
          <w:rFonts w:ascii="Verdana" w:hAnsi="Verdana"/>
          <w:sz w:val="16"/>
          <w:szCs w:val="16"/>
        </w:rPr>
        <w:footnoteRef/>
      </w:r>
      <w:r w:rsidRPr="00A164FC">
        <w:rPr>
          <w:rFonts w:ascii="Verdana" w:hAnsi="Verdana"/>
          <w:sz w:val="16"/>
          <w:szCs w:val="16"/>
        </w:rPr>
        <w:t xml:space="preserve"> </w:t>
      </w:r>
      <w:r w:rsidRPr="00A164FC">
        <w:rPr>
          <w:rFonts w:ascii="Verdana" w:hAnsi="Verdana"/>
          <w:sz w:val="16"/>
          <w:szCs w:val="16"/>
        </w:rPr>
        <w:tab/>
      </w:r>
      <w:r w:rsidRPr="00A164FC">
        <w:rPr>
          <w:rFonts w:ascii="Verdana" w:hAnsi="Verdana"/>
          <w:sz w:val="16"/>
          <w:szCs w:val="16"/>
        </w:rPr>
        <w:t xml:space="preserve">El Tribunal recuerda que </w:t>
      </w:r>
      <w:r w:rsidRPr="00A164FC">
        <w:rPr>
          <w:rFonts w:ascii="Verdana" w:hAnsi="Verdana"/>
          <w:color w:val="000000"/>
          <w:sz w:val="16"/>
          <w:szCs w:val="16"/>
        </w:rPr>
        <w:t>de conformidad con los acuerdos de Corte 1/20 y 2/20 se suspendió el cómputo de los plazos en razón de la emergencia de salud causada por el COVID-19 desde el 17 de marzo de 2020, y hasta el 20 de mayo de 2020.</w:t>
      </w:r>
    </w:p>
  </w:footnote>
  <w:footnote w:id="4">
    <w:p w14:paraId="3889B72D" w14:textId="3CF7C097" w:rsidR="00671D8E" w:rsidRPr="00A164FC" w:rsidRDefault="00671D8E" w:rsidP="00A164FC">
      <w:pPr>
        <w:pStyle w:val="Textonotapie"/>
        <w:spacing w:before="120" w:after="120"/>
        <w:jc w:val="both"/>
        <w:rPr>
          <w:rFonts w:ascii="Verdana" w:hAnsi="Verdana"/>
          <w:sz w:val="16"/>
          <w:szCs w:val="16"/>
          <w:lang w:val="es-CR"/>
        </w:rPr>
      </w:pPr>
      <w:r w:rsidRPr="00A164FC">
        <w:rPr>
          <w:rStyle w:val="Refdenotaalpie"/>
          <w:rFonts w:ascii="Verdana" w:hAnsi="Verdana"/>
          <w:sz w:val="16"/>
          <w:szCs w:val="16"/>
          <w:lang w:val="es-CO"/>
        </w:rPr>
        <w:footnoteRef/>
      </w:r>
      <w:r w:rsidRPr="00A164FC">
        <w:rPr>
          <w:rFonts w:ascii="Verdana" w:hAnsi="Verdana"/>
          <w:sz w:val="16"/>
          <w:szCs w:val="16"/>
          <w:lang w:val="es-CO"/>
        </w:rPr>
        <w:t xml:space="preserve"> </w:t>
      </w:r>
      <w:r w:rsidRPr="00A164FC">
        <w:rPr>
          <w:rFonts w:ascii="Verdana" w:hAnsi="Verdana"/>
          <w:sz w:val="16"/>
          <w:szCs w:val="16"/>
          <w:lang w:val="es-CO"/>
        </w:rPr>
        <w:tab/>
      </w:r>
      <w:r w:rsidRPr="00A164FC">
        <w:rPr>
          <w:rFonts w:ascii="Verdana" w:hAnsi="Verdana"/>
          <w:i/>
          <w:sz w:val="16"/>
          <w:szCs w:val="16"/>
          <w:lang w:val="es-CO"/>
        </w:rPr>
        <w:t xml:space="preserve">Cfr. </w:t>
      </w:r>
      <w:r w:rsidRPr="00A164FC">
        <w:rPr>
          <w:rFonts w:ascii="Verdana" w:hAnsi="Verdana"/>
          <w:i/>
          <w:sz w:val="16"/>
          <w:szCs w:val="16"/>
        </w:rPr>
        <w:t xml:space="preserve">Caso Loayza Tamayo Vs. Perú. </w:t>
      </w:r>
      <w:r w:rsidRPr="00A164FC">
        <w:rPr>
          <w:rFonts w:ascii="Verdana" w:hAnsi="Verdana"/>
          <w:i/>
          <w:sz w:val="16"/>
          <w:szCs w:val="16"/>
        </w:rPr>
        <w:t xml:space="preserve">Interpretación de la Sentencia de Fondo. </w:t>
      </w:r>
      <w:r w:rsidRPr="00A164FC">
        <w:rPr>
          <w:rFonts w:ascii="Verdana" w:hAnsi="Verdana"/>
          <w:sz w:val="16"/>
          <w:szCs w:val="16"/>
        </w:rPr>
        <w:t>Resolución de la Corte de 8 de marzo de 1998. Serie C No. 47</w:t>
      </w:r>
      <w:r w:rsidRPr="00A164FC">
        <w:rPr>
          <w:rFonts w:ascii="Verdana" w:hAnsi="Verdana"/>
          <w:sz w:val="16"/>
          <w:szCs w:val="16"/>
          <w:lang w:val="es-CO"/>
        </w:rPr>
        <w:t xml:space="preserve">, </w:t>
      </w:r>
      <w:proofErr w:type="spellStart"/>
      <w:r w:rsidRPr="00A164FC">
        <w:rPr>
          <w:rFonts w:ascii="Verdana" w:hAnsi="Verdana"/>
          <w:sz w:val="16"/>
          <w:szCs w:val="16"/>
          <w:lang w:val="es-CO"/>
        </w:rPr>
        <w:t>párrs</w:t>
      </w:r>
      <w:proofErr w:type="spellEnd"/>
      <w:r w:rsidRPr="00A164FC">
        <w:rPr>
          <w:rFonts w:ascii="Verdana" w:hAnsi="Verdana"/>
          <w:sz w:val="16"/>
          <w:szCs w:val="16"/>
          <w:lang w:val="es-CO"/>
        </w:rPr>
        <w:t>. 12 y 16,</w:t>
      </w:r>
      <w:r w:rsidRPr="00A164FC">
        <w:rPr>
          <w:rFonts w:ascii="Verdana" w:hAnsi="Verdana"/>
          <w:i/>
          <w:sz w:val="16"/>
          <w:szCs w:val="16"/>
          <w:lang w:val="es-CO"/>
        </w:rPr>
        <w:t xml:space="preserve"> </w:t>
      </w:r>
      <w:r w:rsidRPr="00A164FC">
        <w:rPr>
          <w:rFonts w:ascii="Verdana" w:hAnsi="Verdana"/>
          <w:sz w:val="16"/>
          <w:szCs w:val="16"/>
          <w:lang w:val="es-CO"/>
        </w:rPr>
        <w:t>y</w:t>
      </w:r>
      <w:r w:rsidRPr="00A164FC">
        <w:rPr>
          <w:rFonts w:ascii="Verdana" w:hAnsi="Verdana"/>
          <w:i/>
          <w:sz w:val="16"/>
          <w:szCs w:val="16"/>
          <w:lang w:val="es-CO"/>
        </w:rPr>
        <w:t xml:space="preserve"> </w:t>
      </w:r>
      <w:r w:rsidRPr="00A164FC">
        <w:rPr>
          <w:rFonts w:ascii="Verdana" w:hAnsi="Verdana" w:cs="Arial"/>
          <w:i/>
          <w:sz w:val="16"/>
          <w:szCs w:val="16"/>
          <w:shd w:val="clear" w:color="auto" w:fill="FFFFFF"/>
        </w:rPr>
        <w:t xml:space="preserve">Caso </w:t>
      </w:r>
      <w:proofErr w:type="spellStart"/>
      <w:r w:rsidRPr="00A164FC">
        <w:rPr>
          <w:rFonts w:ascii="Verdana" w:hAnsi="Verdana" w:cs="Arial"/>
          <w:i/>
          <w:sz w:val="16"/>
          <w:szCs w:val="16"/>
          <w:shd w:val="clear" w:color="auto" w:fill="FFFFFF"/>
        </w:rPr>
        <w:t>Omeara</w:t>
      </w:r>
      <w:proofErr w:type="spellEnd"/>
      <w:r w:rsidRPr="00A164FC">
        <w:rPr>
          <w:rFonts w:ascii="Verdana" w:hAnsi="Verdana" w:cs="Arial"/>
          <w:i/>
          <w:sz w:val="16"/>
          <w:szCs w:val="16"/>
          <w:shd w:val="clear" w:color="auto" w:fill="FFFFFF"/>
        </w:rPr>
        <w:t xml:space="preserve"> Carrascal y otros Vs. Colombia. Interpretación de la Sentencia de Fondo, Reparaciones y Costas.</w:t>
      </w:r>
      <w:r w:rsidRPr="00A164FC">
        <w:rPr>
          <w:rFonts w:ascii="Verdana" w:hAnsi="Verdana" w:cs="Arial"/>
          <w:sz w:val="16"/>
          <w:szCs w:val="16"/>
          <w:shd w:val="clear" w:color="auto" w:fill="FFFFFF"/>
        </w:rPr>
        <w:t xml:space="preserve"> Sentencia de 14 de octubre de 2019. Serie C No. 389</w:t>
      </w:r>
      <w:r w:rsidRPr="00A164FC">
        <w:rPr>
          <w:rFonts w:ascii="Verdana" w:hAnsi="Verdana" w:cs="Arial"/>
          <w:sz w:val="16"/>
          <w:szCs w:val="16"/>
          <w:shd w:val="clear" w:color="auto" w:fill="FFFFFF"/>
          <w:lang w:val="es-CR"/>
        </w:rPr>
        <w:t>, párr. 10.</w:t>
      </w:r>
    </w:p>
  </w:footnote>
  <w:footnote w:id="5">
    <w:p w14:paraId="1645064D" w14:textId="59499A2A" w:rsidR="00671D8E" w:rsidRPr="00A164FC" w:rsidRDefault="00671D8E" w:rsidP="00A164FC">
      <w:pPr>
        <w:pStyle w:val="Textonotapie"/>
        <w:spacing w:before="120" w:after="120"/>
        <w:jc w:val="both"/>
        <w:rPr>
          <w:rFonts w:ascii="Verdana" w:hAnsi="Verdana"/>
          <w:sz w:val="16"/>
          <w:szCs w:val="16"/>
          <w:lang w:val="es-CR"/>
        </w:rPr>
      </w:pPr>
      <w:r w:rsidRPr="00A164FC">
        <w:rPr>
          <w:rStyle w:val="Refdenotaalpie"/>
          <w:rFonts w:ascii="Verdana" w:hAnsi="Verdana"/>
          <w:sz w:val="16"/>
          <w:szCs w:val="16"/>
        </w:rPr>
        <w:footnoteRef/>
      </w:r>
      <w:r w:rsidRPr="00A164FC">
        <w:rPr>
          <w:rFonts w:ascii="Verdana" w:hAnsi="Verdana"/>
          <w:sz w:val="16"/>
          <w:szCs w:val="16"/>
        </w:rPr>
        <w:t xml:space="preserve"> </w:t>
      </w:r>
      <w:r w:rsidRPr="00A164FC">
        <w:rPr>
          <w:rFonts w:ascii="Verdana" w:hAnsi="Verdana"/>
          <w:sz w:val="16"/>
          <w:szCs w:val="16"/>
          <w:lang w:val="es-CR"/>
        </w:rPr>
        <w:tab/>
      </w:r>
      <w:r w:rsidRPr="00A164FC">
        <w:rPr>
          <w:rFonts w:ascii="Verdana" w:hAnsi="Verdana"/>
          <w:i/>
          <w:sz w:val="16"/>
          <w:szCs w:val="16"/>
        </w:rPr>
        <w:t>Cfr. Caso Loayza Tamayo Vs. Perú. Interpretación de la Sen</w:t>
      </w:r>
      <w:r w:rsidR="001A22C5">
        <w:rPr>
          <w:rFonts w:ascii="Verdana" w:hAnsi="Verdana"/>
          <w:i/>
          <w:sz w:val="16"/>
          <w:szCs w:val="16"/>
        </w:rPr>
        <w:t>tencia de Reparaciones y Costas</w:t>
      </w:r>
      <w:r w:rsidRPr="00A164FC">
        <w:rPr>
          <w:rFonts w:ascii="Verdana" w:hAnsi="Verdana"/>
          <w:sz w:val="16"/>
          <w:szCs w:val="16"/>
        </w:rPr>
        <w:t>,</w:t>
      </w:r>
      <w:r w:rsidR="001A22C5">
        <w:rPr>
          <w:rFonts w:ascii="Verdana" w:hAnsi="Verdana"/>
          <w:sz w:val="16"/>
          <w:szCs w:val="16"/>
          <w:lang w:val="es-ES"/>
        </w:rPr>
        <w:t xml:space="preserve"> </w:t>
      </w:r>
      <w:r w:rsidR="001A22C5" w:rsidRPr="001A22C5">
        <w:rPr>
          <w:rFonts w:ascii="Verdana" w:hAnsi="Verdana"/>
          <w:i/>
          <w:sz w:val="16"/>
          <w:szCs w:val="16"/>
          <w:lang w:val="es-ES"/>
        </w:rPr>
        <w:t>supra</w:t>
      </w:r>
      <w:r w:rsidR="001A22C5">
        <w:rPr>
          <w:rFonts w:ascii="Verdana" w:hAnsi="Verdana"/>
          <w:sz w:val="16"/>
          <w:szCs w:val="16"/>
          <w:lang w:val="es-ES"/>
        </w:rPr>
        <w:t>,</w:t>
      </w:r>
      <w:r w:rsidRPr="00A164FC">
        <w:rPr>
          <w:rFonts w:ascii="Verdana" w:hAnsi="Verdana"/>
          <w:sz w:val="16"/>
          <w:szCs w:val="16"/>
        </w:rPr>
        <w:t xml:space="preserve"> párr. 15, </w:t>
      </w:r>
      <w:r w:rsidRPr="00A164FC">
        <w:rPr>
          <w:rFonts w:ascii="Verdana" w:hAnsi="Verdana"/>
          <w:sz w:val="16"/>
          <w:szCs w:val="16"/>
          <w:lang w:val="es-CO"/>
        </w:rPr>
        <w:t>y</w:t>
      </w:r>
      <w:r w:rsidRPr="00A164FC">
        <w:rPr>
          <w:rFonts w:ascii="Verdana" w:hAnsi="Verdana"/>
          <w:i/>
          <w:sz w:val="16"/>
          <w:szCs w:val="16"/>
          <w:lang w:val="es-CO"/>
        </w:rPr>
        <w:t xml:space="preserve"> </w:t>
      </w:r>
      <w:r w:rsidR="00822119" w:rsidRPr="00A164FC">
        <w:rPr>
          <w:rFonts w:ascii="Verdana" w:hAnsi="Verdana" w:cs="Arial"/>
          <w:i/>
          <w:sz w:val="16"/>
          <w:szCs w:val="16"/>
          <w:shd w:val="clear" w:color="auto" w:fill="FFFFFF"/>
        </w:rPr>
        <w:t xml:space="preserve">Caso </w:t>
      </w:r>
      <w:proofErr w:type="spellStart"/>
      <w:r w:rsidR="00822119" w:rsidRPr="00A164FC">
        <w:rPr>
          <w:rFonts w:ascii="Verdana" w:hAnsi="Verdana" w:cs="Arial"/>
          <w:i/>
          <w:sz w:val="16"/>
          <w:szCs w:val="16"/>
          <w:shd w:val="clear" w:color="auto" w:fill="FFFFFF"/>
        </w:rPr>
        <w:t>Omeara</w:t>
      </w:r>
      <w:proofErr w:type="spellEnd"/>
      <w:r w:rsidR="00822119" w:rsidRPr="00A164FC">
        <w:rPr>
          <w:rFonts w:ascii="Verdana" w:hAnsi="Verdana" w:cs="Arial"/>
          <w:i/>
          <w:sz w:val="16"/>
          <w:szCs w:val="16"/>
          <w:shd w:val="clear" w:color="auto" w:fill="FFFFFF"/>
        </w:rPr>
        <w:t xml:space="preserve"> Carrascal y otros Vs. Colombia. Interpretación de la Sentencia </w:t>
      </w:r>
      <w:r w:rsidR="0084733F">
        <w:rPr>
          <w:rFonts w:ascii="Verdana" w:hAnsi="Verdana" w:cs="Arial"/>
          <w:i/>
          <w:sz w:val="16"/>
          <w:szCs w:val="16"/>
          <w:shd w:val="clear" w:color="auto" w:fill="FFFFFF"/>
        </w:rPr>
        <w:t>de Fondo, Reparaciones y Costas</w:t>
      </w:r>
      <w:r w:rsidR="0084733F" w:rsidRPr="00CF1AC6">
        <w:rPr>
          <w:rFonts w:ascii="Verdana" w:hAnsi="Verdana" w:cs="Arial"/>
          <w:i/>
          <w:sz w:val="16"/>
          <w:szCs w:val="16"/>
          <w:shd w:val="clear" w:color="auto" w:fill="FFFFFF"/>
          <w:lang w:val="es-ES_tradnl"/>
        </w:rPr>
        <w:t>, supra</w:t>
      </w:r>
      <w:r w:rsidRPr="00A164FC">
        <w:rPr>
          <w:rFonts w:ascii="Verdana" w:hAnsi="Verdana" w:cs="Arial"/>
          <w:sz w:val="16"/>
          <w:szCs w:val="16"/>
          <w:shd w:val="clear" w:color="auto" w:fill="FFFFFF"/>
          <w:lang w:val="es-CR"/>
        </w:rPr>
        <w:t>, párr. 11.</w:t>
      </w:r>
    </w:p>
  </w:footnote>
  <w:footnote w:id="6">
    <w:p w14:paraId="710F805A" w14:textId="2689E5AB" w:rsidR="00671D8E" w:rsidRPr="00A164FC" w:rsidRDefault="00671D8E" w:rsidP="00A164FC">
      <w:pPr>
        <w:pStyle w:val="Textonotapie"/>
        <w:spacing w:before="120" w:after="120"/>
        <w:jc w:val="both"/>
        <w:rPr>
          <w:rFonts w:ascii="Verdana" w:hAnsi="Verdana"/>
          <w:sz w:val="16"/>
          <w:szCs w:val="16"/>
          <w:lang w:val="es-CR"/>
        </w:rPr>
      </w:pPr>
      <w:r w:rsidRPr="00A164FC">
        <w:rPr>
          <w:rStyle w:val="Refdenotaalpie"/>
          <w:rFonts w:ascii="Verdana" w:hAnsi="Verdana"/>
          <w:sz w:val="16"/>
          <w:szCs w:val="16"/>
        </w:rPr>
        <w:footnoteRef/>
      </w:r>
      <w:r w:rsidRPr="00A164FC">
        <w:rPr>
          <w:rFonts w:ascii="Verdana" w:hAnsi="Verdana"/>
          <w:sz w:val="16"/>
          <w:szCs w:val="16"/>
        </w:rPr>
        <w:t xml:space="preserve"> </w:t>
      </w:r>
      <w:r w:rsidRPr="00A164FC">
        <w:rPr>
          <w:rFonts w:ascii="Verdana" w:hAnsi="Verdana"/>
          <w:sz w:val="16"/>
          <w:szCs w:val="16"/>
          <w:lang w:val="es-CR"/>
        </w:rPr>
        <w:tab/>
      </w:r>
      <w:r w:rsidRPr="00A164FC">
        <w:rPr>
          <w:rFonts w:ascii="Verdana" w:hAnsi="Verdana"/>
          <w:i/>
          <w:sz w:val="16"/>
          <w:szCs w:val="16"/>
        </w:rPr>
        <w:t xml:space="preserve">Cfr. Caso Salvador Chiriboga Vs. Ecuador. Interpretación de la Sentencia de Reparaciones y Costas. </w:t>
      </w:r>
      <w:r w:rsidRPr="00A164FC">
        <w:rPr>
          <w:rFonts w:ascii="Verdana" w:hAnsi="Verdana"/>
          <w:sz w:val="16"/>
          <w:szCs w:val="16"/>
        </w:rPr>
        <w:t xml:space="preserve">Sentencia de 29 de agosto de 2011. Serie C No. 230, párr. 30, </w:t>
      </w:r>
      <w:r w:rsidRPr="00A164FC">
        <w:rPr>
          <w:rFonts w:ascii="Verdana" w:hAnsi="Verdana"/>
          <w:sz w:val="16"/>
          <w:szCs w:val="16"/>
          <w:lang w:val="es-CO"/>
        </w:rPr>
        <w:t xml:space="preserve">y </w:t>
      </w:r>
      <w:r w:rsidR="00822119" w:rsidRPr="00A164FC">
        <w:rPr>
          <w:rFonts w:ascii="Verdana" w:hAnsi="Verdana" w:cs="Arial"/>
          <w:i/>
          <w:sz w:val="16"/>
          <w:szCs w:val="16"/>
          <w:shd w:val="clear" w:color="auto" w:fill="FFFFFF"/>
        </w:rPr>
        <w:t xml:space="preserve">Caso </w:t>
      </w:r>
      <w:proofErr w:type="spellStart"/>
      <w:r w:rsidR="00822119" w:rsidRPr="00A164FC">
        <w:rPr>
          <w:rFonts w:ascii="Verdana" w:hAnsi="Verdana" w:cs="Arial"/>
          <w:i/>
          <w:sz w:val="16"/>
          <w:szCs w:val="16"/>
          <w:shd w:val="clear" w:color="auto" w:fill="FFFFFF"/>
        </w:rPr>
        <w:t>Omeara</w:t>
      </w:r>
      <w:proofErr w:type="spellEnd"/>
      <w:r w:rsidR="00822119" w:rsidRPr="00A164FC">
        <w:rPr>
          <w:rFonts w:ascii="Verdana" w:hAnsi="Verdana" w:cs="Arial"/>
          <w:i/>
          <w:sz w:val="16"/>
          <w:szCs w:val="16"/>
          <w:shd w:val="clear" w:color="auto" w:fill="FFFFFF"/>
        </w:rPr>
        <w:t xml:space="preserve"> Carrascal y otros Vs. Colombia. Interpretación de la Sentencia </w:t>
      </w:r>
      <w:r w:rsidR="0084733F">
        <w:rPr>
          <w:rFonts w:ascii="Verdana" w:hAnsi="Verdana" w:cs="Arial"/>
          <w:i/>
          <w:sz w:val="16"/>
          <w:szCs w:val="16"/>
          <w:shd w:val="clear" w:color="auto" w:fill="FFFFFF"/>
        </w:rPr>
        <w:t>de Fondo, Reparaciones y Costas</w:t>
      </w:r>
      <w:r w:rsidR="0084733F" w:rsidRPr="00CF1AC6">
        <w:rPr>
          <w:rFonts w:ascii="Verdana" w:hAnsi="Verdana" w:cs="Arial"/>
          <w:i/>
          <w:sz w:val="16"/>
          <w:szCs w:val="16"/>
          <w:shd w:val="clear" w:color="auto" w:fill="FFFFFF"/>
          <w:lang w:val="es-ES_tradnl"/>
        </w:rPr>
        <w:t>, supra</w:t>
      </w:r>
      <w:r w:rsidRPr="00A164FC">
        <w:rPr>
          <w:rFonts w:ascii="Verdana" w:hAnsi="Verdana" w:cs="Arial"/>
          <w:sz w:val="16"/>
          <w:szCs w:val="16"/>
          <w:shd w:val="clear" w:color="auto" w:fill="FFFFFF"/>
          <w:lang w:val="es-CR"/>
        </w:rPr>
        <w:t>, párr. 11.</w:t>
      </w:r>
    </w:p>
  </w:footnote>
  <w:footnote w:id="7">
    <w:p w14:paraId="7ABBE85D" w14:textId="3169F3F4" w:rsidR="00671D8E" w:rsidRPr="00A164FC" w:rsidRDefault="00671D8E" w:rsidP="00A164FC">
      <w:pPr>
        <w:pStyle w:val="Textonotapie"/>
        <w:spacing w:before="120" w:after="120"/>
        <w:jc w:val="both"/>
        <w:rPr>
          <w:rFonts w:ascii="Verdana" w:hAnsi="Verdana"/>
          <w:sz w:val="16"/>
          <w:szCs w:val="16"/>
          <w:lang w:val="es-CR"/>
        </w:rPr>
      </w:pPr>
      <w:r w:rsidRPr="00A164FC">
        <w:rPr>
          <w:rStyle w:val="Refdenotaalpie"/>
          <w:rFonts w:ascii="Verdana" w:hAnsi="Verdana"/>
          <w:sz w:val="16"/>
          <w:szCs w:val="16"/>
        </w:rPr>
        <w:footnoteRef/>
      </w:r>
      <w:r w:rsidRPr="00A164FC">
        <w:rPr>
          <w:rFonts w:ascii="Verdana" w:hAnsi="Verdana"/>
          <w:sz w:val="16"/>
          <w:szCs w:val="16"/>
        </w:rPr>
        <w:t xml:space="preserve"> </w:t>
      </w:r>
      <w:r w:rsidRPr="00A164FC">
        <w:rPr>
          <w:rFonts w:ascii="Verdana" w:hAnsi="Verdana"/>
          <w:sz w:val="16"/>
          <w:szCs w:val="16"/>
          <w:lang w:val="es-CR"/>
        </w:rPr>
        <w:tab/>
      </w:r>
      <w:r w:rsidRPr="00A164FC">
        <w:rPr>
          <w:rFonts w:ascii="Verdana" w:hAnsi="Verdana"/>
          <w:i/>
          <w:sz w:val="16"/>
          <w:szCs w:val="16"/>
        </w:rPr>
        <w:t>Cfr. Caso Escher y otros Vs. Brasil. Interpretación de la Sentencia de Excepciones Preliminares, Fondo, Reparaciones y Costas</w:t>
      </w:r>
      <w:r w:rsidRPr="00A164FC">
        <w:rPr>
          <w:rFonts w:ascii="Verdana" w:hAnsi="Verdana"/>
          <w:sz w:val="16"/>
          <w:szCs w:val="16"/>
        </w:rPr>
        <w:t>. Sentencia de 20 de noviembre de 2009. Serie C No. 208, párr. 11,</w:t>
      </w:r>
      <w:r w:rsidRPr="00A164FC">
        <w:rPr>
          <w:rFonts w:ascii="Verdana" w:hAnsi="Verdana"/>
          <w:i/>
          <w:sz w:val="16"/>
          <w:szCs w:val="16"/>
        </w:rPr>
        <w:t xml:space="preserve"> </w:t>
      </w:r>
      <w:r w:rsidR="00056E18" w:rsidRPr="00CF1AC6">
        <w:rPr>
          <w:rFonts w:ascii="Verdana" w:hAnsi="Verdana"/>
          <w:sz w:val="16"/>
          <w:szCs w:val="16"/>
          <w:lang w:val="es-ES_tradnl"/>
        </w:rPr>
        <w:t xml:space="preserve">y </w:t>
      </w:r>
      <w:r w:rsidR="00056E18" w:rsidRPr="00A164FC">
        <w:rPr>
          <w:rFonts w:ascii="Verdana" w:hAnsi="Verdana" w:cs="Arial"/>
          <w:i/>
          <w:sz w:val="16"/>
          <w:szCs w:val="16"/>
          <w:shd w:val="clear" w:color="auto" w:fill="FFFFFF"/>
        </w:rPr>
        <w:t xml:space="preserve">Caso </w:t>
      </w:r>
      <w:proofErr w:type="spellStart"/>
      <w:r w:rsidR="00056E18" w:rsidRPr="00A164FC">
        <w:rPr>
          <w:rFonts w:ascii="Verdana" w:hAnsi="Verdana" w:cs="Arial"/>
          <w:i/>
          <w:sz w:val="16"/>
          <w:szCs w:val="16"/>
          <w:shd w:val="clear" w:color="auto" w:fill="FFFFFF"/>
        </w:rPr>
        <w:t>Omeara</w:t>
      </w:r>
      <w:proofErr w:type="spellEnd"/>
      <w:r w:rsidR="00056E18" w:rsidRPr="00A164FC">
        <w:rPr>
          <w:rFonts w:ascii="Verdana" w:hAnsi="Verdana" w:cs="Arial"/>
          <w:i/>
          <w:sz w:val="16"/>
          <w:szCs w:val="16"/>
          <w:shd w:val="clear" w:color="auto" w:fill="FFFFFF"/>
        </w:rPr>
        <w:t xml:space="preserve"> Carrascal y otros Vs. Colombia. Interpretación de la Sentencia </w:t>
      </w:r>
      <w:r w:rsidR="00056E18">
        <w:rPr>
          <w:rFonts w:ascii="Verdana" w:hAnsi="Verdana" w:cs="Arial"/>
          <w:i/>
          <w:sz w:val="16"/>
          <w:szCs w:val="16"/>
          <w:shd w:val="clear" w:color="auto" w:fill="FFFFFF"/>
        </w:rPr>
        <w:t>de Fondo, Reparaciones y Costas</w:t>
      </w:r>
      <w:r w:rsidR="001A22C5">
        <w:rPr>
          <w:rFonts w:ascii="Verdana" w:hAnsi="Verdana" w:cs="Arial"/>
          <w:i/>
          <w:sz w:val="16"/>
          <w:szCs w:val="16"/>
          <w:shd w:val="clear" w:color="auto" w:fill="FFFFFF"/>
          <w:lang w:val="es-ES"/>
        </w:rPr>
        <w:t xml:space="preserve">, </w:t>
      </w:r>
      <w:r w:rsidR="00056E18" w:rsidRPr="00CF1AC6">
        <w:rPr>
          <w:rFonts w:ascii="Verdana" w:hAnsi="Verdana"/>
          <w:i/>
          <w:sz w:val="16"/>
          <w:szCs w:val="16"/>
          <w:lang w:val="es-ES_tradnl"/>
        </w:rPr>
        <w:t>supra</w:t>
      </w:r>
      <w:r w:rsidRPr="00A164FC">
        <w:rPr>
          <w:rFonts w:ascii="Verdana" w:hAnsi="Verdana" w:cs="Arial"/>
          <w:sz w:val="16"/>
          <w:szCs w:val="16"/>
          <w:shd w:val="clear" w:color="auto" w:fill="FFFFFF"/>
          <w:lang w:val="es-CR"/>
        </w:rPr>
        <w:t>, párr.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E66FD" w14:textId="77777777" w:rsidR="00671D8E" w:rsidRDefault="00671D8E" w:rsidP="00671D8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41BAD1" w14:textId="77777777" w:rsidR="00671D8E" w:rsidRDefault="00671D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26A14" w14:textId="77777777" w:rsidR="00671D8E" w:rsidRDefault="00671D8E" w:rsidP="00671D8E">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C2EEA" w14:textId="77777777" w:rsidR="00671D8E" w:rsidRPr="00AD6D04" w:rsidRDefault="00671D8E" w:rsidP="00671D8E">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D7242152"/>
    <w:lvl w:ilvl="0">
      <w:start w:val="3"/>
      <w:numFmt w:val="decimal"/>
      <w:pStyle w:val="PrrafodeSentencia"/>
      <w:lvlText w:val="%1."/>
      <w:lvlJc w:val="left"/>
      <w:pPr>
        <w:tabs>
          <w:tab w:val="num" w:pos="360"/>
        </w:tabs>
        <w:ind w:left="360" w:hanging="360"/>
      </w:pPr>
      <w:rPr>
        <w:rFonts w:ascii="Verdana" w:hAnsi="Verdana" w:hint="default"/>
        <w:b w:val="0"/>
        <w:i w:val="0"/>
        <w:strike w:val="0"/>
        <w:color w:val="auto"/>
        <w:sz w:val="20"/>
        <w:szCs w:val="20"/>
      </w:rPr>
    </w:lvl>
    <w:lvl w:ilvl="1">
      <w:start w:val="1"/>
      <w:numFmt w:val="decimal"/>
      <w:lvlText w:val="%2."/>
      <w:lvlJc w:val="left"/>
      <w:pPr>
        <w:tabs>
          <w:tab w:val="num" w:pos="1080"/>
        </w:tabs>
        <w:ind w:left="1080" w:hanging="360"/>
      </w:pPr>
      <w:rPr>
        <w:lang w:val="es-C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6EB33FF"/>
    <w:multiLevelType w:val="hybridMultilevel"/>
    <w:tmpl w:val="11845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050E6"/>
    <w:multiLevelType w:val="hybridMultilevel"/>
    <w:tmpl w:val="4540232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D0362A1"/>
    <w:multiLevelType w:val="hybridMultilevel"/>
    <w:tmpl w:val="5CC463EE"/>
    <w:lvl w:ilvl="0" w:tplc="140A0015">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75981C09"/>
    <w:multiLevelType w:val="hybridMultilevel"/>
    <w:tmpl w:val="D758E48A"/>
    <w:lvl w:ilvl="0" w:tplc="3162009A">
      <w:start w:val="1"/>
      <w:numFmt w:val="decimal"/>
      <w:lvlText w:val="%1."/>
      <w:lvlJc w:val="left"/>
      <w:pPr>
        <w:ind w:left="360" w:hanging="360"/>
      </w:pPr>
      <w:rPr>
        <w:rFonts w:eastAsia="Batang" w:cs="Verdana" w:hint="default"/>
        <w:b w:val="0"/>
        <w:i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6753A80"/>
    <w:multiLevelType w:val="hybridMultilevel"/>
    <w:tmpl w:val="972E4AA2"/>
    <w:lvl w:ilvl="0" w:tplc="D50E3498">
      <w:start w:val="1"/>
      <w:numFmt w:val="decimal"/>
      <w:lvlText w:val="%1."/>
      <w:lvlJc w:val="left"/>
      <w:pPr>
        <w:ind w:left="0" w:firstLine="0"/>
      </w:pPr>
      <w:rPr>
        <w:rFonts w:ascii="Verdana" w:hAnsi="Verdana" w:hint="default"/>
        <w:b w:val="0"/>
        <w:i w:val="0"/>
        <w:strike w:val="0"/>
        <w:color w:val="auto"/>
        <w:sz w:val="20"/>
        <w:szCs w:val="20"/>
        <w:lang w:val="es-ES_tradnl"/>
      </w:rPr>
    </w:lvl>
    <w:lvl w:ilvl="1" w:tplc="2C0A0019">
      <w:start w:val="1"/>
      <w:numFmt w:val="lowerLetter"/>
      <w:lvlText w:val="%2."/>
      <w:lvlJc w:val="left"/>
      <w:pPr>
        <w:ind w:left="1353" w:hanging="360"/>
      </w:pPr>
      <w:rPr>
        <w:rFonts w:hint="default"/>
        <w:lang w:val="es-CR"/>
      </w:rPr>
    </w:lvl>
    <w:lvl w:ilvl="2" w:tplc="B768858A">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tentative="1">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6" w15:restartNumberingAfterBreak="0">
    <w:nsid w:val="79354707"/>
    <w:multiLevelType w:val="hybridMultilevel"/>
    <w:tmpl w:val="62D26802"/>
    <w:lvl w:ilvl="0" w:tplc="98A461BC">
      <w:start w:val="1"/>
      <w:numFmt w:val="decimal"/>
      <w:lvlText w:val="%1."/>
      <w:lvlJc w:val="left"/>
      <w:pPr>
        <w:ind w:left="6070" w:hanging="825"/>
      </w:pPr>
      <w:rPr>
        <w:rFonts w:ascii="Verdana" w:eastAsia="Verdana" w:hAnsi="Verdana" w:cs="Verdana" w:hint="default"/>
        <w:b w:val="0"/>
        <w:i w:val="0"/>
        <w:strike w:val="0"/>
        <w:color w:val="auto"/>
        <w:sz w:val="20"/>
        <w:szCs w:val="20"/>
        <w:lang w:val="es-MX"/>
      </w:rPr>
    </w:lvl>
    <w:lvl w:ilvl="1" w:tplc="140A001B">
      <w:start w:val="1"/>
      <w:numFmt w:val="lowerRoman"/>
      <w:lvlText w:val="%2."/>
      <w:lvlJc w:val="right"/>
      <w:pPr>
        <w:ind w:left="1440" w:hanging="360"/>
      </w:pPr>
    </w:lvl>
    <w:lvl w:ilvl="2" w:tplc="811CA528">
      <w:start w:val="1"/>
      <w:numFmt w:val="lowerRoman"/>
      <w:lvlText w:val="%3."/>
      <w:lvlJc w:val="right"/>
      <w:pPr>
        <w:ind w:left="1031" w:hanging="180"/>
      </w:pPr>
      <w:rPr>
        <w:rFonts w:ascii="Verdana" w:eastAsia="Batang" w:hAnsi="Verdana" w:cstheme="minorBidi"/>
        <w:i w:val="0"/>
      </w:rPr>
    </w:lvl>
    <w:lvl w:ilvl="3" w:tplc="664CD6A6">
      <w:start w:val="1"/>
      <w:numFmt w:val="decimal"/>
      <w:lvlText w:val="D.7.%4."/>
      <w:lvlJc w:val="left"/>
      <w:pPr>
        <w:ind w:left="2880" w:hanging="360"/>
      </w:pPr>
      <w:rPr>
        <w:rFonts w:hint="default"/>
        <w:lang w:val="es-AR"/>
      </w:r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5B9ABF92">
      <w:start w:val="1"/>
      <w:numFmt w:val="decimal"/>
      <w:lvlText w:val="A.%7."/>
      <w:lvlJc w:val="left"/>
      <w:pPr>
        <w:ind w:left="1778" w:hanging="360"/>
      </w:pPr>
      <w:rPr>
        <w:rFonts w:hint="default"/>
        <w:b w:val="0"/>
        <w:i/>
      </w:r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15:restartNumberingAfterBreak="0">
    <w:nsid w:val="7CE64D32"/>
    <w:multiLevelType w:val="hybridMultilevel"/>
    <w:tmpl w:val="F94C7190"/>
    <w:lvl w:ilvl="0" w:tplc="B49EC3C2">
      <w:start w:val="1"/>
      <w:numFmt w:val="decimal"/>
      <w:lvlText w:val="%1."/>
      <w:lvlJc w:val="left"/>
      <w:pPr>
        <w:tabs>
          <w:tab w:val="num" w:pos="1247"/>
        </w:tabs>
        <w:ind w:left="0" w:firstLine="0"/>
      </w:pPr>
      <w:rPr>
        <w:rFonts w:ascii="Verdana" w:eastAsia="Times" w:hAnsi="Verdana" w:cs="Times New Roman"/>
        <w:b w:val="0"/>
        <w:i w:val="0"/>
        <w:strike w:val="0"/>
        <w:color w:val="auto"/>
        <w:sz w:val="20"/>
        <w:lang w:val="es-CR"/>
      </w:rPr>
    </w:lvl>
    <w:lvl w:ilvl="1" w:tplc="91ECB87E">
      <w:start w:val="1"/>
      <w:numFmt w:val="lowerLetter"/>
      <w:lvlText w:val="%2)"/>
      <w:lvlJc w:val="left"/>
      <w:pPr>
        <w:tabs>
          <w:tab w:val="num" w:pos="1080"/>
        </w:tabs>
        <w:ind w:left="1080" w:hanging="360"/>
      </w:pPr>
      <w:rPr>
        <w:rFonts w:hint="default"/>
        <w:b w:val="0"/>
        <w:i w:val="0"/>
        <w:sz w:val="2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3"/>
  </w:num>
  <w:num w:numId="4">
    <w:abstractNumId w:val="5"/>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AR" w:vendorID="64" w:dllVersion="6" w:nlCheck="1" w:checkStyle="1"/>
  <w:activeWritingStyle w:appName="MSWord" w:lang="es-ES" w:vendorID="64" w:dllVersion="6" w:nlCheck="1" w:checkStyle="0"/>
  <w:activeWritingStyle w:appName="MSWord" w:lang="es-CR" w:vendorID="64" w:dllVersion="6" w:nlCheck="1" w:checkStyle="0"/>
  <w:activeWritingStyle w:appName="MSWord" w:lang="es-ES_tradnl" w:vendorID="64" w:dllVersion="6" w:nlCheck="1" w:checkStyle="0"/>
  <w:activeWritingStyle w:appName="MSWord" w:lang="es-PA" w:vendorID="64" w:dllVersion="6" w:nlCheck="1" w:checkStyle="1"/>
  <w:activeWritingStyle w:appName="MSWord" w:lang="es-DO" w:vendorID="64" w:dllVersion="6" w:nlCheck="1" w:checkStyle="0"/>
  <w:activeWritingStyle w:appName="MSWord" w:lang="es-CO" w:vendorID="64" w:dllVersion="6"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DO" w:vendorID="64" w:dllVersion="0" w:nlCheck="1" w:checkStyle="0"/>
  <w:activeWritingStyle w:appName="MSWord" w:lang="es-PR" w:vendorID="64" w:dllVersion="6" w:nlCheck="1" w:checkStyle="0"/>
  <w:activeWritingStyle w:appName="MSWord" w:lang="es-C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DO" w:vendorID="64" w:dllVersion="4096" w:nlCheck="1" w:checkStyle="0"/>
  <w:activeWritingStyle w:appName="MSWord" w:lang="es-PR" w:vendorID="64" w:dllVersion="4096" w:nlCheck="1" w:checkStyle="0"/>
  <w:activeWritingStyle w:appName="MSWord" w:lang="pt-BR"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097"/>
    <w:rsid w:val="00003703"/>
    <w:rsid w:val="00010E44"/>
    <w:rsid w:val="00012EB9"/>
    <w:rsid w:val="000139A9"/>
    <w:rsid w:val="00014B11"/>
    <w:rsid w:val="00030376"/>
    <w:rsid w:val="00031F46"/>
    <w:rsid w:val="000416A1"/>
    <w:rsid w:val="000423C1"/>
    <w:rsid w:val="0005545E"/>
    <w:rsid w:val="00056E18"/>
    <w:rsid w:val="00064C1E"/>
    <w:rsid w:val="00067A54"/>
    <w:rsid w:val="00067B12"/>
    <w:rsid w:val="000703C9"/>
    <w:rsid w:val="00072E95"/>
    <w:rsid w:val="000775C0"/>
    <w:rsid w:val="00077A4A"/>
    <w:rsid w:val="0008360D"/>
    <w:rsid w:val="00093AB6"/>
    <w:rsid w:val="000950B9"/>
    <w:rsid w:val="0009648E"/>
    <w:rsid w:val="000A021E"/>
    <w:rsid w:val="000A4AD3"/>
    <w:rsid w:val="000A739F"/>
    <w:rsid w:val="000B293B"/>
    <w:rsid w:val="000B4C0A"/>
    <w:rsid w:val="000C6A21"/>
    <w:rsid w:val="000C7596"/>
    <w:rsid w:val="000D0A24"/>
    <w:rsid w:val="000E0D48"/>
    <w:rsid w:val="000E31B6"/>
    <w:rsid w:val="000E5DE4"/>
    <w:rsid w:val="000F0702"/>
    <w:rsid w:val="000F52DC"/>
    <w:rsid w:val="000F7CE7"/>
    <w:rsid w:val="00101814"/>
    <w:rsid w:val="0010417B"/>
    <w:rsid w:val="00107EA0"/>
    <w:rsid w:val="00113CF4"/>
    <w:rsid w:val="00117DCE"/>
    <w:rsid w:val="00121E07"/>
    <w:rsid w:val="0012360A"/>
    <w:rsid w:val="001241EC"/>
    <w:rsid w:val="00126FE0"/>
    <w:rsid w:val="00150F39"/>
    <w:rsid w:val="001519BE"/>
    <w:rsid w:val="00160BC7"/>
    <w:rsid w:val="00161EF0"/>
    <w:rsid w:val="0016280D"/>
    <w:rsid w:val="00170FD3"/>
    <w:rsid w:val="0017484E"/>
    <w:rsid w:val="0018023D"/>
    <w:rsid w:val="00182CB2"/>
    <w:rsid w:val="00185241"/>
    <w:rsid w:val="00191668"/>
    <w:rsid w:val="00193A04"/>
    <w:rsid w:val="0019512A"/>
    <w:rsid w:val="00195B27"/>
    <w:rsid w:val="001A17D5"/>
    <w:rsid w:val="001A22C5"/>
    <w:rsid w:val="001A3889"/>
    <w:rsid w:val="001A42AF"/>
    <w:rsid w:val="001B0D5F"/>
    <w:rsid w:val="001B28AF"/>
    <w:rsid w:val="001B7615"/>
    <w:rsid w:val="001C24B0"/>
    <w:rsid w:val="001C465E"/>
    <w:rsid w:val="001C46C2"/>
    <w:rsid w:val="001D0B60"/>
    <w:rsid w:val="001D14A6"/>
    <w:rsid w:val="001E1718"/>
    <w:rsid w:val="001E29F4"/>
    <w:rsid w:val="001F0C47"/>
    <w:rsid w:val="00204BEA"/>
    <w:rsid w:val="002123F7"/>
    <w:rsid w:val="00222515"/>
    <w:rsid w:val="00224342"/>
    <w:rsid w:val="00240A0B"/>
    <w:rsid w:val="0024207C"/>
    <w:rsid w:val="00243299"/>
    <w:rsid w:val="00262910"/>
    <w:rsid w:val="00263FFA"/>
    <w:rsid w:val="00267103"/>
    <w:rsid w:val="00273EAB"/>
    <w:rsid w:val="00280966"/>
    <w:rsid w:val="00281416"/>
    <w:rsid w:val="00281FA0"/>
    <w:rsid w:val="00284014"/>
    <w:rsid w:val="002912A2"/>
    <w:rsid w:val="00292888"/>
    <w:rsid w:val="00293B55"/>
    <w:rsid w:val="00294672"/>
    <w:rsid w:val="002A13A7"/>
    <w:rsid w:val="002A26D8"/>
    <w:rsid w:val="002C41FC"/>
    <w:rsid w:val="002D0816"/>
    <w:rsid w:val="002D207F"/>
    <w:rsid w:val="002E7B61"/>
    <w:rsid w:val="002F3064"/>
    <w:rsid w:val="003016B2"/>
    <w:rsid w:val="00305C34"/>
    <w:rsid w:val="003073C3"/>
    <w:rsid w:val="00307B5F"/>
    <w:rsid w:val="00320614"/>
    <w:rsid w:val="00326009"/>
    <w:rsid w:val="00326731"/>
    <w:rsid w:val="00341838"/>
    <w:rsid w:val="00344748"/>
    <w:rsid w:val="0034703A"/>
    <w:rsid w:val="003601A1"/>
    <w:rsid w:val="003645D7"/>
    <w:rsid w:val="00370DF5"/>
    <w:rsid w:val="0037162C"/>
    <w:rsid w:val="00372282"/>
    <w:rsid w:val="00372B83"/>
    <w:rsid w:val="00372F18"/>
    <w:rsid w:val="00374F3C"/>
    <w:rsid w:val="003829A1"/>
    <w:rsid w:val="00386DC8"/>
    <w:rsid w:val="00391B84"/>
    <w:rsid w:val="003A32F1"/>
    <w:rsid w:val="003B547D"/>
    <w:rsid w:val="003B5581"/>
    <w:rsid w:val="003B7258"/>
    <w:rsid w:val="003B7EE4"/>
    <w:rsid w:val="003C3038"/>
    <w:rsid w:val="003C3633"/>
    <w:rsid w:val="003D1595"/>
    <w:rsid w:val="003D1781"/>
    <w:rsid w:val="003D41AA"/>
    <w:rsid w:val="003E06A1"/>
    <w:rsid w:val="003E12BC"/>
    <w:rsid w:val="003F351E"/>
    <w:rsid w:val="003F5E48"/>
    <w:rsid w:val="003F6692"/>
    <w:rsid w:val="003F6A83"/>
    <w:rsid w:val="00400A80"/>
    <w:rsid w:val="0040104C"/>
    <w:rsid w:val="0040422A"/>
    <w:rsid w:val="0040429A"/>
    <w:rsid w:val="00407800"/>
    <w:rsid w:val="00411AA0"/>
    <w:rsid w:val="00422A93"/>
    <w:rsid w:val="0042353D"/>
    <w:rsid w:val="0042565C"/>
    <w:rsid w:val="00430E8C"/>
    <w:rsid w:val="00434957"/>
    <w:rsid w:val="004379B8"/>
    <w:rsid w:val="004412D7"/>
    <w:rsid w:val="0044561B"/>
    <w:rsid w:val="00453E5A"/>
    <w:rsid w:val="00454D0D"/>
    <w:rsid w:val="004768F7"/>
    <w:rsid w:val="00476B19"/>
    <w:rsid w:val="00480D7A"/>
    <w:rsid w:val="00481F8C"/>
    <w:rsid w:val="00487100"/>
    <w:rsid w:val="0048769B"/>
    <w:rsid w:val="00497565"/>
    <w:rsid w:val="00497AD2"/>
    <w:rsid w:val="004A38D0"/>
    <w:rsid w:val="004A48BA"/>
    <w:rsid w:val="004A4B1A"/>
    <w:rsid w:val="004A5A50"/>
    <w:rsid w:val="004A617B"/>
    <w:rsid w:val="004A61E4"/>
    <w:rsid w:val="004A6D94"/>
    <w:rsid w:val="004B01A4"/>
    <w:rsid w:val="004B07FB"/>
    <w:rsid w:val="004B0DD2"/>
    <w:rsid w:val="004C0E4C"/>
    <w:rsid w:val="004C39B2"/>
    <w:rsid w:val="004C497D"/>
    <w:rsid w:val="004C796E"/>
    <w:rsid w:val="004D022F"/>
    <w:rsid w:val="004D4A84"/>
    <w:rsid w:val="004D4BE9"/>
    <w:rsid w:val="004D5C13"/>
    <w:rsid w:val="004E0CD8"/>
    <w:rsid w:val="004E2E75"/>
    <w:rsid w:val="004F0881"/>
    <w:rsid w:val="005032B9"/>
    <w:rsid w:val="00513537"/>
    <w:rsid w:val="00514356"/>
    <w:rsid w:val="00516E8C"/>
    <w:rsid w:val="00521460"/>
    <w:rsid w:val="005226F5"/>
    <w:rsid w:val="005251BE"/>
    <w:rsid w:val="00536D7F"/>
    <w:rsid w:val="00537FF5"/>
    <w:rsid w:val="00543B7C"/>
    <w:rsid w:val="00546D19"/>
    <w:rsid w:val="005605FB"/>
    <w:rsid w:val="0056370B"/>
    <w:rsid w:val="005661FE"/>
    <w:rsid w:val="00570A7C"/>
    <w:rsid w:val="005755BA"/>
    <w:rsid w:val="00577097"/>
    <w:rsid w:val="005847FB"/>
    <w:rsid w:val="00587012"/>
    <w:rsid w:val="005939E6"/>
    <w:rsid w:val="005A6020"/>
    <w:rsid w:val="005A7530"/>
    <w:rsid w:val="005B50A4"/>
    <w:rsid w:val="005B59D1"/>
    <w:rsid w:val="005B7A9B"/>
    <w:rsid w:val="005C1433"/>
    <w:rsid w:val="005C2911"/>
    <w:rsid w:val="005C3031"/>
    <w:rsid w:val="005C601B"/>
    <w:rsid w:val="005C797C"/>
    <w:rsid w:val="005D14D8"/>
    <w:rsid w:val="005E0025"/>
    <w:rsid w:val="005F3BC2"/>
    <w:rsid w:val="00601FBD"/>
    <w:rsid w:val="006071E0"/>
    <w:rsid w:val="00613C49"/>
    <w:rsid w:val="0061704F"/>
    <w:rsid w:val="006239E5"/>
    <w:rsid w:val="006276E1"/>
    <w:rsid w:val="00630E7E"/>
    <w:rsid w:val="00632CB0"/>
    <w:rsid w:val="00634032"/>
    <w:rsid w:val="00635702"/>
    <w:rsid w:val="00636ED9"/>
    <w:rsid w:val="0063714C"/>
    <w:rsid w:val="006373F8"/>
    <w:rsid w:val="00640BF1"/>
    <w:rsid w:val="00643162"/>
    <w:rsid w:val="00651448"/>
    <w:rsid w:val="00653823"/>
    <w:rsid w:val="0065787B"/>
    <w:rsid w:val="00661051"/>
    <w:rsid w:val="00665B11"/>
    <w:rsid w:val="00670334"/>
    <w:rsid w:val="00671D8E"/>
    <w:rsid w:val="00672186"/>
    <w:rsid w:val="006766CC"/>
    <w:rsid w:val="00677B81"/>
    <w:rsid w:val="006834DA"/>
    <w:rsid w:val="00684687"/>
    <w:rsid w:val="00686B5A"/>
    <w:rsid w:val="00687713"/>
    <w:rsid w:val="00690667"/>
    <w:rsid w:val="00691EB2"/>
    <w:rsid w:val="00692ADE"/>
    <w:rsid w:val="0069533B"/>
    <w:rsid w:val="006B3A28"/>
    <w:rsid w:val="006B63F6"/>
    <w:rsid w:val="006B7212"/>
    <w:rsid w:val="006D180B"/>
    <w:rsid w:val="006D1F3B"/>
    <w:rsid w:val="006D23CD"/>
    <w:rsid w:val="006E05F7"/>
    <w:rsid w:val="006E0F14"/>
    <w:rsid w:val="006E412A"/>
    <w:rsid w:val="006F1666"/>
    <w:rsid w:val="00702B02"/>
    <w:rsid w:val="007034DA"/>
    <w:rsid w:val="00704159"/>
    <w:rsid w:val="00712E6E"/>
    <w:rsid w:val="007144F1"/>
    <w:rsid w:val="00715113"/>
    <w:rsid w:val="0072736F"/>
    <w:rsid w:val="007274AC"/>
    <w:rsid w:val="007308D6"/>
    <w:rsid w:val="0073248C"/>
    <w:rsid w:val="00736E9A"/>
    <w:rsid w:val="00740459"/>
    <w:rsid w:val="00750DCC"/>
    <w:rsid w:val="00754019"/>
    <w:rsid w:val="00761758"/>
    <w:rsid w:val="00770554"/>
    <w:rsid w:val="0077217D"/>
    <w:rsid w:val="00776A00"/>
    <w:rsid w:val="00777038"/>
    <w:rsid w:val="00780BAF"/>
    <w:rsid w:val="00785537"/>
    <w:rsid w:val="00787A95"/>
    <w:rsid w:val="00791C1B"/>
    <w:rsid w:val="00794B8E"/>
    <w:rsid w:val="0079659A"/>
    <w:rsid w:val="00797860"/>
    <w:rsid w:val="007A5E6F"/>
    <w:rsid w:val="007B203C"/>
    <w:rsid w:val="007B21CA"/>
    <w:rsid w:val="007B2BC3"/>
    <w:rsid w:val="007B2F67"/>
    <w:rsid w:val="007B49A2"/>
    <w:rsid w:val="007B6EDE"/>
    <w:rsid w:val="007C1523"/>
    <w:rsid w:val="007C7BF3"/>
    <w:rsid w:val="007C7F0E"/>
    <w:rsid w:val="007D0F6B"/>
    <w:rsid w:val="007D442F"/>
    <w:rsid w:val="007D481E"/>
    <w:rsid w:val="007D4DBF"/>
    <w:rsid w:val="007D68C5"/>
    <w:rsid w:val="007E4A7E"/>
    <w:rsid w:val="007E4E98"/>
    <w:rsid w:val="007E4F77"/>
    <w:rsid w:val="007F4B69"/>
    <w:rsid w:val="00814C74"/>
    <w:rsid w:val="008213BB"/>
    <w:rsid w:val="00822119"/>
    <w:rsid w:val="008232EE"/>
    <w:rsid w:val="0082480B"/>
    <w:rsid w:val="00832ACB"/>
    <w:rsid w:val="008366C2"/>
    <w:rsid w:val="00837AA9"/>
    <w:rsid w:val="00842D74"/>
    <w:rsid w:val="0084423F"/>
    <w:rsid w:val="00845405"/>
    <w:rsid w:val="0084733F"/>
    <w:rsid w:val="008479FB"/>
    <w:rsid w:val="008500AF"/>
    <w:rsid w:val="00862FDF"/>
    <w:rsid w:val="00866A20"/>
    <w:rsid w:val="00870C23"/>
    <w:rsid w:val="00875055"/>
    <w:rsid w:val="00883124"/>
    <w:rsid w:val="00886EA9"/>
    <w:rsid w:val="008936FD"/>
    <w:rsid w:val="0089460F"/>
    <w:rsid w:val="00894E6B"/>
    <w:rsid w:val="00895520"/>
    <w:rsid w:val="0089761B"/>
    <w:rsid w:val="008A16DF"/>
    <w:rsid w:val="008A692D"/>
    <w:rsid w:val="008A6E29"/>
    <w:rsid w:val="008B391A"/>
    <w:rsid w:val="008B7E9C"/>
    <w:rsid w:val="008C1317"/>
    <w:rsid w:val="008C5A22"/>
    <w:rsid w:val="008C7D22"/>
    <w:rsid w:val="008D02E3"/>
    <w:rsid w:val="008D0FB1"/>
    <w:rsid w:val="008D140A"/>
    <w:rsid w:val="008D19B3"/>
    <w:rsid w:val="008E1910"/>
    <w:rsid w:val="008E250F"/>
    <w:rsid w:val="008E3F7D"/>
    <w:rsid w:val="00903D88"/>
    <w:rsid w:val="009109FA"/>
    <w:rsid w:val="009127DD"/>
    <w:rsid w:val="00917FD6"/>
    <w:rsid w:val="00920163"/>
    <w:rsid w:val="0092247E"/>
    <w:rsid w:val="009235CB"/>
    <w:rsid w:val="00924C54"/>
    <w:rsid w:val="00930265"/>
    <w:rsid w:val="00931DE2"/>
    <w:rsid w:val="0093256C"/>
    <w:rsid w:val="009341A9"/>
    <w:rsid w:val="009346D0"/>
    <w:rsid w:val="00937AB1"/>
    <w:rsid w:val="009418BF"/>
    <w:rsid w:val="009459FB"/>
    <w:rsid w:val="00946E75"/>
    <w:rsid w:val="00947EF6"/>
    <w:rsid w:val="00950D9C"/>
    <w:rsid w:val="00957A6F"/>
    <w:rsid w:val="009620A4"/>
    <w:rsid w:val="0096392F"/>
    <w:rsid w:val="00981E08"/>
    <w:rsid w:val="00981FD6"/>
    <w:rsid w:val="00987237"/>
    <w:rsid w:val="009946B8"/>
    <w:rsid w:val="00994CC5"/>
    <w:rsid w:val="00997C81"/>
    <w:rsid w:val="009A19D0"/>
    <w:rsid w:val="009A6079"/>
    <w:rsid w:val="009B2C61"/>
    <w:rsid w:val="009B3911"/>
    <w:rsid w:val="009B4AE1"/>
    <w:rsid w:val="009C2969"/>
    <w:rsid w:val="009C3B55"/>
    <w:rsid w:val="009D1A0B"/>
    <w:rsid w:val="009D4B7F"/>
    <w:rsid w:val="009D5170"/>
    <w:rsid w:val="009D52B4"/>
    <w:rsid w:val="009D64DE"/>
    <w:rsid w:val="009E1958"/>
    <w:rsid w:val="009F14E1"/>
    <w:rsid w:val="009F646B"/>
    <w:rsid w:val="00A023DE"/>
    <w:rsid w:val="00A0453D"/>
    <w:rsid w:val="00A079C2"/>
    <w:rsid w:val="00A11712"/>
    <w:rsid w:val="00A138D3"/>
    <w:rsid w:val="00A14CDD"/>
    <w:rsid w:val="00A164FC"/>
    <w:rsid w:val="00A1757A"/>
    <w:rsid w:val="00A24D9F"/>
    <w:rsid w:val="00A2548F"/>
    <w:rsid w:val="00A3442B"/>
    <w:rsid w:val="00A36042"/>
    <w:rsid w:val="00A3662F"/>
    <w:rsid w:val="00A37721"/>
    <w:rsid w:val="00A42EDC"/>
    <w:rsid w:val="00A457AC"/>
    <w:rsid w:val="00A50DD8"/>
    <w:rsid w:val="00A5262F"/>
    <w:rsid w:val="00A57281"/>
    <w:rsid w:val="00A65AF1"/>
    <w:rsid w:val="00A661CA"/>
    <w:rsid w:val="00A676AA"/>
    <w:rsid w:val="00A752D8"/>
    <w:rsid w:val="00A775E9"/>
    <w:rsid w:val="00A778F1"/>
    <w:rsid w:val="00A820AB"/>
    <w:rsid w:val="00A84857"/>
    <w:rsid w:val="00A87A2A"/>
    <w:rsid w:val="00A91865"/>
    <w:rsid w:val="00A9351C"/>
    <w:rsid w:val="00AA48CE"/>
    <w:rsid w:val="00AA5559"/>
    <w:rsid w:val="00AB2BAA"/>
    <w:rsid w:val="00AB38AA"/>
    <w:rsid w:val="00AB5017"/>
    <w:rsid w:val="00AB53D8"/>
    <w:rsid w:val="00AC1606"/>
    <w:rsid w:val="00AC63CC"/>
    <w:rsid w:val="00AC6E29"/>
    <w:rsid w:val="00AD6C46"/>
    <w:rsid w:val="00AE4FB5"/>
    <w:rsid w:val="00AF418E"/>
    <w:rsid w:val="00AF456B"/>
    <w:rsid w:val="00AF480D"/>
    <w:rsid w:val="00AF7BE8"/>
    <w:rsid w:val="00B00DFC"/>
    <w:rsid w:val="00B04846"/>
    <w:rsid w:val="00B048ED"/>
    <w:rsid w:val="00B05D94"/>
    <w:rsid w:val="00B12212"/>
    <w:rsid w:val="00B145B5"/>
    <w:rsid w:val="00B23528"/>
    <w:rsid w:val="00B3203C"/>
    <w:rsid w:val="00B35264"/>
    <w:rsid w:val="00B35601"/>
    <w:rsid w:val="00B37237"/>
    <w:rsid w:val="00B46EE5"/>
    <w:rsid w:val="00B47432"/>
    <w:rsid w:val="00B47B52"/>
    <w:rsid w:val="00B70EAD"/>
    <w:rsid w:val="00B76D76"/>
    <w:rsid w:val="00B824D3"/>
    <w:rsid w:val="00B8255C"/>
    <w:rsid w:val="00B858E8"/>
    <w:rsid w:val="00B92D9C"/>
    <w:rsid w:val="00B94D63"/>
    <w:rsid w:val="00BA180D"/>
    <w:rsid w:val="00BB147C"/>
    <w:rsid w:val="00BB3807"/>
    <w:rsid w:val="00BB55C9"/>
    <w:rsid w:val="00BB6190"/>
    <w:rsid w:val="00BB7108"/>
    <w:rsid w:val="00BC0529"/>
    <w:rsid w:val="00BD4F25"/>
    <w:rsid w:val="00BE133F"/>
    <w:rsid w:val="00BE351D"/>
    <w:rsid w:val="00BE4E24"/>
    <w:rsid w:val="00BE7EE2"/>
    <w:rsid w:val="00BF1334"/>
    <w:rsid w:val="00BF2040"/>
    <w:rsid w:val="00BF2BC9"/>
    <w:rsid w:val="00BF3697"/>
    <w:rsid w:val="00BF6831"/>
    <w:rsid w:val="00C01A34"/>
    <w:rsid w:val="00C048F5"/>
    <w:rsid w:val="00C106DE"/>
    <w:rsid w:val="00C1627D"/>
    <w:rsid w:val="00C21618"/>
    <w:rsid w:val="00C22D89"/>
    <w:rsid w:val="00C24188"/>
    <w:rsid w:val="00C26C4C"/>
    <w:rsid w:val="00C37AA8"/>
    <w:rsid w:val="00C41E1B"/>
    <w:rsid w:val="00C42BE9"/>
    <w:rsid w:val="00C442FC"/>
    <w:rsid w:val="00C44D20"/>
    <w:rsid w:val="00C462FA"/>
    <w:rsid w:val="00C46569"/>
    <w:rsid w:val="00C469B4"/>
    <w:rsid w:val="00C51408"/>
    <w:rsid w:val="00C605A3"/>
    <w:rsid w:val="00C61708"/>
    <w:rsid w:val="00C62118"/>
    <w:rsid w:val="00C64543"/>
    <w:rsid w:val="00C67C46"/>
    <w:rsid w:val="00C67D22"/>
    <w:rsid w:val="00C7103D"/>
    <w:rsid w:val="00C717B8"/>
    <w:rsid w:val="00C73C6B"/>
    <w:rsid w:val="00C750C9"/>
    <w:rsid w:val="00C82D0E"/>
    <w:rsid w:val="00C86996"/>
    <w:rsid w:val="00C90835"/>
    <w:rsid w:val="00C93465"/>
    <w:rsid w:val="00C93EB3"/>
    <w:rsid w:val="00C94064"/>
    <w:rsid w:val="00C941D7"/>
    <w:rsid w:val="00C9437A"/>
    <w:rsid w:val="00C96601"/>
    <w:rsid w:val="00CA10AA"/>
    <w:rsid w:val="00CA64C1"/>
    <w:rsid w:val="00CB1835"/>
    <w:rsid w:val="00CB1C41"/>
    <w:rsid w:val="00CB34DD"/>
    <w:rsid w:val="00CB3D5B"/>
    <w:rsid w:val="00CB4D0A"/>
    <w:rsid w:val="00CB6E2E"/>
    <w:rsid w:val="00CC0D9E"/>
    <w:rsid w:val="00CC5411"/>
    <w:rsid w:val="00CC7ADB"/>
    <w:rsid w:val="00CD2FA4"/>
    <w:rsid w:val="00CD3925"/>
    <w:rsid w:val="00CE2892"/>
    <w:rsid w:val="00CF1AC6"/>
    <w:rsid w:val="00CF3F01"/>
    <w:rsid w:val="00CF606A"/>
    <w:rsid w:val="00D03BF0"/>
    <w:rsid w:val="00D03F06"/>
    <w:rsid w:val="00D0414B"/>
    <w:rsid w:val="00D04181"/>
    <w:rsid w:val="00D04D55"/>
    <w:rsid w:val="00D16F26"/>
    <w:rsid w:val="00D314FE"/>
    <w:rsid w:val="00D31FF3"/>
    <w:rsid w:val="00D34932"/>
    <w:rsid w:val="00D371DF"/>
    <w:rsid w:val="00D37FAB"/>
    <w:rsid w:val="00D44E09"/>
    <w:rsid w:val="00D503A2"/>
    <w:rsid w:val="00D532B1"/>
    <w:rsid w:val="00D543E5"/>
    <w:rsid w:val="00D55785"/>
    <w:rsid w:val="00D65B91"/>
    <w:rsid w:val="00D71539"/>
    <w:rsid w:val="00D724A5"/>
    <w:rsid w:val="00D856AB"/>
    <w:rsid w:val="00D85CFA"/>
    <w:rsid w:val="00D947B3"/>
    <w:rsid w:val="00D94877"/>
    <w:rsid w:val="00D96513"/>
    <w:rsid w:val="00D97820"/>
    <w:rsid w:val="00DA224A"/>
    <w:rsid w:val="00DA24D9"/>
    <w:rsid w:val="00DA5551"/>
    <w:rsid w:val="00DA5FCA"/>
    <w:rsid w:val="00DA6614"/>
    <w:rsid w:val="00DB2539"/>
    <w:rsid w:val="00DC68E6"/>
    <w:rsid w:val="00DD036B"/>
    <w:rsid w:val="00DD1B68"/>
    <w:rsid w:val="00DD53D3"/>
    <w:rsid w:val="00DE0D12"/>
    <w:rsid w:val="00DF3E12"/>
    <w:rsid w:val="00DF4065"/>
    <w:rsid w:val="00DF53A3"/>
    <w:rsid w:val="00DF5520"/>
    <w:rsid w:val="00E00337"/>
    <w:rsid w:val="00E02041"/>
    <w:rsid w:val="00E03AF2"/>
    <w:rsid w:val="00E070C4"/>
    <w:rsid w:val="00E10701"/>
    <w:rsid w:val="00E12F43"/>
    <w:rsid w:val="00E15834"/>
    <w:rsid w:val="00E249C6"/>
    <w:rsid w:val="00E31807"/>
    <w:rsid w:val="00E3314A"/>
    <w:rsid w:val="00E3370D"/>
    <w:rsid w:val="00E411B3"/>
    <w:rsid w:val="00E50DA9"/>
    <w:rsid w:val="00E571D7"/>
    <w:rsid w:val="00E57F70"/>
    <w:rsid w:val="00E678BD"/>
    <w:rsid w:val="00E73337"/>
    <w:rsid w:val="00E74E6A"/>
    <w:rsid w:val="00E80D9E"/>
    <w:rsid w:val="00E80F07"/>
    <w:rsid w:val="00E8385F"/>
    <w:rsid w:val="00E862CA"/>
    <w:rsid w:val="00E92C7C"/>
    <w:rsid w:val="00EB2EE4"/>
    <w:rsid w:val="00EC4918"/>
    <w:rsid w:val="00EC7F54"/>
    <w:rsid w:val="00ED1616"/>
    <w:rsid w:val="00ED4456"/>
    <w:rsid w:val="00ED7607"/>
    <w:rsid w:val="00EE2CEA"/>
    <w:rsid w:val="00EE3229"/>
    <w:rsid w:val="00EE3FD4"/>
    <w:rsid w:val="00EF6117"/>
    <w:rsid w:val="00EF66A3"/>
    <w:rsid w:val="00F023BC"/>
    <w:rsid w:val="00F16B34"/>
    <w:rsid w:val="00F22365"/>
    <w:rsid w:val="00F25FE6"/>
    <w:rsid w:val="00F346D3"/>
    <w:rsid w:val="00F35BB7"/>
    <w:rsid w:val="00F3631C"/>
    <w:rsid w:val="00F36489"/>
    <w:rsid w:val="00F3728F"/>
    <w:rsid w:val="00F402FA"/>
    <w:rsid w:val="00F414E3"/>
    <w:rsid w:val="00F45AAF"/>
    <w:rsid w:val="00F474DD"/>
    <w:rsid w:val="00F5308A"/>
    <w:rsid w:val="00F54D65"/>
    <w:rsid w:val="00F55175"/>
    <w:rsid w:val="00F554EF"/>
    <w:rsid w:val="00F55E3E"/>
    <w:rsid w:val="00F56B02"/>
    <w:rsid w:val="00F5793B"/>
    <w:rsid w:val="00F63B1A"/>
    <w:rsid w:val="00F73C9F"/>
    <w:rsid w:val="00F7423A"/>
    <w:rsid w:val="00F7752A"/>
    <w:rsid w:val="00F825AB"/>
    <w:rsid w:val="00F94F7D"/>
    <w:rsid w:val="00F96151"/>
    <w:rsid w:val="00F96E3F"/>
    <w:rsid w:val="00F975C9"/>
    <w:rsid w:val="00FA0CD0"/>
    <w:rsid w:val="00FA0DE4"/>
    <w:rsid w:val="00FA1398"/>
    <w:rsid w:val="00FA5146"/>
    <w:rsid w:val="00FB62DA"/>
    <w:rsid w:val="00FD0EB6"/>
    <w:rsid w:val="00FE26B9"/>
    <w:rsid w:val="00FE4B8A"/>
    <w:rsid w:val="00FF4C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9426"/>
  <w15:docId w15:val="{C4CE0E4D-5E52-46EC-A617-6AD76EA0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97"/>
    <w:rPr>
      <w:rFonts w:ascii="Calibri" w:eastAsia="Calibri" w:hAnsi="Calibri" w:cs="Times New Roman"/>
      <w:lang w:val="es-CR"/>
    </w:rPr>
  </w:style>
  <w:style w:type="paragraph" w:styleId="Ttulo1">
    <w:name w:val="heading 1"/>
    <w:basedOn w:val="Normal"/>
    <w:next w:val="Normal"/>
    <w:link w:val="Ttulo1Car"/>
    <w:uiPriority w:val="9"/>
    <w:qFormat/>
    <w:rsid w:val="007274AC"/>
    <w:pPr>
      <w:keepNext/>
      <w:tabs>
        <w:tab w:val="left" w:pos="567"/>
      </w:tabs>
      <w:spacing w:after="0" w:line="240" w:lineRule="auto"/>
      <w:ind w:left="720"/>
      <w:jc w:val="both"/>
      <w:outlineLvl w:val="0"/>
    </w:pPr>
    <w:rPr>
      <w:rFonts w:ascii="Verdana" w:eastAsia="Times" w:hAnsi="Verdana"/>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ﬂnotentext,Texto nota pie Car,Footnote Text Char Char,FA Fu?notentext,Ca"/>
    <w:basedOn w:val="Normal"/>
    <w:link w:val="TextonotapieCar1"/>
    <w:unhideWhenUsed/>
    <w:qFormat/>
    <w:rsid w:val="00577097"/>
    <w:pPr>
      <w:spacing w:after="0" w:line="240" w:lineRule="auto"/>
    </w:pPr>
    <w:rPr>
      <w:sz w:val="20"/>
      <w:szCs w:val="20"/>
      <w:lang w:val="x-none" w:eastAsia="x-none"/>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Texto nota pie Car Car"/>
    <w:basedOn w:val="Fuentedeprrafopredeter"/>
    <w:link w:val="Textonotapie"/>
    <w:uiPriority w:val="99"/>
    <w:qFormat/>
    <w:rsid w:val="00577097"/>
    <w:rPr>
      <w:rFonts w:ascii="Calibri" w:eastAsia="Calibri" w:hAnsi="Calibri" w:cs="Times New Roman"/>
      <w:sz w:val="20"/>
      <w:szCs w:val="20"/>
      <w:lang w:val="x-none" w:eastAsia="x-none"/>
    </w:rPr>
  </w:style>
  <w:style w:type="paragraph" w:styleId="Encabezado">
    <w:name w:val="header"/>
    <w:basedOn w:val="Normal"/>
    <w:link w:val="EncabezadoCar"/>
    <w:uiPriority w:val="99"/>
    <w:unhideWhenUsed/>
    <w:rsid w:val="005770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7097"/>
    <w:rPr>
      <w:rFonts w:ascii="Calibri" w:eastAsia="Calibri" w:hAnsi="Calibri" w:cs="Times New Roman"/>
      <w:lang w:val="es-CR"/>
    </w:rPr>
  </w:style>
  <w:style w:type="paragraph" w:styleId="Piedepgina">
    <w:name w:val="footer"/>
    <w:basedOn w:val="Normal"/>
    <w:link w:val="PiedepginaCar"/>
    <w:uiPriority w:val="99"/>
    <w:unhideWhenUsed/>
    <w:rsid w:val="005770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7097"/>
    <w:rPr>
      <w:rFonts w:ascii="Calibri" w:eastAsia="Calibri" w:hAnsi="Calibri" w:cs="Times New Roman"/>
      <w:lang w:val="es-CR"/>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link w:val="4GChar"/>
    <w:uiPriority w:val="99"/>
    <w:qFormat/>
    <w:rsid w:val="00577097"/>
    <w:rPr>
      <w:vertAlign w:val="superscript"/>
    </w:rPr>
  </w:style>
  <w:style w:type="character" w:styleId="Nmerodepgina">
    <w:name w:val="page number"/>
    <w:basedOn w:val="Fuentedeprrafopredeter"/>
    <w:uiPriority w:val="99"/>
    <w:rsid w:val="00577097"/>
  </w:style>
  <w:style w:type="paragraph" w:styleId="Prrafodelista">
    <w:name w:val="List Paragraph"/>
    <w:aliases w:val="Footnote,Colorful List - Accent 11,List Paragraph1,Párrafo de lista1,List Paragraph2,Lista vistosa - Énfasis 11,Subtle Emphasis1,Footnote1"/>
    <w:basedOn w:val="Normal"/>
    <w:link w:val="PrrafodelistaCar"/>
    <w:uiPriority w:val="99"/>
    <w:qFormat/>
    <w:rsid w:val="00577097"/>
    <w:pPr>
      <w:ind w:left="720"/>
      <w:contextualSpacing/>
    </w:pPr>
  </w:style>
  <w:style w:type="paragraph" w:customStyle="1" w:styleId="Prrafodelista2">
    <w:name w:val="Párrafo de lista2"/>
    <w:basedOn w:val="Normal"/>
    <w:uiPriority w:val="99"/>
    <w:rsid w:val="00577097"/>
    <w:pPr>
      <w:spacing w:after="0" w:line="240" w:lineRule="auto"/>
      <w:ind w:left="720"/>
    </w:pPr>
    <w:rPr>
      <w:rFonts w:ascii="Verdana" w:eastAsia="MS Mincho" w:hAnsi="Verdana" w:cs="Verdana"/>
      <w:sz w:val="20"/>
      <w:szCs w:val="20"/>
      <w:lang w:val="es-ES_tradnl"/>
    </w:rPr>
  </w:style>
  <w:style w:type="character" w:customStyle="1" w:styleId="PrrafodelistaCar">
    <w:name w:val="Párrafo de lista Car"/>
    <w:aliases w:val="Footnote Car,Colorful List - Accent 11 Car,List Paragraph1 Car,Párrafo de lista1 Car,List Paragraph2 Car,Lista vistosa - Énfasis 11 Car,Subtle Emphasis1 Car,Footnote1 Car"/>
    <w:basedOn w:val="Fuentedeprrafopredeter"/>
    <w:link w:val="Prrafodelista"/>
    <w:uiPriority w:val="99"/>
    <w:rsid w:val="00577097"/>
    <w:rPr>
      <w:rFonts w:ascii="Calibri" w:eastAsia="Calibri" w:hAnsi="Calibri" w:cs="Times New Roman"/>
      <w:lang w:val="es-CR"/>
    </w:rPr>
  </w:style>
  <w:style w:type="character" w:styleId="Hipervnculo">
    <w:name w:val="Hyperlink"/>
    <w:rsid w:val="00577097"/>
    <w:rPr>
      <w:strike w:val="0"/>
      <w:dstrike w:val="0"/>
      <w:color w:val="FFFFFF"/>
      <w:u w:val="none"/>
      <w:effect w:val="none"/>
    </w:rPr>
  </w:style>
  <w:style w:type="paragraph" w:styleId="Textodeglobo">
    <w:name w:val="Balloon Text"/>
    <w:basedOn w:val="Normal"/>
    <w:link w:val="TextodegloboCar"/>
    <w:uiPriority w:val="99"/>
    <w:semiHidden/>
    <w:unhideWhenUsed/>
    <w:rsid w:val="003A32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32F1"/>
    <w:rPr>
      <w:rFonts w:ascii="Tahoma" w:eastAsia="Calibri" w:hAnsi="Tahoma" w:cs="Tahoma"/>
      <w:sz w:val="16"/>
      <w:szCs w:val="16"/>
      <w:lang w:val="es-CR"/>
    </w:rPr>
  </w:style>
  <w:style w:type="character" w:styleId="Refdecomentario">
    <w:name w:val="annotation reference"/>
    <w:basedOn w:val="Fuentedeprrafopredeter"/>
    <w:uiPriority w:val="99"/>
    <w:semiHidden/>
    <w:unhideWhenUsed/>
    <w:rsid w:val="003A32F1"/>
    <w:rPr>
      <w:sz w:val="16"/>
      <w:szCs w:val="16"/>
    </w:rPr>
  </w:style>
  <w:style w:type="paragraph" w:styleId="Textocomentario">
    <w:name w:val="annotation text"/>
    <w:basedOn w:val="Normal"/>
    <w:link w:val="TextocomentarioCar"/>
    <w:uiPriority w:val="99"/>
    <w:semiHidden/>
    <w:unhideWhenUsed/>
    <w:rsid w:val="003A32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32F1"/>
    <w:rPr>
      <w:rFonts w:ascii="Calibri" w:eastAsia="Calibri" w:hAnsi="Calibri" w:cs="Times New Roman"/>
      <w:sz w:val="20"/>
      <w:szCs w:val="20"/>
      <w:lang w:val="es-CR"/>
    </w:rPr>
  </w:style>
  <w:style w:type="paragraph" w:styleId="Asuntodelcomentario">
    <w:name w:val="annotation subject"/>
    <w:basedOn w:val="Textocomentario"/>
    <w:next w:val="Textocomentario"/>
    <w:link w:val="AsuntodelcomentarioCar"/>
    <w:uiPriority w:val="99"/>
    <w:semiHidden/>
    <w:unhideWhenUsed/>
    <w:rsid w:val="003A32F1"/>
    <w:rPr>
      <w:b/>
      <w:bCs/>
    </w:rPr>
  </w:style>
  <w:style w:type="character" w:customStyle="1" w:styleId="AsuntodelcomentarioCar">
    <w:name w:val="Asunto del comentario Car"/>
    <w:basedOn w:val="TextocomentarioCar"/>
    <w:link w:val="Asuntodelcomentario"/>
    <w:uiPriority w:val="99"/>
    <w:semiHidden/>
    <w:rsid w:val="003A32F1"/>
    <w:rPr>
      <w:rFonts w:ascii="Calibri" w:eastAsia="Calibri" w:hAnsi="Calibri" w:cs="Times New Roman"/>
      <w:b/>
      <w:bCs/>
      <w:sz w:val="20"/>
      <w:szCs w:val="20"/>
      <w:lang w:val="es-CR"/>
    </w:rPr>
  </w:style>
  <w:style w:type="paragraph" w:styleId="Textodebloque">
    <w:name w:val="Block Text"/>
    <w:basedOn w:val="Normal"/>
    <w:uiPriority w:val="99"/>
    <w:unhideWhenUsed/>
    <w:rsid w:val="007274AC"/>
    <w:pPr>
      <w:tabs>
        <w:tab w:val="left" w:pos="567"/>
      </w:tabs>
      <w:spacing w:after="0" w:line="240" w:lineRule="auto"/>
      <w:ind w:left="567" w:right="639"/>
      <w:jc w:val="both"/>
    </w:pPr>
    <w:rPr>
      <w:rFonts w:ascii="Verdana" w:eastAsia="Times" w:hAnsi="Verdana"/>
      <w:sz w:val="18"/>
      <w:szCs w:val="18"/>
      <w:lang w:val="es-ES_tradnl"/>
    </w:rPr>
  </w:style>
  <w:style w:type="character" w:customStyle="1" w:styleId="Ttulo1Car">
    <w:name w:val="Título 1 Car"/>
    <w:basedOn w:val="Fuentedeprrafopredeter"/>
    <w:link w:val="Ttulo1"/>
    <w:uiPriority w:val="9"/>
    <w:rsid w:val="007274AC"/>
    <w:rPr>
      <w:rFonts w:ascii="Verdana" w:eastAsia="Times" w:hAnsi="Verdana" w:cs="Times New Roman"/>
      <w:i/>
      <w:sz w:val="20"/>
      <w:szCs w:val="20"/>
      <w:lang w:val="es-CR"/>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469B4"/>
    <w:pPr>
      <w:spacing w:after="0" w:line="240" w:lineRule="auto"/>
      <w:jc w:val="both"/>
    </w:pPr>
    <w:rPr>
      <w:rFonts w:asciiTheme="minorHAnsi" w:eastAsiaTheme="minorHAnsi" w:hAnsiTheme="minorHAnsi" w:cstheme="minorBidi"/>
      <w:vertAlign w:val="superscript"/>
      <w:lang w:val="en-US"/>
    </w:rPr>
  </w:style>
  <w:style w:type="character" w:styleId="Textoennegrita">
    <w:name w:val="Strong"/>
    <w:aliases w:val="Heading 2.1"/>
    <w:uiPriority w:val="22"/>
    <w:qFormat/>
    <w:rsid w:val="00EB2EE4"/>
    <w:rPr>
      <w:rFonts w:ascii="Verdana" w:hAnsi="Verdana"/>
      <w:b/>
      <w:bCs/>
      <w:i/>
      <w:sz w:val="20"/>
    </w:rPr>
  </w:style>
  <w:style w:type="paragraph" w:customStyle="1" w:styleId="Heading23">
    <w:name w:val="Heading 2.3"/>
    <w:basedOn w:val="Normal"/>
    <w:uiPriority w:val="99"/>
    <w:qFormat/>
    <w:rsid w:val="00EB2EE4"/>
    <w:pPr>
      <w:spacing w:after="0" w:line="240" w:lineRule="auto"/>
      <w:jc w:val="both"/>
    </w:pPr>
    <w:rPr>
      <w:rFonts w:ascii="Verdana" w:hAnsi="Verdana"/>
      <w:sz w:val="16"/>
      <w:szCs w:val="16"/>
      <w:vertAlign w:val="superscript"/>
      <w:lang w:val="x-none" w:eastAsia="x-none"/>
    </w:rPr>
  </w:style>
  <w:style w:type="paragraph" w:customStyle="1" w:styleId="PrrafodeSentencia">
    <w:name w:val="*. Párrafo de Sentencia"/>
    <w:basedOn w:val="Textonotapie"/>
    <w:autoRedefine/>
    <w:qFormat/>
    <w:rsid w:val="00EB2EE4"/>
    <w:pPr>
      <w:numPr>
        <w:numId w:val="6"/>
      </w:numPr>
      <w:tabs>
        <w:tab w:val="clear" w:pos="360"/>
        <w:tab w:val="left" w:pos="720"/>
      </w:tabs>
      <w:ind w:left="0" w:firstLine="0"/>
      <w:jc w:val="both"/>
    </w:pPr>
    <w:rPr>
      <w:rFonts w:ascii="Verdana" w:hAnsi="Verdana" w:cs="Verdana"/>
      <w:bCs/>
      <w:iCs/>
      <w:noProof/>
      <w:lang w:val="es-ES_tradnl" w:eastAsia="es-CR"/>
    </w:rPr>
  </w:style>
  <w:style w:type="character" w:customStyle="1" w:styleId="TextonotapieCar1Car">
    <w:name w:val="Texto nota pie Car1 Car"/>
    <w:aliases w:val="Footnote Text Char Char Char Char Char Car Car,Footnote Text Char Char Char Char Car Car,Footnote reference Car Car,FA Fu Car Car,Footnote Text Char Char Char Car Car,Footnote Text Cha Car Car,Ca Car Car"/>
    <w:basedOn w:val="Fuentedeprrafopredeter"/>
    <w:rsid w:val="002F3064"/>
    <w:rPr>
      <w:rFonts w:ascii="Verdana" w:eastAsia="Times" w:hAnsi="Verdana" w:cs="Times New Roman"/>
      <w:sz w:val="16"/>
      <w:szCs w:val="20"/>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C69EF-95B2-4321-96F4-D8C8DFDF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6192</Words>
  <Characters>34062</Characters>
  <Application>Microsoft Office Word</Application>
  <DocSecurity>0</DocSecurity>
  <Lines>283</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Mabel Fernandez</cp:lastModifiedBy>
  <cp:revision>2</cp:revision>
  <cp:lastPrinted>2020-10-23T21:00:00Z</cp:lastPrinted>
  <dcterms:created xsi:type="dcterms:W3CDTF">2020-10-23T23:43:00Z</dcterms:created>
  <dcterms:modified xsi:type="dcterms:W3CDTF">2020-10-23T23:43:00Z</dcterms:modified>
</cp:coreProperties>
</file>