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4C7A1" w14:textId="77777777" w:rsidR="00AE74FC" w:rsidRDefault="00AE74FC" w:rsidP="00BA587C">
      <w:pPr>
        <w:pStyle w:val="Title"/>
        <w:rPr>
          <w:rFonts w:eastAsia="MS Mincho"/>
          <w:lang w:val="es-CR"/>
        </w:rPr>
      </w:pPr>
    </w:p>
    <w:p w14:paraId="4C82EFAC" w14:textId="77777777" w:rsidR="000C618E" w:rsidRDefault="000C618E" w:rsidP="00BA587C">
      <w:pPr>
        <w:pStyle w:val="Title"/>
        <w:rPr>
          <w:rFonts w:eastAsia="MS Mincho"/>
          <w:lang w:val="es-CR"/>
        </w:rPr>
      </w:pPr>
    </w:p>
    <w:p w14:paraId="563182C2" w14:textId="77777777" w:rsidR="000C618E" w:rsidRDefault="000C618E" w:rsidP="00BA587C">
      <w:pPr>
        <w:pStyle w:val="Title"/>
        <w:rPr>
          <w:rFonts w:eastAsia="MS Mincho"/>
          <w:lang w:val="es-CR"/>
        </w:rPr>
      </w:pPr>
    </w:p>
    <w:p w14:paraId="44722E2F" w14:textId="77777777" w:rsidR="000C618E" w:rsidRDefault="000C618E" w:rsidP="00BA587C">
      <w:pPr>
        <w:pStyle w:val="Title"/>
        <w:rPr>
          <w:rFonts w:eastAsia="MS Mincho"/>
          <w:lang w:val="es-CR"/>
        </w:rPr>
      </w:pPr>
    </w:p>
    <w:p w14:paraId="6B629584" w14:textId="77777777" w:rsidR="000C618E" w:rsidRDefault="000C618E" w:rsidP="00BA587C">
      <w:pPr>
        <w:pStyle w:val="Title"/>
        <w:rPr>
          <w:rFonts w:eastAsia="MS Mincho"/>
          <w:lang w:val="es-CR"/>
        </w:rPr>
      </w:pPr>
    </w:p>
    <w:p w14:paraId="400EDDFE" w14:textId="77777777" w:rsidR="000C618E" w:rsidRDefault="000C618E" w:rsidP="00BA587C">
      <w:pPr>
        <w:pStyle w:val="Title"/>
        <w:rPr>
          <w:rFonts w:eastAsia="MS Mincho"/>
          <w:lang w:val="es-CR"/>
        </w:rPr>
      </w:pPr>
    </w:p>
    <w:p w14:paraId="156728A0" w14:textId="77777777" w:rsidR="000C618E" w:rsidRPr="006A2CCC" w:rsidRDefault="000C618E" w:rsidP="00BA587C">
      <w:pPr>
        <w:pStyle w:val="Title"/>
        <w:rPr>
          <w:rFonts w:eastAsia="MS Mincho"/>
          <w:lang w:val="es-CR"/>
        </w:rPr>
      </w:pPr>
    </w:p>
    <w:p w14:paraId="32EB44F4" w14:textId="77777777" w:rsidR="00AE74FC" w:rsidRPr="00C92188" w:rsidRDefault="00AE74FC" w:rsidP="00BA587C">
      <w:pPr>
        <w:pStyle w:val="Title"/>
        <w:rPr>
          <w:rFonts w:eastAsia="MS Mincho"/>
        </w:rPr>
      </w:pPr>
      <w:r w:rsidRPr="00C92188">
        <w:rPr>
          <w:rFonts w:eastAsia="MS Mincho"/>
        </w:rPr>
        <w:t>CORTE INTERAMERICANA DE DERECHOS HUMANOS</w:t>
      </w:r>
    </w:p>
    <w:p w14:paraId="06C119D7" w14:textId="77777777" w:rsidR="00AE74FC" w:rsidRPr="00C92188" w:rsidRDefault="00AE74FC" w:rsidP="00BA587C">
      <w:pPr>
        <w:pStyle w:val="Title"/>
        <w:rPr>
          <w:rFonts w:eastAsia="MS Mincho"/>
        </w:rPr>
      </w:pPr>
    </w:p>
    <w:p w14:paraId="3908EE60" w14:textId="77777777" w:rsidR="00AE74FC" w:rsidRPr="00C92188" w:rsidRDefault="00AE74FC" w:rsidP="00BA587C">
      <w:pPr>
        <w:jc w:val="center"/>
        <w:rPr>
          <w:rFonts w:eastAsia="MS Mincho" w:cs="Times New Roman"/>
          <w:b/>
          <w:szCs w:val="20"/>
          <w:lang w:val="es-CR" w:eastAsia="es-CR"/>
        </w:rPr>
      </w:pPr>
      <w:bookmarkStart w:id="0" w:name="_Toc424833991"/>
      <w:bookmarkStart w:id="1" w:name="_Toc424834592"/>
      <w:bookmarkStart w:id="2" w:name="_Toc424834675"/>
      <w:bookmarkStart w:id="3" w:name="_Toc424834742"/>
      <w:r w:rsidRPr="00C92188">
        <w:rPr>
          <w:rFonts w:eastAsia="MS Mincho" w:cs="Times New Roman"/>
          <w:b/>
          <w:szCs w:val="20"/>
          <w:lang w:val="es-CR" w:eastAsia="es-CR"/>
        </w:rPr>
        <w:t>CASO COMUNIDADES INDÍGENAS MIEMBROS DE LA ASOCIACIÓN LHAKA HONHAT (NUESTRA TIERRA) VS. ARGENTINA</w:t>
      </w:r>
    </w:p>
    <w:bookmarkEnd w:id="0"/>
    <w:bookmarkEnd w:id="1"/>
    <w:bookmarkEnd w:id="2"/>
    <w:bookmarkEnd w:id="3"/>
    <w:p w14:paraId="26ADA53B" w14:textId="77777777" w:rsidR="00AE74FC" w:rsidRPr="00C92188" w:rsidRDefault="00AE74FC" w:rsidP="00BA587C">
      <w:pPr>
        <w:tabs>
          <w:tab w:val="left" w:pos="567"/>
        </w:tabs>
        <w:jc w:val="center"/>
        <w:rPr>
          <w:b/>
          <w:spacing w:val="-4"/>
          <w:lang w:val="es-CR"/>
        </w:rPr>
      </w:pPr>
    </w:p>
    <w:p w14:paraId="6EA87F6E" w14:textId="664490B0" w:rsidR="00AE74FC" w:rsidRDefault="00AE74FC" w:rsidP="00BA587C">
      <w:pPr>
        <w:tabs>
          <w:tab w:val="left" w:pos="567"/>
        </w:tabs>
        <w:jc w:val="center"/>
        <w:rPr>
          <w:b/>
          <w:spacing w:val="-4"/>
          <w:lang w:val="es-CR"/>
        </w:rPr>
      </w:pPr>
      <w:bookmarkStart w:id="4" w:name="_Toc424833992"/>
      <w:bookmarkStart w:id="5" w:name="_Toc424834593"/>
      <w:bookmarkStart w:id="6" w:name="_Toc424834676"/>
      <w:bookmarkStart w:id="7" w:name="_Toc424834743"/>
      <w:r w:rsidRPr="00C92188">
        <w:rPr>
          <w:b/>
          <w:spacing w:val="-4"/>
          <w:lang w:val="es-CR"/>
        </w:rPr>
        <w:t xml:space="preserve">SENTENCIA DE </w:t>
      </w:r>
      <w:r w:rsidR="00A72B8B">
        <w:rPr>
          <w:b/>
          <w:spacing w:val="-4"/>
          <w:lang w:val="es-CR"/>
        </w:rPr>
        <w:t>24</w:t>
      </w:r>
      <w:r w:rsidRPr="00C92188">
        <w:rPr>
          <w:b/>
          <w:spacing w:val="-4"/>
          <w:lang w:val="es-CR"/>
        </w:rPr>
        <w:t xml:space="preserve"> </w:t>
      </w:r>
      <w:bookmarkEnd w:id="4"/>
      <w:bookmarkEnd w:id="5"/>
      <w:bookmarkEnd w:id="6"/>
      <w:bookmarkEnd w:id="7"/>
      <w:r w:rsidRPr="00C92188">
        <w:rPr>
          <w:b/>
          <w:spacing w:val="-4"/>
          <w:lang w:val="es-CR"/>
        </w:rPr>
        <w:t xml:space="preserve">DE </w:t>
      </w:r>
      <w:r w:rsidR="00A72B8B">
        <w:rPr>
          <w:b/>
          <w:spacing w:val="-4"/>
          <w:lang w:val="es-CR"/>
        </w:rPr>
        <w:t>NOVIEMBRE</w:t>
      </w:r>
      <w:r w:rsidRPr="00C92188">
        <w:rPr>
          <w:b/>
          <w:spacing w:val="-4"/>
          <w:lang w:val="es-CR"/>
        </w:rPr>
        <w:t xml:space="preserve"> DE 2020</w:t>
      </w:r>
    </w:p>
    <w:p w14:paraId="512D853D" w14:textId="77777777" w:rsidR="00AE74FC" w:rsidRDefault="00AE74FC" w:rsidP="00BA587C">
      <w:pPr>
        <w:tabs>
          <w:tab w:val="left" w:pos="567"/>
        </w:tabs>
        <w:rPr>
          <w:spacing w:val="-4"/>
          <w:lang w:val="es-CR"/>
        </w:rPr>
      </w:pPr>
    </w:p>
    <w:p w14:paraId="39B92EF4" w14:textId="77777777" w:rsidR="000C618E" w:rsidRPr="00C92188" w:rsidRDefault="000C618E" w:rsidP="00BA587C">
      <w:pPr>
        <w:tabs>
          <w:tab w:val="left" w:pos="567"/>
        </w:tabs>
        <w:rPr>
          <w:spacing w:val="-4"/>
          <w:lang w:val="es-CR"/>
        </w:rPr>
      </w:pPr>
    </w:p>
    <w:p w14:paraId="5A5D4CC0" w14:textId="35179E4D" w:rsidR="00AE74FC" w:rsidRPr="00C92188" w:rsidRDefault="00AE74FC" w:rsidP="00BA587C">
      <w:pPr>
        <w:pStyle w:val="Subtitle"/>
      </w:pPr>
      <w:r w:rsidRPr="00C92188">
        <w:t>(Interpretación de la Sentencia de Fondo, Reparaciones y Costas)</w:t>
      </w:r>
    </w:p>
    <w:p w14:paraId="4856488D" w14:textId="77777777" w:rsidR="00AE74FC" w:rsidRPr="00C92188" w:rsidRDefault="00AE74FC" w:rsidP="00BA587C">
      <w:pPr>
        <w:rPr>
          <w:szCs w:val="20"/>
        </w:rPr>
      </w:pPr>
    </w:p>
    <w:p w14:paraId="39C66085" w14:textId="77777777" w:rsidR="00AE74FC" w:rsidRPr="00C92188" w:rsidRDefault="00AE74FC" w:rsidP="00BA587C">
      <w:pPr>
        <w:rPr>
          <w:szCs w:val="20"/>
        </w:rPr>
      </w:pPr>
    </w:p>
    <w:p w14:paraId="0A7190A2" w14:textId="77777777" w:rsidR="00AE74FC" w:rsidRPr="00C92188" w:rsidRDefault="00AE74FC" w:rsidP="00BA587C">
      <w:pPr>
        <w:rPr>
          <w:szCs w:val="20"/>
        </w:rPr>
      </w:pPr>
    </w:p>
    <w:p w14:paraId="41C640D0" w14:textId="77777777" w:rsidR="00AE74FC" w:rsidRPr="00C92188" w:rsidRDefault="00AE74FC" w:rsidP="00BA587C">
      <w:pPr>
        <w:widowControl w:val="0"/>
        <w:tabs>
          <w:tab w:val="left" w:pos="567"/>
          <w:tab w:val="left" w:pos="720"/>
        </w:tabs>
        <w:adjustRightInd w:val="0"/>
        <w:textAlignment w:val="baseline"/>
        <w:rPr>
          <w:rFonts w:cs="Verdana"/>
          <w:i/>
          <w:iCs/>
          <w:spacing w:val="-4"/>
          <w:szCs w:val="20"/>
          <w:lang w:val="es-CR" w:eastAsia="es-CR"/>
        </w:rPr>
      </w:pPr>
      <w:r w:rsidRPr="00C92188">
        <w:rPr>
          <w:rFonts w:cs="Verdana"/>
          <w:spacing w:val="-4"/>
          <w:szCs w:val="20"/>
          <w:lang w:val="es-CR" w:eastAsia="es-CR"/>
        </w:rPr>
        <w:t>En el caso</w:t>
      </w:r>
      <w:r w:rsidRPr="00C92188">
        <w:rPr>
          <w:rFonts w:cs="Verdana"/>
          <w:i/>
          <w:iCs/>
          <w:spacing w:val="-4"/>
          <w:szCs w:val="20"/>
          <w:lang w:val="es-CR" w:eastAsia="es-CR"/>
        </w:rPr>
        <w:t xml:space="preserve"> Comunidades indígenas miembros de la Asociación Lhaka Honhat (Nuestra Tierra) Vs. Argentina,  </w:t>
      </w:r>
    </w:p>
    <w:p w14:paraId="6DB13A9C" w14:textId="77777777" w:rsidR="00AE74FC" w:rsidRPr="00C92188" w:rsidRDefault="00AE74FC" w:rsidP="00BA587C">
      <w:pPr>
        <w:widowControl w:val="0"/>
        <w:tabs>
          <w:tab w:val="left" w:pos="567"/>
          <w:tab w:val="left" w:pos="720"/>
        </w:tabs>
        <w:adjustRightInd w:val="0"/>
        <w:textAlignment w:val="baseline"/>
        <w:rPr>
          <w:rFonts w:cs="Verdana"/>
          <w:spacing w:val="-4"/>
          <w:szCs w:val="20"/>
          <w:lang w:val="es-CR" w:eastAsia="es-CR"/>
        </w:rPr>
      </w:pPr>
    </w:p>
    <w:p w14:paraId="432264B6" w14:textId="6F461316" w:rsidR="00AE74FC" w:rsidRPr="00C92188" w:rsidRDefault="00AE74FC" w:rsidP="00BA587C">
      <w:pPr>
        <w:widowControl w:val="0"/>
        <w:tabs>
          <w:tab w:val="left" w:pos="567"/>
          <w:tab w:val="left" w:pos="720"/>
        </w:tabs>
        <w:adjustRightInd w:val="0"/>
        <w:textAlignment w:val="baseline"/>
        <w:rPr>
          <w:rFonts w:cs="Verdana"/>
          <w:spacing w:val="-4"/>
          <w:szCs w:val="20"/>
          <w:lang w:val="es-CR" w:eastAsia="es-CR"/>
        </w:rPr>
      </w:pPr>
      <w:proofErr w:type="gramStart"/>
      <w:r w:rsidRPr="00C92188">
        <w:rPr>
          <w:rFonts w:cs="Verdana"/>
          <w:spacing w:val="-4"/>
          <w:szCs w:val="20"/>
          <w:lang w:val="es-CR" w:eastAsia="es-CR"/>
        </w:rPr>
        <w:t>la</w:t>
      </w:r>
      <w:proofErr w:type="gramEnd"/>
      <w:r w:rsidRPr="00C92188">
        <w:rPr>
          <w:rFonts w:cs="Verdana"/>
          <w:spacing w:val="-4"/>
          <w:szCs w:val="20"/>
          <w:lang w:val="es-CR" w:eastAsia="es-CR"/>
        </w:rPr>
        <w:t xml:space="preserve"> Corte Interamericana de Derechos Humanos (en adelante “la Corte Interamericana”, “la Corte” o “e</w:t>
      </w:r>
      <w:r w:rsidR="0011671F">
        <w:rPr>
          <w:rFonts w:cs="Verdana"/>
          <w:spacing w:val="-4"/>
          <w:szCs w:val="20"/>
          <w:lang w:val="es-CR" w:eastAsia="es-CR"/>
        </w:rPr>
        <w:t>l</w:t>
      </w:r>
      <w:r w:rsidRPr="00C92188">
        <w:rPr>
          <w:rFonts w:cs="Verdana"/>
          <w:spacing w:val="-4"/>
          <w:szCs w:val="20"/>
          <w:lang w:val="es-CR" w:eastAsia="es-CR"/>
        </w:rPr>
        <w:t xml:space="preserve"> Tribunal”), integrada por los siguientes Jueces</w:t>
      </w:r>
      <w:r w:rsidR="006A2CCC" w:rsidRPr="006A2CCC">
        <w:rPr>
          <w:rStyle w:val="FootnoteReference"/>
          <w:spacing w:val="-4"/>
          <w:lang w:val="es-CR" w:eastAsia="es-CR"/>
        </w:rPr>
        <w:footnoteReference w:customMarkFollows="1" w:id="1"/>
        <w:sym w:font="Symbol" w:char="F02A"/>
      </w:r>
      <w:r w:rsidRPr="00C92188">
        <w:rPr>
          <w:rFonts w:cs="Verdana"/>
          <w:spacing w:val="-4"/>
          <w:szCs w:val="20"/>
          <w:lang w:val="es-CR" w:eastAsia="es-CR"/>
        </w:rPr>
        <w:t>:</w:t>
      </w:r>
    </w:p>
    <w:p w14:paraId="197E85A4" w14:textId="77777777" w:rsidR="00AE74FC" w:rsidRPr="00C92188" w:rsidRDefault="00AE74FC" w:rsidP="00BA587C">
      <w:pPr>
        <w:widowControl w:val="0"/>
        <w:tabs>
          <w:tab w:val="left" w:pos="567"/>
          <w:tab w:val="left" w:pos="720"/>
        </w:tabs>
        <w:adjustRightInd w:val="0"/>
        <w:textAlignment w:val="baseline"/>
        <w:rPr>
          <w:rFonts w:cs="Verdana"/>
          <w:spacing w:val="-4"/>
          <w:szCs w:val="20"/>
          <w:lang w:val="es-CR" w:eastAsia="es-CR"/>
        </w:rPr>
      </w:pPr>
    </w:p>
    <w:p w14:paraId="25D9B128" w14:textId="77777777" w:rsidR="00AE74FC" w:rsidRPr="00C92188" w:rsidRDefault="00AE74FC" w:rsidP="00BA587C">
      <w:pPr>
        <w:rPr>
          <w:rFonts w:eastAsia="Times New Roman" w:cs="Times New Roman"/>
          <w:szCs w:val="20"/>
          <w:lang w:val="pt-BR" w:eastAsia="es-CR"/>
        </w:rPr>
      </w:pPr>
      <w:r w:rsidRPr="00C92188">
        <w:rPr>
          <w:rFonts w:eastAsia="Times New Roman" w:cs="Times New Roman"/>
          <w:szCs w:val="20"/>
          <w:lang w:val="es-CR" w:eastAsia="es-CR"/>
        </w:rPr>
        <w:t>Elizabeth Odio Benito, Presidenta</w:t>
      </w:r>
    </w:p>
    <w:p w14:paraId="2B6E176F" w14:textId="77777777" w:rsidR="00AE74FC" w:rsidRPr="00C92188" w:rsidRDefault="00AE74FC" w:rsidP="00BA587C">
      <w:pPr>
        <w:rPr>
          <w:rFonts w:eastAsia="Times New Roman" w:cs="Times New Roman"/>
          <w:szCs w:val="20"/>
          <w:lang w:val="es-AR" w:eastAsia="es-CR"/>
        </w:rPr>
      </w:pPr>
      <w:r w:rsidRPr="00C92188">
        <w:rPr>
          <w:szCs w:val="20"/>
          <w:lang w:val="es-CR" w:eastAsia="es-CR"/>
        </w:rPr>
        <w:t>L. Patricio Pazmiño Freire, Vicepresidente</w:t>
      </w:r>
      <w:r w:rsidRPr="00C92188">
        <w:rPr>
          <w:rFonts w:eastAsia="Times New Roman" w:cs="Times New Roman"/>
          <w:szCs w:val="20"/>
          <w:lang w:val="pt-BR" w:eastAsia="es-CR"/>
        </w:rPr>
        <w:t xml:space="preserve">; </w:t>
      </w:r>
    </w:p>
    <w:p w14:paraId="3985D73D" w14:textId="77777777" w:rsidR="00AE74FC" w:rsidRPr="00C92188" w:rsidRDefault="00AE74FC" w:rsidP="00BA587C">
      <w:pPr>
        <w:rPr>
          <w:rFonts w:eastAsia="Times New Roman" w:cs="Times New Roman"/>
          <w:szCs w:val="20"/>
          <w:lang w:val="es-CR" w:eastAsia="es-CR"/>
        </w:rPr>
      </w:pPr>
      <w:r w:rsidRPr="00C92188">
        <w:rPr>
          <w:rFonts w:eastAsia="Times New Roman" w:cs="Times New Roman"/>
          <w:szCs w:val="20"/>
          <w:lang w:val="es-CR" w:eastAsia="es-CR"/>
        </w:rPr>
        <w:t xml:space="preserve">Eduardo Vio Grossi, Juez; </w:t>
      </w:r>
    </w:p>
    <w:p w14:paraId="5E9F17CC" w14:textId="77777777" w:rsidR="00AE74FC" w:rsidRPr="00C92188" w:rsidRDefault="00AE74FC" w:rsidP="00BA587C">
      <w:pPr>
        <w:tabs>
          <w:tab w:val="center" w:pos="4488"/>
        </w:tabs>
        <w:rPr>
          <w:rFonts w:eastAsia="Times New Roman" w:cs="Times New Roman"/>
          <w:szCs w:val="20"/>
          <w:lang w:val="es-CR" w:eastAsia="es-CR"/>
        </w:rPr>
      </w:pPr>
      <w:r w:rsidRPr="00C92188">
        <w:rPr>
          <w:rFonts w:eastAsia="Times New Roman" w:cs="Times New Roman"/>
          <w:szCs w:val="20"/>
          <w:lang w:val="es-CR" w:eastAsia="es-CR"/>
        </w:rPr>
        <w:t>Humberto Antonio Sierra Porto, Juez;</w:t>
      </w:r>
      <w:r w:rsidRPr="00C92188">
        <w:rPr>
          <w:rFonts w:eastAsia="Times New Roman" w:cs="Times New Roman"/>
          <w:szCs w:val="20"/>
          <w:lang w:val="es-CR" w:eastAsia="es-CR"/>
        </w:rPr>
        <w:tab/>
      </w:r>
    </w:p>
    <w:p w14:paraId="1860E8BE" w14:textId="77777777" w:rsidR="00AE74FC" w:rsidRPr="00C92188" w:rsidRDefault="00AE74FC" w:rsidP="00BA587C">
      <w:pPr>
        <w:rPr>
          <w:rFonts w:eastAsia="Times New Roman" w:cs="Times New Roman"/>
          <w:szCs w:val="20"/>
          <w:lang w:val="es-CR" w:eastAsia="es-CR"/>
        </w:rPr>
      </w:pPr>
      <w:r w:rsidRPr="00C92188">
        <w:rPr>
          <w:rFonts w:eastAsia="Times New Roman" w:cs="Times New Roman"/>
          <w:szCs w:val="20"/>
          <w:lang w:val="pt-BR" w:eastAsia="es-CR"/>
        </w:rPr>
        <w:t>Eduardo Ferrer Mac-Gregor Poisot, Juez</w:t>
      </w:r>
      <w:r w:rsidRPr="00C92188">
        <w:rPr>
          <w:rFonts w:eastAsia="Times New Roman" w:cs="Times New Roman"/>
          <w:szCs w:val="20"/>
          <w:lang w:val="es-CR" w:eastAsia="es-CR"/>
        </w:rPr>
        <w:t xml:space="preserve">, </w:t>
      </w:r>
      <w:r w:rsidRPr="00C92188">
        <w:rPr>
          <w:szCs w:val="20"/>
          <w:lang w:val="es-CR" w:eastAsia="es-CR"/>
        </w:rPr>
        <w:t xml:space="preserve">y </w:t>
      </w:r>
    </w:p>
    <w:p w14:paraId="58CD8F9F" w14:textId="7BC9D502" w:rsidR="00AE74FC" w:rsidRPr="00C92188" w:rsidRDefault="00AE74FC" w:rsidP="00BA587C">
      <w:pPr>
        <w:rPr>
          <w:szCs w:val="20"/>
          <w:lang w:val="es-CR" w:eastAsia="es-CR"/>
        </w:rPr>
      </w:pPr>
      <w:r w:rsidRPr="00C92188">
        <w:rPr>
          <w:szCs w:val="20"/>
          <w:lang w:val="es-CR" w:eastAsia="es-CR"/>
        </w:rPr>
        <w:t>Ricardo Pérez Manrique, Juez</w:t>
      </w:r>
      <w:r w:rsidR="00A72B8B">
        <w:rPr>
          <w:szCs w:val="20"/>
          <w:lang w:val="es-CR" w:eastAsia="es-CR"/>
        </w:rPr>
        <w:t>;</w:t>
      </w:r>
      <w:r w:rsidRPr="00C92188">
        <w:rPr>
          <w:szCs w:val="20"/>
          <w:lang w:val="es-CR" w:eastAsia="es-CR"/>
        </w:rPr>
        <w:t xml:space="preserve"> </w:t>
      </w:r>
    </w:p>
    <w:p w14:paraId="610BB55B" w14:textId="77777777" w:rsidR="00AE74FC" w:rsidRPr="00C92188" w:rsidRDefault="00AE74FC" w:rsidP="00BA587C">
      <w:pPr>
        <w:widowControl w:val="0"/>
        <w:tabs>
          <w:tab w:val="left" w:pos="567"/>
          <w:tab w:val="left" w:pos="720"/>
        </w:tabs>
        <w:adjustRightInd w:val="0"/>
        <w:textAlignment w:val="baseline"/>
        <w:rPr>
          <w:rFonts w:cs="Verdana"/>
          <w:spacing w:val="-4"/>
          <w:szCs w:val="20"/>
          <w:lang w:val="es-CR" w:eastAsia="es-CR"/>
        </w:rPr>
      </w:pPr>
    </w:p>
    <w:p w14:paraId="193941CC" w14:textId="1CB54F8E" w:rsidR="00AE74FC" w:rsidRPr="00C92188" w:rsidRDefault="00AE74FC" w:rsidP="00BA587C">
      <w:pPr>
        <w:widowControl w:val="0"/>
        <w:tabs>
          <w:tab w:val="left" w:pos="567"/>
          <w:tab w:val="left" w:pos="720"/>
          <w:tab w:val="left" w:pos="7693"/>
        </w:tabs>
        <w:adjustRightInd w:val="0"/>
        <w:textAlignment w:val="baseline"/>
        <w:rPr>
          <w:rFonts w:cs="Verdana"/>
          <w:spacing w:val="-4"/>
          <w:szCs w:val="20"/>
          <w:lang w:val="es-CR" w:eastAsia="es-CR"/>
        </w:rPr>
      </w:pPr>
      <w:proofErr w:type="gramStart"/>
      <w:r w:rsidRPr="00C92188">
        <w:rPr>
          <w:rFonts w:cs="Verdana"/>
          <w:spacing w:val="-4"/>
          <w:szCs w:val="20"/>
          <w:lang w:val="es-CR" w:eastAsia="es-CR"/>
        </w:rPr>
        <w:t>presente</w:t>
      </w:r>
      <w:proofErr w:type="gramEnd"/>
      <w:r w:rsidR="00E765DF">
        <w:rPr>
          <w:rFonts w:cs="Verdana"/>
          <w:spacing w:val="-4"/>
          <w:szCs w:val="20"/>
          <w:lang w:val="es-CR" w:eastAsia="es-CR"/>
        </w:rPr>
        <w:t>,</w:t>
      </w:r>
      <w:r w:rsidRPr="00C92188">
        <w:rPr>
          <w:rFonts w:cs="Verdana"/>
          <w:spacing w:val="-4"/>
          <w:szCs w:val="20"/>
          <w:lang w:val="es-CR" w:eastAsia="es-CR"/>
        </w:rPr>
        <w:t xml:space="preserve"> además,</w:t>
      </w:r>
      <w:r w:rsidRPr="00C92188">
        <w:rPr>
          <w:rFonts w:cs="Verdana"/>
          <w:spacing w:val="-4"/>
          <w:szCs w:val="20"/>
          <w:lang w:val="es-CR" w:eastAsia="es-CR"/>
        </w:rPr>
        <w:tab/>
      </w:r>
    </w:p>
    <w:p w14:paraId="449DEB80" w14:textId="77777777" w:rsidR="00AE74FC" w:rsidRPr="00C92188" w:rsidRDefault="00AE74FC" w:rsidP="00BA587C">
      <w:pPr>
        <w:widowControl w:val="0"/>
        <w:tabs>
          <w:tab w:val="left" w:pos="567"/>
          <w:tab w:val="left" w:pos="720"/>
        </w:tabs>
        <w:adjustRightInd w:val="0"/>
        <w:textAlignment w:val="baseline"/>
        <w:rPr>
          <w:rFonts w:cs="Verdana"/>
          <w:spacing w:val="-4"/>
          <w:szCs w:val="20"/>
          <w:lang w:val="es-CR" w:eastAsia="es-CR"/>
        </w:rPr>
      </w:pPr>
    </w:p>
    <w:p w14:paraId="796076C5" w14:textId="48DDC6ED" w:rsidR="00AE74FC" w:rsidRPr="00C92188" w:rsidRDefault="00AE74FC" w:rsidP="00BA587C">
      <w:pPr>
        <w:widowControl w:val="0"/>
        <w:tabs>
          <w:tab w:val="left" w:pos="567"/>
          <w:tab w:val="left" w:pos="720"/>
        </w:tabs>
        <w:adjustRightInd w:val="0"/>
        <w:textAlignment w:val="baseline"/>
        <w:rPr>
          <w:rFonts w:cs="Verdana"/>
          <w:spacing w:val="-4"/>
          <w:szCs w:val="20"/>
          <w:lang w:val="es-CR" w:eastAsia="es-CR"/>
        </w:rPr>
      </w:pPr>
      <w:r w:rsidRPr="00C92188">
        <w:rPr>
          <w:rFonts w:cs="Verdana"/>
          <w:spacing w:val="-4"/>
          <w:szCs w:val="20"/>
          <w:lang w:val="es-CR" w:eastAsia="es-CR"/>
        </w:rPr>
        <w:t>Pablo Saavedra Alessandri, Secretario</w:t>
      </w:r>
      <w:r w:rsidR="006A2CCC" w:rsidRPr="006A2CCC">
        <w:rPr>
          <w:rStyle w:val="FootnoteReference"/>
          <w:spacing w:val="-4"/>
          <w:lang w:val="es-CR" w:eastAsia="es-CR"/>
        </w:rPr>
        <w:footnoteReference w:customMarkFollows="1" w:id="2"/>
        <w:sym w:font="Symbol" w:char="F02A"/>
      </w:r>
      <w:r w:rsidR="006A2CCC" w:rsidRPr="006A2CCC">
        <w:rPr>
          <w:rStyle w:val="FootnoteReference"/>
          <w:spacing w:val="-4"/>
          <w:lang w:val="es-CR" w:eastAsia="es-CR"/>
        </w:rPr>
        <w:sym w:font="Symbol" w:char="F02A"/>
      </w:r>
      <w:r w:rsidRPr="00C92188">
        <w:rPr>
          <w:rFonts w:cs="Verdana"/>
          <w:spacing w:val="-4"/>
          <w:szCs w:val="20"/>
          <w:lang w:val="es-CR" w:eastAsia="es-CR"/>
        </w:rPr>
        <w:t xml:space="preserve">,  </w:t>
      </w:r>
    </w:p>
    <w:p w14:paraId="04B96BA4" w14:textId="77777777" w:rsidR="00AE74FC" w:rsidRPr="00C92188" w:rsidRDefault="00AE74FC" w:rsidP="00BA587C"/>
    <w:p w14:paraId="586320A8" w14:textId="485EEB0B" w:rsidR="00AE74FC" w:rsidRPr="00C92188" w:rsidRDefault="00AE74FC" w:rsidP="00BA587C">
      <w:pPr>
        <w:rPr>
          <w:b/>
        </w:rPr>
      </w:pPr>
      <w:r w:rsidRPr="00C92188">
        <w:rPr>
          <w:rFonts w:cs="Verdana"/>
          <w:spacing w:val="-2"/>
          <w:szCs w:val="20"/>
          <w:lang w:val="es-ES_tradnl"/>
        </w:rPr>
        <w:t>de conformidad con el artículo 67 de la Convención Americana sobre Derechos Humanos (en adelante también “la Convención Americana” o “la Convención”) y el artículo 68 del Reglamento de la Corte (en adelante</w:t>
      </w:r>
      <w:r w:rsidR="0011671F">
        <w:rPr>
          <w:rFonts w:cs="Verdana"/>
          <w:spacing w:val="-2"/>
          <w:szCs w:val="20"/>
          <w:lang w:val="es-ES_tradnl"/>
        </w:rPr>
        <w:t xml:space="preserve"> también</w:t>
      </w:r>
      <w:r w:rsidRPr="00C92188">
        <w:rPr>
          <w:rFonts w:cs="Verdana"/>
          <w:spacing w:val="-2"/>
          <w:szCs w:val="20"/>
          <w:lang w:val="es-ES_tradnl"/>
        </w:rPr>
        <w:t xml:space="preserve"> “el Reglamento”), resuelve la solicitud de interpretación de la Sentencia sobre Fondo, Reparaciones y Costas emitida por este Tribunal el 6 de febrero de 2020 en el presente caso (en adelante también “la Sentencia”), interpuesta el 13 de agosto de 2020 por los representantes de las víctimas (en adelante </w:t>
      </w:r>
      <w:r w:rsidR="0011671F">
        <w:rPr>
          <w:rFonts w:cs="Verdana"/>
          <w:spacing w:val="-2"/>
          <w:szCs w:val="20"/>
          <w:lang w:val="es-ES_tradnl"/>
        </w:rPr>
        <w:t xml:space="preserve">también </w:t>
      </w:r>
      <w:r w:rsidRPr="00C92188">
        <w:rPr>
          <w:rFonts w:cs="Verdana"/>
          <w:spacing w:val="-2"/>
          <w:szCs w:val="20"/>
          <w:lang w:val="es-ES_tradnl"/>
        </w:rPr>
        <w:t>“los representantes”).</w:t>
      </w:r>
    </w:p>
    <w:p w14:paraId="1DEB5B5A" w14:textId="77777777" w:rsidR="00AE74FC" w:rsidRPr="00C92188" w:rsidRDefault="00AE74FC" w:rsidP="00BA587C"/>
    <w:p w14:paraId="691C4F6E" w14:textId="77777777" w:rsidR="00AE74FC" w:rsidRPr="00C92188" w:rsidRDefault="00AE74FC" w:rsidP="00BA587C">
      <w:pPr>
        <w:keepNext/>
        <w:tabs>
          <w:tab w:val="left" w:pos="567"/>
        </w:tabs>
        <w:jc w:val="center"/>
        <w:outlineLvl w:val="1"/>
        <w:rPr>
          <w:rFonts w:eastAsia="Times New Roman" w:cs="Verdana"/>
          <w:b/>
          <w:bCs/>
          <w:iCs/>
          <w:caps/>
          <w:snapToGrid w:val="0"/>
          <w:spacing w:val="-2"/>
          <w:szCs w:val="20"/>
          <w:lang w:val="es-ES_tradnl" w:eastAsia="es-ES"/>
        </w:rPr>
      </w:pPr>
      <w:r w:rsidRPr="00C92188">
        <w:rPr>
          <w:rFonts w:eastAsia="Times New Roman" w:cs="Verdana"/>
          <w:b/>
          <w:bCs/>
          <w:iCs/>
          <w:caps/>
          <w:snapToGrid w:val="0"/>
          <w:spacing w:val="-2"/>
          <w:szCs w:val="20"/>
          <w:lang w:val="es-ES_tradnl" w:eastAsia="es-ES"/>
        </w:rPr>
        <w:lastRenderedPageBreak/>
        <w:t>I</w:t>
      </w:r>
    </w:p>
    <w:p w14:paraId="7E201097" w14:textId="78C8EB14" w:rsidR="00AE74FC" w:rsidRPr="00C92188" w:rsidRDefault="00AE74FC" w:rsidP="00BA587C">
      <w:pPr>
        <w:keepNext/>
        <w:tabs>
          <w:tab w:val="left" w:pos="567"/>
        </w:tabs>
        <w:jc w:val="center"/>
        <w:outlineLvl w:val="1"/>
        <w:rPr>
          <w:rFonts w:eastAsia="Times New Roman" w:cs="Verdana"/>
          <w:b/>
          <w:bCs/>
          <w:iCs/>
          <w:caps/>
          <w:snapToGrid w:val="0"/>
          <w:spacing w:val="-2"/>
          <w:szCs w:val="20"/>
          <w:lang w:val="es-ES_tradnl" w:eastAsia="es-ES"/>
        </w:rPr>
      </w:pPr>
      <w:r w:rsidRPr="00C92188">
        <w:rPr>
          <w:rFonts w:eastAsia="Times New Roman" w:cs="Verdana"/>
          <w:b/>
          <w:bCs/>
          <w:iCs/>
          <w:caps/>
          <w:snapToGrid w:val="0"/>
          <w:spacing w:val="-2"/>
          <w:szCs w:val="20"/>
          <w:lang w:val="es-ES_tradnl" w:eastAsia="es-ES"/>
        </w:rPr>
        <w:t>SOLICITUD DE INTERPRETACIÓN</w:t>
      </w:r>
      <w:r w:rsidRPr="00C92188">
        <w:rPr>
          <w:rFonts w:eastAsia="Times New Roman" w:cs="Verdana"/>
          <w:b/>
          <w:bCs/>
          <w:iCs/>
          <w:caps/>
          <w:snapToGrid w:val="0"/>
          <w:spacing w:val="-2"/>
          <w:szCs w:val="20"/>
          <w:lang w:val="es-ES_tradnl" w:eastAsia="es-ES"/>
        </w:rPr>
        <w:br/>
        <w:t>Y PROCEDIMIENTO ANTE LA cORTE</w:t>
      </w:r>
    </w:p>
    <w:p w14:paraId="2F2964B2" w14:textId="77777777" w:rsidR="00AE74FC" w:rsidRPr="00C92188" w:rsidRDefault="00AE74FC" w:rsidP="00BA587C">
      <w:pPr>
        <w:keepNext/>
        <w:tabs>
          <w:tab w:val="left" w:pos="567"/>
        </w:tabs>
        <w:jc w:val="center"/>
        <w:outlineLvl w:val="1"/>
        <w:rPr>
          <w:rFonts w:eastAsia="Times New Roman" w:cs="Verdana"/>
          <w:b/>
          <w:bCs/>
          <w:iCs/>
          <w:caps/>
          <w:snapToGrid w:val="0"/>
          <w:spacing w:val="-2"/>
          <w:szCs w:val="20"/>
          <w:lang w:val="es-ES_tradnl" w:eastAsia="es-ES"/>
        </w:rPr>
      </w:pPr>
    </w:p>
    <w:p w14:paraId="6208D39C" w14:textId="2CB9E7AD" w:rsidR="00AE74FC" w:rsidRPr="00C92188" w:rsidRDefault="00AE74FC" w:rsidP="00BA587C">
      <w:pPr>
        <w:numPr>
          <w:ilvl w:val="0"/>
          <w:numId w:val="1"/>
        </w:numPr>
        <w:ind w:left="0" w:firstLine="0"/>
        <w:rPr>
          <w:rFonts w:eastAsia="Times New Roman" w:cs="Times New Roman"/>
          <w:color w:val="000000"/>
          <w:szCs w:val="20"/>
          <w:lang w:val="es-CL" w:eastAsia="es-CL"/>
        </w:rPr>
      </w:pPr>
      <w:r w:rsidRPr="00C92188">
        <w:rPr>
          <w:rFonts w:cs="Verdana"/>
          <w:spacing w:val="-2"/>
          <w:szCs w:val="20"/>
          <w:lang w:val="es-ES_tradnl"/>
        </w:rPr>
        <w:t xml:space="preserve">El 6 de febrero de 2020 </w:t>
      </w:r>
      <w:r w:rsidRPr="00C92188">
        <w:rPr>
          <w:rFonts w:eastAsia="Times"/>
          <w:spacing w:val="-2"/>
          <w:szCs w:val="20"/>
          <w:lang w:val="es-ES_tradnl"/>
        </w:rPr>
        <w:t xml:space="preserve">la Corte Interamericana emitió la Sentencia en el presente caso, la cual fue notificada a las partes y a la </w:t>
      </w:r>
      <w:r w:rsidRPr="00C92188">
        <w:rPr>
          <w:rFonts w:eastAsia="Times New Roman" w:cs="Times New Roman"/>
          <w:color w:val="000000"/>
          <w:szCs w:val="20"/>
          <w:lang w:val="es-CL" w:eastAsia="es-CL"/>
        </w:rPr>
        <w:t>Comisión</w:t>
      </w:r>
      <w:r w:rsidRPr="00C92188">
        <w:rPr>
          <w:rFonts w:eastAsia="Times"/>
          <w:spacing w:val="-2"/>
          <w:szCs w:val="20"/>
          <w:lang w:val="es-ES_tradnl"/>
        </w:rPr>
        <w:t xml:space="preserve"> Interamericana de </w:t>
      </w:r>
      <w:r w:rsidRPr="00C92188">
        <w:rPr>
          <w:rFonts w:cs="Verdana"/>
          <w:spacing w:val="-2"/>
          <w:szCs w:val="20"/>
          <w:lang w:val="es-ES_tradnl"/>
        </w:rPr>
        <w:t xml:space="preserve">Derechos Humanos (en adelante </w:t>
      </w:r>
      <w:r w:rsidR="0011671F">
        <w:rPr>
          <w:rFonts w:cs="Verdana"/>
          <w:spacing w:val="-2"/>
          <w:szCs w:val="20"/>
          <w:lang w:val="es-ES_tradnl"/>
        </w:rPr>
        <w:t xml:space="preserve">también </w:t>
      </w:r>
      <w:r w:rsidRPr="00C92188">
        <w:rPr>
          <w:rFonts w:cs="Verdana"/>
          <w:spacing w:val="-2"/>
          <w:szCs w:val="20"/>
          <w:lang w:val="es-ES_tradnl"/>
        </w:rPr>
        <w:t xml:space="preserve">“la Comisión”) </w:t>
      </w:r>
      <w:r w:rsidRPr="00C92188">
        <w:rPr>
          <w:rFonts w:eastAsia="Times"/>
          <w:spacing w:val="-2"/>
          <w:szCs w:val="20"/>
          <w:lang w:val="es-ES_tradnl"/>
        </w:rPr>
        <w:t>el 2 de abril del mismo año.</w:t>
      </w:r>
    </w:p>
    <w:p w14:paraId="07AAE470" w14:textId="77777777" w:rsidR="00AE74FC" w:rsidRPr="00C92188" w:rsidRDefault="00AE74FC" w:rsidP="00BA587C">
      <w:pPr>
        <w:rPr>
          <w:rFonts w:eastAsia="Times New Roman" w:cs="Times New Roman"/>
          <w:color w:val="000000"/>
          <w:szCs w:val="20"/>
          <w:lang w:val="es-CL" w:eastAsia="es-CL"/>
        </w:rPr>
      </w:pPr>
    </w:p>
    <w:p w14:paraId="420A4B38" w14:textId="77777777" w:rsidR="00AE74FC" w:rsidRPr="00C92188" w:rsidRDefault="00AE74FC" w:rsidP="00BA587C">
      <w:pPr>
        <w:numPr>
          <w:ilvl w:val="0"/>
          <w:numId w:val="1"/>
        </w:numPr>
        <w:ind w:left="0" w:firstLine="0"/>
        <w:rPr>
          <w:rFonts w:cs="Verdana"/>
          <w:spacing w:val="-2"/>
          <w:szCs w:val="20"/>
          <w:lang w:val="es-ES_tradnl"/>
        </w:rPr>
      </w:pPr>
      <w:bookmarkStart w:id="8" w:name="_Ref395083029"/>
      <w:bookmarkStart w:id="9" w:name="_Ref403060836"/>
      <w:bookmarkStart w:id="10" w:name="_Ref363085373"/>
      <w:r w:rsidRPr="00C92188">
        <w:rPr>
          <w:rFonts w:cs="Verdana"/>
          <w:spacing w:val="-2"/>
          <w:szCs w:val="20"/>
          <w:lang w:val="es-ES_tradnl"/>
        </w:rPr>
        <w:t>El 13 de agosto de 20</w:t>
      </w:r>
      <w:bookmarkStart w:id="11" w:name="_Ref403060837"/>
      <w:bookmarkEnd w:id="8"/>
      <w:bookmarkEnd w:id="9"/>
      <w:bookmarkEnd w:id="10"/>
      <w:r w:rsidRPr="00C92188">
        <w:rPr>
          <w:rFonts w:cs="Verdana"/>
          <w:spacing w:val="-2"/>
          <w:szCs w:val="20"/>
          <w:lang w:val="es-ES_tradnl"/>
        </w:rPr>
        <w:t xml:space="preserve">20 </w:t>
      </w:r>
      <w:bookmarkEnd w:id="11"/>
      <w:r w:rsidRPr="00C92188">
        <w:rPr>
          <w:rFonts w:cs="Verdana"/>
          <w:spacing w:val="-2"/>
          <w:szCs w:val="20"/>
          <w:lang w:val="es-ES_tradnl"/>
        </w:rPr>
        <w:t>los representantes de las víctimas</w:t>
      </w:r>
      <w:r w:rsidRPr="00C92188">
        <w:rPr>
          <w:rStyle w:val="FootnoteReference"/>
          <w:spacing w:val="-2"/>
          <w:lang w:val="es-ES_tradnl"/>
        </w:rPr>
        <w:footnoteReference w:id="3"/>
      </w:r>
      <w:r w:rsidRPr="00C92188">
        <w:rPr>
          <w:rFonts w:cs="Verdana"/>
          <w:spacing w:val="-2"/>
          <w:szCs w:val="20"/>
          <w:lang w:val="es-ES_tradnl"/>
        </w:rPr>
        <w:t xml:space="preserve"> sometieron una solicitud de interpretación relacionada con el alcance de lo dispuesto en el punto resolutivo 15 de la Sentencia, que ordena al Estado </w:t>
      </w:r>
      <w:r w:rsidRPr="00C92188">
        <w:rPr>
          <w:lang w:val="es-CR"/>
        </w:rPr>
        <w:t>adoptar medidas legislativas y/o de otro carácter para dotar de seguridad jurídica al derecho de propiedad comunitaria indígena.</w:t>
      </w:r>
    </w:p>
    <w:p w14:paraId="1FF47578" w14:textId="77777777" w:rsidR="00AE74FC" w:rsidRPr="00C92188" w:rsidRDefault="00AE74FC" w:rsidP="00BA587C">
      <w:pPr>
        <w:rPr>
          <w:rFonts w:cs="Verdana"/>
          <w:spacing w:val="-2"/>
          <w:szCs w:val="20"/>
          <w:lang w:val="es-ES_tradnl"/>
        </w:rPr>
      </w:pPr>
    </w:p>
    <w:p w14:paraId="004B3312" w14:textId="75EF9E47" w:rsidR="00AE74FC" w:rsidRPr="00C92188" w:rsidRDefault="00AE74FC" w:rsidP="00BA587C">
      <w:pPr>
        <w:numPr>
          <w:ilvl w:val="0"/>
          <w:numId w:val="1"/>
        </w:numPr>
        <w:ind w:left="0" w:firstLine="0"/>
        <w:rPr>
          <w:rFonts w:eastAsia="Times New Roman" w:cs="Times New Roman"/>
          <w:color w:val="000000"/>
          <w:szCs w:val="20"/>
          <w:lang w:val="es-CL" w:eastAsia="es-CL"/>
        </w:rPr>
      </w:pPr>
      <w:bookmarkStart w:id="12" w:name="_Ref403065790"/>
      <w:r w:rsidRPr="00C92188">
        <w:rPr>
          <w:rFonts w:cs="Verdana"/>
          <w:spacing w:val="-2"/>
          <w:szCs w:val="20"/>
          <w:lang w:val="es-ES_tradnl"/>
        </w:rPr>
        <w:t xml:space="preserve">El 14 de agosto de 2020, de conformidad con el artículo 68.2 del Reglamento y siguiendo instrucciones de la Presidenta de la Corte, la Secretaría </w:t>
      </w:r>
      <w:r w:rsidR="00680124">
        <w:rPr>
          <w:rFonts w:cs="Verdana"/>
          <w:spacing w:val="-2"/>
          <w:szCs w:val="20"/>
          <w:lang w:val="es-ES_tradnl"/>
        </w:rPr>
        <w:t xml:space="preserve">de la Corte </w:t>
      </w:r>
      <w:r w:rsidRPr="00C92188">
        <w:rPr>
          <w:rFonts w:cs="Verdana"/>
          <w:spacing w:val="-2"/>
          <w:szCs w:val="20"/>
          <w:lang w:val="es-ES_tradnl"/>
        </w:rPr>
        <w:t xml:space="preserve">transmitió la referida solicitud de interpretación a la </w:t>
      </w:r>
      <w:r w:rsidRPr="00C92188">
        <w:rPr>
          <w:szCs w:val="20"/>
          <w:lang w:val="es-CR" w:eastAsia="es-CR"/>
        </w:rPr>
        <w:t>República Argentina (en adelante también “el Estado” o “Argentina)</w:t>
      </w:r>
      <w:r w:rsidRPr="00C92188">
        <w:rPr>
          <w:rFonts w:cs="Verdana"/>
          <w:spacing w:val="-2"/>
          <w:szCs w:val="20"/>
          <w:lang w:val="es-ES_tradnl"/>
        </w:rPr>
        <w:t xml:space="preserve"> y a la Comisión</w:t>
      </w:r>
      <w:r w:rsidR="00680124">
        <w:rPr>
          <w:rFonts w:cs="Verdana"/>
          <w:spacing w:val="-2"/>
          <w:szCs w:val="20"/>
          <w:lang w:val="es-ES_tradnl"/>
        </w:rPr>
        <w:t>,</w:t>
      </w:r>
      <w:r w:rsidRPr="00C92188">
        <w:rPr>
          <w:rFonts w:cs="Verdana"/>
          <w:spacing w:val="-2"/>
          <w:szCs w:val="20"/>
          <w:lang w:val="es-ES_tradnl"/>
        </w:rPr>
        <w:t xml:space="preserve"> y les otorgó un plazo para que, a más tardar el 15 de septiembre de 2020, presentaran</w:t>
      </w:r>
      <w:r w:rsidR="00680124">
        <w:rPr>
          <w:rFonts w:cs="Verdana"/>
          <w:spacing w:val="-2"/>
          <w:szCs w:val="20"/>
          <w:lang w:val="es-ES_tradnl"/>
        </w:rPr>
        <w:t xml:space="preserve"> por escrito las observaciones </w:t>
      </w:r>
      <w:r w:rsidRPr="00C92188">
        <w:rPr>
          <w:rFonts w:cs="Verdana"/>
          <w:spacing w:val="-2"/>
          <w:szCs w:val="20"/>
          <w:lang w:val="es-ES_tradnl"/>
        </w:rPr>
        <w:t xml:space="preserve">que estimaran pertinentes. </w:t>
      </w:r>
      <w:bookmarkStart w:id="13" w:name="_Ref324683819"/>
      <w:bookmarkEnd w:id="12"/>
      <w:r w:rsidRPr="00C92188">
        <w:rPr>
          <w:rFonts w:cs="Verdana"/>
          <w:spacing w:val="-2"/>
          <w:szCs w:val="20"/>
          <w:lang w:val="es-ES_tradnl"/>
        </w:rPr>
        <w:t>Los días 14 y 15 de septiembre de 2020 el Estado y la Comisión, respectivamente, remitieron sus observaciones</w:t>
      </w:r>
      <w:bookmarkEnd w:id="13"/>
      <w:r w:rsidRPr="00C92188">
        <w:rPr>
          <w:rFonts w:cs="Verdana"/>
          <w:spacing w:val="-2"/>
          <w:szCs w:val="20"/>
          <w:lang w:val="es-ES_tradnl"/>
        </w:rPr>
        <w:t>.</w:t>
      </w:r>
    </w:p>
    <w:p w14:paraId="5FF2EF09" w14:textId="77777777" w:rsidR="00AE74FC" w:rsidRPr="00C92188" w:rsidRDefault="00AE74FC" w:rsidP="00BA587C">
      <w:pPr>
        <w:rPr>
          <w:rFonts w:eastAsia="Times New Roman" w:cs="Times New Roman"/>
          <w:color w:val="000000"/>
          <w:szCs w:val="20"/>
          <w:lang w:val="es-CL" w:eastAsia="es-CL"/>
        </w:rPr>
      </w:pPr>
    </w:p>
    <w:p w14:paraId="05C920A3" w14:textId="77777777" w:rsidR="00AE74FC" w:rsidRPr="00C92188" w:rsidRDefault="00AE74FC" w:rsidP="00BA587C">
      <w:pPr>
        <w:tabs>
          <w:tab w:val="left" w:pos="567"/>
        </w:tabs>
        <w:jc w:val="center"/>
        <w:rPr>
          <w:rFonts w:eastAsia="Times"/>
          <w:b/>
          <w:bCs/>
          <w:spacing w:val="-2"/>
          <w:szCs w:val="20"/>
          <w:lang w:val="es-ES_tradnl"/>
        </w:rPr>
      </w:pPr>
      <w:r w:rsidRPr="00C92188">
        <w:rPr>
          <w:rFonts w:eastAsia="Times"/>
          <w:b/>
          <w:bCs/>
          <w:spacing w:val="-2"/>
          <w:szCs w:val="20"/>
          <w:lang w:val="es-ES_tradnl"/>
        </w:rPr>
        <w:t>II</w:t>
      </w:r>
    </w:p>
    <w:p w14:paraId="0FF5D274" w14:textId="77777777" w:rsidR="00AE74FC" w:rsidRPr="00C92188" w:rsidRDefault="00AE74FC" w:rsidP="00BA587C">
      <w:pPr>
        <w:tabs>
          <w:tab w:val="left" w:pos="567"/>
        </w:tabs>
        <w:jc w:val="center"/>
        <w:rPr>
          <w:rFonts w:eastAsia="Times"/>
          <w:b/>
          <w:bCs/>
          <w:spacing w:val="-2"/>
          <w:szCs w:val="20"/>
          <w:lang w:val="es-ES_tradnl"/>
        </w:rPr>
      </w:pPr>
      <w:r w:rsidRPr="00C92188">
        <w:rPr>
          <w:rFonts w:eastAsia="Times"/>
          <w:b/>
          <w:bCs/>
          <w:spacing w:val="-2"/>
          <w:szCs w:val="20"/>
          <w:lang w:val="es-ES_tradnl"/>
        </w:rPr>
        <w:t>COMPETENCIA</w:t>
      </w:r>
    </w:p>
    <w:p w14:paraId="64975952" w14:textId="77777777" w:rsidR="00AE74FC" w:rsidRPr="00C92188" w:rsidRDefault="00AE74FC" w:rsidP="00BA587C">
      <w:pPr>
        <w:tabs>
          <w:tab w:val="left" w:pos="567"/>
        </w:tabs>
        <w:jc w:val="center"/>
        <w:rPr>
          <w:rFonts w:eastAsia="Times"/>
          <w:b/>
          <w:bCs/>
          <w:spacing w:val="-2"/>
          <w:szCs w:val="20"/>
          <w:lang w:val="es-ES_tradnl"/>
        </w:rPr>
      </w:pPr>
    </w:p>
    <w:p w14:paraId="1D4A8CF0" w14:textId="6389F2E9" w:rsidR="00AE74FC" w:rsidRPr="00C92188" w:rsidRDefault="00AE74FC" w:rsidP="00BA587C">
      <w:pPr>
        <w:numPr>
          <w:ilvl w:val="0"/>
          <w:numId w:val="1"/>
        </w:numPr>
        <w:ind w:left="0" w:firstLine="0"/>
        <w:rPr>
          <w:rFonts w:eastAsia="Times"/>
          <w:spacing w:val="-2"/>
          <w:szCs w:val="20"/>
          <w:lang w:val="es-ES_tradnl"/>
        </w:rPr>
      </w:pPr>
      <w:bookmarkStart w:id="14" w:name="_Ref361668910"/>
      <w:r w:rsidRPr="00C92188">
        <w:rPr>
          <w:rFonts w:eastAsia="Times"/>
          <w:spacing w:val="-2"/>
          <w:szCs w:val="20"/>
          <w:lang w:val="es-ES_tradnl"/>
        </w:rPr>
        <w:t>El artículo 67 de la Convención Americana establece:</w:t>
      </w:r>
    </w:p>
    <w:bookmarkEnd w:id="14"/>
    <w:p w14:paraId="500D871D" w14:textId="77777777" w:rsidR="00AE74FC" w:rsidRPr="00C92188" w:rsidRDefault="00AE74FC" w:rsidP="00BA587C">
      <w:pPr>
        <w:rPr>
          <w:rFonts w:eastAsia="Times"/>
          <w:spacing w:val="-2"/>
          <w:szCs w:val="20"/>
          <w:lang w:val="es-ES_tradnl"/>
        </w:rPr>
      </w:pPr>
    </w:p>
    <w:p w14:paraId="320538A8" w14:textId="219402BF" w:rsidR="00AE74FC" w:rsidRPr="00C92188" w:rsidRDefault="00C115CE" w:rsidP="00BA587C">
      <w:pPr>
        <w:ind w:left="680" w:right="567"/>
        <w:rPr>
          <w:rFonts w:eastAsia="Times"/>
          <w:spacing w:val="-2"/>
          <w:sz w:val="16"/>
          <w:szCs w:val="16"/>
          <w:lang w:val="es-ES_tradnl"/>
        </w:rPr>
      </w:pPr>
      <w:r>
        <w:rPr>
          <w:rFonts w:eastAsia="Times"/>
          <w:spacing w:val="-2"/>
          <w:sz w:val="16"/>
          <w:szCs w:val="16"/>
          <w:lang w:val="es-ES_tradnl"/>
        </w:rPr>
        <w:t>E</w:t>
      </w:r>
      <w:r w:rsidR="00AE74FC" w:rsidRPr="00C92188">
        <w:rPr>
          <w:rFonts w:eastAsia="Times"/>
          <w:spacing w:val="-2"/>
          <w:sz w:val="16"/>
          <w:szCs w:val="16"/>
          <w:lang w:val="es-ES_tradnl"/>
        </w:rPr>
        <w:t>l fallo de la Corte será definitivo e inapelable. En caso de desacuerdo sobre el sentido o alcance del fallo, la Corte lo interpretará a solicitud de cualquiera de las partes, siempre que dicha solicitud se presente dentro de los noventa días a partir de la fecha de la notificación del fallo.</w:t>
      </w:r>
    </w:p>
    <w:p w14:paraId="0D5B45B3" w14:textId="77777777" w:rsidR="00AE74FC" w:rsidRPr="00C92188" w:rsidRDefault="00AE74FC" w:rsidP="00BA587C">
      <w:pPr>
        <w:rPr>
          <w:rFonts w:eastAsia="Times"/>
          <w:spacing w:val="-2"/>
          <w:szCs w:val="20"/>
          <w:lang w:val="es-ES_tradnl"/>
        </w:rPr>
      </w:pPr>
    </w:p>
    <w:p w14:paraId="018D8E24" w14:textId="188C0BED" w:rsidR="00AE74FC" w:rsidRPr="00C92188" w:rsidRDefault="00AE74FC" w:rsidP="00BA587C">
      <w:pPr>
        <w:numPr>
          <w:ilvl w:val="0"/>
          <w:numId w:val="1"/>
        </w:numPr>
        <w:ind w:left="0" w:firstLine="0"/>
        <w:rPr>
          <w:rFonts w:eastAsia="Times"/>
          <w:bCs/>
          <w:spacing w:val="-2"/>
          <w:szCs w:val="20"/>
          <w:lang w:val="es-ES_tradnl"/>
        </w:rPr>
      </w:pPr>
      <w:r w:rsidRPr="00C92188">
        <w:rPr>
          <w:rFonts w:eastAsia="Times"/>
          <w:spacing w:val="-2"/>
          <w:szCs w:val="20"/>
          <w:lang w:val="es-ES_tradnl"/>
        </w:rPr>
        <w:t xml:space="preserve">De conformidad con el artículo citado, la Corte Interamericana es competente para interpretar sus fallos. Para realizar el examen de las solicitudes de interpretación y resolver lo que a este respecto corresponda, este Tribunal debe tener, si es posible, la misma composición que tenía al dictar la Sentencia respectiva, de acuerdo con el artículo 68.3 del Reglamento. En esta ocasión, la Corte está integrada por </w:t>
      </w:r>
      <w:r w:rsidRPr="00C92188">
        <w:t>los mismos Jueces que dictaron la Sentencia cuya interpretación ha sido solicitada</w:t>
      </w:r>
      <w:r w:rsidR="00030AD9">
        <w:rPr>
          <w:rStyle w:val="FootnoteReference"/>
        </w:rPr>
        <w:footnoteReference w:id="4"/>
      </w:r>
      <w:r w:rsidRPr="00C92188">
        <w:t xml:space="preserve">. </w:t>
      </w:r>
    </w:p>
    <w:p w14:paraId="2E92B1B4" w14:textId="77777777" w:rsidR="00AE74FC" w:rsidRPr="00C92188" w:rsidRDefault="00AE74FC" w:rsidP="00BA587C">
      <w:pPr>
        <w:pStyle w:val="NoSpacing"/>
        <w:jc w:val="center"/>
        <w:rPr>
          <w:rFonts w:ascii="Verdana" w:hAnsi="Verdana" w:cs="Verdana"/>
          <w:b/>
          <w:spacing w:val="-2"/>
          <w:sz w:val="20"/>
          <w:szCs w:val="20"/>
          <w:lang w:val="es-ES_tradnl"/>
        </w:rPr>
      </w:pPr>
    </w:p>
    <w:p w14:paraId="4CB809D4" w14:textId="77777777" w:rsidR="00AE74FC" w:rsidRPr="00C92188" w:rsidRDefault="00AE74FC" w:rsidP="00BA587C">
      <w:pPr>
        <w:pStyle w:val="NoSpacing"/>
        <w:jc w:val="center"/>
        <w:rPr>
          <w:rFonts w:ascii="Verdana" w:hAnsi="Verdana" w:cs="Verdana"/>
          <w:b/>
          <w:spacing w:val="-2"/>
          <w:sz w:val="20"/>
          <w:szCs w:val="20"/>
          <w:lang w:val="es-ES_tradnl"/>
        </w:rPr>
      </w:pPr>
      <w:r w:rsidRPr="00C92188">
        <w:rPr>
          <w:rFonts w:ascii="Verdana" w:hAnsi="Verdana" w:cs="Verdana"/>
          <w:b/>
          <w:spacing w:val="-2"/>
          <w:sz w:val="20"/>
          <w:szCs w:val="20"/>
          <w:lang w:val="es-ES_tradnl"/>
        </w:rPr>
        <w:t>III</w:t>
      </w:r>
    </w:p>
    <w:p w14:paraId="4B5DDB46" w14:textId="77777777" w:rsidR="00AE74FC" w:rsidRPr="00C92188" w:rsidRDefault="00AE74FC" w:rsidP="00BA587C">
      <w:pPr>
        <w:pStyle w:val="NoSpacing"/>
        <w:jc w:val="center"/>
        <w:rPr>
          <w:rFonts w:ascii="Verdana" w:hAnsi="Verdana" w:cs="Verdana"/>
          <w:b/>
          <w:spacing w:val="-2"/>
          <w:sz w:val="20"/>
          <w:szCs w:val="20"/>
          <w:lang w:val="es-ES_tradnl"/>
        </w:rPr>
      </w:pPr>
      <w:r w:rsidRPr="00C92188">
        <w:rPr>
          <w:rFonts w:ascii="Verdana" w:hAnsi="Verdana" w:cs="Verdana"/>
          <w:b/>
          <w:spacing w:val="-2"/>
          <w:sz w:val="20"/>
          <w:szCs w:val="20"/>
          <w:lang w:val="es-ES_tradnl"/>
        </w:rPr>
        <w:t>ADMISIBILIDAD</w:t>
      </w:r>
    </w:p>
    <w:p w14:paraId="6AB1F913" w14:textId="77777777" w:rsidR="00AE74FC" w:rsidRPr="00C92188" w:rsidRDefault="00AE74FC" w:rsidP="00BA587C">
      <w:pPr>
        <w:pStyle w:val="NoSpacing"/>
        <w:jc w:val="center"/>
      </w:pPr>
    </w:p>
    <w:p w14:paraId="48AD3647" w14:textId="77777777" w:rsidR="00AE74FC" w:rsidRPr="00C92188" w:rsidRDefault="00AE74FC" w:rsidP="00BA587C">
      <w:pPr>
        <w:numPr>
          <w:ilvl w:val="0"/>
          <w:numId w:val="1"/>
        </w:numPr>
        <w:tabs>
          <w:tab w:val="num" w:pos="720"/>
        </w:tabs>
        <w:ind w:left="0" w:firstLine="0"/>
      </w:pPr>
      <w:r w:rsidRPr="00C92188">
        <w:rPr>
          <w:rFonts w:eastAsia="Times"/>
          <w:spacing w:val="-2"/>
          <w:szCs w:val="20"/>
          <w:lang w:val="es-ES_tradnl"/>
        </w:rPr>
        <w:t>Corresponde</w:t>
      </w:r>
      <w:r w:rsidRPr="00C92188">
        <w:rPr>
          <w:spacing w:val="-2"/>
          <w:szCs w:val="20"/>
          <w:lang w:val="es-ES_tradnl"/>
        </w:rPr>
        <w:t xml:space="preserve"> a la Corte verificar si la solicitud presentada por los representantes cumple con los requisitos establecidos en las normas aplicables a una solicitud de interpretación de Sentencia, a saber, el artículo 67 de la Convención </w:t>
      </w:r>
      <w:r w:rsidRPr="00C92188">
        <w:t>anteriormente citado,</w:t>
      </w:r>
      <w:r w:rsidRPr="00C92188">
        <w:rPr>
          <w:spacing w:val="-2"/>
          <w:szCs w:val="20"/>
          <w:lang w:val="es-ES_tradnl"/>
        </w:rPr>
        <w:t xml:space="preserve"> y el artículo 68 del Reglamento. Asimismo, </w:t>
      </w:r>
      <w:r w:rsidRPr="00C92188">
        <w:t xml:space="preserve">el artículo 31.3 del Reglamento </w:t>
      </w:r>
      <w:r w:rsidRPr="00C92188">
        <w:lastRenderedPageBreak/>
        <w:t xml:space="preserve">establece que “[c]ontra las sentencias y resoluciones de la Corte no procede ningún medio de impugnación”. </w:t>
      </w:r>
    </w:p>
    <w:p w14:paraId="38081C9B" w14:textId="77777777" w:rsidR="00AE74FC" w:rsidRPr="00C92188" w:rsidRDefault="00AE74FC" w:rsidP="00BA587C"/>
    <w:p w14:paraId="2A3E45D8" w14:textId="56E7DF2C" w:rsidR="00AE74FC" w:rsidRPr="00C92188" w:rsidRDefault="00AE74FC" w:rsidP="00BA587C">
      <w:pPr>
        <w:numPr>
          <w:ilvl w:val="0"/>
          <w:numId w:val="1"/>
        </w:numPr>
        <w:tabs>
          <w:tab w:val="num" w:pos="720"/>
        </w:tabs>
        <w:ind w:left="0" w:firstLine="0"/>
        <w:rPr>
          <w:spacing w:val="-2"/>
          <w:szCs w:val="20"/>
          <w:lang w:val="es-ES_tradnl"/>
        </w:rPr>
      </w:pPr>
      <w:r w:rsidRPr="00C92188">
        <w:rPr>
          <w:spacing w:val="-2"/>
          <w:szCs w:val="20"/>
          <w:lang w:val="es-ES_tradnl"/>
        </w:rPr>
        <w:t xml:space="preserve">La Corte </w:t>
      </w:r>
      <w:r w:rsidRPr="00C92188">
        <w:rPr>
          <w:rFonts w:eastAsia="Times"/>
          <w:spacing w:val="-2"/>
          <w:szCs w:val="20"/>
          <w:lang w:val="es-ES_tradnl"/>
        </w:rPr>
        <w:t>advierte</w:t>
      </w:r>
      <w:r w:rsidRPr="00C92188">
        <w:rPr>
          <w:spacing w:val="-2"/>
          <w:szCs w:val="20"/>
          <w:lang w:val="es-ES_tradnl"/>
        </w:rPr>
        <w:t xml:space="preserve"> que los representantes presentaron su solicitud de interpretación dentro del plazo de 90 días establecido en el artículo 67 de la </w:t>
      </w:r>
      <w:r w:rsidRPr="00C92188">
        <w:rPr>
          <w:rFonts w:eastAsia="Times"/>
          <w:spacing w:val="-2"/>
          <w:szCs w:val="20"/>
          <w:lang w:val="es-ES_tradnl"/>
        </w:rPr>
        <w:t>Convención. Al respecto, es preciso aclarar que cuando la Sentencia fue notificada, el 2 de abril de 2020, se encontraba en curso una suspensión de términos procesales, que había comenzado a regir el 17 de marzo de 2020, de acuerdo con lo dispuesto por el Acuerdo 1/20 de la Corte. Dicha suspensión de términos, motivada por la pandemia por el COVID-19, situación de público y notorio conocimiento, fue luego prorrogada hasta el 20 de mayo de 2020, por el Acuerdo 2/20 de la Corte. De ese modo, la solicitud de interpretación, presentada el 13 de agosto de 2020</w:t>
      </w:r>
      <w:r w:rsidR="00CB1C30">
        <w:rPr>
          <w:rFonts w:eastAsia="Times"/>
          <w:spacing w:val="-2"/>
          <w:szCs w:val="20"/>
          <w:lang w:val="es-ES_tradnl"/>
        </w:rPr>
        <w:t>,</w:t>
      </w:r>
      <w:r w:rsidRPr="00C92188">
        <w:rPr>
          <w:rFonts w:eastAsia="Times"/>
          <w:spacing w:val="-2"/>
          <w:szCs w:val="20"/>
          <w:lang w:val="es-ES_tradnl"/>
        </w:rPr>
        <w:t xml:space="preserve"> </w:t>
      </w:r>
      <w:r w:rsidRPr="00C92188">
        <w:rPr>
          <w:spacing w:val="-2"/>
          <w:szCs w:val="20"/>
          <w:lang w:val="es-ES_tradnl"/>
        </w:rPr>
        <w:t xml:space="preserve">resulta admisible en lo que se refiere al plazo de su presentación. </w:t>
      </w:r>
      <w:r w:rsidRPr="00C92188">
        <w:t>En cuanto a los demás requisitos, la Corte Interamericana realizará el análisis respectivo al mérito de dicha solicitud en el siguiente capítulo.</w:t>
      </w:r>
    </w:p>
    <w:p w14:paraId="320A39A6" w14:textId="77777777" w:rsidR="00AE74FC" w:rsidRPr="00C92188" w:rsidRDefault="00AE74FC" w:rsidP="00BA587C">
      <w:pPr>
        <w:rPr>
          <w:spacing w:val="-2"/>
          <w:szCs w:val="20"/>
          <w:lang w:val="es-ES_tradnl"/>
        </w:rPr>
      </w:pPr>
    </w:p>
    <w:p w14:paraId="4D526866" w14:textId="77777777" w:rsidR="00AE74FC" w:rsidRPr="00C92188" w:rsidRDefault="00AE74FC" w:rsidP="00BA587C">
      <w:pPr>
        <w:pStyle w:val="NoSpacing"/>
        <w:jc w:val="center"/>
        <w:rPr>
          <w:rFonts w:ascii="Verdana" w:hAnsi="Verdana" w:cs="Verdana"/>
          <w:b/>
          <w:spacing w:val="-2"/>
          <w:sz w:val="20"/>
          <w:szCs w:val="20"/>
          <w:lang w:val="es-ES_tradnl"/>
        </w:rPr>
      </w:pPr>
      <w:r w:rsidRPr="00C92188">
        <w:rPr>
          <w:rFonts w:ascii="Verdana" w:hAnsi="Verdana" w:cs="Verdana"/>
          <w:b/>
          <w:spacing w:val="-2"/>
          <w:sz w:val="20"/>
          <w:szCs w:val="20"/>
          <w:lang w:val="es-ES_tradnl"/>
        </w:rPr>
        <w:t>IV</w:t>
      </w:r>
    </w:p>
    <w:p w14:paraId="6D7BFBC0" w14:textId="77777777" w:rsidR="00AE74FC" w:rsidRPr="00C92188" w:rsidRDefault="00AE74FC" w:rsidP="00BA587C">
      <w:pPr>
        <w:pStyle w:val="NoSpacing"/>
        <w:jc w:val="center"/>
        <w:rPr>
          <w:rFonts w:ascii="Verdana" w:hAnsi="Verdana" w:cs="Verdana"/>
          <w:b/>
          <w:spacing w:val="-2"/>
          <w:sz w:val="20"/>
          <w:szCs w:val="20"/>
          <w:lang w:val="es-ES_tradnl"/>
        </w:rPr>
      </w:pPr>
      <w:r w:rsidRPr="00C92188">
        <w:rPr>
          <w:rFonts w:ascii="Verdana" w:hAnsi="Verdana" w:cs="Verdana"/>
          <w:b/>
          <w:spacing w:val="-2"/>
          <w:sz w:val="20"/>
          <w:szCs w:val="20"/>
          <w:lang w:val="es-ES_tradnl"/>
        </w:rPr>
        <w:t>ANÁLISIS DE LA PROCEDENCIA DE LA SOLICITUD DE INTERPRETACIÓN</w:t>
      </w:r>
    </w:p>
    <w:p w14:paraId="4875E7C4" w14:textId="77777777" w:rsidR="00AE74FC" w:rsidRPr="00C92188" w:rsidRDefault="00AE74FC" w:rsidP="00BA587C">
      <w:pPr>
        <w:pStyle w:val="NoSpacing"/>
        <w:jc w:val="center"/>
        <w:rPr>
          <w:rFonts w:ascii="Verdana" w:hAnsi="Verdana" w:cs="Verdana"/>
          <w:b/>
          <w:spacing w:val="-2"/>
          <w:sz w:val="20"/>
          <w:szCs w:val="20"/>
          <w:lang w:val="es-ES_tradnl"/>
        </w:rPr>
      </w:pPr>
      <w:r w:rsidRPr="00C92188">
        <w:rPr>
          <w:rFonts w:ascii="Verdana" w:hAnsi="Verdana" w:cs="Verdana"/>
          <w:b/>
          <w:spacing w:val="-2"/>
          <w:sz w:val="20"/>
          <w:szCs w:val="20"/>
          <w:lang w:val="es-ES_tradnl"/>
        </w:rPr>
        <w:t xml:space="preserve"> </w:t>
      </w:r>
    </w:p>
    <w:p w14:paraId="6E491D25" w14:textId="77777777" w:rsidR="00AE74FC" w:rsidRPr="00C92188" w:rsidRDefault="00AE74FC" w:rsidP="00BA587C">
      <w:pPr>
        <w:numPr>
          <w:ilvl w:val="0"/>
          <w:numId w:val="1"/>
        </w:numPr>
        <w:tabs>
          <w:tab w:val="num" w:pos="720"/>
        </w:tabs>
        <w:ind w:left="0" w:firstLine="0"/>
        <w:rPr>
          <w:rFonts w:eastAsia="Times"/>
          <w:bCs/>
          <w:spacing w:val="-2"/>
          <w:szCs w:val="20"/>
          <w:lang w:val="es-ES_tradnl"/>
        </w:rPr>
      </w:pPr>
      <w:r w:rsidRPr="00C92188">
        <w:rPr>
          <w:rFonts w:eastAsia="Times"/>
          <w:spacing w:val="-2"/>
          <w:szCs w:val="20"/>
          <w:lang w:val="es-ES_tradnl"/>
        </w:rPr>
        <w:t xml:space="preserve">Este Tribunal analizará la solicitud de los representantes para determinar si, de acuerdo a la normativa y a los estándares desarrollados en su jurisprudencia, procede aclarar el sentido o alcance de algún punto de la Sentencia. </w:t>
      </w:r>
    </w:p>
    <w:p w14:paraId="05F01792" w14:textId="77777777" w:rsidR="00AE74FC" w:rsidRPr="00C92188" w:rsidRDefault="00AE74FC" w:rsidP="00BA587C">
      <w:pPr>
        <w:rPr>
          <w:rFonts w:eastAsia="Times"/>
          <w:bCs/>
          <w:spacing w:val="-2"/>
          <w:szCs w:val="20"/>
          <w:lang w:val="es-ES_tradnl"/>
        </w:rPr>
      </w:pPr>
    </w:p>
    <w:p w14:paraId="66C4EAB8" w14:textId="77777777" w:rsidR="00AE74FC" w:rsidRPr="00C92188" w:rsidRDefault="00AE74FC" w:rsidP="00BA587C">
      <w:pPr>
        <w:numPr>
          <w:ilvl w:val="0"/>
          <w:numId w:val="1"/>
        </w:numPr>
        <w:tabs>
          <w:tab w:val="num" w:pos="720"/>
        </w:tabs>
        <w:ind w:left="0" w:firstLine="0"/>
        <w:rPr>
          <w:lang w:val="es-CR"/>
        </w:rPr>
      </w:pPr>
      <w:bookmarkStart w:id="15" w:name="_Ref392082429"/>
      <w:r w:rsidRPr="00C92188">
        <w:rPr>
          <w:lang w:val="es-CR"/>
        </w:rPr>
        <w:t>La Corte ha señalado que una solicitud de interpretación de sentencia no puede utilizarse como medio de impugnación de la decisión cuya interpretación se requiere. Dicha solicitud tiene como objeto, exclusivamente, determinar el sentido de un fallo cuando alguna de las partes sostiene que el texto de sus puntos resolutivos o de sus consideraciones carece de claridad o precisión, siempre y cuando esas consideraciones incidan en dicha parte resolutiva. Por lo tanto, no se puede solicitar la modificación o anulación de la sentencia respectiva a través de una solicitud de interpretación</w:t>
      </w:r>
      <w:r w:rsidRPr="00C92188">
        <w:rPr>
          <w:rStyle w:val="FootnoteReference"/>
          <w:lang w:val="es-CR"/>
        </w:rPr>
        <w:footnoteReference w:id="5"/>
      </w:r>
      <w:r w:rsidRPr="00C92188">
        <w:rPr>
          <w:lang w:val="es-CR"/>
        </w:rPr>
        <w:t>.</w:t>
      </w:r>
      <w:bookmarkEnd w:id="15"/>
      <w:r w:rsidRPr="00C92188">
        <w:rPr>
          <w:lang w:val="es-CR"/>
        </w:rPr>
        <w:t xml:space="preserve"> </w:t>
      </w:r>
    </w:p>
    <w:p w14:paraId="2B6D74E7" w14:textId="77777777" w:rsidR="00AE74FC" w:rsidRPr="00C92188" w:rsidRDefault="00AE74FC" w:rsidP="00BA587C">
      <w:pPr>
        <w:rPr>
          <w:lang w:val="es-CR"/>
        </w:rPr>
      </w:pPr>
    </w:p>
    <w:p w14:paraId="212A9684" w14:textId="77777777" w:rsidR="00AE74FC" w:rsidRPr="00C92188" w:rsidRDefault="00AE74FC" w:rsidP="00BA587C">
      <w:pPr>
        <w:numPr>
          <w:ilvl w:val="0"/>
          <w:numId w:val="1"/>
        </w:numPr>
        <w:tabs>
          <w:tab w:val="num" w:pos="720"/>
        </w:tabs>
        <w:ind w:left="0" w:firstLine="0"/>
        <w:rPr>
          <w:lang w:val="es-CR"/>
        </w:rPr>
      </w:pPr>
      <w:r w:rsidRPr="00C92188">
        <w:rPr>
          <w:szCs w:val="20"/>
        </w:rPr>
        <w:t>Adicionalmente, la Corte ha sostenido la improcedencia de utilizar una solicitud de interpretación para someter consideraciones sobre cuestiones de hecho y de derecho que ya fueron planteadas en su oportunidad procesal y sobre las cuales la Corte ya adoptó una decisión</w:t>
      </w:r>
      <w:r w:rsidRPr="00C92188">
        <w:rPr>
          <w:rStyle w:val="FootnoteReference"/>
        </w:rPr>
        <w:footnoteReference w:id="6"/>
      </w:r>
      <w:r w:rsidRPr="00C92188">
        <w:rPr>
          <w:szCs w:val="20"/>
        </w:rPr>
        <w:t>, así como para pretender que la Corte valore nuevamente cuestiones que ya han sido resueltas en la Sentencia</w:t>
      </w:r>
      <w:r w:rsidRPr="00C92188">
        <w:rPr>
          <w:rStyle w:val="FootnoteReference"/>
        </w:rPr>
        <w:footnoteReference w:id="7"/>
      </w:r>
      <w:r w:rsidRPr="00C92188">
        <w:rPr>
          <w:szCs w:val="20"/>
        </w:rPr>
        <w:t>. De igual manera, por esta vía tampoco se puede intentar que se amplíe el alcance de una medida de reparación ordenada oportunamente</w:t>
      </w:r>
      <w:r w:rsidRPr="00C92188">
        <w:rPr>
          <w:rStyle w:val="FootnoteReference"/>
        </w:rPr>
        <w:footnoteReference w:id="8"/>
      </w:r>
      <w:r w:rsidRPr="00C92188">
        <w:rPr>
          <w:szCs w:val="20"/>
        </w:rPr>
        <w:t>.</w:t>
      </w:r>
    </w:p>
    <w:p w14:paraId="79DCFC33" w14:textId="77777777" w:rsidR="00AE74FC" w:rsidRPr="00C92188" w:rsidRDefault="00AE74FC" w:rsidP="00BA587C">
      <w:pPr>
        <w:rPr>
          <w:lang w:val="es-CR"/>
        </w:rPr>
      </w:pPr>
    </w:p>
    <w:p w14:paraId="2DC41DD9" w14:textId="32D10950" w:rsidR="00AE74FC" w:rsidRPr="00C92188" w:rsidRDefault="00AE74FC" w:rsidP="00BA587C">
      <w:pPr>
        <w:numPr>
          <w:ilvl w:val="0"/>
          <w:numId w:val="1"/>
        </w:numPr>
        <w:tabs>
          <w:tab w:val="num" w:pos="720"/>
        </w:tabs>
        <w:ind w:left="0" w:firstLine="0"/>
        <w:rPr>
          <w:lang w:val="es-CR"/>
        </w:rPr>
      </w:pPr>
      <w:r w:rsidRPr="00C92188">
        <w:lastRenderedPageBreak/>
        <w:t>A continuación, la Corte Interamericana examinará la cuestión planteada por los representantes</w:t>
      </w:r>
      <w:r w:rsidRPr="00C92188">
        <w:rPr>
          <w:lang w:val="es-CR"/>
        </w:rPr>
        <w:t xml:space="preserve">. Para ello, expondrá sus argumentos, así como los del Estado y la Comisión, y luego las consideraciones de este Tribunal. </w:t>
      </w:r>
    </w:p>
    <w:p w14:paraId="57B9E845" w14:textId="77777777" w:rsidR="00AE74FC" w:rsidRDefault="00AE74FC" w:rsidP="00BA587C">
      <w:pPr>
        <w:tabs>
          <w:tab w:val="num" w:pos="720"/>
        </w:tabs>
        <w:rPr>
          <w:b/>
          <w:i/>
          <w:lang w:val="es-CR"/>
        </w:rPr>
      </w:pPr>
    </w:p>
    <w:p w14:paraId="730B4D74" w14:textId="77777777" w:rsidR="00612732" w:rsidRPr="00C92188" w:rsidRDefault="00612732" w:rsidP="00BA587C">
      <w:pPr>
        <w:tabs>
          <w:tab w:val="num" w:pos="720"/>
        </w:tabs>
        <w:rPr>
          <w:b/>
          <w:i/>
          <w:lang w:val="es-CR"/>
        </w:rPr>
      </w:pPr>
    </w:p>
    <w:p w14:paraId="12108220" w14:textId="77777777" w:rsidR="00AE74FC" w:rsidRPr="00C92188" w:rsidRDefault="00AE74FC" w:rsidP="00BA587C">
      <w:pPr>
        <w:pStyle w:val="ListParagraph"/>
        <w:numPr>
          <w:ilvl w:val="0"/>
          <w:numId w:val="3"/>
        </w:numPr>
        <w:tabs>
          <w:tab w:val="num" w:pos="720"/>
        </w:tabs>
        <w:spacing w:after="0" w:line="240" w:lineRule="auto"/>
        <w:rPr>
          <w:b/>
          <w:i/>
          <w:lang w:val="es-CR"/>
        </w:rPr>
      </w:pPr>
      <w:r w:rsidRPr="00C92188">
        <w:rPr>
          <w:b/>
          <w:i/>
          <w:lang w:val="es-CR"/>
        </w:rPr>
        <w:t xml:space="preserve">Argumentos de las partes y la Comisión </w:t>
      </w:r>
    </w:p>
    <w:p w14:paraId="1E5CBE0C" w14:textId="77777777" w:rsidR="00AE74FC" w:rsidRPr="00C92188" w:rsidRDefault="00AE74FC" w:rsidP="00BA587C">
      <w:pPr>
        <w:pStyle w:val="ListParagraph"/>
        <w:tabs>
          <w:tab w:val="num" w:pos="720"/>
        </w:tabs>
        <w:spacing w:after="0" w:line="240" w:lineRule="auto"/>
        <w:rPr>
          <w:b/>
          <w:i/>
          <w:lang w:val="es-CR"/>
        </w:rPr>
      </w:pPr>
    </w:p>
    <w:p w14:paraId="66F3A394" w14:textId="548865A4" w:rsidR="00AE74FC" w:rsidRPr="00C92188" w:rsidRDefault="00AE74FC" w:rsidP="00BA587C">
      <w:pPr>
        <w:numPr>
          <w:ilvl w:val="0"/>
          <w:numId w:val="1"/>
        </w:numPr>
        <w:tabs>
          <w:tab w:val="num" w:pos="720"/>
        </w:tabs>
        <w:ind w:left="0" w:firstLine="0"/>
        <w:rPr>
          <w:lang w:val="es-CR"/>
        </w:rPr>
      </w:pPr>
      <w:r w:rsidRPr="00C92188">
        <w:rPr>
          <w:lang w:val="es-CR"/>
        </w:rPr>
        <w:t>Los</w:t>
      </w:r>
      <w:r w:rsidRPr="00C92188">
        <w:rPr>
          <w:b/>
          <w:i/>
          <w:lang w:val="es-CR"/>
        </w:rPr>
        <w:t xml:space="preserve"> representantes</w:t>
      </w:r>
      <w:r w:rsidRPr="00C92188">
        <w:rPr>
          <w:b/>
          <w:lang w:val="es-CR"/>
        </w:rPr>
        <w:t xml:space="preserve"> </w:t>
      </w:r>
      <w:r w:rsidRPr="00C92188">
        <w:rPr>
          <w:lang w:val="es-CR"/>
        </w:rPr>
        <w:t xml:space="preserve">solicitaron una aclaración sobre la medida de reparación, ordenada en el punto resolutivo 15 de la Sentencia, consistente </w:t>
      </w:r>
      <w:r w:rsidRPr="00C92188">
        <w:rPr>
          <w:rFonts w:cs="Verdana"/>
          <w:spacing w:val="-2"/>
          <w:lang w:val="es-ES_tradnl"/>
        </w:rPr>
        <w:t>la adopción de “</w:t>
      </w:r>
      <w:r w:rsidRPr="00C92188">
        <w:rPr>
          <w:rFonts w:cs="Tahoma"/>
        </w:rPr>
        <w:t xml:space="preserve">medidas legislativas y/o de otro carácter que fueren necesarias para </w:t>
      </w:r>
      <w:r w:rsidRPr="00C92188">
        <w:t>dotar de seguridad jurídica al derecho de propiedad comunitaria indígena, en los términos señalados en los párrafos 354 a 357 de la […] Sentencia”</w:t>
      </w:r>
      <w:r w:rsidRPr="00C92188">
        <w:rPr>
          <w:lang w:val="es-CR"/>
        </w:rPr>
        <w:t xml:space="preserve">. Al hacerlo, expresaron que su petición consiste en que la Corte “clarifique” si lo ordenado “debe incluir específicamente el derecho de consulta a pueblos indígenas”. Requirieron, al respecto, “[a] </w:t>
      </w:r>
      <w:r w:rsidR="00B97A71">
        <w:rPr>
          <w:lang w:val="es-CR"/>
        </w:rPr>
        <w:t>efectos</w:t>
      </w:r>
      <w:r w:rsidRPr="00C92188">
        <w:rPr>
          <w:lang w:val="es-CR"/>
        </w:rPr>
        <w:t xml:space="preserve"> de evitar diversas interpretaciones sobre las obligaciones del Estado”, que la Corte aclare los párrafos de la Sentencia a los qu</w:t>
      </w:r>
      <w:r w:rsidR="00D431DC">
        <w:rPr>
          <w:lang w:val="es-CR"/>
        </w:rPr>
        <w:t>e remite el punto resolutivo 15, así como su párrafo 353.</w:t>
      </w:r>
      <w:r w:rsidRPr="00C92188">
        <w:rPr>
          <w:lang w:val="es-CR"/>
        </w:rPr>
        <w:t xml:space="preserve"> </w:t>
      </w:r>
    </w:p>
    <w:p w14:paraId="2BD76113" w14:textId="77777777" w:rsidR="00AE74FC" w:rsidRPr="00C92188" w:rsidRDefault="00AE74FC" w:rsidP="00BA587C">
      <w:pPr>
        <w:rPr>
          <w:lang w:val="es-CR"/>
        </w:rPr>
      </w:pPr>
    </w:p>
    <w:p w14:paraId="00B3D67F" w14:textId="77777777" w:rsidR="00AE74FC" w:rsidRPr="00C92188" w:rsidRDefault="00AE74FC" w:rsidP="00BA587C">
      <w:pPr>
        <w:numPr>
          <w:ilvl w:val="0"/>
          <w:numId w:val="1"/>
        </w:numPr>
        <w:tabs>
          <w:tab w:val="num" w:pos="720"/>
        </w:tabs>
        <w:ind w:left="0" w:firstLine="0"/>
        <w:rPr>
          <w:lang w:val="es-CR"/>
        </w:rPr>
      </w:pPr>
      <w:r w:rsidRPr="00C92188">
        <w:rPr>
          <w:lang w:val="es-CR"/>
        </w:rPr>
        <w:t>Los representantes afirmaron que “[e]l derecho a la consulta de las comunidades indígenas, además de su valor en sí mismo, tiene una importancia medular para la protección del derecho de propiedad indígena, así como el de sus restantes derechos”. Advirtieron que la Corte determinó violaciones al derecho a la propiedad y a la consulta de las comunidades indígenas víctimas. Entendieron, entonces, que debe colegirse que las medidas legislativas y/o de otro carácter que este Tribunal ordenó para garantizar el derecho de propiedad, deben “contener un apartado específico sobre el derecho a la consulta”, pues el primer derecho no puede garantizarse sin el segundo. Indicaron que, no obstante lo anterior, “la [S]entencia nada ha dicho expresamente al respecto”, siendo ello el motivo de la interpretación que solicitan</w:t>
      </w:r>
      <w:r w:rsidRPr="00C92188">
        <w:rPr>
          <w:rStyle w:val="FootnoteReference"/>
          <w:lang w:val="es-CR"/>
        </w:rPr>
        <w:footnoteReference w:id="9"/>
      </w:r>
      <w:r w:rsidRPr="00C92188">
        <w:rPr>
          <w:lang w:val="es-CR"/>
        </w:rPr>
        <w:t>.</w:t>
      </w:r>
    </w:p>
    <w:p w14:paraId="0E386948" w14:textId="77777777" w:rsidR="00AE74FC" w:rsidRPr="00C92188" w:rsidRDefault="00AE74FC" w:rsidP="00BA587C">
      <w:pPr>
        <w:rPr>
          <w:lang w:val="es-CR"/>
        </w:rPr>
      </w:pPr>
    </w:p>
    <w:p w14:paraId="252BA9E7" w14:textId="77777777" w:rsidR="00AE74FC" w:rsidRPr="00C92188" w:rsidRDefault="00AE74FC" w:rsidP="00BA587C">
      <w:pPr>
        <w:numPr>
          <w:ilvl w:val="0"/>
          <w:numId w:val="1"/>
        </w:numPr>
        <w:tabs>
          <w:tab w:val="num" w:pos="720"/>
        </w:tabs>
        <w:ind w:left="0" w:firstLine="0"/>
        <w:rPr>
          <w:lang w:val="es-CR"/>
        </w:rPr>
      </w:pPr>
      <w:r w:rsidRPr="00C92188">
        <w:rPr>
          <w:lang w:val="es-CR"/>
        </w:rPr>
        <w:t xml:space="preserve">El </w:t>
      </w:r>
      <w:r w:rsidRPr="00C92188">
        <w:rPr>
          <w:b/>
          <w:i/>
          <w:lang w:val="es-CR"/>
        </w:rPr>
        <w:t>Estado</w:t>
      </w:r>
      <w:r w:rsidRPr="00C92188">
        <w:rPr>
          <w:lang w:val="es-CR"/>
        </w:rPr>
        <w:t xml:space="preserve"> afirmó que “no está en discusión que la República Argentina tiene la obligación de garantizar el derecho de consulta de las comunidades indígenas, a tenor de los compromisos aplicables del derecho internacional de los derechos humanos”. Señaló que, no obstante, la Corte “no ha incluido el deber del Estado argentino de legislar el derecho de consulta en términos generales, de modo que la pretensión de la representación de las víctimas excede el margen de interpretación de la [S]entencia”, ya que “persigue reeditar el debate a los fines de ampliar las reparaciones ya dispuestas”. </w:t>
      </w:r>
    </w:p>
    <w:p w14:paraId="1721D17C" w14:textId="77777777" w:rsidR="00AE74FC" w:rsidRPr="00C92188" w:rsidRDefault="00AE74FC" w:rsidP="00BA587C">
      <w:pPr>
        <w:rPr>
          <w:lang w:val="es-CR"/>
        </w:rPr>
      </w:pPr>
    </w:p>
    <w:p w14:paraId="4050FF87" w14:textId="2A3EFB4A" w:rsidR="000F14D5" w:rsidRDefault="00AE74FC" w:rsidP="00BA587C">
      <w:pPr>
        <w:numPr>
          <w:ilvl w:val="0"/>
          <w:numId w:val="1"/>
        </w:numPr>
        <w:tabs>
          <w:tab w:val="num" w:pos="720"/>
        </w:tabs>
        <w:ind w:left="0" w:firstLine="0"/>
        <w:rPr>
          <w:lang w:val="es-CR"/>
        </w:rPr>
      </w:pPr>
      <w:r w:rsidRPr="00C92188">
        <w:rPr>
          <w:lang w:val="es-CR"/>
        </w:rPr>
        <w:t>Argentina afirmó también que las sentencias deben ser entendidas de forma “armónica, integrando [sus] considerandos y fundamentos, […] siendo improcedente hacerlo de manera sesgada”. Consideró que la Corte</w:t>
      </w:r>
      <w:r w:rsidR="000F14D5">
        <w:rPr>
          <w:lang w:val="es-CR"/>
        </w:rPr>
        <w:t>,</w:t>
      </w:r>
      <w:r w:rsidRPr="00C92188">
        <w:rPr>
          <w:lang w:val="es-CR"/>
        </w:rPr>
        <w:t xml:space="preserve"> </w:t>
      </w:r>
    </w:p>
    <w:p w14:paraId="70BD7FAC" w14:textId="77777777" w:rsidR="000F14D5" w:rsidRDefault="000F14D5" w:rsidP="00BA587C">
      <w:pPr>
        <w:pStyle w:val="ListParagraph"/>
        <w:spacing w:after="0" w:line="240" w:lineRule="auto"/>
        <w:rPr>
          <w:lang w:val="es-CR"/>
        </w:rPr>
      </w:pPr>
    </w:p>
    <w:p w14:paraId="5B2020E0" w14:textId="6FC92139" w:rsidR="000F14D5" w:rsidRDefault="000F14D5" w:rsidP="00BA587C">
      <w:pPr>
        <w:ind w:left="284" w:right="333"/>
        <w:rPr>
          <w:sz w:val="16"/>
          <w:szCs w:val="16"/>
          <w:lang w:val="es-CR"/>
        </w:rPr>
      </w:pPr>
      <w:proofErr w:type="gramStart"/>
      <w:r>
        <w:rPr>
          <w:sz w:val="16"/>
          <w:szCs w:val="16"/>
          <w:lang w:val="es-CR"/>
        </w:rPr>
        <w:t>a</w:t>
      </w:r>
      <w:proofErr w:type="gramEnd"/>
      <w:r>
        <w:rPr>
          <w:sz w:val="16"/>
          <w:szCs w:val="16"/>
          <w:lang w:val="es-CR"/>
        </w:rPr>
        <w:t xml:space="preserve"> lo largo de su [S]entencia</w:t>
      </w:r>
      <w:r w:rsidR="00AE74FC" w:rsidRPr="000F14D5">
        <w:rPr>
          <w:sz w:val="16"/>
          <w:szCs w:val="16"/>
          <w:lang w:val="es-CR"/>
        </w:rPr>
        <w:t>[</w:t>
      </w:r>
      <w:r>
        <w:rPr>
          <w:sz w:val="16"/>
          <w:szCs w:val="16"/>
          <w:lang w:val="es-CR"/>
        </w:rPr>
        <w:t>,</w:t>
      </w:r>
      <w:r w:rsidR="00AE74FC" w:rsidRPr="000F14D5">
        <w:rPr>
          <w:sz w:val="16"/>
          <w:szCs w:val="16"/>
          <w:lang w:val="es-CR"/>
        </w:rPr>
        <w:t xml:space="preserve">] ha tomado una postura más que clara frente al derecho de consulta libre, previa e informada a las comunidades indígenas por proyectos a ejecutarse en sus territorios, […] como así también ha dejado sentada la necesidad de adecuar y dictar las reglamentaciones y </w:t>
      </w:r>
      <w:r w:rsidR="00AE74FC" w:rsidRPr="000F14D5">
        <w:rPr>
          <w:sz w:val="16"/>
          <w:szCs w:val="16"/>
          <w:lang w:val="es-CR"/>
        </w:rPr>
        <w:lastRenderedPageBreak/>
        <w:t>normas que dispongan un procedimiento adecuado a tal fin y de acuerdo a las circunstancias de cada caso</w:t>
      </w:r>
      <w:r w:rsidR="00AE74FC" w:rsidRPr="000F14D5">
        <w:rPr>
          <w:rStyle w:val="FootnoteReference"/>
          <w:sz w:val="16"/>
          <w:szCs w:val="16"/>
          <w:lang w:val="es-CR"/>
        </w:rPr>
        <w:footnoteReference w:id="10"/>
      </w:r>
      <w:r w:rsidR="00AE74FC" w:rsidRPr="000F14D5">
        <w:rPr>
          <w:sz w:val="16"/>
          <w:szCs w:val="16"/>
          <w:lang w:val="es-CR"/>
        </w:rPr>
        <w:t xml:space="preserve">. </w:t>
      </w:r>
    </w:p>
    <w:p w14:paraId="5EA43F2B" w14:textId="77777777" w:rsidR="000F14D5" w:rsidRPr="000F14D5" w:rsidRDefault="000F14D5" w:rsidP="00BA587C">
      <w:pPr>
        <w:ind w:left="284" w:right="333"/>
        <w:rPr>
          <w:sz w:val="16"/>
          <w:szCs w:val="16"/>
          <w:lang w:val="es-CR"/>
        </w:rPr>
      </w:pPr>
    </w:p>
    <w:p w14:paraId="076E339E" w14:textId="36611FF9" w:rsidR="00AE74FC" w:rsidRPr="00C92188" w:rsidRDefault="00AE74FC" w:rsidP="00BA587C">
      <w:pPr>
        <w:rPr>
          <w:lang w:val="es-CR"/>
        </w:rPr>
      </w:pPr>
      <w:r w:rsidRPr="00C92188">
        <w:rPr>
          <w:lang w:val="es-CR"/>
        </w:rPr>
        <w:t>Afirmó, entonces, que la decisión adoptada en el punto resolutivo 8</w:t>
      </w:r>
      <w:r w:rsidR="00881C03">
        <w:rPr>
          <w:rStyle w:val="FootnoteReference"/>
          <w:lang w:val="es-CR"/>
        </w:rPr>
        <w:footnoteReference w:id="11"/>
      </w:r>
      <w:r w:rsidRPr="00C92188">
        <w:rPr>
          <w:lang w:val="es-CR"/>
        </w:rPr>
        <w:t xml:space="preserve"> “se complementa con las motivaciones y consideraciones realizadas a lo largo de la Sentencia”. Por ello, entendió “improcedente” la solicitud de interpretación formulada por los representantes. </w:t>
      </w:r>
    </w:p>
    <w:p w14:paraId="29BEDAA7" w14:textId="77777777" w:rsidR="00AE74FC" w:rsidRPr="00C92188" w:rsidRDefault="00AE74FC" w:rsidP="00BA587C">
      <w:pPr>
        <w:ind w:left="284" w:right="332"/>
        <w:rPr>
          <w:sz w:val="16"/>
          <w:szCs w:val="16"/>
          <w:lang w:val="es-CR"/>
        </w:rPr>
      </w:pPr>
    </w:p>
    <w:p w14:paraId="19D6F4E0" w14:textId="7900C88F" w:rsidR="00AE74FC" w:rsidRPr="00542D42" w:rsidRDefault="00AE74FC" w:rsidP="00BA587C">
      <w:pPr>
        <w:numPr>
          <w:ilvl w:val="0"/>
          <w:numId w:val="1"/>
        </w:numPr>
        <w:tabs>
          <w:tab w:val="num" w:pos="720"/>
        </w:tabs>
        <w:ind w:left="0" w:firstLine="0"/>
        <w:rPr>
          <w:lang w:val="es-CR"/>
        </w:rPr>
      </w:pPr>
      <w:r w:rsidRPr="00542D42">
        <w:rPr>
          <w:lang w:val="es-CR"/>
        </w:rPr>
        <w:t xml:space="preserve">La </w:t>
      </w:r>
      <w:r w:rsidRPr="00542D42">
        <w:rPr>
          <w:b/>
          <w:i/>
          <w:lang w:val="es-CR"/>
        </w:rPr>
        <w:t>Comisión</w:t>
      </w:r>
      <w:r w:rsidRPr="00542D42">
        <w:rPr>
          <w:lang w:val="es-CR"/>
        </w:rPr>
        <w:t xml:space="preserve"> entendió que la solicitud de los representantes busca determinar el “sentido o alcance” del punto resolutivo 15 de la Sentencia, por lo cual “se enmarca en los parámetros” establecidos por el artículo 68 del Reglamento de la Corte. Advirtió que la </w:t>
      </w:r>
      <w:r w:rsidR="00EC43E9" w:rsidRPr="00542D42">
        <w:rPr>
          <w:lang w:val="es-CR"/>
        </w:rPr>
        <w:t>Corte concluyó, en el párrafo 1</w:t>
      </w:r>
      <w:r w:rsidRPr="00542D42">
        <w:rPr>
          <w:lang w:val="es-CR"/>
        </w:rPr>
        <w:t>8</w:t>
      </w:r>
      <w:r w:rsidR="00EC43E9" w:rsidRPr="00542D42">
        <w:rPr>
          <w:lang w:val="es-CR"/>
        </w:rPr>
        <w:t>4</w:t>
      </w:r>
      <w:r w:rsidRPr="00542D42">
        <w:rPr>
          <w:lang w:val="es-CR"/>
        </w:rPr>
        <w:t xml:space="preserve"> de la Sentencia, que Argentina había incumplido la obligación de procurar mecanismos de consulta adecuados, y que el Tribunal ordenó al Estado, en el párrafo 328 de la Sentencia, abstenerse de realizar determinadas acciones, sobre el territorio de las comunidades indígenas víctimas, sin procesos previos de consulta adecuados. </w:t>
      </w:r>
      <w:r w:rsidR="00542D42" w:rsidRPr="00542D42">
        <w:rPr>
          <w:lang w:val="es-CR"/>
        </w:rPr>
        <w:t>Notó también que “la Corte determino</w:t>
      </w:r>
      <w:proofErr w:type="gramStart"/>
      <w:r w:rsidR="00542D42" w:rsidRPr="00542D42">
        <w:rPr>
          <w:lang w:val="es-CR"/>
        </w:rPr>
        <w:t>́[</w:t>
      </w:r>
      <w:proofErr w:type="gramEnd"/>
      <w:r w:rsidR="00542D42" w:rsidRPr="00542D42">
        <w:rPr>
          <w:lang w:val="es-CR"/>
        </w:rPr>
        <w:t>,] en el párrafo</w:t>
      </w:r>
      <w:r w:rsidR="00542D42">
        <w:rPr>
          <w:lang w:val="es-CR"/>
        </w:rPr>
        <w:t xml:space="preserve"> </w:t>
      </w:r>
      <w:r w:rsidR="00542D42" w:rsidRPr="00542D42">
        <w:rPr>
          <w:lang w:val="es-CR"/>
        </w:rPr>
        <w:t>353 de la [S[entencia, que las regulaciones normativas existentes en Argentina no son suficientes para dotar de</w:t>
      </w:r>
      <w:r w:rsidR="00542D42">
        <w:rPr>
          <w:lang w:val="es-CR"/>
        </w:rPr>
        <w:t xml:space="preserve"> </w:t>
      </w:r>
      <w:r w:rsidR="00542D42" w:rsidRPr="00542D42">
        <w:rPr>
          <w:lang w:val="es-CR"/>
        </w:rPr>
        <w:t>seguridad jurídica al derecho de propiedad comunitaria indígena</w:t>
      </w:r>
      <w:r w:rsidR="00542D42">
        <w:rPr>
          <w:lang w:val="es-CR"/>
        </w:rPr>
        <w:t xml:space="preserve">”. </w:t>
      </w:r>
      <w:r w:rsidRPr="00542D42">
        <w:rPr>
          <w:lang w:val="es-CR"/>
        </w:rPr>
        <w:t>Señaló que, no obstante, esas determinaciones “no tienen un correlato específico” en el punto resolutivo 15, que ordena la adopción de medidas legislativas y/o de otro carácter. Por ello, “</w:t>
      </w:r>
      <w:proofErr w:type="gramStart"/>
      <w:r w:rsidRPr="00542D42">
        <w:rPr>
          <w:rFonts w:eastAsia="Calibri" w:cs="Cambria"/>
          <w:szCs w:val="20"/>
          <w:lang w:val="es-CR"/>
        </w:rPr>
        <w:t>coincid[</w:t>
      </w:r>
      <w:proofErr w:type="gramEnd"/>
      <w:r w:rsidRPr="00542D42">
        <w:rPr>
          <w:rFonts w:eastAsia="Calibri" w:cs="Cambria"/>
          <w:szCs w:val="20"/>
          <w:lang w:val="es-CR"/>
        </w:rPr>
        <w:t>ió con los representantes en] la pertinencia de clarificar los alcances de la reparación ordenada a efectos de tener mayor seguridad y facilitar su cumplimiento”.</w:t>
      </w:r>
    </w:p>
    <w:p w14:paraId="667CFA0B" w14:textId="77777777" w:rsidR="00AE74FC" w:rsidRPr="00C92188" w:rsidRDefault="00AE74FC" w:rsidP="00BA587C">
      <w:pPr>
        <w:pStyle w:val="ListParagraph"/>
        <w:spacing w:after="0" w:line="240" w:lineRule="auto"/>
        <w:ind w:left="0"/>
        <w:rPr>
          <w:lang w:val="es-CR"/>
        </w:rPr>
      </w:pPr>
    </w:p>
    <w:p w14:paraId="6391772F" w14:textId="77777777" w:rsidR="00AE74FC" w:rsidRPr="00C92188" w:rsidRDefault="00AE74FC" w:rsidP="00BA587C">
      <w:pPr>
        <w:pStyle w:val="ListParagraph"/>
        <w:tabs>
          <w:tab w:val="num" w:pos="720"/>
        </w:tabs>
        <w:spacing w:after="0" w:line="240" w:lineRule="auto"/>
        <w:ind w:left="709" w:hanging="283"/>
        <w:rPr>
          <w:b/>
          <w:i/>
          <w:lang w:val="es-CR"/>
        </w:rPr>
      </w:pPr>
      <w:r w:rsidRPr="00C92188">
        <w:rPr>
          <w:b/>
          <w:i/>
          <w:lang w:val="es-CR"/>
        </w:rPr>
        <w:t>B. Consideraciones de la Corte</w:t>
      </w:r>
    </w:p>
    <w:p w14:paraId="404BFCEA" w14:textId="77777777" w:rsidR="00764AC9" w:rsidRPr="00C92188" w:rsidRDefault="00764AC9" w:rsidP="00BA587C">
      <w:pPr>
        <w:pStyle w:val="ListParagraph"/>
        <w:tabs>
          <w:tab w:val="num" w:pos="720"/>
        </w:tabs>
        <w:spacing w:after="0" w:line="240" w:lineRule="auto"/>
        <w:ind w:left="0"/>
        <w:rPr>
          <w:b/>
          <w:i/>
          <w:lang w:val="es-CR"/>
        </w:rPr>
      </w:pPr>
    </w:p>
    <w:p w14:paraId="3E3271C1" w14:textId="77777777" w:rsidR="00AE74FC" w:rsidRPr="00C92188" w:rsidRDefault="00AE74FC" w:rsidP="00BA587C">
      <w:pPr>
        <w:numPr>
          <w:ilvl w:val="0"/>
          <w:numId w:val="1"/>
        </w:numPr>
        <w:tabs>
          <w:tab w:val="num" w:pos="720"/>
        </w:tabs>
        <w:ind w:left="0" w:firstLine="0"/>
        <w:rPr>
          <w:lang w:val="es-CR"/>
        </w:rPr>
      </w:pPr>
      <w:r w:rsidRPr="00C92188">
        <w:rPr>
          <w:szCs w:val="20"/>
          <w:lang w:val="es-CR"/>
        </w:rPr>
        <w:t xml:space="preserve">Los representantes solicitaron que se precise si, de acuerdo a lo ordenado en el punto resolutivo 15 de la Sentencia, el derecho a la consulta previa se encuentra dentro de los aspectos que deben contemplar las medidas legislativas y/o de otro carácter que debe adoptar el Estado para dotar de seguridad jurídica el derecho de propiedad comunitaria indígena, de acuerdo a lo ordenado. En particular, el requerimiento de los representantes se refiere a si las medidas indicadas </w:t>
      </w:r>
      <w:r w:rsidRPr="00C92188">
        <w:rPr>
          <w:lang w:val="es-CR"/>
        </w:rPr>
        <w:t>deben “contener un apartado específico sobre el derecho a la consulta” (</w:t>
      </w:r>
      <w:r w:rsidRPr="00C92188">
        <w:rPr>
          <w:i/>
          <w:lang w:val="es-CR"/>
        </w:rPr>
        <w:t xml:space="preserve">supra </w:t>
      </w:r>
      <w:r w:rsidRPr="00C92188">
        <w:rPr>
          <w:lang w:val="es-CR"/>
        </w:rPr>
        <w:t>párr. 13)</w:t>
      </w:r>
      <w:r w:rsidR="001239D6" w:rsidRPr="00C92188">
        <w:rPr>
          <w:lang w:val="es-CR"/>
        </w:rPr>
        <w:t>.</w:t>
      </w:r>
    </w:p>
    <w:p w14:paraId="3042BD4D" w14:textId="77777777" w:rsidR="00564C8E" w:rsidRPr="00C92188" w:rsidRDefault="00564C8E" w:rsidP="00BA587C">
      <w:pPr>
        <w:rPr>
          <w:lang w:val="es-CR"/>
        </w:rPr>
      </w:pPr>
    </w:p>
    <w:p w14:paraId="123F6FC5" w14:textId="77EDFD89" w:rsidR="00D60D10" w:rsidRPr="00C92188" w:rsidRDefault="00564C8E" w:rsidP="00BA587C">
      <w:pPr>
        <w:numPr>
          <w:ilvl w:val="0"/>
          <w:numId w:val="1"/>
        </w:numPr>
        <w:tabs>
          <w:tab w:val="num" w:pos="720"/>
        </w:tabs>
        <w:ind w:left="0" w:firstLine="0"/>
        <w:rPr>
          <w:szCs w:val="20"/>
          <w:lang w:val="es-CR"/>
        </w:rPr>
      </w:pPr>
      <w:r w:rsidRPr="00C92188">
        <w:rPr>
          <w:lang w:val="es-CR"/>
        </w:rPr>
        <w:t>Este Tribunal entiende procedente la solicitud de interpretación y p</w:t>
      </w:r>
      <w:r w:rsidR="00D83E2C" w:rsidRPr="00C92188">
        <w:rPr>
          <w:lang w:val="es-CR"/>
        </w:rPr>
        <w:t>asa</w:t>
      </w:r>
      <w:r w:rsidRPr="00C92188">
        <w:rPr>
          <w:lang w:val="es-CR"/>
        </w:rPr>
        <w:t xml:space="preserve"> a dar respuesta a la misma</w:t>
      </w:r>
      <w:r w:rsidR="005862D8" w:rsidRPr="00C92188">
        <w:rPr>
          <w:rStyle w:val="FootnoteReference"/>
        </w:rPr>
        <w:footnoteReference w:id="12"/>
      </w:r>
      <w:r w:rsidRPr="00C92188">
        <w:rPr>
          <w:lang w:val="es-CR"/>
        </w:rPr>
        <w:t xml:space="preserve">. </w:t>
      </w:r>
      <w:r w:rsidR="009B294F" w:rsidRPr="00C92188">
        <w:rPr>
          <w:lang w:val="es-CR"/>
        </w:rPr>
        <w:t xml:space="preserve">A tal efecto, </w:t>
      </w:r>
      <w:r w:rsidR="00796AF0" w:rsidRPr="00C92188">
        <w:rPr>
          <w:lang w:val="es-CR"/>
        </w:rPr>
        <w:t xml:space="preserve">recuerda que en su Sentencia determinó la violación al derecho de propiedad comunitaria indígena en dos aspectos: </w:t>
      </w:r>
      <w:r w:rsidR="00796AF0" w:rsidRPr="00C92188">
        <w:rPr>
          <w:szCs w:val="20"/>
          <w:lang w:val="es-CR"/>
        </w:rPr>
        <w:t xml:space="preserve">a) el primero, como surge de sus párrafos 167 y 168, por la falta de titulación adecuada, por la falta </w:t>
      </w:r>
      <w:r w:rsidR="00796AF0" w:rsidRPr="00C92188">
        <w:rPr>
          <w:szCs w:val="20"/>
          <w:lang w:val="es-CR"/>
        </w:rPr>
        <w:lastRenderedPageBreak/>
        <w:t>de demarcación de la propiedad</w:t>
      </w:r>
      <w:r w:rsidR="009B626A" w:rsidRPr="00C92188">
        <w:rPr>
          <w:szCs w:val="20"/>
          <w:lang w:val="es-CR"/>
        </w:rPr>
        <w:t xml:space="preserve">, </w:t>
      </w:r>
      <w:r w:rsidR="00796AF0" w:rsidRPr="00C92188">
        <w:rPr>
          <w:szCs w:val="20"/>
          <w:lang w:val="es-CR"/>
        </w:rPr>
        <w:t>por la permanencia de terceros en la misma</w:t>
      </w:r>
      <w:r w:rsidR="009B626A" w:rsidRPr="00C92188">
        <w:rPr>
          <w:szCs w:val="20"/>
          <w:lang w:val="es-CR"/>
        </w:rPr>
        <w:t xml:space="preserve"> y por la </w:t>
      </w:r>
      <w:r w:rsidR="001239D6" w:rsidRPr="00C92188">
        <w:rPr>
          <w:szCs w:val="20"/>
          <w:lang w:val="es-CR"/>
        </w:rPr>
        <w:t>a</w:t>
      </w:r>
      <w:r w:rsidR="009B626A" w:rsidRPr="00C92188">
        <w:rPr>
          <w:szCs w:val="20"/>
          <w:lang w:val="es-CR"/>
        </w:rPr>
        <w:t>u</w:t>
      </w:r>
      <w:r w:rsidR="001239D6" w:rsidRPr="00C92188">
        <w:rPr>
          <w:szCs w:val="20"/>
          <w:lang w:val="es-CR"/>
        </w:rPr>
        <w:t xml:space="preserve">sencia de una normativa </w:t>
      </w:r>
      <w:r w:rsidR="009B626A" w:rsidRPr="00C92188">
        <w:rPr>
          <w:szCs w:val="20"/>
          <w:lang w:val="es-CR"/>
        </w:rPr>
        <w:t xml:space="preserve">adecuada para garantizar de forma </w:t>
      </w:r>
      <w:r w:rsidR="001239D6" w:rsidRPr="00C92188">
        <w:rPr>
          <w:szCs w:val="20"/>
          <w:lang w:val="es-CR"/>
        </w:rPr>
        <w:t xml:space="preserve">suficiente </w:t>
      </w:r>
      <w:r w:rsidR="009B626A" w:rsidRPr="00C92188">
        <w:rPr>
          <w:szCs w:val="20"/>
          <w:lang w:val="es-CR"/>
        </w:rPr>
        <w:t>el derecho a la propiedad comunitaria</w:t>
      </w:r>
      <w:r w:rsidR="00796AF0" w:rsidRPr="00C92188">
        <w:rPr>
          <w:szCs w:val="20"/>
          <w:lang w:val="es-CR"/>
        </w:rPr>
        <w:t>; b) el s</w:t>
      </w:r>
      <w:r w:rsidR="00542D42">
        <w:rPr>
          <w:szCs w:val="20"/>
          <w:lang w:val="es-CR"/>
        </w:rPr>
        <w:t>egundo, como está asentado en su</w:t>
      </w:r>
      <w:r w:rsidR="00796AF0" w:rsidRPr="00C92188">
        <w:rPr>
          <w:szCs w:val="20"/>
          <w:lang w:val="es-CR"/>
        </w:rPr>
        <w:t xml:space="preserve"> párrafo 184, por el incumplimiento de Argentina en “</w:t>
      </w:r>
      <w:r w:rsidR="00796AF0" w:rsidRPr="00C92188">
        <w:rPr>
          <w:szCs w:val="20"/>
        </w:rPr>
        <w:t>su obligación de procurar mecanismos adecuados de consulta libre, previa e informada a las comunidades indígenas afectadas”, en relación con la construcción de un puente internacional.</w:t>
      </w:r>
      <w:r w:rsidR="00FA43E4" w:rsidRPr="00C92188">
        <w:rPr>
          <w:szCs w:val="20"/>
        </w:rPr>
        <w:t xml:space="preserve"> Luego, entre las distintas medidas de reparación que ordenó, estableció, en</w:t>
      </w:r>
      <w:r w:rsidR="00D60D10" w:rsidRPr="00C92188">
        <w:rPr>
          <w:szCs w:val="20"/>
        </w:rPr>
        <w:t xml:space="preserve"> el</w:t>
      </w:r>
      <w:r w:rsidR="00FA43E4" w:rsidRPr="00C92188">
        <w:rPr>
          <w:szCs w:val="20"/>
        </w:rPr>
        <w:t xml:space="preserve"> punto resolutivo 15, el deber del Estado de adoptar “</w:t>
      </w:r>
      <w:r w:rsidR="00FA43E4" w:rsidRPr="00C92188">
        <w:rPr>
          <w:rFonts w:cs="Tahoma"/>
        </w:rPr>
        <w:t xml:space="preserve">las medidas legislativas y/o de otro carácter que fueren necesarias para </w:t>
      </w:r>
      <w:r w:rsidR="00FA43E4" w:rsidRPr="00C92188">
        <w:t>dotar de seguridad jurídica al derecho de propiedad comunitaria indígena,</w:t>
      </w:r>
      <w:r w:rsidR="00FA43E4" w:rsidRPr="00C92188">
        <w:rPr>
          <w:rFonts w:cs="Tahoma"/>
        </w:rPr>
        <w:t xml:space="preserve"> en los términos señalados en los párrafos 354 a 357 de la […] Sentencia”. </w:t>
      </w:r>
    </w:p>
    <w:p w14:paraId="4416F570" w14:textId="77777777" w:rsidR="00FA43E4" w:rsidRPr="00C92188" w:rsidRDefault="00FA43E4" w:rsidP="00BA587C">
      <w:pPr>
        <w:pStyle w:val="ListParagraph"/>
        <w:spacing w:after="0" w:line="240" w:lineRule="auto"/>
        <w:rPr>
          <w:strike/>
          <w:lang w:val="es-CR"/>
        </w:rPr>
      </w:pPr>
    </w:p>
    <w:p w14:paraId="3FD290A5" w14:textId="50C82F6D" w:rsidR="00AE74FC" w:rsidRPr="00C92188" w:rsidRDefault="008A2407" w:rsidP="00BA587C">
      <w:pPr>
        <w:numPr>
          <w:ilvl w:val="0"/>
          <w:numId w:val="1"/>
        </w:numPr>
        <w:tabs>
          <w:tab w:val="num" w:pos="720"/>
        </w:tabs>
        <w:ind w:left="0" w:firstLine="0"/>
        <w:rPr>
          <w:lang w:val="es-CR"/>
        </w:rPr>
      </w:pPr>
      <w:r>
        <w:rPr>
          <w:lang w:val="es-CR"/>
        </w:rPr>
        <w:t>La Corte</w:t>
      </w:r>
      <w:r w:rsidR="00B4362E" w:rsidRPr="00C92188">
        <w:rPr>
          <w:lang w:val="es-CR"/>
        </w:rPr>
        <w:t xml:space="preserve">, </w:t>
      </w:r>
      <w:r w:rsidR="009B294F" w:rsidRPr="00C92188">
        <w:rPr>
          <w:lang w:val="es-CR"/>
        </w:rPr>
        <w:t>en primer lugar, da</w:t>
      </w:r>
      <w:r w:rsidR="00B4362E" w:rsidRPr="00C92188">
        <w:rPr>
          <w:lang w:val="es-CR"/>
        </w:rPr>
        <w:t>rá</w:t>
      </w:r>
      <w:r w:rsidR="009B294F" w:rsidRPr="00C92188">
        <w:rPr>
          <w:lang w:val="es-CR"/>
        </w:rPr>
        <w:t xml:space="preserve"> cuenta de la orden dada de adoptar medidas legislativas y/o de otro carácter</w:t>
      </w:r>
      <w:r w:rsidR="00D60D10" w:rsidRPr="00C92188">
        <w:rPr>
          <w:lang w:val="es-CR"/>
        </w:rPr>
        <w:t>, sus motivos y alcances</w:t>
      </w:r>
      <w:r w:rsidR="00B4362E" w:rsidRPr="00C92188">
        <w:rPr>
          <w:lang w:val="es-CR"/>
        </w:rPr>
        <w:t>. Luego,</w:t>
      </w:r>
      <w:r w:rsidR="00D60D10" w:rsidRPr="00C92188">
        <w:rPr>
          <w:lang w:val="es-CR"/>
        </w:rPr>
        <w:t xml:space="preserve"> en</w:t>
      </w:r>
      <w:r w:rsidR="009B626A" w:rsidRPr="00C92188">
        <w:rPr>
          <w:lang w:val="es-CR"/>
        </w:rPr>
        <w:t xml:space="preserve"> segundo</w:t>
      </w:r>
      <w:r w:rsidR="00B4362E" w:rsidRPr="00C92188">
        <w:rPr>
          <w:lang w:val="es-CR"/>
        </w:rPr>
        <w:t xml:space="preserve"> término</w:t>
      </w:r>
      <w:r w:rsidR="00D60D10" w:rsidRPr="00C92188">
        <w:rPr>
          <w:lang w:val="es-CR"/>
        </w:rPr>
        <w:t>, expresa</w:t>
      </w:r>
      <w:r w:rsidR="00B4362E" w:rsidRPr="00C92188">
        <w:rPr>
          <w:lang w:val="es-CR"/>
        </w:rPr>
        <w:t>rá su</w:t>
      </w:r>
      <w:r w:rsidR="00D60D10" w:rsidRPr="00C92188">
        <w:rPr>
          <w:lang w:val="es-CR"/>
        </w:rPr>
        <w:t xml:space="preserve"> conclusión y la aclaración solicitada. </w:t>
      </w:r>
    </w:p>
    <w:p w14:paraId="5509C132" w14:textId="77777777" w:rsidR="00BA587C" w:rsidRPr="00C92188" w:rsidRDefault="00BA587C" w:rsidP="00BA587C">
      <w:pPr>
        <w:pStyle w:val="ListParagraph"/>
        <w:spacing w:after="0" w:line="240" w:lineRule="auto"/>
        <w:rPr>
          <w:lang w:val="es-CR"/>
        </w:rPr>
      </w:pPr>
    </w:p>
    <w:p w14:paraId="229663EC" w14:textId="518C6493" w:rsidR="00327D59" w:rsidRPr="00C92188" w:rsidRDefault="00FF1448" w:rsidP="00BA587C">
      <w:pPr>
        <w:pStyle w:val="ListParagraph"/>
        <w:spacing w:after="0" w:line="240" w:lineRule="auto"/>
        <w:ind w:left="1080"/>
        <w:outlineLvl w:val="2"/>
        <w:rPr>
          <w:i/>
          <w:lang w:val="es-CR"/>
        </w:rPr>
      </w:pPr>
      <w:r w:rsidRPr="00C92188">
        <w:rPr>
          <w:i/>
          <w:lang w:val="es-CR"/>
        </w:rPr>
        <w:t>B.</w:t>
      </w:r>
      <w:r w:rsidR="00F83651" w:rsidRPr="00C92188">
        <w:rPr>
          <w:i/>
          <w:lang w:val="es-CR"/>
        </w:rPr>
        <w:t>1</w:t>
      </w:r>
      <w:r w:rsidRPr="00C92188">
        <w:rPr>
          <w:i/>
          <w:lang w:val="es-CR"/>
        </w:rPr>
        <w:t xml:space="preserve"> </w:t>
      </w:r>
      <w:r w:rsidRPr="00C92188">
        <w:rPr>
          <w:i/>
          <w:u w:val="single"/>
          <w:lang w:val="es-CR"/>
        </w:rPr>
        <w:t>La orden de adoptar medidas legislativas y/o de otro carácter</w:t>
      </w:r>
    </w:p>
    <w:p w14:paraId="7507CE2E" w14:textId="77777777" w:rsidR="00327D59" w:rsidRPr="00C92188" w:rsidRDefault="00327D59" w:rsidP="00BA587C">
      <w:pPr>
        <w:pStyle w:val="ListParagraph"/>
        <w:spacing w:after="0" w:line="240" w:lineRule="auto"/>
        <w:rPr>
          <w:lang w:val="es-CR"/>
        </w:rPr>
      </w:pPr>
    </w:p>
    <w:p w14:paraId="477DA45C" w14:textId="719D7F81" w:rsidR="005862D8" w:rsidRPr="00C92188" w:rsidRDefault="00B4362E" w:rsidP="00BA587C">
      <w:pPr>
        <w:numPr>
          <w:ilvl w:val="0"/>
          <w:numId w:val="1"/>
        </w:numPr>
        <w:tabs>
          <w:tab w:val="num" w:pos="720"/>
        </w:tabs>
        <w:ind w:left="0" w:firstLine="0"/>
        <w:rPr>
          <w:szCs w:val="20"/>
          <w:lang w:val="es-CR"/>
        </w:rPr>
      </w:pPr>
      <w:r w:rsidRPr="00C92188">
        <w:rPr>
          <w:szCs w:val="20"/>
          <w:lang w:val="es-CR"/>
        </w:rPr>
        <w:t>L</w:t>
      </w:r>
      <w:r w:rsidR="00327D59" w:rsidRPr="00C92188">
        <w:rPr>
          <w:szCs w:val="20"/>
          <w:lang w:val="es-CR"/>
        </w:rPr>
        <w:t>a Corte advirtió, en el párrafo 166 de la Sentencia, que</w:t>
      </w:r>
      <w:r w:rsidR="002F79E5">
        <w:rPr>
          <w:szCs w:val="20"/>
          <w:lang w:val="es-CR"/>
        </w:rPr>
        <w:t>,</w:t>
      </w:r>
      <w:r w:rsidR="00327D59" w:rsidRPr="00C92188">
        <w:rPr>
          <w:szCs w:val="20"/>
          <w:lang w:val="es-CR"/>
        </w:rPr>
        <w:t xml:space="preserve"> por “problemas normativos</w:t>
      </w:r>
      <w:r w:rsidR="002F79E5">
        <w:rPr>
          <w:szCs w:val="20"/>
          <w:lang w:val="es-CR"/>
        </w:rPr>
        <w:t xml:space="preserve"> […]</w:t>
      </w:r>
      <w:r w:rsidR="00327D59" w:rsidRPr="00C92188">
        <w:rPr>
          <w:szCs w:val="20"/>
          <w:lang w:val="es-CR"/>
        </w:rPr>
        <w:t xml:space="preserve">, </w:t>
      </w:r>
      <w:r w:rsidR="00327D59" w:rsidRPr="00C92188">
        <w:rPr>
          <w:szCs w:val="20"/>
        </w:rPr>
        <w:t xml:space="preserve">las comunidades indígenas implicadas en el caso no </w:t>
      </w:r>
      <w:proofErr w:type="gramStart"/>
      <w:r w:rsidR="00327D59" w:rsidRPr="00C92188">
        <w:rPr>
          <w:szCs w:val="20"/>
        </w:rPr>
        <w:t>ha[</w:t>
      </w:r>
      <w:proofErr w:type="gramEnd"/>
      <w:r w:rsidR="00327D59" w:rsidRPr="00C92188">
        <w:rPr>
          <w:szCs w:val="20"/>
        </w:rPr>
        <w:t>bían] contado con una tutela efectiva de su derecho de propiedad”. Tales problemas normativos consisten, como expresan los párrafos 164 y 162 de la Sentencia, respectivamente, en “</w:t>
      </w:r>
      <w:r w:rsidR="002F79E5">
        <w:rPr>
          <w:szCs w:val="20"/>
        </w:rPr>
        <w:t>[</w:t>
      </w:r>
      <w:r w:rsidR="00327D59" w:rsidRPr="00C92188">
        <w:rPr>
          <w:szCs w:val="20"/>
        </w:rPr>
        <w:t>l</w:t>
      </w:r>
      <w:r w:rsidR="002F79E5">
        <w:rPr>
          <w:szCs w:val="20"/>
        </w:rPr>
        <w:t>]</w:t>
      </w:r>
      <w:r w:rsidR="00327D59" w:rsidRPr="00C92188">
        <w:rPr>
          <w:szCs w:val="20"/>
        </w:rPr>
        <w:t>a falta de aptitud del régimen normativo [</w:t>
      </w:r>
      <w:r w:rsidR="005862D8" w:rsidRPr="00C92188">
        <w:rPr>
          <w:szCs w:val="20"/>
        </w:rPr>
        <w:t xml:space="preserve">estatal] </w:t>
      </w:r>
      <w:r w:rsidR="00327D59" w:rsidRPr="00C92188">
        <w:rPr>
          <w:szCs w:val="20"/>
        </w:rPr>
        <w:t xml:space="preserve">para tratar en forma adecuada y suficiente la cuestión de la propiedad </w:t>
      </w:r>
      <w:proofErr w:type="gramStart"/>
      <w:r w:rsidR="00327D59" w:rsidRPr="00C92188">
        <w:rPr>
          <w:szCs w:val="20"/>
        </w:rPr>
        <w:t>indígena[</w:t>
      </w:r>
      <w:proofErr w:type="gramEnd"/>
      <w:r w:rsidR="00327D59" w:rsidRPr="00C92188">
        <w:rPr>
          <w:szCs w:val="20"/>
        </w:rPr>
        <w:t>, que] se infiere de la propia normativa nacional posterior a la reforma constitucional de 1994”, en particular</w:t>
      </w:r>
      <w:r w:rsidR="002F79E5">
        <w:rPr>
          <w:szCs w:val="20"/>
        </w:rPr>
        <w:t>,</w:t>
      </w:r>
      <w:r w:rsidR="00327D59" w:rsidRPr="00C92188">
        <w:rPr>
          <w:szCs w:val="20"/>
        </w:rPr>
        <w:t xml:space="preserve"> respecto de “procedimientos de reclamación de la propiedad indígena”. Por ello, la Corte determinó, en el párrafo 168 de la Sentencia, una vulneración al derecho a la propiedad</w:t>
      </w:r>
      <w:r w:rsidR="003D1FE2" w:rsidRPr="00C92188">
        <w:rPr>
          <w:szCs w:val="20"/>
        </w:rPr>
        <w:t xml:space="preserve"> comunitaria indígena</w:t>
      </w:r>
      <w:r w:rsidR="004019CC">
        <w:rPr>
          <w:szCs w:val="20"/>
        </w:rPr>
        <w:t>, en relación no só</w:t>
      </w:r>
      <w:r w:rsidR="003D1FE2" w:rsidRPr="00C92188">
        <w:rPr>
          <w:szCs w:val="20"/>
        </w:rPr>
        <w:t>lo con las obligaciones de respeto y garantía establecidas en el artículo 1.1 de la Convención</w:t>
      </w:r>
      <w:r w:rsidR="004019CC">
        <w:rPr>
          <w:szCs w:val="20"/>
        </w:rPr>
        <w:t>,</w:t>
      </w:r>
      <w:r w:rsidR="003D1FE2" w:rsidRPr="00C92188">
        <w:rPr>
          <w:szCs w:val="20"/>
        </w:rPr>
        <w:t xml:space="preserve"> sino también</w:t>
      </w:r>
      <w:r w:rsidR="00327D59" w:rsidRPr="00C92188">
        <w:rPr>
          <w:szCs w:val="20"/>
        </w:rPr>
        <w:t xml:space="preserve"> en relación con el deber de adoptar disposiciones de derecho interno, estatuido en el artículo 2 de</w:t>
      </w:r>
      <w:r w:rsidR="003D1FE2" w:rsidRPr="00C92188">
        <w:rPr>
          <w:szCs w:val="20"/>
        </w:rPr>
        <w:t>l mismo tratado</w:t>
      </w:r>
      <w:r w:rsidR="003D1FE2" w:rsidRPr="00C92188">
        <w:rPr>
          <w:rStyle w:val="FootnoteReference"/>
        </w:rPr>
        <w:footnoteReference w:id="13"/>
      </w:r>
      <w:r w:rsidR="005862D8" w:rsidRPr="00C92188">
        <w:rPr>
          <w:szCs w:val="20"/>
        </w:rPr>
        <w:t>.</w:t>
      </w:r>
    </w:p>
    <w:p w14:paraId="3A173BC2" w14:textId="77777777" w:rsidR="005862D8" w:rsidRPr="00C92188" w:rsidRDefault="005862D8" w:rsidP="00BA587C">
      <w:pPr>
        <w:pStyle w:val="ListParagraph"/>
        <w:spacing w:after="0" w:line="240" w:lineRule="auto"/>
      </w:pPr>
    </w:p>
    <w:p w14:paraId="285C4F41" w14:textId="77777777" w:rsidR="008F7B58" w:rsidRPr="00C92188" w:rsidRDefault="008F7B58" w:rsidP="00BA587C">
      <w:pPr>
        <w:numPr>
          <w:ilvl w:val="0"/>
          <w:numId w:val="1"/>
        </w:numPr>
        <w:tabs>
          <w:tab w:val="num" w:pos="720"/>
        </w:tabs>
        <w:ind w:left="0" w:firstLine="0"/>
        <w:rPr>
          <w:szCs w:val="20"/>
          <w:lang w:val="es-CR"/>
        </w:rPr>
      </w:pPr>
      <w:r w:rsidRPr="00C92188">
        <w:rPr>
          <w:szCs w:val="20"/>
          <w:lang w:val="es-CR"/>
        </w:rPr>
        <w:t>Fue dado lo anterior que, al fijar las m</w:t>
      </w:r>
      <w:r w:rsidR="00FF1448" w:rsidRPr="00C92188">
        <w:rPr>
          <w:szCs w:val="20"/>
          <w:lang w:val="es-CR"/>
        </w:rPr>
        <w:t>edidas de reparación correspondientes</w:t>
      </w:r>
      <w:r w:rsidRPr="00C92188">
        <w:rPr>
          <w:szCs w:val="20"/>
          <w:lang w:val="es-CR"/>
        </w:rPr>
        <w:t>, la Corte estimó procedente ordenar la adopción de medidas legislativas y/o de otro carácter, recordando, en el párrafo 353 de la Sentencia, inserto en el capítulo sobre reparaciones, que “</w:t>
      </w:r>
      <w:r w:rsidRPr="00C92188">
        <w:rPr>
          <w:lang w:val="es-CR"/>
        </w:rPr>
        <w:t xml:space="preserve">las regulaciones normativas existentes no son suficientes para dotar de seguridad jurídica al derecho de propiedad comunitaria indígena, previendo procedimientos específicos adecuados para tal fin”. </w:t>
      </w:r>
    </w:p>
    <w:p w14:paraId="785938EA" w14:textId="77777777" w:rsidR="00FF1448" w:rsidRPr="00C92188" w:rsidRDefault="00FF1448" w:rsidP="00BA587C">
      <w:pPr>
        <w:pStyle w:val="ListParagraph"/>
        <w:spacing w:after="0" w:line="240" w:lineRule="auto"/>
        <w:ind w:left="0"/>
        <w:rPr>
          <w:lang w:val="es-CR"/>
        </w:rPr>
      </w:pPr>
    </w:p>
    <w:p w14:paraId="11E97414" w14:textId="4441F7DC" w:rsidR="00DC02B9" w:rsidRPr="00C92188" w:rsidRDefault="00686186" w:rsidP="00BA587C">
      <w:pPr>
        <w:numPr>
          <w:ilvl w:val="0"/>
          <w:numId w:val="1"/>
        </w:numPr>
        <w:tabs>
          <w:tab w:val="num" w:pos="720"/>
        </w:tabs>
        <w:ind w:left="0" w:firstLine="0"/>
        <w:rPr>
          <w:szCs w:val="20"/>
          <w:lang w:val="es-CR"/>
        </w:rPr>
      </w:pPr>
      <w:r w:rsidRPr="00C92188">
        <w:rPr>
          <w:szCs w:val="20"/>
          <w:lang w:val="es-CR"/>
        </w:rPr>
        <w:t>Por lo dicho</w:t>
      </w:r>
      <w:r w:rsidR="00FF1448" w:rsidRPr="00C92188">
        <w:rPr>
          <w:szCs w:val="20"/>
          <w:lang w:val="es-CR"/>
        </w:rPr>
        <w:t>, en su punto resolutivo 15</w:t>
      </w:r>
      <w:r w:rsidR="008E08B3" w:rsidRPr="00C92188">
        <w:rPr>
          <w:szCs w:val="20"/>
          <w:lang w:val="es-CR"/>
        </w:rPr>
        <w:t>,</w:t>
      </w:r>
      <w:r w:rsidR="00FF1448" w:rsidRPr="00C92188">
        <w:rPr>
          <w:szCs w:val="20"/>
          <w:lang w:val="es-CR"/>
        </w:rPr>
        <w:t xml:space="preserve"> la Sentencia dispuso: “</w:t>
      </w:r>
      <w:r w:rsidR="00FF1448" w:rsidRPr="00C92188">
        <w:rPr>
          <w:rFonts w:cs="Tahoma"/>
          <w:szCs w:val="20"/>
        </w:rPr>
        <w:t xml:space="preserve">El Estado, en un plazo razonable, adoptará las medidas legislativas y/o de otro carácter que fueren necesarias para </w:t>
      </w:r>
      <w:r w:rsidR="00FF1448" w:rsidRPr="00C92188">
        <w:rPr>
          <w:szCs w:val="20"/>
        </w:rPr>
        <w:t>dotar de seguridad jurídica al derecho de propiedad comunitaria indígena,</w:t>
      </w:r>
      <w:r w:rsidR="00FF1448" w:rsidRPr="00C92188">
        <w:rPr>
          <w:rFonts w:cs="Tahoma"/>
          <w:szCs w:val="20"/>
        </w:rPr>
        <w:t xml:space="preserve"> en los términos señalados en los párrafos 354 a 357 de la </w:t>
      </w:r>
      <w:r w:rsidR="00BB2F1E" w:rsidRPr="00C92188">
        <w:rPr>
          <w:rFonts w:cs="Tahoma"/>
          <w:szCs w:val="20"/>
        </w:rPr>
        <w:t xml:space="preserve">[…] </w:t>
      </w:r>
      <w:r w:rsidR="00FF1448" w:rsidRPr="00C92188">
        <w:rPr>
          <w:rFonts w:cs="Tahoma"/>
          <w:szCs w:val="20"/>
        </w:rPr>
        <w:t>Sentencia”.</w:t>
      </w:r>
    </w:p>
    <w:p w14:paraId="4416DB89" w14:textId="77777777" w:rsidR="00DC02B9" w:rsidRPr="00C92188" w:rsidRDefault="00DC02B9" w:rsidP="00BA587C">
      <w:pPr>
        <w:pStyle w:val="ListParagraph"/>
        <w:spacing w:after="0" w:line="240" w:lineRule="auto"/>
        <w:rPr>
          <w:rFonts w:cs="Tahoma"/>
        </w:rPr>
      </w:pPr>
    </w:p>
    <w:p w14:paraId="3BF1006B" w14:textId="7B1EF8EF" w:rsidR="008E08B3" w:rsidRPr="00C92188" w:rsidRDefault="008E08B3" w:rsidP="00BA587C">
      <w:pPr>
        <w:numPr>
          <w:ilvl w:val="0"/>
          <w:numId w:val="1"/>
        </w:numPr>
        <w:tabs>
          <w:tab w:val="num" w:pos="720"/>
        </w:tabs>
        <w:ind w:left="0" w:firstLine="0"/>
        <w:rPr>
          <w:sz w:val="16"/>
          <w:szCs w:val="16"/>
          <w:lang w:val="es-CR"/>
        </w:rPr>
      </w:pPr>
      <w:r w:rsidRPr="00C92188">
        <w:rPr>
          <w:rFonts w:cs="Tahoma"/>
          <w:szCs w:val="20"/>
        </w:rPr>
        <w:t>Esta medida, entonces, tiene por objeto reparar la insuficiencia del derecho interno que, en relación con el derecho de propiedad comunitaria indígena, a</w:t>
      </w:r>
      <w:r w:rsidR="00030AD9">
        <w:rPr>
          <w:rFonts w:cs="Tahoma"/>
          <w:szCs w:val="20"/>
        </w:rPr>
        <w:t>dvirtió la Corte. Dicha insuficiencia</w:t>
      </w:r>
      <w:r w:rsidRPr="00C92188">
        <w:rPr>
          <w:rFonts w:cs="Tahoma"/>
          <w:szCs w:val="20"/>
        </w:rPr>
        <w:t xml:space="preserve"> refiere a los medios para el reclamo de la propiedad </w:t>
      </w:r>
      <w:r w:rsidR="00CC59B3" w:rsidRPr="00C92188">
        <w:rPr>
          <w:rFonts w:cs="Tahoma"/>
          <w:szCs w:val="20"/>
        </w:rPr>
        <w:lastRenderedPageBreak/>
        <w:t>comunitaria indí</w:t>
      </w:r>
      <w:r w:rsidRPr="00C92188">
        <w:rPr>
          <w:rFonts w:cs="Tahoma"/>
          <w:szCs w:val="20"/>
        </w:rPr>
        <w:t>gena</w:t>
      </w:r>
      <w:r w:rsidR="00CC59B3" w:rsidRPr="00C92188">
        <w:rPr>
          <w:rFonts w:cs="Tahoma"/>
          <w:szCs w:val="20"/>
        </w:rPr>
        <w:t xml:space="preserve"> y a su reconocimiento</w:t>
      </w:r>
      <w:r w:rsidR="00030AD9">
        <w:rPr>
          <w:rFonts w:cs="Tahoma"/>
          <w:szCs w:val="20"/>
        </w:rPr>
        <w:t>. Lo anterior</w:t>
      </w:r>
      <w:r w:rsidRPr="00C92188">
        <w:rPr>
          <w:rFonts w:cs="Tahoma"/>
          <w:szCs w:val="20"/>
        </w:rPr>
        <w:t>, en los términos ya señalados (</w:t>
      </w:r>
      <w:r w:rsidRPr="00C92188">
        <w:rPr>
          <w:rFonts w:cs="Tahoma"/>
          <w:i/>
          <w:szCs w:val="20"/>
        </w:rPr>
        <w:t>supra</w:t>
      </w:r>
      <w:r w:rsidRPr="00C92188">
        <w:rPr>
          <w:rFonts w:cs="Tahoma"/>
          <w:szCs w:val="20"/>
        </w:rPr>
        <w:t xml:space="preserve"> párrafo </w:t>
      </w:r>
      <w:r w:rsidR="00CC59B3" w:rsidRPr="00C92188">
        <w:rPr>
          <w:rFonts w:cs="Tahoma"/>
          <w:szCs w:val="20"/>
        </w:rPr>
        <w:t>2</w:t>
      </w:r>
      <w:r w:rsidR="00F83651" w:rsidRPr="00C92188">
        <w:rPr>
          <w:rFonts w:cs="Tahoma"/>
          <w:szCs w:val="20"/>
        </w:rPr>
        <w:t>0</w:t>
      </w:r>
      <w:r w:rsidR="00CC59B3" w:rsidRPr="00C92188">
        <w:rPr>
          <w:rFonts w:cs="Tahoma"/>
          <w:szCs w:val="20"/>
        </w:rPr>
        <w:t>)</w:t>
      </w:r>
      <w:r w:rsidR="006A2CCC">
        <w:rPr>
          <w:rFonts w:cs="Tahoma"/>
          <w:szCs w:val="20"/>
        </w:rPr>
        <w:t>,</w:t>
      </w:r>
      <w:r w:rsidR="00CC59B3" w:rsidRPr="00C92188">
        <w:rPr>
          <w:rFonts w:cs="Tahoma"/>
          <w:szCs w:val="20"/>
        </w:rPr>
        <w:t xml:space="preserve"> conforme se desprende del examen efectuado en los párrafos 158 a </w:t>
      </w:r>
      <w:r w:rsidR="00DC02B9" w:rsidRPr="00C92188">
        <w:rPr>
          <w:rFonts w:cs="Tahoma"/>
          <w:szCs w:val="20"/>
        </w:rPr>
        <w:t xml:space="preserve">166 de la Sentencia, bajo el título “Incidencia del derecho interno”, y </w:t>
      </w:r>
      <w:r w:rsidR="00030AD9">
        <w:rPr>
          <w:rFonts w:cs="Tahoma"/>
          <w:szCs w:val="20"/>
        </w:rPr>
        <w:t>de conformidad</w:t>
      </w:r>
      <w:r w:rsidR="006A2CCC">
        <w:rPr>
          <w:rFonts w:cs="Tahoma"/>
          <w:szCs w:val="20"/>
        </w:rPr>
        <w:t>,</w:t>
      </w:r>
      <w:r w:rsidR="00030AD9">
        <w:rPr>
          <w:rFonts w:cs="Tahoma"/>
          <w:szCs w:val="20"/>
        </w:rPr>
        <w:t xml:space="preserve"> también</w:t>
      </w:r>
      <w:r w:rsidR="006A2CCC">
        <w:rPr>
          <w:rFonts w:cs="Tahoma"/>
          <w:szCs w:val="20"/>
        </w:rPr>
        <w:t>,</w:t>
      </w:r>
      <w:r w:rsidR="00030AD9">
        <w:rPr>
          <w:rFonts w:cs="Tahoma"/>
          <w:szCs w:val="20"/>
        </w:rPr>
        <w:t xml:space="preserve"> </w:t>
      </w:r>
      <w:r w:rsidR="00DC02B9" w:rsidRPr="00C92188">
        <w:rPr>
          <w:rFonts w:cs="Tahoma"/>
          <w:szCs w:val="20"/>
        </w:rPr>
        <w:t>a la conclusión que se presenta en los párrafos siguientes, 167 y 168.</w:t>
      </w:r>
    </w:p>
    <w:p w14:paraId="27A9E70F" w14:textId="77777777" w:rsidR="008E08B3" w:rsidRPr="00C92188" w:rsidRDefault="008E08B3" w:rsidP="00BA587C">
      <w:pPr>
        <w:pStyle w:val="ListParagraph"/>
        <w:spacing w:after="0" w:line="240" w:lineRule="auto"/>
        <w:rPr>
          <w:rFonts w:cs="Tahoma"/>
        </w:rPr>
      </w:pPr>
    </w:p>
    <w:p w14:paraId="5A0F731F" w14:textId="2C3756B0" w:rsidR="00BB2F1E" w:rsidRPr="00C92188" w:rsidRDefault="00DC02B9" w:rsidP="00BA587C">
      <w:pPr>
        <w:numPr>
          <w:ilvl w:val="0"/>
          <w:numId w:val="1"/>
        </w:numPr>
        <w:tabs>
          <w:tab w:val="num" w:pos="720"/>
        </w:tabs>
        <w:ind w:left="0" w:firstLine="0"/>
        <w:rPr>
          <w:szCs w:val="20"/>
          <w:lang w:val="es-CR"/>
        </w:rPr>
      </w:pPr>
      <w:r w:rsidRPr="00C92188">
        <w:rPr>
          <w:rFonts w:cs="Tahoma"/>
          <w:szCs w:val="20"/>
        </w:rPr>
        <w:t xml:space="preserve">Desde luego, y sin que sea óbice a lo manifestado, la orden dada, de adoptar las medidas legislativas y/o de otro carácter necesarias para dotar de seguridad jurídica al derecho de propiedad comunitaria indígena, no podría cumplirse en forma adecuada si se </w:t>
      </w:r>
      <w:r w:rsidR="00003F4A" w:rsidRPr="00C92188">
        <w:rPr>
          <w:rFonts w:cs="Tahoma"/>
          <w:szCs w:val="20"/>
        </w:rPr>
        <w:t xml:space="preserve">concretara </w:t>
      </w:r>
      <w:r w:rsidRPr="00C92188">
        <w:rPr>
          <w:rFonts w:cs="Tahoma"/>
          <w:szCs w:val="20"/>
        </w:rPr>
        <w:t xml:space="preserve">un modo incompatible con el derecho </w:t>
      </w:r>
      <w:r w:rsidR="00EC13A7" w:rsidRPr="00C92188">
        <w:rPr>
          <w:rFonts w:cs="Tahoma"/>
          <w:szCs w:val="20"/>
        </w:rPr>
        <w:t>de los pueblos y comunidades indígenas a consultas previas adecuadas, libres e informadas</w:t>
      </w:r>
      <w:r w:rsidR="004019CC">
        <w:rPr>
          <w:rFonts w:cs="Tahoma"/>
          <w:szCs w:val="20"/>
        </w:rPr>
        <w:t>,</w:t>
      </w:r>
      <w:r w:rsidR="00003F4A" w:rsidRPr="00C92188">
        <w:rPr>
          <w:rFonts w:cs="Tahoma"/>
          <w:szCs w:val="20"/>
        </w:rPr>
        <w:t xml:space="preserve"> o desconociendo el mismo</w:t>
      </w:r>
      <w:r w:rsidR="00EC13A7" w:rsidRPr="00C92188">
        <w:rPr>
          <w:rFonts w:cs="Tahoma"/>
          <w:szCs w:val="20"/>
        </w:rPr>
        <w:t>. Ello, pues asegurar la participación efectiva de pueblos o comunidades indígenas respecto a actos susceptibles de afectar sus territorios, incluso mediante la realización de procedimientos adecuados de consulta, es un elemento necesario para la garantía del derecho de propiedad comunitaria indígena</w:t>
      </w:r>
      <w:r w:rsidR="00BB2F1E" w:rsidRPr="00C92188">
        <w:rPr>
          <w:rFonts w:cs="Tahoma"/>
          <w:szCs w:val="20"/>
        </w:rPr>
        <w:t xml:space="preserve">. </w:t>
      </w:r>
    </w:p>
    <w:p w14:paraId="1655E96F" w14:textId="77777777" w:rsidR="003F657D" w:rsidRPr="00C92188" w:rsidRDefault="003F657D" w:rsidP="00BA587C">
      <w:pPr>
        <w:pStyle w:val="ListParagraph"/>
        <w:spacing w:after="0" w:line="240" w:lineRule="auto"/>
        <w:rPr>
          <w:lang w:val="es-CR"/>
        </w:rPr>
      </w:pPr>
    </w:p>
    <w:p w14:paraId="1C8DE971" w14:textId="50391C15" w:rsidR="00BB2F1E" w:rsidRPr="00C92188" w:rsidRDefault="00BB2F1E" w:rsidP="00BA587C">
      <w:pPr>
        <w:numPr>
          <w:ilvl w:val="0"/>
          <w:numId w:val="1"/>
        </w:numPr>
        <w:tabs>
          <w:tab w:val="num" w:pos="720"/>
        </w:tabs>
        <w:ind w:left="0" w:firstLine="0"/>
        <w:rPr>
          <w:rFonts w:cs="Tahoma"/>
        </w:rPr>
      </w:pPr>
      <w:r w:rsidRPr="00C92188">
        <w:rPr>
          <w:szCs w:val="20"/>
          <w:lang w:val="es-CR"/>
        </w:rPr>
        <w:t xml:space="preserve">Lo dicho resulta de los términos de la Sentencia, cuyo </w:t>
      </w:r>
      <w:r w:rsidR="0093409D" w:rsidRPr="00C92188">
        <w:rPr>
          <w:szCs w:val="20"/>
          <w:lang w:val="es-CR"/>
        </w:rPr>
        <w:t>párrafo 354</w:t>
      </w:r>
      <w:r w:rsidRPr="00C92188">
        <w:rPr>
          <w:szCs w:val="20"/>
          <w:lang w:val="es-CR"/>
        </w:rPr>
        <w:t xml:space="preserve">, al </w:t>
      </w:r>
      <w:r w:rsidR="0093409D" w:rsidRPr="00C92188">
        <w:rPr>
          <w:szCs w:val="20"/>
          <w:lang w:val="es-CR"/>
        </w:rPr>
        <w:t>expresa</w:t>
      </w:r>
      <w:r w:rsidRPr="00C92188">
        <w:rPr>
          <w:szCs w:val="20"/>
          <w:lang w:val="es-CR"/>
        </w:rPr>
        <w:t>r</w:t>
      </w:r>
      <w:r w:rsidR="0093409D" w:rsidRPr="00C92188">
        <w:rPr>
          <w:szCs w:val="20"/>
          <w:lang w:val="es-CR"/>
        </w:rPr>
        <w:t xml:space="preserve"> la “orden” al Estado de que “en un plazo razonable, adopte las medidas legislativas y/o de otro carácter que fueren necesarias para […] dotar de seguridad jurídica al derecho humano de propiedad comunitaria indígena”, indica que ello debe efectuarse de “conform[idad] a las pautas indicadas en la </w:t>
      </w:r>
      <w:r w:rsidRPr="00C92188">
        <w:rPr>
          <w:szCs w:val="20"/>
          <w:lang w:val="es-CR"/>
        </w:rPr>
        <w:t xml:space="preserve">[…] </w:t>
      </w:r>
      <w:r w:rsidR="0093409D" w:rsidRPr="00C92188">
        <w:rPr>
          <w:szCs w:val="20"/>
          <w:lang w:val="es-CR"/>
        </w:rPr>
        <w:t xml:space="preserve">Sentencia”, </w:t>
      </w:r>
      <w:r w:rsidR="001D3B32" w:rsidRPr="00C92188">
        <w:rPr>
          <w:szCs w:val="20"/>
          <w:lang w:val="es-CR"/>
        </w:rPr>
        <w:t>remitiendo</w:t>
      </w:r>
      <w:r w:rsidR="0093409D" w:rsidRPr="00C92188">
        <w:rPr>
          <w:szCs w:val="20"/>
          <w:lang w:val="es-CR"/>
        </w:rPr>
        <w:t xml:space="preserve"> en forma expresa a sus párrafos 93 a 98, 115 y 116</w:t>
      </w:r>
      <w:r w:rsidR="001D3B32" w:rsidRPr="00C92188">
        <w:rPr>
          <w:szCs w:val="20"/>
          <w:lang w:val="es-CR"/>
        </w:rPr>
        <w:t xml:space="preserve">. </w:t>
      </w:r>
    </w:p>
    <w:p w14:paraId="59E16319" w14:textId="77777777" w:rsidR="00BB2F1E" w:rsidRPr="00C92188" w:rsidRDefault="00BB2F1E" w:rsidP="00BA587C">
      <w:pPr>
        <w:pStyle w:val="ListParagraph"/>
        <w:spacing w:after="0" w:line="240" w:lineRule="auto"/>
        <w:rPr>
          <w:strike/>
        </w:rPr>
      </w:pPr>
    </w:p>
    <w:p w14:paraId="11335487" w14:textId="77777777" w:rsidR="00AB15CB" w:rsidRPr="00AB15CB" w:rsidRDefault="00BB2F1E" w:rsidP="00BA587C">
      <w:pPr>
        <w:numPr>
          <w:ilvl w:val="0"/>
          <w:numId w:val="1"/>
        </w:numPr>
        <w:tabs>
          <w:tab w:val="num" w:pos="720"/>
        </w:tabs>
        <w:ind w:left="0" w:firstLine="0"/>
        <w:rPr>
          <w:lang w:val="es-CR"/>
        </w:rPr>
      </w:pPr>
      <w:r w:rsidRPr="00C92188">
        <w:rPr>
          <w:szCs w:val="20"/>
        </w:rPr>
        <w:t xml:space="preserve">De acuerdo con </w:t>
      </w:r>
      <w:r w:rsidR="00AB15CB">
        <w:rPr>
          <w:szCs w:val="20"/>
        </w:rPr>
        <w:t>el</w:t>
      </w:r>
      <w:r w:rsidRPr="00C92188">
        <w:rPr>
          <w:szCs w:val="20"/>
        </w:rPr>
        <w:t xml:space="preserve"> párrafo 98 de la Sentencia, este Tribunal advirtió que los Estados deben</w:t>
      </w:r>
      <w:r w:rsidRPr="00C92188">
        <w:t xml:space="preserve"> abstenerse de realizar actos que “</w:t>
      </w:r>
      <w:r w:rsidRPr="00C92188">
        <w:rPr>
          <w:szCs w:val="20"/>
        </w:rPr>
        <w:t xml:space="preserve">afecten la existencia, el valor, el uso o el goce de [los] </w:t>
      </w:r>
      <w:proofErr w:type="gramStart"/>
      <w:r w:rsidRPr="00C92188">
        <w:rPr>
          <w:szCs w:val="20"/>
        </w:rPr>
        <w:t>territorio[</w:t>
      </w:r>
      <w:proofErr w:type="gramEnd"/>
      <w:r w:rsidRPr="00C92188">
        <w:rPr>
          <w:szCs w:val="20"/>
        </w:rPr>
        <w:t>s indígenas]”, y “garantizar el derecho de los pueblos indígenas de controlar y usar efectivamente su territorio y recursos naturales […] sin ningún tipo de interferencia externa de terceros”</w:t>
      </w:r>
      <w:r w:rsidRPr="00C92188">
        <w:rPr>
          <w:vertAlign w:val="superscript"/>
        </w:rPr>
        <w:footnoteReference w:id="14"/>
      </w:r>
      <w:r w:rsidRPr="00C92188">
        <w:rPr>
          <w:szCs w:val="20"/>
        </w:rPr>
        <w:t xml:space="preserve">. </w:t>
      </w:r>
      <w:r w:rsidR="00AB15CB">
        <w:rPr>
          <w:szCs w:val="20"/>
        </w:rPr>
        <w:t xml:space="preserve">Como indica el párrafo 94 de la Sentencia, </w:t>
      </w:r>
    </w:p>
    <w:p w14:paraId="604A9F62" w14:textId="77777777" w:rsidR="00AB15CB" w:rsidRDefault="00AB15CB" w:rsidP="00BA587C">
      <w:pPr>
        <w:pStyle w:val="ListParagraph"/>
        <w:spacing w:after="0" w:line="240" w:lineRule="auto"/>
      </w:pPr>
    </w:p>
    <w:p w14:paraId="6A72184F" w14:textId="2B4448F1" w:rsidR="00632307" w:rsidRPr="00AB15CB" w:rsidRDefault="00BB2F1E" w:rsidP="00BA587C">
      <w:pPr>
        <w:ind w:left="284" w:right="333"/>
        <w:rPr>
          <w:sz w:val="16"/>
          <w:szCs w:val="16"/>
          <w:lang w:val="es-CR"/>
        </w:rPr>
      </w:pPr>
      <w:proofErr w:type="gramStart"/>
      <w:r w:rsidRPr="00AB15CB">
        <w:rPr>
          <w:sz w:val="16"/>
          <w:szCs w:val="16"/>
          <w:lang w:val="es-CR"/>
        </w:rPr>
        <w:t>la</w:t>
      </w:r>
      <w:proofErr w:type="gramEnd"/>
      <w:r w:rsidRPr="00AB15CB">
        <w:rPr>
          <w:sz w:val="16"/>
          <w:szCs w:val="16"/>
          <w:lang w:val="es-CR"/>
        </w:rPr>
        <w:t xml:space="preserve"> realización, por el Estado o terce</w:t>
      </w:r>
      <w:r w:rsidR="00AB15CB" w:rsidRPr="00AB15CB">
        <w:rPr>
          <w:sz w:val="16"/>
          <w:szCs w:val="16"/>
          <w:lang w:val="es-CR"/>
        </w:rPr>
        <w:t>ros, de actividades que puedan “</w:t>
      </w:r>
      <w:r w:rsidRPr="00AB15CB">
        <w:rPr>
          <w:sz w:val="16"/>
          <w:szCs w:val="16"/>
          <w:lang w:val="es-CR"/>
        </w:rPr>
        <w:t>afectar la integridad de las tierras y recursos naturales</w:t>
      </w:r>
      <w:r w:rsidR="00AB15CB" w:rsidRPr="00AB15CB">
        <w:rPr>
          <w:sz w:val="16"/>
          <w:szCs w:val="16"/>
          <w:lang w:val="es-CR"/>
        </w:rPr>
        <w:t>”</w:t>
      </w:r>
      <w:r w:rsidRPr="00AB15CB">
        <w:rPr>
          <w:sz w:val="16"/>
          <w:szCs w:val="16"/>
          <w:lang w:val="es-CR"/>
        </w:rPr>
        <w:t xml:space="preserve"> deben seguir ciertas pautas que el Estado debe garantizar: la participación efectiva de las comunidades afectadas[,] su beneficio en términos razonables y la previa realización de estudios de impactos sociales y ambientales</w:t>
      </w:r>
      <w:r w:rsidRPr="00AB15CB">
        <w:rPr>
          <w:rStyle w:val="FootnoteReference"/>
          <w:sz w:val="16"/>
          <w:szCs w:val="16"/>
          <w:lang w:val="es-CR"/>
        </w:rPr>
        <w:footnoteReference w:id="15"/>
      </w:r>
      <w:r w:rsidRPr="00AB15CB">
        <w:rPr>
          <w:sz w:val="16"/>
          <w:szCs w:val="16"/>
          <w:lang w:val="es-CR"/>
        </w:rPr>
        <w:t xml:space="preserve">. </w:t>
      </w:r>
    </w:p>
    <w:p w14:paraId="0CE9C5E4" w14:textId="77777777" w:rsidR="00632307" w:rsidRPr="00C92188" w:rsidRDefault="00632307" w:rsidP="00BA587C">
      <w:pPr>
        <w:pStyle w:val="ListParagraph"/>
        <w:spacing w:after="0" w:line="240" w:lineRule="auto"/>
        <w:rPr>
          <w:lang w:val="es-CR"/>
        </w:rPr>
      </w:pPr>
    </w:p>
    <w:p w14:paraId="68437861" w14:textId="4342AED2" w:rsidR="00632307" w:rsidRPr="00C92188" w:rsidRDefault="00BB2F1E" w:rsidP="00BA587C">
      <w:pPr>
        <w:numPr>
          <w:ilvl w:val="0"/>
          <w:numId w:val="1"/>
        </w:numPr>
        <w:tabs>
          <w:tab w:val="num" w:pos="720"/>
        </w:tabs>
        <w:ind w:left="0" w:firstLine="0"/>
        <w:rPr>
          <w:lang w:val="es-CR"/>
        </w:rPr>
      </w:pPr>
      <w:r w:rsidRPr="00C92188">
        <w:rPr>
          <w:lang w:val="es-CR"/>
        </w:rPr>
        <w:t xml:space="preserve">Más adelante, la Sentencia deja claro que </w:t>
      </w:r>
      <w:r w:rsidRPr="00C92188">
        <w:rPr>
          <w:szCs w:val="20"/>
          <w:lang w:val="es-CR"/>
        </w:rPr>
        <w:t>“asegurar la participación efectiva” de los pueblos o comunidades indígenas, “de conformidad con sus costumbres y tradiciones”, requiere que el Estado</w:t>
      </w:r>
      <w:r w:rsidR="00632307" w:rsidRPr="00C92188">
        <w:rPr>
          <w:szCs w:val="20"/>
          <w:lang w:val="es-CR"/>
        </w:rPr>
        <w:t xml:space="preserve">, en las circunstancias correspondiente, realice </w:t>
      </w:r>
      <w:r w:rsidRPr="00C92188">
        <w:rPr>
          <w:szCs w:val="20"/>
          <w:lang w:val="es-CR"/>
        </w:rPr>
        <w:t>consultas</w:t>
      </w:r>
      <w:r w:rsidR="00632307" w:rsidRPr="00C92188">
        <w:rPr>
          <w:szCs w:val="20"/>
          <w:lang w:val="es-CR"/>
        </w:rPr>
        <w:t xml:space="preserve">, </w:t>
      </w:r>
      <w:r w:rsidRPr="00C92188">
        <w:rPr>
          <w:szCs w:val="20"/>
          <w:lang w:val="es-CR"/>
        </w:rPr>
        <w:t>de buena fe, a través de procedimientos culturalmente adecuados</w:t>
      </w:r>
      <w:r w:rsidR="00632307" w:rsidRPr="00C92188">
        <w:rPr>
          <w:szCs w:val="20"/>
          <w:lang w:val="es-CR"/>
        </w:rPr>
        <w:t>, con el</w:t>
      </w:r>
      <w:r w:rsidRPr="00C92188">
        <w:rPr>
          <w:szCs w:val="20"/>
          <w:lang w:val="es-CR"/>
        </w:rPr>
        <w:t xml:space="preserve"> fin llegar a </w:t>
      </w:r>
      <w:r w:rsidR="00632307" w:rsidRPr="00C92188">
        <w:rPr>
          <w:szCs w:val="20"/>
          <w:lang w:val="es-CR"/>
        </w:rPr>
        <w:t>acuerdos</w:t>
      </w:r>
      <w:r w:rsidRPr="00C92188">
        <w:rPr>
          <w:rStyle w:val="FootnoteReference"/>
          <w:lang w:val="es-CR"/>
        </w:rPr>
        <w:footnoteReference w:id="16"/>
      </w:r>
      <w:r w:rsidRPr="00C92188">
        <w:rPr>
          <w:szCs w:val="20"/>
          <w:lang w:val="es-CR"/>
        </w:rPr>
        <w:t>.</w:t>
      </w:r>
      <w:r w:rsidR="00632307" w:rsidRPr="00C92188">
        <w:rPr>
          <w:szCs w:val="20"/>
          <w:lang w:val="es-CR"/>
        </w:rPr>
        <w:t xml:space="preserve"> Por el incumplimiento de este deber, respecto a la construcción de </w:t>
      </w:r>
      <w:r w:rsidR="00632307" w:rsidRPr="00C92188">
        <w:rPr>
          <w:szCs w:val="20"/>
          <w:lang w:val="es-CR"/>
        </w:rPr>
        <w:lastRenderedPageBreak/>
        <w:t>un puente internacional, la Corte determinó que el Estado no o</w:t>
      </w:r>
      <w:r w:rsidR="00632307" w:rsidRPr="00C92188">
        <w:rPr>
          <w:lang w:val="es-CR"/>
        </w:rPr>
        <w:t>bservó el proceso de consulta previa, libre e informada, por lo que se vieron vulnerados los derechos a la propiedad comunitaria indígena y a la participación de las comunidades víctimas</w:t>
      </w:r>
      <w:r w:rsidR="00632307" w:rsidRPr="00C92188">
        <w:rPr>
          <w:rStyle w:val="FootnoteReference"/>
          <w:lang w:val="es-CR"/>
        </w:rPr>
        <w:footnoteReference w:id="17"/>
      </w:r>
      <w:r w:rsidR="00632307" w:rsidRPr="00C92188">
        <w:rPr>
          <w:lang w:val="es-CR"/>
        </w:rPr>
        <w:t xml:space="preserve">. </w:t>
      </w:r>
      <w:r w:rsidR="00632307" w:rsidRPr="00C92188">
        <w:rPr>
          <w:rFonts w:cs="Tahoma"/>
          <w:szCs w:val="20"/>
        </w:rPr>
        <w:t>Corresponde tener en cuenta las consideraciones aludidas pues, como ya ha señalado esta Corte, es procedente</w:t>
      </w:r>
      <w:r w:rsidR="00632307" w:rsidRPr="00C92188">
        <w:rPr>
          <w:szCs w:val="20"/>
          <w:lang w:val="es-CR"/>
        </w:rPr>
        <w:t xml:space="preserve"> “</w:t>
      </w:r>
      <w:proofErr w:type="gramStart"/>
      <w:r w:rsidR="00632307" w:rsidRPr="00C92188">
        <w:rPr>
          <w:szCs w:val="20"/>
          <w:lang w:val="es-CR"/>
        </w:rPr>
        <w:t>reali[</w:t>
      </w:r>
      <w:proofErr w:type="gramEnd"/>
      <w:r w:rsidR="00632307" w:rsidRPr="00C92188">
        <w:rPr>
          <w:szCs w:val="20"/>
          <w:lang w:val="es-CR"/>
        </w:rPr>
        <w:t xml:space="preserve">zar] </w:t>
      </w:r>
      <w:r w:rsidR="00632307" w:rsidRPr="00C92188">
        <w:t>una lectura integral de la Sentencia y no consider[ar] cada párrafo del fallo como si fuese independiente del resto”</w:t>
      </w:r>
      <w:r w:rsidR="00632307" w:rsidRPr="00C92188">
        <w:rPr>
          <w:rStyle w:val="FootnoteReference"/>
        </w:rPr>
        <w:footnoteReference w:id="18"/>
      </w:r>
      <w:r w:rsidR="00632307" w:rsidRPr="00C92188">
        <w:t xml:space="preserve">. </w:t>
      </w:r>
    </w:p>
    <w:p w14:paraId="7E923A1C" w14:textId="77777777" w:rsidR="00BB2F1E" w:rsidRPr="00C92188" w:rsidRDefault="00BB2F1E" w:rsidP="00BA587C">
      <w:pPr>
        <w:pStyle w:val="ListParagraph"/>
        <w:spacing w:after="0" w:line="240" w:lineRule="auto"/>
        <w:rPr>
          <w:lang w:val="es-CR"/>
        </w:rPr>
      </w:pPr>
    </w:p>
    <w:p w14:paraId="78E904EA" w14:textId="3EB74E35" w:rsidR="00EC13A7" w:rsidRPr="00C92188" w:rsidRDefault="00C147E1" w:rsidP="00BA587C">
      <w:pPr>
        <w:numPr>
          <w:ilvl w:val="0"/>
          <w:numId w:val="1"/>
        </w:numPr>
        <w:tabs>
          <w:tab w:val="num" w:pos="720"/>
        </w:tabs>
        <w:ind w:left="0" w:firstLine="0"/>
        <w:rPr>
          <w:rFonts w:cs="Tahoma"/>
        </w:rPr>
      </w:pPr>
      <w:r>
        <w:rPr>
          <w:szCs w:val="20"/>
          <w:lang w:val="es-CR"/>
        </w:rPr>
        <w:t>Entonces, l</w:t>
      </w:r>
      <w:r w:rsidR="00632307" w:rsidRPr="00C92188">
        <w:rPr>
          <w:szCs w:val="20"/>
          <w:lang w:val="es-CR"/>
        </w:rPr>
        <w:t>as pautas a que remite el párrafo 354 de la Sentencia (</w:t>
      </w:r>
      <w:r w:rsidR="00632307" w:rsidRPr="00C92188">
        <w:rPr>
          <w:i/>
          <w:szCs w:val="20"/>
          <w:lang w:val="es-CR"/>
        </w:rPr>
        <w:t xml:space="preserve">supra </w:t>
      </w:r>
      <w:r w:rsidR="00632307" w:rsidRPr="00C92188">
        <w:rPr>
          <w:szCs w:val="20"/>
          <w:lang w:val="es-CR"/>
        </w:rPr>
        <w:t xml:space="preserve">párr. </w:t>
      </w:r>
      <w:r>
        <w:rPr>
          <w:szCs w:val="20"/>
          <w:lang w:val="es-CR"/>
        </w:rPr>
        <w:t>25</w:t>
      </w:r>
      <w:r w:rsidR="00632307" w:rsidRPr="00C92188">
        <w:rPr>
          <w:szCs w:val="20"/>
          <w:lang w:val="es-CR"/>
        </w:rPr>
        <w:t xml:space="preserve">) </w:t>
      </w:r>
      <w:r w:rsidR="001D3B32" w:rsidRPr="00C92188">
        <w:rPr>
          <w:szCs w:val="20"/>
          <w:lang w:val="es-CR"/>
        </w:rPr>
        <w:t>incluyen la participación efectiva de las comunidades indígenas</w:t>
      </w:r>
      <w:r>
        <w:rPr>
          <w:szCs w:val="20"/>
          <w:lang w:val="es-CR"/>
        </w:rPr>
        <w:t xml:space="preserve"> respecto a la realización de </w:t>
      </w:r>
      <w:r w:rsidR="004F7389" w:rsidRPr="00C92188">
        <w:rPr>
          <w:lang w:val="es-CR"/>
        </w:rPr>
        <w:t>activ</w:t>
      </w:r>
      <w:r>
        <w:rPr>
          <w:lang w:val="es-CR"/>
        </w:rPr>
        <w:t xml:space="preserve">idades que puedan </w:t>
      </w:r>
      <w:r w:rsidR="004F7389" w:rsidRPr="00C92188">
        <w:rPr>
          <w:lang w:val="es-CR"/>
        </w:rPr>
        <w:t>afectar la integridad de las tierras y recursos naturales, lo que conlleva, en las circunstancias pertinentes, la realización de consultas previas adecuadas, libres e informadas.</w:t>
      </w:r>
      <w:r w:rsidR="00BB2F1E" w:rsidRPr="00C92188">
        <w:rPr>
          <w:lang w:val="es-CR"/>
        </w:rPr>
        <w:t xml:space="preserve"> </w:t>
      </w:r>
    </w:p>
    <w:p w14:paraId="1E6E6AB0" w14:textId="77777777" w:rsidR="00003F4A" w:rsidRPr="00C92188" w:rsidRDefault="00003F4A" w:rsidP="00BA587C">
      <w:pPr>
        <w:rPr>
          <w:rFonts w:cs="Tahoma"/>
        </w:rPr>
      </w:pPr>
    </w:p>
    <w:p w14:paraId="56F7AFF3" w14:textId="602FED50" w:rsidR="00F83651" w:rsidRPr="00C92188" w:rsidRDefault="00003F4A" w:rsidP="00BA587C">
      <w:pPr>
        <w:numPr>
          <w:ilvl w:val="0"/>
          <w:numId w:val="1"/>
        </w:numPr>
        <w:tabs>
          <w:tab w:val="num" w:pos="720"/>
        </w:tabs>
        <w:ind w:left="0" w:firstLine="0"/>
        <w:rPr>
          <w:szCs w:val="20"/>
          <w:lang w:val="es-CR"/>
        </w:rPr>
      </w:pPr>
      <w:r w:rsidRPr="00C92188">
        <w:rPr>
          <w:rFonts w:cs="Tahoma"/>
        </w:rPr>
        <w:t>Por lo dicho, las medidas legislativas y/o de otro carácter que el Estado debe adoptar, de acuerdo con el punto resolutivo 15 de la Sentencia, deben ser aptas para posibilitar medios adecuados de reclamación y reconocimiento de la propiedad comunitaria indígena, en una forma que dote de seguridad jurídica al derecho de propiedad comunitaria considerando sus diversos elementos, entre los que se encuentra</w:t>
      </w:r>
      <w:r w:rsidR="0086172D" w:rsidRPr="00C92188">
        <w:rPr>
          <w:rFonts w:cs="Tahoma"/>
        </w:rPr>
        <w:t>n</w:t>
      </w:r>
      <w:r w:rsidRPr="00C92188">
        <w:rPr>
          <w:rFonts w:cs="Tahoma"/>
        </w:rPr>
        <w:t xml:space="preserve"> la participación y realización de consultas</w:t>
      </w:r>
      <w:r w:rsidR="0086172D" w:rsidRPr="00C92188">
        <w:rPr>
          <w:rFonts w:cs="Tahoma"/>
        </w:rPr>
        <w:t>,</w:t>
      </w:r>
      <w:r w:rsidRPr="00C92188">
        <w:rPr>
          <w:rFonts w:cs="Tahoma"/>
        </w:rPr>
        <w:t xml:space="preserve"> en los términos antes expresados</w:t>
      </w:r>
      <w:r w:rsidR="00D83E2C" w:rsidRPr="00C92188">
        <w:rPr>
          <w:rFonts w:cs="Tahoma"/>
        </w:rPr>
        <w:t>.</w:t>
      </w:r>
      <w:r w:rsidR="0086172D" w:rsidRPr="00C92188">
        <w:rPr>
          <w:rFonts w:cs="Tahoma"/>
        </w:rPr>
        <w:t xml:space="preserve"> </w:t>
      </w:r>
    </w:p>
    <w:p w14:paraId="78A987C3" w14:textId="77777777" w:rsidR="00F96F8F" w:rsidRPr="00C92188" w:rsidRDefault="00F96F8F" w:rsidP="00BA587C">
      <w:pPr>
        <w:rPr>
          <w:rFonts w:cs="Tahoma"/>
        </w:rPr>
      </w:pPr>
    </w:p>
    <w:p w14:paraId="2F991515" w14:textId="58C30B97" w:rsidR="004E3943" w:rsidRPr="00C92188" w:rsidRDefault="004E3943" w:rsidP="00BA587C">
      <w:pPr>
        <w:pStyle w:val="ListParagraph"/>
        <w:spacing w:after="0" w:line="240" w:lineRule="auto"/>
        <w:ind w:left="1080"/>
        <w:outlineLvl w:val="2"/>
        <w:rPr>
          <w:i/>
          <w:lang w:val="es-CR"/>
        </w:rPr>
      </w:pPr>
      <w:r w:rsidRPr="00C92188">
        <w:rPr>
          <w:i/>
          <w:lang w:val="es-CR"/>
        </w:rPr>
        <w:t>B.</w:t>
      </w:r>
      <w:r w:rsidR="00632307" w:rsidRPr="00C92188">
        <w:rPr>
          <w:i/>
          <w:lang w:val="es-CR"/>
        </w:rPr>
        <w:t>2</w:t>
      </w:r>
      <w:r w:rsidRPr="00C92188">
        <w:rPr>
          <w:i/>
          <w:lang w:val="es-CR"/>
        </w:rPr>
        <w:t xml:space="preserve"> </w:t>
      </w:r>
      <w:r w:rsidRPr="00C92188">
        <w:rPr>
          <w:i/>
          <w:u w:val="single"/>
          <w:lang w:val="es-CR"/>
        </w:rPr>
        <w:t>Conclusión</w:t>
      </w:r>
    </w:p>
    <w:p w14:paraId="1ECA9D8D" w14:textId="77777777" w:rsidR="00AE74FC" w:rsidRPr="00C92188" w:rsidRDefault="00AE74FC" w:rsidP="00BA587C">
      <w:pPr>
        <w:pStyle w:val="ListParagraph"/>
        <w:spacing w:after="0" w:line="240" w:lineRule="auto"/>
        <w:ind w:left="0"/>
        <w:rPr>
          <w:lang w:val="es-CR"/>
        </w:rPr>
      </w:pPr>
    </w:p>
    <w:p w14:paraId="6BB91FFD" w14:textId="7084D80F" w:rsidR="00030AD9" w:rsidRPr="00030AD9" w:rsidRDefault="00AE74FC" w:rsidP="00BA587C">
      <w:pPr>
        <w:numPr>
          <w:ilvl w:val="0"/>
          <w:numId w:val="1"/>
        </w:numPr>
        <w:tabs>
          <w:tab w:val="num" w:pos="720"/>
        </w:tabs>
        <w:ind w:left="0" w:firstLine="0"/>
        <w:rPr>
          <w:szCs w:val="20"/>
          <w:lang w:val="es-CR"/>
        </w:rPr>
      </w:pPr>
      <w:r w:rsidRPr="00C92188">
        <w:t xml:space="preserve">Por lo dicho, la Corte, evacuando la solicitud de interpretación presentada por los representantes de las víctimas, precisa lo que sigue: </w:t>
      </w:r>
      <w:r w:rsidR="00AF615D">
        <w:t>l</w:t>
      </w:r>
      <w:r w:rsidRPr="00C92188">
        <w:t xml:space="preserve">as medidas que debe adoptar el Estado, en los términos ordenados por el punto resolutivo 15 y el párrafo 354 de la Sentencia, deben ser </w:t>
      </w:r>
      <w:r w:rsidR="00193454" w:rsidRPr="00C92188">
        <w:rPr>
          <w:rFonts w:cs="Tahoma"/>
        </w:rPr>
        <w:t>aptas para posibilitar medios adecuados de reclamación y reconocimiento de la propiedad comunitaria indígena, en una forma que dote de seguridad jurídica al derecho de propiedad comunitaria</w:t>
      </w:r>
      <w:r w:rsidR="001F1330" w:rsidRPr="00C92188">
        <w:rPr>
          <w:rFonts w:cs="Tahoma"/>
        </w:rPr>
        <w:t>,</w:t>
      </w:r>
      <w:r w:rsidR="00193454" w:rsidRPr="00C92188">
        <w:rPr>
          <w:rFonts w:cs="Tahoma"/>
        </w:rPr>
        <w:t xml:space="preserve"> considerando los diversos aspectos</w:t>
      </w:r>
      <w:r w:rsidRPr="00C92188">
        <w:t xml:space="preserve"> que integran ese derecho, y de los que la Sentencia da cuenta, de acuerdo a sus párrafos 93 a 98, 115 y 116</w:t>
      </w:r>
      <w:r w:rsidR="006A2CCC">
        <w:t>;</w:t>
      </w:r>
      <w:r w:rsidR="00B43036" w:rsidRPr="00C92188">
        <w:t xml:space="preserve"> entre ellos</w:t>
      </w:r>
      <w:r w:rsidR="006A2CCC">
        <w:t>,</w:t>
      </w:r>
      <w:r w:rsidR="00B43036" w:rsidRPr="00C92188">
        <w:t xml:space="preserve"> </w:t>
      </w:r>
      <w:r w:rsidRPr="00C92188">
        <w:t>la “garant[ía de] la participación efectiva” de comunidades indígenas</w:t>
      </w:r>
      <w:r w:rsidR="00193454" w:rsidRPr="00C92188">
        <w:t>,</w:t>
      </w:r>
      <w:r w:rsidR="0050063A" w:rsidRPr="00C92188">
        <w:t xml:space="preserve"> mediante la consulta previa, libre e informada,</w:t>
      </w:r>
      <w:r w:rsidR="00193454" w:rsidRPr="00C92188">
        <w:t xml:space="preserve"> de </w:t>
      </w:r>
      <w:r w:rsidR="006A2CCC">
        <w:t>conformidad</w:t>
      </w:r>
      <w:r w:rsidR="00193454" w:rsidRPr="00C92188">
        <w:t xml:space="preserve"> con las consideraciones efectuad</w:t>
      </w:r>
      <w:r w:rsidR="00DF2CC7" w:rsidRPr="00C92188">
        <w:t>as en la presente Sentencia de I</w:t>
      </w:r>
      <w:r w:rsidR="00193454" w:rsidRPr="00C92188">
        <w:t xml:space="preserve">nterpretación. </w:t>
      </w:r>
    </w:p>
    <w:p w14:paraId="1FC6A5BF" w14:textId="683E527F" w:rsidR="00030AD9" w:rsidRDefault="00030AD9" w:rsidP="00030AD9"/>
    <w:p w14:paraId="53164295" w14:textId="77777777" w:rsidR="00030AD9" w:rsidRPr="00C92188" w:rsidRDefault="00030AD9" w:rsidP="00030AD9">
      <w:pPr>
        <w:tabs>
          <w:tab w:val="left" w:pos="567"/>
        </w:tabs>
        <w:jc w:val="center"/>
        <w:rPr>
          <w:rFonts w:eastAsia="Times"/>
          <w:b/>
          <w:szCs w:val="20"/>
          <w:lang w:val="es-ES_tradnl"/>
        </w:rPr>
      </w:pPr>
      <w:r w:rsidRPr="00C92188">
        <w:rPr>
          <w:rFonts w:eastAsia="Times"/>
          <w:b/>
          <w:szCs w:val="20"/>
          <w:lang w:val="es-ES_tradnl"/>
        </w:rPr>
        <w:t>V</w:t>
      </w:r>
    </w:p>
    <w:p w14:paraId="18053B3A" w14:textId="77777777" w:rsidR="00030AD9" w:rsidRPr="00C92188" w:rsidRDefault="00030AD9" w:rsidP="00030AD9">
      <w:pPr>
        <w:tabs>
          <w:tab w:val="left" w:pos="567"/>
        </w:tabs>
        <w:jc w:val="center"/>
        <w:rPr>
          <w:rFonts w:eastAsia="Times"/>
          <w:b/>
          <w:szCs w:val="20"/>
          <w:lang w:val="es-ES_tradnl"/>
        </w:rPr>
      </w:pPr>
      <w:r w:rsidRPr="00C92188">
        <w:rPr>
          <w:rFonts w:eastAsia="Times"/>
          <w:b/>
          <w:szCs w:val="20"/>
          <w:lang w:val="es-ES_tradnl"/>
        </w:rPr>
        <w:t xml:space="preserve">PUNTOS RESOLUTIVOS </w:t>
      </w:r>
    </w:p>
    <w:p w14:paraId="67EA785B" w14:textId="77777777" w:rsidR="00030AD9" w:rsidRDefault="00030AD9" w:rsidP="00030AD9">
      <w:pPr>
        <w:rPr>
          <w:szCs w:val="20"/>
          <w:lang w:val="es-CR"/>
        </w:rPr>
      </w:pPr>
    </w:p>
    <w:p w14:paraId="623C4D2B" w14:textId="582DAFAB" w:rsidR="00AE74FC" w:rsidRPr="00030AD9" w:rsidRDefault="00AE74FC" w:rsidP="00BA587C">
      <w:pPr>
        <w:numPr>
          <w:ilvl w:val="0"/>
          <w:numId w:val="1"/>
        </w:numPr>
        <w:tabs>
          <w:tab w:val="num" w:pos="720"/>
        </w:tabs>
        <w:ind w:left="0" w:firstLine="0"/>
        <w:rPr>
          <w:szCs w:val="20"/>
          <w:lang w:val="es-CR"/>
        </w:rPr>
      </w:pPr>
      <w:r w:rsidRPr="00030AD9">
        <w:rPr>
          <w:rFonts w:eastAsia="Times"/>
          <w:lang w:val="es-ES_tradnl"/>
        </w:rPr>
        <w:t xml:space="preserve">Por tanto, </w:t>
      </w:r>
    </w:p>
    <w:p w14:paraId="3E695CAA" w14:textId="77777777" w:rsidR="00AE74FC" w:rsidRPr="00C92188" w:rsidRDefault="00AE74FC" w:rsidP="00BA587C">
      <w:pPr>
        <w:rPr>
          <w:szCs w:val="20"/>
          <w:lang w:val="es-CR"/>
        </w:rPr>
      </w:pPr>
    </w:p>
    <w:p w14:paraId="6B14AAC4" w14:textId="61B64E02" w:rsidR="00AE74FC" w:rsidRPr="00C92188" w:rsidRDefault="00AE74FC" w:rsidP="00BA587C">
      <w:pPr>
        <w:tabs>
          <w:tab w:val="left" w:pos="567"/>
        </w:tabs>
        <w:rPr>
          <w:rFonts w:eastAsia="Times"/>
          <w:b/>
          <w:szCs w:val="20"/>
          <w:lang w:val="es-ES_tradnl"/>
        </w:rPr>
      </w:pPr>
      <w:r w:rsidRPr="00C92188">
        <w:rPr>
          <w:rFonts w:eastAsia="Times"/>
          <w:b/>
          <w:szCs w:val="20"/>
          <w:lang w:val="es-ES_tradnl"/>
        </w:rPr>
        <w:t xml:space="preserve">LA CORTE </w:t>
      </w:r>
    </w:p>
    <w:p w14:paraId="12E80636" w14:textId="77777777" w:rsidR="00AE74FC" w:rsidRPr="00C92188" w:rsidRDefault="00AE74FC" w:rsidP="00BA587C">
      <w:pPr>
        <w:tabs>
          <w:tab w:val="left" w:pos="567"/>
        </w:tabs>
        <w:rPr>
          <w:rFonts w:eastAsia="Times"/>
          <w:b/>
          <w:szCs w:val="20"/>
          <w:lang w:val="es-ES_tradnl"/>
        </w:rPr>
      </w:pPr>
    </w:p>
    <w:p w14:paraId="6A42F365" w14:textId="77777777" w:rsidR="00AE74FC" w:rsidRPr="00C92188" w:rsidRDefault="00AE74FC" w:rsidP="00BA587C">
      <w:pPr>
        <w:tabs>
          <w:tab w:val="left" w:pos="567"/>
        </w:tabs>
        <w:rPr>
          <w:rFonts w:eastAsia="Times"/>
          <w:szCs w:val="20"/>
          <w:lang w:val="es-ES_tradnl"/>
        </w:rPr>
      </w:pPr>
      <w:r w:rsidRPr="00C92188">
        <w:rPr>
          <w:rFonts w:eastAsia="Times"/>
          <w:szCs w:val="20"/>
          <w:lang w:val="es-ES_tradnl"/>
        </w:rPr>
        <w:t>de conformidad con el artículo 67 de la Convención Americana sobre Derechos Humanos y los artículos 31.3 y 68 del Reglamento de la Corte,</w:t>
      </w:r>
    </w:p>
    <w:p w14:paraId="25806939" w14:textId="3C77ECB4" w:rsidR="00AE74FC" w:rsidRPr="00C92188" w:rsidRDefault="00AE74FC" w:rsidP="00BA587C">
      <w:pPr>
        <w:tabs>
          <w:tab w:val="left" w:pos="567"/>
        </w:tabs>
        <w:rPr>
          <w:rFonts w:eastAsia="Times"/>
          <w:b/>
          <w:szCs w:val="20"/>
          <w:lang w:val="es-ES_tradnl"/>
        </w:rPr>
      </w:pPr>
      <w:r w:rsidRPr="00C92188">
        <w:rPr>
          <w:rFonts w:eastAsia="Times"/>
          <w:szCs w:val="20"/>
          <w:lang w:val="es-ES_tradnl"/>
        </w:rPr>
        <w:lastRenderedPageBreak/>
        <w:br/>
      </w:r>
      <w:r w:rsidRPr="00C92188">
        <w:rPr>
          <w:rFonts w:eastAsia="Times"/>
          <w:b/>
          <w:szCs w:val="20"/>
          <w:lang w:val="es-ES_tradnl"/>
        </w:rPr>
        <w:t>DECIDE:</w:t>
      </w:r>
    </w:p>
    <w:p w14:paraId="4A516907" w14:textId="77777777" w:rsidR="00AE74FC" w:rsidRPr="00C92188" w:rsidRDefault="00AE74FC" w:rsidP="00BA587C">
      <w:pPr>
        <w:tabs>
          <w:tab w:val="left" w:pos="567"/>
        </w:tabs>
        <w:rPr>
          <w:rFonts w:eastAsia="Times"/>
          <w:b/>
          <w:szCs w:val="20"/>
          <w:lang w:val="es-ES_tradnl"/>
        </w:rPr>
      </w:pPr>
    </w:p>
    <w:p w14:paraId="303709A9" w14:textId="77777777" w:rsidR="00AE74FC" w:rsidRPr="00C92188" w:rsidRDefault="00AE74FC" w:rsidP="00BA587C">
      <w:pPr>
        <w:tabs>
          <w:tab w:val="left" w:pos="567"/>
          <w:tab w:val="center" w:pos="4252"/>
          <w:tab w:val="right" w:pos="8504"/>
        </w:tabs>
        <w:rPr>
          <w:rFonts w:eastAsia="Times"/>
          <w:szCs w:val="20"/>
          <w:lang w:val="es-ES_tradnl"/>
        </w:rPr>
      </w:pPr>
      <w:r w:rsidRPr="00C92188">
        <w:rPr>
          <w:rFonts w:eastAsia="Times"/>
          <w:szCs w:val="20"/>
          <w:lang w:val="es-ES_tradnl"/>
        </w:rPr>
        <w:t>Por unanimidad,</w:t>
      </w:r>
    </w:p>
    <w:p w14:paraId="4A7A633F" w14:textId="77777777" w:rsidR="00AE74FC" w:rsidRPr="00C92188" w:rsidRDefault="00AE74FC" w:rsidP="00BA587C">
      <w:pPr>
        <w:pStyle w:val="ListParagraph"/>
        <w:tabs>
          <w:tab w:val="left" w:pos="567"/>
        </w:tabs>
        <w:spacing w:after="0" w:line="240" w:lineRule="auto"/>
        <w:ind w:left="0"/>
        <w:jc w:val="both"/>
        <w:rPr>
          <w:rFonts w:eastAsia="Times New Roman"/>
          <w:szCs w:val="22"/>
        </w:rPr>
      </w:pPr>
    </w:p>
    <w:p w14:paraId="543E5355" w14:textId="5D6E5438" w:rsidR="00AE74FC" w:rsidRPr="00C92188" w:rsidRDefault="00AE74FC" w:rsidP="00BA587C">
      <w:pPr>
        <w:pStyle w:val="ListParagraph"/>
        <w:numPr>
          <w:ilvl w:val="0"/>
          <w:numId w:val="2"/>
        </w:numPr>
        <w:tabs>
          <w:tab w:val="left" w:pos="567"/>
          <w:tab w:val="left" w:pos="720"/>
        </w:tabs>
        <w:spacing w:after="0" w:line="240" w:lineRule="auto"/>
        <w:jc w:val="both"/>
        <w:rPr>
          <w:rFonts w:eastAsia="Times New Roman"/>
        </w:rPr>
      </w:pPr>
      <w:r w:rsidRPr="00C92188">
        <w:t>Declarar admisible la solicitud de int</w:t>
      </w:r>
      <w:r w:rsidR="00343BFF">
        <w:t>erpretación de la Sentencia de Fondo, Reparaciones y C</w:t>
      </w:r>
      <w:r w:rsidRPr="00C92188">
        <w:t xml:space="preserve">ostas, emitida en el </w:t>
      </w:r>
      <w:r w:rsidRPr="00C92188">
        <w:rPr>
          <w:i/>
        </w:rPr>
        <w:t>Caso</w:t>
      </w:r>
      <w:r w:rsidRPr="00C92188">
        <w:t xml:space="preserve"> </w:t>
      </w:r>
      <w:r w:rsidRPr="00C92188">
        <w:rPr>
          <w:i/>
        </w:rPr>
        <w:t>Comunidades Indígenas Miembros de la Asociación Lhaka Honhat (Nuestra Tierra) Vs. Argentina</w:t>
      </w:r>
      <w:r w:rsidRPr="00C92188">
        <w:t>, presentada por los representantes de las víctimas, en los términos de los párrafos 6, 7</w:t>
      </w:r>
      <w:r w:rsidR="001F1330" w:rsidRPr="00C92188">
        <w:t>,</w:t>
      </w:r>
      <w:r w:rsidRPr="00C92188">
        <w:t xml:space="preserve"> 17 </w:t>
      </w:r>
      <w:r w:rsidR="001F1330" w:rsidRPr="00C92188">
        <w:t>y 18</w:t>
      </w:r>
      <w:r w:rsidRPr="00C92188">
        <w:t xml:space="preserve"> de la presente Sentencia de Interpretación.</w:t>
      </w:r>
    </w:p>
    <w:p w14:paraId="760FCFD9" w14:textId="77777777" w:rsidR="00AE74FC" w:rsidRPr="00C92188" w:rsidRDefault="00AE74FC" w:rsidP="00BA587C">
      <w:pPr>
        <w:pStyle w:val="ListParagraph"/>
        <w:tabs>
          <w:tab w:val="left" w:pos="567"/>
          <w:tab w:val="left" w:pos="720"/>
        </w:tabs>
        <w:spacing w:after="0" w:line="240" w:lineRule="auto"/>
        <w:ind w:left="0"/>
        <w:jc w:val="both"/>
        <w:rPr>
          <w:rFonts w:eastAsia="Times New Roman"/>
        </w:rPr>
      </w:pPr>
    </w:p>
    <w:p w14:paraId="57A5AE38" w14:textId="2447B6E3" w:rsidR="00AE74FC" w:rsidRPr="00C92188" w:rsidRDefault="00AE74FC" w:rsidP="00BA587C">
      <w:pPr>
        <w:pStyle w:val="ListParagraph"/>
        <w:numPr>
          <w:ilvl w:val="0"/>
          <w:numId w:val="2"/>
        </w:numPr>
        <w:tabs>
          <w:tab w:val="left" w:pos="567"/>
          <w:tab w:val="left" w:pos="720"/>
        </w:tabs>
        <w:spacing w:after="0" w:line="240" w:lineRule="auto"/>
        <w:jc w:val="both"/>
        <w:rPr>
          <w:rFonts w:eastAsia="Times New Roman"/>
        </w:rPr>
      </w:pPr>
      <w:r w:rsidRPr="00C92188">
        <w:t xml:space="preserve">Aclarar, por medio de Interpretación, la Sentencia de Fondo, Reparaciones y Costas emitida en el </w:t>
      </w:r>
      <w:r w:rsidRPr="00C92188">
        <w:rPr>
          <w:i/>
        </w:rPr>
        <w:t>Caso Comunidades Indígenas Miembros de la Asociación Lhaka Honhat (Nuestra Tierra) Vs. Argentina</w:t>
      </w:r>
      <w:r w:rsidRPr="00C92188">
        <w:t xml:space="preserve">, en el extremo que se refiere a la orden, dispuesta en el punto resolutivo 15 de dicha Sentencia, </w:t>
      </w:r>
      <w:r w:rsidR="00A25418">
        <w:t>en el sentido de que las</w:t>
      </w:r>
      <w:r w:rsidRPr="00C92188">
        <w:rPr>
          <w:rFonts w:cs="Tahoma"/>
        </w:rPr>
        <w:t xml:space="preserve"> medidas legislativas y/o de otro carácter que</w:t>
      </w:r>
      <w:r w:rsidR="00A25418">
        <w:rPr>
          <w:rFonts w:cs="Tahoma"/>
        </w:rPr>
        <w:t xml:space="preserve"> adopte el Estado </w:t>
      </w:r>
      <w:r w:rsidRPr="00C92188">
        <w:rPr>
          <w:rFonts w:cs="Tahoma"/>
        </w:rPr>
        <w:t xml:space="preserve">para </w:t>
      </w:r>
      <w:r w:rsidRPr="00C92188">
        <w:t>dotar de seguridad jurídica al derecho de propiedad comunitaria indígena,</w:t>
      </w:r>
      <w:r w:rsidRPr="00C92188">
        <w:rPr>
          <w:rFonts w:cs="Tahoma"/>
        </w:rPr>
        <w:t xml:space="preserve"> </w:t>
      </w:r>
      <w:r w:rsidR="00A25418">
        <w:t xml:space="preserve">deben incluir, entre los distintos aspectos que comprende este derecho, </w:t>
      </w:r>
      <w:r w:rsidR="00A25418" w:rsidRPr="00C92188">
        <w:t xml:space="preserve">la consulta previa, libre e informada, de acuerdo con las </w:t>
      </w:r>
      <w:r w:rsidR="00343BFF">
        <w:t>consideraciones efectuadas en los párrafos 20 a 30 de la</w:t>
      </w:r>
      <w:r w:rsidR="00A25418" w:rsidRPr="00C92188">
        <w:t xml:space="preserve"> presente Sentencia de Interpretación.</w:t>
      </w:r>
    </w:p>
    <w:p w14:paraId="0A1973E3" w14:textId="77777777" w:rsidR="00AE74FC" w:rsidRPr="00C92188" w:rsidRDefault="00AE74FC" w:rsidP="00BA587C">
      <w:pPr>
        <w:tabs>
          <w:tab w:val="left" w:pos="567"/>
          <w:tab w:val="left" w:pos="720"/>
        </w:tabs>
        <w:rPr>
          <w:rFonts w:eastAsia="Times New Roman"/>
        </w:rPr>
      </w:pPr>
    </w:p>
    <w:p w14:paraId="0D7F8144" w14:textId="77777777" w:rsidR="00AE74FC" w:rsidRPr="00FF2553" w:rsidRDefault="00AE74FC" w:rsidP="00BA587C">
      <w:pPr>
        <w:numPr>
          <w:ilvl w:val="0"/>
          <w:numId w:val="2"/>
        </w:numPr>
        <w:tabs>
          <w:tab w:val="left" w:pos="567"/>
          <w:tab w:val="left" w:pos="720"/>
        </w:tabs>
        <w:rPr>
          <w:rFonts w:eastAsia="Times New Roman"/>
        </w:rPr>
      </w:pPr>
      <w:r w:rsidRPr="00C92188">
        <w:t>Disponer que la Secretaría de la Corte notifique la presente Sentencia de Interpretación a la República Argentina, a los representantes de las víctimas y a la Comisión Interamericana de Derechos Humanos.</w:t>
      </w:r>
    </w:p>
    <w:p w14:paraId="6EFF7915" w14:textId="77777777" w:rsidR="00FF2553" w:rsidRDefault="00FF2553" w:rsidP="00FF2553">
      <w:pPr>
        <w:pStyle w:val="ListParagraph"/>
        <w:rPr>
          <w:rFonts w:eastAsia="Times New Roman"/>
        </w:rPr>
      </w:pPr>
    </w:p>
    <w:p w14:paraId="7CAF5FE9" w14:textId="77777777" w:rsidR="00FF2553" w:rsidRDefault="00FF2553" w:rsidP="00FF2553">
      <w:pPr>
        <w:tabs>
          <w:tab w:val="left" w:pos="567"/>
          <w:tab w:val="left" w:pos="720"/>
        </w:tabs>
        <w:rPr>
          <w:rFonts w:eastAsia="Times New Roman"/>
        </w:rPr>
      </w:pPr>
    </w:p>
    <w:p w14:paraId="59D51C2E" w14:textId="77777777" w:rsidR="00FF2553" w:rsidRDefault="00FF2553" w:rsidP="00FF2553">
      <w:pPr>
        <w:tabs>
          <w:tab w:val="left" w:pos="567"/>
          <w:tab w:val="left" w:pos="720"/>
        </w:tabs>
        <w:rPr>
          <w:rFonts w:eastAsia="Times New Roman"/>
        </w:rPr>
      </w:pPr>
    </w:p>
    <w:p w14:paraId="5FA6ECCC" w14:textId="77777777" w:rsidR="00FF2553" w:rsidRDefault="00FF2553" w:rsidP="00FF2553">
      <w:pPr>
        <w:tabs>
          <w:tab w:val="left" w:pos="567"/>
          <w:tab w:val="left" w:pos="720"/>
        </w:tabs>
        <w:rPr>
          <w:rFonts w:eastAsia="Times New Roman"/>
        </w:rPr>
      </w:pPr>
    </w:p>
    <w:p w14:paraId="21D73104" w14:textId="77777777" w:rsidR="00FF2553" w:rsidRDefault="00FF2553" w:rsidP="00FF2553">
      <w:pPr>
        <w:tabs>
          <w:tab w:val="left" w:pos="567"/>
          <w:tab w:val="left" w:pos="720"/>
        </w:tabs>
        <w:rPr>
          <w:rFonts w:eastAsia="Times New Roman"/>
        </w:rPr>
      </w:pPr>
    </w:p>
    <w:p w14:paraId="5780374D" w14:textId="77777777" w:rsidR="00FF2553" w:rsidRDefault="00FF2553" w:rsidP="00FF2553">
      <w:pPr>
        <w:tabs>
          <w:tab w:val="left" w:pos="567"/>
          <w:tab w:val="left" w:pos="720"/>
        </w:tabs>
        <w:rPr>
          <w:rFonts w:eastAsia="Times New Roman"/>
        </w:rPr>
      </w:pPr>
    </w:p>
    <w:p w14:paraId="6CD65E6F" w14:textId="77777777" w:rsidR="00FF2553" w:rsidRDefault="00FF2553" w:rsidP="00FF2553">
      <w:pPr>
        <w:tabs>
          <w:tab w:val="left" w:pos="567"/>
          <w:tab w:val="left" w:pos="720"/>
        </w:tabs>
        <w:rPr>
          <w:rFonts w:eastAsia="Times New Roman"/>
        </w:rPr>
      </w:pPr>
    </w:p>
    <w:p w14:paraId="76F1C3E1" w14:textId="77777777" w:rsidR="00FF2553" w:rsidRDefault="00FF2553" w:rsidP="00FF2553">
      <w:pPr>
        <w:tabs>
          <w:tab w:val="left" w:pos="567"/>
          <w:tab w:val="left" w:pos="720"/>
        </w:tabs>
        <w:rPr>
          <w:rFonts w:eastAsia="Times New Roman"/>
        </w:rPr>
      </w:pPr>
    </w:p>
    <w:p w14:paraId="33F47CCF" w14:textId="77777777" w:rsidR="00FF2553" w:rsidRDefault="00FF2553" w:rsidP="00FF2553">
      <w:pPr>
        <w:tabs>
          <w:tab w:val="left" w:pos="567"/>
          <w:tab w:val="left" w:pos="720"/>
        </w:tabs>
        <w:rPr>
          <w:rFonts w:eastAsia="Times New Roman"/>
        </w:rPr>
      </w:pPr>
    </w:p>
    <w:p w14:paraId="4564E498" w14:textId="77777777" w:rsidR="00FF2553" w:rsidRDefault="00FF2553" w:rsidP="00FF2553">
      <w:pPr>
        <w:tabs>
          <w:tab w:val="left" w:pos="567"/>
          <w:tab w:val="left" w:pos="720"/>
        </w:tabs>
        <w:rPr>
          <w:rFonts w:eastAsia="Times New Roman"/>
        </w:rPr>
      </w:pPr>
    </w:p>
    <w:p w14:paraId="4AA27B6D" w14:textId="77777777" w:rsidR="00FF2553" w:rsidRDefault="00FF2553" w:rsidP="00FF2553">
      <w:pPr>
        <w:tabs>
          <w:tab w:val="left" w:pos="567"/>
          <w:tab w:val="left" w:pos="720"/>
        </w:tabs>
        <w:rPr>
          <w:rFonts w:eastAsia="Times New Roman"/>
        </w:rPr>
      </w:pPr>
    </w:p>
    <w:p w14:paraId="5665E721" w14:textId="77777777" w:rsidR="00FF2553" w:rsidRDefault="00FF2553" w:rsidP="00FF2553">
      <w:pPr>
        <w:tabs>
          <w:tab w:val="left" w:pos="567"/>
          <w:tab w:val="left" w:pos="720"/>
        </w:tabs>
        <w:rPr>
          <w:rFonts w:eastAsia="Times New Roman"/>
        </w:rPr>
      </w:pPr>
    </w:p>
    <w:p w14:paraId="1E60B15C" w14:textId="77777777" w:rsidR="00FF2553" w:rsidRDefault="00FF2553" w:rsidP="00FF2553">
      <w:pPr>
        <w:tabs>
          <w:tab w:val="left" w:pos="567"/>
          <w:tab w:val="left" w:pos="720"/>
        </w:tabs>
        <w:rPr>
          <w:rFonts w:eastAsia="Times New Roman"/>
        </w:rPr>
      </w:pPr>
    </w:p>
    <w:p w14:paraId="7E80DE20" w14:textId="77777777" w:rsidR="00FF2553" w:rsidRDefault="00FF2553" w:rsidP="00FF2553">
      <w:pPr>
        <w:tabs>
          <w:tab w:val="left" w:pos="567"/>
          <w:tab w:val="left" w:pos="720"/>
        </w:tabs>
        <w:rPr>
          <w:rFonts w:eastAsia="Times New Roman"/>
        </w:rPr>
      </w:pPr>
    </w:p>
    <w:p w14:paraId="30D66B4F" w14:textId="77777777" w:rsidR="00FF2553" w:rsidRDefault="00FF2553" w:rsidP="00FF2553">
      <w:pPr>
        <w:tabs>
          <w:tab w:val="left" w:pos="567"/>
          <w:tab w:val="left" w:pos="720"/>
        </w:tabs>
        <w:rPr>
          <w:rFonts w:eastAsia="Times New Roman"/>
        </w:rPr>
      </w:pPr>
    </w:p>
    <w:p w14:paraId="2CDF8EF1" w14:textId="77777777" w:rsidR="00FF2553" w:rsidRDefault="00FF2553" w:rsidP="00FF2553">
      <w:pPr>
        <w:tabs>
          <w:tab w:val="left" w:pos="567"/>
          <w:tab w:val="left" w:pos="720"/>
        </w:tabs>
        <w:rPr>
          <w:rFonts w:eastAsia="Times New Roman"/>
        </w:rPr>
      </w:pPr>
    </w:p>
    <w:p w14:paraId="177B73D8" w14:textId="77777777" w:rsidR="00FF2553" w:rsidRDefault="00FF2553" w:rsidP="00FF2553">
      <w:pPr>
        <w:tabs>
          <w:tab w:val="left" w:pos="567"/>
          <w:tab w:val="left" w:pos="720"/>
        </w:tabs>
        <w:rPr>
          <w:rFonts w:eastAsia="Times New Roman"/>
        </w:rPr>
      </w:pPr>
    </w:p>
    <w:p w14:paraId="7617D319" w14:textId="77777777" w:rsidR="00FF2553" w:rsidRDefault="00FF2553" w:rsidP="00FF2553">
      <w:pPr>
        <w:tabs>
          <w:tab w:val="left" w:pos="567"/>
          <w:tab w:val="left" w:pos="720"/>
        </w:tabs>
        <w:rPr>
          <w:rFonts w:eastAsia="Times New Roman"/>
        </w:rPr>
      </w:pPr>
    </w:p>
    <w:p w14:paraId="0B0A57AD" w14:textId="77777777" w:rsidR="00FF2553" w:rsidRDefault="00FF2553" w:rsidP="00FF2553">
      <w:pPr>
        <w:tabs>
          <w:tab w:val="left" w:pos="567"/>
          <w:tab w:val="left" w:pos="720"/>
        </w:tabs>
        <w:rPr>
          <w:rFonts w:eastAsia="Times New Roman"/>
        </w:rPr>
      </w:pPr>
    </w:p>
    <w:p w14:paraId="26D24969" w14:textId="77777777" w:rsidR="00FF2553" w:rsidRDefault="00FF2553" w:rsidP="00FF2553">
      <w:pPr>
        <w:tabs>
          <w:tab w:val="left" w:pos="567"/>
          <w:tab w:val="left" w:pos="720"/>
        </w:tabs>
        <w:rPr>
          <w:rFonts w:eastAsia="Times New Roman"/>
        </w:rPr>
      </w:pPr>
    </w:p>
    <w:p w14:paraId="6C571882" w14:textId="77777777" w:rsidR="00FF2553" w:rsidRDefault="00FF2553" w:rsidP="00FF2553">
      <w:pPr>
        <w:tabs>
          <w:tab w:val="left" w:pos="567"/>
          <w:tab w:val="left" w:pos="720"/>
        </w:tabs>
        <w:rPr>
          <w:rFonts w:eastAsia="Times New Roman"/>
        </w:rPr>
      </w:pPr>
    </w:p>
    <w:p w14:paraId="64542B7C" w14:textId="77777777" w:rsidR="00FF2553" w:rsidRDefault="00FF2553" w:rsidP="00FF2553">
      <w:pPr>
        <w:tabs>
          <w:tab w:val="left" w:pos="567"/>
          <w:tab w:val="left" w:pos="720"/>
        </w:tabs>
        <w:rPr>
          <w:rFonts w:eastAsia="Times New Roman"/>
        </w:rPr>
      </w:pPr>
    </w:p>
    <w:p w14:paraId="0C15226B" w14:textId="77777777" w:rsidR="00FF2553" w:rsidRDefault="00FF2553" w:rsidP="00FF2553">
      <w:pPr>
        <w:tabs>
          <w:tab w:val="left" w:pos="567"/>
          <w:tab w:val="left" w:pos="720"/>
        </w:tabs>
        <w:rPr>
          <w:rFonts w:eastAsia="Times New Roman"/>
        </w:rPr>
      </w:pPr>
    </w:p>
    <w:p w14:paraId="21D62BB4" w14:textId="77777777" w:rsidR="00FF2553" w:rsidRDefault="00FF2553" w:rsidP="00FF2553">
      <w:pPr>
        <w:tabs>
          <w:tab w:val="left" w:pos="567"/>
          <w:tab w:val="left" w:pos="720"/>
        </w:tabs>
        <w:rPr>
          <w:rFonts w:eastAsia="Times New Roman"/>
        </w:rPr>
      </w:pPr>
    </w:p>
    <w:p w14:paraId="30576126" w14:textId="77777777" w:rsidR="00FF2553" w:rsidRDefault="00FF2553" w:rsidP="00FF2553">
      <w:pPr>
        <w:tabs>
          <w:tab w:val="left" w:pos="567"/>
          <w:tab w:val="left" w:pos="720"/>
        </w:tabs>
        <w:rPr>
          <w:rFonts w:eastAsia="Times New Roman"/>
        </w:rPr>
      </w:pPr>
    </w:p>
    <w:p w14:paraId="2336B098" w14:textId="77777777" w:rsidR="00FF2553" w:rsidRDefault="00FF2553" w:rsidP="00FF2553">
      <w:pPr>
        <w:tabs>
          <w:tab w:val="left" w:pos="567"/>
          <w:tab w:val="left" w:pos="720"/>
        </w:tabs>
        <w:rPr>
          <w:rFonts w:eastAsia="Times New Roman"/>
        </w:rPr>
      </w:pPr>
    </w:p>
    <w:p w14:paraId="04217D21" w14:textId="77777777" w:rsidR="00FF2553" w:rsidRDefault="00FF2553" w:rsidP="00FF2553">
      <w:pPr>
        <w:tabs>
          <w:tab w:val="left" w:pos="567"/>
          <w:tab w:val="left" w:pos="720"/>
        </w:tabs>
        <w:rPr>
          <w:rFonts w:eastAsia="Times New Roman"/>
        </w:rPr>
      </w:pPr>
    </w:p>
    <w:p w14:paraId="13CA2086" w14:textId="77777777" w:rsidR="00FF2553" w:rsidRDefault="00FF2553" w:rsidP="00FF2553">
      <w:pPr>
        <w:tabs>
          <w:tab w:val="left" w:pos="567"/>
          <w:tab w:val="left" w:pos="720"/>
        </w:tabs>
        <w:rPr>
          <w:rFonts w:eastAsia="Times New Roman"/>
        </w:rPr>
      </w:pPr>
    </w:p>
    <w:p w14:paraId="4C4E7DBC" w14:textId="77777777" w:rsidR="00FF2553" w:rsidRDefault="00FF2553" w:rsidP="00FF2553">
      <w:pPr>
        <w:tabs>
          <w:tab w:val="left" w:pos="567"/>
          <w:tab w:val="left" w:pos="720"/>
        </w:tabs>
        <w:rPr>
          <w:rFonts w:eastAsia="Times New Roman"/>
        </w:rPr>
      </w:pPr>
    </w:p>
    <w:p w14:paraId="3637CF71" w14:textId="77777777" w:rsidR="00FF2553" w:rsidRDefault="00FF2553" w:rsidP="00FF2553">
      <w:pPr>
        <w:rPr>
          <w:szCs w:val="20"/>
        </w:rPr>
      </w:pPr>
      <w:bookmarkStart w:id="16" w:name="_GoBack"/>
      <w:bookmarkEnd w:id="16"/>
      <w:r>
        <w:rPr>
          <w:szCs w:val="20"/>
        </w:rPr>
        <w:t xml:space="preserve">Corte IDH. </w:t>
      </w:r>
      <w:r>
        <w:rPr>
          <w:i/>
          <w:szCs w:val="20"/>
        </w:rPr>
        <w:t>Caso Comunidades indígenas m</w:t>
      </w:r>
      <w:r w:rsidRPr="008A5EB5">
        <w:rPr>
          <w:i/>
          <w:szCs w:val="20"/>
        </w:rPr>
        <w:t>iembros de la Asociación Lhaka Honhat (Nuestra Tierra) Vs. Argentina.</w:t>
      </w:r>
      <w:r>
        <w:rPr>
          <w:szCs w:val="20"/>
        </w:rPr>
        <w:t xml:space="preserve"> </w:t>
      </w:r>
      <w:r w:rsidRPr="008A5EB5">
        <w:rPr>
          <w:i/>
          <w:szCs w:val="20"/>
        </w:rPr>
        <w:t>Interpretación de la Sentencia de Fondo, Reparaciones y Costas</w:t>
      </w:r>
      <w:r>
        <w:rPr>
          <w:szCs w:val="20"/>
        </w:rPr>
        <w:t>. Sentencia de 24 de noviembre de 2020.</w:t>
      </w:r>
    </w:p>
    <w:p w14:paraId="161DEEC8" w14:textId="77777777" w:rsidR="00FF2553" w:rsidRDefault="00FF2553" w:rsidP="00FF2553">
      <w:pPr>
        <w:rPr>
          <w:szCs w:val="20"/>
        </w:rPr>
      </w:pPr>
    </w:p>
    <w:p w14:paraId="155E2223" w14:textId="77777777" w:rsidR="00FF2553" w:rsidRDefault="00FF2553" w:rsidP="00FF2553">
      <w:pPr>
        <w:jc w:val="center"/>
        <w:rPr>
          <w:lang w:val="pt-BR"/>
        </w:rPr>
      </w:pPr>
    </w:p>
    <w:p w14:paraId="3D4E7392" w14:textId="77777777" w:rsidR="00FF2553" w:rsidRDefault="00FF2553" w:rsidP="00FF2553">
      <w:pPr>
        <w:jc w:val="center"/>
        <w:rPr>
          <w:lang w:val="pt-BR"/>
        </w:rPr>
      </w:pPr>
    </w:p>
    <w:p w14:paraId="05B47645" w14:textId="77777777" w:rsidR="00FF2553" w:rsidRDefault="00FF2553" w:rsidP="00FF2553">
      <w:pPr>
        <w:jc w:val="center"/>
        <w:rPr>
          <w:lang w:val="pt-BR"/>
        </w:rPr>
      </w:pPr>
    </w:p>
    <w:p w14:paraId="7729DA74" w14:textId="77777777" w:rsidR="00FF2553" w:rsidRDefault="00FF2553" w:rsidP="00FF2553">
      <w:pPr>
        <w:tabs>
          <w:tab w:val="left" w:pos="2027"/>
        </w:tabs>
        <w:rPr>
          <w:lang w:val="pt-BR"/>
        </w:rPr>
      </w:pPr>
      <w:r>
        <w:rPr>
          <w:lang w:val="pt-BR"/>
        </w:rPr>
        <w:tab/>
      </w:r>
    </w:p>
    <w:p w14:paraId="1BAE867C" w14:textId="77777777" w:rsidR="00FF2553" w:rsidRDefault="00FF2553" w:rsidP="00FF2553">
      <w:pPr>
        <w:jc w:val="center"/>
        <w:rPr>
          <w:lang w:val="pt-BR"/>
        </w:rPr>
      </w:pPr>
      <w:r>
        <w:rPr>
          <w:lang w:val="pt-BR"/>
        </w:rPr>
        <w:t>Elizabeth Odio Benito</w:t>
      </w:r>
    </w:p>
    <w:p w14:paraId="1169FDB8" w14:textId="77777777" w:rsidR="00FF2553" w:rsidRDefault="00FF2553" w:rsidP="00FF2553">
      <w:pPr>
        <w:jc w:val="center"/>
        <w:rPr>
          <w:lang w:val="pt-BR"/>
        </w:rPr>
      </w:pPr>
      <w:r>
        <w:rPr>
          <w:lang w:val="pt-BR"/>
        </w:rPr>
        <w:t>Presidenta</w:t>
      </w:r>
    </w:p>
    <w:p w14:paraId="2A3737F0" w14:textId="77777777" w:rsidR="00FF2553" w:rsidRDefault="00FF2553" w:rsidP="00FF2553">
      <w:pPr>
        <w:jc w:val="center"/>
        <w:rPr>
          <w:lang w:val="pt-BR"/>
        </w:rPr>
      </w:pPr>
    </w:p>
    <w:p w14:paraId="2369BF97" w14:textId="77777777" w:rsidR="00FF2553" w:rsidRDefault="00FF2553" w:rsidP="00FF2553">
      <w:pPr>
        <w:jc w:val="center"/>
        <w:rPr>
          <w:lang w:val="pt-BR"/>
        </w:rPr>
      </w:pPr>
    </w:p>
    <w:p w14:paraId="2AE7CFAF" w14:textId="77777777" w:rsidR="00FF2553" w:rsidRDefault="00FF2553" w:rsidP="00FF2553">
      <w:pPr>
        <w:ind w:firstLine="720"/>
        <w:rPr>
          <w:lang w:val="pt-BR"/>
        </w:rPr>
      </w:pPr>
    </w:p>
    <w:p w14:paraId="1A173F86" w14:textId="77777777" w:rsidR="00FF2553" w:rsidRDefault="00FF2553" w:rsidP="00FF2553">
      <w:pPr>
        <w:rPr>
          <w:lang w:val="pt-BR"/>
        </w:rPr>
      </w:pPr>
    </w:p>
    <w:p w14:paraId="08ECAE15" w14:textId="6282AA33" w:rsidR="00FF2553" w:rsidRDefault="00FF2553" w:rsidP="00FF2553">
      <w:pPr>
        <w:jc w:val="center"/>
        <w:rPr>
          <w:lang w:val="pt-BR"/>
        </w:rPr>
      </w:pPr>
      <w:r>
        <w:rPr>
          <w:lang w:val="pt-BR"/>
        </w:rPr>
        <w:t>L. Patricio Pazmiño Frei</w:t>
      </w:r>
      <w:r w:rsidRPr="0019261A">
        <w:rPr>
          <w:lang w:val="pt-BR"/>
        </w:rPr>
        <w:t>re</w:t>
      </w:r>
      <w:r>
        <w:rPr>
          <w:lang w:val="pt-BR"/>
        </w:rPr>
        <w:tab/>
      </w:r>
      <w:r>
        <w:rPr>
          <w:lang w:val="pt-BR"/>
        </w:rPr>
        <w:tab/>
      </w:r>
      <w:r>
        <w:rPr>
          <w:lang w:val="pt-BR"/>
        </w:rPr>
        <w:tab/>
      </w:r>
      <w:r>
        <w:rPr>
          <w:lang w:val="pt-BR"/>
        </w:rPr>
        <w:tab/>
      </w:r>
      <w:r>
        <w:rPr>
          <w:lang w:val="pt-BR"/>
        </w:rPr>
        <w:tab/>
      </w:r>
      <w:r>
        <w:rPr>
          <w:lang w:val="pt-BR"/>
        </w:rPr>
        <w:tab/>
        <w:t xml:space="preserve">     Eduardo Vio Grossi</w:t>
      </w:r>
    </w:p>
    <w:p w14:paraId="7ADF0A28" w14:textId="77777777" w:rsidR="00FF2553" w:rsidRPr="001C57DF" w:rsidRDefault="00FF2553" w:rsidP="00FF2553">
      <w:pPr>
        <w:rPr>
          <w:lang w:val="pt-BR"/>
        </w:rPr>
      </w:pPr>
    </w:p>
    <w:p w14:paraId="59959904" w14:textId="77777777" w:rsidR="00FF2553" w:rsidRDefault="00FF2553" w:rsidP="00FF2553">
      <w:pPr>
        <w:rPr>
          <w:lang w:val="pt-BR"/>
        </w:rPr>
      </w:pPr>
    </w:p>
    <w:p w14:paraId="5B1C0B4A" w14:textId="77777777" w:rsidR="00FF2553" w:rsidRDefault="00FF2553" w:rsidP="00FF2553">
      <w:pPr>
        <w:rPr>
          <w:lang w:val="pt-BR"/>
        </w:rPr>
      </w:pPr>
    </w:p>
    <w:p w14:paraId="5DE9F1BE" w14:textId="77777777" w:rsidR="00FF2553" w:rsidRDefault="00FF2553" w:rsidP="00FF2553">
      <w:pPr>
        <w:rPr>
          <w:lang w:val="pt-BR"/>
        </w:rPr>
      </w:pPr>
    </w:p>
    <w:p w14:paraId="72EBFA62" w14:textId="77777777" w:rsidR="00FF2553" w:rsidRDefault="00FF2553" w:rsidP="00FF2553">
      <w:pPr>
        <w:rPr>
          <w:lang w:val="pt-BR"/>
        </w:rPr>
      </w:pPr>
    </w:p>
    <w:p w14:paraId="61F1852D" w14:textId="49C86202" w:rsidR="00FF2553" w:rsidRDefault="00FF2553" w:rsidP="00FF2553">
      <w:pPr>
        <w:jc w:val="center"/>
        <w:rPr>
          <w:lang w:val="pt-BR"/>
        </w:rPr>
      </w:pPr>
      <w:r>
        <w:rPr>
          <w:lang w:val="pt-BR"/>
        </w:rPr>
        <w:t>Humberto Antonio Sierra Porto</w:t>
      </w:r>
      <w:r>
        <w:rPr>
          <w:lang w:val="pt-BR"/>
        </w:rPr>
        <w:tab/>
      </w:r>
      <w:r>
        <w:rPr>
          <w:lang w:val="pt-BR"/>
        </w:rPr>
        <w:tab/>
      </w:r>
      <w:r>
        <w:rPr>
          <w:lang w:val="pt-BR"/>
        </w:rPr>
        <w:tab/>
        <w:t xml:space="preserve">      Eduardo Ferrer Mac-Gregor Poisot</w:t>
      </w:r>
      <w:r w:rsidRPr="0019261A">
        <w:rPr>
          <w:lang w:val="pt-BR"/>
        </w:rPr>
        <w:tab/>
      </w:r>
      <w:r>
        <w:rPr>
          <w:lang w:val="pt-BR"/>
        </w:rPr>
        <w:t xml:space="preserve">                                                   </w:t>
      </w:r>
    </w:p>
    <w:p w14:paraId="098EE7B1" w14:textId="77777777" w:rsidR="00FF2553" w:rsidRDefault="00FF2553" w:rsidP="00FF2553">
      <w:pPr>
        <w:rPr>
          <w:lang w:val="pt-BR"/>
        </w:rPr>
      </w:pPr>
    </w:p>
    <w:p w14:paraId="4A5B2AB2" w14:textId="77777777" w:rsidR="00FF2553" w:rsidRDefault="00FF2553" w:rsidP="00FF2553">
      <w:pPr>
        <w:rPr>
          <w:lang w:val="pt-BR"/>
        </w:rPr>
      </w:pPr>
    </w:p>
    <w:p w14:paraId="6BF9B3B2" w14:textId="77777777" w:rsidR="00FF2553" w:rsidRDefault="00FF2553" w:rsidP="00FF2553">
      <w:pPr>
        <w:rPr>
          <w:lang w:val="pt-BR"/>
        </w:rPr>
      </w:pPr>
    </w:p>
    <w:p w14:paraId="656FA7E0" w14:textId="77777777" w:rsidR="00FF2553" w:rsidRDefault="00FF2553" w:rsidP="00FF2553">
      <w:pPr>
        <w:rPr>
          <w:lang w:val="pt-BR"/>
        </w:rPr>
      </w:pPr>
    </w:p>
    <w:p w14:paraId="07883217" w14:textId="77777777" w:rsidR="00FF2553" w:rsidRDefault="00FF2553" w:rsidP="00FF2553">
      <w:pPr>
        <w:rPr>
          <w:lang w:val="pt-BR"/>
        </w:rPr>
      </w:pPr>
    </w:p>
    <w:p w14:paraId="2681CDC0" w14:textId="77777777" w:rsidR="00FF2553" w:rsidRDefault="00FF2553" w:rsidP="00FF2553">
      <w:pPr>
        <w:rPr>
          <w:lang w:val="pt-BR"/>
        </w:rPr>
      </w:pPr>
    </w:p>
    <w:p w14:paraId="5CBF057B" w14:textId="77777777" w:rsidR="00FF2553" w:rsidRDefault="00FF2553" w:rsidP="00FF2553">
      <w:pPr>
        <w:rPr>
          <w:lang w:val="pt-BR"/>
        </w:rPr>
      </w:pPr>
    </w:p>
    <w:p w14:paraId="27422B82" w14:textId="77777777" w:rsidR="00FF2553" w:rsidRPr="0019261A" w:rsidRDefault="00FF2553" w:rsidP="00FF2553">
      <w:pPr>
        <w:jc w:val="center"/>
        <w:rPr>
          <w:lang w:val="pt-BR"/>
        </w:rPr>
      </w:pPr>
      <w:r>
        <w:rPr>
          <w:lang w:val="pt-BR"/>
        </w:rPr>
        <w:t>Ricardo C. Pérez Manrique</w:t>
      </w:r>
    </w:p>
    <w:p w14:paraId="308BDC51" w14:textId="77777777" w:rsidR="00FF2553" w:rsidRDefault="00FF2553" w:rsidP="00FF2553">
      <w:pPr>
        <w:rPr>
          <w:lang w:val="pt-BR"/>
        </w:rPr>
      </w:pPr>
    </w:p>
    <w:p w14:paraId="008FCAD9" w14:textId="77777777" w:rsidR="00FF2553" w:rsidRDefault="00FF2553" w:rsidP="00FF2553">
      <w:pPr>
        <w:rPr>
          <w:lang w:val="pt-BR"/>
        </w:rPr>
      </w:pPr>
    </w:p>
    <w:p w14:paraId="27659BE2" w14:textId="77777777" w:rsidR="00FF2553" w:rsidRDefault="00FF2553" w:rsidP="00FF2553">
      <w:pPr>
        <w:rPr>
          <w:lang w:val="pt-BR"/>
        </w:rPr>
      </w:pPr>
    </w:p>
    <w:p w14:paraId="7F3EC31A" w14:textId="77777777" w:rsidR="00FF2553" w:rsidRDefault="00FF2553" w:rsidP="00FF2553">
      <w:pPr>
        <w:rPr>
          <w:lang w:val="pt-BR"/>
        </w:rPr>
      </w:pPr>
    </w:p>
    <w:p w14:paraId="25CFC78E" w14:textId="77777777" w:rsidR="00FF2553" w:rsidRDefault="00FF2553" w:rsidP="00FF2553">
      <w:pPr>
        <w:rPr>
          <w:lang w:val="pt-BR"/>
        </w:rPr>
      </w:pPr>
    </w:p>
    <w:p w14:paraId="2F2748E9" w14:textId="77777777" w:rsidR="00FF2553" w:rsidRPr="0019261A" w:rsidRDefault="00FF2553" w:rsidP="00FF2553">
      <w:pPr>
        <w:rPr>
          <w:lang w:val="pt-BR"/>
        </w:rPr>
      </w:pPr>
    </w:p>
    <w:p w14:paraId="1124E093" w14:textId="77777777" w:rsidR="00FF2553" w:rsidRPr="00FC4051" w:rsidRDefault="00FF2553" w:rsidP="00FF2553">
      <w:pPr>
        <w:jc w:val="center"/>
        <w:rPr>
          <w:lang w:val="pt-BR"/>
        </w:rPr>
      </w:pPr>
      <w:r w:rsidRPr="00FC4051">
        <w:rPr>
          <w:lang w:val="pt-BR"/>
        </w:rPr>
        <w:t>Pablo Saavedra Alessandri</w:t>
      </w:r>
    </w:p>
    <w:p w14:paraId="4EC81748" w14:textId="77777777" w:rsidR="00FF2553" w:rsidRDefault="00FF2553" w:rsidP="00FF2553">
      <w:pPr>
        <w:jc w:val="center"/>
        <w:rPr>
          <w:lang w:val="pt-BR"/>
        </w:rPr>
      </w:pPr>
      <w:r w:rsidRPr="00FC4051">
        <w:rPr>
          <w:lang w:val="pt-BR"/>
        </w:rPr>
        <w:t>Secret</w:t>
      </w:r>
      <w:r>
        <w:rPr>
          <w:lang w:val="pt-BR"/>
        </w:rPr>
        <w:t>a</w:t>
      </w:r>
      <w:r w:rsidRPr="00FC4051">
        <w:rPr>
          <w:lang w:val="pt-BR"/>
        </w:rPr>
        <w:t>rio</w:t>
      </w:r>
    </w:p>
    <w:p w14:paraId="6D32019E" w14:textId="77777777" w:rsidR="00FF2553" w:rsidRDefault="00FF2553" w:rsidP="00FF2553">
      <w:pPr>
        <w:jc w:val="center"/>
        <w:rPr>
          <w:lang w:val="pt-BR"/>
        </w:rPr>
      </w:pPr>
    </w:p>
    <w:p w14:paraId="3274E9C9" w14:textId="77777777" w:rsidR="00FF2553" w:rsidRPr="00FC4051" w:rsidRDefault="00FF2553" w:rsidP="00FF2553">
      <w:pPr>
        <w:pStyle w:val="FootnoteText"/>
        <w:rPr>
          <w:lang w:val="pt-BR"/>
        </w:rPr>
      </w:pPr>
    </w:p>
    <w:p w14:paraId="4A398056" w14:textId="77777777" w:rsidR="00FF2553" w:rsidRPr="00FC4051" w:rsidRDefault="00FF2553" w:rsidP="00FF2553">
      <w:pPr>
        <w:rPr>
          <w:lang w:val="pt-BR"/>
        </w:rPr>
      </w:pPr>
      <w:r>
        <w:rPr>
          <w:lang w:val="pt-BR"/>
        </w:rPr>
        <w:t>Comuníquese y ejecútese</w:t>
      </w:r>
      <w:r w:rsidRPr="00FC4051">
        <w:rPr>
          <w:lang w:val="pt-BR"/>
        </w:rPr>
        <w:t>,</w:t>
      </w:r>
    </w:p>
    <w:p w14:paraId="1AFD458D" w14:textId="77777777" w:rsidR="00FF2553" w:rsidRPr="00FC4051" w:rsidRDefault="00FF2553" w:rsidP="00FF2553">
      <w:pPr>
        <w:rPr>
          <w:lang w:val="pt-BR"/>
        </w:rPr>
      </w:pPr>
    </w:p>
    <w:p w14:paraId="0161F1B1" w14:textId="77777777" w:rsidR="00FF2553" w:rsidRDefault="00FF2553" w:rsidP="00FF2553">
      <w:pPr>
        <w:jc w:val="center"/>
        <w:rPr>
          <w:lang w:val="pt-BR"/>
        </w:rPr>
      </w:pPr>
    </w:p>
    <w:p w14:paraId="2581C102" w14:textId="77777777" w:rsidR="00FF2553" w:rsidRPr="00FC4051" w:rsidRDefault="00FF2553" w:rsidP="00FF2553">
      <w:pPr>
        <w:jc w:val="right"/>
        <w:rPr>
          <w:lang w:val="pt-BR"/>
        </w:rPr>
      </w:pPr>
    </w:p>
    <w:p w14:paraId="7DD63BEC" w14:textId="1C6F7863" w:rsidR="00FF2553" w:rsidRDefault="00FF2553" w:rsidP="00FF2553">
      <w:pPr>
        <w:jc w:val="center"/>
        <w:rPr>
          <w:lang w:val="pt-BR"/>
        </w:rPr>
      </w:pPr>
      <w:r>
        <w:rPr>
          <w:lang w:val="pt-BR"/>
        </w:rPr>
        <w:t xml:space="preserve">                                                                                              Elizabeth Odio Benito</w:t>
      </w:r>
    </w:p>
    <w:p w14:paraId="1EC5BC0B" w14:textId="77777777" w:rsidR="00FF2553" w:rsidRDefault="00FF2553" w:rsidP="00FF2553">
      <w:pPr>
        <w:ind w:firstLine="720"/>
        <w:rPr>
          <w:lang w:val="pt-BR"/>
        </w:rPr>
      </w:pPr>
      <w:r>
        <w:rPr>
          <w:lang w:val="pt-BR"/>
        </w:rPr>
        <w:t xml:space="preserve">     </w:t>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t xml:space="preserve">   Presidenta</w:t>
      </w:r>
    </w:p>
    <w:p w14:paraId="22CBB210" w14:textId="77777777" w:rsidR="00FF2553" w:rsidRDefault="00FF2553" w:rsidP="00FF2553">
      <w:pPr>
        <w:ind w:firstLine="720"/>
        <w:rPr>
          <w:lang w:val="pt-BR"/>
        </w:rPr>
      </w:pPr>
    </w:p>
    <w:p w14:paraId="563DA11A" w14:textId="77777777" w:rsidR="00FF2553" w:rsidRPr="00FC4051" w:rsidRDefault="00FF2553" w:rsidP="00FF2553">
      <w:pPr>
        <w:rPr>
          <w:lang w:val="pt-BR"/>
        </w:rPr>
      </w:pPr>
    </w:p>
    <w:p w14:paraId="155A4B59" w14:textId="77777777" w:rsidR="00FF2553" w:rsidRPr="00FC4051" w:rsidRDefault="00FF2553" w:rsidP="00FF2553">
      <w:pPr>
        <w:rPr>
          <w:lang w:val="pt-BR"/>
        </w:rPr>
      </w:pPr>
      <w:r w:rsidRPr="00FC4051">
        <w:rPr>
          <w:lang w:val="pt-BR"/>
        </w:rPr>
        <w:t>Pablo Saavedra Alessandri</w:t>
      </w:r>
    </w:p>
    <w:p w14:paraId="227A0B09" w14:textId="0BA42332" w:rsidR="004E3943" w:rsidRDefault="00FF2553">
      <w:r>
        <w:rPr>
          <w:lang w:val="pt-BR"/>
        </w:rPr>
        <w:t xml:space="preserve">          </w:t>
      </w:r>
      <w:r w:rsidRPr="0019261A">
        <w:t>Secret</w:t>
      </w:r>
      <w:r>
        <w:t>ario</w:t>
      </w:r>
    </w:p>
    <w:sectPr w:rsidR="004E3943" w:rsidSect="00D034A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1286F" w14:textId="77777777" w:rsidR="00DB2A67" w:rsidRDefault="00DB2A67" w:rsidP="00AE74FC">
      <w:r>
        <w:separator/>
      </w:r>
    </w:p>
  </w:endnote>
  <w:endnote w:type="continuationSeparator" w:id="0">
    <w:p w14:paraId="181D6589" w14:textId="77777777" w:rsidR="00DB2A67" w:rsidRDefault="00DB2A67" w:rsidP="00AE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Italic">
    <w:altName w:val="Malgun Gothic Semilight"/>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922176"/>
      <w:docPartObj>
        <w:docPartGallery w:val="Page Numbers (Bottom of Page)"/>
        <w:docPartUnique/>
      </w:docPartObj>
    </w:sdtPr>
    <w:sdtEndPr/>
    <w:sdtContent>
      <w:p w14:paraId="42742F0F" w14:textId="4FAF8216" w:rsidR="0040235D" w:rsidRDefault="0040235D">
        <w:pPr>
          <w:pStyle w:val="Footer"/>
          <w:jc w:val="center"/>
        </w:pPr>
        <w:r>
          <w:fldChar w:fldCharType="begin"/>
        </w:r>
        <w:r>
          <w:instrText>PAGE   \* MERGEFORMAT</w:instrText>
        </w:r>
        <w:r>
          <w:fldChar w:fldCharType="separate"/>
        </w:r>
        <w:r w:rsidR="000770ED">
          <w:rPr>
            <w:noProof/>
          </w:rPr>
          <w:t>10</w:t>
        </w:r>
        <w:r>
          <w:fldChar w:fldCharType="end"/>
        </w:r>
      </w:p>
    </w:sdtContent>
  </w:sdt>
  <w:p w14:paraId="7E3E2F82" w14:textId="77777777" w:rsidR="0040235D" w:rsidRDefault="00402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322C4" w14:textId="77777777" w:rsidR="00DB2A67" w:rsidRDefault="00DB2A67" w:rsidP="00AE74FC">
      <w:r>
        <w:separator/>
      </w:r>
    </w:p>
  </w:footnote>
  <w:footnote w:type="continuationSeparator" w:id="0">
    <w:p w14:paraId="78F12970" w14:textId="77777777" w:rsidR="00DB2A67" w:rsidRDefault="00DB2A67" w:rsidP="00AE74FC">
      <w:r>
        <w:continuationSeparator/>
      </w:r>
    </w:p>
  </w:footnote>
  <w:footnote w:id="1">
    <w:p w14:paraId="6E4BE24C" w14:textId="139C07AD" w:rsidR="006A2CCC" w:rsidRPr="006A2CCC" w:rsidRDefault="006A2CCC">
      <w:pPr>
        <w:pStyle w:val="FootnoteText"/>
        <w:rPr>
          <w:lang w:val="es-CR"/>
        </w:rPr>
      </w:pPr>
      <w:r w:rsidRPr="006A2CCC">
        <w:rPr>
          <w:rStyle w:val="FootnoteReference"/>
        </w:rPr>
        <w:sym w:font="Symbol" w:char="F02A"/>
      </w:r>
      <w:r>
        <w:t xml:space="preserve"> </w:t>
      </w:r>
      <w:r>
        <w:tab/>
      </w:r>
      <w:r w:rsidRPr="00853716">
        <w:rPr>
          <w:szCs w:val="16"/>
          <w:lang w:val="es-CR"/>
        </w:rPr>
        <w:t>El Juez Eugenio Raúl Zaffaroni, de nacionalidad argentina, no participó en la tramitación del presente caso ni en la deliberación y firma de esta Sentencia, de conformidad con lo dispuesto en los artículos 19.1 y 19.2 del Reglamento de la Corte.</w:t>
      </w:r>
    </w:p>
  </w:footnote>
  <w:footnote w:id="2">
    <w:p w14:paraId="00A64D64" w14:textId="6D3B8FD2" w:rsidR="006A2CCC" w:rsidRPr="006A2CCC" w:rsidRDefault="006A2CCC">
      <w:pPr>
        <w:pStyle w:val="FootnoteText"/>
        <w:rPr>
          <w:lang w:val="es-CR"/>
        </w:rPr>
      </w:pPr>
      <w:r w:rsidRPr="006A2CCC">
        <w:rPr>
          <w:rStyle w:val="FootnoteReference"/>
        </w:rPr>
        <w:sym w:font="Symbol" w:char="F02A"/>
      </w:r>
      <w:r w:rsidRPr="006A2CCC">
        <w:rPr>
          <w:rStyle w:val="FootnoteReference"/>
        </w:rPr>
        <w:sym w:font="Symbol" w:char="F02A"/>
      </w:r>
      <w:r>
        <w:t xml:space="preserve">  </w:t>
      </w:r>
      <w:r>
        <w:tab/>
      </w:r>
      <w:r w:rsidRPr="00853716">
        <w:rPr>
          <w:szCs w:val="16"/>
        </w:rPr>
        <w:t>La Secretaria Adjunta, Romina I. Sijniensky, no participó en la tramitación del presente caso ni en la deliberación y firma de esta Sentencia.</w:t>
      </w:r>
    </w:p>
  </w:footnote>
  <w:footnote w:id="3">
    <w:p w14:paraId="14B55411" w14:textId="123B2EFE" w:rsidR="00472324" w:rsidRDefault="00472324" w:rsidP="00BA587C">
      <w:pPr>
        <w:pStyle w:val="FootnoteText"/>
        <w:spacing w:before="0" w:after="0"/>
        <w:rPr>
          <w:szCs w:val="16"/>
          <w:lang w:val="es-CR"/>
        </w:rPr>
      </w:pPr>
      <w:r w:rsidRPr="00853716">
        <w:rPr>
          <w:rStyle w:val="FootnoteReference"/>
          <w:szCs w:val="16"/>
        </w:rPr>
        <w:footnoteRef/>
      </w:r>
      <w:r w:rsidRPr="00853716">
        <w:rPr>
          <w:szCs w:val="16"/>
        </w:rPr>
        <w:t xml:space="preserve"> </w:t>
      </w:r>
      <w:r w:rsidRPr="00853716">
        <w:rPr>
          <w:szCs w:val="16"/>
        </w:rPr>
        <w:tab/>
        <w:t xml:space="preserve">Los representantes de las víctimas son </w:t>
      </w:r>
      <w:r w:rsidRPr="00853716">
        <w:rPr>
          <w:szCs w:val="16"/>
          <w:lang w:val="es-CR"/>
        </w:rPr>
        <w:t>el la Asociación de Comun</w:t>
      </w:r>
      <w:r w:rsidR="00A72B8B">
        <w:rPr>
          <w:szCs w:val="16"/>
          <w:lang w:val="es-CR"/>
        </w:rPr>
        <w:t>idades Aborígenes Lhaka Honhat (</w:t>
      </w:r>
      <w:r w:rsidRPr="00853716">
        <w:rPr>
          <w:szCs w:val="16"/>
          <w:lang w:val="es-CR"/>
        </w:rPr>
        <w:t xml:space="preserve">Nuestra Tierra) y el Centro de Estudios Legales y Sociales (CELS). </w:t>
      </w:r>
    </w:p>
    <w:p w14:paraId="0B66DC75" w14:textId="77777777" w:rsidR="00472324" w:rsidRPr="00853716" w:rsidRDefault="00472324" w:rsidP="00BA587C">
      <w:pPr>
        <w:pStyle w:val="FootnoteText"/>
        <w:spacing w:before="0" w:after="0"/>
        <w:rPr>
          <w:szCs w:val="16"/>
        </w:rPr>
      </w:pPr>
    </w:p>
  </w:footnote>
  <w:footnote w:id="4">
    <w:p w14:paraId="5FEF5122" w14:textId="2907E0A6" w:rsidR="00030AD9" w:rsidRDefault="00030AD9" w:rsidP="00030AD9">
      <w:pPr>
        <w:pStyle w:val="FootnoteText"/>
        <w:spacing w:before="0" w:after="0"/>
        <w:rPr>
          <w:rFonts w:cs="Calibri"/>
          <w:szCs w:val="16"/>
          <w:lang w:val="es-AR" w:eastAsia="es-ES_tradnl"/>
        </w:rPr>
      </w:pPr>
      <w:r>
        <w:rPr>
          <w:rStyle w:val="FootnoteReference"/>
        </w:rPr>
        <w:footnoteRef/>
      </w:r>
      <w:r>
        <w:t xml:space="preserve"> </w:t>
      </w:r>
      <w:r>
        <w:tab/>
      </w:r>
      <w:r w:rsidRPr="00853716">
        <w:rPr>
          <w:rFonts w:cs="Calibri"/>
          <w:szCs w:val="16"/>
          <w:lang w:val="es-AR" w:eastAsia="es-ES_tradnl"/>
        </w:rPr>
        <w:t xml:space="preserve">Debido a las circunstancias excepcionales ocasionadas por la pandemia COVID-19, esta Sentencia fue deliberada y aprobada durante el </w:t>
      </w:r>
      <w:r w:rsidRPr="00CB6E74">
        <w:rPr>
          <w:rFonts w:cs="Calibri"/>
          <w:szCs w:val="16"/>
          <w:lang w:val="es-AR" w:eastAsia="es-ES_tradnl"/>
        </w:rPr>
        <w:t>138</w:t>
      </w:r>
      <w:r w:rsidRPr="00853716">
        <w:rPr>
          <w:rFonts w:cs="Calibri"/>
          <w:szCs w:val="16"/>
          <w:lang w:val="es-AR" w:eastAsia="es-ES_tradnl"/>
        </w:rPr>
        <w:t xml:space="preserve"> Período Ordinario de Sesiones, el cual se llevó a cabo de forma no presencial utilizando medios tecnológicos de conformidad con lo establecido en el Reglamento de la Corte.</w:t>
      </w:r>
    </w:p>
    <w:p w14:paraId="4FB23094" w14:textId="1BB7D60B" w:rsidR="00030AD9" w:rsidRPr="00030AD9" w:rsidRDefault="00030AD9">
      <w:pPr>
        <w:pStyle w:val="FootnoteText"/>
        <w:rPr>
          <w:lang w:val="es-CR"/>
        </w:rPr>
      </w:pPr>
    </w:p>
  </w:footnote>
  <w:footnote w:id="5">
    <w:p w14:paraId="04242489" w14:textId="5314680A" w:rsidR="00472324" w:rsidRPr="00CB1C30" w:rsidRDefault="00472324" w:rsidP="00BA587C">
      <w:pPr>
        <w:pStyle w:val="FootnoteText"/>
        <w:spacing w:before="0" w:after="0"/>
        <w:rPr>
          <w:bCs/>
          <w:color w:val="000000"/>
          <w:szCs w:val="16"/>
          <w:lang w:val="es-ES"/>
        </w:rPr>
      </w:pPr>
      <w:r w:rsidRPr="00853716">
        <w:rPr>
          <w:rStyle w:val="FootnoteReference"/>
          <w:szCs w:val="16"/>
          <w:lang w:val="es-CO"/>
        </w:rPr>
        <w:footnoteRef/>
      </w:r>
      <w:r w:rsidRPr="00853716">
        <w:rPr>
          <w:szCs w:val="16"/>
          <w:lang w:val="es-CO"/>
        </w:rPr>
        <w:t xml:space="preserve"> </w:t>
      </w:r>
      <w:r w:rsidRPr="00853716">
        <w:rPr>
          <w:szCs w:val="16"/>
          <w:lang w:val="es-CO"/>
        </w:rPr>
        <w:tab/>
      </w:r>
      <w:r w:rsidRPr="00853716">
        <w:rPr>
          <w:i/>
          <w:szCs w:val="16"/>
          <w:lang w:val="es-CO"/>
        </w:rPr>
        <w:t xml:space="preserve">Cfr. </w:t>
      </w:r>
      <w:r w:rsidRPr="00853716">
        <w:rPr>
          <w:i/>
          <w:szCs w:val="16"/>
        </w:rPr>
        <w:t xml:space="preserve">Caso Loayza Tamayo Vs. Perú. Interpretación de la Sentencia de Fondo. </w:t>
      </w:r>
      <w:r w:rsidRPr="00853716">
        <w:rPr>
          <w:szCs w:val="16"/>
        </w:rPr>
        <w:t>Resolución de la Corte de 8 de marzo de 1998. Serie C No. 47</w:t>
      </w:r>
      <w:r w:rsidRPr="00853716">
        <w:rPr>
          <w:szCs w:val="16"/>
          <w:lang w:val="es-CO"/>
        </w:rPr>
        <w:t>, párrs. 12 y 16,</w:t>
      </w:r>
      <w:r w:rsidRPr="00853716">
        <w:rPr>
          <w:i/>
          <w:szCs w:val="16"/>
          <w:lang w:val="es-CO"/>
        </w:rPr>
        <w:t xml:space="preserve"> </w:t>
      </w:r>
      <w:r w:rsidRPr="00853716">
        <w:rPr>
          <w:szCs w:val="16"/>
          <w:lang w:val="es-CO"/>
        </w:rPr>
        <w:t>y</w:t>
      </w:r>
      <w:r w:rsidRPr="00853716">
        <w:rPr>
          <w:i/>
          <w:szCs w:val="16"/>
          <w:lang w:val="es-CO"/>
        </w:rPr>
        <w:t xml:space="preserve"> </w:t>
      </w:r>
      <w:r w:rsidR="00CB1C30" w:rsidRPr="00CB1C30">
        <w:rPr>
          <w:i/>
          <w:szCs w:val="16"/>
          <w:lang w:val="es-CO"/>
        </w:rPr>
        <w:t xml:space="preserve">Caso Rosadio Villavicencio Vs. Perú. Interpretación de la Sentencia de Excepciones Preliminares, Fondo, Reparaciones y Costas. </w:t>
      </w:r>
      <w:r w:rsidR="00CB1C30" w:rsidRPr="00CB1C30">
        <w:rPr>
          <w:szCs w:val="16"/>
          <w:lang w:val="es-CO"/>
        </w:rPr>
        <w:t>Sentencia de 8 de octubre de 2020. Serie C No. 414, párr. 11</w:t>
      </w:r>
      <w:r w:rsidRPr="00CB1C30">
        <w:rPr>
          <w:szCs w:val="16"/>
          <w:lang w:val="es-CO"/>
        </w:rPr>
        <w:t xml:space="preserve">. </w:t>
      </w:r>
    </w:p>
    <w:p w14:paraId="799A5FCD" w14:textId="77777777" w:rsidR="00472324" w:rsidRPr="00853716" w:rsidRDefault="00472324" w:rsidP="00BA587C">
      <w:pPr>
        <w:pStyle w:val="FootnoteText"/>
        <w:spacing w:before="0" w:after="0"/>
        <w:rPr>
          <w:szCs w:val="16"/>
          <w:lang w:val="es-CO"/>
        </w:rPr>
      </w:pPr>
    </w:p>
  </w:footnote>
  <w:footnote w:id="6">
    <w:p w14:paraId="325A38FB" w14:textId="198F5B72" w:rsidR="00472324" w:rsidRPr="00853716" w:rsidRDefault="00472324" w:rsidP="00BA587C">
      <w:pPr>
        <w:pStyle w:val="FootnoteText"/>
        <w:spacing w:before="0" w:after="0"/>
        <w:rPr>
          <w:szCs w:val="16"/>
          <w:lang w:val="es-CR"/>
        </w:rPr>
      </w:pPr>
      <w:r w:rsidRPr="00853716">
        <w:rPr>
          <w:rStyle w:val="FootnoteReference"/>
          <w:szCs w:val="16"/>
        </w:rPr>
        <w:footnoteRef/>
      </w:r>
      <w:r w:rsidRPr="00853716">
        <w:rPr>
          <w:szCs w:val="16"/>
        </w:rPr>
        <w:t xml:space="preserve"> </w:t>
      </w:r>
      <w:r w:rsidRPr="00853716">
        <w:rPr>
          <w:szCs w:val="16"/>
          <w:lang w:val="es-CR"/>
        </w:rPr>
        <w:tab/>
      </w:r>
      <w:r w:rsidRPr="00853716">
        <w:rPr>
          <w:i/>
          <w:szCs w:val="16"/>
        </w:rPr>
        <w:t>C</w:t>
      </w:r>
      <w:r w:rsidR="00F35AB8">
        <w:rPr>
          <w:i/>
          <w:szCs w:val="16"/>
        </w:rPr>
        <w:t>fr. Caso Loayza Tamayo Vs. Perú</w:t>
      </w:r>
      <w:r w:rsidRPr="00853716">
        <w:rPr>
          <w:szCs w:val="16"/>
        </w:rPr>
        <w:t>,</w:t>
      </w:r>
      <w:r w:rsidRPr="00853716">
        <w:rPr>
          <w:szCs w:val="16"/>
          <w:lang w:val="es-ES"/>
        </w:rPr>
        <w:t xml:space="preserve"> </w:t>
      </w:r>
      <w:r w:rsidRPr="00853716">
        <w:rPr>
          <w:szCs w:val="16"/>
        </w:rPr>
        <w:t xml:space="preserve">párr. 15, </w:t>
      </w:r>
      <w:r w:rsidRPr="00853716">
        <w:rPr>
          <w:szCs w:val="16"/>
          <w:lang w:val="es-CO"/>
        </w:rPr>
        <w:t>y</w:t>
      </w:r>
      <w:r w:rsidRPr="00853716">
        <w:rPr>
          <w:i/>
          <w:szCs w:val="16"/>
          <w:lang w:val="es-CO"/>
        </w:rPr>
        <w:t xml:space="preserve"> </w:t>
      </w:r>
      <w:r w:rsidR="00CB1C30" w:rsidRPr="00CB1C30">
        <w:rPr>
          <w:i/>
          <w:szCs w:val="16"/>
          <w:lang w:val="es-CO"/>
        </w:rPr>
        <w:t>Caso Rosadio Villavicencio Vs. Perú</w:t>
      </w:r>
      <w:r w:rsidR="00CB1C30" w:rsidRPr="00CB1C30">
        <w:rPr>
          <w:szCs w:val="16"/>
          <w:lang w:val="es-CO"/>
        </w:rPr>
        <w:t>, párr. 1</w:t>
      </w:r>
      <w:r w:rsidR="00CB1C30">
        <w:rPr>
          <w:szCs w:val="16"/>
          <w:lang w:val="es-CO"/>
        </w:rPr>
        <w:t>2</w:t>
      </w:r>
      <w:r w:rsidR="00CB1C30" w:rsidRPr="00CB1C30">
        <w:rPr>
          <w:szCs w:val="16"/>
          <w:lang w:val="es-CO"/>
        </w:rPr>
        <w:t>.</w:t>
      </w:r>
    </w:p>
  </w:footnote>
  <w:footnote w:id="7">
    <w:p w14:paraId="4A48B240" w14:textId="77777777" w:rsidR="00472324" w:rsidRDefault="00472324" w:rsidP="00BA587C">
      <w:pPr>
        <w:pStyle w:val="FootnoteText"/>
        <w:spacing w:before="0" w:after="0"/>
        <w:rPr>
          <w:szCs w:val="16"/>
        </w:rPr>
      </w:pPr>
    </w:p>
    <w:p w14:paraId="61EB1C83" w14:textId="1F70E0E6" w:rsidR="00472324" w:rsidRPr="00853716" w:rsidRDefault="00472324" w:rsidP="00BA587C">
      <w:pPr>
        <w:pStyle w:val="FootnoteText"/>
        <w:spacing w:before="0" w:after="0"/>
        <w:rPr>
          <w:szCs w:val="16"/>
          <w:lang w:val="es-CR"/>
        </w:rPr>
      </w:pPr>
      <w:r w:rsidRPr="00853716">
        <w:rPr>
          <w:rStyle w:val="FootnoteReference"/>
          <w:szCs w:val="16"/>
        </w:rPr>
        <w:footnoteRef/>
      </w:r>
      <w:r w:rsidRPr="00853716">
        <w:rPr>
          <w:szCs w:val="16"/>
        </w:rPr>
        <w:t xml:space="preserve"> </w:t>
      </w:r>
      <w:r w:rsidRPr="00853716">
        <w:rPr>
          <w:szCs w:val="16"/>
          <w:lang w:val="es-CR"/>
        </w:rPr>
        <w:tab/>
      </w:r>
      <w:r w:rsidRPr="00853716">
        <w:rPr>
          <w:i/>
          <w:szCs w:val="16"/>
        </w:rPr>
        <w:t xml:space="preserve">Cfr. Caso Salvador Chiriboga Vs. Ecuador. Interpretación de la Sentencia de Reparaciones y Costas. </w:t>
      </w:r>
      <w:r w:rsidRPr="00853716">
        <w:rPr>
          <w:szCs w:val="16"/>
        </w:rPr>
        <w:t xml:space="preserve">Sentencia de 29 de agosto de 2011. Serie C No. 230, párr. 30, </w:t>
      </w:r>
      <w:r w:rsidRPr="00853716">
        <w:rPr>
          <w:szCs w:val="16"/>
          <w:lang w:val="es-CO"/>
        </w:rPr>
        <w:t xml:space="preserve">y </w:t>
      </w:r>
      <w:r w:rsidR="00B97A71" w:rsidRPr="00CB1C30">
        <w:rPr>
          <w:i/>
          <w:szCs w:val="16"/>
          <w:lang w:val="es-CO"/>
        </w:rPr>
        <w:t>Caso Rosadio Villavicencio Vs. Perú</w:t>
      </w:r>
      <w:r w:rsidR="00B97A71" w:rsidRPr="00CB1C30">
        <w:rPr>
          <w:szCs w:val="16"/>
          <w:lang w:val="es-CO"/>
        </w:rPr>
        <w:t>, párr. 1</w:t>
      </w:r>
      <w:r w:rsidR="00B97A71">
        <w:rPr>
          <w:szCs w:val="16"/>
          <w:lang w:val="es-CO"/>
        </w:rPr>
        <w:t>2</w:t>
      </w:r>
      <w:r w:rsidRPr="00853716">
        <w:rPr>
          <w:rFonts w:cs="Arial"/>
          <w:szCs w:val="16"/>
          <w:shd w:val="clear" w:color="auto" w:fill="FFFFFF"/>
          <w:lang w:val="es-CR"/>
        </w:rPr>
        <w:t>.</w:t>
      </w:r>
    </w:p>
  </w:footnote>
  <w:footnote w:id="8">
    <w:p w14:paraId="13B1B093" w14:textId="77777777" w:rsidR="00472324" w:rsidRDefault="00472324" w:rsidP="00BA587C">
      <w:pPr>
        <w:pStyle w:val="FootnoteText"/>
        <w:spacing w:before="0" w:after="0"/>
        <w:rPr>
          <w:szCs w:val="16"/>
        </w:rPr>
      </w:pPr>
    </w:p>
    <w:p w14:paraId="22CFA8DB" w14:textId="6D6814F5" w:rsidR="00472324" w:rsidRDefault="00472324" w:rsidP="00BA587C">
      <w:pPr>
        <w:pStyle w:val="FootnoteText"/>
        <w:spacing w:before="0" w:after="0"/>
        <w:rPr>
          <w:rFonts w:cs="Arial"/>
          <w:szCs w:val="16"/>
          <w:shd w:val="clear" w:color="auto" w:fill="FFFFFF"/>
          <w:lang w:val="es-CR"/>
        </w:rPr>
      </w:pPr>
      <w:r w:rsidRPr="00853716">
        <w:rPr>
          <w:rStyle w:val="FootnoteReference"/>
          <w:szCs w:val="16"/>
        </w:rPr>
        <w:footnoteRef/>
      </w:r>
      <w:r w:rsidRPr="00853716">
        <w:rPr>
          <w:szCs w:val="16"/>
        </w:rPr>
        <w:t xml:space="preserve"> </w:t>
      </w:r>
      <w:r w:rsidRPr="00853716">
        <w:rPr>
          <w:szCs w:val="16"/>
          <w:lang w:val="es-CR"/>
        </w:rPr>
        <w:tab/>
      </w:r>
      <w:r w:rsidRPr="00853716">
        <w:rPr>
          <w:i/>
          <w:szCs w:val="16"/>
        </w:rPr>
        <w:t>Cfr. Caso Escher y otros Vs. Brasil. Interpretación de la Sentencia de Excepciones Preliminares, Fondo, Reparaciones y Costas</w:t>
      </w:r>
      <w:r w:rsidRPr="00853716">
        <w:rPr>
          <w:szCs w:val="16"/>
        </w:rPr>
        <w:t>. Sentencia de 20 de noviembre de 2009. Serie C No. 208, párr. 11,</w:t>
      </w:r>
      <w:r w:rsidRPr="00853716">
        <w:rPr>
          <w:i/>
          <w:szCs w:val="16"/>
        </w:rPr>
        <w:t xml:space="preserve"> </w:t>
      </w:r>
      <w:r w:rsidRPr="00853716">
        <w:rPr>
          <w:szCs w:val="16"/>
        </w:rPr>
        <w:t xml:space="preserve">y </w:t>
      </w:r>
      <w:r w:rsidR="00B97A71" w:rsidRPr="00CB1C30">
        <w:rPr>
          <w:i/>
          <w:szCs w:val="16"/>
          <w:lang w:val="es-CO"/>
        </w:rPr>
        <w:t>Caso Rosadio Villavicencio Vs. Perú</w:t>
      </w:r>
      <w:r w:rsidR="00B97A71" w:rsidRPr="00CB1C30">
        <w:rPr>
          <w:szCs w:val="16"/>
          <w:lang w:val="es-CO"/>
        </w:rPr>
        <w:t>, párr. 1</w:t>
      </w:r>
      <w:r w:rsidR="00B97A71">
        <w:rPr>
          <w:szCs w:val="16"/>
          <w:lang w:val="es-CO"/>
        </w:rPr>
        <w:t>2</w:t>
      </w:r>
      <w:r w:rsidR="00B97A71" w:rsidRPr="00853716">
        <w:rPr>
          <w:rFonts w:cs="Arial"/>
          <w:szCs w:val="16"/>
          <w:shd w:val="clear" w:color="auto" w:fill="FFFFFF"/>
          <w:lang w:val="es-CR"/>
        </w:rPr>
        <w:t>.</w:t>
      </w:r>
    </w:p>
    <w:p w14:paraId="138DAEE8" w14:textId="77777777" w:rsidR="00472324" w:rsidRPr="00853716" w:rsidRDefault="00472324" w:rsidP="00BA587C">
      <w:pPr>
        <w:pStyle w:val="FootnoteText"/>
        <w:spacing w:before="0" w:after="0"/>
        <w:rPr>
          <w:szCs w:val="16"/>
          <w:lang w:val="es-CR"/>
        </w:rPr>
      </w:pPr>
    </w:p>
  </w:footnote>
  <w:footnote w:id="9">
    <w:p w14:paraId="3D7BA97D" w14:textId="77777777" w:rsidR="00472324" w:rsidRPr="00853716" w:rsidRDefault="00472324" w:rsidP="00BA587C">
      <w:pPr>
        <w:rPr>
          <w:sz w:val="16"/>
          <w:szCs w:val="16"/>
          <w:lang w:val="es-CR"/>
        </w:rPr>
      </w:pPr>
      <w:r w:rsidRPr="00853716">
        <w:rPr>
          <w:rStyle w:val="FootnoteReference"/>
          <w:sz w:val="16"/>
          <w:szCs w:val="16"/>
        </w:rPr>
        <w:footnoteRef/>
      </w:r>
      <w:r w:rsidRPr="00853716">
        <w:rPr>
          <w:sz w:val="16"/>
          <w:szCs w:val="16"/>
        </w:rPr>
        <w:t xml:space="preserve"> </w:t>
      </w:r>
      <w:r w:rsidRPr="00853716">
        <w:rPr>
          <w:sz w:val="16"/>
          <w:szCs w:val="16"/>
        </w:rPr>
        <w:tab/>
      </w:r>
      <w:r w:rsidRPr="00853716">
        <w:rPr>
          <w:sz w:val="16"/>
          <w:szCs w:val="16"/>
          <w:lang w:val="es-CR"/>
        </w:rPr>
        <w:t xml:space="preserve">Además, los representantes recordaron que, durante el proceso, habían efectuado la solicitud de que se disponga, como medida de reparación, el dictado de normas que garanticen el derecho a la consulta. Advirtieron que su petición está expuesta en el párrafo 351 de la Sentencia y no fue, en la misma, expresamente negada. </w:t>
      </w:r>
    </w:p>
    <w:p w14:paraId="4C21E485" w14:textId="77777777" w:rsidR="00472324" w:rsidRPr="00853716" w:rsidRDefault="00472324" w:rsidP="00BA587C">
      <w:pPr>
        <w:pStyle w:val="FootnoteText"/>
        <w:spacing w:before="0" w:after="0"/>
        <w:rPr>
          <w:szCs w:val="16"/>
          <w:lang w:val="es-CR"/>
        </w:rPr>
      </w:pPr>
    </w:p>
  </w:footnote>
  <w:footnote w:id="10">
    <w:p w14:paraId="4B48A06D" w14:textId="55FDB20C" w:rsidR="00472324" w:rsidRDefault="00472324" w:rsidP="00BA587C">
      <w:pPr>
        <w:pStyle w:val="FootnoteText"/>
        <w:spacing w:before="0" w:after="0"/>
        <w:rPr>
          <w:szCs w:val="16"/>
          <w:lang w:val="es-CR"/>
        </w:rPr>
      </w:pPr>
      <w:r w:rsidRPr="00853716">
        <w:rPr>
          <w:rStyle w:val="FootnoteReference"/>
          <w:szCs w:val="16"/>
        </w:rPr>
        <w:footnoteRef/>
      </w:r>
      <w:r w:rsidRPr="00853716">
        <w:rPr>
          <w:szCs w:val="16"/>
        </w:rPr>
        <w:t xml:space="preserve"> </w:t>
      </w:r>
      <w:r>
        <w:rPr>
          <w:szCs w:val="16"/>
        </w:rPr>
        <w:tab/>
      </w:r>
      <w:r w:rsidRPr="00853716">
        <w:rPr>
          <w:szCs w:val="16"/>
          <w:lang w:val="es-CR"/>
        </w:rPr>
        <w:t>El Estado sustantó su afirmación dando cuenta de lo expresado por la Corte en los párrafos 173, 174, 1</w:t>
      </w:r>
      <w:r w:rsidR="000F14D5">
        <w:rPr>
          <w:szCs w:val="16"/>
          <w:lang w:val="es-CR"/>
        </w:rPr>
        <w:t xml:space="preserve">75, 179, 328, 351, 352, 353 y 354, </w:t>
      </w:r>
      <w:r w:rsidRPr="00853716">
        <w:rPr>
          <w:szCs w:val="16"/>
          <w:lang w:val="es-CR"/>
        </w:rPr>
        <w:t>en la nota a pié de página 334, correspondiente al párrafo 35</w:t>
      </w:r>
      <w:r>
        <w:rPr>
          <w:szCs w:val="16"/>
          <w:lang w:val="es-CR"/>
        </w:rPr>
        <w:t xml:space="preserve">5, y en el punto resolutivo 8. </w:t>
      </w:r>
    </w:p>
    <w:p w14:paraId="3C3F54D5" w14:textId="77777777" w:rsidR="00472324" w:rsidRPr="00853716" w:rsidRDefault="00472324" w:rsidP="00BA587C">
      <w:pPr>
        <w:pStyle w:val="FootnoteText"/>
        <w:spacing w:before="0" w:after="0"/>
        <w:rPr>
          <w:szCs w:val="16"/>
          <w:lang w:val="es-CR"/>
        </w:rPr>
      </w:pPr>
    </w:p>
  </w:footnote>
  <w:footnote w:id="11">
    <w:p w14:paraId="471454B8" w14:textId="2274284F" w:rsidR="00881C03" w:rsidRPr="00881C03" w:rsidRDefault="00881C03" w:rsidP="00BA587C">
      <w:pPr>
        <w:pStyle w:val="FootnoteText"/>
        <w:spacing w:before="0" w:after="0"/>
        <w:rPr>
          <w:lang w:val="es-CR"/>
        </w:rPr>
      </w:pPr>
      <w:r>
        <w:rPr>
          <w:rStyle w:val="FootnoteReference"/>
        </w:rPr>
        <w:footnoteRef/>
      </w:r>
      <w:r>
        <w:t xml:space="preserve"> </w:t>
      </w:r>
      <w:r>
        <w:tab/>
      </w:r>
      <w:r>
        <w:rPr>
          <w:lang w:val="es-CR"/>
        </w:rPr>
        <w:t>El punto resolutivo 8 de la Sentencia dice: “</w:t>
      </w:r>
      <w:r w:rsidRPr="00881C03">
        <w:rPr>
          <w:lang w:val="es-CR"/>
        </w:rPr>
        <w:t>El Estado se abstendrá de realizar actos, obras o emprendimientos sobre el</w:t>
      </w:r>
      <w:r>
        <w:rPr>
          <w:lang w:val="es-CR"/>
        </w:rPr>
        <w:t xml:space="preserve"> </w:t>
      </w:r>
      <w:r w:rsidRPr="00881C03">
        <w:rPr>
          <w:lang w:val="es-CR"/>
        </w:rPr>
        <w:t>territorio indígena o que puedan afectar su existencia, valor, uso o goce, sin la previa</w:t>
      </w:r>
      <w:r>
        <w:rPr>
          <w:lang w:val="es-CR"/>
        </w:rPr>
        <w:t xml:space="preserve"> </w:t>
      </w:r>
      <w:r w:rsidRPr="00881C03">
        <w:rPr>
          <w:lang w:val="es-CR"/>
        </w:rPr>
        <w:t>provisión de información a las comunidades indígenas víctimas, así como de la</w:t>
      </w:r>
      <w:r>
        <w:rPr>
          <w:lang w:val="es-CR"/>
        </w:rPr>
        <w:t xml:space="preserve"> </w:t>
      </w:r>
      <w:r w:rsidRPr="00881C03">
        <w:rPr>
          <w:lang w:val="es-CR"/>
        </w:rPr>
        <w:t>realización de consultas previas adecuadas, libres e informadas, de acuerdo a las pautas</w:t>
      </w:r>
      <w:r>
        <w:rPr>
          <w:lang w:val="es-CR"/>
        </w:rPr>
        <w:t xml:space="preserve"> </w:t>
      </w:r>
      <w:r w:rsidRPr="00881C03">
        <w:rPr>
          <w:lang w:val="es-CR"/>
        </w:rPr>
        <w:t>señaladas en la presente Sentencia, en los términos indicados en los párrafos 328 y 343</w:t>
      </w:r>
      <w:r>
        <w:rPr>
          <w:lang w:val="es-CR"/>
        </w:rPr>
        <w:t xml:space="preserve"> </w:t>
      </w:r>
      <w:r w:rsidRPr="00881C03">
        <w:rPr>
          <w:lang w:val="es-CR"/>
        </w:rPr>
        <w:t>de la presente Sentencia</w:t>
      </w:r>
      <w:r>
        <w:rPr>
          <w:lang w:val="es-CR"/>
        </w:rPr>
        <w:t>”</w:t>
      </w:r>
      <w:r w:rsidRPr="00881C03">
        <w:rPr>
          <w:lang w:val="es-CR"/>
        </w:rPr>
        <w:t>.</w:t>
      </w:r>
    </w:p>
  </w:footnote>
  <w:footnote w:id="12">
    <w:p w14:paraId="64A6440C" w14:textId="77777777" w:rsidR="005862D8" w:rsidRDefault="005862D8" w:rsidP="00BA587C">
      <w:pPr>
        <w:rPr>
          <w:sz w:val="16"/>
          <w:szCs w:val="16"/>
        </w:rPr>
      </w:pPr>
    </w:p>
    <w:p w14:paraId="598D63F0" w14:textId="7FB0ABD8" w:rsidR="005862D8" w:rsidRPr="00853716" w:rsidRDefault="005862D8" w:rsidP="00BA587C">
      <w:pPr>
        <w:rPr>
          <w:sz w:val="16"/>
          <w:szCs w:val="16"/>
          <w:lang w:val="es-CR"/>
        </w:rPr>
      </w:pPr>
      <w:r w:rsidRPr="00853716">
        <w:rPr>
          <w:rStyle w:val="FootnoteReference"/>
          <w:sz w:val="16"/>
          <w:szCs w:val="16"/>
        </w:rPr>
        <w:footnoteRef/>
      </w:r>
      <w:r w:rsidRPr="00853716">
        <w:rPr>
          <w:sz w:val="16"/>
          <w:szCs w:val="16"/>
        </w:rPr>
        <w:t xml:space="preserve"> </w:t>
      </w:r>
      <w:r>
        <w:rPr>
          <w:sz w:val="16"/>
          <w:szCs w:val="16"/>
        </w:rPr>
        <w:t xml:space="preserve"> </w:t>
      </w:r>
      <w:r>
        <w:rPr>
          <w:sz w:val="16"/>
          <w:szCs w:val="16"/>
        </w:rPr>
        <w:tab/>
      </w:r>
      <w:r w:rsidRPr="00853716">
        <w:rPr>
          <w:sz w:val="16"/>
          <w:szCs w:val="16"/>
          <w:lang w:val="es-CR"/>
        </w:rPr>
        <w:t>En forma adicional este Tribunal resalta que, aunque el Estado ha aducido la improcedencia de la solicitud de interpretación, lo ha hecho asumiendo una respuesta a la misma, a saber, que la orden dada en el punto resolutivo 15 no incluye el deber de “legislar” sobre consulta previa</w:t>
      </w:r>
      <w:r w:rsidR="00542D42">
        <w:rPr>
          <w:sz w:val="16"/>
          <w:szCs w:val="16"/>
          <w:lang w:val="es-CR"/>
        </w:rPr>
        <w:t xml:space="preserve"> (</w:t>
      </w:r>
      <w:r w:rsidR="00542D42">
        <w:rPr>
          <w:i/>
          <w:sz w:val="16"/>
          <w:szCs w:val="16"/>
          <w:lang w:val="es-CR"/>
        </w:rPr>
        <w:t xml:space="preserve">supra </w:t>
      </w:r>
      <w:r w:rsidR="00542D42">
        <w:rPr>
          <w:sz w:val="16"/>
          <w:szCs w:val="16"/>
          <w:lang w:val="es-CR"/>
        </w:rPr>
        <w:t>párr. 14)</w:t>
      </w:r>
      <w:r w:rsidRPr="00853716">
        <w:rPr>
          <w:sz w:val="16"/>
          <w:szCs w:val="16"/>
          <w:lang w:val="es-CR"/>
        </w:rPr>
        <w:t xml:space="preserve">. No obstante, a la vez que Argentina aseveró lo anterior, afirmó que, frente al derecho de consulta, la Sentencia “ha dejado sentada la necesidad de adecuar y dictar las reglamentaciones y normas que dispongan un procedimiento adecuado” </w:t>
      </w:r>
      <w:r w:rsidRPr="00542D42">
        <w:rPr>
          <w:sz w:val="16"/>
          <w:szCs w:val="16"/>
          <w:lang w:val="es-CR"/>
        </w:rPr>
        <w:t>(</w:t>
      </w:r>
      <w:r w:rsidRPr="00542D42">
        <w:rPr>
          <w:i/>
          <w:sz w:val="16"/>
          <w:szCs w:val="16"/>
          <w:lang w:val="es-CR"/>
        </w:rPr>
        <w:t xml:space="preserve">supra </w:t>
      </w:r>
      <w:r w:rsidRPr="00542D42">
        <w:rPr>
          <w:sz w:val="16"/>
          <w:szCs w:val="16"/>
          <w:lang w:val="es-CR"/>
        </w:rPr>
        <w:t>párr. 15).</w:t>
      </w:r>
      <w:r w:rsidRPr="00853716">
        <w:rPr>
          <w:sz w:val="16"/>
          <w:szCs w:val="16"/>
          <w:lang w:val="es-CR"/>
        </w:rPr>
        <w:t xml:space="preserve"> Lo expuesto coadyuva al entendimiento de que la interpretación de la decisión resulta procedente y útil para el adecuado cumplimiento de lo ordenado. </w:t>
      </w:r>
    </w:p>
    <w:p w14:paraId="203FD764" w14:textId="77777777" w:rsidR="005862D8" w:rsidRPr="00853716" w:rsidRDefault="005862D8" w:rsidP="00BA587C">
      <w:pPr>
        <w:pStyle w:val="FootnoteText"/>
        <w:spacing w:before="0" w:after="0"/>
        <w:rPr>
          <w:szCs w:val="16"/>
          <w:lang w:val="es-CR"/>
        </w:rPr>
      </w:pPr>
    </w:p>
  </w:footnote>
  <w:footnote w:id="13">
    <w:p w14:paraId="5DAF2629" w14:textId="41A34AC8" w:rsidR="003D1FE2" w:rsidRPr="00853716" w:rsidRDefault="003D1FE2" w:rsidP="00BA587C">
      <w:pPr>
        <w:pStyle w:val="FootnoteText"/>
        <w:spacing w:before="0" w:after="0"/>
        <w:rPr>
          <w:szCs w:val="16"/>
          <w:lang w:val="es-CR"/>
        </w:rPr>
      </w:pPr>
      <w:r w:rsidRPr="00853716">
        <w:rPr>
          <w:rStyle w:val="FootnoteReference"/>
          <w:szCs w:val="16"/>
        </w:rPr>
        <w:footnoteRef/>
      </w:r>
      <w:r w:rsidRPr="00853716">
        <w:rPr>
          <w:szCs w:val="16"/>
        </w:rPr>
        <w:t xml:space="preserve"> </w:t>
      </w:r>
      <w:r w:rsidRPr="00853716">
        <w:rPr>
          <w:szCs w:val="16"/>
          <w:lang w:val="es-CR"/>
        </w:rPr>
        <w:tab/>
      </w:r>
      <w:r>
        <w:t xml:space="preserve">Lo hizo, además, en relación con los derechos a las garantías judiciales y a la protección judicial, cuyas pautas consagran el debido proceso legal, que debe ser observado en los mecanismos que los Estados deben adoptar para materializar los derechos territoriales indígenas. </w:t>
      </w:r>
      <w:r w:rsidRPr="00853716">
        <w:rPr>
          <w:szCs w:val="16"/>
          <w:lang w:val="es-CR"/>
        </w:rPr>
        <w:t>Al respecto,</w:t>
      </w:r>
      <w:r>
        <w:rPr>
          <w:szCs w:val="16"/>
          <w:lang w:val="es-CR"/>
        </w:rPr>
        <w:t xml:space="preserve"> </w:t>
      </w:r>
      <w:r w:rsidRPr="00853716">
        <w:rPr>
          <w:szCs w:val="16"/>
          <w:lang w:val="es-CR"/>
        </w:rPr>
        <w:t>el párrafo 116 de la Sentencia señala que los Estados deben, para “materializar los derechos territoriales de los pueblos indígenas”, “</w:t>
      </w:r>
      <w:r w:rsidRPr="00853716">
        <w:rPr>
          <w:szCs w:val="16"/>
        </w:rPr>
        <w:t>prever un mecanismo efectivo, mediante la adopción de medidas legislativas y administrativas necesarias”, y que dicho mecanismo debe”</w:t>
      </w:r>
      <w:r w:rsidRPr="00853716">
        <w:rPr>
          <w:szCs w:val="16"/>
          <w:lang w:val="es-CR"/>
        </w:rPr>
        <w:t xml:space="preserve"> cumplir las reglas del debido proceso legal consagradas en los artículos 8 y 25 de la Convención Americana”. </w:t>
      </w:r>
    </w:p>
  </w:footnote>
  <w:footnote w:id="14">
    <w:p w14:paraId="5C050E20" w14:textId="0BA2D0EB" w:rsidR="00BB2F1E" w:rsidRDefault="00BB2F1E" w:rsidP="00BA587C">
      <w:pPr>
        <w:pStyle w:val="Footnotes"/>
        <w:spacing w:line="240" w:lineRule="auto"/>
      </w:pPr>
      <w:r w:rsidRPr="008E4F34">
        <w:rPr>
          <w:rStyle w:val="FootnoteReference"/>
          <w:i/>
        </w:rPr>
        <w:footnoteRef/>
      </w:r>
      <w:r w:rsidRPr="008E4F34">
        <w:t xml:space="preserve"> </w:t>
      </w:r>
      <w:r w:rsidRPr="008E4F34">
        <w:tab/>
        <w:t xml:space="preserve">En el mismo sentido, más adelante, en el párrafo 115 de la Sentencia, la Corte expresó, </w:t>
      </w:r>
      <w:r w:rsidRPr="008E4F34">
        <w:rPr>
          <w:i/>
        </w:rPr>
        <w:t>inter alia</w:t>
      </w:r>
      <w:r w:rsidRPr="008E4F34">
        <w:t xml:space="preserve">, que, en el “marco” de la “seguridad jurídica [de] la tenencia indígena de la tierra”, “deben reconocerse las formas y modalidades diversas y específicas de control, propiedad, uso y goce de los territorios por parte de las comunidades, sin interferencia de terceros”. </w:t>
      </w:r>
    </w:p>
    <w:p w14:paraId="48FBBB2A" w14:textId="77777777" w:rsidR="00BB2F1E" w:rsidRPr="00BC57A2" w:rsidRDefault="00BB2F1E" w:rsidP="00BA587C">
      <w:pPr>
        <w:pStyle w:val="Footnotes"/>
        <w:spacing w:line="240" w:lineRule="auto"/>
      </w:pPr>
    </w:p>
  </w:footnote>
  <w:footnote w:id="15">
    <w:p w14:paraId="7C48166B" w14:textId="0EC7C918" w:rsidR="00BB2F1E" w:rsidRDefault="00BB2F1E" w:rsidP="00BA587C">
      <w:pPr>
        <w:pStyle w:val="FootnoteText"/>
        <w:spacing w:before="0" w:after="0"/>
      </w:pPr>
      <w:r>
        <w:rPr>
          <w:rStyle w:val="FootnoteReference"/>
        </w:rPr>
        <w:footnoteRef/>
      </w:r>
      <w:r>
        <w:t xml:space="preserve"> </w:t>
      </w:r>
      <w:r>
        <w:tab/>
      </w:r>
      <w:r w:rsidR="00BC0736">
        <w:t xml:space="preserve">El párrafo 194 de la Sentencia, respecto a la parte transcripta, cita jurisprudencia previa de la Corte: </w:t>
      </w:r>
      <w:r w:rsidR="00BC0736" w:rsidRPr="00BC0736">
        <w:rPr>
          <w:i/>
        </w:rPr>
        <w:t>Caso del Pueblo Saramaka. Vs. Surinam. Excepciones Preliminares, Fondo, Reparaciones y Costas.</w:t>
      </w:r>
      <w:r w:rsidR="00BC0736">
        <w:t xml:space="preserve"> Sentencia de 28 de noviembre de 2007, Serie C No. 173, párr. 129 y nota a pie de página 124. </w:t>
      </w:r>
    </w:p>
    <w:p w14:paraId="5F41C8AE" w14:textId="77777777" w:rsidR="00632307" w:rsidRPr="001D3B32" w:rsidRDefault="00632307" w:rsidP="00BA587C">
      <w:pPr>
        <w:pStyle w:val="FootnoteText"/>
        <w:spacing w:before="0" w:after="0"/>
        <w:rPr>
          <w:lang w:val="es-CR"/>
        </w:rPr>
      </w:pPr>
    </w:p>
  </w:footnote>
  <w:footnote w:id="16">
    <w:p w14:paraId="7490F0BE" w14:textId="60690BCD" w:rsidR="00BB2F1E" w:rsidRDefault="00BB2F1E" w:rsidP="00BA587C">
      <w:pPr>
        <w:pStyle w:val="FootnoteText"/>
        <w:spacing w:before="0" w:after="0"/>
      </w:pPr>
      <w:r>
        <w:rPr>
          <w:rStyle w:val="FootnoteReference"/>
        </w:rPr>
        <w:footnoteRef/>
      </w:r>
      <w:r>
        <w:t xml:space="preserve">  </w:t>
      </w:r>
      <w:r>
        <w:tab/>
      </w:r>
      <w:r w:rsidRPr="009D621C">
        <w:rPr>
          <w:i/>
        </w:rPr>
        <w:t>Caso Comunidades Indígenas Miembros de la Asociación Lhaka Honhat (Nuestra Tierra) Vs. Argentina. Fondo, Reparaciones y Costas.</w:t>
      </w:r>
      <w:r w:rsidRPr="009D621C">
        <w:t xml:space="preserve"> Sentencia de 6 de febrero de 2020. Serie C No. 400</w:t>
      </w:r>
      <w:r>
        <w:t>, párrs. 17</w:t>
      </w:r>
      <w:r w:rsidR="00BC0736">
        <w:t>4</w:t>
      </w:r>
      <w:r>
        <w:t>.</w:t>
      </w:r>
      <w:r w:rsidR="00BC0736">
        <w:t xml:space="preserve"> Dicho párrafo, en la parte transcripta, cita, </w:t>
      </w:r>
      <w:r w:rsidR="00BC0736">
        <w:rPr>
          <w:i/>
        </w:rPr>
        <w:t>inter alia</w:t>
      </w:r>
      <w:r w:rsidR="00BC0736">
        <w:t xml:space="preserve">, jurisprudencia previa de la Corte: </w:t>
      </w:r>
      <w:r w:rsidR="00BC0736" w:rsidRPr="00BC0736">
        <w:rPr>
          <w:i/>
        </w:rPr>
        <w:t>Caso del Pueblo Saramaka Vs. Surinam</w:t>
      </w:r>
      <w:r w:rsidR="00BC0736">
        <w:t xml:space="preserve">, párr. 133; </w:t>
      </w:r>
      <w:r w:rsidR="00C147E1" w:rsidRPr="00C147E1">
        <w:rPr>
          <w:i/>
        </w:rPr>
        <w:t>Caso Pueblo Indígena Kichwa de Sarayaku Vs. Ecuador. Fondo y reparaciones</w:t>
      </w:r>
      <w:r w:rsidR="00C147E1">
        <w:t>. Sentencia de 27 de junio de 2012. Serie C No. 245</w:t>
      </w:r>
      <w:r w:rsidR="00BC0736">
        <w:t xml:space="preserve">, párr. 186, y </w:t>
      </w:r>
      <w:r w:rsidR="00C147E1" w:rsidRPr="00C147E1">
        <w:rPr>
          <w:i/>
        </w:rPr>
        <w:t>Caso Pueblos Kaliña y Lokono Vs. Surinam. Fondo, Reparaciones y Costas.</w:t>
      </w:r>
      <w:r w:rsidR="00C147E1">
        <w:t xml:space="preserve"> Sentencia de 25 de noviembre de 2015. Serie C No. 309</w:t>
      </w:r>
      <w:r w:rsidR="00BC0736">
        <w:t>, párr. 201</w:t>
      </w:r>
      <w:r w:rsidR="00C147E1">
        <w:t xml:space="preserve">. </w:t>
      </w:r>
    </w:p>
    <w:p w14:paraId="39280A08" w14:textId="77777777" w:rsidR="00632307" w:rsidRPr="00472324" w:rsidRDefault="00632307" w:rsidP="00BA587C">
      <w:pPr>
        <w:pStyle w:val="FootnoteText"/>
        <w:spacing w:before="0" w:after="0"/>
        <w:rPr>
          <w:lang w:val="es-CR"/>
        </w:rPr>
      </w:pPr>
    </w:p>
  </w:footnote>
  <w:footnote w:id="17">
    <w:p w14:paraId="1461FA0B" w14:textId="639C4A6F" w:rsidR="00632307" w:rsidRPr="00472324" w:rsidRDefault="00632307" w:rsidP="00BA587C">
      <w:pPr>
        <w:pStyle w:val="FootnoteText"/>
        <w:spacing w:before="0" w:after="0"/>
        <w:rPr>
          <w:lang w:val="es-CR"/>
        </w:rPr>
      </w:pPr>
      <w:r>
        <w:rPr>
          <w:rStyle w:val="FootnoteReference"/>
        </w:rPr>
        <w:footnoteRef/>
      </w:r>
      <w:r>
        <w:t xml:space="preserve"> </w:t>
      </w:r>
      <w:r w:rsidR="00C147E1">
        <w:tab/>
      </w:r>
      <w:r w:rsidR="00C147E1" w:rsidRPr="00C147E1">
        <w:rPr>
          <w:i/>
        </w:rPr>
        <w:t>Cfr.</w:t>
      </w:r>
      <w:r w:rsidR="00C147E1">
        <w:t xml:space="preserve"> </w:t>
      </w:r>
      <w:r w:rsidRPr="009D621C">
        <w:rPr>
          <w:i/>
        </w:rPr>
        <w:t>Caso Comunidades Indígenas Miembros de la Asociación Lhaka Honhat (Nuestra Tierra) Vs. Argentina</w:t>
      </w:r>
      <w:r>
        <w:t>, párrs. 180 a 184.</w:t>
      </w:r>
    </w:p>
    <w:p w14:paraId="1A26E945" w14:textId="783211CB" w:rsidR="00632307" w:rsidRPr="00F83651" w:rsidRDefault="00632307" w:rsidP="00BA587C">
      <w:pPr>
        <w:pStyle w:val="FootnoteText"/>
        <w:spacing w:before="0" w:after="0"/>
        <w:rPr>
          <w:lang w:val="es-CR"/>
        </w:rPr>
      </w:pPr>
    </w:p>
  </w:footnote>
  <w:footnote w:id="18">
    <w:p w14:paraId="7F6E17FF" w14:textId="77777777" w:rsidR="00632307" w:rsidRDefault="00632307" w:rsidP="00BA587C">
      <w:pPr>
        <w:pStyle w:val="FootnoteText"/>
        <w:spacing w:before="0" w:after="0"/>
        <w:rPr>
          <w:szCs w:val="16"/>
        </w:rPr>
      </w:pPr>
      <w:r w:rsidRPr="00853716">
        <w:rPr>
          <w:rStyle w:val="FootnoteReference"/>
          <w:szCs w:val="16"/>
        </w:rPr>
        <w:footnoteRef/>
      </w:r>
      <w:r w:rsidRPr="00853716">
        <w:rPr>
          <w:szCs w:val="16"/>
        </w:rPr>
        <w:t xml:space="preserve"> </w:t>
      </w:r>
      <w:r w:rsidRPr="00853716">
        <w:rPr>
          <w:szCs w:val="16"/>
        </w:rPr>
        <w:tab/>
      </w:r>
      <w:r w:rsidRPr="00853716">
        <w:rPr>
          <w:i/>
          <w:szCs w:val="16"/>
        </w:rPr>
        <w:t>Caso Pollo Rivera y otros Vs. Perú. Solicitud de Interpretación de la Sentencia de Fondo, Reparaciones y Costas.</w:t>
      </w:r>
      <w:r w:rsidRPr="00853716">
        <w:rPr>
          <w:szCs w:val="16"/>
        </w:rPr>
        <w:t xml:space="preserve"> Sentencia de 25 de mayo de 2017. Serie C No. 335, párr. 26, y </w:t>
      </w:r>
      <w:r w:rsidRPr="00853716">
        <w:rPr>
          <w:i/>
          <w:szCs w:val="16"/>
        </w:rPr>
        <w:t>Caso Alvarado Espinoza y otros Vs. México. Interpretación de la Sentencia de Fondo, Reparaciones y Costas.</w:t>
      </w:r>
      <w:r w:rsidRPr="00853716">
        <w:rPr>
          <w:szCs w:val="16"/>
        </w:rPr>
        <w:t xml:space="preserve"> Sentencia de 30 de agosto de 2019. Serie C No. 381, párr. 18.</w:t>
      </w:r>
    </w:p>
    <w:p w14:paraId="3D9B8E05" w14:textId="77777777" w:rsidR="00632307" w:rsidRPr="00853716" w:rsidRDefault="00632307" w:rsidP="00632307">
      <w:pPr>
        <w:pStyle w:val="FootnoteText"/>
        <w:spacing w:before="0" w:after="0"/>
        <w:rPr>
          <w:szCs w:val="16"/>
          <w:lang w:val="es-C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861"/>
    <w:multiLevelType w:val="hybridMultilevel"/>
    <w:tmpl w:val="75D852F4"/>
    <w:lvl w:ilvl="0" w:tplc="AF08492C">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nsid w:val="1C2453DA"/>
    <w:multiLevelType w:val="hybridMultilevel"/>
    <w:tmpl w:val="37F893DC"/>
    <w:lvl w:ilvl="0" w:tplc="15549922">
      <w:start w:val="290"/>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642C2C12"/>
    <w:multiLevelType w:val="hybridMultilevel"/>
    <w:tmpl w:val="9F8AF72C"/>
    <w:lvl w:ilvl="0" w:tplc="96061334">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14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140A001B">
      <w:start w:val="1"/>
      <w:numFmt w:val="lowerRoman"/>
      <w:lvlText w:val="%3."/>
      <w:lvlJc w:val="right"/>
      <w:pPr>
        <w:tabs>
          <w:tab w:val="num" w:pos="2160"/>
        </w:tabs>
        <w:ind w:left="2160" w:hanging="180"/>
      </w:pPr>
      <w:rPr>
        <w:rFonts w:cs="Times New Roman"/>
      </w:rPr>
    </w:lvl>
    <w:lvl w:ilvl="3" w:tplc="140A000F">
      <w:start w:val="1"/>
      <w:numFmt w:val="decimal"/>
      <w:lvlText w:val="%4."/>
      <w:lvlJc w:val="left"/>
      <w:pPr>
        <w:tabs>
          <w:tab w:val="num" w:pos="2880"/>
        </w:tabs>
        <w:ind w:left="2880" w:hanging="360"/>
      </w:pPr>
      <w:rPr>
        <w:rFonts w:cs="Times New Roman"/>
      </w:rPr>
    </w:lvl>
    <w:lvl w:ilvl="4" w:tplc="140A0019">
      <w:start w:val="1"/>
      <w:numFmt w:val="lowerLetter"/>
      <w:lvlText w:val="%5."/>
      <w:lvlJc w:val="left"/>
      <w:pPr>
        <w:tabs>
          <w:tab w:val="num" w:pos="3600"/>
        </w:tabs>
        <w:ind w:left="3600" w:hanging="360"/>
      </w:pPr>
      <w:rPr>
        <w:rFonts w:cs="Times New Roman"/>
      </w:rPr>
    </w:lvl>
    <w:lvl w:ilvl="5" w:tplc="140A001B">
      <w:start w:val="1"/>
      <w:numFmt w:val="lowerRoman"/>
      <w:lvlText w:val="%6."/>
      <w:lvlJc w:val="right"/>
      <w:pPr>
        <w:tabs>
          <w:tab w:val="num" w:pos="4320"/>
        </w:tabs>
        <w:ind w:left="4320" w:hanging="180"/>
      </w:pPr>
      <w:rPr>
        <w:rFonts w:cs="Times New Roman"/>
      </w:rPr>
    </w:lvl>
    <w:lvl w:ilvl="6" w:tplc="140A000F">
      <w:start w:val="1"/>
      <w:numFmt w:val="decimal"/>
      <w:lvlText w:val="%7."/>
      <w:lvlJc w:val="left"/>
      <w:pPr>
        <w:tabs>
          <w:tab w:val="num" w:pos="5040"/>
        </w:tabs>
        <w:ind w:left="5040" w:hanging="360"/>
      </w:pPr>
      <w:rPr>
        <w:rFonts w:cs="Times New Roman"/>
      </w:rPr>
    </w:lvl>
    <w:lvl w:ilvl="7" w:tplc="140A0019">
      <w:start w:val="1"/>
      <w:numFmt w:val="lowerLetter"/>
      <w:lvlText w:val="%8."/>
      <w:lvlJc w:val="left"/>
      <w:pPr>
        <w:tabs>
          <w:tab w:val="num" w:pos="5760"/>
        </w:tabs>
        <w:ind w:left="5760" w:hanging="360"/>
      </w:pPr>
      <w:rPr>
        <w:rFonts w:cs="Times New Roman"/>
      </w:rPr>
    </w:lvl>
    <w:lvl w:ilvl="8" w:tplc="140A001B">
      <w:start w:val="1"/>
      <w:numFmt w:val="lowerRoman"/>
      <w:lvlText w:val="%9."/>
      <w:lvlJc w:val="right"/>
      <w:pPr>
        <w:tabs>
          <w:tab w:val="num" w:pos="6480"/>
        </w:tabs>
        <w:ind w:left="6480" w:hanging="180"/>
      </w:pPr>
      <w:rPr>
        <w:rFonts w:cs="Times New Roman"/>
      </w:rPr>
    </w:lvl>
  </w:abstractNum>
  <w:abstractNum w:abstractNumId="3">
    <w:nsid w:val="69D8531E"/>
    <w:multiLevelType w:val="hybridMultilevel"/>
    <w:tmpl w:val="CD083050"/>
    <w:lvl w:ilvl="0" w:tplc="3DC05F8C">
      <w:start w:val="92"/>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72CF3C8F"/>
    <w:multiLevelType w:val="hybridMultilevel"/>
    <w:tmpl w:val="ECA4CE7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75981C09"/>
    <w:multiLevelType w:val="hybridMultilevel"/>
    <w:tmpl w:val="B56ED7D0"/>
    <w:lvl w:ilvl="0" w:tplc="08E49762">
      <w:start w:val="1"/>
      <w:numFmt w:val="decimal"/>
      <w:lvlText w:val="%1."/>
      <w:lvlJc w:val="left"/>
      <w:pPr>
        <w:ind w:left="360" w:hanging="360"/>
      </w:pPr>
      <w:rPr>
        <w:rFonts w:eastAsia="Batang" w:cs="Verdana" w:hint="default"/>
        <w:b w:val="0"/>
        <w:i w:val="0"/>
        <w:color w:val="auto"/>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4C"/>
    <w:rsid w:val="00003F4A"/>
    <w:rsid w:val="00012DBF"/>
    <w:rsid w:val="00030AD9"/>
    <w:rsid w:val="000411CB"/>
    <w:rsid w:val="000570BD"/>
    <w:rsid w:val="000770ED"/>
    <w:rsid w:val="000C618E"/>
    <w:rsid w:val="000F14D5"/>
    <w:rsid w:val="0011671F"/>
    <w:rsid w:val="001239D6"/>
    <w:rsid w:val="00193454"/>
    <w:rsid w:val="001953D0"/>
    <w:rsid w:val="001D3B32"/>
    <w:rsid w:val="001F1330"/>
    <w:rsid w:val="002413C1"/>
    <w:rsid w:val="0026683B"/>
    <w:rsid w:val="00266DAC"/>
    <w:rsid w:val="00267B78"/>
    <w:rsid w:val="00273631"/>
    <w:rsid w:val="002B44FD"/>
    <w:rsid w:val="002B5398"/>
    <w:rsid w:val="002E5C63"/>
    <w:rsid w:val="002F79E5"/>
    <w:rsid w:val="00327D59"/>
    <w:rsid w:val="003362C0"/>
    <w:rsid w:val="00343BFF"/>
    <w:rsid w:val="00345B2A"/>
    <w:rsid w:val="003924F8"/>
    <w:rsid w:val="003C7022"/>
    <w:rsid w:val="003D1FE2"/>
    <w:rsid w:val="003F657D"/>
    <w:rsid w:val="004019CC"/>
    <w:rsid w:val="0040235D"/>
    <w:rsid w:val="00431E5B"/>
    <w:rsid w:val="004635F2"/>
    <w:rsid w:val="00472324"/>
    <w:rsid w:val="004E3943"/>
    <w:rsid w:val="004F7389"/>
    <w:rsid w:val="0050063A"/>
    <w:rsid w:val="005073B7"/>
    <w:rsid w:val="005331FC"/>
    <w:rsid w:val="00534F66"/>
    <w:rsid w:val="00542D42"/>
    <w:rsid w:val="00564C8E"/>
    <w:rsid w:val="005700F7"/>
    <w:rsid w:val="005862D8"/>
    <w:rsid w:val="005C2537"/>
    <w:rsid w:val="005E016C"/>
    <w:rsid w:val="00612732"/>
    <w:rsid w:val="00632307"/>
    <w:rsid w:val="00675A4B"/>
    <w:rsid w:val="00680124"/>
    <w:rsid w:val="00686186"/>
    <w:rsid w:val="006A2CCC"/>
    <w:rsid w:val="006A6135"/>
    <w:rsid w:val="006C3F6F"/>
    <w:rsid w:val="006D3107"/>
    <w:rsid w:val="006D3C8D"/>
    <w:rsid w:val="00724248"/>
    <w:rsid w:val="0073597B"/>
    <w:rsid w:val="00735C02"/>
    <w:rsid w:val="00764AC9"/>
    <w:rsid w:val="00796AF0"/>
    <w:rsid w:val="007C44EB"/>
    <w:rsid w:val="00811411"/>
    <w:rsid w:val="008167DC"/>
    <w:rsid w:val="0083723D"/>
    <w:rsid w:val="0086172D"/>
    <w:rsid w:val="00881C03"/>
    <w:rsid w:val="00886D05"/>
    <w:rsid w:val="008A2407"/>
    <w:rsid w:val="008C3A55"/>
    <w:rsid w:val="008D7DBD"/>
    <w:rsid w:val="008E08B3"/>
    <w:rsid w:val="008E2E69"/>
    <w:rsid w:val="008E4F34"/>
    <w:rsid w:val="008F1F03"/>
    <w:rsid w:val="008F7B58"/>
    <w:rsid w:val="00925F2D"/>
    <w:rsid w:val="0093409D"/>
    <w:rsid w:val="00935C80"/>
    <w:rsid w:val="00986A3F"/>
    <w:rsid w:val="009A394E"/>
    <w:rsid w:val="009B294F"/>
    <w:rsid w:val="009B626A"/>
    <w:rsid w:val="009D621C"/>
    <w:rsid w:val="009E4CEF"/>
    <w:rsid w:val="00A25418"/>
    <w:rsid w:val="00A34E86"/>
    <w:rsid w:val="00A72B8B"/>
    <w:rsid w:val="00A9076C"/>
    <w:rsid w:val="00A97E6B"/>
    <w:rsid w:val="00AA1617"/>
    <w:rsid w:val="00AB15CB"/>
    <w:rsid w:val="00AE6EB5"/>
    <w:rsid w:val="00AE74FC"/>
    <w:rsid w:val="00AF615D"/>
    <w:rsid w:val="00B013DC"/>
    <w:rsid w:val="00B16DBC"/>
    <w:rsid w:val="00B43036"/>
    <w:rsid w:val="00B4362E"/>
    <w:rsid w:val="00B46C3C"/>
    <w:rsid w:val="00B72AC6"/>
    <w:rsid w:val="00B85FF7"/>
    <w:rsid w:val="00B97A71"/>
    <w:rsid w:val="00BA587C"/>
    <w:rsid w:val="00BB2F1E"/>
    <w:rsid w:val="00BC0736"/>
    <w:rsid w:val="00BC496C"/>
    <w:rsid w:val="00BE75D1"/>
    <w:rsid w:val="00BF7D74"/>
    <w:rsid w:val="00C115CE"/>
    <w:rsid w:val="00C12EDA"/>
    <w:rsid w:val="00C147E1"/>
    <w:rsid w:val="00C22168"/>
    <w:rsid w:val="00C45829"/>
    <w:rsid w:val="00C600CF"/>
    <w:rsid w:val="00C62FFC"/>
    <w:rsid w:val="00C92188"/>
    <w:rsid w:val="00CB01DF"/>
    <w:rsid w:val="00CB1C30"/>
    <w:rsid w:val="00CC59B3"/>
    <w:rsid w:val="00CE372A"/>
    <w:rsid w:val="00D034A8"/>
    <w:rsid w:val="00D11FC4"/>
    <w:rsid w:val="00D431DC"/>
    <w:rsid w:val="00D60D10"/>
    <w:rsid w:val="00D83E2C"/>
    <w:rsid w:val="00DB2A67"/>
    <w:rsid w:val="00DC02B9"/>
    <w:rsid w:val="00DF2CC7"/>
    <w:rsid w:val="00E443E4"/>
    <w:rsid w:val="00E567CE"/>
    <w:rsid w:val="00E765DF"/>
    <w:rsid w:val="00EB0DEF"/>
    <w:rsid w:val="00EC13A7"/>
    <w:rsid w:val="00EC43E9"/>
    <w:rsid w:val="00EF60EB"/>
    <w:rsid w:val="00F21A3C"/>
    <w:rsid w:val="00F35AB8"/>
    <w:rsid w:val="00F6714C"/>
    <w:rsid w:val="00F83651"/>
    <w:rsid w:val="00F96F8F"/>
    <w:rsid w:val="00FA43E4"/>
    <w:rsid w:val="00FF1448"/>
    <w:rsid w:val="00FF255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4C"/>
    <w:pPr>
      <w:spacing w:after="0" w:line="240" w:lineRule="auto"/>
      <w:jc w:val="both"/>
    </w:pPr>
    <w:rPr>
      <w:rFonts w:ascii="Verdana" w:eastAsia="Batang" w:hAnsi="Verdana" w:cs="Times"/>
      <w:sz w:val="20"/>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qFormat/>
    <w:rsid w:val="00AE74FC"/>
    <w:rPr>
      <w:rFonts w:cs="Times New Roman"/>
      <w:szCs w:val="20"/>
      <w:vertAlign w:val="superscript"/>
    </w:rPr>
  </w:style>
  <w:style w:type="paragraph" w:styleId="Title">
    <w:name w:val="Title"/>
    <w:basedOn w:val="Normal"/>
    <w:link w:val="TitleChar"/>
    <w:uiPriority w:val="99"/>
    <w:qFormat/>
    <w:rsid w:val="00AE74FC"/>
    <w:pPr>
      <w:jc w:val="center"/>
    </w:pPr>
    <w:rPr>
      <w:rFonts w:eastAsia="Times New Roman" w:cs="Times New Roman"/>
      <w:b/>
      <w:noProof/>
      <w:szCs w:val="20"/>
      <w:lang w:val="es-ES_tradnl" w:eastAsia="x-none"/>
    </w:rPr>
  </w:style>
  <w:style w:type="character" w:customStyle="1" w:styleId="TitleChar">
    <w:name w:val="Title Char"/>
    <w:basedOn w:val="DefaultParagraphFont"/>
    <w:link w:val="Title"/>
    <w:uiPriority w:val="99"/>
    <w:rsid w:val="00AE74FC"/>
    <w:rPr>
      <w:rFonts w:ascii="Verdana" w:eastAsia="Times New Roman" w:hAnsi="Verdana" w:cs="Times New Roman"/>
      <w:b/>
      <w:noProof/>
      <w:sz w:val="20"/>
      <w:szCs w:val="20"/>
      <w:lang w:val="es-ES_tradnl" w:eastAsia="x-none"/>
    </w:rPr>
  </w:style>
  <w:style w:type="paragraph" w:styleId="Subtitle">
    <w:name w:val="Subtitle"/>
    <w:basedOn w:val="Normal"/>
    <w:next w:val="Normal"/>
    <w:link w:val="SubtitleChar"/>
    <w:qFormat/>
    <w:rsid w:val="00AE74FC"/>
    <w:pPr>
      <w:numPr>
        <w:ilvl w:val="1"/>
      </w:numPr>
      <w:jc w:val="center"/>
    </w:pPr>
    <w:rPr>
      <w:rFonts w:eastAsia="Times New Roman" w:cs="Times New Roman"/>
      <w:b/>
      <w:i/>
      <w:iCs/>
      <w:noProof/>
      <w:spacing w:val="15"/>
      <w:lang w:val="es-ES_tradnl" w:eastAsia="x-none"/>
    </w:rPr>
  </w:style>
  <w:style w:type="character" w:customStyle="1" w:styleId="SubtitleChar">
    <w:name w:val="Subtitle Char"/>
    <w:basedOn w:val="DefaultParagraphFont"/>
    <w:link w:val="Subtitle"/>
    <w:rsid w:val="00AE74FC"/>
    <w:rPr>
      <w:rFonts w:ascii="Verdana" w:eastAsia="Times New Roman" w:hAnsi="Verdana" w:cs="Times New Roman"/>
      <w:b/>
      <w:i/>
      <w:iCs/>
      <w:noProof/>
      <w:spacing w:val="15"/>
      <w:sz w:val="20"/>
      <w:szCs w:val="24"/>
      <w:lang w:val="es-ES_tradnl" w:eastAsia="x-none"/>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Ca,C,ft,5,FA Fu Car Car"/>
    <w:basedOn w:val="Normal"/>
    <w:link w:val="FootnoteTextChar"/>
    <w:unhideWhenUsed/>
    <w:qFormat/>
    <w:rsid w:val="00AE74FC"/>
    <w:pPr>
      <w:spacing w:before="120" w:after="120"/>
    </w:pPr>
    <w:rPr>
      <w:rFonts w:cs="Times New Roman"/>
      <w:noProof/>
      <w:sz w:val="16"/>
      <w:szCs w:val="20"/>
      <w:lang w:val="es-ES_tradnl" w:eastAsia="x-none"/>
    </w:rPr>
  </w:style>
  <w:style w:type="character" w:customStyle="1" w:styleId="TextonotapieCar">
    <w:name w:val="Texto nota pie Car"/>
    <w:basedOn w:val="DefaultParagraphFont"/>
    <w:uiPriority w:val="99"/>
    <w:semiHidden/>
    <w:rsid w:val="00AE74FC"/>
    <w:rPr>
      <w:rFonts w:ascii="Verdana" w:eastAsia="Batang" w:hAnsi="Verdana" w:cs="Times"/>
      <w:sz w:val="20"/>
      <w:szCs w:val="20"/>
      <w:lang w:val="es-ES"/>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link w:val="FootnoteText"/>
    <w:qFormat/>
    <w:rsid w:val="00AE74FC"/>
    <w:rPr>
      <w:rFonts w:ascii="Verdana" w:eastAsia="Batang" w:hAnsi="Verdana" w:cs="Times New Roman"/>
      <w:noProof/>
      <w:sz w:val="16"/>
      <w:szCs w:val="20"/>
      <w:lang w:val="es-ES_tradnl" w:eastAsia="x-none"/>
    </w:rPr>
  </w:style>
  <w:style w:type="character" w:customStyle="1" w:styleId="apple-style-span">
    <w:name w:val="apple-style-span"/>
    <w:basedOn w:val="DefaultParagraphFont"/>
    <w:rsid w:val="00AE74FC"/>
  </w:style>
  <w:style w:type="character" w:styleId="Strong">
    <w:name w:val="Strong"/>
    <w:aliases w:val="Heading 2.1"/>
    <w:uiPriority w:val="22"/>
    <w:qFormat/>
    <w:rsid w:val="00AE74FC"/>
    <w:rPr>
      <w:b/>
      <w:bCs/>
    </w:rPr>
  </w:style>
  <w:style w:type="paragraph" w:styleId="NoSpacing">
    <w:name w:val="No Spacing"/>
    <w:uiPriority w:val="1"/>
    <w:qFormat/>
    <w:rsid w:val="00AE74FC"/>
    <w:pPr>
      <w:spacing w:after="0" w:line="240" w:lineRule="auto"/>
    </w:pPr>
    <w:rPr>
      <w:rFonts w:ascii="Calibri" w:eastAsia="Calibri" w:hAnsi="Calibri" w:cs="Times New Roman"/>
    </w:rPr>
  </w:style>
  <w:style w:type="paragraph" w:styleId="ListParagraph">
    <w:name w:val="List Paragraph"/>
    <w:aliases w:val="List Paragraph2,Lista vistosa - Énfasis 11,Párrafo de lista1,List Paragraph1,Colorful List - Accent 11,Footnote,Footnote1"/>
    <w:basedOn w:val="Normal"/>
    <w:link w:val="ListParagraphChar"/>
    <w:uiPriority w:val="34"/>
    <w:qFormat/>
    <w:rsid w:val="00AE74FC"/>
    <w:pPr>
      <w:spacing w:after="200" w:line="276" w:lineRule="auto"/>
      <w:ind w:left="720"/>
      <w:contextualSpacing/>
      <w:jc w:val="left"/>
    </w:pPr>
    <w:rPr>
      <w:rFonts w:eastAsia="Calibri" w:cs="Times New Roman"/>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AE74FC"/>
    <w:rPr>
      <w:rFonts w:asciiTheme="minorHAnsi" w:eastAsiaTheme="minorHAnsi" w:hAnsiTheme="minorHAnsi" w:cs="Times New Roman"/>
      <w:sz w:val="22"/>
      <w:szCs w:val="20"/>
      <w:vertAlign w:val="superscript"/>
      <w:lang w:val="es-CR"/>
    </w:rPr>
  </w:style>
  <w:style w:type="character" w:customStyle="1" w:styleId="ListParagraphChar">
    <w:name w:val="List Paragraph Char"/>
    <w:aliases w:val="List Paragraph2 Char,Lista vistosa - Énfasis 11 Char,Párrafo de lista1 Char,List Paragraph1 Char,Colorful List - Accent 11 Char,Footnote Char,Footnote1 Char"/>
    <w:link w:val="ListParagraph"/>
    <w:uiPriority w:val="34"/>
    <w:rsid w:val="009D621C"/>
    <w:rPr>
      <w:rFonts w:ascii="Verdana" w:eastAsia="Calibri" w:hAnsi="Verdana" w:cs="Times New Roman"/>
      <w:sz w:val="20"/>
      <w:szCs w:val="20"/>
      <w:lang w:val="es-ES" w:eastAsia="es-ES"/>
    </w:rPr>
  </w:style>
  <w:style w:type="paragraph" w:customStyle="1" w:styleId="Footnotes">
    <w:name w:val="**. Footnotes"/>
    <w:basedOn w:val="FootnoteText"/>
    <w:link w:val="FootnotesChar"/>
    <w:autoRedefine/>
    <w:qFormat/>
    <w:rsid w:val="008E4F34"/>
    <w:pPr>
      <w:spacing w:before="0" w:after="0" w:line="216" w:lineRule="auto"/>
    </w:pPr>
    <w:rPr>
      <w:rFonts w:eastAsiaTheme="majorEastAsia" w:cs="Palatino-Italic"/>
      <w:iCs/>
      <w:noProof w:val="0"/>
      <w:szCs w:val="16"/>
      <w:lang w:val="es-ES" w:eastAsia="en-US" w:bidi="en-US"/>
    </w:rPr>
  </w:style>
  <w:style w:type="character" w:customStyle="1" w:styleId="FootnotesChar">
    <w:name w:val="**. Footnotes Char"/>
    <w:basedOn w:val="DefaultParagraphFont"/>
    <w:link w:val="Footnotes"/>
    <w:rsid w:val="008E4F34"/>
    <w:rPr>
      <w:rFonts w:ascii="Verdana" w:eastAsiaTheme="majorEastAsia" w:hAnsi="Verdana" w:cs="Palatino-Italic"/>
      <w:iCs/>
      <w:sz w:val="16"/>
      <w:szCs w:val="16"/>
      <w:lang w:val="es-ES" w:bidi="en-US"/>
    </w:rPr>
  </w:style>
  <w:style w:type="paragraph" w:styleId="Header">
    <w:name w:val="header"/>
    <w:basedOn w:val="Normal"/>
    <w:link w:val="HeaderChar"/>
    <w:uiPriority w:val="99"/>
    <w:unhideWhenUsed/>
    <w:rsid w:val="0040235D"/>
    <w:pPr>
      <w:tabs>
        <w:tab w:val="center" w:pos="4419"/>
        <w:tab w:val="right" w:pos="8838"/>
      </w:tabs>
    </w:pPr>
  </w:style>
  <w:style w:type="character" w:customStyle="1" w:styleId="HeaderChar">
    <w:name w:val="Header Char"/>
    <w:basedOn w:val="DefaultParagraphFont"/>
    <w:link w:val="Header"/>
    <w:uiPriority w:val="99"/>
    <w:rsid w:val="0040235D"/>
    <w:rPr>
      <w:rFonts w:ascii="Verdana" w:eastAsia="Batang" w:hAnsi="Verdana" w:cs="Times"/>
      <w:sz w:val="20"/>
      <w:szCs w:val="24"/>
      <w:lang w:val="es-ES"/>
    </w:rPr>
  </w:style>
  <w:style w:type="paragraph" w:styleId="Footer">
    <w:name w:val="footer"/>
    <w:basedOn w:val="Normal"/>
    <w:link w:val="FooterChar"/>
    <w:uiPriority w:val="99"/>
    <w:unhideWhenUsed/>
    <w:rsid w:val="0040235D"/>
    <w:pPr>
      <w:tabs>
        <w:tab w:val="center" w:pos="4419"/>
        <w:tab w:val="right" w:pos="8838"/>
      </w:tabs>
    </w:pPr>
  </w:style>
  <w:style w:type="character" w:customStyle="1" w:styleId="FooterChar">
    <w:name w:val="Footer Char"/>
    <w:basedOn w:val="DefaultParagraphFont"/>
    <w:link w:val="Footer"/>
    <w:uiPriority w:val="99"/>
    <w:rsid w:val="0040235D"/>
    <w:rPr>
      <w:rFonts w:ascii="Verdana" w:eastAsia="Batang" w:hAnsi="Verdana" w:cs="Times"/>
      <w:sz w:val="20"/>
      <w:szCs w:val="24"/>
      <w:lang w:val="es-ES"/>
    </w:rPr>
  </w:style>
  <w:style w:type="character" w:styleId="LineNumber">
    <w:name w:val="line number"/>
    <w:basedOn w:val="DefaultParagraphFont"/>
    <w:uiPriority w:val="99"/>
    <w:semiHidden/>
    <w:unhideWhenUsed/>
    <w:rsid w:val="0040235D"/>
  </w:style>
  <w:style w:type="character" w:styleId="CommentReference">
    <w:name w:val="annotation reference"/>
    <w:basedOn w:val="DefaultParagraphFont"/>
    <w:uiPriority w:val="99"/>
    <w:semiHidden/>
    <w:unhideWhenUsed/>
    <w:rsid w:val="009B626A"/>
    <w:rPr>
      <w:sz w:val="16"/>
      <w:szCs w:val="16"/>
    </w:rPr>
  </w:style>
  <w:style w:type="paragraph" w:styleId="CommentText">
    <w:name w:val="annotation text"/>
    <w:basedOn w:val="Normal"/>
    <w:link w:val="CommentTextChar"/>
    <w:uiPriority w:val="99"/>
    <w:semiHidden/>
    <w:unhideWhenUsed/>
    <w:rsid w:val="009B626A"/>
    <w:rPr>
      <w:szCs w:val="20"/>
    </w:rPr>
  </w:style>
  <w:style w:type="character" w:customStyle="1" w:styleId="CommentTextChar">
    <w:name w:val="Comment Text Char"/>
    <w:basedOn w:val="DefaultParagraphFont"/>
    <w:link w:val="CommentText"/>
    <w:uiPriority w:val="99"/>
    <w:semiHidden/>
    <w:rsid w:val="009B626A"/>
    <w:rPr>
      <w:rFonts w:ascii="Verdana" w:eastAsia="Batang" w:hAnsi="Verdana" w:cs="Times"/>
      <w:sz w:val="20"/>
      <w:szCs w:val="20"/>
      <w:lang w:val="es-ES"/>
    </w:rPr>
  </w:style>
  <w:style w:type="paragraph" w:styleId="CommentSubject">
    <w:name w:val="annotation subject"/>
    <w:basedOn w:val="CommentText"/>
    <w:next w:val="CommentText"/>
    <w:link w:val="CommentSubjectChar"/>
    <w:uiPriority w:val="99"/>
    <w:semiHidden/>
    <w:unhideWhenUsed/>
    <w:rsid w:val="009B626A"/>
    <w:rPr>
      <w:b/>
      <w:bCs/>
    </w:rPr>
  </w:style>
  <w:style w:type="character" w:customStyle="1" w:styleId="CommentSubjectChar">
    <w:name w:val="Comment Subject Char"/>
    <w:basedOn w:val="CommentTextChar"/>
    <w:link w:val="CommentSubject"/>
    <w:uiPriority w:val="99"/>
    <w:semiHidden/>
    <w:rsid w:val="009B626A"/>
    <w:rPr>
      <w:rFonts w:ascii="Verdana" w:eastAsia="Batang" w:hAnsi="Verdana" w:cs="Times"/>
      <w:b/>
      <w:bCs/>
      <w:sz w:val="20"/>
      <w:szCs w:val="20"/>
      <w:lang w:val="es-ES"/>
    </w:rPr>
  </w:style>
  <w:style w:type="paragraph" w:styleId="BalloonText">
    <w:name w:val="Balloon Text"/>
    <w:basedOn w:val="Normal"/>
    <w:link w:val="BalloonTextChar"/>
    <w:uiPriority w:val="99"/>
    <w:semiHidden/>
    <w:unhideWhenUsed/>
    <w:rsid w:val="009B6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26A"/>
    <w:rPr>
      <w:rFonts w:ascii="Segoe UI" w:eastAsia="Batang"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4C"/>
    <w:pPr>
      <w:spacing w:after="0" w:line="240" w:lineRule="auto"/>
      <w:jc w:val="both"/>
    </w:pPr>
    <w:rPr>
      <w:rFonts w:ascii="Verdana" w:eastAsia="Batang" w:hAnsi="Verdana" w:cs="Times"/>
      <w:sz w:val="20"/>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qFormat/>
    <w:rsid w:val="00AE74FC"/>
    <w:rPr>
      <w:rFonts w:cs="Times New Roman"/>
      <w:szCs w:val="20"/>
      <w:vertAlign w:val="superscript"/>
    </w:rPr>
  </w:style>
  <w:style w:type="paragraph" w:styleId="Title">
    <w:name w:val="Title"/>
    <w:basedOn w:val="Normal"/>
    <w:link w:val="TitleChar"/>
    <w:uiPriority w:val="99"/>
    <w:qFormat/>
    <w:rsid w:val="00AE74FC"/>
    <w:pPr>
      <w:jc w:val="center"/>
    </w:pPr>
    <w:rPr>
      <w:rFonts w:eastAsia="Times New Roman" w:cs="Times New Roman"/>
      <w:b/>
      <w:noProof/>
      <w:szCs w:val="20"/>
      <w:lang w:val="es-ES_tradnl" w:eastAsia="x-none"/>
    </w:rPr>
  </w:style>
  <w:style w:type="character" w:customStyle="1" w:styleId="TitleChar">
    <w:name w:val="Title Char"/>
    <w:basedOn w:val="DefaultParagraphFont"/>
    <w:link w:val="Title"/>
    <w:uiPriority w:val="99"/>
    <w:rsid w:val="00AE74FC"/>
    <w:rPr>
      <w:rFonts w:ascii="Verdana" w:eastAsia="Times New Roman" w:hAnsi="Verdana" w:cs="Times New Roman"/>
      <w:b/>
      <w:noProof/>
      <w:sz w:val="20"/>
      <w:szCs w:val="20"/>
      <w:lang w:val="es-ES_tradnl" w:eastAsia="x-none"/>
    </w:rPr>
  </w:style>
  <w:style w:type="paragraph" w:styleId="Subtitle">
    <w:name w:val="Subtitle"/>
    <w:basedOn w:val="Normal"/>
    <w:next w:val="Normal"/>
    <w:link w:val="SubtitleChar"/>
    <w:qFormat/>
    <w:rsid w:val="00AE74FC"/>
    <w:pPr>
      <w:numPr>
        <w:ilvl w:val="1"/>
      </w:numPr>
      <w:jc w:val="center"/>
    </w:pPr>
    <w:rPr>
      <w:rFonts w:eastAsia="Times New Roman" w:cs="Times New Roman"/>
      <w:b/>
      <w:i/>
      <w:iCs/>
      <w:noProof/>
      <w:spacing w:val="15"/>
      <w:lang w:val="es-ES_tradnl" w:eastAsia="x-none"/>
    </w:rPr>
  </w:style>
  <w:style w:type="character" w:customStyle="1" w:styleId="SubtitleChar">
    <w:name w:val="Subtitle Char"/>
    <w:basedOn w:val="DefaultParagraphFont"/>
    <w:link w:val="Subtitle"/>
    <w:rsid w:val="00AE74FC"/>
    <w:rPr>
      <w:rFonts w:ascii="Verdana" w:eastAsia="Times New Roman" w:hAnsi="Verdana" w:cs="Times New Roman"/>
      <w:b/>
      <w:i/>
      <w:iCs/>
      <w:noProof/>
      <w:spacing w:val="15"/>
      <w:sz w:val="20"/>
      <w:szCs w:val="24"/>
      <w:lang w:val="es-ES_tradnl" w:eastAsia="x-none"/>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Ca,C,ft,5,FA Fu Car Car"/>
    <w:basedOn w:val="Normal"/>
    <w:link w:val="FootnoteTextChar"/>
    <w:unhideWhenUsed/>
    <w:qFormat/>
    <w:rsid w:val="00AE74FC"/>
    <w:pPr>
      <w:spacing w:before="120" w:after="120"/>
    </w:pPr>
    <w:rPr>
      <w:rFonts w:cs="Times New Roman"/>
      <w:noProof/>
      <w:sz w:val="16"/>
      <w:szCs w:val="20"/>
      <w:lang w:val="es-ES_tradnl" w:eastAsia="x-none"/>
    </w:rPr>
  </w:style>
  <w:style w:type="character" w:customStyle="1" w:styleId="TextonotapieCar">
    <w:name w:val="Texto nota pie Car"/>
    <w:basedOn w:val="DefaultParagraphFont"/>
    <w:uiPriority w:val="99"/>
    <w:semiHidden/>
    <w:rsid w:val="00AE74FC"/>
    <w:rPr>
      <w:rFonts w:ascii="Verdana" w:eastAsia="Batang" w:hAnsi="Verdana" w:cs="Times"/>
      <w:sz w:val="20"/>
      <w:szCs w:val="20"/>
      <w:lang w:val="es-ES"/>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link w:val="FootnoteText"/>
    <w:qFormat/>
    <w:rsid w:val="00AE74FC"/>
    <w:rPr>
      <w:rFonts w:ascii="Verdana" w:eastAsia="Batang" w:hAnsi="Verdana" w:cs="Times New Roman"/>
      <w:noProof/>
      <w:sz w:val="16"/>
      <w:szCs w:val="20"/>
      <w:lang w:val="es-ES_tradnl" w:eastAsia="x-none"/>
    </w:rPr>
  </w:style>
  <w:style w:type="character" w:customStyle="1" w:styleId="apple-style-span">
    <w:name w:val="apple-style-span"/>
    <w:basedOn w:val="DefaultParagraphFont"/>
    <w:rsid w:val="00AE74FC"/>
  </w:style>
  <w:style w:type="character" w:styleId="Strong">
    <w:name w:val="Strong"/>
    <w:aliases w:val="Heading 2.1"/>
    <w:uiPriority w:val="22"/>
    <w:qFormat/>
    <w:rsid w:val="00AE74FC"/>
    <w:rPr>
      <w:b/>
      <w:bCs/>
    </w:rPr>
  </w:style>
  <w:style w:type="paragraph" w:styleId="NoSpacing">
    <w:name w:val="No Spacing"/>
    <w:uiPriority w:val="1"/>
    <w:qFormat/>
    <w:rsid w:val="00AE74FC"/>
    <w:pPr>
      <w:spacing w:after="0" w:line="240" w:lineRule="auto"/>
    </w:pPr>
    <w:rPr>
      <w:rFonts w:ascii="Calibri" w:eastAsia="Calibri" w:hAnsi="Calibri" w:cs="Times New Roman"/>
    </w:rPr>
  </w:style>
  <w:style w:type="paragraph" w:styleId="ListParagraph">
    <w:name w:val="List Paragraph"/>
    <w:aliases w:val="List Paragraph2,Lista vistosa - Énfasis 11,Párrafo de lista1,List Paragraph1,Colorful List - Accent 11,Footnote,Footnote1"/>
    <w:basedOn w:val="Normal"/>
    <w:link w:val="ListParagraphChar"/>
    <w:uiPriority w:val="34"/>
    <w:qFormat/>
    <w:rsid w:val="00AE74FC"/>
    <w:pPr>
      <w:spacing w:after="200" w:line="276" w:lineRule="auto"/>
      <w:ind w:left="720"/>
      <w:contextualSpacing/>
      <w:jc w:val="left"/>
    </w:pPr>
    <w:rPr>
      <w:rFonts w:eastAsia="Calibri" w:cs="Times New Roman"/>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AE74FC"/>
    <w:rPr>
      <w:rFonts w:asciiTheme="minorHAnsi" w:eastAsiaTheme="minorHAnsi" w:hAnsiTheme="minorHAnsi" w:cs="Times New Roman"/>
      <w:sz w:val="22"/>
      <w:szCs w:val="20"/>
      <w:vertAlign w:val="superscript"/>
      <w:lang w:val="es-CR"/>
    </w:rPr>
  </w:style>
  <w:style w:type="character" w:customStyle="1" w:styleId="ListParagraphChar">
    <w:name w:val="List Paragraph Char"/>
    <w:aliases w:val="List Paragraph2 Char,Lista vistosa - Énfasis 11 Char,Párrafo de lista1 Char,List Paragraph1 Char,Colorful List - Accent 11 Char,Footnote Char,Footnote1 Char"/>
    <w:link w:val="ListParagraph"/>
    <w:uiPriority w:val="34"/>
    <w:rsid w:val="009D621C"/>
    <w:rPr>
      <w:rFonts w:ascii="Verdana" w:eastAsia="Calibri" w:hAnsi="Verdana" w:cs="Times New Roman"/>
      <w:sz w:val="20"/>
      <w:szCs w:val="20"/>
      <w:lang w:val="es-ES" w:eastAsia="es-ES"/>
    </w:rPr>
  </w:style>
  <w:style w:type="paragraph" w:customStyle="1" w:styleId="Footnotes">
    <w:name w:val="**. Footnotes"/>
    <w:basedOn w:val="FootnoteText"/>
    <w:link w:val="FootnotesChar"/>
    <w:autoRedefine/>
    <w:qFormat/>
    <w:rsid w:val="008E4F34"/>
    <w:pPr>
      <w:spacing w:before="0" w:after="0" w:line="216" w:lineRule="auto"/>
    </w:pPr>
    <w:rPr>
      <w:rFonts w:eastAsiaTheme="majorEastAsia" w:cs="Palatino-Italic"/>
      <w:iCs/>
      <w:noProof w:val="0"/>
      <w:szCs w:val="16"/>
      <w:lang w:val="es-ES" w:eastAsia="en-US" w:bidi="en-US"/>
    </w:rPr>
  </w:style>
  <w:style w:type="character" w:customStyle="1" w:styleId="FootnotesChar">
    <w:name w:val="**. Footnotes Char"/>
    <w:basedOn w:val="DefaultParagraphFont"/>
    <w:link w:val="Footnotes"/>
    <w:rsid w:val="008E4F34"/>
    <w:rPr>
      <w:rFonts w:ascii="Verdana" w:eastAsiaTheme="majorEastAsia" w:hAnsi="Verdana" w:cs="Palatino-Italic"/>
      <w:iCs/>
      <w:sz w:val="16"/>
      <w:szCs w:val="16"/>
      <w:lang w:val="es-ES" w:bidi="en-US"/>
    </w:rPr>
  </w:style>
  <w:style w:type="paragraph" w:styleId="Header">
    <w:name w:val="header"/>
    <w:basedOn w:val="Normal"/>
    <w:link w:val="HeaderChar"/>
    <w:uiPriority w:val="99"/>
    <w:unhideWhenUsed/>
    <w:rsid w:val="0040235D"/>
    <w:pPr>
      <w:tabs>
        <w:tab w:val="center" w:pos="4419"/>
        <w:tab w:val="right" w:pos="8838"/>
      </w:tabs>
    </w:pPr>
  </w:style>
  <w:style w:type="character" w:customStyle="1" w:styleId="HeaderChar">
    <w:name w:val="Header Char"/>
    <w:basedOn w:val="DefaultParagraphFont"/>
    <w:link w:val="Header"/>
    <w:uiPriority w:val="99"/>
    <w:rsid w:val="0040235D"/>
    <w:rPr>
      <w:rFonts w:ascii="Verdana" w:eastAsia="Batang" w:hAnsi="Verdana" w:cs="Times"/>
      <w:sz w:val="20"/>
      <w:szCs w:val="24"/>
      <w:lang w:val="es-ES"/>
    </w:rPr>
  </w:style>
  <w:style w:type="paragraph" w:styleId="Footer">
    <w:name w:val="footer"/>
    <w:basedOn w:val="Normal"/>
    <w:link w:val="FooterChar"/>
    <w:uiPriority w:val="99"/>
    <w:unhideWhenUsed/>
    <w:rsid w:val="0040235D"/>
    <w:pPr>
      <w:tabs>
        <w:tab w:val="center" w:pos="4419"/>
        <w:tab w:val="right" w:pos="8838"/>
      </w:tabs>
    </w:pPr>
  </w:style>
  <w:style w:type="character" w:customStyle="1" w:styleId="FooterChar">
    <w:name w:val="Footer Char"/>
    <w:basedOn w:val="DefaultParagraphFont"/>
    <w:link w:val="Footer"/>
    <w:uiPriority w:val="99"/>
    <w:rsid w:val="0040235D"/>
    <w:rPr>
      <w:rFonts w:ascii="Verdana" w:eastAsia="Batang" w:hAnsi="Verdana" w:cs="Times"/>
      <w:sz w:val="20"/>
      <w:szCs w:val="24"/>
      <w:lang w:val="es-ES"/>
    </w:rPr>
  </w:style>
  <w:style w:type="character" w:styleId="LineNumber">
    <w:name w:val="line number"/>
    <w:basedOn w:val="DefaultParagraphFont"/>
    <w:uiPriority w:val="99"/>
    <w:semiHidden/>
    <w:unhideWhenUsed/>
    <w:rsid w:val="0040235D"/>
  </w:style>
  <w:style w:type="character" w:styleId="CommentReference">
    <w:name w:val="annotation reference"/>
    <w:basedOn w:val="DefaultParagraphFont"/>
    <w:uiPriority w:val="99"/>
    <w:semiHidden/>
    <w:unhideWhenUsed/>
    <w:rsid w:val="009B626A"/>
    <w:rPr>
      <w:sz w:val="16"/>
      <w:szCs w:val="16"/>
    </w:rPr>
  </w:style>
  <w:style w:type="paragraph" w:styleId="CommentText">
    <w:name w:val="annotation text"/>
    <w:basedOn w:val="Normal"/>
    <w:link w:val="CommentTextChar"/>
    <w:uiPriority w:val="99"/>
    <w:semiHidden/>
    <w:unhideWhenUsed/>
    <w:rsid w:val="009B626A"/>
    <w:rPr>
      <w:szCs w:val="20"/>
    </w:rPr>
  </w:style>
  <w:style w:type="character" w:customStyle="1" w:styleId="CommentTextChar">
    <w:name w:val="Comment Text Char"/>
    <w:basedOn w:val="DefaultParagraphFont"/>
    <w:link w:val="CommentText"/>
    <w:uiPriority w:val="99"/>
    <w:semiHidden/>
    <w:rsid w:val="009B626A"/>
    <w:rPr>
      <w:rFonts w:ascii="Verdana" w:eastAsia="Batang" w:hAnsi="Verdana" w:cs="Times"/>
      <w:sz w:val="20"/>
      <w:szCs w:val="20"/>
      <w:lang w:val="es-ES"/>
    </w:rPr>
  </w:style>
  <w:style w:type="paragraph" w:styleId="CommentSubject">
    <w:name w:val="annotation subject"/>
    <w:basedOn w:val="CommentText"/>
    <w:next w:val="CommentText"/>
    <w:link w:val="CommentSubjectChar"/>
    <w:uiPriority w:val="99"/>
    <w:semiHidden/>
    <w:unhideWhenUsed/>
    <w:rsid w:val="009B626A"/>
    <w:rPr>
      <w:b/>
      <w:bCs/>
    </w:rPr>
  </w:style>
  <w:style w:type="character" w:customStyle="1" w:styleId="CommentSubjectChar">
    <w:name w:val="Comment Subject Char"/>
    <w:basedOn w:val="CommentTextChar"/>
    <w:link w:val="CommentSubject"/>
    <w:uiPriority w:val="99"/>
    <w:semiHidden/>
    <w:rsid w:val="009B626A"/>
    <w:rPr>
      <w:rFonts w:ascii="Verdana" w:eastAsia="Batang" w:hAnsi="Verdana" w:cs="Times"/>
      <w:b/>
      <w:bCs/>
      <w:sz w:val="20"/>
      <w:szCs w:val="20"/>
      <w:lang w:val="es-ES"/>
    </w:rPr>
  </w:style>
  <w:style w:type="paragraph" w:styleId="BalloonText">
    <w:name w:val="Balloon Text"/>
    <w:basedOn w:val="Normal"/>
    <w:link w:val="BalloonTextChar"/>
    <w:uiPriority w:val="99"/>
    <w:semiHidden/>
    <w:unhideWhenUsed/>
    <w:rsid w:val="009B6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26A"/>
    <w:rPr>
      <w:rFonts w:ascii="Segoe UI" w:eastAsia="Batang"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4ED35-C4F9-4BCB-9601-1CCE8BAB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3385</Words>
  <Characters>18619</Characters>
  <Application>Microsoft Office Word</Application>
  <DocSecurity>0</DocSecurity>
  <Lines>155</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Francella Hernandez</cp:lastModifiedBy>
  <cp:revision>3</cp:revision>
  <dcterms:created xsi:type="dcterms:W3CDTF">2020-12-11T18:44:00Z</dcterms:created>
  <dcterms:modified xsi:type="dcterms:W3CDTF">2020-12-11T19:13:00Z</dcterms:modified>
</cp:coreProperties>
</file>