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EB" w:rsidRDefault="00AB52EB" w:rsidP="00AD13AB">
      <w:pPr>
        <w:tabs>
          <w:tab w:val="left" w:pos="8789"/>
        </w:tabs>
        <w:ind w:right="96"/>
        <w:rPr>
          <w:b/>
          <w:sz w:val="20"/>
          <w:szCs w:val="20"/>
          <w:lang w:val="es-CR"/>
        </w:rPr>
      </w:pPr>
    </w:p>
    <w:p w:rsidR="00AB52EB" w:rsidRDefault="00AB52EB" w:rsidP="00AD13AB">
      <w:pPr>
        <w:tabs>
          <w:tab w:val="left" w:pos="8789"/>
        </w:tabs>
        <w:ind w:right="96"/>
        <w:rPr>
          <w:b/>
          <w:sz w:val="20"/>
          <w:szCs w:val="20"/>
          <w:lang w:val="es-CR"/>
        </w:rPr>
      </w:pPr>
    </w:p>
    <w:p w:rsidR="00AB52EB" w:rsidRPr="00514681" w:rsidRDefault="00AB52EB" w:rsidP="00AD13AB">
      <w:pPr>
        <w:tabs>
          <w:tab w:val="left" w:pos="8789"/>
        </w:tabs>
        <w:ind w:left="2160" w:right="96" w:hanging="2160"/>
        <w:jc w:val="center"/>
        <w:rPr>
          <w:b/>
          <w:sz w:val="20"/>
          <w:szCs w:val="20"/>
          <w:lang w:val="es-CR"/>
        </w:rPr>
      </w:pPr>
      <w:r w:rsidRPr="00514681">
        <w:rPr>
          <w:b/>
          <w:sz w:val="20"/>
          <w:szCs w:val="20"/>
          <w:lang w:val="es-CR"/>
        </w:rPr>
        <w:t xml:space="preserve">VOTO CONCURRENTE DEL </w:t>
      </w:r>
    </w:p>
    <w:p w:rsidR="00AB52EB" w:rsidRPr="00514681" w:rsidRDefault="00AB52EB" w:rsidP="00AD13AB">
      <w:pPr>
        <w:tabs>
          <w:tab w:val="left" w:pos="8789"/>
        </w:tabs>
        <w:ind w:left="2160" w:right="96" w:hanging="2160"/>
        <w:jc w:val="center"/>
        <w:rPr>
          <w:b/>
          <w:sz w:val="20"/>
          <w:szCs w:val="20"/>
          <w:lang w:val="es-CR"/>
        </w:rPr>
      </w:pPr>
      <w:r w:rsidRPr="00514681">
        <w:rPr>
          <w:b/>
          <w:sz w:val="20"/>
          <w:szCs w:val="20"/>
          <w:lang w:val="es-CR"/>
        </w:rPr>
        <w:t>JUEZ EDUARDO FERRER MAC-GREGOR POISOT</w:t>
      </w:r>
    </w:p>
    <w:p w:rsidR="00AB52EB" w:rsidRPr="00514681" w:rsidRDefault="00AB52EB" w:rsidP="00AD13AB">
      <w:pPr>
        <w:tabs>
          <w:tab w:val="left" w:pos="8789"/>
        </w:tabs>
        <w:ind w:left="2160" w:right="96" w:hanging="2160"/>
        <w:jc w:val="center"/>
        <w:rPr>
          <w:b/>
          <w:sz w:val="20"/>
          <w:szCs w:val="20"/>
          <w:lang w:val="es-CR"/>
        </w:rPr>
      </w:pPr>
    </w:p>
    <w:p w:rsidR="00AB52EB" w:rsidRPr="00514681" w:rsidRDefault="00AB52EB" w:rsidP="00AD13AB">
      <w:pPr>
        <w:tabs>
          <w:tab w:val="left" w:pos="8789"/>
        </w:tabs>
        <w:ind w:right="96"/>
        <w:jc w:val="center"/>
        <w:rPr>
          <w:b/>
          <w:sz w:val="20"/>
          <w:szCs w:val="20"/>
          <w:u w:val="single"/>
          <w:lang w:val="es-CR"/>
        </w:rPr>
      </w:pPr>
      <w:r w:rsidRPr="00514681">
        <w:rPr>
          <w:b/>
          <w:sz w:val="20"/>
          <w:szCs w:val="20"/>
          <w:u w:val="single"/>
          <w:lang w:val="es-CR"/>
        </w:rPr>
        <w:t xml:space="preserve">CASO RODRÍGUEZ VERA Y OTROS </w:t>
      </w:r>
      <w:r w:rsidR="00F51E39" w:rsidRPr="00514681">
        <w:rPr>
          <w:b/>
          <w:i/>
          <w:sz w:val="20"/>
          <w:szCs w:val="20"/>
          <w:u w:val="single"/>
          <w:lang w:val="es-CR"/>
        </w:rPr>
        <w:t>(DESAPARECIDOS DEL PALACIO DE JUSTICIA)</w:t>
      </w:r>
      <w:r w:rsidRPr="00514681">
        <w:rPr>
          <w:b/>
          <w:sz w:val="20"/>
          <w:szCs w:val="20"/>
          <w:u w:val="single"/>
          <w:lang w:val="es-CR"/>
        </w:rPr>
        <w:t xml:space="preserve"> VS. COLOMBIA</w:t>
      </w:r>
    </w:p>
    <w:p w:rsidR="00AB52EB" w:rsidRPr="00514681" w:rsidRDefault="00AB52EB" w:rsidP="00AD13AB">
      <w:pPr>
        <w:tabs>
          <w:tab w:val="left" w:pos="8789"/>
        </w:tabs>
        <w:ind w:left="2160" w:right="96" w:hanging="2160"/>
        <w:jc w:val="center"/>
        <w:rPr>
          <w:b/>
          <w:bCs/>
          <w:sz w:val="20"/>
          <w:szCs w:val="20"/>
          <w:lang w:val="es-CR"/>
        </w:rPr>
      </w:pPr>
    </w:p>
    <w:p w:rsidR="00AB52EB" w:rsidRPr="00514681" w:rsidRDefault="00AB52EB" w:rsidP="00AD13AB">
      <w:pPr>
        <w:tabs>
          <w:tab w:val="left" w:pos="8789"/>
        </w:tabs>
        <w:ind w:left="2160" w:right="96" w:hanging="2160"/>
        <w:jc w:val="center"/>
        <w:rPr>
          <w:b/>
          <w:bCs/>
          <w:sz w:val="18"/>
          <w:szCs w:val="18"/>
          <w:lang w:val="es-CR"/>
        </w:rPr>
      </w:pPr>
      <w:r w:rsidRPr="00514681">
        <w:rPr>
          <w:b/>
          <w:bCs/>
          <w:sz w:val="18"/>
          <w:szCs w:val="18"/>
          <w:lang w:val="es-CR"/>
        </w:rPr>
        <w:t>SENT</w:t>
      </w:r>
      <w:r w:rsidR="0081525A">
        <w:rPr>
          <w:b/>
          <w:bCs/>
          <w:sz w:val="18"/>
          <w:szCs w:val="18"/>
          <w:lang w:val="es-CR"/>
        </w:rPr>
        <w:t>ENCIA DE 14 DE NOVIEMBRE DE 2014</w:t>
      </w:r>
    </w:p>
    <w:p w:rsidR="00AB52EB" w:rsidRPr="00514681" w:rsidRDefault="00AB52EB" w:rsidP="00AD13AB">
      <w:pPr>
        <w:tabs>
          <w:tab w:val="left" w:pos="8789"/>
        </w:tabs>
        <w:ind w:left="2160" w:right="96" w:hanging="2160"/>
        <w:jc w:val="center"/>
        <w:rPr>
          <w:b/>
          <w:bCs/>
          <w:i/>
          <w:iCs/>
          <w:sz w:val="18"/>
          <w:szCs w:val="18"/>
          <w:lang w:val="es-CR"/>
        </w:rPr>
      </w:pPr>
      <w:r w:rsidRPr="00514681">
        <w:rPr>
          <w:b/>
          <w:bCs/>
          <w:i/>
          <w:iCs/>
          <w:sz w:val="18"/>
          <w:szCs w:val="18"/>
          <w:lang w:val="es-CR"/>
        </w:rPr>
        <w:t>(Excepciones Preliminares, Fondo, Reparaciones y Costas)</w:t>
      </w:r>
    </w:p>
    <w:p w:rsidR="00AB52EB" w:rsidRPr="00514681" w:rsidRDefault="00AB52EB" w:rsidP="00AD13AB">
      <w:pPr>
        <w:tabs>
          <w:tab w:val="left" w:pos="8789"/>
        </w:tabs>
        <w:ind w:right="96"/>
        <w:rPr>
          <w:b/>
          <w:bCs/>
          <w:i/>
          <w:iCs/>
          <w:sz w:val="18"/>
          <w:szCs w:val="18"/>
          <w:lang w:val="es-CR"/>
        </w:rPr>
      </w:pPr>
    </w:p>
    <w:p w:rsidR="00AB52EB" w:rsidRPr="00514681" w:rsidRDefault="00AB52EB" w:rsidP="00AD13AB">
      <w:pPr>
        <w:tabs>
          <w:tab w:val="left" w:pos="8789"/>
        </w:tabs>
        <w:ind w:left="2160" w:right="96" w:hanging="2160"/>
        <w:jc w:val="center"/>
        <w:rPr>
          <w:b/>
          <w:bCs/>
          <w:iCs/>
          <w:sz w:val="20"/>
          <w:szCs w:val="20"/>
          <w:lang w:val="es-CR"/>
        </w:rPr>
      </w:pPr>
    </w:p>
    <w:p w:rsidR="00213FFD" w:rsidRPr="00514681" w:rsidRDefault="00213FFD" w:rsidP="00AD13AB">
      <w:pPr>
        <w:tabs>
          <w:tab w:val="left" w:pos="8789"/>
        </w:tabs>
        <w:ind w:right="96"/>
        <w:jc w:val="center"/>
        <w:rPr>
          <w:b/>
          <w:bCs/>
          <w:iCs/>
          <w:sz w:val="20"/>
          <w:szCs w:val="20"/>
          <w:lang w:val="es-CR"/>
        </w:rPr>
      </w:pPr>
      <w:r w:rsidRPr="00514681">
        <w:rPr>
          <w:b/>
          <w:bCs/>
          <w:iCs/>
          <w:sz w:val="20"/>
          <w:szCs w:val="20"/>
          <w:lang w:val="es-CR"/>
        </w:rPr>
        <w:t xml:space="preserve">Introducción: la necesidad de reconocer el </w:t>
      </w:r>
      <w:r w:rsidRPr="00514681">
        <w:rPr>
          <w:b/>
          <w:bCs/>
          <w:i/>
          <w:iCs/>
          <w:sz w:val="20"/>
          <w:szCs w:val="20"/>
          <w:lang w:val="es-CR"/>
        </w:rPr>
        <w:t>derecho a la verdad</w:t>
      </w:r>
      <w:r w:rsidRPr="00514681">
        <w:rPr>
          <w:b/>
          <w:bCs/>
          <w:iCs/>
          <w:sz w:val="20"/>
          <w:szCs w:val="20"/>
          <w:lang w:val="es-CR"/>
        </w:rPr>
        <w:t xml:space="preserve"> como derecho autónomo en el Sistema Interamericano de Derechos Humanos</w:t>
      </w:r>
    </w:p>
    <w:p w:rsidR="00AB52EB" w:rsidRPr="00514681" w:rsidRDefault="00AB52EB" w:rsidP="00AD13AB">
      <w:pPr>
        <w:tabs>
          <w:tab w:val="left" w:pos="8789"/>
        </w:tabs>
        <w:ind w:right="96"/>
        <w:rPr>
          <w:b/>
          <w:bCs/>
          <w:iCs/>
          <w:sz w:val="20"/>
          <w:szCs w:val="20"/>
          <w:lang w:val="es-CR"/>
        </w:rPr>
      </w:pPr>
    </w:p>
    <w:p w:rsidR="00AB52EB" w:rsidRPr="00514681" w:rsidRDefault="00AB52EB" w:rsidP="00AD13AB">
      <w:pPr>
        <w:pStyle w:val="ColorfulList-Accent11"/>
        <w:numPr>
          <w:ilvl w:val="0"/>
          <w:numId w:val="23"/>
        </w:numPr>
        <w:tabs>
          <w:tab w:val="left" w:pos="567"/>
          <w:tab w:val="left" w:pos="8789"/>
        </w:tabs>
        <w:ind w:left="0" w:right="96"/>
        <w:contextualSpacing/>
        <w:rPr>
          <w:rFonts w:eastAsia="Batang" w:cs="Tahoma"/>
          <w:spacing w:val="4"/>
          <w:szCs w:val="20"/>
          <w:lang w:val="es-CR"/>
        </w:rPr>
      </w:pPr>
      <w:r w:rsidRPr="00514681">
        <w:rPr>
          <w:szCs w:val="20"/>
          <w:lang w:val="es-CR"/>
        </w:rPr>
        <w:t>La desaparición forzada de personas constituye, lamentablemente, una de las violaciones graves a lo</w:t>
      </w:r>
      <w:r w:rsidR="00F51E39" w:rsidRPr="00514681">
        <w:rPr>
          <w:szCs w:val="20"/>
          <w:lang w:val="es-CR"/>
        </w:rPr>
        <w:t>s derechos humanos más tratadas en la jurisprudencia de la Corte Interamericana de Derechos Humanos (en adelante “la Corte” o “el Tribunal Interamericano”). Su primer caso contencioso, en 1988, versó sobre la desaparición forzada de Manfredo Velásquez Rodríguez en Honduras. Desde entonces, la Corte ha conocido de 4</w:t>
      </w:r>
      <w:r w:rsidR="00AD20DD" w:rsidRPr="00514681">
        <w:rPr>
          <w:szCs w:val="20"/>
          <w:lang w:val="es-CR"/>
        </w:rPr>
        <w:t>2</w:t>
      </w:r>
      <w:r w:rsidRPr="00514681">
        <w:rPr>
          <w:szCs w:val="20"/>
          <w:lang w:val="es-CR"/>
        </w:rPr>
        <w:t xml:space="preserve"> casos relativos a desapariciones forzadas, dentro de los 18</w:t>
      </w:r>
      <w:r w:rsidR="00AD20DD" w:rsidRPr="00514681">
        <w:rPr>
          <w:szCs w:val="20"/>
          <w:lang w:val="es-CR"/>
        </w:rPr>
        <w:t>2</w:t>
      </w:r>
      <w:r w:rsidR="00F51E39" w:rsidRPr="00514681">
        <w:rPr>
          <w:szCs w:val="20"/>
          <w:lang w:val="es-CR"/>
        </w:rPr>
        <w:t xml:space="preserve"> casos contenciosos que ha resuelto hasta la fecha</w:t>
      </w:r>
      <w:r w:rsidR="00F51E39" w:rsidRPr="00514681">
        <w:rPr>
          <w:rStyle w:val="FootnoteReference"/>
          <w:sz w:val="20"/>
          <w:szCs w:val="20"/>
          <w:lang w:val="es-CR"/>
        </w:rPr>
        <w:footnoteReference w:id="1"/>
      </w:r>
      <w:r w:rsidR="00F51E39" w:rsidRPr="00514681">
        <w:rPr>
          <w:szCs w:val="20"/>
          <w:lang w:val="es-CR"/>
        </w:rPr>
        <w:t xml:space="preserve">. </w:t>
      </w:r>
      <w:r w:rsidR="00F51E39" w:rsidRPr="00514681">
        <w:rPr>
          <w:rFonts w:eastAsia="Batang" w:cs="Tahoma"/>
          <w:spacing w:val="4"/>
          <w:szCs w:val="20"/>
          <w:lang w:val="es-CR"/>
        </w:rPr>
        <w:t xml:space="preserve"> A partir de</w:t>
      </w:r>
      <w:r w:rsidR="00F51E39" w:rsidRPr="00514681">
        <w:rPr>
          <w:szCs w:val="20"/>
          <w:lang w:val="es-CR"/>
        </w:rPr>
        <w:t xml:space="preserve"> ese primer caso, la Corte </w:t>
      </w:r>
      <w:r w:rsidR="00F51E39" w:rsidRPr="00514681">
        <w:rPr>
          <w:szCs w:val="20"/>
          <w:lang w:val="es-CR"/>
        </w:rPr>
        <w:lastRenderedPageBreak/>
        <w:t xml:space="preserve">Interamericana ha resaltado que </w:t>
      </w:r>
      <w:r w:rsidR="00F51E39" w:rsidRPr="00514681">
        <w:rPr>
          <w:rFonts w:eastAsia="Batang" w:cs="Tahoma"/>
          <w:spacing w:val="4"/>
          <w:szCs w:val="20"/>
          <w:lang w:val="es-CR"/>
        </w:rPr>
        <w:t>la práctica de la desaparición forzada viola numerosas disposiciones de la Convención y “significa una ruptura radical de este tratado, en cuanto implica el craso abandono de los valores que emanan de la dignidad humana y de los principios que más profundamente fundamentan el sistema interamericano y la misma Convención. La existencia de esa práctica, además, supone el desconocimiento del deber de organizar el aparato del Estado de modo que se garanticen los derechos reconocidos en la Convención”</w:t>
      </w:r>
      <w:r w:rsidR="00F51E39" w:rsidRPr="00514681">
        <w:rPr>
          <w:rFonts w:eastAsia="Batang"/>
          <w:szCs w:val="20"/>
          <w:vertAlign w:val="superscript"/>
          <w:lang w:val="es-CR"/>
        </w:rPr>
        <w:footnoteReference w:id="2"/>
      </w:r>
      <w:r w:rsidR="00F51E39" w:rsidRPr="00514681">
        <w:rPr>
          <w:rFonts w:eastAsia="Batang" w:cs="Tahoma"/>
          <w:spacing w:val="4"/>
          <w:szCs w:val="20"/>
          <w:lang w:val="es-CR"/>
        </w:rPr>
        <w:t xml:space="preserve">. </w:t>
      </w:r>
    </w:p>
    <w:p w:rsidR="00AB52EB" w:rsidRPr="00514681" w:rsidRDefault="00AB52EB" w:rsidP="00AD13AB">
      <w:pPr>
        <w:pStyle w:val="ColorfulList-Accent11"/>
        <w:tabs>
          <w:tab w:val="left" w:pos="567"/>
          <w:tab w:val="left" w:pos="8789"/>
        </w:tabs>
        <w:ind w:right="96"/>
        <w:rPr>
          <w:szCs w:val="20"/>
          <w:lang w:val="es-CR"/>
        </w:rPr>
      </w:pPr>
    </w:p>
    <w:p w:rsidR="00AB52EB" w:rsidRPr="00514681" w:rsidRDefault="00AB52EB" w:rsidP="00AD13AB">
      <w:pPr>
        <w:pStyle w:val="ColorfulList-Accent11"/>
        <w:numPr>
          <w:ilvl w:val="0"/>
          <w:numId w:val="23"/>
        </w:numPr>
        <w:tabs>
          <w:tab w:val="left" w:pos="567"/>
          <w:tab w:val="left" w:pos="8789"/>
        </w:tabs>
        <w:spacing w:after="200"/>
        <w:ind w:left="0" w:right="96"/>
        <w:contextualSpacing/>
        <w:rPr>
          <w:szCs w:val="20"/>
          <w:lang w:val="es-CR"/>
        </w:rPr>
      </w:pPr>
      <w:bookmarkStart w:id="0" w:name="_Ref405222533"/>
      <w:r w:rsidRPr="00514681">
        <w:rPr>
          <w:szCs w:val="20"/>
          <w:lang w:val="es-CR"/>
        </w:rPr>
        <w:t xml:space="preserve">Es en el marco de esta </w:t>
      </w:r>
      <w:r w:rsidR="00B67FCB" w:rsidRPr="00514681">
        <w:rPr>
          <w:szCs w:val="20"/>
          <w:lang w:val="es-CR"/>
        </w:rPr>
        <w:t>línea jurisprudencial</w:t>
      </w:r>
      <w:r w:rsidRPr="00514681">
        <w:rPr>
          <w:szCs w:val="20"/>
          <w:lang w:val="es-CR"/>
        </w:rPr>
        <w:t xml:space="preserve"> sobre desaparición forzada que, desde su primer caso contencioso, la Corte afirmó la existencia de un “derecho de los familiares de la víctima de conocer cuál fue el destino de ésta y, en su caso, dónde se encuentran sus restos, [lo cual] representa una justa expectativa que el Estado debe satisfacer con los medios a su alcance”</w:t>
      </w:r>
      <w:r w:rsidRPr="00514681">
        <w:rPr>
          <w:rStyle w:val="FootnoteReference"/>
          <w:sz w:val="20"/>
          <w:szCs w:val="20"/>
        </w:rPr>
        <w:footnoteReference w:id="3"/>
      </w:r>
      <w:r w:rsidRPr="00514681">
        <w:rPr>
          <w:szCs w:val="20"/>
          <w:lang w:val="es-CR"/>
        </w:rPr>
        <w:t>. Asimismo, la Corte ha indicado que la privación de la verdad acerca del paradero de una víctima de desaparición forzada acarrea una forma de trato cruel e inhumano para los familiares cercanos</w:t>
      </w:r>
      <w:r w:rsidRPr="00514681">
        <w:rPr>
          <w:szCs w:val="20"/>
          <w:vertAlign w:val="superscript"/>
          <w:lang w:val="es-CR"/>
        </w:rPr>
        <w:footnoteReference w:id="4"/>
      </w:r>
      <w:r w:rsidRPr="00514681">
        <w:rPr>
          <w:szCs w:val="20"/>
          <w:lang w:val="es-CR"/>
        </w:rPr>
        <w:t>, y que dicha violación del derecho a la integridad personal puede estar vinculada a una violación de su derecho a conocer la verdad</w:t>
      </w:r>
      <w:r w:rsidRPr="00514681">
        <w:rPr>
          <w:szCs w:val="20"/>
          <w:vertAlign w:val="superscript"/>
          <w:lang w:val="es-CR"/>
        </w:rPr>
        <w:footnoteReference w:id="5"/>
      </w:r>
      <w:r w:rsidRPr="00514681">
        <w:rPr>
          <w:szCs w:val="20"/>
          <w:lang w:val="es-CR"/>
        </w:rPr>
        <w:t>. Los familiares de la persona desaparecida tienen derecho a que los hechos sean investigados y que los responsables sean procesados y, en su caso, sancionados</w:t>
      </w:r>
      <w:r w:rsidRPr="00514681">
        <w:rPr>
          <w:szCs w:val="20"/>
          <w:vertAlign w:val="superscript"/>
          <w:lang w:val="es-CR"/>
        </w:rPr>
        <w:footnoteReference w:id="6"/>
      </w:r>
      <w:r w:rsidRPr="00514681">
        <w:rPr>
          <w:szCs w:val="20"/>
          <w:lang w:val="es-CR"/>
        </w:rPr>
        <w:t>.</w:t>
      </w:r>
      <w:bookmarkEnd w:id="0"/>
      <w:r w:rsidRPr="00514681">
        <w:rPr>
          <w:szCs w:val="20"/>
          <w:lang w:val="es-CR"/>
        </w:rPr>
        <w:t xml:space="preserve"> </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pStyle w:val="ColorfulList-Accent11"/>
        <w:numPr>
          <w:ilvl w:val="0"/>
          <w:numId w:val="23"/>
        </w:numPr>
        <w:tabs>
          <w:tab w:val="left" w:pos="567"/>
          <w:tab w:val="left" w:pos="8789"/>
        </w:tabs>
        <w:spacing w:after="200"/>
        <w:ind w:left="0" w:right="96"/>
        <w:contextualSpacing/>
        <w:rPr>
          <w:szCs w:val="20"/>
          <w:lang w:val="es-CR"/>
        </w:rPr>
      </w:pPr>
      <w:r w:rsidRPr="00514681">
        <w:rPr>
          <w:szCs w:val="20"/>
          <w:lang w:val="es-CR"/>
        </w:rPr>
        <w:t xml:space="preserve">Aquel primer pronunciamiento sirvió de base para lo que hoy se denomina </w:t>
      </w:r>
      <w:r w:rsidR="00213FFD" w:rsidRPr="00514681">
        <w:rPr>
          <w:szCs w:val="20"/>
          <w:lang w:val="es-CR"/>
        </w:rPr>
        <w:t>“</w:t>
      </w:r>
      <w:r w:rsidRPr="00514681">
        <w:rPr>
          <w:i/>
          <w:szCs w:val="20"/>
          <w:lang w:val="es-CR"/>
        </w:rPr>
        <w:t xml:space="preserve">el </w:t>
      </w:r>
      <w:r w:rsidR="00213FFD" w:rsidRPr="00514681">
        <w:rPr>
          <w:i/>
          <w:szCs w:val="20"/>
          <w:lang w:val="es-CR"/>
        </w:rPr>
        <w:t>derecho a</w:t>
      </w:r>
      <w:r w:rsidRPr="00514681">
        <w:rPr>
          <w:i/>
          <w:szCs w:val="20"/>
          <w:lang w:val="es-CR"/>
        </w:rPr>
        <w:t xml:space="preserve"> la verdad</w:t>
      </w:r>
      <w:r w:rsidR="00213FFD" w:rsidRPr="00514681">
        <w:rPr>
          <w:i/>
          <w:szCs w:val="20"/>
          <w:lang w:val="es-CR"/>
        </w:rPr>
        <w:t>” o “el derecho a conocer la verdad”</w:t>
      </w:r>
      <w:r w:rsidRPr="00514681">
        <w:rPr>
          <w:szCs w:val="20"/>
          <w:lang w:val="es-CR"/>
        </w:rPr>
        <w:t xml:space="preserve"> y desde entonces el Tribunal Interamericano ha venido reconociendo de manera progresiva su existencia, así como su contenido y sus dos dimensiones (individual y colectiva).</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lang w:val="es-CR"/>
        </w:rPr>
      </w:pPr>
      <w:bookmarkStart w:id="1" w:name="_Ref405222653"/>
      <w:r w:rsidRPr="00514681">
        <w:rPr>
          <w:szCs w:val="20"/>
          <w:lang w:val="es-CR"/>
        </w:rPr>
        <w:t xml:space="preserve">En este sentido, el Tribunal Interamericano ha considerado que los familiares de las víctimas de graves violaciones a derechos humanos y la sociedad tienen el derecho a conocer la verdad, </w:t>
      </w:r>
      <w:r w:rsidRPr="00514681">
        <w:rPr>
          <w:szCs w:val="20"/>
          <w:lang w:val="es-ES"/>
        </w:rPr>
        <w:t>por lo que deben ser informados de lo sucedido</w:t>
      </w:r>
      <w:r w:rsidRPr="00514681">
        <w:rPr>
          <w:szCs w:val="20"/>
          <w:vertAlign w:val="superscript"/>
          <w:lang w:val="es-CR"/>
        </w:rPr>
        <w:footnoteReference w:id="7"/>
      </w:r>
      <w:r w:rsidRPr="00514681">
        <w:rPr>
          <w:szCs w:val="20"/>
          <w:lang w:val="es-CR"/>
        </w:rPr>
        <w:t xml:space="preserve">. En la </w:t>
      </w:r>
      <w:r w:rsidRPr="00514681">
        <w:rPr>
          <w:szCs w:val="20"/>
          <w:lang w:val="es-CR"/>
        </w:rPr>
        <w:lastRenderedPageBreak/>
        <w:t xml:space="preserve">jurisprudencia de la Corte Interamericana el derecho a conocer la verdad se ha considerado tanto un derecho que corresponde a los Estados de respetar y garantizar, como una medida de reparación que tienen la obligación de satisfacer. </w:t>
      </w:r>
      <w:r w:rsidRPr="00514681">
        <w:rPr>
          <w:szCs w:val="20"/>
          <w:lang w:val="es-ES"/>
        </w:rPr>
        <w:t xml:space="preserve">Este </w:t>
      </w:r>
      <w:r w:rsidRPr="00514681">
        <w:rPr>
          <w:szCs w:val="20"/>
          <w:lang w:val="es-CR"/>
        </w:rPr>
        <w:t>derecho también ha sido reconocido en diversos instrumentos de Naciones Unidas y por la Asamblea General de la Organización de los Estados Americanos</w:t>
      </w:r>
      <w:r w:rsidRPr="00514681">
        <w:rPr>
          <w:szCs w:val="20"/>
          <w:vertAlign w:val="superscript"/>
          <w:lang w:val="es-CR"/>
        </w:rPr>
        <w:footnoteReference w:id="8"/>
      </w:r>
      <w:r w:rsidRPr="00514681">
        <w:rPr>
          <w:szCs w:val="20"/>
          <w:lang w:val="es-CR"/>
        </w:rPr>
        <w:t xml:space="preserve">. </w:t>
      </w:r>
      <w:r w:rsidRPr="00514681">
        <w:rPr>
          <w:spacing w:val="-2"/>
          <w:szCs w:val="20"/>
        </w:rPr>
        <w:t xml:space="preserve">En </w:t>
      </w:r>
      <w:r w:rsidR="006B2647" w:rsidRPr="00514681">
        <w:rPr>
          <w:spacing w:val="-2"/>
          <w:szCs w:val="20"/>
        </w:rPr>
        <w:t xml:space="preserve">el año </w:t>
      </w:r>
      <w:r w:rsidRPr="00514681">
        <w:rPr>
          <w:spacing w:val="-2"/>
          <w:szCs w:val="20"/>
        </w:rPr>
        <w:t xml:space="preserve">2006, en seguimiento </w:t>
      </w:r>
      <w:r w:rsidR="006B2647" w:rsidRPr="00514681">
        <w:rPr>
          <w:spacing w:val="-2"/>
          <w:szCs w:val="20"/>
        </w:rPr>
        <w:t>de</w:t>
      </w:r>
      <w:r w:rsidRPr="00514681">
        <w:rPr>
          <w:spacing w:val="-2"/>
          <w:szCs w:val="20"/>
        </w:rPr>
        <w:t xml:space="preserve"> una resolución de la Comisión de Derechos Humanos, el Alto Comisionado de las Naciones Unidas</w:t>
      </w:r>
      <w:r w:rsidR="006B2647" w:rsidRPr="00514681">
        <w:rPr>
          <w:spacing w:val="-2"/>
          <w:szCs w:val="20"/>
        </w:rPr>
        <w:t xml:space="preserve"> para los Derechos Humanos</w:t>
      </w:r>
      <w:r w:rsidRPr="00514681">
        <w:rPr>
          <w:spacing w:val="-2"/>
          <w:szCs w:val="20"/>
        </w:rPr>
        <w:t xml:space="preserve"> elaboró un estudio sobre el derecho a la verdad. En dicho estudio</w:t>
      </w:r>
      <w:r w:rsidR="006B2647" w:rsidRPr="00514681">
        <w:rPr>
          <w:spacing w:val="-2"/>
          <w:szCs w:val="20"/>
        </w:rPr>
        <w:t>,</w:t>
      </w:r>
      <w:r w:rsidRPr="00514681">
        <w:rPr>
          <w:spacing w:val="-2"/>
          <w:szCs w:val="20"/>
        </w:rPr>
        <w:t xml:space="preserve"> el Alto Comisionado concluyó que el derecho a la verdad es “</w:t>
      </w:r>
      <w:r w:rsidRPr="00514681">
        <w:rPr>
          <w:bCs/>
          <w:spacing w:val="-2"/>
          <w:szCs w:val="20"/>
          <w:lang w:val="es-CR"/>
        </w:rPr>
        <w:t>un derecho autónomo e inalienable”, “estrechamente relacionado con el deber del Estado de proteger y garantizar los derechos humanos, y con su obligación de realizar investigaciones eficaces de las violaciones manifiestas de los derechos humanos y de las infracciones graves del derecho humanitario, así como de garantizar recursos efectivos y reparación”; pero que a la vez “está estrechamente vinculado a otros derechos, como el derecho a un recurso efectivo, el derecho a la protección jurídica y judicial, el derecho a la vida familiar, el derecho a una investigación eficaz, el derecho a ser oído por un tribunal competente, independiente e imparcial, el derecho a obtener reparación, el derecho a no sufrir torturas ni malos tratos y el derecho a solicitar y a difundir información”</w:t>
      </w:r>
      <w:r w:rsidRPr="00514681">
        <w:rPr>
          <w:rStyle w:val="FootnoteReference"/>
          <w:spacing w:val="-2"/>
          <w:sz w:val="20"/>
          <w:szCs w:val="20"/>
        </w:rPr>
        <w:footnoteReference w:id="9"/>
      </w:r>
      <w:r w:rsidRPr="00514681">
        <w:rPr>
          <w:bCs/>
          <w:spacing w:val="-2"/>
          <w:szCs w:val="20"/>
          <w:lang w:val="es-CR"/>
        </w:rPr>
        <w:t>.</w:t>
      </w:r>
      <w:bookmarkEnd w:id="1"/>
      <w:r w:rsidRPr="00514681">
        <w:rPr>
          <w:bCs/>
          <w:spacing w:val="-2"/>
          <w:szCs w:val="20"/>
          <w:lang w:val="es-CR"/>
        </w:rPr>
        <w:t xml:space="preserve"> </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No obstante lo anterior, como se expone en el párrafo 51</w:t>
      </w:r>
      <w:r w:rsidR="006B2647" w:rsidRPr="00514681">
        <w:rPr>
          <w:szCs w:val="20"/>
        </w:rPr>
        <w:t>0</w:t>
      </w:r>
      <w:r w:rsidRPr="00514681">
        <w:rPr>
          <w:szCs w:val="20"/>
        </w:rPr>
        <w:t xml:space="preserve"> de la Sentencia, en la mayoría de sus casos </w:t>
      </w:r>
      <w:r w:rsidRPr="00514681">
        <w:rPr>
          <w:szCs w:val="20"/>
          <w:lang w:val="es-CR"/>
        </w:rPr>
        <w:t>“la Corte ha considerado que el derecho a la verdad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25.1 de la Convención</w:t>
      </w:r>
      <w:r w:rsidR="0086307B" w:rsidRPr="00514681">
        <w:rPr>
          <w:szCs w:val="20"/>
          <w:lang w:val="es-CR"/>
        </w:rPr>
        <w:t>’” y só</w:t>
      </w:r>
      <w:r w:rsidRPr="00514681">
        <w:rPr>
          <w:szCs w:val="20"/>
          <w:lang w:val="es-CR"/>
        </w:rPr>
        <w:t>lo en una ocasión esta Corte (</w:t>
      </w:r>
      <w:r w:rsidR="0086307B" w:rsidRPr="00514681">
        <w:rPr>
          <w:szCs w:val="20"/>
          <w:lang w:val="es-CR"/>
        </w:rPr>
        <w:t xml:space="preserve">en el </w:t>
      </w:r>
      <w:r w:rsidRPr="00514681">
        <w:rPr>
          <w:szCs w:val="20"/>
          <w:lang w:val="es-CR"/>
        </w:rPr>
        <w:t xml:space="preserve">caso </w:t>
      </w:r>
      <w:r w:rsidRPr="00514681">
        <w:rPr>
          <w:i/>
          <w:szCs w:val="20"/>
          <w:lang w:val="es-CR"/>
        </w:rPr>
        <w:t>Gomes</w:t>
      </w:r>
      <w:r w:rsidRPr="00514681">
        <w:rPr>
          <w:szCs w:val="20"/>
          <w:lang w:val="es-CR"/>
        </w:rPr>
        <w:t xml:space="preserve"> </w:t>
      </w:r>
      <w:r w:rsidRPr="00514681">
        <w:rPr>
          <w:i/>
          <w:szCs w:val="20"/>
          <w:lang w:val="es-CR"/>
        </w:rPr>
        <w:t>Lund</w:t>
      </w:r>
      <w:r w:rsidR="00A0490C" w:rsidRPr="00514681">
        <w:rPr>
          <w:i/>
          <w:szCs w:val="20"/>
          <w:lang w:val="es-CR"/>
        </w:rPr>
        <w:t xml:space="preserve"> y otros</w:t>
      </w:r>
      <w:r w:rsidR="006B2647" w:rsidRPr="00514681">
        <w:rPr>
          <w:i/>
          <w:szCs w:val="20"/>
          <w:lang w:val="es-CR"/>
        </w:rPr>
        <w:t xml:space="preserve"> </w:t>
      </w:r>
      <w:r w:rsidR="00E766B1" w:rsidRPr="00514681">
        <w:rPr>
          <w:i/>
          <w:szCs w:val="20"/>
          <w:lang w:val="es-CR"/>
        </w:rPr>
        <w:t xml:space="preserve">(Guerrilla de Araguaia) </w:t>
      </w:r>
      <w:r w:rsidR="006B2647" w:rsidRPr="00514681">
        <w:rPr>
          <w:i/>
          <w:szCs w:val="20"/>
          <w:lang w:val="es-CR"/>
        </w:rPr>
        <w:t>vs. Brasil</w:t>
      </w:r>
      <w:r w:rsidRPr="00514681">
        <w:rPr>
          <w:i/>
          <w:szCs w:val="20"/>
          <w:lang w:val="es-CR"/>
        </w:rPr>
        <w:t xml:space="preserve">) </w:t>
      </w:r>
      <w:r w:rsidRPr="00514681">
        <w:rPr>
          <w:szCs w:val="20"/>
          <w:lang w:val="es-CR"/>
        </w:rPr>
        <w:t>expresamente declaró una violación a</w:t>
      </w:r>
      <w:r w:rsidR="006B2647" w:rsidRPr="00514681">
        <w:rPr>
          <w:szCs w:val="20"/>
          <w:lang w:val="es-CR"/>
        </w:rPr>
        <w:t>l derecho a la verdad</w:t>
      </w:r>
      <w:r w:rsidRPr="00514681">
        <w:rPr>
          <w:szCs w:val="20"/>
          <w:lang w:val="es-CR"/>
        </w:rPr>
        <w:t xml:space="preserve"> como derecho autónomo, </w:t>
      </w:r>
      <w:r w:rsidR="0086307B" w:rsidRPr="00514681">
        <w:rPr>
          <w:szCs w:val="20"/>
          <w:lang w:val="es-CR"/>
        </w:rPr>
        <w:t>lo cual significó la violación del artículo</w:t>
      </w:r>
      <w:r w:rsidRPr="00514681">
        <w:rPr>
          <w:szCs w:val="20"/>
          <w:lang w:val="es-CR"/>
        </w:rPr>
        <w:t xml:space="preserve"> 13</w:t>
      </w:r>
      <w:r w:rsidR="0086307B" w:rsidRPr="00514681">
        <w:rPr>
          <w:szCs w:val="20"/>
          <w:lang w:val="es-CR"/>
        </w:rPr>
        <w:t xml:space="preserve"> de la Convención Americana en relación con los artículos</w:t>
      </w:r>
      <w:r w:rsidRPr="00514681">
        <w:rPr>
          <w:szCs w:val="20"/>
          <w:lang w:val="es-CR"/>
        </w:rPr>
        <w:t xml:space="preserve"> 1.1, 8.1 y 25 de</w:t>
      </w:r>
      <w:r w:rsidR="0086307B" w:rsidRPr="00514681">
        <w:rPr>
          <w:szCs w:val="20"/>
          <w:lang w:val="es-CR"/>
        </w:rPr>
        <w:t>l mismo tratado internacional</w:t>
      </w:r>
      <w:r w:rsidRPr="00514681">
        <w:rPr>
          <w:rStyle w:val="FootnoteReference"/>
          <w:lang w:val="es-ES"/>
        </w:rPr>
        <w:footnoteReference w:id="10"/>
      </w:r>
      <w:r w:rsidRPr="00514681">
        <w:rPr>
          <w:szCs w:val="20"/>
          <w:lang w:val="es-CR"/>
        </w:rPr>
        <w:t xml:space="preserve">. </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pPr>
      <w:r w:rsidRPr="00514681">
        <w:rPr>
          <w:szCs w:val="20"/>
          <w:lang w:val="es-CR"/>
        </w:rPr>
        <w:t>Formulo el presente voto concurrente debido a que estimo que la Corte, a la luz de la</w:t>
      </w:r>
      <w:r w:rsidR="00B709CA" w:rsidRPr="00514681">
        <w:rPr>
          <w:szCs w:val="20"/>
          <w:lang w:val="es-CR"/>
        </w:rPr>
        <w:t xml:space="preserve"> etapa jurisprudencial en que se encuentra el</w:t>
      </w:r>
      <w:r w:rsidRPr="00514681">
        <w:rPr>
          <w:szCs w:val="20"/>
          <w:lang w:val="es-CR"/>
        </w:rPr>
        <w:t xml:space="preserve"> Tribunal Interamericano</w:t>
      </w:r>
      <w:r w:rsidR="0086307B" w:rsidRPr="00514681">
        <w:rPr>
          <w:szCs w:val="20"/>
          <w:lang w:val="es-CR"/>
        </w:rPr>
        <w:t>,</w:t>
      </w:r>
      <w:r w:rsidRPr="00514681">
        <w:rPr>
          <w:szCs w:val="20"/>
          <w:lang w:val="es-CR"/>
        </w:rPr>
        <w:t xml:space="preserve"> de los avances en el derecho internacional de los derechos humanos, así como de la legislación y jurisprudencia </w:t>
      </w:r>
      <w:r w:rsidR="006B2647" w:rsidRPr="00514681">
        <w:rPr>
          <w:szCs w:val="20"/>
          <w:lang w:val="es-CR"/>
        </w:rPr>
        <w:t>de distintos Estados</w:t>
      </w:r>
      <w:r w:rsidRPr="00514681">
        <w:rPr>
          <w:szCs w:val="20"/>
          <w:lang w:val="es-CR"/>
        </w:rPr>
        <w:t xml:space="preserve"> </w:t>
      </w:r>
      <w:r w:rsidR="00520D3B" w:rsidRPr="00514681">
        <w:rPr>
          <w:szCs w:val="20"/>
          <w:lang w:val="es-CR"/>
        </w:rPr>
        <w:t xml:space="preserve">parte de la Convención </w:t>
      </w:r>
      <w:r w:rsidRPr="00514681">
        <w:rPr>
          <w:szCs w:val="20"/>
          <w:lang w:val="es-CR"/>
        </w:rPr>
        <w:t xml:space="preserve">sobre el </w:t>
      </w:r>
      <w:r w:rsidRPr="00514681">
        <w:rPr>
          <w:i/>
          <w:szCs w:val="20"/>
          <w:lang w:val="es-CR"/>
        </w:rPr>
        <w:t>derecho a conocer la verdad</w:t>
      </w:r>
      <w:r w:rsidRPr="00514681">
        <w:rPr>
          <w:szCs w:val="20"/>
          <w:lang w:val="es-CR"/>
        </w:rPr>
        <w:t>, en el</w:t>
      </w:r>
      <w:r w:rsidR="008A5650" w:rsidRPr="00514681">
        <w:rPr>
          <w:szCs w:val="20"/>
          <w:lang w:val="es-CR"/>
        </w:rPr>
        <w:t xml:space="preserve"> caso que nos ocupa pudo haber </w:t>
      </w:r>
      <w:r w:rsidRPr="00514681">
        <w:rPr>
          <w:szCs w:val="20"/>
          <w:lang w:val="es-CR"/>
        </w:rPr>
        <w:t xml:space="preserve">declarado violado </w:t>
      </w:r>
      <w:r w:rsidR="00B67FCB" w:rsidRPr="00514681">
        <w:rPr>
          <w:szCs w:val="20"/>
          <w:lang w:val="es-CR"/>
        </w:rPr>
        <w:t xml:space="preserve">este derecho </w:t>
      </w:r>
      <w:r w:rsidRPr="00514681">
        <w:rPr>
          <w:szCs w:val="20"/>
          <w:lang w:val="es-CR"/>
        </w:rPr>
        <w:t>de manera aut</w:t>
      </w:r>
      <w:r w:rsidR="00A155BE" w:rsidRPr="00514681">
        <w:rPr>
          <w:szCs w:val="20"/>
          <w:lang w:val="es-CR"/>
        </w:rPr>
        <w:t>ónoma (</w:t>
      </w:r>
      <w:r w:rsidRPr="00514681">
        <w:rPr>
          <w:szCs w:val="20"/>
          <w:lang w:val="es-CR"/>
        </w:rPr>
        <w:t xml:space="preserve">como anteriormente lo había realizado en el </w:t>
      </w:r>
      <w:r w:rsidR="00A155BE" w:rsidRPr="00514681">
        <w:rPr>
          <w:i/>
          <w:szCs w:val="20"/>
          <w:lang w:val="es-CR"/>
        </w:rPr>
        <w:t>caso Go</w:t>
      </w:r>
      <w:r w:rsidRPr="00514681">
        <w:rPr>
          <w:i/>
          <w:szCs w:val="20"/>
          <w:lang w:val="es-CR"/>
        </w:rPr>
        <w:t>mes Lund</w:t>
      </w:r>
      <w:r w:rsidR="006B2647" w:rsidRPr="00514681">
        <w:rPr>
          <w:i/>
          <w:szCs w:val="20"/>
          <w:lang w:val="es-CR"/>
        </w:rPr>
        <w:t xml:space="preserve"> y otros vs. Brasil</w:t>
      </w:r>
      <w:r w:rsidRPr="00514681">
        <w:rPr>
          <w:szCs w:val="20"/>
          <w:lang w:val="es-CR"/>
        </w:rPr>
        <w:t xml:space="preserve">) y no subsumirlo en los artículos 8 y 25 como se realiza en la Sentencia. Particularmente teniendo en cuenta que han transcurrido </w:t>
      </w:r>
      <w:r w:rsidR="00FB2AB8" w:rsidRPr="00514681">
        <w:rPr>
          <w:szCs w:val="20"/>
          <w:lang w:val="es-CR"/>
        </w:rPr>
        <w:t xml:space="preserve">29 </w:t>
      </w:r>
      <w:r w:rsidRPr="00514681">
        <w:rPr>
          <w:szCs w:val="20"/>
          <w:lang w:val="es-CR"/>
        </w:rPr>
        <w:t xml:space="preserve">años </w:t>
      </w:r>
      <w:r w:rsidR="00315AA9" w:rsidRPr="00514681">
        <w:rPr>
          <w:szCs w:val="20"/>
          <w:lang w:val="es-CR"/>
        </w:rPr>
        <w:t>desde</w:t>
      </w:r>
      <w:r w:rsidRPr="00514681">
        <w:rPr>
          <w:szCs w:val="20"/>
          <w:lang w:val="es-CR"/>
        </w:rPr>
        <w:t xml:space="preserve"> los hechos del presente caso sin que exista certeza para los familiares de la mayoría de los desaparecidos sobre la verdad de lo ocurrido</w:t>
      </w:r>
      <w:r w:rsidR="00ED2B28" w:rsidRPr="00514681">
        <w:rPr>
          <w:szCs w:val="20"/>
          <w:lang w:val="es-CR"/>
        </w:rPr>
        <w:t>, debido a que</w:t>
      </w:r>
      <w:r w:rsidR="00315AA9" w:rsidRPr="00514681">
        <w:rPr>
          <w:szCs w:val="20"/>
          <w:lang w:val="es-CR"/>
        </w:rPr>
        <w:t>,</w:t>
      </w:r>
      <w:r w:rsidR="008A5650" w:rsidRPr="00514681">
        <w:rPr>
          <w:szCs w:val="20"/>
          <w:lang w:val="es-CR"/>
        </w:rPr>
        <w:t xml:space="preserve"> </w:t>
      </w:r>
      <w:r w:rsidR="0086307B" w:rsidRPr="00514681">
        <w:rPr>
          <w:szCs w:val="20"/>
          <w:lang w:val="es-CR"/>
        </w:rPr>
        <w:t>en palabras de este Tribunal Interamericano en la presente Sen</w:t>
      </w:r>
      <w:r w:rsidR="00315AA9" w:rsidRPr="00514681">
        <w:rPr>
          <w:szCs w:val="20"/>
          <w:lang w:val="es-CR"/>
        </w:rPr>
        <w:t>t</w:t>
      </w:r>
      <w:r w:rsidR="0086307B" w:rsidRPr="00514681">
        <w:rPr>
          <w:szCs w:val="20"/>
          <w:lang w:val="es-CR"/>
        </w:rPr>
        <w:t>encia</w:t>
      </w:r>
      <w:r w:rsidR="00315AA9" w:rsidRPr="00514681">
        <w:rPr>
          <w:szCs w:val="20"/>
          <w:lang w:val="es-CR"/>
        </w:rPr>
        <w:t>,</w:t>
      </w:r>
      <w:r w:rsidR="0086307B" w:rsidRPr="00514681">
        <w:rPr>
          <w:szCs w:val="20"/>
          <w:lang w:val="es-CR"/>
        </w:rPr>
        <w:t xml:space="preserve"> </w:t>
      </w:r>
      <w:r w:rsidR="00ED2B28" w:rsidRPr="00514681">
        <w:rPr>
          <w:szCs w:val="20"/>
          <w:lang w:val="es-CR"/>
        </w:rPr>
        <w:t>“</w:t>
      </w:r>
      <w:r w:rsidR="00520D3B" w:rsidRPr="00514681">
        <w:rPr>
          <w:i/>
          <w:spacing w:val="-2"/>
        </w:rPr>
        <w:t>E</w:t>
      </w:r>
      <w:r w:rsidR="00ED2B28" w:rsidRPr="00514681">
        <w:rPr>
          <w:i/>
          <w:spacing w:val="-2"/>
        </w:rPr>
        <w:t>l Estado no ha podido ofrecer una versión definitiva y oficial de lo sucedido a las presuntas víctimas</w:t>
      </w:r>
      <w:r w:rsidR="00ED2B28" w:rsidRPr="00514681">
        <w:rPr>
          <w:spacing w:val="-2"/>
        </w:rPr>
        <w:t>” a pesar de las investigaciones y acciones emprendidas</w:t>
      </w:r>
      <w:r w:rsidR="00ED2B28" w:rsidRPr="00514681">
        <w:rPr>
          <w:rStyle w:val="FootnoteReference"/>
          <w:spacing w:val="-2"/>
        </w:rPr>
        <w:footnoteReference w:id="11"/>
      </w:r>
      <w:r w:rsidR="003C0306" w:rsidRPr="00514681">
        <w:rPr>
          <w:szCs w:val="20"/>
          <w:lang w:val="es-CR"/>
        </w:rPr>
        <w:t>;</w:t>
      </w:r>
      <w:r w:rsidR="00A52256" w:rsidRPr="00514681">
        <w:rPr>
          <w:szCs w:val="20"/>
          <w:lang w:val="es-CR"/>
        </w:rPr>
        <w:t xml:space="preserve"> por lo que estim</w:t>
      </w:r>
      <w:r w:rsidR="00315AA9" w:rsidRPr="00514681">
        <w:rPr>
          <w:szCs w:val="20"/>
          <w:lang w:val="es-CR"/>
        </w:rPr>
        <w:t>o</w:t>
      </w:r>
      <w:r w:rsidR="00A52256" w:rsidRPr="00514681">
        <w:rPr>
          <w:szCs w:val="20"/>
          <w:lang w:val="es-CR"/>
        </w:rPr>
        <w:t xml:space="preserve"> </w:t>
      </w:r>
      <w:r w:rsidR="003C0306" w:rsidRPr="00514681">
        <w:rPr>
          <w:szCs w:val="20"/>
          <w:lang w:val="es-CR"/>
        </w:rPr>
        <w:t>que la Corte puede</w:t>
      </w:r>
      <w:r w:rsidR="005C6739" w:rsidRPr="00514681">
        <w:rPr>
          <w:szCs w:val="20"/>
          <w:lang w:val="es-CR"/>
        </w:rPr>
        <w:t xml:space="preserve"> </w:t>
      </w:r>
      <w:r w:rsidR="003C0306" w:rsidRPr="00514681">
        <w:rPr>
          <w:szCs w:val="20"/>
          <w:lang w:val="es-CR"/>
        </w:rPr>
        <w:t>avanzar en el futuro en su jurisprudencia para afianzar</w:t>
      </w:r>
      <w:r w:rsidR="00A52256" w:rsidRPr="00514681">
        <w:rPr>
          <w:szCs w:val="20"/>
          <w:lang w:val="es-CR"/>
        </w:rPr>
        <w:t xml:space="preserve"> el pleno reconocimiento del </w:t>
      </w:r>
      <w:r w:rsidR="00A52256" w:rsidRPr="00514681">
        <w:rPr>
          <w:i/>
          <w:szCs w:val="20"/>
          <w:lang w:val="es-CR"/>
        </w:rPr>
        <w:t>derecho a conocer la verdad</w:t>
      </w:r>
      <w:r w:rsidR="003C0306" w:rsidRPr="00514681">
        <w:rPr>
          <w:i/>
          <w:szCs w:val="20"/>
          <w:lang w:val="es-CR"/>
        </w:rPr>
        <w:t>,</w:t>
      </w:r>
      <w:r w:rsidR="00A52256" w:rsidRPr="00514681">
        <w:rPr>
          <w:szCs w:val="20"/>
          <w:lang w:val="es-CR"/>
        </w:rPr>
        <w:t xml:space="preserve"> </w:t>
      </w:r>
      <w:r w:rsidR="003C0306" w:rsidRPr="00514681">
        <w:rPr>
          <w:szCs w:val="20"/>
          <w:lang w:val="es-CR"/>
        </w:rPr>
        <w:t xml:space="preserve">reconociendo </w:t>
      </w:r>
      <w:r w:rsidR="00B67FCB" w:rsidRPr="00514681">
        <w:rPr>
          <w:szCs w:val="20"/>
          <w:lang w:val="es-CR"/>
        </w:rPr>
        <w:t>la</w:t>
      </w:r>
      <w:r w:rsidR="00A52256" w:rsidRPr="00514681">
        <w:rPr>
          <w:szCs w:val="20"/>
          <w:lang w:val="es-CR"/>
        </w:rPr>
        <w:t xml:space="preserve"> autonomía</w:t>
      </w:r>
      <w:r w:rsidR="00B67FCB" w:rsidRPr="00514681">
        <w:rPr>
          <w:szCs w:val="20"/>
          <w:lang w:val="es-CR"/>
        </w:rPr>
        <w:t xml:space="preserve"> de este derecho</w:t>
      </w:r>
      <w:r w:rsidR="003C0306" w:rsidRPr="00514681">
        <w:rPr>
          <w:szCs w:val="20"/>
          <w:lang w:val="es-CR"/>
        </w:rPr>
        <w:t xml:space="preserve"> y estableciendo con mayor claridad</w:t>
      </w:r>
      <w:r w:rsidR="00A52256" w:rsidRPr="00514681">
        <w:rPr>
          <w:szCs w:val="20"/>
          <w:lang w:val="es-CR"/>
        </w:rPr>
        <w:t xml:space="preserve"> </w:t>
      </w:r>
      <w:r w:rsidR="00B67FCB" w:rsidRPr="00514681">
        <w:rPr>
          <w:szCs w:val="20"/>
          <w:lang w:val="es-CR"/>
        </w:rPr>
        <w:t xml:space="preserve">su </w:t>
      </w:r>
      <w:r w:rsidR="00407877" w:rsidRPr="00514681">
        <w:rPr>
          <w:szCs w:val="20"/>
          <w:lang w:val="es-CR"/>
        </w:rPr>
        <w:t xml:space="preserve">contenido, dimensiones </w:t>
      </w:r>
      <w:r w:rsidR="00A52256" w:rsidRPr="00514681">
        <w:rPr>
          <w:szCs w:val="20"/>
          <w:lang w:val="es-CR"/>
        </w:rPr>
        <w:t>y significaci</w:t>
      </w:r>
      <w:r w:rsidR="003C0306" w:rsidRPr="00514681">
        <w:rPr>
          <w:szCs w:val="20"/>
          <w:lang w:val="es-CR"/>
        </w:rPr>
        <w:t>ón</w:t>
      </w:r>
      <w:r w:rsidRPr="00514681">
        <w:rPr>
          <w:szCs w:val="20"/>
          <w:lang w:val="es-CR"/>
        </w:rPr>
        <w:t xml:space="preserve">. </w:t>
      </w:r>
      <w:r w:rsidRPr="00514681">
        <w:rPr>
          <w:b/>
          <w:szCs w:val="20"/>
        </w:rPr>
        <w:t xml:space="preserve"> </w:t>
      </w:r>
      <w:r w:rsidRPr="00514681">
        <w:rPr>
          <w:szCs w:val="20"/>
          <w:lang w:val="es-CR"/>
        </w:rPr>
        <w:t xml:space="preserve">Para una mayor claridad, se divide el presente voto en los siguientes apartados: (i) desarrollo del </w:t>
      </w:r>
      <w:r w:rsidRPr="00514681">
        <w:rPr>
          <w:i/>
          <w:szCs w:val="20"/>
          <w:lang w:val="es-CR"/>
        </w:rPr>
        <w:t>derecho a la verdad</w:t>
      </w:r>
      <w:r w:rsidRPr="00514681">
        <w:rPr>
          <w:szCs w:val="20"/>
          <w:lang w:val="es-CR"/>
        </w:rPr>
        <w:t xml:space="preserve"> en la jurisprudencia de la Corte Interamericana (párrs. 7-15); (ii) desarrollo por otros órganos e instrumentos internacionales y ordenamientos jurídicos internos (párrs. 16-22</w:t>
      </w:r>
      <w:r w:rsidR="00315AA9" w:rsidRPr="00514681">
        <w:rPr>
          <w:szCs w:val="20"/>
          <w:lang w:val="es-CR"/>
        </w:rPr>
        <w:t xml:space="preserve">), </w:t>
      </w:r>
      <w:r w:rsidRPr="00514681">
        <w:rPr>
          <w:szCs w:val="20"/>
          <w:lang w:val="es-CR"/>
        </w:rPr>
        <w:t xml:space="preserve">y (iii) </w:t>
      </w:r>
      <w:r w:rsidR="00315AA9" w:rsidRPr="00514681">
        <w:rPr>
          <w:szCs w:val="20"/>
          <w:lang w:val="es-CR"/>
        </w:rPr>
        <w:t xml:space="preserve">conclusión </w:t>
      </w:r>
      <w:r w:rsidR="00441715" w:rsidRPr="00514681">
        <w:rPr>
          <w:szCs w:val="20"/>
          <w:lang w:val="es-CR"/>
        </w:rPr>
        <w:t>(párrs. 23-29</w:t>
      </w:r>
      <w:r w:rsidRPr="00514681">
        <w:rPr>
          <w:szCs w:val="20"/>
          <w:lang w:val="es-CR"/>
        </w:rPr>
        <w:t>).</w:t>
      </w:r>
    </w:p>
    <w:p w:rsidR="00AB52EB" w:rsidRPr="00514681" w:rsidRDefault="00AB52EB" w:rsidP="00AD13AB">
      <w:pPr>
        <w:pStyle w:val="ColorfulList-Accent11"/>
        <w:tabs>
          <w:tab w:val="left" w:pos="567"/>
          <w:tab w:val="left" w:pos="8789"/>
        </w:tabs>
        <w:ind w:left="0" w:right="96"/>
        <w:rPr>
          <w:b/>
          <w:szCs w:val="20"/>
        </w:rPr>
      </w:pPr>
    </w:p>
    <w:p w:rsidR="00AB52EB" w:rsidRPr="00514681" w:rsidRDefault="00AB52EB" w:rsidP="00AD13AB">
      <w:pPr>
        <w:pStyle w:val="ColorfulList-Accent11"/>
        <w:tabs>
          <w:tab w:val="left" w:pos="567"/>
          <w:tab w:val="left" w:pos="8789"/>
        </w:tabs>
        <w:ind w:left="0" w:right="96"/>
        <w:rPr>
          <w:b/>
          <w:szCs w:val="20"/>
          <w:lang w:val="es-CR"/>
        </w:rPr>
      </w:pPr>
    </w:p>
    <w:p w:rsidR="00AB52EB" w:rsidRPr="00514681" w:rsidRDefault="00AB52EB" w:rsidP="00AD13AB">
      <w:pPr>
        <w:pStyle w:val="ColorfulList-Accent11"/>
        <w:numPr>
          <w:ilvl w:val="0"/>
          <w:numId w:val="24"/>
        </w:numPr>
        <w:tabs>
          <w:tab w:val="left" w:pos="567"/>
          <w:tab w:val="left" w:pos="8789"/>
        </w:tabs>
        <w:ind w:right="96"/>
        <w:contextualSpacing/>
        <w:jc w:val="center"/>
        <w:rPr>
          <w:b/>
          <w:szCs w:val="20"/>
          <w:lang w:val="es-CR"/>
        </w:rPr>
      </w:pPr>
      <w:r w:rsidRPr="00514681">
        <w:rPr>
          <w:b/>
          <w:szCs w:val="20"/>
          <w:lang w:val="es-CR"/>
        </w:rPr>
        <w:t xml:space="preserve">Desarrollo del </w:t>
      </w:r>
      <w:r w:rsidRPr="00514681">
        <w:rPr>
          <w:b/>
          <w:i/>
          <w:szCs w:val="20"/>
          <w:lang w:val="es-CR"/>
        </w:rPr>
        <w:t xml:space="preserve">derecho a la verdad </w:t>
      </w:r>
      <w:r w:rsidRPr="00514681">
        <w:rPr>
          <w:b/>
          <w:szCs w:val="20"/>
          <w:lang w:val="es-CR"/>
        </w:rPr>
        <w:t xml:space="preserve">en la jurisprudencia </w:t>
      </w:r>
    </w:p>
    <w:p w:rsidR="00AB52EB" w:rsidRPr="00514681" w:rsidRDefault="00AB52EB" w:rsidP="00AD13AB">
      <w:pPr>
        <w:pStyle w:val="ColorfulList-Accent11"/>
        <w:tabs>
          <w:tab w:val="left" w:pos="567"/>
          <w:tab w:val="left" w:pos="8789"/>
        </w:tabs>
        <w:ind w:left="360" w:right="96"/>
        <w:jc w:val="center"/>
        <w:rPr>
          <w:b/>
          <w:szCs w:val="20"/>
        </w:rPr>
      </w:pPr>
      <w:r w:rsidRPr="00514681">
        <w:rPr>
          <w:b/>
          <w:szCs w:val="20"/>
          <w:lang w:val="es-CR"/>
        </w:rPr>
        <w:t>de la Corte Interamericana</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En 1997, en el caso </w:t>
      </w:r>
      <w:r w:rsidRPr="00514681">
        <w:rPr>
          <w:i/>
          <w:sz w:val="20"/>
          <w:szCs w:val="20"/>
          <w:lang w:val="es-CR"/>
        </w:rPr>
        <w:t>Castillo Páez</w:t>
      </w:r>
      <w:r w:rsidR="00315AA9" w:rsidRPr="00514681">
        <w:rPr>
          <w:i/>
          <w:sz w:val="20"/>
          <w:szCs w:val="20"/>
          <w:lang w:val="es-CR"/>
        </w:rPr>
        <w:t xml:space="preserve"> vs. Perú</w:t>
      </w:r>
      <w:r w:rsidR="00FF45BF" w:rsidRPr="00514681">
        <w:rPr>
          <w:i/>
          <w:sz w:val="20"/>
          <w:szCs w:val="20"/>
          <w:lang w:val="es-CR"/>
        </w:rPr>
        <w:t>,</w:t>
      </w:r>
      <w:r w:rsidRPr="00514681">
        <w:rPr>
          <w:i/>
          <w:sz w:val="20"/>
          <w:szCs w:val="20"/>
          <w:lang w:val="es-CR"/>
        </w:rPr>
        <w:t xml:space="preserve"> </w:t>
      </w:r>
      <w:r w:rsidRPr="00514681">
        <w:rPr>
          <w:sz w:val="20"/>
          <w:szCs w:val="20"/>
          <w:lang w:val="es-CR"/>
        </w:rPr>
        <w:t>la Comisión Interamericana por primera vez alegó ante la Corte la presunta violación del derecho a la verdad. La Corte señaló que esto “</w:t>
      </w:r>
      <w:r w:rsidRPr="00514681">
        <w:rPr>
          <w:rFonts w:cs="Verdana"/>
          <w:sz w:val="20"/>
          <w:szCs w:val="20"/>
          <w:lang w:val="es-CR"/>
        </w:rPr>
        <w:t>se ref</w:t>
      </w:r>
      <w:r w:rsidR="00315AA9" w:rsidRPr="00514681">
        <w:rPr>
          <w:rFonts w:cs="Verdana"/>
          <w:sz w:val="20"/>
          <w:szCs w:val="20"/>
          <w:lang w:val="es-CR"/>
        </w:rPr>
        <w:t>[ería]</w:t>
      </w:r>
      <w:r w:rsidRPr="00514681">
        <w:rPr>
          <w:rFonts w:cs="Verdana"/>
          <w:sz w:val="20"/>
          <w:szCs w:val="20"/>
          <w:lang w:val="es-CR"/>
        </w:rPr>
        <w:t xml:space="preserve"> a la formulación de un derecho no existente en la Convención Americana aunque p</w:t>
      </w:r>
      <w:r w:rsidR="00315AA9" w:rsidRPr="00514681">
        <w:rPr>
          <w:rFonts w:cs="Verdana"/>
          <w:sz w:val="20"/>
          <w:szCs w:val="20"/>
          <w:lang w:val="es-CR"/>
        </w:rPr>
        <w:t>[odría]</w:t>
      </w:r>
      <w:r w:rsidRPr="00514681">
        <w:rPr>
          <w:rFonts w:cs="Verdana"/>
          <w:sz w:val="20"/>
          <w:szCs w:val="20"/>
          <w:lang w:val="es-CR"/>
        </w:rPr>
        <w:t xml:space="preserve"> corresponder a un concepto todavía en desarrollo doctrinal y jurisprudencial, lo cual en este caso se enc</w:t>
      </w:r>
      <w:r w:rsidR="00315AA9" w:rsidRPr="00514681">
        <w:rPr>
          <w:rFonts w:cs="Verdana"/>
          <w:sz w:val="20"/>
          <w:szCs w:val="20"/>
          <w:lang w:val="es-CR"/>
        </w:rPr>
        <w:t>[ontró]</w:t>
      </w:r>
      <w:r w:rsidRPr="00514681">
        <w:rPr>
          <w:rFonts w:cs="Verdana"/>
          <w:sz w:val="20"/>
          <w:szCs w:val="20"/>
          <w:lang w:val="es-CR"/>
        </w:rPr>
        <w:t xml:space="preserve"> ya resuelto por la decisión de la Corte al establecer el deber que tiene el Perú de investigar los hechos que produjeron las violaciones a la Convención Americana”</w:t>
      </w:r>
      <w:r w:rsidRPr="00514681">
        <w:rPr>
          <w:rStyle w:val="FootnoteReference"/>
          <w:sz w:val="20"/>
          <w:szCs w:val="20"/>
        </w:rPr>
        <w:footnoteReference w:id="12"/>
      </w:r>
      <w:r w:rsidRPr="00514681">
        <w:rPr>
          <w:rFonts w:cs="Verdana"/>
          <w:sz w:val="20"/>
          <w:szCs w:val="20"/>
          <w:lang w:val="es-CR"/>
        </w:rPr>
        <w:t xml:space="preserve">. Posteriormente en el año 2000, en el caso </w:t>
      </w:r>
      <w:r w:rsidRPr="00514681">
        <w:rPr>
          <w:rFonts w:cs="Verdana"/>
          <w:i/>
          <w:sz w:val="20"/>
          <w:szCs w:val="20"/>
          <w:lang w:val="es-CR"/>
        </w:rPr>
        <w:t>Bámaca Vélasquez</w:t>
      </w:r>
      <w:r w:rsidR="00315AA9" w:rsidRPr="00514681">
        <w:rPr>
          <w:rFonts w:cs="Verdana"/>
          <w:i/>
          <w:sz w:val="20"/>
          <w:szCs w:val="20"/>
          <w:lang w:val="es-CR"/>
        </w:rPr>
        <w:t xml:space="preserve"> vs. Guatemala,</w:t>
      </w:r>
      <w:r w:rsidRPr="00514681">
        <w:rPr>
          <w:rFonts w:cs="Verdana"/>
          <w:i/>
          <w:sz w:val="20"/>
          <w:szCs w:val="20"/>
          <w:lang w:val="es-CR"/>
        </w:rPr>
        <w:t xml:space="preserve"> </w:t>
      </w:r>
      <w:r w:rsidRPr="00514681">
        <w:rPr>
          <w:rFonts w:cs="Verdana"/>
          <w:sz w:val="20"/>
          <w:szCs w:val="20"/>
          <w:lang w:val="es-CR"/>
        </w:rPr>
        <w:t>la Corte reconoció que las acciones del Estado impidieron que los familiares de la víctima conocieran “la verdad acerca de la suerte corrida por [la víctima]”. Sin embargo, aclaró que “el derecho a la verdad se enc</w:t>
      </w:r>
      <w:r w:rsidR="00315AA9" w:rsidRPr="00514681">
        <w:rPr>
          <w:rFonts w:cs="Verdana"/>
          <w:sz w:val="20"/>
          <w:szCs w:val="20"/>
          <w:lang w:val="es-CR"/>
        </w:rPr>
        <w:t>[ontraba]</w:t>
      </w:r>
      <w:r w:rsidRPr="00514681">
        <w:rPr>
          <w:rFonts w:cs="Verdana"/>
          <w:sz w:val="20"/>
          <w:szCs w:val="20"/>
          <w:lang w:val="es-CR"/>
        </w:rPr>
        <w:t xml:space="preserve"> subsumido 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w:t>
      </w:r>
      <w:r w:rsidRPr="00514681">
        <w:rPr>
          <w:rStyle w:val="FootnoteReference"/>
          <w:rFonts w:cs="Verdana"/>
          <w:sz w:val="20"/>
          <w:szCs w:val="20"/>
        </w:rPr>
        <w:footnoteReference w:id="13"/>
      </w:r>
      <w:r w:rsidRPr="00514681">
        <w:rPr>
          <w:rFonts w:cs="Verdana"/>
          <w:sz w:val="20"/>
          <w:szCs w:val="20"/>
          <w:lang w:val="es-CR"/>
        </w:rPr>
        <w:t>.</w:t>
      </w:r>
    </w:p>
    <w:p w:rsidR="00AB52EB" w:rsidRPr="00514681" w:rsidRDefault="00AB52EB" w:rsidP="00AD13AB">
      <w:pPr>
        <w:pStyle w:val="ColorfulList-Accent11"/>
        <w:tabs>
          <w:tab w:val="left" w:pos="8789"/>
        </w:tabs>
        <w:rPr>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Al año siguiente, en el caso </w:t>
      </w:r>
      <w:r w:rsidRPr="00514681">
        <w:rPr>
          <w:i/>
          <w:sz w:val="20"/>
          <w:szCs w:val="20"/>
          <w:lang w:val="es-CR"/>
        </w:rPr>
        <w:t>Barrios Altos</w:t>
      </w:r>
      <w:r w:rsidR="00315AA9" w:rsidRPr="00514681">
        <w:rPr>
          <w:i/>
          <w:sz w:val="20"/>
          <w:szCs w:val="20"/>
          <w:lang w:val="es-CR"/>
        </w:rPr>
        <w:t xml:space="preserve"> vs. Perú</w:t>
      </w:r>
      <w:r w:rsidRPr="00514681">
        <w:rPr>
          <w:i/>
          <w:sz w:val="20"/>
          <w:szCs w:val="20"/>
          <w:lang w:val="es-CR"/>
        </w:rPr>
        <w:t xml:space="preserve">, </w:t>
      </w:r>
      <w:r w:rsidRPr="00514681">
        <w:rPr>
          <w:sz w:val="20"/>
          <w:szCs w:val="20"/>
          <w:lang w:val="es-CR"/>
        </w:rPr>
        <w:t>el Estado reconoció la violación del derecho a la verdad</w:t>
      </w:r>
      <w:r w:rsidRPr="00514681">
        <w:rPr>
          <w:rStyle w:val="FootnoteReference"/>
          <w:rFonts w:cs="Verdana"/>
          <w:sz w:val="20"/>
          <w:szCs w:val="20"/>
        </w:rPr>
        <w:footnoteReference w:id="14"/>
      </w:r>
      <w:r w:rsidRPr="00514681">
        <w:rPr>
          <w:sz w:val="20"/>
          <w:szCs w:val="20"/>
          <w:lang w:val="es-CR"/>
        </w:rPr>
        <w:t xml:space="preserve">. Por su parte, </w:t>
      </w:r>
      <w:r w:rsidRPr="00514681">
        <w:rPr>
          <w:rFonts w:cs="Verdana"/>
          <w:sz w:val="20"/>
          <w:szCs w:val="20"/>
          <w:lang w:val="es-CR"/>
        </w:rPr>
        <w:t xml:space="preserve">la Comisión vinculó el derecho a la verdad no </w:t>
      </w:r>
      <w:r w:rsidRPr="00514681">
        <w:rPr>
          <w:rFonts w:cs="Verdana"/>
          <w:sz w:val="20"/>
          <w:szCs w:val="20"/>
          <w:lang w:val="es-CR"/>
        </w:rPr>
        <w:lastRenderedPageBreak/>
        <w:t>solamente a los artículos 8 y 25 de la Convención Americana sino también al artículo 13, en lo relativo al derecho a buscar y recibir información</w:t>
      </w:r>
      <w:r w:rsidRPr="00514681">
        <w:rPr>
          <w:rStyle w:val="FootnoteReference"/>
          <w:rFonts w:cs="Verdana"/>
          <w:sz w:val="20"/>
          <w:szCs w:val="20"/>
        </w:rPr>
        <w:footnoteReference w:id="15"/>
      </w:r>
      <w:r w:rsidRPr="00514681">
        <w:rPr>
          <w:rFonts w:cs="Verdana"/>
          <w:sz w:val="20"/>
          <w:szCs w:val="20"/>
          <w:lang w:val="es-CR"/>
        </w:rPr>
        <w:t>. La Corte consideró que se</w:t>
      </w:r>
      <w:r w:rsidRPr="00514681">
        <w:rPr>
          <w:rFonts w:cs="Arial"/>
          <w:sz w:val="20"/>
          <w:szCs w:val="20"/>
        </w:rPr>
        <w:t xml:space="preserve"> impidió a las víctimas sobrevivientes, sus familiares y a los familiares de las víctimas que fallecieron, conocer la verdad acerca de los hechos ocurridos en Barrios Altos, pero recordó que este derecho est</w:t>
      </w:r>
      <w:r w:rsidR="00315AA9" w:rsidRPr="00514681">
        <w:rPr>
          <w:rFonts w:cs="Arial"/>
          <w:sz w:val="20"/>
          <w:szCs w:val="20"/>
        </w:rPr>
        <w:t>á</w:t>
      </w:r>
      <w:r w:rsidRPr="00514681">
        <w:rPr>
          <w:rFonts w:cs="Arial"/>
          <w:sz w:val="20"/>
          <w:szCs w:val="20"/>
        </w:rPr>
        <w:t xml:space="preserve"> subsumido </w:t>
      </w:r>
      <w:r w:rsidRPr="00514681">
        <w:rPr>
          <w:rFonts w:eastAsia="Calibri" w:cs="Arial"/>
          <w:sz w:val="20"/>
          <w:szCs w:val="20"/>
        </w:rPr>
        <w:t>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w:t>
      </w:r>
      <w:r w:rsidRPr="00514681">
        <w:rPr>
          <w:rStyle w:val="FootnoteReference"/>
          <w:rFonts w:cs="Verdana"/>
          <w:sz w:val="20"/>
          <w:szCs w:val="20"/>
        </w:rPr>
        <w:footnoteReference w:id="16"/>
      </w:r>
      <w:r w:rsidRPr="00514681">
        <w:rPr>
          <w:rFonts w:eastAsia="Calibri" w:cs="Arial"/>
          <w:sz w:val="20"/>
          <w:szCs w:val="20"/>
        </w:rPr>
        <w:t xml:space="preserve">. </w:t>
      </w:r>
    </w:p>
    <w:p w:rsidR="00AB52EB" w:rsidRPr="00514681" w:rsidRDefault="00AB52EB" w:rsidP="00AD13AB">
      <w:pPr>
        <w:pStyle w:val="ColorfulList-Accent11"/>
        <w:tabs>
          <w:tab w:val="left" w:pos="8789"/>
        </w:tabs>
        <w:rPr>
          <w:rFonts w:eastAsia="Calibri" w:cs="Arial"/>
          <w:szCs w:val="20"/>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rFonts w:eastAsia="Calibri" w:cs="Arial"/>
          <w:sz w:val="20"/>
          <w:szCs w:val="20"/>
        </w:rPr>
        <w:t xml:space="preserve">Se observa en la jurisprudencia interamericana que ese mismo año la Corte comenzó a relacionar el derecho </w:t>
      </w:r>
      <w:r w:rsidRPr="00514681">
        <w:rPr>
          <w:sz w:val="20"/>
          <w:szCs w:val="20"/>
          <w:lang w:val="es-CR"/>
        </w:rPr>
        <w:t>de conocer la verdad (denominándolo “</w:t>
      </w:r>
      <w:r w:rsidRPr="00514681">
        <w:rPr>
          <w:i/>
          <w:sz w:val="20"/>
          <w:szCs w:val="20"/>
          <w:lang w:val="es-CR"/>
        </w:rPr>
        <w:t>derecho de conocer</w:t>
      </w:r>
      <w:r w:rsidRPr="00514681">
        <w:rPr>
          <w:sz w:val="20"/>
          <w:szCs w:val="20"/>
          <w:lang w:val="es-CR"/>
        </w:rPr>
        <w:t xml:space="preserve"> </w:t>
      </w:r>
      <w:r w:rsidRPr="00514681">
        <w:rPr>
          <w:i/>
          <w:sz w:val="20"/>
          <w:szCs w:val="20"/>
          <w:lang w:val="es-CR"/>
        </w:rPr>
        <w:t>lo que sucedió</w:t>
      </w:r>
      <w:r w:rsidRPr="00514681">
        <w:rPr>
          <w:sz w:val="20"/>
          <w:szCs w:val="20"/>
          <w:lang w:val="es-CR"/>
        </w:rPr>
        <w:t>”) con el deber del Estado de investigar las violaciones a los derechos, de sancionar a los responsables de las mismas y de combatir la impunidad</w:t>
      </w:r>
      <w:r w:rsidRPr="00514681">
        <w:rPr>
          <w:rStyle w:val="FootnoteReference"/>
          <w:sz w:val="20"/>
          <w:szCs w:val="20"/>
          <w:lang w:val="es-CR"/>
        </w:rPr>
        <w:footnoteReference w:id="17"/>
      </w:r>
      <w:r w:rsidRPr="00514681">
        <w:rPr>
          <w:sz w:val="20"/>
          <w:szCs w:val="20"/>
          <w:lang w:val="es-CR"/>
        </w:rPr>
        <w:t xml:space="preserve">. Esta idea se fortaleció en la sentencia de reparaciones y costas del caso </w:t>
      </w:r>
      <w:r w:rsidRPr="00514681">
        <w:rPr>
          <w:rFonts w:cs="Verdana"/>
          <w:i/>
          <w:sz w:val="20"/>
          <w:szCs w:val="20"/>
          <w:lang w:val="es-CR"/>
        </w:rPr>
        <w:t>Bámaca Vélasquez</w:t>
      </w:r>
      <w:r w:rsidR="00315AA9" w:rsidRPr="00514681">
        <w:rPr>
          <w:rFonts w:cs="Verdana"/>
          <w:i/>
          <w:sz w:val="20"/>
          <w:szCs w:val="20"/>
          <w:lang w:val="es-CR"/>
        </w:rPr>
        <w:t xml:space="preserve"> vs. Guatemala</w:t>
      </w:r>
      <w:r w:rsidRPr="00514681">
        <w:rPr>
          <w:rFonts w:cs="Verdana"/>
          <w:i/>
          <w:sz w:val="20"/>
          <w:szCs w:val="20"/>
          <w:lang w:val="es-CR"/>
        </w:rPr>
        <w:t xml:space="preserve"> </w:t>
      </w:r>
      <w:r w:rsidRPr="00514681">
        <w:rPr>
          <w:rFonts w:cs="Verdana"/>
          <w:sz w:val="20"/>
          <w:szCs w:val="20"/>
          <w:lang w:val="es-CR"/>
        </w:rPr>
        <w:t>donde se citaron los desarrollos de Naciones Unidas sobre el derecho que toda persona tiene a la verdad, y se reconoció que es un derecho de</w:t>
      </w:r>
      <w:r w:rsidRPr="00514681">
        <w:rPr>
          <w:rFonts w:cs="Arial"/>
          <w:sz w:val="20"/>
          <w:szCs w:val="20"/>
          <w:lang w:val="es-CR"/>
        </w:rPr>
        <w:t xml:space="preserve"> los familiares de la víctima y </w:t>
      </w:r>
      <w:r w:rsidR="00315AA9" w:rsidRPr="00514681">
        <w:rPr>
          <w:rFonts w:cs="Arial"/>
          <w:sz w:val="20"/>
          <w:szCs w:val="20"/>
          <w:lang w:val="es-CR"/>
        </w:rPr>
        <w:t xml:space="preserve">de </w:t>
      </w:r>
      <w:r w:rsidRPr="00514681">
        <w:rPr>
          <w:rFonts w:cs="Arial"/>
          <w:sz w:val="20"/>
          <w:szCs w:val="20"/>
          <w:lang w:val="es-CR"/>
        </w:rPr>
        <w:t>la sociedad como un todo</w:t>
      </w:r>
      <w:r w:rsidRPr="00514681">
        <w:rPr>
          <w:rStyle w:val="FootnoteReference"/>
          <w:rFonts w:cs="Verdana"/>
          <w:sz w:val="20"/>
          <w:szCs w:val="20"/>
          <w:lang w:val="es-CR"/>
        </w:rPr>
        <w:footnoteReference w:id="18"/>
      </w:r>
      <w:r w:rsidRPr="00514681">
        <w:rPr>
          <w:rFonts w:cs="Arial"/>
          <w:sz w:val="20"/>
          <w:szCs w:val="20"/>
          <w:lang w:val="es-CR"/>
        </w:rPr>
        <w:t>. Asimismo, se señaló que dicho derecho da lugar a una expectativa de reparación a las víctimas que el Estado debe satisfacer</w:t>
      </w:r>
      <w:r w:rsidRPr="00514681">
        <w:rPr>
          <w:rFonts w:cs="Arial"/>
          <w:sz w:val="20"/>
          <w:szCs w:val="20"/>
          <w:vertAlign w:val="superscript"/>
        </w:rPr>
        <w:footnoteReference w:id="19"/>
      </w:r>
      <w:r w:rsidRPr="00514681">
        <w:rPr>
          <w:rFonts w:cs="Arial"/>
          <w:sz w:val="20"/>
          <w:szCs w:val="20"/>
          <w:lang w:val="es-CR"/>
        </w:rPr>
        <w:t>.</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Posteriormente, en los años 2005 y 2006 en el marco de los casos </w:t>
      </w:r>
      <w:r w:rsidRPr="00514681">
        <w:rPr>
          <w:i/>
          <w:sz w:val="20"/>
          <w:szCs w:val="20"/>
          <w:lang w:val="es-CR"/>
        </w:rPr>
        <w:t>Blanco Romero y otros</w:t>
      </w:r>
      <w:r w:rsidR="00315AA9" w:rsidRPr="00514681">
        <w:rPr>
          <w:i/>
          <w:sz w:val="20"/>
          <w:szCs w:val="20"/>
          <w:lang w:val="es-CR"/>
        </w:rPr>
        <w:t xml:space="preserve"> vs. Venezuela</w:t>
      </w:r>
      <w:r w:rsidRPr="00514681">
        <w:rPr>
          <w:i/>
          <w:sz w:val="20"/>
          <w:szCs w:val="20"/>
          <w:lang w:val="es-CR"/>
        </w:rPr>
        <w:t>, Servellón García y otros</w:t>
      </w:r>
      <w:r w:rsidR="00315AA9" w:rsidRPr="00514681">
        <w:rPr>
          <w:i/>
          <w:sz w:val="20"/>
          <w:szCs w:val="20"/>
          <w:lang w:val="es-CR"/>
        </w:rPr>
        <w:t xml:space="preserve"> vs. Honduras</w:t>
      </w:r>
      <w:r w:rsidRPr="00514681">
        <w:rPr>
          <w:i/>
          <w:sz w:val="20"/>
          <w:szCs w:val="20"/>
          <w:lang w:val="es-CR"/>
        </w:rPr>
        <w:t>, Masacre de Pueblo Bello</w:t>
      </w:r>
      <w:r w:rsidR="00315AA9" w:rsidRPr="00514681">
        <w:rPr>
          <w:i/>
          <w:sz w:val="20"/>
          <w:szCs w:val="20"/>
          <w:lang w:val="es-CR"/>
        </w:rPr>
        <w:t xml:space="preserve"> vs. Colombia</w:t>
      </w:r>
      <w:r w:rsidRPr="00514681">
        <w:rPr>
          <w:i/>
          <w:sz w:val="20"/>
          <w:szCs w:val="20"/>
          <w:lang w:val="es-CR"/>
        </w:rPr>
        <w:t xml:space="preserve"> y Montero Aranguren y otros</w:t>
      </w:r>
      <w:r w:rsidR="00315AA9" w:rsidRPr="00514681">
        <w:rPr>
          <w:i/>
          <w:sz w:val="20"/>
          <w:szCs w:val="20"/>
          <w:lang w:val="es-CR"/>
        </w:rPr>
        <w:t xml:space="preserve"> (Retén de Catia) vs. Venezuela</w:t>
      </w:r>
      <w:r w:rsidRPr="00514681">
        <w:rPr>
          <w:i/>
          <w:sz w:val="20"/>
          <w:szCs w:val="20"/>
          <w:lang w:val="es-CR"/>
        </w:rPr>
        <w:t>,</w:t>
      </w:r>
      <w:r w:rsidRPr="00514681">
        <w:rPr>
          <w:sz w:val="20"/>
          <w:szCs w:val="20"/>
          <w:lang w:val="es-CR"/>
        </w:rPr>
        <w:t xml:space="preserve"> la Corte consideró que el derecho a la verdad no era “</w:t>
      </w:r>
      <w:r w:rsidRPr="00514681">
        <w:rPr>
          <w:rFonts w:cs="Arial"/>
          <w:sz w:val="20"/>
          <w:szCs w:val="20"/>
          <w:lang w:val="es-CR"/>
        </w:rPr>
        <w:t xml:space="preserve">un derecho autónomo consagrado en los artículos 8, 13, 25 y 1.1 de la Convención Americana”, sino que el mismo “se encuentra subsumido en el derecho de la víctima o sus familiares a obtener de los órganos competentes del Estado el esclarecimiento de los hechos violatorios y las </w:t>
      </w:r>
      <w:r w:rsidRPr="00514681">
        <w:rPr>
          <w:rFonts w:cs="Arial"/>
          <w:sz w:val="20"/>
          <w:szCs w:val="20"/>
          <w:lang w:val="es-CR"/>
        </w:rPr>
        <w:lastRenderedPageBreak/>
        <w:t>responsabilidades correspondientes, a través de la investigación y el juzgamiento”</w:t>
      </w:r>
      <w:r w:rsidRPr="00514681">
        <w:rPr>
          <w:rStyle w:val="FootnoteReference"/>
          <w:rFonts w:cs="Arial"/>
          <w:sz w:val="20"/>
          <w:szCs w:val="20"/>
          <w:lang w:val="es-CR"/>
        </w:rPr>
        <w:footnoteReference w:id="20"/>
      </w:r>
      <w:r w:rsidRPr="00514681">
        <w:rPr>
          <w:rFonts w:cs="Arial"/>
          <w:sz w:val="20"/>
          <w:szCs w:val="20"/>
          <w:lang w:val="es-CR"/>
        </w:rPr>
        <w:t xml:space="preserve">. Sin embargo, se reiteró que los familiares de víctimas de graves violaciones de derechos humanos tienen el derecho </w:t>
      </w:r>
      <w:r w:rsidR="00315AA9" w:rsidRPr="00514681">
        <w:rPr>
          <w:rFonts w:cs="Arial"/>
          <w:sz w:val="20"/>
          <w:szCs w:val="20"/>
          <w:lang w:val="es-CR"/>
        </w:rPr>
        <w:t>a</w:t>
      </w:r>
      <w:r w:rsidRPr="00514681">
        <w:rPr>
          <w:rFonts w:cs="Arial"/>
          <w:sz w:val="20"/>
          <w:szCs w:val="20"/>
          <w:lang w:val="es-CR"/>
        </w:rPr>
        <w:t xml:space="preserve"> conocer la verdad</w:t>
      </w:r>
      <w:r w:rsidRPr="00514681">
        <w:rPr>
          <w:rStyle w:val="FootnoteReference"/>
          <w:rFonts w:cs="Arial"/>
          <w:sz w:val="20"/>
          <w:szCs w:val="20"/>
          <w:lang w:val="es-CR"/>
        </w:rPr>
        <w:footnoteReference w:id="21"/>
      </w:r>
      <w:r w:rsidRPr="00514681">
        <w:rPr>
          <w:rFonts w:cs="Arial"/>
          <w:sz w:val="20"/>
          <w:szCs w:val="20"/>
          <w:lang w:val="es-CR"/>
        </w:rPr>
        <w:t xml:space="preserve">.  </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bookmarkStart w:id="2" w:name="_Ref401164666"/>
      <w:r w:rsidRPr="00514681">
        <w:rPr>
          <w:sz w:val="20"/>
          <w:szCs w:val="20"/>
          <w:lang w:val="es-CR"/>
        </w:rPr>
        <w:t>En los demás casos donde se ha</w:t>
      </w:r>
      <w:r w:rsidR="00315AA9" w:rsidRPr="00514681">
        <w:rPr>
          <w:sz w:val="20"/>
          <w:szCs w:val="20"/>
          <w:lang w:val="es-CR"/>
        </w:rPr>
        <w:t>n</w:t>
      </w:r>
      <w:r w:rsidRPr="00514681">
        <w:rPr>
          <w:sz w:val="20"/>
          <w:szCs w:val="20"/>
          <w:lang w:val="es-CR"/>
        </w:rPr>
        <w:t xml:space="preserve"> alegado y examinado posibles violaciones del derecho a la verdad, la Corte no ha indica</w:t>
      </w:r>
      <w:r w:rsidR="000D0520" w:rsidRPr="00514681">
        <w:rPr>
          <w:sz w:val="20"/>
          <w:szCs w:val="20"/>
          <w:lang w:val="es-CR"/>
        </w:rPr>
        <w:t>do expresamente que no considere</w:t>
      </w:r>
      <w:r w:rsidRPr="00514681">
        <w:rPr>
          <w:sz w:val="20"/>
          <w:szCs w:val="20"/>
          <w:lang w:val="es-CR"/>
        </w:rPr>
        <w:t xml:space="preserve"> autónomo e</w:t>
      </w:r>
      <w:r w:rsidR="00315AA9" w:rsidRPr="00514681">
        <w:rPr>
          <w:sz w:val="20"/>
          <w:szCs w:val="20"/>
          <w:lang w:val="es-CR"/>
        </w:rPr>
        <w:t>ste</w:t>
      </w:r>
      <w:r w:rsidRPr="00514681">
        <w:rPr>
          <w:sz w:val="20"/>
          <w:szCs w:val="20"/>
          <w:lang w:val="es-CR"/>
        </w:rPr>
        <w:t xml:space="preserve"> derecho. Sin embargo, ha señalado que considera que dicho derecho se encuentra subsumido en el derecho de la víctima o sus familiares a obtener de los órganos competentes del Estado el esclarecimiento de los hechos violatorios y las responsabilidades correspondientes, a través de la investigación y el juzgamiento dentro del análisis de la violación de</w:t>
      </w:r>
      <w:r w:rsidR="000D0520" w:rsidRPr="00514681">
        <w:rPr>
          <w:sz w:val="20"/>
          <w:szCs w:val="20"/>
          <w:lang w:val="es-CR"/>
        </w:rPr>
        <w:t xml:space="preserve"> </w:t>
      </w:r>
      <w:r w:rsidRPr="00514681">
        <w:rPr>
          <w:sz w:val="20"/>
          <w:szCs w:val="20"/>
          <w:lang w:val="es-CR"/>
        </w:rPr>
        <w:t>l</w:t>
      </w:r>
      <w:r w:rsidR="000D0520" w:rsidRPr="00514681">
        <w:rPr>
          <w:sz w:val="20"/>
          <w:szCs w:val="20"/>
          <w:lang w:val="es-CR"/>
        </w:rPr>
        <w:t>os artículos</w:t>
      </w:r>
      <w:r w:rsidRPr="00514681">
        <w:rPr>
          <w:sz w:val="20"/>
          <w:szCs w:val="20"/>
          <w:lang w:val="es-CR"/>
        </w:rPr>
        <w:t xml:space="preserve"> 8 y 25</w:t>
      </w:r>
      <w:r w:rsidRPr="00514681">
        <w:rPr>
          <w:rStyle w:val="FootnoteReference"/>
          <w:rFonts w:cs="Arial"/>
          <w:sz w:val="20"/>
          <w:szCs w:val="20"/>
          <w:lang w:val="es-CR"/>
        </w:rPr>
        <w:footnoteReference w:id="22"/>
      </w:r>
      <w:r w:rsidRPr="00514681">
        <w:rPr>
          <w:sz w:val="20"/>
          <w:szCs w:val="20"/>
          <w:lang w:val="es-CR"/>
        </w:rPr>
        <w:t xml:space="preserve">, o dentro de la obligación de investigar, ordenada como una </w:t>
      </w:r>
      <w:r w:rsidR="00315AA9" w:rsidRPr="00514681">
        <w:rPr>
          <w:sz w:val="20"/>
          <w:szCs w:val="20"/>
          <w:lang w:val="es-CR"/>
        </w:rPr>
        <w:t xml:space="preserve">forma de </w:t>
      </w:r>
      <w:r w:rsidRPr="00514681">
        <w:rPr>
          <w:sz w:val="20"/>
          <w:szCs w:val="20"/>
          <w:lang w:val="es-CR"/>
        </w:rPr>
        <w:t>reparación</w:t>
      </w:r>
      <w:r w:rsidRPr="00514681">
        <w:rPr>
          <w:rStyle w:val="FootnoteReference"/>
          <w:rFonts w:eastAsia="Calibri" w:cs="Arial"/>
          <w:sz w:val="20"/>
          <w:szCs w:val="20"/>
        </w:rPr>
        <w:footnoteReference w:id="23"/>
      </w:r>
      <w:r w:rsidRPr="00514681">
        <w:rPr>
          <w:rFonts w:cs="Arial"/>
          <w:sz w:val="20"/>
          <w:szCs w:val="20"/>
          <w:lang w:val="es-CR"/>
        </w:rPr>
        <w:t xml:space="preserve">. </w:t>
      </w:r>
      <w:bookmarkEnd w:id="2"/>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En el 2007, en el caso </w:t>
      </w:r>
      <w:r w:rsidRPr="00514681">
        <w:rPr>
          <w:i/>
          <w:sz w:val="20"/>
          <w:szCs w:val="20"/>
          <w:lang w:val="es-CR"/>
        </w:rPr>
        <w:t>Zambrano Vélez y otros</w:t>
      </w:r>
      <w:r w:rsidR="00315AA9" w:rsidRPr="00514681">
        <w:rPr>
          <w:i/>
          <w:sz w:val="20"/>
          <w:szCs w:val="20"/>
          <w:lang w:val="es-CR"/>
        </w:rPr>
        <w:t xml:space="preserve"> vs. Ecuador</w:t>
      </w:r>
      <w:r w:rsidRPr="00514681">
        <w:rPr>
          <w:sz w:val="20"/>
          <w:szCs w:val="20"/>
          <w:lang w:val="es-CR"/>
        </w:rPr>
        <w:t xml:space="preserve"> la Corte reconoció el principio de complementariedad entre la verdad extrajudicial</w:t>
      </w:r>
      <w:r w:rsidR="00315AA9" w:rsidRPr="00514681">
        <w:rPr>
          <w:sz w:val="20"/>
          <w:szCs w:val="20"/>
          <w:lang w:val="es-CR"/>
        </w:rPr>
        <w:t>,</w:t>
      </w:r>
      <w:r w:rsidR="002428BA" w:rsidRPr="00514681">
        <w:rPr>
          <w:sz w:val="20"/>
          <w:szCs w:val="20"/>
          <w:lang w:val="es-CR"/>
        </w:rPr>
        <w:t xml:space="preserve"> </w:t>
      </w:r>
      <w:r w:rsidRPr="00514681">
        <w:rPr>
          <w:sz w:val="20"/>
          <w:szCs w:val="20"/>
          <w:lang w:val="es-CR"/>
        </w:rPr>
        <w:t>que surge como resultado de una comisión de la verdad</w:t>
      </w:r>
      <w:r w:rsidR="00315AA9" w:rsidRPr="00514681">
        <w:rPr>
          <w:sz w:val="20"/>
          <w:szCs w:val="20"/>
          <w:lang w:val="es-CR"/>
        </w:rPr>
        <w:t>,</w:t>
      </w:r>
      <w:r w:rsidRPr="00514681">
        <w:rPr>
          <w:sz w:val="20"/>
          <w:szCs w:val="20"/>
          <w:lang w:val="es-CR"/>
        </w:rPr>
        <w:t xml:space="preserve"> y la verdad judicial producto de una decisión o sentencia judicial. En dicha decisión, la Corte estableció que “una comisión de la verdad, […] puede contribuir a la construcción y preservación de la memoria histórica, el esclarecimiento de hechos y la determinación de responsabilidades institucionales, sociales y políticas en determinados períodos históricos de una sociedad”, pero estas “verdades históricas […] no deben ser entendidas como un sustituto del deber del Estado de asegurar la determinación judicial de responsabilidades individuales o estatales por los medios jurisdiccionales correspondientes, ni con la determinación de responsabilidad internacional que corresponda a este Tribunal”. Este Tribunal Interamericano expresamente estableció que “[s]e trata de determinaciones de la verdad que son complementarias entre sí, pues tienen todas un sentido y alcance </w:t>
      </w:r>
      <w:r w:rsidRPr="00514681">
        <w:rPr>
          <w:sz w:val="20"/>
          <w:szCs w:val="20"/>
          <w:lang w:val="es-CR"/>
        </w:rPr>
        <w:lastRenderedPageBreak/>
        <w:t>propios, así como potencialidades y límites particulares, que dependen del contexto en el que surgen y de los casos y circunstancias concretas que analicen”</w:t>
      </w:r>
      <w:r w:rsidRPr="00514681">
        <w:rPr>
          <w:rStyle w:val="FootnoteReference"/>
          <w:sz w:val="20"/>
          <w:szCs w:val="20"/>
          <w:lang w:val="es-CR"/>
        </w:rPr>
        <w:footnoteReference w:id="24"/>
      </w:r>
      <w:r w:rsidRPr="00514681">
        <w:rPr>
          <w:sz w:val="20"/>
          <w:szCs w:val="20"/>
          <w:lang w:val="es-CR"/>
        </w:rPr>
        <w:t>, lo cual ha reiterado posteriormente en otros casos</w:t>
      </w:r>
      <w:r w:rsidRPr="00514681">
        <w:rPr>
          <w:rStyle w:val="FootnoteReference"/>
          <w:sz w:val="20"/>
          <w:szCs w:val="20"/>
          <w:lang w:val="es-CR"/>
        </w:rPr>
        <w:footnoteReference w:id="25"/>
      </w:r>
      <w:r w:rsidRPr="00514681">
        <w:rPr>
          <w:sz w:val="20"/>
          <w:szCs w:val="20"/>
          <w:lang w:val="es-CR"/>
        </w:rPr>
        <w:t xml:space="preserve">. </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Posteriormente, en el año 2009 en el caso </w:t>
      </w:r>
      <w:r w:rsidRPr="00514681">
        <w:rPr>
          <w:i/>
          <w:sz w:val="20"/>
          <w:szCs w:val="20"/>
          <w:lang w:val="es-CR"/>
        </w:rPr>
        <w:t>Anzualdo Castro</w:t>
      </w:r>
      <w:r w:rsidRPr="00514681">
        <w:rPr>
          <w:sz w:val="20"/>
          <w:szCs w:val="20"/>
          <w:lang w:val="es-CR"/>
        </w:rPr>
        <w:t xml:space="preserve"> </w:t>
      </w:r>
      <w:r w:rsidRPr="00514681">
        <w:rPr>
          <w:i/>
          <w:sz w:val="20"/>
          <w:szCs w:val="20"/>
          <w:lang w:val="es-CR"/>
        </w:rPr>
        <w:t>Vs. Perú</w:t>
      </w:r>
      <w:r w:rsidRPr="00514681">
        <w:rPr>
          <w:sz w:val="20"/>
          <w:szCs w:val="20"/>
          <w:lang w:val="es-CR"/>
        </w:rPr>
        <w:t xml:space="preserve"> la Corte debió resolver un alegato específico de los representantes y de la Comisión para que se declarara una violación autónoma del derecho a la verdad, el cual de acuerdo a los representantes estaba vinculado a los derechos contenidos en los artículos 1.1, 8, 13 y 25 de la Convención Americana</w:t>
      </w:r>
      <w:r w:rsidRPr="00514681">
        <w:rPr>
          <w:rStyle w:val="FootnoteReference"/>
          <w:sz w:val="20"/>
          <w:szCs w:val="20"/>
          <w:lang w:val="es-CR"/>
        </w:rPr>
        <w:footnoteReference w:id="26"/>
      </w:r>
      <w:r w:rsidRPr="00514681">
        <w:rPr>
          <w:sz w:val="20"/>
          <w:szCs w:val="20"/>
          <w:lang w:val="es-CR"/>
        </w:rPr>
        <w:t>. Al respecto, el Tribunal Interamericano reiteró que en casos de desaparición forzada los familiares de la persona desaparecida tienen “derecho a que los hechos sean investigados y que los responsables sean procesados y, en su caso, sancionados. La Corte ha reconocido que el derecho a conocer la verdad de los familiares de víctimas de graves violaciones de derechos humanos se enmarca en el derecho de acceso a la justicia. Asimismo, la Corte ha fundamentado la obligación de investigar como una forma de reparación, ante la necesidad de reparar la violación del derecho a conocer la verdad en el caso concreto”. Además, la Corte estableció que “el derecho a conocer la verdad tiene como efecto necesario que en una sociedad democrática se conozca la verdad sobre los hechos de graves violaciones de derechos humanos”, “mediante la obligación de investigar las violaciones de derechos humanos”, “la divulgación pública de los resultados de los procesos penales e investigativos”, así como mediante el establecimiento de “comisiones de la verdad, […] que contribuy[a]n a la construcción y preservación de la memoria histórica, el esclarecimiento de hechos y la determinación de responsabilidades institucionales, sociales y políticas en determinados períodos históricos de una sociedad”. Teniendo en cuenta lo anterior, la Corte concluyó que por el transcurso del tiempo “sin que se conozca aún toda la verdad sobre los hechos, ni [e</w:t>
      </w:r>
      <w:r w:rsidR="00315AA9" w:rsidRPr="00514681">
        <w:rPr>
          <w:sz w:val="20"/>
          <w:szCs w:val="20"/>
          <w:lang w:val="es-CR"/>
        </w:rPr>
        <w:t>l</w:t>
      </w:r>
      <w:r w:rsidRPr="00514681">
        <w:rPr>
          <w:sz w:val="20"/>
          <w:szCs w:val="20"/>
          <w:lang w:val="es-CR"/>
        </w:rPr>
        <w:t>] paradero</w:t>
      </w:r>
      <w:r w:rsidR="00315AA9" w:rsidRPr="00514681">
        <w:rPr>
          <w:sz w:val="20"/>
          <w:szCs w:val="20"/>
          <w:lang w:val="es-CR"/>
        </w:rPr>
        <w:t>”</w:t>
      </w:r>
      <w:r w:rsidRPr="00514681">
        <w:rPr>
          <w:sz w:val="20"/>
          <w:szCs w:val="20"/>
          <w:lang w:val="es-CR"/>
        </w:rPr>
        <w:t xml:space="preserve"> de la víctima, </w:t>
      </w:r>
      <w:r w:rsidR="00315AA9" w:rsidRPr="00514681">
        <w:rPr>
          <w:sz w:val="20"/>
          <w:szCs w:val="20"/>
          <w:lang w:val="es-CR"/>
        </w:rPr>
        <w:t xml:space="preserve">y </w:t>
      </w:r>
      <w:r w:rsidRPr="00514681">
        <w:rPr>
          <w:sz w:val="20"/>
          <w:szCs w:val="20"/>
          <w:lang w:val="es-CR"/>
        </w:rPr>
        <w:t>que “[d]esde el momento de su desaparición, agentes estatales han adoptado medidas para ocultar la verdad de lo sucedido”, “los procesos internos en el ámbito penal no han constituido recursos efectivos para determinar la suerte o localizar el paradero de la víctima, ni para garantizar los derechos de acceso a la justicia y de conocer la verdad, mediante la investigación y eventual sanción de los responsables y la reparación integral de las consecuencias de las violaciones”, lo cual constituía una violación de los derechos reconocidos en los artículos 8.1 y 25.1 de la Convención Americana</w:t>
      </w:r>
      <w:r w:rsidRPr="00514681">
        <w:rPr>
          <w:rStyle w:val="FootnoteReference"/>
          <w:sz w:val="20"/>
          <w:szCs w:val="20"/>
          <w:lang w:val="es-CR"/>
        </w:rPr>
        <w:footnoteReference w:id="27"/>
      </w:r>
      <w:r w:rsidRPr="00514681">
        <w:rPr>
          <w:sz w:val="20"/>
          <w:szCs w:val="20"/>
          <w:lang w:val="es-CR"/>
        </w:rPr>
        <w:t xml:space="preserve">. Por otra parte, la Corte consideró que del caso no se desprendían hechos específicos de los cuales se </w:t>
      </w:r>
      <w:r w:rsidR="000D0520" w:rsidRPr="00514681">
        <w:rPr>
          <w:sz w:val="20"/>
          <w:szCs w:val="20"/>
          <w:lang w:val="es-CR"/>
        </w:rPr>
        <w:t>pudiera derivar</w:t>
      </w:r>
      <w:r w:rsidRPr="00514681">
        <w:rPr>
          <w:sz w:val="20"/>
          <w:szCs w:val="20"/>
          <w:lang w:val="es-CR"/>
        </w:rPr>
        <w:t xml:space="preserve"> una violación del artículo 13 de la Convención</w:t>
      </w:r>
      <w:r w:rsidRPr="00514681">
        <w:rPr>
          <w:rStyle w:val="FootnoteReference"/>
          <w:sz w:val="20"/>
          <w:szCs w:val="20"/>
          <w:lang w:val="es-CR"/>
        </w:rPr>
        <w:footnoteReference w:id="28"/>
      </w:r>
      <w:r w:rsidRPr="00514681">
        <w:rPr>
          <w:sz w:val="20"/>
          <w:szCs w:val="20"/>
          <w:lang w:val="es-CR"/>
        </w:rPr>
        <w:t>, estableciéndose así el criterio por el cual una violación de dicha disposición, en virtud del derecho a la verdad, requiere de circunstancias y hechos concretos que sean violatorios del derecho a buscar y recibir información y no solamente del derecho a una investigación efectiva</w:t>
      </w:r>
      <w:r w:rsidR="00296BC2" w:rsidRPr="00514681">
        <w:rPr>
          <w:rStyle w:val="FootnoteReference"/>
          <w:szCs w:val="20"/>
          <w:lang w:val="es-CR"/>
        </w:rPr>
        <w:footnoteReference w:id="29"/>
      </w:r>
      <w:r w:rsidRPr="00514681">
        <w:rPr>
          <w:sz w:val="20"/>
          <w:szCs w:val="20"/>
          <w:lang w:val="es-CR"/>
        </w:rPr>
        <w:t xml:space="preserve">. </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bookmarkStart w:id="3" w:name="_Ref401157821"/>
      <w:r w:rsidRPr="00514681">
        <w:rPr>
          <w:sz w:val="20"/>
          <w:szCs w:val="20"/>
          <w:lang w:val="es-CR"/>
        </w:rPr>
        <w:t xml:space="preserve">En seguimiento a lo anterior, en el año 2010 en el caso </w:t>
      </w:r>
      <w:r w:rsidRPr="00514681">
        <w:rPr>
          <w:i/>
          <w:sz w:val="20"/>
          <w:szCs w:val="20"/>
          <w:lang w:val="es-CR"/>
        </w:rPr>
        <w:t>Gomes Lund y otros</w:t>
      </w:r>
      <w:r w:rsidR="00315AA9" w:rsidRPr="00514681">
        <w:rPr>
          <w:i/>
          <w:sz w:val="20"/>
          <w:szCs w:val="20"/>
          <w:lang w:val="es-CR"/>
        </w:rPr>
        <w:t xml:space="preserve"> </w:t>
      </w:r>
      <w:r w:rsidR="00E766B1" w:rsidRPr="00514681">
        <w:rPr>
          <w:i/>
          <w:sz w:val="20"/>
          <w:szCs w:val="20"/>
          <w:lang w:val="es-CR"/>
        </w:rPr>
        <w:t xml:space="preserve">(Guerrilla de Araguaia) </w:t>
      </w:r>
      <w:r w:rsidR="00315AA9" w:rsidRPr="00514681">
        <w:rPr>
          <w:i/>
          <w:sz w:val="20"/>
          <w:szCs w:val="20"/>
          <w:lang w:val="es-CR"/>
        </w:rPr>
        <w:t>vs. Brasil</w:t>
      </w:r>
      <w:r w:rsidRPr="00514681">
        <w:rPr>
          <w:i/>
          <w:sz w:val="20"/>
          <w:szCs w:val="20"/>
          <w:lang w:val="es-CR"/>
        </w:rPr>
        <w:t>,</w:t>
      </w:r>
      <w:r w:rsidRPr="00514681">
        <w:rPr>
          <w:sz w:val="20"/>
          <w:szCs w:val="20"/>
          <w:lang w:val="es-CR"/>
        </w:rPr>
        <w:t xml:space="preserve"> este Tribunal Interamericano estableció que “</w:t>
      </w:r>
      <w:r w:rsidRPr="00514681">
        <w:rPr>
          <w:rFonts w:eastAsia="Calibri" w:cs="Arial"/>
          <w:sz w:val="20"/>
          <w:szCs w:val="20"/>
          <w:lang w:val="es-ES"/>
        </w:rPr>
        <w:t>toda persona, incluyendo los familiares de las víctimas de graves violaciones a derechos humanos, tiene el derecho a conocer la verdad”</w:t>
      </w:r>
      <w:r w:rsidRPr="00514681">
        <w:rPr>
          <w:rStyle w:val="FootnoteReference"/>
          <w:rFonts w:eastAsia="Calibri" w:cs="Arial"/>
          <w:sz w:val="20"/>
          <w:szCs w:val="20"/>
          <w:lang w:val="es-ES"/>
        </w:rPr>
        <w:footnoteReference w:id="30"/>
      </w:r>
      <w:r w:rsidRPr="00514681">
        <w:rPr>
          <w:rFonts w:eastAsia="Calibri" w:cs="Arial"/>
          <w:sz w:val="20"/>
          <w:szCs w:val="20"/>
          <w:lang w:val="es-ES"/>
        </w:rPr>
        <w:t xml:space="preserve">. </w:t>
      </w:r>
      <w:r w:rsidRPr="00514681">
        <w:rPr>
          <w:rFonts w:eastAsia="Calibri" w:cs="Arial"/>
          <w:sz w:val="20"/>
          <w:szCs w:val="20"/>
          <w:u w:val="single"/>
          <w:lang w:val="es-ES"/>
        </w:rPr>
        <w:t xml:space="preserve">No obstante, a </w:t>
      </w:r>
      <w:r w:rsidRPr="00514681">
        <w:rPr>
          <w:sz w:val="20"/>
          <w:szCs w:val="20"/>
          <w:u w:val="single"/>
          <w:lang w:val="es-CR"/>
        </w:rPr>
        <w:t>diferencia de su jurisprudencia hasta ese momento, la Corte declaró una violación al derecho a la verdad de manera autónoma</w:t>
      </w:r>
      <w:r w:rsidRPr="00514681">
        <w:rPr>
          <w:rStyle w:val="FootnoteReference"/>
          <w:sz w:val="20"/>
          <w:szCs w:val="20"/>
          <w:lang w:val="es-CR"/>
        </w:rPr>
        <w:footnoteReference w:id="31"/>
      </w:r>
      <w:r w:rsidRPr="00514681">
        <w:rPr>
          <w:sz w:val="20"/>
          <w:szCs w:val="20"/>
          <w:lang w:val="es-CR"/>
        </w:rPr>
        <w:t xml:space="preserve">. </w:t>
      </w:r>
      <w:r w:rsidRPr="00514681">
        <w:rPr>
          <w:rFonts w:eastAsia="Calibri" w:cs="Arial"/>
          <w:sz w:val="20"/>
          <w:szCs w:val="20"/>
          <w:lang w:val="es-ES"/>
        </w:rPr>
        <w:t xml:space="preserve">La Corte consideró que el derecho a la verdad estaba relacionado con el acceso a la justicia y, en ese caso, además con el derecho a buscar </w:t>
      </w:r>
      <w:r w:rsidRPr="00514681">
        <w:rPr>
          <w:rFonts w:cs="Arial"/>
          <w:sz w:val="20"/>
          <w:szCs w:val="20"/>
          <w:lang w:val="es-ES"/>
        </w:rPr>
        <w:t>y recibir información consagrado en el artículo 13 de la Convención Americana, debido a la imposibilidad de los familiares de las víctimas de desaparición forzada de obtener información sobre las operaciones militares donde desaparecieron sus seres queridos, por medio de una acción judicial de acceso a la información</w:t>
      </w:r>
      <w:bookmarkEnd w:id="3"/>
      <w:r w:rsidRPr="00514681">
        <w:rPr>
          <w:rFonts w:cs="Arial"/>
          <w:sz w:val="20"/>
          <w:szCs w:val="20"/>
          <w:lang w:val="es-ES"/>
        </w:rPr>
        <w:t>.</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Por otra parte, en el año 2012 en el caso </w:t>
      </w:r>
      <w:r w:rsidRPr="00514681">
        <w:rPr>
          <w:i/>
          <w:sz w:val="20"/>
          <w:szCs w:val="20"/>
          <w:lang w:val="es-CR"/>
        </w:rPr>
        <w:t>Gudiel Álvarez y otros</w:t>
      </w:r>
      <w:r w:rsidR="00315AA9" w:rsidRPr="00514681">
        <w:rPr>
          <w:i/>
          <w:sz w:val="20"/>
          <w:szCs w:val="20"/>
          <w:lang w:val="es-CR"/>
        </w:rPr>
        <w:t xml:space="preserve"> (“Diario Militar”) vs. Guatemala</w:t>
      </w:r>
      <w:r w:rsidRPr="00514681">
        <w:rPr>
          <w:sz w:val="20"/>
          <w:szCs w:val="20"/>
          <w:lang w:val="es-CR"/>
        </w:rPr>
        <w:t>, la Corte examinó el derecho a la verdad en el marco del derecho a la integridad personal de los familiares. En dicho caso, se alegó la violación al derecho a conocer la verdad y al derecho al acceso a la información, debido al descubrimiento de un documento de inteligencia militar guatemalteco, conocido como el “Diario Militar”, que contenía información sobre la desaparición de las víctimas, así como del Archivo Histórico de la Policía Nacional, lo cual había sido ocultado a la Comisión para el Esclarecimiento Histórico (CEH) a pesar de múltiples solicitudes de información por parte de dicha Comisión a las autoridades militares y policiales</w:t>
      </w:r>
      <w:r w:rsidRPr="00514681">
        <w:rPr>
          <w:rStyle w:val="FootnoteReference"/>
          <w:sz w:val="20"/>
          <w:szCs w:val="20"/>
          <w:lang w:val="es-CR"/>
        </w:rPr>
        <w:footnoteReference w:id="32"/>
      </w:r>
      <w:r w:rsidRPr="00514681">
        <w:rPr>
          <w:sz w:val="20"/>
          <w:szCs w:val="20"/>
          <w:lang w:val="es-CR"/>
        </w:rPr>
        <w:t>. En dicho caso, la Corte resaltó que</w:t>
      </w:r>
      <w:r w:rsidRPr="00514681">
        <w:rPr>
          <w:rFonts w:cs="Arial"/>
          <w:sz w:val="20"/>
          <w:szCs w:val="20"/>
          <w:lang w:val="es-CR"/>
        </w:rPr>
        <w:t xml:space="preserve"> a varios de los familiares no se les permitió el conocimiento de la verdad histórica a través de la CEH sobre lo sucedido a sus seres queridos debido a la negativa de las autoridades estatales de entregar información</w:t>
      </w:r>
      <w:r w:rsidRPr="00514681">
        <w:rPr>
          <w:rStyle w:val="FootnoteReference"/>
          <w:sz w:val="20"/>
          <w:szCs w:val="20"/>
          <w:lang w:val="es-CR"/>
        </w:rPr>
        <w:footnoteReference w:id="33"/>
      </w:r>
      <w:r w:rsidRPr="00514681">
        <w:rPr>
          <w:rFonts w:cs="Arial"/>
          <w:sz w:val="20"/>
          <w:szCs w:val="20"/>
          <w:lang w:val="es-CR"/>
        </w:rPr>
        <w:t xml:space="preserve">. </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pStyle w:val="ColorfulList-Accent11"/>
        <w:tabs>
          <w:tab w:val="left" w:pos="567"/>
          <w:tab w:val="left" w:pos="8789"/>
        </w:tabs>
        <w:ind w:left="567" w:right="96"/>
        <w:rPr>
          <w:b/>
          <w:szCs w:val="20"/>
          <w:lang w:val="es-CR"/>
        </w:rPr>
      </w:pPr>
      <w:bookmarkStart w:id="4" w:name="_Toc401230670"/>
      <w:r w:rsidRPr="00514681">
        <w:rPr>
          <w:b/>
          <w:szCs w:val="20"/>
          <w:lang w:val="es-CR"/>
        </w:rPr>
        <w:t>II. Desarrollo por otros órganos e instrumentos internacionales</w:t>
      </w:r>
      <w:bookmarkEnd w:id="4"/>
      <w:r w:rsidRPr="00514681">
        <w:rPr>
          <w:b/>
          <w:szCs w:val="20"/>
          <w:lang w:val="es-CR"/>
        </w:rPr>
        <w:t xml:space="preserve"> y ordenamientos jurídicos internos</w:t>
      </w:r>
    </w:p>
    <w:p w:rsidR="00AB52EB" w:rsidRPr="00514681" w:rsidRDefault="00AB52EB" w:rsidP="00AD13AB">
      <w:pPr>
        <w:pStyle w:val="ColorfulList-Accent11"/>
        <w:tabs>
          <w:tab w:val="left" w:pos="567"/>
          <w:tab w:val="left" w:pos="8789"/>
        </w:tabs>
        <w:ind w:left="567" w:right="96"/>
        <w:rPr>
          <w:b/>
          <w:szCs w:val="20"/>
          <w:lang w:val="es-CR"/>
        </w:rPr>
      </w:pPr>
    </w:p>
    <w:p w:rsidR="00AB52EB" w:rsidRPr="00514681" w:rsidRDefault="00AB52EB" w:rsidP="00AD13AB">
      <w:pPr>
        <w:pStyle w:val="ColorfulList-Accent12"/>
        <w:numPr>
          <w:ilvl w:val="0"/>
          <w:numId w:val="23"/>
        </w:numPr>
        <w:tabs>
          <w:tab w:val="left" w:pos="0"/>
          <w:tab w:val="left" w:pos="567"/>
          <w:tab w:val="left" w:pos="8789"/>
        </w:tabs>
        <w:ind w:left="0"/>
        <w:jc w:val="both"/>
        <w:rPr>
          <w:rFonts w:cs="TimesNewRoman,Bold"/>
          <w:bCs/>
          <w:sz w:val="20"/>
          <w:szCs w:val="20"/>
          <w:lang w:val="es-CR"/>
        </w:rPr>
      </w:pPr>
      <w:r w:rsidRPr="00514681">
        <w:rPr>
          <w:sz w:val="20"/>
          <w:szCs w:val="20"/>
          <w:lang w:val="es-CR"/>
        </w:rPr>
        <w:t>Como se mencionó previamente (</w:t>
      </w:r>
      <w:r w:rsidRPr="00514681">
        <w:rPr>
          <w:i/>
          <w:sz w:val="20"/>
          <w:szCs w:val="20"/>
          <w:lang w:val="es-CR"/>
        </w:rPr>
        <w:t>supra</w:t>
      </w:r>
      <w:r w:rsidRPr="00514681">
        <w:rPr>
          <w:sz w:val="20"/>
          <w:szCs w:val="20"/>
          <w:lang w:val="es-CR"/>
        </w:rPr>
        <w:t xml:space="preserve"> párr. </w:t>
      </w:r>
      <w:fldSimple w:instr=" REF _Ref405222653 \r \h  \* MERGEFORMAT ">
        <w:r w:rsidR="00E119E2">
          <w:t>4</w:t>
        </w:r>
      </w:fldSimple>
      <w:r w:rsidRPr="00514681">
        <w:rPr>
          <w:sz w:val="20"/>
          <w:szCs w:val="20"/>
          <w:lang w:val="es-CR"/>
        </w:rPr>
        <w:t xml:space="preserve">), diversos pronunciamientos de Naciones Unidas y de la Organización de Estados Americanos han reconocido el derecho a la verdad. </w:t>
      </w:r>
    </w:p>
    <w:p w:rsidR="00AB52EB" w:rsidRPr="00514681" w:rsidRDefault="00AB52EB" w:rsidP="00AD13AB">
      <w:pPr>
        <w:pStyle w:val="ColorfulList-Accent12"/>
        <w:tabs>
          <w:tab w:val="left" w:pos="0"/>
          <w:tab w:val="left" w:pos="567"/>
          <w:tab w:val="left" w:pos="8789"/>
        </w:tabs>
        <w:ind w:left="0"/>
        <w:jc w:val="both"/>
        <w:rPr>
          <w:rFonts w:cs="TimesNewRoman,Bold"/>
          <w:bCs/>
          <w:sz w:val="20"/>
          <w:szCs w:val="20"/>
          <w:lang w:val="es-CR"/>
        </w:rPr>
      </w:pPr>
    </w:p>
    <w:p w:rsidR="00AB52EB" w:rsidRPr="00514681" w:rsidRDefault="00AB52EB" w:rsidP="00AD13AB">
      <w:pPr>
        <w:pStyle w:val="ColorfulList-Accent12"/>
        <w:numPr>
          <w:ilvl w:val="0"/>
          <w:numId w:val="23"/>
        </w:numPr>
        <w:tabs>
          <w:tab w:val="left" w:pos="0"/>
          <w:tab w:val="left" w:pos="567"/>
          <w:tab w:val="left" w:pos="8789"/>
        </w:tabs>
        <w:ind w:left="0"/>
        <w:jc w:val="both"/>
        <w:rPr>
          <w:rFonts w:cs="TimesNewRoman,Bold"/>
          <w:bCs/>
          <w:sz w:val="20"/>
          <w:szCs w:val="20"/>
          <w:lang w:val="es-CR"/>
        </w:rPr>
      </w:pPr>
      <w:r w:rsidRPr="00514681">
        <w:rPr>
          <w:sz w:val="20"/>
          <w:szCs w:val="20"/>
          <w:lang w:val="es-CR"/>
        </w:rPr>
        <w:t>En particular, la Organización de las Naciones Unidas ha reconocido la existencia del derecho a la verdad a través de pronunciamientos de la Asamblea General</w:t>
      </w:r>
      <w:r w:rsidRPr="00514681">
        <w:rPr>
          <w:rFonts w:cs="TimesNewRoman"/>
          <w:sz w:val="20"/>
          <w:szCs w:val="20"/>
          <w:vertAlign w:val="superscript"/>
          <w:lang w:val="es-CR"/>
        </w:rPr>
        <w:footnoteReference w:id="34"/>
      </w:r>
      <w:r w:rsidRPr="00514681">
        <w:rPr>
          <w:sz w:val="20"/>
          <w:szCs w:val="20"/>
          <w:lang w:val="es-CR"/>
        </w:rPr>
        <w:t>, el Secretario General</w:t>
      </w:r>
      <w:r w:rsidRPr="00514681">
        <w:rPr>
          <w:rFonts w:cs="TimesNewRoman"/>
          <w:sz w:val="20"/>
          <w:szCs w:val="20"/>
          <w:vertAlign w:val="superscript"/>
          <w:lang w:val="es-CR"/>
        </w:rPr>
        <w:footnoteReference w:id="35"/>
      </w:r>
      <w:r w:rsidRPr="00514681">
        <w:rPr>
          <w:sz w:val="20"/>
          <w:szCs w:val="20"/>
          <w:vertAlign w:val="superscript"/>
          <w:lang w:val="es-CR"/>
        </w:rPr>
        <w:t xml:space="preserve"> </w:t>
      </w:r>
      <w:r w:rsidRPr="00514681">
        <w:rPr>
          <w:sz w:val="20"/>
          <w:szCs w:val="20"/>
          <w:lang w:val="es-CR"/>
        </w:rPr>
        <w:t>y el Consejo de Seguridad</w:t>
      </w:r>
      <w:r w:rsidRPr="00514681">
        <w:rPr>
          <w:rFonts w:cs="TimesNewRoman"/>
          <w:sz w:val="20"/>
          <w:szCs w:val="20"/>
          <w:vertAlign w:val="superscript"/>
          <w:lang w:val="es-CR"/>
        </w:rPr>
        <w:footnoteReference w:id="36"/>
      </w:r>
      <w:r w:rsidRPr="00514681">
        <w:rPr>
          <w:sz w:val="20"/>
          <w:szCs w:val="20"/>
          <w:lang w:val="es-CR"/>
        </w:rPr>
        <w:t>, así como de numerosas resoluciones e informes cuya elaboración y publicación estuvo a cargo de los organismos con competencia en materia de derechos humanos vinculados a esta organización</w:t>
      </w:r>
      <w:r w:rsidRPr="00514681">
        <w:rPr>
          <w:rStyle w:val="FootnoteReference"/>
          <w:sz w:val="20"/>
          <w:szCs w:val="20"/>
          <w:lang w:val="es-CR"/>
        </w:rPr>
        <w:footnoteReference w:id="37"/>
      </w:r>
      <w:r w:rsidRPr="00514681">
        <w:rPr>
          <w:sz w:val="20"/>
          <w:szCs w:val="20"/>
          <w:lang w:val="es-CR"/>
        </w:rPr>
        <w:t>.</w:t>
      </w:r>
      <w:bookmarkStart w:id="5" w:name="_Ref401221086"/>
      <w:r w:rsidRPr="00514681">
        <w:rPr>
          <w:rFonts w:cs="TimesNewRoman"/>
          <w:sz w:val="20"/>
          <w:szCs w:val="20"/>
          <w:lang w:val="es-CR"/>
        </w:rPr>
        <w:t xml:space="preserve"> </w:t>
      </w:r>
      <w:r w:rsidR="00E766B1" w:rsidRPr="00514681">
        <w:rPr>
          <w:spacing w:val="-2"/>
          <w:sz w:val="20"/>
          <w:szCs w:val="20"/>
        </w:rPr>
        <w:t xml:space="preserve">En este sentido, el Alto Comisionado de la Naciones Unidas para los Derechos Humanos señaló </w:t>
      </w:r>
      <w:r w:rsidRPr="00514681">
        <w:rPr>
          <w:spacing w:val="-2"/>
          <w:sz w:val="20"/>
          <w:szCs w:val="20"/>
        </w:rPr>
        <w:t xml:space="preserve">que </w:t>
      </w:r>
      <w:r w:rsidRPr="00514681">
        <w:rPr>
          <w:spacing w:val="-2"/>
          <w:sz w:val="20"/>
          <w:szCs w:val="20"/>
          <w:u w:val="single"/>
        </w:rPr>
        <w:t xml:space="preserve">el derecho a la verdad </w:t>
      </w:r>
      <w:bookmarkEnd w:id="5"/>
      <w:r w:rsidRPr="00514681">
        <w:rPr>
          <w:spacing w:val="-2"/>
          <w:sz w:val="20"/>
          <w:szCs w:val="20"/>
          <w:u w:val="single"/>
        </w:rPr>
        <w:t xml:space="preserve">era un </w:t>
      </w:r>
      <w:r w:rsidRPr="00514681">
        <w:rPr>
          <w:rFonts w:cs="TimesNewRoman,Bold"/>
          <w:bCs/>
          <w:sz w:val="20"/>
          <w:szCs w:val="20"/>
          <w:u w:val="single"/>
          <w:lang w:val="es-CR"/>
        </w:rPr>
        <w:t>derecho autónomo, inalienable e independiente</w:t>
      </w:r>
      <w:r w:rsidRPr="00514681">
        <w:rPr>
          <w:rFonts w:cs="TimesNewRoman,Bold"/>
          <w:bCs/>
          <w:sz w:val="20"/>
          <w:szCs w:val="20"/>
          <w:lang w:val="es-CR"/>
        </w:rPr>
        <w:t xml:space="preserve">, pues </w:t>
      </w:r>
      <w:r w:rsidRPr="00514681">
        <w:rPr>
          <w:rFonts w:cs="TimesNewRoman,Bold"/>
          <w:bCs/>
          <w:sz w:val="20"/>
          <w:szCs w:val="20"/>
          <w:lang w:val="es-CR"/>
        </w:rPr>
        <w:lastRenderedPageBreak/>
        <w:t>“[l]a verdad es fundamental para la dignidad inherente del ser humano”. Asimismo, definió que:</w:t>
      </w:r>
    </w:p>
    <w:p w:rsidR="00AB52EB" w:rsidRPr="00514681" w:rsidRDefault="00AB52EB" w:rsidP="00AD13AB">
      <w:pPr>
        <w:pStyle w:val="ColorfulList-Accent12"/>
        <w:tabs>
          <w:tab w:val="left" w:pos="0"/>
          <w:tab w:val="left" w:pos="567"/>
          <w:tab w:val="left" w:pos="8789"/>
        </w:tabs>
        <w:ind w:left="0"/>
        <w:jc w:val="both"/>
        <w:rPr>
          <w:rFonts w:cs="TimesNewRoman,Bold"/>
          <w:bCs/>
          <w:sz w:val="20"/>
          <w:szCs w:val="20"/>
          <w:lang w:val="es-CR"/>
        </w:rPr>
      </w:pPr>
    </w:p>
    <w:p w:rsidR="00AB52EB" w:rsidRPr="00514681" w:rsidRDefault="00AB52EB" w:rsidP="00AD13AB">
      <w:pPr>
        <w:pStyle w:val="ColorfulList-Accent12"/>
        <w:tabs>
          <w:tab w:val="left" w:pos="567"/>
          <w:tab w:val="left" w:pos="8789"/>
        </w:tabs>
        <w:ind w:left="567" w:right="522"/>
        <w:jc w:val="both"/>
        <w:rPr>
          <w:rFonts w:cs="TimesNewRoman,Bold"/>
          <w:bCs/>
          <w:sz w:val="18"/>
          <w:szCs w:val="18"/>
          <w:lang w:val="es-CR"/>
        </w:rPr>
      </w:pPr>
      <w:r w:rsidRPr="00514681">
        <w:rPr>
          <w:rFonts w:cs="TimesNewRoman,Bold"/>
          <w:bCs/>
          <w:sz w:val="18"/>
          <w:szCs w:val="18"/>
          <w:lang w:val="es-CR"/>
        </w:rPr>
        <w:t>El derecho a la verdad entraña tener un conocimiento pleno y completo de los actos que se produjeron, las personas que participaron en ellos y las circunstancias específicas, en particular de las violaciones perpetradas y su motivación. En los casos de desaparición forzosa, desaparición de personas, niños secuestrados o nacidos durante la cautividad de una mujer víctima de una desaparición forzosa, ejecuciones secretas y ocultación del lugar de sepultura de la víctima, el derecho a la verdad tiene también una faceta especial: el conocimiento de la suerte y el paradero de las víctimas</w:t>
      </w:r>
      <w:r w:rsidRPr="00514681">
        <w:rPr>
          <w:rStyle w:val="FootnoteReference"/>
          <w:rFonts w:cs="TimesNewRoman,Bold"/>
          <w:bCs/>
          <w:sz w:val="18"/>
          <w:szCs w:val="18"/>
          <w:lang w:val="es-CR"/>
        </w:rPr>
        <w:footnoteReference w:id="38"/>
      </w:r>
      <w:r w:rsidRPr="00514681">
        <w:rPr>
          <w:rFonts w:cs="TimesNewRoman,Bold"/>
          <w:bCs/>
          <w:sz w:val="18"/>
          <w:szCs w:val="18"/>
          <w:lang w:val="es-CR"/>
        </w:rPr>
        <w:t>.</w:t>
      </w:r>
    </w:p>
    <w:p w:rsidR="00AB52EB" w:rsidRPr="00514681" w:rsidRDefault="00AB52EB" w:rsidP="00AD13AB">
      <w:pPr>
        <w:pStyle w:val="ColorfulList-Accent12"/>
        <w:tabs>
          <w:tab w:val="left" w:pos="567"/>
          <w:tab w:val="left" w:pos="8789"/>
        </w:tabs>
        <w:ind w:left="567" w:right="522"/>
        <w:jc w:val="both"/>
        <w:rPr>
          <w:rFonts w:cs="TimesNewRoman,Bold"/>
          <w:bCs/>
          <w:sz w:val="18"/>
          <w:szCs w:val="18"/>
          <w:lang w:val="es-CR"/>
        </w:rPr>
      </w:pPr>
    </w:p>
    <w:p w:rsidR="00AB52EB" w:rsidRPr="00514681" w:rsidRDefault="00AB52EB" w:rsidP="00AD13AB">
      <w:pPr>
        <w:pStyle w:val="ColorfulList-Accent12"/>
        <w:numPr>
          <w:ilvl w:val="0"/>
          <w:numId w:val="23"/>
        </w:numPr>
        <w:tabs>
          <w:tab w:val="left" w:pos="567"/>
          <w:tab w:val="left" w:pos="8789"/>
        </w:tabs>
        <w:autoSpaceDE w:val="0"/>
        <w:autoSpaceDN w:val="0"/>
        <w:adjustRightInd w:val="0"/>
        <w:ind w:left="0"/>
        <w:jc w:val="both"/>
        <w:rPr>
          <w:sz w:val="20"/>
          <w:szCs w:val="20"/>
          <w:lang w:val="es-CR"/>
        </w:rPr>
      </w:pPr>
      <w:r w:rsidRPr="00514681">
        <w:rPr>
          <w:sz w:val="20"/>
          <w:szCs w:val="20"/>
          <w:lang w:val="es-CR"/>
        </w:rPr>
        <w:t xml:space="preserve">El Comité Internacional de la Cruz Roja (CICR) ha afirmado que </w:t>
      </w:r>
      <w:r w:rsidRPr="00514681">
        <w:rPr>
          <w:rFonts w:cs="TimesNewRoman"/>
          <w:sz w:val="20"/>
          <w:szCs w:val="20"/>
          <w:lang w:val="es-CR"/>
        </w:rPr>
        <w:t>el derecho a la verdad es una norma del derecho internacional consuetudinario aplicable tanto a los conflictos armados internacionales como a los internos, de modo que cada parte en el conflicto deb</w:t>
      </w:r>
      <w:r w:rsidR="00E766B1" w:rsidRPr="00514681">
        <w:rPr>
          <w:rFonts w:cs="TimesNewRoman"/>
          <w:sz w:val="20"/>
          <w:szCs w:val="20"/>
          <w:lang w:val="es-CR"/>
        </w:rPr>
        <w:t>e</w:t>
      </w:r>
      <w:r w:rsidRPr="00514681">
        <w:rPr>
          <w:rFonts w:cs="TimesNewRoman"/>
          <w:sz w:val="20"/>
          <w:szCs w:val="20"/>
          <w:lang w:val="es-CR"/>
        </w:rPr>
        <w:t xml:space="preserve"> tomar todas las medidas factibles para conocer el paradero de las personas presuntamente desaparecidas a raíz de un conflicto armado y deb</w:t>
      </w:r>
      <w:r w:rsidR="00E766B1" w:rsidRPr="00514681">
        <w:rPr>
          <w:rFonts w:cs="TimesNewRoman"/>
          <w:sz w:val="20"/>
          <w:szCs w:val="20"/>
          <w:lang w:val="es-CR"/>
        </w:rPr>
        <w:t>e</w:t>
      </w:r>
      <w:r w:rsidRPr="00514681">
        <w:rPr>
          <w:rFonts w:cs="TimesNewRoman"/>
          <w:sz w:val="20"/>
          <w:szCs w:val="20"/>
          <w:lang w:val="es-CR"/>
        </w:rPr>
        <w:t xml:space="preserve"> comunicar a sus familiares todo dato de que dispusieran acerca de su suerte</w:t>
      </w:r>
      <w:r w:rsidRPr="00514681">
        <w:rPr>
          <w:rStyle w:val="FootnoteReference"/>
          <w:rFonts w:cs="TimesNewRoman"/>
          <w:sz w:val="20"/>
          <w:szCs w:val="20"/>
          <w:lang w:val="es-CR"/>
        </w:rPr>
        <w:footnoteReference w:id="39"/>
      </w:r>
      <w:r w:rsidRPr="00514681">
        <w:rPr>
          <w:rFonts w:cs="TimesNewRoman"/>
          <w:sz w:val="20"/>
          <w:szCs w:val="20"/>
          <w:lang w:val="es-CR"/>
        </w:rPr>
        <w:t xml:space="preserve">. </w:t>
      </w:r>
    </w:p>
    <w:p w:rsidR="00AB52EB" w:rsidRPr="00514681" w:rsidRDefault="00AB52EB" w:rsidP="00AD13AB">
      <w:pPr>
        <w:pStyle w:val="ColorfulList-Accent12"/>
        <w:tabs>
          <w:tab w:val="left" w:pos="567"/>
          <w:tab w:val="left" w:pos="8789"/>
        </w:tabs>
        <w:autoSpaceDE w:val="0"/>
        <w:autoSpaceDN w:val="0"/>
        <w:adjustRightInd w:val="0"/>
        <w:ind w:left="0"/>
        <w:jc w:val="both"/>
        <w:rPr>
          <w:sz w:val="20"/>
          <w:szCs w:val="20"/>
          <w:lang w:val="es-CR"/>
        </w:rPr>
      </w:pPr>
    </w:p>
    <w:p w:rsidR="00AB52EB" w:rsidRPr="00514681" w:rsidRDefault="00AB52EB" w:rsidP="00AD13AB">
      <w:pPr>
        <w:pStyle w:val="ColorfulList-Accent12"/>
        <w:numPr>
          <w:ilvl w:val="0"/>
          <w:numId w:val="23"/>
        </w:numPr>
        <w:tabs>
          <w:tab w:val="left" w:pos="567"/>
          <w:tab w:val="left" w:pos="8789"/>
        </w:tabs>
        <w:autoSpaceDE w:val="0"/>
        <w:autoSpaceDN w:val="0"/>
        <w:adjustRightInd w:val="0"/>
        <w:ind w:left="0"/>
        <w:jc w:val="both"/>
        <w:rPr>
          <w:sz w:val="20"/>
          <w:szCs w:val="20"/>
          <w:lang w:val="es-CR"/>
        </w:rPr>
      </w:pPr>
      <w:r w:rsidRPr="00514681">
        <w:rPr>
          <w:rFonts w:cs="TimesNewRoman"/>
          <w:sz w:val="20"/>
          <w:szCs w:val="20"/>
          <w:lang w:val="es-CR"/>
        </w:rPr>
        <w:t xml:space="preserve">En ámbitos regionales también se han emitido declaraciones referidas al derecho a la verdad. En la XXVIII Cumbre de Jefes de Estado, celebrada en Asunción </w:t>
      </w:r>
      <w:r w:rsidR="00E766B1" w:rsidRPr="00514681">
        <w:rPr>
          <w:rFonts w:cs="TimesNewRoman"/>
          <w:sz w:val="20"/>
          <w:szCs w:val="20"/>
          <w:lang w:val="es-CR"/>
        </w:rPr>
        <w:t xml:space="preserve">el 20 de </w:t>
      </w:r>
      <w:r w:rsidRPr="00514681">
        <w:rPr>
          <w:rFonts w:cs="TimesNewRoman"/>
          <w:sz w:val="20"/>
          <w:szCs w:val="20"/>
          <w:lang w:val="es-CR"/>
        </w:rPr>
        <w:t>junio de 2005, los Estados miembros y asociados del Mercado Común del Sur (MERCOSUR) adoptaron una declaración en la que se reafirmaba el derecho a la verdad de las víctimas de violaciones de los derechos humanos y sus familiares</w:t>
      </w:r>
      <w:r w:rsidRPr="00514681">
        <w:rPr>
          <w:sz w:val="20"/>
          <w:szCs w:val="20"/>
          <w:vertAlign w:val="superscript"/>
          <w:lang w:val="es-CR"/>
        </w:rPr>
        <w:footnoteReference w:id="40"/>
      </w:r>
      <w:r w:rsidRPr="00514681">
        <w:rPr>
          <w:rFonts w:cs="TimesNewRoman"/>
          <w:sz w:val="20"/>
          <w:szCs w:val="20"/>
          <w:lang w:val="es-CR"/>
        </w:rPr>
        <w:t>.</w:t>
      </w:r>
      <w:r w:rsidRPr="00514681">
        <w:rPr>
          <w:sz w:val="20"/>
          <w:szCs w:val="20"/>
          <w:lang w:val="es-CR"/>
        </w:rPr>
        <w:t xml:space="preserve"> </w:t>
      </w:r>
      <w:r w:rsidRPr="00514681">
        <w:rPr>
          <w:rFonts w:cs="TimesNewRoman"/>
          <w:sz w:val="20"/>
          <w:szCs w:val="20"/>
          <w:lang w:val="es-CR"/>
        </w:rPr>
        <w:t>En el ámbito europeo, la Unión Europea se ha pronunciado respecto del derecho a la verdad en sus resoluciones sobre personas desaparecidas</w:t>
      </w:r>
      <w:r w:rsidRPr="00514681">
        <w:rPr>
          <w:rStyle w:val="FootnoteReference"/>
          <w:rFonts w:cs="TimesNewRoman"/>
          <w:sz w:val="20"/>
          <w:szCs w:val="20"/>
          <w:lang w:val="es-CR"/>
        </w:rPr>
        <w:footnoteReference w:id="41"/>
      </w:r>
      <w:r w:rsidRPr="00514681">
        <w:rPr>
          <w:rFonts w:cs="TimesNewRoman"/>
          <w:sz w:val="20"/>
          <w:szCs w:val="20"/>
          <w:lang w:val="es-CR"/>
        </w:rPr>
        <w:t xml:space="preserve">, desarme y desmovilización de grupos paramilitares y en el contexto de </w:t>
      </w:r>
      <w:r w:rsidR="00E766B1" w:rsidRPr="00514681">
        <w:rPr>
          <w:rFonts w:cs="TimesNewRoman"/>
          <w:sz w:val="20"/>
          <w:szCs w:val="20"/>
          <w:lang w:val="es-CR"/>
        </w:rPr>
        <w:t>negociaciones</w:t>
      </w:r>
      <w:r w:rsidRPr="00514681">
        <w:rPr>
          <w:rFonts w:cs="TimesNewRoman"/>
          <w:sz w:val="20"/>
          <w:szCs w:val="20"/>
          <w:lang w:val="es-CR"/>
        </w:rPr>
        <w:t xml:space="preserve"> de paz</w:t>
      </w:r>
      <w:r w:rsidRPr="00514681">
        <w:rPr>
          <w:rStyle w:val="FootnoteReference"/>
          <w:rFonts w:cs="TimesNewRoman"/>
          <w:sz w:val="20"/>
          <w:szCs w:val="20"/>
          <w:lang w:val="es-CR"/>
        </w:rPr>
        <w:footnoteReference w:id="42"/>
      </w:r>
      <w:r w:rsidRPr="00514681">
        <w:rPr>
          <w:rFonts w:cs="TimesNewRoman"/>
          <w:sz w:val="20"/>
          <w:szCs w:val="20"/>
          <w:lang w:val="es-CR"/>
        </w:rPr>
        <w:t xml:space="preserve">. </w:t>
      </w:r>
    </w:p>
    <w:p w:rsidR="00AB52EB" w:rsidRPr="00514681" w:rsidRDefault="00AB52EB" w:rsidP="00AD13AB">
      <w:pPr>
        <w:pStyle w:val="ColorfulList-Accent12"/>
        <w:tabs>
          <w:tab w:val="left" w:pos="567"/>
          <w:tab w:val="left" w:pos="8789"/>
        </w:tabs>
        <w:autoSpaceDE w:val="0"/>
        <w:autoSpaceDN w:val="0"/>
        <w:adjustRightInd w:val="0"/>
        <w:ind w:left="0"/>
        <w:jc w:val="both"/>
        <w:rPr>
          <w:sz w:val="20"/>
          <w:szCs w:val="20"/>
          <w:lang w:val="es-CR"/>
        </w:rPr>
      </w:pPr>
    </w:p>
    <w:p w:rsidR="00AB52EB" w:rsidRPr="00514681" w:rsidRDefault="00AB52EB" w:rsidP="00AD13AB">
      <w:pPr>
        <w:pStyle w:val="ColorfulList-Accent12"/>
        <w:numPr>
          <w:ilvl w:val="0"/>
          <w:numId w:val="23"/>
        </w:numPr>
        <w:tabs>
          <w:tab w:val="left" w:pos="567"/>
          <w:tab w:val="left" w:pos="8789"/>
        </w:tabs>
        <w:autoSpaceDE w:val="0"/>
        <w:autoSpaceDN w:val="0"/>
        <w:adjustRightInd w:val="0"/>
        <w:ind w:left="0"/>
        <w:jc w:val="both"/>
        <w:rPr>
          <w:sz w:val="20"/>
          <w:szCs w:val="20"/>
          <w:lang w:val="es-CR"/>
        </w:rPr>
      </w:pPr>
      <w:r w:rsidRPr="00514681">
        <w:rPr>
          <w:rFonts w:cs="Verdana"/>
          <w:sz w:val="20"/>
          <w:szCs w:val="20"/>
          <w:lang w:val="es-CR" w:bidi="en-US"/>
        </w:rPr>
        <w:t xml:space="preserve">Finalmente, la Asamblea General de la Organización de Estados Americanos (OEA) ha “reconoc[ido] </w:t>
      </w:r>
      <w:r w:rsidRPr="00514681">
        <w:rPr>
          <w:sz w:val="20"/>
          <w:szCs w:val="20"/>
          <w:lang w:val="es-ES"/>
        </w:rPr>
        <w:t>la importancia de respetar y garantizar el derecho a la verdad para contribuir a acabar con la impunidad y promover y proteger los derechos humano</w:t>
      </w:r>
      <w:r w:rsidR="00E766B1" w:rsidRPr="00514681">
        <w:rPr>
          <w:sz w:val="20"/>
          <w:szCs w:val="20"/>
          <w:lang w:val="es-ES"/>
        </w:rPr>
        <w:t>[s]</w:t>
      </w:r>
      <w:r w:rsidRPr="00514681">
        <w:rPr>
          <w:sz w:val="20"/>
          <w:szCs w:val="20"/>
          <w:lang w:val="es-ES"/>
        </w:rPr>
        <w:t>”, a través de múltiples resoluciones adoptadas desde 2006 hasta la actualidad específicamente sobre el derecho a la verdad</w:t>
      </w:r>
      <w:r w:rsidRPr="00514681">
        <w:rPr>
          <w:rStyle w:val="FootnoteReference"/>
          <w:sz w:val="20"/>
          <w:szCs w:val="20"/>
          <w:lang w:val="es-ES"/>
        </w:rPr>
        <w:footnoteReference w:id="43"/>
      </w:r>
      <w:r w:rsidRPr="00514681">
        <w:rPr>
          <w:sz w:val="20"/>
          <w:szCs w:val="20"/>
          <w:lang w:val="es-CR"/>
        </w:rPr>
        <w:t xml:space="preserve">. </w:t>
      </w:r>
    </w:p>
    <w:p w:rsidR="00AB52EB" w:rsidRPr="00514681" w:rsidRDefault="00AB52EB" w:rsidP="00AD13AB">
      <w:pPr>
        <w:pStyle w:val="ColorfulList-Accent12"/>
        <w:tabs>
          <w:tab w:val="left" w:pos="567"/>
          <w:tab w:val="left" w:pos="8789"/>
        </w:tabs>
        <w:autoSpaceDE w:val="0"/>
        <w:autoSpaceDN w:val="0"/>
        <w:adjustRightInd w:val="0"/>
        <w:ind w:left="0"/>
        <w:jc w:val="both"/>
        <w:rPr>
          <w:sz w:val="20"/>
          <w:szCs w:val="20"/>
          <w:lang w:val="es-CR"/>
        </w:rPr>
      </w:pPr>
    </w:p>
    <w:p w:rsidR="00AB52EB" w:rsidRPr="00514681" w:rsidRDefault="00560F23" w:rsidP="00AD13AB">
      <w:pPr>
        <w:pStyle w:val="ColorfulList-Accent12"/>
        <w:numPr>
          <w:ilvl w:val="0"/>
          <w:numId w:val="23"/>
        </w:numPr>
        <w:tabs>
          <w:tab w:val="left" w:pos="567"/>
          <w:tab w:val="left" w:pos="8789"/>
        </w:tabs>
        <w:autoSpaceDE w:val="0"/>
        <w:autoSpaceDN w:val="0"/>
        <w:adjustRightInd w:val="0"/>
        <w:spacing w:after="200"/>
        <w:ind w:left="0"/>
        <w:jc w:val="both"/>
        <w:rPr>
          <w:rFonts w:cs="TimesNewRoman"/>
          <w:lang w:val="es-CR"/>
        </w:rPr>
      </w:pPr>
      <w:r w:rsidRPr="00514681">
        <w:rPr>
          <w:sz w:val="20"/>
          <w:szCs w:val="20"/>
          <w:lang w:val="es-CR"/>
        </w:rPr>
        <w:t>Por otra parte, de manera particular</w:t>
      </w:r>
      <w:r w:rsidR="00AB52EB" w:rsidRPr="00514681">
        <w:rPr>
          <w:sz w:val="20"/>
          <w:szCs w:val="20"/>
          <w:lang w:val="es-CR"/>
        </w:rPr>
        <w:t xml:space="preserve"> en relación con las desapariciones forzadas, la Convención Internacional para la Protección de Todas las Personas contra las Desapariciones Forz</w:t>
      </w:r>
      <w:r w:rsidRPr="00514681">
        <w:rPr>
          <w:sz w:val="20"/>
          <w:szCs w:val="20"/>
          <w:lang w:val="es-CR"/>
        </w:rPr>
        <w:t>adas reconoce de manera expresa</w:t>
      </w:r>
      <w:r w:rsidR="00AB52EB" w:rsidRPr="00514681">
        <w:rPr>
          <w:sz w:val="20"/>
          <w:szCs w:val="20"/>
          <w:lang w:val="es-CR"/>
        </w:rPr>
        <w:t xml:space="preserve"> </w:t>
      </w:r>
      <w:r w:rsidR="00AB52EB" w:rsidRPr="00514681">
        <w:rPr>
          <w:sz w:val="19"/>
          <w:szCs w:val="19"/>
          <w:shd w:val="clear" w:color="auto" w:fill="FFFFFF"/>
          <w:lang w:val="es-CR"/>
        </w:rPr>
        <w:t>“</w:t>
      </w:r>
      <w:r w:rsidR="00AB52EB" w:rsidRPr="00514681">
        <w:rPr>
          <w:sz w:val="20"/>
          <w:szCs w:val="20"/>
          <w:shd w:val="clear" w:color="auto" w:fill="FFFFFF"/>
          <w:lang w:val="es-CR"/>
        </w:rPr>
        <w:t xml:space="preserve">el derecho de conocer la verdad sobre las circunstancias de la desaparición forzada, la evolución y resultados de la </w:t>
      </w:r>
      <w:r w:rsidR="00AB52EB" w:rsidRPr="00514681">
        <w:rPr>
          <w:sz w:val="20"/>
          <w:szCs w:val="20"/>
          <w:shd w:val="clear" w:color="auto" w:fill="FFFFFF"/>
          <w:lang w:val="es-CR"/>
        </w:rPr>
        <w:lastRenderedPageBreak/>
        <w:t>investigación y la suerte de la persona desaparecida”</w:t>
      </w:r>
      <w:r w:rsidR="00AB52EB" w:rsidRPr="00514681">
        <w:rPr>
          <w:rStyle w:val="FootnoteReference"/>
          <w:rFonts w:cs="TimesNewRoman"/>
          <w:sz w:val="20"/>
          <w:szCs w:val="20"/>
          <w:lang w:val="es-CR"/>
        </w:rPr>
        <w:footnoteReference w:id="44"/>
      </w:r>
      <w:r w:rsidR="00AB52EB" w:rsidRPr="00514681">
        <w:rPr>
          <w:rFonts w:cs="TimesNewRoman"/>
          <w:sz w:val="20"/>
          <w:szCs w:val="20"/>
          <w:lang w:val="es-CR"/>
        </w:rPr>
        <w:t xml:space="preserve">. Asimismo, </w:t>
      </w:r>
      <w:r w:rsidR="00AB52EB" w:rsidRPr="00514681">
        <w:rPr>
          <w:sz w:val="20"/>
          <w:szCs w:val="20"/>
          <w:lang w:val="es-CR"/>
        </w:rPr>
        <w:t>el Conjunto de principios para la protección y la promoción de los derechos humanos mediante la lucha contra la impunidad</w:t>
      </w:r>
      <w:r w:rsidR="00AB52EB" w:rsidRPr="00514681">
        <w:rPr>
          <w:rFonts w:cs="TimesNewRoman"/>
          <w:sz w:val="20"/>
          <w:szCs w:val="20"/>
          <w:lang w:val="es-CR"/>
        </w:rPr>
        <w:t xml:space="preserve"> desarrollan y reconocen “el derecho inalienable a conocer la verdad”, tanto en relación con las víctimas y sus familiares como de la sociedad. En dichos principios, se establece expresamente que “[i]ndependientemente de las acciones que puedan entablar ante la justicia, las víctimas y sus familias tienen el derecho imprescriptible a conocer la verdad acerca de las circunstancias en que se cometieron las violaciones y, en caso de fallecimiento o desaparición, acerca de la suerte que corrió la víctima”</w:t>
      </w:r>
      <w:r w:rsidR="00AB52EB" w:rsidRPr="00514681">
        <w:rPr>
          <w:rStyle w:val="FootnoteReference"/>
          <w:rFonts w:cs="TimesNewRoman"/>
          <w:sz w:val="20"/>
          <w:szCs w:val="20"/>
          <w:lang w:val="es-CR"/>
        </w:rPr>
        <w:footnoteReference w:id="45"/>
      </w:r>
      <w:r w:rsidR="00AB52EB" w:rsidRPr="00514681">
        <w:rPr>
          <w:rFonts w:cs="TimesNewRoman"/>
          <w:sz w:val="20"/>
          <w:szCs w:val="20"/>
          <w:lang w:val="es-CR"/>
        </w:rPr>
        <w:t>.</w:t>
      </w:r>
    </w:p>
    <w:p w:rsidR="00AB52EB" w:rsidRPr="00514681" w:rsidRDefault="00AB52EB" w:rsidP="00AD13AB">
      <w:pPr>
        <w:pStyle w:val="ColorfulList-Accent12"/>
        <w:tabs>
          <w:tab w:val="left" w:pos="567"/>
          <w:tab w:val="left" w:pos="8789"/>
        </w:tabs>
        <w:autoSpaceDE w:val="0"/>
        <w:autoSpaceDN w:val="0"/>
        <w:adjustRightInd w:val="0"/>
        <w:ind w:left="0"/>
        <w:jc w:val="both"/>
        <w:rPr>
          <w:rFonts w:cs="TimesNewRoman"/>
          <w:lang w:val="es-CR"/>
        </w:rPr>
      </w:pPr>
    </w:p>
    <w:p w:rsidR="00F03C3E" w:rsidRPr="00514681" w:rsidRDefault="00AB52EB" w:rsidP="00AD13AB">
      <w:pPr>
        <w:numPr>
          <w:ilvl w:val="0"/>
          <w:numId w:val="23"/>
        </w:numPr>
        <w:tabs>
          <w:tab w:val="clear" w:pos="11170"/>
          <w:tab w:val="left" w:pos="567"/>
          <w:tab w:val="left" w:pos="8789"/>
          <w:tab w:val="left" w:pos="9027"/>
          <w:tab w:val="num" w:pos="11028"/>
        </w:tabs>
        <w:autoSpaceDE w:val="0"/>
        <w:autoSpaceDN w:val="0"/>
        <w:adjustRightInd w:val="0"/>
        <w:ind w:right="-45"/>
        <w:contextualSpacing/>
        <w:jc w:val="both"/>
        <w:rPr>
          <w:sz w:val="20"/>
          <w:szCs w:val="20"/>
          <w:lang w:val="es-CR"/>
        </w:rPr>
      </w:pPr>
      <w:bookmarkStart w:id="6" w:name="_Ref405287257"/>
      <w:r w:rsidRPr="00514681">
        <w:rPr>
          <w:rFonts w:cs="TimesNewRoman"/>
          <w:sz w:val="20"/>
          <w:szCs w:val="20"/>
          <w:lang w:val="es-CR"/>
        </w:rPr>
        <w:t>Adicionalmente, el derecho a la verdad ha sido reconocido por los derechos internos y tribunales constitucio</w:t>
      </w:r>
      <w:r w:rsidR="002153EC" w:rsidRPr="00514681">
        <w:rPr>
          <w:rFonts w:cs="TimesNewRoman"/>
          <w:sz w:val="20"/>
          <w:szCs w:val="20"/>
          <w:lang w:val="es-CR"/>
        </w:rPr>
        <w:t>nales y</w:t>
      </w:r>
      <w:r w:rsidRPr="00514681">
        <w:rPr>
          <w:rFonts w:cs="TimesNewRoman"/>
          <w:sz w:val="20"/>
          <w:szCs w:val="20"/>
          <w:lang w:val="es-CR"/>
        </w:rPr>
        <w:t xml:space="preserve"> órganos jurisdiccionales de distintos Estados parte de la Convención</w:t>
      </w:r>
      <w:r w:rsidR="00C24FB2" w:rsidRPr="00514681">
        <w:rPr>
          <w:rStyle w:val="FootnoteReference"/>
          <w:rFonts w:cs="TimesNewRoman"/>
          <w:szCs w:val="20"/>
          <w:lang w:val="es-CR"/>
        </w:rPr>
        <w:footnoteReference w:id="46"/>
      </w:r>
      <w:r w:rsidRPr="00514681">
        <w:rPr>
          <w:rFonts w:cs="TimesNewRoman"/>
          <w:sz w:val="20"/>
          <w:szCs w:val="20"/>
          <w:lang w:val="es-CR"/>
        </w:rPr>
        <w:t>. De particular relevancia para este caso resulta que, la Corte Constitucional de Colombia</w:t>
      </w:r>
      <w:r w:rsidRPr="00514681">
        <w:rPr>
          <w:rFonts w:cs="TimesNewRoman"/>
          <w:b/>
          <w:sz w:val="20"/>
          <w:szCs w:val="20"/>
          <w:lang w:val="es-CR"/>
        </w:rPr>
        <w:t xml:space="preserve"> </w:t>
      </w:r>
      <w:r w:rsidRPr="00514681">
        <w:rPr>
          <w:rFonts w:cs="TimesNewRoman"/>
          <w:sz w:val="20"/>
          <w:szCs w:val="20"/>
          <w:lang w:val="es-CR"/>
        </w:rPr>
        <w:t xml:space="preserve">ha indicado, al menos desde 2002, que en casos de </w:t>
      </w:r>
      <w:r w:rsidRPr="00514681">
        <w:rPr>
          <w:rFonts w:cs="TimesNewRoman"/>
          <w:sz w:val="20"/>
          <w:szCs w:val="20"/>
          <w:lang w:val="es-CR"/>
        </w:rPr>
        <w:lastRenderedPageBreak/>
        <w:t>desaparición forzada “</w:t>
      </w:r>
      <w:r w:rsidRPr="00514681">
        <w:rPr>
          <w:rFonts w:eastAsia="Calibri"/>
          <w:iCs/>
          <w:color w:val="000000"/>
          <w:sz w:val="20"/>
          <w:szCs w:val="20"/>
          <w:shd w:val="clear" w:color="auto" w:fill="FFFFFF"/>
          <w:lang w:val="es-CO"/>
        </w:rPr>
        <w:t>exist[e …] un interés en conocer la verdad y establecer las responsabilidades individuales”</w:t>
      </w:r>
      <w:r w:rsidR="00C24FB2" w:rsidRPr="00514681">
        <w:rPr>
          <w:rStyle w:val="FootnoteReference"/>
          <w:rFonts w:eastAsia="Calibri"/>
          <w:iCs/>
          <w:color w:val="000000"/>
          <w:szCs w:val="20"/>
          <w:shd w:val="clear" w:color="auto" w:fill="FFFFFF"/>
          <w:lang w:val="es-CO"/>
        </w:rPr>
        <w:footnoteReference w:id="47"/>
      </w:r>
      <w:bookmarkEnd w:id="6"/>
      <w:r w:rsidR="00F03C3E" w:rsidRPr="00514681">
        <w:rPr>
          <w:rFonts w:eastAsia="Calibri"/>
          <w:iCs/>
          <w:color w:val="000000"/>
          <w:sz w:val="20"/>
          <w:szCs w:val="20"/>
          <w:shd w:val="clear" w:color="auto" w:fill="FFFFFF"/>
          <w:lang w:val="es-CO"/>
        </w:rPr>
        <w:t xml:space="preserve">, y que </w:t>
      </w:r>
      <w:r w:rsidR="00F03C3E" w:rsidRPr="00514681">
        <w:rPr>
          <w:sz w:val="20"/>
          <w:szCs w:val="20"/>
          <w:lang w:val="es-CR"/>
        </w:rPr>
        <w:t>el derecho a la verdad en el delito de desaparición forzada implica el derecho a conocer el destino final de la persona desaparecida</w:t>
      </w:r>
      <w:r w:rsidR="00F03C3E" w:rsidRPr="00514681">
        <w:rPr>
          <w:rStyle w:val="FootnoteReference"/>
          <w:szCs w:val="20"/>
          <w:lang w:val="es-CR"/>
        </w:rPr>
        <w:footnoteReference w:id="48"/>
      </w:r>
      <w:r w:rsidR="00F03C3E" w:rsidRPr="00514681">
        <w:rPr>
          <w:sz w:val="20"/>
          <w:szCs w:val="20"/>
          <w:lang w:val="es-CR"/>
        </w:rPr>
        <w:t xml:space="preserve">. </w:t>
      </w:r>
    </w:p>
    <w:p w:rsidR="00AB52EB" w:rsidRPr="00514681" w:rsidRDefault="00AB52EB" w:rsidP="00AD13AB">
      <w:pPr>
        <w:pStyle w:val="ColorfulList-Accent12"/>
        <w:tabs>
          <w:tab w:val="left" w:pos="567"/>
          <w:tab w:val="left" w:pos="8789"/>
          <w:tab w:val="left" w:pos="9027"/>
        </w:tabs>
        <w:autoSpaceDE w:val="0"/>
        <w:autoSpaceDN w:val="0"/>
        <w:adjustRightInd w:val="0"/>
        <w:ind w:left="0" w:right="-45"/>
        <w:jc w:val="both"/>
        <w:rPr>
          <w:rFonts w:eastAsia="Calibri"/>
          <w:iCs/>
          <w:color w:val="000000"/>
          <w:sz w:val="18"/>
          <w:szCs w:val="18"/>
          <w:shd w:val="clear" w:color="auto" w:fill="FFFFFF"/>
          <w:lang w:val="es-CR"/>
        </w:rPr>
      </w:pPr>
    </w:p>
    <w:p w:rsidR="00AB52EB" w:rsidRPr="00514681" w:rsidRDefault="00AB52EB" w:rsidP="00AD13AB">
      <w:pPr>
        <w:tabs>
          <w:tab w:val="left" w:pos="1134"/>
          <w:tab w:val="left" w:pos="8789"/>
        </w:tabs>
        <w:ind w:left="567" w:right="571"/>
        <w:jc w:val="both"/>
        <w:rPr>
          <w:rFonts w:eastAsia="Calibri"/>
          <w:iCs/>
          <w:color w:val="000000"/>
          <w:sz w:val="18"/>
          <w:szCs w:val="18"/>
          <w:shd w:val="clear" w:color="auto" w:fill="FFFFFF"/>
          <w:lang w:val="es-CR"/>
        </w:rPr>
      </w:pPr>
    </w:p>
    <w:p w:rsidR="00AB52EB" w:rsidRPr="00514681" w:rsidRDefault="00AB52EB" w:rsidP="00AD13AB">
      <w:pPr>
        <w:pStyle w:val="ColorfulList-Accent11"/>
        <w:tabs>
          <w:tab w:val="left" w:pos="567"/>
          <w:tab w:val="left" w:pos="8789"/>
        </w:tabs>
        <w:ind w:left="0" w:right="96"/>
        <w:jc w:val="center"/>
        <w:rPr>
          <w:b/>
          <w:szCs w:val="20"/>
        </w:rPr>
      </w:pPr>
      <w:r w:rsidRPr="00514681">
        <w:rPr>
          <w:b/>
          <w:szCs w:val="20"/>
        </w:rPr>
        <w:t>III. Conclusión</w:t>
      </w:r>
    </w:p>
    <w:p w:rsidR="00AB52EB" w:rsidRPr="00514681" w:rsidRDefault="00AB52EB" w:rsidP="00AD13AB">
      <w:pPr>
        <w:pStyle w:val="ColorfulList-Accent11"/>
        <w:tabs>
          <w:tab w:val="left" w:pos="567"/>
          <w:tab w:val="left" w:pos="8789"/>
        </w:tabs>
        <w:ind w:left="0" w:right="96"/>
        <w:rPr>
          <w:b/>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De</w:t>
      </w:r>
      <w:r w:rsidR="00C6664B" w:rsidRPr="00514681">
        <w:rPr>
          <w:szCs w:val="20"/>
        </w:rPr>
        <w:t>l avance jurisprudencial</w:t>
      </w:r>
      <w:r w:rsidRPr="00514681">
        <w:rPr>
          <w:szCs w:val="20"/>
        </w:rPr>
        <w:t xml:space="preserve"> de este Tribunal Interamericano y del desarrollo de los órganos e instrumentos internacionales y ordenamientos jurídicos internos, se desprende con claridad que el d</w:t>
      </w:r>
      <w:r w:rsidR="00F95585" w:rsidRPr="00514681">
        <w:rPr>
          <w:szCs w:val="20"/>
        </w:rPr>
        <w:t>erecho a la verdad</w:t>
      </w:r>
      <w:r w:rsidRPr="00514681">
        <w:rPr>
          <w:szCs w:val="20"/>
        </w:rPr>
        <w:t xml:space="preserve"> actualmente es reconocido como un derecho autónomo e independiente. Si bien el referido derecho no se encuentra contenido de forma expresa en la Convención Americana, ello no impide que la Corte Interamericana </w:t>
      </w:r>
      <w:r w:rsidR="00AE25EA" w:rsidRPr="00514681">
        <w:rPr>
          <w:szCs w:val="20"/>
        </w:rPr>
        <w:t>pueda examinar</w:t>
      </w:r>
      <w:r w:rsidRPr="00514681">
        <w:rPr>
          <w:szCs w:val="20"/>
        </w:rPr>
        <w:t xml:space="preserve"> una </w:t>
      </w:r>
      <w:r w:rsidR="00B26496" w:rsidRPr="00514681">
        <w:rPr>
          <w:szCs w:val="20"/>
        </w:rPr>
        <w:t xml:space="preserve">alegada </w:t>
      </w:r>
      <w:r w:rsidRPr="00514681">
        <w:rPr>
          <w:szCs w:val="20"/>
        </w:rPr>
        <w:t>violación al respecto</w:t>
      </w:r>
      <w:r w:rsidR="00B26496" w:rsidRPr="00514681">
        <w:rPr>
          <w:szCs w:val="20"/>
        </w:rPr>
        <w:t xml:space="preserve"> y declarar</w:t>
      </w:r>
      <w:r w:rsidR="00AE25EA" w:rsidRPr="00514681">
        <w:rPr>
          <w:szCs w:val="20"/>
        </w:rPr>
        <w:t xml:space="preserve"> su violación</w:t>
      </w:r>
      <w:r w:rsidRPr="00514681">
        <w:rPr>
          <w:szCs w:val="20"/>
        </w:rPr>
        <w:t xml:space="preserve">. </w:t>
      </w:r>
      <w:r w:rsidR="00B7367F" w:rsidRPr="00514681">
        <w:rPr>
          <w:szCs w:val="20"/>
        </w:rPr>
        <w:t xml:space="preserve">De </w:t>
      </w:r>
      <w:r w:rsidRPr="00514681">
        <w:rPr>
          <w:szCs w:val="20"/>
        </w:rPr>
        <w:t>conformidad con el artículo 29.c</w:t>
      </w:r>
      <w:r w:rsidR="00B26496" w:rsidRPr="00514681">
        <w:rPr>
          <w:szCs w:val="20"/>
        </w:rPr>
        <w:t xml:space="preserve"> del Pacto de San José</w:t>
      </w:r>
      <w:r w:rsidRPr="00514681">
        <w:rPr>
          <w:szCs w:val="20"/>
        </w:rPr>
        <w:t xml:space="preserve">, </w:t>
      </w:r>
      <w:r w:rsidRPr="00514681">
        <w:rPr>
          <w:szCs w:val="20"/>
          <w:lang w:val="es-CR"/>
        </w:rPr>
        <w:t>ninguna disposición de la Convención debe ser interpretada en el sentido de “excluir otros derechos y garantías que son inherentes al ser humano o que se derivan de la forma democrática representativa de gobierno”</w:t>
      </w:r>
      <w:r w:rsidRPr="00514681">
        <w:rPr>
          <w:rStyle w:val="FootnoteReference"/>
          <w:sz w:val="20"/>
          <w:szCs w:val="20"/>
          <w:lang w:val="es-CR"/>
        </w:rPr>
        <w:footnoteReference w:id="49"/>
      </w:r>
      <w:r w:rsidRPr="00514681">
        <w:rPr>
          <w:szCs w:val="20"/>
          <w:lang w:val="es-CR"/>
        </w:rPr>
        <w:t>. Al respecto, se resalta que conforme fue expuesto en el párrafo anterior, el derecho a la verdad ha sido reconocido en el derecho colombiano</w:t>
      </w:r>
      <w:r w:rsidR="00296BC2" w:rsidRPr="00514681">
        <w:rPr>
          <w:szCs w:val="20"/>
          <w:lang w:val="es-CR"/>
        </w:rPr>
        <w:t xml:space="preserve"> y es considerado parte del </w:t>
      </w:r>
      <w:r w:rsidR="00296BC2" w:rsidRPr="00514681">
        <w:rPr>
          <w:i/>
          <w:szCs w:val="20"/>
          <w:lang w:val="es-CR"/>
        </w:rPr>
        <w:t>derecho a la reparación, a la verdad y a la justicia</w:t>
      </w:r>
      <w:r w:rsidRPr="00514681">
        <w:rPr>
          <w:szCs w:val="20"/>
          <w:lang w:val="es-CR"/>
        </w:rPr>
        <w:t>, como corolario necesario para lograr la paz (</w:t>
      </w:r>
      <w:r w:rsidRPr="00514681">
        <w:rPr>
          <w:i/>
          <w:szCs w:val="20"/>
          <w:lang w:val="es-CR"/>
        </w:rPr>
        <w:t>supra</w:t>
      </w:r>
      <w:r w:rsidRPr="00514681">
        <w:rPr>
          <w:szCs w:val="20"/>
          <w:lang w:val="es-CR"/>
        </w:rPr>
        <w:t xml:space="preserve"> párr. </w:t>
      </w:r>
      <w:r w:rsidRPr="00514681">
        <w:rPr>
          <w:rFonts w:eastAsia="Calibri"/>
          <w:iCs/>
          <w:color w:val="000000"/>
          <w:szCs w:val="20"/>
          <w:shd w:val="clear" w:color="auto" w:fill="FFFFFF"/>
          <w:lang w:val="es-CR"/>
        </w:rPr>
        <w:t>22)</w:t>
      </w:r>
      <w:r w:rsidRPr="00514681">
        <w:rPr>
          <w:szCs w:val="20"/>
          <w:lang w:val="es-CR"/>
        </w:rPr>
        <w:t xml:space="preserve">. </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lang w:val="es-CR"/>
        </w:rPr>
        <w:t xml:space="preserve">Sin perjuicio de lo anterior, </w:t>
      </w:r>
      <w:r w:rsidR="00F95585" w:rsidRPr="00514681">
        <w:rPr>
          <w:szCs w:val="20"/>
        </w:rPr>
        <w:t>quien suscribe el presente voto</w:t>
      </w:r>
      <w:r w:rsidRPr="00514681">
        <w:rPr>
          <w:szCs w:val="20"/>
        </w:rPr>
        <w:t xml:space="preserve"> considera que el derecho a la verdad </w:t>
      </w:r>
      <w:r w:rsidR="00C6664B" w:rsidRPr="00514681">
        <w:rPr>
          <w:szCs w:val="20"/>
        </w:rPr>
        <w:t xml:space="preserve">si bien </w:t>
      </w:r>
      <w:r w:rsidRPr="00514681">
        <w:rPr>
          <w:szCs w:val="20"/>
        </w:rPr>
        <w:t>está relacionado principalmente con el d</w:t>
      </w:r>
      <w:r w:rsidR="00C6664B" w:rsidRPr="00514681">
        <w:rPr>
          <w:szCs w:val="20"/>
        </w:rPr>
        <w:t>erecho de acceso a la justicia —</w:t>
      </w:r>
      <w:r w:rsidRPr="00514681">
        <w:rPr>
          <w:szCs w:val="20"/>
        </w:rPr>
        <w:t>derivado de los ar</w:t>
      </w:r>
      <w:r w:rsidR="00C6664B" w:rsidRPr="00514681">
        <w:rPr>
          <w:szCs w:val="20"/>
        </w:rPr>
        <w:t xml:space="preserve">tículos 8 y 25 de la Convención—, no debe </w:t>
      </w:r>
      <w:r w:rsidR="000D1ACB" w:rsidRPr="00514681">
        <w:rPr>
          <w:szCs w:val="20"/>
        </w:rPr>
        <w:t xml:space="preserve">necesariamente </w:t>
      </w:r>
      <w:r w:rsidR="00C6664B" w:rsidRPr="00514681">
        <w:rPr>
          <w:szCs w:val="20"/>
        </w:rPr>
        <w:t>quedar subsumido</w:t>
      </w:r>
      <w:r w:rsidRPr="00514681">
        <w:rPr>
          <w:szCs w:val="20"/>
        </w:rPr>
        <w:t xml:space="preserve"> </w:t>
      </w:r>
      <w:r w:rsidR="00C6664B" w:rsidRPr="00514681">
        <w:rPr>
          <w:szCs w:val="20"/>
        </w:rPr>
        <w:t xml:space="preserve">en </w:t>
      </w:r>
      <w:r w:rsidRPr="00514681">
        <w:rPr>
          <w:szCs w:val="20"/>
        </w:rPr>
        <w:t xml:space="preserve">el examen </w:t>
      </w:r>
      <w:r w:rsidR="00C6664B" w:rsidRPr="00514681">
        <w:rPr>
          <w:szCs w:val="20"/>
        </w:rPr>
        <w:t>realizado</w:t>
      </w:r>
      <w:r w:rsidRPr="00514681">
        <w:rPr>
          <w:szCs w:val="20"/>
        </w:rPr>
        <w:t xml:space="preserve"> en las demás violaciones a </w:t>
      </w:r>
      <w:r w:rsidRPr="00514681">
        <w:rPr>
          <w:szCs w:val="20"/>
        </w:rPr>
        <w:lastRenderedPageBreak/>
        <w:t xml:space="preserve">los derechos a las garantías judiciales y protección judicial que fueron </w:t>
      </w:r>
      <w:r w:rsidR="00407877" w:rsidRPr="00514681">
        <w:rPr>
          <w:szCs w:val="20"/>
        </w:rPr>
        <w:t xml:space="preserve">declaradas </w:t>
      </w:r>
      <w:r w:rsidRPr="00514681">
        <w:rPr>
          <w:szCs w:val="20"/>
        </w:rPr>
        <w:t>en el presente cas</w:t>
      </w:r>
      <w:r w:rsidR="003B3B68" w:rsidRPr="00514681">
        <w:rPr>
          <w:szCs w:val="20"/>
        </w:rPr>
        <w:t>o</w:t>
      </w:r>
      <w:r w:rsidRPr="00514681">
        <w:rPr>
          <w:rStyle w:val="FootnoteReference"/>
          <w:sz w:val="20"/>
          <w:szCs w:val="20"/>
        </w:rPr>
        <w:footnoteReference w:id="50"/>
      </w:r>
      <w:r w:rsidR="003B3B68" w:rsidRPr="00514681">
        <w:rPr>
          <w:szCs w:val="20"/>
        </w:rPr>
        <w:t xml:space="preserve">, </w:t>
      </w:r>
      <w:r w:rsidR="000D1ACB" w:rsidRPr="00514681">
        <w:rPr>
          <w:szCs w:val="20"/>
        </w:rPr>
        <w:t xml:space="preserve">ya que </w:t>
      </w:r>
      <w:r w:rsidR="00B7367F" w:rsidRPr="00514681">
        <w:rPr>
          <w:szCs w:val="20"/>
        </w:rPr>
        <w:t xml:space="preserve">este entendimiento </w:t>
      </w:r>
      <w:r w:rsidR="000D1ACB" w:rsidRPr="00514681">
        <w:rPr>
          <w:szCs w:val="20"/>
        </w:rPr>
        <w:t>propicia la desnaturalización,</w:t>
      </w:r>
      <w:r w:rsidR="003B3B68" w:rsidRPr="00514681">
        <w:rPr>
          <w:szCs w:val="20"/>
        </w:rPr>
        <w:t xml:space="preserve"> esencia y contenido propio de cada derecho</w:t>
      </w:r>
      <w:r w:rsidR="003B3B68" w:rsidRPr="00514681">
        <w:rPr>
          <w:rStyle w:val="FootnoteReference"/>
          <w:szCs w:val="20"/>
        </w:rPr>
        <w:footnoteReference w:id="51"/>
      </w:r>
      <w:r w:rsidR="003B3B68" w:rsidRPr="00514681">
        <w:rPr>
          <w:szCs w:val="20"/>
        </w:rPr>
        <w:t>.</w:t>
      </w:r>
      <w:r w:rsidRPr="00514681">
        <w:rPr>
          <w:szCs w:val="20"/>
        </w:rPr>
        <w:t xml:space="preserve"> </w:t>
      </w:r>
      <w:r w:rsidRPr="00514681">
        <w:rPr>
          <w:szCs w:val="20"/>
          <w:lang w:val="es-ES"/>
        </w:rPr>
        <w:t xml:space="preserve">Además, aun cuando </w:t>
      </w:r>
      <w:r w:rsidRPr="00514681">
        <w:rPr>
          <w:szCs w:val="20"/>
          <w:lang w:val="es-CR"/>
        </w:rPr>
        <w:t xml:space="preserve">el derecho a la verdad se enmarca </w:t>
      </w:r>
      <w:r w:rsidRPr="00514681">
        <w:rPr>
          <w:szCs w:val="20"/>
        </w:rPr>
        <w:t>fundamentalmente</w:t>
      </w:r>
      <w:r w:rsidRPr="00514681">
        <w:rPr>
          <w:szCs w:val="20"/>
          <w:lang w:val="es-CR"/>
        </w:rPr>
        <w:t xml:space="preserve"> en el derecho de acceso a la justicia</w:t>
      </w:r>
      <w:r w:rsidRPr="00514681">
        <w:rPr>
          <w:szCs w:val="20"/>
          <w:vertAlign w:val="superscript"/>
          <w:lang w:val="es-CR"/>
        </w:rPr>
        <w:footnoteReference w:id="52"/>
      </w:r>
      <w:r w:rsidRPr="00514681">
        <w:rPr>
          <w:szCs w:val="20"/>
          <w:lang w:val="es-CR"/>
        </w:rPr>
        <w:t xml:space="preserve">, </w:t>
      </w:r>
      <w:r w:rsidRPr="00514681">
        <w:rPr>
          <w:szCs w:val="20"/>
        </w:rPr>
        <w:t xml:space="preserve">dependiendo del contexto y circunstancias particulares del caso, el derecho a la verdad </w:t>
      </w:r>
      <w:r w:rsidR="003B3B68" w:rsidRPr="00514681">
        <w:rPr>
          <w:szCs w:val="20"/>
        </w:rPr>
        <w:t>puede afectar</w:t>
      </w:r>
      <w:r w:rsidRPr="00514681">
        <w:rPr>
          <w:szCs w:val="20"/>
        </w:rPr>
        <w:t xml:space="preserve"> distintos derechos consagrados en la Convención Americana</w:t>
      </w:r>
      <w:r w:rsidRPr="00514681">
        <w:rPr>
          <w:szCs w:val="20"/>
          <w:vertAlign w:val="superscript"/>
        </w:rPr>
        <w:footnoteReference w:id="53"/>
      </w:r>
      <w:r w:rsidRPr="00514681">
        <w:rPr>
          <w:szCs w:val="20"/>
        </w:rPr>
        <w:t xml:space="preserve">, como lo reconoció la Corte en el caso </w:t>
      </w:r>
      <w:r w:rsidRPr="00514681">
        <w:rPr>
          <w:i/>
          <w:szCs w:val="20"/>
        </w:rPr>
        <w:t>Gomes Lund</w:t>
      </w:r>
      <w:r w:rsidRPr="00514681">
        <w:rPr>
          <w:szCs w:val="20"/>
        </w:rPr>
        <w:t xml:space="preserve"> </w:t>
      </w:r>
      <w:r w:rsidRPr="00514681">
        <w:rPr>
          <w:i/>
          <w:szCs w:val="20"/>
        </w:rPr>
        <w:t>y otros</w:t>
      </w:r>
      <w:r w:rsidR="00E766B1" w:rsidRPr="00514681">
        <w:rPr>
          <w:i/>
          <w:szCs w:val="20"/>
        </w:rPr>
        <w:t xml:space="preserve"> (Guerrilla de Araguaia) vs. Brasil</w:t>
      </w:r>
      <w:r w:rsidRPr="00514681">
        <w:rPr>
          <w:szCs w:val="20"/>
        </w:rPr>
        <w:t xml:space="preserve"> respecto del derecho de acceso a la información (artículo 13 de la Convención) y en el caso </w:t>
      </w:r>
      <w:r w:rsidRPr="00514681">
        <w:rPr>
          <w:i/>
          <w:szCs w:val="20"/>
        </w:rPr>
        <w:t>Gudiel Álvarez y otros</w:t>
      </w:r>
      <w:r w:rsidR="00E766B1" w:rsidRPr="00514681">
        <w:rPr>
          <w:i/>
          <w:szCs w:val="20"/>
        </w:rPr>
        <w:t xml:space="preserve"> (“Diario Militar”) vs. Guatemala</w:t>
      </w:r>
      <w:r w:rsidRPr="00514681">
        <w:rPr>
          <w:szCs w:val="20"/>
        </w:rPr>
        <w:t xml:space="preserve"> respecto del derecho a la integridad personal (artículo 5 de la Convención).</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En virtud de las co</w:t>
      </w:r>
      <w:r w:rsidR="00F95585" w:rsidRPr="00514681">
        <w:rPr>
          <w:szCs w:val="20"/>
        </w:rPr>
        <w:t xml:space="preserve">nsideraciones anteriores, dado el </w:t>
      </w:r>
      <w:r w:rsidR="000D1ACB" w:rsidRPr="00514681">
        <w:rPr>
          <w:szCs w:val="20"/>
        </w:rPr>
        <w:t>carácter evolutivo</w:t>
      </w:r>
      <w:r w:rsidR="00F95585" w:rsidRPr="00514681">
        <w:rPr>
          <w:szCs w:val="20"/>
        </w:rPr>
        <w:t xml:space="preserve"> de la jurisprudencia interamericana en la temática</w:t>
      </w:r>
      <w:r w:rsidRPr="00514681">
        <w:rPr>
          <w:szCs w:val="20"/>
        </w:rPr>
        <w:t xml:space="preserve"> y </w:t>
      </w:r>
      <w:r w:rsidR="00F95585" w:rsidRPr="00514681">
        <w:rPr>
          <w:szCs w:val="20"/>
        </w:rPr>
        <w:t xml:space="preserve">atendiendo a </w:t>
      </w:r>
      <w:r w:rsidRPr="00514681">
        <w:rPr>
          <w:szCs w:val="20"/>
        </w:rPr>
        <w:t>los avances por los órganos e instrumentos internacionales (incluida la Asamblea General de la OEA</w:t>
      </w:r>
      <w:r w:rsidRPr="00514681">
        <w:rPr>
          <w:rStyle w:val="FootnoteReference"/>
          <w:sz w:val="20"/>
          <w:szCs w:val="20"/>
        </w:rPr>
        <w:footnoteReference w:id="54"/>
      </w:r>
      <w:r w:rsidRPr="00514681">
        <w:rPr>
          <w:szCs w:val="20"/>
        </w:rPr>
        <w:t>) y ordenamientos jurídicos internos (como es el caso de Colombia)</w:t>
      </w:r>
      <w:r w:rsidRPr="00514681">
        <w:rPr>
          <w:rStyle w:val="FootnoteReference"/>
          <w:sz w:val="20"/>
          <w:szCs w:val="20"/>
        </w:rPr>
        <w:footnoteReference w:id="55"/>
      </w:r>
      <w:r w:rsidRPr="00514681">
        <w:rPr>
          <w:szCs w:val="20"/>
        </w:rPr>
        <w:t xml:space="preserve">, estimo </w:t>
      </w:r>
      <w:r w:rsidR="00296BC2" w:rsidRPr="00514681">
        <w:rPr>
          <w:szCs w:val="20"/>
        </w:rPr>
        <w:t>que la Corte debe reconsiderar sus criterios en los que considera que</w:t>
      </w:r>
      <w:r w:rsidRPr="00514681">
        <w:rPr>
          <w:szCs w:val="20"/>
        </w:rPr>
        <w:t xml:space="preserve"> el derecho a la verdad </w:t>
      </w:r>
      <w:r w:rsidR="0021011C" w:rsidRPr="00514681">
        <w:rPr>
          <w:szCs w:val="20"/>
        </w:rPr>
        <w:t xml:space="preserve">se encuentra </w:t>
      </w:r>
      <w:r w:rsidR="005657BB" w:rsidRPr="00514681">
        <w:rPr>
          <w:szCs w:val="20"/>
        </w:rPr>
        <w:t xml:space="preserve">necesariamente </w:t>
      </w:r>
      <w:r w:rsidRPr="00514681">
        <w:rPr>
          <w:szCs w:val="20"/>
        </w:rPr>
        <w:t>“subsumido” en el derecho de las víctimas y sus familiares a obtener de los órganos competentes del Estado el esclarecimiento de los hechos violatorios y las responsabilidades correspondientes</w:t>
      </w:r>
      <w:r w:rsidR="00F95585" w:rsidRPr="00514681">
        <w:rPr>
          <w:szCs w:val="20"/>
        </w:rPr>
        <w:t>;</w:t>
      </w:r>
      <w:r w:rsidR="00AE25EA" w:rsidRPr="00514681">
        <w:rPr>
          <w:szCs w:val="20"/>
        </w:rPr>
        <w:t xml:space="preserve"> para </w:t>
      </w:r>
      <w:r w:rsidR="00F95585" w:rsidRPr="00514681">
        <w:rPr>
          <w:szCs w:val="20"/>
        </w:rPr>
        <w:t>proceder</w:t>
      </w:r>
      <w:r w:rsidR="005657BB" w:rsidRPr="00514681">
        <w:rPr>
          <w:szCs w:val="20"/>
        </w:rPr>
        <w:t>,</w:t>
      </w:r>
      <w:r w:rsidR="00F95585" w:rsidRPr="00514681">
        <w:rPr>
          <w:szCs w:val="20"/>
        </w:rPr>
        <w:t xml:space="preserve"> </w:t>
      </w:r>
      <w:r w:rsidRPr="00514681">
        <w:rPr>
          <w:szCs w:val="20"/>
        </w:rPr>
        <w:t xml:space="preserve">de ser el caso, </w:t>
      </w:r>
      <w:r w:rsidR="00F95585" w:rsidRPr="00514681">
        <w:rPr>
          <w:szCs w:val="20"/>
        </w:rPr>
        <w:t>a declarar su violación</w:t>
      </w:r>
      <w:r w:rsidRPr="00514681">
        <w:rPr>
          <w:szCs w:val="20"/>
        </w:rPr>
        <w:t xml:space="preserve"> como d</w:t>
      </w:r>
      <w:r w:rsidR="005C6739" w:rsidRPr="00514681">
        <w:rPr>
          <w:szCs w:val="20"/>
        </w:rPr>
        <w:t>erecho autónomo e independiente</w:t>
      </w:r>
      <w:r w:rsidR="0021011C" w:rsidRPr="00514681">
        <w:rPr>
          <w:szCs w:val="20"/>
        </w:rPr>
        <w:t>.</w:t>
      </w:r>
      <w:r w:rsidR="005657BB" w:rsidRPr="00514681">
        <w:rPr>
          <w:szCs w:val="20"/>
        </w:rPr>
        <w:t xml:space="preserve"> </w:t>
      </w:r>
      <w:r w:rsidR="00B7367F" w:rsidRPr="00514681">
        <w:rPr>
          <w:szCs w:val="20"/>
        </w:rPr>
        <w:t>Lo anterior clarificaría el</w:t>
      </w:r>
      <w:r w:rsidR="00407877" w:rsidRPr="00514681">
        <w:rPr>
          <w:szCs w:val="20"/>
        </w:rPr>
        <w:t xml:space="preserve"> contenido, di</w:t>
      </w:r>
      <w:r w:rsidR="00B7367F" w:rsidRPr="00514681">
        <w:rPr>
          <w:szCs w:val="20"/>
        </w:rPr>
        <w:t>mensiones y verdaderos alcances del derecho a conocer la verdad.</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En el prese</w:t>
      </w:r>
      <w:r w:rsidR="00FB2AB8" w:rsidRPr="00514681">
        <w:rPr>
          <w:szCs w:val="20"/>
        </w:rPr>
        <w:t>nte caso, después de 29</w:t>
      </w:r>
      <w:r w:rsidRPr="00514681">
        <w:rPr>
          <w:szCs w:val="20"/>
        </w:rPr>
        <w:t xml:space="preserve"> años las víctimas aún esperan el esclarecimiento de los hechos. El Estado todavía cuestiona la desaparición forzada de la mayoría de las víctimas. A pesar de la creación de una Comisión de la Verdad sobre los hechos y de varias decisiones judiciales, tal como se expone en el párrafo </w:t>
      </w:r>
      <w:r w:rsidR="00E766B1" w:rsidRPr="00514681">
        <w:rPr>
          <w:szCs w:val="20"/>
        </w:rPr>
        <w:t>51</w:t>
      </w:r>
      <w:r w:rsidR="0024425B" w:rsidRPr="00514681">
        <w:rPr>
          <w:szCs w:val="20"/>
        </w:rPr>
        <w:t>0</w:t>
      </w:r>
      <w:r w:rsidR="00E766B1" w:rsidRPr="00514681">
        <w:rPr>
          <w:szCs w:val="20"/>
        </w:rPr>
        <w:t xml:space="preserve"> </w:t>
      </w:r>
      <w:r w:rsidRPr="00514681">
        <w:rPr>
          <w:szCs w:val="20"/>
        </w:rPr>
        <w:t xml:space="preserve">de la </w:t>
      </w:r>
      <w:r w:rsidRPr="00514681">
        <w:rPr>
          <w:szCs w:val="20"/>
        </w:rPr>
        <w:lastRenderedPageBreak/>
        <w:t>Sentencia</w:t>
      </w:r>
      <w:r w:rsidR="00257472" w:rsidRPr="00514681">
        <w:rPr>
          <w:rStyle w:val="FootnoteReference"/>
          <w:szCs w:val="20"/>
        </w:rPr>
        <w:footnoteReference w:id="56"/>
      </w:r>
      <w:r w:rsidRPr="00514681">
        <w:rPr>
          <w:szCs w:val="20"/>
        </w:rPr>
        <w:t>, aún no existe una versión oficial de lo ocurrido y tanto los familiares de las víctimas desaparecidas como las víctimas que sobrevivieron los hechos, se han visto constantemente enfrenta</w:t>
      </w:r>
      <w:r w:rsidR="00A155BE" w:rsidRPr="00514681">
        <w:rPr>
          <w:szCs w:val="20"/>
        </w:rPr>
        <w:t xml:space="preserve">das a la negación de los mismos, además de que </w:t>
      </w:r>
      <w:r w:rsidR="00B7367F" w:rsidRPr="00514681">
        <w:rPr>
          <w:szCs w:val="20"/>
        </w:rPr>
        <w:t xml:space="preserve">en la Sentencia </w:t>
      </w:r>
      <w:r w:rsidR="00A155BE" w:rsidRPr="00514681">
        <w:rPr>
          <w:szCs w:val="20"/>
        </w:rPr>
        <w:t>“</w:t>
      </w:r>
      <w:r w:rsidR="00A155BE" w:rsidRPr="00514681">
        <w:rPr>
          <w:rFonts w:eastAsia="Calibri"/>
          <w:spacing w:val="-2"/>
          <w:szCs w:val="16"/>
        </w:rPr>
        <w:t>la Corte resalta que desde que ocurrieron los hechos se han evidenciado una serie de conductas que han facilitado el ocultamiento de lo ocurrido o impedido y dilatado su esclarecimiento por parte de las autoridades judiciales y de la Fiscalía”</w:t>
      </w:r>
      <w:r w:rsidR="00A155BE" w:rsidRPr="00514681">
        <w:rPr>
          <w:rStyle w:val="FootnoteReference"/>
          <w:rFonts w:eastAsia="Calibri"/>
          <w:spacing w:val="-2"/>
          <w:szCs w:val="16"/>
        </w:rPr>
        <w:footnoteReference w:id="57"/>
      </w:r>
      <w:r w:rsidR="00A155BE" w:rsidRPr="00514681">
        <w:rPr>
          <w:rFonts w:eastAsia="Calibri"/>
          <w:spacing w:val="-2"/>
          <w:szCs w:val="16"/>
        </w:rPr>
        <w:t>.</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Por otra parte, es necesario resaltar que en el marco de desapariciones forzadas, el derecho a conocer el paradero de la víctima desaparecida constituye un componente esencial del derecho a la verdad. La incertidumbre sobre lo sucedido a sus seres queridos es una de las principales fuentes del sufrimiento psíquico y moral de los familiares de las víctimas desaparecidas (</w:t>
      </w:r>
      <w:r w:rsidRPr="00514681">
        <w:rPr>
          <w:i/>
          <w:szCs w:val="20"/>
        </w:rPr>
        <w:t>supra</w:t>
      </w:r>
      <w:r w:rsidRPr="00514681">
        <w:rPr>
          <w:szCs w:val="20"/>
        </w:rPr>
        <w:t xml:space="preserve"> párr. </w:t>
      </w:r>
      <w:fldSimple w:instr=" REF _Ref405222533 \r \h  \* MERGEFORMAT ">
        <w:r w:rsidR="00E119E2">
          <w:t>2</w:t>
        </w:r>
      </w:fldSimple>
      <w:r w:rsidRPr="00514681">
        <w:rPr>
          <w:szCs w:val="20"/>
        </w:rPr>
        <w:t>).</w:t>
      </w:r>
      <w:r w:rsidR="00FB2AB8" w:rsidRPr="00514681">
        <w:rPr>
          <w:szCs w:val="20"/>
        </w:rPr>
        <w:t xml:space="preserve">  En el presente caso, luego d</w:t>
      </w:r>
      <w:r w:rsidRPr="00514681">
        <w:rPr>
          <w:szCs w:val="20"/>
        </w:rPr>
        <w:t>e</w:t>
      </w:r>
      <w:r w:rsidR="00FB2AB8" w:rsidRPr="00514681">
        <w:rPr>
          <w:szCs w:val="20"/>
        </w:rPr>
        <w:t xml:space="preserve"> 29</w:t>
      </w:r>
      <w:r w:rsidRPr="00514681">
        <w:rPr>
          <w:szCs w:val="20"/>
        </w:rPr>
        <w:t xml:space="preserve"> años, solamente los familiares de Ana Rosa Castiblanco </w:t>
      </w:r>
      <w:r w:rsidR="00E766B1" w:rsidRPr="00514681">
        <w:rPr>
          <w:szCs w:val="20"/>
        </w:rPr>
        <w:t xml:space="preserve">Torres </w:t>
      </w:r>
      <w:r w:rsidRPr="00514681">
        <w:rPr>
          <w:szCs w:val="20"/>
        </w:rPr>
        <w:t xml:space="preserve">y Carlos Horacio Urán Rojas han visto parcialmente satisfecha dicha incertidumbre. Si bien recientemente se han desarrollado algunas actividades de búsqueda, la Corte concluyó en su Sentencia que el Estado </w:t>
      </w:r>
      <w:r w:rsidRPr="00514681">
        <w:rPr>
          <w:szCs w:val="20"/>
          <w:lang w:val="es-ES"/>
        </w:rPr>
        <w:t xml:space="preserve">omitió por años </w:t>
      </w:r>
      <w:r w:rsidRPr="00514681">
        <w:rPr>
          <w:szCs w:val="20"/>
        </w:rPr>
        <w:t xml:space="preserve">realizar una labor de búsqueda seria, coordinada y sistemática </w:t>
      </w:r>
      <w:r w:rsidRPr="00514681">
        <w:rPr>
          <w:szCs w:val="20"/>
          <w:lang w:val="es-ES"/>
        </w:rPr>
        <w:t>para localizar el paradero de los desaparecidos y esclarecer lo sucedido</w:t>
      </w:r>
      <w:r w:rsidRPr="00514681">
        <w:rPr>
          <w:rStyle w:val="FootnoteReference"/>
          <w:sz w:val="20"/>
          <w:szCs w:val="20"/>
          <w:lang w:val="es-ES"/>
        </w:rPr>
        <w:footnoteReference w:id="58"/>
      </w:r>
      <w:r w:rsidRPr="00514681">
        <w:rPr>
          <w:szCs w:val="20"/>
          <w:lang w:val="es-ES"/>
        </w:rPr>
        <w:t xml:space="preserve">. </w:t>
      </w:r>
    </w:p>
    <w:p w:rsidR="00AB52EB" w:rsidRPr="00514681" w:rsidRDefault="00AB52EB" w:rsidP="00AD13AB">
      <w:pPr>
        <w:pStyle w:val="ColorfulList-Accent11"/>
        <w:tabs>
          <w:tab w:val="left" w:pos="567"/>
          <w:tab w:val="left" w:pos="8789"/>
        </w:tabs>
        <w:ind w:left="0" w:right="96"/>
        <w:rPr>
          <w:szCs w:val="20"/>
        </w:rPr>
      </w:pPr>
    </w:p>
    <w:p w:rsidR="00F95585" w:rsidRPr="00514681" w:rsidRDefault="00C75F41" w:rsidP="00AD13AB">
      <w:pPr>
        <w:pStyle w:val="ColorfulList-Accent11"/>
        <w:numPr>
          <w:ilvl w:val="0"/>
          <w:numId w:val="23"/>
        </w:numPr>
        <w:tabs>
          <w:tab w:val="left" w:pos="567"/>
          <w:tab w:val="left" w:pos="8789"/>
        </w:tabs>
        <w:ind w:left="0" w:right="96"/>
        <w:contextualSpacing/>
        <w:rPr>
          <w:szCs w:val="20"/>
        </w:rPr>
      </w:pPr>
      <w:r w:rsidRPr="00514681">
        <w:rPr>
          <w:szCs w:val="20"/>
        </w:rPr>
        <w:t>No debe pasar inadvertido que expresamente en la Sentencia se establece que “</w:t>
      </w:r>
      <w:r w:rsidRPr="00514681">
        <w:rPr>
          <w:spacing w:val="-2"/>
        </w:rPr>
        <w:t>el Estado reconoció su responsabilidad por omisión por la falta de investigación de estos hechos”</w:t>
      </w:r>
      <w:r w:rsidR="00FB2AB8" w:rsidRPr="00514681">
        <w:rPr>
          <w:rStyle w:val="FootnoteReference"/>
          <w:spacing w:val="-2"/>
        </w:rPr>
        <w:footnoteReference w:id="59"/>
      </w:r>
      <w:r w:rsidRPr="00514681">
        <w:rPr>
          <w:spacing w:val="-2"/>
        </w:rPr>
        <w:t xml:space="preserve"> y que “a pesar de las diferentes investigaciones y procesos judiciales iniciados, el Estado </w:t>
      </w:r>
      <w:r w:rsidRPr="00514681">
        <w:rPr>
          <w:spacing w:val="-2"/>
          <w:u w:val="single"/>
        </w:rPr>
        <w:t>no ha podido ofrecer una versión definitiva y oficial de lo sucedido a las presuntas víctimas hace 29 años</w:t>
      </w:r>
      <w:r w:rsidRPr="00514681">
        <w:rPr>
          <w:spacing w:val="-2"/>
        </w:rPr>
        <w:t>, así como no ha ofrecido información adecuada que desvirtúe los distintos indicios que han surgido sobre la desaparición forzada de la mayoría de las víctimas”</w:t>
      </w:r>
      <w:r w:rsidR="00FB2AB8" w:rsidRPr="00514681">
        <w:rPr>
          <w:rStyle w:val="FootnoteReference"/>
          <w:spacing w:val="-2"/>
        </w:rPr>
        <w:footnoteReference w:id="60"/>
      </w:r>
      <w:r w:rsidR="00F95585" w:rsidRPr="00514681">
        <w:rPr>
          <w:spacing w:val="-2"/>
        </w:rPr>
        <w:t>.</w:t>
      </w:r>
    </w:p>
    <w:p w:rsidR="00C75F41" w:rsidRPr="00514681" w:rsidRDefault="00FB2AB8" w:rsidP="00AD13AB">
      <w:pPr>
        <w:pStyle w:val="ColorfulList-Accent11"/>
        <w:tabs>
          <w:tab w:val="left" w:pos="567"/>
          <w:tab w:val="left" w:pos="8789"/>
        </w:tabs>
        <w:ind w:left="0" w:right="96"/>
        <w:contextualSpacing/>
        <w:rPr>
          <w:szCs w:val="20"/>
        </w:rPr>
      </w:pPr>
      <w:r w:rsidRPr="00514681">
        <w:rPr>
          <w:spacing w:val="-2"/>
        </w:rPr>
        <w:t xml:space="preserve"> </w:t>
      </w: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Por consiguiente, quien suscribe el presente voto es de la opinión que en esta Sentencia la Corte pudo haber declarado la violación autónoma del derecho a conocer la verdad</w:t>
      </w:r>
      <w:r w:rsidR="00B26496" w:rsidRPr="00514681">
        <w:rPr>
          <w:szCs w:val="20"/>
        </w:rPr>
        <w:t xml:space="preserve"> </w:t>
      </w:r>
      <w:r w:rsidR="00B7367F" w:rsidRPr="00514681">
        <w:rPr>
          <w:szCs w:val="20"/>
        </w:rPr>
        <w:t>—</w:t>
      </w:r>
      <w:r w:rsidR="00B26496" w:rsidRPr="00514681">
        <w:rPr>
          <w:szCs w:val="20"/>
        </w:rPr>
        <w:t>como</w:t>
      </w:r>
      <w:r w:rsidRPr="00514681">
        <w:rPr>
          <w:szCs w:val="20"/>
        </w:rPr>
        <w:t xml:space="preserve"> lo había realizado anteriormente en el caso </w:t>
      </w:r>
      <w:r w:rsidR="00257472" w:rsidRPr="00514681">
        <w:rPr>
          <w:i/>
          <w:szCs w:val="20"/>
        </w:rPr>
        <w:t>Go</w:t>
      </w:r>
      <w:r w:rsidRPr="00514681">
        <w:rPr>
          <w:i/>
          <w:szCs w:val="20"/>
        </w:rPr>
        <w:t>mes Lund y otros</w:t>
      </w:r>
      <w:r w:rsidR="00B26496" w:rsidRPr="00514681">
        <w:rPr>
          <w:i/>
          <w:szCs w:val="20"/>
        </w:rPr>
        <w:t xml:space="preserve"> </w:t>
      </w:r>
      <w:r w:rsidR="00B26496" w:rsidRPr="00514681">
        <w:rPr>
          <w:i/>
          <w:iCs/>
          <w:szCs w:val="20"/>
        </w:rPr>
        <w:t>(Guerilla de Araguaia) vs. Brasil</w:t>
      </w:r>
      <w:r w:rsidR="00B26496" w:rsidRPr="00514681">
        <w:rPr>
          <w:rStyle w:val="FootnoteReference"/>
          <w:sz w:val="20"/>
          <w:szCs w:val="20"/>
        </w:rPr>
        <w:t xml:space="preserve"> </w:t>
      </w:r>
      <w:r w:rsidRPr="00514681">
        <w:rPr>
          <w:rStyle w:val="FootnoteReference"/>
          <w:sz w:val="20"/>
          <w:szCs w:val="20"/>
        </w:rPr>
        <w:footnoteReference w:id="61"/>
      </w:r>
      <w:r w:rsidR="00B7367F" w:rsidRPr="00514681">
        <w:rPr>
          <w:szCs w:val="20"/>
        </w:rPr>
        <w:t>—</w:t>
      </w:r>
      <w:r w:rsidR="00B26496" w:rsidRPr="00514681">
        <w:rPr>
          <w:szCs w:val="20"/>
        </w:rPr>
        <w:t xml:space="preserve">. </w:t>
      </w:r>
      <w:r w:rsidR="00257472" w:rsidRPr="00514681">
        <w:rPr>
          <w:szCs w:val="20"/>
        </w:rPr>
        <w:t>E</w:t>
      </w:r>
      <w:r w:rsidRPr="00514681">
        <w:rPr>
          <w:szCs w:val="20"/>
        </w:rPr>
        <w:t xml:space="preserve">stimo que la violación a este derecho puede </w:t>
      </w:r>
      <w:r w:rsidRPr="00514681">
        <w:rPr>
          <w:szCs w:val="20"/>
        </w:rPr>
        <w:lastRenderedPageBreak/>
        <w:t xml:space="preserve">válidamente realizarse de manera autónoma y no </w:t>
      </w:r>
      <w:r w:rsidR="00B26496" w:rsidRPr="00514681">
        <w:rPr>
          <w:szCs w:val="20"/>
        </w:rPr>
        <w:t>pretender</w:t>
      </w:r>
      <w:r w:rsidRPr="00514681">
        <w:rPr>
          <w:szCs w:val="20"/>
        </w:rPr>
        <w:t xml:space="preserve"> subsumi</w:t>
      </w:r>
      <w:r w:rsidR="00257472" w:rsidRPr="00514681">
        <w:rPr>
          <w:szCs w:val="20"/>
        </w:rPr>
        <w:t>rlo</w:t>
      </w:r>
      <w:r w:rsidRPr="00514681">
        <w:rPr>
          <w:szCs w:val="20"/>
        </w:rPr>
        <w:t xml:space="preserve"> en las demás violaciones declaradas en los artículos 8 y 25 de la Convención Americana. El </w:t>
      </w:r>
      <w:r w:rsidRPr="00514681">
        <w:rPr>
          <w:i/>
          <w:szCs w:val="20"/>
        </w:rPr>
        <w:t>derecho a conocer la verdad</w:t>
      </w:r>
      <w:r w:rsidRPr="00514681">
        <w:rPr>
          <w:szCs w:val="20"/>
        </w:rPr>
        <w:t xml:space="preserve"> es actualmente un derecho autónomo reconocido por diversos órganos e instrumentos internacionales y en ordenamientos nacionales, lo que puede llevar en el futuro a esta Corte Interameric</w:t>
      </w:r>
      <w:r w:rsidR="00C75F41" w:rsidRPr="00514681">
        <w:rPr>
          <w:szCs w:val="20"/>
        </w:rPr>
        <w:t>ana</w:t>
      </w:r>
      <w:r w:rsidRPr="00514681">
        <w:rPr>
          <w:szCs w:val="20"/>
        </w:rPr>
        <w:t xml:space="preserve"> a considerar su violación de manera independiente, </w:t>
      </w:r>
      <w:r w:rsidR="00257472" w:rsidRPr="00514681">
        <w:rPr>
          <w:szCs w:val="20"/>
        </w:rPr>
        <w:t>lo que abonaría a clarificar</w:t>
      </w:r>
      <w:r w:rsidR="00A725B0" w:rsidRPr="00514681">
        <w:rPr>
          <w:szCs w:val="20"/>
        </w:rPr>
        <w:t xml:space="preserve"> su propio</w:t>
      </w:r>
      <w:r w:rsidRPr="00514681">
        <w:rPr>
          <w:szCs w:val="20"/>
        </w:rPr>
        <w:t xml:space="preserve"> contenido y alcance</w:t>
      </w:r>
      <w:r w:rsidR="00B7367F" w:rsidRPr="00514681">
        <w:rPr>
          <w:szCs w:val="20"/>
        </w:rPr>
        <w:t>s</w:t>
      </w:r>
      <w:r w:rsidRPr="00514681">
        <w:rPr>
          <w:szCs w:val="20"/>
        </w:rPr>
        <w:t xml:space="preserve">. </w:t>
      </w:r>
    </w:p>
    <w:p w:rsidR="00AB52EB" w:rsidRPr="00514681" w:rsidRDefault="00AB52EB" w:rsidP="00AD13AB">
      <w:pPr>
        <w:pStyle w:val="ColorfulList-Accent11"/>
        <w:tabs>
          <w:tab w:val="left" w:pos="8789"/>
        </w:tabs>
        <w:ind w:left="0" w:right="96"/>
        <w:rPr>
          <w:szCs w:val="20"/>
          <w:lang w:val="es-CR"/>
        </w:rPr>
      </w:pPr>
    </w:p>
    <w:p w:rsidR="00AB52EB" w:rsidRPr="00514681" w:rsidRDefault="00AB52EB" w:rsidP="00AD13AB">
      <w:pPr>
        <w:pStyle w:val="ColorfulList-Accent11"/>
        <w:tabs>
          <w:tab w:val="left" w:pos="8789"/>
        </w:tabs>
        <w:ind w:left="0" w:right="96"/>
        <w:rPr>
          <w:szCs w:val="20"/>
          <w:lang w:val="es-CR"/>
        </w:rPr>
      </w:pPr>
    </w:p>
    <w:p w:rsidR="00910DCD" w:rsidRPr="00514681" w:rsidRDefault="00910DCD" w:rsidP="00AD13AB">
      <w:pPr>
        <w:pStyle w:val="ColorfulList-Accent11"/>
        <w:tabs>
          <w:tab w:val="left" w:pos="8789"/>
        </w:tabs>
        <w:ind w:left="0" w:right="96"/>
        <w:rPr>
          <w:szCs w:val="20"/>
          <w:lang w:val="es-CR"/>
        </w:rPr>
      </w:pPr>
    </w:p>
    <w:p w:rsidR="00AB52EB" w:rsidRPr="00514681" w:rsidRDefault="00AB52EB" w:rsidP="00AD13AB">
      <w:pPr>
        <w:pStyle w:val="ColorfulList-Accent11"/>
        <w:tabs>
          <w:tab w:val="left" w:pos="8789"/>
        </w:tabs>
        <w:ind w:left="0" w:right="96"/>
        <w:rPr>
          <w:szCs w:val="20"/>
          <w:lang w:val="es-CR"/>
        </w:rPr>
      </w:pPr>
    </w:p>
    <w:p w:rsidR="00AB52EB" w:rsidRPr="00514681" w:rsidRDefault="00AB52EB" w:rsidP="00AD13AB">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Eduardo Ferrer Mac-Gregor Poisot</w:t>
      </w:r>
    </w:p>
    <w:p w:rsidR="00AB52EB" w:rsidRPr="00514681" w:rsidRDefault="00AB52EB" w:rsidP="00AD13AB">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Juez</w:t>
      </w:r>
    </w:p>
    <w:p w:rsidR="00407877" w:rsidRPr="00514681" w:rsidRDefault="00407877" w:rsidP="00AD13AB">
      <w:pPr>
        <w:pStyle w:val="ColorfulList-Accent11"/>
        <w:tabs>
          <w:tab w:val="left" w:pos="709"/>
          <w:tab w:val="left" w:pos="8789"/>
          <w:tab w:val="left" w:pos="9356"/>
        </w:tabs>
        <w:ind w:left="0" w:right="5058"/>
        <w:outlineLvl w:val="0"/>
        <w:rPr>
          <w:rFonts w:cs="Verdana"/>
          <w:szCs w:val="20"/>
          <w:lang w:val="es-VE"/>
        </w:rPr>
      </w:pPr>
    </w:p>
    <w:p w:rsidR="00910DCD" w:rsidRPr="00514681" w:rsidRDefault="00910DCD" w:rsidP="00AD13AB">
      <w:pPr>
        <w:pStyle w:val="ColorfulList-Accent11"/>
        <w:tabs>
          <w:tab w:val="left" w:pos="709"/>
          <w:tab w:val="left" w:pos="8789"/>
          <w:tab w:val="left" w:pos="9356"/>
        </w:tabs>
        <w:ind w:left="0" w:right="5058"/>
        <w:outlineLvl w:val="0"/>
        <w:rPr>
          <w:rFonts w:cs="Verdana"/>
          <w:szCs w:val="20"/>
          <w:lang w:val="es-VE"/>
        </w:rPr>
      </w:pPr>
    </w:p>
    <w:p w:rsidR="00910DCD" w:rsidRPr="00514681" w:rsidRDefault="00910DCD" w:rsidP="00AD13AB">
      <w:pPr>
        <w:pStyle w:val="ColorfulList-Accent11"/>
        <w:tabs>
          <w:tab w:val="left" w:pos="709"/>
          <w:tab w:val="left" w:pos="8789"/>
          <w:tab w:val="left" w:pos="9356"/>
        </w:tabs>
        <w:ind w:left="0" w:right="5058"/>
        <w:outlineLvl w:val="0"/>
        <w:rPr>
          <w:rFonts w:cs="Verdana"/>
          <w:szCs w:val="20"/>
          <w:lang w:val="es-VE"/>
        </w:rPr>
      </w:pPr>
    </w:p>
    <w:p w:rsidR="00A12486" w:rsidRPr="00514681" w:rsidRDefault="00A12486" w:rsidP="00AD13AB">
      <w:pPr>
        <w:pStyle w:val="ColorfulList-Accent11"/>
        <w:tabs>
          <w:tab w:val="left" w:pos="709"/>
          <w:tab w:val="left" w:pos="8789"/>
          <w:tab w:val="left" w:pos="9356"/>
        </w:tabs>
        <w:ind w:left="0" w:right="5058"/>
        <w:outlineLvl w:val="0"/>
        <w:rPr>
          <w:rFonts w:cs="Verdana"/>
          <w:szCs w:val="20"/>
          <w:lang w:val="es-VE"/>
        </w:rPr>
      </w:pPr>
    </w:p>
    <w:p w:rsidR="00910DCD" w:rsidRPr="00514681" w:rsidRDefault="00910DCD" w:rsidP="00AD13AB">
      <w:pPr>
        <w:pStyle w:val="ColorfulList-Accent11"/>
        <w:tabs>
          <w:tab w:val="left" w:pos="709"/>
          <w:tab w:val="left" w:pos="8789"/>
          <w:tab w:val="left" w:pos="9356"/>
        </w:tabs>
        <w:ind w:left="0" w:right="5058"/>
        <w:outlineLvl w:val="0"/>
        <w:rPr>
          <w:rFonts w:cs="Verdana"/>
          <w:szCs w:val="20"/>
          <w:lang w:val="es-VE"/>
        </w:rPr>
      </w:pPr>
    </w:p>
    <w:p w:rsidR="00AB52EB" w:rsidRPr="00514681" w:rsidRDefault="00AB52EB" w:rsidP="00AD13AB">
      <w:pPr>
        <w:pStyle w:val="ColorfulList-Accent11"/>
        <w:tabs>
          <w:tab w:val="left" w:pos="709"/>
          <w:tab w:val="left" w:pos="8789"/>
          <w:tab w:val="left" w:pos="9356"/>
        </w:tabs>
        <w:ind w:right="5058"/>
        <w:jc w:val="center"/>
        <w:outlineLvl w:val="0"/>
        <w:rPr>
          <w:rFonts w:cs="Verdana"/>
          <w:szCs w:val="20"/>
          <w:lang w:val="es-VE"/>
        </w:rPr>
      </w:pPr>
    </w:p>
    <w:p w:rsidR="00AB52EB" w:rsidRPr="00514681" w:rsidRDefault="00AB52EB" w:rsidP="00AD13AB">
      <w:pPr>
        <w:pStyle w:val="ColorfulList-Accent11"/>
        <w:tabs>
          <w:tab w:val="left" w:pos="709"/>
          <w:tab w:val="left" w:pos="8789"/>
          <w:tab w:val="left" w:pos="9356"/>
        </w:tabs>
        <w:ind w:right="5058"/>
        <w:jc w:val="center"/>
        <w:outlineLvl w:val="0"/>
        <w:rPr>
          <w:rFonts w:cs="Verdana"/>
          <w:szCs w:val="20"/>
          <w:lang w:val="es-CR"/>
        </w:rPr>
      </w:pPr>
      <w:r w:rsidRPr="00514681">
        <w:rPr>
          <w:rFonts w:cs="Verdana"/>
          <w:szCs w:val="20"/>
          <w:lang w:val="es-CR"/>
        </w:rPr>
        <w:t>Pablo Saavedra Alessandri</w:t>
      </w:r>
    </w:p>
    <w:p w:rsidR="00E9140E" w:rsidRPr="00514681" w:rsidRDefault="00AB52EB" w:rsidP="00AD13AB">
      <w:pPr>
        <w:pStyle w:val="ColorfulList-Accent11"/>
        <w:tabs>
          <w:tab w:val="left" w:pos="8789"/>
        </w:tabs>
        <w:ind w:right="5058"/>
        <w:jc w:val="center"/>
        <w:rPr>
          <w:rFonts w:cs="Verdana"/>
          <w:szCs w:val="20"/>
          <w:lang w:val="es-CR"/>
        </w:rPr>
      </w:pPr>
      <w:r w:rsidRPr="00514681">
        <w:rPr>
          <w:rFonts w:cs="Verdana"/>
          <w:szCs w:val="20"/>
          <w:lang w:val="es-CR"/>
        </w:rPr>
        <w:t>Secretario</w:t>
      </w:r>
    </w:p>
    <w:p w:rsidR="00A00BB5" w:rsidRDefault="00A00BB5" w:rsidP="00AD13AB">
      <w:pPr>
        <w:pStyle w:val="ColorfulList-Accent11"/>
        <w:tabs>
          <w:tab w:val="left" w:pos="8789"/>
        </w:tabs>
        <w:ind w:right="5058"/>
        <w:jc w:val="center"/>
        <w:rPr>
          <w:rFonts w:cs="Verdana"/>
          <w:szCs w:val="20"/>
          <w:lang w:val="es-CR"/>
        </w:rPr>
      </w:pPr>
    </w:p>
    <w:p w:rsidR="00AD13AB" w:rsidRDefault="00AD13AB" w:rsidP="00AD13AB">
      <w:pPr>
        <w:pStyle w:val="ColorfulList-Accent11"/>
        <w:tabs>
          <w:tab w:val="left" w:pos="8789"/>
        </w:tabs>
        <w:ind w:right="5058"/>
        <w:jc w:val="center"/>
        <w:rPr>
          <w:rFonts w:cs="Verdana"/>
          <w:szCs w:val="20"/>
          <w:lang w:val="es-CR"/>
        </w:rPr>
      </w:pPr>
    </w:p>
    <w:p w:rsidR="00AD13AB" w:rsidRDefault="00AD13AB" w:rsidP="00AD13AB">
      <w:pPr>
        <w:pStyle w:val="ColorfulList-Accent11"/>
        <w:tabs>
          <w:tab w:val="left" w:pos="8789"/>
        </w:tabs>
        <w:ind w:right="5058"/>
        <w:jc w:val="center"/>
        <w:rPr>
          <w:rFonts w:cs="Verdana"/>
          <w:szCs w:val="20"/>
          <w:lang w:val="es-CR"/>
        </w:rPr>
      </w:pPr>
    </w:p>
    <w:p w:rsidR="00AD13AB" w:rsidRDefault="00AD13AB" w:rsidP="00AD13AB">
      <w:pPr>
        <w:pStyle w:val="ColorfulList-Accent11"/>
        <w:tabs>
          <w:tab w:val="left" w:pos="8789"/>
        </w:tabs>
        <w:ind w:right="5058"/>
        <w:jc w:val="center"/>
        <w:rPr>
          <w:rFonts w:cs="Verdana"/>
          <w:szCs w:val="20"/>
          <w:lang w:val="es-CR"/>
        </w:rPr>
      </w:pPr>
    </w:p>
    <w:p w:rsidR="00AD13AB" w:rsidRPr="00514681" w:rsidRDefault="00AD13AB" w:rsidP="00AD13AB">
      <w:pPr>
        <w:pStyle w:val="ColorfulList-Accent11"/>
        <w:tabs>
          <w:tab w:val="left" w:pos="8789"/>
        </w:tabs>
        <w:ind w:right="5058"/>
        <w:jc w:val="center"/>
        <w:rPr>
          <w:rFonts w:cs="Verdana"/>
          <w:szCs w:val="20"/>
          <w:lang w:val="es-CR"/>
        </w:rPr>
      </w:pPr>
    </w:p>
    <w:p w:rsidR="00A00BB5" w:rsidRPr="00514681" w:rsidRDefault="00A00BB5" w:rsidP="00AD13AB">
      <w:pPr>
        <w:pStyle w:val="yiv1943656305msonormal"/>
        <w:spacing w:before="0" w:beforeAutospacing="0"/>
        <w:jc w:val="both"/>
        <w:rPr>
          <w:rFonts w:ascii="Verdana" w:hAnsi="Verdana"/>
          <w:sz w:val="20"/>
          <w:szCs w:val="20"/>
          <w:lang w:val="es-VE"/>
        </w:rPr>
      </w:pPr>
      <w:r w:rsidRPr="00514681">
        <w:rPr>
          <w:rFonts w:ascii="Verdana" w:hAnsi="Verdana"/>
          <w:sz w:val="20"/>
          <w:szCs w:val="20"/>
        </w:rPr>
        <w:t xml:space="preserve">Los Jueces </w:t>
      </w:r>
      <w:r w:rsidR="00CA58C7" w:rsidRPr="00514681">
        <w:rPr>
          <w:rFonts w:ascii="Verdana" w:hAnsi="Verdana"/>
          <w:sz w:val="20"/>
          <w:szCs w:val="20"/>
        </w:rPr>
        <w:t xml:space="preserve">Eduardo Vio Grossi y </w:t>
      </w:r>
      <w:r w:rsidRPr="00514681">
        <w:rPr>
          <w:rFonts w:ascii="Verdana" w:hAnsi="Verdana"/>
          <w:sz w:val="20"/>
          <w:szCs w:val="20"/>
        </w:rPr>
        <w:t xml:space="preserve">Manuel </w:t>
      </w:r>
      <w:r w:rsidR="002C726A" w:rsidRPr="00514681">
        <w:rPr>
          <w:rFonts w:ascii="Verdana" w:hAnsi="Verdana"/>
          <w:sz w:val="20"/>
          <w:szCs w:val="20"/>
        </w:rPr>
        <w:t xml:space="preserve">E. </w:t>
      </w:r>
      <w:r w:rsidRPr="00514681">
        <w:rPr>
          <w:rFonts w:ascii="Verdana" w:hAnsi="Verdana"/>
          <w:sz w:val="20"/>
          <w:szCs w:val="20"/>
        </w:rPr>
        <w:t xml:space="preserve">Ventura Robles se adhirieron al presente Voto del Juez </w:t>
      </w:r>
      <w:r w:rsidRPr="00514681">
        <w:rPr>
          <w:rFonts w:ascii="Verdana" w:hAnsi="Verdana"/>
          <w:sz w:val="20"/>
          <w:szCs w:val="20"/>
          <w:lang w:val="es-VE"/>
        </w:rPr>
        <w:t>Eduardo Ferrer Mac-Gregor Poisot</w:t>
      </w:r>
      <w:r w:rsidR="003C2F11" w:rsidRPr="00514681">
        <w:rPr>
          <w:rFonts w:ascii="Verdana" w:hAnsi="Verdana"/>
          <w:sz w:val="20"/>
          <w:szCs w:val="20"/>
          <w:lang w:val="es-VE"/>
        </w:rPr>
        <w:t xml:space="preserve"> e hicieron las siguientes consideraciones</w:t>
      </w:r>
      <w:r w:rsidR="00CA58C7" w:rsidRPr="00514681">
        <w:rPr>
          <w:rFonts w:ascii="Verdana" w:hAnsi="Verdana"/>
          <w:sz w:val="20"/>
          <w:szCs w:val="20"/>
          <w:lang w:val="es-VE"/>
        </w:rPr>
        <w:t xml:space="preserve"> de carácter particular</w:t>
      </w:r>
      <w:r w:rsidR="00E766B1" w:rsidRPr="00514681">
        <w:rPr>
          <w:rFonts w:ascii="Verdana" w:hAnsi="Verdana"/>
          <w:sz w:val="20"/>
          <w:szCs w:val="20"/>
          <w:lang w:val="es-VE"/>
        </w:rPr>
        <w:t>.</w:t>
      </w:r>
    </w:p>
    <w:p w:rsidR="00A00BB5" w:rsidRPr="00514681" w:rsidRDefault="00A00BB5" w:rsidP="00AD13AB">
      <w:pPr>
        <w:rPr>
          <w:lang w:val="es-ES"/>
        </w:rPr>
      </w:pPr>
    </w:p>
    <w:p w:rsidR="002C726A" w:rsidRPr="00514681" w:rsidRDefault="002C726A" w:rsidP="00AD13AB">
      <w:pPr>
        <w:rPr>
          <w:lang w:val="es-ES"/>
        </w:rPr>
      </w:pPr>
    </w:p>
    <w:p w:rsidR="00CA58C7" w:rsidRPr="00514681" w:rsidRDefault="00CA58C7" w:rsidP="00AD13AB">
      <w:pPr>
        <w:rPr>
          <w:sz w:val="20"/>
          <w:szCs w:val="20"/>
          <w:lang w:val="es-ES"/>
        </w:rPr>
      </w:pPr>
      <w:r w:rsidRPr="00514681">
        <w:rPr>
          <w:sz w:val="20"/>
          <w:szCs w:val="20"/>
          <w:lang w:val="es-ES"/>
        </w:rPr>
        <w:br w:type="page"/>
      </w:r>
    </w:p>
    <w:p w:rsidR="00E119E2" w:rsidRDefault="00E119E2" w:rsidP="00AD13AB">
      <w:pPr>
        <w:jc w:val="center"/>
        <w:rPr>
          <w:rFonts w:cs="Calibri"/>
          <w:b/>
          <w:sz w:val="20"/>
          <w:szCs w:val="20"/>
          <w:lang w:val="es-ES"/>
        </w:rPr>
      </w:pPr>
    </w:p>
    <w:p w:rsidR="00E119E2" w:rsidRDefault="00E119E2" w:rsidP="00AD13AB">
      <w:pPr>
        <w:jc w:val="center"/>
        <w:rPr>
          <w:rFonts w:cs="Calibri"/>
          <w:b/>
          <w:sz w:val="20"/>
          <w:szCs w:val="20"/>
          <w:lang w:val="es-ES"/>
        </w:rPr>
      </w:pPr>
    </w:p>
    <w:p w:rsidR="00CA58C7" w:rsidRPr="00514681" w:rsidRDefault="00CA58C7" w:rsidP="00AD13AB">
      <w:pPr>
        <w:jc w:val="center"/>
        <w:rPr>
          <w:rFonts w:cs="Calibri"/>
          <w:b/>
          <w:sz w:val="20"/>
          <w:szCs w:val="20"/>
          <w:lang w:val="es-ES"/>
        </w:rPr>
      </w:pPr>
      <w:r w:rsidRPr="00514681">
        <w:rPr>
          <w:rFonts w:cs="Calibri"/>
          <w:b/>
          <w:sz w:val="20"/>
          <w:szCs w:val="20"/>
          <w:lang w:val="es-ES"/>
        </w:rPr>
        <w:t>ADHESIÓN DEL JUEZ EDUARDO VIO GROSSI</w:t>
      </w:r>
    </w:p>
    <w:p w:rsidR="00CA58C7" w:rsidRPr="00514681" w:rsidRDefault="00CA58C7" w:rsidP="00AD13AB">
      <w:pPr>
        <w:jc w:val="center"/>
        <w:rPr>
          <w:rFonts w:cs="Calibri"/>
          <w:b/>
          <w:sz w:val="20"/>
          <w:szCs w:val="20"/>
          <w:lang w:val="es-CR"/>
        </w:rPr>
      </w:pPr>
      <w:r w:rsidRPr="00514681">
        <w:rPr>
          <w:rFonts w:cs="Calibri"/>
          <w:b/>
          <w:sz w:val="20"/>
          <w:szCs w:val="20"/>
          <w:lang w:val="es-ES"/>
        </w:rPr>
        <w:t xml:space="preserve">AL </w:t>
      </w:r>
      <w:r w:rsidRPr="00514681">
        <w:rPr>
          <w:rFonts w:cs="Calibri"/>
          <w:b/>
          <w:sz w:val="20"/>
          <w:szCs w:val="20"/>
          <w:lang w:val="es-CR"/>
        </w:rPr>
        <w:t>VOTO CONCURRENTE DEL</w:t>
      </w:r>
    </w:p>
    <w:p w:rsidR="00CA58C7" w:rsidRPr="00514681" w:rsidRDefault="00CA58C7" w:rsidP="00AD13AB">
      <w:pPr>
        <w:jc w:val="center"/>
        <w:rPr>
          <w:rFonts w:cs="Calibri"/>
          <w:b/>
          <w:sz w:val="20"/>
          <w:szCs w:val="20"/>
          <w:lang w:val="es-CR"/>
        </w:rPr>
      </w:pPr>
      <w:r w:rsidRPr="00514681">
        <w:rPr>
          <w:rFonts w:cs="Calibri"/>
          <w:b/>
          <w:sz w:val="20"/>
          <w:szCs w:val="20"/>
          <w:lang w:val="es-CR"/>
        </w:rPr>
        <w:t>JUEZ EDUARDO FERRER MAC-GREGOR POISOT</w:t>
      </w:r>
    </w:p>
    <w:p w:rsidR="00CA58C7" w:rsidRPr="00514681" w:rsidRDefault="00CA58C7" w:rsidP="00AD13AB">
      <w:pPr>
        <w:jc w:val="center"/>
        <w:rPr>
          <w:rFonts w:cs="Calibri"/>
          <w:b/>
          <w:sz w:val="20"/>
          <w:szCs w:val="20"/>
          <w:lang w:val="es-CR"/>
        </w:rPr>
      </w:pPr>
    </w:p>
    <w:p w:rsidR="00CA58C7" w:rsidRPr="00950F9A" w:rsidRDefault="00CA58C7" w:rsidP="00AD13AB">
      <w:pPr>
        <w:jc w:val="center"/>
        <w:rPr>
          <w:rFonts w:cs="Calibri"/>
          <w:b/>
          <w:sz w:val="20"/>
          <w:szCs w:val="20"/>
          <w:u w:val="single"/>
          <w:lang w:val="es-CR"/>
        </w:rPr>
      </w:pPr>
      <w:r w:rsidRPr="00950F9A">
        <w:rPr>
          <w:rFonts w:cs="Calibri"/>
          <w:b/>
          <w:sz w:val="20"/>
          <w:szCs w:val="20"/>
          <w:u w:val="single"/>
          <w:lang w:val="es-CR"/>
        </w:rPr>
        <w:t>CASO RODRÍGUEZ VERA Y OTROS (DESAPARECIDOS DEL PALACIO DE JUSTICIA) VS. COLOMBIA</w:t>
      </w:r>
    </w:p>
    <w:p w:rsidR="00CA58C7" w:rsidRPr="00514681" w:rsidRDefault="00CA58C7" w:rsidP="00AD13AB">
      <w:pPr>
        <w:jc w:val="center"/>
        <w:rPr>
          <w:rFonts w:cs="Calibri"/>
          <w:b/>
          <w:bCs/>
          <w:sz w:val="20"/>
          <w:szCs w:val="20"/>
          <w:lang w:val="es-CR"/>
        </w:rPr>
      </w:pPr>
    </w:p>
    <w:p w:rsidR="00CA58C7" w:rsidRPr="00950F9A" w:rsidRDefault="00CA58C7" w:rsidP="00AD13AB">
      <w:pPr>
        <w:jc w:val="center"/>
        <w:rPr>
          <w:rFonts w:cs="Calibri"/>
          <w:b/>
          <w:bCs/>
          <w:sz w:val="18"/>
          <w:szCs w:val="18"/>
          <w:lang w:val="es-CR"/>
        </w:rPr>
      </w:pPr>
      <w:r w:rsidRPr="00950F9A">
        <w:rPr>
          <w:rFonts w:cs="Calibri"/>
          <w:b/>
          <w:bCs/>
          <w:sz w:val="18"/>
          <w:szCs w:val="18"/>
          <w:lang w:val="es-CR"/>
        </w:rPr>
        <w:t>SENTENCIA DE 14 DE NOVIEMBRE DE 2014</w:t>
      </w:r>
    </w:p>
    <w:p w:rsidR="00CA58C7" w:rsidRPr="00950F9A" w:rsidRDefault="00CA58C7" w:rsidP="00AD13AB">
      <w:pPr>
        <w:jc w:val="center"/>
        <w:rPr>
          <w:rFonts w:cs="Calibri"/>
          <w:b/>
          <w:bCs/>
          <w:i/>
          <w:iCs/>
          <w:sz w:val="18"/>
          <w:szCs w:val="18"/>
          <w:lang w:val="es-CR"/>
        </w:rPr>
      </w:pPr>
      <w:r w:rsidRPr="00950F9A">
        <w:rPr>
          <w:rFonts w:cs="Calibri"/>
          <w:b/>
          <w:bCs/>
          <w:i/>
          <w:iCs/>
          <w:sz w:val="18"/>
          <w:szCs w:val="18"/>
          <w:lang w:val="es-CR"/>
        </w:rPr>
        <w:t>(Excepciones Preliminares</w:t>
      </w:r>
      <w:r w:rsidR="00950F9A" w:rsidRPr="00950F9A">
        <w:rPr>
          <w:rFonts w:cs="Calibri"/>
          <w:b/>
          <w:bCs/>
          <w:i/>
          <w:iCs/>
          <w:sz w:val="18"/>
          <w:szCs w:val="18"/>
          <w:lang w:val="es-CR"/>
        </w:rPr>
        <w:t>, Fondo, Reparaciones y Costas)</w:t>
      </w:r>
    </w:p>
    <w:p w:rsidR="00CA58C7" w:rsidRPr="00514681" w:rsidRDefault="00CA58C7" w:rsidP="00AD13AB">
      <w:pPr>
        <w:jc w:val="both"/>
        <w:rPr>
          <w:rFonts w:cs="Calibri"/>
          <w:b/>
          <w:sz w:val="20"/>
          <w:szCs w:val="20"/>
          <w:lang w:val="es-CR"/>
        </w:rPr>
      </w:pPr>
    </w:p>
    <w:p w:rsidR="00CA58C7" w:rsidRPr="00514681" w:rsidRDefault="00CA58C7" w:rsidP="00AD13AB">
      <w:pPr>
        <w:tabs>
          <w:tab w:val="left" w:pos="8789"/>
        </w:tabs>
        <w:jc w:val="both"/>
        <w:rPr>
          <w:rFonts w:cs="Calibri"/>
          <w:sz w:val="20"/>
          <w:szCs w:val="20"/>
          <w:lang w:val="es-ES"/>
        </w:rPr>
      </w:pPr>
    </w:p>
    <w:p w:rsidR="00CA58C7" w:rsidRPr="00514681" w:rsidRDefault="00CA58C7" w:rsidP="00AD13AB">
      <w:pPr>
        <w:tabs>
          <w:tab w:val="left" w:pos="8789"/>
        </w:tabs>
        <w:jc w:val="both"/>
        <w:rPr>
          <w:rFonts w:cs="Calibri"/>
          <w:sz w:val="20"/>
          <w:szCs w:val="20"/>
          <w:lang w:val="es-ES"/>
        </w:rPr>
      </w:pPr>
      <w:r w:rsidRPr="00514681">
        <w:rPr>
          <w:rFonts w:cs="Calibri"/>
          <w:sz w:val="20"/>
          <w:szCs w:val="20"/>
          <w:lang w:val="es-ES"/>
        </w:rPr>
        <w:t>Adhiero al Voto Concurrente indicado en el título en atención a que, como es obvio, lo comparto, estimando, empero, conveniente resaltar lo que sigue:</w:t>
      </w:r>
    </w:p>
    <w:p w:rsidR="00CA58C7" w:rsidRPr="00514681" w:rsidRDefault="00CA58C7" w:rsidP="00AD13AB">
      <w:pPr>
        <w:tabs>
          <w:tab w:val="left" w:pos="8789"/>
        </w:tabs>
        <w:jc w:val="both"/>
        <w:rPr>
          <w:rFonts w:cs="Calibri"/>
          <w:sz w:val="20"/>
          <w:szCs w:val="20"/>
          <w:lang w:val="es-ES"/>
        </w:rPr>
      </w:pPr>
    </w:p>
    <w:p w:rsidR="00CA58C7" w:rsidRPr="00514681" w:rsidRDefault="00CA58C7" w:rsidP="00AD13AB">
      <w:pPr>
        <w:tabs>
          <w:tab w:val="left" w:pos="8789"/>
        </w:tabs>
        <w:jc w:val="both"/>
        <w:rPr>
          <w:rFonts w:cs="Calibri"/>
          <w:sz w:val="20"/>
          <w:szCs w:val="20"/>
        </w:rPr>
      </w:pPr>
      <w:r w:rsidRPr="00514681">
        <w:rPr>
          <w:rFonts w:cs="Calibri"/>
          <w:sz w:val="20"/>
          <w:szCs w:val="20"/>
          <w:lang w:val="es-ES"/>
        </w:rPr>
        <w:t>1.- La Convención Americana sobre Derechos Humanos señala, en el segundo párrafo de su Preámbulo “</w:t>
      </w:r>
      <w:r w:rsidRPr="00514681">
        <w:rPr>
          <w:rFonts w:cs="Calibri"/>
          <w:i/>
          <w:sz w:val="20"/>
          <w:szCs w:val="20"/>
        </w:rPr>
        <w:t>que los derechos esenciales del hombre … tienen como fundamento los atributos de la persona humana</w:t>
      </w:r>
      <w:r w:rsidRPr="00514681">
        <w:rPr>
          <w:rFonts w:cs="Calibri"/>
          <w:sz w:val="20"/>
          <w:szCs w:val="20"/>
        </w:rPr>
        <w:t xml:space="preserve">”. Esta misma idea la contemplada dicha Convención </w:t>
      </w:r>
      <w:r w:rsidRPr="00514681">
        <w:rPr>
          <w:rFonts w:cs="Calibri"/>
          <w:sz w:val="20"/>
          <w:szCs w:val="20"/>
          <w:lang w:val="es-ES"/>
        </w:rPr>
        <w:t>en su artículo 29.c), al disponer que</w:t>
      </w:r>
      <w:r w:rsidRPr="00514681">
        <w:rPr>
          <w:rFonts w:cs="Calibri"/>
          <w:sz w:val="20"/>
          <w:szCs w:val="20"/>
        </w:rPr>
        <w:t xml:space="preserve"> “ (n)</w:t>
      </w:r>
      <w:r w:rsidRPr="00514681">
        <w:rPr>
          <w:rFonts w:cs="Calibri"/>
          <w:i/>
          <w:sz w:val="20"/>
          <w:szCs w:val="20"/>
        </w:rPr>
        <w:t>inguna disposición de la (</w:t>
      </w:r>
      <w:r w:rsidRPr="00514681">
        <w:rPr>
          <w:rFonts w:cs="Calibri"/>
          <w:sz w:val="20"/>
          <w:szCs w:val="20"/>
        </w:rPr>
        <w:t>misma</w:t>
      </w:r>
      <w:r w:rsidRPr="00514681">
        <w:rPr>
          <w:rFonts w:cs="Calibri"/>
          <w:i/>
          <w:sz w:val="20"/>
          <w:szCs w:val="20"/>
        </w:rPr>
        <w:t>) puede ser interpretada en el sentido de … excluir otros derechos y garantías que son inherentes al ser humano.”</w:t>
      </w:r>
      <w:r w:rsidRPr="00514681">
        <w:rPr>
          <w:rFonts w:cs="Calibri"/>
          <w:sz w:val="20"/>
          <w:szCs w:val="20"/>
        </w:rPr>
        <w:t xml:space="preserve">  Téngase presente, además, que la propia Convención señala, en su artículo 1, que los derechos a que se refiere son “</w:t>
      </w:r>
      <w:r w:rsidRPr="00514681">
        <w:rPr>
          <w:rFonts w:cs="Calibri"/>
          <w:i/>
          <w:sz w:val="20"/>
          <w:szCs w:val="20"/>
        </w:rPr>
        <w:t>reconocidos</w:t>
      </w:r>
      <w:r w:rsidRPr="00514681">
        <w:rPr>
          <w:rFonts w:cs="Calibri"/>
          <w:sz w:val="20"/>
          <w:szCs w:val="20"/>
        </w:rPr>
        <w:t>” por ella y no establecidos o consagrados por ella. De suerte, pues, que expresamente contempla la posibilidad de que pueden existir otros derechos humanos inherentes al ser humano, como sería el derecho a la verdad,  no “</w:t>
      </w:r>
      <w:r w:rsidRPr="00514681">
        <w:rPr>
          <w:rFonts w:cs="Calibri"/>
          <w:i/>
          <w:sz w:val="20"/>
          <w:szCs w:val="20"/>
        </w:rPr>
        <w:t>reconocidos</w:t>
      </w:r>
      <w:r w:rsidRPr="00514681">
        <w:rPr>
          <w:rFonts w:cs="Calibri"/>
          <w:sz w:val="20"/>
          <w:szCs w:val="20"/>
        </w:rPr>
        <w:t>” explícitamente en ella.</w:t>
      </w:r>
    </w:p>
    <w:p w:rsidR="00CA58C7" w:rsidRPr="00514681" w:rsidRDefault="00CA58C7" w:rsidP="00AD13AB">
      <w:pPr>
        <w:pStyle w:val="NormalWeb"/>
        <w:jc w:val="both"/>
        <w:rPr>
          <w:rFonts w:ascii="Verdana" w:hAnsi="Verdana" w:cs="Calibri"/>
          <w:sz w:val="20"/>
          <w:szCs w:val="20"/>
        </w:rPr>
      </w:pPr>
    </w:p>
    <w:p w:rsidR="00CA58C7" w:rsidRPr="00514681" w:rsidRDefault="00CA58C7" w:rsidP="00AD13AB">
      <w:pPr>
        <w:pStyle w:val="NormalWeb"/>
        <w:jc w:val="both"/>
        <w:rPr>
          <w:rFonts w:ascii="Verdana" w:hAnsi="Verdana" w:cs="Calibri"/>
          <w:sz w:val="20"/>
          <w:szCs w:val="20"/>
          <w:lang w:val="es-ES"/>
        </w:rPr>
      </w:pPr>
      <w:r w:rsidRPr="00514681">
        <w:rPr>
          <w:rFonts w:ascii="Verdana" w:hAnsi="Verdana" w:cs="Calibri"/>
          <w:sz w:val="20"/>
          <w:szCs w:val="20"/>
        </w:rPr>
        <w:t>2.- Por otra parte, en la letra b) del artículo 29 recién citado, se establece que  (n)</w:t>
      </w:r>
      <w:r w:rsidRPr="00514681">
        <w:rPr>
          <w:rFonts w:ascii="Verdana" w:hAnsi="Verdana" w:cs="Calibri"/>
          <w:i/>
          <w:sz w:val="20"/>
          <w:szCs w:val="20"/>
        </w:rPr>
        <w:t>inguna disposición de la (</w:t>
      </w:r>
      <w:r w:rsidRPr="00514681">
        <w:rPr>
          <w:rFonts w:ascii="Verdana" w:hAnsi="Verdana" w:cs="Calibri"/>
          <w:sz w:val="20"/>
          <w:szCs w:val="20"/>
        </w:rPr>
        <w:t>misma</w:t>
      </w:r>
      <w:r w:rsidRPr="00514681">
        <w:rPr>
          <w:rFonts w:ascii="Verdana" w:hAnsi="Verdana" w:cs="Calibri"/>
          <w:i/>
          <w:sz w:val="20"/>
          <w:szCs w:val="20"/>
        </w:rPr>
        <w:t>) puede ser interpretada en el sentido de</w:t>
      </w:r>
      <w:r w:rsidRPr="00514681">
        <w:rPr>
          <w:rFonts w:ascii="Verdana" w:hAnsi="Verdana" w:cs="Calibri"/>
          <w:sz w:val="20"/>
          <w:szCs w:val="20"/>
          <w:lang w:val="es-ES"/>
        </w:rPr>
        <w:t xml:space="preserve"> …</w:t>
      </w:r>
      <w:r w:rsidRPr="00514681">
        <w:rPr>
          <w:rFonts w:ascii="Verdana" w:hAnsi="Verdana" w:cs="Calibri"/>
          <w:sz w:val="20"/>
          <w:szCs w:val="20"/>
        </w:rPr>
        <w:t xml:space="preserve"> </w:t>
      </w:r>
      <w:r w:rsidRPr="00514681">
        <w:rPr>
          <w:rFonts w:ascii="Verdana" w:hAnsi="Verdana" w:cs="Calibri"/>
          <w:i/>
          <w:sz w:val="20"/>
          <w:szCs w:val="20"/>
        </w:rPr>
        <w:t>limitar el goce y ejercicio de cualquier derecho o libertad que pueda estar reconocido … de acuerdo con otra convención en que sea parte uno de dichos Estados</w:t>
      </w:r>
      <w:r w:rsidRPr="00514681">
        <w:rPr>
          <w:rFonts w:ascii="Verdana" w:hAnsi="Verdana" w:cs="Calibri"/>
          <w:sz w:val="20"/>
          <w:szCs w:val="20"/>
        </w:rPr>
        <w:t xml:space="preserve">”. Y resulta que en el caso de autos, la </w:t>
      </w:r>
      <w:r w:rsidRPr="00514681">
        <w:rPr>
          <w:rFonts w:ascii="Verdana" w:hAnsi="Verdana" w:cs="Calibri"/>
          <w:sz w:val="20"/>
          <w:szCs w:val="20"/>
          <w:lang w:val="es-CR"/>
        </w:rPr>
        <w:t>Convención Internacional para la Protección de Todas las Personas contra las Desapariciones Forzadas, ratificada por Colombia y vigente en dicho país desde el 10 de agosto de 2012, expresamente reconoce, en su artículo 24</w:t>
      </w:r>
      <w:r w:rsidRPr="00514681">
        <w:rPr>
          <w:rFonts w:ascii="Verdana" w:hAnsi="Verdana" w:cs="Calibri"/>
          <w:sz w:val="20"/>
          <w:szCs w:val="20"/>
          <w:lang w:val="es-ES"/>
        </w:rPr>
        <w:t>.2, el derecho a la verdad al establecer que “(c)</w:t>
      </w:r>
      <w:r w:rsidRPr="00514681">
        <w:rPr>
          <w:rFonts w:ascii="Verdana" w:hAnsi="Verdana" w:cs="Calibri"/>
          <w:i/>
          <w:sz w:val="20"/>
          <w:szCs w:val="20"/>
          <w:lang w:val="es-ES"/>
        </w:rPr>
        <w:t>ada víctima tiene el derecho de conocer la verdad sobre las circunstancias de la desaparición forzada, la evolución y resultados de la investigación y la suerte de la persona desaparecida</w:t>
      </w:r>
      <w:r w:rsidRPr="00514681">
        <w:rPr>
          <w:rFonts w:ascii="Verdana" w:hAnsi="Verdana" w:cs="Calibri"/>
          <w:sz w:val="20"/>
          <w:szCs w:val="20"/>
          <w:lang w:val="es-ES"/>
        </w:rPr>
        <w:t>”. De manera, entonces, que si bien dicha Convención no se encontraba vigente en Colombia al momento de los hechos de la causa en comento, el derecho a la verdad por ella reconocido no puede ser limitado por una interpretación de la Convención Americana sobre Derechos Humanos, lo que ocurriría si se considerara que el referido derecho no está previsto, aunque sea tácitamente, en esta última.</w:t>
      </w:r>
    </w:p>
    <w:p w:rsidR="00CA58C7" w:rsidRPr="00514681" w:rsidRDefault="00CA58C7" w:rsidP="00AD13AB">
      <w:pPr>
        <w:pStyle w:val="NormalWeb"/>
        <w:jc w:val="both"/>
        <w:rPr>
          <w:rFonts w:ascii="Verdana" w:hAnsi="Verdana" w:cs="Calibri"/>
          <w:sz w:val="20"/>
          <w:szCs w:val="20"/>
          <w:lang w:val="es-ES"/>
        </w:rPr>
      </w:pPr>
    </w:p>
    <w:p w:rsidR="00CA58C7" w:rsidRPr="00514681" w:rsidRDefault="00CA58C7" w:rsidP="00AD13AB">
      <w:pPr>
        <w:jc w:val="both"/>
        <w:rPr>
          <w:sz w:val="20"/>
          <w:szCs w:val="20"/>
          <w:lang w:val="es-ES"/>
        </w:rPr>
      </w:pPr>
      <w:r w:rsidRPr="00514681">
        <w:rPr>
          <w:rFonts w:cs="Calibri"/>
          <w:sz w:val="20"/>
          <w:szCs w:val="20"/>
          <w:lang w:val="es-ES"/>
        </w:rPr>
        <w:t>3.- Además, en la letra c) el mismo artículo 29 de la Convención Americana sobre Derechos Humanos se dispone que “(n)</w:t>
      </w:r>
      <w:r w:rsidRPr="00514681">
        <w:rPr>
          <w:rFonts w:cs="Calibri"/>
          <w:i/>
          <w:sz w:val="20"/>
          <w:szCs w:val="20"/>
        </w:rPr>
        <w:t>inguna disposición de la presente Convención puede ser interpretada en el sentido d</w:t>
      </w:r>
      <w:bookmarkStart w:id="7" w:name="_GoBack"/>
      <w:bookmarkEnd w:id="7"/>
      <w:r w:rsidRPr="00514681">
        <w:rPr>
          <w:rFonts w:cs="Calibri"/>
          <w:i/>
          <w:sz w:val="20"/>
          <w:szCs w:val="20"/>
        </w:rPr>
        <w:t xml:space="preserve">e… excluir otros derechos y garantías … que se derivan de la forma democrática representativa de gobierno”, </w:t>
      </w:r>
      <w:r w:rsidRPr="00514681">
        <w:rPr>
          <w:rFonts w:cs="Calibri"/>
          <w:sz w:val="20"/>
          <w:szCs w:val="20"/>
        </w:rPr>
        <w:t xml:space="preserve">entre los que habría que contemplar al derecho a exigir del Estado, como </w:t>
      </w:r>
      <w:r w:rsidRPr="00514681">
        <w:rPr>
          <w:rFonts w:cs="Calibri"/>
          <w:sz w:val="20"/>
          <w:szCs w:val="20"/>
          <w:lang w:eastAsia="es-CR"/>
        </w:rPr>
        <w:t xml:space="preserve">componente fundamental del ejercicio de la democracia, según lo estipula el artículo 4 de la Carta Democrática Interamericana, </w:t>
      </w:r>
      <w:r w:rsidRPr="00514681">
        <w:rPr>
          <w:rFonts w:cs="Calibri"/>
          <w:i/>
          <w:sz w:val="20"/>
          <w:szCs w:val="20"/>
          <w:lang w:eastAsia="es-CR"/>
        </w:rPr>
        <w:t>“ la transparencia de las actividades gubernamentales</w:t>
      </w:r>
      <w:r w:rsidRPr="00514681">
        <w:rPr>
          <w:rFonts w:cs="Calibri"/>
          <w:sz w:val="20"/>
          <w:szCs w:val="20"/>
          <w:lang w:eastAsia="es-CR"/>
        </w:rPr>
        <w:t xml:space="preserve">”. Ciertamente, ésta no se daría precisamente en el caso de desaparición forzada de personas, en que, de </w:t>
      </w:r>
      <w:r w:rsidRPr="00514681">
        <w:rPr>
          <w:sz w:val="20"/>
          <w:szCs w:val="20"/>
          <w:lang w:eastAsia="es-CR"/>
        </w:rPr>
        <w:t>acuerdo al artículo 2 de la mencionada Convención</w:t>
      </w:r>
      <w:r w:rsidRPr="00514681">
        <w:rPr>
          <w:sz w:val="20"/>
          <w:szCs w:val="20"/>
          <w:lang w:val="es-CR"/>
        </w:rPr>
        <w:t xml:space="preserve"> Internacional para la Protección de Todas las Personas contra las Desapariciones Forzadas</w:t>
      </w:r>
      <w:r w:rsidRPr="00514681">
        <w:rPr>
          <w:sz w:val="20"/>
          <w:szCs w:val="20"/>
          <w:lang w:eastAsia="es-CR"/>
        </w:rPr>
        <w:t xml:space="preserve">, uno de los elemento de esta </w:t>
      </w:r>
      <w:r w:rsidRPr="00514681">
        <w:rPr>
          <w:sz w:val="20"/>
          <w:szCs w:val="20"/>
          <w:lang w:eastAsia="es-CR"/>
        </w:rPr>
        <w:lastRenderedPageBreak/>
        <w:t>figura jurídica es</w:t>
      </w:r>
      <w:r w:rsidRPr="00514681">
        <w:rPr>
          <w:sz w:val="20"/>
          <w:szCs w:val="20"/>
          <w:lang w:val="es-ES"/>
        </w:rPr>
        <w:t xml:space="preserve"> precisamente “</w:t>
      </w:r>
      <w:r w:rsidRPr="00514681">
        <w:rPr>
          <w:i/>
          <w:sz w:val="20"/>
          <w:szCs w:val="20"/>
          <w:lang w:val="es-ES"/>
        </w:rPr>
        <w:t>la negativa a reconocer</w:t>
      </w:r>
      <w:r w:rsidRPr="00514681">
        <w:rPr>
          <w:sz w:val="20"/>
          <w:szCs w:val="20"/>
          <w:lang w:val="es-ES"/>
        </w:rPr>
        <w:t xml:space="preserve"> </w:t>
      </w:r>
      <w:r w:rsidRPr="00514681">
        <w:rPr>
          <w:i/>
          <w:sz w:val="20"/>
          <w:szCs w:val="20"/>
          <w:lang w:val="es-ES"/>
        </w:rPr>
        <w:t>(la)</w:t>
      </w:r>
      <w:r w:rsidRPr="00514681">
        <w:rPr>
          <w:sz w:val="20"/>
          <w:szCs w:val="20"/>
          <w:lang w:val="es-ES"/>
        </w:rPr>
        <w:t xml:space="preserve"> </w:t>
      </w:r>
      <w:r w:rsidRPr="00514681">
        <w:rPr>
          <w:i/>
          <w:sz w:val="20"/>
          <w:szCs w:val="20"/>
          <w:lang w:val="es-ES"/>
        </w:rPr>
        <w:t>privación de libertad o del ocultamiento de la suerte o el paradero de la persona desaparecida, sustrayéndola a la protección de la ley</w:t>
      </w:r>
      <w:r w:rsidRPr="00514681">
        <w:rPr>
          <w:sz w:val="20"/>
          <w:szCs w:val="20"/>
          <w:lang w:val="es-ES"/>
        </w:rPr>
        <w:t xml:space="preserve">”. La misma idea expresa el artículo II de la Convención Interamericana sobre Desaparición Forzada de Personas, cuyo depósito del instrumento de ratificación por parte de Colombia es de fecha 12 de abril de 2005, al indicar como parte del concepto de la desaparición forzada de personas, la </w:t>
      </w:r>
      <w:r w:rsidRPr="00514681">
        <w:rPr>
          <w:i/>
          <w:sz w:val="20"/>
          <w:szCs w:val="20"/>
          <w:lang w:val="es-ES"/>
        </w:rPr>
        <w:t>“</w:t>
      </w:r>
      <w:r w:rsidRPr="00514681">
        <w:rPr>
          <w:rFonts w:cs="Tahoma"/>
          <w:i/>
          <w:color w:val="000000"/>
          <w:sz w:val="20"/>
          <w:szCs w:val="20"/>
          <w:shd w:val="clear" w:color="auto" w:fill="FFFFFF"/>
        </w:rPr>
        <w:t>falta de información o de la negativa a reconocer (la) privación de libertad o de informar sobre el paradero de la persona, con lo cual se impide el ejercicio de los recursos legales y de las garantías procesales pertinentes”.</w:t>
      </w:r>
      <w:r w:rsidRPr="00514681">
        <w:rPr>
          <w:sz w:val="20"/>
          <w:szCs w:val="20"/>
          <w:lang w:val="es-ES"/>
        </w:rPr>
        <w:t xml:space="preserve"> Vale decir, la desaparición forzada de personas conceptualmente importa que, en definitiva, se vulnera el derecho a la verdad sobre el destino de éstas. </w:t>
      </w:r>
    </w:p>
    <w:p w:rsidR="00CA58C7" w:rsidRPr="00514681" w:rsidRDefault="00CA58C7" w:rsidP="00AD13AB">
      <w:pPr>
        <w:jc w:val="both"/>
        <w:rPr>
          <w:rFonts w:cs="Calibri"/>
          <w:sz w:val="20"/>
          <w:szCs w:val="20"/>
          <w:lang w:eastAsia="es-CR"/>
        </w:rPr>
      </w:pPr>
    </w:p>
    <w:p w:rsidR="00CA58C7" w:rsidRPr="00514681" w:rsidRDefault="00CA58C7" w:rsidP="00AD13AB">
      <w:pPr>
        <w:pStyle w:val="NormalWeb"/>
        <w:jc w:val="both"/>
        <w:rPr>
          <w:rFonts w:ascii="Verdana" w:hAnsi="Verdana" w:cs="Tahoma"/>
          <w:sz w:val="20"/>
          <w:szCs w:val="20"/>
        </w:rPr>
      </w:pPr>
      <w:r w:rsidRPr="00514681">
        <w:rPr>
          <w:rFonts w:ascii="Verdana" w:hAnsi="Verdana"/>
          <w:sz w:val="20"/>
          <w:szCs w:val="20"/>
          <w:lang w:val="es-ES"/>
        </w:rPr>
        <w:t xml:space="preserve">4.- </w:t>
      </w:r>
      <w:r w:rsidRPr="00514681">
        <w:rPr>
          <w:rFonts w:ascii="Verdana" w:hAnsi="Verdana" w:cs="Tahoma"/>
          <w:sz w:val="20"/>
          <w:szCs w:val="20"/>
        </w:rPr>
        <w:t xml:space="preserve">Vinculado a lo anterior, procede, resaltar lo que se señala en el párrafo 20 del Voto Concurrente al que se adhiere, en cuanto que han sido los propios Estados Partes de la Convención Americana sobre Derechos Humanos los que, participando en las Asambleas Generales de la Organización de los Estados Americanos, han reconocido el derecho a la verdad, vinculándolo, entre otras, tanto a la </w:t>
      </w:r>
      <w:r w:rsidRPr="00514681">
        <w:rPr>
          <w:rFonts w:ascii="Verdana" w:hAnsi="Verdana"/>
          <w:sz w:val="20"/>
          <w:szCs w:val="20"/>
          <w:lang w:eastAsia="es-CR"/>
        </w:rPr>
        <w:t>Convención</w:t>
      </w:r>
      <w:r w:rsidRPr="00514681">
        <w:rPr>
          <w:rFonts w:ascii="Verdana" w:hAnsi="Verdana"/>
          <w:sz w:val="20"/>
          <w:szCs w:val="20"/>
          <w:lang w:val="es-CR"/>
        </w:rPr>
        <w:t xml:space="preserve"> Internacional para la Protección de Todas las Personas contra las Desapariciones Forzadas como a la </w:t>
      </w:r>
      <w:r w:rsidRPr="00514681">
        <w:rPr>
          <w:rFonts w:ascii="Verdana" w:hAnsi="Verdana"/>
          <w:sz w:val="20"/>
          <w:szCs w:val="20"/>
          <w:lang w:val="es-ES"/>
        </w:rPr>
        <w:t>Convención Interamericana sobre Desaparición Forzada de Personas, esto es, han realizado, acorde a lo previsto en el artículo 31.3.a) de la Convención de Viena sobre el Derecho de los Tratados, una interpretación auténtica de aquellas, es decir, por medio de un “</w:t>
      </w:r>
      <w:r w:rsidRPr="00514681">
        <w:rPr>
          <w:rFonts w:ascii="Verdana" w:hAnsi="Verdana"/>
          <w:i/>
          <w:sz w:val="20"/>
          <w:szCs w:val="20"/>
          <w:lang w:val="es-ES"/>
        </w:rPr>
        <w:t>acuerdo ulterior entre las partes acerca de la interpretación del tratado o de la aplicación de sus disposiciones</w:t>
      </w:r>
      <w:r w:rsidRPr="00514681">
        <w:rPr>
          <w:rFonts w:ascii="Verdana" w:hAnsi="Verdana"/>
          <w:sz w:val="20"/>
          <w:szCs w:val="20"/>
          <w:lang w:val="es-ES"/>
        </w:rPr>
        <w:t>”. Y, como ya se ha señalado, ambos instrumentos deben considerarse al interpretar a la</w:t>
      </w:r>
      <w:r w:rsidRPr="00514681">
        <w:rPr>
          <w:rFonts w:ascii="Verdana" w:hAnsi="Verdana" w:cs="Tahoma"/>
          <w:sz w:val="20"/>
          <w:szCs w:val="20"/>
        </w:rPr>
        <w:t xml:space="preserve"> Convención Americana sobre Derechos Humanos.</w:t>
      </w:r>
    </w:p>
    <w:p w:rsidR="00CA58C7" w:rsidRPr="00514681" w:rsidRDefault="00CA58C7" w:rsidP="00AD13AB">
      <w:pPr>
        <w:pStyle w:val="NormalWeb"/>
        <w:jc w:val="both"/>
        <w:rPr>
          <w:rFonts w:ascii="Verdana" w:hAnsi="Verdana"/>
          <w:sz w:val="20"/>
          <w:szCs w:val="20"/>
          <w:lang w:val="es-ES"/>
        </w:rPr>
      </w:pPr>
    </w:p>
    <w:p w:rsidR="00CA58C7" w:rsidRPr="00514681" w:rsidRDefault="00CA58C7" w:rsidP="00AD13AB">
      <w:pPr>
        <w:pStyle w:val="NormalWeb"/>
        <w:jc w:val="both"/>
        <w:rPr>
          <w:rFonts w:ascii="Verdana" w:hAnsi="Verdana" w:cs="Tahoma"/>
          <w:sz w:val="20"/>
          <w:szCs w:val="20"/>
        </w:rPr>
      </w:pPr>
      <w:r w:rsidRPr="00514681">
        <w:rPr>
          <w:rFonts w:ascii="Verdana" w:hAnsi="Verdana"/>
          <w:sz w:val="20"/>
          <w:szCs w:val="20"/>
          <w:lang w:val="es-ES"/>
        </w:rPr>
        <w:t>5.- Con relación a todo lo expuesto habría que insistir, en consecuencia, en que el derecho a la verdad, más que estar subsumido en otros derechos</w:t>
      </w:r>
      <w:r w:rsidRPr="00514681">
        <w:rPr>
          <w:rFonts w:ascii="Verdana" w:eastAsia="Arial Unicode MS" w:hAnsi="Verdana" w:cs="Arial Unicode MS"/>
          <w:color w:val="000000"/>
          <w:sz w:val="20"/>
          <w:szCs w:val="20"/>
        </w:rPr>
        <w:t xml:space="preserve">, esto es, más que ser considerado como parte de un conjunto más amplio de derechos, es el supuesto o fundamento de esos otros derechos y, por lo mismo, que no se expresa única y exclusivamente a través de ellos. Así, el derecho a la verdad no puede ser concebido para ser ejercido solo por medio de una acción judicial </w:t>
      </w:r>
      <w:r w:rsidRPr="00514681">
        <w:rPr>
          <w:rFonts w:ascii="Verdana" w:hAnsi="Verdana"/>
          <w:sz w:val="20"/>
          <w:szCs w:val="20"/>
          <w:lang w:val="es-ES"/>
        </w:rPr>
        <w:t>ante “</w:t>
      </w:r>
      <w:r w:rsidRPr="00514681">
        <w:rPr>
          <w:rFonts w:ascii="Verdana" w:hAnsi="Verdana"/>
          <w:i/>
          <w:sz w:val="20"/>
          <w:szCs w:val="20"/>
          <w:lang w:val="es-ES"/>
        </w:rPr>
        <w:t>un juez o tribunal competente</w:t>
      </w:r>
      <w:r w:rsidRPr="00514681">
        <w:rPr>
          <w:rFonts w:ascii="Verdana" w:hAnsi="Verdana" w:cs="Tahoma"/>
          <w:i/>
          <w:sz w:val="20"/>
          <w:szCs w:val="20"/>
        </w:rPr>
        <w:t>, independiente e imparcial, establecido con anterioridad por la ley</w:t>
      </w:r>
      <w:r w:rsidRPr="00514681">
        <w:rPr>
          <w:rFonts w:ascii="Verdana" w:hAnsi="Verdana" w:cs="Tahoma"/>
          <w:sz w:val="20"/>
          <w:szCs w:val="20"/>
        </w:rPr>
        <w:t xml:space="preserve">”, como reza el artículo 8 de la Convención Americana sobre Derechos Humanos o de un </w:t>
      </w:r>
      <w:r w:rsidRPr="00514681">
        <w:rPr>
          <w:rFonts w:ascii="Verdana" w:hAnsi="Verdana" w:cs="Tahoma"/>
          <w:i/>
          <w:sz w:val="20"/>
          <w:szCs w:val="20"/>
        </w:rPr>
        <w:t>“recurso sencillo y rápido o a cualquier otro recurso efectivo ante los jueces o tribunales competentes</w:t>
      </w:r>
      <w:r w:rsidRPr="00514681">
        <w:rPr>
          <w:rFonts w:ascii="Verdana" w:hAnsi="Verdana" w:cs="Tahoma"/>
          <w:sz w:val="20"/>
          <w:szCs w:val="20"/>
        </w:rPr>
        <w:t>”, como lo dispone el artículo 25 de la misma, sino que igualmente puede ser hecho valer, a través de otros mecanismos, ante otra autoridad estatal competente, la que, si lo respeta, evita que el Estado incurra en responsabilidad internacional y hace innecesaria la intervención, en los términos del segundo párrafo del Preámbulo de la Convención Americana sobre Derechos Humanos, de la ”</w:t>
      </w:r>
      <w:r w:rsidRPr="00514681">
        <w:rPr>
          <w:rFonts w:ascii="Verdana" w:hAnsi="Verdana" w:cs="Tahoma"/>
          <w:i/>
          <w:sz w:val="20"/>
          <w:szCs w:val="20"/>
        </w:rPr>
        <w:t>protección internacional, de naturaleza convencional coadyuvante o complementaria de la que ofrece el derecho interno de los Estados americanos</w:t>
      </w:r>
      <w:r w:rsidRPr="00514681">
        <w:rPr>
          <w:rFonts w:ascii="Verdana" w:hAnsi="Verdana" w:cs="Tahoma"/>
          <w:sz w:val="20"/>
          <w:szCs w:val="20"/>
        </w:rPr>
        <w:t>”.</w:t>
      </w:r>
    </w:p>
    <w:p w:rsidR="00CA58C7" w:rsidRPr="00514681" w:rsidRDefault="00CA58C7" w:rsidP="00AD13AB">
      <w:pPr>
        <w:pStyle w:val="NormalWeb"/>
        <w:jc w:val="both"/>
        <w:rPr>
          <w:rFonts w:ascii="Verdana" w:hAnsi="Verdana" w:cs="Tahoma"/>
          <w:sz w:val="20"/>
          <w:szCs w:val="20"/>
        </w:rPr>
      </w:pPr>
    </w:p>
    <w:p w:rsidR="00CA58C7" w:rsidRPr="00514681" w:rsidRDefault="00CA58C7" w:rsidP="00AD13AB">
      <w:pPr>
        <w:pStyle w:val="NormalWeb"/>
        <w:jc w:val="both"/>
        <w:rPr>
          <w:rFonts w:ascii="Verdana" w:hAnsi="Verdana" w:cs="Tahoma"/>
          <w:i/>
          <w:color w:val="000000"/>
          <w:sz w:val="20"/>
          <w:szCs w:val="20"/>
          <w:shd w:val="clear" w:color="auto" w:fill="FFFFFF"/>
        </w:rPr>
      </w:pPr>
      <w:r w:rsidRPr="00514681">
        <w:rPr>
          <w:rFonts w:ascii="Verdana" w:hAnsi="Verdana" w:cs="Tahoma"/>
          <w:sz w:val="20"/>
          <w:szCs w:val="20"/>
        </w:rPr>
        <w:t>6.- En suma, el derecho a la verdad es, a la vez, fundamento a otros derechos, los que, por tanto, no serían comprendidos ni se explicarían sin él, y objetivo último de los mismos, pues sin verdad no hay justicia ni reparación. Como lo manifiesta la</w:t>
      </w:r>
      <w:r w:rsidRPr="00514681">
        <w:rPr>
          <w:rFonts w:ascii="Verdana" w:hAnsi="Verdana"/>
          <w:sz w:val="20"/>
          <w:szCs w:val="20"/>
          <w:lang w:eastAsia="es-CR"/>
        </w:rPr>
        <w:t xml:space="preserve"> Convención</w:t>
      </w:r>
      <w:r w:rsidRPr="00514681">
        <w:rPr>
          <w:rFonts w:ascii="Verdana" w:hAnsi="Verdana"/>
          <w:sz w:val="20"/>
          <w:szCs w:val="20"/>
          <w:lang w:val="es-CR"/>
        </w:rPr>
        <w:t xml:space="preserve"> Internacional para la Protección de Todas las Personas contra las Desapariciones Forzadas, la falta de verdad sustrae a la persona desaparecida de la</w:t>
      </w:r>
      <w:r w:rsidRPr="00514681">
        <w:rPr>
          <w:rFonts w:ascii="Verdana" w:hAnsi="Verdana"/>
          <w:i/>
          <w:sz w:val="20"/>
          <w:szCs w:val="20"/>
          <w:lang w:val="es-CR"/>
        </w:rPr>
        <w:t xml:space="preserve"> “protección de la ley</w:t>
      </w:r>
      <w:r w:rsidRPr="00514681">
        <w:rPr>
          <w:rFonts w:ascii="Verdana" w:hAnsi="Verdana"/>
          <w:sz w:val="20"/>
          <w:szCs w:val="20"/>
          <w:lang w:val="es-CR"/>
        </w:rPr>
        <w:t xml:space="preserve">” o como lo expresa la </w:t>
      </w:r>
      <w:r w:rsidRPr="00514681">
        <w:rPr>
          <w:rFonts w:ascii="Verdana" w:hAnsi="Verdana"/>
          <w:sz w:val="20"/>
          <w:szCs w:val="20"/>
          <w:lang w:val="es-ES"/>
        </w:rPr>
        <w:t>Convención Interamericana sobre Desaparición Forzada de Personas, tal carencia de verdad “</w:t>
      </w:r>
      <w:r w:rsidRPr="00514681">
        <w:rPr>
          <w:rFonts w:ascii="Verdana" w:hAnsi="Verdana" w:cs="Tahoma"/>
          <w:i/>
          <w:color w:val="000000"/>
          <w:sz w:val="20"/>
          <w:szCs w:val="20"/>
          <w:shd w:val="clear" w:color="auto" w:fill="FFFFFF"/>
        </w:rPr>
        <w:t>impide el ejercicio de los recursos legales y de las garantías procesales pertinentes”.</w:t>
      </w:r>
    </w:p>
    <w:p w:rsidR="00CA58C7" w:rsidRPr="00514681" w:rsidRDefault="00CA58C7" w:rsidP="00AD13AB">
      <w:pPr>
        <w:pStyle w:val="NormalWeb"/>
        <w:jc w:val="both"/>
        <w:rPr>
          <w:rFonts w:ascii="Verdana" w:hAnsi="Verdana" w:cs="Tahoma"/>
          <w:i/>
          <w:color w:val="000000"/>
          <w:sz w:val="20"/>
          <w:szCs w:val="20"/>
          <w:shd w:val="clear" w:color="auto" w:fill="FFFFFF"/>
        </w:rPr>
      </w:pPr>
    </w:p>
    <w:p w:rsidR="00CA58C7" w:rsidRPr="00514681" w:rsidRDefault="00CA58C7" w:rsidP="00AD13AB">
      <w:pPr>
        <w:pStyle w:val="NormalWeb"/>
        <w:jc w:val="both"/>
        <w:rPr>
          <w:rFonts w:ascii="Verdana" w:hAnsi="Verdana" w:cs="Tahoma"/>
          <w:color w:val="000000"/>
          <w:sz w:val="20"/>
          <w:szCs w:val="20"/>
          <w:shd w:val="clear" w:color="auto" w:fill="FFFFFF"/>
        </w:rPr>
      </w:pPr>
      <w:r w:rsidRPr="00514681">
        <w:rPr>
          <w:rFonts w:ascii="Verdana" w:hAnsi="Verdana" w:cs="Tahoma"/>
          <w:color w:val="000000"/>
          <w:sz w:val="20"/>
          <w:szCs w:val="20"/>
          <w:shd w:val="clear" w:color="auto" w:fill="FFFFFF"/>
        </w:rPr>
        <w:t xml:space="preserve">7.- Por todo lo afirmado, debe entenderse el derecho a la verdad, entonces, como implícitamente incluido en la Convención Americana sobre Derechos Humanos y, por </w:t>
      </w:r>
      <w:r w:rsidRPr="00514681">
        <w:rPr>
          <w:rFonts w:ascii="Verdana" w:hAnsi="Verdana" w:cs="Tahoma"/>
          <w:color w:val="000000"/>
          <w:sz w:val="20"/>
          <w:szCs w:val="20"/>
          <w:shd w:val="clear" w:color="auto" w:fill="FFFFFF"/>
        </w:rPr>
        <w:lastRenderedPageBreak/>
        <w:t>ende, en su interpretación. En especial, dado que, de no ser así, no se comprendería lo prescrito en los artículos 8 y 25, los que, en último término, no persiguen otra cosa que la verdad de lo acontecido en el caso en que ellos se invoquen y apliquen o, en otras palabras, no son más que instrumentos para alcanzar aquella.</w:t>
      </w:r>
    </w:p>
    <w:p w:rsidR="00CA58C7" w:rsidRPr="00514681" w:rsidRDefault="00CA58C7" w:rsidP="00AD13AB">
      <w:pPr>
        <w:pStyle w:val="NormalWeb"/>
        <w:jc w:val="both"/>
        <w:rPr>
          <w:rFonts w:ascii="Verdana" w:hAnsi="Verdana" w:cs="Tahoma"/>
          <w:color w:val="000000"/>
          <w:sz w:val="20"/>
          <w:szCs w:val="20"/>
          <w:shd w:val="clear" w:color="auto" w:fill="FFFFFF"/>
        </w:rPr>
      </w:pPr>
    </w:p>
    <w:p w:rsidR="00CA58C7" w:rsidRPr="00514681" w:rsidRDefault="00CA58C7" w:rsidP="00AD13AB">
      <w:pPr>
        <w:pStyle w:val="NormalWeb"/>
        <w:jc w:val="both"/>
        <w:rPr>
          <w:rFonts w:ascii="Verdana" w:hAnsi="Verdana" w:cs="Tahoma"/>
          <w:color w:val="000000"/>
          <w:sz w:val="20"/>
          <w:szCs w:val="20"/>
          <w:shd w:val="clear" w:color="auto" w:fill="FFFFFF"/>
        </w:rPr>
      </w:pPr>
    </w:p>
    <w:p w:rsidR="00CA58C7" w:rsidRPr="00514681" w:rsidRDefault="00CA58C7" w:rsidP="00AD13AB">
      <w:pPr>
        <w:pStyle w:val="NormalWeb"/>
        <w:jc w:val="both"/>
        <w:rPr>
          <w:rFonts w:ascii="Verdana" w:hAnsi="Verdana" w:cs="Tahoma"/>
          <w:color w:val="000000"/>
          <w:sz w:val="20"/>
          <w:szCs w:val="20"/>
          <w:shd w:val="clear" w:color="auto" w:fill="FFFFFF"/>
        </w:rPr>
      </w:pPr>
    </w:p>
    <w:p w:rsidR="00CA58C7" w:rsidRPr="00514681" w:rsidRDefault="00CA58C7" w:rsidP="00AD13AB">
      <w:pPr>
        <w:pStyle w:val="NormalWeb"/>
        <w:jc w:val="both"/>
        <w:rPr>
          <w:rFonts w:ascii="Verdana" w:hAnsi="Verdana"/>
          <w:sz w:val="20"/>
          <w:szCs w:val="20"/>
          <w:lang w:val="es-ES"/>
        </w:rPr>
      </w:pPr>
    </w:p>
    <w:p w:rsidR="00CA58C7" w:rsidRPr="00514681" w:rsidRDefault="00CA58C7" w:rsidP="00AD13AB">
      <w:pPr>
        <w:pStyle w:val="NormalWeb"/>
        <w:ind w:left="3969"/>
        <w:jc w:val="center"/>
        <w:rPr>
          <w:rFonts w:ascii="Verdana" w:hAnsi="Verdana" w:cs="Tahoma"/>
          <w:sz w:val="20"/>
          <w:szCs w:val="20"/>
        </w:rPr>
      </w:pPr>
      <w:r w:rsidRPr="00514681">
        <w:rPr>
          <w:rFonts w:ascii="Verdana" w:hAnsi="Verdana" w:cs="Tahoma"/>
          <w:sz w:val="20"/>
          <w:szCs w:val="20"/>
        </w:rPr>
        <w:t>Eduardo Vio Grossi</w:t>
      </w:r>
    </w:p>
    <w:p w:rsidR="00CA58C7" w:rsidRPr="00514681" w:rsidRDefault="00CA58C7" w:rsidP="00AD13AB">
      <w:pPr>
        <w:pStyle w:val="NormalWeb"/>
        <w:ind w:left="3969"/>
        <w:jc w:val="center"/>
        <w:rPr>
          <w:rFonts w:ascii="Verdana" w:hAnsi="Verdana"/>
          <w:sz w:val="20"/>
          <w:szCs w:val="20"/>
          <w:lang w:val="es-ES"/>
        </w:rPr>
      </w:pPr>
      <w:r w:rsidRPr="00514681">
        <w:rPr>
          <w:rFonts w:ascii="Verdana" w:hAnsi="Verdana" w:cs="Tahoma"/>
          <w:sz w:val="20"/>
          <w:szCs w:val="20"/>
        </w:rPr>
        <w:t>Juez</w:t>
      </w:r>
    </w:p>
    <w:p w:rsidR="00CA58C7" w:rsidRPr="00514681" w:rsidRDefault="00CA58C7" w:rsidP="00AD13AB">
      <w:pPr>
        <w:rPr>
          <w:lang w:val="es-ES"/>
        </w:rPr>
      </w:pPr>
      <w:r w:rsidRPr="00514681">
        <w:rPr>
          <w:sz w:val="20"/>
          <w:szCs w:val="20"/>
        </w:rPr>
        <w:tab/>
      </w:r>
      <w:r w:rsidRPr="00514681">
        <w:rPr>
          <w:sz w:val="20"/>
          <w:szCs w:val="20"/>
        </w:rPr>
        <w:tab/>
      </w:r>
      <w:r w:rsidRPr="00514681">
        <w:rPr>
          <w:sz w:val="20"/>
          <w:szCs w:val="20"/>
        </w:rPr>
        <w:tab/>
      </w:r>
      <w:r w:rsidRPr="00514681">
        <w:rPr>
          <w:sz w:val="20"/>
          <w:szCs w:val="20"/>
        </w:rPr>
        <w:tab/>
      </w:r>
      <w:r w:rsidRPr="00514681">
        <w:rPr>
          <w:sz w:val="20"/>
          <w:szCs w:val="20"/>
        </w:rPr>
        <w:tab/>
      </w:r>
      <w:r w:rsidRPr="00514681">
        <w:rPr>
          <w:sz w:val="20"/>
          <w:szCs w:val="20"/>
        </w:rPr>
        <w:tab/>
      </w:r>
      <w:r w:rsidRPr="00514681">
        <w:rPr>
          <w:sz w:val="20"/>
          <w:szCs w:val="20"/>
        </w:rPr>
        <w:tab/>
      </w: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center"/>
        <w:rPr>
          <w:sz w:val="20"/>
          <w:szCs w:val="20"/>
          <w:lang w:val="es-ES"/>
        </w:rPr>
      </w:pPr>
      <w:r w:rsidRPr="00514681">
        <w:rPr>
          <w:sz w:val="20"/>
          <w:szCs w:val="20"/>
          <w:lang w:val="es-ES"/>
        </w:rPr>
        <w:t>Pablo Saavedra Alessandri</w:t>
      </w:r>
    </w:p>
    <w:p w:rsidR="00CA58C7" w:rsidRPr="00514681" w:rsidRDefault="00CA58C7" w:rsidP="00AD13AB">
      <w:pPr>
        <w:tabs>
          <w:tab w:val="left" w:pos="8460"/>
          <w:tab w:val="left" w:pos="8640"/>
        </w:tabs>
        <w:jc w:val="center"/>
        <w:rPr>
          <w:sz w:val="20"/>
          <w:szCs w:val="20"/>
          <w:lang w:val="es-ES"/>
        </w:rPr>
      </w:pPr>
      <w:r w:rsidRPr="00514681">
        <w:rPr>
          <w:sz w:val="20"/>
          <w:szCs w:val="20"/>
          <w:lang w:val="es-ES"/>
        </w:rPr>
        <w:t>Secretario</w:t>
      </w: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rPr>
          <w:sz w:val="20"/>
          <w:szCs w:val="20"/>
          <w:lang w:val="es-ES"/>
        </w:rPr>
      </w:pPr>
      <w:r w:rsidRPr="00514681">
        <w:rPr>
          <w:sz w:val="20"/>
          <w:szCs w:val="20"/>
          <w:lang w:val="es-ES"/>
        </w:rPr>
        <w:br w:type="page"/>
      </w: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rPr>
          <w:sz w:val="20"/>
          <w:szCs w:val="20"/>
          <w:lang w:val="es-ES"/>
        </w:rPr>
      </w:pPr>
    </w:p>
    <w:p w:rsidR="00CA58C7" w:rsidRPr="00514681" w:rsidRDefault="00CA58C7" w:rsidP="00AD13AB">
      <w:pPr>
        <w:jc w:val="center"/>
        <w:rPr>
          <w:rFonts w:cs="Calibri"/>
          <w:b/>
          <w:sz w:val="20"/>
          <w:szCs w:val="20"/>
          <w:lang w:val="es-ES"/>
        </w:rPr>
      </w:pPr>
      <w:r w:rsidRPr="00514681">
        <w:rPr>
          <w:rFonts w:cs="Calibri"/>
          <w:b/>
          <w:sz w:val="20"/>
          <w:szCs w:val="20"/>
          <w:lang w:val="es-ES"/>
        </w:rPr>
        <w:t>ADHESIÓN DEL JUEZ MANUEL E. VENTURA ROBLES</w:t>
      </w:r>
    </w:p>
    <w:p w:rsidR="00CA58C7" w:rsidRPr="00514681" w:rsidRDefault="00CA58C7" w:rsidP="00AD13AB">
      <w:pPr>
        <w:jc w:val="center"/>
        <w:rPr>
          <w:rFonts w:cs="Calibri"/>
          <w:b/>
          <w:sz w:val="20"/>
          <w:szCs w:val="20"/>
        </w:rPr>
      </w:pPr>
      <w:r w:rsidRPr="00514681">
        <w:rPr>
          <w:rFonts w:cs="Calibri"/>
          <w:b/>
          <w:sz w:val="20"/>
          <w:szCs w:val="20"/>
          <w:lang w:val="es-ES"/>
        </w:rPr>
        <w:t xml:space="preserve">AL </w:t>
      </w:r>
      <w:r w:rsidRPr="00514681">
        <w:rPr>
          <w:rFonts w:cs="Calibri"/>
          <w:b/>
          <w:sz w:val="20"/>
          <w:szCs w:val="20"/>
        </w:rPr>
        <w:t>VOTO CONCURRENTE DEL</w:t>
      </w:r>
    </w:p>
    <w:p w:rsidR="00CA58C7" w:rsidRPr="00514681" w:rsidRDefault="00CA58C7" w:rsidP="00AD13AB">
      <w:pPr>
        <w:jc w:val="center"/>
        <w:rPr>
          <w:rFonts w:cs="Calibri"/>
          <w:b/>
          <w:sz w:val="20"/>
          <w:szCs w:val="20"/>
        </w:rPr>
      </w:pPr>
      <w:r w:rsidRPr="00514681">
        <w:rPr>
          <w:rFonts w:cs="Calibri"/>
          <w:b/>
          <w:sz w:val="20"/>
          <w:szCs w:val="20"/>
        </w:rPr>
        <w:t>JUEZ EDUARDO FERRER MAC-GREGOR POISOT</w:t>
      </w:r>
    </w:p>
    <w:p w:rsidR="00CA58C7" w:rsidRPr="00514681" w:rsidRDefault="00CA58C7" w:rsidP="00AD13AB">
      <w:pPr>
        <w:jc w:val="center"/>
        <w:rPr>
          <w:rFonts w:cs="Calibri"/>
          <w:b/>
          <w:sz w:val="20"/>
          <w:szCs w:val="20"/>
        </w:rPr>
      </w:pPr>
    </w:p>
    <w:p w:rsidR="00CA58C7" w:rsidRPr="00514681" w:rsidRDefault="00CA58C7" w:rsidP="00AD13AB">
      <w:pPr>
        <w:jc w:val="center"/>
        <w:rPr>
          <w:rFonts w:cs="Calibri"/>
          <w:b/>
          <w:sz w:val="20"/>
          <w:szCs w:val="20"/>
          <w:u w:val="single"/>
        </w:rPr>
      </w:pPr>
      <w:r w:rsidRPr="00514681">
        <w:rPr>
          <w:rFonts w:cs="Calibri"/>
          <w:b/>
          <w:sz w:val="20"/>
          <w:szCs w:val="20"/>
          <w:u w:val="single"/>
        </w:rPr>
        <w:t>CASO RODRÍGUEZ VERA Y OTROS (</w:t>
      </w:r>
      <w:r w:rsidR="00C0009F" w:rsidRPr="00514681">
        <w:rPr>
          <w:rFonts w:cs="Calibri"/>
          <w:b/>
          <w:sz w:val="20"/>
          <w:szCs w:val="20"/>
          <w:u w:val="single"/>
        </w:rPr>
        <w:t>DESAPARECIDOS DEL PALACIO DEL JUSTICIA</w:t>
      </w:r>
      <w:r w:rsidRPr="00514681">
        <w:rPr>
          <w:rFonts w:cs="Calibri"/>
          <w:b/>
          <w:sz w:val="20"/>
          <w:szCs w:val="20"/>
          <w:u w:val="single"/>
        </w:rPr>
        <w:t>)</w:t>
      </w:r>
      <w:r w:rsidR="00C0009F" w:rsidRPr="00514681">
        <w:rPr>
          <w:rFonts w:cs="Calibri"/>
          <w:b/>
          <w:sz w:val="20"/>
          <w:szCs w:val="20"/>
          <w:u w:val="single"/>
        </w:rPr>
        <w:t xml:space="preserve"> </w:t>
      </w:r>
      <w:r w:rsidRPr="00514681">
        <w:rPr>
          <w:rFonts w:cs="Calibri"/>
          <w:b/>
          <w:sz w:val="20"/>
          <w:szCs w:val="20"/>
          <w:u w:val="single"/>
        </w:rPr>
        <w:t>VS. COLOMBIA</w:t>
      </w:r>
    </w:p>
    <w:p w:rsidR="00CA58C7" w:rsidRPr="00514681" w:rsidRDefault="00CA58C7" w:rsidP="00AD13AB">
      <w:pPr>
        <w:jc w:val="center"/>
        <w:rPr>
          <w:rFonts w:cs="Calibri"/>
          <w:b/>
          <w:sz w:val="20"/>
          <w:szCs w:val="20"/>
          <w:u w:val="single"/>
        </w:rPr>
      </w:pPr>
    </w:p>
    <w:p w:rsidR="00CA58C7" w:rsidRPr="00950F9A" w:rsidRDefault="00CA58C7" w:rsidP="00AD13AB">
      <w:pPr>
        <w:jc w:val="center"/>
        <w:rPr>
          <w:rFonts w:cs="Calibri"/>
          <w:b/>
          <w:bCs/>
          <w:sz w:val="18"/>
          <w:szCs w:val="18"/>
        </w:rPr>
      </w:pPr>
      <w:r w:rsidRPr="00950F9A">
        <w:rPr>
          <w:rFonts w:cs="Calibri"/>
          <w:b/>
          <w:bCs/>
          <w:sz w:val="18"/>
          <w:szCs w:val="18"/>
        </w:rPr>
        <w:t>SENTENCIA DE 14 DE NOVIEMBRE DE 2014</w:t>
      </w:r>
    </w:p>
    <w:p w:rsidR="00CA58C7" w:rsidRPr="00950F9A" w:rsidRDefault="00CA58C7" w:rsidP="00AD13AB">
      <w:pPr>
        <w:jc w:val="center"/>
        <w:rPr>
          <w:rFonts w:cs="Calibri"/>
          <w:b/>
          <w:bCs/>
          <w:i/>
          <w:iCs/>
          <w:sz w:val="18"/>
          <w:szCs w:val="18"/>
        </w:rPr>
      </w:pPr>
      <w:r w:rsidRPr="00950F9A">
        <w:rPr>
          <w:rFonts w:cs="Calibri"/>
          <w:b/>
          <w:bCs/>
          <w:i/>
          <w:iCs/>
          <w:sz w:val="18"/>
          <w:szCs w:val="18"/>
        </w:rPr>
        <w:t>(Excepciones Preliminares</w:t>
      </w:r>
      <w:r w:rsidR="00950F9A" w:rsidRPr="00950F9A">
        <w:rPr>
          <w:rFonts w:cs="Calibri"/>
          <w:b/>
          <w:bCs/>
          <w:i/>
          <w:iCs/>
          <w:sz w:val="18"/>
          <w:szCs w:val="18"/>
        </w:rPr>
        <w:t>, Fondo, Reparaciones y Costas)</w:t>
      </w:r>
    </w:p>
    <w:p w:rsidR="00CA58C7" w:rsidRPr="00514681" w:rsidRDefault="00CA58C7" w:rsidP="00AD13AB">
      <w:pPr>
        <w:jc w:val="cente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El adherir al voto concurrente del Juez Eduardo Ferrer Mac-Gregor Poisot en el presente caso, me permitirá expresar una vieja preocupación sobre la autonomía del derecho a la verdad y la subsunción que ha hecho la Corte del mismo en los artículos 8 y 25 de la Convención Americana sobre Derechos Humanos </w:t>
      </w:r>
      <w:r w:rsidRPr="00514681">
        <w:rPr>
          <w:rFonts w:ascii="Verdana" w:eastAsia="Calibri" w:hAnsi="Verdana" w:cs="Verdana"/>
          <w:spacing w:val="-2"/>
          <w:sz w:val="20"/>
          <w:szCs w:val="20"/>
          <w:lang w:eastAsia="es-CR"/>
        </w:rPr>
        <w:t>(en adelante “la Convención Americana” o “la Convención”).</w:t>
      </w:r>
      <w:r w:rsidRPr="00514681">
        <w:rPr>
          <w:rFonts w:eastAsia="Calibri" w:cs="Verdana"/>
          <w:spacing w:val="-2"/>
          <w:szCs w:val="20"/>
          <w:lang w:eastAsia="es-CR"/>
        </w:rPr>
        <w:t xml:space="preserve"> </w:t>
      </w:r>
      <w:r w:rsidRPr="00514681">
        <w:rPr>
          <w:rFonts w:ascii="Verdana" w:hAnsi="Verdana"/>
          <w:sz w:val="20"/>
          <w:szCs w:val="20"/>
        </w:rPr>
        <w:t>Criterio que, durante muchos años y en muchas ocasiones, compartí como Juez.</w:t>
      </w:r>
    </w:p>
    <w:p w:rsidR="00CA58C7" w:rsidRPr="00514681" w:rsidRDefault="00CA58C7" w:rsidP="00AD13AB">
      <w:pPr>
        <w:pStyle w:val="ListParagraph"/>
        <w:tabs>
          <w:tab w:val="left" w:pos="567"/>
        </w:tabs>
        <w:spacing w:after="0" w:line="240" w:lineRule="auto"/>
        <w:ind w:left="0"/>
        <w:contextualSpacing w:val="0"/>
        <w:jc w:val="both"/>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El voto concurrente del Juez Ferrer Mac-Gregor Poisot me permite decir por primera vez por escrito que la gran mayoría de los 180 casos que ha resuelto la Corte Interamericana de Derechos Humanos </w:t>
      </w:r>
      <w:r w:rsidRPr="00514681">
        <w:rPr>
          <w:rFonts w:ascii="Verdana" w:eastAsia="Calibri" w:hAnsi="Verdana" w:cs="Verdana"/>
          <w:spacing w:val="-2"/>
          <w:sz w:val="20"/>
          <w:szCs w:val="20"/>
          <w:lang w:eastAsia="es-CR"/>
        </w:rPr>
        <w:t xml:space="preserve">(en adelante “la Corte Interamericana”, “la Corte” o “este Tribunal”) </w:t>
      </w:r>
      <w:r w:rsidRPr="00514681">
        <w:rPr>
          <w:rFonts w:ascii="Verdana" w:hAnsi="Verdana"/>
          <w:sz w:val="20"/>
          <w:szCs w:val="20"/>
        </w:rPr>
        <w:t>a partir del año 1987, en que inicia el ejercicio de su función jurisdiccional, no se han podido cerrar y dar por cumplido las responsabilidades estatales, principalmente, por no haberle señalado a los Estados que habían violado el derecho a la verdad y que éste, naturalmente, está ligado a la obligación de investigar los hechos de los casos.</w:t>
      </w:r>
    </w:p>
    <w:p w:rsidR="00CA58C7" w:rsidRPr="00514681" w:rsidRDefault="00CA58C7" w:rsidP="00AD13AB">
      <w:pPr>
        <w:pStyle w:val="ListParagraph"/>
        <w:spacing w:after="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Haber puesto de relieve esto desde ese entonces y no hasta el 2010 en el caso </w:t>
      </w:r>
      <w:r w:rsidRPr="00514681">
        <w:rPr>
          <w:rFonts w:ascii="Verdana" w:hAnsi="Verdana" w:cs="Times New Roman"/>
          <w:i/>
          <w:spacing w:val="-4"/>
          <w:sz w:val="20"/>
          <w:szCs w:val="20"/>
          <w:lang w:val="es-MX"/>
        </w:rPr>
        <w:t>Gomes Lund y otros ("Guerrilha do Araguaia") Vs. Brasil</w:t>
      </w:r>
      <w:r w:rsidRPr="00514681">
        <w:rPr>
          <w:rStyle w:val="FootnoteReference"/>
          <w:sz w:val="20"/>
          <w:szCs w:val="20"/>
          <w:lang w:val="es-ES"/>
        </w:rPr>
        <w:t xml:space="preserve"> </w:t>
      </w:r>
      <w:r w:rsidRPr="00514681">
        <w:rPr>
          <w:rStyle w:val="FootnoteReference"/>
          <w:sz w:val="20"/>
          <w:szCs w:val="20"/>
          <w:lang w:val="es-ES"/>
        </w:rPr>
        <w:footnoteReference w:id="62"/>
      </w:r>
      <w:r w:rsidRPr="00514681">
        <w:rPr>
          <w:rFonts w:ascii="Verdana" w:hAnsi="Verdana"/>
          <w:sz w:val="20"/>
          <w:szCs w:val="20"/>
        </w:rPr>
        <w:t xml:space="preserve">, hubiera permitido a la Corte ser más enfática con los Estados en cuanto a su obligación de investigar y la impunidad no tendría las dimensiones que goza hoy en día en el sistema interamericano de protección de derechos humanos, la cual es alarmante. </w:t>
      </w:r>
    </w:p>
    <w:p w:rsidR="00CA58C7" w:rsidRPr="00514681" w:rsidRDefault="00CA58C7" w:rsidP="00AD13AB">
      <w:pPr>
        <w:pStyle w:val="ListParagraph"/>
        <w:spacing w:after="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i/>
          <w:sz w:val="20"/>
          <w:szCs w:val="20"/>
        </w:rPr>
      </w:pPr>
      <w:r w:rsidRPr="00514681">
        <w:rPr>
          <w:rFonts w:ascii="Verdana" w:hAnsi="Verdana"/>
          <w:sz w:val="20"/>
          <w:szCs w:val="20"/>
        </w:rPr>
        <w:t xml:space="preserve">Naturalmente que comparto plenamente los criterios vertidos en el voto concurrente por el Juez Ferrer Mac-Gregor Poisot, así como la adhesión del Juez Vio Grossi, lo que me facilita la oportunidad para señalar la problemática antes señalada en el caso concentro de </w:t>
      </w:r>
      <w:r w:rsidRPr="00514681">
        <w:rPr>
          <w:rFonts w:ascii="Verdana" w:hAnsi="Verdana"/>
          <w:i/>
          <w:sz w:val="20"/>
          <w:szCs w:val="20"/>
        </w:rPr>
        <w:t>Rodriguez Vera y otros (Desaparecidos del Palacio de Justicia) vs. Colombia.</w:t>
      </w:r>
    </w:p>
    <w:p w:rsidR="00CA58C7" w:rsidRPr="00514681" w:rsidRDefault="00CA58C7" w:rsidP="00AD13AB">
      <w:pPr>
        <w:pStyle w:val="ListParagraph"/>
        <w:spacing w:after="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La Corte interamericana, desde hace muchos años, ha señalado que la responsabilidad internacional del Estado puede provenir de omisiones y acciones  de cualquiera de los órganos del mismo, el Poder Ejecutivo, Legislativo o Judicial</w:t>
      </w:r>
      <w:r w:rsidRPr="00514681">
        <w:rPr>
          <w:rStyle w:val="FootnoteReference"/>
          <w:sz w:val="20"/>
          <w:szCs w:val="20"/>
          <w:lang w:val="es-ES"/>
        </w:rPr>
        <w:footnoteReference w:id="63"/>
      </w:r>
      <w:r w:rsidRPr="00514681">
        <w:rPr>
          <w:rFonts w:ascii="Verdana" w:hAnsi="Verdana"/>
          <w:sz w:val="20"/>
          <w:szCs w:val="20"/>
        </w:rPr>
        <w:t>. La exclusión por los representantes del objeto del caso de la posible responsabilidad del Estado por el exceso en el uso de la fuerza durante la retoma del Palacio de Justicia</w:t>
      </w:r>
      <w:r w:rsidRPr="00514681">
        <w:rPr>
          <w:rStyle w:val="FootnoteReference"/>
          <w:sz w:val="20"/>
          <w:szCs w:val="20"/>
        </w:rPr>
        <w:footnoteReference w:id="64"/>
      </w:r>
      <w:r w:rsidRPr="00514681">
        <w:rPr>
          <w:rFonts w:ascii="Verdana" w:hAnsi="Verdana"/>
          <w:sz w:val="20"/>
          <w:szCs w:val="20"/>
        </w:rPr>
        <w:t xml:space="preserve">, limitó enormemente la dimensión del caso y lo centró en solo un aspecto del mismo: </w:t>
      </w:r>
      <w:r w:rsidRPr="00514681">
        <w:rPr>
          <w:rFonts w:ascii="Verdana" w:hAnsi="Verdana"/>
          <w:sz w:val="20"/>
          <w:szCs w:val="20"/>
        </w:rPr>
        <w:lastRenderedPageBreak/>
        <w:t>primordialmente las desapariciones forzadas de trece personas, y la posterior ejecución extrajudicial de una de estas.</w:t>
      </w:r>
    </w:p>
    <w:p w:rsidR="00CA58C7" w:rsidRPr="00514681" w:rsidRDefault="00CA58C7" w:rsidP="00AD13AB">
      <w:pPr>
        <w:pStyle w:val="ListParagraph"/>
        <w:spacing w:after="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Sin embargo, cabe resaltar, que la limitación más grande e importante a la cual se vio sometida la Corte al analizar este caso, se refiere a que la Comisión Interamericana de Derechos Humanos (en adelante “la Comisión”) incluyó, en el sometimiento del caso a la Corte mediante el Informe del artículo 50 de la Convención, muy poca información sobre el papel que jugó en la operación la parte política-civil del Poder Ejecutivo. No así la militar sobre la que hay abundante información. La participación del Poder Judicial podrían ser objeto, en su momento, de las investigaciones pertinentes cuando se terminen de fallar los casos respectivos.</w:t>
      </w:r>
    </w:p>
    <w:p w:rsidR="00CA58C7" w:rsidRPr="00514681" w:rsidRDefault="00CA58C7" w:rsidP="00AD13AB">
      <w:pPr>
        <w:pStyle w:val="ListParagraph"/>
        <w:spacing w:after="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En cuanto a la responsabilidad por la participación del aparato político civil del Poder Ejecutivo en la operación, la Corte tuvo que limitarse a señalar, en el párrafo 98 de la Sentencia, que la última intervención del Presidente de la República, Superior Jerárquico de las Fuerzas Armadas, se produjo a las nueve de la mañana del 7 de noviembre de 1985, cuando anunció por radio que “el Ejército ya tenía totalmente controlado el Palacio y solo quedaba un reducto guerrillero, por lo que se iniciaría la Operación Rastrillo”. La Corte no pudo profundizar en este campo, además porque han sido infructuosos los tres intentos realizados parra investigar los hechos en el seno del poder legislativo</w:t>
      </w:r>
      <w:r w:rsidRPr="00514681">
        <w:rPr>
          <w:rStyle w:val="FootnoteReference"/>
          <w:sz w:val="20"/>
          <w:szCs w:val="20"/>
        </w:rPr>
        <w:footnoteReference w:id="65"/>
      </w:r>
      <w:r w:rsidRPr="00514681">
        <w:rPr>
          <w:rFonts w:ascii="Verdana" w:hAnsi="Verdana"/>
          <w:sz w:val="20"/>
          <w:szCs w:val="20"/>
        </w:rPr>
        <w:t>.</w:t>
      </w:r>
    </w:p>
    <w:p w:rsidR="00CA58C7" w:rsidRPr="00514681" w:rsidRDefault="00CA58C7" w:rsidP="00AD13AB">
      <w:pPr>
        <w:pStyle w:val="ListParagraph"/>
        <w:spacing w:after="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Lo anterior muestra la necesidad de haber declarado la violación del derecho a conocer la verdad en forma autónoma, para poder determinar si funcionarios civiles del Poder Ejecutivo o miembros del Poder Legislativo comprometieron la responsabilidad internacional del Estado, con motivo de la tragedia del Palacio de Justicia. Así que, consecuentemente, la Corte tuvo que limitarse a ordenar en la parte considerativa y resolutiva que el Estado “debe remover todos los obstáculos, </w:t>
      </w:r>
      <w:r w:rsidRPr="00514681">
        <w:rPr>
          <w:rFonts w:ascii="Verdana" w:hAnsi="Verdana"/>
          <w:i/>
          <w:sz w:val="20"/>
          <w:szCs w:val="20"/>
        </w:rPr>
        <w:t>de facto</w:t>
      </w:r>
      <w:r w:rsidRPr="00514681">
        <w:rPr>
          <w:rFonts w:ascii="Verdana" w:hAnsi="Verdana"/>
          <w:sz w:val="20"/>
          <w:szCs w:val="20"/>
        </w:rPr>
        <w:t xml:space="preserve"> y </w:t>
      </w:r>
      <w:r w:rsidRPr="00514681">
        <w:rPr>
          <w:rFonts w:ascii="Verdana" w:hAnsi="Verdana"/>
          <w:i/>
          <w:sz w:val="20"/>
          <w:szCs w:val="20"/>
        </w:rPr>
        <w:t>de jure</w:t>
      </w:r>
      <w:r w:rsidRPr="00514681">
        <w:rPr>
          <w:rFonts w:ascii="Verdana" w:hAnsi="Verdana"/>
          <w:sz w:val="20"/>
          <w:szCs w:val="20"/>
        </w:rPr>
        <w:t xml:space="preserve">, que mantienen la impunidad en este caso, y llevar a cabo las investigaciones amplias, sistemáticas y minuciosas, que sean necesarias para determinar, juzgar, y, en su caso, sancionar a todos los responsables” de los hechos del caso subjudice. </w:t>
      </w:r>
    </w:p>
    <w:p w:rsidR="00CA58C7" w:rsidRPr="00514681" w:rsidRDefault="00CA58C7" w:rsidP="00AD13AB">
      <w:pPr>
        <w:pStyle w:val="ListParagraph"/>
        <w:spacing w:after="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Si la Comisión se hubiera centrado a la hora de someter este caso al Tribunal, y la Corte al considerarlo y decidirlo, en la importancia del derecho a conocer la verdad para evitar la impunidad, muy posiblemente, la investigación de este caso hubiera podido ser más amplia y en la historia de Colombia quedaría más claro todo lo relativo a esta tragedia que conmovió a la sociedad colombiana.</w:t>
      </w:r>
    </w:p>
    <w:p w:rsidR="00CA58C7" w:rsidRPr="00514681" w:rsidRDefault="00CA58C7" w:rsidP="00AD13AB">
      <w:pPr>
        <w:pStyle w:val="ListParagraph"/>
        <w:spacing w:before="120" w:after="12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before="120" w:after="120" w:line="240" w:lineRule="auto"/>
        <w:ind w:left="0" w:firstLine="0"/>
        <w:contextualSpacing w:val="0"/>
        <w:jc w:val="both"/>
        <w:rPr>
          <w:rFonts w:ascii="Verdana" w:hAnsi="Verdana"/>
          <w:sz w:val="20"/>
          <w:szCs w:val="20"/>
        </w:rPr>
      </w:pPr>
      <w:r w:rsidRPr="00514681">
        <w:rPr>
          <w:rFonts w:ascii="Verdana" w:hAnsi="Verdana"/>
          <w:sz w:val="20"/>
          <w:szCs w:val="20"/>
        </w:rPr>
        <w:t>No está demás reiterar para aquellos que no conocen el derecho internacional de los derechos humanos que no correspondía a la Corte Interamericana haberse pronunciado sobre el papel cruel e inhumano que desempeñó la guerrilla del M-19. Eso es responsabilidad de los tribunales de justicia en la jurisdicción interna colombiana. A la Corte Interamericana solo le corresponde señalar, si existe, la responsabilidad internacional del Estado, por violaciones a la Convención Americana. Tampoco le corresponde establecer responsabilidades penales individuales.</w:t>
      </w:r>
    </w:p>
    <w:p w:rsidR="00CA58C7" w:rsidRPr="00514681" w:rsidRDefault="00CA58C7" w:rsidP="00AD13AB">
      <w:pPr>
        <w:pStyle w:val="ListParagraph"/>
        <w:spacing w:before="120" w:after="120" w:line="240" w:lineRule="auto"/>
        <w:contextualSpacing w:val="0"/>
        <w:rPr>
          <w:rFonts w:ascii="Verdana" w:hAnsi="Verdana"/>
          <w:sz w:val="20"/>
          <w:szCs w:val="20"/>
        </w:rPr>
      </w:pPr>
    </w:p>
    <w:p w:rsidR="00CA58C7" w:rsidRPr="00514681" w:rsidRDefault="00CA58C7" w:rsidP="00AD13AB">
      <w:pPr>
        <w:pStyle w:val="ListParagraph"/>
        <w:numPr>
          <w:ilvl w:val="0"/>
          <w:numId w:val="26"/>
        </w:numPr>
        <w:tabs>
          <w:tab w:val="left" w:pos="567"/>
        </w:tabs>
        <w:spacing w:before="120" w:after="120" w:line="240" w:lineRule="auto"/>
        <w:ind w:left="0" w:firstLine="0"/>
        <w:contextualSpacing w:val="0"/>
        <w:jc w:val="both"/>
        <w:rPr>
          <w:rFonts w:ascii="Verdana" w:hAnsi="Verdana"/>
          <w:sz w:val="20"/>
          <w:szCs w:val="20"/>
        </w:rPr>
      </w:pPr>
      <w:r w:rsidRPr="00514681">
        <w:rPr>
          <w:rFonts w:ascii="Verdana" w:hAnsi="Verdana"/>
          <w:sz w:val="20"/>
          <w:szCs w:val="20"/>
        </w:rPr>
        <w:t xml:space="preserve">A la luz de estas consideraciones se puede comprender mejor la sentencia de la Corte y, sobretodo, la necesidad de que ésta empiece a declarar violaciones autónomas del derecho a conocer la verdad, con los fundamentos jurídicos que han señalado los </w:t>
      </w:r>
      <w:r w:rsidRPr="00514681">
        <w:rPr>
          <w:rFonts w:ascii="Verdana" w:hAnsi="Verdana"/>
          <w:sz w:val="20"/>
          <w:szCs w:val="20"/>
        </w:rPr>
        <w:lastRenderedPageBreak/>
        <w:t>Jueces Ferrer Mac-Gregor Poisot y Vio Grossi. Esto, sin duda alguna, lo pongo de nuevo de relieve, permitiría combatir la impunidad en nuestro continente.</w:t>
      </w:r>
    </w:p>
    <w:p w:rsidR="00CA58C7" w:rsidRPr="00514681" w:rsidRDefault="00CA58C7" w:rsidP="00AD13AB">
      <w:pPr>
        <w:rPr>
          <w:sz w:val="20"/>
          <w:szCs w:val="20"/>
        </w:rPr>
      </w:pPr>
    </w:p>
    <w:p w:rsidR="00CA58C7" w:rsidRPr="00514681" w:rsidRDefault="00CA58C7" w:rsidP="00AD13AB">
      <w:pPr>
        <w:rPr>
          <w:sz w:val="20"/>
          <w:szCs w:val="20"/>
        </w:rPr>
      </w:pPr>
    </w:p>
    <w:p w:rsidR="00CA58C7" w:rsidRPr="00514681" w:rsidRDefault="00CA58C7" w:rsidP="00AD13AB">
      <w:pPr>
        <w:rPr>
          <w:sz w:val="20"/>
          <w:szCs w:val="20"/>
        </w:rPr>
      </w:pPr>
    </w:p>
    <w:p w:rsidR="00CA58C7" w:rsidRPr="00514681" w:rsidRDefault="00CA58C7" w:rsidP="00AD13AB">
      <w:pPr>
        <w:rPr>
          <w:sz w:val="20"/>
          <w:szCs w:val="20"/>
        </w:rPr>
      </w:pPr>
    </w:p>
    <w:p w:rsidR="00CA58C7" w:rsidRPr="00514681" w:rsidRDefault="00CA58C7" w:rsidP="00AD13AB">
      <w:pPr>
        <w:ind w:left="3969"/>
        <w:jc w:val="center"/>
        <w:rPr>
          <w:sz w:val="20"/>
          <w:szCs w:val="20"/>
        </w:rPr>
      </w:pPr>
    </w:p>
    <w:p w:rsidR="00CA58C7" w:rsidRPr="00514681" w:rsidRDefault="00CA58C7" w:rsidP="00AD13AB">
      <w:pPr>
        <w:pStyle w:val="ListParagraph"/>
        <w:tabs>
          <w:tab w:val="left" w:pos="567"/>
        </w:tabs>
        <w:spacing w:after="0" w:line="240" w:lineRule="auto"/>
        <w:ind w:left="3969"/>
        <w:contextualSpacing w:val="0"/>
        <w:jc w:val="center"/>
        <w:rPr>
          <w:rFonts w:ascii="Verdana" w:hAnsi="Verdana"/>
          <w:sz w:val="20"/>
          <w:szCs w:val="20"/>
        </w:rPr>
      </w:pPr>
      <w:r w:rsidRPr="00514681">
        <w:rPr>
          <w:rFonts w:ascii="Verdana" w:hAnsi="Verdana"/>
          <w:sz w:val="20"/>
          <w:szCs w:val="20"/>
        </w:rPr>
        <w:t>Manuel E. Ventura Robles</w:t>
      </w:r>
    </w:p>
    <w:p w:rsidR="00CA58C7" w:rsidRPr="00514681" w:rsidRDefault="00CA58C7" w:rsidP="00AD13AB">
      <w:pPr>
        <w:pStyle w:val="ListParagraph"/>
        <w:tabs>
          <w:tab w:val="left" w:pos="567"/>
        </w:tabs>
        <w:spacing w:line="240" w:lineRule="auto"/>
        <w:ind w:left="3969"/>
        <w:jc w:val="center"/>
        <w:rPr>
          <w:rFonts w:ascii="Verdana" w:hAnsi="Verdana"/>
          <w:sz w:val="20"/>
          <w:szCs w:val="20"/>
        </w:rPr>
      </w:pPr>
      <w:r w:rsidRPr="00514681">
        <w:rPr>
          <w:rFonts w:ascii="Verdana" w:hAnsi="Verdana"/>
          <w:sz w:val="20"/>
          <w:szCs w:val="20"/>
        </w:rPr>
        <w:t>Juez</w:t>
      </w: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r w:rsidRPr="00514681">
        <w:rPr>
          <w:sz w:val="20"/>
          <w:szCs w:val="20"/>
          <w:lang w:val="es-ES"/>
        </w:rPr>
        <w:t>Pablo Saavedra Alessandri</w:t>
      </w:r>
    </w:p>
    <w:p w:rsidR="00CA58C7" w:rsidRDefault="00CA58C7" w:rsidP="00AD13AB">
      <w:pPr>
        <w:tabs>
          <w:tab w:val="left" w:pos="8460"/>
          <w:tab w:val="left" w:pos="8640"/>
        </w:tabs>
        <w:jc w:val="center"/>
        <w:rPr>
          <w:sz w:val="20"/>
          <w:szCs w:val="20"/>
          <w:lang w:val="es-ES"/>
        </w:rPr>
      </w:pPr>
      <w:r w:rsidRPr="00514681">
        <w:rPr>
          <w:sz w:val="20"/>
          <w:szCs w:val="20"/>
          <w:lang w:val="es-ES"/>
        </w:rPr>
        <w:t>Secretario</w:t>
      </w:r>
    </w:p>
    <w:p w:rsidR="00CA58C7" w:rsidRPr="002C726A" w:rsidRDefault="00CA58C7" w:rsidP="00AD13AB">
      <w:pPr>
        <w:tabs>
          <w:tab w:val="left" w:pos="8460"/>
          <w:tab w:val="left" w:pos="8640"/>
        </w:tabs>
        <w:jc w:val="center"/>
        <w:rPr>
          <w:sz w:val="20"/>
          <w:szCs w:val="20"/>
          <w:lang w:val="es-ES"/>
        </w:rPr>
      </w:pPr>
    </w:p>
    <w:sectPr w:rsidR="00CA58C7" w:rsidRPr="002C726A" w:rsidSect="00950F9A">
      <w:headerReference w:type="even" r:id="rId8"/>
      <w:headerReference w:type="default" r:id="rId9"/>
      <w:footerReference w:type="even" r:id="rId10"/>
      <w:footerReference w:type="default" r:id="rId11"/>
      <w:headerReference w:type="first" r:id="rId12"/>
      <w:footnotePr>
        <w:numRestart w:val="eachSect"/>
      </w:footnotePr>
      <w:pgSz w:w="12240" w:h="15840" w:code="1"/>
      <w:pgMar w:top="1418" w:right="1644" w:bottom="1418" w:left="1644" w:header="720" w:footer="7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78" w:rsidRDefault="00FE4F78">
      <w:r>
        <w:separator/>
      </w:r>
    </w:p>
  </w:endnote>
  <w:endnote w:type="continuationSeparator" w:id="0">
    <w:p w:rsidR="00FE4F78" w:rsidRDefault="00FE4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C7" w:rsidRDefault="0057162E" w:rsidP="00A725B0">
    <w:pPr>
      <w:pStyle w:val="Footer"/>
      <w:framePr w:wrap="around" w:vAnchor="text" w:hAnchor="margin" w:xAlign="center" w:y="1"/>
      <w:rPr>
        <w:rStyle w:val="PageNumber"/>
        <w:rFonts w:ascii="Verdana" w:hAnsi="Verdana" w:cs="Times"/>
        <w:sz w:val="16"/>
        <w:lang w:val="es-ES_tradnl" w:eastAsia="en-US"/>
      </w:rPr>
    </w:pPr>
    <w:r>
      <w:rPr>
        <w:rStyle w:val="PageNumber"/>
      </w:rPr>
      <w:fldChar w:fldCharType="begin"/>
    </w:r>
    <w:r w:rsidR="00CA58C7">
      <w:rPr>
        <w:rStyle w:val="PageNumber"/>
      </w:rPr>
      <w:instrText xml:space="preserve">PAGE  </w:instrText>
    </w:r>
    <w:r>
      <w:rPr>
        <w:rStyle w:val="PageNumber"/>
      </w:rPr>
      <w:fldChar w:fldCharType="end"/>
    </w:r>
  </w:p>
  <w:p w:rsidR="00CA58C7" w:rsidRDefault="00CA58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C7" w:rsidRDefault="00CA58C7" w:rsidP="00FF45BF">
    <w:pPr>
      <w:pStyle w:val="Footer"/>
      <w:framePr w:wrap="around" w:vAnchor="text" w:hAnchor="margin" w:xAlign="center" w:y="1"/>
      <w:rPr>
        <w:rStyle w:val="PageNumber"/>
      </w:rPr>
    </w:pPr>
  </w:p>
  <w:p w:rsidR="00CA58C7" w:rsidRDefault="00CA58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78" w:rsidRDefault="00FE4F78">
      <w:r>
        <w:separator/>
      </w:r>
    </w:p>
  </w:footnote>
  <w:footnote w:type="continuationSeparator" w:id="0">
    <w:p w:rsidR="00FE4F78" w:rsidRDefault="00FE4F78">
      <w:r>
        <w:continuationSeparator/>
      </w:r>
    </w:p>
  </w:footnote>
  <w:footnote w:id="1">
    <w:p w:rsidR="00CA58C7" w:rsidRPr="00514681" w:rsidRDefault="00CA58C7" w:rsidP="003D44A0">
      <w:pPr>
        <w:tabs>
          <w:tab w:val="left" w:pos="567"/>
        </w:tabs>
        <w:spacing w:before="120" w:after="120"/>
        <w:jc w:val="both"/>
        <w:rPr>
          <w:rFonts w:eastAsia="Calibri"/>
          <w:bCs/>
          <w:spacing w:val="-4"/>
          <w:szCs w:val="16"/>
          <w:lang w:val="es-MX" w:eastAsia="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rFonts w:eastAsia="Calibri"/>
          <w:bCs/>
          <w:i/>
          <w:iCs/>
          <w:spacing w:val="-4"/>
          <w:szCs w:val="16"/>
          <w:lang w:val="es-MX" w:eastAsia="es-CR"/>
        </w:rPr>
        <w:t>Cfr</w:t>
      </w:r>
      <w:r w:rsidRPr="00514681">
        <w:rPr>
          <w:rFonts w:eastAsia="Calibri"/>
          <w:bCs/>
          <w:spacing w:val="-4"/>
          <w:szCs w:val="16"/>
          <w:lang w:val="es-MX" w:eastAsia="es-CR"/>
        </w:rPr>
        <w:t xml:space="preserve">. </w:t>
      </w:r>
      <w:r w:rsidRPr="00514681">
        <w:rPr>
          <w:rFonts w:eastAsia="Calibri"/>
          <w:bCs/>
          <w:i/>
          <w:iCs/>
          <w:spacing w:val="-4"/>
          <w:szCs w:val="16"/>
          <w:lang w:val="es-MX" w:eastAsia="es-CR"/>
        </w:rPr>
        <w:t>Caso Velásquez Rodríguez Vs. Honduras. Fondo</w:t>
      </w:r>
      <w:r w:rsidRPr="00514681">
        <w:rPr>
          <w:rFonts w:eastAsia="Calibri"/>
          <w:bCs/>
          <w:spacing w:val="-4"/>
          <w:szCs w:val="16"/>
          <w:lang w:val="es-MX" w:eastAsia="es-CR"/>
        </w:rPr>
        <w:t>. Sentencia de 29 de julio de 1988. Serie C No. 4</w:t>
      </w:r>
      <w:r w:rsidRPr="00514681">
        <w:rPr>
          <w:rFonts w:eastAsia="Calibri"/>
          <w:bCs/>
          <w:spacing w:val="-4"/>
          <w:szCs w:val="16"/>
          <w:lang w:val="es-CR" w:eastAsia="es-CR"/>
        </w:rPr>
        <w:t xml:space="preserve">; </w:t>
      </w:r>
      <w:r w:rsidRPr="00514681">
        <w:rPr>
          <w:rFonts w:eastAsia="Calibri"/>
          <w:bCs/>
          <w:i/>
          <w:iCs/>
          <w:spacing w:val="-4"/>
          <w:szCs w:val="16"/>
          <w:lang w:val="es-MX" w:eastAsia="es-CR"/>
        </w:rPr>
        <w:t>Caso Godínez Cruz Vs. Honduras. Fondo</w:t>
      </w:r>
      <w:r w:rsidRPr="00514681">
        <w:rPr>
          <w:rFonts w:eastAsia="Calibri"/>
          <w:bCs/>
          <w:spacing w:val="-4"/>
          <w:szCs w:val="16"/>
          <w:lang w:val="es-MX" w:eastAsia="es-CR"/>
        </w:rPr>
        <w:t xml:space="preserve">. Sentencia de 20 de enero de 1989. Serie C No. 5; </w:t>
      </w:r>
      <w:r w:rsidRPr="00514681">
        <w:rPr>
          <w:rFonts w:eastAsia="Calibri"/>
          <w:bCs/>
          <w:i/>
          <w:iCs/>
          <w:spacing w:val="-4"/>
          <w:szCs w:val="16"/>
          <w:lang w:val="es-MX" w:eastAsia="es-CR"/>
        </w:rPr>
        <w:t>Caso Neira Alegría y otros Vs. Perú. Fondo</w:t>
      </w:r>
      <w:r w:rsidRPr="00514681">
        <w:rPr>
          <w:rFonts w:eastAsia="Calibri"/>
          <w:bCs/>
          <w:spacing w:val="-4"/>
          <w:szCs w:val="16"/>
          <w:lang w:val="es-MX" w:eastAsia="es-CR"/>
        </w:rPr>
        <w:t xml:space="preserve">. Sentencia de 19 de enero de 1995. Serie C No. 20; </w:t>
      </w:r>
      <w:r w:rsidRPr="00514681">
        <w:rPr>
          <w:rFonts w:eastAsia="Calibri"/>
          <w:bCs/>
          <w:i/>
          <w:iCs/>
          <w:spacing w:val="-4"/>
          <w:szCs w:val="16"/>
          <w:lang w:val="es-MX" w:eastAsia="es-CR"/>
        </w:rPr>
        <w:t>Caso Caballero Delgado y Santana Vs. Colombia. Fondo</w:t>
      </w:r>
      <w:r w:rsidRPr="00514681">
        <w:rPr>
          <w:rFonts w:eastAsia="Calibri"/>
          <w:bCs/>
          <w:spacing w:val="-4"/>
          <w:szCs w:val="16"/>
          <w:lang w:val="es-MX" w:eastAsia="es-CR"/>
        </w:rPr>
        <w:t xml:space="preserve">. Sentencia de 8 de diciembre de 1995. Serie C No. 22; </w:t>
      </w:r>
      <w:r w:rsidRPr="00514681">
        <w:rPr>
          <w:rFonts w:eastAsia="Calibri"/>
          <w:bCs/>
          <w:i/>
          <w:iCs/>
          <w:spacing w:val="-4"/>
          <w:szCs w:val="16"/>
          <w:lang w:val="es-MX" w:eastAsia="es-CR"/>
        </w:rPr>
        <w:t>Caso de la “Panel Blanca” (Paniagua Morales y otros) Vs. Guatemala. Fondo</w:t>
      </w:r>
      <w:r w:rsidRPr="00514681">
        <w:rPr>
          <w:rFonts w:eastAsia="Calibri"/>
          <w:bCs/>
          <w:spacing w:val="-4"/>
          <w:szCs w:val="16"/>
          <w:lang w:val="es-MX" w:eastAsia="es-CR"/>
        </w:rPr>
        <w:t xml:space="preserve">. Sentencia de 8 de marzo de 1998. Serie C No. 37; </w:t>
      </w:r>
      <w:r w:rsidRPr="00514681">
        <w:rPr>
          <w:rFonts w:eastAsia="Calibri"/>
          <w:bCs/>
          <w:i/>
          <w:iCs/>
          <w:spacing w:val="-4"/>
          <w:szCs w:val="16"/>
          <w:lang w:val="es-MX" w:eastAsia="es-CR"/>
        </w:rPr>
        <w:t>Caso Castillo Páez Vs. Perú. Fondo.</w:t>
      </w:r>
      <w:r w:rsidRPr="00514681">
        <w:rPr>
          <w:rFonts w:eastAsia="Calibri"/>
          <w:bCs/>
          <w:spacing w:val="-4"/>
          <w:szCs w:val="16"/>
          <w:lang w:val="es-MX" w:eastAsia="es-CR"/>
        </w:rPr>
        <w:t xml:space="preserve"> Sentencia de 3 de noviembre de 1997. Serie C No. 34; </w:t>
      </w:r>
      <w:r w:rsidRPr="00514681">
        <w:rPr>
          <w:rFonts w:eastAsia="Calibri"/>
          <w:bCs/>
          <w:i/>
          <w:iCs/>
          <w:spacing w:val="-4"/>
          <w:szCs w:val="16"/>
          <w:lang w:val="es-MX" w:eastAsia="es-CR"/>
        </w:rPr>
        <w:t>Caso Garrido y Baigorria Vs. Argentina. Fondo.</w:t>
      </w:r>
      <w:r w:rsidRPr="00514681">
        <w:rPr>
          <w:rFonts w:eastAsia="Calibri"/>
          <w:bCs/>
          <w:spacing w:val="-4"/>
          <w:szCs w:val="16"/>
          <w:lang w:val="es-MX" w:eastAsia="es-CR"/>
        </w:rPr>
        <w:t xml:space="preserve"> Sentencia de 2 de febrero de 1996. Serie C No. 26; </w:t>
      </w:r>
      <w:r w:rsidRPr="00514681">
        <w:rPr>
          <w:rFonts w:eastAsia="Calibri"/>
          <w:bCs/>
          <w:i/>
          <w:iCs/>
          <w:spacing w:val="-4"/>
          <w:szCs w:val="16"/>
          <w:lang w:val="es-MX" w:eastAsia="es-CR"/>
        </w:rPr>
        <w:t>Caso Blake Vs. Guatemala. Fondo.</w:t>
      </w:r>
      <w:r w:rsidRPr="00514681">
        <w:rPr>
          <w:rFonts w:eastAsia="Calibri"/>
          <w:bCs/>
          <w:spacing w:val="-4"/>
          <w:szCs w:val="16"/>
          <w:lang w:val="es-MX" w:eastAsia="es-CR"/>
        </w:rPr>
        <w:t xml:space="preserve"> Sentencia de 24 de enero de 1998. Serie C No. 36; </w:t>
      </w:r>
      <w:r w:rsidRPr="00514681">
        <w:rPr>
          <w:rFonts w:eastAsia="Calibri"/>
          <w:bCs/>
          <w:i/>
          <w:iCs/>
          <w:spacing w:val="-4"/>
          <w:szCs w:val="16"/>
          <w:lang w:val="es-MX" w:eastAsia="es-CR"/>
        </w:rPr>
        <w:t>Caso Benavides Cevallos Vs. Ecuador. Fondo, Reparaciones y Costas.</w:t>
      </w:r>
      <w:r w:rsidRPr="00514681">
        <w:rPr>
          <w:rFonts w:eastAsia="Calibri"/>
          <w:bCs/>
          <w:spacing w:val="-4"/>
          <w:szCs w:val="16"/>
          <w:lang w:val="es-MX" w:eastAsia="es-CR"/>
        </w:rPr>
        <w:t xml:space="preserve"> Sentencia de 19 de junio de 1998. Serie C No. 38; </w:t>
      </w:r>
      <w:r w:rsidRPr="00514681">
        <w:rPr>
          <w:rFonts w:eastAsia="Calibri"/>
          <w:bCs/>
          <w:i/>
          <w:iCs/>
          <w:spacing w:val="-4"/>
          <w:szCs w:val="16"/>
          <w:lang w:val="es-MX" w:eastAsia="es-CR"/>
        </w:rPr>
        <w:t>Caso Durand y Ugarte Vs. Perú. Fondo.</w:t>
      </w:r>
      <w:r w:rsidRPr="00514681">
        <w:rPr>
          <w:rFonts w:eastAsia="Calibri"/>
          <w:bCs/>
          <w:spacing w:val="-4"/>
          <w:szCs w:val="16"/>
          <w:lang w:val="es-MX" w:eastAsia="es-CR"/>
        </w:rPr>
        <w:t xml:space="preserve"> Sentencia de 16 de agosto de 2000. Serie C No. 68; </w:t>
      </w:r>
      <w:r w:rsidRPr="00514681">
        <w:rPr>
          <w:rFonts w:eastAsia="Calibri"/>
          <w:bCs/>
          <w:i/>
          <w:iCs/>
          <w:spacing w:val="-4"/>
          <w:szCs w:val="16"/>
          <w:lang w:val="es-MX" w:eastAsia="es-CR"/>
        </w:rPr>
        <w:t>Caso del Caracazo Vs. Venezuela. Fondo.</w:t>
      </w:r>
      <w:r w:rsidRPr="00514681">
        <w:rPr>
          <w:rFonts w:eastAsia="Calibri"/>
          <w:bCs/>
          <w:spacing w:val="-4"/>
          <w:szCs w:val="16"/>
          <w:lang w:val="es-MX" w:eastAsia="es-CR"/>
        </w:rPr>
        <w:t xml:space="preserve"> Sentencia de 11 de noviembre de 1999. Serie C No. 58; </w:t>
      </w:r>
      <w:r w:rsidRPr="00514681">
        <w:rPr>
          <w:rFonts w:eastAsia="Calibri"/>
          <w:bCs/>
          <w:i/>
          <w:iCs/>
          <w:spacing w:val="-4"/>
          <w:szCs w:val="16"/>
          <w:lang w:val="es-MX" w:eastAsia="es-CR"/>
        </w:rPr>
        <w:t>Caso Trujillo Oroza Vs. Bolivia. Fondo.</w:t>
      </w:r>
      <w:r w:rsidRPr="00514681">
        <w:rPr>
          <w:rFonts w:eastAsia="Calibri"/>
          <w:bCs/>
          <w:spacing w:val="-4"/>
          <w:szCs w:val="16"/>
          <w:lang w:val="es-MX" w:eastAsia="es-CR"/>
        </w:rPr>
        <w:t xml:space="preserve"> Sentencia de 26 de enero de 2000. Serie C No. 64; </w:t>
      </w:r>
      <w:r w:rsidRPr="00514681">
        <w:rPr>
          <w:rFonts w:eastAsia="Calibri"/>
          <w:bCs/>
          <w:i/>
          <w:iCs/>
          <w:spacing w:val="-4"/>
          <w:szCs w:val="16"/>
          <w:lang w:val="es-MX" w:eastAsia="es-CR"/>
        </w:rPr>
        <w:t>Caso Bámaca Velásquez Vs. Guatemala. Fondo.</w:t>
      </w:r>
      <w:r w:rsidRPr="00514681">
        <w:rPr>
          <w:rFonts w:eastAsia="Calibri"/>
          <w:bCs/>
          <w:spacing w:val="-4"/>
          <w:szCs w:val="16"/>
          <w:lang w:val="es-MX" w:eastAsia="es-CR"/>
        </w:rPr>
        <w:t xml:space="preserve"> Sentencia de 25 de noviembre de 2000. Serie C No. 70; </w:t>
      </w:r>
      <w:r w:rsidRPr="00514681">
        <w:rPr>
          <w:rFonts w:eastAsia="Calibri"/>
          <w:bCs/>
          <w:i/>
          <w:iCs/>
          <w:spacing w:val="-4"/>
          <w:szCs w:val="16"/>
          <w:lang w:val="es-MX" w:eastAsia="es-CR"/>
        </w:rPr>
        <w:t>Caso 19 Comerciantes Vs. Colombia. Fondo, Reparaciones y Costas.</w:t>
      </w:r>
      <w:r w:rsidRPr="00514681">
        <w:rPr>
          <w:rFonts w:eastAsia="Calibri"/>
          <w:bCs/>
          <w:spacing w:val="-4"/>
          <w:szCs w:val="16"/>
          <w:lang w:val="es-MX" w:eastAsia="es-CR"/>
        </w:rPr>
        <w:t xml:space="preserve"> Sentencia de 5 de julio de 2004. Serie C No. 109; </w:t>
      </w:r>
      <w:r w:rsidRPr="00514681">
        <w:rPr>
          <w:rFonts w:eastAsia="Calibri"/>
          <w:bCs/>
          <w:i/>
          <w:iCs/>
          <w:spacing w:val="-4"/>
          <w:szCs w:val="16"/>
          <w:lang w:val="es-MX" w:eastAsia="es-CR"/>
        </w:rPr>
        <w:t>Caso Molina Theissen Vs. Guatemala. Fondo.</w:t>
      </w:r>
      <w:r w:rsidRPr="00514681">
        <w:rPr>
          <w:rFonts w:eastAsia="Calibri"/>
          <w:bCs/>
          <w:spacing w:val="-4"/>
          <w:szCs w:val="16"/>
          <w:lang w:val="es-MX" w:eastAsia="es-CR"/>
        </w:rPr>
        <w:t xml:space="preserve"> Sentencia de 4 de mayo de 2004. Serie C No. 106; </w:t>
      </w:r>
      <w:r w:rsidRPr="00514681">
        <w:rPr>
          <w:rFonts w:eastAsia="Calibri"/>
          <w:bCs/>
          <w:i/>
          <w:iCs/>
          <w:spacing w:val="-4"/>
          <w:szCs w:val="16"/>
          <w:lang w:val="es-MX" w:eastAsia="es-CR"/>
        </w:rPr>
        <w:t>Caso de las Hermanas Serrano Cruz Vs. El Salvador. Fondo, Reparaciones y Costas.</w:t>
      </w:r>
      <w:r w:rsidRPr="00514681">
        <w:rPr>
          <w:rFonts w:eastAsia="Calibri"/>
          <w:bCs/>
          <w:spacing w:val="-4"/>
          <w:szCs w:val="16"/>
          <w:lang w:val="es-MX" w:eastAsia="es-CR"/>
        </w:rPr>
        <w:t xml:space="preserve"> Sentencia de 1 de marzo de 2005. Serie C No. 120;</w:t>
      </w:r>
      <w:r w:rsidRPr="00514681">
        <w:rPr>
          <w:rFonts w:eastAsia="Calibri"/>
          <w:bCs/>
          <w:color w:val="1F497D"/>
          <w:spacing w:val="-4"/>
          <w:szCs w:val="16"/>
          <w:lang w:val="es-MX" w:eastAsia="es-CR"/>
        </w:rPr>
        <w:t xml:space="preserve"> </w:t>
      </w:r>
      <w:r w:rsidRPr="00514681">
        <w:rPr>
          <w:rFonts w:eastAsia="Calibri"/>
          <w:bCs/>
          <w:i/>
          <w:iCs/>
          <w:spacing w:val="-4"/>
          <w:szCs w:val="16"/>
          <w:lang w:val="es-MX" w:eastAsia="es-CR"/>
        </w:rPr>
        <w:t>Caso de la "Masacre de Mapiripán" Vs. Colombia.</w:t>
      </w:r>
      <w:r w:rsidRPr="00514681">
        <w:rPr>
          <w:rFonts w:eastAsia="Calibri"/>
          <w:bCs/>
          <w:spacing w:val="-4"/>
          <w:szCs w:val="16"/>
          <w:lang w:val="es-MX" w:eastAsia="es-CR"/>
        </w:rPr>
        <w:t xml:space="preserve"> Sentencia de 15 de septiembre de 2005. Serie C No. 134; </w:t>
      </w:r>
      <w:r w:rsidRPr="00514681">
        <w:rPr>
          <w:rFonts w:eastAsia="Calibri"/>
          <w:bCs/>
          <w:i/>
          <w:iCs/>
          <w:spacing w:val="-4"/>
          <w:szCs w:val="16"/>
          <w:lang w:val="es-MX" w:eastAsia="es-CR"/>
        </w:rPr>
        <w:t>Caso Gómez Palomino Vs. Perú. Fondo, Reparaciones y Costas.</w:t>
      </w:r>
      <w:r w:rsidRPr="00514681">
        <w:rPr>
          <w:rFonts w:eastAsia="Calibri"/>
          <w:bCs/>
          <w:spacing w:val="-4"/>
          <w:szCs w:val="16"/>
          <w:lang w:val="es-MX" w:eastAsia="es-CR"/>
        </w:rPr>
        <w:t xml:space="preserve"> Sentencia de 22 de noviembre de 2005. Serie C No. 136; </w:t>
      </w:r>
      <w:r w:rsidRPr="00514681">
        <w:rPr>
          <w:rFonts w:eastAsia="Calibri"/>
          <w:bCs/>
          <w:i/>
          <w:iCs/>
          <w:spacing w:val="-4"/>
          <w:szCs w:val="16"/>
          <w:lang w:val="es-MX" w:eastAsia="es-CR"/>
        </w:rPr>
        <w:t>Caso Blanco Romero y otros Vs. Venezuela.</w:t>
      </w:r>
      <w:r w:rsidRPr="00514681">
        <w:rPr>
          <w:rFonts w:eastAsia="Calibri"/>
          <w:bCs/>
          <w:spacing w:val="-4"/>
          <w:szCs w:val="16"/>
          <w:lang w:val="es-MX" w:eastAsia="es-CR"/>
        </w:rPr>
        <w:t xml:space="preserve"> Sentencia de 28 de noviembre de 2005. Serie C No. 138; </w:t>
      </w:r>
      <w:r w:rsidRPr="00514681">
        <w:rPr>
          <w:rFonts w:eastAsia="Calibri"/>
          <w:bCs/>
          <w:i/>
          <w:iCs/>
          <w:spacing w:val="-4"/>
          <w:szCs w:val="16"/>
          <w:lang w:val="es-MX" w:eastAsia="es-CR"/>
        </w:rPr>
        <w:t>Caso de la Masacre de Pueblo Bello Vs. Colombia.</w:t>
      </w:r>
      <w:r w:rsidRPr="00514681">
        <w:rPr>
          <w:rFonts w:eastAsia="Calibri"/>
          <w:bCs/>
          <w:spacing w:val="-4"/>
          <w:szCs w:val="16"/>
          <w:lang w:val="es-MX" w:eastAsia="es-CR"/>
        </w:rPr>
        <w:t xml:space="preserve"> Sentencia de 31 de enero de 2006. Serie C No. 140; </w:t>
      </w:r>
      <w:r w:rsidRPr="00514681">
        <w:rPr>
          <w:rFonts w:eastAsia="Calibri"/>
          <w:bCs/>
          <w:i/>
          <w:iCs/>
          <w:spacing w:val="-4"/>
          <w:szCs w:val="16"/>
          <w:lang w:val="es-MX" w:eastAsia="es-CR"/>
        </w:rPr>
        <w:t>Caso Goiburú y otros Vs. Paraguay. Fondo, Reparaciones y Costas.</w:t>
      </w:r>
      <w:r w:rsidRPr="00514681">
        <w:rPr>
          <w:rFonts w:eastAsia="Calibri"/>
          <w:bCs/>
          <w:spacing w:val="-4"/>
          <w:szCs w:val="16"/>
          <w:lang w:val="es-MX" w:eastAsia="es-CR"/>
        </w:rPr>
        <w:t xml:space="preserve"> Sentencia de 22 de septiembre de 2006. Serie C No. 153; </w:t>
      </w:r>
      <w:r w:rsidRPr="00514681">
        <w:rPr>
          <w:rFonts w:eastAsia="Calibri"/>
          <w:bCs/>
          <w:i/>
          <w:iCs/>
          <w:spacing w:val="-4"/>
          <w:szCs w:val="16"/>
          <w:lang w:val="es-MX" w:eastAsia="es-CR"/>
        </w:rPr>
        <w:t>Caso La Cantuta Vs. Perú. Fondo, Reparaciones y Costas.</w:t>
      </w:r>
      <w:r w:rsidRPr="00514681">
        <w:rPr>
          <w:rFonts w:eastAsia="Calibri"/>
          <w:bCs/>
          <w:spacing w:val="-4"/>
          <w:szCs w:val="16"/>
          <w:lang w:val="es-MX" w:eastAsia="es-CR"/>
        </w:rPr>
        <w:t xml:space="preserve"> Sentencia de 29 de noviembre de 2006. Serie C No. 162; </w:t>
      </w:r>
      <w:r w:rsidRPr="00514681">
        <w:rPr>
          <w:rFonts w:eastAsia="Calibri"/>
          <w:bCs/>
          <w:i/>
          <w:iCs/>
          <w:spacing w:val="-4"/>
          <w:szCs w:val="16"/>
          <w:lang w:val="es-MX" w:eastAsia="es-CR"/>
        </w:rPr>
        <w:t>Caso Heliodoro Portugal Vs. Panamá. Excepciones Preliminares, Fondo, Reparaciones y Costas.</w:t>
      </w:r>
      <w:r w:rsidRPr="00514681">
        <w:rPr>
          <w:rFonts w:eastAsia="Calibri"/>
          <w:bCs/>
          <w:spacing w:val="-4"/>
          <w:szCs w:val="16"/>
          <w:lang w:val="es-MX" w:eastAsia="es-CR"/>
        </w:rPr>
        <w:t xml:space="preserve"> Sentencia de 12 de agosto de 2008. Serie C No. 186; </w:t>
      </w:r>
      <w:r w:rsidRPr="00514681">
        <w:rPr>
          <w:rFonts w:eastAsia="Calibri"/>
          <w:bCs/>
          <w:i/>
          <w:iCs/>
          <w:spacing w:val="-4"/>
          <w:szCs w:val="16"/>
          <w:lang w:val="es-MX" w:eastAsia="es-CR"/>
        </w:rPr>
        <w:t>Caso Tiu Tojín Vs. Guatemala. Fondo, Reparaciones y Costas.</w:t>
      </w:r>
      <w:r w:rsidRPr="00514681">
        <w:rPr>
          <w:rFonts w:eastAsia="Calibri"/>
          <w:bCs/>
          <w:spacing w:val="-4"/>
          <w:szCs w:val="16"/>
          <w:lang w:val="es-MX" w:eastAsia="es-CR"/>
        </w:rPr>
        <w:t xml:space="preserve"> Sentencia de 26 de noviembre de 2008. Serie C No. 190; </w:t>
      </w:r>
      <w:r w:rsidRPr="00514681">
        <w:rPr>
          <w:rFonts w:eastAsia="Calibri"/>
          <w:bCs/>
          <w:i/>
          <w:iCs/>
          <w:spacing w:val="-4"/>
          <w:szCs w:val="16"/>
          <w:lang w:val="es-MX" w:eastAsia="es-CR"/>
        </w:rPr>
        <w:t>Caso Ticona Estrada y otros Vs. Bolivia. Fondo, Reparaciones y Costas.</w:t>
      </w:r>
      <w:r w:rsidRPr="00514681">
        <w:rPr>
          <w:rFonts w:eastAsia="Calibri"/>
          <w:bCs/>
          <w:spacing w:val="-4"/>
          <w:szCs w:val="16"/>
          <w:lang w:val="es-MX" w:eastAsia="es-CR"/>
        </w:rPr>
        <w:t xml:space="preserve"> Sentencia de 27 de noviembre de 2008. Serie C No. 191; </w:t>
      </w:r>
      <w:r w:rsidRPr="00514681">
        <w:rPr>
          <w:rFonts w:eastAsia="Calibri"/>
          <w:bCs/>
          <w:i/>
          <w:iCs/>
          <w:spacing w:val="-4"/>
          <w:szCs w:val="16"/>
          <w:lang w:val="es-MX" w:eastAsia="es-CR"/>
        </w:rPr>
        <w:t>Caso Anzualdo Castro Vs. Perú. Excepción Preliminar, Fondo, Reparaciones y Costas.</w:t>
      </w:r>
      <w:r w:rsidRPr="00514681">
        <w:rPr>
          <w:rFonts w:eastAsia="Calibri"/>
          <w:bCs/>
          <w:spacing w:val="-4"/>
          <w:szCs w:val="16"/>
          <w:lang w:val="es-MX" w:eastAsia="es-CR"/>
        </w:rPr>
        <w:t xml:space="preserve"> Sentencia de 22 de Septiembre de 2009. Serie C No. 202; </w:t>
      </w:r>
      <w:r w:rsidRPr="00514681">
        <w:rPr>
          <w:rFonts w:eastAsia="Calibri"/>
          <w:bCs/>
          <w:i/>
          <w:iCs/>
          <w:spacing w:val="-4"/>
          <w:szCs w:val="16"/>
          <w:lang w:val="es-MX" w:eastAsia="es-CR"/>
        </w:rPr>
        <w:t>Caso Radilla Pacheco Vs. México. Excepciones Preliminares, Fondo, Reparaciones y Costas.</w:t>
      </w:r>
      <w:r w:rsidRPr="00514681">
        <w:rPr>
          <w:rFonts w:eastAsia="Calibri"/>
          <w:bCs/>
          <w:spacing w:val="-4"/>
          <w:szCs w:val="16"/>
          <w:lang w:val="es-MX" w:eastAsia="es-CR"/>
        </w:rPr>
        <w:t xml:space="preserve"> Sentencia de 23 de Noviembre de 2009. Serie C No. 209; </w:t>
      </w:r>
      <w:r w:rsidRPr="00514681">
        <w:rPr>
          <w:rFonts w:eastAsia="Calibri"/>
          <w:bCs/>
          <w:i/>
          <w:iCs/>
          <w:spacing w:val="-4"/>
          <w:szCs w:val="16"/>
          <w:lang w:val="es-MX" w:eastAsia="es-CR"/>
        </w:rPr>
        <w:t>Caso Chitay Nech y otros Vs. Guatemala. Excepciones Preliminares, Fondo, Reparaciones y Costas</w:t>
      </w:r>
      <w:r w:rsidRPr="00514681">
        <w:rPr>
          <w:rFonts w:eastAsia="Calibri"/>
          <w:bCs/>
          <w:spacing w:val="-4"/>
          <w:szCs w:val="16"/>
          <w:lang w:val="es-MX" w:eastAsia="es-CR"/>
        </w:rPr>
        <w:t xml:space="preserve">. Sentencia de 25 de mayo de 2010. Serie C No. 212; </w:t>
      </w:r>
      <w:r w:rsidRPr="00514681">
        <w:rPr>
          <w:rFonts w:eastAsia="Calibri"/>
          <w:bCs/>
          <w:i/>
          <w:iCs/>
          <w:spacing w:val="-4"/>
          <w:szCs w:val="16"/>
          <w:lang w:val="es-MX" w:eastAsia="es-CR"/>
        </w:rPr>
        <w:t>Caso Ibsen Cárdenas e Ibsen Peña Vs. Bolivia. Fondo, Reparaciones y Costas.</w:t>
      </w:r>
      <w:r w:rsidRPr="00514681">
        <w:rPr>
          <w:rFonts w:eastAsia="Calibri"/>
          <w:bCs/>
          <w:spacing w:val="-4"/>
          <w:szCs w:val="16"/>
          <w:lang w:val="es-MX" w:eastAsia="es-CR"/>
        </w:rPr>
        <w:t xml:space="preserve"> Sentencia de 1 de septiembre de 2010 Serie C No. 217; </w:t>
      </w:r>
      <w:r w:rsidRPr="00514681">
        <w:rPr>
          <w:rStyle w:val="Strong"/>
          <w:b w:val="0"/>
          <w:i/>
          <w:color w:val="000000"/>
          <w:szCs w:val="16"/>
          <w:shd w:val="clear" w:color="auto" w:fill="FFFFFF"/>
          <w:lang w:val="es-MX"/>
        </w:rPr>
        <w:t>Caso Gomes Lund y otros ("Guerrilha do Araguaia") Vs. Brasil. Excepciones Preliminares, Fondo, Reparaciones y Costas.</w:t>
      </w:r>
      <w:r w:rsidRPr="00514681">
        <w:rPr>
          <w:rStyle w:val="Strong"/>
          <w:b w:val="0"/>
          <w:color w:val="000000"/>
          <w:szCs w:val="16"/>
          <w:shd w:val="clear" w:color="auto" w:fill="FFFFFF"/>
          <w:lang w:val="es-MX"/>
        </w:rPr>
        <w:t xml:space="preserve"> Sentencia de 24 de noviembre de 2010. </w:t>
      </w:r>
      <w:r w:rsidRPr="00514681">
        <w:rPr>
          <w:rStyle w:val="Strong"/>
          <w:b w:val="0"/>
          <w:color w:val="000000"/>
          <w:szCs w:val="16"/>
          <w:shd w:val="clear" w:color="auto" w:fill="FFFFFF"/>
        </w:rPr>
        <w:t>Serie C No. 219;</w:t>
      </w:r>
      <w:r w:rsidRPr="00514681">
        <w:rPr>
          <w:rFonts w:eastAsia="Calibri"/>
          <w:bCs/>
          <w:spacing w:val="-4"/>
          <w:szCs w:val="16"/>
          <w:lang w:val="es-MX" w:eastAsia="es-CR"/>
        </w:rPr>
        <w:t xml:space="preserve"> </w:t>
      </w:r>
      <w:r w:rsidRPr="00514681">
        <w:rPr>
          <w:rFonts w:eastAsia="Calibri"/>
          <w:bCs/>
          <w:i/>
          <w:iCs/>
          <w:spacing w:val="-4"/>
          <w:szCs w:val="16"/>
          <w:lang w:val="es-MX" w:eastAsia="es-CR"/>
        </w:rPr>
        <w:t>Caso Gelman Vs. Uruguay. Fondo y Reparaciones.</w:t>
      </w:r>
      <w:r w:rsidRPr="00514681">
        <w:rPr>
          <w:rFonts w:eastAsia="Calibri"/>
          <w:bCs/>
          <w:spacing w:val="-4"/>
          <w:szCs w:val="16"/>
          <w:lang w:val="es-MX" w:eastAsia="es-CR"/>
        </w:rPr>
        <w:t xml:space="preserve"> Sentencia de 24 de febrero de 2011. Serie C No.221; </w:t>
      </w:r>
      <w:r w:rsidRPr="00514681">
        <w:rPr>
          <w:rFonts w:eastAsia="Calibri"/>
          <w:bCs/>
          <w:i/>
          <w:iCs/>
          <w:spacing w:val="-4"/>
          <w:szCs w:val="16"/>
          <w:lang w:val="es-MX" w:eastAsia="es-CR"/>
        </w:rPr>
        <w:t>Caso Torres Millacura y otros Vs. Argentina. Fondo, Reparaciones y Costas.</w:t>
      </w:r>
      <w:r w:rsidRPr="00514681">
        <w:rPr>
          <w:rFonts w:eastAsia="Calibri"/>
          <w:bCs/>
          <w:spacing w:val="-4"/>
          <w:szCs w:val="16"/>
          <w:lang w:val="es-MX" w:eastAsia="es-CR"/>
        </w:rPr>
        <w:t xml:space="preserve"> Sentencia de 26 de agosto de 2011. Serie C No. 229; </w:t>
      </w:r>
      <w:r w:rsidRPr="00514681">
        <w:rPr>
          <w:rFonts w:cs="Arial"/>
          <w:i/>
          <w:spacing w:val="-4"/>
          <w:szCs w:val="16"/>
          <w:lang w:val="es-CR"/>
        </w:rPr>
        <w:t xml:space="preserve">Caso Contreras y otros Vs. El Salvador. Fondo, Reparaciones y Costas. </w:t>
      </w:r>
      <w:r w:rsidRPr="00514681">
        <w:rPr>
          <w:rFonts w:cs="Arial"/>
          <w:spacing w:val="-4"/>
          <w:szCs w:val="16"/>
          <w:lang w:val="es-CR"/>
        </w:rPr>
        <w:t xml:space="preserve">Sentencia de 31 de agosto de 2011. Serie C No. 232; </w:t>
      </w:r>
      <w:r w:rsidRPr="00514681">
        <w:rPr>
          <w:rFonts w:eastAsia="Calibri"/>
          <w:bCs/>
          <w:i/>
          <w:iCs/>
          <w:spacing w:val="-4"/>
          <w:szCs w:val="16"/>
          <w:lang w:val="es-MX" w:eastAsia="es-CR"/>
        </w:rPr>
        <w:t>Caso González Medina y familiares Vs. República Dominicana.</w:t>
      </w:r>
      <w:r w:rsidRPr="00514681">
        <w:rPr>
          <w:rFonts w:eastAsia="Calibri"/>
          <w:bCs/>
          <w:spacing w:val="-4"/>
          <w:szCs w:val="16"/>
          <w:lang w:val="es-MX" w:eastAsia="es-CR"/>
        </w:rPr>
        <w:t xml:space="preserve"> Excepciones Preliminares, Fondo, Reparaciones y Costas. Sentencia de 27 de febrero de 2012. Serie C No. 240; </w:t>
      </w:r>
      <w:r w:rsidRPr="00514681">
        <w:rPr>
          <w:rFonts w:eastAsia="Calibri"/>
          <w:bCs/>
          <w:i/>
          <w:iCs/>
          <w:spacing w:val="-4"/>
          <w:szCs w:val="16"/>
          <w:lang w:val="es-MX" w:eastAsia="es-CR"/>
        </w:rPr>
        <w:t>Caso Masacres de Río Negro Vs. Guatemala. Excepción Preliminar, Fondo, Reparaciones y Costas.</w:t>
      </w:r>
      <w:r w:rsidRPr="00514681">
        <w:rPr>
          <w:rFonts w:eastAsia="Calibri"/>
          <w:bCs/>
          <w:spacing w:val="-4"/>
          <w:szCs w:val="16"/>
          <w:lang w:val="es-MX" w:eastAsia="es-CR"/>
        </w:rPr>
        <w:t xml:space="preserve"> Sentencia de 4 de septiembre de 2012. Serie C No. 250; </w:t>
      </w:r>
      <w:r w:rsidRPr="00514681">
        <w:rPr>
          <w:rFonts w:eastAsia="Calibri"/>
          <w:bCs/>
          <w:i/>
          <w:iCs/>
          <w:spacing w:val="-4"/>
          <w:szCs w:val="16"/>
          <w:lang w:val="es-MX" w:eastAsia="es-CR"/>
        </w:rPr>
        <w:t>Caso Masacres de El Mozote y lugares aledaños Vs. El Salvador. Fondo, Reparaciones y Costas.</w:t>
      </w:r>
      <w:r w:rsidRPr="00514681">
        <w:rPr>
          <w:rFonts w:eastAsia="Calibri"/>
          <w:bCs/>
          <w:spacing w:val="-4"/>
          <w:szCs w:val="16"/>
          <w:lang w:val="es-MX" w:eastAsia="es-CR"/>
        </w:rPr>
        <w:t xml:space="preserve"> Sentencia de 25 de octubre de 2012. Serie C No. 252; </w:t>
      </w:r>
      <w:r w:rsidRPr="00514681">
        <w:rPr>
          <w:rFonts w:eastAsia="Calibri"/>
          <w:bCs/>
          <w:i/>
          <w:iCs/>
          <w:spacing w:val="-4"/>
          <w:szCs w:val="16"/>
          <w:lang w:val="es-MX" w:eastAsia="es-CR"/>
        </w:rPr>
        <w:t>Caso Gudiel Álvarez y otros (Diario Militar) Vs. Guatemala. Fondo Reparaciones y Costas.</w:t>
      </w:r>
      <w:r w:rsidRPr="00514681">
        <w:rPr>
          <w:rFonts w:eastAsia="Calibri"/>
          <w:bCs/>
          <w:spacing w:val="-4"/>
          <w:szCs w:val="16"/>
          <w:lang w:val="es-MX" w:eastAsia="es-CR"/>
        </w:rPr>
        <w:t xml:space="preserve"> Sentencia de 20 noviembre de 2012. Serie C No. 253; </w:t>
      </w:r>
      <w:r w:rsidRPr="00514681">
        <w:rPr>
          <w:rFonts w:eastAsia="Calibri"/>
          <w:bCs/>
          <w:i/>
          <w:iCs/>
          <w:spacing w:val="-4"/>
          <w:szCs w:val="16"/>
          <w:lang w:val="es-MX" w:eastAsia="es-CR"/>
        </w:rPr>
        <w:t>Caso García y Familiares Vs. Guatemala. Fondo Reparaciones y Costas.</w:t>
      </w:r>
      <w:r w:rsidRPr="00514681">
        <w:rPr>
          <w:rFonts w:eastAsia="Calibri"/>
          <w:bCs/>
          <w:spacing w:val="-4"/>
          <w:szCs w:val="16"/>
          <w:lang w:val="es-MX" w:eastAsia="es-CR"/>
        </w:rPr>
        <w:t xml:space="preserve"> Sentencia de 29 noviembre de 2012. Serie C No. 258; </w:t>
      </w:r>
      <w:r w:rsidRPr="00514681">
        <w:rPr>
          <w:rFonts w:eastAsia="Calibri"/>
          <w:bCs/>
          <w:i/>
          <w:iCs/>
          <w:spacing w:val="-4"/>
          <w:szCs w:val="16"/>
          <w:lang w:val="es-MX" w:eastAsia="es-CR"/>
        </w:rPr>
        <w:t>Caso Osorio Rivera y Familiares Vs. Perú. Excepciones Preliminares, Fondo, Reparaciones y Costas.</w:t>
      </w:r>
      <w:r w:rsidRPr="00514681">
        <w:rPr>
          <w:rFonts w:eastAsia="Calibri"/>
          <w:bCs/>
          <w:spacing w:val="-4"/>
          <w:szCs w:val="16"/>
          <w:lang w:val="es-MX" w:eastAsia="es-CR"/>
        </w:rPr>
        <w:t xml:space="preserve"> Sentencia de 26 de noviembre de 2013. Serie C No. 274; </w:t>
      </w:r>
      <w:r w:rsidRPr="00514681">
        <w:rPr>
          <w:rFonts w:eastAsia="Calibri"/>
          <w:bCs/>
          <w:i/>
          <w:iCs/>
          <w:spacing w:val="-4"/>
          <w:szCs w:val="16"/>
          <w:lang w:val="es-MX" w:eastAsia="es-CR"/>
        </w:rPr>
        <w:t>Caso Rochac Hernández y otros Vs. El Salvador. Fondo, Reparaciones y Costas</w:t>
      </w:r>
      <w:r w:rsidRPr="00514681">
        <w:rPr>
          <w:rFonts w:eastAsia="Calibri"/>
          <w:bCs/>
          <w:spacing w:val="-4"/>
          <w:szCs w:val="16"/>
          <w:lang w:val="es-MX" w:eastAsia="es-CR"/>
        </w:rPr>
        <w:t xml:space="preserve">. Sentencia de 14 de octubre de 2014. Serie C No. 285, y </w:t>
      </w:r>
      <w:r w:rsidRPr="00514681">
        <w:rPr>
          <w:rFonts w:eastAsia="Calibri"/>
          <w:bCs/>
          <w:i/>
          <w:spacing w:val="-4"/>
          <w:szCs w:val="16"/>
          <w:lang w:val="es-MX" w:eastAsia="es-CR"/>
        </w:rPr>
        <w:t xml:space="preserve">Caso Rodriguez Vera y Otros (Desaparecidos del Palacio de Justicia) Vs. Colombia. Excepciones Preliminares, Fondo, Reparaciones y Costas. </w:t>
      </w:r>
      <w:r w:rsidRPr="00514681">
        <w:rPr>
          <w:rFonts w:eastAsia="Calibri"/>
          <w:bCs/>
          <w:spacing w:val="-4"/>
          <w:szCs w:val="16"/>
          <w:lang w:val="es-MX" w:eastAsia="es-CR"/>
        </w:rPr>
        <w:t>Sentencia del 14 de Noviembre del 2014. Serie C No. 287.</w:t>
      </w:r>
    </w:p>
  </w:footnote>
  <w:footnote w:id="2">
    <w:p w:rsidR="00CA58C7" w:rsidRPr="00514681" w:rsidRDefault="00CA58C7" w:rsidP="003D44A0">
      <w:pPr>
        <w:pStyle w:val="FootnoteText"/>
        <w:tabs>
          <w:tab w:val="left" w:pos="426"/>
          <w:tab w:val="left" w:pos="567"/>
        </w:tabs>
        <w:spacing w:before="120" w:after="120"/>
        <w:rPr>
          <w:rFonts w:cs="Tahoma"/>
          <w:i/>
          <w:spacing w:val="-4"/>
          <w:szCs w:val="16"/>
          <w:lang w:val="es-CL"/>
        </w:rPr>
      </w:pPr>
      <w:r w:rsidRPr="00514681">
        <w:rPr>
          <w:rStyle w:val="FootnoteReference"/>
          <w:rFonts w:cs="Tahoma"/>
          <w:spacing w:val="-4"/>
          <w:szCs w:val="16"/>
        </w:rPr>
        <w:footnoteRef/>
      </w:r>
      <w:r w:rsidRPr="00514681">
        <w:rPr>
          <w:rStyle w:val="FootnoteReference"/>
          <w:rFonts w:cs="Tahoma"/>
          <w:spacing w:val="-4"/>
          <w:szCs w:val="16"/>
          <w:lang w:val="es-ES"/>
        </w:rPr>
        <w:t xml:space="preserve"> </w:t>
      </w:r>
      <w:r w:rsidRPr="00514681">
        <w:rPr>
          <w:rFonts w:cs="Tahoma"/>
          <w:spacing w:val="-4"/>
          <w:szCs w:val="16"/>
          <w:lang w:val="es-CL"/>
        </w:rPr>
        <w:tab/>
      </w:r>
      <w:r w:rsidRPr="00514681">
        <w:rPr>
          <w:rFonts w:cs="Tahoma"/>
          <w:i/>
          <w:spacing w:val="-4"/>
          <w:szCs w:val="16"/>
          <w:lang w:val="es-CL"/>
        </w:rPr>
        <w:t>Cfr.</w:t>
      </w:r>
      <w:r w:rsidRPr="00514681">
        <w:rPr>
          <w:i/>
          <w:spacing w:val="-4"/>
          <w:szCs w:val="16"/>
          <w:lang w:val="es-CR"/>
        </w:rPr>
        <w:t xml:space="preserve"> Caso Velásquez Rodríguez Vs. Honduras. Fondo. </w:t>
      </w:r>
      <w:r w:rsidRPr="00514681">
        <w:rPr>
          <w:spacing w:val="-4"/>
          <w:szCs w:val="16"/>
          <w:lang w:val="es-CR"/>
        </w:rPr>
        <w:t xml:space="preserve">Sentencia de 29 de julio de 1988. Serie C No. 4, párr. </w:t>
      </w:r>
      <w:r w:rsidRPr="00514681">
        <w:rPr>
          <w:rFonts w:cs="Tahoma"/>
          <w:spacing w:val="-4"/>
          <w:szCs w:val="16"/>
          <w:lang w:val="pt-BR"/>
        </w:rPr>
        <w:t xml:space="preserve">158, y </w:t>
      </w:r>
      <w:r w:rsidRPr="00514681">
        <w:rPr>
          <w:rFonts w:eastAsia="Calibri"/>
          <w:bCs/>
          <w:i/>
          <w:iCs/>
          <w:spacing w:val="-4"/>
          <w:szCs w:val="16"/>
          <w:lang w:val="es-MX" w:eastAsia="es-CR"/>
        </w:rPr>
        <w:t>Caso Osorio Rivera y Familiares Vs. Perú. Excepciones Preliminares, Fondo, Reparaciones y Costas.</w:t>
      </w:r>
      <w:r w:rsidRPr="00514681">
        <w:rPr>
          <w:rFonts w:eastAsia="Calibri"/>
          <w:bCs/>
          <w:spacing w:val="-4"/>
          <w:szCs w:val="16"/>
          <w:lang w:val="es-MX" w:eastAsia="es-CR"/>
        </w:rPr>
        <w:t xml:space="preserve"> Sentencia de 26 de noviembre de 2013. Serie C No. 274, </w:t>
      </w:r>
      <w:r w:rsidRPr="00514681">
        <w:rPr>
          <w:rFonts w:cs="Tahoma"/>
          <w:spacing w:val="-4"/>
          <w:szCs w:val="16"/>
          <w:lang w:val="pt-BR"/>
        </w:rPr>
        <w:t xml:space="preserve">párr. 114. </w:t>
      </w:r>
      <w:r w:rsidRPr="00514681">
        <w:rPr>
          <w:rFonts w:cs="Tahoma"/>
          <w:i/>
          <w:spacing w:val="-4"/>
          <w:szCs w:val="16"/>
          <w:lang w:val="es-CL"/>
        </w:rPr>
        <w:t xml:space="preserve"> </w:t>
      </w:r>
    </w:p>
  </w:footnote>
  <w:footnote w:id="3">
    <w:p w:rsidR="00CA58C7" w:rsidRPr="00514681" w:rsidRDefault="00CA58C7" w:rsidP="003D44A0">
      <w:pPr>
        <w:pStyle w:val="FootnoteText"/>
        <w:tabs>
          <w:tab w:val="left" w:pos="426"/>
          <w:tab w:val="left" w:pos="567"/>
        </w:tabs>
        <w:spacing w:before="120" w:after="120"/>
        <w:rPr>
          <w:i/>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Velásquez Rodríguez Vs. Honduras. Fondo. </w:t>
      </w:r>
      <w:r w:rsidRPr="00514681">
        <w:rPr>
          <w:spacing w:val="-4"/>
          <w:szCs w:val="16"/>
          <w:lang w:val="es-CR"/>
        </w:rPr>
        <w:t xml:space="preserve">Sentencia de 29 de julio de 1988. Serie C No. 4, párr. 181, y </w:t>
      </w:r>
      <w:r w:rsidRPr="00514681">
        <w:rPr>
          <w:i/>
          <w:spacing w:val="-4"/>
          <w:szCs w:val="16"/>
          <w:lang w:val="es-CR"/>
        </w:rPr>
        <w:t>Caso Rochac Hernández y otros Vs. El Salvador. Fondo, Reparaciones y Costas</w:t>
      </w:r>
      <w:r w:rsidRPr="00514681">
        <w:rPr>
          <w:spacing w:val="-4"/>
          <w:szCs w:val="16"/>
          <w:lang w:val="es-CR"/>
        </w:rPr>
        <w:t>. Sentencia de 14 de octubre de 2014. Serie C No. 285, párr. 140.</w:t>
      </w:r>
    </w:p>
  </w:footnote>
  <w:footnote w:id="4">
    <w:p w:rsidR="00CA58C7" w:rsidRPr="00514681" w:rsidRDefault="00CA58C7" w:rsidP="003D44A0">
      <w:pPr>
        <w:tabs>
          <w:tab w:val="left" w:pos="426"/>
          <w:tab w:val="left" w:pos="567"/>
        </w:tabs>
        <w:autoSpaceDE w:val="0"/>
        <w:autoSpaceDN w:val="0"/>
        <w:adjustRightInd w:val="0"/>
        <w:spacing w:before="120" w:after="120"/>
        <w:jc w:val="both"/>
        <w:rPr>
          <w:rFonts w:cs="Arial"/>
          <w:spacing w:val="-4"/>
          <w:szCs w:val="16"/>
          <w:lang w:val="es-CR"/>
        </w:rPr>
      </w:pPr>
      <w:r w:rsidRPr="00514681">
        <w:rPr>
          <w:rStyle w:val="FootnoteReferenc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rFonts w:cs="Arial"/>
          <w:i/>
          <w:spacing w:val="-4"/>
          <w:szCs w:val="16"/>
          <w:lang w:val="es-CR"/>
        </w:rPr>
        <w:t>Cfr.</w:t>
      </w:r>
      <w:r w:rsidRPr="00514681">
        <w:rPr>
          <w:rFonts w:cs="Arial"/>
          <w:spacing w:val="-4"/>
          <w:szCs w:val="16"/>
          <w:lang w:val="es-CR"/>
        </w:rPr>
        <w:t xml:space="preserve"> </w:t>
      </w:r>
      <w:r w:rsidRPr="00514681">
        <w:rPr>
          <w:rFonts w:cs="Arial"/>
          <w:i/>
          <w:iCs/>
          <w:spacing w:val="-4"/>
          <w:szCs w:val="16"/>
          <w:lang w:val="es-ES"/>
        </w:rPr>
        <w:t xml:space="preserve">Caso Trujillo Oroza Vs. Bolivia. Reparaciones y Costas. </w:t>
      </w:r>
      <w:r w:rsidRPr="00514681">
        <w:rPr>
          <w:rFonts w:cs="Arial"/>
          <w:spacing w:val="-4"/>
          <w:szCs w:val="16"/>
          <w:lang w:val="es-ES"/>
        </w:rPr>
        <w:t xml:space="preserve">Sentencia de 27 de febrero de 2002. </w:t>
      </w:r>
      <w:r w:rsidRPr="00514681">
        <w:rPr>
          <w:rFonts w:cs="Arial"/>
          <w:spacing w:val="-4"/>
          <w:szCs w:val="16"/>
          <w:lang w:val="es-CR"/>
        </w:rPr>
        <w:t xml:space="preserve">Serie C No. 92, párr. 114, y </w:t>
      </w:r>
      <w:r w:rsidRPr="00514681">
        <w:rPr>
          <w:i/>
          <w:spacing w:val="-4"/>
          <w:szCs w:val="16"/>
          <w:lang w:val="es-CR"/>
        </w:rPr>
        <w:t>Caso Rochac Hernández y otros Vs. El Salvador. Fondo, Reparaciones y Costas</w:t>
      </w:r>
      <w:r w:rsidRPr="00514681">
        <w:rPr>
          <w:spacing w:val="-4"/>
          <w:szCs w:val="16"/>
          <w:lang w:val="es-CR"/>
        </w:rPr>
        <w:t>. Sentencia de 14 de octubre de 2014. Serie C No. 285, párr. 122.</w:t>
      </w:r>
    </w:p>
  </w:footnote>
  <w:footnote w:id="5">
    <w:p w:rsidR="00CA58C7" w:rsidRPr="00514681" w:rsidRDefault="00CA58C7" w:rsidP="003D44A0">
      <w:pPr>
        <w:pStyle w:val="FootnoteText"/>
        <w:tabs>
          <w:tab w:val="left" w:pos="426"/>
          <w:tab w:val="left" w:pos="567"/>
        </w:tabs>
        <w:spacing w:before="120" w:after="120"/>
        <w:rPr>
          <w:rFonts w:cs="Arial"/>
          <w:spacing w:val="-4"/>
          <w:szCs w:val="16"/>
          <w:lang w:val="es-CR"/>
        </w:rPr>
      </w:pPr>
      <w:r w:rsidRPr="00514681">
        <w:rPr>
          <w:rStyle w:val="FootnoteReferenc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rFonts w:cs="Arial"/>
          <w:i/>
          <w:spacing w:val="-4"/>
          <w:szCs w:val="16"/>
          <w:lang w:val="es-CR"/>
        </w:rPr>
        <w:t xml:space="preserve">Cfr. Caso Anzualdo Castro Vs. Perú. Excepción Preliminar, Fondo, Reparaciones y Costas. </w:t>
      </w:r>
      <w:r w:rsidRPr="00514681">
        <w:rPr>
          <w:rFonts w:cs="Arial"/>
          <w:spacing w:val="-4"/>
          <w:szCs w:val="16"/>
          <w:lang w:val="es-CR"/>
        </w:rPr>
        <w:t xml:space="preserve">Sentencia de 22 de septiembre de 2009. Serie C No. 202, párr. 113, y </w:t>
      </w:r>
      <w:r w:rsidRPr="00514681">
        <w:rPr>
          <w:rFonts w:cs="Arial"/>
          <w:bCs/>
          <w:i/>
          <w:spacing w:val="-4"/>
          <w:szCs w:val="16"/>
          <w:lang w:val="es-CR"/>
        </w:rPr>
        <w:t>Caso Gudiel Álvarez y otros (“Diario Militar”) Vs. Guatemala. Fondo Reparaciones y Costas.</w:t>
      </w:r>
      <w:r w:rsidRPr="00514681">
        <w:rPr>
          <w:rFonts w:cs="Arial"/>
          <w:bCs/>
          <w:spacing w:val="-4"/>
          <w:szCs w:val="16"/>
          <w:lang w:val="es-CR"/>
        </w:rPr>
        <w:t xml:space="preserve"> Sentencia de 20 noviembre de 2012. Serie C No. 253, párrs. 301 y 302.</w:t>
      </w:r>
    </w:p>
  </w:footnote>
  <w:footnote w:id="6">
    <w:p w:rsidR="00CA58C7" w:rsidRPr="00514681" w:rsidRDefault="00CA58C7" w:rsidP="003D44A0">
      <w:pPr>
        <w:pStyle w:val="FootnoteText"/>
        <w:tabs>
          <w:tab w:val="left" w:pos="426"/>
          <w:tab w:val="left" w:pos="567"/>
          <w:tab w:val="left" w:pos="720"/>
        </w:tabs>
        <w:spacing w:before="120" w:after="120"/>
        <w:rPr>
          <w:spacing w:val="-4"/>
          <w:szCs w:val="16"/>
          <w:lang w:val="es-CR" w:bidi="en-US"/>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i/>
          <w:spacing w:val="-4"/>
          <w:szCs w:val="16"/>
          <w:lang w:val="es-CR" w:bidi="en-US"/>
        </w:rPr>
        <w:t>Caso Blake Vs. Guatemala.</w:t>
      </w:r>
      <w:r w:rsidRPr="00514681">
        <w:rPr>
          <w:b/>
          <w:i/>
          <w:spacing w:val="-4"/>
          <w:szCs w:val="16"/>
          <w:lang w:val="es-CR" w:bidi="en-US"/>
        </w:rPr>
        <w:t xml:space="preserve"> </w:t>
      </w:r>
      <w:r w:rsidRPr="00514681">
        <w:rPr>
          <w:i/>
          <w:spacing w:val="-4"/>
          <w:szCs w:val="16"/>
          <w:lang w:val="es-CR" w:bidi="en-US"/>
        </w:rPr>
        <w:t>Fondo</w:t>
      </w:r>
      <w:r w:rsidRPr="00514681">
        <w:rPr>
          <w:spacing w:val="-4"/>
          <w:szCs w:val="16"/>
          <w:lang w:val="es-CR" w:bidi="en-US"/>
        </w:rPr>
        <w:t xml:space="preserve">. Sentencia de 24 de enero de 1998. Serie C No. 36, párr. 97, y </w:t>
      </w:r>
      <w:r w:rsidRPr="00514681">
        <w:rPr>
          <w:i/>
          <w:spacing w:val="-4"/>
          <w:szCs w:val="16"/>
          <w:lang w:val="es-CR"/>
        </w:rPr>
        <w:t>Caso Rochac Hernández y otros Vs. El Salvador. Fondo, Reparaciones y Costas</w:t>
      </w:r>
      <w:r w:rsidRPr="00514681">
        <w:rPr>
          <w:spacing w:val="-4"/>
          <w:szCs w:val="16"/>
          <w:lang w:val="es-CR"/>
        </w:rPr>
        <w:t>. Sentencia de 14 de octubre de 2014. Serie C No. 285, párr. 140.</w:t>
      </w:r>
    </w:p>
  </w:footnote>
  <w:footnote w:id="7">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rFonts w:cs="Arial"/>
          <w:i/>
          <w:iCs/>
          <w:spacing w:val="-4"/>
          <w:szCs w:val="16"/>
          <w:lang w:val="es-CR"/>
        </w:rPr>
        <w:t>Cfr.</w:t>
      </w:r>
      <w:r w:rsidRPr="00514681">
        <w:rPr>
          <w:rFonts w:cs="Arial"/>
          <w:spacing w:val="-4"/>
          <w:szCs w:val="16"/>
          <w:lang w:val="es-CR"/>
        </w:rPr>
        <w:t xml:space="preserve"> </w:t>
      </w:r>
      <w:r w:rsidRPr="00514681">
        <w:rPr>
          <w:rFonts w:cs="Arial"/>
          <w:i/>
          <w:iCs/>
          <w:spacing w:val="-4"/>
          <w:szCs w:val="16"/>
          <w:lang w:val="es-CR"/>
        </w:rPr>
        <w:t>Caso Bámaca Velásquez Vs. Guatemala. Reparaciones y Costas</w:t>
      </w:r>
      <w:r w:rsidRPr="00514681">
        <w:rPr>
          <w:rFonts w:cs="Arial"/>
          <w:spacing w:val="-4"/>
          <w:szCs w:val="16"/>
          <w:lang w:val="es-CR"/>
        </w:rPr>
        <w:t xml:space="preserve">. Sentencia de 22 de febrero de 2002. Serie C No. 91, párrs. 76 y 77, y </w:t>
      </w:r>
      <w:r w:rsidRPr="00514681">
        <w:rPr>
          <w:rFonts w:cs="Arial"/>
          <w:i/>
          <w:iCs/>
          <w:spacing w:val="-4"/>
          <w:szCs w:val="16"/>
          <w:lang w:val="es-CR"/>
        </w:rPr>
        <w:t>Caso García y Familiares Vs. Guatemala. Fondo, Reparaciones y Costas</w:t>
      </w:r>
      <w:r w:rsidRPr="00514681">
        <w:rPr>
          <w:color w:val="000000"/>
          <w:spacing w:val="-4"/>
          <w:szCs w:val="16"/>
          <w:lang w:val="es-CR"/>
        </w:rPr>
        <w:t>. Sentencia de 29 de noviembre de 2012. Serie C No. 258, párr. 176.</w:t>
      </w:r>
    </w:p>
  </w:footnote>
  <w:footnote w:id="8">
    <w:p w:rsidR="00CA58C7" w:rsidRPr="00514681" w:rsidRDefault="00CA58C7" w:rsidP="003D44A0">
      <w:pPr>
        <w:tabs>
          <w:tab w:val="left" w:pos="426"/>
          <w:tab w:val="left" w:pos="567"/>
          <w:tab w:val="left" w:pos="709"/>
        </w:tabs>
        <w:spacing w:before="120" w:after="120"/>
        <w:jc w:val="both"/>
        <w:rPr>
          <w:rFonts w:eastAsia="Calibri" w:cs="Arial"/>
          <w:spacing w:val="-4"/>
          <w:szCs w:val="16"/>
          <w:lang w:val="es-ES"/>
        </w:rPr>
      </w:pPr>
      <w:r w:rsidRPr="00514681">
        <w:rPr>
          <w:rStyle w:val="FootnoteReference"/>
          <w:rFonts w:eastAsia="Calibri" w:cs="Arial"/>
          <w:spacing w:val="-4"/>
          <w:szCs w:val="16"/>
        </w:rPr>
        <w:footnoteRef/>
      </w:r>
      <w:r w:rsidRPr="00514681">
        <w:rPr>
          <w:rFonts w:eastAsia="Calibri" w:cs="Arial"/>
          <w:spacing w:val="-4"/>
          <w:szCs w:val="16"/>
          <w:lang w:val="es-ES"/>
        </w:rPr>
        <w:t xml:space="preserve"> </w:t>
      </w:r>
      <w:r w:rsidRPr="00514681">
        <w:rPr>
          <w:rFonts w:eastAsia="Calibri" w:cs="Arial"/>
          <w:spacing w:val="-4"/>
          <w:szCs w:val="16"/>
          <w:lang w:val="es-ES"/>
        </w:rPr>
        <w:tab/>
      </w:r>
      <w:r w:rsidRPr="00514681">
        <w:rPr>
          <w:rFonts w:eastAsia="Calibri" w:cs="Arial"/>
          <w:i/>
          <w:spacing w:val="-4"/>
          <w:szCs w:val="16"/>
          <w:lang w:val="es-ES"/>
        </w:rPr>
        <w:t>Cfr.</w:t>
      </w:r>
      <w:r w:rsidRPr="00514681">
        <w:rPr>
          <w:rFonts w:eastAsia="Calibri" w:cs="Arial"/>
          <w:spacing w:val="-4"/>
          <w:szCs w:val="16"/>
          <w:lang w:val="es-ES"/>
        </w:rPr>
        <w:t xml:space="preserve"> </w:t>
      </w:r>
      <w:r w:rsidRPr="00514681">
        <w:rPr>
          <w:rFonts w:eastAsia="Calibri" w:cs="Arial"/>
          <w:i/>
          <w:spacing w:val="-4"/>
          <w:szCs w:val="16"/>
          <w:lang w:val="es-ES"/>
        </w:rPr>
        <w:t>inter alia,</w:t>
      </w:r>
      <w:r w:rsidRPr="00514681">
        <w:rPr>
          <w:rFonts w:eastAsia="Calibri" w:cs="Arial"/>
          <w:spacing w:val="-4"/>
          <w:szCs w:val="16"/>
          <w:lang w:val="es-ES"/>
        </w:rPr>
        <w:t xml:space="preserve"> </w:t>
      </w:r>
      <w:r w:rsidRPr="00514681">
        <w:rPr>
          <w:rFonts w:eastAsia="Calibri" w:cs="Arial"/>
          <w:spacing w:val="-4"/>
          <w:szCs w:val="16"/>
          <w:lang w:val="es-CO"/>
        </w:rPr>
        <w:t xml:space="preserve">Informe de la Oficina del Alto Comisionado de las Naciones Unidas para los Derechos Humanos. </w:t>
      </w:r>
      <w:r w:rsidRPr="00514681">
        <w:rPr>
          <w:rStyle w:val="Emph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 Asamblea General de la OEA, Resoluciones:</w:t>
      </w:r>
      <w:r w:rsidRPr="00514681">
        <w:rPr>
          <w:rFonts w:eastAsia="Calibri" w:cs="Arial"/>
          <w:i/>
          <w:spacing w:val="-4"/>
          <w:szCs w:val="16"/>
          <w:lang w:val="es-CO"/>
        </w:rPr>
        <w:t xml:space="preserve"> </w:t>
      </w:r>
      <w:r w:rsidRPr="00514681">
        <w:rPr>
          <w:rFonts w:eastAsia="Calibri" w:cs="Arial"/>
          <w:spacing w:val="-4"/>
          <w:szCs w:val="16"/>
          <w:lang w:val="es-ES"/>
        </w:rPr>
        <w:t>AG/RES. 2175 (XXXVI-O/06) de 6 de junio de 2006,</w:t>
      </w:r>
      <w:r w:rsidRPr="00514681">
        <w:rPr>
          <w:rFonts w:eastAsia="Calibri" w:cs="Arial"/>
          <w:spacing w:val="-4"/>
          <w:szCs w:val="16"/>
          <w:lang w:val="es-CO"/>
        </w:rPr>
        <w:t xml:space="preserve"> </w:t>
      </w:r>
      <w:r w:rsidRPr="00514681">
        <w:rPr>
          <w:rFonts w:eastAsia="Calibri" w:cs="Arial"/>
          <w:spacing w:val="-4"/>
          <w:szCs w:val="16"/>
          <w:lang w:val="es-CO" w:bidi="en-US"/>
        </w:rPr>
        <w:t xml:space="preserve">AG/RES. 2267 (XXXVII-O/07) de 5 de junio de 2007; </w:t>
      </w:r>
      <w:r w:rsidRPr="00514681">
        <w:rPr>
          <w:rFonts w:eastAsia="Calibri" w:cs="Arial"/>
          <w:bCs/>
          <w:spacing w:val="-4"/>
          <w:szCs w:val="16"/>
          <w:lang w:val="es-ES" w:bidi="en-US"/>
        </w:rPr>
        <w:t xml:space="preserve">AG/RES. 2406 (XXXVIII-O/08) de 3 de junio de 2008; AG/RES. </w:t>
      </w:r>
      <w:r w:rsidRPr="00514681">
        <w:rPr>
          <w:rFonts w:eastAsia="Calibri" w:cs="Arial"/>
          <w:spacing w:val="-4"/>
          <w:szCs w:val="16"/>
          <w:lang w:val="es-CO" w:bidi="en-US"/>
        </w:rPr>
        <w:t>2509</w:t>
      </w:r>
      <w:r w:rsidRPr="00514681">
        <w:rPr>
          <w:rFonts w:eastAsia="Calibri" w:cs="Arial"/>
          <w:bCs/>
          <w:spacing w:val="-4"/>
          <w:szCs w:val="16"/>
          <w:lang w:val="es-ES" w:bidi="en-US"/>
        </w:rPr>
        <w:t xml:space="preserve"> (XXXIX-O/09) de 4 de junio de 2009, y </w:t>
      </w:r>
      <w:r w:rsidRPr="00514681">
        <w:rPr>
          <w:rFonts w:eastAsia="Calibri" w:cs="Arial"/>
          <w:spacing w:val="-4"/>
          <w:szCs w:val="16"/>
          <w:lang w:val="es-CO" w:bidi="en-US"/>
        </w:rPr>
        <w:t xml:space="preserve">AG/RES. 2595 (XL-O/10) de 8 de junio de 2010, </w:t>
      </w:r>
      <w:r w:rsidRPr="00514681">
        <w:rPr>
          <w:spacing w:val="-4"/>
          <w:szCs w:val="16"/>
          <w:lang w:val="es-MX"/>
        </w:rPr>
        <w:t xml:space="preserve">AG/RES. 2662 (XLI-O/11) de 7 de junio de 2011, </w:t>
      </w:r>
      <w:r w:rsidRPr="00514681">
        <w:rPr>
          <w:spacing w:val="-4"/>
          <w:szCs w:val="16"/>
          <w:lang w:val="es-ES"/>
        </w:rPr>
        <w:t xml:space="preserve">AG/RES. 2725 (XLII-O/12) de 4 de junio de 2012, </w:t>
      </w:r>
      <w:r w:rsidRPr="00514681">
        <w:rPr>
          <w:spacing w:val="-4"/>
          <w:szCs w:val="16"/>
          <w:lang w:val="es-MX"/>
        </w:rPr>
        <w:t xml:space="preserve">AG/RES. 2800 (XLIII-O/13) de 5 de junio de 2013, </w:t>
      </w:r>
      <w:r w:rsidRPr="00514681">
        <w:rPr>
          <w:spacing w:val="-4"/>
          <w:szCs w:val="16"/>
        </w:rPr>
        <w:t xml:space="preserve">AG/RES. 2822 (XLIV-O/14) de 4 de junio de 2014 </w:t>
      </w:r>
      <w:r w:rsidRPr="00514681">
        <w:rPr>
          <w:rFonts w:eastAsia="Calibri" w:cs="Arial"/>
          <w:spacing w:val="-4"/>
          <w:szCs w:val="16"/>
          <w:lang w:val="es-CO" w:bidi="en-US"/>
        </w:rPr>
        <w:t>en el</w:t>
      </w:r>
      <w:r w:rsidRPr="00514681">
        <w:rPr>
          <w:rFonts w:eastAsia="Calibri" w:cs="Arial"/>
          <w:i/>
          <w:spacing w:val="-4"/>
          <w:szCs w:val="16"/>
          <w:lang w:val="es-CO" w:bidi="en-US"/>
        </w:rPr>
        <w:t xml:space="preserve"> </w:t>
      </w:r>
      <w:r w:rsidRPr="00514681">
        <w:rPr>
          <w:rFonts w:eastAsia="Calibri" w:cs="Arial"/>
          <w:spacing w:val="-4"/>
          <w:szCs w:val="16"/>
          <w:lang w:val="es-CO"/>
        </w:rPr>
        <w:t xml:space="preserve">Informe de Diane Orentlicher, Experta independiente encargada de actualizar el Conjunto de principios para la lucha contra la impunidad (E/CN.4/2005/102) de 18 de febrero de 2005. </w:t>
      </w:r>
      <w:r w:rsidRPr="00514681">
        <w:rPr>
          <w:rFonts w:eastAsia="Calibri" w:cs="Arial"/>
          <w:spacing w:val="-4"/>
          <w:szCs w:val="16"/>
          <w:lang w:val="es-ES"/>
        </w:rPr>
        <w:t xml:space="preserve">En el mismo sentido, la antigua Comisión de Derechos Humanos de las Naciones Unidas, en el Conjunto de Principios actualizados para la protección y promoción de los derechos humanos mediante la lucha contra la impunidad, de 2005, estableció, </w:t>
      </w:r>
      <w:r w:rsidRPr="00514681">
        <w:rPr>
          <w:rFonts w:eastAsia="Calibri" w:cs="Arial"/>
          <w:i/>
          <w:spacing w:val="-4"/>
          <w:szCs w:val="16"/>
          <w:lang w:val="es-ES"/>
        </w:rPr>
        <w:t>inter alia</w:t>
      </w:r>
      <w:r w:rsidRPr="00514681">
        <w:rPr>
          <w:rFonts w:eastAsia="Calibri" w:cs="Arial"/>
          <w:spacing w:val="-4"/>
          <w:szCs w:val="16"/>
          <w:lang w:val="es-ES"/>
        </w:rPr>
        <w:t xml:space="preserve">, que: i) cada pueblo tiene el derecho inalienable a conocer la verdad acerca de los acontecimientos sucedidos en el pasado en relación con la perpetración de crímenes aberrantes (principio 2); ii) el Estado debe preservar los archivos y otras pruebas relativas a violaciones de los derechos humanos y facilitar el conocimiento de tales violaciones, como medida encaminada a preservar del olvido la memoria colectiva y, en particular, evitar que surjan tesis revisionistas y negacionistas (principio 3); iii) independientemente de las acciones que puedan entablar ante la justicia, las víctimas y sus familias tienen el derecho imprescriptible a conocer la verdad acerca de las circunstancias en que se cometieron las violaciones y, en caso de fallecimiento o desaparición, acerca de la suerte que corrió la víctima (principio 4), y iv) incumbe a los Estados adoptar las medidas adecuadas, incluidas las medidas necesarias para garantizar el funcionamiento independiente y eficaz del poder judicial, para hacer efectivo el derecho a saber. Las medidas apropiadas para asegurar ese derecho pueden incluir procesos no judiciales que complementen la función del poder judicial. En todo caso los Estados deben garantizar la presentación de archivos relativos a violaciones de derechos humanos y la posibilidad de consultarlos. Al respecto, </w:t>
      </w:r>
      <w:r w:rsidRPr="00514681">
        <w:rPr>
          <w:rFonts w:eastAsia="Calibri" w:cs="Arial"/>
          <w:i/>
          <w:spacing w:val="-4"/>
          <w:szCs w:val="16"/>
          <w:lang w:val="es-CO"/>
        </w:rPr>
        <w:t>cfr.</w:t>
      </w:r>
      <w:r w:rsidRPr="00514681">
        <w:rPr>
          <w:rFonts w:eastAsia="Calibri" w:cs="Arial"/>
          <w:spacing w:val="-4"/>
          <w:szCs w:val="16"/>
          <w:lang w:val="es-CO"/>
        </w:rPr>
        <w:t xml:space="preserve"> </w:t>
      </w:r>
      <w:r w:rsidRPr="00514681">
        <w:rPr>
          <w:rStyle w:val="Emphasis"/>
          <w:rFonts w:eastAsia="Calibri" w:cs="Arial"/>
          <w:spacing w:val="-4"/>
          <w:szCs w:val="16"/>
          <w:lang w:val="es-CO"/>
        </w:rPr>
        <w:t>Conjunto de principios actualizados para la protección y la promoción de los derechos humanos mediante la lucha contra la impunidad</w:t>
      </w:r>
      <w:r w:rsidRPr="00514681">
        <w:rPr>
          <w:rFonts w:eastAsia="Calibri" w:cs="Arial"/>
          <w:spacing w:val="-4"/>
          <w:szCs w:val="16"/>
          <w:lang w:val="es-CO"/>
        </w:rPr>
        <w:t xml:space="preserve"> (E/CN.4/2005/102/Add.1) de 8 de febrero de 2005. </w:t>
      </w:r>
    </w:p>
  </w:footnote>
  <w:footnote w:id="9">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rFonts w:eastAsia="Calibri" w:cs="Arial"/>
          <w:spacing w:val="-4"/>
          <w:szCs w:val="16"/>
          <w:lang w:val="es-CO"/>
        </w:rPr>
        <w:t xml:space="preserve">Informe de la Oficina del Alto Comisionado de las Naciones Unidas para los Derechos Humanos. </w:t>
      </w:r>
      <w:r w:rsidRPr="00514681">
        <w:rPr>
          <w:rStyle w:val="Emph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w:t>
      </w:r>
      <w:r w:rsidRPr="00514681">
        <w:rPr>
          <w:spacing w:val="-4"/>
          <w:szCs w:val="16"/>
          <w:lang w:val="es-CR"/>
        </w:rPr>
        <w:t xml:space="preserve">, párrs. 55 a 57. </w:t>
      </w:r>
    </w:p>
  </w:footnote>
  <w:footnote w:id="10">
    <w:p w:rsidR="00CA58C7" w:rsidRPr="00514681" w:rsidRDefault="00CA58C7" w:rsidP="003D44A0">
      <w:pPr>
        <w:pStyle w:val="FootnoteText"/>
        <w:tabs>
          <w:tab w:val="left" w:pos="426"/>
          <w:tab w:val="left" w:pos="567"/>
        </w:tabs>
        <w:spacing w:before="120" w:after="120"/>
        <w:rPr>
          <w:color w:val="000000"/>
          <w:spacing w:val="-4"/>
          <w:szCs w:val="16"/>
          <w:lang w:val="pt-BR"/>
        </w:rPr>
      </w:pPr>
      <w:r w:rsidRPr="00514681">
        <w:rPr>
          <w:rStyle w:val="FootnoteReference"/>
          <w:rFonts w:eastAsia="MS Gothic"/>
          <w:spacing w:val="-4"/>
          <w:szCs w:val="16"/>
        </w:rPr>
        <w:footnoteRef/>
      </w:r>
      <w:r w:rsidRPr="00514681">
        <w:rPr>
          <w:spacing w:val="-4"/>
          <w:szCs w:val="16"/>
          <w:lang w:val="es-CR"/>
        </w:rPr>
        <w:t xml:space="preserve"> </w:t>
      </w:r>
      <w:r w:rsidRPr="00514681">
        <w:rPr>
          <w:spacing w:val="-4"/>
          <w:szCs w:val="16"/>
          <w:lang w:val="es-CR"/>
        </w:rPr>
        <w:tab/>
      </w:r>
      <w:r w:rsidRPr="00514681">
        <w:rPr>
          <w:i/>
          <w:iCs/>
          <w:spacing w:val="-4"/>
          <w:szCs w:val="16"/>
          <w:lang w:val="pt-BR"/>
        </w:rPr>
        <w:t xml:space="preserve">Cfr. </w:t>
      </w:r>
      <w:r w:rsidRPr="00514681">
        <w:rPr>
          <w:i/>
          <w:iCs/>
          <w:color w:val="000000"/>
          <w:spacing w:val="-4"/>
          <w:szCs w:val="16"/>
          <w:lang w:val="pt-BR"/>
        </w:rPr>
        <w:t>Caso Gomes Lund y otros (Guerrilha do Araguaia) Vs. Brasil</w:t>
      </w:r>
      <w:r w:rsidRPr="00514681">
        <w:rPr>
          <w:rFonts w:cs="Arial"/>
          <w:i/>
          <w:spacing w:val="-4"/>
          <w:szCs w:val="16"/>
          <w:lang w:val="es-CO" w:bidi="en-US"/>
        </w:rPr>
        <w:t>. Excepciones Preliminares, Fondo, Reparaciones y Costas.</w:t>
      </w:r>
      <w:r w:rsidRPr="00514681">
        <w:rPr>
          <w:rFonts w:cs="Arial"/>
          <w:spacing w:val="-4"/>
          <w:szCs w:val="16"/>
          <w:lang w:val="es-CO" w:bidi="en-US"/>
        </w:rPr>
        <w:t xml:space="preserve"> Sentencia de 24 de noviembre de 2010. Serie C No. 219, párr. 201 y punto resolutivo sexto, que establece</w:t>
      </w:r>
      <w:r w:rsidRPr="00514681">
        <w:rPr>
          <w:color w:val="000000"/>
          <w:spacing w:val="-4"/>
          <w:szCs w:val="16"/>
          <w:lang w:val="pt-BR"/>
        </w:rPr>
        <w:t>: “</w:t>
      </w:r>
      <w:r w:rsidRPr="00514681">
        <w:rPr>
          <w:rFonts w:cs="Tahoma"/>
          <w:szCs w:val="16"/>
        </w:rPr>
        <w:t xml:space="preserve">El Estado es responsable por la violación del </w:t>
      </w:r>
      <w:r w:rsidRPr="00514681">
        <w:rPr>
          <w:szCs w:val="16"/>
        </w:rPr>
        <w:t xml:space="preserve">derecho a la libertad de pensamiento y de expresión consagrado en el artículo 13 de la Convención Americana sobre Derechos Humanos, en relación con los artículos 1.1, 8.1 y 25 de dicho instrumento, por </w:t>
      </w:r>
      <w:r w:rsidRPr="00514681">
        <w:rPr>
          <w:rFonts w:eastAsia="Times"/>
          <w:color w:val="000000"/>
          <w:szCs w:val="16"/>
        </w:rPr>
        <w:t>la</w:t>
      </w:r>
      <w:r w:rsidRPr="00514681">
        <w:rPr>
          <w:szCs w:val="16"/>
        </w:rPr>
        <w:t xml:space="preserve"> afectación del derecho a buscar y a recibir información, </w:t>
      </w:r>
      <w:r w:rsidRPr="00514681">
        <w:rPr>
          <w:szCs w:val="16"/>
          <w:u w:val="single"/>
        </w:rPr>
        <w:t>así como del derecho a conocer la verdad de lo ocurrido</w:t>
      </w:r>
      <w:r w:rsidRPr="00514681">
        <w:rPr>
          <w:szCs w:val="16"/>
        </w:rPr>
        <w:t>” (subrayado añadido).</w:t>
      </w:r>
    </w:p>
  </w:footnote>
  <w:footnote w:id="11">
    <w:p w:rsidR="00CA58C7" w:rsidRPr="00514681" w:rsidRDefault="00CA58C7" w:rsidP="003D44A0">
      <w:pPr>
        <w:pStyle w:val="FootnoteText"/>
        <w:tabs>
          <w:tab w:val="left" w:pos="426"/>
          <w:tab w:val="left" w:pos="567"/>
        </w:tabs>
        <w:spacing w:after="120"/>
      </w:pPr>
      <w:r w:rsidRPr="00514681">
        <w:rPr>
          <w:rStyle w:val="FootnoteReference"/>
        </w:rPr>
        <w:footnoteRef/>
      </w:r>
      <w:r w:rsidRPr="00514681">
        <w:t xml:space="preserve"> </w:t>
      </w:r>
      <w:r w:rsidRPr="00514681">
        <w:tab/>
        <w:t>Párrs. 299 y 511 de la Sentencia.</w:t>
      </w:r>
    </w:p>
  </w:footnote>
  <w:footnote w:id="12">
    <w:p w:rsidR="00CA58C7" w:rsidRPr="00514681" w:rsidRDefault="00CA58C7" w:rsidP="003D44A0">
      <w:pPr>
        <w:pStyle w:val="FootnoteText"/>
        <w:tabs>
          <w:tab w:val="left" w:pos="426"/>
          <w:tab w:val="left" w:pos="567"/>
        </w:tabs>
        <w:spacing w:before="120" w:after="120"/>
        <w:rPr>
          <w:b/>
          <w:i/>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w:t>
      </w:r>
      <w:r w:rsidRPr="00514681">
        <w:rPr>
          <w:bCs/>
          <w:i/>
          <w:spacing w:val="-4"/>
          <w:szCs w:val="16"/>
          <w:lang w:val="es-CR"/>
        </w:rPr>
        <w:t xml:space="preserve">Castillo Páez Vs. Perú. </w:t>
      </w:r>
      <w:r w:rsidRPr="00514681">
        <w:rPr>
          <w:i/>
          <w:spacing w:val="-4"/>
          <w:szCs w:val="16"/>
          <w:lang w:val="es-CR"/>
        </w:rPr>
        <w:t xml:space="preserve">Fondo. </w:t>
      </w:r>
      <w:r w:rsidRPr="00514681">
        <w:rPr>
          <w:spacing w:val="-4"/>
          <w:szCs w:val="16"/>
          <w:lang w:val="es-CR"/>
        </w:rPr>
        <w:t xml:space="preserve">Sentencia de 3 de noviembre de 1997. Serie C No. 34, párr. 86. </w:t>
      </w:r>
    </w:p>
  </w:footnote>
  <w:footnote w:id="13">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Bámaca </w:t>
      </w:r>
      <w:r w:rsidRPr="00514681">
        <w:rPr>
          <w:rFonts w:cs="Verdana,Italic"/>
          <w:i/>
          <w:iCs/>
          <w:spacing w:val="-4"/>
          <w:szCs w:val="16"/>
          <w:lang w:val="es-CR"/>
        </w:rPr>
        <w:t>Vélasquez Vs. Guatemala.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25 de noviembre de 2000. Serie C No. 70, párrs. 200 y 201.</w:t>
      </w:r>
    </w:p>
  </w:footnote>
  <w:footnote w:id="14">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 Caso Barrios Altos vs. Perú</w:t>
      </w:r>
      <w:r w:rsidRPr="00514681">
        <w:rPr>
          <w:rFonts w:cs="Verdana,Italic"/>
          <w:i/>
          <w:iCs/>
          <w:spacing w:val="-4"/>
          <w:szCs w:val="16"/>
          <w:lang w:val="es-CR"/>
        </w:rPr>
        <w:t>.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14 de marzo de 2001. Serie C No. 75, párr. 46.</w:t>
      </w:r>
    </w:p>
  </w:footnote>
  <w:footnote w:id="15">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 Caso Barrios Altos vs. Perú</w:t>
      </w:r>
      <w:r w:rsidRPr="00514681">
        <w:rPr>
          <w:rFonts w:cs="Verdana,Italic"/>
          <w:i/>
          <w:iCs/>
          <w:spacing w:val="-4"/>
          <w:szCs w:val="16"/>
          <w:lang w:val="es-CR"/>
        </w:rPr>
        <w:t>.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14 de marzo de 2001. Serie C No. 75, párr. 45.</w:t>
      </w:r>
    </w:p>
  </w:footnote>
  <w:footnote w:id="16">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 Caso Barrios Altos vs. Perú</w:t>
      </w:r>
      <w:r w:rsidRPr="00514681">
        <w:rPr>
          <w:rFonts w:cs="Verdana,Italic"/>
          <w:i/>
          <w:iCs/>
          <w:spacing w:val="-4"/>
          <w:szCs w:val="16"/>
          <w:lang w:val="es-CR"/>
        </w:rPr>
        <w:t>.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14 de marzo de 2001. Serie C No. 75, párrs. 47 a 49.</w:t>
      </w:r>
    </w:p>
  </w:footnote>
  <w:footnote w:id="17">
    <w:p w:rsidR="00CA58C7" w:rsidRPr="00514681" w:rsidRDefault="00CA58C7" w:rsidP="003D44A0">
      <w:pPr>
        <w:pStyle w:val="ColorfulList-Accent11"/>
        <w:tabs>
          <w:tab w:val="left" w:pos="426"/>
          <w:tab w:val="left" w:pos="567"/>
        </w:tabs>
        <w:spacing w:before="120" w:after="120"/>
        <w:ind w:left="0"/>
        <w:rPr>
          <w:rFonts w:eastAsia="Calibri" w:cs="Arial"/>
          <w:b/>
          <w:spacing w:val="-4"/>
          <w:sz w:val="16"/>
          <w:szCs w:val="16"/>
          <w:lang w:val="es-CR"/>
        </w:rPr>
      </w:pPr>
      <w:r w:rsidRPr="00514681">
        <w:rPr>
          <w:rStyle w:val="FootnoteReference"/>
          <w:spacing w:val="-4"/>
          <w:szCs w:val="16"/>
        </w:rPr>
        <w:footnoteRef/>
      </w:r>
      <w:r w:rsidRPr="00514681">
        <w:rPr>
          <w:spacing w:val="-4"/>
          <w:sz w:val="16"/>
          <w:szCs w:val="16"/>
          <w:lang w:val="es-CR"/>
        </w:rPr>
        <w:t xml:space="preserve"> </w:t>
      </w:r>
      <w:r w:rsidRPr="00514681">
        <w:rPr>
          <w:spacing w:val="-4"/>
          <w:sz w:val="16"/>
          <w:szCs w:val="16"/>
          <w:lang w:val="es-CR"/>
        </w:rPr>
        <w:tab/>
      </w:r>
      <w:r w:rsidRPr="00514681">
        <w:rPr>
          <w:i/>
          <w:spacing w:val="-4"/>
          <w:sz w:val="16"/>
          <w:szCs w:val="16"/>
          <w:lang w:val="es-CR"/>
        </w:rPr>
        <w:t xml:space="preserve">Cfr. </w:t>
      </w:r>
      <w:r w:rsidRPr="00514681">
        <w:rPr>
          <w:rFonts w:cs="Verdana"/>
          <w:bCs/>
          <w:i/>
          <w:spacing w:val="-4"/>
          <w:sz w:val="16"/>
          <w:szCs w:val="16"/>
          <w:lang w:val="es-CR"/>
        </w:rPr>
        <w:t xml:space="preserve">Caso de la “Panel Blanca” (Paniagua Morales y otros) </w:t>
      </w:r>
      <w:r w:rsidRPr="00514681">
        <w:rPr>
          <w:rFonts w:cs="Verdana"/>
          <w:bCs/>
          <w:i/>
          <w:iCs/>
          <w:spacing w:val="-4"/>
          <w:sz w:val="16"/>
          <w:szCs w:val="16"/>
          <w:lang w:val="es-CR"/>
        </w:rPr>
        <w:t>Vs</w:t>
      </w:r>
      <w:r w:rsidRPr="00514681">
        <w:rPr>
          <w:rFonts w:cs="Verdana"/>
          <w:bCs/>
          <w:i/>
          <w:spacing w:val="-4"/>
          <w:sz w:val="16"/>
          <w:szCs w:val="16"/>
          <w:lang w:val="es-CR"/>
        </w:rPr>
        <w:t xml:space="preserve">. Guatemala. Reparaciones y costas. </w:t>
      </w:r>
      <w:r w:rsidRPr="00514681">
        <w:rPr>
          <w:rFonts w:cs="Verdana"/>
          <w:bCs/>
          <w:spacing w:val="-4"/>
          <w:sz w:val="16"/>
          <w:szCs w:val="16"/>
          <w:lang w:val="es-CR"/>
        </w:rPr>
        <w:t xml:space="preserve">Sentencia de 25 de mayo de 2001. </w:t>
      </w:r>
      <w:r w:rsidRPr="00514681">
        <w:rPr>
          <w:color w:val="000000"/>
          <w:spacing w:val="-4"/>
          <w:sz w:val="16"/>
          <w:szCs w:val="16"/>
          <w:lang w:val="es-CR"/>
        </w:rPr>
        <w:t xml:space="preserve">Serie C No. 76, párr. 200; </w:t>
      </w:r>
      <w:r w:rsidRPr="00514681">
        <w:rPr>
          <w:rFonts w:cs="Verdana,Bold"/>
          <w:bCs/>
          <w:i/>
          <w:spacing w:val="-4"/>
          <w:sz w:val="16"/>
          <w:szCs w:val="16"/>
          <w:lang w:val="es-CR"/>
        </w:rPr>
        <w:t xml:space="preserve">Caso de los “Niños de la Calle” (Villagrán Morales y otros) </w:t>
      </w:r>
      <w:r w:rsidRPr="00514681">
        <w:rPr>
          <w:rFonts w:cs="Verdana,BoldItalic"/>
          <w:bCs/>
          <w:i/>
          <w:iCs/>
          <w:spacing w:val="-4"/>
          <w:sz w:val="16"/>
          <w:szCs w:val="16"/>
          <w:lang w:val="es-CR"/>
        </w:rPr>
        <w:t xml:space="preserve">Vs. </w:t>
      </w:r>
      <w:r w:rsidRPr="00514681">
        <w:rPr>
          <w:rFonts w:cs="Verdana,Bold"/>
          <w:bCs/>
          <w:i/>
          <w:spacing w:val="-4"/>
          <w:sz w:val="16"/>
          <w:szCs w:val="16"/>
          <w:lang w:val="es-CR"/>
        </w:rPr>
        <w:t xml:space="preserve">Guatemala. </w:t>
      </w:r>
      <w:r w:rsidRPr="00514681">
        <w:rPr>
          <w:i/>
          <w:color w:val="000000"/>
          <w:spacing w:val="-4"/>
          <w:sz w:val="16"/>
          <w:szCs w:val="16"/>
          <w:lang w:val="es-CR"/>
        </w:rPr>
        <w:t>Reparaciones y Costas.</w:t>
      </w:r>
      <w:r w:rsidRPr="00514681">
        <w:rPr>
          <w:color w:val="000000"/>
          <w:spacing w:val="-4"/>
          <w:sz w:val="16"/>
          <w:szCs w:val="16"/>
          <w:lang w:val="es-CR"/>
        </w:rPr>
        <w:t xml:space="preserve"> Sentencia de 26 de mayo de 2001. Serie C No. 77, párr. 100; </w:t>
      </w:r>
      <w:r w:rsidRPr="00514681">
        <w:rPr>
          <w:i/>
          <w:color w:val="000000"/>
          <w:spacing w:val="-4"/>
          <w:sz w:val="16"/>
          <w:szCs w:val="16"/>
          <w:lang w:val="es-CR"/>
        </w:rPr>
        <w:t xml:space="preserve">Caso Cantoral Benavides Vs. Perú. Reparaciones y Costas. </w:t>
      </w:r>
      <w:r w:rsidRPr="00514681">
        <w:rPr>
          <w:color w:val="000000"/>
          <w:spacing w:val="-4"/>
          <w:sz w:val="16"/>
          <w:szCs w:val="16"/>
          <w:lang w:val="es-CR"/>
        </w:rPr>
        <w:t xml:space="preserve">Sentencia de 3 de diciembre de 2001. Serie C No. 88, párr. 69, y </w:t>
      </w:r>
      <w:r w:rsidRPr="00514681">
        <w:rPr>
          <w:rFonts w:eastAsia="Calibri" w:cs="Arial"/>
          <w:i/>
          <w:spacing w:val="-4"/>
          <w:sz w:val="16"/>
          <w:szCs w:val="16"/>
          <w:lang w:val="es-CR"/>
        </w:rPr>
        <w:t>Caso Bámaca Velásquez Vs. Guatemala. Reparaciones y Costas.</w:t>
      </w:r>
      <w:r w:rsidRPr="00514681">
        <w:rPr>
          <w:rFonts w:eastAsia="Calibri" w:cs="Arial"/>
          <w:spacing w:val="-4"/>
          <w:sz w:val="16"/>
          <w:szCs w:val="16"/>
          <w:lang w:val="es-CR"/>
        </w:rPr>
        <w:t xml:space="preserve"> Sentencia de 22 de febrero de 2002. Serie C No. 91, párr. 74.</w:t>
      </w:r>
    </w:p>
  </w:footnote>
  <w:footnote w:id="18">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cs="Arial"/>
          <w:i/>
          <w:spacing w:val="-4"/>
          <w:szCs w:val="16"/>
          <w:lang w:val="es-CR"/>
        </w:rPr>
        <w:t>Bámaca Velásquez Vs. Guatemala. Reparaciones y Costas.</w:t>
      </w:r>
      <w:r w:rsidRPr="00514681">
        <w:rPr>
          <w:rFonts w:cs="Arial"/>
          <w:spacing w:val="-4"/>
          <w:szCs w:val="16"/>
          <w:lang w:val="es-CR"/>
        </w:rPr>
        <w:t xml:space="preserve"> Sentencia de 22 de febrero de 2002. Serie C No. 91, párr. 76. En el mismo sentido, se han pronunciado casos posteriores tales como </w:t>
      </w:r>
      <w:r w:rsidRPr="00514681">
        <w:rPr>
          <w:rFonts w:cs="Arial"/>
          <w:i/>
          <w:spacing w:val="-4"/>
          <w:szCs w:val="16"/>
          <w:lang w:val="es-CR"/>
        </w:rPr>
        <w:t xml:space="preserve">Caso Bulacio Vs. Argentina. Fondo, Reparaciones y Costas. </w:t>
      </w:r>
      <w:r w:rsidRPr="00514681">
        <w:rPr>
          <w:rFonts w:cs="Arial"/>
          <w:spacing w:val="-4"/>
          <w:szCs w:val="16"/>
          <w:lang w:val="es-CR"/>
        </w:rPr>
        <w:t xml:space="preserve">Sentencia de 18 de septiembre de 2003. Serie C No. 100, párrs. 114 y 115; </w:t>
      </w:r>
      <w:r w:rsidRPr="00514681">
        <w:rPr>
          <w:rFonts w:cs="Arial"/>
          <w:i/>
          <w:spacing w:val="-4"/>
          <w:szCs w:val="16"/>
        </w:rPr>
        <w:t xml:space="preserve">Caso Molina Theissen Vs. Guatemala. Reparaciones y Costas. </w:t>
      </w:r>
      <w:r w:rsidRPr="00514681">
        <w:rPr>
          <w:rFonts w:cs="Arial"/>
          <w:spacing w:val="-4"/>
          <w:szCs w:val="16"/>
        </w:rPr>
        <w:t xml:space="preserve">Sentencia de 3 de julio de 2004. Serie C No. 108; párrs. 81 y 82; </w:t>
      </w:r>
      <w:r w:rsidRPr="00514681">
        <w:rPr>
          <w:rFonts w:cs="Arial"/>
          <w:i/>
          <w:spacing w:val="-4"/>
          <w:szCs w:val="16"/>
        </w:rPr>
        <w:t xml:space="preserve">Caso 19 Comerciantes Vs. Colombia. Fondo, Reparaciones y Costas. </w:t>
      </w:r>
      <w:r w:rsidRPr="00514681">
        <w:rPr>
          <w:rFonts w:cs="Arial"/>
          <w:spacing w:val="-4"/>
          <w:szCs w:val="16"/>
        </w:rPr>
        <w:t xml:space="preserve">Sentencia de 5 de julio de 2004. Serie C No. 109, párrs. 188 y 261; </w:t>
      </w:r>
      <w:r w:rsidRPr="00514681">
        <w:rPr>
          <w:rFonts w:cs="Arial"/>
          <w:i/>
          <w:spacing w:val="-4"/>
          <w:szCs w:val="16"/>
        </w:rPr>
        <w:t xml:space="preserve">Caso del Penal Miguel Castro Castro Vs. Perú. Fondo, Reparaciones y Costas. </w:t>
      </w:r>
      <w:r w:rsidRPr="00514681">
        <w:rPr>
          <w:rFonts w:cs="Arial"/>
          <w:spacing w:val="-4"/>
          <w:szCs w:val="16"/>
        </w:rPr>
        <w:t xml:space="preserve">Sentencia de 25 de noviembre de 2006. Serie C No. 160, párrs. 347 y 440; </w:t>
      </w:r>
      <w:r w:rsidRPr="00514681">
        <w:rPr>
          <w:rFonts w:eastAsia="Calibri" w:cs="Arial"/>
          <w:i/>
          <w:spacing w:val="-4"/>
          <w:szCs w:val="16"/>
          <w:lang w:val="es-CR"/>
        </w:rPr>
        <w:t xml:space="preserve">Caso Escué Zapata Vs. Colombia. Fondo, Reparaciones y Costas. </w:t>
      </w:r>
      <w:r w:rsidRPr="00514681">
        <w:rPr>
          <w:rFonts w:eastAsia="Calibri" w:cs="Arial"/>
          <w:spacing w:val="-4"/>
          <w:szCs w:val="16"/>
          <w:lang w:val="es-CR"/>
        </w:rPr>
        <w:t xml:space="preserve">Sentencia de 4 de julio de 2007. Serie C No. 165, párr. 165; </w:t>
      </w:r>
      <w:r w:rsidRPr="00514681">
        <w:rPr>
          <w:rFonts w:cs="Arial"/>
          <w:i/>
          <w:spacing w:val="-4"/>
          <w:szCs w:val="16"/>
          <w:lang w:val="es-CR"/>
        </w:rPr>
        <w:t xml:space="preserve">Caso González y otras (“Campo Algodonero”) Vs. México. Excepción Preliminar, Fondo, Reparaciones y Costas. </w:t>
      </w:r>
      <w:r w:rsidRPr="00514681">
        <w:rPr>
          <w:rFonts w:cs="Arial"/>
          <w:spacing w:val="-4"/>
          <w:szCs w:val="16"/>
          <w:lang w:val="es-CR"/>
        </w:rPr>
        <w:t xml:space="preserve">Sentencia de 16 de noviembre de 2009. Serie C No. 205, párr. 388; </w:t>
      </w:r>
      <w:r w:rsidRPr="00514681">
        <w:rPr>
          <w:rFonts w:cs="Arial"/>
          <w:i/>
          <w:spacing w:val="-4"/>
          <w:szCs w:val="16"/>
          <w:lang w:val="es-CR"/>
        </w:rPr>
        <w:t xml:space="preserve">Caso Ibsen Cárdenas e Ibsen Peña Vs. Bolivia. Fondo, Reparaciones y Costas. </w:t>
      </w:r>
      <w:r w:rsidRPr="00514681">
        <w:rPr>
          <w:rFonts w:cs="Arial"/>
          <w:spacing w:val="-4"/>
          <w:szCs w:val="16"/>
          <w:lang w:val="es-CR"/>
        </w:rPr>
        <w:t xml:space="preserve">Sentencia de 1 de septiembre de 2010 Serie C No. 217, párr. 225; </w:t>
      </w:r>
      <w:r w:rsidRPr="00514681">
        <w:rPr>
          <w:rFonts w:cs="Arial"/>
          <w:i/>
          <w:spacing w:val="-4"/>
          <w:szCs w:val="16"/>
        </w:rPr>
        <w:t xml:space="preserve">Caso Gelman Vs. Uruguay. Fondo y Reparaciones. </w:t>
      </w:r>
      <w:r w:rsidRPr="00514681">
        <w:rPr>
          <w:rFonts w:cs="Arial"/>
          <w:spacing w:val="-4"/>
          <w:szCs w:val="16"/>
        </w:rPr>
        <w:t xml:space="preserve">Sentencia de 24 de febrero de 2011 Serie C No.221, párr. 192; </w:t>
      </w:r>
      <w:r w:rsidRPr="00514681">
        <w:rPr>
          <w:rFonts w:cs="Arial"/>
          <w:i/>
          <w:spacing w:val="-4"/>
          <w:szCs w:val="16"/>
        </w:rPr>
        <w:t>Caso</w:t>
      </w:r>
      <w:r w:rsidRPr="00514681">
        <w:rPr>
          <w:rFonts w:cs="Arial"/>
          <w:b/>
          <w:i/>
          <w:spacing w:val="-4"/>
          <w:szCs w:val="16"/>
        </w:rPr>
        <w:t xml:space="preserve"> </w:t>
      </w:r>
      <w:r w:rsidRPr="00514681">
        <w:rPr>
          <w:rFonts w:cs="Arial"/>
          <w:i/>
          <w:spacing w:val="-4"/>
          <w:szCs w:val="16"/>
        </w:rPr>
        <w:t>Luna López Vs. Honduras. Fondo, Reparaciones y Costas.</w:t>
      </w:r>
      <w:r w:rsidRPr="00514681">
        <w:rPr>
          <w:rFonts w:cs="Arial"/>
          <w:spacing w:val="-4"/>
          <w:szCs w:val="16"/>
        </w:rPr>
        <w:t xml:space="preserve"> Sentencia de 10 de octubre de 2013. Serie C No. 269, párr. 156; </w:t>
      </w:r>
      <w:r w:rsidRPr="00514681">
        <w:rPr>
          <w:rFonts w:cs="Arial"/>
          <w:i/>
          <w:spacing w:val="-4"/>
          <w:szCs w:val="16"/>
          <w:lang w:val="es-CR"/>
        </w:rPr>
        <w:t>Caso Veliz Franco y otros Vs. Guatemala. Excepciones Preliminares, Fondo, Reparaciones y Costas</w:t>
      </w:r>
      <w:r w:rsidRPr="00514681">
        <w:rPr>
          <w:rFonts w:cs="Arial"/>
          <w:spacing w:val="-4"/>
          <w:szCs w:val="16"/>
          <w:lang w:val="es-CR"/>
        </w:rPr>
        <w:t xml:space="preserve">. Sentencia de 19 de mayo de 2014. Serie C No. 277, párr. 250, y </w:t>
      </w:r>
      <w:r w:rsidRPr="00514681">
        <w:rPr>
          <w:rFonts w:cs="Arial"/>
          <w:i/>
          <w:spacing w:val="-4"/>
          <w:szCs w:val="16"/>
        </w:rPr>
        <w:t xml:space="preserve">Caso Rochac Hernández y otros Vs. El Salvador. Fondo, Reparaciones y Costas. </w:t>
      </w:r>
      <w:r w:rsidRPr="00514681">
        <w:rPr>
          <w:rFonts w:cs="Arial"/>
          <w:spacing w:val="-4"/>
          <w:szCs w:val="16"/>
        </w:rPr>
        <w:t>Sentencia de 14 de octubre de 2014. Serie C No. 285, párr. 234.</w:t>
      </w:r>
    </w:p>
  </w:footnote>
  <w:footnote w:id="19">
    <w:p w:rsidR="00CA58C7" w:rsidRPr="00514681" w:rsidRDefault="00CA58C7" w:rsidP="003D44A0">
      <w:pPr>
        <w:tabs>
          <w:tab w:val="left" w:pos="426"/>
          <w:tab w:val="left" w:pos="567"/>
        </w:tabs>
        <w:spacing w:before="120" w:after="120"/>
        <w:jc w:val="both"/>
        <w:rPr>
          <w:rFonts w:cs="Arial"/>
          <w:spacing w:val="-4"/>
          <w:szCs w:val="16"/>
          <w:lang w:val="es-CR"/>
        </w:rPr>
      </w:pPr>
      <w:r w:rsidRPr="00514681">
        <w:rPr>
          <w:rStyle w:val="FootnoteReferenc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i/>
          <w:spacing w:val="-4"/>
          <w:szCs w:val="16"/>
          <w:lang w:val="es-CR"/>
        </w:rPr>
        <w:t xml:space="preserve">Cfr. </w:t>
      </w:r>
      <w:r w:rsidRPr="00514681">
        <w:rPr>
          <w:rFonts w:cs="Arial"/>
          <w:i/>
          <w:spacing w:val="-4"/>
          <w:szCs w:val="16"/>
          <w:lang w:val="es-CR"/>
        </w:rPr>
        <w:t>Bámaca Velásquez Vs. Guatemala. Reparaciones y Costas.</w:t>
      </w:r>
      <w:r w:rsidRPr="00514681">
        <w:rPr>
          <w:rFonts w:cs="Arial"/>
          <w:spacing w:val="-4"/>
          <w:szCs w:val="16"/>
          <w:lang w:val="es-CR"/>
        </w:rPr>
        <w:t xml:space="preserve"> Sentencia de 22 de febrero de 2002. Serie C No. 91, párr. 76. </w:t>
      </w:r>
    </w:p>
  </w:footnote>
  <w:footnote w:id="20">
    <w:p w:rsidR="00CA58C7" w:rsidRPr="00514681" w:rsidRDefault="00CA58C7" w:rsidP="003D44A0">
      <w:pPr>
        <w:pStyle w:val="FootnoteText"/>
        <w:tabs>
          <w:tab w:val="left" w:pos="426"/>
          <w:tab w:val="left" w:pos="567"/>
        </w:tabs>
        <w:spacing w:before="120" w:after="120"/>
        <w:rPr>
          <w:rFonts w:cs="Arial"/>
          <w:i/>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Blanco Romero y otros Vs. Venezuela. Fondo, Reparaciones y Costas. </w:t>
      </w:r>
      <w:r w:rsidRPr="00514681">
        <w:rPr>
          <w:spacing w:val="-4"/>
          <w:szCs w:val="16"/>
          <w:lang w:val="es-CR"/>
        </w:rPr>
        <w:t>Sentencia de 28 de noviembre de 2005. Serie C No. 138, párr. 62;</w:t>
      </w:r>
      <w:r w:rsidRPr="00514681">
        <w:rPr>
          <w:i/>
          <w:spacing w:val="-4"/>
          <w:szCs w:val="16"/>
          <w:lang w:val="es-CR"/>
        </w:rPr>
        <w:t xml:space="preserve"> Caso Servellón García y otros Vs Honduras. </w:t>
      </w:r>
      <w:r w:rsidRPr="00514681">
        <w:rPr>
          <w:rFonts w:cs="Verdana"/>
          <w:spacing w:val="-4"/>
          <w:szCs w:val="16"/>
          <w:lang w:val="es-CR"/>
        </w:rPr>
        <w:t xml:space="preserve">Sentencia de 21 de septiembre de 2006. Serie C No. 152, párr. 76; </w:t>
      </w:r>
      <w:r w:rsidRPr="00514681">
        <w:rPr>
          <w:i/>
          <w:spacing w:val="-4"/>
          <w:szCs w:val="16"/>
          <w:lang w:val="es-CR"/>
        </w:rPr>
        <w:t xml:space="preserve">Caso de la Masacre de Pueblo Bello Vs. Colombia. </w:t>
      </w:r>
      <w:r w:rsidRPr="00514681">
        <w:rPr>
          <w:spacing w:val="-4"/>
          <w:szCs w:val="16"/>
          <w:lang w:val="es-CR"/>
        </w:rPr>
        <w:t xml:space="preserve">Sentencia de 31 de enero de 2006. Serie C No. 140, párr. 220, y </w:t>
      </w:r>
      <w:r w:rsidRPr="00514681">
        <w:rPr>
          <w:rFonts w:cs="Arial"/>
          <w:i/>
          <w:spacing w:val="-4"/>
          <w:szCs w:val="16"/>
          <w:lang w:val="es-CR"/>
        </w:rPr>
        <w:t xml:space="preserve">Caso Montero Aranguren y otros (Retén de Catia) Vs. Venezuela. Excepción Preliminar, Fondo, Reparaciones y Costas. </w:t>
      </w:r>
      <w:r w:rsidRPr="00514681">
        <w:rPr>
          <w:rFonts w:cs="Arial"/>
          <w:spacing w:val="-4"/>
          <w:szCs w:val="16"/>
          <w:lang w:val="es-CR"/>
        </w:rPr>
        <w:t xml:space="preserve">Sentencia de 5 de julio de 2006. Serie C No. 150, párr. 55. </w:t>
      </w:r>
    </w:p>
  </w:footnote>
  <w:footnote w:id="21">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Blanco Romero y otros Vs. Venezuela. Fondo, Reparaciones y Costas. </w:t>
      </w:r>
      <w:r w:rsidRPr="00514681">
        <w:rPr>
          <w:spacing w:val="-4"/>
          <w:szCs w:val="16"/>
          <w:lang w:val="es-CR"/>
        </w:rPr>
        <w:t xml:space="preserve">Sentencia de 28 de noviembre de 2005. Serie C No. 138, párr. 95. </w:t>
      </w:r>
      <w:r w:rsidRPr="00514681">
        <w:rPr>
          <w:i/>
          <w:spacing w:val="-4"/>
          <w:szCs w:val="16"/>
          <w:lang w:val="es-CR"/>
        </w:rPr>
        <w:t xml:space="preserve">Véase también, Caso Servellón García y otros Vs Honduras. </w:t>
      </w:r>
      <w:r w:rsidRPr="00514681">
        <w:rPr>
          <w:rFonts w:cs="Verdana"/>
          <w:spacing w:val="-4"/>
          <w:szCs w:val="16"/>
          <w:lang w:val="es-CR"/>
        </w:rPr>
        <w:t xml:space="preserve">Sentencia de 21 de septiembre de 2006. Serie C No. 152, párr. 195; </w:t>
      </w:r>
      <w:r w:rsidRPr="00514681">
        <w:rPr>
          <w:i/>
          <w:spacing w:val="-4"/>
          <w:szCs w:val="16"/>
          <w:lang w:val="es-CR"/>
        </w:rPr>
        <w:t xml:space="preserve">Caso de la Masacre de Pueblo Bello Vs. Colombia. </w:t>
      </w:r>
      <w:r w:rsidRPr="00514681">
        <w:rPr>
          <w:spacing w:val="-4"/>
          <w:szCs w:val="16"/>
          <w:lang w:val="es-CR"/>
        </w:rPr>
        <w:t>Sentencia de 31 de enero de 2006. Serie C No. 140, párr. 220.</w:t>
      </w:r>
    </w:p>
  </w:footnote>
  <w:footnote w:id="22">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Véase, por ejemplo, </w:t>
      </w:r>
      <w:r w:rsidRPr="00514681">
        <w:rPr>
          <w:rFonts w:cs="Arial"/>
          <w:i/>
          <w:spacing w:val="-4"/>
          <w:szCs w:val="16"/>
          <w:lang w:val="es-CR"/>
        </w:rPr>
        <w:t xml:space="preserve">Caso Baldeón García Vs. Perú. Fondo, Reparaciones y Costas. </w:t>
      </w:r>
      <w:r w:rsidRPr="00514681">
        <w:rPr>
          <w:rFonts w:cs="Arial"/>
          <w:spacing w:val="-4"/>
          <w:szCs w:val="16"/>
          <w:lang w:val="es-CR"/>
        </w:rPr>
        <w:t xml:space="preserve">Sentencia de 6 de abril de 2006. Serie C No. 147, párr. 166; </w:t>
      </w:r>
      <w:r w:rsidRPr="00514681">
        <w:rPr>
          <w:rFonts w:cs="Arial"/>
          <w:i/>
          <w:spacing w:val="-4"/>
          <w:szCs w:val="16"/>
          <w:lang w:val="es-CR"/>
        </w:rPr>
        <w:t>Caso Radilla Pacheco Vs. México. Excepciones Preliminares, Fondo, Reparaciones y Costas.</w:t>
      </w:r>
      <w:r w:rsidRPr="00514681">
        <w:rPr>
          <w:rFonts w:cs="Arial"/>
          <w:spacing w:val="-4"/>
          <w:szCs w:val="16"/>
          <w:lang w:val="es-CR"/>
        </w:rPr>
        <w:t xml:space="preserve"> Sentencia de 23 de Noviembre de 2009. Serie C No. 209, párr. 180; </w:t>
      </w:r>
      <w:r w:rsidRPr="00514681">
        <w:rPr>
          <w:rFonts w:cs="Arial"/>
          <w:i/>
          <w:spacing w:val="-4"/>
          <w:szCs w:val="16"/>
          <w:lang w:val="es-CR"/>
        </w:rPr>
        <w:t>Caso Chitay Nech y otros Vs. Guatemala. Excepciones Preliminares, Fondo, Reparaciones y Costas.</w:t>
      </w:r>
      <w:r w:rsidRPr="00514681">
        <w:rPr>
          <w:rFonts w:cs="Arial"/>
          <w:spacing w:val="-4"/>
          <w:szCs w:val="16"/>
          <w:lang w:val="es-CR"/>
        </w:rPr>
        <w:t xml:space="preserve"> Sentencia de 25 de mayo de 2010. Serie C No. 212, párr. 206, y </w:t>
      </w:r>
      <w:r w:rsidRPr="00514681">
        <w:rPr>
          <w:i/>
          <w:spacing w:val="-4"/>
          <w:szCs w:val="16"/>
          <w:lang w:val="es-CR"/>
        </w:rPr>
        <w:t>Caso Osorio Rivera y Familiares Vs. Perú. Excepciones Preliminares, Fondo, Reparaciones y Costas.</w:t>
      </w:r>
      <w:r w:rsidRPr="00514681">
        <w:rPr>
          <w:spacing w:val="-4"/>
          <w:szCs w:val="16"/>
          <w:lang w:val="es-CR"/>
        </w:rPr>
        <w:t xml:space="preserve"> Sentencia de 26 de noviembre de 2013. Serie C No. 274, párr. 220. Asimismo, existe un conjunto de casos donde además se ha señalado que no procede emitir un pronunciamiento sobre la alegada violación al artículo 13 en relación con el derecho a la verdad. </w:t>
      </w:r>
      <w:r w:rsidRPr="00514681">
        <w:rPr>
          <w:i/>
          <w:spacing w:val="-4"/>
          <w:szCs w:val="16"/>
          <w:lang w:val="es-CR"/>
        </w:rPr>
        <w:t xml:space="preserve">Cfr. </w:t>
      </w:r>
      <w:r w:rsidRPr="00514681">
        <w:rPr>
          <w:rFonts w:cs="Arial"/>
          <w:i/>
          <w:spacing w:val="-4"/>
          <w:szCs w:val="16"/>
          <w:lang w:val="es-CR"/>
        </w:rPr>
        <w:t>Caso de la Masacre de la Rochela Vs. Colombia. Fondo, Reparaciones y Costas</w:t>
      </w:r>
      <w:r w:rsidRPr="00514681">
        <w:rPr>
          <w:rFonts w:cs="Arial"/>
          <w:spacing w:val="-4"/>
          <w:szCs w:val="16"/>
          <w:lang w:val="es-CR"/>
        </w:rPr>
        <w:t xml:space="preserve">. Sentencia de 11 de de mayo de 2007. Serie C No. 163, párr. 147; </w:t>
      </w:r>
      <w:r w:rsidRPr="00514681">
        <w:rPr>
          <w:rFonts w:cs="Arial"/>
          <w:i/>
          <w:spacing w:val="-4"/>
          <w:szCs w:val="16"/>
          <w:lang w:val="es-CR"/>
        </w:rPr>
        <w:t>Caso Anzualdo Castro Vs. Perú. Excepción Preliminar, Fondo, Reparaciones y Costas.</w:t>
      </w:r>
      <w:r w:rsidRPr="00514681">
        <w:rPr>
          <w:rFonts w:cs="Arial"/>
          <w:spacing w:val="-4"/>
          <w:szCs w:val="16"/>
          <w:lang w:val="es-CR"/>
        </w:rPr>
        <w:t xml:space="preserve"> Sentencia de 22 de Septiembre de 2009. Serie C No. 202, párrs. 119 y 120;</w:t>
      </w:r>
      <w:r w:rsidRPr="00514681">
        <w:rPr>
          <w:i/>
          <w:spacing w:val="-4"/>
          <w:szCs w:val="16"/>
          <w:lang w:val="es-CR"/>
        </w:rPr>
        <w:t xml:space="preserve"> </w:t>
      </w:r>
      <w:r w:rsidRPr="00514681">
        <w:rPr>
          <w:rFonts w:cs="Arial"/>
          <w:i/>
          <w:spacing w:val="-4"/>
          <w:szCs w:val="16"/>
          <w:lang w:val="es-CR"/>
        </w:rPr>
        <w:t xml:space="preserve">Caso Contreras y otros Vs. El Salvador. Fondo, Reparaciones y Costas. </w:t>
      </w:r>
      <w:r w:rsidRPr="00514681">
        <w:rPr>
          <w:rFonts w:cs="Arial"/>
          <w:spacing w:val="-4"/>
          <w:szCs w:val="16"/>
          <w:lang w:val="es-CR"/>
        </w:rPr>
        <w:t xml:space="preserve">Sentencia de 31 de agosto de 2011 Serie C No. 232, párr. 173, y </w:t>
      </w:r>
      <w:r w:rsidRPr="00514681">
        <w:rPr>
          <w:rFonts w:cs="Arial"/>
          <w:i/>
          <w:spacing w:val="-4"/>
          <w:szCs w:val="16"/>
          <w:lang w:val="es-CR"/>
        </w:rPr>
        <w:t>Caso Masacres de El Mozote y lugares aledaños Vs. El Salvador. Fondo, Reparaciones y Costas.</w:t>
      </w:r>
      <w:r w:rsidRPr="00514681">
        <w:rPr>
          <w:rFonts w:cs="Arial"/>
          <w:spacing w:val="-4"/>
          <w:szCs w:val="16"/>
          <w:lang w:val="es-CR"/>
        </w:rPr>
        <w:t xml:space="preserve"> Sentencia de 25 de octubre de 2012 Serie C No. 252, párr. 298. Por otra parte, en ciertos casos se ha establecido que el derecho a la verdad está subsumido en los artículos 8.1, 25 y 1.1 de la Convención, pero no se ha incluido dicha consideración dentro de la motivación específica incluida en el punto resolutivo.</w:t>
      </w:r>
      <w:r w:rsidRPr="00514681">
        <w:rPr>
          <w:i/>
          <w:spacing w:val="-4"/>
          <w:szCs w:val="16"/>
          <w:lang w:val="es-CR"/>
        </w:rPr>
        <w:t xml:space="preserve"> Cfr. </w:t>
      </w:r>
      <w:r w:rsidRPr="00514681">
        <w:rPr>
          <w:bCs/>
          <w:i/>
          <w:color w:val="000000"/>
          <w:spacing w:val="-4"/>
          <w:szCs w:val="16"/>
          <w:lang w:val="es-CR"/>
        </w:rPr>
        <w:t>Caso Familia Barrios Vs. Venezuela. Fondo, Reparaciones y Costas.</w:t>
      </w:r>
      <w:r w:rsidRPr="00514681">
        <w:rPr>
          <w:bCs/>
          <w:color w:val="000000"/>
          <w:spacing w:val="-4"/>
          <w:szCs w:val="16"/>
          <w:lang w:val="es-CR"/>
        </w:rPr>
        <w:t xml:space="preserve"> Sentencia de 24 de noviembre de 2011. Serie C No. 237, párr. 291, y </w:t>
      </w:r>
      <w:r w:rsidRPr="00514681">
        <w:rPr>
          <w:rFonts w:cs="Arial"/>
          <w:i/>
          <w:spacing w:val="-4"/>
          <w:szCs w:val="16"/>
          <w:lang w:val="es-CR"/>
        </w:rPr>
        <w:t>Caso González Medina y familiares Vs. República Dominicana. Excepciones Preliminares, Fondo, Reparaciones y Costas.</w:t>
      </w:r>
      <w:r w:rsidRPr="00514681">
        <w:rPr>
          <w:rFonts w:cs="Arial"/>
          <w:spacing w:val="-4"/>
          <w:szCs w:val="16"/>
          <w:lang w:val="es-CR"/>
        </w:rPr>
        <w:t xml:space="preserve"> Sentencia de 27 de febrero de 2012 Serie C No. 240, párr. 263. </w:t>
      </w:r>
    </w:p>
  </w:footnote>
  <w:footnote w:id="23">
    <w:p w:rsidR="00CA58C7" w:rsidRPr="00514681" w:rsidRDefault="00CA58C7" w:rsidP="003D44A0">
      <w:pPr>
        <w:tabs>
          <w:tab w:val="left" w:pos="426"/>
          <w:tab w:val="left" w:pos="567"/>
        </w:tabs>
        <w:spacing w:before="120" w:after="120"/>
        <w:jc w:val="both"/>
        <w:rPr>
          <w:rFonts w:cs="Arial"/>
          <w:i/>
          <w:spacing w:val="-4"/>
          <w:szCs w:val="16"/>
          <w:u w:val="single"/>
        </w:rPr>
      </w:pPr>
      <w:r w:rsidRPr="00514681">
        <w:rPr>
          <w:rStyle w:val="FootnoteReference"/>
          <w:rFonts w:eastAsia="Calibri" w:cs="Arial"/>
          <w:spacing w:val="-4"/>
          <w:szCs w:val="16"/>
        </w:rPr>
        <w:footnoteRef/>
      </w:r>
      <w:r w:rsidRPr="00514681">
        <w:rPr>
          <w:rFonts w:eastAsia="Calibri" w:cs="Arial"/>
          <w:spacing w:val="-4"/>
          <w:szCs w:val="16"/>
          <w:lang w:val="es-CR"/>
        </w:rPr>
        <w:t xml:space="preserve"> </w:t>
      </w:r>
      <w:r w:rsidRPr="00514681">
        <w:rPr>
          <w:rFonts w:eastAsia="Calibri" w:cs="Arial"/>
          <w:spacing w:val="-4"/>
          <w:szCs w:val="16"/>
          <w:lang w:val="es-CR"/>
        </w:rPr>
        <w:tab/>
      </w:r>
      <w:r w:rsidRPr="00514681">
        <w:rPr>
          <w:rFonts w:eastAsia="Calibri" w:cs="Arial"/>
          <w:i/>
          <w:spacing w:val="-4"/>
          <w:szCs w:val="16"/>
          <w:lang w:val="es-CR"/>
        </w:rPr>
        <w:t xml:space="preserve">Cfr. </w:t>
      </w:r>
      <w:r w:rsidRPr="00514681">
        <w:rPr>
          <w:rFonts w:cs="Arial"/>
          <w:i/>
          <w:spacing w:val="-4"/>
          <w:szCs w:val="16"/>
        </w:rPr>
        <w:t xml:space="preserve">Caso Almonacid Arellano y otros Vs. Chile. Excepciones Preliminares, Fondo, Reparaciones y Costas. </w:t>
      </w:r>
      <w:r w:rsidRPr="00514681">
        <w:rPr>
          <w:rFonts w:cs="Arial"/>
          <w:spacing w:val="-4"/>
          <w:szCs w:val="16"/>
        </w:rPr>
        <w:t xml:space="preserve">Sentencia de 26 de septiembre de 2006. Serie C No. 154, párr. 148, y </w:t>
      </w:r>
      <w:r w:rsidRPr="00514681">
        <w:rPr>
          <w:rFonts w:cs="Arial"/>
          <w:i/>
          <w:spacing w:val="-4"/>
          <w:szCs w:val="16"/>
        </w:rPr>
        <w:t xml:space="preserve">Caso Rochac Hernández y otros Vs. El Salvador. Fondo, Reparaciones y Costas. </w:t>
      </w:r>
      <w:r w:rsidRPr="00514681">
        <w:rPr>
          <w:rFonts w:cs="Arial"/>
          <w:spacing w:val="-4"/>
          <w:szCs w:val="16"/>
        </w:rPr>
        <w:t>Sentencia de 14 de octubre de 2014. Serie C No. 285, párr. 234</w:t>
      </w:r>
    </w:p>
  </w:footnote>
  <w:footnote w:id="24">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bCs/>
          <w:i/>
          <w:spacing w:val="-4"/>
          <w:szCs w:val="16"/>
          <w:lang w:val="es-CR"/>
        </w:rPr>
        <w:t>Caso Zambrano Vélez y otros Vs. Ecuador. Fondo, Reparaciones y Costas.</w:t>
      </w:r>
      <w:r w:rsidRPr="00514681">
        <w:rPr>
          <w:bCs/>
          <w:spacing w:val="-4"/>
          <w:szCs w:val="16"/>
          <w:lang w:val="es-CR"/>
        </w:rPr>
        <w:t xml:space="preserve"> Sentencia de 4 de julio de 2007. Serie C No. 166, párr. 128. </w:t>
      </w:r>
    </w:p>
  </w:footnote>
  <w:footnote w:id="25">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Ver, </w:t>
      </w:r>
      <w:r w:rsidRPr="00514681">
        <w:rPr>
          <w:i/>
          <w:spacing w:val="-4"/>
          <w:szCs w:val="16"/>
          <w:lang w:val="es-CR"/>
        </w:rPr>
        <w:t>inter alia</w:t>
      </w:r>
      <w:r w:rsidRPr="00514681">
        <w:rPr>
          <w:spacing w:val="-4"/>
          <w:szCs w:val="16"/>
          <w:lang w:val="es-CR"/>
        </w:rPr>
        <w:t xml:space="preserve">, </w:t>
      </w:r>
      <w:r w:rsidRPr="00514681">
        <w:rPr>
          <w:i/>
          <w:spacing w:val="-4"/>
          <w:szCs w:val="16"/>
          <w:lang w:val="es-CR"/>
        </w:rPr>
        <w:t xml:space="preserve">Caso Gudiel Álvarez y otros (Diario Militar) Vs. Guatemala. Fondo, Reparaciones y Costas. </w:t>
      </w:r>
      <w:r w:rsidRPr="00514681">
        <w:rPr>
          <w:spacing w:val="-4"/>
          <w:szCs w:val="16"/>
          <w:lang w:val="es-CR"/>
        </w:rPr>
        <w:t xml:space="preserve">Sentencia de 20 de noviembre de 2012. Serie C No. 253, párr. 298, y </w:t>
      </w:r>
      <w:r w:rsidRPr="00514681">
        <w:rPr>
          <w:i/>
          <w:spacing w:val="-4"/>
          <w:szCs w:val="16"/>
          <w:lang w:val="es-CR"/>
        </w:rPr>
        <w:t xml:space="preserve">Caso García y familiares Vs. Guatemala. Fondo, Reparaciones y Costas. </w:t>
      </w:r>
      <w:r w:rsidRPr="00514681">
        <w:rPr>
          <w:spacing w:val="-4"/>
          <w:szCs w:val="16"/>
          <w:lang w:val="es-CR"/>
        </w:rPr>
        <w:t xml:space="preserve">Sentencia de 29 de noviembre de 2012. Serie C No. 258, párr. 176. </w:t>
      </w:r>
    </w:p>
  </w:footnote>
  <w:footnote w:id="26">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Anteriormente, en caso de la </w:t>
      </w:r>
      <w:r w:rsidRPr="00514681">
        <w:rPr>
          <w:i/>
          <w:spacing w:val="-4"/>
          <w:szCs w:val="16"/>
          <w:lang w:val="es-CR"/>
        </w:rPr>
        <w:t xml:space="preserve">Masacre de la Rochela </w:t>
      </w:r>
      <w:r w:rsidRPr="00514681">
        <w:rPr>
          <w:spacing w:val="-4"/>
          <w:szCs w:val="16"/>
          <w:lang w:val="es-CR"/>
        </w:rPr>
        <w:t xml:space="preserve">los representantes habían presentado el mismo alegato respecto al artículo 13. Sin embargo la Corte lo rechazó señalando que “el derecho a la verdad se encuentra subsumido en [las violaciones a] los artículos 8 y 25 de la Convención”. </w:t>
      </w:r>
      <w:r w:rsidRPr="00514681">
        <w:rPr>
          <w:rFonts w:cs="Arial"/>
          <w:i/>
          <w:spacing w:val="-4"/>
          <w:szCs w:val="16"/>
          <w:lang w:val="es-CR"/>
        </w:rPr>
        <w:t>Caso de la Masacre de la Rochela Vs. Colombia. Fondo, Reparaciones y Costas</w:t>
      </w:r>
      <w:r w:rsidRPr="00514681">
        <w:rPr>
          <w:rFonts w:cs="Arial"/>
          <w:spacing w:val="-4"/>
          <w:szCs w:val="16"/>
          <w:lang w:val="es-CR"/>
        </w:rPr>
        <w:t>. Sentencia de 11 de de mayo de 2007. Serie C No. 163, párr. 147.</w:t>
      </w:r>
    </w:p>
  </w:footnote>
  <w:footnote w:id="27">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Caso Anzualdo Castro Vs. Perú. Excepción Preliminar, Fondo, Reparaciones y Costas</w:t>
      </w:r>
      <w:r w:rsidRPr="00514681">
        <w:rPr>
          <w:spacing w:val="-4"/>
          <w:szCs w:val="16"/>
          <w:lang w:val="es-CR"/>
        </w:rPr>
        <w:t>. Sentencia de 22 de Septiembre de 2009. Serie C No. 202, párrs. 118, 119, 168 y 169.</w:t>
      </w:r>
    </w:p>
  </w:footnote>
  <w:footnote w:id="28">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Caso Anzualdo Castro Vs. Perú. Excepción Preliminar, Fondo, Reparaciones y Costas</w:t>
      </w:r>
      <w:r w:rsidRPr="00514681">
        <w:rPr>
          <w:spacing w:val="-4"/>
          <w:szCs w:val="16"/>
          <w:lang w:val="es-CR"/>
        </w:rPr>
        <w:t>. Sentencia de 22 de Septiembre de 2009. Serie C No. 202, párr. 120.</w:t>
      </w:r>
    </w:p>
  </w:footnote>
  <w:footnote w:id="29">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rPr>
        <w:footnoteRef/>
      </w:r>
      <w:r w:rsidRPr="00514681">
        <w:t xml:space="preserve"> </w:t>
      </w:r>
      <w:r w:rsidRPr="00514681">
        <w:tab/>
      </w:r>
      <w:r w:rsidRPr="00514681">
        <w:rPr>
          <w:i/>
          <w:spacing w:val="-4"/>
          <w:szCs w:val="16"/>
          <w:lang w:val="es-CR"/>
        </w:rPr>
        <w:t>Caso Anzualdo Castro Vs. Perú. Excepción Preliminar, Fondo, Reparaciones y Costas</w:t>
      </w:r>
      <w:r w:rsidRPr="00514681">
        <w:rPr>
          <w:spacing w:val="-4"/>
          <w:szCs w:val="16"/>
          <w:lang w:val="es-CR"/>
        </w:rPr>
        <w:t>. Sentencia de 22 de Septiembre de 2009. Serie C No. 202, párr. 120.</w:t>
      </w:r>
    </w:p>
  </w:footnote>
  <w:footnote w:id="30">
    <w:p w:rsidR="00CA58C7" w:rsidRPr="00514681" w:rsidRDefault="00CA58C7" w:rsidP="003D44A0">
      <w:pPr>
        <w:pStyle w:val="ColorfulList-Accent11"/>
        <w:tabs>
          <w:tab w:val="left" w:pos="426"/>
          <w:tab w:val="left" w:pos="567"/>
        </w:tabs>
        <w:spacing w:before="120" w:after="120"/>
        <w:ind w:left="0"/>
        <w:rPr>
          <w:rFonts w:cs="Arial"/>
          <w:b/>
          <w:spacing w:val="-4"/>
          <w:sz w:val="16"/>
          <w:szCs w:val="16"/>
          <w:lang w:val="es-CO" w:bidi="en-US"/>
        </w:rPr>
      </w:pPr>
      <w:r w:rsidRPr="00514681">
        <w:rPr>
          <w:rStyle w:val="FootnoteReference"/>
          <w:spacing w:val="-4"/>
          <w:szCs w:val="16"/>
        </w:rPr>
        <w:footnoteRef/>
      </w:r>
      <w:r w:rsidRPr="00514681">
        <w:rPr>
          <w:spacing w:val="-4"/>
          <w:sz w:val="16"/>
          <w:szCs w:val="16"/>
          <w:lang w:val="es-CR"/>
        </w:rPr>
        <w:t xml:space="preserve"> </w:t>
      </w:r>
      <w:r w:rsidRPr="00514681">
        <w:rPr>
          <w:spacing w:val="-4"/>
          <w:sz w:val="16"/>
          <w:szCs w:val="16"/>
          <w:lang w:val="es-CR"/>
        </w:rPr>
        <w:tab/>
      </w:r>
      <w:r w:rsidRPr="00514681">
        <w:rPr>
          <w:i/>
          <w:spacing w:val="-4"/>
          <w:sz w:val="16"/>
          <w:szCs w:val="16"/>
          <w:lang w:val="es-CR"/>
        </w:rPr>
        <w:t xml:space="preserve">Cfr. </w:t>
      </w:r>
      <w:r w:rsidRPr="00514681">
        <w:rPr>
          <w:rFonts w:cs="Arial"/>
          <w:i/>
          <w:spacing w:val="-4"/>
          <w:sz w:val="16"/>
          <w:szCs w:val="16"/>
          <w:lang w:val="es-CO" w:bidi="en-US"/>
        </w:rPr>
        <w:t>Caso Gomes Lund y otros ("Guerrilha do Araguaia") Vs. Brasil. Excepciones Preliminares, Fondo, Reparaciones y Costas.</w:t>
      </w:r>
      <w:r w:rsidRPr="00514681">
        <w:rPr>
          <w:rFonts w:cs="Arial"/>
          <w:spacing w:val="-4"/>
          <w:sz w:val="16"/>
          <w:szCs w:val="16"/>
          <w:lang w:val="es-CO" w:bidi="en-US"/>
        </w:rPr>
        <w:t xml:space="preserve"> Sentencia de 24 de noviembre de 2010. Serie C No. 219, párrs. 200 y 201. Véase </w:t>
      </w:r>
      <w:r w:rsidRPr="00514681">
        <w:rPr>
          <w:rFonts w:cs="Arial"/>
          <w:i/>
          <w:spacing w:val="-4"/>
          <w:sz w:val="16"/>
          <w:szCs w:val="16"/>
          <w:lang w:val="es-CO" w:bidi="en-US"/>
        </w:rPr>
        <w:t>supra</w:t>
      </w:r>
      <w:r w:rsidRPr="00514681">
        <w:rPr>
          <w:rFonts w:cs="Arial"/>
          <w:spacing w:val="-4"/>
          <w:sz w:val="16"/>
          <w:szCs w:val="16"/>
          <w:lang w:val="es-CO" w:bidi="en-US"/>
        </w:rPr>
        <w:t xml:space="preserve"> nota 11 del presente voto.</w:t>
      </w:r>
    </w:p>
  </w:footnote>
  <w:footnote w:id="31">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ES"/>
        </w:rPr>
        <w:t>En la parte resolutiva de la Sentencia se señaló que el “</w:t>
      </w:r>
      <w:r w:rsidRPr="00514681">
        <w:rPr>
          <w:rFonts w:eastAsia="Calibri" w:cs="Arial"/>
          <w:spacing w:val="-4"/>
          <w:szCs w:val="16"/>
          <w:lang w:val="es-CR"/>
        </w:rPr>
        <w:t xml:space="preserve">Estado es responsable por la violación del derecho a la libertad de pensamiento y de expresión consagrado en el artículo 13 de la Convención Americana sobre Derechos Humanos, en relación con los artículos 1.1, 8.1 y 25 de dicho instrumento, por </w:t>
      </w:r>
      <w:r w:rsidRPr="00514681">
        <w:rPr>
          <w:rFonts w:eastAsia="Times" w:cs="Arial"/>
          <w:color w:val="000000"/>
          <w:spacing w:val="-4"/>
          <w:szCs w:val="16"/>
          <w:lang w:val="es-CR"/>
        </w:rPr>
        <w:t>la</w:t>
      </w:r>
      <w:r w:rsidRPr="00514681">
        <w:rPr>
          <w:rFonts w:eastAsia="Calibri" w:cs="Arial"/>
          <w:spacing w:val="-4"/>
          <w:szCs w:val="16"/>
          <w:lang w:val="es-CR"/>
        </w:rPr>
        <w:t xml:space="preserve"> afectación del derecho a buscar y a recibir información, así como del derecho a conocer la verdad de lo ocurrido”.</w:t>
      </w:r>
      <w:r w:rsidRPr="00514681">
        <w:rPr>
          <w:i/>
          <w:spacing w:val="-4"/>
          <w:szCs w:val="16"/>
          <w:lang w:val="es-CR"/>
        </w:rPr>
        <w:t xml:space="preserve"> Cfr. </w:t>
      </w:r>
      <w:r w:rsidRPr="00514681">
        <w:rPr>
          <w:rFonts w:cs="Arial"/>
          <w:i/>
          <w:spacing w:val="-4"/>
          <w:szCs w:val="16"/>
          <w:lang w:val="es-CO" w:bidi="en-US"/>
        </w:rPr>
        <w:t>Caso Gomes Lund y otros ("Guerrilha do Araguaia") Vs. Brasil. Excepciones Preliminares, Fondo, Reparaciones y Costas.</w:t>
      </w:r>
      <w:r w:rsidRPr="00514681">
        <w:rPr>
          <w:rFonts w:cs="Arial"/>
          <w:spacing w:val="-4"/>
          <w:szCs w:val="16"/>
          <w:lang w:val="es-CO" w:bidi="en-US"/>
        </w:rPr>
        <w:t xml:space="preserve"> Sentencia de 24 de noviembre de 2010. Serie C No. 219, punto resolutivo sexto.</w:t>
      </w:r>
    </w:p>
  </w:footnote>
  <w:footnote w:id="32">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La Corte rechazó que hubiese una violación al derecho al acceso a la información (artículo 13 de la Convención) ya que las negativas de información no estaban relacionadas con una solicitud concreta de información dirigida por las presuntas víctimas a las autoridades estatales para obtener dicha información, sino que constituían formas de obstrucción de las investigaciones (en la medida en que se trataba de solicitudes de información al Ministerio de la Defensa por parte de autoridades estatales encargadas de la investigación) que la Corte analizó al pronunciarse sobre las investigaciones de las desapariciones forzadas como una violación de los artículos 8.1 y 25.1 de la Convención Americana. </w:t>
      </w:r>
      <w:r w:rsidRPr="00514681">
        <w:rPr>
          <w:i/>
          <w:spacing w:val="-4"/>
          <w:szCs w:val="16"/>
          <w:lang w:val="es-CR"/>
        </w:rPr>
        <w:t xml:space="preserve">Cfr. Caso Gudiel Álvarez y otros (“Diario Militar”) Vs. Guatemala. Fondo, Reparaciones y Costas. </w:t>
      </w:r>
      <w:r w:rsidRPr="00514681">
        <w:rPr>
          <w:spacing w:val="-4"/>
          <w:szCs w:val="16"/>
          <w:lang w:val="es-CR"/>
        </w:rPr>
        <w:t xml:space="preserve">Sentencia de 20 de noviembre de 2012. Serie C No. 253, párr. 269. </w:t>
      </w:r>
    </w:p>
  </w:footnote>
  <w:footnote w:id="33">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El Tribunal “destac[ó] que con la aparición del Diario Militar en 1999 y del Archivo Histórico de la Policía en 2005, ambos por vías extraoficiales […], se evidenció el ocultamiento de información estatal sobre los hechos del presente caso a la CEH. Ello, aunado a la impunidad que persiste en el presente caso […], permit[ió] a esta Corte concluir que se ha[bía] impedido a los familiares el esclarecimiento de la verdad tanto por vías judiciales como por vías extrajudiciales”. </w:t>
      </w:r>
      <w:r w:rsidRPr="00514681">
        <w:rPr>
          <w:rFonts w:cs="Arial"/>
          <w:spacing w:val="-4"/>
          <w:szCs w:val="16"/>
          <w:lang w:val="es-CR"/>
        </w:rPr>
        <w:t>La Corte consideró que esos hechos constituían una violación de los artículos 5.1 y 5.2 de los familiares de las víctimas</w:t>
      </w:r>
      <w:r w:rsidRPr="00514681">
        <w:rPr>
          <w:i/>
          <w:spacing w:val="-4"/>
          <w:szCs w:val="16"/>
          <w:lang w:val="es-CR"/>
        </w:rPr>
        <w:t xml:space="preserve">. Cfr. Caso Gudiel Álvarez y otros (“Diario Militar”) Vs. Guatemala. Fondo, Reparaciones y Costas. </w:t>
      </w:r>
      <w:r w:rsidRPr="00514681">
        <w:rPr>
          <w:spacing w:val="-4"/>
          <w:szCs w:val="16"/>
          <w:lang w:val="es-CR"/>
        </w:rPr>
        <w:t xml:space="preserve">Sentencia de 20 de noviembre de 2012. Serie C No. 253, párrs. 300 y 302. Sin embargo, la Corte diferenció este caso del caso </w:t>
      </w:r>
      <w:r w:rsidRPr="00514681">
        <w:rPr>
          <w:i/>
          <w:spacing w:val="-4"/>
          <w:szCs w:val="16"/>
          <w:lang w:val="es-CR"/>
        </w:rPr>
        <w:t xml:space="preserve">García y familiares vs. Guatemala, </w:t>
      </w:r>
      <w:r w:rsidRPr="00514681">
        <w:rPr>
          <w:spacing w:val="-4"/>
          <w:szCs w:val="16"/>
          <w:lang w:val="es-CR"/>
        </w:rPr>
        <w:t>que era</w:t>
      </w:r>
      <w:r w:rsidRPr="00514681">
        <w:rPr>
          <w:i/>
          <w:spacing w:val="-4"/>
          <w:szCs w:val="16"/>
          <w:lang w:val="es-CR"/>
        </w:rPr>
        <w:t xml:space="preserve"> </w:t>
      </w:r>
      <w:r w:rsidRPr="00514681">
        <w:rPr>
          <w:spacing w:val="-4"/>
          <w:szCs w:val="16"/>
          <w:lang w:val="es-CR"/>
        </w:rPr>
        <w:t>fácticamente similar. En este último</w:t>
      </w:r>
      <w:r w:rsidRPr="00514681">
        <w:rPr>
          <w:i/>
          <w:spacing w:val="-4"/>
          <w:szCs w:val="16"/>
          <w:lang w:val="es-CR"/>
        </w:rPr>
        <w:t xml:space="preserve">, </w:t>
      </w:r>
      <w:r w:rsidRPr="00514681">
        <w:rPr>
          <w:spacing w:val="-4"/>
          <w:szCs w:val="16"/>
          <w:lang w:val="es-CR"/>
        </w:rPr>
        <w:t>la Corte consideró</w:t>
      </w:r>
      <w:r w:rsidRPr="00514681">
        <w:rPr>
          <w:i/>
          <w:spacing w:val="-4"/>
          <w:szCs w:val="16"/>
          <w:lang w:val="es-CR"/>
        </w:rPr>
        <w:t xml:space="preserve"> </w:t>
      </w:r>
      <w:r w:rsidRPr="00514681">
        <w:rPr>
          <w:spacing w:val="-4"/>
          <w:szCs w:val="16"/>
          <w:lang w:val="es-CR"/>
        </w:rPr>
        <w:t>que</w:t>
      </w:r>
      <w:r w:rsidRPr="00514681">
        <w:rPr>
          <w:i/>
          <w:spacing w:val="-4"/>
          <w:szCs w:val="16"/>
          <w:lang w:val="es-CR"/>
        </w:rPr>
        <w:t xml:space="preserve"> </w:t>
      </w:r>
      <w:r w:rsidRPr="00514681">
        <w:rPr>
          <w:spacing w:val="-4"/>
          <w:szCs w:val="16"/>
          <w:lang w:val="es-CR"/>
        </w:rPr>
        <w:t xml:space="preserve">la CEH sí había contado con elementos suficientes para hacer una determinación específica sobre el señor García y además no existía total impunidad, ya que habían sido condenados judicialmente dos autores materiales y estaban siendo procesados dos presuntos autores intelectuales. Por tanto, la Corte no consideró necesario hacer un pronunciamiento adicional respecto de la alegada violación del derecho a la verdad formulada por las representantes. </w:t>
      </w:r>
      <w:r w:rsidRPr="00514681">
        <w:rPr>
          <w:i/>
          <w:spacing w:val="-4"/>
          <w:szCs w:val="16"/>
          <w:lang w:val="es-CR"/>
        </w:rPr>
        <w:t xml:space="preserve">Cfr. Caso García y familiares Vs. Guatemala. Fondo, Reparaciones y Costas. </w:t>
      </w:r>
      <w:r w:rsidRPr="00514681">
        <w:rPr>
          <w:spacing w:val="-4"/>
          <w:szCs w:val="16"/>
          <w:lang w:val="es-CR"/>
        </w:rPr>
        <w:t>Sentencia de 29 de noviembre de 2012. Serie C No. 258, párr. 177.</w:t>
      </w:r>
    </w:p>
  </w:footnote>
  <w:footnote w:id="34">
    <w:p w:rsidR="00CA58C7" w:rsidRPr="00514681" w:rsidRDefault="00CA58C7" w:rsidP="003D44A0">
      <w:pPr>
        <w:pStyle w:val="FootnoteText"/>
        <w:tabs>
          <w:tab w:val="left" w:pos="426"/>
          <w:tab w:val="left" w:pos="567"/>
        </w:tabs>
        <w:spacing w:before="120" w:after="120"/>
        <w:rPr>
          <w:rFonts w:cs="TimesNewRoman"/>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La Asamblea General de Naciones Unidas, en algunas de sus resoluciones, ha expresado su </w:t>
      </w:r>
      <w:r w:rsidRPr="00514681">
        <w:rPr>
          <w:rFonts w:cs="TimesNewRoman"/>
          <w:spacing w:val="-4"/>
          <w:szCs w:val="16"/>
          <w:lang w:val="es-CR"/>
        </w:rPr>
        <w:t>profunda preocupación por la angustia y el pesar de las familias afectadas por las desapariciones forzadas.</w:t>
      </w:r>
      <w:r w:rsidRPr="00514681">
        <w:rPr>
          <w:spacing w:val="-4"/>
          <w:szCs w:val="16"/>
          <w:lang w:val="es-CR"/>
        </w:rPr>
        <w:t xml:space="preserve"> </w:t>
      </w:r>
      <w:r w:rsidRPr="00514681">
        <w:rPr>
          <w:i/>
          <w:spacing w:val="-4"/>
          <w:szCs w:val="16"/>
          <w:lang w:val="es-CR"/>
        </w:rPr>
        <w:t>Cfr.</w:t>
      </w:r>
      <w:r w:rsidRPr="00514681">
        <w:rPr>
          <w:spacing w:val="-4"/>
          <w:szCs w:val="16"/>
          <w:lang w:val="es-CR"/>
        </w:rPr>
        <w:t xml:space="preserve"> Asamblea General de Naciones Unidas. Resoluciones N° </w:t>
      </w:r>
      <w:r w:rsidRPr="00514681">
        <w:rPr>
          <w:rFonts w:cs="TimesNewRoman"/>
          <w:spacing w:val="-4"/>
          <w:szCs w:val="16"/>
          <w:lang w:val="es-CR"/>
        </w:rPr>
        <w:t xml:space="preserve">3220 (XXIX) de 6 de noviembre de 1974, N° 33/173 de 20 de diciembre de 1978, N° 45/165 de 18 de diciembre de 1990, y N° 47/132 de 22 de febrero de 1993. </w:t>
      </w:r>
      <w:r w:rsidRPr="00514681">
        <w:rPr>
          <w:spacing w:val="-4"/>
          <w:szCs w:val="16"/>
          <w:lang w:val="es-CR"/>
        </w:rPr>
        <w:t xml:space="preserve">Asimismo, se ha pronunciado respecto de la importancia de la determinación de la verdad con respecto a casos de genocidio, crímenes de guerra, crímenes de lesa humanidad y violaciones graves a los derechos humanos. </w:t>
      </w:r>
      <w:r w:rsidRPr="00514681">
        <w:rPr>
          <w:i/>
          <w:spacing w:val="-4"/>
          <w:szCs w:val="16"/>
          <w:lang w:val="es-CR"/>
        </w:rPr>
        <w:t>Cfr.</w:t>
      </w:r>
      <w:r w:rsidRPr="00514681">
        <w:rPr>
          <w:spacing w:val="-4"/>
          <w:szCs w:val="16"/>
          <w:lang w:val="es-CR"/>
        </w:rPr>
        <w:t xml:space="preserve"> Asamblea General de Naciones Unidas. Resoluciones N° </w:t>
      </w:r>
      <w:r w:rsidRPr="00514681">
        <w:rPr>
          <w:rFonts w:cs="TimesNewRoman"/>
          <w:spacing w:val="-4"/>
          <w:szCs w:val="16"/>
          <w:lang w:val="es-CR"/>
        </w:rPr>
        <w:t>55/118 de 1 de marzo de 2001, N° 57/105 de 13 de febrero de 2003, N° 57/161 de 28 de enero de 2003 y N° 60/147 de 21 de marzo de 2006.</w:t>
      </w:r>
    </w:p>
  </w:footnote>
  <w:footnote w:id="35">
    <w:p w:rsidR="00CA58C7" w:rsidRPr="00514681" w:rsidRDefault="00CA58C7" w:rsidP="003D44A0">
      <w:pPr>
        <w:pStyle w:val="FootnoteText"/>
        <w:tabs>
          <w:tab w:val="left" w:pos="426"/>
          <w:tab w:val="left" w:pos="567"/>
        </w:tabs>
        <w:spacing w:before="120" w:after="120"/>
        <w:rPr>
          <w:rFonts w:cs="TimesNewRoman"/>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El Secretario General de Naciones Unidas ha reconocido la existencia del derecho a la verdad a través d</w:t>
      </w:r>
      <w:r w:rsidRPr="00514681">
        <w:rPr>
          <w:rFonts w:cs="TimesNewRoman"/>
          <w:spacing w:val="-4"/>
          <w:szCs w:val="16"/>
          <w:lang w:val="es-CR"/>
        </w:rPr>
        <w:t>e su boletín titulado "Observancia del derecho internacional humanitario por las fuerzas de las Naciones Unidas", en el cual</w:t>
      </w:r>
      <w:r w:rsidRPr="00514681">
        <w:rPr>
          <w:rFonts w:cs="TimesNewRoman,Bold"/>
          <w:b/>
          <w:bCs/>
          <w:spacing w:val="-4"/>
          <w:szCs w:val="16"/>
          <w:lang w:val="es-CR"/>
        </w:rPr>
        <w:t xml:space="preserve"> </w:t>
      </w:r>
      <w:r w:rsidRPr="00514681">
        <w:rPr>
          <w:rFonts w:cs="TimesNewRoman"/>
          <w:spacing w:val="-4"/>
          <w:szCs w:val="16"/>
          <w:lang w:val="es-CR"/>
        </w:rPr>
        <w:t xml:space="preserve">se establece la norma de que las Naciones Unidas respetarán el derecho de las familias a conocer el paradero de sus miembros enfermos, heridos y fallecidos y ha destacado la importancia de la verdad en el marco de la justicia de transición. </w:t>
      </w:r>
      <w:r w:rsidRPr="00514681">
        <w:rPr>
          <w:rFonts w:cs="TimesNewRoman"/>
          <w:i/>
          <w:spacing w:val="-4"/>
          <w:szCs w:val="16"/>
          <w:lang w:val="es-CR"/>
        </w:rPr>
        <w:t>Cfr.</w:t>
      </w:r>
      <w:r w:rsidRPr="00514681">
        <w:rPr>
          <w:rFonts w:cs="TimesNewRoman"/>
          <w:spacing w:val="-4"/>
          <w:szCs w:val="16"/>
          <w:lang w:val="es-CR"/>
        </w:rPr>
        <w:t xml:space="preserve"> Boletín del Secretario General de Naciones Unidas. </w:t>
      </w:r>
      <w:r w:rsidRPr="00514681">
        <w:rPr>
          <w:rFonts w:cs="TimesNewRoman"/>
          <w:i/>
          <w:spacing w:val="-4"/>
          <w:szCs w:val="16"/>
          <w:lang w:val="es-CR"/>
        </w:rPr>
        <w:t xml:space="preserve">Observancia del derecho internacional humanitario por las fuerzas de Naciones Unidas. </w:t>
      </w:r>
      <w:r w:rsidRPr="00514681">
        <w:rPr>
          <w:rFonts w:cs="TimesNewRoman"/>
          <w:spacing w:val="-4"/>
          <w:szCs w:val="16"/>
        </w:rPr>
        <w:t xml:space="preserve">ST/SGB/1999/13. </w:t>
      </w:r>
      <w:r w:rsidRPr="00514681">
        <w:rPr>
          <w:rFonts w:cs="TimesNewRoman"/>
          <w:spacing w:val="-4"/>
          <w:szCs w:val="16"/>
          <w:lang w:val="es-CR"/>
        </w:rPr>
        <w:t xml:space="preserve">6 de agosto de 1999, regla 9.8, e Informe del Secretario General de Naciones Unidas. </w:t>
      </w:r>
      <w:r w:rsidRPr="00514681">
        <w:rPr>
          <w:rFonts w:cs="TimesNewRoman"/>
          <w:i/>
          <w:spacing w:val="-4"/>
          <w:szCs w:val="16"/>
          <w:lang w:val="es-CR"/>
        </w:rPr>
        <w:t xml:space="preserve">El estado de derecho y la justicia de transición en las sociedades que sufren o han sufrido conflictos. </w:t>
      </w:r>
      <w:r w:rsidRPr="00514681">
        <w:rPr>
          <w:rFonts w:cs="TimesNewRoman"/>
          <w:spacing w:val="-4"/>
          <w:szCs w:val="16"/>
          <w:lang w:val="es-CR"/>
        </w:rPr>
        <w:t>S/2011/634. 12 de octubre de 2011.</w:t>
      </w:r>
    </w:p>
  </w:footnote>
  <w:footnote w:id="36">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El Consejo de Seguridad de Naciones Unidas</w:t>
      </w:r>
      <w:r w:rsidRPr="00514681">
        <w:rPr>
          <w:b/>
          <w:spacing w:val="-4"/>
          <w:szCs w:val="16"/>
          <w:lang w:val="es-CR"/>
        </w:rPr>
        <w:t xml:space="preserve"> </w:t>
      </w:r>
      <w:r w:rsidRPr="00514681">
        <w:rPr>
          <w:spacing w:val="-4"/>
          <w:szCs w:val="16"/>
          <w:lang w:val="es-CR"/>
        </w:rPr>
        <w:t xml:space="preserve">ha emitido resoluciones resaltando la importancia de la </w:t>
      </w:r>
      <w:r w:rsidRPr="00514681">
        <w:rPr>
          <w:rFonts w:cs="TimesNewRoman"/>
          <w:spacing w:val="-4"/>
          <w:szCs w:val="16"/>
          <w:lang w:val="es-CR"/>
        </w:rPr>
        <w:t xml:space="preserve">determinación de la verdad con respecto a los delitos de lesa humanidad, el genocidio, los crímenes de guerra y las violaciones manifiestas de los derechos humanos. </w:t>
      </w:r>
      <w:r w:rsidRPr="00514681">
        <w:rPr>
          <w:rFonts w:cs="TimesNewRoman"/>
          <w:i/>
          <w:spacing w:val="-4"/>
          <w:szCs w:val="16"/>
          <w:lang w:val="es-CR"/>
        </w:rPr>
        <w:t>Cfr.</w:t>
      </w:r>
      <w:r w:rsidRPr="00514681">
        <w:rPr>
          <w:rFonts w:cs="TimesNewRoman"/>
          <w:spacing w:val="-4"/>
          <w:szCs w:val="16"/>
          <w:lang w:val="es-CR"/>
        </w:rPr>
        <w:t xml:space="preserve"> </w:t>
      </w:r>
      <w:r w:rsidRPr="00514681">
        <w:rPr>
          <w:spacing w:val="-4"/>
          <w:szCs w:val="16"/>
          <w:lang w:val="es-CR"/>
        </w:rPr>
        <w:t xml:space="preserve">Resoluciones de Consejo de Seguridad N° </w:t>
      </w:r>
      <w:r w:rsidRPr="00514681">
        <w:rPr>
          <w:rFonts w:cs="TimesNewRoman"/>
          <w:spacing w:val="-4"/>
          <w:szCs w:val="16"/>
          <w:lang w:val="es-CR"/>
        </w:rPr>
        <w:t>1468 (2003) de 20 de marzo de 2003,  N° 1470 (2003) de 28 de marzo de 2003 y N° 1606 (2005) de 20 de junio de 2005.</w:t>
      </w:r>
    </w:p>
  </w:footnote>
  <w:footnote w:id="37">
    <w:p w:rsidR="00CA58C7" w:rsidRPr="00514681" w:rsidRDefault="00CA58C7" w:rsidP="003D44A0">
      <w:pPr>
        <w:widowControl w:val="0"/>
        <w:tabs>
          <w:tab w:val="left" w:pos="567"/>
        </w:tabs>
        <w:autoSpaceDE w:val="0"/>
        <w:autoSpaceDN w:val="0"/>
        <w:adjustRightInd w:val="0"/>
        <w:jc w:val="both"/>
        <w:rPr>
          <w:rFonts w:ascii="Calibri" w:eastAsia="MS Mincho" w:hAnsi="Calibri" w:cs="Calibri"/>
          <w:kern w:val="1"/>
          <w:szCs w:val="16"/>
          <w:lang w:val="es-ES" w:eastAsia="es-ES"/>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Véase, por ejemplo, que </w:t>
      </w:r>
      <w:r w:rsidRPr="00514681">
        <w:rPr>
          <w:rFonts w:cs="TimesNewRoman"/>
          <w:spacing w:val="-4"/>
          <w:szCs w:val="16"/>
          <w:lang w:val="es-CR"/>
        </w:rPr>
        <w:t xml:space="preserve">en 1981 el </w:t>
      </w:r>
      <w:r w:rsidRPr="00514681">
        <w:rPr>
          <w:rFonts w:cs="Arial"/>
          <w:color w:val="000000"/>
          <w:spacing w:val="-4"/>
          <w:szCs w:val="16"/>
          <w:lang w:val="es-CR"/>
        </w:rPr>
        <w:t>Grupo de Trabajo sobre Desapariciones Forzadas, reconoció el derecho de los familiares a conocer el paradero de la víctima como un derecho autónomo.</w:t>
      </w:r>
      <w:r w:rsidRPr="00514681">
        <w:rPr>
          <w:spacing w:val="-4"/>
          <w:szCs w:val="16"/>
          <w:lang w:val="es-CR"/>
        </w:rPr>
        <w:t xml:space="preserve"> Primer informe del </w:t>
      </w:r>
      <w:r w:rsidRPr="00514681">
        <w:rPr>
          <w:rFonts w:cs="Arial"/>
          <w:color w:val="000000"/>
          <w:spacing w:val="-4"/>
          <w:szCs w:val="16"/>
          <w:lang w:val="es-CR"/>
        </w:rPr>
        <w:t xml:space="preserve">Grupo de trabajo sobre desapariciones forzadas. </w:t>
      </w:r>
      <w:r w:rsidRPr="00514681">
        <w:rPr>
          <w:rFonts w:cs="Arial"/>
          <w:i/>
          <w:color w:val="000000"/>
          <w:spacing w:val="-4"/>
          <w:szCs w:val="16"/>
          <w:lang w:val="es-CR"/>
        </w:rPr>
        <w:t>Cfr.</w:t>
      </w:r>
      <w:r w:rsidRPr="00514681">
        <w:rPr>
          <w:rFonts w:cs="Arial"/>
          <w:color w:val="000000"/>
          <w:spacing w:val="-4"/>
          <w:szCs w:val="16"/>
          <w:lang w:val="es-CR"/>
        </w:rPr>
        <w:t xml:space="preserve"> Reporte del Grupo de Trabajo sobre Desapariciones Forzadas. </w:t>
      </w:r>
      <w:r w:rsidRPr="00514681">
        <w:rPr>
          <w:rFonts w:cs="TimesNewRoman"/>
          <w:spacing w:val="-4"/>
          <w:szCs w:val="16"/>
          <w:lang w:val="es-CR"/>
        </w:rPr>
        <w:t>E/CN.4/1435. 22 de enero de 1981, párr. 187. En 1995, en su octavo informe anual presentado ante la Comisión de Derechos Humanos del Consejo Económico y Social de Naciones Unidas, el Relator Especial sobre Estados de Emergencia concluyó que el derecho a la verdad había alcanzado estatus de norma consuetudinaria.</w:t>
      </w:r>
      <w:r w:rsidRPr="00514681">
        <w:rPr>
          <w:spacing w:val="-4"/>
          <w:szCs w:val="16"/>
          <w:lang w:val="es-CR"/>
        </w:rPr>
        <w:t xml:space="preserve"> </w:t>
      </w:r>
      <w:r w:rsidRPr="00514681">
        <w:rPr>
          <w:i/>
          <w:spacing w:val="-4"/>
          <w:szCs w:val="16"/>
          <w:lang w:val="en-US"/>
        </w:rPr>
        <w:t xml:space="preserve">Cfr. </w:t>
      </w:r>
      <w:r w:rsidRPr="00514681">
        <w:rPr>
          <w:spacing w:val="-4"/>
          <w:szCs w:val="16"/>
          <w:lang w:val="en-US"/>
        </w:rPr>
        <w:t>Commission on Human Rights,</w:t>
      </w:r>
      <w:r w:rsidRPr="00514681">
        <w:rPr>
          <w:bCs/>
          <w:color w:val="000000"/>
          <w:spacing w:val="-4"/>
          <w:szCs w:val="16"/>
          <w:lang w:val="en-US"/>
        </w:rPr>
        <w:t xml:space="preserve"> Sub-Commission on Prevention of Discrimination and Protection of Minorities.</w:t>
      </w:r>
      <w:r w:rsidRPr="00514681">
        <w:rPr>
          <w:bCs/>
          <w:i/>
          <w:color w:val="000000"/>
          <w:spacing w:val="-4"/>
          <w:szCs w:val="16"/>
          <w:lang w:val="en-US"/>
        </w:rPr>
        <w:t xml:space="preserve"> The Administration of Justice and the Human Rights of Detainees: Question of Human Rights and States of Emergency</w:t>
      </w:r>
      <w:r w:rsidRPr="00514681">
        <w:rPr>
          <w:bCs/>
          <w:color w:val="000000"/>
          <w:spacing w:val="-4"/>
          <w:szCs w:val="16"/>
          <w:shd w:val="clear" w:color="auto" w:fill="FFFFFF"/>
          <w:lang w:val="en-US"/>
        </w:rPr>
        <w:t xml:space="preserve">. </w:t>
      </w:r>
      <w:r w:rsidRPr="00514681">
        <w:rPr>
          <w:color w:val="000000"/>
          <w:spacing w:val="-4"/>
          <w:szCs w:val="16"/>
          <w:shd w:val="clear" w:color="auto" w:fill="FFFFFF"/>
        </w:rPr>
        <w:t xml:space="preserve">E/CN.4/Sub.2/1995/20. 20 de junio de 1995, párrs. </w:t>
      </w:r>
      <w:r w:rsidRPr="00514681">
        <w:rPr>
          <w:color w:val="000000"/>
          <w:spacing w:val="-4"/>
          <w:szCs w:val="16"/>
          <w:shd w:val="clear" w:color="auto" w:fill="FFFFFF"/>
          <w:lang w:val="es-CR"/>
        </w:rPr>
        <w:t xml:space="preserve">39 a 40. En 2005, </w:t>
      </w:r>
      <w:r w:rsidRPr="00514681">
        <w:rPr>
          <w:spacing w:val="-4"/>
          <w:szCs w:val="16"/>
          <w:lang w:val="es-CR"/>
        </w:rPr>
        <w:t>la Alta Comisionada de las Naciones Unidas para los Derechos Humanos se pronunció reafirmando el derecho a la verdad respecto de las víctimas y sus familiares.</w:t>
      </w:r>
      <w:r w:rsidRPr="00514681">
        <w:rPr>
          <w:rFonts w:cs="TimesNewRoman"/>
          <w:spacing w:val="-4"/>
          <w:szCs w:val="16"/>
          <w:lang w:val="es-CR"/>
        </w:rPr>
        <w:t xml:space="preserve"> </w:t>
      </w:r>
      <w:r w:rsidRPr="00514681">
        <w:rPr>
          <w:rFonts w:cs="TimesNewRoman"/>
          <w:i/>
          <w:spacing w:val="-4"/>
          <w:szCs w:val="16"/>
        </w:rPr>
        <w:t xml:space="preserve">Cfr. </w:t>
      </w:r>
      <w:r w:rsidRPr="00514681">
        <w:rPr>
          <w:rFonts w:cs="TimesNewRoman"/>
          <w:spacing w:val="-4"/>
          <w:szCs w:val="16"/>
        </w:rPr>
        <w:t xml:space="preserve">Comisión de Derechos Humanos de Naciones Unidas. </w:t>
      </w:r>
      <w:r w:rsidRPr="00514681">
        <w:rPr>
          <w:rFonts w:cs="TimesNewRoman"/>
          <w:i/>
          <w:spacing w:val="-4"/>
          <w:szCs w:val="16"/>
          <w:lang w:val="es-CR"/>
        </w:rPr>
        <w:t>Informe de la Alta Comisionada de las Naciones Unidas para los Derechos Humanos sobre la situación de los derechos humanos en Colombia.</w:t>
      </w:r>
      <w:r w:rsidRPr="00514681">
        <w:rPr>
          <w:rFonts w:cs="TimesNewRoman"/>
          <w:spacing w:val="-4"/>
          <w:szCs w:val="16"/>
          <w:lang w:val="es-CR"/>
        </w:rPr>
        <w:t xml:space="preserve"> E/CN.4/2005/10. 28 de febrero de 2005, párr. 5.</w:t>
      </w:r>
      <w:r w:rsidRPr="00514681">
        <w:rPr>
          <w:spacing w:val="-4"/>
          <w:szCs w:val="16"/>
          <w:lang w:val="es-CR"/>
        </w:rPr>
        <w:t xml:space="preserve"> La antigua Comisión de Derechos Humanos de Naciones Unidas se pronunció respecto del derecho a la verdad, resaltando la importancia de respetar y garantizar el derecho a la verdad en relación con la aprobación de leyes de amnistía y el derecho de los familiares de personas desaparecidas a conocer el paradero de sus seres queridos. </w:t>
      </w:r>
      <w:r w:rsidRPr="00514681">
        <w:rPr>
          <w:i/>
          <w:spacing w:val="-4"/>
          <w:szCs w:val="16"/>
          <w:lang w:val="es-CR"/>
        </w:rPr>
        <w:t>Cfr.</w:t>
      </w:r>
      <w:r w:rsidRPr="00514681">
        <w:rPr>
          <w:spacing w:val="-4"/>
          <w:szCs w:val="16"/>
          <w:lang w:val="es-CR"/>
        </w:rPr>
        <w:t xml:space="preserve"> Comisión de Derechos Humanos de Naciones Unidas. Resoluciones N° </w:t>
      </w:r>
      <w:r w:rsidRPr="00514681">
        <w:rPr>
          <w:rFonts w:cs="TimesNewRoman"/>
          <w:spacing w:val="-4"/>
          <w:szCs w:val="16"/>
          <w:lang w:val="es-CR"/>
        </w:rPr>
        <w:t xml:space="preserve">1989/62 de 8 de marzo de 1989, N° 2002/60 de 25 de abril de 2002, N° 2005/35 de 19 de abril de 2005 y N° 2005/66 de 20 de abril de 2005. </w:t>
      </w:r>
      <w:r w:rsidRPr="00514681">
        <w:rPr>
          <w:rStyle w:val="FootnoteReference"/>
          <w:spacing w:val="-4"/>
          <w:szCs w:val="16"/>
          <w:vertAlign w:val="baseline"/>
          <w:lang w:val="es-CR"/>
        </w:rPr>
        <w:t>El Consejo de Derechos Humanos</w:t>
      </w:r>
      <w:r w:rsidRPr="00514681">
        <w:rPr>
          <w:spacing w:val="-4"/>
          <w:szCs w:val="16"/>
          <w:lang w:val="es-CR"/>
        </w:rPr>
        <w:t xml:space="preserve"> de Naciones Unidas ha reconocido la importancia de respetar y garantizar el derecho a la verdad para combatir la impunidad y proteger los derechos humanos, así como también ha destacado la importancia de que la comunidad internacional reconozca el derecho de las víctimas, sus familiares y la sociedad en su conjunto de conocer la verdad sobre las graves violaciones al derecho internacional humanitario y a los derechos humanos. </w:t>
      </w:r>
      <w:r w:rsidRPr="00514681">
        <w:rPr>
          <w:i/>
          <w:spacing w:val="-4"/>
          <w:szCs w:val="16"/>
          <w:lang w:val="es-CR"/>
        </w:rPr>
        <w:t>Cfr.</w:t>
      </w:r>
      <w:r w:rsidRPr="00514681">
        <w:rPr>
          <w:spacing w:val="-4"/>
          <w:szCs w:val="16"/>
          <w:lang w:val="es-CR"/>
        </w:rPr>
        <w:t xml:space="preserve"> Consejo de Derechos Humanos de Naciones Unidas. Resoluciones N° 9/11 de 24 de septiembre de 2008 y N° 12/12 de 1 de octubre de 2009.</w:t>
      </w:r>
    </w:p>
  </w:footnote>
  <w:footnote w:id="38">
    <w:p w:rsidR="00CA58C7" w:rsidRPr="00514681" w:rsidRDefault="00CA58C7" w:rsidP="003D44A0">
      <w:pPr>
        <w:pStyle w:val="FootnoteText"/>
        <w:tabs>
          <w:tab w:val="left" w:pos="426"/>
          <w:tab w:val="left" w:pos="567"/>
        </w:tabs>
        <w:spacing w:before="120" w:after="120"/>
        <w:rPr>
          <w:spacing w:val="-4"/>
          <w:szCs w:val="16"/>
          <w:lang w:val="es-CO"/>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eastAsia="Calibri" w:cs="Arial"/>
          <w:spacing w:val="-4"/>
          <w:szCs w:val="16"/>
          <w:lang w:val="es-CO"/>
        </w:rPr>
        <w:t xml:space="preserve">Informe de la Oficina del Alto Comisionado de las Naciones Unidas para los Derechos Humanos. </w:t>
      </w:r>
      <w:r w:rsidRPr="00514681">
        <w:rPr>
          <w:rStyle w:val="Emph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w:t>
      </w:r>
      <w:r w:rsidRPr="00514681">
        <w:rPr>
          <w:spacing w:val="-4"/>
          <w:szCs w:val="16"/>
          <w:lang w:val="es-CR"/>
        </w:rPr>
        <w:t xml:space="preserve"> párrs. </w:t>
      </w:r>
      <w:r w:rsidRPr="00514681">
        <w:rPr>
          <w:spacing w:val="-4"/>
          <w:szCs w:val="16"/>
          <w:lang w:val="es-CO"/>
        </w:rPr>
        <w:t xml:space="preserve">57 y 59. </w:t>
      </w:r>
    </w:p>
  </w:footnote>
  <w:footnote w:id="39">
    <w:p w:rsidR="00CA58C7" w:rsidRPr="00514681" w:rsidRDefault="00CA58C7" w:rsidP="003D44A0">
      <w:pPr>
        <w:tabs>
          <w:tab w:val="left" w:pos="426"/>
          <w:tab w:val="left" w:pos="567"/>
        </w:tabs>
        <w:autoSpaceDE w:val="0"/>
        <w:autoSpaceDN w:val="0"/>
        <w:adjustRightInd w:val="0"/>
        <w:spacing w:before="120" w:after="120"/>
        <w:jc w:val="both"/>
        <w:rPr>
          <w:rFonts w:cs="TimesNewRoman"/>
          <w:spacing w:val="-4"/>
          <w:szCs w:val="16"/>
          <w:lang w:val="en-US"/>
        </w:rPr>
      </w:pPr>
      <w:r w:rsidRPr="00514681">
        <w:rPr>
          <w:rStyle w:val="FootnoteReference"/>
          <w:spacing w:val="-4"/>
          <w:szCs w:val="16"/>
        </w:rPr>
        <w:footnoteRef/>
      </w:r>
      <w:r w:rsidRPr="00514681">
        <w:rPr>
          <w:spacing w:val="-4"/>
          <w:szCs w:val="16"/>
          <w:lang w:val="es-CO"/>
        </w:rPr>
        <w:t xml:space="preserve"> </w:t>
      </w:r>
      <w:r w:rsidRPr="00514681">
        <w:rPr>
          <w:spacing w:val="-4"/>
          <w:szCs w:val="16"/>
          <w:lang w:val="es-CO"/>
        </w:rPr>
        <w:tab/>
      </w:r>
      <w:r w:rsidRPr="00514681">
        <w:rPr>
          <w:i/>
          <w:spacing w:val="-4"/>
          <w:szCs w:val="16"/>
          <w:lang w:val="es-CO"/>
        </w:rPr>
        <w:t>Cfr.</w:t>
      </w:r>
      <w:r w:rsidRPr="00514681">
        <w:rPr>
          <w:spacing w:val="-4"/>
          <w:szCs w:val="16"/>
          <w:lang w:val="es-CO"/>
        </w:rPr>
        <w:t xml:space="preserve"> </w:t>
      </w:r>
      <w:r w:rsidRPr="00514681">
        <w:rPr>
          <w:rFonts w:cs="TimesNewRoman"/>
          <w:spacing w:val="-4"/>
          <w:szCs w:val="16"/>
          <w:lang w:val="es-CO"/>
        </w:rPr>
        <w:t xml:space="preserve">Resolution II of the XXIV International Conference of the Red Cross and Red Crescent (Manila, 1981), </w:t>
      </w:r>
      <w:r w:rsidRPr="00514681">
        <w:rPr>
          <w:rFonts w:cs="TimesNewRoman"/>
          <w:i/>
          <w:spacing w:val="-4"/>
          <w:szCs w:val="16"/>
          <w:lang w:val="es-CO"/>
        </w:rPr>
        <w:t>véase también:</w:t>
      </w:r>
      <w:r w:rsidRPr="00514681">
        <w:rPr>
          <w:rFonts w:cs="TimesNewRoman"/>
          <w:spacing w:val="-4"/>
          <w:szCs w:val="16"/>
          <w:lang w:val="es-CO"/>
        </w:rPr>
        <w:t xml:space="preserve"> Regla 117 en Henckaerts, Jean Marie y Doswald-Beck, Louise. </w:t>
      </w:r>
      <w:r w:rsidRPr="00514681">
        <w:rPr>
          <w:rFonts w:cs="TimesNewRoman,Italic"/>
          <w:i/>
          <w:iCs/>
          <w:spacing w:val="-4"/>
          <w:szCs w:val="16"/>
          <w:lang w:val="en-US"/>
        </w:rPr>
        <w:t>Customary International Humanitarian Law, Volume I, Rules</w:t>
      </w:r>
      <w:r w:rsidRPr="00514681">
        <w:rPr>
          <w:rFonts w:cs="TimesNewRoman"/>
          <w:spacing w:val="-4"/>
          <w:szCs w:val="16"/>
          <w:lang w:val="en-US"/>
        </w:rPr>
        <w:t>, Cambridge Press University, 2005, p. 421.</w:t>
      </w:r>
    </w:p>
  </w:footnote>
  <w:footnote w:id="40">
    <w:p w:rsidR="00CA58C7" w:rsidRPr="00514681" w:rsidRDefault="00CA58C7" w:rsidP="003D44A0">
      <w:pPr>
        <w:tabs>
          <w:tab w:val="left" w:pos="426"/>
          <w:tab w:val="left" w:pos="567"/>
        </w:tabs>
        <w:autoSpaceDE w:val="0"/>
        <w:autoSpaceDN w:val="0"/>
        <w:adjustRightInd w:val="0"/>
        <w:spacing w:before="120" w:after="120"/>
        <w:jc w:val="both"/>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cs="TimesNewRoman,Italic"/>
          <w:iCs/>
          <w:spacing w:val="-4"/>
          <w:szCs w:val="16"/>
          <w:lang w:val="es-CR"/>
        </w:rPr>
        <w:t>Comunicado conjunto de los Presidentes de los Estados partes del MERCOSUR y de los Estados asociados en la XXVIII Cumbre de Jefes de Estado de 20 de junio de 2005 celebrada en</w:t>
      </w:r>
      <w:r w:rsidRPr="00514681">
        <w:rPr>
          <w:rFonts w:cs="TimesNewRoman"/>
          <w:spacing w:val="-4"/>
          <w:szCs w:val="16"/>
          <w:lang w:val="es-CR"/>
        </w:rPr>
        <w:t xml:space="preserve"> Asunción, Paraguay.</w:t>
      </w:r>
    </w:p>
  </w:footnote>
  <w:footnote w:id="41">
    <w:p w:rsidR="00CA58C7" w:rsidRPr="00514681" w:rsidRDefault="00CA58C7" w:rsidP="003D44A0">
      <w:pPr>
        <w:pStyle w:val="FootnoteText"/>
        <w:tabs>
          <w:tab w:val="left" w:pos="426"/>
          <w:tab w:val="left" w:pos="567"/>
        </w:tabs>
        <w:spacing w:before="120" w:after="120"/>
        <w:rPr>
          <w:rFonts w:cs="TimesNewRoman"/>
          <w:spacing w:val="-4"/>
          <w:szCs w:val="16"/>
          <w:lang w:val="en-US"/>
        </w:rPr>
      </w:pPr>
      <w:r w:rsidRPr="00514681">
        <w:rPr>
          <w:rStyle w:val="FootnoteReference"/>
          <w:spacing w:val="-4"/>
          <w:szCs w:val="16"/>
        </w:rPr>
        <w:footnoteRef/>
      </w:r>
      <w:r w:rsidRPr="00514681">
        <w:rPr>
          <w:spacing w:val="-4"/>
          <w:szCs w:val="16"/>
          <w:lang w:val="en-US"/>
        </w:rPr>
        <w:t xml:space="preserve"> </w:t>
      </w:r>
      <w:r w:rsidRPr="00514681">
        <w:rPr>
          <w:spacing w:val="-4"/>
          <w:szCs w:val="16"/>
          <w:lang w:val="en-US"/>
        </w:rPr>
        <w:tab/>
      </w:r>
      <w:r w:rsidRPr="00514681">
        <w:rPr>
          <w:rFonts w:cs="TimesNewRoman"/>
          <w:i/>
          <w:spacing w:val="-4"/>
          <w:szCs w:val="16"/>
          <w:lang w:val="en-US"/>
        </w:rPr>
        <w:t xml:space="preserve">Cfr. </w:t>
      </w:r>
      <w:r w:rsidRPr="00514681">
        <w:rPr>
          <w:rFonts w:cs="TimesNewRoman"/>
          <w:spacing w:val="-4"/>
          <w:szCs w:val="16"/>
          <w:lang w:val="en-US"/>
        </w:rPr>
        <w:t>Parlamento Europeo. Resolution on missing persons in Cyprus, de 11 de enero de 1983.</w:t>
      </w:r>
    </w:p>
  </w:footnote>
  <w:footnote w:id="42">
    <w:p w:rsidR="00CA58C7" w:rsidRPr="00514681" w:rsidRDefault="00CA58C7" w:rsidP="003D44A0">
      <w:pPr>
        <w:tabs>
          <w:tab w:val="left" w:pos="426"/>
          <w:tab w:val="left" w:pos="567"/>
        </w:tabs>
        <w:autoSpaceDE w:val="0"/>
        <w:autoSpaceDN w:val="0"/>
        <w:adjustRightInd w:val="0"/>
        <w:spacing w:before="120" w:after="120"/>
        <w:jc w:val="both"/>
        <w:rPr>
          <w:spacing w:val="-4"/>
          <w:szCs w:val="16"/>
          <w:lang w:val="es-CR"/>
        </w:rPr>
      </w:pPr>
      <w:r w:rsidRPr="00514681">
        <w:rPr>
          <w:rStyle w:val="FootnoteReference"/>
          <w:spacing w:val="-4"/>
          <w:szCs w:val="16"/>
        </w:rPr>
        <w:footnoteRef/>
      </w:r>
      <w:r w:rsidRPr="00514681">
        <w:rPr>
          <w:spacing w:val="-4"/>
          <w:szCs w:val="16"/>
          <w:lang w:val="en-US"/>
        </w:rPr>
        <w:t xml:space="preserve"> </w:t>
      </w:r>
      <w:r w:rsidRPr="00514681">
        <w:rPr>
          <w:spacing w:val="-4"/>
          <w:szCs w:val="16"/>
          <w:lang w:val="en-US"/>
        </w:rPr>
        <w:tab/>
      </w:r>
      <w:r w:rsidRPr="00514681">
        <w:rPr>
          <w:rFonts w:cs="TimesNewRoman"/>
          <w:spacing w:val="-4"/>
          <w:szCs w:val="16"/>
          <w:lang w:val="en-US"/>
        </w:rPr>
        <w:t xml:space="preserve">Conclusions of the Council of the European Union on Colombia, 3 October 2005, Luxemburg, parr. </w:t>
      </w:r>
      <w:r w:rsidRPr="00514681">
        <w:rPr>
          <w:rFonts w:cs="TimesNewRoman"/>
          <w:spacing w:val="-4"/>
          <w:szCs w:val="16"/>
          <w:lang w:val="es-CR"/>
        </w:rPr>
        <w:t>4.</w:t>
      </w:r>
    </w:p>
  </w:footnote>
  <w:footnote w:id="43">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eastAsia="Calibri" w:cs="Arial"/>
          <w:spacing w:val="-4"/>
          <w:szCs w:val="16"/>
          <w:lang w:val="es-CO"/>
        </w:rPr>
        <w:t>Asamblea General de la Organización de Estados Americanos, Resoluciones:</w:t>
      </w:r>
      <w:r w:rsidRPr="00514681">
        <w:rPr>
          <w:rFonts w:eastAsia="Calibri" w:cs="Arial"/>
          <w:i/>
          <w:spacing w:val="-4"/>
          <w:szCs w:val="16"/>
          <w:lang w:val="es-CO"/>
        </w:rPr>
        <w:t xml:space="preserve"> </w:t>
      </w:r>
      <w:r w:rsidRPr="00514681">
        <w:rPr>
          <w:rFonts w:eastAsia="Calibri" w:cs="Arial"/>
          <w:spacing w:val="-4"/>
          <w:szCs w:val="16"/>
          <w:lang w:val="es-ES"/>
        </w:rPr>
        <w:t>AG/RES. 2175 (XXXVI-O/06) de 6 de junio de 2006,</w:t>
      </w:r>
      <w:r w:rsidRPr="00514681">
        <w:rPr>
          <w:rFonts w:eastAsia="Calibri" w:cs="Arial"/>
          <w:spacing w:val="-4"/>
          <w:szCs w:val="16"/>
          <w:lang w:val="es-CO"/>
        </w:rPr>
        <w:t xml:space="preserve"> </w:t>
      </w:r>
      <w:r w:rsidRPr="00514681">
        <w:rPr>
          <w:rFonts w:eastAsia="Calibri" w:cs="Arial"/>
          <w:spacing w:val="-4"/>
          <w:szCs w:val="16"/>
          <w:lang w:val="es-CO" w:bidi="en-US"/>
        </w:rPr>
        <w:t xml:space="preserve">AG/RES. 2267 (XXXVII-O/07) de 5 de junio de 2007, </w:t>
      </w:r>
      <w:r w:rsidRPr="00514681">
        <w:rPr>
          <w:rFonts w:eastAsia="Calibri" w:cs="Arial"/>
          <w:bCs/>
          <w:spacing w:val="-4"/>
          <w:szCs w:val="16"/>
          <w:lang w:val="es-ES" w:bidi="en-US"/>
        </w:rPr>
        <w:t xml:space="preserve">AG/RES. 2406 (XXXVIII-O/08) de 3 de junio de 2008, AG/RES. </w:t>
      </w:r>
      <w:r w:rsidRPr="00514681">
        <w:rPr>
          <w:rFonts w:eastAsia="Calibri" w:cs="Arial"/>
          <w:spacing w:val="-4"/>
          <w:szCs w:val="16"/>
          <w:lang w:val="es-CO" w:bidi="en-US"/>
        </w:rPr>
        <w:t>2509</w:t>
      </w:r>
      <w:r w:rsidRPr="00514681">
        <w:rPr>
          <w:rFonts w:eastAsia="Calibri" w:cs="Arial"/>
          <w:bCs/>
          <w:spacing w:val="-4"/>
          <w:szCs w:val="16"/>
          <w:lang w:val="es-ES" w:bidi="en-US"/>
        </w:rPr>
        <w:t xml:space="preserve"> (XXXIX-O/09) de 4 de junio de 2009, </w:t>
      </w:r>
      <w:r w:rsidRPr="00514681">
        <w:rPr>
          <w:rFonts w:eastAsia="Calibri" w:cs="Arial"/>
          <w:spacing w:val="-4"/>
          <w:szCs w:val="16"/>
          <w:lang w:val="es-CO" w:bidi="en-US"/>
        </w:rPr>
        <w:t xml:space="preserve">AG/RES. 2595 (XL-O/10) de 8 de junio de 2010, </w:t>
      </w:r>
      <w:r w:rsidRPr="00514681">
        <w:rPr>
          <w:spacing w:val="-4"/>
          <w:szCs w:val="16"/>
          <w:lang w:val="es-MX"/>
        </w:rPr>
        <w:t xml:space="preserve">AG/RES. 2662 (XLI-O/11) de 7 de junio de 2011, </w:t>
      </w:r>
      <w:r w:rsidRPr="00514681">
        <w:rPr>
          <w:spacing w:val="-4"/>
          <w:szCs w:val="16"/>
          <w:lang w:val="es-ES"/>
        </w:rPr>
        <w:t xml:space="preserve">AG/RES. 2725 (XLII-O/12) de 4 de junio de 2012, </w:t>
      </w:r>
      <w:r w:rsidRPr="00514681">
        <w:rPr>
          <w:spacing w:val="-4"/>
          <w:szCs w:val="16"/>
          <w:lang w:val="es-MX"/>
        </w:rPr>
        <w:t xml:space="preserve">AG/RES. 2800 (XLIII-O/13) de 5 de junio de 2013, </w:t>
      </w:r>
      <w:r w:rsidRPr="00514681">
        <w:rPr>
          <w:spacing w:val="-4"/>
          <w:szCs w:val="16"/>
        </w:rPr>
        <w:t>AG/RES. 2822 (XLIV-O/14) de 4 de junio de 2014.</w:t>
      </w:r>
    </w:p>
  </w:footnote>
  <w:footnote w:id="44">
    <w:p w:rsidR="00CA58C7" w:rsidRPr="00514681" w:rsidRDefault="00CA58C7" w:rsidP="003D44A0">
      <w:pPr>
        <w:pStyle w:val="FootnoteText"/>
        <w:tabs>
          <w:tab w:val="left" w:pos="426"/>
          <w:tab w:val="left" w:pos="567"/>
        </w:tabs>
        <w:spacing w:after="120"/>
        <w:rPr>
          <w:bCs/>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bCs/>
          <w:spacing w:val="-4"/>
          <w:szCs w:val="16"/>
          <w:lang w:val="es-CR"/>
        </w:rPr>
        <w:tab/>
      </w:r>
      <w:r w:rsidRPr="00514681">
        <w:rPr>
          <w:bCs/>
          <w:i/>
          <w:spacing w:val="-4"/>
          <w:szCs w:val="16"/>
          <w:lang w:val="es-CR"/>
        </w:rPr>
        <w:t xml:space="preserve">Cfr. </w:t>
      </w:r>
      <w:r w:rsidRPr="00514681">
        <w:rPr>
          <w:bCs/>
          <w:spacing w:val="-4"/>
          <w:szCs w:val="16"/>
          <w:lang w:val="es-CR"/>
        </w:rPr>
        <w:t xml:space="preserve">Convención Internacional para la Protección de Todas las Personas contra las Desapariciones Forzadas, artículo 24. De manera similar, el artículo 32 del Protocolo Adicional I a los Convenios de Ginebra de 1949 relativo a la protección de las víctimas de los conflictos armados internacionales, reconoce el derecho a conocer el paradero de las personas desaparecidas; mientras que los Convenios de Ginebra del 12 de agosto de 1949 incorporan varias disposiciones que imponen a las partes en conflicto la obligación de resolver el problema de los combatientes desaparecidos y establecer un organismo central de búsqueda. </w:t>
      </w:r>
      <w:r w:rsidRPr="00514681">
        <w:rPr>
          <w:bCs/>
          <w:i/>
          <w:spacing w:val="-4"/>
          <w:szCs w:val="16"/>
          <w:lang w:val="es-CR"/>
        </w:rPr>
        <w:t>Cfr.</w:t>
      </w:r>
      <w:r w:rsidRPr="00514681">
        <w:rPr>
          <w:bCs/>
          <w:spacing w:val="-4"/>
          <w:szCs w:val="16"/>
          <w:lang w:val="es-CR"/>
        </w:rPr>
        <w:t xml:space="preserve"> Protocolo I adicional a los Convenios de Ginebra de 1949 relativo a la protección de las víctimas de los conflictos armados internacionales, de 12 de agosto de 1977, y a</w:t>
      </w:r>
      <w:r w:rsidRPr="00514681">
        <w:rPr>
          <w:rFonts w:cs="TimesNewRoman"/>
          <w:spacing w:val="-4"/>
          <w:szCs w:val="16"/>
          <w:lang w:val="es-CR"/>
        </w:rPr>
        <w:t xml:space="preserve">rtículos 16 y 17 del IV Convenio de Ginebra relativo a la protección debida a las personas civiles en tiempo de guerra de 12 de agosto de 1949; artículos 18, 19 y ss. del II Convenio de Ginebra </w:t>
      </w:r>
      <w:r w:rsidRPr="00514681">
        <w:rPr>
          <w:rFonts w:cs="Arial"/>
          <w:spacing w:val="-4"/>
          <w:szCs w:val="16"/>
          <w:shd w:val="clear" w:color="auto" w:fill="FBFAF6"/>
          <w:lang w:val="es-CR"/>
        </w:rPr>
        <w:t>para aliviar la suerte que corren los heridos, los enfermos y los náufragos de las fuerzas armadas en el mar de 12 de agosto de 1949, y</w:t>
      </w:r>
      <w:r w:rsidRPr="00514681">
        <w:rPr>
          <w:rFonts w:cs="TimesNewRoman"/>
          <w:spacing w:val="-4"/>
          <w:szCs w:val="16"/>
          <w:lang w:val="es-CR"/>
        </w:rPr>
        <w:t xml:space="preserve"> artículo 15, 16 y ss. del I Convenio de Ginebra </w:t>
      </w:r>
      <w:r w:rsidRPr="00514681">
        <w:rPr>
          <w:rFonts w:cs="Arial"/>
          <w:spacing w:val="-4"/>
          <w:szCs w:val="16"/>
          <w:shd w:val="clear" w:color="auto" w:fill="FBFAF6"/>
          <w:lang w:val="es-CR"/>
        </w:rPr>
        <w:t>para aliviar la suerte que corren los heridos y los enfermos</w:t>
      </w:r>
      <w:r w:rsidRPr="00514681">
        <w:rPr>
          <w:rFonts w:cs="TimesNewRoman"/>
          <w:spacing w:val="-4"/>
          <w:szCs w:val="16"/>
          <w:lang w:val="es-CR"/>
        </w:rPr>
        <w:t xml:space="preserve"> de las fuerzas armadas en campaña de 12 de agosto de 1949.</w:t>
      </w:r>
    </w:p>
  </w:footnote>
  <w:footnote w:id="45">
    <w:p w:rsidR="00CA58C7" w:rsidRPr="00514681" w:rsidRDefault="00CA58C7" w:rsidP="003D44A0">
      <w:pPr>
        <w:pStyle w:val="FootnoteText"/>
        <w:tabs>
          <w:tab w:val="left" w:pos="284"/>
          <w:tab w:val="left" w:pos="426"/>
          <w:tab w:val="left" w:pos="567"/>
        </w:tabs>
        <w:spacing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ab/>
      </w:r>
      <w:r w:rsidRPr="00514681">
        <w:rPr>
          <w:spacing w:val="-4"/>
          <w:szCs w:val="16"/>
          <w:lang w:val="pt-BR"/>
        </w:rPr>
        <w:t xml:space="preserve">Conjunto de principios actualizado para la protección y la promoción de los derechos humanos mediante la lucha contra la impunidad, UN Doc. </w:t>
      </w:r>
      <w:r w:rsidRPr="00514681">
        <w:rPr>
          <w:rFonts w:cs="Arial"/>
          <w:color w:val="000000"/>
          <w:spacing w:val="-4"/>
          <w:szCs w:val="16"/>
          <w:lang w:val="pt-BR"/>
        </w:rPr>
        <w:t>E/CN.4/2005/102/Add.1, de 8 de febrero de 2005, Principios 1 a 5.</w:t>
      </w:r>
      <w:r w:rsidRPr="00514681">
        <w:rPr>
          <w:spacing w:val="-4"/>
          <w:szCs w:val="16"/>
          <w:lang w:val="es-CR"/>
        </w:rPr>
        <w:t xml:space="preserve"> </w:t>
      </w:r>
    </w:p>
  </w:footnote>
  <w:footnote w:id="46">
    <w:p w:rsidR="00CA58C7" w:rsidRPr="00514681" w:rsidRDefault="00CA58C7" w:rsidP="003D44A0">
      <w:pPr>
        <w:tabs>
          <w:tab w:val="left" w:pos="426"/>
          <w:tab w:val="left" w:pos="567"/>
        </w:tabs>
        <w:spacing w:after="120"/>
        <w:jc w:val="both"/>
        <w:rPr>
          <w:rFonts w:cs="TimesNewRoman"/>
          <w:spacing w:val="-4"/>
          <w:szCs w:val="16"/>
          <w:lang w:val="es-CR" w:eastAsia="es-MX"/>
        </w:rPr>
      </w:pPr>
      <w:r w:rsidRPr="00514681">
        <w:rPr>
          <w:rStyle w:val="FootnoteReference"/>
        </w:rPr>
        <w:footnoteRef/>
      </w:r>
      <w:r w:rsidRPr="00514681">
        <w:t xml:space="preserve"> </w:t>
      </w:r>
      <w:r w:rsidRPr="00514681">
        <w:tab/>
      </w:r>
      <w:r w:rsidRPr="00514681">
        <w:rPr>
          <w:spacing w:val="-4"/>
          <w:szCs w:val="16"/>
          <w:lang w:val="es-CR"/>
        </w:rPr>
        <w:t xml:space="preserve">Véanse, por ejemplo, </w:t>
      </w:r>
      <w:r w:rsidRPr="00514681">
        <w:rPr>
          <w:rFonts w:cs="TimesNewRoman"/>
          <w:i/>
          <w:spacing w:val="-4"/>
          <w:szCs w:val="16"/>
          <w:u w:val="single"/>
          <w:lang w:val="es-CR" w:eastAsia="es-MX"/>
        </w:rPr>
        <w:t>ARGENTINA</w:t>
      </w:r>
      <w:r w:rsidRPr="00514681">
        <w:rPr>
          <w:rFonts w:cs="TimesNewRoman"/>
          <w:spacing w:val="-4"/>
          <w:szCs w:val="16"/>
          <w:lang w:val="es-CR" w:eastAsia="es-MX"/>
        </w:rPr>
        <w:t xml:space="preserve">: Acuerdo de la Cámara en lo Criminal y Correccional Federal de la Capital Federal de 1 de setiembre de 2003 en la Causa No. 761 “E.S.M.A., Hechos denunciados como ocurridos en la Escuela de Mecánica de la Armada”; Corte Suprema de Justicia de la Nación. </w:t>
      </w:r>
      <w:r w:rsidRPr="00514681">
        <w:rPr>
          <w:rFonts w:cs="TimesNewRoman"/>
          <w:i/>
          <w:spacing w:val="-4"/>
          <w:szCs w:val="16"/>
          <w:lang w:val="es-CR" w:eastAsia="es-MX"/>
        </w:rPr>
        <w:t xml:space="preserve">Caso Suárez Mason, Carlos Guillermo. </w:t>
      </w:r>
      <w:r w:rsidRPr="00514681">
        <w:rPr>
          <w:rFonts w:cs="TimesNewRoman"/>
          <w:spacing w:val="-4"/>
          <w:szCs w:val="16"/>
          <w:lang w:val="es-CR" w:eastAsia="es-MX"/>
        </w:rPr>
        <w:t xml:space="preserve">Fallos 321:2031 de 13 de agosto de 1998, y Corte Suprema de Justicia de la Nación. </w:t>
      </w:r>
      <w:r w:rsidRPr="00514681">
        <w:rPr>
          <w:rFonts w:cs="TimesNewRoman"/>
          <w:i/>
          <w:spacing w:val="-4"/>
          <w:szCs w:val="16"/>
          <w:lang w:val="es-CR" w:eastAsia="es-MX"/>
        </w:rPr>
        <w:t xml:space="preserve">Caso Escuela Mecánica de la Armada. </w:t>
      </w:r>
      <w:r w:rsidRPr="00514681">
        <w:rPr>
          <w:rFonts w:cs="TimesNewRoman"/>
          <w:spacing w:val="-4"/>
          <w:szCs w:val="16"/>
          <w:lang w:val="es-CR" w:eastAsia="es-MX"/>
        </w:rPr>
        <w:t xml:space="preserve">Fallos 311:401 de 29 de marzo de 1988; </w:t>
      </w:r>
      <w:r w:rsidRPr="00514681">
        <w:rPr>
          <w:rFonts w:cs="TimesNewRoman"/>
          <w:i/>
          <w:spacing w:val="-4"/>
          <w:szCs w:val="16"/>
          <w:u w:val="single"/>
          <w:lang w:val="es-CR" w:eastAsia="es-MX"/>
        </w:rPr>
        <w:t>COLOMBIA</w:t>
      </w:r>
      <w:r w:rsidRPr="00514681">
        <w:rPr>
          <w:rFonts w:cs="TimesNewRoman"/>
          <w:b/>
          <w:spacing w:val="-4"/>
          <w:szCs w:val="16"/>
          <w:lang w:val="es-CR" w:eastAsia="es-MX"/>
        </w:rPr>
        <w:t>:</w:t>
      </w:r>
      <w:r w:rsidRPr="00514681">
        <w:rPr>
          <w:rFonts w:cs="TimesNewRoman"/>
          <w:spacing w:val="-4"/>
          <w:szCs w:val="16"/>
          <w:lang w:val="es-CR" w:eastAsia="es-MX"/>
        </w:rPr>
        <w:t xml:space="preserve"> Corte Constitucional. Casos T-249/03 del 20 de Enero de 2003 y C-228 del 3 de Abril de 2002; sobre la conexión intrínseca entre el derecho a la reparación y el derecho a la verdad y a la justicia (Sentencia </w:t>
      </w:r>
      <w:r w:rsidRPr="00514681">
        <w:rPr>
          <w:lang w:val="es-CR"/>
        </w:rPr>
        <w:t>C-715 de 2012); el desconocimiento del derecho a la verdad en norma que no establece la pérdida de beneficios por no confesión de todos los delitos en el procedimiento de justicia y paz (Sentencia C-370 de 2006); el derecho a la verdad y el suministro de información a familiares de víctima así como el acceso público a los registros de casos ejecutoriados en el procedimiento de justicia y paz (Sentencia C-575 de 2006); el alcance, finalidad, dimensiones y doble connotación del derecho a la verdad (Sentencias C-370 de 2006, C-454 de 2006, C-1033 de 2006, T-299 de 2009, C-753 de 2013, C-872 de 2003, C-579 de 2013,  C-180 de 2014 y C-936 de 2010); su carácter subjetivo y objetivo (Sentencia C-872 de 2003) y su contenido mínimo (Sentencia C-936 de 2010). Asimismo se ha aludido a su dimensión colectiva (Sentencias C-370/06 y C-454 de 2006), su relación con el esclarecimiento de las circunstancias del desplazamiento (Sentencias T-327 de 2001, T-882 de 2005, T-1076 de 2005, T-367 de 2010). Además, se ha aludido a garantías que aseguren su ejercicio (Sentencia C-872 de 2003), su relación con la participación del perjudicado en proceso penal por desplazamiento forzado (Sentencia T-367 de 2010)  y la forma como las víctimas en faltas disciplinarias constitutivas de violaciones del derecho internacional de los derechos humanos y del derecho humanitario tienen derecho a la verdad y a que se concrete la justicia disciplinaria (Sentencia C-666 de 2008);</w:t>
      </w:r>
      <w:r w:rsidRPr="00514681">
        <w:rPr>
          <w:rFonts w:cs="TimesNewRoman"/>
          <w:spacing w:val="-4"/>
          <w:szCs w:val="16"/>
          <w:lang w:val="es-CR" w:eastAsia="es-MX"/>
        </w:rPr>
        <w:t xml:space="preserve"> </w:t>
      </w:r>
      <w:r w:rsidRPr="00514681">
        <w:rPr>
          <w:rFonts w:cs="TimesNewRoman"/>
          <w:i/>
          <w:spacing w:val="-4"/>
          <w:szCs w:val="16"/>
          <w:u w:val="single"/>
          <w:lang w:val="es-CR" w:eastAsia="es-MX"/>
        </w:rPr>
        <w:t>MÉXICO</w:t>
      </w:r>
      <w:r w:rsidRPr="00514681">
        <w:rPr>
          <w:rFonts w:cs="TimesNewRoman"/>
          <w:spacing w:val="-4"/>
          <w:szCs w:val="16"/>
          <w:u w:val="single"/>
          <w:lang w:val="es-CR" w:eastAsia="es-MX"/>
        </w:rPr>
        <w:t>:</w:t>
      </w:r>
      <w:r w:rsidRPr="00514681">
        <w:rPr>
          <w:rFonts w:cs="TimesNewRoman"/>
          <w:spacing w:val="-4"/>
          <w:szCs w:val="16"/>
          <w:lang w:val="es-CR" w:eastAsia="es-MX"/>
        </w:rPr>
        <w:t xml:space="preserve"> Primera Sala/Jurisprudencia 40/2013. Rubro: </w:t>
      </w:r>
      <w:r w:rsidRPr="00514681">
        <w:rPr>
          <w:rFonts w:cs="TimesNewRoman"/>
          <w:i/>
          <w:spacing w:val="-4"/>
          <w:szCs w:val="16"/>
          <w:lang w:val="es-CR" w:eastAsia="es-MX"/>
        </w:rPr>
        <w:t>Amparo directo en materia penal. La víctima u ofendido del delito tiene legitimación para promoverlo cuando se impugnan apartados jurídicos diversos al de la reparacióndel daño de la sentencia definitiva. 10ª. Época, 1ª Sala, S.J.F. y su Gaceta, Libro XII, Julio de 2013, Tomo 1, pág. 123.</w:t>
      </w:r>
      <w:r w:rsidRPr="00514681">
        <w:rPr>
          <w:rFonts w:cs="Tahoma"/>
          <w:bCs/>
          <w:szCs w:val="16"/>
          <w:lang w:val="es-MX" w:eastAsia="es-MX"/>
        </w:rPr>
        <w:t xml:space="preserve"> Tesis Aislad,. T.C.C. I.90.P.61, Rubro: </w:t>
      </w:r>
      <w:r w:rsidRPr="00514681">
        <w:rPr>
          <w:rFonts w:cs="Tahoma"/>
          <w:bCs/>
          <w:i/>
          <w:szCs w:val="16"/>
          <w:lang w:val="es-MX" w:eastAsia="es-MX"/>
        </w:rPr>
        <w:t xml:space="preserve">Desaparición forzada de personas. El hecho de que el juez de Distrito no admita la demanda de amparo, no es obstáculo para que los familiares de los desaparecidos ejerzan su derecho a saber la verdad y el rumbo de las investigaciones, mediante la obtencion de las copias de la averiguación previa correspondiente. </w:t>
      </w:r>
      <w:r w:rsidRPr="00514681">
        <w:rPr>
          <w:rFonts w:cs="Tahoma"/>
          <w:bCs/>
          <w:szCs w:val="16"/>
          <w:lang w:val="es-MX" w:eastAsia="es-MX"/>
        </w:rPr>
        <w:t xml:space="preserve">10ª. Época, T.C.C., Gaceta S.J.F., Libro 10, Septiembre de 2014, Tomo III, pág. 2312; y Tesis Aislada, T.C.C. XXVII.1º. (VIII Región), Rubro: </w:t>
      </w:r>
      <w:r w:rsidRPr="00514681">
        <w:rPr>
          <w:rFonts w:cs="Tahoma"/>
          <w:bCs/>
          <w:i/>
          <w:szCs w:val="16"/>
          <w:lang w:val="es-MX" w:eastAsia="es-MX"/>
        </w:rPr>
        <w:t xml:space="preserve">Reparación del daño de la víctima u ofendido del delito. Contenido de este derecho fundamental (Legislación del Estado de Chiapas), </w:t>
      </w:r>
      <w:r w:rsidRPr="00514681">
        <w:rPr>
          <w:rFonts w:cs="Tahoma"/>
          <w:bCs/>
          <w:szCs w:val="16"/>
          <w:lang w:val="es-MX" w:eastAsia="es-MX"/>
        </w:rPr>
        <w:t xml:space="preserve">10ª. Época, T.C.C., S.J.F. y su Gaceta, Libro XXIV, Septiembre de 2013, Tomo 3, pág. 2660; </w:t>
      </w:r>
      <w:r w:rsidRPr="00514681">
        <w:rPr>
          <w:rFonts w:cs="TimesNewRoman"/>
          <w:spacing w:val="-4"/>
          <w:szCs w:val="16"/>
          <w:lang w:val="es-CR" w:eastAsia="es-MX"/>
        </w:rPr>
        <w:t xml:space="preserve">y </w:t>
      </w:r>
      <w:r w:rsidRPr="00514681">
        <w:rPr>
          <w:rFonts w:cs="TimesNewRoman"/>
          <w:i/>
          <w:spacing w:val="-4"/>
          <w:szCs w:val="16"/>
          <w:u w:val="single"/>
          <w:lang w:val="es-CR" w:eastAsia="es-MX"/>
        </w:rPr>
        <w:t>PERÚ:</w:t>
      </w:r>
      <w:r w:rsidRPr="00514681">
        <w:rPr>
          <w:rFonts w:cs="TimesNewRoman"/>
          <w:spacing w:val="-4"/>
          <w:szCs w:val="16"/>
          <w:lang w:val="es-CR" w:eastAsia="es-MX"/>
        </w:rPr>
        <w:t xml:space="preserve"> Tribunal Constitucional del Perú. </w:t>
      </w:r>
      <w:r w:rsidRPr="00514681">
        <w:rPr>
          <w:rFonts w:cs="TimesNewRoman"/>
          <w:i/>
          <w:spacing w:val="-4"/>
          <w:szCs w:val="16"/>
          <w:lang w:val="es-CR" w:eastAsia="es-MX"/>
        </w:rPr>
        <w:t xml:space="preserve">Caso Genaro Villegas Namuche. </w:t>
      </w:r>
      <w:r w:rsidRPr="00514681">
        <w:rPr>
          <w:rFonts w:cs="TimesNewRoman"/>
          <w:spacing w:val="-4"/>
          <w:szCs w:val="16"/>
          <w:lang w:val="es-CR" w:eastAsia="es-MX"/>
        </w:rPr>
        <w:t>Sentencia de 18 de marzo de 2004.</w:t>
      </w:r>
      <w:r w:rsidRPr="00514681">
        <w:rPr>
          <w:rFonts w:cs="TimesNewRoman"/>
          <w:i/>
          <w:spacing w:val="-4"/>
          <w:szCs w:val="16"/>
          <w:lang w:val="es-CR" w:eastAsia="es-MX"/>
        </w:rPr>
        <w:t xml:space="preserve"> </w:t>
      </w:r>
      <w:r w:rsidRPr="00514681">
        <w:rPr>
          <w:rFonts w:cs="TimesNewRoman"/>
          <w:spacing w:val="-4"/>
          <w:szCs w:val="16"/>
          <w:lang w:val="es-CR" w:eastAsia="es-MX"/>
        </w:rPr>
        <w:t>Expediente No. 2488-2002-HC/TC.</w:t>
      </w:r>
    </w:p>
  </w:footnote>
  <w:footnote w:id="47">
    <w:p w:rsidR="00CA58C7" w:rsidRPr="00514681" w:rsidRDefault="00CA58C7" w:rsidP="003D44A0">
      <w:pPr>
        <w:tabs>
          <w:tab w:val="left" w:pos="284"/>
          <w:tab w:val="left" w:pos="567"/>
          <w:tab w:val="left" w:pos="1134"/>
          <w:tab w:val="left" w:pos="8789"/>
        </w:tabs>
        <w:ind w:right="49"/>
        <w:jc w:val="both"/>
        <w:rPr>
          <w:szCs w:val="16"/>
        </w:rPr>
      </w:pPr>
      <w:r w:rsidRPr="00514681">
        <w:rPr>
          <w:rStyle w:val="FootnoteReference"/>
        </w:rPr>
        <w:footnoteRef/>
      </w:r>
      <w:r w:rsidRPr="00514681">
        <w:t xml:space="preserve"> </w:t>
      </w:r>
      <w:r w:rsidRPr="00514681">
        <w:tab/>
      </w:r>
      <w:r w:rsidRPr="00514681">
        <w:rPr>
          <w:szCs w:val="16"/>
        </w:rPr>
        <w:t>La Corte Constitucional de Colombia (</w:t>
      </w:r>
      <w:r w:rsidRPr="00514681">
        <w:rPr>
          <w:spacing w:val="-4"/>
          <w:szCs w:val="16"/>
          <w:lang w:val="es-CR"/>
        </w:rPr>
        <w:t xml:space="preserve">sentencia T-249/03, párrs. 15 a 18), </w:t>
      </w:r>
      <w:r w:rsidRPr="00514681">
        <w:rPr>
          <w:szCs w:val="16"/>
        </w:rPr>
        <w:t>ha señalado que:</w:t>
      </w:r>
    </w:p>
    <w:p w:rsidR="00CA58C7" w:rsidRPr="00514681" w:rsidRDefault="00CA58C7" w:rsidP="003D44A0">
      <w:pPr>
        <w:tabs>
          <w:tab w:val="left" w:pos="284"/>
          <w:tab w:val="left" w:pos="567"/>
          <w:tab w:val="left" w:pos="1134"/>
          <w:tab w:val="left" w:pos="8789"/>
        </w:tabs>
        <w:ind w:right="49"/>
        <w:jc w:val="both"/>
        <w:rPr>
          <w:rFonts w:eastAsia="Calibri"/>
          <w:iCs/>
          <w:color w:val="000000"/>
          <w:szCs w:val="16"/>
          <w:shd w:val="clear" w:color="auto" w:fill="FFFFFF"/>
          <w:lang w:val="es-CR"/>
        </w:rPr>
      </w:pPr>
      <w:r w:rsidRPr="00514681">
        <w:rPr>
          <w:szCs w:val="16"/>
        </w:rPr>
        <w:tab/>
        <w:t xml:space="preserve"> “</w:t>
      </w:r>
      <w:r w:rsidRPr="00514681">
        <w:rPr>
          <w:rFonts w:eastAsia="Calibri"/>
          <w:iCs/>
          <w:color w:val="000000"/>
          <w:szCs w:val="16"/>
          <w:shd w:val="clear" w:color="auto" w:fill="FFFFFF"/>
          <w:lang w:val="es-CO"/>
        </w:rPr>
        <w:t>El interés en erradicar la impunidad por el delito de desaparición forzada compete a la sociedad en su conjunto. [P]ara satisfacer dicho interés es necesario que se conozca toda la verdad de los hechos, y que se atribuyan las responsabilidades individuales e institucionales correspondientes. En esa medida, tanto el interés en que se conozca la verdad, como en que se atribuyan responsabilidades individuales e institucionales por los hechos, sobrepasan el ámbito del interés individual de las víctimas. Por el contrario, constituyen verdaderos intereses generales de carácter prevalente en los términos del artículo 1º de la Carta Política. </w:t>
      </w:r>
    </w:p>
    <w:p w:rsidR="00CA58C7" w:rsidRPr="00514681" w:rsidRDefault="00CA58C7" w:rsidP="003D44A0">
      <w:pPr>
        <w:tabs>
          <w:tab w:val="left" w:pos="284"/>
          <w:tab w:val="left" w:pos="567"/>
          <w:tab w:val="left" w:pos="1134"/>
          <w:tab w:val="left" w:pos="8789"/>
        </w:tabs>
        <w:ind w:right="49"/>
        <w:jc w:val="both"/>
        <w:rPr>
          <w:rFonts w:eastAsia="Calibri"/>
          <w:iCs/>
          <w:color w:val="000000"/>
          <w:szCs w:val="16"/>
          <w:shd w:val="clear" w:color="auto" w:fill="FFFFFF"/>
          <w:lang w:val="es-CR"/>
        </w:rPr>
      </w:pPr>
      <w:r w:rsidRPr="00514681">
        <w:rPr>
          <w:rFonts w:eastAsia="Calibri"/>
          <w:iCs/>
          <w:color w:val="000000"/>
          <w:sz w:val="18"/>
          <w:szCs w:val="18"/>
          <w:shd w:val="clear" w:color="auto" w:fill="FFFFFF"/>
          <w:lang w:val="es-CR"/>
        </w:rPr>
        <w:tab/>
      </w:r>
      <w:r w:rsidRPr="00514681">
        <w:rPr>
          <w:rFonts w:eastAsia="Calibri"/>
          <w:iCs/>
          <w:color w:val="000000"/>
          <w:szCs w:val="16"/>
          <w:shd w:val="clear" w:color="auto" w:fill="FFFFFF"/>
          <w:lang w:val="es-CO"/>
        </w:rPr>
        <w:t xml:space="preserve">En efecto, el conocimiento público de los hechos, el señalamiento de responsabilidades institucionales e individuales y la obligación de reparar los daños causados son mecanismos útiles para crear conciencia entre las personas acerca de la magnitud de los daños causados por el delito. </w:t>
      </w:r>
      <w:r w:rsidRPr="00514681">
        <w:rPr>
          <w:rFonts w:eastAsia="Calibri"/>
          <w:iCs/>
          <w:color w:val="000000"/>
          <w:szCs w:val="16"/>
          <w:shd w:val="clear" w:color="auto" w:fill="FFFFFF"/>
          <w:lang w:val="es-CR"/>
        </w:rPr>
        <w:t>[…]</w:t>
      </w:r>
    </w:p>
    <w:p w:rsidR="00CA58C7" w:rsidRPr="00514681" w:rsidRDefault="00CA58C7" w:rsidP="003D44A0">
      <w:pPr>
        <w:pStyle w:val="FootnoteText"/>
        <w:tabs>
          <w:tab w:val="left" w:pos="284"/>
          <w:tab w:val="left" w:pos="426"/>
          <w:tab w:val="left" w:pos="567"/>
          <w:tab w:val="left" w:pos="8789"/>
        </w:tabs>
        <w:rPr>
          <w:rFonts w:eastAsia="Calibri"/>
          <w:iCs/>
          <w:color w:val="000000"/>
          <w:szCs w:val="16"/>
          <w:shd w:val="clear" w:color="auto" w:fill="FFFFFF"/>
          <w:lang w:val="es-CR"/>
        </w:rPr>
      </w:pPr>
      <w:r w:rsidRPr="00514681">
        <w:rPr>
          <w:rFonts w:eastAsia="Calibri"/>
          <w:iCs/>
          <w:color w:val="000000"/>
          <w:szCs w:val="16"/>
          <w:shd w:val="clear" w:color="auto" w:fill="FFFFFF"/>
          <w:lang w:val="es-CR"/>
        </w:rPr>
        <w:tab/>
        <w:t>El derecho a la verdad y a la justicia son bienes jurídicos que tienen un marcado valor individual (víctima y sus familiares), pero en ciertas circunstancias, adquieren carácter colectivo. Este carácter colectivo tiene dimensiones distintas, alcanzando el nivel de la sociedad cuando los cimientos de una sociedad civilizada y los mínimos constitutivos del orden jurídico –paz, derechos humanos y restricción y uso racional de la fuerza militar- se amenazan y está en entredicho el cumplimiento de las funciones básicas del Estado. La paz se construye a partir del respeto de los derechos humanos, el control al uso desbordado de la fuerza y el logro de la seguridad colectiva. El que la paz sea un derecho y un deber de obligatorio cumplimiento, supone un interés colectivo en conocer y prevenir todo aquello que la amenace. La interpretación propuesta –aquella que excluye el interés de la sociedad, por estar representado en el Estado -, implica una restricción inadmisible del derecho a la verdad y a la justicia, que cercena las posibilidades de paz en Colombia. Por lo mismo, genera una restricción desproporcionada de los derechos de los residentes del país a lograr la paz, ver protegidos sus derechos constitucionales y realizado el cumplimiento de los deberes establecidos en el ordenamiento jurídico. Implica, finalmente, negar la posibilidad de una participación efectiva en el control del ejercicio del poder estatal”.</w:t>
      </w:r>
    </w:p>
    <w:p w:rsidR="00CA58C7" w:rsidRPr="00514681" w:rsidRDefault="00CA58C7" w:rsidP="003D44A0">
      <w:pPr>
        <w:pStyle w:val="FootnoteText"/>
        <w:tabs>
          <w:tab w:val="left" w:pos="284"/>
          <w:tab w:val="left" w:pos="426"/>
          <w:tab w:val="left" w:pos="567"/>
        </w:tabs>
      </w:pPr>
    </w:p>
  </w:footnote>
  <w:footnote w:id="48">
    <w:p w:rsidR="00CA58C7" w:rsidRPr="00514681" w:rsidRDefault="00CA58C7" w:rsidP="003D44A0">
      <w:pPr>
        <w:pStyle w:val="FootnoteText"/>
        <w:tabs>
          <w:tab w:val="left" w:pos="426"/>
          <w:tab w:val="left" w:pos="567"/>
        </w:tabs>
      </w:pPr>
      <w:r w:rsidRPr="00514681">
        <w:rPr>
          <w:rStyle w:val="FootnoteReference"/>
        </w:rPr>
        <w:footnoteRef/>
      </w:r>
      <w:r w:rsidRPr="00514681">
        <w:t xml:space="preserve"> </w:t>
      </w:r>
      <w:r w:rsidRPr="00514681">
        <w:tab/>
        <w:t>Corte Constitucional de Colombia. Sentencia C-370 de 2006.</w:t>
      </w:r>
    </w:p>
    <w:p w:rsidR="00CA58C7" w:rsidRPr="00514681" w:rsidRDefault="00CA58C7" w:rsidP="003D44A0">
      <w:pPr>
        <w:pStyle w:val="FootnoteText"/>
        <w:tabs>
          <w:tab w:val="left" w:pos="426"/>
          <w:tab w:val="left" w:pos="567"/>
        </w:tabs>
      </w:pPr>
    </w:p>
  </w:footnote>
  <w:footnote w:id="49">
    <w:p w:rsidR="00CA58C7" w:rsidRPr="00514681" w:rsidRDefault="00CA58C7" w:rsidP="003D44A0">
      <w:pPr>
        <w:pStyle w:val="FootnoteText"/>
        <w:tabs>
          <w:tab w:val="left" w:pos="426"/>
          <w:tab w:val="left" w:pos="567"/>
        </w:tabs>
        <w:spacing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Con base en dicha disposición se han reconocido y declarado violaciones al derecho a la identidad, tampoco reconocido de manera explícita en la Convención. </w:t>
      </w:r>
      <w:r w:rsidRPr="00514681">
        <w:rPr>
          <w:i/>
          <w:spacing w:val="-4"/>
          <w:szCs w:val="16"/>
          <w:lang w:val="es-CR"/>
        </w:rPr>
        <w:t>Cfr.</w:t>
      </w:r>
      <w:r w:rsidRPr="00514681">
        <w:rPr>
          <w:spacing w:val="-4"/>
          <w:szCs w:val="16"/>
          <w:lang w:val="es-CR"/>
        </w:rPr>
        <w:t xml:space="preserve"> </w:t>
      </w:r>
      <w:r w:rsidRPr="00514681">
        <w:rPr>
          <w:rStyle w:val="Strong"/>
          <w:b w:val="0"/>
          <w:i/>
          <w:color w:val="000000"/>
          <w:spacing w:val="-4"/>
          <w:szCs w:val="16"/>
          <w:shd w:val="clear" w:color="auto" w:fill="FFFFFF"/>
          <w:lang w:val="es-CR"/>
        </w:rPr>
        <w:t xml:space="preserve">Caso Gelman Vs. Uruguay. Fondo y Reparaciones. </w:t>
      </w:r>
      <w:r w:rsidRPr="00514681">
        <w:rPr>
          <w:rStyle w:val="Strong"/>
          <w:b w:val="0"/>
          <w:color w:val="000000"/>
          <w:spacing w:val="-4"/>
          <w:szCs w:val="16"/>
          <w:shd w:val="clear" w:color="auto" w:fill="FFFFFF"/>
          <w:lang w:val="es-CR"/>
        </w:rPr>
        <w:t>Sentencia de 24 de febrero de 2011 Serie C No.221,</w:t>
      </w:r>
      <w:r w:rsidRPr="00514681">
        <w:rPr>
          <w:b/>
          <w:spacing w:val="-4"/>
          <w:szCs w:val="16"/>
          <w:lang w:val="es-CR"/>
        </w:rPr>
        <w:t xml:space="preserve"> </w:t>
      </w:r>
      <w:r w:rsidRPr="00514681">
        <w:rPr>
          <w:spacing w:val="-4"/>
          <w:szCs w:val="16"/>
          <w:lang w:val="es-CR"/>
        </w:rPr>
        <w:t xml:space="preserve">párr. 112; </w:t>
      </w:r>
      <w:r w:rsidRPr="00514681">
        <w:rPr>
          <w:bCs/>
          <w:i/>
          <w:spacing w:val="-4"/>
          <w:szCs w:val="16"/>
          <w:lang w:val="es-CR"/>
        </w:rPr>
        <w:t xml:space="preserve">Caso Contreras y otros Vs. El Salvador. Fondo, Reparaciones y Costas. </w:t>
      </w:r>
      <w:r w:rsidRPr="00514681">
        <w:rPr>
          <w:bCs/>
          <w:spacing w:val="-4"/>
          <w:szCs w:val="16"/>
          <w:lang w:val="es-CR"/>
        </w:rPr>
        <w:t>Sentencia de 31 de agosto de 2011 Serie C No. 232</w:t>
      </w:r>
      <w:r w:rsidRPr="00514681">
        <w:rPr>
          <w:rStyle w:val="Strong"/>
          <w:b w:val="0"/>
          <w:color w:val="000000"/>
          <w:spacing w:val="-4"/>
          <w:szCs w:val="16"/>
          <w:shd w:val="clear" w:color="auto" w:fill="FFFFFF"/>
          <w:lang w:val="es-CR"/>
        </w:rPr>
        <w:t>, párr. 117, y</w:t>
      </w:r>
      <w:r w:rsidRPr="00514681">
        <w:rPr>
          <w:rStyle w:val="Strong"/>
          <w:b w:val="0"/>
          <w:i/>
          <w:color w:val="000000"/>
          <w:spacing w:val="-4"/>
          <w:szCs w:val="16"/>
          <w:shd w:val="clear" w:color="auto" w:fill="FFFFFF"/>
          <w:lang w:val="es-CR"/>
        </w:rPr>
        <w:t xml:space="preserve"> Caso Rochac Hernández y otros Vs. El Salvador. Fondo, Reparaciones y Costas.</w:t>
      </w:r>
      <w:r w:rsidRPr="00514681">
        <w:rPr>
          <w:rStyle w:val="Strong"/>
          <w:b w:val="0"/>
          <w:color w:val="000000"/>
          <w:spacing w:val="-4"/>
          <w:szCs w:val="16"/>
          <w:shd w:val="clear" w:color="auto" w:fill="FFFFFF"/>
          <w:lang w:val="es-CR"/>
        </w:rPr>
        <w:t xml:space="preserve"> Sentencia de 14 de octubre de 2014. Serie C No. 285, párr. 117.</w:t>
      </w:r>
      <w:r w:rsidRPr="00514681">
        <w:rPr>
          <w:rStyle w:val="Strong"/>
          <w:color w:val="000000"/>
          <w:spacing w:val="-4"/>
          <w:szCs w:val="16"/>
          <w:shd w:val="clear" w:color="auto" w:fill="FFFFFF"/>
          <w:lang w:val="es-CR"/>
        </w:rPr>
        <w:t xml:space="preserve"> </w:t>
      </w:r>
      <w:r w:rsidRPr="00514681">
        <w:rPr>
          <w:spacing w:val="-4"/>
          <w:szCs w:val="16"/>
          <w:lang w:val="es-CR"/>
        </w:rPr>
        <w:t xml:space="preserve"> </w:t>
      </w:r>
    </w:p>
  </w:footnote>
  <w:footnote w:id="50">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Párrs. 509 a 511 de la Sentencia. </w:t>
      </w:r>
    </w:p>
  </w:footnote>
  <w:footnote w:id="51">
    <w:p w:rsidR="00CA58C7" w:rsidRPr="00514681" w:rsidRDefault="00CA58C7" w:rsidP="003D44A0">
      <w:pPr>
        <w:pStyle w:val="FootnoteText"/>
        <w:tabs>
          <w:tab w:val="left" w:pos="426"/>
          <w:tab w:val="left" w:pos="567"/>
        </w:tabs>
      </w:pPr>
      <w:r w:rsidRPr="00514681">
        <w:rPr>
          <w:rStyle w:val="FootnoteReference"/>
        </w:rPr>
        <w:footnoteRef/>
      </w:r>
      <w:r w:rsidRPr="00514681">
        <w:t xml:space="preserve"> </w:t>
      </w:r>
      <w:r w:rsidRPr="00514681">
        <w:tab/>
        <w:t xml:space="preserve">Algo similiar se ha venido realizando, por ejemplo, con la subsunción del artículo 25 (garantías judiciales) a las consecuencias de la violación del artículo 8.2.h) (garantías judiciales: el derecho a recurrir el fallo ante juez o tribunal superior) de la Convención Americana. Sobre el particular, véase la “segunda parte” de mi voto concurrente en el </w:t>
      </w:r>
      <w:r w:rsidRPr="00514681">
        <w:rPr>
          <w:i/>
        </w:rPr>
        <w:t>Caso Liakat Ali Alibux vs. Suriname</w:t>
      </w:r>
      <w:r w:rsidRPr="00514681">
        <w:t xml:space="preserve">.  </w:t>
      </w:r>
      <w:r w:rsidRPr="00514681">
        <w:rPr>
          <w:i/>
        </w:rPr>
        <w:t xml:space="preserve">Cfr. Caso Liakat Ali Alibux Vs. Suriname. Excepciones Preliminares, Fondo, Reparaciones y Costas. </w:t>
      </w:r>
      <w:r w:rsidRPr="00514681">
        <w:t xml:space="preserve">Voto concurrente del Juez Eduardo Ferrer Mac-Gregor Poisot, segunda parte. </w:t>
      </w:r>
    </w:p>
  </w:footnote>
  <w:footnote w:id="52">
    <w:p w:rsidR="00CA58C7" w:rsidRPr="00514681" w:rsidRDefault="00CA58C7" w:rsidP="003D44A0">
      <w:pPr>
        <w:pStyle w:val="FootnoteText"/>
        <w:tabs>
          <w:tab w:val="left" w:pos="426"/>
          <w:tab w:val="left" w:pos="567"/>
          <w:tab w:val="left" w:pos="720"/>
        </w:tabs>
        <w:spacing w:before="120" w:after="120"/>
        <w:rPr>
          <w:spacing w:val="-4"/>
          <w:szCs w:val="16"/>
          <w:lang w:val="es-CR" w:bidi="en-US"/>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w:t>
      </w:r>
      <w:r w:rsidRPr="00514681">
        <w:rPr>
          <w:spacing w:val="-4"/>
          <w:szCs w:val="16"/>
          <w:lang w:val="es-CR"/>
        </w:rPr>
        <w:t xml:space="preserve"> Ver </w:t>
      </w:r>
      <w:r w:rsidRPr="00514681">
        <w:rPr>
          <w:i/>
          <w:spacing w:val="-4"/>
          <w:szCs w:val="16"/>
          <w:lang w:val="es-CR"/>
        </w:rPr>
        <w:t>inter alia</w:t>
      </w:r>
      <w:r w:rsidRPr="00514681">
        <w:rPr>
          <w:spacing w:val="-4"/>
          <w:szCs w:val="16"/>
          <w:lang w:val="es-CR"/>
        </w:rPr>
        <w:t>,</w:t>
      </w:r>
      <w:r w:rsidRPr="00514681">
        <w:rPr>
          <w:i/>
          <w:spacing w:val="-4"/>
          <w:szCs w:val="16"/>
          <w:lang w:val="es-CR"/>
        </w:rPr>
        <w:t xml:space="preserve"> </w:t>
      </w:r>
      <w:r w:rsidRPr="00514681">
        <w:rPr>
          <w:rFonts w:eastAsia="Calibri"/>
          <w:bCs/>
          <w:i/>
          <w:iCs/>
          <w:spacing w:val="-4"/>
          <w:szCs w:val="16"/>
          <w:lang w:val="es-MX" w:eastAsia="es-CR"/>
        </w:rPr>
        <w:t>Caso Velásquez Rodríguez Vs. Honduras. Fondo</w:t>
      </w:r>
      <w:r w:rsidRPr="00514681">
        <w:rPr>
          <w:rFonts w:eastAsia="Calibri"/>
          <w:bCs/>
          <w:spacing w:val="-4"/>
          <w:szCs w:val="16"/>
          <w:lang w:val="es-MX" w:eastAsia="es-CR"/>
        </w:rPr>
        <w:t xml:space="preserve">. Sentencia de 29 de julio de 1988. Serie C No. 4, </w:t>
      </w:r>
      <w:r w:rsidRPr="00514681">
        <w:rPr>
          <w:spacing w:val="-4"/>
          <w:szCs w:val="16"/>
          <w:lang w:val="es-CR"/>
        </w:rPr>
        <w:t xml:space="preserve">párr. 181; </w:t>
      </w:r>
      <w:r w:rsidRPr="00514681">
        <w:rPr>
          <w:i/>
          <w:spacing w:val="-4"/>
          <w:szCs w:val="16"/>
          <w:lang w:val="es-CR"/>
        </w:rPr>
        <w:t xml:space="preserve">Caso Bámaca Velásquez Vs. Guatemala. Fondo. </w:t>
      </w:r>
      <w:r w:rsidRPr="00514681">
        <w:rPr>
          <w:spacing w:val="-4"/>
          <w:szCs w:val="16"/>
          <w:lang w:val="es-CR"/>
        </w:rPr>
        <w:t xml:space="preserve">Sentencia de 25 de noviembre de 2000. Serie C No. 70, párr. 201; </w:t>
      </w:r>
      <w:r w:rsidRPr="00514681">
        <w:rPr>
          <w:i/>
          <w:spacing w:val="-4"/>
          <w:szCs w:val="16"/>
          <w:lang w:val="es-CR"/>
        </w:rPr>
        <w:t xml:space="preserve">Caso Barrios Altos Vs. Perú. Fondo. </w:t>
      </w:r>
      <w:r w:rsidRPr="00514681">
        <w:rPr>
          <w:spacing w:val="-4"/>
          <w:szCs w:val="16"/>
          <w:lang w:val="es-CR"/>
        </w:rPr>
        <w:t xml:space="preserve">Sentencia de 14 de marzo de 2001. Serie C No. 75, párr. 48; </w:t>
      </w:r>
      <w:r w:rsidRPr="00514681">
        <w:rPr>
          <w:i/>
          <w:spacing w:val="-4"/>
          <w:szCs w:val="16"/>
          <w:lang w:val="es-CR"/>
        </w:rPr>
        <w:t xml:space="preserve">Caso Almonacid Arellano y otros Vs. Chile. Excepciones Preliminares, Fondo, Reparaciones y Costas. </w:t>
      </w:r>
      <w:r w:rsidRPr="00514681">
        <w:rPr>
          <w:spacing w:val="-4"/>
          <w:szCs w:val="16"/>
          <w:lang w:val="es-CR"/>
        </w:rPr>
        <w:t xml:space="preserve">Sentencia de 26 de septiembre de 2006. Serie C No. 154, párr. 148; </w:t>
      </w:r>
      <w:r w:rsidRPr="00514681">
        <w:rPr>
          <w:i/>
          <w:spacing w:val="-4"/>
          <w:szCs w:val="16"/>
          <w:lang w:val="es-CR"/>
        </w:rPr>
        <w:t xml:space="preserve">Caso La Cantuta Vs. Perú. Fondo, Reparaciones y Cotas. </w:t>
      </w:r>
      <w:r w:rsidRPr="00514681">
        <w:rPr>
          <w:spacing w:val="-4"/>
          <w:szCs w:val="16"/>
          <w:lang w:val="es-CR"/>
        </w:rPr>
        <w:t xml:space="preserve">Sentencia de 29 de noviembre de 2006. Serie C No. 162, párr. 222; </w:t>
      </w:r>
      <w:r w:rsidRPr="00514681">
        <w:rPr>
          <w:i/>
          <w:spacing w:val="-4"/>
          <w:szCs w:val="16"/>
          <w:lang w:val="es-CR"/>
        </w:rPr>
        <w:t>Caso Heliodoro Portugal Vs. Panamá</w:t>
      </w:r>
      <w:r w:rsidRPr="00514681">
        <w:rPr>
          <w:spacing w:val="-4"/>
          <w:szCs w:val="16"/>
          <w:lang w:val="es-CR" w:bidi="en-US"/>
        </w:rPr>
        <w:t xml:space="preserve">. </w:t>
      </w:r>
      <w:r w:rsidRPr="00514681">
        <w:rPr>
          <w:i/>
          <w:spacing w:val="-4"/>
          <w:szCs w:val="16"/>
          <w:lang w:val="es-CR" w:bidi="en-US"/>
        </w:rPr>
        <w:t xml:space="preserve">Excepciones Preliminares, Fondo, Reparaciones y Costas. </w:t>
      </w:r>
      <w:r w:rsidRPr="00514681">
        <w:rPr>
          <w:spacing w:val="-4"/>
          <w:szCs w:val="16"/>
          <w:lang w:val="es-CR" w:bidi="en-US"/>
        </w:rPr>
        <w:t xml:space="preserve">Sentencia de 12 de agosto de 2008. Serie C No. 186, </w:t>
      </w:r>
      <w:r w:rsidRPr="00514681">
        <w:rPr>
          <w:spacing w:val="-4"/>
          <w:szCs w:val="16"/>
          <w:lang w:val="es-CR"/>
        </w:rPr>
        <w:t xml:space="preserve">párrs. 243 y 244, y </w:t>
      </w:r>
      <w:r w:rsidRPr="00514681">
        <w:rPr>
          <w:i/>
          <w:spacing w:val="-4"/>
          <w:szCs w:val="16"/>
          <w:lang w:val="es-CR"/>
        </w:rPr>
        <w:t xml:space="preserve">Caso Kawas Fernández Vs. Honduras. Fondo, Reparaciones y Costas. </w:t>
      </w:r>
      <w:r w:rsidRPr="00514681">
        <w:rPr>
          <w:spacing w:val="-4"/>
          <w:szCs w:val="16"/>
          <w:lang w:val="es-CR"/>
        </w:rPr>
        <w:t>Sentencia de 3 de abril de 2009. Serie C No. 196, párr. 117</w:t>
      </w:r>
      <w:r w:rsidRPr="00514681">
        <w:rPr>
          <w:spacing w:val="-4"/>
          <w:szCs w:val="16"/>
          <w:lang w:val="es-CR" w:bidi="en-US"/>
        </w:rPr>
        <w:t>.</w:t>
      </w:r>
    </w:p>
  </w:footnote>
  <w:footnote w:id="53">
    <w:p w:rsidR="00CA58C7" w:rsidRPr="00514681" w:rsidRDefault="00CA58C7" w:rsidP="003D44A0">
      <w:pPr>
        <w:pStyle w:val="FootnoteText"/>
        <w:tabs>
          <w:tab w:val="left" w:pos="426"/>
          <w:tab w:val="left" w:pos="567"/>
        </w:tabs>
        <w:spacing w:before="120"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 xml:space="preserve">En este sentido, en su estudio sobre el derecho a la verdad, el Alto Comisionado de las Naciones Unidas para los Derechos Humanos recogió que distintas declaraciones e instrumentos internacionales han reconocido el derecho a la verdad vinculado con el derecho a obtener y solicitar información, el derecho a la justicia, el deber de combatir la impunidad frente a las violaciones de derechos humanos, el derecho a un recurso judicial efectivo y el derecho a la vida privada y familiar. Además, en relación con los familiares de las víctimas, ha sido vinculado con el derecho a la integridad de los familiares de la víctima (salud mental), el derecho a obtener una reparación en casos de graves violaciones a los derechos humanos, el derecho a no ser objeto de tortura ni malos tratos y, en ciertas circunstancias, el derecho de los niños y niñas a recibir una protección especial. </w:t>
      </w:r>
      <w:r w:rsidRPr="00514681">
        <w:rPr>
          <w:i/>
          <w:spacing w:val="-4"/>
          <w:szCs w:val="16"/>
          <w:lang w:val="es-CR"/>
        </w:rPr>
        <w:t xml:space="preserve">Cfr. </w:t>
      </w:r>
      <w:r w:rsidRPr="00514681">
        <w:rPr>
          <w:rFonts w:eastAsia="Calibri" w:cs="Arial"/>
          <w:spacing w:val="-4"/>
          <w:szCs w:val="16"/>
          <w:lang w:val="es-CO"/>
        </w:rPr>
        <w:t xml:space="preserve">Informe de la Oficina del Alto Comisionado de las Naciones Unidas para los Derechos Humanos. </w:t>
      </w:r>
      <w:r w:rsidRPr="00514681">
        <w:rPr>
          <w:rStyle w:val="Emph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w:t>
      </w:r>
      <w:r w:rsidRPr="00514681">
        <w:rPr>
          <w:spacing w:val="-4"/>
          <w:szCs w:val="16"/>
          <w:lang w:val="es-CR"/>
        </w:rPr>
        <w:t>.</w:t>
      </w:r>
    </w:p>
  </w:footnote>
  <w:footnote w:id="54">
    <w:p w:rsidR="00CA58C7" w:rsidRPr="00514681" w:rsidRDefault="00CA58C7" w:rsidP="003D44A0">
      <w:pPr>
        <w:pStyle w:val="FootnoteText"/>
        <w:tabs>
          <w:tab w:val="left" w:pos="426"/>
          <w:tab w:val="left" w:pos="567"/>
        </w:tabs>
        <w:spacing w:after="120"/>
        <w:rPr>
          <w:szCs w:val="16"/>
        </w:rPr>
      </w:pPr>
      <w:r w:rsidRPr="00514681">
        <w:rPr>
          <w:rStyle w:val="FootnoteReference"/>
          <w:szCs w:val="16"/>
        </w:rPr>
        <w:footnoteRef/>
      </w:r>
      <w:r w:rsidRPr="00514681">
        <w:rPr>
          <w:szCs w:val="16"/>
        </w:rPr>
        <w:t xml:space="preserve"> </w:t>
      </w:r>
      <w:r w:rsidRPr="00514681">
        <w:rPr>
          <w:szCs w:val="16"/>
        </w:rPr>
        <w:tab/>
        <w:t xml:space="preserve">Véase </w:t>
      </w:r>
      <w:r w:rsidRPr="00514681">
        <w:rPr>
          <w:i/>
          <w:szCs w:val="16"/>
        </w:rPr>
        <w:t>supra</w:t>
      </w:r>
      <w:r w:rsidRPr="00514681">
        <w:rPr>
          <w:szCs w:val="16"/>
        </w:rPr>
        <w:t xml:space="preserve"> párr. 20 y nota al pie 43 del presente voto.</w:t>
      </w:r>
      <w:r w:rsidRPr="00514681">
        <w:rPr>
          <w:szCs w:val="16"/>
        </w:rPr>
        <w:tab/>
      </w:r>
    </w:p>
  </w:footnote>
  <w:footnote w:id="55">
    <w:p w:rsidR="00CA58C7" w:rsidRPr="00514681" w:rsidRDefault="00CA58C7" w:rsidP="003D44A0">
      <w:pPr>
        <w:pStyle w:val="FootnoteText"/>
        <w:tabs>
          <w:tab w:val="left" w:pos="426"/>
          <w:tab w:val="left" w:pos="567"/>
        </w:tabs>
        <w:spacing w:after="120"/>
        <w:rPr>
          <w:szCs w:val="16"/>
        </w:rPr>
      </w:pPr>
      <w:r w:rsidRPr="00514681">
        <w:rPr>
          <w:rStyle w:val="FootnoteReference"/>
          <w:szCs w:val="16"/>
        </w:rPr>
        <w:footnoteRef/>
      </w:r>
      <w:r w:rsidRPr="00514681">
        <w:rPr>
          <w:szCs w:val="16"/>
        </w:rPr>
        <w:t xml:space="preserve"> </w:t>
      </w:r>
      <w:r w:rsidRPr="00514681">
        <w:rPr>
          <w:szCs w:val="16"/>
        </w:rPr>
        <w:tab/>
        <w:t xml:space="preserve">Véase </w:t>
      </w:r>
      <w:r w:rsidRPr="00514681">
        <w:rPr>
          <w:i/>
          <w:szCs w:val="16"/>
        </w:rPr>
        <w:t>supra</w:t>
      </w:r>
      <w:r w:rsidRPr="00514681">
        <w:rPr>
          <w:szCs w:val="16"/>
        </w:rPr>
        <w:t xml:space="preserve"> párr. 22 y notas al pie 46 y 47 del presente voto.</w:t>
      </w:r>
    </w:p>
  </w:footnote>
  <w:footnote w:id="56">
    <w:p w:rsidR="00CA58C7" w:rsidRPr="00514681" w:rsidRDefault="00CA58C7" w:rsidP="003D44A0">
      <w:pPr>
        <w:tabs>
          <w:tab w:val="left" w:pos="426"/>
          <w:tab w:val="left" w:pos="567"/>
          <w:tab w:val="left" w:pos="720"/>
        </w:tabs>
        <w:autoSpaceDE w:val="0"/>
        <w:autoSpaceDN w:val="0"/>
        <w:spacing w:before="120" w:after="120"/>
        <w:jc w:val="both"/>
        <w:rPr>
          <w:spacing w:val="-2"/>
          <w:szCs w:val="16"/>
          <w:u w:val="single"/>
        </w:rPr>
      </w:pPr>
      <w:r w:rsidRPr="00514681">
        <w:rPr>
          <w:rStyle w:val="FootnoteReference"/>
          <w:szCs w:val="16"/>
        </w:rPr>
        <w:footnoteRef/>
      </w:r>
      <w:r w:rsidRPr="00514681">
        <w:rPr>
          <w:szCs w:val="16"/>
        </w:rPr>
        <w:t xml:space="preserve"> </w:t>
      </w:r>
      <w:r w:rsidRPr="00514681">
        <w:rPr>
          <w:szCs w:val="16"/>
        </w:rPr>
        <w:tab/>
        <w:t>De manera específica al analizar el alegato sobre la violación al derecho a la verdad, la Corte señala: “</w:t>
      </w:r>
      <w:r w:rsidRPr="00514681">
        <w:rPr>
          <w:rFonts w:eastAsia="Calibri" w:cs="Times New Roman"/>
          <w:spacing w:val="-2"/>
          <w:szCs w:val="16"/>
        </w:rPr>
        <w:t xml:space="preserve">511.  En el presente caso, </w:t>
      </w:r>
      <w:r w:rsidRPr="00514681">
        <w:rPr>
          <w:rFonts w:eastAsia="Calibri" w:cs="Times New Roman"/>
          <w:spacing w:val="-2"/>
          <w:szCs w:val="16"/>
          <w:u w:val="single"/>
        </w:rPr>
        <w:t>transcurridos 29 años de los hechos aún no se conoce toda la verdad sobre lo ocurrido a las víctimas del presente caso o su paradero</w:t>
      </w:r>
      <w:r w:rsidRPr="00514681">
        <w:rPr>
          <w:rFonts w:eastAsia="Calibri" w:cs="Times New Roman"/>
          <w:spacing w:val="-2"/>
          <w:szCs w:val="16"/>
        </w:rPr>
        <w:t xml:space="preserve">. Asimismo, la Corte resalta que desde que ocurrieron los hechos se han evidenciado una serie de conductas </w:t>
      </w:r>
      <w:r w:rsidRPr="00514681">
        <w:rPr>
          <w:rFonts w:eastAsia="Calibri" w:cs="Times New Roman"/>
          <w:spacing w:val="-2"/>
          <w:szCs w:val="16"/>
          <w:u w:val="single"/>
        </w:rPr>
        <w:t>que han facilitado el ocultamiento de lo ocurrido o impedido y dilatado su esclarecimiento por parte de las autoridades judiciales y de la Fiscalía</w:t>
      </w:r>
      <w:r w:rsidRPr="00514681">
        <w:rPr>
          <w:rFonts w:eastAsia="Calibri" w:cs="Times New Roman"/>
          <w:spacing w:val="-2"/>
          <w:szCs w:val="16"/>
        </w:rPr>
        <w:t xml:space="preserve">. Por otra parte, a pesar de la creación de una comisión extrajudicial y de los esfuerzos desarrollados por el Poder Judicial para establecer la verdad de lo ocurrido, la Corte destaca que </w:t>
      </w:r>
      <w:r w:rsidRPr="00514681">
        <w:rPr>
          <w:rFonts w:eastAsia="Calibri" w:cs="Times New Roman"/>
          <w:spacing w:val="-2"/>
          <w:szCs w:val="16"/>
          <w:u w:val="single"/>
        </w:rPr>
        <w:t>las conclusiones del Informe de la Comisión de la Verdad no han sido aceptadas por los distintos órganos del Estado a quienes correspondería la ejecución de sus recomendaciones</w:t>
      </w:r>
      <w:r w:rsidRPr="00514681">
        <w:rPr>
          <w:rFonts w:eastAsia="Calibri" w:cs="Times New Roman"/>
          <w:spacing w:val="-2"/>
          <w:szCs w:val="16"/>
        </w:rPr>
        <w:t>. En este sentido, este Tribunal recuerda que el Estado alegó ante esta Corte que dicha Comisión no era oficial y que su informe no representaba la verdad de lo ocurrido</w:t>
      </w:r>
      <w:r w:rsidRPr="00514681">
        <w:rPr>
          <w:rStyle w:val="FootnoteReference"/>
          <w:rFonts w:eastAsia="Calibri" w:cs="Times New Roman"/>
          <w:spacing w:val="-2"/>
          <w:szCs w:val="16"/>
        </w:rPr>
        <w:footnoteRef/>
      </w:r>
      <w:r w:rsidRPr="00514681">
        <w:rPr>
          <w:rFonts w:eastAsia="Calibri" w:cs="Times New Roman"/>
          <w:spacing w:val="-2"/>
          <w:szCs w:val="16"/>
        </w:rPr>
        <w:t xml:space="preserve"> (</w:t>
      </w:r>
      <w:r w:rsidRPr="00514681">
        <w:rPr>
          <w:rFonts w:eastAsia="Calibri" w:cs="Times New Roman"/>
          <w:i/>
          <w:spacing w:val="-2"/>
          <w:szCs w:val="16"/>
        </w:rPr>
        <w:t>supra</w:t>
      </w:r>
      <w:r w:rsidRPr="00514681">
        <w:rPr>
          <w:rFonts w:eastAsia="Calibri" w:cs="Times New Roman"/>
          <w:spacing w:val="-2"/>
          <w:szCs w:val="16"/>
        </w:rPr>
        <w:t xml:space="preserve"> párr. 80). De esta forma, </w:t>
      </w:r>
      <w:r w:rsidRPr="00514681">
        <w:rPr>
          <w:rFonts w:eastAsia="Calibri" w:cs="Times New Roman"/>
          <w:spacing w:val="-2"/>
          <w:szCs w:val="16"/>
          <w:u w:val="single"/>
        </w:rPr>
        <w:t>la posición del Estado ha impedido a las víctimas y familiares ver satisfecho su derecho al establecimiento de la verdad por vía de dicha comisión extrajudicial.</w:t>
      </w:r>
      <w:r w:rsidRPr="00514681">
        <w:rPr>
          <w:rFonts w:eastAsia="Calibri" w:cs="Times New Roman"/>
          <w:spacing w:val="-2"/>
          <w:szCs w:val="16"/>
        </w:rPr>
        <w:t xml:space="preserve"> Para la Corte un informe como el de la Comisión de la Verdad es importante, pero </w:t>
      </w:r>
      <w:r w:rsidRPr="00514681">
        <w:rPr>
          <w:szCs w:val="16"/>
        </w:rPr>
        <w:t xml:space="preserve">complementario </w:t>
      </w:r>
      <w:r w:rsidRPr="00514681">
        <w:rPr>
          <w:szCs w:val="16"/>
          <w:u w:val="single"/>
        </w:rPr>
        <w:t>y no sustituye la obligación del Estado de establecer la verdad a través de procesos judiciales</w:t>
      </w:r>
      <w:r w:rsidRPr="00514681">
        <w:rPr>
          <w:szCs w:val="16"/>
          <w:vertAlign w:val="superscript"/>
        </w:rPr>
        <w:footnoteRef/>
      </w:r>
      <w:r w:rsidRPr="00514681">
        <w:rPr>
          <w:szCs w:val="16"/>
        </w:rPr>
        <w:t xml:space="preserve">. </w:t>
      </w:r>
      <w:r w:rsidRPr="00514681">
        <w:rPr>
          <w:szCs w:val="16"/>
          <w:u w:val="single"/>
        </w:rPr>
        <w:t>La Corte resalta que a 29 años de los hechos no existe una versión oficial de lo ocurrido a la mayoría de las víctimas de este caso</w:t>
      </w:r>
      <w:r w:rsidRPr="00514681">
        <w:rPr>
          <w:szCs w:val="16"/>
        </w:rPr>
        <w:t>. (subrayado añadido).</w:t>
      </w:r>
    </w:p>
  </w:footnote>
  <w:footnote w:id="57">
    <w:p w:rsidR="00CA58C7" w:rsidRPr="00514681" w:rsidRDefault="00CA58C7" w:rsidP="003D44A0">
      <w:pPr>
        <w:pStyle w:val="FootnoteText"/>
        <w:tabs>
          <w:tab w:val="left" w:pos="426"/>
          <w:tab w:val="left" w:pos="567"/>
          <w:tab w:val="left" w:pos="709"/>
        </w:tabs>
        <w:spacing w:after="120"/>
      </w:pPr>
      <w:r w:rsidRPr="00514681">
        <w:rPr>
          <w:rStyle w:val="FootnoteReference"/>
        </w:rPr>
        <w:footnoteRef/>
      </w:r>
      <w:r w:rsidRPr="00514681">
        <w:t xml:space="preserve"> </w:t>
      </w:r>
      <w:r w:rsidRPr="00514681">
        <w:tab/>
        <w:t>Párr. 510 de la Sentencia.</w:t>
      </w:r>
    </w:p>
  </w:footnote>
  <w:footnote w:id="58">
    <w:p w:rsidR="00CA58C7" w:rsidRPr="00514681" w:rsidRDefault="00CA58C7" w:rsidP="003D44A0">
      <w:pPr>
        <w:pStyle w:val="FootnoteText"/>
        <w:tabs>
          <w:tab w:val="left" w:pos="426"/>
          <w:tab w:val="left" w:pos="567"/>
        </w:tabs>
        <w:spacing w:after="120"/>
        <w:rPr>
          <w:spacing w:val="-4"/>
          <w:szCs w:val="16"/>
          <w:lang w:val="es-CR"/>
        </w:rPr>
      </w:pPr>
      <w:r w:rsidRPr="00514681">
        <w:rPr>
          <w:rStyle w:val="FootnoteReference"/>
          <w:spacing w:val="-4"/>
          <w:szCs w:val="16"/>
        </w:rPr>
        <w:footnoteRef/>
      </w:r>
      <w:r w:rsidRPr="00514681">
        <w:rPr>
          <w:spacing w:val="-4"/>
          <w:szCs w:val="16"/>
          <w:lang w:val="es-CR"/>
        </w:rPr>
        <w:t xml:space="preserve"> </w:t>
      </w:r>
      <w:r w:rsidRPr="00514681">
        <w:rPr>
          <w:spacing w:val="-4"/>
          <w:szCs w:val="16"/>
          <w:lang w:val="es-CR"/>
        </w:rPr>
        <w:tab/>
        <w:t>Párrs. 478 a 485 y 513 de la Sentencia.</w:t>
      </w:r>
    </w:p>
  </w:footnote>
  <w:footnote w:id="59">
    <w:p w:rsidR="00CA58C7" w:rsidRPr="00514681" w:rsidRDefault="00CA58C7" w:rsidP="003D44A0">
      <w:pPr>
        <w:pStyle w:val="FootnoteText"/>
        <w:tabs>
          <w:tab w:val="left" w:pos="426"/>
          <w:tab w:val="left" w:pos="567"/>
        </w:tabs>
        <w:spacing w:after="120"/>
      </w:pPr>
      <w:r w:rsidRPr="00514681">
        <w:rPr>
          <w:rStyle w:val="FootnoteReference"/>
        </w:rPr>
        <w:footnoteRef/>
      </w:r>
      <w:r w:rsidRPr="00514681">
        <w:t xml:space="preserve"> </w:t>
      </w:r>
      <w:r w:rsidRPr="00514681">
        <w:tab/>
        <w:t>Párr. 299 de la Sentencia.</w:t>
      </w:r>
    </w:p>
  </w:footnote>
  <w:footnote w:id="60">
    <w:p w:rsidR="00CA58C7" w:rsidRPr="00514681" w:rsidRDefault="00CA58C7" w:rsidP="003D44A0">
      <w:pPr>
        <w:pStyle w:val="FootnoteText"/>
        <w:tabs>
          <w:tab w:val="left" w:pos="426"/>
          <w:tab w:val="left" w:pos="567"/>
        </w:tabs>
        <w:spacing w:after="120"/>
      </w:pPr>
      <w:r w:rsidRPr="00514681">
        <w:rPr>
          <w:rStyle w:val="FootnoteReference"/>
        </w:rPr>
        <w:footnoteRef/>
      </w:r>
      <w:r w:rsidRPr="00514681">
        <w:t xml:space="preserve"> </w:t>
      </w:r>
      <w:r w:rsidRPr="00514681">
        <w:tab/>
        <w:t>Párr. 299 de la Sentencia.</w:t>
      </w:r>
    </w:p>
  </w:footnote>
  <w:footnote w:id="61">
    <w:p w:rsidR="00CA58C7" w:rsidRPr="00514681" w:rsidRDefault="00CA58C7" w:rsidP="003D44A0">
      <w:pPr>
        <w:pStyle w:val="FootnoteText"/>
        <w:tabs>
          <w:tab w:val="left" w:pos="426"/>
          <w:tab w:val="left" w:pos="567"/>
        </w:tabs>
        <w:spacing w:after="120"/>
        <w:rPr>
          <w:szCs w:val="16"/>
        </w:rPr>
      </w:pPr>
      <w:r w:rsidRPr="00514681">
        <w:rPr>
          <w:rStyle w:val="FootnoteReference"/>
          <w:szCs w:val="16"/>
        </w:rPr>
        <w:footnoteRef/>
      </w:r>
      <w:r w:rsidRPr="00514681">
        <w:rPr>
          <w:szCs w:val="16"/>
        </w:rPr>
        <w:t xml:space="preserve"> </w:t>
      </w:r>
      <w:r w:rsidRPr="00514681">
        <w:rPr>
          <w:szCs w:val="16"/>
        </w:rPr>
        <w:tab/>
        <w:t xml:space="preserve">Como se reconoce en el párr. 511 de la Sentencia, en el </w:t>
      </w:r>
      <w:r w:rsidRPr="00514681">
        <w:rPr>
          <w:i/>
          <w:szCs w:val="16"/>
        </w:rPr>
        <w:t>Caso Gomes Lund y otros</w:t>
      </w:r>
      <w:r w:rsidRPr="00514681">
        <w:rPr>
          <w:szCs w:val="16"/>
        </w:rPr>
        <w:t xml:space="preserve"> </w:t>
      </w:r>
      <w:r w:rsidRPr="00514681">
        <w:rPr>
          <w:szCs w:val="20"/>
        </w:rPr>
        <w:t xml:space="preserve"> “la Corte declaró una violación autónoma del derecho a la verdad que</w:t>
      </w:r>
      <w:r w:rsidRPr="00514681">
        <w:rPr>
          <w:spacing w:val="-2"/>
          <w:szCs w:val="20"/>
          <w:lang w:val="es-ES"/>
        </w:rPr>
        <w:t>, por las circunstancias específicas de dicho caso, constituyó, además de una violación al derecho de acceso a la justicia y recurso efectivo, una violación del derecho a buscar y recibir información, consagrado en el artículo 13 de la Convención”.</w:t>
      </w:r>
      <w:r w:rsidRPr="00514681">
        <w:rPr>
          <w:szCs w:val="16"/>
        </w:rPr>
        <w:t xml:space="preserve"> Véase asimismo </w:t>
      </w:r>
      <w:r w:rsidRPr="00514681">
        <w:rPr>
          <w:i/>
          <w:szCs w:val="16"/>
        </w:rPr>
        <w:t>supra</w:t>
      </w:r>
      <w:r w:rsidRPr="00514681">
        <w:rPr>
          <w:szCs w:val="16"/>
        </w:rPr>
        <w:t xml:space="preserve"> notas al pie 10 y 31 del presente voto.</w:t>
      </w:r>
    </w:p>
  </w:footnote>
  <w:footnote w:id="62">
    <w:p w:rsidR="00CA58C7" w:rsidRPr="00514681" w:rsidRDefault="00CA58C7" w:rsidP="0081525A">
      <w:pPr>
        <w:pStyle w:val="FootnoteText"/>
        <w:tabs>
          <w:tab w:val="left" w:pos="426"/>
        </w:tabs>
        <w:spacing w:beforeLines="60"/>
        <w:rPr>
          <w:spacing w:val="-4"/>
        </w:rPr>
      </w:pPr>
      <w:r w:rsidRPr="00514681">
        <w:rPr>
          <w:rStyle w:val="FootnoteReference"/>
          <w:rFonts w:eastAsiaTheme="majorEastAsia"/>
          <w:spacing w:val="-4"/>
        </w:rPr>
        <w:footnoteRef/>
      </w:r>
      <w:r w:rsidRPr="00514681">
        <w:rPr>
          <w:spacing w:val="-4"/>
        </w:rPr>
        <w:t xml:space="preserve"> </w:t>
      </w:r>
      <w:r w:rsidRPr="00514681">
        <w:rPr>
          <w:spacing w:val="-4"/>
        </w:rPr>
        <w:tab/>
      </w:r>
      <w:r w:rsidRPr="00514681">
        <w:rPr>
          <w:i/>
          <w:iCs/>
          <w:spacing w:val="-4"/>
          <w:lang w:val="pt-BR"/>
        </w:rPr>
        <w:t xml:space="preserve">Cfr. </w:t>
      </w:r>
      <w:r w:rsidRPr="00514681">
        <w:rPr>
          <w:rFonts w:cs="Times New Roman"/>
          <w:i/>
          <w:spacing w:val="-4"/>
          <w:lang w:val="es-MX"/>
        </w:rPr>
        <w:t>Caso Gomes Lund y otros ("Guerrilha do Araguaia") Vs. Brasil. Excepciones Preliminares, Fondo, Reparaciones y Costas</w:t>
      </w:r>
      <w:r w:rsidRPr="00514681">
        <w:rPr>
          <w:rFonts w:cs="Times New Roman"/>
          <w:spacing w:val="-4"/>
          <w:lang w:val="es-MX"/>
        </w:rPr>
        <w:t>. Sentencia de 24 de noviembre de 2010. Serie C No. 219</w:t>
      </w:r>
      <w:r w:rsidRPr="00514681">
        <w:rPr>
          <w:i/>
          <w:iCs/>
          <w:color w:val="000000"/>
          <w:spacing w:val="-4"/>
          <w:lang w:val="pt-BR"/>
        </w:rPr>
        <w:t xml:space="preserve">, </w:t>
      </w:r>
      <w:r w:rsidRPr="00514681">
        <w:rPr>
          <w:color w:val="000000"/>
          <w:spacing w:val="-4"/>
          <w:lang w:val="pt-BR"/>
        </w:rPr>
        <w:t>párr. 201.</w:t>
      </w:r>
    </w:p>
  </w:footnote>
  <w:footnote w:id="63">
    <w:p w:rsidR="00CA58C7" w:rsidRPr="00514681" w:rsidRDefault="00CA58C7" w:rsidP="00CA58C7">
      <w:pPr>
        <w:tabs>
          <w:tab w:val="left" w:pos="426"/>
        </w:tabs>
        <w:spacing w:before="60"/>
        <w:jc w:val="both"/>
        <w:rPr>
          <w:rFonts w:ascii="Calibri" w:hAnsi="Calibri"/>
          <w:color w:val="1F497D"/>
        </w:rPr>
      </w:pPr>
      <w:r w:rsidRPr="00514681">
        <w:rPr>
          <w:rStyle w:val="FootnoteReference"/>
          <w:rFonts w:eastAsiaTheme="majorEastAsia"/>
          <w:spacing w:val="-4"/>
          <w:szCs w:val="16"/>
        </w:rPr>
        <w:footnoteRef/>
      </w:r>
      <w:r w:rsidRPr="00514681">
        <w:rPr>
          <w:spacing w:val="-4"/>
          <w:szCs w:val="16"/>
        </w:rPr>
        <w:t xml:space="preserve"> </w:t>
      </w:r>
      <w:r w:rsidRPr="00514681">
        <w:rPr>
          <w:spacing w:val="-4"/>
          <w:szCs w:val="16"/>
        </w:rPr>
        <w:tab/>
      </w:r>
      <w:r w:rsidRPr="00514681">
        <w:rPr>
          <w:i/>
          <w:iCs/>
          <w:szCs w:val="16"/>
        </w:rPr>
        <w:t xml:space="preserve">Cfr. Caso Velásquez Rodríguez Vs. Honduras. Fondo. </w:t>
      </w:r>
      <w:r w:rsidRPr="00514681">
        <w:rPr>
          <w:szCs w:val="16"/>
        </w:rPr>
        <w:t xml:space="preserve">Sentencia de 29 de julio de 1988. Serie C No. 4, párr. 164, y </w:t>
      </w:r>
      <w:r w:rsidRPr="00514681">
        <w:rPr>
          <w:i/>
          <w:szCs w:val="16"/>
        </w:rPr>
        <w:t>Caso J. Vs. Perú.</w:t>
      </w:r>
      <w:r w:rsidRPr="00514681">
        <w:rPr>
          <w:i/>
          <w:iCs/>
          <w:szCs w:val="16"/>
        </w:rPr>
        <w:t xml:space="preserve"> Excepción Preliminar, Fondo, Reparaciones y Costas. </w:t>
      </w:r>
      <w:r w:rsidRPr="00514681">
        <w:rPr>
          <w:szCs w:val="16"/>
        </w:rPr>
        <w:t>Sentencia de 27 de noviembre de 2013. Serie C No. 275, párr. 257.</w:t>
      </w:r>
    </w:p>
  </w:footnote>
  <w:footnote w:id="64">
    <w:p w:rsidR="00CA58C7" w:rsidRPr="00514681" w:rsidRDefault="00CA58C7" w:rsidP="00CA58C7">
      <w:pPr>
        <w:pStyle w:val="FootnoteText"/>
        <w:tabs>
          <w:tab w:val="left" w:pos="426"/>
        </w:tabs>
        <w:spacing w:before="60"/>
        <w:rPr>
          <w:lang w:val="es-CR"/>
        </w:rPr>
      </w:pPr>
      <w:r w:rsidRPr="00514681">
        <w:rPr>
          <w:rStyle w:val="FootnoteReference"/>
        </w:rPr>
        <w:footnoteRef/>
      </w:r>
      <w:r w:rsidRPr="00514681">
        <w:t xml:space="preserve"> </w:t>
      </w:r>
      <w:r w:rsidRPr="00514681">
        <w:tab/>
        <w:t xml:space="preserve">Dicha exclusión fue solicitada por los representantes durante el trámite del caso ante la Comisión. </w:t>
      </w:r>
      <w:r w:rsidRPr="00514681">
        <w:rPr>
          <w:i/>
        </w:rPr>
        <w:t xml:space="preserve">Cfr. </w:t>
      </w:r>
      <w:r w:rsidRPr="00514681">
        <w:t>nota 53 de la Sentencia.</w:t>
      </w:r>
    </w:p>
  </w:footnote>
  <w:footnote w:id="65">
    <w:p w:rsidR="00CA58C7" w:rsidRPr="00194249" w:rsidRDefault="00CA58C7" w:rsidP="00CA58C7">
      <w:pPr>
        <w:pStyle w:val="FootnoteText"/>
        <w:tabs>
          <w:tab w:val="left" w:pos="426"/>
        </w:tabs>
        <w:spacing w:before="60"/>
        <w:rPr>
          <w:lang w:val="es-CR"/>
        </w:rPr>
      </w:pPr>
      <w:r w:rsidRPr="00514681">
        <w:rPr>
          <w:rStyle w:val="FootnoteReference"/>
        </w:rPr>
        <w:footnoteRef/>
      </w:r>
      <w:r w:rsidRPr="00514681">
        <w:t xml:space="preserve"> </w:t>
      </w:r>
      <w:r w:rsidRPr="00514681">
        <w:rPr>
          <w:lang w:val="es-CR"/>
        </w:rPr>
        <w:tab/>
        <w:t>Párrafos 214 y 215 de la Sentencia.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C7" w:rsidRDefault="0057162E">
    <w:pPr>
      <w:pStyle w:val="Header"/>
      <w:framePr w:wrap="around" w:vAnchor="text" w:hAnchor="margin" w:xAlign="center" w:y="1"/>
      <w:rPr>
        <w:rStyle w:val="PageNumber"/>
      </w:rPr>
    </w:pPr>
    <w:r>
      <w:rPr>
        <w:rStyle w:val="PageNumber"/>
      </w:rPr>
      <w:fldChar w:fldCharType="begin"/>
    </w:r>
    <w:r w:rsidR="00CA58C7">
      <w:rPr>
        <w:rStyle w:val="PageNumber"/>
      </w:rPr>
      <w:instrText xml:space="preserve">PAGE  </w:instrText>
    </w:r>
    <w:r>
      <w:rPr>
        <w:rStyle w:val="PageNumber"/>
      </w:rPr>
      <w:fldChar w:fldCharType="end"/>
    </w:r>
  </w:p>
  <w:p w:rsidR="00CA58C7" w:rsidRDefault="00CA5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C7" w:rsidRDefault="00CA58C7">
    <w:pPr>
      <w:pStyle w:val="Header"/>
      <w:jc w:val="center"/>
    </w:pPr>
    <w:r>
      <w:t xml:space="preserve">- </w:t>
    </w:r>
    <w:sdt>
      <w:sdtPr>
        <w:id w:val="1217137757"/>
        <w:docPartObj>
          <w:docPartGallery w:val="Page Numbers (Top of Page)"/>
          <w:docPartUnique/>
        </w:docPartObj>
      </w:sdtPr>
      <w:sdtContent>
        <w:r w:rsidR="0057162E">
          <w:fldChar w:fldCharType="begin"/>
        </w:r>
        <w:r w:rsidR="005B1958">
          <w:instrText xml:space="preserve"> PAGE   \* MERGEFORMAT </w:instrText>
        </w:r>
        <w:r w:rsidR="0057162E">
          <w:fldChar w:fldCharType="separate"/>
        </w:r>
        <w:r w:rsidR="0081525A">
          <w:rPr>
            <w:noProof/>
          </w:rPr>
          <w:t>4</w:t>
        </w:r>
        <w:r w:rsidR="0057162E">
          <w:rPr>
            <w:noProof/>
          </w:rPr>
          <w:fldChar w:fldCharType="end"/>
        </w:r>
        <w:r>
          <w:t xml:space="preserve"> -</w:t>
        </w:r>
      </w:sdtContent>
    </w:sdt>
  </w:p>
  <w:p w:rsidR="00CA58C7" w:rsidRDefault="00CA5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C7" w:rsidRDefault="00CA58C7">
    <w:pPr>
      <w:pStyle w:val="Header"/>
      <w:rPr>
        <w:lang w:val="es-ES"/>
      </w:rPr>
    </w:pPr>
  </w:p>
  <w:p w:rsidR="00CA58C7" w:rsidRDefault="00CA58C7">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EC5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469DB"/>
    <w:multiLevelType w:val="multilevel"/>
    <w:tmpl w:val="ED22D686"/>
    <w:styleLink w:val="CurrentList1"/>
    <w:lvl w:ilvl="0">
      <w:start w:val="1"/>
      <w:numFmt w:val="decimal"/>
      <w:lvlText w:val="%1."/>
      <w:lvlJc w:val="left"/>
      <w:pPr>
        <w:tabs>
          <w:tab w:val="num" w:pos="680"/>
        </w:tabs>
        <w:ind w:left="0" w:firstLine="0"/>
      </w:pPr>
      <w:rPr>
        <w:rFonts w:hint="default"/>
        <w:b w:val="0"/>
        <w:i w:val="0"/>
        <w:strike w:val="0"/>
        <w:sz w:val="20"/>
      </w:rPr>
    </w:lvl>
    <w:lvl w:ilvl="1">
      <w:start w:val="1"/>
      <w:numFmt w:val="decimal"/>
      <w:lvlText w:val="%2."/>
      <w:lvlJc w:val="left"/>
      <w:pPr>
        <w:tabs>
          <w:tab w:val="num" w:pos="567"/>
        </w:tabs>
        <w:ind w:left="0" w:firstLine="0"/>
      </w:pPr>
      <w:rPr>
        <w:rFonts w:hint="default"/>
        <w:b w:val="0"/>
        <w:i w:val="0"/>
        <w:strike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5A0F53"/>
    <w:multiLevelType w:val="hybridMultilevel"/>
    <w:tmpl w:val="B0D2E560"/>
    <w:lvl w:ilvl="0" w:tplc="976C7B5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A940369"/>
    <w:multiLevelType w:val="hybridMultilevel"/>
    <w:tmpl w:val="50ECE8F6"/>
    <w:lvl w:ilvl="0" w:tplc="A2F04C38">
      <w:start w:val="1"/>
      <w:numFmt w:val="decimal"/>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F2D6206"/>
    <w:multiLevelType w:val="hybridMultilevel"/>
    <w:tmpl w:val="93349F12"/>
    <w:lvl w:ilvl="0" w:tplc="4D24C1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0F7757C"/>
    <w:multiLevelType w:val="hybridMultilevel"/>
    <w:tmpl w:val="B9D6B658"/>
    <w:lvl w:ilvl="0" w:tplc="4DBEEF70">
      <w:start w:val="86"/>
      <w:numFmt w:val="decimal"/>
      <w:lvlText w:val="%1."/>
      <w:lvlJc w:val="left"/>
      <w:pPr>
        <w:tabs>
          <w:tab w:val="num" w:pos="0"/>
        </w:tabs>
        <w:ind w:left="0" w:firstLine="0"/>
      </w:pPr>
      <w:rPr>
        <w:rFonts w:ascii="Verdana" w:hAnsi="Verdana" w:hint="default"/>
        <w:b w:val="0"/>
        <w:i w:val="0"/>
        <w:strike w:val="0"/>
        <w:sz w:val="20"/>
        <w:szCs w:val="20"/>
      </w:rPr>
    </w:lvl>
    <w:lvl w:ilvl="1" w:tplc="0409000F">
      <w:start w:val="1"/>
      <w:numFmt w:val="decimal"/>
      <w:lvlText w:val="%2."/>
      <w:lvlJc w:val="left"/>
      <w:pPr>
        <w:tabs>
          <w:tab w:val="num" w:pos="1440"/>
        </w:tabs>
        <w:ind w:left="1440" w:hanging="360"/>
      </w:pPr>
      <w:rPr>
        <w:rFonts w:hint="default"/>
        <w:b w:val="0"/>
        <w:i w:val="0"/>
        <w:strike w:val="0"/>
        <w:sz w:val="20"/>
        <w:szCs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59F340D"/>
    <w:multiLevelType w:val="hybridMultilevel"/>
    <w:tmpl w:val="66F2DC52"/>
    <w:lvl w:ilvl="0" w:tplc="92D4442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223A3B08"/>
    <w:multiLevelType w:val="hybridMultilevel"/>
    <w:tmpl w:val="FC42F84A"/>
    <w:lvl w:ilvl="0" w:tplc="9E64EAD4">
      <w:start w:val="1"/>
      <w:numFmt w:val="decimal"/>
      <w:lvlText w:val="%1."/>
      <w:lvlJc w:val="left"/>
      <w:pPr>
        <w:tabs>
          <w:tab w:val="num" w:pos="0"/>
        </w:tabs>
        <w:ind w:left="0" w:firstLine="0"/>
      </w:pPr>
      <w:rPr>
        <w:rFonts w:ascii="Verdana" w:hAnsi="Verdana" w:hint="default"/>
        <w:b w:val="0"/>
        <w:i w:val="0"/>
        <w:strike w:val="0"/>
        <w:sz w:val="20"/>
        <w:szCs w:val="20"/>
      </w:rPr>
    </w:lvl>
    <w:lvl w:ilvl="1" w:tplc="CF58FEBC">
      <w:start w:val="1"/>
      <w:numFmt w:val="upperLetter"/>
      <w:lvlText w:val="%2)"/>
      <w:lvlJc w:val="left"/>
      <w:pPr>
        <w:tabs>
          <w:tab w:val="num" w:pos="1440"/>
        </w:tabs>
        <w:ind w:left="1440" w:hanging="360"/>
      </w:pPr>
      <w:rPr>
        <w:rFonts w:hint="default"/>
      </w:rPr>
    </w:lvl>
    <w:lvl w:ilvl="2" w:tplc="C660E8FA">
      <w:start w:val="23"/>
      <w:numFmt w:val="bullet"/>
      <w:lvlText w:val=""/>
      <w:lvlJc w:val="left"/>
      <w:pPr>
        <w:tabs>
          <w:tab w:val="num" w:pos="2700"/>
        </w:tabs>
        <w:ind w:left="2700" w:hanging="720"/>
      </w:pPr>
      <w:rPr>
        <w:rFonts w:ascii="Symbol" w:eastAsia="Times New Roman" w:hAnsi="Symbol" w:cs="Times" w:hint="default"/>
      </w:rPr>
    </w:lvl>
    <w:lvl w:ilvl="3" w:tplc="96746DD8">
      <w:start w:val="1"/>
      <w:numFmt w:val="upperLetter"/>
      <w:lvlText w:val="%4."/>
      <w:lvlJc w:val="left"/>
      <w:pPr>
        <w:tabs>
          <w:tab w:val="num" w:pos="3240"/>
        </w:tabs>
        <w:ind w:left="3240" w:hanging="720"/>
      </w:pPr>
      <w:rPr>
        <w:rFonts w:hint="default"/>
      </w:rPr>
    </w:lvl>
    <w:lvl w:ilvl="4" w:tplc="EE606886">
      <w:start w:val="1"/>
      <w:numFmt w:val="decimal"/>
      <w:lvlText w:val="%5)"/>
      <w:lvlJc w:val="left"/>
      <w:pPr>
        <w:tabs>
          <w:tab w:val="num" w:pos="3630"/>
        </w:tabs>
        <w:ind w:left="3630" w:hanging="390"/>
      </w:pPr>
      <w:rPr>
        <w:rFonts w:hint="default"/>
        <w:b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BB7AF6"/>
    <w:multiLevelType w:val="hybridMultilevel"/>
    <w:tmpl w:val="04EC1C1A"/>
    <w:name w:val="WW8Num2"/>
    <w:lvl w:ilvl="0" w:tplc="7DFEE7F2">
      <w:start w:val="1"/>
      <w:numFmt w:val="decimal"/>
      <w:lvlText w:val="%1."/>
      <w:lvlJc w:val="left"/>
      <w:pPr>
        <w:tabs>
          <w:tab w:val="num" w:pos="567"/>
        </w:tabs>
        <w:ind w:left="0" w:firstLine="0"/>
      </w:pPr>
      <w:rPr>
        <w:rFonts w:ascii="Verdana" w:hAnsi="Verdana" w:hint="default"/>
        <w:b w:val="0"/>
        <w:bCs w:val="0"/>
        <w:i w:val="0"/>
        <w:iCs w:val="0"/>
        <w:strike w:val="0"/>
        <w:dstrike w:val="0"/>
        <w:sz w:val="20"/>
        <w:szCs w:val="20"/>
      </w:rPr>
    </w:lvl>
    <w:lvl w:ilvl="1" w:tplc="9932B856">
      <w:start w:val="1"/>
      <w:numFmt w:val="lowerRoman"/>
      <w:lvlText w:val="%2)"/>
      <w:lvlJc w:val="left"/>
      <w:pPr>
        <w:tabs>
          <w:tab w:val="num" w:pos="1950"/>
        </w:tabs>
        <w:ind w:left="1950" w:hanging="870"/>
      </w:pPr>
      <w:rPr>
        <w:rFonts w:hint="default"/>
      </w:rPr>
    </w:lvl>
    <w:lvl w:ilvl="2" w:tplc="28549BE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7048FC"/>
    <w:multiLevelType w:val="hybridMultilevel"/>
    <w:tmpl w:val="F48A09A8"/>
    <w:lvl w:ilvl="0" w:tplc="A31847A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3C217D9D"/>
    <w:multiLevelType w:val="hybridMultilevel"/>
    <w:tmpl w:val="055E418C"/>
    <w:lvl w:ilvl="0" w:tplc="3F10A8FC">
      <w:start w:val="2"/>
      <w:numFmt w:val="decimal"/>
      <w:pStyle w:val="NormalMRE"/>
      <w:lvlText w:val="%1."/>
      <w:lvlJc w:val="left"/>
      <w:pPr>
        <w:tabs>
          <w:tab w:val="num" w:pos="0"/>
        </w:tabs>
        <w:ind w:left="720" w:hanging="360"/>
      </w:pPr>
      <w:rPr>
        <w:rFonts w:cs="Times New Roman" w:hint="default"/>
        <w:b w:val="0"/>
        <w:i w:val="0"/>
        <w:color w:val="auto"/>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40EC5D8B"/>
    <w:multiLevelType w:val="hybridMultilevel"/>
    <w:tmpl w:val="AF0E1BD6"/>
    <w:lvl w:ilvl="0" w:tplc="022829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A32EA9"/>
    <w:multiLevelType w:val="hybridMultilevel"/>
    <w:tmpl w:val="9C3E9E72"/>
    <w:lvl w:ilvl="0" w:tplc="B66488DA">
      <w:start w:val="6"/>
      <w:numFmt w:val="upperRoman"/>
      <w:lvlText w:val="%1."/>
      <w:lvlJc w:val="left"/>
      <w:pPr>
        <w:tabs>
          <w:tab w:val="num" w:pos="698"/>
        </w:tabs>
        <w:ind w:left="698" w:hanging="720"/>
      </w:pPr>
      <w:rPr>
        <w:rFonts w:hint="default"/>
      </w:rPr>
    </w:lvl>
    <w:lvl w:ilvl="1" w:tplc="00190409" w:tentative="1">
      <w:start w:val="1"/>
      <w:numFmt w:val="lowerLetter"/>
      <w:lvlText w:val="%2."/>
      <w:lvlJc w:val="left"/>
      <w:pPr>
        <w:tabs>
          <w:tab w:val="num" w:pos="1058"/>
        </w:tabs>
        <w:ind w:left="1058" w:hanging="360"/>
      </w:pPr>
    </w:lvl>
    <w:lvl w:ilvl="2" w:tplc="001B0409" w:tentative="1">
      <w:start w:val="1"/>
      <w:numFmt w:val="lowerRoman"/>
      <w:lvlText w:val="%3."/>
      <w:lvlJc w:val="right"/>
      <w:pPr>
        <w:tabs>
          <w:tab w:val="num" w:pos="1778"/>
        </w:tabs>
        <w:ind w:left="1778" w:hanging="180"/>
      </w:pPr>
    </w:lvl>
    <w:lvl w:ilvl="3" w:tplc="000F0409" w:tentative="1">
      <w:start w:val="1"/>
      <w:numFmt w:val="decimal"/>
      <w:lvlText w:val="%4."/>
      <w:lvlJc w:val="left"/>
      <w:pPr>
        <w:tabs>
          <w:tab w:val="num" w:pos="2498"/>
        </w:tabs>
        <w:ind w:left="2498" w:hanging="360"/>
      </w:pPr>
    </w:lvl>
    <w:lvl w:ilvl="4" w:tplc="00190409" w:tentative="1">
      <w:start w:val="1"/>
      <w:numFmt w:val="lowerLetter"/>
      <w:lvlText w:val="%5."/>
      <w:lvlJc w:val="left"/>
      <w:pPr>
        <w:tabs>
          <w:tab w:val="num" w:pos="3218"/>
        </w:tabs>
        <w:ind w:left="3218" w:hanging="360"/>
      </w:pPr>
    </w:lvl>
    <w:lvl w:ilvl="5" w:tplc="001B0409" w:tentative="1">
      <w:start w:val="1"/>
      <w:numFmt w:val="lowerRoman"/>
      <w:lvlText w:val="%6."/>
      <w:lvlJc w:val="right"/>
      <w:pPr>
        <w:tabs>
          <w:tab w:val="num" w:pos="3938"/>
        </w:tabs>
        <w:ind w:left="3938" w:hanging="180"/>
      </w:pPr>
    </w:lvl>
    <w:lvl w:ilvl="6" w:tplc="000F0409" w:tentative="1">
      <w:start w:val="1"/>
      <w:numFmt w:val="decimal"/>
      <w:lvlText w:val="%7."/>
      <w:lvlJc w:val="left"/>
      <w:pPr>
        <w:tabs>
          <w:tab w:val="num" w:pos="4658"/>
        </w:tabs>
        <w:ind w:left="4658" w:hanging="360"/>
      </w:pPr>
    </w:lvl>
    <w:lvl w:ilvl="7" w:tplc="00190409" w:tentative="1">
      <w:start w:val="1"/>
      <w:numFmt w:val="lowerLetter"/>
      <w:lvlText w:val="%8."/>
      <w:lvlJc w:val="left"/>
      <w:pPr>
        <w:tabs>
          <w:tab w:val="num" w:pos="5378"/>
        </w:tabs>
        <w:ind w:left="5378" w:hanging="360"/>
      </w:pPr>
    </w:lvl>
    <w:lvl w:ilvl="8" w:tplc="001B0409" w:tentative="1">
      <w:start w:val="1"/>
      <w:numFmt w:val="lowerRoman"/>
      <w:lvlText w:val="%9."/>
      <w:lvlJc w:val="right"/>
      <w:pPr>
        <w:tabs>
          <w:tab w:val="num" w:pos="6098"/>
        </w:tabs>
        <w:ind w:left="6098" w:hanging="180"/>
      </w:pPr>
    </w:lvl>
  </w:abstractNum>
  <w:abstractNum w:abstractNumId="15">
    <w:nsid w:val="54917DC0"/>
    <w:multiLevelType w:val="hybridMultilevel"/>
    <w:tmpl w:val="86D2AC04"/>
    <w:lvl w:ilvl="0" w:tplc="2D2EB8BC">
      <w:start w:val="2"/>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590B3874"/>
    <w:multiLevelType w:val="hybridMultilevel"/>
    <w:tmpl w:val="6A44493E"/>
    <w:lvl w:ilvl="0" w:tplc="84449A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777433"/>
    <w:multiLevelType w:val="hybridMultilevel"/>
    <w:tmpl w:val="71A65A94"/>
    <w:lvl w:ilvl="0" w:tplc="600ADC5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E716038"/>
    <w:multiLevelType w:val="multilevel"/>
    <w:tmpl w:val="4268F59C"/>
    <w:lvl w:ilvl="0">
      <w:start w:val="1"/>
      <w:numFmt w:val="decimal"/>
      <w:lvlText w:val="%1."/>
      <w:lvlJc w:val="left"/>
      <w:pPr>
        <w:tabs>
          <w:tab w:val="num" w:pos="11170"/>
        </w:tabs>
      </w:pPr>
      <w:rPr>
        <w:rFonts w:ascii="Verdana" w:eastAsia="Times New Roman" w:hAnsi="Verdana"/>
        <w:b w:val="0"/>
        <w:bCs w:val="0"/>
        <w:i w:val="0"/>
        <w:iCs w:val="0"/>
        <w:strike w:val="0"/>
        <w:color w:val="auto"/>
        <w:sz w:val="20"/>
        <w:szCs w:val="20"/>
        <w:lang w:val="es-CR"/>
      </w:rPr>
    </w:lvl>
    <w:lvl w:ilvl="1">
      <w:start w:val="1"/>
      <w:numFmt w:val="lowerLetter"/>
      <w:lvlText w:val="%2)"/>
      <w:lvlJc w:val="left"/>
      <w:pPr>
        <w:tabs>
          <w:tab w:val="num" w:pos="1080"/>
        </w:tabs>
        <w:ind w:left="1080" w:hanging="360"/>
      </w:pPr>
      <w:rPr>
        <w:rFonts w:hint="default"/>
        <w:b w:val="0"/>
        <w:bCs w:val="0"/>
        <w:i w:val="0"/>
        <w:iCs w:val="0"/>
        <w:sz w:val="20"/>
        <w:szCs w:val="20"/>
      </w:rPr>
    </w:lvl>
    <w:lvl w:ilvl="2">
      <w:start w:val="1"/>
      <w:numFmt w:val="lowerRoman"/>
      <w:lvlText w:val="%3."/>
      <w:lvlJc w:val="right"/>
      <w:pPr>
        <w:tabs>
          <w:tab w:val="num" w:pos="1530"/>
        </w:tabs>
        <w:ind w:left="1530" w:hanging="180"/>
      </w:pPr>
      <w:rPr>
        <w:b w:val="0"/>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83606A"/>
    <w:multiLevelType w:val="hybridMultilevel"/>
    <w:tmpl w:val="847647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0F68E3"/>
    <w:multiLevelType w:val="hybridMultilevel"/>
    <w:tmpl w:val="3574F2A4"/>
    <w:lvl w:ilvl="0" w:tplc="F17483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880F91"/>
    <w:multiLevelType w:val="hybridMultilevel"/>
    <w:tmpl w:val="83F6F322"/>
    <w:lvl w:ilvl="0" w:tplc="9C248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0A0837"/>
    <w:multiLevelType w:val="hybridMultilevel"/>
    <w:tmpl w:val="CD04B3F4"/>
    <w:lvl w:ilvl="0" w:tplc="93E8B26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A145DC9"/>
    <w:multiLevelType w:val="hybridMultilevel"/>
    <w:tmpl w:val="87FAFBDA"/>
    <w:lvl w:ilvl="0" w:tplc="2E247ACC">
      <w:start w:val="85"/>
      <w:numFmt w:val="decimal"/>
      <w:lvlText w:val="%1."/>
      <w:lvlJc w:val="left"/>
      <w:pPr>
        <w:ind w:left="720" w:hanging="360"/>
      </w:pPr>
      <w:rPr>
        <w:rFonts w:ascii="Verdana" w:hAnsi="Verdana" w:hint="default"/>
        <w:b w:val="0"/>
        <w:i w:val="0"/>
        <w:strike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6E7BB3"/>
    <w:multiLevelType w:val="hybridMultilevel"/>
    <w:tmpl w:val="9118F162"/>
    <w:lvl w:ilvl="0" w:tplc="A1966A84">
      <w:start w:val="106"/>
      <w:numFmt w:val="decimal"/>
      <w:lvlText w:val="%1."/>
      <w:lvlJc w:val="left"/>
      <w:pPr>
        <w:tabs>
          <w:tab w:val="num" w:pos="0"/>
        </w:tabs>
        <w:ind w:left="0" w:firstLine="0"/>
      </w:pPr>
      <w:rPr>
        <w:rFonts w:ascii="Verdana" w:hAnsi="Verdana" w:hint="default"/>
        <w:b w:val="0"/>
        <w:i w:val="0"/>
        <w:strike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CE64D32"/>
    <w:multiLevelType w:val="hybridMultilevel"/>
    <w:tmpl w:val="6402136A"/>
    <w:lvl w:ilvl="0" w:tplc="44C0D36E">
      <w:start w:val="1"/>
      <w:numFmt w:val="decimal"/>
      <w:lvlText w:val="%1."/>
      <w:lvlJc w:val="left"/>
      <w:pPr>
        <w:tabs>
          <w:tab w:val="num" w:pos="11170"/>
        </w:tabs>
      </w:pPr>
      <w:rPr>
        <w:rFonts w:ascii="Verdana" w:eastAsia="Times New Roman" w:hAnsi="Verdana"/>
        <w:b w:val="0"/>
        <w:bCs w:val="0"/>
        <w:i w:val="0"/>
        <w:iCs w:val="0"/>
        <w:strike w:val="0"/>
        <w:color w:val="auto"/>
        <w:sz w:val="20"/>
        <w:szCs w:val="20"/>
        <w:lang w:val="es-CR"/>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26">
    <w:nsid w:val="7EA012FB"/>
    <w:multiLevelType w:val="hybridMultilevel"/>
    <w:tmpl w:val="B832DD1A"/>
    <w:lvl w:ilvl="0" w:tplc="DBBC5F5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5"/>
  </w:num>
  <w:num w:numId="5">
    <w:abstractNumId w:val="19"/>
  </w:num>
  <w:num w:numId="6">
    <w:abstractNumId w:val="22"/>
  </w:num>
  <w:num w:numId="7">
    <w:abstractNumId w:val="8"/>
  </w:num>
  <w:num w:numId="8">
    <w:abstractNumId w:val="7"/>
  </w:num>
  <w:num w:numId="9">
    <w:abstractNumId w:val="17"/>
  </w:num>
  <w:num w:numId="10">
    <w:abstractNumId w:val="11"/>
  </w:num>
  <w:num w:numId="11">
    <w:abstractNumId w:val="23"/>
  </w:num>
  <w:num w:numId="12">
    <w:abstractNumId w:val="6"/>
  </w:num>
  <w:num w:numId="13">
    <w:abstractNumId w:val="24"/>
  </w:num>
  <w:num w:numId="14">
    <w:abstractNumId w:val="26"/>
  </w:num>
  <w:num w:numId="15">
    <w:abstractNumId w:val="16"/>
  </w:num>
  <w:num w:numId="16">
    <w:abstractNumId w:val="21"/>
  </w:num>
  <w:num w:numId="17">
    <w:abstractNumId w:val="20"/>
  </w:num>
  <w:num w:numId="18">
    <w:abstractNumId w:val="4"/>
  </w:num>
  <w:num w:numId="19">
    <w:abstractNumId w:val="2"/>
  </w:num>
  <w:num w:numId="20">
    <w:abstractNumId w:val="14"/>
  </w:num>
  <w:num w:numId="21">
    <w:abstractNumId w:val="1"/>
  </w:num>
  <w:num w:numId="22">
    <w:abstractNumId w:val="0"/>
  </w:num>
  <w:num w:numId="23">
    <w:abstractNumId w:val="25"/>
  </w:num>
  <w:num w:numId="24">
    <w:abstractNumId w:val="13"/>
  </w:num>
  <w:num w:numId="25">
    <w:abstractNumId w:val="18"/>
  </w:num>
  <w:num w:numId="26">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3F01"/>
  <w:defaultTabStop w:val="720"/>
  <w:hyphenationZone w:val="425"/>
  <w:characterSpacingControl w:val="doNotCompress"/>
  <w:footnotePr>
    <w:numRestart w:val="eachSect"/>
    <w:footnote w:id="-1"/>
    <w:footnote w:id="0"/>
  </w:footnotePr>
  <w:endnotePr>
    <w:endnote w:id="-1"/>
    <w:endnote w:id="0"/>
  </w:endnotePr>
  <w:compat>
    <w:useFELayout/>
  </w:compat>
  <w:rsids>
    <w:rsidRoot w:val="00D11FDD"/>
    <w:rsid w:val="00003C2C"/>
    <w:rsid w:val="00005425"/>
    <w:rsid w:val="000061F6"/>
    <w:rsid w:val="00006F32"/>
    <w:rsid w:val="000071AB"/>
    <w:rsid w:val="00007791"/>
    <w:rsid w:val="00007B01"/>
    <w:rsid w:val="00010361"/>
    <w:rsid w:val="00021455"/>
    <w:rsid w:val="00021D2A"/>
    <w:rsid w:val="00024294"/>
    <w:rsid w:val="0002483F"/>
    <w:rsid w:val="00024872"/>
    <w:rsid w:val="00027CE3"/>
    <w:rsid w:val="00032AC4"/>
    <w:rsid w:val="00032D55"/>
    <w:rsid w:val="00033479"/>
    <w:rsid w:val="00035774"/>
    <w:rsid w:val="0003704C"/>
    <w:rsid w:val="00037B05"/>
    <w:rsid w:val="00037B31"/>
    <w:rsid w:val="00041F24"/>
    <w:rsid w:val="0004263E"/>
    <w:rsid w:val="00042CCA"/>
    <w:rsid w:val="00046CEF"/>
    <w:rsid w:val="000475FC"/>
    <w:rsid w:val="000502D3"/>
    <w:rsid w:val="00052F83"/>
    <w:rsid w:val="00053322"/>
    <w:rsid w:val="00057259"/>
    <w:rsid w:val="00057D0D"/>
    <w:rsid w:val="000605C3"/>
    <w:rsid w:val="00061B7B"/>
    <w:rsid w:val="00064A44"/>
    <w:rsid w:val="00064A5D"/>
    <w:rsid w:val="000654D3"/>
    <w:rsid w:val="00065C03"/>
    <w:rsid w:val="00066058"/>
    <w:rsid w:val="00066FE1"/>
    <w:rsid w:val="0007077F"/>
    <w:rsid w:val="00071CF1"/>
    <w:rsid w:val="000721E9"/>
    <w:rsid w:val="00073653"/>
    <w:rsid w:val="00074226"/>
    <w:rsid w:val="00074DA6"/>
    <w:rsid w:val="00076520"/>
    <w:rsid w:val="000767F0"/>
    <w:rsid w:val="00084204"/>
    <w:rsid w:val="000853DE"/>
    <w:rsid w:val="00086ACA"/>
    <w:rsid w:val="000909F5"/>
    <w:rsid w:val="00092257"/>
    <w:rsid w:val="000930E4"/>
    <w:rsid w:val="000943C3"/>
    <w:rsid w:val="000958FC"/>
    <w:rsid w:val="000A0C33"/>
    <w:rsid w:val="000A2F52"/>
    <w:rsid w:val="000A44BB"/>
    <w:rsid w:val="000A5355"/>
    <w:rsid w:val="000A5E58"/>
    <w:rsid w:val="000A7CB0"/>
    <w:rsid w:val="000B1A47"/>
    <w:rsid w:val="000B1FC9"/>
    <w:rsid w:val="000B491B"/>
    <w:rsid w:val="000B7BFC"/>
    <w:rsid w:val="000C0989"/>
    <w:rsid w:val="000C09B3"/>
    <w:rsid w:val="000C1135"/>
    <w:rsid w:val="000C18CF"/>
    <w:rsid w:val="000C1D0E"/>
    <w:rsid w:val="000C6883"/>
    <w:rsid w:val="000C7A3D"/>
    <w:rsid w:val="000D0520"/>
    <w:rsid w:val="000D0C89"/>
    <w:rsid w:val="000D1ACB"/>
    <w:rsid w:val="000D5C7C"/>
    <w:rsid w:val="000D7D80"/>
    <w:rsid w:val="000E15CB"/>
    <w:rsid w:val="000E1C0A"/>
    <w:rsid w:val="000E32B7"/>
    <w:rsid w:val="000E394D"/>
    <w:rsid w:val="000E3B7B"/>
    <w:rsid w:val="000E3C7E"/>
    <w:rsid w:val="000E75A8"/>
    <w:rsid w:val="000E78B3"/>
    <w:rsid w:val="000F0F41"/>
    <w:rsid w:val="000F1E2B"/>
    <w:rsid w:val="000F207B"/>
    <w:rsid w:val="000F265D"/>
    <w:rsid w:val="000F39DB"/>
    <w:rsid w:val="000F435D"/>
    <w:rsid w:val="000F7BC9"/>
    <w:rsid w:val="001008E5"/>
    <w:rsid w:val="001031DC"/>
    <w:rsid w:val="00103F7B"/>
    <w:rsid w:val="00104DA7"/>
    <w:rsid w:val="00104FF5"/>
    <w:rsid w:val="0010630C"/>
    <w:rsid w:val="00106DEF"/>
    <w:rsid w:val="00111764"/>
    <w:rsid w:val="00111812"/>
    <w:rsid w:val="001118BA"/>
    <w:rsid w:val="00113AAE"/>
    <w:rsid w:val="00114458"/>
    <w:rsid w:val="0011764D"/>
    <w:rsid w:val="00117A1E"/>
    <w:rsid w:val="001224E8"/>
    <w:rsid w:val="001228BC"/>
    <w:rsid w:val="001232AC"/>
    <w:rsid w:val="001238B2"/>
    <w:rsid w:val="00130176"/>
    <w:rsid w:val="00130B00"/>
    <w:rsid w:val="00130B09"/>
    <w:rsid w:val="00132C0C"/>
    <w:rsid w:val="00133052"/>
    <w:rsid w:val="001341EC"/>
    <w:rsid w:val="00134228"/>
    <w:rsid w:val="00135418"/>
    <w:rsid w:val="00135C17"/>
    <w:rsid w:val="00135F21"/>
    <w:rsid w:val="0013728C"/>
    <w:rsid w:val="001372DA"/>
    <w:rsid w:val="00140F06"/>
    <w:rsid w:val="001413EB"/>
    <w:rsid w:val="001428CC"/>
    <w:rsid w:val="0014294F"/>
    <w:rsid w:val="00142B54"/>
    <w:rsid w:val="00142D73"/>
    <w:rsid w:val="00142E83"/>
    <w:rsid w:val="001431C0"/>
    <w:rsid w:val="0014324D"/>
    <w:rsid w:val="001437B0"/>
    <w:rsid w:val="00145417"/>
    <w:rsid w:val="0015432E"/>
    <w:rsid w:val="00157168"/>
    <w:rsid w:val="00157403"/>
    <w:rsid w:val="00160935"/>
    <w:rsid w:val="0016190A"/>
    <w:rsid w:val="00162235"/>
    <w:rsid w:val="00164687"/>
    <w:rsid w:val="001662CE"/>
    <w:rsid w:val="001707BF"/>
    <w:rsid w:val="00170B56"/>
    <w:rsid w:val="00174AB9"/>
    <w:rsid w:val="00175154"/>
    <w:rsid w:val="00175240"/>
    <w:rsid w:val="00175B88"/>
    <w:rsid w:val="00177DA5"/>
    <w:rsid w:val="00181BB6"/>
    <w:rsid w:val="001824D8"/>
    <w:rsid w:val="00185417"/>
    <w:rsid w:val="001871AE"/>
    <w:rsid w:val="001906AE"/>
    <w:rsid w:val="00190AEC"/>
    <w:rsid w:val="00191A5C"/>
    <w:rsid w:val="00191C03"/>
    <w:rsid w:val="00192662"/>
    <w:rsid w:val="00193DCA"/>
    <w:rsid w:val="001946E0"/>
    <w:rsid w:val="00195429"/>
    <w:rsid w:val="00195D76"/>
    <w:rsid w:val="001971C4"/>
    <w:rsid w:val="00197F40"/>
    <w:rsid w:val="001A366F"/>
    <w:rsid w:val="001A42C5"/>
    <w:rsid w:val="001A49C6"/>
    <w:rsid w:val="001A4C4B"/>
    <w:rsid w:val="001A539D"/>
    <w:rsid w:val="001A69CC"/>
    <w:rsid w:val="001A6AAD"/>
    <w:rsid w:val="001B0690"/>
    <w:rsid w:val="001B14E3"/>
    <w:rsid w:val="001B6DAA"/>
    <w:rsid w:val="001B79F1"/>
    <w:rsid w:val="001B7E32"/>
    <w:rsid w:val="001C02C7"/>
    <w:rsid w:val="001C058F"/>
    <w:rsid w:val="001C1528"/>
    <w:rsid w:val="001C48CE"/>
    <w:rsid w:val="001C4AF7"/>
    <w:rsid w:val="001C5DF1"/>
    <w:rsid w:val="001D0466"/>
    <w:rsid w:val="001D1358"/>
    <w:rsid w:val="001D1C08"/>
    <w:rsid w:val="001D7788"/>
    <w:rsid w:val="001E06BA"/>
    <w:rsid w:val="001E26BA"/>
    <w:rsid w:val="001E3FFB"/>
    <w:rsid w:val="001E7A9F"/>
    <w:rsid w:val="001F1B37"/>
    <w:rsid w:val="001F2372"/>
    <w:rsid w:val="001F3127"/>
    <w:rsid w:val="001F46C3"/>
    <w:rsid w:val="001F4BCE"/>
    <w:rsid w:val="001F50D5"/>
    <w:rsid w:val="001F5326"/>
    <w:rsid w:val="001F6307"/>
    <w:rsid w:val="001F72F7"/>
    <w:rsid w:val="001F798F"/>
    <w:rsid w:val="0020065C"/>
    <w:rsid w:val="002040F5"/>
    <w:rsid w:val="00205D81"/>
    <w:rsid w:val="0021011C"/>
    <w:rsid w:val="00213808"/>
    <w:rsid w:val="00213DCE"/>
    <w:rsid w:val="00213FFD"/>
    <w:rsid w:val="00215395"/>
    <w:rsid w:val="002153EC"/>
    <w:rsid w:val="0021689B"/>
    <w:rsid w:val="0021761B"/>
    <w:rsid w:val="00220B02"/>
    <w:rsid w:val="00220EF5"/>
    <w:rsid w:val="0022171C"/>
    <w:rsid w:val="00224B87"/>
    <w:rsid w:val="00225618"/>
    <w:rsid w:val="00225D7B"/>
    <w:rsid w:val="002268CE"/>
    <w:rsid w:val="00226D4E"/>
    <w:rsid w:val="0023076C"/>
    <w:rsid w:val="00232C79"/>
    <w:rsid w:val="00235904"/>
    <w:rsid w:val="00241A3E"/>
    <w:rsid w:val="00241DC2"/>
    <w:rsid w:val="002428BA"/>
    <w:rsid w:val="0024425B"/>
    <w:rsid w:val="00245F54"/>
    <w:rsid w:val="00252AD6"/>
    <w:rsid w:val="00253AC1"/>
    <w:rsid w:val="002548E3"/>
    <w:rsid w:val="00257472"/>
    <w:rsid w:val="002575F8"/>
    <w:rsid w:val="002610FD"/>
    <w:rsid w:val="00263DA7"/>
    <w:rsid w:val="00264F78"/>
    <w:rsid w:val="00266CEF"/>
    <w:rsid w:val="002704BF"/>
    <w:rsid w:val="0027249B"/>
    <w:rsid w:val="00272536"/>
    <w:rsid w:val="00272ED2"/>
    <w:rsid w:val="0027444E"/>
    <w:rsid w:val="00275996"/>
    <w:rsid w:val="00275EBD"/>
    <w:rsid w:val="00281E94"/>
    <w:rsid w:val="00282410"/>
    <w:rsid w:val="0028268B"/>
    <w:rsid w:val="0028303E"/>
    <w:rsid w:val="00283EA1"/>
    <w:rsid w:val="002853DF"/>
    <w:rsid w:val="0028697B"/>
    <w:rsid w:val="002878F8"/>
    <w:rsid w:val="00291DCB"/>
    <w:rsid w:val="00292B90"/>
    <w:rsid w:val="00292D0D"/>
    <w:rsid w:val="0029368B"/>
    <w:rsid w:val="00293C92"/>
    <w:rsid w:val="0029699C"/>
    <w:rsid w:val="00296BC2"/>
    <w:rsid w:val="002A20D5"/>
    <w:rsid w:val="002A2181"/>
    <w:rsid w:val="002A2A3E"/>
    <w:rsid w:val="002A3CC6"/>
    <w:rsid w:val="002A4707"/>
    <w:rsid w:val="002A5CCB"/>
    <w:rsid w:val="002A67B6"/>
    <w:rsid w:val="002A67FE"/>
    <w:rsid w:val="002A6AAC"/>
    <w:rsid w:val="002A74C5"/>
    <w:rsid w:val="002A75B4"/>
    <w:rsid w:val="002A7677"/>
    <w:rsid w:val="002B01D4"/>
    <w:rsid w:val="002B0B12"/>
    <w:rsid w:val="002B13A8"/>
    <w:rsid w:val="002B2E58"/>
    <w:rsid w:val="002B2EBC"/>
    <w:rsid w:val="002B33B2"/>
    <w:rsid w:val="002B34EA"/>
    <w:rsid w:val="002B3D33"/>
    <w:rsid w:val="002B55F6"/>
    <w:rsid w:val="002B7080"/>
    <w:rsid w:val="002C044F"/>
    <w:rsid w:val="002C07C7"/>
    <w:rsid w:val="002C25AA"/>
    <w:rsid w:val="002C274C"/>
    <w:rsid w:val="002C3CB1"/>
    <w:rsid w:val="002C4405"/>
    <w:rsid w:val="002C5DEA"/>
    <w:rsid w:val="002C726A"/>
    <w:rsid w:val="002D01B9"/>
    <w:rsid w:val="002D04D6"/>
    <w:rsid w:val="002D0634"/>
    <w:rsid w:val="002D0C05"/>
    <w:rsid w:val="002D4FE2"/>
    <w:rsid w:val="002D7855"/>
    <w:rsid w:val="002E0214"/>
    <w:rsid w:val="002E1FF6"/>
    <w:rsid w:val="002E3A01"/>
    <w:rsid w:val="002E579A"/>
    <w:rsid w:val="002E661E"/>
    <w:rsid w:val="002E74C3"/>
    <w:rsid w:val="002F0E54"/>
    <w:rsid w:val="002F2307"/>
    <w:rsid w:val="002F31CC"/>
    <w:rsid w:val="002F5767"/>
    <w:rsid w:val="002F62C7"/>
    <w:rsid w:val="00300EAA"/>
    <w:rsid w:val="00301B92"/>
    <w:rsid w:val="00305D91"/>
    <w:rsid w:val="00307BB8"/>
    <w:rsid w:val="0031017A"/>
    <w:rsid w:val="00312792"/>
    <w:rsid w:val="00314DA4"/>
    <w:rsid w:val="00315AA9"/>
    <w:rsid w:val="00315F2C"/>
    <w:rsid w:val="00317E17"/>
    <w:rsid w:val="00320796"/>
    <w:rsid w:val="0032739F"/>
    <w:rsid w:val="00327F87"/>
    <w:rsid w:val="00330D2E"/>
    <w:rsid w:val="00335E7D"/>
    <w:rsid w:val="00335FE3"/>
    <w:rsid w:val="00336A8E"/>
    <w:rsid w:val="0033739E"/>
    <w:rsid w:val="0033760B"/>
    <w:rsid w:val="0034038C"/>
    <w:rsid w:val="00350512"/>
    <w:rsid w:val="00350DA0"/>
    <w:rsid w:val="003550D0"/>
    <w:rsid w:val="00355FB7"/>
    <w:rsid w:val="0036180C"/>
    <w:rsid w:val="00361E9A"/>
    <w:rsid w:val="00362267"/>
    <w:rsid w:val="00365608"/>
    <w:rsid w:val="00367941"/>
    <w:rsid w:val="00367A65"/>
    <w:rsid w:val="00370FF7"/>
    <w:rsid w:val="00372B95"/>
    <w:rsid w:val="00373655"/>
    <w:rsid w:val="0037391B"/>
    <w:rsid w:val="00373E34"/>
    <w:rsid w:val="003751DF"/>
    <w:rsid w:val="0037599C"/>
    <w:rsid w:val="00375DEE"/>
    <w:rsid w:val="00383CDD"/>
    <w:rsid w:val="003846FA"/>
    <w:rsid w:val="003855EC"/>
    <w:rsid w:val="00385BA7"/>
    <w:rsid w:val="00386250"/>
    <w:rsid w:val="00386AE7"/>
    <w:rsid w:val="00391438"/>
    <w:rsid w:val="00391689"/>
    <w:rsid w:val="00391D6B"/>
    <w:rsid w:val="003952E9"/>
    <w:rsid w:val="00395958"/>
    <w:rsid w:val="003968EA"/>
    <w:rsid w:val="00397959"/>
    <w:rsid w:val="003A21BB"/>
    <w:rsid w:val="003A22AF"/>
    <w:rsid w:val="003A2716"/>
    <w:rsid w:val="003A3AE5"/>
    <w:rsid w:val="003A41E4"/>
    <w:rsid w:val="003A45B5"/>
    <w:rsid w:val="003A5DCF"/>
    <w:rsid w:val="003B1C5A"/>
    <w:rsid w:val="003B2982"/>
    <w:rsid w:val="003B3B68"/>
    <w:rsid w:val="003B4863"/>
    <w:rsid w:val="003B56FF"/>
    <w:rsid w:val="003B74FA"/>
    <w:rsid w:val="003B7C3F"/>
    <w:rsid w:val="003C0306"/>
    <w:rsid w:val="003C0388"/>
    <w:rsid w:val="003C0BFA"/>
    <w:rsid w:val="003C15F5"/>
    <w:rsid w:val="003C2F11"/>
    <w:rsid w:val="003C6BFC"/>
    <w:rsid w:val="003C6E85"/>
    <w:rsid w:val="003C7979"/>
    <w:rsid w:val="003C7D20"/>
    <w:rsid w:val="003D1A7B"/>
    <w:rsid w:val="003D24BC"/>
    <w:rsid w:val="003D30F5"/>
    <w:rsid w:val="003D44A0"/>
    <w:rsid w:val="003D5AC0"/>
    <w:rsid w:val="003D6392"/>
    <w:rsid w:val="003D6D8F"/>
    <w:rsid w:val="003D7210"/>
    <w:rsid w:val="003D7A27"/>
    <w:rsid w:val="003E3979"/>
    <w:rsid w:val="003E4BF8"/>
    <w:rsid w:val="003E532A"/>
    <w:rsid w:val="003E5A13"/>
    <w:rsid w:val="003E6172"/>
    <w:rsid w:val="003E618B"/>
    <w:rsid w:val="003E7134"/>
    <w:rsid w:val="003F06FA"/>
    <w:rsid w:val="003F167F"/>
    <w:rsid w:val="003F586D"/>
    <w:rsid w:val="00403040"/>
    <w:rsid w:val="00403919"/>
    <w:rsid w:val="00403D6F"/>
    <w:rsid w:val="0040661C"/>
    <w:rsid w:val="00407877"/>
    <w:rsid w:val="00412195"/>
    <w:rsid w:val="004137F1"/>
    <w:rsid w:val="00414158"/>
    <w:rsid w:val="0041424D"/>
    <w:rsid w:val="0041480B"/>
    <w:rsid w:val="004149B5"/>
    <w:rsid w:val="00414E50"/>
    <w:rsid w:val="0041653E"/>
    <w:rsid w:val="004177F5"/>
    <w:rsid w:val="00423E09"/>
    <w:rsid w:val="00426233"/>
    <w:rsid w:val="00426E52"/>
    <w:rsid w:val="00427024"/>
    <w:rsid w:val="00430697"/>
    <w:rsid w:val="00430B43"/>
    <w:rsid w:val="00430B4C"/>
    <w:rsid w:val="00430C42"/>
    <w:rsid w:val="00436585"/>
    <w:rsid w:val="0044055E"/>
    <w:rsid w:val="00441715"/>
    <w:rsid w:val="00444083"/>
    <w:rsid w:val="004466B2"/>
    <w:rsid w:val="00446CD4"/>
    <w:rsid w:val="00447EEB"/>
    <w:rsid w:val="00460364"/>
    <w:rsid w:val="0046066C"/>
    <w:rsid w:val="00463137"/>
    <w:rsid w:val="00463476"/>
    <w:rsid w:val="00465ABA"/>
    <w:rsid w:val="0047254B"/>
    <w:rsid w:val="0047342E"/>
    <w:rsid w:val="00476CB8"/>
    <w:rsid w:val="00480DF1"/>
    <w:rsid w:val="00481421"/>
    <w:rsid w:val="00481F7E"/>
    <w:rsid w:val="00485118"/>
    <w:rsid w:val="004862E3"/>
    <w:rsid w:val="00486B04"/>
    <w:rsid w:val="00487396"/>
    <w:rsid w:val="00491D80"/>
    <w:rsid w:val="0049293C"/>
    <w:rsid w:val="00493BCB"/>
    <w:rsid w:val="004A0DBA"/>
    <w:rsid w:val="004A363B"/>
    <w:rsid w:val="004B17F9"/>
    <w:rsid w:val="004B1E37"/>
    <w:rsid w:val="004B2949"/>
    <w:rsid w:val="004B35B0"/>
    <w:rsid w:val="004B546A"/>
    <w:rsid w:val="004B640D"/>
    <w:rsid w:val="004B7CB9"/>
    <w:rsid w:val="004B7CF9"/>
    <w:rsid w:val="004B7FE1"/>
    <w:rsid w:val="004C083F"/>
    <w:rsid w:val="004C0925"/>
    <w:rsid w:val="004C1609"/>
    <w:rsid w:val="004C1C88"/>
    <w:rsid w:val="004C2FFF"/>
    <w:rsid w:val="004C34A2"/>
    <w:rsid w:val="004C7B92"/>
    <w:rsid w:val="004D1B7C"/>
    <w:rsid w:val="004D52E6"/>
    <w:rsid w:val="004D7823"/>
    <w:rsid w:val="004E08D9"/>
    <w:rsid w:val="004E2437"/>
    <w:rsid w:val="004E38C8"/>
    <w:rsid w:val="004E5F7B"/>
    <w:rsid w:val="004E716C"/>
    <w:rsid w:val="004E7706"/>
    <w:rsid w:val="004F1388"/>
    <w:rsid w:val="004F1647"/>
    <w:rsid w:val="004F21A8"/>
    <w:rsid w:val="004F270C"/>
    <w:rsid w:val="004F4A12"/>
    <w:rsid w:val="004F6FF2"/>
    <w:rsid w:val="00502411"/>
    <w:rsid w:val="00502A31"/>
    <w:rsid w:val="00506625"/>
    <w:rsid w:val="00506E53"/>
    <w:rsid w:val="005077CE"/>
    <w:rsid w:val="00512133"/>
    <w:rsid w:val="005134E0"/>
    <w:rsid w:val="00513955"/>
    <w:rsid w:val="00514681"/>
    <w:rsid w:val="00514F27"/>
    <w:rsid w:val="00516033"/>
    <w:rsid w:val="00516BC0"/>
    <w:rsid w:val="00517F6E"/>
    <w:rsid w:val="005202B0"/>
    <w:rsid w:val="00520B92"/>
    <w:rsid w:val="00520CE6"/>
    <w:rsid w:val="00520D3B"/>
    <w:rsid w:val="00524E1E"/>
    <w:rsid w:val="00527BD7"/>
    <w:rsid w:val="00531A05"/>
    <w:rsid w:val="00532EBB"/>
    <w:rsid w:val="00532FF8"/>
    <w:rsid w:val="00540B09"/>
    <w:rsid w:val="00543F55"/>
    <w:rsid w:val="00544C35"/>
    <w:rsid w:val="00544C79"/>
    <w:rsid w:val="00546D05"/>
    <w:rsid w:val="00550854"/>
    <w:rsid w:val="005509E0"/>
    <w:rsid w:val="005523A5"/>
    <w:rsid w:val="00553541"/>
    <w:rsid w:val="005577BB"/>
    <w:rsid w:val="00557F0D"/>
    <w:rsid w:val="00560F23"/>
    <w:rsid w:val="00561732"/>
    <w:rsid w:val="005634EA"/>
    <w:rsid w:val="005635D1"/>
    <w:rsid w:val="00564CC5"/>
    <w:rsid w:val="005657BB"/>
    <w:rsid w:val="005663BE"/>
    <w:rsid w:val="00567E5E"/>
    <w:rsid w:val="00570FD5"/>
    <w:rsid w:val="0057162E"/>
    <w:rsid w:val="00571920"/>
    <w:rsid w:val="00573C48"/>
    <w:rsid w:val="0057443D"/>
    <w:rsid w:val="00574A11"/>
    <w:rsid w:val="0057539A"/>
    <w:rsid w:val="00575538"/>
    <w:rsid w:val="00575C10"/>
    <w:rsid w:val="00577580"/>
    <w:rsid w:val="00577D9B"/>
    <w:rsid w:val="00582DBB"/>
    <w:rsid w:val="0058433A"/>
    <w:rsid w:val="005845F5"/>
    <w:rsid w:val="00586B20"/>
    <w:rsid w:val="00586C53"/>
    <w:rsid w:val="005873BD"/>
    <w:rsid w:val="005874F1"/>
    <w:rsid w:val="005875CB"/>
    <w:rsid w:val="00591CAA"/>
    <w:rsid w:val="00592F24"/>
    <w:rsid w:val="00595F08"/>
    <w:rsid w:val="005A0E82"/>
    <w:rsid w:val="005A5679"/>
    <w:rsid w:val="005A7808"/>
    <w:rsid w:val="005B09E8"/>
    <w:rsid w:val="005B1958"/>
    <w:rsid w:val="005B33A7"/>
    <w:rsid w:val="005B6107"/>
    <w:rsid w:val="005B64C3"/>
    <w:rsid w:val="005B6B4A"/>
    <w:rsid w:val="005C1330"/>
    <w:rsid w:val="005C2F3E"/>
    <w:rsid w:val="005C344C"/>
    <w:rsid w:val="005C3A02"/>
    <w:rsid w:val="005C52CB"/>
    <w:rsid w:val="005C6739"/>
    <w:rsid w:val="005C6F58"/>
    <w:rsid w:val="005C7EA1"/>
    <w:rsid w:val="005D0492"/>
    <w:rsid w:val="005D05F5"/>
    <w:rsid w:val="005D125D"/>
    <w:rsid w:val="005D1A54"/>
    <w:rsid w:val="005D1DCE"/>
    <w:rsid w:val="005D1DF4"/>
    <w:rsid w:val="005D1F34"/>
    <w:rsid w:val="005D22B9"/>
    <w:rsid w:val="005D271A"/>
    <w:rsid w:val="005D38DC"/>
    <w:rsid w:val="005D3E23"/>
    <w:rsid w:val="005E07F0"/>
    <w:rsid w:val="005E0CB5"/>
    <w:rsid w:val="005E1167"/>
    <w:rsid w:val="005E1ABF"/>
    <w:rsid w:val="005E2D22"/>
    <w:rsid w:val="005E349A"/>
    <w:rsid w:val="005E3F12"/>
    <w:rsid w:val="005E411B"/>
    <w:rsid w:val="005E4181"/>
    <w:rsid w:val="005E549F"/>
    <w:rsid w:val="005E7215"/>
    <w:rsid w:val="005E7BB5"/>
    <w:rsid w:val="005F0843"/>
    <w:rsid w:val="005F2DB4"/>
    <w:rsid w:val="005F3566"/>
    <w:rsid w:val="005F37DA"/>
    <w:rsid w:val="005F5A23"/>
    <w:rsid w:val="005F5A27"/>
    <w:rsid w:val="005F667F"/>
    <w:rsid w:val="005F7296"/>
    <w:rsid w:val="00600482"/>
    <w:rsid w:val="00600CA5"/>
    <w:rsid w:val="0060297E"/>
    <w:rsid w:val="00602C63"/>
    <w:rsid w:val="006031A3"/>
    <w:rsid w:val="00603BE6"/>
    <w:rsid w:val="00606D5D"/>
    <w:rsid w:val="00607F74"/>
    <w:rsid w:val="0061060C"/>
    <w:rsid w:val="00610D4F"/>
    <w:rsid w:val="0061309C"/>
    <w:rsid w:val="006138CA"/>
    <w:rsid w:val="00617962"/>
    <w:rsid w:val="0062073E"/>
    <w:rsid w:val="00621B6F"/>
    <w:rsid w:val="00622BEA"/>
    <w:rsid w:val="00626A0B"/>
    <w:rsid w:val="00632FAF"/>
    <w:rsid w:val="006333B5"/>
    <w:rsid w:val="00633546"/>
    <w:rsid w:val="006336E3"/>
    <w:rsid w:val="00633897"/>
    <w:rsid w:val="00634253"/>
    <w:rsid w:val="00634627"/>
    <w:rsid w:val="0063544A"/>
    <w:rsid w:val="00635662"/>
    <w:rsid w:val="006362D2"/>
    <w:rsid w:val="006405B8"/>
    <w:rsid w:val="00640662"/>
    <w:rsid w:val="00642E9F"/>
    <w:rsid w:val="006457B7"/>
    <w:rsid w:val="00645855"/>
    <w:rsid w:val="00645922"/>
    <w:rsid w:val="00645D5E"/>
    <w:rsid w:val="0064712E"/>
    <w:rsid w:val="006522FE"/>
    <w:rsid w:val="006533AA"/>
    <w:rsid w:val="006553C7"/>
    <w:rsid w:val="0065555A"/>
    <w:rsid w:val="006558B4"/>
    <w:rsid w:val="00661339"/>
    <w:rsid w:val="006643F3"/>
    <w:rsid w:val="00666684"/>
    <w:rsid w:val="00667B7C"/>
    <w:rsid w:val="00670D5D"/>
    <w:rsid w:val="0067209A"/>
    <w:rsid w:val="00674C2B"/>
    <w:rsid w:val="00674E58"/>
    <w:rsid w:val="0067524F"/>
    <w:rsid w:val="006809DC"/>
    <w:rsid w:val="00681B56"/>
    <w:rsid w:val="006830DB"/>
    <w:rsid w:val="00684213"/>
    <w:rsid w:val="0068680A"/>
    <w:rsid w:val="00691BE6"/>
    <w:rsid w:val="00693E15"/>
    <w:rsid w:val="00695563"/>
    <w:rsid w:val="00695C67"/>
    <w:rsid w:val="00696224"/>
    <w:rsid w:val="00697AA4"/>
    <w:rsid w:val="006A0AFA"/>
    <w:rsid w:val="006A1C90"/>
    <w:rsid w:val="006A6380"/>
    <w:rsid w:val="006A7453"/>
    <w:rsid w:val="006B2473"/>
    <w:rsid w:val="006B2647"/>
    <w:rsid w:val="006B3D23"/>
    <w:rsid w:val="006B51FE"/>
    <w:rsid w:val="006B6FCB"/>
    <w:rsid w:val="006B7315"/>
    <w:rsid w:val="006B7A17"/>
    <w:rsid w:val="006C3C82"/>
    <w:rsid w:val="006C5614"/>
    <w:rsid w:val="006C5AB4"/>
    <w:rsid w:val="006C667D"/>
    <w:rsid w:val="006D23EA"/>
    <w:rsid w:val="006D23F3"/>
    <w:rsid w:val="006D2F12"/>
    <w:rsid w:val="006D3BEC"/>
    <w:rsid w:val="006D4332"/>
    <w:rsid w:val="006E1AE3"/>
    <w:rsid w:val="006E2D72"/>
    <w:rsid w:val="006E3526"/>
    <w:rsid w:val="006E35E4"/>
    <w:rsid w:val="006E3D3D"/>
    <w:rsid w:val="006E4B27"/>
    <w:rsid w:val="006E7448"/>
    <w:rsid w:val="006F0154"/>
    <w:rsid w:val="006F2A34"/>
    <w:rsid w:val="006F314F"/>
    <w:rsid w:val="006F6DEC"/>
    <w:rsid w:val="006F74DB"/>
    <w:rsid w:val="0070486E"/>
    <w:rsid w:val="007079F8"/>
    <w:rsid w:val="00710920"/>
    <w:rsid w:val="00711371"/>
    <w:rsid w:val="00711799"/>
    <w:rsid w:val="007136C3"/>
    <w:rsid w:val="00715A8D"/>
    <w:rsid w:val="00720E4B"/>
    <w:rsid w:val="00720FEB"/>
    <w:rsid w:val="007226E4"/>
    <w:rsid w:val="00725103"/>
    <w:rsid w:val="00730562"/>
    <w:rsid w:val="00730B5E"/>
    <w:rsid w:val="00731C8F"/>
    <w:rsid w:val="007333C7"/>
    <w:rsid w:val="007357F1"/>
    <w:rsid w:val="00736849"/>
    <w:rsid w:val="00736B5C"/>
    <w:rsid w:val="00740E3E"/>
    <w:rsid w:val="007439B5"/>
    <w:rsid w:val="00744736"/>
    <w:rsid w:val="00744997"/>
    <w:rsid w:val="007450CC"/>
    <w:rsid w:val="0074522A"/>
    <w:rsid w:val="00746C4A"/>
    <w:rsid w:val="00746D66"/>
    <w:rsid w:val="007521B0"/>
    <w:rsid w:val="00752342"/>
    <w:rsid w:val="007523FC"/>
    <w:rsid w:val="0075385A"/>
    <w:rsid w:val="00756202"/>
    <w:rsid w:val="00756C90"/>
    <w:rsid w:val="007578E7"/>
    <w:rsid w:val="00761EF4"/>
    <w:rsid w:val="0076345A"/>
    <w:rsid w:val="00763FB7"/>
    <w:rsid w:val="007641F8"/>
    <w:rsid w:val="00764487"/>
    <w:rsid w:val="00771243"/>
    <w:rsid w:val="00772168"/>
    <w:rsid w:val="007721D8"/>
    <w:rsid w:val="00772C72"/>
    <w:rsid w:val="007737E1"/>
    <w:rsid w:val="0077389A"/>
    <w:rsid w:val="00773D06"/>
    <w:rsid w:val="00774A73"/>
    <w:rsid w:val="007808A3"/>
    <w:rsid w:val="0078164A"/>
    <w:rsid w:val="00781D3C"/>
    <w:rsid w:val="00782462"/>
    <w:rsid w:val="00782AF8"/>
    <w:rsid w:val="00785AFC"/>
    <w:rsid w:val="00791628"/>
    <w:rsid w:val="0079783D"/>
    <w:rsid w:val="007978CA"/>
    <w:rsid w:val="007A2D90"/>
    <w:rsid w:val="007A3634"/>
    <w:rsid w:val="007A4DAA"/>
    <w:rsid w:val="007A5466"/>
    <w:rsid w:val="007A5A72"/>
    <w:rsid w:val="007A669F"/>
    <w:rsid w:val="007B1AE0"/>
    <w:rsid w:val="007B22FB"/>
    <w:rsid w:val="007B2D11"/>
    <w:rsid w:val="007B30D5"/>
    <w:rsid w:val="007B3B8E"/>
    <w:rsid w:val="007B47D7"/>
    <w:rsid w:val="007B68C7"/>
    <w:rsid w:val="007B6AD4"/>
    <w:rsid w:val="007C0073"/>
    <w:rsid w:val="007C00C4"/>
    <w:rsid w:val="007C088A"/>
    <w:rsid w:val="007C1C0C"/>
    <w:rsid w:val="007C2464"/>
    <w:rsid w:val="007C37CD"/>
    <w:rsid w:val="007C37ED"/>
    <w:rsid w:val="007C4616"/>
    <w:rsid w:val="007C53D9"/>
    <w:rsid w:val="007C671A"/>
    <w:rsid w:val="007C7781"/>
    <w:rsid w:val="007D0278"/>
    <w:rsid w:val="007D02FE"/>
    <w:rsid w:val="007D2096"/>
    <w:rsid w:val="007D299A"/>
    <w:rsid w:val="007D4267"/>
    <w:rsid w:val="007D6055"/>
    <w:rsid w:val="007D78AA"/>
    <w:rsid w:val="007D7EA9"/>
    <w:rsid w:val="007E0183"/>
    <w:rsid w:val="007E06A7"/>
    <w:rsid w:val="007E1628"/>
    <w:rsid w:val="007E3B52"/>
    <w:rsid w:val="007E5694"/>
    <w:rsid w:val="007E6C01"/>
    <w:rsid w:val="007E7E86"/>
    <w:rsid w:val="007F128A"/>
    <w:rsid w:val="007F3837"/>
    <w:rsid w:val="007F523C"/>
    <w:rsid w:val="007F6AAC"/>
    <w:rsid w:val="007F6BF5"/>
    <w:rsid w:val="008000C9"/>
    <w:rsid w:val="0080044B"/>
    <w:rsid w:val="00802301"/>
    <w:rsid w:val="00803024"/>
    <w:rsid w:val="00805A0C"/>
    <w:rsid w:val="00806119"/>
    <w:rsid w:val="008063B6"/>
    <w:rsid w:val="0080776D"/>
    <w:rsid w:val="00807AFC"/>
    <w:rsid w:val="008104DF"/>
    <w:rsid w:val="00810929"/>
    <w:rsid w:val="008133CE"/>
    <w:rsid w:val="008134C2"/>
    <w:rsid w:val="00814622"/>
    <w:rsid w:val="0081525A"/>
    <w:rsid w:val="0081536E"/>
    <w:rsid w:val="00815D85"/>
    <w:rsid w:val="00815F62"/>
    <w:rsid w:val="00816753"/>
    <w:rsid w:val="00816AFE"/>
    <w:rsid w:val="008170DC"/>
    <w:rsid w:val="008200FF"/>
    <w:rsid w:val="008201A2"/>
    <w:rsid w:val="00822772"/>
    <w:rsid w:val="0082346F"/>
    <w:rsid w:val="00824213"/>
    <w:rsid w:val="0082452E"/>
    <w:rsid w:val="00825488"/>
    <w:rsid w:val="00830069"/>
    <w:rsid w:val="008326A2"/>
    <w:rsid w:val="00834BEC"/>
    <w:rsid w:val="00834DC0"/>
    <w:rsid w:val="008357C1"/>
    <w:rsid w:val="00835E34"/>
    <w:rsid w:val="00836C3B"/>
    <w:rsid w:val="008447EB"/>
    <w:rsid w:val="00844E42"/>
    <w:rsid w:val="00846098"/>
    <w:rsid w:val="0084734F"/>
    <w:rsid w:val="00847C79"/>
    <w:rsid w:val="008508EB"/>
    <w:rsid w:val="00850CBE"/>
    <w:rsid w:val="0085162E"/>
    <w:rsid w:val="0085199D"/>
    <w:rsid w:val="008540F4"/>
    <w:rsid w:val="00855FEE"/>
    <w:rsid w:val="00862F63"/>
    <w:rsid w:val="0086307B"/>
    <w:rsid w:val="008636C5"/>
    <w:rsid w:val="00863A23"/>
    <w:rsid w:val="00864449"/>
    <w:rsid w:val="008646B1"/>
    <w:rsid w:val="0086583A"/>
    <w:rsid w:val="008659B6"/>
    <w:rsid w:val="008661F6"/>
    <w:rsid w:val="0086670E"/>
    <w:rsid w:val="00874200"/>
    <w:rsid w:val="008751B2"/>
    <w:rsid w:val="00876161"/>
    <w:rsid w:val="0087643D"/>
    <w:rsid w:val="00877230"/>
    <w:rsid w:val="00877614"/>
    <w:rsid w:val="00877B59"/>
    <w:rsid w:val="008831A4"/>
    <w:rsid w:val="00884143"/>
    <w:rsid w:val="00884DE1"/>
    <w:rsid w:val="00885006"/>
    <w:rsid w:val="008902C7"/>
    <w:rsid w:val="00891253"/>
    <w:rsid w:val="008914F6"/>
    <w:rsid w:val="00891AA8"/>
    <w:rsid w:val="00894249"/>
    <w:rsid w:val="00895506"/>
    <w:rsid w:val="00895CB9"/>
    <w:rsid w:val="008A01B6"/>
    <w:rsid w:val="008A1493"/>
    <w:rsid w:val="008A1860"/>
    <w:rsid w:val="008A25A1"/>
    <w:rsid w:val="008A34E7"/>
    <w:rsid w:val="008A5650"/>
    <w:rsid w:val="008A7930"/>
    <w:rsid w:val="008B01B0"/>
    <w:rsid w:val="008B074C"/>
    <w:rsid w:val="008B31EA"/>
    <w:rsid w:val="008B3354"/>
    <w:rsid w:val="008B45ED"/>
    <w:rsid w:val="008B4D7C"/>
    <w:rsid w:val="008B7738"/>
    <w:rsid w:val="008C045F"/>
    <w:rsid w:val="008C06F4"/>
    <w:rsid w:val="008C1B5D"/>
    <w:rsid w:val="008C27D0"/>
    <w:rsid w:val="008C31DE"/>
    <w:rsid w:val="008C3FD7"/>
    <w:rsid w:val="008C56FF"/>
    <w:rsid w:val="008D10A3"/>
    <w:rsid w:val="008D39BA"/>
    <w:rsid w:val="008D4AF0"/>
    <w:rsid w:val="008D7624"/>
    <w:rsid w:val="008E0B78"/>
    <w:rsid w:val="008E354B"/>
    <w:rsid w:val="008E5026"/>
    <w:rsid w:val="008F08FA"/>
    <w:rsid w:val="008F1221"/>
    <w:rsid w:val="008F29A3"/>
    <w:rsid w:val="008F2A1A"/>
    <w:rsid w:val="008F2AAF"/>
    <w:rsid w:val="008F3425"/>
    <w:rsid w:val="008F711A"/>
    <w:rsid w:val="008F76AE"/>
    <w:rsid w:val="008F7762"/>
    <w:rsid w:val="008F7C9B"/>
    <w:rsid w:val="0090021E"/>
    <w:rsid w:val="009007A3"/>
    <w:rsid w:val="009022AF"/>
    <w:rsid w:val="009040C4"/>
    <w:rsid w:val="0090411E"/>
    <w:rsid w:val="00905489"/>
    <w:rsid w:val="00910DCD"/>
    <w:rsid w:val="00911145"/>
    <w:rsid w:val="00912314"/>
    <w:rsid w:val="00913905"/>
    <w:rsid w:val="009146E4"/>
    <w:rsid w:val="0091491D"/>
    <w:rsid w:val="00915A02"/>
    <w:rsid w:val="00915E0D"/>
    <w:rsid w:val="00915E92"/>
    <w:rsid w:val="0092298A"/>
    <w:rsid w:val="0092574A"/>
    <w:rsid w:val="00927450"/>
    <w:rsid w:val="00933645"/>
    <w:rsid w:val="00933917"/>
    <w:rsid w:val="009352AE"/>
    <w:rsid w:val="00935A26"/>
    <w:rsid w:val="00935E31"/>
    <w:rsid w:val="009442A4"/>
    <w:rsid w:val="00947275"/>
    <w:rsid w:val="009507D5"/>
    <w:rsid w:val="00950F9A"/>
    <w:rsid w:val="00951764"/>
    <w:rsid w:val="00951E32"/>
    <w:rsid w:val="0095620A"/>
    <w:rsid w:val="00957BA5"/>
    <w:rsid w:val="0096133C"/>
    <w:rsid w:val="00961C78"/>
    <w:rsid w:val="009624D4"/>
    <w:rsid w:val="0096299B"/>
    <w:rsid w:val="00962F2C"/>
    <w:rsid w:val="009634E8"/>
    <w:rsid w:val="0096515E"/>
    <w:rsid w:val="00966959"/>
    <w:rsid w:val="00966C4E"/>
    <w:rsid w:val="00972184"/>
    <w:rsid w:val="009734BE"/>
    <w:rsid w:val="00973E6D"/>
    <w:rsid w:val="0097417D"/>
    <w:rsid w:val="00975493"/>
    <w:rsid w:val="00976C1B"/>
    <w:rsid w:val="00977398"/>
    <w:rsid w:val="0098006D"/>
    <w:rsid w:val="00982AD6"/>
    <w:rsid w:val="00983A7A"/>
    <w:rsid w:val="009852D7"/>
    <w:rsid w:val="009854F7"/>
    <w:rsid w:val="00990920"/>
    <w:rsid w:val="00990932"/>
    <w:rsid w:val="00990B95"/>
    <w:rsid w:val="00990CEF"/>
    <w:rsid w:val="00994323"/>
    <w:rsid w:val="00995769"/>
    <w:rsid w:val="0099654B"/>
    <w:rsid w:val="009A0ADD"/>
    <w:rsid w:val="009A179E"/>
    <w:rsid w:val="009A4304"/>
    <w:rsid w:val="009A5F9E"/>
    <w:rsid w:val="009A79ED"/>
    <w:rsid w:val="009B0C57"/>
    <w:rsid w:val="009B0D2D"/>
    <w:rsid w:val="009B1373"/>
    <w:rsid w:val="009B403D"/>
    <w:rsid w:val="009B43C9"/>
    <w:rsid w:val="009B6FEE"/>
    <w:rsid w:val="009C0BF5"/>
    <w:rsid w:val="009C50B8"/>
    <w:rsid w:val="009C60EF"/>
    <w:rsid w:val="009C67D8"/>
    <w:rsid w:val="009C6C97"/>
    <w:rsid w:val="009D0DF3"/>
    <w:rsid w:val="009D2319"/>
    <w:rsid w:val="009D297E"/>
    <w:rsid w:val="009D3D41"/>
    <w:rsid w:val="009D4EE1"/>
    <w:rsid w:val="009D6B5F"/>
    <w:rsid w:val="009E0117"/>
    <w:rsid w:val="009E04E1"/>
    <w:rsid w:val="009E0C4F"/>
    <w:rsid w:val="009E1B4E"/>
    <w:rsid w:val="009E3195"/>
    <w:rsid w:val="009E715C"/>
    <w:rsid w:val="009E7C7D"/>
    <w:rsid w:val="009F0D8C"/>
    <w:rsid w:val="009F369C"/>
    <w:rsid w:val="009F3B7C"/>
    <w:rsid w:val="009F7D6A"/>
    <w:rsid w:val="00A001DE"/>
    <w:rsid w:val="00A0068B"/>
    <w:rsid w:val="00A00BB5"/>
    <w:rsid w:val="00A014CC"/>
    <w:rsid w:val="00A02ADA"/>
    <w:rsid w:val="00A0360A"/>
    <w:rsid w:val="00A03983"/>
    <w:rsid w:val="00A03A96"/>
    <w:rsid w:val="00A0490C"/>
    <w:rsid w:val="00A04F0C"/>
    <w:rsid w:val="00A0681A"/>
    <w:rsid w:val="00A06CB6"/>
    <w:rsid w:val="00A07B8F"/>
    <w:rsid w:val="00A1011A"/>
    <w:rsid w:val="00A123DC"/>
    <w:rsid w:val="00A12486"/>
    <w:rsid w:val="00A155BE"/>
    <w:rsid w:val="00A15851"/>
    <w:rsid w:val="00A15EA7"/>
    <w:rsid w:val="00A16A9E"/>
    <w:rsid w:val="00A16F55"/>
    <w:rsid w:val="00A17A21"/>
    <w:rsid w:val="00A23933"/>
    <w:rsid w:val="00A263C1"/>
    <w:rsid w:val="00A26BF6"/>
    <w:rsid w:val="00A27568"/>
    <w:rsid w:val="00A27A20"/>
    <w:rsid w:val="00A30882"/>
    <w:rsid w:val="00A30BD2"/>
    <w:rsid w:val="00A3143F"/>
    <w:rsid w:val="00A3339F"/>
    <w:rsid w:val="00A336E9"/>
    <w:rsid w:val="00A34231"/>
    <w:rsid w:val="00A3713F"/>
    <w:rsid w:val="00A419A7"/>
    <w:rsid w:val="00A44C39"/>
    <w:rsid w:val="00A44FAA"/>
    <w:rsid w:val="00A46FB3"/>
    <w:rsid w:val="00A52256"/>
    <w:rsid w:val="00A52A7B"/>
    <w:rsid w:val="00A55FE0"/>
    <w:rsid w:val="00A614D5"/>
    <w:rsid w:val="00A61E0F"/>
    <w:rsid w:val="00A62A08"/>
    <w:rsid w:val="00A62DD2"/>
    <w:rsid w:val="00A656B0"/>
    <w:rsid w:val="00A670CA"/>
    <w:rsid w:val="00A708A5"/>
    <w:rsid w:val="00A725B0"/>
    <w:rsid w:val="00A7350E"/>
    <w:rsid w:val="00A736DC"/>
    <w:rsid w:val="00A77EC4"/>
    <w:rsid w:val="00A80646"/>
    <w:rsid w:val="00A82FD5"/>
    <w:rsid w:val="00A83038"/>
    <w:rsid w:val="00A85BA0"/>
    <w:rsid w:val="00A87B94"/>
    <w:rsid w:val="00A90C98"/>
    <w:rsid w:val="00A93275"/>
    <w:rsid w:val="00A9677A"/>
    <w:rsid w:val="00AA2D9E"/>
    <w:rsid w:val="00AA379D"/>
    <w:rsid w:val="00AA40A5"/>
    <w:rsid w:val="00AA4DC2"/>
    <w:rsid w:val="00AA54B1"/>
    <w:rsid w:val="00AA58B4"/>
    <w:rsid w:val="00AA656D"/>
    <w:rsid w:val="00AA7030"/>
    <w:rsid w:val="00AA78D4"/>
    <w:rsid w:val="00AB0437"/>
    <w:rsid w:val="00AB38A0"/>
    <w:rsid w:val="00AB3AE5"/>
    <w:rsid w:val="00AB3DAB"/>
    <w:rsid w:val="00AB3F4E"/>
    <w:rsid w:val="00AB52EB"/>
    <w:rsid w:val="00AB5E0B"/>
    <w:rsid w:val="00AC0265"/>
    <w:rsid w:val="00AC0271"/>
    <w:rsid w:val="00AC19A4"/>
    <w:rsid w:val="00AC3073"/>
    <w:rsid w:val="00AC43D7"/>
    <w:rsid w:val="00AC5E2F"/>
    <w:rsid w:val="00AC5E37"/>
    <w:rsid w:val="00AC60A1"/>
    <w:rsid w:val="00AC73B9"/>
    <w:rsid w:val="00AC7A91"/>
    <w:rsid w:val="00AD13AB"/>
    <w:rsid w:val="00AD1A37"/>
    <w:rsid w:val="00AD20DD"/>
    <w:rsid w:val="00AD5CEA"/>
    <w:rsid w:val="00AD5DA2"/>
    <w:rsid w:val="00AD7C19"/>
    <w:rsid w:val="00AE039F"/>
    <w:rsid w:val="00AE25EA"/>
    <w:rsid w:val="00AF144C"/>
    <w:rsid w:val="00AF17C2"/>
    <w:rsid w:val="00AF55C7"/>
    <w:rsid w:val="00B013F9"/>
    <w:rsid w:val="00B02E1D"/>
    <w:rsid w:val="00B07781"/>
    <w:rsid w:val="00B0778D"/>
    <w:rsid w:val="00B12360"/>
    <w:rsid w:val="00B137EB"/>
    <w:rsid w:val="00B162CA"/>
    <w:rsid w:val="00B17D3F"/>
    <w:rsid w:val="00B201D9"/>
    <w:rsid w:val="00B24973"/>
    <w:rsid w:val="00B26496"/>
    <w:rsid w:val="00B300F4"/>
    <w:rsid w:val="00B308E0"/>
    <w:rsid w:val="00B31860"/>
    <w:rsid w:val="00B34AB4"/>
    <w:rsid w:val="00B35F58"/>
    <w:rsid w:val="00B41586"/>
    <w:rsid w:val="00B43657"/>
    <w:rsid w:val="00B47AFD"/>
    <w:rsid w:val="00B50CD5"/>
    <w:rsid w:val="00B50DAF"/>
    <w:rsid w:val="00B515BB"/>
    <w:rsid w:val="00B517D1"/>
    <w:rsid w:val="00B52CD4"/>
    <w:rsid w:val="00B53563"/>
    <w:rsid w:val="00B55093"/>
    <w:rsid w:val="00B55BBA"/>
    <w:rsid w:val="00B564CE"/>
    <w:rsid w:val="00B609E0"/>
    <w:rsid w:val="00B63847"/>
    <w:rsid w:val="00B66F99"/>
    <w:rsid w:val="00B67E69"/>
    <w:rsid w:val="00B67FCB"/>
    <w:rsid w:val="00B709CA"/>
    <w:rsid w:val="00B70BF1"/>
    <w:rsid w:val="00B72995"/>
    <w:rsid w:val="00B7367F"/>
    <w:rsid w:val="00B757AD"/>
    <w:rsid w:val="00B762B9"/>
    <w:rsid w:val="00B80370"/>
    <w:rsid w:val="00B807C7"/>
    <w:rsid w:val="00B823B0"/>
    <w:rsid w:val="00B87032"/>
    <w:rsid w:val="00B874BE"/>
    <w:rsid w:val="00B9026E"/>
    <w:rsid w:val="00B9105C"/>
    <w:rsid w:val="00B91500"/>
    <w:rsid w:val="00B9350E"/>
    <w:rsid w:val="00B95674"/>
    <w:rsid w:val="00BA124B"/>
    <w:rsid w:val="00BA141D"/>
    <w:rsid w:val="00BA2680"/>
    <w:rsid w:val="00BA33DC"/>
    <w:rsid w:val="00BA48F8"/>
    <w:rsid w:val="00BA5E7A"/>
    <w:rsid w:val="00BA67AC"/>
    <w:rsid w:val="00BA76AF"/>
    <w:rsid w:val="00BA76ED"/>
    <w:rsid w:val="00BB442C"/>
    <w:rsid w:val="00BB5874"/>
    <w:rsid w:val="00BB5A32"/>
    <w:rsid w:val="00BC2B8B"/>
    <w:rsid w:val="00BC35E1"/>
    <w:rsid w:val="00BC55EA"/>
    <w:rsid w:val="00BC689E"/>
    <w:rsid w:val="00BD0FD4"/>
    <w:rsid w:val="00BD22EB"/>
    <w:rsid w:val="00BD2A62"/>
    <w:rsid w:val="00BD2D2A"/>
    <w:rsid w:val="00BD5227"/>
    <w:rsid w:val="00BD6465"/>
    <w:rsid w:val="00BD6A4E"/>
    <w:rsid w:val="00BE10BC"/>
    <w:rsid w:val="00BE20C7"/>
    <w:rsid w:val="00BF1AFD"/>
    <w:rsid w:val="00BF2042"/>
    <w:rsid w:val="00BF20D3"/>
    <w:rsid w:val="00BF2522"/>
    <w:rsid w:val="00BF2EB1"/>
    <w:rsid w:val="00BF3FAB"/>
    <w:rsid w:val="00BF5892"/>
    <w:rsid w:val="00BF5D3F"/>
    <w:rsid w:val="00BF5D90"/>
    <w:rsid w:val="00BF6996"/>
    <w:rsid w:val="00BF713C"/>
    <w:rsid w:val="00C0009F"/>
    <w:rsid w:val="00C022A6"/>
    <w:rsid w:val="00C02E30"/>
    <w:rsid w:val="00C06BA1"/>
    <w:rsid w:val="00C12933"/>
    <w:rsid w:val="00C15B74"/>
    <w:rsid w:val="00C16469"/>
    <w:rsid w:val="00C22D47"/>
    <w:rsid w:val="00C23B12"/>
    <w:rsid w:val="00C23E47"/>
    <w:rsid w:val="00C24FB2"/>
    <w:rsid w:val="00C25208"/>
    <w:rsid w:val="00C25519"/>
    <w:rsid w:val="00C266AB"/>
    <w:rsid w:val="00C30E47"/>
    <w:rsid w:val="00C31470"/>
    <w:rsid w:val="00C32DCF"/>
    <w:rsid w:val="00C33D07"/>
    <w:rsid w:val="00C34BD8"/>
    <w:rsid w:val="00C366CF"/>
    <w:rsid w:val="00C366D3"/>
    <w:rsid w:val="00C417CC"/>
    <w:rsid w:val="00C437AB"/>
    <w:rsid w:val="00C466BF"/>
    <w:rsid w:val="00C524D8"/>
    <w:rsid w:val="00C53317"/>
    <w:rsid w:val="00C53EE8"/>
    <w:rsid w:val="00C551EE"/>
    <w:rsid w:val="00C56404"/>
    <w:rsid w:val="00C566E0"/>
    <w:rsid w:val="00C608A2"/>
    <w:rsid w:val="00C62241"/>
    <w:rsid w:val="00C63A55"/>
    <w:rsid w:val="00C64570"/>
    <w:rsid w:val="00C64EDA"/>
    <w:rsid w:val="00C65418"/>
    <w:rsid w:val="00C6641B"/>
    <w:rsid w:val="00C6664B"/>
    <w:rsid w:val="00C677C5"/>
    <w:rsid w:val="00C71FD6"/>
    <w:rsid w:val="00C744C1"/>
    <w:rsid w:val="00C74750"/>
    <w:rsid w:val="00C75F41"/>
    <w:rsid w:val="00C77873"/>
    <w:rsid w:val="00C77A8A"/>
    <w:rsid w:val="00C802C0"/>
    <w:rsid w:val="00C8094D"/>
    <w:rsid w:val="00C80BEE"/>
    <w:rsid w:val="00C82E12"/>
    <w:rsid w:val="00C84154"/>
    <w:rsid w:val="00C854BB"/>
    <w:rsid w:val="00C862F0"/>
    <w:rsid w:val="00C87932"/>
    <w:rsid w:val="00C9174A"/>
    <w:rsid w:val="00C9324B"/>
    <w:rsid w:val="00CA030B"/>
    <w:rsid w:val="00CA28BC"/>
    <w:rsid w:val="00CA2E34"/>
    <w:rsid w:val="00CA4B43"/>
    <w:rsid w:val="00CA58C7"/>
    <w:rsid w:val="00CA61EC"/>
    <w:rsid w:val="00CA6FFB"/>
    <w:rsid w:val="00CB1545"/>
    <w:rsid w:val="00CB2054"/>
    <w:rsid w:val="00CB223A"/>
    <w:rsid w:val="00CB310B"/>
    <w:rsid w:val="00CC1381"/>
    <w:rsid w:val="00CC57F4"/>
    <w:rsid w:val="00CC7B97"/>
    <w:rsid w:val="00CD0D3A"/>
    <w:rsid w:val="00CD1569"/>
    <w:rsid w:val="00CD36E0"/>
    <w:rsid w:val="00CD3964"/>
    <w:rsid w:val="00CD4E7B"/>
    <w:rsid w:val="00CD6502"/>
    <w:rsid w:val="00CD7559"/>
    <w:rsid w:val="00CD791F"/>
    <w:rsid w:val="00CE0E61"/>
    <w:rsid w:val="00CE1DEB"/>
    <w:rsid w:val="00CE3149"/>
    <w:rsid w:val="00CE350F"/>
    <w:rsid w:val="00CE3A6C"/>
    <w:rsid w:val="00CE461D"/>
    <w:rsid w:val="00CE46A1"/>
    <w:rsid w:val="00CE6648"/>
    <w:rsid w:val="00CF7725"/>
    <w:rsid w:val="00D02135"/>
    <w:rsid w:val="00D05172"/>
    <w:rsid w:val="00D10AE3"/>
    <w:rsid w:val="00D112A5"/>
    <w:rsid w:val="00D116C1"/>
    <w:rsid w:val="00D11CA3"/>
    <w:rsid w:val="00D11FDD"/>
    <w:rsid w:val="00D12684"/>
    <w:rsid w:val="00D137E3"/>
    <w:rsid w:val="00D13BA7"/>
    <w:rsid w:val="00D14DDB"/>
    <w:rsid w:val="00D17D2B"/>
    <w:rsid w:val="00D2155C"/>
    <w:rsid w:val="00D263C3"/>
    <w:rsid w:val="00D31BAF"/>
    <w:rsid w:val="00D326FB"/>
    <w:rsid w:val="00D33137"/>
    <w:rsid w:val="00D33A20"/>
    <w:rsid w:val="00D34188"/>
    <w:rsid w:val="00D3699E"/>
    <w:rsid w:val="00D36AF4"/>
    <w:rsid w:val="00D3729E"/>
    <w:rsid w:val="00D41704"/>
    <w:rsid w:val="00D42984"/>
    <w:rsid w:val="00D429A3"/>
    <w:rsid w:val="00D42C4A"/>
    <w:rsid w:val="00D440A6"/>
    <w:rsid w:val="00D44A6F"/>
    <w:rsid w:val="00D45171"/>
    <w:rsid w:val="00D468BF"/>
    <w:rsid w:val="00D51C8A"/>
    <w:rsid w:val="00D52006"/>
    <w:rsid w:val="00D522E4"/>
    <w:rsid w:val="00D60DAB"/>
    <w:rsid w:val="00D61BD5"/>
    <w:rsid w:val="00D630D2"/>
    <w:rsid w:val="00D65D67"/>
    <w:rsid w:val="00D66DB1"/>
    <w:rsid w:val="00D6741B"/>
    <w:rsid w:val="00D71D9E"/>
    <w:rsid w:val="00D735EA"/>
    <w:rsid w:val="00D73A44"/>
    <w:rsid w:val="00D745B9"/>
    <w:rsid w:val="00D75708"/>
    <w:rsid w:val="00D76147"/>
    <w:rsid w:val="00D769A2"/>
    <w:rsid w:val="00D76A15"/>
    <w:rsid w:val="00D770BA"/>
    <w:rsid w:val="00D82F8F"/>
    <w:rsid w:val="00D83BBF"/>
    <w:rsid w:val="00D83C83"/>
    <w:rsid w:val="00D84AF0"/>
    <w:rsid w:val="00D84FB2"/>
    <w:rsid w:val="00D851B0"/>
    <w:rsid w:val="00D85531"/>
    <w:rsid w:val="00D868FD"/>
    <w:rsid w:val="00D8771A"/>
    <w:rsid w:val="00D87E1B"/>
    <w:rsid w:val="00D92081"/>
    <w:rsid w:val="00D93678"/>
    <w:rsid w:val="00D9516A"/>
    <w:rsid w:val="00D95610"/>
    <w:rsid w:val="00D95D28"/>
    <w:rsid w:val="00D95ED2"/>
    <w:rsid w:val="00D97A85"/>
    <w:rsid w:val="00D97B12"/>
    <w:rsid w:val="00DA33D2"/>
    <w:rsid w:val="00DA438F"/>
    <w:rsid w:val="00DB0199"/>
    <w:rsid w:val="00DB3ABC"/>
    <w:rsid w:val="00DB4777"/>
    <w:rsid w:val="00DB6F16"/>
    <w:rsid w:val="00DC1544"/>
    <w:rsid w:val="00DC33B2"/>
    <w:rsid w:val="00DC3453"/>
    <w:rsid w:val="00DC39F5"/>
    <w:rsid w:val="00DC7775"/>
    <w:rsid w:val="00DC7E57"/>
    <w:rsid w:val="00DD0E3E"/>
    <w:rsid w:val="00DD2608"/>
    <w:rsid w:val="00DD29A4"/>
    <w:rsid w:val="00DD3903"/>
    <w:rsid w:val="00DD6C7E"/>
    <w:rsid w:val="00DE112D"/>
    <w:rsid w:val="00DE1860"/>
    <w:rsid w:val="00DE1F73"/>
    <w:rsid w:val="00DE2F4F"/>
    <w:rsid w:val="00DE3BF5"/>
    <w:rsid w:val="00DE4AEB"/>
    <w:rsid w:val="00DE4F97"/>
    <w:rsid w:val="00DF37E6"/>
    <w:rsid w:val="00DF5B3A"/>
    <w:rsid w:val="00DF650A"/>
    <w:rsid w:val="00DF79F4"/>
    <w:rsid w:val="00DF7A94"/>
    <w:rsid w:val="00E006AF"/>
    <w:rsid w:val="00E0467D"/>
    <w:rsid w:val="00E047EC"/>
    <w:rsid w:val="00E06AEA"/>
    <w:rsid w:val="00E06F99"/>
    <w:rsid w:val="00E110B9"/>
    <w:rsid w:val="00E119E2"/>
    <w:rsid w:val="00E14199"/>
    <w:rsid w:val="00E14688"/>
    <w:rsid w:val="00E20133"/>
    <w:rsid w:val="00E22766"/>
    <w:rsid w:val="00E236BF"/>
    <w:rsid w:val="00E26972"/>
    <w:rsid w:val="00E26F93"/>
    <w:rsid w:val="00E273B1"/>
    <w:rsid w:val="00E316C6"/>
    <w:rsid w:val="00E32623"/>
    <w:rsid w:val="00E32C79"/>
    <w:rsid w:val="00E33800"/>
    <w:rsid w:val="00E353D7"/>
    <w:rsid w:val="00E41DEA"/>
    <w:rsid w:val="00E43E8D"/>
    <w:rsid w:val="00E4583F"/>
    <w:rsid w:val="00E46483"/>
    <w:rsid w:val="00E469F3"/>
    <w:rsid w:val="00E52946"/>
    <w:rsid w:val="00E53C1B"/>
    <w:rsid w:val="00E5472B"/>
    <w:rsid w:val="00E55376"/>
    <w:rsid w:val="00E568EA"/>
    <w:rsid w:val="00E6565B"/>
    <w:rsid w:val="00E664CB"/>
    <w:rsid w:val="00E66823"/>
    <w:rsid w:val="00E672C7"/>
    <w:rsid w:val="00E6796E"/>
    <w:rsid w:val="00E67D13"/>
    <w:rsid w:val="00E70157"/>
    <w:rsid w:val="00E735F1"/>
    <w:rsid w:val="00E74BFC"/>
    <w:rsid w:val="00E766B1"/>
    <w:rsid w:val="00E84196"/>
    <w:rsid w:val="00E84524"/>
    <w:rsid w:val="00E84654"/>
    <w:rsid w:val="00E8503E"/>
    <w:rsid w:val="00E8547B"/>
    <w:rsid w:val="00E900B7"/>
    <w:rsid w:val="00E909B5"/>
    <w:rsid w:val="00E9140E"/>
    <w:rsid w:val="00E92252"/>
    <w:rsid w:val="00E95FAF"/>
    <w:rsid w:val="00EA124D"/>
    <w:rsid w:val="00EA1E9D"/>
    <w:rsid w:val="00EA2791"/>
    <w:rsid w:val="00EA3542"/>
    <w:rsid w:val="00EA4A90"/>
    <w:rsid w:val="00EA4DEA"/>
    <w:rsid w:val="00EB1F73"/>
    <w:rsid w:val="00EB2769"/>
    <w:rsid w:val="00EB2D04"/>
    <w:rsid w:val="00EB3A5C"/>
    <w:rsid w:val="00EB56AB"/>
    <w:rsid w:val="00EB5997"/>
    <w:rsid w:val="00EC1646"/>
    <w:rsid w:val="00EC3444"/>
    <w:rsid w:val="00EC3DE7"/>
    <w:rsid w:val="00EC4A80"/>
    <w:rsid w:val="00EC51B4"/>
    <w:rsid w:val="00EC6AEC"/>
    <w:rsid w:val="00ED009F"/>
    <w:rsid w:val="00ED201A"/>
    <w:rsid w:val="00ED2B28"/>
    <w:rsid w:val="00ED2CB0"/>
    <w:rsid w:val="00ED3A6F"/>
    <w:rsid w:val="00ED40D5"/>
    <w:rsid w:val="00ED7F6A"/>
    <w:rsid w:val="00EE132E"/>
    <w:rsid w:val="00EE2A68"/>
    <w:rsid w:val="00EE40B2"/>
    <w:rsid w:val="00EE440C"/>
    <w:rsid w:val="00EE5CE9"/>
    <w:rsid w:val="00EF1D94"/>
    <w:rsid w:val="00EF218C"/>
    <w:rsid w:val="00EF26CB"/>
    <w:rsid w:val="00EF5729"/>
    <w:rsid w:val="00F03C3E"/>
    <w:rsid w:val="00F03E4B"/>
    <w:rsid w:val="00F046C2"/>
    <w:rsid w:val="00F074C0"/>
    <w:rsid w:val="00F10852"/>
    <w:rsid w:val="00F10C60"/>
    <w:rsid w:val="00F11489"/>
    <w:rsid w:val="00F12809"/>
    <w:rsid w:val="00F12A32"/>
    <w:rsid w:val="00F12F1B"/>
    <w:rsid w:val="00F1382D"/>
    <w:rsid w:val="00F20769"/>
    <w:rsid w:val="00F2197C"/>
    <w:rsid w:val="00F2749A"/>
    <w:rsid w:val="00F276ED"/>
    <w:rsid w:val="00F27EE6"/>
    <w:rsid w:val="00F30105"/>
    <w:rsid w:val="00F32AAD"/>
    <w:rsid w:val="00F33838"/>
    <w:rsid w:val="00F344C9"/>
    <w:rsid w:val="00F41234"/>
    <w:rsid w:val="00F42931"/>
    <w:rsid w:val="00F44838"/>
    <w:rsid w:val="00F44CAB"/>
    <w:rsid w:val="00F461E1"/>
    <w:rsid w:val="00F4640C"/>
    <w:rsid w:val="00F50AEC"/>
    <w:rsid w:val="00F51E1D"/>
    <w:rsid w:val="00F51E39"/>
    <w:rsid w:val="00F52DA4"/>
    <w:rsid w:val="00F5472D"/>
    <w:rsid w:val="00F55566"/>
    <w:rsid w:val="00F56248"/>
    <w:rsid w:val="00F56EAA"/>
    <w:rsid w:val="00F67FDF"/>
    <w:rsid w:val="00F70EE3"/>
    <w:rsid w:val="00F71217"/>
    <w:rsid w:val="00F7152E"/>
    <w:rsid w:val="00F72B18"/>
    <w:rsid w:val="00F73484"/>
    <w:rsid w:val="00F740E9"/>
    <w:rsid w:val="00F74540"/>
    <w:rsid w:val="00F7475C"/>
    <w:rsid w:val="00F74E37"/>
    <w:rsid w:val="00F74E43"/>
    <w:rsid w:val="00F801F4"/>
    <w:rsid w:val="00F8148B"/>
    <w:rsid w:val="00F815FF"/>
    <w:rsid w:val="00F82082"/>
    <w:rsid w:val="00F8238B"/>
    <w:rsid w:val="00F829CE"/>
    <w:rsid w:val="00F82A05"/>
    <w:rsid w:val="00F82AF3"/>
    <w:rsid w:val="00F82AFA"/>
    <w:rsid w:val="00F83802"/>
    <w:rsid w:val="00F83881"/>
    <w:rsid w:val="00F853B3"/>
    <w:rsid w:val="00F876CC"/>
    <w:rsid w:val="00F87B5E"/>
    <w:rsid w:val="00F945A0"/>
    <w:rsid w:val="00F95585"/>
    <w:rsid w:val="00F977D4"/>
    <w:rsid w:val="00FA4C53"/>
    <w:rsid w:val="00FB00B7"/>
    <w:rsid w:val="00FB0FC4"/>
    <w:rsid w:val="00FB2AB8"/>
    <w:rsid w:val="00FB4A8C"/>
    <w:rsid w:val="00FB7284"/>
    <w:rsid w:val="00FC0703"/>
    <w:rsid w:val="00FC2756"/>
    <w:rsid w:val="00FC2A02"/>
    <w:rsid w:val="00FC2C6F"/>
    <w:rsid w:val="00FC3C17"/>
    <w:rsid w:val="00FC4897"/>
    <w:rsid w:val="00FC5790"/>
    <w:rsid w:val="00FC6EE0"/>
    <w:rsid w:val="00FC77B9"/>
    <w:rsid w:val="00FC7B1A"/>
    <w:rsid w:val="00FD1C6D"/>
    <w:rsid w:val="00FD324A"/>
    <w:rsid w:val="00FD39EB"/>
    <w:rsid w:val="00FD76CA"/>
    <w:rsid w:val="00FE223E"/>
    <w:rsid w:val="00FE4F78"/>
    <w:rsid w:val="00FE776E"/>
    <w:rsid w:val="00FE7E82"/>
    <w:rsid w:val="00FF0EDC"/>
    <w:rsid w:val="00FF2319"/>
    <w:rsid w:val="00FF45BF"/>
    <w:rsid w:val="00FF49E6"/>
    <w:rsid w:val="00FF552D"/>
    <w:rsid w:val="00FF612C"/>
    <w:rsid w:val="00FF6B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header" w:uiPriority="99"/>
    <w:lsdException w:name="caption" w:uiPriority="35" w:qFormat="1"/>
    <w:lsdException w:name="footnote reference" w:qFormat="1"/>
    <w:lsdException w:name="page number" w:uiPriority="99"/>
    <w:lsdException w:name="Title" w:uiPriority="10"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FDD"/>
    <w:rPr>
      <w:rFonts w:ascii="Verdana" w:eastAsia="Batang" w:hAnsi="Verdana" w:cs="Times"/>
      <w:sz w:val="16"/>
      <w:szCs w:val="24"/>
      <w:lang w:val="es-ES_tradnl" w:eastAsia="en-US"/>
    </w:rPr>
  </w:style>
  <w:style w:type="paragraph" w:styleId="Heading1">
    <w:name w:val="heading 1"/>
    <w:basedOn w:val="Normal"/>
    <w:next w:val="Normal"/>
    <w:link w:val="Heading1Char"/>
    <w:qFormat/>
    <w:rsid w:val="00D11F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
    <w:qFormat/>
    <w:rsid w:val="00D11FDD"/>
    <w:pPr>
      <w:keepNext/>
      <w:jc w:val="center"/>
      <w:outlineLvl w:val="1"/>
    </w:pPr>
    <w:rPr>
      <w:rFonts w:ascii="Garamond" w:hAnsi="Garamond" w:cs="Garamond"/>
      <w:b/>
      <w:bCs/>
      <w:smallCaps/>
    </w:rPr>
  </w:style>
  <w:style w:type="paragraph" w:styleId="Heading3">
    <w:name w:val="heading 3"/>
    <w:basedOn w:val="Normal"/>
    <w:next w:val="Normal"/>
    <w:link w:val="Heading3Char"/>
    <w:uiPriority w:val="9"/>
    <w:qFormat/>
    <w:rsid w:val="00D12684"/>
    <w:pPr>
      <w:widowControl w:val="0"/>
      <w:pBdr>
        <w:top w:val="single" w:sz="6" w:space="2" w:color="4F81BD"/>
        <w:left w:val="single" w:sz="6" w:space="2" w:color="4F81BD"/>
      </w:pBdr>
      <w:suppressAutoHyphens/>
      <w:spacing w:before="300"/>
      <w:outlineLvl w:val="2"/>
    </w:pPr>
    <w:rPr>
      <w:rFonts w:ascii="Times New Roman" w:eastAsia="Lucida Sans Unicode" w:hAnsi="Times New Roman" w:cs="Times New Roman"/>
      <w:caps/>
      <w:color w:val="243F60"/>
      <w:spacing w:val="15"/>
      <w:kern w:val="1"/>
      <w:sz w:val="22"/>
      <w:szCs w:val="22"/>
      <w:lang w:val="es-ES"/>
    </w:rPr>
  </w:style>
  <w:style w:type="paragraph" w:styleId="Heading4">
    <w:name w:val="heading 4"/>
    <w:basedOn w:val="Normal"/>
    <w:next w:val="Normal"/>
    <w:link w:val="Heading4Char1"/>
    <w:uiPriority w:val="9"/>
    <w:qFormat/>
    <w:rsid w:val="00D11FDD"/>
    <w:pPr>
      <w:keepNext/>
      <w:spacing w:line="360" w:lineRule="auto"/>
      <w:jc w:val="center"/>
      <w:outlineLvl w:val="3"/>
    </w:pPr>
    <w:rPr>
      <w:rFonts w:cs="Verdana"/>
      <w:b/>
      <w:bCs/>
      <w:smallCaps/>
      <w:sz w:val="20"/>
      <w:szCs w:val="20"/>
    </w:rPr>
  </w:style>
  <w:style w:type="paragraph" w:styleId="Heading5">
    <w:name w:val="heading 5"/>
    <w:basedOn w:val="Normal"/>
    <w:next w:val="Normal"/>
    <w:link w:val="Heading5Char"/>
    <w:uiPriority w:val="9"/>
    <w:qFormat/>
    <w:rsid w:val="00D12684"/>
    <w:pPr>
      <w:widowControl w:val="0"/>
      <w:pBdr>
        <w:bottom w:val="single" w:sz="6" w:space="1" w:color="4F81BD"/>
      </w:pBdr>
      <w:suppressAutoHyphens/>
      <w:spacing w:before="300"/>
      <w:outlineLvl w:val="4"/>
    </w:pPr>
    <w:rPr>
      <w:rFonts w:ascii="Times New Roman" w:eastAsia="Lucida Sans Unicode" w:hAnsi="Times New Roman" w:cs="Times New Roman"/>
      <w:caps/>
      <w:color w:val="365F91"/>
      <w:spacing w:val="10"/>
      <w:kern w:val="1"/>
      <w:sz w:val="22"/>
      <w:szCs w:val="22"/>
      <w:lang w:val="es-ES"/>
    </w:rPr>
  </w:style>
  <w:style w:type="paragraph" w:styleId="Heading6">
    <w:name w:val="heading 6"/>
    <w:basedOn w:val="Normal"/>
    <w:next w:val="Normal"/>
    <w:link w:val="Heading6Char"/>
    <w:uiPriority w:val="9"/>
    <w:qFormat/>
    <w:rsid w:val="00D12684"/>
    <w:pPr>
      <w:widowControl w:val="0"/>
      <w:pBdr>
        <w:bottom w:val="dotted" w:sz="6" w:space="1" w:color="4F81BD"/>
      </w:pBdr>
      <w:suppressAutoHyphens/>
      <w:spacing w:before="300"/>
      <w:outlineLvl w:val="5"/>
    </w:pPr>
    <w:rPr>
      <w:rFonts w:ascii="Times New Roman" w:eastAsia="Lucida Sans Unicode" w:hAnsi="Times New Roman" w:cs="Times New Roman"/>
      <w:caps/>
      <w:color w:val="365F91"/>
      <w:spacing w:val="10"/>
      <w:kern w:val="1"/>
      <w:sz w:val="22"/>
      <w:szCs w:val="22"/>
      <w:lang w:val="es-ES"/>
    </w:rPr>
  </w:style>
  <w:style w:type="paragraph" w:styleId="Heading7">
    <w:name w:val="heading 7"/>
    <w:basedOn w:val="Normal"/>
    <w:next w:val="Normal"/>
    <w:link w:val="Heading7Char"/>
    <w:uiPriority w:val="9"/>
    <w:qFormat/>
    <w:rsid w:val="00D12684"/>
    <w:pPr>
      <w:widowControl w:val="0"/>
      <w:suppressAutoHyphens/>
      <w:spacing w:before="300"/>
      <w:outlineLvl w:val="6"/>
    </w:pPr>
    <w:rPr>
      <w:rFonts w:ascii="Times New Roman" w:eastAsia="Lucida Sans Unicode" w:hAnsi="Times New Roman" w:cs="Times New Roman"/>
      <w:caps/>
      <w:color w:val="365F91"/>
      <w:spacing w:val="10"/>
      <w:kern w:val="1"/>
      <w:sz w:val="22"/>
      <w:szCs w:val="22"/>
      <w:lang w:val="es-ES"/>
    </w:rPr>
  </w:style>
  <w:style w:type="paragraph" w:styleId="Heading8">
    <w:name w:val="heading 8"/>
    <w:basedOn w:val="Normal"/>
    <w:next w:val="Normal"/>
    <w:link w:val="Heading8Char"/>
    <w:uiPriority w:val="9"/>
    <w:qFormat/>
    <w:rsid w:val="00D12684"/>
    <w:pPr>
      <w:widowControl w:val="0"/>
      <w:suppressAutoHyphens/>
      <w:spacing w:before="300"/>
      <w:outlineLvl w:val="7"/>
    </w:pPr>
    <w:rPr>
      <w:rFonts w:ascii="Times New Roman" w:eastAsia="Lucida Sans Unicode" w:hAnsi="Times New Roman" w:cs="Times New Roman"/>
      <w:caps/>
      <w:spacing w:val="10"/>
      <w:kern w:val="1"/>
      <w:sz w:val="18"/>
      <w:szCs w:val="18"/>
      <w:lang w:val="es-ES"/>
    </w:rPr>
  </w:style>
  <w:style w:type="paragraph" w:styleId="Heading9">
    <w:name w:val="heading 9"/>
    <w:basedOn w:val="Normal"/>
    <w:next w:val="Normal"/>
    <w:link w:val="Heading9Char"/>
    <w:uiPriority w:val="9"/>
    <w:qFormat/>
    <w:rsid w:val="00D12684"/>
    <w:pPr>
      <w:widowControl w:val="0"/>
      <w:suppressAutoHyphens/>
      <w:spacing w:before="300"/>
      <w:outlineLvl w:val="8"/>
    </w:pPr>
    <w:rPr>
      <w:rFonts w:ascii="Times New Roman" w:eastAsia="Lucida Sans Unicode" w:hAnsi="Times New Roman" w:cs="Times New Roman"/>
      <w:i/>
      <w:caps/>
      <w:spacing w:val="10"/>
      <w:kern w:val="1"/>
      <w:sz w:val="18"/>
      <w:szCs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FDD"/>
    <w:rPr>
      <w:rFonts w:ascii="Arial" w:eastAsia="Batang" w:hAnsi="Arial" w:cs="Arial"/>
      <w:b/>
      <w:bCs/>
      <w:kern w:val="32"/>
      <w:sz w:val="32"/>
      <w:szCs w:val="32"/>
      <w:lang w:val="es-ES_tradnl" w:eastAsia="en-US" w:bidi="ar-SA"/>
    </w:rPr>
  </w:style>
  <w:style w:type="character" w:customStyle="1" w:styleId="Heading2Char1">
    <w:name w:val="Heading 2 Char1"/>
    <w:link w:val="Heading2"/>
    <w:uiPriority w:val="9"/>
    <w:rsid w:val="00D11FDD"/>
    <w:rPr>
      <w:rFonts w:ascii="Garamond" w:eastAsia="Batang" w:hAnsi="Garamond" w:cs="Garamond"/>
      <w:b/>
      <w:bCs/>
      <w:smallCaps/>
      <w:sz w:val="16"/>
      <w:szCs w:val="24"/>
      <w:lang w:val="es-ES_tradnl" w:eastAsia="en-US" w:bidi="ar-SA"/>
    </w:rPr>
  </w:style>
  <w:style w:type="character" w:customStyle="1" w:styleId="Heading4Char1">
    <w:name w:val="Heading 4 Char1"/>
    <w:link w:val="Heading4"/>
    <w:uiPriority w:val="9"/>
    <w:rsid w:val="00D11FDD"/>
    <w:rPr>
      <w:rFonts w:ascii="Verdana" w:eastAsia="Batang" w:hAnsi="Verdana" w:cs="Verdana"/>
      <w:b/>
      <w:bCs/>
      <w:smallCaps/>
      <w:lang w:val="es-ES_tradnl" w:eastAsia="en-US" w:bidi="ar-SA"/>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D11FDD"/>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A Fu?notentext"/>
    <w:basedOn w:val="Normal"/>
    <w:link w:val="FootnoteTextChar"/>
    <w:qFormat/>
    <w:rsid w:val="00D11FDD"/>
    <w:pPr>
      <w:jc w:val="both"/>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rsid w:val="00D11FDD"/>
    <w:rPr>
      <w:rFonts w:ascii="Verdana" w:eastAsia="Batang" w:hAnsi="Verdana" w:cs="Times"/>
      <w:sz w:val="16"/>
      <w:szCs w:val="24"/>
      <w:lang w:val="es-ES_tradnl" w:eastAsia="en-US" w:bidi="ar-SA"/>
    </w:rPr>
  </w:style>
  <w:style w:type="paragraph" w:styleId="BodyText">
    <w:name w:val="Body Text"/>
    <w:aliases w:val="Body Text Char Car Car Car Car Car Car Car Car Car Car Car Car Car,Body Text Char Car Car Car Car Car Car Car Car Car Car Car Car"/>
    <w:basedOn w:val="Normal"/>
    <w:link w:val="BodyTextChar"/>
    <w:rsid w:val="00D11FDD"/>
    <w:pPr>
      <w:widowControl w:val="0"/>
      <w:spacing w:line="360" w:lineRule="atLeast"/>
      <w:jc w:val="both"/>
    </w:pPr>
    <w:rPr>
      <w:rFonts w:cs="Times New Roman"/>
      <w:sz w:val="20"/>
      <w:szCs w:val="20"/>
      <w:lang w:eastAsia="es-ES"/>
    </w:rPr>
  </w:style>
  <w:style w:type="character" w:customStyle="1" w:styleId="BodyTextChar">
    <w:name w:val="Body Text Char"/>
    <w:aliases w:val="Body Text Char Car Car Car Car Car Car Car Car Car Car Car Car Car Char,Body Text Char Car Car Car Car Car Car Car Car Car Car Car Car Char"/>
    <w:link w:val="BodyText"/>
    <w:rsid w:val="00D11FDD"/>
    <w:rPr>
      <w:rFonts w:ascii="Verdana" w:eastAsia="Batang" w:hAnsi="Verdana"/>
      <w:lang w:val="es-ES_tradnl" w:eastAsia="es-ES" w:bidi="ar-SA"/>
    </w:rPr>
  </w:style>
  <w:style w:type="paragraph" w:styleId="Header">
    <w:name w:val="header"/>
    <w:basedOn w:val="Normal"/>
    <w:link w:val="HeaderChar"/>
    <w:uiPriority w:val="99"/>
    <w:rsid w:val="00D11FDD"/>
    <w:pPr>
      <w:tabs>
        <w:tab w:val="center" w:pos="4320"/>
        <w:tab w:val="right" w:pos="8640"/>
      </w:tabs>
    </w:pPr>
  </w:style>
  <w:style w:type="character" w:customStyle="1" w:styleId="HeaderChar">
    <w:name w:val="Header Char"/>
    <w:link w:val="Header"/>
    <w:uiPriority w:val="99"/>
    <w:rsid w:val="00D11FDD"/>
    <w:rPr>
      <w:rFonts w:ascii="Verdana" w:eastAsia="Batang" w:hAnsi="Verdana" w:cs="Times"/>
      <w:sz w:val="16"/>
      <w:szCs w:val="24"/>
      <w:lang w:val="es-ES_tradnl" w:eastAsia="en-US" w:bidi="ar-SA"/>
    </w:rPr>
  </w:style>
  <w:style w:type="character" w:styleId="PageNumber">
    <w:name w:val="page number"/>
    <w:basedOn w:val="DefaultParagraphFont"/>
    <w:uiPriority w:val="99"/>
    <w:rsid w:val="00D11FDD"/>
  </w:style>
  <w:style w:type="paragraph" w:customStyle="1" w:styleId="JuPara">
    <w:name w:val="Ju_Para"/>
    <w:basedOn w:val="Normal"/>
    <w:link w:val="JuParaChar"/>
    <w:rsid w:val="00D11FDD"/>
    <w:pPr>
      <w:suppressAutoHyphens/>
      <w:ind w:firstLine="284"/>
      <w:jc w:val="both"/>
    </w:pPr>
    <w:rPr>
      <w:rFonts w:ascii="Times New Roman" w:hAnsi="Times New Roman" w:cs="Times New Roman"/>
      <w:sz w:val="24"/>
      <w:lang w:val="fr-FR" w:eastAsia="fr-FR"/>
    </w:rPr>
  </w:style>
  <w:style w:type="character" w:customStyle="1" w:styleId="JuParaChar">
    <w:name w:val="Ju_Para Char"/>
    <w:link w:val="JuPara"/>
    <w:rsid w:val="00D11FDD"/>
    <w:rPr>
      <w:rFonts w:eastAsia="Batang"/>
      <w:sz w:val="24"/>
      <w:szCs w:val="24"/>
      <w:lang w:val="fr-FR" w:eastAsia="fr-FR" w:bidi="ar-SA"/>
    </w:rPr>
  </w:style>
  <w:style w:type="paragraph" w:styleId="Footer">
    <w:name w:val="footer"/>
    <w:basedOn w:val="Normal"/>
    <w:link w:val="FooterChar"/>
    <w:rsid w:val="00D11FDD"/>
    <w:pPr>
      <w:tabs>
        <w:tab w:val="center" w:pos="4419"/>
        <w:tab w:val="right" w:pos="8838"/>
      </w:tabs>
    </w:pPr>
    <w:rPr>
      <w:rFonts w:ascii="Times New Roman" w:hAnsi="Times New Roman" w:cs="Times New Roman"/>
      <w:sz w:val="24"/>
      <w:lang w:val="es-CL" w:eastAsia="es-CL"/>
    </w:rPr>
  </w:style>
  <w:style w:type="character" w:customStyle="1" w:styleId="FooterChar">
    <w:name w:val="Footer Char"/>
    <w:link w:val="Footer"/>
    <w:rsid w:val="00D11FDD"/>
    <w:rPr>
      <w:rFonts w:eastAsia="Batang"/>
      <w:sz w:val="24"/>
      <w:szCs w:val="24"/>
      <w:lang w:val="es-CL" w:eastAsia="es-CL" w:bidi="ar-SA"/>
    </w:rPr>
  </w:style>
  <w:style w:type="paragraph" w:customStyle="1" w:styleId="BodyText31">
    <w:name w:val="Body Text 31"/>
    <w:basedOn w:val="Normal"/>
    <w:rsid w:val="00D11FDD"/>
    <w:pPr>
      <w:overflowPunct w:val="0"/>
      <w:autoSpaceDE w:val="0"/>
      <w:autoSpaceDN w:val="0"/>
      <w:adjustRightInd w:val="0"/>
      <w:textAlignment w:val="baseline"/>
    </w:pPr>
    <w:rPr>
      <w:rFonts w:ascii="Times" w:hAnsi="Times" w:cs="Times New Roman"/>
      <w:b/>
      <w:caps/>
      <w:sz w:val="24"/>
      <w:szCs w:val="20"/>
      <w:lang w:val="en-US" w:eastAsia="es-ES"/>
    </w:rPr>
  </w:style>
  <w:style w:type="paragraph" w:customStyle="1" w:styleId="Sangradetindependiente">
    <w:name w:val="SangrÃa de t. independiente"/>
    <w:basedOn w:val="Normal"/>
    <w:rsid w:val="00D11FDD"/>
    <w:pPr>
      <w:spacing w:line="360" w:lineRule="atLeast"/>
    </w:pPr>
    <w:rPr>
      <w:rFonts w:ascii="Arial" w:hAnsi="Arial" w:cs="Times New Roman"/>
      <w:sz w:val="24"/>
      <w:szCs w:val="20"/>
    </w:rPr>
  </w:style>
  <w:style w:type="paragraph" w:customStyle="1" w:styleId="MediumGrid1-Accent22">
    <w:name w:val="Medium Grid 1 - Accent 22"/>
    <w:basedOn w:val="Normal"/>
    <w:qFormat/>
    <w:rsid w:val="00D11FDD"/>
    <w:pPr>
      <w:ind w:left="708"/>
    </w:pPr>
  </w:style>
  <w:style w:type="paragraph" w:styleId="BodyTextIndent2">
    <w:name w:val="Body Text Indent 2"/>
    <w:basedOn w:val="Normal"/>
    <w:link w:val="BodyTextIndent2Char"/>
    <w:rsid w:val="00D11FDD"/>
    <w:pPr>
      <w:spacing w:after="120" w:line="480" w:lineRule="auto"/>
      <w:ind w:left="283"/>
    </w:pPr>
  </w:style>
  <w:style w:type="character" w:customStyle="1" w:styleId="BodyTextIndent2Char">
    <w:name w:val="Body Text Indent 2 Char"/>
    <w:link w:val="BodyTextIndent2"/>
    <w:rsid w:val="00D11FDD"/>
    <w:rPr>
      <w:rFonts w:ascii="Verdana" w:eastAsia="Batang" w:hAnsi="Verdana" w:cs="Times"/>
      <w:sz w:val="16"/>
      <w:szCs w:val="24"/>
      <w:lang w:val="es-ES_tradnl" w:eastAsia="en-US" w:bidi="ar-SA"/>
    </w:rPr>
  </w:style>
  <w:style w:type="paragraph" w:styleId="NormalWeb">
    <w:name w:val="Normal (Web)"/>
    <w:aliases w:val="Normal (Web) Char1,Normal (Web) Char Char,Normal (Web) Char1 Char,Normal (Web) Char Char Char"/>
    <w:basedOn w:val="Normal"/>
    <w:uiPriority w:val="99"/>
    <w:rsid w:val="00D11FDD"/>
    <w:rPr>
      <w:rFonts w:ascii="Times New Roman" w:hAnsi="Times New Roman" w:cs="Times New Roman"/>
      <w:sz w:val="24"/>
    </w:rPr>
  </w:style>
  <w:style w:type="character" w:customStyle="1" w:styleId="apple-style-span">
    <w:name w:val="apple-style-span"/>
    <w:basedOn w:val="DefaultParagraphFont"/>
    <w:rsid w:val="00D11FDD"/>
  </w:style>
  <w:style w:type="character" w:styleId="Hyperlink">
    <w:name w:val="Hyperlink"/>
    <w:rsid w:val="00D11FDD"/>
    <w:rPr>
      <w:color w:val="0000FF"/>
      <w:u w:val="single"/>
    </w:rPr>
  </w:style>
  <w:style w:type="paragraph" w:styleId="BlockText">
    <w:name w:val="Block Text"/>
    <w:basedOn w:val="Normal"/>
    <w:rsid w:val="00D11FDD"/>
    <w:pPr>
      <w:spacing w:line="360" w:lineRule="auto"/>
      <w:ind w:left="720" w:right="720"/>
      <w:jc w:val="both"/>
    </w:pPr>
    <w:rPr>
      <w:rFonts w:eastAsia="Times" w:cs="Times New Roman"/>
      <w:szCs w:val="20"/>
    </w:rPr>
  </w:style>
  <w:style w:type="paragraph" w:customStyle="1" w:styleId="Subtemaencap">
    <w:name w:val="Sub tema en cap."/>
    <w:basedOn w:val="Heading4"/>
    <w:next w:val="Normal"/>
    <w:rsid w:val="00D11FDD"/>
    <w:pPr>
      <w:spacing w:line="240" w:lineRule="auto"/>
      <w:ind w:left="720"/>
      <w:jc w:val="both"/>
    </w:pPr>
    <w:rPr>
      <w:rFonts w:cs="Times New Roman"/>
      <w:b w:val="0"/>
      <w:bCs w:val="0"/>
      <w:i/>
      <w:smallCaps w:val="0"/>
      <w:szCs w:val="28"/>
    </w:rPr>
  </w:style>
  <w:style w:type="paragraph" w:customStyle="1" w:styleId="Pruebadoc">
    <w:name w:val="Prueba doc"/>
    <w:aliases w:val="test,val"/>
    <w:basedOn w:val="Heading2"/>
    <w:next w:val="Normal"/>
    <w:rsid w:val="00D11FDD"/>
    <w:rPr>
      <w:rFonts w:ascii="Verdana" w:hAnsi="Verdana" w:cs="Times New Roman"/>
      <w:b w:val="0"/>
      <w:bCs w:val="0"/>
      <w:i/>
      <w:sz w:val="20"/>
      <w:szCs w:val="28"/>
    </w:rPr>
  </w:style>
  <w:style w:type="paragraph" w:styleId="List">
    <w:name w:val="List"/>
    <w:basedOn w:val="Normal"/>
    <w:rsid w:val="00D11FDD"/>
    <w:pPr>
      <w:ind w:left="283" w:hanging="283"/>
    </w:pPr>
    <w:rPr>
      <w:rFonts w:cs="Times New Roman"/>
      <w:sz w:val="20"/>
      <w:szCs w:val="20"/>
    </w:rPr>
  </w:style>
  <w:style w:type="paragraph" w:styleId="BodyTextIndent">
    <w:name w:val="Body Text Indent"/>
    <w:basedOn w:val="Normal"/>
    <w:link w:val="BodyTextIndentChar"/>
    <w:rsid w:val="00D11FDD"/>
    <w:pPr>
      <w:spacing w:after="120"/>
      <w:ind w:left="360"/>
    </w:pPr>
    <w:rPr>
      <w:rFonts w:eastAsia="MS Mincho" w:cs="Times New Roman"/>
      <w:snapToGrid w:val="0"/>
      <w:sz w:val="20"/>
      <w:szCs w:val="20"/>
      <w:lang w:eastAsia="es-ES"/>
    </w:rPr>
  </w:style>
  <w:style w:type="character" w:customStyle="1" w:styleId="BodyTextIndentChar">
    <w:name w:val="Body Text Indent Char"/>
    <w:link w:val="BodyTextIndent"/>
    <w:rsid w:val="00D11FDD"/>
    <w:rPr>
      <w:rFonts w:ascii="Verdana" w:eastAsia="MS Mincho" w:hAnsi="Verdana"/>
      <w:snapToGrid w:val="0"/>
      <w:lang w:val="es-ES_tradnl" w:eastAsia="es-ES" w:bidi="ar-SA"/>
    </w:rPr>
  </w:style>
  <w:style w:type="character" w:customStyle="1" w:styleId="Style1Char">
    <w:name w:val="Style1 Char"/>
    <w:link w:val="Style1"/>
    <w:rsid w:val="00D11FDD"/>
    <w:rPr>
      <w:rFonts w:ascii="Verdana" w:eastAsia="Batang" w:hAnsi="Verdana"/>
      <w:sz w:val="16"/>
      <w:szCs w:val="16"/>
      <w:lang w:val="es-ES_tradnl" w:bidi="ar-SA"/>
    </w:rPr>
  </w:style>
  <w:style w:type="paragraph" w:customStyle="1" w:styleId="Style1">
    <w:name w:val="Style1"/>
    <w:basedOn w:val="Normal"/>
    <w:link w:val="Style1Char"/>
    <w:rsid w:val="00D11FDD"/>
    <w:pPr>
      <w:tabs>
        <w:tab w:val="left" w:pos="540"/>
        <w:tab w:val="left" w:pos="720"/>
      </w:tabs>
      <w:jc w:val="both"/>
    </w:pPr>
    <w:rPr>
      <w:rFonts w:cs="Times New Roman"/>
      <w:szCs w:val="16"/>
    </w:rPr>
  </w:style>
  <w:style w:type="character" w:customStyle="1" w:styleId="EmailStyle46">
    <w:name w:val="EmailStyle46"/>
    <w:semiHidden/>
    <w:rsid w:val="00D11FDD"/>
    <w:rPr>
      <w:rFonts w:ascii="Arial" w:hAnsi="Arial" w:cs="Arial"/>
      <w:color w:val="auto"/>
      <w:sz w:val="20"/>
      <w:szCs w:val="20"/>
    </w:rPr>
  </w:style>
  <w:style w:type="numbering" w:customStyle="1" w:styleId="CurrentList1">
    <w:name w:val="Current List1"/>
    <w:rsid w:val="00D11FDD"/>
    <w:pPr>
      <w:numPr>
        <w:numId w:val="2"/>
      </w:numPr>
    </w:pPr>
  </w:style>
  <w:style w:type="character" w:customStyle="1" w:styleId="doctitle">
    <w:name w:val="doctitle"/>
    <w:basedOn w:val="DefaultParagraphFont"/>
    <w:rsid w:val="00D11FDD"/>
  </w:style>
  <w:style w:type="character" w:styleId="HTMLTypewriter">
    <w:name w:val="HTML Typewriter"/>
    <w:rsid w:val="00D11FDD"/>
    <w:rPr>
      <w:rFonts w:ascii="Courier New" w:eastAsia="Times New Roman" w:hAnsi="Courier New" w:cs="Courier New"/>
      <w:sz w:val="20"/>
      <w:szCs w:val="20"/>
    </w:rPr>
  </w:style>
  <w:style w:type="character" w:customStyle="1" w:styleId="docname">
    <w:name w:val="docname"/>
    <w:basedOn w:val="DefaultParagraphFont"/>
    <w:rsid w:val="00D11FDD"/>
  </w:style>
  <w:style w:type="paragraph" w:customStyle="1" w:styleId="PargrafodaLista">
    <w:name w:val="Parágrafo da Lista"/>
    <w:basedOn w:val="Normal"/>
    <w:qFormat/>
    <w:rsid w:val="00D11FDD"/>
    <w:pPr>
      <w:ind w:left="708"/>
    </w:pPr>
  </w:style>
  <w:style w:type="paragraph" w:customStyle="1" w:styleId="msonospacing0">
    <w:name w:val="msonospacing"/>
    <w:basedOn w:val="Normal"/>
    <w:rsid w:val="00D11FDD"/>
    <w:pPr>
      <w:spacing w:before="100" w:beforeAutospacing="1" w:after="100" w:afterAutospacing="1"/>
    </w:pPr>
    <w:rPr>
      <w:rFonts w:ascii="Times New Roman" w:eastAsia="Times New Roman" w:hAnsi="Times New Roman" w:cs="Times New Roman"/>
      <w:sz w:val="24"/>
      <w:lang w:val="en-US"/>
    </w:rPr>
  </w:style>
  <w:style w:type="character" w:styleId="CommentReference">
    <w:name w:val="annotation reference"/>
    <w:unhideWhenUsed/>
    <w:rsid w:val="00D11FDD"/>
    <w:rPr>
      <w:sz w:val="18"/>
      <w:szCs w:val="18"/>
    </w:rPr>
  </w:style>
  <w:style w:type="paragraph" w:styleId="CommentText">
    <w:name w:val="annotation text"/>
    <w:basedOn w:val="Normal"/>
    <w:link w:val="CommentTextChar"/>
    <w:unhideWhenUsed/>
    <w:rsid w:val="00D11FDD"/>
    <w:rPr>
      <w:sz w:val="24"/>
    </w:rPr>
  </w:style>
  <w:style w:type="character" w:customStyle="1" w:styleId="CommentTextChar">
    <w:name w:val="Comment Text Char"/>
    <w:link w:val="CommentText"/>
    <w:rsid w:val="00D11FDD"/>
    <w:rPr>
      <w:rFonts w:ascii="Verdana" w:eastAsia="Batang" w:hAnsi="Verdana" w:cs="Times"/>
      <w:sz w:val="24"/>
      <w:szCs w:val="24"/>
      <w:lang w:val="es-ES_tradnl" w:eastAsia="en-US" w:bidi="ar-SA"/>
    </w:rPr>
  </w:style>
  <w:style w:type="character" w:customStyle="1" w:styleId="eacep">
    <w:name w:val="eacep"/>
    <w:basedOn w:val="DefaultParagraphFont"/>
    <w:rsid w:val="00D11FDD"/>
  </w:style>
  <w:style w:type="paragraph" w:styleId="BalloonText">
    <w:name w:val="Balloon Text"/>
    <w:basedOn w:val="Normal"/>
    <w:link w:val="BalloonTextChar"/>
    <w:rsid w:val="00D11FDD"/>
    <w:rPr>
      <w:rFonts w:ascii="Tahoma" w:hAnsi="Tahoma" w:cs="Tahoma"/>
      <w:szCs w:val="16"/>
    </w:rPr>
  </w:style>
  <w:style w:type="character" w:customStyle="1" w:styleId="BalloonTextChar">
    <w:name w:val="Balloon Text Char"/>
    <w:link w:val="BalloonText"/>
    <w:rsid w:val="00D11FDD"/>
    <w:rPr>
      <w:rFonts w:ascii="Tahoma" w:eastAsia="Batang" w:hAnsi="Tahoma" w:cs="Tahoma"/>
      <w:sz w:val="16"/>
      <w:szCs w:val="16"/>
      <w:lang w:val="es-ES_tradnl" w:eastAsia="en-US" w:bidi="ar-SA"/>
    </w:rPr>
  </w:style>
  <w:style w:type="paragraph" w:styleId="EndnoteText">
    <w:name w:val="endnote text"/>
    <w:basedOn w:val="Normal"/>
    <w:link w:val="EndnoteTextChar"/>
    <w:rsid w:val="00D11FDD"/>
    <w:rPr>
      <w:sz w:val="20"/>
      <w:szCs w:val="20"/>
    </w:rPr>
  </w:style>
  <w:style w:type="character" w:customStyle="1" w:styleId="EndnoteTextChar">
    <w:name w:val="Endnote Text Char"/>
    <w:link w:val="EndnoteText"/>
    <w:rsid w:val="00D11FDD"/>
    <w:rPr>
      <w:rFonts w:ascii="Verdana" w:eastAsia="Batang" w:hAnsi="Verdana" w:cs="Times"/>
      <w:lang w:val="es-ES_tradnl" w:eastAsia="en-US" w:bidi="ar-SA"/>
    </w:rPr>
  </w:style>
  <w:style w:type="character" w:styleId="EndnoteReference">
    <w:name w:val="endnote reference"/>
    <w:rsid w:val="00D11FDD"/>
    <w:rPr>
      <w:vertAlign w:val="superscript"/>
    </w:rPr>
  </w:style>
  <w:style w:type="paragraph" w:styleId="CommentSubject">
    <w:name w:val="annotation subject"/>
    <w:basedOn w:val="CommentText"/>
    <w:next w:val="CommentText"/>
    <w:link w:val="CommentSubjectChar"/>
    <w:rsid w:val="00D11FDD"/>
    <w:rPr>
      <w:b/>
      <w:bCs/>
      <w:sz w:val="20"/>
      <w:szCs w:val="20"/>
    </w:rPr>
  </w:style>
  <w:style w:type="character" w:customStyle="1" w:styleId="CommentSubjectChar">
    <w:name w:val="Comment Subject Char"/>
    <w:link w:val="CommentSubject"/>
    <w:rsid w:val="00D11FDD"/>
    <w:rPr>
      <w:rFonts w:ascii="Verdana" w:eastAsia="Batang" w:hAnsi="Verdana" w:cs="Times"/>
      <w:b/>
      <w:bCs/>
      <w:lang w:val="es-ES_tradnl" w:eastAsia="en-US" w:bidi="ar-SA"/>
    </w:rPr>
  </w:style>
  <w:style w:type="character" w:styleId="Emphasis">
    <w:name w:val="Emphasis"/>
    <w:qFormat/>
    <w:rsid w:val="00D11FDD"/>
    <w:rPr>
      <w:i/>
    </w:rPr>
  </w:style>
  <w:style w:type="character" w:styleId="Strong">
    <w:name w:val="Strong"/>
    <w:uiPriority w:val="22"/>
    <w:qFormat/>
    <w:rsid w:val="00D11FDD"/>
    <w:rPr>
      <w:b/>
      <w:bCs/>
    </w:rPr>
  </w:style>
  <w:style w:type="paragraph" w:styleId="PlainText">
    <w:name w:val="Plain Text"/>
    <w:basedOn w:val="Normal"/>
    <w:link w:val="PlainTextChar"/>
    <w:uiPriority w:val="99"/>
    <w:unhideWhenUsed/>
    <w:rsid w:val="00D11FDD"/>
    <w:rPr>
      <w:rFonts w:ascii="Consolas" w:eastAsia="Calibri" w:hAnsi="Consolas" w:cs="Times New Roman"/>
      <w:sz w:val="21"/>
      <w:szCs w:val="21"/>
      <w:lang w:val="es-CL"/>
    </w:rPr>
  </w:style>
  <w:style w:type="character" w:customStyle="1" w:styleId="PlainTextChar">
    <w:name w:val="Plain Text Char"/>
    <w:link w:val="PlainText"/>
    <w:uiPriority w:val="99"/>
    <w:rsid w:val="00D11FDD"/>
    <w:rPr>
      <w:rFonts w:ascii="Consolas" w:eastAsia="Calibri" w:hAnsi="Consolas"/>
      <w:sz w:val="21"/>
      <w:szCs w:val="21"/>
      <w:lang w:val="es-CL" w:eastAsia="en-US" w:bidi="ar-SA"/>
    </w:rPr>
  </w:style>
  <w:style w:type="paragraph" w:styleId="Index7">
    <w:name w:val="index 7"/>
    <w:basedOn w:val="Normal"/>
    <w:next w:val="Normal"/>
    <w:autoRedefine/>
    <w:semiHidden/>
    <w:rsid w:val="00D11FDD"/>
    <w:pPr>
      <w:ind w:left="1680" w:hanging="240"/>
      <w:jc w:val="both"/>
    </w:pPr>
    <w:rPr>
      <w:rFonts w:eastAsia="Times New Roman" w:cs="Times New Roman"/>
      <w:noProof/>
      <w:sz w:val="18"/>
      <w:szCs w:val="18"/>
    </w:rPr>
  </w:style>
  <w:style w:type="character" w:styleId="FollowedHyperlink">
    <w:name w:val="FollowedHyperlink"/>
    <w:rsid w:val="00D11FDD"/>
    <w:rPr>
      <w:color w:val="800080"/>
      <w:u w:val="single"/>
    </w:rPr>
  </w:style>
  <w:style w:type="character" w:customStyle="1" w:styleId="EndnoteTextChar1">
    <w:name w:val="Endnote Text Char1"/>
    <w:rsid w:val="00D11FDD"/>
    <w:rPr>
      <w:rFonts w:ascii="Times New Roman" w:eastAsia="Times New Roman" w:hAnsi="Times New Roman"/>
      <w:noProof/>
      <w:sz w:val="24"/>
      <w:szCs w:val="24"/>
      <w:lang w:val="es-ES_tradnl"/>
    </w:rPr>
  </w:style>
  <w:style w:type="character" w:customStyle="1" w:styleId="TitleChar">
    <w:name w:val="Title Char"/>
    <w:link w:val="Title"/>
    <w:uiPriority w:val="10"/>
    <w:locked/>
    <w:rsid w:val="00D11FDD"/>
    <w:rPr>
      <w:rFonts w:ascii="Garamond" w:eastAsia="Times" w:hAnsi="Garamond"/>
      <w:b/>
      <w:sz w:val="24"/>
      <w:lang w:val="es-ES_tradnl" w:eastAsia="es-ES" w:bidi="ar-SA"/>
    </w:rPr>
  </w:style>
  <w:style w:type="paragraph" w:styleId="Title">
    <w:name w:val="Title"/>
    <w:basedOn w:val="Normal"/>
    <w:link w:val="TitleChar"/>
    <w:uiPriority w:val="10"/>
    <w:qFormat/>
    <w:rsid w:val="00D11FDD"/>
    <w:pPr>
      <w:snapToGrid w:val="0"/>
      <w:spacing w:before="240" w:after="60"/>
      <w:ind w:left="-142" w:right="-278"/>
      <w:jc w:val="center"/>
      <w:outlineLvl w:val="0"/>
    </w:pPr>
    <w:rPr>
      <w:rFonts w:ascii="Garamond" w:eastAsia="Times" w:hAnsi="Garamond" w:cs="Times New Roman"/>
      <w:b/>
      <w:sz w:val="24"/>
      <w:szCs w:val="20"/>
      <w:lang w:eastAsia="es-ES"/>
    </w:rPr>
  </w:style>
  <w:style w:type="character" w:customStyle="1" w:styleId="TitleChar1">
    <w:name w:val="Title Char1"/>
    <w:rsid w:val="00D11FDD"/>
    <w:rPr>
      <w:rFonts w:ascii="Cambria" w:eastAsia="MS Gothic" w:hAnsi="Cambria" w:cs="Times New Roman"/>
      <w:color w:val="17365D"/>
      <w:spacing w:val="5"/>
      <w:kern w:val="28"/>
      <w:sz w:val="52"/>
      <w:szCs w:val="52"/>
      <w:lang w:val="es-ES_tradnl"/>
    </w:rPr>
  </w:style>
  <w:style w:type="paragraph" w:customStyle="1" w:styleId="Default">
    <w:name w:val="Default"/>
    <w:rsid w:val="00D11FDD"/>
    <w:pPr>
      <w:autoSpaceDE w:val="0"/>
      <w:autoSpaceDN w:val="0"/>
      <w:adjustRightInd w:val="0"/>
      <w:ind w:left="-142" w:right="-278"/>
      <w:jc w:val="both"/>
    </w:pPr>
    <w:rPr>
      <w:rFonts w:ascii="Univers" w:hAnsi="Univers" w:cs="Univers"/>
      <w:color w:val="000000"/>
      <w:sz w:val="24"/>
      <w:szCs w:val="24"/>
      <w:lang w:val="es-ES" w:eastAsia="es-ES"/>
    </w:rPr>
  </w:style>
  <w:style w:type="paragraph" w:customStyle="1" w:styleId="Prrafodelista2">
    <w:name w:val="Párrafo de lista2"/>
    <w:basedOn w:val="Normal"/>
    <w:qFormat/>
    <w:rsid w:val="00D11FDD"/>
    <w:pPr>
      <w:spacing w:after="200" w:line="276" w:lineRule="auto"/>
      <w:ind w:left="720" w:right="-278"/>
      <w:contextualSpacing/>
      <w:jc w:val="both"/>
    </w:pPr>
    <w:rPr>
      <w:rFonts w:ascii="Calibri" w:eastAsia="Calibri" w:hAnsi="Calibri" w:cs="Times New Roman"/>
      <w:sz w:val="22"/>
      <w:szCs w:val="22"/>
      <w:lang w:val="es-GT"/>
    </w:rPr>
  </w:style>
  <w:style w:type="paragraph" w:customStyle="1" w:styleId="negritamayuscula">
    <w:name w:val="negrita mayuscula"/>
    <w:basedOn w:val="Normal"/>
    <w:rsid w:val="00D11FDD"/>
    <w:pPr>
      <w:widowControl w:val="0"/>
      <w:tabs>
        <w:tab w:val="left" w:pos="1120"/>
      </w:tabs>
      <w:overflowPunct w:val="0"/>
      <w:autoSpaceDE w:val="0"/>
      <w:autoSpaceDN w:val="0"/>
      <w:adjustRightInd w:val="0"/>
      <w:spacing w:line="360" w:lineRule="atLeast"/>
      <w:ind w:left="-142" w:right="-278"/>
      <w:jc w:val="both"/>
    </w:pPr>
    <w:rPr>
      <w:rFonts w:ascii="Garamond" w:eastAsia="Times New Roman" w:hAnsi="Garamond" w:cs="Times New Roman"/>
      <w:sz w:val="20"/>
      <w:szCs w:val="20"/>
    </w:rPr>
  </w:style>
  <w:style w:type="paragraph" w:styleId="BodyText2">
    <w:name w:val="Body Text 2"/>
    <w:basedOn w:val="Normal"/>
    <w:link w:val="BodyText2Char"/>
    <w:rsid w:val="00D11FDD"/>
    <w:pPr>
      <w:snapToGrid w:val="0"/>
      <w:spacing w:after="120" w:line="480" w:lineRule="auto"/>
      <w:ind w:left="-142" w:right="-278"/>
      <w:jc w:val="both"/>
    </w:pPr>
    <w:rPr>
      <w:rFonts w:eastAsia="MS Mincho" w:cs="Times New Roman"/>
      <w:sz w:val="20"/>
      <w:szCs w:val="20"/>
      <w:lang w:eastAsia="es-ES"/>
    </w:rPr>
  </w:style>
  <w:style w:type="character" w:customStyle="1" w:styleId="BodyText2Char">
    <w:name w:val="Body Text 2 Char"/>
    <w:link w:val="BodyText2"/>
    <w:rsid w:val="00D11FDD"/>
    <w:rPr>
      <w:rFonts w:ascii="Verdana" w:hAnsi="Verdana"/>
      <w:lang w:val="es-ES_tradnl" w:eastAsia="es-ES" w:bidi="ar-SA"/>
    </w:rPr>
  </w:style>
  <w:style w:type="paragraph" w:customStyle="1" w:styleId="Lneadereferencia">
    <w:name w:val="Línea de referencia"/>
    <w:basedOn w:val="BodyText2"/>
    <w:rsid w:val="00D11FDD"/>
    <w:pPr>
      <w:snapToGrid/>
      <w:spacing w:after="0" w:line="240" w:lineRule="auto"/>
    </w:pPr>
    <w:rPr>
      <w:rFonts w:ascii="Garamond" w:hAnsi="Garamond"/>
      <w:sz w:val="24"/>
      <w:lang w:val="en-US"/>
    </w:rPr>
  </w:style>
  <w:style w:type="paragraph" w:customStyle="1" w:styleId="Textoindependiente1">
    <w:name w:val="Texto independiente1"/>
    <w:basedOn w:val="Normal"/>
    <w:rsid w:val="00D11FDD"/>
    <w:pPr>
      <w:widowControl w:val="0"/>
      <w:ind w:left="-142" w:right="-278"/>
      <w:jc w:val="both"/>
    </w:pPr>
    <w:rPr>
      <w:rFonts w:ascii="New York" w:eastAsia="Times New Roman" w:hAnsi="New York" w:cs="Times New Roman"/>
      <w:sz w:val="20"/>
      <w:szCs w:val="20"/>
    </w:rPr>
  </w:style>
  <w:style w:type="character" w:customStyle="1" w:styleId="apple-converted-space">
    <w:name w:val="apple-converted-space"/>
    <w:basedOn w:val="DefaultParagraphFont"/>
    <w:rsid w:val="00D11FDD"/>
  </w:style>
  <w:style w:type="character" w:customStyle="1" w:styleId="CarCar">
    <w:name w:val="Car Car"/>
    <w:rsid w:val="00D11FDD"/>
    <w:rPr>
      <w:rFonts w:ascii="Verdana" w:eastAsia="Batang" w:hAnsi="Verdana" w:hint="default"/>
      <w:lang w:val="es-ES_tradnl" w:eastAsia="en-US" w:bidi="ar-SA"/>
    </w:rPr>
  </w:style>
  <w:style w:type="character" w:customStyle="1" w:styleId="longtext">
    <w:name w:val="long_text"/>
    <w:basedOn w:val="DefaultParagraphFont"/>
    <w:rsid w:val="00D11FDD"/>
  </w:style>
  <w:style w:type="character" w:customStyle="1" w:styleId="quicklist-inlist">
    <w:name w:val="quicklist-inlist"/>
    <w:basedOn w:val="DefaultParagraphFont"/>
    <w:rsid w:val="00D11FDD"/>
  </w:style>
  <w:style w:type="character" w:customStyle="1" w:styleId="video-time">
    <w:name w:val="video-time"/>
    <w:basedOn w:val="DefaultParagraphFont"/>
    <w:rsid w:val="00D11FDD"/>
  </w:style>
  <w:style w:type="character" w:customStyle="1" w:styleId="Caracteresdenotaderodap">
    <w:name w:val="Caracteres de nota de rodapé"/>
    <w:rsid w:val="00D11FDD"/>
    <w:rPr>
      <w:rFonts w:ascii="Verdana" w:hAnsi="Verdana" w:hint="default"/>
      <w:sz w:val="20"/>
      <w:vertAlign w:val="superscript"/>
    </w:rPr>
  </w:style>
  <w:style w:type="paragraph" w:styleId="DocumentMap">
    <w:name w:val="Document Map"/>
    <w:basedOn w:val="Normal"/>
    <w:link w:val="DocumentMapChar"/>
    <w:rsid w:val="00D11FDD"/>
    <w:pPr>
      <w:shd w:val="clear" w:color="auto" w:fill="000080"/>
      <w:snapToGrid w:val="0"/>
      <w:ind w:left="-142" w:right="-278"/>
      <w:jc w:val="both"/>
    </w:pPr>
    <w:rPr>
      <w:rFonts w:ascii="Tahoma" w:eastAsia="MS Mincho" w:hAnsi="Tahoma" w:cs="Tahoma"/>
      <w:sz w:val="20"/>
      <w:szCs w:val="20"/>
      <w:lang w:eastAsia="es-ES"/>
    </w:rPr>
  </w:style>
  <w:style w:type="character" w:customStyle="1" w:styleId="DocumentMapChar">
    <w:name w:val="Document Map Char"/>
    <w:link w:val="DocumentMap"/>
    <w:rsid w:val="00D11FDD"/>
    <w:rPr>
      <w:rFonts w:ascii="Tahoma" w:hAnsi="Tahoma" w:cs="Tahoma"/>
      <w:lang w:val="es-ES_tradnl" w:eastAsia="es-ES" w:bidi="ar-SA"/>
    </w:rPr>
  </w:style>
  <w:style w:type="paragraph" w:customStyle="1" w:styleId="Style4">
    <w:name w:val="Style4"/>
    <w:basedOn w:val="Heading2"/>
    <w:rsid w:val="00D1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Pr>
      <w:rFonts w:ascii="Verdana" w:eastAsia="Times New Roman" w:hAnsi="Verdana"/>
      <w:sz w:val="20"/>
      <w:szCs w:val="20"/>
    </w:rPr>
  </w:style>
  <w:style w:type="paragraph" w:customStyle="1" w:styleId="MediumGrid1-Accent21">
    <w:name w:val="Medium Grid 1 - Accent 21"/>
    <w:basedOn w:val="Normal"/>
    <w:qFormat/>
    <w:rsid w:val="00D11FDD"/>
    <w:pPr>
      <w:ind w:left="708"/>
      <w:jc w:val="both"/>
    </w:pPr>
    <w:rPr>
      <w:rFonts w:eastAsia="Times New Roman" w:cs="Times New Roman"/>
      <w:noProof/>
      <w:sz w:val="20"/>
    </w:rPr>
  </w:style>
  <w:style w:type="paragraph" w:customStyle="1" w:styleId="ColorfulList-Accent11">
    <w:name w:val="Colorful List - Accent 11"/>
    <w:aliases w:val="Footnote,List Paragraph1"/>
    <w:basedOn w:val="Normal"/>
    <w:uiPriority w:val="34"/>
    <w:qFormat/>
    <w:rsid w:val="00D11FDD"/>
    <w:pPr>
      <w:ind w:left="708"/>
      <w:jc w:val="both"/>
    </w:pPr>
    <w:rPr>
      <w:rFonts w:eastAsia="Times New Roman" w:cs="Times New Roman"/>
      <w:noProof/>
      <w:sz w:val="20"/>
    </w:rPr>
  </w:style>
  <w:style w:type="character" w:customStyle="1" w:styleId="Hiperlink">
    <w:name w:val="Hiperlink"/>
    <w:rsid w:val="00D11FDD"/>
    <w:rPr>
      <w:color w:val="0000FF"/>
      <w:u w:val="single"/>
    </w:rPr>
  </w:style>
  <w:style w:type="paragraph" w:customStyle="1" w:styleId="NormalMRE">
    <w:name w:val="Normal MRE"/>
    <w:basedOn w:val="Normal"/>
    <w:rsid w:val="00D11FDD"/>
    <w:pPr>
      <w:numPr>
        <w:numId w:val="3"/>
      </w:numPr>
      <w:spacing w:line="360" w:lineRule="auto"/>
      <w:jc w:val="both"/>
    </w:pPr>
    <w:rPr>
      <w:rFonts w:ascii="Times New Roman" w:eastAsia="Times New Roman" w:hAnsi="Times New Roman" w:cs="Times New Roman"/>
      <w:sz w:val="24"/>
      <w:lang w:val="pt-BR" w:eastAsia="pt-BR"/>
    </w:rPr>
  </w:style>
  <w:style w:type="paragraph" w:customStyle="1" w:styleId="EstiloMRE">
    <w:name w:val="Estilo MRE"/>
    <w:basedOn w:val="NormalMRE"/>
    <w:link w:val="EstiloMREChar"/>
    <w:rsid w:val="00D11FDD"/>
    <w:pPr>
      <w:ind w:left="0" w:firstLine="0"/>
    </w:pPr>
    <w:rPr>
      <w:rFonts w:eastAsia="MS Mincho"/>
    </w:rPr>
  </w:style>
  <w:style w:type="character" w:customStyle="1" w:styleId="EstiloMREChar">
    <w:name w:val="Estilo MRE Char"/>
    <w:link w:val="EstiloMRE"/>
    <w:locked/>
    <w:rsid w:val="00D11FDD"/>
    <w:rPr>
      <w:sz w:val="24"/>
      <w:szCs w:val="24"/>
      <w:lang w:val="pt-BR" w:eastAsia="pt-BR"/>
    </w:rPr>
  </w:style>
  <w:style w:type="paragraph" w:customStyle="1" w:styleId="Prrafodelista1">
    <w:name w:val="Párrafo de lista1"/>
    <w:basedOn w:val="Normal"/>
    <w:qFormat/>
    <w:rsid w:val="00D11FDD"/>
    <w:pPr>
      <w:ind w:left="708"/>
    </w:pPr>
  </w:style>
  <w:style w:type="paragraph" w:customStyle="1" w:styleId="Estilo1">
    <w:name w:val="Estilo1"/>
    <w:basedOn w:val="Normal"/>
    <w:next w:val="Heading1"/>
    <w:rsid w:val="00D11FDD"/>
    <w:pPr>
      <w:spacing w:before="120" w:after="120"/>
      <w:ind w:firstLine="708"/>
      <w:jc w:val="both"/>
    </w:pPr>
    <w:rPr>
      <w:rFonts w:cs="Tahoma"/>
      <w:b/>
      <w:sz w:val="20"/>
      <w:szCs w:val="20"/>
    </w:rPr>
  </w:style>
  <w:style w:type="paragraph" w:customStyle="1" w:styleId="Estilo5">
    <w:name w:val="Estilo5"/>
    <w:basedOn w:val="Heading1"/>
    <w:next w:val="Normal"/>
    <w:rsid w:val="00D11FDD"/>
    <w:pPr>
      <w:jc w:val="both"/>
    </w:pPr>
    <w:rPr>
      <w:rFonts w:ascii="Verdana" w:hAnsi="Verdana"/>
      <w:sz w:val="20"/>
      <w:szCs w:val="24"/>
      <w:lang w:val="en-US"/>
    </w:rPr>
  </w:style>
  <w:style w:type="paragraph" w:customStyle="1" w:styleId="Listavistosa-nfasis11">
    <w:name w:val="Lista vistosa - Énfasis 11"/>
    <w:basedOn w:val="Normal"/>
    <w:qFormat/>
    <w:rsid w:val="00D11FDD"/>
    <w:pPr>
      <w:ind w:left="708"/>
    </w:pPr>
    <w:rPr>
      <w:rFonts w:ascii="Times New Roman" w:eastAsia="MS Mincho" w:hAnsi="Times New Roman" w:cs="Times New Roman"/>
      <w:sz w:val="24"/>
      <w:lang w:val="es-ES" w:eastAsia="es-ES"/>
    </w:rPr>
  </w:style>
  <w:style w:type="character" w:customStyle="1" w:styleId="shorttext">
    <w:name w:val="short_text"/>
    <w:basedOn w:val="DefaultParagraphFont"/>
    <w:rsid w:val="00D11FDD"/>
  </w:style>
  <w:style w:type="paragraph" w:customStyle="1" w:styleId="ju-005fpara">
    <w:name w:val="ju-005fpara"/>
    <w:basedOn w:val="Normal"/>
    <w:rsid w:val="00D11FDD"/>
    <w:pPr>
      <w:spacing w:before="100" w:beforeAutospacing="1" w:after="100" w:afterAutospacing="1"/>
    </w:pPr>
    <w:rPr>
      <w:rFonts w:ascii="Times New Roman" w:eastAsia="Times New Roman" w:hAnsi="Times New Roman" w:cs="Times New Roman"/>
      <w:sz w:val="24"/>
      <w:lang w:val="es-ES" w:eastAsia="es-ES"/>
    </w:rPr>
  </w:style>
  <w:style w:type="paragraph" w:customStyle="1" w:styleId="Index91">
    <w:name w:val="Index 91"/>
    <w:basedOn w:val="Normal"/>
    <w:rsid w:val="00D11FDD"/>
    <w:pPr>
      <w:jc w:val="center"/>
    </w:pPr>
    <w:rPr>
      <w:rFonts w:ascii="Apple Chancery" w:eastAsia="Times New Roman" w:hAnsi="Apple Chancery" w:cs="Times New Roman"/>
      <w:b/>
      <w:sz w:val="24"/>
      <w:szCs w:val="20"/>
    </w:rPr>
  </w:style>
  <w:style w:type="paragraph" w:customStyle="1" w:styleId="BodyTextIndent31">
    <w:name w:val="Body Text Indent 31"/>
    <w:basedOn w:val="Normal"/>
    <w:rsid w:val="00D11FDD"/>
    <w:pPr>
      <w:spacing w:line="360" w:lineRule="atLeast"/>
      <w:ind w:left="720"/>
      <w:jc w:val="both"/>
    </w:pPr>
    <w:rPr>
      <w:rFonts w:ascii="Garamond" w:eastAsia="Times New Roman" w:hAnsi="Garamond" w:cs="Times New Roman"/>
      <w:sz w:val="20"/>
      <w:szCs w:val="20"/>
      <w:lang w:val="es-ES" w:eastAsia="es-ES"/>
    </w:rPr>
  </w:style>
  <w:style w:type="character" w:customStyle="1" w:styleId="shorttext0">
    <w:name w:val="shorttext0"/>
    <w:basedOn w:val="DefaultParagraphFont"/>
    <w:rsid w:val="00D11FDD"/>
  </w:style>
  <w:style w:type="character" w:customStyle="1" w:styleId="shorttext1">
    <w:name w:val="shorttext"/>
    <w:basedOn w:val="DefaultParagraphFont"/>
    <w:rsid w:val="00D11FDD"/>
  </w:style>
  <w:style w:type="paragraph" w:customStyle="1" w:styleId="MediumList2-Accent21">
    <w:name w:val="Medium List 2 - Accent 21"/>
    <w:hidden/>
    <w:semiHidden/>
    <w:rsid w:val="00D11FDD"/>
    <w:rPr>
      <w:rFonts w:ascii="Verdana" w:eastAsia="Batang" w:hAnsi="Verdana" w:cs="Times"/>
      <w:sz w:val="16"/>
      <w:szCs w:val="24"/>
      <w:lang w:val="es-ES_tradnl" w:eastAsia="en-US"/>
    </w:rPr>
  </w:style>
  <w:style w:type="character" w:customStyle="1" w:styleId="Heading2Char">
    <w:name w:val="Heading 2 Char"/>
    <w:locked/>
    <w:rsid w:val="00D11FDD"/>
    <w:rPr>
      <w:rFonts w:ascii="Garamond" w:eastAsia="Batang" w:hAnsi="Garamond" w:cs="Garamond"/>
      <w:b/>
      <w:bCs/>
      <w:smallCaps/>
      <w:sz w:val="16"/>
      <w:szCs w:val="24"/>
      <w:lang w:val="es-ES_tradnl" w:eastAsia="en-US" w:bidi="ar-SA"/>
    </w:rPr>
  </w:style>
  <w:style w:type="character" w:customStyle="1" w:styleId="Heading4Char">
    <w:name w:val="Heading 4 Char"/>
    <w:locked/>
    <w:rsid w:val="00D11FDD"/>
    <w:rPr>
      <w:rFonts w:ascii="Verdana" w:eastAsia="Batang" w:hAnsi="Verdana" w:cs="Verdana"/>
      <w:b/>
      <w:bCs/>
      <w:smallCaps/>
      <w:lang w:val="es-ES_tradnl" w:eastAsia="en-US" w:bidi="ar-SA"/>
    </w:rPr>
  </w:style>
  <w:style w:type="paragraph" w:customStyle="1" w:styleId="MediumGrid1-Accent23">
    <w:name w:val="Medium Grid 1 - Accent 23"/>
    <w:basedOn w:val="Normal"/>
    <w:qFormat/>
    <w:rsid w:val="007523FC"/>
    <w:pPr>
      <w:ind w:left="708"/>
    </w:pPr>
  </w:style>
  <w:style w:type="paragraph" w:customStyle="1" w:styleId="LightList-Accent51">
    <w:name w:val="Light List - Accent 51"/>
    <w:basedOn w:val="Normal"/>
    <w:qFormat/>
    <w:rsid w:val="001C02C7"/>
    <w:pPr>
      <w:ind w:left="708"/>
    </w:pPr>
  </w:style>
  <w:style w:type="paragraph" w:customStyle="1" w:styleId="ColorfulShading-Accent31">
    <w:name w:val="Colorful Shading - Accent 31"/>
    <w:basedOn w:val="Normal"/>
    <w:uiPriority w:val="34"/>
    <w:qFormat/>
    <w:rsid w:val="002A5CCB"/>
    <w:pPr>
      <w:ind w:left="708"/>
    </w:pPr>
  </w:style>
  <w:style w:type="paragraph" w:customStyle="1" w:styleId="LightGrid-Accent31">
    <w:name w:val="Light Grid - Accent 31"/>
    <w:basedOn w:val="Normal"/>
    <w:uiPriority w:val="34"/>
    <w:qFormat/>
    <w:rsid w:val="00177DA5"/>
    <w:pPr>
      <w:ind w:left="708"/>
    </w:pPr>
  </w:style>
  <w:style w:type="paragraph" w:customStyle="1" w:styleId="ColorfulList-Accent12">
    <w:name w:val="Colorful List - Accent 12"/>
    <w:basedOn w:val="Normal"/>
    <w:link w:val="ColorfulList-Accent1Char1"/>
    <w:uiPriority w:val="34"/>
    <w:qFormat/>
    <w:rsid w:val="00D34188"/>
    <w:pPr>
      <w:ind w:left="720"/>
      <w:contextualSpacing/>
    </w:pPr>
  </w:style>
  <w:style w:type="paragraph" w:customStyle="1" w:styleId="Contedodetabela">
    <w:name w:val="Conteúdo de tabela"/>
    <w:basedOn w:val="Normal"/>
    <w:rsid w:val="001F798F"/>
    <w:pPr>
      <w:widowControl w:val="0"/>
      <w:suppressLineNumbers/>
      <w:suppressAutoHyphens/>
    </w:pPr>
    <w:rPr>
      <w:rFonts w:ascii="Times New Roman" w:eastAsia="Lucida Sans Unicode" w:hAnsi="Times New Roman" w:cs="Times New Roman"/>
      <w:kern w:val="1"/>
      <w:sz w:val="24"/>
      <w:lang w:val="pt-BR"/>
    </w:rPr>
  </w:style>
  <w:style w:type="character" w:customStyle="1" w:styleId="Heading3Char">
    <w:name w:val="Heading 3 Char"/>
    <w:link w:val="Heading3"/>
    <w:uiPriority w:val="9"/>
    <w:rsid w:val="00D12684"/>
    <w:rPr>
      <w:rFonts w:eastAsia="Lucida Sans Unicode"/>
      <w:caps/>
      <w:color w:val="243F60"/>
      <w:spacing w:val="15"/>
      <w:kern w:val="1"/>
      <w:sz w:val="22"/>
      <w:szCs w:val="22"/>
      <w:lang w:val="es-ES"/>
    </w:rPr>
  </w:style>
  <w:style w:type="character" w:customStyle="1" w:styleId="Heading5Char">
    <w:name w:val="Heading 5 Char"/>
    <w:link w:val="Heading5"/>
    <w:uiPriority w:val="9"/>
    <w:rsid w:val="00D12684"/>
    <w:rPr>
      <w:rFonts w:eastAsia="Lucida Sans Unicode"/>
      <w:caps/>
      <w:color w:val="365F91"/>
      <w:spacing w:val="10"/>
      <w:kern w:val="1"/>
      <w:sz w:val="22"/>
      <w:szCs w:val="22"/>
      <w:lang w:val="es-ES"/>
    </w:rPr>
  </w:style>
  <w:style w:type="character" w:customStyle="1" w:styleId="Heading6Char">
    <w:name w:val="Heading 6 Char"/>
    <w:link w:val="Heading6"/>
    <w:uiPriority w:val="9"/>
    <w:rsid w:val="00D12684"/>
    <w:rPr>
      <w:rFonts w:eastAsia="Lucida Sans Unicode"/>
      <w:caps/>
      <w:color w:val="365F91"/>
      <w:spacing w:val="10"/>
      <w:kern w:val="1"/>
      <w:sz w:val="22"/>
      <w:szCs w:val="22"/>
      <w:lang w:val="es-ES"/>
    </w:rPr>
  </w:style>
  <w:style w:type="character" w:customStyle="1" w:styleId="Heading7Char">
    <w:name w:val="Heading 7 Char"/>
    <w:link w:val="Heading7"/>
    <w:uiPriority w:val="9"/>
    <w:rsid w:val="00D12684"/>
    <w:rPr>
      <w:rFonts w:eastAsia="Lucida Sans Unicode"/>
      <w:caps/>
      <w:color w:val="365F91"/>
      <w:spacing w:val="10"/>
      <w:kern w:val="1"/>
      <w:sz w:val="22"/>
      <w:szCs w:val="22"/>
      <w:lang w:val="es-ES"/>
    </w:rPr>
  </w:style>
  <w:style w:type="character" w:customStyle="1" w:styleId="Heading8Char">
    <w:name w:val="Heading 8 Char"/>
    <w:link w:val="Heading8"/>
    <w:uiPriority w:val="9"/>
    <w:rsid w:val="00D12684"/>
    <w:rPr>
      <w:rFonts w:eastAsia="Lucida Sans Unicode"/>
      <w:caps/>
      <w:spacing w:val="10"/>
      <w:kern w:val="1"/>
      <w:sz w:val="18"/>
      <w:szCs w:val="18"/>
      <w:lang w:val="es-ES"/>
    </w:rPr>
  </w:style>
  <w:style w:type="character" w:customStyle="1" w:styleId="Heading9Char">
    <w:name w:val="Heading 9 Char"/>
    <w:link w:val="Heading9"/>
    <w:uiPriority w:val="9"/>
    <w:rsid w:val="00D12684"/>
    <w:rPr>
      <w:rFonts w:eastAsia="Lucida Sans Unicode"/>
      <w:i/>
      <w:caps/>
      <w:spacing w:val="10"/>
      <w:kern w:val="1"/>
      <w:sz w:val="18"/>
      <w:szCs w:val="18"/>
      <w:lang w:val="es-ES"/>
    </w:rPr>
  </w:style>
  <w:style w:type="paragraph" w:styleId="Caption">
    <w:name w:val="caption"/>
    <w:basedOn w:val="Normal"/>
    <w:next w:val="Normal"/>
    <w:uiPriority w:val="35"/>
    <w:qFormat/>
    <w:rsid w:val="00D12684"/>
    <w:pPr>
      <w:widowControl w:val="0"/>
      <w:suppressAutoHyphens/>
    </w:pPr>
    <w:rPr>
      <w:rFonts w:ascii="Times New Roman" w:eastAsia="Lucida Sans Unicode" w:hAnsi="Times New Roman" w:cs="Times New Roman"/>
      <w:b/>
      <w:bCs/>
      <w:color w:val="365F91"/>
      <w:kern w:val="1"/>
      <w:szCs w:val="16"/>
      <w:lang w:val="es-ES"/>
    </w:rPr>
  </w:style>
  <w:style w:type="paragraph" w:styleId="Subtitle">
    <w:name w:val="Subtitle"/>
    <w:basedOn w:val="Normal"/>
    <w:next w:val="Normal"/>
    <w:link w:val="SubtitleChar"/>
    <w:uiPriority w:val="11"/>
    <w:qFormat/>
    <w:rsid w:val="00D12684"/>
    <w:pPr>
      <w:widowControl w:val="0"/>
      <w:suppressAutoHyphens/>
      <w:spacing w:after="1000"/>
    </w:pPr>
    <w:rPr>
      <w:rFonts w:ascii="Times New Roman" w:eastAsia="Lucida Sans Unicode" w:hAnsi="Times New Roman" w:cs="Times New Roman"/>
      <w:caps/>
      <w:color w:val="595959"/>
      <w:spacing w:val="10"/>
      <w:kern w:val="1"/>
      <w:sz w:val="24"/>
      <w:lang w:val="es-ES"/>
    </w:rPr>
  </w:style>
  <w:style w:type="character" w:customStyle="1" w:styleId="SubtitleChar">
    <w:name w:val="Subtitle Char"/>
    <w:link w:val="Subtitle"/>
    <w:uiPriority w:val="11"/>
    <w:rsid w:val="00D12684"/>
    <w:rPr>
      <w:rFonts w:eastAsia="Lucida Sans Unicode"/>
      <w:caps/>
      <w:color w:val="595959"/>
      <w:spacing w:val="10"/>
      <w:kern w:val="1"/>
      <w:sz w:val="24"/>
      <w:szCs w:val="24"/>
      <w:lang w:val="es-ES"/>
    </w:rPr>
  </w:style>
  <w:style w:type="paragraph" w:customStyle="1" w:styleId="Sinespaciado1">
    <w:name w:val="Sin espaciado1"/>
    <w:basedOn w:val="Normal"/>
    <w:link w:val="SinespaciadoCar"/>
    <w:uiPriority w:val="1"/>
    <w:qFormat/>
    <w:rsid w:val="00D12684"/>
    <w:pPr>
      <w:widowControl w:val="0"/>
      <w:suppressAutoHyphens/>
    </w:pPr>
    <w:rPr>
      <w:rFonts w:ascii="Times New Roman" w:eastAsia="Lucida Sans Unicode" w:hAnsi="Times New Roman" w:cs="Times New Roman"/>
      <w:kern w:val="1"/>
      <w:sz w:val="24"/>
      <w:lang w:val="es-ES"/>
    </w:rPr>
  </w:style>
  <w:style w:type="character" w:customStyle="1" w:styleId="SinespaciadoCar">
    <w:name w:val="Sin espaciado Car"/>
    <w:link w:val="Sinespaciado1"/>
    <w:uiPriority w:val="1"/>
    <w:rsid w:val="00D12684"/>
    <w:rPr>
      <w:rFonts w:eastAsia="Lucida Sans Unicode"/>
      <w:kern w:val="1"/>
      <w:sz w:val="24"/>
      <w:szCs w:val="24"/>
      <w:lang w:val="es-ES"/>
    </w:rPr>
  </w:style>
  <w:style w:type="paragraph" w:customStyle="1" w:styleId="ColorfulGrid-Accent11">
    <w:name w:val="Colorful Grid - Accent 11"/>
    <w:basedOn w:val="Normal"/>
    <w:next w:val="Normal"/>
    <w:link w:val="ColorfulGrid-Accent1Char"/>
    <w:uiPriority w:val="29"/>
    <w:qFormat/>
    <w:rsid w:val="00D12684"/>
    <w:pPr>
      <w:widowControl w:val="0"/>
      <w:suppressAutoHyphens/>
    </w:pPr>
    <w:rPr>
      <w:rFonts w:ascii="Times New Roman" w:eastAsia="Lucida Sans Unicode" w:hAnsi="Times New Roman" w:cs="Times New Roman"/>
      <w:i/>
      <w:iCs/>
      <w:kern w:val="1"/>
      <w:sz w:val="24"/>
      <w:lang w:val="es-ES"/>
    </w:rPr>
  </w:style>
  <w:style w:type="character" w:customStyle="1" w:styleId="ColorfulGrid-Accent1Char">
    <w:name w:val="Colorful Grid - Accent 1 Char"/>
    <w:link w:val="ColorfulGrid-Accent11"/>
    <w:uiPriority w:val="29"/>
    <w:rsid w:val="00D12684"/>
    <w:rPr>
      <w:rFonts w:eastAsia="Lucida Sans Unicode"/>
      <w:i/>
      <w:iCs/>
      <w:kern w:val="1"/>
      <w:sz w:val="24"/>
      <w:szCs w:val="24"/>
      <w:lang w:val="es-ES"/>
    </w:rPr>
  </w:style>
  <w:style w:type="paragraph" w:customStyle="1" w:styleId="LightShading-Accent21">
    <w:name w:val="Light Shading - Accent 21"/>
    <w:basedOn w:val="Normal"/>
    <w:next w:val="Normal"/>
    <w:link w:val="LightShading-Accent2Char"/>
    <w:uiPriority w:val="30"/>
    <w:qFormat/>
    <w:rsid w:val="00D12684"/>
    <w:pPr>
      <w:widowControl w:val="0"/>
      <w:pBdr>
        <w:top w:val="single" w:sz="4" w:space="10" w:color="4F81BD"/>
        <w:left w:val="single" w:sz="4" w:space="10" w:color="4F81BD"/>
      </w:pBdr>
      <w:suppressAutoHyphens/>
      <w:ind w:left="1296" w:right="1152"/>
      <w:jc w:val="both"/>
    </w:pPr>
    <w:rPr>
      <w:rFonts w:ascii="Times New Roman" w:eastAsia="Lucida Sans Unicode" w:hAnsi="Times New Roman" w:cs="Times New Roman"/>
      <w:i/>
      <w:iCs/>
      <w:color w:val="4F81BD"/>
      <w:kern w:val="1"/>
      <w:sz w:val="24"/>
      <w:lang w:val="es-ES"/>
    </w:rPr>
  </w:style>
  <w:style w:type="character" w:customStyle="1" w:styleId="LightShading-Accent2Char">
    <w:name w:val="Light Shading - Accent 2 Char"/>
    <w:link w:val="LightShading-Accent21"/>
    <w:uiPriority w:val="30"/>
    <w:rsid w:val="00D12684"/>
    <w:rPr>
      <w:rFonts w:eastAsia="Lucida Sans Unicode"/>
      <w:i/>
      <w:iCs/>
      <w:color w:val="4F81BD"/>
      <w:kern w:val="1"/>
      <w:sz w:val="24"/>
      <w:szCs w:val="24"/>
      <w:lang w:val="es-ES"/>
    </w:rPr>
  </w:style>
  <w:style w:type="character" w:customStyle="1" w:styleId="nfasissutil1">
    <w:name w:val="Énfasis sutil1"/>
    <w:uiPriority w:val="19"/>
    <w:qFormat/>
    <w:rsid w:val="00D12684"/>
    <w:rPr>
      <w:i/>
      <w:iCs/>
      <w:color w:val="243F60"/>
    </w:rPr>
  </w:style>
  <w:style w:type="character" w:customStyle="1" w:styleId="nfasisintenso1">
    <w:name w:val="Énfasis intenso1"/>
    <w:uiPriority w:val="21"/>
    <w:qFormat/>
    <w:rsid w:val="00D12684"/>
    <w:rPr>
      <w:b/>
      <w:bCs/>
      <w:caps/>
      <w:color w:val="243F60"/>
      <w:spacing w:val="10"/>
    </w:rPr>
  </w:style>
  <w:style w:type="character" w:customStyle="1" w:styleId="Referenciasutil1">
    <w:name w:val="Referencia sutil1"/>
    <w:uiPriority w:val="31"/>
    <w:qFormat/>
    <w:rsid w:val="00D12684"/>
    <w:rPr>
      <w:b/>
      <w:bCs/>
      <w:color w:val="4F81BD"/>
    </w:rPr>
  </w:style>
  <w:style w:type="character" w:customStyle="1" w:styleId="Referenciaintensa1">
    <w:name w:val="Referencia intensa1"/>
    <w:uiPriority w:val="32"/>
    <w:qFormat/>
    <w:rsid w:val="00D12684"/>
    <w:rPr>
      <w:b/>
      <w:bCs/>
      <w:i/>
      <w:iCs/>
      <w:caps/>
      <w:color w:val="4F81BD"/>
    </w:rPr>
  </w:style>
  <w:style w:type="character" w:customStyle="1" w:styleId="Ttulodelibro">
    <w:name w:val="Título de libro"/>
    <w:uiPriority w:val="33"/>
    <w:qFormat/>
    <w:rsid w:val="00D12684"/>
    <w:rPr>
      <w:b/>
      <w:bCs/>
      <w:i/>
      <w:iCs/>
      <w:spacing w:val="9"/>
    </w:rPr>
  </w:style>
  <w:style w:type="paragraph" w:customStyle="1" w:styleId="Encabezadodetabladecontenido">
    <w:name w:val="Encabezado de tabla de contenido"/>
    <w:basedOn w:val="Heading1"/>
    <w:next w:val="Normal"/>
    <w:uiPriority w:val="39"/>
    <w:qFormat/>
    <w:rsid w:val="00D12684"/>
    <w:pPr>
      <w:keepNext w:val="0"/>
      <w:widowControl w:val="0"/>
      <w:pBdr>
        <w:top w:val="single" w:sz="24" w:space="0" w:color="4F81BD"/>
        <w:left w:val="single" w:sz="24" w:space="0" w:color="4F81BD"/>
        <w:bottom w:val="single" w:sz="24" w:space="0" w:color="4F81BD"/>
        <w:right w:val="single" w:sz="24" w:space="0" w:color="4F81BD"/>
      </w:pBdr>
      <w:shd w:val="clear" w:color="auto" w:fill="4F81BD"/>
      <w:suppressAutoHyphens/>
      <w:spacing w:before="0" w:after="0"/>
      <w:outlineLvl w:val="9"/>
    </w:pPr>
    <w:rPr>
      <w:rFonts w:ascii="Times New Roman" w:eastAsia="Lucida Sans Unicode" w:hAnsi="Times New Roman" w:cs="Times New Roman"/>
      <w:caps/>
      <w:color w:val="FFFFFF"/>
      <w:spacing w:val="15"/>
      <w:kern w:val="1"/>
      <w:sz w:val="22"/>
      <w:szCs w:val="22"/>
      <w:lang w:val="es-ES"/>
    </w:rPr>
  </w:style>
  <w:style w:type="character" w:customStyle="1" w:styleId="ColorfulList-Accent1Char">
    <w:name w:val="Colorful List - Accent 1 Char"/>
    <w:aliases w:val="Colorful List - Accent 11 Char,Párrafo de lista1 Char,Footnote Char,List Paragraph1 Char,List Paragraph Char"/>
    <w:uiPriority w:val="34"/>
    <w:locked/>
    <w:rsid w:val="00AB52EB"/>
    <w:rPr>
      <w:sz w:val="22"/>
      <w:szCs w:val="22"/>
    </w:rPr>
  </w:style>
  <w:style w:type="character" w:customStyle="1" w:styleId="ColorfulList-Accent1Char1">
    <w:name w:val="Colorful List - Accent 1 Char1"/>
    <w:link w:val="ColorfulList-Accent12"/>
    <w:uiPriority w:val="34"/>
    <w:rsid w:val="00AB52EB"/>
    <w:rPr>
      <w:rFonts w:ascii="Verdana" w:eastAsia="Batang" w:hAnsi="Verdana" w:cs="Times"/>
      <w:sz w:val="16"/>
      <w:szCs w:val="24"/>
      <w:lang w:eastAsia="en-US"/>
    </w:rPr>
  </w:style>
  <w:style w:type="paragraph" w:customStyle="1" w:styleId="yiv1943656305msonormal">
    <w:name w:val="yiv1943656305msonormal"/>
    <w:basedOn w:val="Normal"/>
    <w:rsid w:val="00A00BB5"/>
    <w:pPr>
      <w:spacing w:before="100" w:beforeAutospacing="1" w:after="100" w:afterAutospacing="1"/>
    </w:pPr>
    <w:rPr>
      <w:rFonts w:ascii="Times New Roman" w:eastAsia="Times New Roman" w:hAnsi="Times New Roman" w:cs="Times New Roman"/>
      <w:sz w:val="24"/>
      <w:lang w:val="es-ES" w:eastAsia="es-ES"/>
    </w:rPr>
  </w:style>
  <w:style w:type="paragraph" w:styleId="ListParagraph">
    <w:name w:val="List Paragraph"/>
    <w:basedOn w:val="Normal"/>
    <w:uiPriority w:val="34"/>
    <w:qFormat/>
    <w:rsid w:val="00CA58C7"/>
    <w:pPr>
      <w:spacing w:after="200" w:line="276" w:lineRule="auto"/>
      <w:ind w:left="720"/>
      <w:contextualSpacing/>
    </w:pPr>
    <w:rPr>
      <w:rFonts w:asciiTheme="minorHAnsi" w:eastAsiaTheme="minorHAnsi" w:hAnsiTheme="minorHAnsi" w:cstheme="minorBidi"/>
      <w:sz w:val="22"/>
      <w:szCs w:val="22"/>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93982">
      <w:bodyDiv w:val="1"/>
      <w:marLeft w:val="0"/>
      <w:marRight w:val="0"/>
      <w:marTop w:val="0"/>
      <w:marBottom w:val="0"/>
      <w:divBdr>
        <w:top w:val="none" w:sz="0" w:space="0" w:color="auto"/>
        <w:left w:val="none" w:sz="0" w:space="0" w:color="auto"/>
        <w:bottom w:val="none" w:sz="0" w:space="0" w:color="auto"/>
        <w:right w:val="none" w:sz="0" w:space="0" w:color="auto"/>
      </w:divBdr>
    </w:div>
    <w:div w:id="958296980">
      <w:bodyDiv w:val="1"/>
      <w:marLeft w:val="0"/>
      <w:marRight w:val="0"/>
      <w:marTop w:val="0"/>
      <w:marBottom w:val="0"/>
      <w:divBdr>
        <w:top w:val="none" w:sz="0" w:space="0" w:color="auto"/>
        <w:left w:val="none" w:sz="0" w:space="0" w:color="auto"/>
        <w:bottom w:val="none" w:sz="0" w:space="0" w:color="auto"/>
        <w:right w:val="none" w:sz="0" w:space="0" w:color="auto"/>
      </w:divBdr>
    </w:div>
    <w:div w:id="1428111328">
      <w:bodyDiv w:val="1"/>
      <w:marLeft w:val="0"/>
      <w:marRight w:val="0"/>
      <w:marTop w:val="0"/>
      <w:marBottom w:val="0"/>
      <w:divBdr>
        <w:top w:val="none" w:sz="0" w:space="0" w:color="auto"/>
        <w:left w:val="none" w:sz="0" w:space="0" w:color="auto"/>
        <w:bottom w:val="none" w:sz="0" w:space="0" w:color="auto"/>
        <w:right w:val="none" w:sz="0" w:space="0" w:color="auto"/>
      </w:divBdr>
    </w:div>
    <w:div w:id="20518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1FB0-D194-4246-B7D1-55273621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6481</Words>
  <Characters>35648</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CORTE INTERAMERICANA DE DERECHOS HUMANOS</vt:lpstr>
      <vt:lpstr>CORTE INTERAMERICANA DE DERECHOS HUMANOS</vt:lpstr>
    </vt:vector>
  </TitlesOfParts>
  <LinksUpToDate>false</LinksUpToDate>
  <CharactersWithSpaces>42045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INTERAMERICANA DE DERECHOS HUMANOS</dc:title>
  <dc:creator/>
  <cp:lastModifiedBy/>
  <cp:revision>1</cp:revision>
  <cp:lastPrinted>2010-12-09T19:50:00Z</cp:lastPrinted>
  <dcterms:created xsi:type="dcterms:W3CDTF">2014-12-10T21:05:00Z</dcterms:created>
  <dcterms:modified xsi:type="dcterms:W3CDTF">2014-12-10T21:05:00Z</dcterms:modified>
</cp:coreProperties>
</file>