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67EAE" w14:textId="77777777" w:rsidR="00E005F5" w:rsidRDefault="004F41B7" w:rsidP="00E005F5">
      <w:pPr>
        <w:spacing w:after="120" w:line="240" w:lineRule="auto"/>
        <w:rPr>
          <w:rFonts w:ascii="Verdana" w:hAnsi="Verdana"/>
          <w:b/>
          <w:sz w:val="20"/>
          <w:szCs w:val="20"/>
        </w:rPr>
      </w:pPr>
      <w:bookmarkStart w:id="0" w:name="_GoBack"/>
      <w:bookmarkEnd w:id="0"/>
      <w:r>
        <w:rPr>
          <w:rFonts w:ascii="Verdana" w:hAnsi="Verdana"/>
          <w:b/>
          <w:sz w:val="20"/>
          <w:szCs w:val="20"/>
        </w:rPr>
        <w:t xml:space="preserve"> </w:t>
      </w:r>
    </w:p>
    <w:p w14:paraId="4F36DD4F" w14:textId="77777777" w:rsidR="009776C7" w:rsidRDefault="00E005F5" w:rsidP="00A82C8C">
      <w:pPr>
        <w:spacing w:after="120" w:line="240" w:lineRule="auto"/>
        <w:ind w:firstLine="709"/>
        <w:jc w:val="center"/>
        <w:rPr>
          <w:rFonts w:ascii="Verdana" w:hAnsi="Verdana"/>
          <w:b/>
          <w:sz w:val="20"/>
          <w:szCs w:val="20"/>
        </w:rPr>
      </w:pPr>
      <w:r w:rsidRPr="00F0734D">
        <w:rPr>
          <w:rFonts w:ascii="Verdana" w:hAnsi="Verdana"/>
          <w:b/>
          <w:sz w:val="20"/>
          <w:szCs w:val="20"/>
        </w:rPr>
        <w:t>VOTO</w:t>
      </w:r>
      <w:r>
        <w:rPr>
          <w:rFonts w:ascii="Verdana" w:hAnsi="Verdana"/>
          <w:b/>
          <w:sz w:val="20"/>
          <w:szCs w:val="20"/>
        </w:rPr>
        <w:t xml:space="preserve"> PARCIALMENTE </w:t>
      </w:r>
      <w:r w:rsidRPr="00F0734D">
        <w:rPr>
          <w:rFonts w:ascii="Verdana" w:hAnsi="Verdana"/>
          <w:b/>
          <w:sz w:val="20"/>
          <w:szCs w:val="20"/>
        </w:rPr>
        <w:t xml:space="preserve">DISIDENTE </w:t>
      </w:r>
    </w:p>
    <w:p w14:paraId="06D50289" w14:textId="77777777" w:rsidR="00A82C8C" w:rsidRDefault="00E005F5" w:rsidP="00A82C8C">
      <w:pPr>
        <w:spacing w:after="120" w:line="240" w:lineRule="auto"/>
        <w:ind w:firstLine="709"/>
        <w:jc w:val="center"/>
        <w:rPr>
          <w:rFonts w:ascii="Verdana" w:hAnsi="Verdana"/>
          <w:b/>
          <w:sz w:val="20"/>
          <w:szCs w:val="20"/>
        </w:rPr>
      </w:pPr>
      <w:r w:rsidRPr="00F0734D">
        <w:rPr>
          <w:rFonts w:ascii="Verdana" w:hAnsi="Verdana"/>
          <w:b/>
          <w:sz w:val="20"/>
          <w:szCs w:val="20"/>
        </w:rPr>
        <w:t>DEL</w:t>
      </w:r>
      <w:r w:rsidR="009776C7">
        <w:rPr>
          <w:rFonts w:ascii="Verdana" w:hAnsi="Verdana"/>
          <w:b/>
          <w:sz w:val="20"/>
          <w:szCs w:val="20"/>
        </w:rPr>
        <w:t xml:space="preserve"> </w:t>
      </w:r>
      <w:r w:rsidRPr="00F0734D">
        <w:rPr>
          <w:rFonts w:ascii="Verdana" w:hAnsi="Verdana"/>
          <w:b/>
          <w:sz w:val="20"/>
          <w:szCs w:val="20"/>
        </w:rPr>
        <w:t>JUEZ EDUARDO FERRER MAC-GREGOR POISOT</w:t>
      </w:r>
      <w:r w:rsidR="009776C7">
        <w:rPr>
          <w:rFonts w:ascii="Verdana" w:hAnsi="Verdana"/>
          <w:b/>
          <w:sz w:val="20"/>
          <w:szCs w:val="20"/>
        </w:rPr>
        <w:t xml:space="preserve"> </w:t>
      </w:r>
    </w:p>
    <w:p w14:paraId="37D20D02" w14:textId="77777777" w:rsidR="001D13C2" w:rsidRDefault="001D13C2" w:rsidP="001D13C2">
      <w:pPr>
        <w:spacing w:after="0" w:line="240" w:lineRule="auto"/>
        <w:ind w:firstLine="709"/>
        <w:jc w:val="center"/>
        <w:rPr>
          <w:rFonts w:ascii="Verdana" w:hAnsi="Verdana"/>
          <w:b/>
          <w:sz w:val="20"/>
          <w:szCs w:val="20"/>
        </w:rPr>
      </w:pPr>
    </w:p>
    <w:p w14:paraId="003EFF1C" w14:textId="77777777" w:rsidR="00E005F5" w:rsidRPr="000043A8" w:rsidRDefault="00E005F5" w:rsidP="009825AC">
      <w:pPr>
        <w:spacing w:after="120" w:line="240" w:lineRule="auto"/>
        <w:ind w:firstLine="708"/>
        <w:jc w:val="center"/>
        <w:rPr>
          <w:rFonts w:ascii="Verdana" w:hAnsi="Verdana"/>
          <w:b/>
          <w:i/>
          <w:sz w:val="20"/>
          <w:szCs w:val="20"/>
        </w:rPr>
      </w:pPr>
      <w:r w:rsidRPr="000043A8">
        <w:rPr>
          <w:rFonts w:ascii="Verdana" w:hAnsi="Verdana"/>
          <w:b/>
          <w:i/>
          <w:sz w:val="20"/>
          <w:szCs w:val="20"/>
          <w:u w:val="single"/>
        </w:rPr>
        <w:t>CASO</w:t>
      </w:r>
      <w:r w:rsidR="00AC0FC7" w:rsidRPr="000043A8">
        <w:rPr>
          <w:rFonts w:ascii="Verdana" w:hAnsi="Verdana"/>
          <w:b/>
          <w:i/>
          <w:sz w:val="20"/>
          <w:szCs w:val="20"/>
          <w:u w:val="single"/>
        </w:rPr>
        <w:t xml:space="preserve"> </w:t>
      </w:r>
      <w:r w:rsidRPr="000043A8">
        <w:rPr>
          <w:rFonts w:ascii="Verdana" w:hAnsi="Verdana"/>
          <w:b/>
          <w:i/>
          <w:sz w:val="20"/>
          <w:szCs w:val="20"/>
          <w:u w:val="single"/>
        </w:rPr>
        <w:t>GRANIER Y OTROS (RADIO CARACAS TELEVISIÓN)</w:t>
      </w:r>
      <w:r w:rsidR="00562AB6" w:rsidRPr="000043A8">
        <w:rPr>
          <w:rFonts w:ascii="Verdana" w:hAnsi="Verdana"/>
          <w:b/>
          <w:i/>
          <w:sz w:val="20"/>
          <w:szCs w:val="20"/>
          <w:u w:val="single"/>
        </w:rPr>
        <w:t xml:space="preserve"> </w:t>
      </w:r>
      <w:r w:rsidRPr="000043A8">
        <w:rPr>
          <w:rFonts w:ascii="Verdana" w:hAnsi="Verdana"/>
          <w:b/>
          <w:i/>
          <w:sz w:val="20"/>
          <w:szCs w:val="20"/>
          <w:u w:val="single"/>
        </w:rPr>
        <w:t>VS. VENEZUELA</w:t>
      </w:r>
    </w:p>
    <w:p w14:paraId="0BCD83A2" w14:textId="77777777" w:rsidR="00BD490F" w:rsidRPr="009825AC" w:rsidRDefault="008E53D2" w:rsidP="009825AC">
      <w:pPr>
        <w:spacing w:after="120" w:line="240" w:lineRule="auto"/>
        <w:ind w:firstLine="708"/>
        <w:jc w:val="center"/>
        <w:rPr>
          <w:rFonts w:ascii="Verdana" w:hAnsi="Verdana"/>
          <w:b/>
          <w:sz w:val="20"/>
          <w:szCs w:val="20"/>
        </w:rPr>
      </w:pPr>
      <w:r w:rsidRPr="009825AC">
        <w:rPr>
          <w:rFonts w:ascii="Verdana" w:hAnsi="Verdana"/>
          <w:b/>
          <w:sz w:val="20"/>
          <w:szCs w:val="20"/>
        </w:rPr>
        <w:t>SENTENCIA DE 22 DE JUNIO DE</w:t>
      </w:r>
      <w:r w:rsidR="00E005F5" w:rsidRPr="009825AC">
        <w:rPr>
          <w:rFonts w:ascii="Verdana" w:hAnsi="Verdana"/>
          <w:b/>
          <w:sz w:val="20"/>
          <w:szCs w:val="20"/>
        </w:rPr>
        <w:t xml:space="preserve"> 2015</w:t>
      </w:r>
    </w:p>
    <w:p w14:paraId="663F82A4" w14:textId="77777777" w:rsidR="009825AC" w:rsidRPr="009825AC" w:rsidRDefault="009825AC" w:rsidP="009825AC">
      <w:pPr>
        <w:spacing w:after="120" w:line="240" w:lineRule="auto"/>
        <w:ind w:firstLine="708"/>
        <w:jc w:val="center"/>
        <w:rPr>
          <w:rFonts w:ascii="Verdana" w:hAnsi="Verdana"/>
          <w:b/>
          <w:sz w:val="20"/>
          <w:szCs w:val="20"/>
        </w:rPr>
      </w:pPr>
      <w:r w:rsidRPr="009825AC">
        <w:rPr>
          <w:rFonts w:ascii="Verdana" w:hAnsi="Verdana"/>
          <w:b/>
          <w:sz w:val="20"/>
          <w:szCs w:val="20"/>
        </w:rPr>
        <w:t>(Excepciones Preliminares, Fondo, Reparaciones y Costas)</w:t>
      </w:r>
    </w:p>
    <w:p w14:paraId="2D83BCEA" w14:textId="77777777" w:rsidR="00A82C8C" w:rsidRDefault="00A82C8C" w:rsidP="00A82C8C">
      <w:pPr>
        <w:spacing w:after="120" w:line="240" w:lineRule="auto"/>
        <w:rPr>
          <w:rFonts w:ascii="Verdana" w:hAnsi="Verdana"/>
          <w:b/>
          <w:sz w:val="18"/>
          <w:szCs w:val="18"/>
          <w:u w:val="single"/>
        </w:rPr>
      </w:pPr>
    </w:p>
    <w:p w14:paraId="31F3246A" w14:textId="77777777" w:rsidR="000A2DBB" w:rsidRPr="009776C7" w:rsidRDefault="000A2DBB" w:rsidP="00A82C8C">
      <w:pPr>
        <w:spacing w:after="120" w:line="240" w:lineRule="auto"/>
        <w:rPr>
          <w:rFonts w:ascii="Verdana" w:hAnsi="Verdana"/>
          <w:b/>
          <w:sz w:val="18"/>
          <w:szCs w:val="18"/>
          <w:u w:val="single"/>
        </w:rPr>
      </w:pPr>
    </w:p>
    <w:p w14:paraId="57C8D451" w14:textId="77777777" w:rsidR="000A2DBB" w:rsidRDefault="00E005F5" w:rsidP="000A2DBB">
      <w:pPr>
        <w:spacing w:line="240" w:lineRule="auto"/>
        <w:jc w:val="center"/>
        <w:rPr>
          <w:rFonts w:ascii="Verdana" w:hAnsi="Verdana"/>
          <w:b/>
          <w:sz w:val="20"/>
          <w:szCs w:val="20"/>
        </w:rPr>
      </w:pPr>
      <w:r>
        <w:rPr>
          <w:rFonts w:ascii="Verdana" w:hAnsi="Verdana"/>
          <w:b/>
          <w:sz w:val="20"/>
          <w:szCs w:val="20"/>
        </w:rPr>
        <w:t>INTRODUCCIÓN</w:t>
      </w:r>
    </w:p>
    <w:p w14:paraId="4E861126" w14:textId="77777777" w:rsidR="000C76B1" w:rsidRDefault="00CF4F72" w:rsidP="002821F0">
      <w:pPr>
        <w:spacing w:line="240" w:lineRule="auto"/>
        <w:jc w:val="both"/>
        <w:rPr>
          <w:rFonts w:ascii="Verdana" w:hAnsi="Verdana"/>
          <w:sz w:val="20"/>
          <w:szCs w:val="20"/>
        </w:rPr>
      </w:pPr>
      <w:r>
        <w:rPr>
          <w:rFonts w:ascii="Verdana" w:hAnsi="Verdana"/>
          <w:sz w:val="20"/>
          <w:szCs w:val="20"/>
        </w:rPr>
        <w:t xml:space="preserve">1. </w:t>
      </w:r>
      <w:r>
        <w:rPr>
          <w:rFonts w:ascii="Verdana" w:hAnsi="Verdana"/>
          <w:sz w:val="20"/>
          <w:szCs w:val="20"/>
        </w:rPr>
        <w:tab/>
      </w:r>
      <w:r w:rsidR="009C3C02">
        <w:rPr>
          <w:rFonts w:ascii="Verdana" w:hAnsi="Verdana"/>
          <w:sz w:val="20"/>
          <w:szCs w:val="20"/>
        </w:rPr>
        <w:t xml:space="preserve">El presente caso pone de relieve la </w:t>
      </w:r>
      <w:r w:rsidR="008F18F3">
        <w:rPr>
          <w:rFonts w:ascii="Verdana" w:hAnsi="Verdana"/>
          <w:sz w:val="20"/>
          <w:szCs w:val="20"/>
        </w:rPr>
        <w:t xml:space="preserve">importancia de la libertad de </w:t>
      </w:r>
      <w:r w:rsidR="00D62BA8">
        <w:rPr>
          <w:rFonts w:ascii="Verdana" w:hAnsi="Verdana"/>
          <w:sz w:val="20"/>
          <w:szCs w:val="20"/>
        </w:rPr>
        <w:t xml:space="preserve">pensamiento y </w:t>
      </w:r>
      <w:r w:rsidR="008F18F3">
        <w:rPr>
          <w:rFonts w:ascii="Verdana" w:hAnsi="Verdana"/>
          <w:sz w:val="20"/>
          <w:szCs w:val="20"/>
        </w:rPr>
        <w:t>expresión en una sociedad democrátic</w:t>
      </w:r>
      <w:r w:rsidR="005D3030">
        <w:rPr>
          <w:rFonts w:ascii="Verdana" w:hAnsi="Verdana"/>
          <w:sz w:val="20"/>
          <w:szCs w:val="20"/>
        </w:rPr>
        <w:t>a</w:t>
      </w:r>
      <w:r w:rsidR="001812B0">
        <w:rPr>
          <w:rFonts w:ascii="Verdana" w:hAnsi="Verdana"/>
          <w:sz w:val="20"/>
          <w:szCs w:val="20"/>
        </w:rPr>
        <w:t>, misma que fuera destacada</w:t>
      </w:r>
      <w:r w:rsidR="00DA5D37">
        <w:rPr>
          <w:rFonts w:ascii="Verdana" w:hAnsi="Verdana"/>
          <w:sz w:val="20"/>
          <w:szCs w:val="20"/>
        </w:rPr>
        <w:t xml:space="preserve"> hace tres décadas por la Corte Interamericana de Derechos Humanos (en adelante “Corte IDH” o Tribunal Interamericano”) en su Opinión Consultiva </w:t>
      </w:r>
      <w:r w:rsidR="00416C88">
        <w:rPr>
          <w:rFonts w:ascii="Verdana" w:hAnsi="Verdana"/>
          <w:sz w:val="20"/>
          <w:szCs w:val="20"/>
        </w:rPr>
        <w:t>OC-5/85</w:t>
      </w:r>
      <w:r w:rsidR="009318B1">
        <w:rPr>
          <w:rFonts w:ascii="Verdana" w:hAnsi="Verdana"/>
          <w:sz w:val="20"/>
          <w:szCs w:val="20"/>
        </w:rPr>
        <w:t xml:space="preserve"> sobre </w:t>
      </w:r>
      <w:r w:rsidR="009318B1">
        <w:rPr>
          <w:rFonts w:ascii="Verdana" w:hAnsi="Verdana"/>
          <w:i/>
          <w:sz w:val="20"/>
          <w:szCs w:val="20"/>
        </w:rPr>
        <w:t>La Colegiación Obligatoria de Periodistas</w:t>
      </w:r>
      <w:r w:rsidR="00A567BF" w:rsidRPr="003D68BF">
        <w:rPr>
          <w:rStyle w:val="FootnoteReference"/>
          <w:rFonts w:ascii="Verdana" w:hAnsi="Verdana"/>
          <w:sz w:val="20"/>
          <w:szCs w:val="20"/>
        </w:rPr>
        <w:footnoteReference w:id="1"/>
      </w:r>
      <w:r w:rsidR="00A567BF">
        <w:rPr>
          <w:rFonts w:ascii="Verdana" w:hAnsi="Verdana"/>
          <w:sz w:val="20"/>
          <w:szCs w:val="20"/>
        </w:rPr>
        <w:t>. Desde entonces</w:t>
      </w:r>
      <w:r w:rsidR="001812B0">
        <w:rPr>
          <w:rFonts w:ascii="Verdana" w:hAnsi="Verdana"/>
          <w:sz w:val="20"/>
          <w:szCs w:val="20"/>
        </w:rPr>
        <w:t>,</w:t>
      </w:r>
      <w:r w:rsidR="00A567BF">
        <w:rPr>
          <w:rFonts w:ascii="Verdana" w:hAnsi="Verdana"/>
          <w:sz w:val="20"/>
          <w:szCs w:val="20"/>
        </w:rPr>
        <w:t xml:space="preserve"> el Tribunal Interamericano</w:t>
      </w:r>
      <w:r w:rsidR="00B334CC">
        <w:rPr>
          <w:rFonts w:ascii="Verdana" w:hAnsi="Verdana"/>
          <w:sz w:val="20"/>
          <w:szCs w:val="20"/>
        </w:rPr>
        <w:t xml:space="preserve"> </w:t>
      </w:r>
      <w:r w:rsidR="000C76B1">
        <w:rPr>
          <w:rFonts w:ascii="Verdana" w:hAnsi="Verdana"/>
          <w:sz w:val="20"/>
          <w:szCs w:val="20"/>
        </w:rPr>
        <w:t>le ha venido dando un contenido amplio al artícul</w:t>
      </w:r>
      <w:r w:rsidR="00416C88">
        <w:rPr>
          <w:rFonts w:ascii="Verdana" w:hAnsi="Verdana"/>
          <w:sz w:val="20"/>
          <w:szCs w:val="20"/>
        </w:rPr>
        <w:t>o</w:t>
      </w:r>
      <w:r w:rsidR="009318B1">
        <w:rPr>
          <w:rFonts w:ascii="Verdana" w:hAnsi="Verdana"/>
          <w:sz w:val="20"/>
          <w:szCs w:val="20"/>
        </w:rPr>
        <w:t xml:space="preserve"> 13 de la Convención Americana</w:t>
      </w:r>
      <w:r w:rsidR="00A567BF">
        <w:rPr>
          <w:rFonts w:ascii="Verdana" w:hAnsi="Verdana"/>
          <w:sz w:val="20"/>
          <w:szCs w:val="20"/>
        </w:rPr>
        <w:t>,</w:t>
      </w:r>
      <w:r w:rsidR="005D3030">
        <w:rPr>
          <w:rFonts w:ascii="Verdana" w:hAnsi="Verdana"/>
          <w:sz w:val="20"/>
          <w:szCs w:val="20"/>
        </w:rPr>
        <w:t xml:space="preserve"> particularmente en casos contenciosos </w:t>
      </w:r>
      <w:r w:rsidR="00CE1D28">
        <w:rPr>
          <w:rFonts w:ascii="Verdana" w:hAnsi="Verdana"/>
          <w:sz w:val="20"/>
          <w:szCs w:val="20"/>
        </w:rPr>
        <w:t xml:space="preserve">y de interés público </w:t>
      </w:r>
      <w:r w:rsidR="005D3030">
        <w:rPr>
          <w:rFonts w:ascii="Verdana" w:hAnsi="Verdana"/>
          <w:sz w:val="20"/>
          <w:szCs w:val="20"/>
        </w:rPr>
        <w:t>como el</w:t>
      </w:r>
      <w:r w:rsidR="00CE1D28">
        <w:rPr>
          <w:rFonts w:ascii="Verdana" w:hAnsi="Verdana"/>
          <w:sz w:val="20"/>
          <w:szCs w:val="20"/>
        </w:rPr>
        <w:t xml:space="preserve"> que nos ocupa</w:t>
      </w:r>
      <w:r w:rsidR="000043A8">
        <w:rPr>
          <w:rFonts w:ascii="Verdana" w:hAnsi="Verdana"/>
          <w:sz w:val="20"/>
          <w:szCs w:val="20"/>
        </w:rPr>
        <w:t>;</w:t>
      </w:r>
      <w:r w:rsidR="00CE1D28">
        <w:rPr>
          <w:rFonts w:ascii="Verdana" w:hAnsi="Verdana"/>
          <w:sz w:val="20"/>
          <w:szCs w:val="20"/>
        </w:rPr>
        <w:t xml:space="preserve"> garantizando </w:t>
      </w:r>
      <w:r w:rsidR="009776C7">
        <w:rPr>
          <w:rFonts w:ascii="Verdana" w:hAnsi="Verdana"/>
          <w:sz w:val="20"/>
          <w:szCs w:val="20"/>
        </w:rPr>
        <w:t xml:space="preserve">en forma simultánea </w:t>
      </w:r>
      <w:r w:rsidR="00CE1D28">
        <w:rPr>
          <w:rFonts w:ascii="Verdana" w:hAnsi="Verdana"/>
          <w:sz w:val="20"/>
          <w:szCs w:val="20"/>
        </w:rPr>
        <w:t>tanto la</w:t>
      </w:r>
      <w:r w:rsidR="005D3030">
        <w:rPr>
          <w:rFonts w:ascii="Verdana" w:hAnsi="Verdana"/>
          <w:sz w:val="20"/>
          <w:szCs w:val="20"/>
        </w:rPr>
        <w:t xml:space="preserve"> dimensión individual como la </w:t>
      </w:r>
      <w:r w:rsidR="006D45B9">
        <w:rPr>
          <w:rFonts w:ascii="Verdana" w:hAnsi="Verdana"/>
          <w:sz w:val="20"/>
          <w:szCs w:val="20"/>
        </w:rPr>
        <w:t xml:space="preserve">dimensión </w:t>
      </w:r>
      <w:r w:rsidR="005D3030">
        <w:rPr>
          <w:rFonts w:ascii="Verdana" w:hAnsi="Verdana"/>
          <w:sz w:val="20"/>
          <w:szCs w:val="20"/>
        </w:rPr>
        <w:t xml:space="preserve">social </w:t>
      </w:r>
      <w:r w:rsidR="00FC6C35">
        <w:rPr>
          <w:rFonts w:ascii="Verdana" w:hAnsi="Verdana"/>
          <w:sz w:val="20"/>
          <w:szCs w:val="20"/>
        </w:rPr>
        <w:t>contenida</w:t>
      </w:r>
      <w:r w:rsidR="00152717">
        <w:rPr>
          <w:rFonts w:ascii="Verdana" w:hAnsi="Verdana"/>
          <w:sz w:val="20"/>
          <w:szCs w:val="20"/>
        </w:rPr>
        <w:t xml:space="preserve"> en</w:t>
      </w:r>
      <w:r w:rsidR="005D3030">
        <w:rPr>
          <w:rFonts w:ascii="Verdana" w:hAnsi="Verdana"/>
          <w:sz w:val="20"/>
          <w:szCs w:val="20"/>
        </w:rPr>
        <w:t xml:space="preserve"> dicho derecho</w:t>
      </w:r>
      <w:r w:rsidR="000C76B1">
        <w:rPr>
          <w:rFonts w:ascii="Verdana" w:hAnsi="Verdana"/>
          <w:sz w:val="20"/>
          <w:szCs w:val="20"/>
        </w:rPr>
        <w:t>.</w:t>
      </w:r>
    </w:p>
    <w:p w14:paraId="084CC3F6" w14:textId="77777777" w:rsidR="002A0F23" w:rsidRDefault="005D3030" w:rsidP="002A0F23">
      <w:pPr>
        <w:tabs>
          <w:tab w:val="left" w:pos="142"/>
          <w:tab w:val="left" w:pos="709"/>
          <w:tab w:val="num" w:pos="12305"/>
        </w:tabs>
        <w:spacing w:line="240" w:lineRule="auto"/>
        <w:jc w:val="both"/>
        <w:rPr>
          <w:rFonts w:ascii="Verdana" w:hAnsi="Verdana"/>
          <w:sz w:val="20"/>
          <w:szCs w:val="20"/>
        </w:rPr>
      </w:pPr>
      <w:r w:rsidRPr="002A0F23">
        <w:rPr>
          <w:rFonts w:ascii="Verdana" w:hAnsi="Verdana"/>
          <w:sz w:val="20"/>
          <w:szCs w:val="20"/>
        </w:rPr>
        <w:t>2.</w:t>
      </w:r>
      <w:r w:rsidRPr="002A0F23">
        <w:rPr>
          <w:rFonts w:ascii="Verdana" w:hAnsi="Verdana"/>
          <w:sz w:val="20"/>
          <w:szCs w:val="20"/>
        </w:rPr>
        <w:tab/>
        <w:t xml:space="preserve">En la Sentencia se reitera la importancia que los medios de comunicación </w:t>
      </w:r>
      <w:r w:rsidR="0052278E">
        <w:rPr>
          <w:rFonts w:ascii="Verdana" w:hAnsi="Verdana"/>
          <w:sz w:val="20"/>
          <w:szCs w:val="20"/>
        </w:rPr>
        <w:t xml:space="preserve">tienen </w:t>
      </w:r>
      <w:r w:rsidRPr="002A0F23">
        <w:rPr>
          <w:rFonts w:ascii="Verdana" w:hAnsi="Verdana"/>
          <w:sz w:val="20"/>
          <w:szCs w:val="20"/>
        </w:rPr>
        <w:t>como vehículos para el ejercicio de la dimensión social de la libertad de expresión en una socied</w:t>
      </w:r>
      <w:r w:rsidR="00EC46AE" w:rsidRPr="002A0F23">
        <w:rPr>
          <w:rFonts w:ascii="Verdana" w:hAnsi="Verdana"/>
          <w:sz w:val="20"/>
          <w:szCs w:val="20"/>
        </w:rPr>
        <w:t>ad auténticamente democrática, por lo que es indispensable que obtengan las más diversas informaciones y opiniones</w:t>
      </w:r>
      <w:r w:rsidR="00EC46AE" w:rsidRPr="002A0F23">
        <w:rPr>
          <w:rStyle w:val="FootnoteReference"/>
          <w:rFonts w:ascii="Verdana" w:hAnsi="Verdana"/>
          <w:sz w:val="20"/>
          <w:szCs w:val="20"/>
        </w:rPr>
        <w:footnoteReference w:id="2"/>
      </w:r>
      <w:r w:rsidR="00EC46AE" w:rsidRPr="002A0F23">
        <w:rPr>
          <w:rFonts w:ascii="Verdana" w:hAnsi="Verdana"/>
          <w:sz w:val="20"/>
          <w:szCs w:val="20"/>
        </w:rPr>
        <w:t>.</w:t>
      </w:r>
      <w:r w:rsidR="00EC46AE" w:rsidRPr="002A0F23">
        <w:rPr>
          <w:rFonts w:ascii="Verdana" w:hAnsi="Verdana" w:cs="Arial"/>
          <w:sz w:val="20"/>
          <w:szCs w:val="20"/>
        </w:rPr>
        <w:t xml:space="preserve"> </w:t>
      </w:r>
      <w:r w:rsidR="008470D0" w:rsidRPr="002A0F23">
        <w:rPr>
          <w:rFonts w:ascii="Verdana" w:hAnsi="Verdana"/>
          <w:sz w:val="20"/>
          <w:szCs w:val="20"/>
        </w:rPr>
        <w:t xml:space="preserve"> </w:t>
      </w:r>
      <w:r w:rsidR="002A0F23" w:rsidRPr="002A0F23">
        <w:rPr>
          <w:rFonts w:ascii="Verdana" w:hAnsi="Verdana"/>
          <w:sz w:val="20"/>
          <w:szCs w:val="20"/>
        </w:rPr>
        <w:t xml:space="preserve">De ahí la necesidad de garantizar adecuadamente no sólo la difusión de información o ideas en general, sino también aquellas que resulten críticas o ingratas para el Estado o cualquier sector de la población. </w:t>
      </w:r>
      <w:r w:rsidR="00E55E36">
        <w:rPr>
          <w:rFonts w:ascii="Verdana" w:hAnsi="Verdana"/>
          <w:sz w:val="20"/>
          <w:szCs w:val="20"/>
        </w:rPr>
        <w:t>De esta forma, cualquier “</w:t>
      </w:r>
      <w:r w:rsidR="002A0F23" w:rsidRPr="002A0F23">
        <w:rPr>
          <w:rFonts w:ascii="Verdana" w:hAnsi="Verdana"/>
          <w:sz w:val="20"/>
          <w:szCs w:val="20"/>
        </w:rPr>
        <w:t>condición, restricción o sanción en esta materia debe ser proporcion</w:t>
      </w:r>
      <w:r w:rsidR="001812B0">
        <w:rPr>
          <w:rFonts w:ascii="Verdana" w:hAnsi="Verdana"/>
          <w:sz w:val="20"/>
          <w:szCs w:val="20"/>
        </w:rPr>
        <w:t>ada</w:t>
      </w:r>
      <w:r w:rsidR="002A0F23" w:rsidRPr="002A0F23">
        <w:rPr>
          <w:rFonts w:ascii="Verdana" w:hAnsi="Verdana"/>
          <w:sz w:val="20"/>
          <w:szCs w:val="20"/>
        </w:rPr>
        <w:t xml:space="preserve"> al fin legítimo que se persigue</w:t>
      </w:r>
      <w:r w:rsidR="00800909">
        <w:rPr>
          <w:rFonts w:ascii="Verdana" w:hAnsi="Verdana"/>
          <w:sz w:val="20"/>
          <w:szCs w:val="20"/>
        </w:rPr>
        <w:t>”</w:t>
      </w:r>
      <w:r w:rsidR="002A0F23" w:rsidRPr="002A0F23">
        <w:rPr>
          <w:rStyle w:val="FootnoteReference"/>
          <w:rFonts w:ascii="Verdana" w:hAnsi="Verdana"/>
          <w:sz w:val="20"/>
          <w:szCs w:val="20"/>
        </w:rPr>
        <w:footnoteReference w:id="3"/>
      </w:r>
      <w:r w:rsidR="002A0F23" w:rsidRPr="002A0F23">
        <w:rPr>
          <w:rFonts w:ascii="Verdana" w:hAnsi="Verdana"/>
          <w:sz w:val="20"/>
          <w:szCs w:val="20"/>
        </w:rPr>
        <w:t xml:space="preserve">. </w:t>
      </w:r>
    </w:p>
    <w:p w14:paraId="04067017" w14:textId="77777777" w:rsidR="000973F4" w:rsidRPr="002F74F2" w:rsidRDefault="00943DBD" w:rsidP="002F74F2">
      <w:pPr>
        <w:tabs>
          <w:tab w:val="left" w:pos="142"/>
          <w:tab w:val="left" w:pos="709"/>
          <w:tab w:val="num" w:pos="12305"/>
        </w:tabs>
        <w:spacing w:line="240" w:lineRule="auto"/>
        <w:jc w:val="both"/>
        <w:rPr>
          <w:rFonts w:ascii="Verdana" w:hAnsi="Verdana"/>
          <w:sz w:val="20"/>
          <w:szCs w:val="20"/>
        </w:rPr>
      </w:pPr>
      <w:r>
        <w:rPr>
          <w:rFonts w:ascii="Verdana" w:hAnsi="Verdana"/>
          <w:sz w:val="20"/>
          <w:szCs w:val="20"/>
        </w:rPr>
        <w:t xml:space="preserve">3. </w:t>
      </w:r>
      <w:r>
        <w:rPr>
          <w:rFonts w:ascii="Verdana" w:hAnsi="Verdana"/>
          <w:sz w:val="20"/>
          <w:szCs w:val="20"/>
        </w:rPr>
        <w:tab/>
      </w:r>
      <w:r w:rsidR="005C0BBD" w:rsidRPr="002F74F2">
        <w:rPr>
          <w:rFonts w:ascii="Verdana" w:hAnsi="Verdana"/>
          <w:sz w:val="20"/>
          <w:szCs w:val="20"/>
        </w:rPr>
        <w:t xml:space="preserve">Los medios de comunicación social generalmente </w:t>
      </w:r>
      <w:r w:rsidR="000973F4" w:rsidRPr="002F74F2">
        <w:rPr>
          <w:rFonts w:ascii="Verdana" w:hAnsi="Verdana"/>
          <w:sz w:val="20"/>
          <w:szCs w:val="20"/>
        </w:rPr>
        <w:t>son</w:t>
      </w:r>
      <w:r w:rsidR="002F74F2" w:rsidRPr="002F74F2">
        <w:rPr>
          <w:rFonts w:ascii="Verdana" w:hAnsi="Verdana"/>
          <w:sz w:val="20"/>
          <w:szCs w:val="20"/>
        </w:rPr>
        <w:t xml:space="preserve"> </w:t>
      </w:r>
      <w:r w:rsidR="005C0BBD" w:rsidRPr="002F74F2">
        <w:rPr>
          <w:rFonts w:ascii="Verdana" w:hAnsi="Verdana"/>
          <w:sz w:val="20"/>
          <w:szCs w:val="20"/>
        </w:rPr>
        <w:t>“asociaciones de personas que se han reunido para ejercer de manera sostenida su libertad de expresión, por lo que es inusual en la actualidad que un medio de comunicación no esté a nombre de una persona jurídica, toda vez que la producción y distribución del bien informativo requieren de una estructura organizativa y financiera que responda a las exigencias de la demanda informativa</w:t>
      </w:r>
      <w:r w:rsidR="00D12846">
        <w:rPr>
          <w:rFonts w:ascii="Verdana" w:hAnsi="Verdana"/>
          <w:sz w:val="20"/>
          <w:szCs w:val="20"/>
        </w:rPr>
        <w:t>”</w:t>
      </w:r>
      <w:r w:rsidR="005C0BBD" w:rsidRPr="002F74F2">
        <w:rPr>
          <w:rStyle w:val="FootnoteReference"/>
          <w:rFonts w:ascii="Verdana" w:hAnsi="Verdana"/>
          <w:sz w:val="20"/>
          <w:szCs w:val="20"/>
        </w:rPr>
        <w:footnoteReference w:id="4"/>
      </w:r>
      <w:r w:rsidR="005C0BBD" w:rsidRPr="002F74F2">
        <w:rPr>
          <w:rFonts w:ascii="Verdana" w:hAnsi="Verdana"/>
          <w:sz w:val="20"/>
          <w:szCs w:val="20"/>
        </w:rPr>
        <w:t>.</w:t>
      </w:r>
      <w:r w:rsidR="005C0BBD" w:rsidRPr="002F74F2">
        <w:rPr>
          <w:rFonts w:ascii="Verdana" w:hAnsi="Verdana"/>
          <w:sz w:val="20"/>
          <w:szCs w:val="20"/>
          <w:lang w:val="es-AR"/>
        </w:rPr>
        <w:t xml:space="preserve"> </w:t>
      </w:r>
      <w:r w:rsidR="005C0BBD" w:rsidRPr="002F74F2">
        <w:rPr>
          <w:rFonts w:ascii="Verdana" w:hAnsi="Verdana"/>
          <w:sz w:val="20"/>
          <w:szCs w:val="20"/>
          <w:lang w:val="es-ES_tradnl"/>
        </w:rPr>
        <w:t xml:space="preserve">De manera semejante, así como los sindicatos constituyen instrumentos para </w:t>
      </w:r>
      <w:r w:rsidR="005C0BBD" w:rsidRPr="002F74F2">
        <w:rPr>
          <w:rFonts w:ascii="Verdana" w:hAnsi="Verdana"/>
          <w:sz w:val="20"/>
          <w:szCs w:val="20"/>
          <w:lang w:val="es-ES_tradnl"/>
        </w:rPr>
        <w:lastRenderedPageBreak/>
        <w:t>el ejercicio del derecho de asociación de los trabajadores y los partidos políticos son vehículos para el ejercicio de los derechos políticos de los ciudadanos, los medios de comunicación son mecanismos que sirven al ejercicio del derecho a la libertad de expresión de quienes los utilizan como medio de difusión de sus ideas o informaciones</w:t>
      </w:r>
      <w:r w:rsidR="000973F4" w:rsidRPr="002F74F2">
        <w:rPr>
          <w:rFonts w:ascii="Verdana" w:hAnsi="Verdana"/>
          <w:sz w:val="20"/>
          <w:szCs w:val="20"/>
          <w:lang w:val="es-ES_tradnl"/>
        </w:rPr>
        <w:t>”</w:t>
      </w:r>
      <w:r w:rsidR="002F74F2" w:rsidRPr="002F74F2">
        <w:rPr>
          <w:rStyle w:val="FootnoteReference"/>
          <w:rFonts w:ascii="Verdana" w:hAnsi="Verdana"/>
          <w:sz w:val="20"/>
          <w:szCs w:val="20"/>
          <w:lang w:val="es-ES_tradnl"/>
        </w:rPr>
        <w:footnoteReference w:id="5"/>
      </w:r>
      <w:r w:rsidR="005C0BBD" w:rsidRPr="002F74F2">
        <w:rPr>
          <w:rFonts w:ascii="Verdana" w:hAnsi="Verdana"/>
          <w:sz w:val="20"/>
          <w:szCs w:val="20"/>
          <w:lang w:val="es-ES_tradnl"/>
        </w:rPr>
        <w:t>.</w:t>
      </w:r>
    </w:p>
    <w:p w14:paraId="0606CCEB" w14:textId="77777777" w:rsidR="002F74F2" w:rsidRDefault="00943DBD" w:rsidP="008470D0">
      <w:pPr>
        <w:spacing w:line="240" w:lineRule="auto"/>
        <w:jc w:val="both"/>
        <w:rPr>
          <w:rFonts w:ascii="Verdana" w:hAnsi="Verdana"/>
          <w:sz w:val="20"/>
          <w:szCs w:val="20"/>
          <w:lang w:val="es-ES_tradnl"/>
        </w:rPr>
      </w:pPr>
      <w:r>
        <w:rPr>
          <w:rFonts w:ascii="Verdana" w:hAnsi="Verdana"/>
          <w:sz w:val="20"/>
          <w:szCs w:val="20"/>
        </w:rPr>
        <w:t>4</w:t>
      </w:r>
      <w:r w:rsidR="008E50FA">
        <w:rPr>
          <w:rFonts w:ascii="Verdana" w:hAnsi="Verdana"/>
          <w:sz w:val="20"/>
          <w:szCs w:val="20"/>
        </w:rPr>
        <w:t>.</w:t>
      </w:r>
      <w:r w:rsidR="008E50FA">
        <w:rPr>
          <w:rFonts w:ascii="Verdana" w:hAnsi="Verdana"/>
          <w:sz w:val="20"/>
          <w:szCs w:val="20"/>
        </w:rPr>
        <w:tab/>
      </w:r>
      <w:r w:rsidR="008470D0" w:rsidRPr="008470D0">
        <w:rPr>
          <w:rFonts w:ascii="Verdana" w:hAnsi="Verdana"/>
          <w:sz w:val="20"/>
          <w:szCs w:val="20"/>
        </w:rPr>
        <w:t xml:space="preserve">La Corte IDH confirma </w:t>
      </w:r>
      <w:r w:rsidR="00A567BF">
        <w:rPr>
          <w:rFonts w:ascii="Verdana" w:hAnsi="Verdana"/>
          <w:sz w:val="20"/>
          <w:szCs w:val="20"/>
        </w:rPr>
        <w:t xml:space="preserve">en el caso </w:t>
      </w:r>
      <w:r w:rsidR="008470D0" w:rsidRPr="008470D0">
        <w:rPr>
          <w:rFonts w:ascii="Verdana" w:hAnsi="Verdana"/>
          <w:sz w:val="20"/>
          <w:szCs w:val="20"/>
        </w:rPr>
        <w:t>su jurisprudencia relativa a que</w:t>
      </w:r>
      <w:r w:rsidR="001812B0">
        <w:rPr>
          <w:rFonts w:ascii="Verdana" w:hAnsi="Verdana"/>
          <w:sz w:val="20"/>
          <w:szCs w:val="20"/>
        </w:rPr>
        <w:t>,</w:t>
      </w:r>
      <w:r w:rsidR="008470D0" w:rsidRPr="008470D0">
        <w:rPr>
          <w:rFonts w:ascii="Verdana" w:hAnsi="Verdana"/>
          <w:sz w:val="20"/>
          <w:szCs w:val="20"/>
        </w:rPr>
        <w:t xml:space="preserve"> si bien</w:t>
      </w:r>
      <w:r w:rsidR="008470D0" w:rsidRPr="008470D0">
        <w:rPr>
          <w:rFonts w:ascii="Verdana" w:hAnsi="Verdana"/>
          <w:sz w:val="20"/>
          <w:szCs w:val="20"/>
          <w:lang w:val="es-ES_tradnl"/>
        </w:rPr>
        <w:t xml:space="preserve"> </w:t>
      </w:r>
      <w:r w:rsidR="008470D0" w:rsidRPr="009D7573">
        <w:rPr>
          <w:rFonts w:ascii="Verdana" w:hAnsi="Verdana"/>
          <w:sz w:val="20"/>
          <w:szCs w:val="20"/>
          <w:lang w:val="es-ES_tradnl"/>
        </w:rPr>
        <w:t xml:space="preserve">la figura de las personas jurídicas no ha sido reconocida expresamente por la Convención Americana </w:t>
      </w:r>
      <w:r w:rsidR="00AF2565" w:rsidRPr="00343361">
        <w:rPr>
          <w:rFonts w:ascii="Verdana" w:hAnsi="Verdana"/>
          <w:sz w:val="20"/>
          <w:szCs w:val="20"/>
          <w:lang w:val="es-ES_tradnl"/>
        </w:rPr>
        <w:t>(como sucede en el Sistema Europeo)</w:t>
      </w:r>
      <w:r w:rsidR="00EC46AE">
        <w:rPr>
          <w:rStyle w:val="FootnoteReference"/>
          <w:rFonts w:ascii="Verdana" w:hAnsi="Verdana"/>
          <w:sz w:val="20"/>
          <w:szCs w:val="20"/>
          <w:lang w:val="es-ES_tradnl"/>
        </w:rPr>
        <w:footnoteReference w:id="6"/>
      </w:r>
      <w:r w:rsidR="00343361">
        <w:rPr>
          <w:rFonts w:ascii="Verdana" w:hAnsi="Verdana"/>
          <w:sz w:val="20"/>
          <w:szCs w:val="20"/>
          <w:lang w:val="es-ES_tradnl"/>
        </w:rPr>
        <w:t>,</w:t>
      </w:r>
      <w:r w:rsidR="008470D0" w:rsidRPr="009D7573">
        <w:rPr>
          <w:rFonts w:ascii="Verdana" w:hAnsi="Verdana"/>
          <w:sz w:val="20"/>
          <w:szCs w:val="20"/>
          <w:lang w:val="es-ES_tradnl"/>
        </w:rPr>
        <w:t xml:space="preserve"> no </w:t>
      </w:r>
      <w:r w:rsidR="000973F4">
        <w:rPr>
          <w:rFonts w:ascii="Verdana" w:hAnsi="Verdana"/>
          <w:sz w:val="20"/>
          <w:szCs w:val="20"/>
          <w:lang w:val="es-ES_tradnl"/>
        </w:rPr>
        <w:t xml:space="preserve">por ello se </w:t>
      </w:r>
      <w:r w:rsidR="008470D0" w:rsidRPr="009D7573">
        <w:rPr>
          <w:rFonts w:ascii="Verdana" w:hAnsi="Verdana"/>
          <w:sz w:val="20"/>
          <w:szCs w:val="20"/>
          <w:lang w:val="es-ES_tradnl"/>
        </w:rPr>
        <w:t>restringe la posibilidad de que</w:t>
      </w:r>
      <w:r w:rsidR="001812B0">
        <w:rPr>
          <w:rFonts w:ascii="Verdana" w:hAnsi="Verdana"/>
          <w:sz w:val="20"/>
          <w:szCs w:val="20"/>
          <w:lang w:val="es-ES_tradnl"/>
        </w:rPr>
        <w:t>,</w:t>
      </w:r>
      <w:r w:rsidR="008470D0" w:rsidRPr="009D7573">
        <w:rPr>
          <w:rFonts w:ascii="Verdana" w:hAnsi="Verdana"/>
          <w:sz w:val="20"/>
          <w:szCs w:val="20"/>
          <w:lang w:val="es-ES_tradnl"/>
        </w:rPr>
        <w:t xml:space="preserve"> bajo determinados supuestos</w:t>
      </w:r>
      <w:r w:rsidR="001812B0">
        <w:rPr>
          <w:rFonts w:ascii="Verdana" w:hAnsi="Verdana"/>
          <w:sz w:val="20"/>
          <w:szCs w:val="20"/>
          <w:lang w:val="es-ES_tradnl"/>
        </w:rPr>
        <w:t>,</w:t>
      </w:r>
      <w:r w:rsidR="008470D0" w:rsidRPr="009D7573">
        <w:rPr>
          <w:rFonts w:ascii="Verdana" w:hAnsi="Verdana"/>
          <w:sz w:val="20"/>
          <w:szCs w:val="20"/>
          <w:lang w:val="es-ES_tradnl"/>
        </w:rPr>
        <w:t xml:space="preserve"> </w:t>
      </w:r>
      <w:r w:rsidR="003D68BF">
        <w:rPr>
          <w:rFonts w:ascii="Verdana" w:hAnsi="Verdana"/>
          <w:sz w:val="20"/>
          <w:szCs w:val="20"/>
          <w:lang w:val="es-ES_tradnl"/>
        </w:rPr>
        <w:t>la persona física</w:t>
      </w:r>
      <w:r w:rsidR="000973F4">
        <w:rPr>
          <w:rFonts w:ascii="Verdana" w:hAnsi="Verdana"/>
          <w:sz w:val="20"/>
          <w:szCs w:val="20"/>
          <w:lang w:val="es-ES_tradnl"/>
        </w:rPr>
        <w:t>, en lo individual,</w:t>
      </w:r>
      <w:r w:rsidR="008470D0" w:rsidRPr="009D7573">
        <w:rPr>
          <w:rFonts w:ascii="Verdana" w:hAnsi="Verdana"/>
          <w:sz w:val="20"/>
          <w:szCs w:val="20"/>
          <w:lang w:val="es-ES_tradnl"/>
        </w:rPr>
        <w:t xml:space="preserve"> pueda acudir al Sistema Interamericano de Protección de los Derechos Humanos para hacer valer sus derechos</w:t>
      </w:r>
      <w:r w:rsidR="00E70F5D">
        <w:rPr>
          <w:rFonts w:ascii="Verdana" w:hAnsi="Verdana"/>
          <w:sz w:val="20"/>
          <w:szCs w:val="20"/>
          <w:lang w:val="es-ES_tradnl"/>
        </w:rPr>
        <w:t xml:space="preserve"> fundamentales</w:t>
      </w:r>
      <w:r w:rsidR="008470D0" w:rsidRPr="009D7573">
        <w:rPr>
          <w:rFonts w:ascii="Verdana" w:hAnsi="Verdana"/>
          <w:sz w:val="20"/>
          <w:szCs w:val="20"/>
          <w:lang w:val="es-ES_tradnl"/>
        </w:rPr>
        <w:t xml:space="preserve">, aun cuando los mismos estén cubiertos por una figura o ficción jurídica </w:t>
      </w:r>
      <w:r w:rsidR="008470D0" w:rsidRPr="000973F4">
        <w:rPr>
          <w:rFonts w:ascii="Verdana" w:hAnsi="Verdana"/>
          <w:sz w:val="20"/>
          <w:szCs w:val="20"/>
          <w:lang w:val="es-ES_tradnl"/>
        </w:rPr>
        <w:t>creada por el mismo sistema jurídico</w:t>
      </w:r>
      <w:r w:rsidR="008470D0" w:rsidRPr="000973F4">
        <w:rPr>
          <w:rStyle w:val="FootnoteReference"/>
          <w:rFonts w:ascii="Verdana" w:hAnsi="Verdana"/>
          <w:sz w:val="20"/>
          <w:szCs w:val="20"/>
          <w:lang w:val="es-ES_tradnl"/>
        </w:rPr>
        <w:footnoteReference w:id="7"/>
      </w:r>
      <w:r w:rsidR="008E50FA" w:rsidRPr="000973F4">
        <w:rPr>
          <w:rFonts w:ascii="Verdana" w:hAnsi="Verdana"/>
          <w:sz w:val="20"/>
          <w:szCs w:val="20"/>
          <w:lang w:val="es-ES_tradnl"/>
        </w:rPr>
        <w:t xml:space="preserve">. </w:t>
      </w:r>
    </w:p>
    <w:p w14:paraId="4DF00D71" w14:textId="77777777" w:rsidR="00CF3A2C" w:rsidRDefault="008D2185" w:rsidP="008470D0">
      <w:pPr>
        <w:spacing w:line="240" w:lineRule="auto"/>
        <w:jc w:val="both"/>
        <w:rPr>
          <w:rFonts w:ascii="Verdana" w:hAnsi="Verdana"/>
          <w:sz w:val="20"/>
          <w:szCs w:val="20"/>
          <w:lang w:val="es-ES_tradnl"/>
        </w:rPr>
      </w:pPr>
      <w:r>
        <w:rPr>
          <w:rFonts w:ascii="Verdana" w:hAnsi="Verdana"/>
          <w:sz w:val="20"/>
          <w:szCs w:val="20"/>
          <w:lang w:val="es-ES_tradnl"/>
        </w:rPr>
        <w:t>5</w:t>
      </w:r>
      <w:r w:rsidR="002F74F2">
        <w:rPr>
          <w:rFonts w:ascii="Verdana" w:hAnsi="Verdana"/>
          <w:sz w:val="20"/>
          <w:szCs w:val="20"/>
          <w:lang w:val="es-ES_tradnl"/>
        </w:rPr>
        <w:t xml:space="preserve">. </w:t>
      </w:r>
      <w:r w:rsidR="002F74F2">
        <w:rPr>
          <w:rFonts w:ascii="Verdana" w:hAnsi="Verdana"/>
          <w:sz w:val="20"/>
          <w:szCs w:val="20"/>
          <w:lang w:val="es-ES_tradnl"/>
        </w:rPr>
        <w:tab/>
      </w:r>
      <w:r w:rsidR="000973F4">
        <w:rPr>
          <w:rFonts w:ascii="Verdana" w:hAnsi="Verdana"/>
          <w:sz w:val="20"/>
          <w:szCs w:val="20"/>
          <w:lang w:val="es-ES_tradnl"/>
        </w:rPr>
        <w:t>De esta manera</w:t>
      </w:r>
      <w:r w:rsidR="001812B0">
        <w:rPr>
          <w:rFonts w:ascii="Verdana" w:hAnsi="Verdana"/>
          <w:sz w:val="20"/>
          <w:szCs w:val="20"/>
          <w:lang w:val="es-ES_tradnl"/>
        </w:rPr>
        <w:t>,</w:t>
      </w:r>
      <w:r w:rsidR="000973F4">
        <w:rPr>
          <w:rFonts w:ascii="Verdana" w:hAnsi="Verdana"/>
          <w:sz w:val="20"/>
          <w:szCs w:val="20"/>
          <w:lang w:val="es-ES_tradnl"/>
        </w:rPr>
        <w:t xml:space="preserve"> </w:t>
      </w:r>
      <w:r w:rsidR="000973F4" w:rsidRPr="000973F4">
        <w:rPr>
          <w:rFonts w:ascii="Verdana" w:hAnsi="Verdana"/>
          <w:sz w:val="20"/>
          <w:szCs w:val="20"/>
          <w:lang w:val="es-ES_tradnl"/>
        </w:rPr>
        <w:t>“</w:t>
      </w:r>
      <w:r w:rsidR="000973F4" w:rsidRPr="000973F4">
        <w:rPr>
          <w:rFonts w:ascii="Verdana" w:hAnsi="Verdana"/>
          <w:sz w:val="20"/>
          <w:szCs w:val="20"/>
        </w:rPr>
        <w:t>las restricciones a la libertad de expresión frecuentemente se materializan a través de acciones estatales o de particulares que afectan, no solo a la persona jurídica que constituye un medio de comunicación, sino también a la pluralidad de personas naturales, tales como sus accionistas o los periodistas que allí trabajan, que realizan actos de comunicación a través de la misma y cuyos derechos también pueden verse vulnerados</w:t>
      </w:r>
      <w:r w:rsidR="000973F4">
        <w:rPr>
          <w:rFonts w:ascii="Verdana" w:hAnsi="Verdana"/>
          <w:sz w:val="20"/>
          <w:szCs w:val="20"/>
        </w:rPr>
        <w:t>”</w:t>
      </w:r>
      <w:r w:rsidR="000973F4" w:rsidRPr="000973F4">
        <w:rPr>
          <w:rStyle w:val="FootnoteReference"/>
          <w:rFonts w:ascii="Verdana" w:hAnsi="Verdana"/>
          <w:sz w:val="20"/>
          <w:szCs w:val="20"/>
        </w:rPr>
        <w:footnoteReference w:id="8"/>
      </w:r>
      <w:r w:rsidR="00943DBD">
        <w:rPr>
          <w:rFonts w:ascii="Verdana" w:hAnsi="Verdana"/>
          <w:sz w:val="20"/>
          <w:szCs w:val="20"/>
        </w:rPr>
        <w:t>. T</w:t>
      </w:r>
      <w:r w:rsidR="000973F4">
        <w:rPr>
          <w:rFonts w:ascii="Verdana" w:hAnsi="Verdana"/>
          <w:sz w:val="20"/>
          <w:szCs w:val="20"/>
        </w:rPr>
        <w:t xml:space="preserve">al y como sucede en el caso concreto, </w:t>
      </w:r>
      <w:r w:rsidR="00CE1D28">
        <w:rPr>
          <w:rFonts w:ascii="Verdana" w:hAnsi="Verdana"/>
          <w:sz w:val="20"/>
          <w:szCs w:val="20"/>
          <w:lang w:val="es-ES_tradnl"/>
        </w:rPr>
        <w:t xml:space="preserve">en el que las víctimas son personas </w:t>
      </w:r>
      <w:r w:rsidR="003D68BF">
        <w:rPr>
          <w:rFonts w:ascii="Verdana" w:hAnsi="Verdana"/>
          <w:sz w:val="20"/>
          <w:szCs w:val="20"/>
          <w:lang w:val="es-ES_tradnl"/>
        </w:rPr>
        <w:t xml:space="preserve">físicas que </w:t>
      </w:r>
      <w:r w:rsidR="00CE1D28">
        <w:rPr>
          <w:rFonts w:ascii="Verdana" w:hAnsi="Verdana"/>
          <w:sz w:val="20"/>
          <w:szCs w:val="20"/>
          <w:lang w:val="es-ES_tradnl"/>
        </w:rPr>
        <w:t>en su calidad de accionistas, directivos, periodistas o trabajadores de “Ra</w:t>
      </w:r>
      <w:r w:rsidR="003D68BF">
        <w:rPr>
          <w:rFonts w:ascii="Verdana" w:hAnsi="Verdana"/>
          <w:sz w:val="20"/>
          <w:szCs w:val="20"/>
          <w:lang w:val="es-ES_tradnl"/>
        </w:rPr>
        <w:t xml:space="preserve">dio Caracas Televisión” (RCTV), acudieron al sistema interamericano </w:t>
      </w:r>
      <w:r w:rsidR="00CE1D28">
        <w:rPr>
          <w:rFonts w:ascii="Verdana" w:hAnsi="Verdana"/>
          <w:sz w:val="20"/>
          <w:szCs w:val="20"/>
          <w:lang w:val="es-ES_tradnl"/>
        </w:rPr>
        <w:t xml:space="preserve">alegando </w:t>
      </w:r>
      <w:r w:rsidR="00BD490F">
        <w:rPr>
          <w:rFonts w:ascii="Verdana" w:hAnsi="Verdana"/>
          <w:sz w:val="20"/>
          <w:szCs w:val="20"/>
          <w:lang w:val="es-ES_tradnl"/>
        </w:rPr>
        <w:t>a título individual la violación de</w:t>
      </w:r>
      <w:r w:rsidR="00CE1D28">
        <w:rPr>
          <w:rFonts w:ascii="Verdana" w:hAnsi="Verdana"/>
          <w:sz w:val="20"/>
          <w:szCs w:val="20"/>
          <w:lang w:val="es-ES_tradnl"/>
        </w:rPr>
        <w:t xml:space="preserve"> dist</w:t>
      </w:r>
      <w:r w:rsidR="00CF3A2C">
        <w:rPr>
          <w:rFonts w:ascii="Verdana" w:hAnsi="Verdana"/>
          <w:sz w:val="20"/>
          <w:szCs w:val="20"/>
          <w:lang w:val="es-ES_tradnl"/>
        </w:rPr>
        <w:t xml:space="preserve">intos derechos consagrados </w:t>
      </w:r>
      <w:r w:rsidR="006D45B9">
        <w:rPr>
          <w:rFonts w:ascii="Verdana" w:hAnsi="Verdana"/>
          <w:sz w:val="20"/>
          <w:szCs w:val="20"/>
          <w:lang w:val="es-ES_tradnl"/>
        </w:rPr>
        <w:t xml:space="preserve">en </w:t>
      </w:r>
      <w:r w:rsidR="00CF3A2C">
        <w:rPr>
          <w:rFonts w:ascii="Verdana" w:hAnsi="Verdana"/>
          <w:sz w:val="20"/>
          <w:szCs w:val="20"/>
          <w:lang w:val="es-ES_tradnl"/>
        </w:rPr>
        <w:t>los artículos 8</w:t>
      </w:r>
      <w:r w:rsidR="0055072D">
        <w:rPr>
          <w:rFonts w:ascii="Verdana" w:hAnsi="Verdana"/>
          <w:sz w:val="20"/>
          <w:szCs w:val="20"/>
          <w:lang w:val="es-ES_tradnl"/>
        </w:rPr>
        <w:t xml:space="preserve"> (garantías judiciales)</w:t>
      </w:r>
      <w:r w:rsidR="00CF3A2C">
        <w:rPr>
          <w:rFonts w:ascii="Verdana" w:hAnsi="Verdana"/>
          <w:sz w:val="20"/>
          <w:szCs w:val="20"/>
          <w:lang w:val="es-ES_tradnl"/>
        </w:rPr>
        <w:t>, 13</w:t>
      </w:r>
      <w:r w:rsidR="0055072D">
        <w:rPr>
          <w:rFonts w:ascii="Verdana" w:hAnsi="Verdana"/>
          <w:sz w:val="20"/>
          <w:szCs w:val="20"/>
          <w:lang w:val="es-ES_tradnl"/>
        </w:rPr>
        <w:t xml:space="preserve"> (libertad de pensamiento y de expresión)</w:t>
      </w:r>
      <w:r w:rsidR="00CF3A2C">
        <w:rPr>
          <w:rFonts w:ascii="Verdana" w:hAnsi="Verdana"/>
          <w:sz w:val="20"/>
          <w:szCs w:val="20"/>
          <w:lang w:val="es-ES_tradnl"/>
        </w:rPr>
        <w:t xml:space="preserve">, </w:t>
      </w:r>
      <w:r w:rsidR="006D45B9">
        <w:rPr>
          <w:rFonts w:ascii="Verdana" w:hAnsi="Verdana"/>
          <w:sz w:val="20"/>
          <w:szCs w:val="20"/>
          <w:lang w:val="es-ES_tradnl"/>
        </w:rPr>
        <w:t>21</w:t>
      </w:r>
      <w:r w:rsidR="0055072D">
        <w:rPr>
          <w:rFonts w:ascii="Verdana" w:hAnsi="Verdana"/>
          <w:sz w:val="20"/>
          <w:szCs w:val="20"/>
          <w:lang w:val="es-ES_tradnl"/>
        </w:rPr>
        <w:t xml:space="preserve"> (propiedad privada)</w:t>
      </w:r>
      <w:r w:rsidR="006D45B9">
        <w:rPr>
          <w:rFonts w:ascii="Verdana" w:hAnsi="Verdana"/>
          <w:sz w:val="20"/>
          <w:szCs w:val="20"/>
          <w:lang w:val="es-ES_tradnl"/>
        </w:rPr>
        <w:t>, 24</w:t>
      </w:r>
      <w:r w:rsidR="0055072D">
        <w:rPr>
          <w:rFonts w:ascii="Verdana" w:hAnsi="Verdana"/>
          <w:sz w:val="20"/>
          <w:szCs w:val="20"/>
          <w:lang w:val="es-ES_tradnl"/>
        </w:rPr>
        <w:t xml:space="preserve"> (igualdad ante la ley)</w:t>
      </w:r>
      <w:r w:rsidR="006D45B9">
        <w:rPr>
          <w:rFonts w:ascii="Verdana" w:hAnsi="Verdana"/>
          <w:sz w:val="20"/>
          <w:szCs w:val="20"/>
          <w:lang w:val="es-ES_tradnl"/>
        </w:rPr>
        <w:t xml:space="preserve"> y 25</w:t>
      </w:r>
      <w:r w:rsidR="0055072D">
        <w:rPr>
          <w:rFonts w:ascii="Verdana" w:hAnsi="Verdana"/>
          <w:sz w:val="20"/>
          <w:szCs w:val="20"/>
          <w:lang w:val="es-ES_tradnl"/>
        </w:rPr>
        <w:t xml:space="preserve"> (protección judicial)</w:t>
      </w:r>
      <w:r w:rsidR="006D45B9">
        <w:rPr>
          <w:rFonts w:ascii="Verdana" w:hAnsi="Verdana"/>
          <w:sz w:val="20"/>
          <w:szCs w:val="20"/>
          <w:lang w:val="es-ES_tradnl"/>
        </w:rPr>
        <w:t>, en relación con los</w:t>
      </w:r>
      <w:r w:rsidR="00CF3A2C">
        <w:rPr>
          <w:rFonts w:ascii="Verdana" w:hAnsi="Verdana"/>
          <w:sz w:val="20"/>
          <w:szCs w:val="20"/>
          <w:lang w:val="es-ES_tradnl"/>
        </w:rPr>
        <w:t xml:space="preserve"> artículo</w:t>
      </w:r>
      <w:r w:rsidR="006D45B9">
        <w:rPr>
          <w:rFonts w:ascii="Verdana" w:hAnsi="Verdana"/>
          <w:sz w:val="20"/>
          <w:szCs w:val="20"/>
          <w:lang w:val="es-ES_tradnl"/>
        </w:rPr>
        <w:t>s</w:t>
      </w:r>
      <w:r w:rsidR="00CF3A2C">
        <w:rPr>
          <w:rFonts w:ascii="Verdana" w:hAnsi="Verdana"/>
          <w:sz w:val="20"/>
          <w:szCs w:val="20"/>
          <w:lang w:val="es-ES_tradnl"/>
        </w:rPr>
        <w:t xml:space="preserve"> 1.1</w:t>
      </w:r>
      <w:r w:rsidR="006D45B9">
        <w:rPr>
          <w:rFonts w:ascii="Verdana" w:hAnsi="Verdana"/>
          <w:sz w:val="20"/>
          <w:szCs w:val="20"/>
          <w:lang w:val="es-ES_tradnl"/>
        </w:rPr>
        <w:t xml:space="preserve"> </w:t>
      </w:r>
      <w:r w:rsidR="0055072D">
        <w:rPr>
          <w:rFonts w:ascii="Verdana" w:hAnsi="Verdana"/>
          <w:sz w:val="20"/>
          <w:szCs w:val="20"/>
          <w:lang w:val="es-ES_tradnl"/>
        </w:rPr>
        <w:t xml:space="preserve">(respeto y garantía de los derechos) </w:t>
      </w:r>
      <w:r w:rsidR="006D45B9">
        <w:rPr>
          <w:rFonts w:ascii="Verdana" w:hAnsi="Verdana"/>
          <w:sz w:val="20"/>
          <w:szCs w:val="20"/>
          <w:lang w:val="es-ES_tradnl"/>
        </w:rPr>
        <w:t>y 2</w:t>
      </w:r>
      <w:r w:rsidR="00CE1D28">
        <w:rPr>
          <w:rFonts w:ascii="Verdana" w:hAnsi="Verdana"/>
          <w:sz w:val="20"/>
          <w:szCs w:val="20"/>
          <w:lang w:val="es-ES_tradnl"/>
        </w:rPr>
        <w:t xml:space="preserve"> </w:t>
      </w:r>
      <w:r w:rsidR="0055072D">
        <w:rPr>
          <w:rFonts w:ascii="Verdana" w:hAnsi="Verdana"/>
          <w:sz w:val="20"/>
          <w:szCs w:val="20"/>
          <w:lang w:val="es-ES_tradnl"/>
        </w:rPr>
        <w:t xml:space="preserve">(deber de adoptar disposiciones de derecho interno) </w:t>
      </w:r>
      <w:r w:rsidR="00CF3A2C">
        <w:rPr>
          <w:rFonts w:ascii="Verdana" w:hAnsi="Verdana"/>
          <w:sz w:val="20"/>
          <w:szCs w:val="20"/>
          <w:lang w:val="es-ES_tradnl"/>
        </w:rPr>
        <w:t xml:space="preserve">del </w:t>
      </w:r>
      <w:r w:rsidR="00CE1D28">
        <w:rPr>
          <w:rFonts w:ascii="Verdana" w:hAnsi="Verdana"/>
          <w:sz w:val="20"/>
          <w:szCs w:val="20"/>
          <w:lang w:val="es-ES_tradnl"/>
        </w:rPr>
        <w:t>Pacto de San José</w:t>
      </w:r>
      <w:r w:rsidR="003665FC">
        <w:rPr>
          <w:rFonts w:ascii="Verdana" w:hAnsi="Verdana"/>
          <w:sz w:val="20"/>
          <w:szCs w:val="20"/>
          <w:lang w:val="es-ES_tradnl"/>
        </w:rPr>
        <w:t xml:space="preserve">, </w:t>
      </w:r>
      <w:r w:rsidR="00CC67E9">
        <w:rPr>
          <w:rFonts w:ascii="Verdana" w:hAnsi="Verdana"/>
          <w:sz w:val="20"/>
          <w:szCs w:val="20"/>
          <w:lang w:val="es-ES_tradnl"/>
        </w:rPr>
        <w:t>como consecuencia del</w:t>
      </w:r>
      <w:r w:rsidR="00943DBD">
        <w:rPr>
          <w:rFonts w:ascii="Verdana" w:hAnsi="Verdana"/>
          <w:sz w:val="20"/>
          <w:szCs w:val="20"/>
          <w:lang w:val="es-ES_tradnl"/>
        </w:rPr>
        <w:t xml:space="preserve"> cierre de la empresa por la decisión del Estado de no renovar la concesión</w:t>
      </w:r>
      <w:r w:rsidR="00C678CD">
        <w:rPr>
          <w:rFonts w:ascii="Verdana" w:hAnsi="Verdana"/>
          <w:sz w:val="20"/>
          <w:szCs w:val="20"/>
          <w:lang w:val="es-ES_tradnl"/>
        </w:rPr>
        <w:t xml:space="preserve"> y reservarse la porción del espectro radioeléctrico asignado a RCTV</w:t>
      </w:r>
      <w:r w:rsidR="00943DBD">
        <w:rPr>
          <w:rFonts w:ascii="Verdana" w:hAnsi="Verdana"/>
          <w:sz w:val="20"/>
          <w:szCs w:val="20"/>
          <w:lang w:val="es-ES_tradnl"/>
        </w:rPr>
        <w:t>. Así, RCTV como medio de comunicación social constituía el vehículo a través del cual las víctimas ejercían plenamente su derecho a la libertad de expresión.</w:t>
      </w:r>
    </w:p>
    <w:p w14:paraId="0D407920" w14:textId="77777777" w:rsidR="0054208C" w:rsidRDefault="008D2185" w:rsidP="009D7573">
      <w:pPr>
        <w:spacing w:line="240" w:lineRule="auto"/>
        <w:jc w:val="both"/>
        <w:rPr>
          <w:rFonts w:ascii="Verdana" w:hAnsi="Verdana"/>
          <w:sz w:val="20"/>
          <w:szCs w:val="20"/>
        </w:rPr>
      </w:pPr>
      <w:r>
        <w:rPr>
          <w:rFonts w:ascii="Verdana" w:hAnsi="Verdana"/>
          <w:sz w:val="20"/>
          <w:szCs w:val="20"/>
          <w:lang w:val="es-ES_tradnl"/>
        </w:rPr>
        <w:t>6</w:t>
      </w:r>
      <w:r w:rsidR="00CE1D28" w:rsidRPr="003665FC">
        <w:rPr>
          <w:rFonts w:ascii="Verdana" w:hAnsi="Verdana"/>
          <w:sz w:val="20"/>
          <w:szCs w:val="20"/>
          <w:lang w:val="es-ES_tradnl"/>
        </w:rPr>
        <w:t>.</w:t>
      </w:r>
      <w:r w:rsidR="003665FC">
        <w:rPr>
          <w:rFonts w:ascii="Verdana" w:hAnsi="Verdana"/>
          <w:sz w:val="20"/>
          <w:szCs w:val="20"/>
          <w:lang w:val="es-ES_tradnl"/>
        </w:rPr>
        <w:tab/>
        <w:t>El aspecto toral</w:t>
      </w:r>
      <w:r w:rsidR="00F6612E" w:rsidRPr="003665FC">
        <w:rPr>
          <w:rFonts w:ascii="Verdana" w:hAnsi="Verdana"/>
          <w:sz w:val="20"/>
          <w:szCs w:val="20"/>
          <w:lang w:val="es-ES_tradnl"/>
        </w:rPr>
        <w:t xml:space="preserve"> de la Sente</w:t>
      </w:r>
      <w:r w:rsidR="003665FC" w:rsidRPr="003665FC">
        <w:rPr>
          <w:rFonts w:ascii="Verdana" w:hAnsi="Verdana"/>
          <w:sz w:val="20"/>
          <w:szCs w:val="20"/>
          <w:lang w:val="es-ES_tradnl"/>
        </w:rPr>
        <w:t>ncia constituye la violación al artículo 13</w:t>
      </w:r>
      <w:r w:rsidR="00FC6C35">
        <w:rPr>
          <w:rFonts w:ascii="Verdana" w:hAnsi="Verdana"/>
          <w:sz w:val="20"/>
          <w:szCs w:val="20"/>
          <w:lang w:val="es-ES_tradnl"/>
        </w:rPr>
        <w:t>.3</w:t>
      </w:r>
      <w:r w:rsidR="000F3F11">
        <w:rPr>
          <w:rFonts w:ascii="Verdana" w:hAnsi="Verdana"/>
          <w:sz w:val="20"/>
          <w:szCs w:val="20"/>
          <w:lang w:val="es-ES_tradnl"/>
        </w:rPr>
        <w:t xml:space="preserve"> </w:t>
      </w:r>
      <w:r w:rsidR="003665FC" w:rsidRPr="003665FC">
        <w:rPr>
          <w:rFonts w:ascii="Verdana" w:hAnsi="Verdana"/>
          <w:sz w:val="20"/>
          <w:szCs w:val="20"/>
          <w:lang w:val="es-ES_tradnl"/>
        </w:rPr>
        <w:t>de la Convención Americana</w:t>
      </w:r>
      <w:r w:rsidR="009776C7">
        <w:rPr>
          <w:rStyle w:val="FootnoteReference"/>
          <w:rFonts w:ascii="Verdana" w:hAnsi="Verdana"/>
          <w:sz w:val="20"/>
          <w:szCs w:val="20"/>
          <w:lang w:val="es-ES_tradnl"/>
        </w:rPr>
        <w:footnoteReference w:id="9"/>
      </w:r>
      <w:r w:rsidR="003665FC" w:rsidRPr="003665FC">
        <w:rPr>
          <w:rFonts w:ascii="Verdana" w:hAnsi="Verdana"/>
          <w:sz w:val="20"/>
          <w:szCs w:val="20"/>
          <w:lang w:val="es-ES_tradnl"/>
        </w:rPr>
        <w:t xml:space="preserve">, al probarse </w:t>
      </w:r>
      <w:r w:rsidR="003665FC" w:rsidRPr="003665FC">
        <w:rPr>
          <w:rFonts w:ascii="Verdana" w:hAnsi="Verdana" w:cs="Arial"/>
          <w:sz w:val="20"/>
          <w:szCs w:val="20"/>
          <w:lang w:val="es-PE"/>
        </w:rPr>
        <w:t>una restricción indirecta al ejercicio del derecho a la libertad de expresión</w:t>
      </w:r>
      <w:r w:rsidR="003665FC">
        <w:rPr>
          <w:rFonts w:ascii="Verdana" w:hAnsi="Verdana" w:cs="Arial"/>
          <w:sz w:val="20"/>
          <w:szCs w:val="20"/>
          <w:lang w:val="es-PE"/>
        </w:rPr>
        <w:t xml:space="preserve">. </w:t>
      </w:r>
      <w:r w:rsidR="009D7573">
        <w:rPr>
          <w:rFonts w:ascii="Verdana" w:hAnsi="Verdana" w:cs="Arial"/>
          <w:sz w:val="20"/>
          <w:szCs w:val="20"/>
          <w:lang w:val="es-PE"/>
        </w:rPr>
        <w:t xml:space="preserve">En efecto, </w:t>
      </w:r>
      <w:r w:rsidR="009D7573">
        <w:rPr>
          <w:rFonts w:ascii="Verdana" w:hAnsi="Verdana" w:cs="Arial"/>
          <w:sz w:val="20"/>
          <w:szCs w:val="20"/>
        </w:rPr>
        <w:t>el presente caso</w:t>
      </w:r>
      <w:r w:rsidR="009D7573">
        <w:rPr>
          <w:rFonts w:ascii="Verdana" w:hAnsi="Verdana"/>
          <w:sz w:val="20"/>
          <w:szCs w:val="20"/>
        </w:rPr>
        <w:t xml:space="preserve"> surge en un escenario</w:t>
      </w:r>
      <w:r w:rsidR="009D7573" w:rsidRPr="0069099A">
        <w:rPr>
          <w:rFonts w:ascii="Verdana" w:hAnsi="Verdana"/>
          <w:sz w:val="20"/>
          <w:szCs w:val="20"/>
        </w:rPr>
        <w:t xml:space="preserve"> donde este Tribunal </w:t>
      </w:r>
      <w:r w:rsidR="009D7573">
        <w:rPr>
          <w:rFonts w:ascii="Verdana" w:hAnsi="Verdana"/>
          <w:sz w:val="20"/>
          <w:szCs w:val="20"/>
        </w:rPr>
        <w:t xml:space="preserve">Interamericano </w:t>
      </w:r>
      <w:r w:rsidR="009D7573" w:rsidRPr="0069099A">
        <w:rPr>
          <w:rFonts w:ascii="Verdana" w:hAnsi="Verdana"/>
          <w:sz w:val="20"/>
          <w:szCs w:val="20"/>
        </w:rPr>
        <w:t xml:space="preserve">ha encontrado, y dado por probado, que los hechos implicaron una </w:t>
      </w:r>
      <w:r w:rsidR="009D7573">
        <w:rPr>
          <w:rFonts w:ascii="Verdana" w:hAnsi="Verdana"/>
          <w:sz w:val="20"/>
          <w:szCs w:val="20"/>
        </w:rPr>
        <w:t>“</w:t>
      </w:r>
      <w:r w:rsidR="009D7573" w:rsidRPr="002A418E">
        <w:rPr>
          <w:rFonts w:ascii="Verdana" w:hAnsi="Verdana"/>
          <w:sz w:val="20"/>
          <w:szCs w:val="20"/>
          <w:u w:val="single"/>
        </w:rPr>
        <w:t>desviación de poder</w:t>
      </w:r>
      <w:r w:rsidR="009D7573">
        <w:rPr>
          <w:rFonts w:ascii="Verdana" w:hAnsi="Verdana"/>
          <w:sz w:val="20"/>
          <w:szCs w:val="20"/>
          <w:u w:val="single"/>
        </w:rPr>
        <w:t>”</w:t>
      </w:r>
      <w:r w:rsidR="009D7573" w:rsidRPr="0069099A">
        <w:rPr>
          <w:rFonts w:ascii="Verdana" w:hAnsi="Verdana"/>
          <w:sz w:val="20"/>
          <w:szCs w:val="20"/>
        </w:rPr>
        <w:t xml:space="preserve">, </w:t>
      </w:r>
      <w:r w:rsidR="00E412CE">
        <w:rPr>
          <w:rFonts w:ascii="Verdana" w:hAnsi="Verdana"/>
          <w:sz w:val="20"/>
          <w:szCs w:val="20"/>
        </w:rPr>
        <w:t>—</w:t>
      </w:r>
      <w:r w:rsidR="0041333D" w:rsidRPr="005E2619">
        <w:rPr>
          <w:rFonts w:ascii="Verdana" w:hAnsi="Verdana"/>
          <w:sz w:val="20"/>
          <w:szCs w:val="20"/>
        </w:rPr>
        <w:t>figura utilizada en otros casos por la propia Corte</w:t>
      </w:r>
      <w:r w:rsidR="00E412CE" w:rsidRPr="005E2619">
        <w:rPr>
          <w:rFonts w:ascii="Verdana" w:hAnsi="Verdana"/>
          <w:sz w:val="20"/>
          <w:szCs w:val="20"/>
        </w:rPr>
        <w:t xml:space="preserve"> IDH</w:t>
      </w:r>
      <w:r w:rsidR="00E412CE" w:rsidRPr="005E2619">
        <w:rPr>
          <w:rStyle w:val="FootnoteReference"/>
          <w:rFonts w:ascii="Verdana" w:hAnsi="Verdana"/>
          <w:sz w:val="20"/>
          <w:szCs w:val="20"/>
        </w:rPr>
        <w:footnoteReference w:id="10"/>
      </w:r>
      <w:r w:rsidR="00E412CE" w:rsidRPr="005E2619">
        <w:rPr>
          <w:rFonts w:ascii="Verdana" w:hAnsi="Verdana"/>
          <w:sz w:val="20"/>
          <w:szCs w:val="20"/>
        </w:rPr>
        <w:t>—</w:t>
      </w:r>
      <w:r w:rsidR="0041333D">
        <w:rPr>
          <w:rFonts w:ascii="Verdana" w:hAnsi="Verdana"/>
          <w:sz w:val="20"/>
          <w:szCs w:val="20"/>
        </w:rPr>
        <w:t xml:space="preserve"> </w:t>
      </w:r>
      <w:r w:rsidR="009D7573" w:rsidRPr="0069099A">
        <w:rPr>
          <w:rFonts w:ascii="Verdana" w:hAnsi="Verdana"/>
          <w:sz w:val="20"/>
          <w:szCs w:val="20"/>
        </w:rPr>
        <w:t>ya que se hizo uso de una facultad permitida del Estado con el objetivo de disfrazar las actuac</w:t>
      </w:r>
      <w:r w:rsidR="009D7573">
        <w:rPr>
          <w:rFonts w:ascii="Verdana" w:hAnsi="Verdana"/>
          <w:sz w:val="20"/>
          <w:szCs w:val="20"/>
        </w:rPr>
        <w:t xml:space="preserve">iones internas. </w:t>
      </w:r>
      <w:r w:rsidR="00BD490F">
        <w:rPr>
          <w:rFonts w:ascii="Verdana" w:hAnsi="Verdana"/>
          <w:sz w:val="20"/>
          <w:szCs w:val="20"/>
        </w:rPr>
        <w:t>Lo anterior se declaró probado</w:t>
      </w:r>
      <w:r w:rsidR="009D7573">
        <w:rPr>
          <w:rFonts w:ascii="Verdana" w:hAnsi="Verdana"/>
          <w:sz w:val="20"/>
          <w:szCs w:val="20"/>
        </w:rPr>
        <w:t xml:space="preserve"> </w:t>
      </w:r>
      <w:r w:rsidR="00E70F5D">
        <w:rPr>
          <w:rFonts w:ascii="Verdana" w:hAnsi="Verdana"/>
          <w:sz w:val="20"/>
          <w:szCs w:val="20"/>
        </w:rPr>
        <w:t>en la Sentencia</w:t>
      </w:r>
      <w:r w:rsidR="00D522E4">
        <w:rPr>
          <w:rFonts w:ascii="Verdana" w:hAnsi="Verdana"/>
          <w:sz w:val="20"/>
          <w:szCs w:val="20"/>
        </w:rPr>
        <w:t>,</w:t>
      </w:r>
      <w:r w:rsidR="00943DBD">
        <w:rPr>
          <w:rFonts w:ascii="Verdana" w:hAnsi="Verdana"/>
          <w:sz w:val="20"/>
          <w:szCs w:val="20"/>
        </w:rPr>
        <w:t xml:space="preserve"> esencialmente por </w:t>
      </w:r>
      <w:r w:rsidR="009D7573" w:rsidRPr="0069099A">
        <w:rPr>
          <w:rFonts w:ascii="Verdana" w:hAnsi="Verdana"/>
          <w:sz w:val="20"/>
          <w:szCs w:val="20"/>
        </w:rPr>
        <w:t xml:space="preserve">las </w:t>
      </w:r>
      <w:r w:rsidR="009D7573" w:rsidRPr="0069099A">
        <w:rPr>
          <w:rFonts w:ascii="Verdana" w:hAnsi="Verdana"/>
          <w:sz w:val="20"/>
          <w:szCs w:val="20"/>
        </w:rPr>
        <w:lastRenderedPageBreak/>
        <w:t xml:space="preserve">declaraciones hechas por el </w:t>
      </w:r>
      <w:r w:rsidR="0052278E">
        <w:rPr>
          <w:rFonts w:ascii="Verdana" w:hAnsi="Verdana"/>
          <w:sz w:val="20"/>
          <w:szCs w:val="20"/>
        </w:rPr>
        <w:t xml:space="preserve">entonces </w:t>
      </w:r>
      <w:r w:rsidR="009D7573" w:rsidRPr="0069099A">
        <w:rPr>
          <w:rFonts w:ascii="Verdana" w:hAnsi="Verdana"/>
          <w:sz w:val="20"/>
          <w:szCs w:val="20"/>
        </w:rPr>
        <w:t xml:space="preserve">Presidente de la República y diversas autoridades, </w:t>
      </w:r>
      <w:r w:rsidR="00BD490F">
        <w:rPr>
          <w:rFonts w:ascii="Verdana" w:hAnsi="Verdana"/>
          <w:sz w:val="20"/>
          <w:szCs w:val="20"/>
        </w:rPr>
        <w:t>así como por distintos</w:t>
      </w:r>
      <w:r w:rsidR="00C50C03">
        <w:rPr>
          <w:rFonts w:ascii="Verdana" w:hAnsi="Verdana"/>
          <w:sz w:val="20"/>
          <w:szCs w:val="20"/>
        </w:rPr>
        <w:t xml:space="preserve"> documentos oficiales, </w:t>
      </w:r>
      <w:r w:rsidR="009D7573" w:rsidRPr="0069099A">
        <w:rPr>
          <w:rFonts w:ascii="Verdana" w:hAnsi="Verdana"/>
          <w:sz w:val="20"/>
          <w:szCs w:val="20"/>
        </w:rPr>
        <w:t xml:space="preserve">en </w:t>
      </w:r>
      <w:r w:rsidR="00C50C03">
        <w:rPr>
          <w:rFonts w:ascii="Verdana" w:hAnsi="Verdana"/>
          <w:sz w:val="20"/>
          <w:szCs w:val="20"/>
        </w:rPr>
        <w:t>que se</w:t>
      </w:r>
      <w:r w:rsidR="00152717">
        <w:rPr>
          <w:rFonts w:ascii="Verdana" w:hAnsi="Verdana"/>
          <w:sz w:val="20"/>
          <w:szCs w:val="20"/>
        </w:rPr>
        <w:t xml:space="preserve"> hacía</w:t>
      </w:r>
      <w:r w:rsidR="009D7573" w:rsidRPr="0069099A">
        <w:rPr>
          <w:rFonts w:ascii="Verdana" w:hAnsi="Verdana"/>
          <w:sz w:val="20"/>
          <w:szCs w:val="20"/>
        </w:rPr>
        <w:t xml:space="preserve"> alusión a que la decisión de no renovar la concesión de RCTV se encontraba </w:t>
      </w:r>
      <w:r w:rsidR="009D7573">
        <w:rPr>
          <w:rFonts w:ascii="Verdana" w:hAnsi="Verdana"/>
          <w:sz w:val="20"/>
          <w:szCs w:val="20"/>
        </w:rPr>
        <w:t>tomada con anterioridad y que</w:t>
      </w:r>
      <w:r w:rsidR="009D7573" w:rsidRPr="0069099A">
        <w:rPr>
          <w:rFonts w:ascii="Verdana" w:hAnsi="Verdana"/>
          <w:sz w:val="20"/>
          <w:szCs w:val="20"/>
        </w:rPr>
        <w:t xml:space="preserve"> </w:t>
      </w:r>
      <w:r w:rsidR="009D7573">
        <w:rPr>
          <w:rFonts w:ascii="Verdana" w:hAnsi="Verdana"/>
          <w:sz w:val="20"/>
          <w:szCs w:val="20"/>
        </w:rPr>
        <w:t>estaba</w:t>
      </w:r>
      <w:r w:rsidR="009D7573" w:rsidRPr="0069099A">
        <w:rPr>
          <w:rFonts w:ascii="Verdana" w:hAnsi="Verdana"/>
          <w:sz w:val="20"/>
          <w:szCs w:val="20"/>
        </w:rPr>
        <w:t xml:space="preserve"> relacionada con las molestias generadas por la línea editorial </w:t>
      </w:r>
      <w:r w:rsidR="002861E0">
        <w:rPr>
          <w:rFonts w:ascii="Verdana" w:hAnsi="Verdana"/>
          <w:sz w:val="20"/>
          <w:szCs w:val="20"/>
        </w:rPr>
        <w:t>crítica hacia el gobierno que mantenía RCTV.</w:t>
      </w:r>
      <w:r w:rsidR="009D7573" w:rsidRPr="0069099A">
        <w:rPr>
          <w:rFonts w:ascii="Verdana" w:hAnsi="Verdana"/>
          <w:sz w:val="20"/>
          <w:szCs w:val="20"/>
        </w:rPr>
        <w:t xml:space="preserve"> </w:t>
      </w:r>
      <w:r w:rsidR="009D7573">
        <w:rPr>
          <w:rFonts w:ascii="Verdana" w:hAnsi="Verdana"/>
          <w:sz w:val="20"/>
          <w:szCs w:val="20"/>
        </w:rPr>
        <w:tab/>
      </w:r>
    </w:p>
    <w:p w14:paraId="7D7388A1" w14:textId="77777777" w:rsidR="008D4320" w:rsidRDefault="008D2185" w:rsidP="009D7573">
      <w:pPr>
        <w:pStyle w:val="ListParagraph"/>
        <w:spacing w:after="0" w:line="240" w:lineRule="auto"/>
        <w:ind w:left="0"/>
        <w:jc w:val="both"/>
        <w:rPr>
          <w:rFonts w:ascii="Verdana" w:hAnsi="Verdana"/>
          <w:sz w:val="20"/>
          <w:szCs w:val="20"/>
        </w:rPr>
      </w:pPr>
      <w:r>
        <w:rPr>
          <w:rFonts w:ascii="Verdana" w:hAnsi="Verdana"/>
          <w:sz w:val="20"/>
          <w:szCs w:val="20"/>
        </w:rPr>
        <w:t>7</w:t>
      </w:r>
      <w:r w:rsidR="0054208C">
        <w:rPr>
          <w:rFonts w:ascii="Verdana" w:hAnsi="Verdana"/>
          <w:sz w:val="20"/>
          <w:szCs w:val="20"/>
        </w:rPr>
        <w:t xml:space="preserve">. </w:t>
      </w:r>
      <w:r w:rsidR="0054208C">
        <w:rPr>
          <w:rFonts w:ascii="Verdana" w:hAnsi="Verdana"/>
          <w:sz w:val="20"/>
          <w:szCs w:val="20"/>
        </w:rPr>
        <w:tab/>
      </w:r>
      <w:r w:rsidR="009D7573" w:rsidRPr="00DA4719">
        <w:rPr>
          <w:rFonts w:ascii="Verdana" w:hAnsi="Verdana"/>
          <w:sz w:val="20"/>
          <w:szCs w:val="20"/>
        </w:rPr>
        <w:t xml:space="preserve">Esta </w:t>
      </w:r>
      <w:r w:rsidR="009D7573">
        <w:rPr>
          <w:rFonts w:ascii="Verdana" w:hAnsi="Verdana"/>
          <w:sz w:val="20"/>
          <w:szCs w:val="20"/>
        </w:rPr>
        <w:t>“</w:t>
      </w:r>
      <w:r w:rsidR="009D7573" w:rsidRPr="00DA4719">
        <w:rPr>
          <w:rFonts w:ascii="Verdana" w:hAnsi="Verdana"/>
          <w:sz w:val="20"/>
          <w:szCs w:val="20"/>
        </w:rPr>
        <w:t>desviación de poder</w:t>
      </w:r>
      <w:r w:rsidR="009D7573">
        <w:rPr>
          <w:rFonts w:ascii="Verdana" w:hAnsi="Verdana"/>
          <w:sz w:val="20"/>
          <w:szCs w:val="20"/>
        </w:rPr>
        <w:t>”</w:t>
      </w:r>
      <w:r w:rsidR="009D7573" w:rsidRPr="00DA4719">
        <w:rPr>
          <w:rFonts w:ascii="Verdana" w:hAnsi="Verdana"/>
          <w:sz w:val="20"/>
          <w:szCs w:val="20"/>
        </w:rPr>
        <w:t xml:space="preserve"> tuvo un impacto sobre RCTV, no solo en la di</w:t>
      </w:r>
      <w:r w:rsidR="00CC67E9">
        <w:rPr>
          <w:rFonts w:ascii="Verdana" w:hAnsi="Verdana"/>
          <w:sz w:val="20"/>
          <w:szCs w:val="20"/>
        </w:rPr>
        <w:t>mensión individual</w:t>
      </w:r>
      <w:r w:rsidR="00BD490F">
        <w:rPr>
          <w:rFonts w:ascii="Verdana" w:hAnsi="Verdana"/>
          <w:sz w:val="20"/>
          <w:szCs w:val="20"/>
        </w:rPr>
        <w:t xml:space="preserve"> al impedir el pleno ejercicio del derecho a la libertad de expresión de las víctimas</w:t>
      </w:r>
      <w:r w:rsidR="00C678CD">
        <w:rPr>
          <w:rFonts w:ascii="Verdana" w:hAnsi="Verdana"/>
          <w:sz w:val="20"/>
          <w:szCs w:val="20"/>
        </w:rPr>
        <w:t xml:space="preserve"> que ejercían a través de ese medio de comunicación</w:t>
      </w:r>
      <w:r w:rsidR="00CC67E9">
        <w:rPr>
          <w:rFonts w:ascii="Verdana" w:hAnsi="Verdana"/>
          <w:sz w:val="20"/>
          <w:szCs w:val="20"/>
        </w:rPr>
        <w:t>, sino particularmente</w:t>
      </w:r>
      <w:r w:rsidR="009D7573" w:rsidRPr="00DA4719">
        <w:rPr>
          <w:rFonts w:ascii="Verdana" w:hAnsi="Verdana"/>
          <w:sz w:val="20"/>
          <w:szCs w:val="20"/>
        </w:rPr>
        <w:t xml:space="preserve"> en la </w:t>
      </w:r>
      <w:r w:rsidR="0055072D">
        <w:rPr>
          <w:rFonts w:ascii="Verdana" w:hAnsi="Verdana"/>
          <w:sz w:val="20"/>
          <w:szCs w:val="20"/>
        </w:rPr>
        <w:t>“</w:t>
      </w:r>
      <w:r w:rsidR="009D7573" w:rsidRPr="00DA4719">
        <w:rPr>
          <w:rFonts w:ascii="Verdana" w:hAnsi="Verdana"/>
          <w:sz w:val="20"/>
          <w:szCs w:val="20"/>
        </w:rPr>
        <w:t>dimensión social</w:t>
      </w:r>
      <w:r w:rsidR="0055072D">
        <w:rPr>
          <w:rFonts w:ascii="Verdana" w:hAnsi="Verdana"/>
          <w:sz w:val="20"/>
          <w:szCs w:val="20"/>
        </w:rPr>
        <w:t>”</w:t>
      </w:r>
      <w:r w:rsidR="009D7573" w:rsidRPr="00DA4719">
        <w:rPr>
          <w:rFonts w:ascii="Verdana" w:hAnsi="Verdana"/>
          <w:sz w:val="20"/>
          <w:szCs w:val="20"/>
        </w:rPr>
        <w:t xml:space="preserve"> de este derecho, pues es la ciudadanía </w:t>
      </w:r>
      <w:r w:rsidR="000F3F11">
        <w:rPr>
          <w:rFonts w:ascii="Verdana" w:hAnsi="Verdana"/>
          <w:sz w:val="20"/>
          <w:szCs w:val="20"/>
        </w:rPr>
        <w:t xml:space="preserve">venezolana </w:t>
      </w:r>
      <w:r w:rsidR="00871F7B">
        <w:rPr>
          <w:rFonts w:ascii="Verdana" w:hAnsi="Verdana"/>
          <w:sz w:val="20"/>
          <w:szCs w:val="20"/>
        </w:rPr>
        <w:t xml:space="preserve">la </w:t>
      </w:r>
      <w:r w:rsidR="009D7573" w:rsidRPr="00DA4719">
        <w:rPr>
          <w:rFonts w:ascii="Verdana" w:hAnsi="Verdana"/>
          <w:sz w:val="20"/>
          <w:szCs w:val="20"/>
        </w:rPr>
        <w:t xml:space="preserve">que se vio privada de tener acceso a la línea editorial que RCTV representaba. </w:t>
      </w:r>
      <w:r w:rsidR="009D7573" w:rsidRPr="002861E0">
        <w:rPr>
          <w:rFonts w:ascii="Verdana" w:hAnsi="Verdana"/>
          <w:sz w:val="20"/>
          <w:szCs w:val="20"/>
          <w:u w:val="single"/>
        </w:rPr>
        <w:t xml:space="preserve">La finalidad </w:t>
      </w:r>
      <w:r w:rsidR="00E70F5D" w:rsidRPr="002861E0">
        <w:rPr>
          <w:rFonts w:ascii="Verdana" w:hAnsi="Verdana"/>
          <w:sz w:val="20"/>
          <w:szCs w:val="20"/>
          <w:u w:val="single"/>
        </w:rPr>
        <w:t>real y no declarada</w:t>
      </w:r>
      <w:r w:rsidR="00E70F5D">
        <w:rPr>
          <w:rFonts w:ascii="Verdana" w:hAnsi="Verdana"/>
          <w:sz w:val="20"/>
          <w:szCs w:val="20"/>
        </w:rPr>
        <w:t xml:space="preserve"> </w:t>
      </w:r>
      <w:r w:rsidR="009D7573" w:rsidRPr="00DA4719">
        <w:rPr>
          <w:rFonts w:ascii="Verdana" w:hAnsi="Verdana"/>
          <w:sz w:val="20"/>
          <w:szCs w:val="20"/>
        </w:rPr>
        <w:t>que buscaba el gobierno era la de silenciar las voces que esg</w:t>
      </w:r>
      <w:r w:rsidR="002861E0">
        <w:rPr>
          <w:rFonts w:ascii="Verdana" w:hAnsi="Verdana"/>
          <w:sz w:val="20"/>
          <w:szCs w:val="20"/>
        </w:rPr>
        <w:t>ri</w:t>
      </w:r>
      <w:r w:rsidR="00C678CD">
        <w:rPr>
          <w:rFonts w:ascii="Verdana" w:hAnsi="Verdana"/>
          <w:sz w:val="20"/>
          <w:szCs w:val="20"/>
        </w:rPr>
        <w:t>mían críticas en contra suya</w:t>
      </w:r>
      <w:r w:rsidR="008D4320">
        <w:rPr>
          <w:rFonts w:ascii="Verdana" w:hAnsi="Verdana"/>
          <w:sz w:val="20"/>
          <w:szCs w:val="20"/>
        </w:rPr>
        <w:t>.</w:t>
      </w:r>
      <w:r w:rsidR="009D7573" w:rsidRPr="00DA4719">
        <w:rPr>
          <w:rFonts w:ascii="Verdana" w:hAnsi="Verdana"/>
          <w:sz w:val="20"/>
          <w:szCs w:val="20"/>
        </w:rPr>
        <w:t xml:space="preserve"> De esta forma, </w:t>
      </w:r>
      <w:r w:rsidR="00CC02EA">
        <w:rPr>
          <w:rFonts w:ascii="Verdana" w:hAnsi="Verdana"/>
          <w:sz w:val="20"/>
          <w:szCs w:val="20"/>
        </w:rPr>
        <w:t>“</w:t>
      </w:r>
      <w:r w:rsidR="009D7573" w:rsidRPr="00DA4719">
        <w:rPr>
          <w:rFonts w:ascii="Verdana" w:hAnsi="Verdana"/>
          <w:sz w:val="20"/>
          <w:szCs w:val="20"/>
        </w:rPr>
        <w:t>se c</w:t>
      </w:r>
      <w:r w:rsidR="00CC02EA">
        <w:rPr>
          <w:rFonts w:ascii="Verdana" w:hAnsi="Verdana"/>
          <w:sz w:val="20"/>
          <w:szCs w:val="20"/>
        </w:rPr>
        <w:t>[</w:t>
      </w:r>
      <w:r w:rsidR="009D7573" w:rsidRPr="00DA4719">
        <w:rPr>
          <w:rFonts w:ascii="Verdana" w:hAnsi="Verdana"/>
          <w:sz w:val="20"/>
          <w:szCs w:val="20"/>
        </w:rPr>
        <w:t>onstituyen</w:t>
      </w:r>
      <w:r w:rsidR="00CC02EA">
        <w:rPr>
          <w:rFonts w:ascii="Verdana" w:hAnsi="Verdana"/>
          <w:sz w:val="20"/>
          <w:szCs w:val="20"/>
        </w:rPr>
        <w:t>]</w:t>
      </w:r>
      <w:r w:rsidR="009D7573" w:rsidRPr="00DA4719">
        <w:rPr>
          <w:rFonts w:ascii="Verdana" w:hAnsi="Verdana"/>
          <w:sz w:val="20"/>
          <w:szCs w:val="20"/>
        </w:rPr>
        <w:t xml:space="preserve"> restriccion</w:t>
      </w:r>
      <w:r w:rsidR="00CC02EA">
        <w:rPr>
          <w:rFonts w:ascii="Verdana" w:hAnsi="Verdana"/>
          <w:sz w:val="20"/>
          <w:szCs w:val="20"/>
        </w:rPr>
        <w:t>[</w:t>
      </w:r>
      <w:r w:rsidR="009D7573" w:rsidRPr="00DA4719">
        <w:rPr>
          <w:rFonts w:ascii="Verdana" w:hAnsi="Verdana"/>
          <w:sz w:val="20"/>
          <w:szCs w:val="20"/>
        </w:rPr>
        <w:t>es</w:t>
      </w:r>
      <w:r w:rsidR="00CC02EA">
        <w:rPr>
          <w:rFonts w:ascii="Verdana" w:hAnsi="Verdana"/>
          <w:sz w:val="20"/>
          <w:szCs w:val="20"/>
        </w:rPr>
        <w:t>]</w:t>
      </w:r>
      <w:r w:rsidR="009D7573" w:rsidRPr="00DA4719">
        <w:rPr>
          <w:rFonts w:ascii="Verdana" w:hAnsi="Verdana"/>
          <w:sz w:val="20"/>
          <w:szCs w:val="20"/>
        </w:rPr>
        <w:t xml:space="preserve"> indirecta</w:t>
      </w:r>
      <w:r w:rsidR="00CC02EA">
        <w:rPr>
          <w:rFonts w:ascii="Verdana" w:hAnsi="Verdana"/>
          <w:sz w:val="20"/>
          <w:szCs w:val="20"/>
        </w:rPr>
        <w:t>[</w:t>
      </w:r>
      <w:r w:rsidR="009D7573" w:rsidRPr="00DA4719">
        <w:rPr>
          <w:rFonts w:ascii="Verdana" w:hAnsi="Verdana"/>
          <w:sz w:val="20"/>
          <w:szCs w:val="20"/>
        </w:rPr>
        <w:t>s</w:t>
      </w:r>
      <w:r w:rsidR="00CC02EA">
        <w:rPr>
          <w:rFonts w:ascii="Verdana" w:hAnsi="Verdana"/>
          <w:sz w:val="20"/>
          <w:szCs w:val="20"/>
        </w:rPr>
        <w:t>]</w:t>
      </w:r>
      <w:r w:rsidR="009D7573" w:rsidRPr="00DA4719">
        <w:rPr>
          <w:rFonts w:ascii="Verdana" w:hAnsi="Verdana"/>
          <w:sz w:val="20"/>
          <w:szCs w:val="20"/>
        </w:rPr>
        <w:t xml:space="preserve"> en el ejercicio del derecho a la libertad de expresión produ</w:t>
      </w:r>
      <w:r w:rsidR="00CC02EA">
        <w:rPr>
          <w:rFonts w:ascii="Verdana" w:hAnsi="Verdana"/>
          <w:sz w:val="20"/>
          <w:szCs w:val="20"/>
        </w:rPr>
        <w:t>[</w:t>
      </w:r>
      <w:r w:rsidR="009D7573" w:rsidRPr="00DA4719">
        <w:rPr>
          <w:rFonts w:ascii="Verdana" w:hAnsi="Verdana"/>
          <w:sz w:val="20"/>
          <w:szCs w:val="20"/>
        </w:rPr>
        <w:t>cto</w:t>
      </w:r>
      <w:r w:rsidR="00CC02EA">
        <w:rPr>
          <w:rFonts w:ascii="Verdana" w:hAnsi="Verdana"/>
          <w:sz w:val="20"/>
          <w:szCs w:val="20"/>
        </w:rPr>
        <w:t>]</w:t>
      </w:r>
      <w:r w:rsidR="009D7573" w:rsidRPr="00DA4719">
        <w:rPr>
          <w:rFonts w:ascii="Verdana" w:hAnsi="Verdana"/>
          <w:sz w:val="20"/>
          <w:szCs w:val="20"/>
        </w:rPr>
        <w:t xml:space="preserve"> de medios encaminados a impedir la comunicación y circulación de ideas</w:t>
      </w:r>
      <w:r w:rsidR="00CC02EA">
        <w:rPr>
          <w:rFonts w:ascii="Verdana" w:hAnsi="Verdana"/>
          <w:sz w:val="20"/>
          <w:szCs w:val="20"/>
        </w:rPr>
        <w:t>[…]</w:t>
      </w:r>
      <w:r w:rsidR="009D7573" w:rsidRPr="00DA4719">
        <w:rPr>
          <w:rFonts w:ascii="Verdana" w:hAnsi="Verdana"/>
          <w:sz w:val="20"/>
          <w:szCs w:val="20"/>
        </w:rPr>
        <w:t xml:space="preserve">, al decidir que el Estado se reservaría la porción del espectro </w:t>
      </w:r>
      <w:r w:rsidR="00CC02EA">
        <w:rPr>
          <w:rFonts w:ascii="Verdana" w:hAnsi="Verdana"/>
          <w:sz w:val="20"/>
          <w:szCs w:val="20"/>
        </w:rPr>
        <w:t>[</w:t>
      </w:r>
      <w:r w:rsidR="00CC67E9" w:rsidRPr="002861E0">
        <w:rPr>
          <w:rFonts w:ascii="Verdana" w:hAnsi="Verdana"/>
          <w:sz w:val="20"/>
          <w:szCs w:val="20"/>
        </w:rPr>
        <w:t>radioeléctrico</w:t>
      </w:r>
      <w:r w:rsidR="00CC02EA">
        <w:rPr>
          <w:rFonts w:ascii="Verdana" w:hAnsi="Verdana"/>
          <w:sz w:val="20"/>
          <w:szCs w:val="20"/>
        </w:rPr>
        <w:t>]</w:t>
      </w:r>
      <w:r w:rsidR="00CC67E9">
        <w:rPr>
          <w:rFonts w:ascii="Verdana" w:hAnsi="Verdana"/>
          <w:sz w:val="20"/>
          <w:szCs w:val="20"/>
        </w:rPr>
        <w:t xml:space="preserve"> </w:t>
      </w:r>
      <w:r w:rsidR="009D7573" w:rsidRPr="00DA4719">
        <w:rPr>
          <w:rFonts w:ascii="Verdana" w:hAnsi="Verdana"/>
          <w:sz w:val="20"/>
          <w:szCs w:val="20"/>
        </w:rPr>
        <w:t xml:space="preserve">y, por tanto, impedir la participación en los procedimientos administrativos para la adjudicación de los títulos </w:t>
      </w:r>
      <w:r w:rsidR="00CC02EA">
        <w:rPr>
          <w:rFonts w:ascii="Verdana" w:hAnsi="Verdana"/>
          <w:sz w:val="20"/>
          <w:szCs w:val="20"/>
        </w:rPr>
        <w:t>[</w:t>
      </w:r>
      <w:r w:rsidR="009D7573" w:rsidRPr="00DA4719">
        <w:rPr>
          <w:rFonts w:ascii="Verdana" w:hAnsi="Verdana"/>
          <w:sz w:val="20"/>
          <w:szCs w:val="20"/>
        </w:rPr>
        <w:t>de</w:t>
      </w:r>
      <w:r w:rsidR="00CC02EA">
        <w:rPr>
          <w:rFonts w:ascii="Verdana" w:hAnsi="Verdana"/>
          <w:sz w:val="20"/>
          <w:szCs w:val="20"/>
        </w:rPr>
        <w:t>]</w:t>
      </w:r>
      <w:r w:rsidR="009D7573" w:rsidRPr="00DA4719">
        <w:rPr>
          <w:rFonts w:ascii="Verdana" w:hAnsi="Verdana"/>
          <w:sz w:val="20"/>
          <w:szCs w:val="20"/>
        </w:rPr>
        <w:t xml:space="preserve"> renovación de la concesión</w:t>
      </w:r>
      <w:r w:rsidR="00CC02EA">
        <w:rPr>
          <w:rFonts w:ascii="Verdana" w:hAnsi="Verdana"/>
          <w:sz w:val="20"/>
          <w:szCs w:val="20"/>
        </w:rPr>
        <w:t>”</w:t>
      </w:r>
      <w:r w:rsidR="00CC02EA">
        <w:rPr>
          <w:rStyle w:val="FootnoteReference"/>
          <w:rFonts w:ascii="Verdana" w:hAnsi="Verdana"/>
          <w:sz w:val="20"/>
          <w:szCs w:val="20"/>
        </w:rPr>
        <w:footnoteReference w:id="11"/>
      </w:r>
      <w:r w:rsidR="009D7573" w:rsidRPr="00DA4719">
        <w:rPr>
          <w:rFonts w:ascii="Verdana" w:hAnsi="Verdana"/>
          <w:sz w:val="20"/>
          <w:szCs w:val="20"/>
        </w:rPr>
        <w:t xml:space="preserve">. </w:t>
      </w:r>
      <w:r w:rsidR="008D4320">
        <w:rPr>
          <w:rFonts w:ascii="Verdana" w:hAnsi="Verdana"/>
          <w:sz w:val="20"/>
          <w:szCs w:val="20"/>
        </w:rPr>
        <w:t>Y un efecto más de esa</w:t>
      </w:r>
      <w:r w:rsidR="006139CD">
        <w:rPr>
          <w:rFonts w:ascii="Verdana" w:hAnsi="Verdana"/>
          <w:sz w:val="20"/>
          <w:szCs w:val="20"/>
        </w:rPr>
        <w:t xml:space="preserve"> finalidad real e ilegítima fue la violación al </w:t>
      </w:r>
      <w:r w:rsidR="008D4320">
        <w:rPr>
          <w:rFonts w:ascii="Verdana" w:hAnsi="Verdana"/>
          <w:sz w:val="20"/>
          <w:szCs w:val="20"/>
        </w:rPr>
        <w:t>“</w:t>
      </w:r>
      <w:r w:rsidR="006139CD">
        <w:rPr>
          <w:rFonts w:ascii="Verdana" w:hAnsi="Verdana"/>
          <w:sz w:val="20"/>
          <w:szCs w:val="20"/>
        </w:rPr>
        <w:t>debido proceso convencional</w:t>
      </w:r>
      <w:r w:rsidR="008D4320">
        <w:rPr>
          <w:rFonts w:ascii="Verdana" w:hAnsi="Verdana"/>
          <w:sz w:val="20"/>
          <w:szCs w:val="20"/>
        </w:rPr>
        <w:t>”</w:t>
      </w:r>
      <w:r w:rsidR="006139CD">
        <w:rPr>
          <w:rFonts w:ascii="Verdana" w:hAnsi="Verdana"/>
          <w:sz w:val="20"/>
          <w:szCs w:val="20"/>
        </w:rPr>
        <w:t xml:space="preserve"> previsto en el artículo 8 de la Convención Americana, ya que “la finalidad del cierre de los procesos administrativos sobre la transformación de los títulos y la renovación era acallar al medio de comunicación”</w:t>
      </w:r>
      <w:r w:rsidR="008D4320">
        <w:rPr>
          <w:rStyle w:val="FootnoteReference"/>
          <w:rFonts w:ascii="Verdana" w:hAnsi="Verdana"/>
          <w:sz w:val="20"/>
          <w:szCs w:val="20"/>
        </w:rPr>
        <w:footnoteReference w:id="12"/>
      </w:r>
      <w:r w:rsidR="008D4320">
        <w:rPr>
          <w:rFonts w:ascii="Verdana" w:hAnsi="Verdana"/>
          <w:sz w:val="20"/>
          <w:szCs w:val="20"/>
        </w:rPr>
        <w:t>, por lo que era necesario que dichos procedimientos administrativos continuaran para efectos de definir sobre la transformación o renovación de la concesión.</w:t>
      </w:r>
    </w:p>
    <w:p w14:paraId="544D77AE" w14:textId="77777777" w:rsidR="0054208C" w:rsidRDefault="0054208C" w:rsidP="009D7573">
      <w:pPr>
        <w:pStyle w:val="ListParagraph"/>
        <w:spacing w:after="0" w:line="240" w:lineRule="auto"/>
        <w:ind w:left="0"/>
        <w:jc w:val="both"/>
        <w:rPr>
          <w:rFonts w:ascii="Verdana" w:hAnsi="Verdana"/>
          <w:sz w:val="20"/>
          <w:szCs w:val="20"/>
        </w:rPr>
      </w:pPr>
    </w:p>
    <w:p w14:paraId="3AF53D55" w14:textId="77777777" w:rsidR="008C1E56" w:rsidRPr="0036565E" w:rsidRDefault="008D2185" w:rsidP="008C1E56">
      <w:pPr>
        <w:pStyle w:val="ListParagraph"/>
        <w:spacing w:after="0" w:line="240" w:lineRule="auto"/>
        <w:ind w:left="0"/>
        <w:jc w:val="both"/>
        <w:rPr>
          <w:rFonts w:ascii="Verdana" w:hAnsi="Verdana" w:cs="BookAntiqua"/>
          <w:sz w:val="20"/>
          <w:szCs w:val="20"/>
          <w:lang w:val="es-CO"/>
        </w:rPr>
      </w:pPr>
      <w:r>
        <w:rPr>
          <w:rFonts w:ascii="Verdana" w:hAnsi="Verdana"/>
          <w:sz w:val="20"/>
          <w:szCs w:val="20"/>
        </w:rPr>
        <w:t>8</w:t>
      </w:r>
      <w:r w:rsidR="0054208C" w:rsidRPr="009933BE">
        <w:rPr>
          <w:rFonts w:ascii="Verdana" w:hAnsi="Verdana"/>
          <w:sz w:val="20"/>
          <w:szCs w:val="20"/>
        </w:rPr>
        <w:t>.</w:t>
      </w:r>
      <w:r w:rsidR="0054208C" w:rsidRPr="009933BE">
        <w:rPr>
          <w:rFonts w:ascii="Verdana" w:hAnsi="Verdana"/>
          <w:sz w:val="20"/>
          <w:szCs w:val="20"/>
        </w:rPr>
        <w:tab/>
      </w:r>
      <w:r w:rsidR="008C1E56">
        <w:rPr>
          <w:rFonts w:ascii="Verdana" w:hAnsi="Verdana"/>
          <w:sz w:val="20"/>
          <w:szCs w:val="20"/>
        </w:rPr>
        <w:t xml:space="preserve">Íntimamente vinculado con la </w:t>
      </w:r>
      <w:r w:rsidR="0036565E">
        <w:rPr>
          <w:rFonts w:ascii="Verdana" w:hAnsi="Verdana"/>
          <w:sz w:val="20"/>
          <w:szCs w:val="20"/>
        </w:rPr>
        <w:t xml:space="preserve">anterior </w:t>
      </w:r>
      <w:r w:rsidR="008C1E56">
        <w:rPr>
          <w:rFonts w:ascii="Verdana" w:hAnsi="Verdana"/>
          <w:sz w:val="20"/>
          <w:szCs w:val="20"/>
        </w:rPr>
        <w:t xml:space="preserve">violación </w:t>
      </w:r>
      <w:r w:rsidR="0036565E">
        <w:rPr>
          <w:rFonts w:ascii="Verdana" w:hAnsi="Verdana"/>
          <w:sz w:val="20"/>
          <w:szCs w:val="20"/>
        </w:rPr>
        <w:t xml:space="preserve">a la </w:t>
      </w:r>
      <w:r w:rsidR="008C1E56">
        <w:rPr>
          <w:rFonts w:ascii="Verdana" w:hAnsi="Verdana"/>
          <w:sz w:val="20"/>
          <w:szCs w:val="20"/>
        </w:rPr>
        <w:t>libertad</w:t>
      </w:r>
      <w:r w:rsidR="0036565E">
        <w:rPr>
          <w:rFonts w:ascii="Verdana" w:hAnsi="Verdana"/>
          <w:sz w:val="20"/>
          <w:szCs w:val="20"/>
        </w:rPr>
        <w:t xml:space="preserve"> de expresión</w:t>
      </w:r>
      <w:r w:rsidR="008C1E56">
        <w:rPr>
          <w:rFonts w:ascii="Verdana" w:hAnsi="Verdana"/>
          <w:sz w:val="20"/>
          <w:szCs w:val="20"/>
        </w:rPr>
        <w:t xml:space="preserve">, también se declaró violado el derecho de “igualdad ante la ley” previsto en el artículo 24 del Pacto de San José, ya que </w:t>
      </w:r>
      <w:r w:rsidR="0036565E">
        <w:rPr>
          <w:rFonts w:ascii="Verdana" w:hAnsi="Verdana"/>
          <w:sz w:val="20"/>
          <w:szCs w:val="20"/>
        </w:rPr>
        <w:t>la decisión d</w:t>
      </w:r>
      <w:r w:rsidR="008C1E56">
        <w:rPr>
          <w:rFonts w:ascii="Verdana" w:hAnsi="Verdana"/>
          <w:sz w:val="20"/>
          <w:szCs w:val="20"/>
        </w:rPr>
        <w:t xml:space="preserve">el Estado </w:t>
      </w:r>
      <w:r w:rsidR="0036565E">
        <w:rPr>
          <w:rFonts w:ascii="Verdana" w:hAnsi="Verdana"/>
          <w:sz w:val="20"/>
          <w:szCs w:val="20"/>
        </w:rPr>
        <w:t>de reservarse la porción del espectro asignado a RCTV constituyó un “trato discriminatorio” en el ejercicio del derecho a la libertad de expresión de las hoy víctimas</w:t>
      </w:r>
      <w:r w:rsidR="00BA61AA">
        <w:rPr>
          <w:rStyle w:val="FootnoteReference"/>
          <w:rFonts w:ascii="Verdana" w:hAnsi="Verdana"/>
          <w:sz w:val="20"/>
          <w:szCs w:val="20"/>
        </w:rPr>
        <w:footnoteReference w:id="13"/>
      </w:r>
      <w:r w:rsidR="0036565E">
        <w:rPr>
          <w:rFonts w:ascii="Verdana" w:hAnsi="Verdana"/>
          <w:sz w:val="20"/>
          <w:szCs w:val="20"/>
        </w:rPr>
        <w:t xml:space="preserve">. En efecto, en la Sentencia se comprobó que el Estado </w:t>
      </w:r>
      <w:r w:rsidR="008C1E56">
        <w:rPr>
          <w:rFonts w:ascii="Verdana" w:hAnsi="Verdana"/>
          <w:sz w:val="20"/>
          <w:szCs w:val="20"/>
        </w:rPr>
        <w:t>realiz</w:t>
      </w:r>
      <w:r w:rsidR="00985919">
        <w:rPr>
          <w:rFonts w:ascii="Verdana" w:hAnsi="Verdana"/>
          <w:sz w:val="20"/>
          <w:szCs w:val="20"/>
        </w:rPr>
        <w:t>ó</w:t>
      </w:r>
      <w:r w:rsidR="008C1E56">
        <w:rPr>
          <w:rFonts w:ascii="Verdana" w:hAnsi="Verdana"/>
          <w:sz w:val="20"/>
          <w:szCs w:val="20"/>
        </w:rPr>
        <w:t xml:space="preserve"> un “trato diferenciado basado en el agrado o disgusto que le causaba la línea editorial de un canal”, que</w:t>
      </w:r>
      <w:r w:rsidR="001812B0">
        <w:rPr>
          <w:rFonts w:ascii="Verdana" w:hAnsi="Verdana"/>
          <w:sz w:val="20"/>
          <w:szCs w:val="20"/>
        </w:rPr>
        <w:t>, además,</w:t>
      </w:r>
      <w:r w:rsidR="008C1E56">
        <w:rPr>
          <w:rFonts w:ascii="Verdana" w:hAnsi="Verdana"/>
          <w:sz w:val="20"/>
          <w:szCs w:val="20"/>
        </w:rPr>
        <w:t xml:space="preserve"> propició “un efecto disuasivo, atemorizador e inhibidor</w:t>
      </w:r>
      <w:r w:rsidR="0036565E">
        <w:rPr>
          <w:rFonts w:ascii="Verdana" w:hAnsi="Verdana"/>
          <w:sz w:val="20"/>
          <w:szCs w:val="20"/>
        </w:rPr>
        <w:t>”</w:t>
      </w:r>
      <w:r w:rsidR="008C1E56">
        <w:rPr>
          <w:rFonts w:ascii="Verdana" w:hAnsi="Verdana"/>
          <w:sz w:val="20"/>
          <w:szCs w:val="20"/>
        </w:rPr>
        <w:t xml:space="preserve"> sobre todos los </w:t>
      </w:r>
      <w:r w:rsidR="0036565E">
        <w:rPr>
          <w:rFonts w:ascii="Verdana" w:hAnsi="Verdana"/>
          <w:sz w:val="20"/>
          <w:szCs w:val="20"/>
        </w:rPr>
        <w:t>medios de comunicación, periodistas y personas</w:t>
      </w:r>
      <w:r w:rsidR="001812B0">
        <w:rPr>
          <w:rFonts w:ascii="Verdana" w:hAnsi="Verdana"/>
          <w:sz w:val="20"/>
          <w:szCs w:val="20"/>
        </w:rPr>
        <w:t>, en general,</w:t>
      </w:r>
      <w:r w:rsidR="0036565E">
        <w:rPr>
          <w:rFonts w:ascii="Verdana" w:hAnsi="Verdana"/>
          <w:sz w:val="20"/>
          <w:szCs w:val="20"/>
        </w:rPr>
        <w:t xml:space="preserve"> </w:t>
      </w:r>
      <w:r w:rsidR="008C1E56">
        <w:rPr>
          <w:rFonts w:ascii="Verdana" w:hAnsi="Verdana"/>
          <w:sz w:val="20"/>
          <w:szCs w:val="20"/>
        </w:rPr>
        <w:t>que ejercen el derecho a la libertad de expresi</w:t>
      </w:r>
      <w:r w:rsidR="0036565E">
        <w:rPr>
          <w:rFonts w:ascii="Verdana" w:hAnsi="Verdana"/>
          <w:sz w:val="20"/>
          <w:szCs w:val="20"/>
        </w:rPr>
        <w:t>ón</w:t>
      </w:r>
      <w:r w:rsidR="001812B0">
        <w:rPr>
          <w:rFonts w:ascii="Verdana" w:hAnsi="Verdana"/>
          <w:sz w:val="20"/>
          <w:szCs w:val="20"/>
        </w:rPr>
        <w:t>,</w:t>
      </w:r>
      <w:r w:rsidR="0036565E">
        <w:rPr>
          <w:rFonts w:ascii="Verdana" w:hAnsi="Verdana"/>
          <w:sz w:val="20"/>
          <w:szCs w:val="20"/>
        </w:rPr>
        <w:t xml:space="preserve"> al enviarse</w:t>
      </w:r>
      <w:r w:rsidR="008C1E56">
        <w:rPr>
          <w:rFonts w:ascii="Verdana" w:hAnsi="Verdana"/>
          <w:sz w:val="20"/>
          <w:szCs w:val="20"/>
        </w:rPr>
        <w:t xml:space="preserve"> </w:t>
      </w:r>
      <w:r w:rsidR="0036565E">
        <w:rPr>
          <w:rFonts w:ascii="Verdana" w:hAnsi="Verdana"/>
          <w:sz w:val="20"/>
          <w:szCs w:val="20"/>
        </w:rPr>
        <w:t>“</w:t>
      </w:r>
      <w:r w:rsidR="008C1E56">
        <w:rPr>
          <w:rFonts w:ascii="Verdana" w:hAnsi="Verdana"/>
          <w:sz w:val="20"/>
          <w:szCs w:val="20"/>
        </w:rPr>
        <w:t xml:space="preserve">un mensaje amedrentador para los otros medios de comunicación respecto a lo que les podría llegar a ocurrir en caso de seguir una línea editorial como la de </w:t>
      </w:r>
      <w:r w:rsidR="008C1E56" w:rsidRPr="0036565E">
        <w:rPr>
          <w:rFonts w:ascii="Verdana" w:hAnsi="Verdana"/>
          <w:sz w:val="20"/>
          <w:szCs w:val="20"/>
        </w:rPr>
        <w:t>RCTV</w:t>
      </w:r>
      <w:r w:rsidR="0036565E" w:rsidRPr="0036565E">
        <w:rPr>
          <w:rFonts w:ascii="Verdana" w:hAnsi="Verdana"/>
          <w:sz w:val="20"/>
          <w:szCs w:val="20"/>
        </w:rPr>
        <w:t>”</w:t>
      </w:r>
      <w:r w:rsidR="0036565E" w:rsidRPr="0036565E">
        <w:rPr>
          <w:rStyle w:val="FootnoteReference"/>
          <w:rFonts w:ascii="Verdana" w:hAnsi="Verdana"/>
          <w:sz w:val="20"/>
          <w:szCs w:val="20"/>
        </w:rPr>
        <w:footnoteReference w:id="14"/>
      </w:r>
      <w:r w:rsidR="008C1E56" w:rsidRPr="0036565E">
        <w:rPr>
          <w:rFonts w:ascii="Verdana" w:hAnsi="Verdana"/>
          <w:sz w:val="20"/>
          <w:szCs w:val="20"/>
        </w:rPr>
        <w:t>.</w:t>
      </w:r>
      <w:r w:rsidR="0036565E">
        <w:rPr>
          <w:rFonts w:ascii="Verdana" w:hAnsi="Verdana"/>
          <w:sz w:val="20"/>
          <w:szCs w:val="20"/>
        </w:rPr>
        <w:t xml:space="preserve"> Por consiguiente,</w:t>
      </w:r>
      <w:r w:rsidR="0036565E" w:rsidRPr="0036565E">
        <w:rPr>
          <w:rFonts w:ascii="Verdana" w:hAnsi="Verdana"/>
          <w:sz w:val="20"/>
          <w:szCs w:val="20"/>
        </w:rPr>
        <w:t xml:space="preserve"> el “</w:t>
      </w:r>
      <w:r w:rsidR="008C1E56" w:rsidRPr="0036565E">
        <w:rPr>
          <w:rFonts w:ascii="Verdana" w:hAnsi="Verdana"/>
          <w:sz w:val="20"/>
          <w:szCs w:val="20"/>
        </w:rPr>
        <w:t>no permitir el ejercicio del derecho a la libertad de expresión en condiciones de igualdad, impide el debate público sobre temas de interés de la sociedad que es esencial para la protección de la democracia y el pluralismo de medios</w:t>
      </w:r>
      <w:r w:rsidR="0036565E" w:rsidRPr="0036565E">
        <w:rPr>
          <w:rFonts w:ascii="Verdana" w:hAnsi="Verdana"/>
          <w:sz w:val="20"/>
          <w:szCs w:val="20"/>
        </w:rPr>
        <w:t>”</w:t>
      </w:r>
      <w:r w:rsidR="0036565E">
        <w:rPr>
          <w:rStyle w:val="FootnoteReference"/>
          <w:rFonts w:ascii="Verdana" w:hAnsi="Verdana"/>
          <w:sz w:val="20"/>
          <w:szCs w:val="20"/>
        </w:rPr>
        <w:footnoteReference w:id="15"/>
      </w:r>
      <w:r w:rsidR="008C1E56" w:rsidRPr="0036565E">
        <w:rPr>
          <w:rFonts w:ascii="Verdana" w:hAnsi="Verdana"/>
          <w:sz w:val="20"/>
          <w:szCs w:val="20"/>
        </w:rPr>
        <w:t>.</w:t>
      </w:r>
    </w:p>
    <w:p w14:paraId="6D3EA7AA" w14:textId="77777777" w:rsidR="002F74F2" w:rsidRDefault="002F74F2" w:rsidP="00035AB7">
      <w:pPr>
        <w:pStyle w:val="ListParagraph"/>
        <w:spacing w:after="0" w:line="240" w:lineRule="auto"/>
        <w:ind w:left="0"/>
        <w:jc w:val="both"/>
        <w:rPr>
          <w:rFonts w:ascii="Verdana" w:hAnsi="Verdana"/>
          <w:sz w:val="20"/>
          <w:szCs w:val="20"/>
        </w:rPr>
      </w:pPr>
    </w:p>
    <w:p w14:paraId="17B31108" w14:textId="77777777" w:rsidR="00CE0F24" w:rsidRPr="006306D5" w:rsidRDefault="008D2185" w:rsidP="00035AB7">
      <w:pPr>
        <w:pStyle w:val="ListParagraph"/>
        <w:spacing w:after="0" w:line="240" w:lineRule="auto"/>
        <w:ind w:left="0"/>
        <w:jc w:val="both"/>
        <w:rPr>
          <w:rFonts w:ascii="Verdana" w:hAnsi="Verdana"/>
          <w:sz w:val="20"/>
          <w:szCs w:val="20"/>
        </w:rPr>
      </w:pPr>
      <w:r>
        <w:rPr>
          <w:rFonts w:ascii="Verdana" w:hAnsi="Verdana"/>
          <w:sz w:val="20"/>
          <w:szCs w:val="20"/>
        </w:rPr>
        <w:t>9</w:t>
      </w:r>
      <w:r w:rsidR="0036565E">
        <w:rPr>
          <w:rFonts w:ascii="Verdana" w:hAnsi="Verdana"/>
          <w:sz w:val="20"/>
          <w:szCs w:val="20"/>
        </w:rPr>
        <w:t xml:space="preserve">. </w:t>
      </w:r>
      <w:r w:rsidR="0036565E">
        <w:rPr>
          <w:rFonts w:ascii="Verdana" w:hAnsi="Verdana"/>
          <w:sz w:val="20"/>
          <w:szCs w:val="20"/>
        </w:rPr>
        <w:tab/>
      </w:r>
      <w:r w:rsidR="00A567BF">
        <w:rPr>
          <w:rFonts w:ascii="Verdana" w:hAnsi="Verdana"/>
          <w:sz w:val="20"/>
          <w:szCs w:val="20"/>
        </w:rPr>
        <w:t>A la luz de estas violaciones, c</w:t>
      </w:r>
      <w:r w:rsidR="0036565E">
        <w:rPr>
          <w:rFonts w:ascii="Verdana" w:hAnsi="Verdana"/>
          <w:sz w:val="20"/>
          <w:szCs w:val="20"/>
        </w:rPr>
        <w:t xml:space="preserve">onsidero </w:t>
      </w:r>
      <w:r w:rsidR="00C678CD">
        <w:rPr>
          <w:rFonts w:ascii="Verdana" w:hAnsi="Verdana"/>
          <w:sz w:val="20"/>
          <w:szCs w:val="20"/>
        </w:rPr>
        <w:t>de especial relevancia</w:t>
      </w:r>
      <w:r w:rsidR="0036565E">
        <w:rPr>
          <w:rFonts w:ascii="Verdana" w:hAnsi="Verdana"/>
          <w:sz w:val="20"/>
          <w:szCs w:val="20"/>
        </w:rPr>
        <w:t xml:space="preserve"> destacar</w:t>
      </w:r>
      <w:r w:rsidR="008D4320">
        <w:rPr>
          <w:rFonts w:ascii="Verdana" w:hAnsi="Verdana"/>
          <w:sz w:val="20"/>
          <w:szCs w:val="20"/>
        </w:rPr>
        <w:t xml:space="preserve"> algunas de las</w:t>
      </w:r>
      <w:r w:rsidR="008B41D3" w:rsidRPr="009933BE">
        <w:rPr>
          <w:rFonts w:ascii="Verdana" w:hAnsi="Verdana"/>
          <w:sz w:val="20"/>
          <w:szCs w:val="20"/>
        </w:rPr>
        <w:t xml:space="preserve"> medid</w:t>
      </w:r>
      <w:r w:rsidR="009933BE" w:rsidRPr="009933BE">
        <w:rPr>
          <w:rFonts w:ascii="Verdana" w:hAnsi="Verdana"/>
          <w:sz w:val="20"/>
          <w:szCs w:val="20"/>
        </w:rPr>
        <w:t>a</w:t>
      </w:r>
      <w:r w:rsidR="008B41D3" w:rsidRPr="009933BE">
        <w:rPr>
          <w:rFonts w:ascii="Verdana" w:hAnsi="Verdana"/>
          <w:sz w:val="20"/>
          <w:szCs w:val="20"/>
        </w:rPr>
        <w:t>s de reparación adoptadas</w:t>
      </w:r>
      <w:r w:rsidR="002861E0" w:rsidRPr="009933BE">
        <w:rPr>
          <w:rFonts w:ascii="Verdana" w:hAnsi="Verdana"/>
          <w:sz w:val="20"/>
          <w:szCs w:val="20"/>
        </w:rPr>
        <w:t xml:space="preserve"> en la Sentencia, </w:t>
      </w:r>
      <w:r w:rsidR="0036565E">
        <w:rPr>
          <w:rFonts w:ascii="Verdana" w:hAnsi="Verdana"/>
          <w:sz w:val="20"/>
          <w:szCs w:val="20"/>
        </w:rPr>
        <w:t>referidas a que el Estado debe</w:t>
      </w:r>
      <w:r w:rsidR="0054208C" w:rsidRPr="009933BE">
        <w:rPr>
          <w:rFonts w:ascii="Verdana" w:hAnsi="Verdana"/>
          <w:sz w:val="20"/>
          <w:szCs w:val="20"/>
        </w:rPr>
        <w:t xml:space="preserve"> “</w:t>
      </w:r>
      <w:r w:rsidR="0054208C" w:rsidRPr="00152717">
        <w:rPr>
          <w:rFonts w:ascii="Verdana" w:hAnsi="Verdana"/>
          <w:sz w:val="20"/>
          <w:szCs w:val="20"/>
          <w:u w:val="single"/>
        </w:rPr>
        <w:t>restablecer la concesi</w:t>
      </w:r>
      <w:r w:rsidR="008B41D3" w:rsidRPr="00152717">
        <w:rPr>
          <w:rFonts w:ascii="Verdana" w:hAnsi="Verdana"/>
          <w:sz w:val="20"/>
          <w:szCs w:val="20"/>
          <w:u w:val="single"/>
        </w:rPr>
        <w:t>ón de la frecuencia del espectro</w:t>
      </w:r>
      <w:r w:rsidR="0054208C" w:rsidRPr="00152717">
        <w:rPr>
          <w:rFonts w:ascii="Verdana" w:hAnsi="Verdana"/>
          <w:sz w:val="20"/>
          <w:szCs w:val="20"/>
          <w:u w:val="single"/>
        </w:rPr>
        <w:t xml:space="preserve"> radioeléctrico correspondiente al canal 2 de televisión</w:t>
      </w:r>
      <w:r w:rsidR="0041333D" w:rsidRPr="009933BE">
        <w:rPr>
          <w:rFonts w:ascii="Verdana" w:hAnsi="Verdana"/>
          <w:sz w:val="20"/>
          <w:szCs w:val="20"/>
        </w:rPr>
        <w:t>”</w:t>
      </w:r>
      <w:r w:rsidR="00035AB7">
        <w:rPr>
          <w:rFonts w:ascii="Verdana" w:hAnsi="Verdana"/>
          <w:sz w:val="20"/>
          <w:szCs w:val="20"/>
        </w:rPr>
        <w:t>. P</w:t>
      </w:r>
      <w:r w:rsidR="008B41D3" w:rsidRPr="009933BE">
        <w:rPr>
          <w:rFonts w:ascii="Verdana" w:hAnsi="Verdana"/>
          <w:sz w:val="20"/>
          <w:szCs w:val="20"/>
        </w:rPr>
        <w:t>ara lo cual</w:t>
      </w:r>
      <w:r w:rsidR="0041333D" w:rsidRPr="009933BE">
        <w:rPr>
          <w:rFonts w:ascii="Verdana" w:hAnsi="Verdana"/>
          <w:sz w:val="20"/>
          <w:szCs w:val="20"/>
        </w:rPr>
        <w:t xml:space="preserve"> deberá </w:t>
      </w:r>
      <w:r w:rsidR="00035AB7">
        <w:rPr>
          <w:rFonts w:ascii="Verdana" w:hAnsi="Verdana"/>
          <w:sz w:val="20"/>
          <w:szCs w:val="20"/>
        </w:rPr>
        <w:t xml:space="preserve">el Estado </w:t>
      </w:r>
      <w:r w:rsidR="0041333D" w:rsidRPr="009933BE">
        <w:rPr>
          <w:rFonts w:ascii="Verdana" w:hAnsi="Verdana"/>
          <w:sz w:val="20"/>
          <w:szCs w:val="20"/>
        </w:rPr>
        <w:t>devolver</w:t>
      </w:r>
      <w:r w:rsidR="008B41D3" w:rsidRPr="009933BE">
        <w:rPr>
          <w:rFonts w:ascii="Verdana" w:hAnsi="Verdana"/>
          <w:sz w:val="20"/>
          <w:szCs w:val="20"/>
        </w:rPr>
        <w:t xml:space="preserve"> a RCTV</w:t>
      </w:r>
      <w:r w:rsidR="0041333D" w:rsidRPr="009933BE">
        <w:rPr>
          <w:rFonts w:ascii="Verdana" w:hAnsi="Verdana"/>
          <w:sz w:val="20"/>
          <w:szCs w:val="20"/>
        </w:rPr>
        <w:t xml:space="preserve"> los biene</w:t>
      </w:r>
      <w:r w:rsidR="006306D5">
        <w:rPr>
          <w:rFonts w:ascii="Verdana" w:hAnsi="Verdana"/>
          <w:sz w:val="20"/>
          <w:szCs w:val="20"/>
        </w:rPr>
        <w:t xml:space="preserve">s </w:t>
      </w:r>
      <w:r w:rsidR="008B41D3" w:rsidRPr="009933BE">
        <w:rPr>
          <w:rFonts w:ascii="Verdana" w:hAnsi="Verdana"/>
          <w:sz w:val="20"/>
          <w:szCs w:val="20"/>
        </w:rPr>
        <w:t xml:space="preserve">objeto de las </w:t>
      </w:r>
      <w:r w:rsidR="009933BE" w:rsidRPr="009933BE">
        <w:rPr>
          <w:rFonts w:ascii="Verdana" w:hAnsi="Verdana"/>
          <w:sz w:val="20"/>
          <w:szCs w:val="20"/>
        </w:rPr>
        <w:t>“</w:t>
      </w:r>
      <w:r w:rsidR="008B41D3" w:rsidRPr="009933BE">
        <w:rPr>
          <w:rFonts w:ascii="Verdana" w:hAnsi="Verdana"/>
          <w:sz w:val="20"/>
          <w:szCs w:val="20"/>
        </w:rPr>
        <w:t>medidas cautelares</w:t>
      </w:r>
      <w:r w:rsidR="009933BE" w:rsidRPr="009933BE">
        <w:rPr>
          <w:rFonts w:ascii="Verdana" w:hAnsi="Verdana"/>
          <w:sz w:val="20"/>
          <w:szCs w:val="20"/>
        </w:rPr>
        <w:t xml:space="preserve"> innominadas</w:t>
      </w:r>
      <w:r w:rsidR="008B41D3" w:rsidRPr="009933BE">
        <w:rPr>
          <w:rFonts w:ascii="Verdana" w:hAnsi="Verdana"/>
          <w:sz w:val="20"/>
          <w:szCs w:val="20"/>
        </w:rPr>
        <w:t xml:space="preserve">” </w:t>
      </w:r>
      <w:r w:rsidR="009933BE" w:rsidRPr="009933BE">
        <w:rPr>
          <w:rFonts w:ascii="Verdana" w:hAnsi="Verdana"/>
          <w:sz w:val="20"/>
          <w:szCs w:val="20"/>
        </w:rPr>
        <w:t xml:space="preserve">ordenadas </w:t>
      </w:r>
      <w:r w:rsidR="006306D5">
        <w:rPr>
          <w:rFonts w:ascii="Verdana" w:hAnsi="Verdana"/>
          <w:sz w:val="20"/>
          <w:szCs w:val="20"/>
        </w:rPr>
        <w:t xml:space="preserve">de oficio </w:t>
      </w:r>
      <w:r w:rsidR="009933BE" w:rsidRPr="009933BE">
        <w:rPr>
          <w:rFonts w:ascii="Verdana" w:hAnsi="Verdana"/>
          <w:sz w:val="20"/>
          <w:szCs w:val="20"/>
        </w:rPr>
        <w:t>por la</w:t>
      </w:r>
      <w:r w:rsidR="008B41D3" w:rsidRPr="009933BE">
        <w:rPr>
          <w:rFonts w:ascii="Verdana" w:hAnsi="Verdana"/>
          <w:sz w:val="20"/>
          <w:szCs w:val="20"/>
        </w:rPr>
        <w:t xml:space="preserve"> Sala Constitucional del </w:t>
      </w:r>
      <w:r w:rsidR="008B41D3" w:rsidRPr="009933BE">
        <w:rPr>
          <w:rFonts w:ascii="Verdana" w:hAnsi="Verdana"/>
          <w:sz w:val="20"/>
          <w:szCs w:val="20"/>
        </w:rPr>
        <w:lastRenderedPageBreak/>
        <w:t>Tribunal Supremo de Justicia</w:t>
      </w:r>
      <w:r w:rsidR="006306D5">
        <w:rPr>
          <w:rStyle w:val="FootnoteReference"/>
          <w:rFonts w:ascii="Verdana" w:hAnsi="Verdana"/>
          <w:sz w:val="20"/>
          <w:szCs w:val="20"/>
        </w:rPr>
        <w:footnoteReference w:id="16"/>
      </w:r>
      <w:r w:rsidR="009933BE" w:rsidRPr="009933BE">
        <w:rPr>
          <w:rFonts w:ascii="Verdana" w:hAnsi="Verdana"/>
          <w:sz w:val="20"/>
          <w:szCs w:val="20"/>
        </w:rPr>
        <w:t>; y una vez restablecida la concesión a RCTV</w:t>
      </w:r>
      <w:r w:rsidR="001812B0">
        <w:rPr>
          <w:rFonts w:ascii="Verdana" w:hAnsi="Verdana"/>
          <w:sz w:val="20"/>
          <w:szCs w:val="20"/>
        </w:rPr>
        <w:t>,</w:t>
      </w:r>
      <w:r w:rsidR="009933BE" w:rsidRPr="009933BE">
        <w:rPr>
          <w:rFonts w:ascii="Verdana" w:hAnsi="Verdana"/>
          <w:sz w:val="20"/>
          <w:szCs w:val="20"/>
        </w:rPr>
        <w:t xml:space="preserve"> “el </w:t>
      </w:r>
      <w:r w:rsidR="009933BE" w:rsidRPr="009933BE">
        <w:rPr>
          <w:rFonts w:ascii="Verdana" w:hAnsi="Verdana"/>
          <w:sz w:val="20"/>
          <w:szCs w:val="20"/>
          <w:lang w:val="es-ES_tradnl"/>
        </w:rPr>
        <w:t>Estado deberá</w:t>
      </w:r>
      <w:r w:rsidR="001812B0">
        <w:rPr>
          <w:rFonts w:ascii="Verdana" w:hAnsi="Verdana"/>
          <w:sz w:val="20"/>
          <w:szCs w:val="20"/>
          <w:lang w:val="es-ES_tradnl"/>
        </w:rPr>
        <w:t>,</w:t>
      </w:r>
      <w:r w:rsidR="009933BE" w:rsidRPr="009933BE">
        <w:rPr>
          <w:rFonts w:ascii="Verdana" w:hAnsi="Verdana"/>
          <w:sz w:val="20"/>
          <w:szCs w:val="20"/>
          <w:lang w:val="es-ES_tradnl"/>
        </w:rPr>
        <w:t xml:space="preserve"> en un plazo razonable</w:t>
      </w:r>
      <w:r w:rsidR="001812B0">
        <w:rPr>
          <w:rFonts w:ascii="Verdana" w:hAnsi="Verdana"/>
          <w:sz w:val="20"/>
          <w:szCs w:val="20"/>
          <w:lang w:val="es-ES_tradnl"/>
        </w:rPr>
        <w:t>,</w:t>
      </w:r>
      <w:r w:rsidR="009933BE" w:rsidRPr="009933BE">
        <w:rPr>
          <w:rFonts w:ascii="Verdana" w:hAnsi="Verdana"/>
          <w:sz w:val="20"/>
          <w:szCs w:val="20"/>
          <w:lang w:val="es-ES_tradnl"/>
        </w:rPr>
        <w:t xml:space="preserve"> ordenar </w:t>
      </w:r>
      <w:r w:rsidR="009933BE" w:rsidRPr="009933BE">
        <w:rPr>
          <w:rFonts w:ascii="Verdana" w:hAnsi="Verdana"/>
          <w:sz w:val="20"/>
          <w:szCs w:val="20"/>
          <w:u w:val="single"/>
          <w:lang w:val="es-ES_tradnl"/>
        </w:rPr>
        <w:t>la apertura de un proceso abierto, independiente y transparente para el otorgamiento de la frecuencia del espectro radioeléctrico correspondiente al canal 2 de televisión</w:t>
      </w:r>
      <w:r w:rsidR="00152717">
        <w:rPr>
          <w:rFonts w:ascii="Verdana" w:hAnsi="Verdana"/>
          <w:sz w:val="20"/>
          <w:szCs w:val="20"/>
          <w:u w:val="single"/>
          <w:lang w:val="es-ES_tradnl"/>
        </w:rPr>
        <w:t>”</w:t>
      </w:r>
      <w:r w:rsidR="009933BE" w:rsidRPr="009933BE">
        <w:rPr>
          <w:rFonts w:ascii="Verdana" w:hAnsi="Verdana"/>
          <w:sz w:val="20"/>
          <w:szCs w:val="20"/>
          <w:lang w:val="es-ES_tradnl"/>
        </w:rPr>
        <w:t xml:space="preserve">, </w:t>
      </w:r>
      <w:r w:rsidR="009933BE">
        <w:rPr>
          <w:rFonts w:ascii="Verdana" w:hAnsi="Verdana"/>
          <w:sz w:val="20"/>
          <w:szCs w:val="20"/>
          <w:lang w:val="es-ES_tradnl"/>
        </w:rPr>
        <w:t xml:space="preserve">conforme </w:t>
      </w:r>
      <w:r w:rsidR="00D522E4">
        <w:rPr>
          <w:rFonts w:ascii="Verdana" w:hAnsi="Verdana"/>
          <w:sz w:val="20"/>
          <w:szCs w:val="20"/>
          <w:lang w:val="es-ES_tradnl"/>
        </w:rPr>
        <w:t xml:space="preserve">a </w:t>
      </w:r>
      <w:r w:rsidR="009933BE">
        <w:rPr>
          <w:rFonts w:ascii="Verdana" w:hAnsi="Verdana"/>
          <w:sz w:val="20"/>
          <w:szCs w:val="20"/>
          <w:lang w:val="es-ES_tradnl"/>
        </w:rPr>
        <w:t>la normatividad vigente para tales efectos.</w:t>
      </w:r>
      <w:r w:rsidR="00152717">
        <w:rPr>
          <w:rFonts w:ascii="Verdana" w:hAnsi="Verdana"/>
          <w:sz w:val="20"/>
          <w:szCs w:val="20"/>
          <w:lang w:val="es-ES_tradnl"/>
        </w:rPr>
        <w:t xml:space="preserve">  </w:t>
      </w:r>
    </w:p>
    <w:p w14:paraId="4BA12584" w14:textId="77777777" w:rsidR="00CE0F24" w:rsidRDefault="00CE0F24" w:rsidP="00035AB7">
      <w:pPr>
        <w:pStyle w:val="ListParagraph"/>
        <w:spacing w:after="0" w:line="240" w:lineRule="auto"/>
        <w:ind w:left="0"/>
        <w:jc w:val="both"/>
        <w:rPr>
          <w:rFonts w:ascii="Verdana" w:hAnsi="Verdana"/>
          <w:sz w:val="20"/>
          <w:szCs w:val="20"/>
          <w:lang w:val="es-ES_tradnl"/>
        </w:rPr>
      </w:pPr>
    </w:p>
    <w:p w14:paraId="002908FB" w14:textId="2BE62A5D" w:rsidR="006306D5" w:rsidRDefault="008D2185" w:rsidP="00CE0F24">
      <w:pPr>
        <w:pStyle w:val="ListParagraph"/>
        <w:spacing w:after="0" w:line="240" w:lineRule="auto"/>
        <w:ind w:left="0"/>
        <w:jc w:val="both"/>
        <w:rPr>
          <w:rFonts w:ascii="Verdana" w:hAnsi="Verdana"/>
          <w:sz w:val="20"/>
          <w:szCs w:val="20"/>
          <w:lang w:val="es-ES_tradnl"/>
        </w:rPr>
      </w:pPr>
      <w:r>
        <w:rPr>
          <w:rFonts w:ascii="Verdana" w:hAnsi="Verdana"/>
          <w:sz w:val="20"/>
          <w:szCs w:val="20"/>
          <w:lang w:val="es-ES_tradnl"/>
        </w:rPr>
        <w:t>10</w:t>
      </w:r>
      <w:r w:rsidR="00CE0F24" w:rsidRPr="00CE0F24">
        <w:rPr>
          <w:rFonts w:ascii="Verdana" w:hAnsi="Verdana"/>
          <w:sz w:val="20"/>
          <w:szCs w:val="20"/>
          <w:lang w:val="es-ES_tradnl"/>
        </w:rPr>
        <w:t xml:space="preserve">. </w:t>
      </w:r>
      <w:r w:rsidR="00CE0F24" w:rsidRPr="00CE0F24">
        <w:rPr>
          <w:rFonts w:ascii="Verdana" w:hAnsi="Verdana"/>
          <w:sz w:val="20"/>
          <w:szCs w:val="20"/>
          <w:lang w:val="es-ES_tradnl"/>
        </w:rPr>
        <w:tab/>
      </w:r>
      <w:r w:rsidR="00152717" w:rsidRPr="00CE0F24">
        <w:rPr>
          <w:rFonts w:ascii="Verdana" w:hAnsi="Verdana"/>
          <w:sz w:val="20"/>
          <w:szCs w:val="20"/>
          <w:lang w:val="es-ES_tradnl"/>
        </w:rPr>
        <w:t xml:space="preserve">Estas “medidas de restitución” adoptadas por la Corte </w:t>
      </w:r>
      <w:r w:rsidR="0081674C">
        <w:rPr>
          <w:rFonts w:ascii="Verdana" w:hAnsi="Verdana"/>
          <w:sz w:val="20"/>
          <w:szCs w:val="20"/>
          <w:lang w:val="es-ES_tradnl"/>
        </w:rPr>
        <w:t xml:space="preserve">IDH </w:t>
      </w:r>
      <w:r w:rsidR="00AF48D2">
        <w:rPr>
          <w:rFonts w:ascii="Verdana" w:hAnsi="Verdana"/>
          <w:sz w:val="20"/>
          <w:szCs w:val="20"/>
          <w:lang w:val="es-ES_tradnl"/>
        </w:rPr>
        <w:t>son acorde a lo previsto en el a</w:t>
      </w:r>
      <w:r w:rsidR="00152717" w:rsidRPr="00CE0F24">
        <w:rPr>
          <w:rFonts w:ascii="Verdana" w:hAnsi="Verdana"/>
          <w:sz w:val="20"/>
          <w:szCs w:val="20"/>
          <w:lang w:val="es-ES_tradnl"/>
        </w:rPr>
        <w:t>rtículo 6</w:t>
      </w:r>
      <w:r w:rsidR="005957C9">
        <w:rPr>
          <w:rFonts w:ascii="Verdana" w:hAnsi="Verdana"/>
          <w:sz w:val="20"/>
          <w:szCs w:val="20"/>
          <w:lang w:val="es-ES_tradnl"/>
        </w:rPr>
        <w:t>3.1</w:t>
      </w:r>
      <w:r w:rsidR="00152717" w:rsidRPr="00CE0F24">
        <w:rPr>
          <w:rFonts w:ascii="Verdana" w:hAnsi="Verdana"/>
          <w:sz w:val="20"/>
          <w:szCs w:val="20"/>
          <w:lang w:val="es-ES_tradnl"/>
        </w:rPr>
        <w:t xml:space="preserve"> de la Convención Americana</w:t>
      </w:r>
      <w:r w:rsidR="00152717" w:rsidRPr="00CE0F24">
        <w:rPr>
          <w:rFonts w:ascii="Verdana" w:hAnsi="Verdana"/>
          <w:bCs/>
          <w:sz w:val="20"/>
          <w:szCs w:val="20"/>
          <w:vertAlign w:val="superscript"/>
        </w:rPr>
        <w:footnoteReference w:id="17"/>
      </w:r>
      <w:r w:rsidR="00152717" w:rsidRPr="00CE0F24">
        <w:rPr>
          <w:rFonts w:ascii="Verdana" w:eastAsia="Times" w:hAnsi="Verdana" w:cs="Verdana"/>
          <w:sz w:val="20"/>
          <w:szCs w:val="20"/>
          <w:lang w:bidi="en-US"/>
        </w:rPr>
        <w:t xml:space="preserve">, </w:t>
      </w:r>
      <w:r w:rsidR="00035AB7" w:rsidRPr="00CE0F24">
        <w:rPr>
          <w:rFonts w:ascii="Verdana" w:eastAsia="Times" w:hAnsi="Verdana" w:cs="Verdana"/>
          <w:sz w:val="20"/>
          <w:szCs w:val="20"/>
          <w:lang w:bidi="en-US"/>
        </w:rPr>
        <w:t xml:space="preserve">toda vez que </w:t>
      </w:r>
      <w:r w:rsidR="00446F76">
        <w:rPr>
          <w:rFonts w:ascii="Verdana" w:eastAsia="Times" w:hAnsi="Verdana" w:cs="Verdana"/>
          <w:sz w:val="20"/>
          <w:szCs w:val="20"/>
          <w:lang w:bidi="en-US"/>
        </w:rPr>
        <w:t>“[</w:t>
      </w:r>
      <w:r w:rsidR="00035AB7" w:rsidRPr="00CE0F24">
        <w:rPr>
          <w:rFonts w:ascii="Verdana" w:eastAsia="Calibri" w:hAnsi="Verdana"/>
          <w:bCs/>
          <w:snapToGrid w:val="0"/>
          <w:kern w:val="32"/>
          <w:sz w:val="20"/>
          <w:szCs w:val="20"/>
          <w:lang w:eastAsia="es-ES"/>
        </w:rPr>
        <w:t>l</w:t>
      </w:r>
      <w:r w:rsidR="00446F76">
        <w:rPr>
          <w:rFonts w:ascii="Verdana" w:eastAsia="Calibri" w:hAnsi="Verdana"/>
          <w:bCs/>
          <w:snapToGrid w:val="0"/>
          <w:kern w:val="32"/>
          <w:sz w:val="20"/>
          <w:szCs w:val="20"/>
          <w:lang w:eastAsia="es-ES"/>
        </w:rPr>
        <w:t>]</w:t>
      </w:r>
      <w:r w:rsidR="00035AB7" w:rsidRPr="00CE0F24">
        <w:rPr>
          <w:rFonts w:ascii="Verdana" w:eastAsia="Calibri" w:hAnsi="Verdana"/>
          <w:bCs/>
          <w:snapToGrid w:val="0"/>
          <w:kern w:val="32"/>
          <w:sz w:val="20"/>
          <w:szCs w:val="20"/>
          <w:lang w:eastAsia="es-ES"/>
        </w:rPr>
        <w:t>a reparación del daño ocasionado por la infracción de una obligación internacional requiere, siempre que sea posible, la plena restitución (</w:t>
      </w:r>
      <w:r w:rsidR="00035AB7" w:rsidRPr="00CE0F24">
        <w:rPr>
          <w:rFonts w:ascii="Verdana" w:eastAsia="Calibri" w:hAnsi="Verdana"/>
          <w:bCs/>
          <w:i/>
          <w:snapToGrid w:val="0"/>
          <w:kern w:val="32"/>
          <w:sz w:val="20"/>
          <w:szCs w:val="20"/>
          <w:lang w:eastAsia="es-ES"/>
        </w:rPr>
        <w:t>restitutio in integrum</w:t>
      </w:r>
      <w:r w:rsidR="00035AB7" w:rsidRPr="00CE0F24">
        <w:rPr>
          <w:rFonts w:ascii="Verdana" w:eastAsia="Calibri" w:hAnsi="Verdana"/>
          <w:bCs/>
          <w:snapToGrid w:val="0"/>
          <w:kern w:val="32"/>
          <w:sz w:val="20"/>
          <w:szCs w:val="20"/>
          <w:lang w:eastAsia="es-ES"/>
        </w:rPr>
        <w:t>), que consiste en el restablecimiento de la situación anterior</w:t>
      </w:r>
      <w:r w:rsidR="00446F76">
        <w:rPr>
          <w:rFonts w:ascii="Verdana" w:eastAsia="Calibri" w:hAnsi="Verdana"/>
          <w:bCs/>
          <w:snapToGrid w:val="0"/>
          <w:kern w:val="32"/>
          <w:sz w:val="20"/>
          <w:szCs w:val="20"/>
          <w:lang w:eastAsia="es-ES"/>
        </w:rPr>
        <w:t>”</w:t>
      </w:r>
      <w:r w:rsidR="00446F76">
        <w:rPr>
          <w:rStyle w:val="FootnoteReference"/>
          <w:rFonts w:ascii="Verdana" w:eastAsia="Calibri" w:hAnsi="Verdana"/>
          <w:bCs/>
          <w:snapToGrid w:val="0"/>
          <w:kern w:val="32"/>
          <w:sz w:val="20"/>
          <w:szCs w:val="20"/>
          <w:lang w:eastAsia="es-ES"/>
        </w:rPr>
        <w:footnoteReference w:id="18"/>
      </w:r>
      <w:r w:rsidR="00035AB7" w:rsidRPr="00CE0F24">
        <w:rPr>
          <w:rFonts w:ascii="Verdana" w:eastAsia="Calibri" w:hAnsi="Verdana"/>
          <w:bCs/>
          <w:snapToGrid w:val="0"/>
          <w:kern w:val="32"/>
          <w:sz w:val="20"/>
          <w:szCs w:val="20"/>
          <w:lang w:eastAsia="es-ES"/>
        </w:rPr>
        <w:t xml:space="preserve">. En el </w:t>
      </w:r>
      <w:r w:rsidR="0017560E">
        <w:rPr>
          <w:rFonts w:ascii="Verdana" w:eastAsia="Calibri" w:hAnsi="Verdana"/>
          <w:bCs/>
          <w:snapToGrid w:val="0"/>
          <w:kern w:val="32"/>
          <w:sz w:val="20"/>
          <w:szCs w:val="20"/>
          <w:lang w:eastAsia="es-ES"/>
        </w:rPr>
        <w:t xml:space="preserve">presente </w:t>
      </w:r>
      <w:r w:rsidR="00035AB7" w:rsidRPr="00CE0F24">
        <w:rPr>
          <w:rFonts w:ascii="Verdana" w:eastAsia="Calibri" w:hAnsi="Verdana"/>
          <w:bCs/>
          <w:snapToGrid w:val="0"/>
          <w:kern w:val="32"/>
          <w:sz w:val="20"/>
          <w:szCs w:val="20"/>
          <w:lang w:eastAsia="es-ES"/>
        </w:rPr>
        <w:t>caso</w:t>
      </w:r>
      <w:r w:rsidR="001812B0">
        <w:rPr>
          <w:rFonts w:ascii="Verdana" w:eastAsia="Calibri" w:hAnsi="Verdana"/>
          <w:bCs/>
          <w:snapToGrid w:val="0"/>
          <w:kern w:val="32"/>
          <w:sz w:val="20"/>
          <w:szCs w:val="20"/>
          <w:lang w:eastAsia="es-ES"/>
        </w:rPr>
        <w:t>,</w:t>
      </w:r>
      <w:r w:rsidR="00035AB7" w:rsidRPr="00CE0F24">
        <w:rPr>
          <w:rFonts w:ascii="Verdana" w:eastAsia="Calibri" w:hAnsi="Verdana"/>
          <w:bCs/>
          <w:snapToGrid w:val="0"/>
          <w:kern w:val="32"/>
          <w:sz w:val="20"/>
          <w:szCs w:val="20"/>
          <w:lang w:eastAsia="es-ES"/>
        </w:rPr>
        <w:t xml:space="preserve"> no sólo es posible restablecer la situación anterior a la violación de </w:t>
      </w:r>
      <w:r w:rsidR="00CE0F24">
        <w:rPr>
          <w:rFonts w:ascii="Verdana" w:eastAsia="Calibri" w:hAnsi="Verdana"/>
          <w:bCs/>
          <w:snapToGrid w:val="0"/>
          <w:kern w:val="32"/>
          <w:sz w:val="20"/>
          <w:szCs w:val="20"/>
          <w:lang w:eastAsia="es-ES"/>
        </w:rPr>
        <w:t xml:space="preserve">los </w:t>
      </w:r>
      <w:r w:rsidR="00035AB7" w:rsidRPr="00CE0F24">
        <w:rPr>
          <w:rFonts w:ascii="Verdana" w:eastAsia="Calibri" w:hAnsi="Verdana"/>
          <w:bCs/>
          <w:snapToGrid w:val="0"/>
          <w:kern w:val="32"/>
          <w:sz w:val="20"/>
          <w:szCs w:val="20"/>
          <w:lang w:eastAsia="es-ES"/>
        </w:rPr>
        <w:t xml:space="preserve">derechos convencionales conculcados, sino que </w:t>
      </w:r>
      <w:r w:rsidR="00035AB7" w:rsidRPr="00CE0F24">
        <w:rPr>
          <w:rFonts w:ascii="Verdana" w:hAnsi="Verdana"/>
          <w:sz w:val="20"/>
          <w:szCs w:val="20"/>
          <w:lang w:val="es-ES_tradnl"/>
        </w:rPr>
        <w:t xml:space="preserve">constituye el medio idóneo para reparar </w:t>
      </w:r>
      <w:r w:rsidR="00CE0F24" w:rsidRPr="00CE0F24">
        <w:rPr>
          <w:rFonts w:ascii="Verdana" w:hAnsi="Verdana"/>
          <w:sz w:val="20"/>
          <w:szCs w:val="20"/>
          <w:lang w:val="es-ES_tradnl"/>
        </w:rPr>
        <w:t xml:space="preserve">adecuadamente </w:t>
      </w:r>
      <w:r w:rsidR="00035AB7" w:rsidRPr="00CE0F24">
        <w:rPr>
          <w:rFonts w:ascii="Verdana" w:hAnsi="Verdana"/>
          <w:sz w:val="20"/>
          <w:szCs w:val="20"/>
          <w:lang w:val="es-ES_tradnl"/>
        </w:rPr>
        <w:t>los derechos que se declararon vulnerados de los accionistas</w:t>
      </w:r>
      <w:r w:rsidR="00CE0F24" w:rsidRPr="00CE0F24">
        <w:rPr>
          <w:rFonts w:ascii="Verdana" w:hAnsi="Verdana"/>
          <w:sz w:val="20"/>
          <w:szCs w:val="20"/>
          <w:lang w:val="es-ES_tradnl"/>
        </w:rPr>
        <w:t xml:space="preserve">, directivos </w:t>
      </w:r>
      <w:r w:rsidR="00035AB7" w:rsidRPr="00CE0F24">
        <w:rPr>
          <w:rFonts w:ascii="Verdana" w:hAnsi="Verdana"/>
          <w:sz w:val="20"/>
          <w:szCs w:val="20"/>
          <w:lang w:val="es-ES_tradnl"/>
        </w:rPr>
        <w:t xml:space="preserve">y trabajadores, </w:t>
      </w:r>
      <w:r w:rsidR="006306D5">
        <w:rPr>
          <w:rFonts w:ascii="Verdana" w:hAnsi="Verdana"/>
          <w:sz w:val="20"/>
          <w:szCs w:val="20"/>
          <w:lang w:val="es-ES_tradnl"/>
        </w:rPr>
        <w:t>incluso</w:t>
      </w:r>
      <w:r w:rsidR="00035AB7" w:rsidRPr="00CE0F24">
        <w:rPr>
          <w:rFonts w:ascii="Verdana" w:hAnsi="Verdana"/>
          <w:sz w:val="20"/>
          <w:szCs w:val="20"/>
          <w:lang w:val="es-ES_tradnl"/>
        </w:rPr>
        <w:t xml:space="preserve"> si actualmente no hacen p</w:t>
      </w:r>
      <w:r w:rsidR="0055072D">
        <w:rPr>
          <w:rFonts w:ascii="Verdana" w:hAnsi="Verdana"/>
          <w:sz w:val="20"/>
          <w:szCs w:val="20"/>
          <w:lang w:val="es-ES_tradnl"/>
        </w:rPr>
        <w:t>arte o trabajan para la empresa.  Y</w:t>
      </w:r>
      <w:r w:rsidR="00CE0F24">
        <w:rPr>
          <w:rFonts w:ascii="Verdana" w:hAnsi="Verdana"/>
          <w:sz w:val="20"/>
          <w:szCs w:val="20"/>
          <w:lang w:val="es-ES_tradnl"/>
        </w:rPr>
        <w:t xml:space="preserve"> también </w:t>
      </w:r>
      <w:r w:rsidR="0055072D">
        <w:rPr>
          <w:rFonts w:ascii="Verdana" w:hAnsi="Verdana"/>
          <w:sz w:val="20"/>
          <w:szCs w:val="20"/>
          <w:lang w:val="es-ES_tradnl"/>
        </w:rPr>
        <w:t>constituye el medio idóneo para reparar</w:t>
      </w:r>
      <w:r w:rsidR="00CE0F24">
        <w:rPr>
          <w:rFonts w:ascii="Verdana" w:hAnsi="Verdana"/>
          <w:sz w:val="20"/>
          <w:szCs w:val="20"/>
          <w:lang w:val="es-ES_tradnl"/>
        </w:rPr>
        <w:t xml:space="preserve"> la dimensión social del derecho a la libertad de expresión conculcado, ya que el Tribuna</w:t>
      </w:r>
      <w:r w:rsidR="006306D5">
        <w:rPr>
          <w:rFonts w:ascii="Verdana" w:hAnsi="Verdana"/>
          <w:sz w:val="20"/>
          <w:szCs w:val="20"/>
          <w:lang w:val="es-ES_tradnl"/>
        </w:rPr>
        <w:t>l Interamericano “constató</w:t>
      </w:r>
      <w:r w:rsidR="00CE0F24">
        <w:rPr>
          <w:rFonts w:ascii="Verdana" w:hAnsi="Verdana"/>
          <w:sz w:val="20"/>
          <w:szCs w:val="20"/>
          <w:lang w:val="es-ES_tradnl"/>
        </w:rPr>
        <w:t xml:space="preserve"> que la finalidad principal detrás de la decisión de no renovar la concesión del canal era la de acallar su voz crítica, por lo que resulta necesaria una reparación que restaure la pluralidad de medios que se vio afectada con la restricción indirecta declarada en el presente caso”</w:t>
      </w:r>
      <w:r w:rsidR="00CE0F24">
        <w:rPr>
          <w:rStyle w:val="FootnoteReference"/>
          <w:rFonts w:ascii="Verdana" w:hAnsi="Verdana"/>
          <w:sz w:val="20"/>
          <w:szCs w:val="20"/>
          <w:lang w:val="es-ES_tradnl"/>
        </w:rPr>
        <w:footnoteReference w:id="19"/>
      </w:r>
      <w:r w:rsidR="00CE0F24">
        <w:rPr>
          <w:rFonts w:ascii="Verdana" w:hAnsi="Verdana"/>
          <w:sz w:val="20"/>
          <w:szCs w:val="20"/>
          <w:lang w:val="es-ES_tradnl"/>
        </w:rPr>
        <w:t>.</w:t>
      </w:r>
    </w:p>
    <w:p w14:paraId="414A385C" w14:textId="77777777" w:rsidR="006306D5" w:rsidRDefault="006306D5" w:rsidP="00CE0F24">
      <w:pPr>
        <w:pStyle w:val="ListParagraph"/>
        <w:spacing w:after="0" w:line="240" w:lineRule="auto"/>
        <w:ind w:left="0"/>
        <w:jc w:val="both"/>
        <w:rPr>
          <w:rFonts w:ascii="Verdana" w:hAnsi="Verdana"/>
          <w:sz w:val="20"/>
          <w:szCs w:val="20"/>
          <w:lang w:val="es-ES_tradnl"/>
        </w:rPr>
      </w:pPr>
    </w:p>
    <w:p w14:paraId="5760FD96" w14:textId="49FC1058" w:rsidR="00AF67CE" w:rsidRDefault="008D2185" w:rsidP="00CE0F24">
      <w:pPr>
        <w:pStyle w:val="ListParagraph"/>
        <w:spacing w:after="0" w:line="240" w:lineRule="auto"/>
        <w:ind w:left="0"/>
        <w:jc w:val="both"/>
        <w:rPr>
          <w:rFonts w:ascii="Verdana" w:hAnsi="Verdana"/>
          <w:sz w:val="20"/>
          <w:szCs w:val="20"/>
          <w:lang w:val="es-ES_tradnl"/>
        </w:rPr>
      </w:pPr>
      <w:r>
        <w:rPr>
          <w:rFonts w:ascii="Verdana" w:hAnsi="Verdana"/>
          <w:sz w:val="20"/>
          <w:szCs w:val="20"/>
          <w:lang w:val="es-ES_tradnl"/>
        </w:rPr>
        <w:t>11</w:t>
      </w:r>
      <w:r w:rsidR="006306D5">
        <w:rPr>
          <w:rFonts w:ascii="Verdana" w:hAnsi="Verdana"/>
          <w:sz w:val="20"/>
          <w:szCs w:val="20"/>
          <w:lang w:val="es-ES_tradnl"/>
        </w:rPr>
        <w:t xml:space="preserve">. </w:t>
      </w:r>
      <w:r w:rsidR="006306D5">
        <w:rPr>
          <w:rFonts w:ascii="Verdana" w:hAnsi="Verdana"/>
          <w:sz w:val="20"/>
          <w:szCs w:val="20"/>
          <w:lang w:val="es-ES_tradnl"/>
        </w:rPr>
        <w:tab/>
      </w:r>
      <w:r w:rsidR="000F3F11" w:rsidRPr="009933BE">
        <w:rPr>
          <w:rFonts w:ascii="Verdana" w:hAnsi="Verdana"/>
          <w:sz w:val="20"/>
          <w:szCs w:val="20"/>
        </w:rPr>
        <w:t>De esta forma concurro plenamente con lo decidido en la Sentencia, en la que se declara la violación a los derechos a la libertad de expresión</w:t>
      </w:r>
      <w:r w:rsidR="000F3F11">
        <w:rPr>
          <w:rFonts w:ascii="Verdana" w:hAnsi="Verdana"/>
          <w:sz w:val="20"/>
          <w:szCs w:val="20"/>
        </w:rPr>
        <w:t xml:space="preserve"> (Art. 13.1 y 13.3 de la Convención)</w:t>
      </w:r>
      <w:r w:rsidR="000F3F11" w:rsidRPr="009933BE">
        <w:rPr>
          <w:rFonts w:ascii="Verdana" w:hAnsi="Verdana"/>
          <w:sz w:val="20"/>
          <w:szCs w:val="20"/>
        </w:rPr>
        <w:t xml:space="preserve">, a su ejercicio sin discriminación </w:t>
      </w:r>
      <w:r w:rsidR="000F3F11">
        <w:rPr>
          <w:rFonts w:ascii="Verdana" w:hAnsi="Verdana"/>
          <w:sz w:val="20"/>
          <w:szCs w:val="20"/>
        </w:rPr>
        <w:t xml:space="preserve">(Art. </w:t>
      </w:r>
      <w:r w:rsidR="0052278E">
        <w:rPr>
          <w:rFonts w:ascii="Verdana" w:hAnsi="Verdana"/>
          <w:sz w:val="20"/>
          <w:szCs w:val="20"/>
        </w:rPr>
        <w:t xml:space="preserve">24 </w:t>
      </w:r>
      <w:r w:rsidR="000F3F11">
        <w:rPr>
          <w:rFonts w:ascii="Verdana" w:hAnsi="Verdana"/>
          <w:sz w:val="20"/>
          <w:szCs w:val="20"/>
        </w:rPr>
        <w:t xml:space="preserve">en relación con el Art. 13 de la Convención) </w:t>
      </w:r>
      <w:r w:rsidR="000F3F11" w:rsidRPr="009933BE">
        <w:rPr>
          <w:rFonts w:ascii="Verdana" w:hAnsi="Verdana"/>
          <w:sz w:val="20"/>
          <w:szCs w:val="20"/>
        </w:rPr>
        <w:t xml:space="preserve">y </w:t>
      </w:r>
      <w:r w:rsidR="000F3F11">
        <w:rPr>
          <w:rFonts w:ascii="Verdana" w:hAnsi="Verdana"/>
          <w:sz w:val="20"/>
          <w:szCs w:val="20"/>
        </w:rPr>
        <w:t xml:space="preserve">también </w:t>
      </w:r>
      <w:r w:rsidR="000F3F11" w:rsidRPr="009933BE">
        <w:rPr>
          <w:rFonts w:ascii="Verdana" w:hAnsi="Verdana"/>
          <w:sz w:val="20"/>
          <w:szCs w:val="20"/>
        </w:rPr>
        <w:t xml:space="preserve">a </w:t>
      </w:r>
      <w:r w:rsidR="00D64B13">
        <w:rPr>
          <w:rFonts w:ascii="Verdana" w:hAnsi="Verdana"/>
          <w:sz w:val="20"/>
          <w:szCs w:val="20"/>
        </w:rPr>
        <w:t xml:space="preserve">ciertas </w:t>
      </w:r>
      <w:r w:rsidR="000F3F11" w:rsidRPr="009933BE">
        <w:rPr>
          <w:rFonts w:ascii="Verdana" w:hAnsi="Verdana"/>
          <w:sz w:val="20"/>
          <w:szCs w:val="20"/>
        </w:rPr>
        <w:t xml:space="preserve">garantías judiciales </w:t>
      </w:r>
      <w:r w:rsidR="005957C9">
        <w:rPr>
          <w:rFonts w:ascii="Verdana" w:hAnsi="Verdana"/>
          <w:sz w:val="20"/>
          <w:szCs w:val="20"/>
        </w:rPr>
        <w:t xml:space="preserve">(derechos a ser oído y al plazo </w:t>
      </w:r>
      <w:r w:rsidR="00D64B13">
        <w:rPr>
          <w:rFonts w:ascii="Verdana" w:hAnsi="Verdana"/>
          <w:sz w:val="20"/>
          <w:szCs w:val="20"/>
        </w:rPr>
        <w:t>raz</w:t>
      </w:r>
      <w:r w:rsidR="005957C9">
        <w:rPr>
          <w:rFonts w:ascii="Verdana" w:hAnsi="Verdana"/>
          <w:sz w:val="20"/>
          <w:szCs w:val="20"/>
        </w:rPr>
        <w:t xml:space="preserve">onable, Art. 8 de </w:t>
      </w:r>
      <w:r w:rsidR="000F3F11">
        <w:rPr>
          <w:rFonts w:ascii="Verdana" w:hAnsi="Verdana"/>
          <w:sz w:val="20"/>
          <w:szCs w:val="20"/>
        </w:rPr>
        <w:t xml:space="preserve">la Convención) </w:t>
      </w:r>
      <w:r w:rsidR="000F3F11" w:rsidRPr="009933BE">
        <w:rPr>
          <w:rFonts w:ascii="Verdana" w:hAnsi="Verdana"/>
          <w:sz w:val="20"/>
          <w:szCs w:val="20"/>
        </w:rPr>
        <w:t>por parte del Estado venezolano</w:t>
      </w:r>
      <w:r w:rsidR="00D64B13">
        <w:rPr>
          <w:rFonts w:ascii="Verdana" w:hAnsi="Verdana"/>
          <w:sz w:val="20"/>
          <w:szCs w:val="20"/>
        </w:rPr>
        <w:t>.</w:t>
      </w:r>
      <w:r w:rsidR="00C678CD">
        <w:rPr>
          <w:rFonts w:ascii="Verdana" w:hAnsi="Verdana"/>
          <w:sz w:val="20"/>
          <w:szCs w:val="20"/>
          <w:lang w:val="es-ES_tradnl"/>
        </w:rPr>
        <w:t xml:space="preserve"> </w:t>
      </w:r>
    </w:p>
    <w:p w14:paraId="3EED3564" w14:textId="77777777" w:rsidR="00AF67CE" w:rsidRDefault="00AF67CE" w:rsidP="00CE0F24">
      <w:pPr>
        <w:pStyle w:val="ListParagraph"/>
        <w:spacing w:after="0" w:line="240" w:lineRule="auto"/>
        <w:ind w:left="0"/>
        <w:jc w:val="both"/>
        <w:rPr>
          <w:rFonts w:ascii="Verdana" w:hAnsi="Verdana"/>
          <w:sz w:val="20"/>
          <w:szCs w:val="20"/>
          <w:lang w:val="es-ES_tradnl"/>
        </w:rPr>
      </w:pPr>
    </w:p>
    <w:p w14:paraId="2D260543" w14:textId="77777777" w:rsidR="002E3E31" w:rsidRDefault="008D2185" w:rsidP="00CE0F24">
      <w:pPr>
        <w:pStyle w:val="ListParagraph"/>
        <w:spacing w:after="0" w:line="240" w:lineRule="auto"/>
        <w:ind w:left="0"/>
        <w:jc w:val="both"/>
        <w:rPr>
          <w:rFonts w:ascii="Verdana" w:hAnsi="Verdana"/>
          <w:sz w:val="20"/>
          <w:szCs w:val="20"/>
          <w:lang w:val="es-ES_tradnl"/>
        </w:rPr>
      </w:pPr>
      <w:r>
        <w:rPr>
          <w:rFonts w:ascii="Verdana" w:hAnsi="Verdana"/>
          <w:sz w:val="20"/>
          <w:szCs w:val="20"/>
          <w:lang w:val="es-ES_tradnl"/>
        </w:rPr>
        <w:t>12</w:t>
      </w:r>
      <w:r w:rsidR="00AF67CE">
        <w:rPr>
          <w:rFonts w:ascii="Verdana" w:hAnsi="Verdana"/>
          <w:sz w:val="20"/>
          <w:szCs w:val="20"/>
          <w:lang w:val="es-ES_tradnl"/>
        </w:rPr>
        <w:t xml:space="preserve">. </w:t>
      </w:r>
      <w:r w:rsidR="00AF67CE">
        <w:rPr>
          <w:rFonts w:ascii="Verdana" w:hAnsi="Verdana"/>
          <w:sz w:val="20"/>
          <w:szCs w:val="20"/>
          <w:lang w:val="es-ES_tradnl"/>
        </w:rPr>
        <w:tab/>
      </w:r>
      <w:r w:rsidR="00C678CD">
        <w:rPr>
          <w:rFonts w:ascii="Verdana" w:hAnsi="Verdana"/>
          <w:sz w:val="20"/>
          <w:szCs w:val="20"/>
          <w:lang w:val="es-ES_tradnl"/>
        </w:rPr>
        <w:t>Mi disidencia se centra exclusivamente en tres aspectos</w:t>
      </w:r>
      <w:r w:rsidR="00AF67CE">
        <w:rPr>
          <w:rFonts w:ascii="Verdana" w:hAnsi="Verdana"/>
          <w:sz w:val="20"/>
          <w:szCs w:val="20"/>
          <w:lang w:val="es-ES_tradnl"/>
        </w:rPr>
        <w:t xml:space="preserve"> íntimamente relacionados con la violación </w:t>
      </w:r>
      <w:r w:rsidR="00E30169">
        <w:rPr>
          <w:rFonts w:ascii="Verdana" w:hAnsi="Verdana"/>
          <w:sz w:val="20"/>
          <w:szCs w:val="20"/>
          <w:lang w:val="es-ES_tradnl"/>
        </w:rPr>
        <w:t xml:space="preserve">a </w:t>
      </w:r>
      <w:r w:rsidR="00AF67CE">
        <w:rPr>
          <w:rFonts w:ascii="Verdana" w:hAnsi="Verdana"/>
          <w:sz w:val="20"/>
          <w:szCs w:val="20"/>
          <w:lang w:val="es-ES_tradnl"/>
        </w:rPr>
        <w:t xml:space="preserve">la libertad de expresión </w:t>
      </w:r>
      <w:r w:rsidR="00E30169">
        <w:rPr>
          <w:rFonts w:ascii="Verdana" w:hAnsi="Verdana"/>
          <w:sz w:val="20"/>
          <w:szCs w:val="20"/>
          <w:lang w:val="es-ES_tradnl"/>
        </w:rPr>
        <w:t xml:space="preserve">declarada </w:t>
      </w:r>
      <w:r w:rsidR="00AF67CE">
        <w:rPr>
          <w:rFonts w:ascii="Verdana" w:hAnsi="Verdana"/>
          <w:sz w:val="20"/>
          <w:szCs w:val="20"/>
          <w:lang w:val="es-ES_tradnl"/>
        </w:rPr>
        <w:t>y atendiendo a</w:t>
      </w:r>
      <w:r w:rsidR="00E30169">
        <w:rPr>
          <w:rFonts w:ascii="Verdana" w:hAnsi="Verdana"/>
          <w:sz w:val="20"/>
          <w:szCs w:val="20"/>
          <w:lang w:val="es-ES_tradnl"/>
        </w:rPr>
        <w:t xml:space="preserve"> la</w:t>
      </w:r>
      <w:r w:rsidR="00AF67CE">
        <w:rPr>
          <w:rFonts w:ascii="Verdana" w:hAnsi="Verdana"/>
          <w:sz w:val="20"/>
          <w:szCs w:val="20"/>
          <w:lang w:val="es-ES_tradnl"/>
        </w:rPr>
        <w:t xml:space="preserve"> </w:t>
      </w:r>
      <w:r w:rsidR="0011317E">
        <w:rPr>
          <w:rFonts w:ascii="Verdana" w:hAnsi="Verdana"/>
          <w:sz w:val="20"/>
          <w:szCs w:val="20"/>
          <w:lang w:val="es-ES_tradnl"/>
        </w:rPr>
        <w:t xml:space="preserve">“desviación de poder” </w:t>
      </w:r>
      <w:r w:rsidR="00AF67CE">
        <w:rPr>
          <w:rFonts w:ascii="Verdana" w:hAnsi="Verdana"/>
          <w:sz w:val="20"/>
          <w:szCs w:val="20"/>
          <w:lang w:val="es-ES_tradnl"/>
        </w:rPr>
        <w:t xml:space="preserve">probada </w:t>
      </w:r>
      <w:r w:rsidR="00A567BF">
        <w:rPr>
          <w:rFonts w:ascii="Verdana" w:hAnsi="Verdana"/>
          <w:sz w:val="20"/>
          <w:szCs w:val="20"/>
          <w:lang w:val="es-ES_tradnl"/>
        </w:rPr>
        <w:t xml:space="preserve">por unanimidad en </w:t>
      </w:r>
      <w:r w:rsidR="00736F78">
        <w:rPr>
          <w:rFonts w:ascii="Verdana" w:hAnsi="Verdana"/>
          <w:sz w:val="20"/>
          <w:szCs w:val="20"/>
          <w:lang w:val="es-ES_tradnl"/>
        </w:rPr>
        <w:t>la Sentencia; cuyo contenido fue ampliamente deliberado en cuatro periodos ordinarios de sesiones de este Tribunal Interamericano</w:t>
      </w:r>
      <w:r w:rsidR="00736F78">
        <w:rPr>
          <w:rStyle w:val="FootnoteReference"/>
          <w:rFonts w:ascii="Verdana" w:hAnsi="Verdana"/>
          <w:sz w:val="20"/>
          <w:szCs w:val="20"/>
          <w:lang w:val="es-ES_tradnl"/>
        </w:rPr>
        <w:footnoteReference w:id="20"/>
      </w:r>
      <w:r w:rsidR="00736F78">
        <w:rPr>
          <w:rFonts w:ascii="Verdana" w:hAnsi="Verdana"/>
          <w:sz w:val="20"/>
          <w:szCs w:val="20"/>
          <w:lang w:val="es-ES_tradnl"/>
        </w:rPr>
        <w:t xml:space="preserve">. </w:t>
      </w:r>
    </w:p>
    <w:p w14:paraId="26A49D34" w14:textId="77777777" w:rsidR="002E3E31" w:rsidRDefault="002E3E31" w:rsidP="00CE0F24">
      <w:pPr>
        <w:pStyle w:val="ListParagraph"/>
        <w:spacing w:after="0" w:line="240" w:lineRule="auto"/>
        <w:ind w:left="0"/>
        <w:jc w:val="both"/>
        <w:rPr>
          <w:rFonts w:ascii="Verdana" w:hAnsi="Verdana"/>
          <w:sz w:val="20"/>
          <w:szCs w:val="20"/>
          <w:lang w:val="es-ES_tradnl"/>
        </w:rPr>
      </w:pPr>
    </w:p>
    <w:p w14:paraId="142FA0C5" w14:textId="04F437F7" w:rsidR="00035AB7" w:rsidRDefault="008D2185" w:rsidP="00CE0F24">
      <w:pPr>
        <w:pStyle w:val="ListParagraph"/>
        <w:spacing w:after="0" w:line="240" w:lineRule="auto"/>
        <w:ind w:left="0"/>
        <w:jc w:val="both"/>
        <w:rPr>
          <w:rFonts w:ascii="Verdana" w:hAnsi="Verdana"/>
          <w:sz w:val="20"/>
          <w:szCs w:val="20"/>
        </w:rPr>
      </w:pPr>
      <w:r>
        <w:rPr>
          <w:rFonts w:ascii="Verdana" w:hAnsi="Verdana"/>
          <w:sz w:val="20"/>
          <w:szCs w:val="20"/>
          <w:lang w:val="es-ES_tradnl"/>
        </w:rPr>
        <w:t>13</w:t>
      </w:r>
      <w:r w:rsidR="002E3E31">
        <w:rPr>
          <w:rFonts w:ascii="Verdana" w:hAnsi="Verdana"/>
          <w:sz w:val="20"/>
          <w:szCs w:val="20"/>
          <w:lang w:val="es-ES_tradnl"/>
        </w:rPr>
        <w:t xml:space="preserve">. </w:t>
      </w:r>
      <w:r w:rsidR="002E3E31">
        <w:rPr>
          <w:rFonts w:ascii="Verdana" w:hAnsi="Verdana"/>
          <w:sz w:val="20"/>
          <w:szCs w:val="20"/>
          <w:lang w:val="es-ES_tradnl"/>
        </w:rPr>
        <w:tab/>
      </w:r>
      <w:r w:rsidR="00230C7B" w:rsidRPr="00B21A80">
        <w:rPr>
          <w:rFonts w:ascii="Verdana" w:hAnsi="Verdana"/>
          <w:sz w:val="20"/>
          <w:szCs w:val="20"/>
          <w:u w:val="single"/>
          <w:lang w:val="es-ES_tradnl"/>
        </w:rPr>
        <w:t>En primer lugar</w:t>
      </w:r>
      <w:r w:rsidR="001812B0">
        <w:rPr>
          <w:rFonts w:ascii="Verdana" w:hAnsi="Verdana"/>
          <w:sz w:val="20"/>
          <w:szCs w:val="20"/>
          <w:lang w:val="es-ES_tradnl"/>
        </w:rPr>
        <w:t>,</w:t>
      </w:r>
      <w:r w:rsidR="0011317E">
        <w:rPr>
          <w:rFonts w:ascii="Verdana" w:hAnsi="Verdana"/>
          <w:sz w:val="20"/>
          <w:szCs w:val="20"/>
          <w:lang w:val="es-ES_tradnl"/>
        </w:rPr>
        <w:t xml:space="preserve"> difiero del criterio mayoritario que </w:t>
      </w:r>
      <w:r w:rsidR="002E3E31">
        <w:rPr>
          <w:rFonts w:ascii="Verdana" w:hAnsi="Verdana"/>
          <w:sz w:val="20"/>
          <w:szCs w:val="20"/>
          <w:lang w:val="es-ES_tradnl"/>
        </w:rPr>
        <w:t>excluye</w:t>
      </w:r>
      <w:r w:rsidR="0011317E">
        <w:rPr>
          <w:rFonts w:ascii="Verdana" w:hAnsi="Verdana"/>
          <w:sz w:val="20"/>
          <w:szCs w:val="20"/>
          <w:lang w:val="es-ES_tradnl"/>
        </w:rPr>
        <w:t xml:space="preserve"> como víctimas del </w:t>
      </w:r>
      <w:r w:rsidR="000A7E9E">
        <w:rPr>
          <w:rFonts w:ascii="Verdana" w:hAnsi="Verdana"/>
          <w:sz w:val="20"/>
          <w:szCs w:val="20"/>
          <w:lang w:val="es-ES_tradnl"/>
        </w:rPr>
        <w:t xml:space="preserve">derecho </w:t>
      </w:r>
      <w:r w:rsidR="002E3E31">
        <w:rPr>
          <w:rFonts w:ascii="Verdana" w:hAnsi="Verdana"/>
          <w:sz w:val="20"/>
          <w:szCs w:val="20"/>
          <w:lang w:val="es-ES_tradnl"/>
        </w:rPr>
        <w:t>a la libertad de expresión</w:t>
      </w:r>
      <w:r w:rsidR="000A7E9E">
        <w:rPr>
          <w:rFonts w:ascii="Verdana" w:hAnsi="Verdana"/>
          <w:sz w:val="20"/>
          <w:szCs w:val="20"/>
          <w:lang w:val="es-ES_tradnl"/>
        </w:rPr>
        <w:t xml:space="preserve"> </w:t>
      </w:r>
      <w:r w:rsidR="002E3E31">
        <w:rPr>
          <w:rFonts w:ascii="Verdana" w:hAnsi="Verdana"/>
          <w:sz w:val="20"/>
          <w:szCs w:val="20"/>
          <w:lang w:val="es-ES_tradnl"/>
        </w:rPr>
        <w:t xml:space="preserve">a los accionistas </w:t>
      </w:r>
      <w:r w:rsidR="002E3E31" w:rsidRPr="00DE37E1">
        <w:rPr>
          <w:rFonts w:ascii="Verdana" w:hAnsi="Verdana"/>
          <w:sz w:val="20"/>
          <w:szCs w:val="20"/>
        </w:rPr>
        <w:t>Jean Nestares, Fernando</w:t>
      </w:r>
      <w:r w:rsidR="002E3E31">
        <w:rPr>
          <w:rFonts w:ascii="Verdana" w:hAnsi="Verdana"/>
          <w:sz w:val="20"/>
          <w:szCs w:val="20"/>
        </w:rPr>
        <w:t xml:space="preserve"> Nestares, Alicia Phelps Tovar y Francisco J. Nestares</w:t>
      </w:r>
      <w:r w:rsidR="001812B0">
        <w:rPr>
          <w:rFonts w:ascii="Verdana" w:hAnsi="Verdana"/>
          <w:sz w:val="20"/>
          <w:szCs w:val="20"/>
        </w:rPr>
        <w:t>;</w:t>
      </w:r>
      <w:r w:rsidR="002E3E31">
        <w:rPr>
          <w:rFonts w:ascii="Verdana" w:hAnsi="Verdana"/>
          <w:sz w:val="20"/>
          <w:szCs w:val="20"/>
        </w:rPr>
        <w:t xml:space="preserve"> </w:t>
      </w:r>
      <w:r w:rsidR="00D64B13">
        <w:rPr>
          <w:rFonts w:ascii="Verdana" w:hAnsi="Verdana"/>
          <w:sz w:val="20"/>
          <w:szCs w:val="20"/>
        </w:rPr>
        <w:t>ya que</w:t>
      </w:r>
      <w:r w:rsidR="001812B0">
        <w:rPr>
          <w:rFonts w:ascii="Verdana" w:hAnsi="Verdana"/>
          <w:sz w:val="20"/>
          <w:szCs w:val="20"/>
        </w:rPr>
        <w:t>,</w:t>
      </w:r>
      <w:r w:rsidR="00D64B13">
        <w:rPr>
          <w:rFonts w:ascii="Verdana" w:hAnsi="Verdana"/>
          <w:sz w:val="20"/>
          <w:szCs w:val="20"/>
        </w:rPr>
        <w:t xml:space="preserve"> al no</w:t>
      </w:r>
      <w:r w:rsidR="003D68BF">
        <w:rPr>
          <w:rFonts w:ascii="Verdana" w:hAnsi="Verdana"/>
          <w:sz w:val="20"/>
          <w:szCs w:val="20"/>
        </w:rPr>
        <w:t xml:space="preserve"> formar parte de la junta d</w:t>
      </w:r>
      <w:r w:rsidR="00E30169">
        <w:rPr>
          <w:rFonts w:ascii="Verdana" w:hAnsi="Verdana"/>
          <w:sz w:val="20"/>
          <w:szCs w:val="20"/>
        </w:rPr>
        <w:t>irectiva de RCTV</w:t>
      </w:r>
      <w:r w:rsidR="001812B0">
        <w:rPr>
          <w:rFonts w:ascii="Verdana" w:hAnsi="Verdana"/>
          <w:sz w:val="20"/>
          <w:szCs w:val="20"/>
        </w:rPr>
        <w:t>,</w:t>
      </w:r>
      <w:r w:rsidR="0081674C">
        <w:rPr>
          <w:rFonts w:ascii="Verdana" w:hAnsi="Verdana"/>
          <w:sz w:val="20"/>
          <w:szCs w:val="20"/>
        </w:rPr>
        <w:t xml:space="preserve"> no se demuestra el vínculo que tenían con la misión comunicacional del canal y, por tanto, que estos accionistas realiza</w:t>
      </w:r>
      <w:r w:rsidR="001812B0">
        <w:rPr>
          <w:rFonts w:ascii="Verdana" w:hAnsi="Verdana"/>
          <w:sz w:val="20"/>
          <w:szCs w:val="20"/>
        </w:rPr>
        <w:t>r</w:t>
      </w:r>
      <w:r w:rsidR="0081674C">
        <w:rPr>
          <w:rFonts w:ascii="Verdana" w:hAnsi="Verdana"/>
          <w:sz w:val="20"/>
          <w:szCs w:val="20"/>
        </w:rPr>
        <w:t>an un ejercic</w:t>
      </w:r>
      <w:r w:rsidR="001812B0">
        <w:rPr>
          <w:rFonts w:ascii="Verdana" w:hAnsi="Verdana"/>
          <w:sz w:val="20"/>
          <w:szCs w:val="20"/>
        </w:rPr>
        <w:t>i</w:t>
      </w:r>
      <w:r w:rsidR="0081674C">
        <w:rPr>
          <w:rFonts w:ascii="Verdana" w:hAnsi="Verdana"/>
          <w:sz w:val="20"/>
          <w:szCs w:val="20"/>
        </w:rPr>
        <w:t xml:space="preserve">o de libertad de expresión a través de este </w:t>
      </w:r>
      <w:r w:rsidR="0081674C">
        <w:rPr>
          <w:rFonts w:ascii="Verdana" w:hAnsi="Verdana"/>
          <w:sz w:val="20"/>
          <w:szCs w:val="20"/>
        </w:rPr>
        <w:lastRenderedPageBreak/>
        <w:t>medio de comunicación.</w:t>
      </w:r>
      <w:r w:rsidR="002E3E31">
        <w:rPr>
          <w:rFonts w:ascii="Verdana" w:hAnsi="Verdana"/>
          <w:sz w:val="20"/>
          <w:szCs w:val="20"/>
        </w:rPr>
        <w:t xml:space="preserve"> </w:t>
      </w:r>
      <w:r w:rsidR="000A7E9E">
        <w:rPr>
          <w:rFonts w:ascii="Verdana" w:hAnsi="Verdana"/>
          <w:sz w:val="20"/>
          <w:szCs w:val="20"/>
        </w:rPr>
        <w:t xml:space="preserve">Como se expondrá más adelante, estimo que esta distinción </w:t>
      </w:r>
      <w:r w:rsidR="00D64B13">
        <w:rPr>
          <w:rFonts w:ascii="Verdana" w:hAnsi="Verdana"/>
          <w:sz w:val="20"/>
          <w:szCs w:val="20"/>
        </w:rPr>
        <w:t>—</w:t>
      </w:r>
      <w:r w:rsidR="000A7E9E">
        <w:rPr>
          <w:rFonts w:ascii="Verdana" w:hAnsi="Verdana"/>
          <w:sz w:val="20"/>
          <w:szCs w:val="20"/>
        </w:rPr>
        <w:t xml:space="preserve">que por primera vez realiza la Corte IDH </w:t>
      </w:r>
      <w:r w:rsidR="00AF2565">
        <w:rPr>
          <w:rFonts w:ascii="Verdana" w:hAnsi="Verdana"/>
          <w:sz w:val="20"/>
          <w:szCs w:val="20"/>
        </w:rPr>
        <w:t>en su jurisprudencia</w:t>
      </w:r>
      <w:r w:rsidR="00D64B13">
        <w:rPr>
          <w:rFonts w:ascii="Verdana" w:hAnsi="Verdana"/>
          <w:sz w:val="20"/>
          <w:szCs w:val="20"/>
        </w:rPr>
        <w:t>—</w:t>
      </w:r>
      <w:r w:rsidR="00AF2565">
        <w:rPr>
          <w:rFonts w:ascii="Verdana" w:hAnsi="Verdana"/>
          <w:sz w:val="20"/>
          <w:szCs w:val="20"/>
        </w:rPr>
        <w:t xml:space="preserve"> </w:t>
      </w:r>
      <w:r w:rsidR="000A7E9E">
        <w:rPr>
          <w:rFonts w:ascii="Verdana" w:hAnsi="Verdana"/>
          <w:sz w:val="20"/>
          <w:szCs w:val="20"/>
        </w:rPr>
        <w:t xml:space="preserve">entre </w:t>
      </w:r>
      <w:r w:rsidR="0022429B">
        <w:rPr>
          <w:rFonts w:ascii="Verdana" w:hAnsi="Verdana"/>
          <w:sz w:val="20"/>
          <w:szCs w:val="20"/>
        </w:rPr>
        <w:t xml:space="preserve">accionistas directivos de los que no lo son, crea una doble categoría </w:t>
      </w:r>
      <w:r w:rsidR="0022429B" w:rsidRPr="0022429B">
        <w:rPr>
          <w:rFonts w:ascii="Verdana" w:hAnsi="Verdana"/>
          <w:i/>
          <w:sz w:val="20"/>
          <w:szCs w:val="20"/>
        </w:rPr>
        <w:t>de facto</w:t>
      </w:r>
      <w:r w:rsidR="0022429B">
        <w:rPr>
          <w:rFonts w:ascii="Verdana" w:hAnsi="Verdana"/>
          <w:sz w:val="20"/>
          <w:szCs w:val="20"/>
        </w:rPr>
        <w:t xml:space="preserve"> sin considerar</w:t>
      </w:r>
      <w:r w:rsidR="005957C9">
        <w:rPr>
          <w:rFonts w:ascii="Verdana" w:hAnsi="Verdana"/>
          <w:sz w:val="20"/>
          <w:szCs w:val="20"/>
        </w:rPr>
        <w:t xml:space="preserve"> que, en el presente caso,</w:t>
      </w:r>
      <w:r w:rsidR="0022429B">
        <w:rPr>
          <w:rFonts w:ascii="Verdana" w:hAnsi="Verdana"/>
          <w:sz w:val="20"/>
          <w:szCs w:val="20"/>
        </w:rPr>
        <w:t xml:space="preserve"> todos y cada uno de los accionistas forman parte de una familia que comparte un proyecto </w:t>
      </w:r>
      <w:r w:rsidR="004D7DDE">
        <w:rPr>
          <w:rFonts w:ascii="Verdana" w:hAnsi="Verdana"/>
          <w:sz w:val="20"/>
          <w:szCs w:val="20"/>
        </w:rPr>
        <w:t>personal</w:t>
      </w:r>
      <w:r w:rsidR="009D139A">
        <w:rPr>
          <w:rFonts w:ascii="Verdana" w:hAnsi="Verdana"/>
          <w:sz w:val="20"/>
          <w:szCs w:val="20"/>
        </w:rPr>
        <w:t xml:space="preserve"> y político </w:t>
      </w:r>
      <w:r w:rsidR="004D7DDE">
        <w:rPr>
          <w:rFonts w:ascii="Verdana" w:hAnsi="Verdana"/>
          <w:sz w:val="20"/>
          <w:szCs w:val="20"/>
        </w:rPr>
        <w:t>común</w:t>
      </w:r>
      <w:r w:rsidR="005957C9">
        <w:rPr>
          <w:rFonts w:ascii="Verdana" w:hAnsi="Verdana"/>
          <w:sz w:val="20"/>
          <w:szCs w:val="20"/>
        </w:rPr>
        <w:t>,</w:t>
      </w:r>
      <w:r w:rsidR="004D7DDE">
        <w:rPr>
          <w:rFonts w:ascii="Verdana" w:hAnsi="Verdana"/>
          <w:sz w:val="20"/>
          <w:szCs w:val="20"/>
        </w:rPr>
        <w:t xml:space="preserve"> </w:t>
      </w:r>
      <w:r w:rsidR="009D139A" w:rsidRPr="009B0D0B">
        <w:rPr>
          <w:rFonts w:ascii="Verdana" w:hAnsi="Verdana"/>
          <w:sz w:val="20"/>
          <w:szCs w:val="20"/>
          <w:lang w:val="es-AR"/>
        </w:rPr>
        <w:t>que se materializaba a través del contenido transmitido por RCTV</w:t>
      </w:r>
      <w:r w:rsidR="005957C9">
        <w:rPr>
          <w:rFonts w:ascii="Verdana" w:hAnsi="Verdana"/>
          <w:sz w:val="20"/>
          <w:szCs w:val="20"/>
          <w:lang w:val="es-AR"/>
        </w:rPr>
        <w:t>,</w:t>
      </w:r>
      <w:r w:rsidR="004D7DDE">
        <w:rPr>
          <w:rFonts w:ascii="Verdana" w:hAnsi="Verdana"/>
          <w:sz w:val="20"/>
          <w:szCs w:val="20"/>
        </w:rPr>
        <w:t xml:space="preserve"> </w:t>
      </w:r>
      <w:r w:rsidR="0022429B">
        <w:rPr>
          <w:rFonts w:ascii="Verdana" w:hAnsi="Verdana"/>
          <w:sz w:val="20"/>
          <w:szCs w:val="20"/>
        </w:rPr>
        <w:t>y que</w:t>
      </w:r>
      <w:r w:rsidR="00AF2565">
        <w:rPr>
          <w:rFonts w:ascii="Verdana" w:hAnsi="Verdana"/>
          <w:sz w:val="20"/>
          <w:szCs w:val="20"/>
        </w:rPr>
        <w:t xml:space="preserve"> la totalidad de ellos</w:t>
      </w:r>
      <w:r w:rsidR="0022429B">
        <w:rPr>
          <w:rFonts w:ascii="Verdana" w:hAnsi="Verdana"/>
          <w:sz w:val="20"/>
          <w:szCs w:val="20"/>
        </w:rPr>
        <w:t xml:space="preserve"> </w:t>
      </w:r>
      <w:r w:rsidR="004D7DDE">
        <w:rPr>
          <w:rFonts w:ascii="Verdana" w:hAnsi="Verdana"/>
          <w:sz w:val="20"/>
          <w:szCs w:val="20"/>
        </w:rPr>
        <w:t xml:space="preserve">—sin discrepancia alguna— </w:t>
      </w:r>
      <w:r w:rsidR="0022429B">
        <w:rPr>
          <w:rFonts w:ascii="Verdana" w:hAnsi="Verdana"/>
          <w:sz w:val="20"/>
          <w:szCs w:val="20"/>
        </w:rPr>
        <w:t>acudió al Sistema Interamericano por violación a d</w:t>
      </w:r>
      <w:r w:rsidR="00D64B13">
        <w:rPr>
          <w:rFonts w:ascii="Verdana" w:hAnsi="Verdana"/>
          <w:sz w:val="20"/>
          <w:szCs w:val="20"/>
        </w:rPr>
        <w:t>iversos derechos convencionales;</w:t>
      </w:r>
      <w:r w:rsidR="000A74BF">
        <w:rPr>
          <w:rFonts w:ascii="Verdana" w:hAnsi="Verdana"/>
          <w:sz w:val="20"/>
          <w:szCs w:val="20"/>
        </w:rPr>
        <w:t xml:space="preserve"> siendo </w:t>
      </w:r>
      <w:r w:rsidR="00AF67CE">
        <w:rPr>
          <w:rFonts w:ascii="Verdana" w:hAnsi="Verdana"/>
          <w:sz w:val="20"/>
          <w:szCs w:val="20"/>
        </w:rPr>
        <w:t xml:space="preserve">especialmente </w:t>
      </w:r>
      <w:r w:rsidR="000A74BF">
        <w:rPr>
          <w:rFonts w:ascii="Verdana" w:hAnsi="Verdana"/>
          <w:sz w:val="20"/>
          <w:szCs w:val="20"/>
        </w:rPr>
        <w:t>afectada la dimensión individual del ejercicio pleno del derecho a la libertad de expresión de todo</w:t>
      </w:r>
      <w:r w:rsidR="00A77912">
        <w:rPr>
          <w:rFonts w:ascii="Verdana" w:hAnsi="Verdana"/>
          <w:sz w:val="20"/>
          <w:szCs w:val="20"/>
        </w:rPr>
        <w:t>s y cada</w:t>
      </w:r>
      <w:r w:rsidR="000A74BF">
        <w:rPr>
          <w:rFonts w:ascii="Verdana" w:hAnsi="Verdana"/>
          <w:sz w:val="20"/>
          <w:szCs w:val="20"/>
        </w:rPr>
        <w:t xml:space="preserve"> uno de </w:t>
      </w:r>
      <w:r w:rsidR="00A77912">
        <w:rPr>
          <w:rFonts w:ascii="Verdana" w:hAnsi="Verdana"/>
          <w:sz w:val="20"/>
          <w:szCs w:val="20"/>
        </w:rPr>
        <w:t xml:space="preserve">ellos, </w:t>
      </w:r>
      <w:r w:rsidR="009D139A">
        <w:rPr>
          <w:rFonts w:ascii="Verdana" w:hAnsi="Verdana"/>
          <w:sz w:val="20"/>
          <w:szCs w:val="20"/>
        </w:rPr>
        <w:t>por el simple hecho de</w:t>
      </w:r>
      <w:r w:rsidR="004D7DDE">
        <w:rPr>
          <w:rFonts w:ascii="Verdana" w:hAnsi="Verdana"/>
          <w:sz w:val="20"/>
          <w:szCs w:val="20"/>
        </w:rPr>
        <w:t xml:space="preserve"> ser</w:t>
      </w:r>
      <w:r w:rsidR="009D139A">
        <w:rPr>
          <w:rFonts w:ascii="Verdana" w:hAnsi="Verdana"/>
          <w:sz w:val="20"/>
          <w:szCs w:val="20"/>
        </w:rPr>
        <w:t xml:space="preserve"> accionistas (</w:t>
      </w:r>
      <w:r w:rsidR="00A77912">
        <w:rPr>
          <w:rFonts w:ascii="Verdana" w:hAnsi="Verdana"/>
          <w:sz w:val="20"/>
          <w:szCs w:val="20"/>
        </w:rPr>
        <w:t xml:space="preserve">con independencia de que sean parte </w:t>
      </w:r>
      <w:r w:rsidR="00AF67CE">
        <w:rPr>
          <w:rFonts w:ascii="Verdana" w:hAnsi="Verdana"/>
          <w:sz w:val="20"/>
          <w:szCs w:val="20"/>
        </w:rPr>
        <w:t xml:space="preserve">o no </w:t>
      </w:r>
      <w:r w:rsidR="009D139A">
        <w:rPr>
          <w:rFonts w:ascii="Verdana" w:hAnsi="Verdana"/>
          <w:sz w:val="20"/>
          <w:szCs w:val="20"/>
        </w:rPr>
        <w:t>de la junta d</w:t>
      </w:r>
      <w:r w:rsidR="00A77912">
        <w:rPr>
          <w:rFonts w:ascii="Verdana" w:hAnsi="Verdana"/>
          <w:sz w:val="20"/>
          <w:szCs w:val="20"/>
        </w:rPr>
        <w:t>irectiva</w:t>
      </w:r>
      <w:r w:rsidR="009D139A">
        <w:rPr>
          <w:rFonts w:ascii="Verdana" w:hAnsi="Verdana"/>
          <w:sz w:val="20"/>
          <w:szCs w:val="20"/>
        </w:rPr>
        <w:t>)</w:t>
      </w:r>
      <w:r w:rsidR="00D64B13">
        <w:rPr>
          <w:rFonts w:ascii="Verdana" w:hAnsi="Verdana"/>
          <w:sz w:val="20"/>
          <w:szCs w:val="20"/>
        </w:rPr>
        <w:t>, pues es evidente que</w:t>
      </w:r>
      <w:r w:rsidR="001812B0">
        <w:rPr>
          <w:rFonts w:ascii="Verdana" w:hAnsi="Verdana"/>
          <w:sz w:val="20"/>
          <w:szCs w:val="20"/>
        </w:rPr>
        <w:t>,</w:t>
      </w:r>
      <w:r w:rsidR="00D64B13">
        <w:rPr>
          <w:rFonts w:ascii="Verdana" w:hAnsi="Verdana"/>
          <w:sz w:val="20"/>
          <w:szCs w:val="20"/>
        </w:rPr>
        <w:t xml:space="preserve"> a través del medio de comunicación que cons</w:t>
      </w:r>
      <w:r w:rsidR="004D7DDE">
        <w:rPr>
          <w:rFonts w:ascii="Verdana" w:hAnsi="Verdana"/>
          <w:sz w:val="20"/>
          <w:szCs w:val="20"/>
        </w:rPr>
        <w:t>tituyeron</w:t>
      </w:r>
      <w:r w:rsidR="001812B0">
        <w:rPr>
          <w:rFonts w:ascii="Verdana" w:hAnsi="Verdana"/>
          <w:sz w:val="20"/>
          <w:szCs w:val="20"/>
        </w:rPr>
        <w:t>,</w:t>
      </w:r>
      <w:r w:rsidR="004D7DDE">
        <w:rPr>
          <w:rFonts w:ascii="Verdana" w:hAnsi="Verdana"/>
          <w:sz w:val="20"/>
          <w:szCs w:val="20"/>
        </w:rPr>
        <w:t xml:space="preserve"> ejercen dicho derecho y</w:t>
      </w:r>
      <w:r w:rsidR="001812B0">
        <w:rPr>
          <w:rFonts w:ascii="Verdana" w:hAnsi="Verdana"/>
          <w:sz w:val="20"/>
          <w:szCs w:val="20"/>
        </w:rPr>
        <w:t>,</w:t>
      </w:r>
      <w:r w:rsidR="004D7DDE">
        <w:rPr>
          <w:rFonts w:ascii="Verdana" w:hAnsi="Verdana"/>
          <w:sz w:val="20"/>
          <w:szCs w:val="20"/>
        </w:rPr>
        <w:t xml:space="preserve"> además</w:t>
      </w:r>
      <w:r w:rsidR="001812B0">
        <w:rPr>
          <w:rFonts w:ascii="Verdana" w:hAnsi="Verdana"/>
          <w:sz w:val="20"/>
          <w:szCs w:val="20"/>
        </w:rPr>
        <w:t>,</w:t>
      </w:r>
      <w:r w:rsidR="004D7DDE">
        <w:rPr>
          <w:rFonts w:ascii="Verdana" w:hAnsi="Verdana"/>
          <w:sz w:val="20"/>
          <w:szCs w:val="20"/>
        </w:rPr>
        <w:t xml:space="preserve"> porque existen</w:t>
      </w:r>
      <w:r w:rsidR="004D7DDE" w:rsidRPr="009B0D0B">
        <w:rPr>
          <w:rFonts w:ascii="Verdana" w:hAnsi="Verdana"/>
          <w:sz w:val="20"/>
          <w:szCs w:val="20"/>
          <w:lang w:val="es-AR"/>
        </w:rPr>
        <w:t xml:space="preserve"> varios elementos que demuestran el vínculo y la contribución que tenían con la misión comunicacional del canal</w:t>
      </w:r>
      <w:r w:rsidR="004D7DDE">
        <w:rPr>
          <w:rFonts w:ascii="Verdana" w:hAnsi="Verdana"/>
          <w:sz w:val="20"/>
          <w:szCs w:val="20"/>
          <w:lang w:val="es-AR"/>
        </w:rPr>
        <w:t>.</w:t>
      </w:r>
    </w:p>
    <w:p w14:paraId="023766FC" w14:textId="77777777" w:rsidR="002E3E31" w:rsidRDefault="002E3E31" w:rsidP="00CE0F24">
      <w:pPr>
        <w:pStyle w:val="ListParagraph"/>
        <w:spacing w:after="0" w:line="240" w:lineRule="auto"/>
        <w:ind w:left="0"/>
        <w:jc w:val="both"/>
        <w:rPr>
          <w:sz w:val="20"/>
          <w:szCs w:val="20"/>
          <w:highlight w:val="yellow"/>
        </w:rPr>
      </w:pPr>
    </w:p>
    <w:p w14:paraId="2276749E" w14:textId="7F3F5391" w:rsidR="00724251" w:rsidRDefault="008D2185" w:rsidP="00C2472C">
      <w:pPr>
        <w:pStyle w:val="ListParagraph"/>
        <w:spacing w:line="240" w:lineRule="auto"/>
        <w:ind w:left="0"/>
        <w:jc w:val="both"/>
        <w:rPr>
          <w:rFonts w:ascii="Verdana" w:hAnsi="Verdana"/>
          <w:sz w:val="20"/>
          <w:szCs w:val="20"/>
        </w:rPr>
      </w:pPr>
      <w:r>
        <w:rPr>
          <w:rFonts w:ascii="Verdana" w:hAnsi="Verdana"/>
          <w:sz w:val="20"/>
          <w:szCs w:val="20"/>
        </w:rPr>
        <w:t>14</w:t>
      </w:r>
      <w:r w:rsidR="00A567BF">
        <w:rPr>
          <w:rFonts w:ascii="Verdana" w:hAnsi="Verdana"/>
          <w:sz w:val="20"/>
          <w:szCs w:val="20"/>
        </w:rPr>
        <w:t xml:space="preserve">. </w:t>
      </w:r>
      <w:r w:rsidR="00A567BF">
        <w:rPr>
          <w:rFonts w:ascii="Verdana" w:hAnsi="Verdana"/>
          <w:sz w:val="20"/>
          <w:szCs w:val="20"/>
        </w:rPr>
        <w:tab/>
      </w:r>
      <w:r w:rsidR="00A567BF" w:rsidRPr="00B21A80">
        <w:rPr>
          <w:rFonts w:ascii="Verdana" w:hAnsi="Verdana"/>
          <w:sz w:val="20"/>
          <w:szCs w:val="20"/>
          <w:u w:val="single"/>
        </w:rPr>
        <w:t>En segundo</w:t>
      </w:r>
      <w:r w:rsidR="00B21A80" w:rsidRPr="00B21A80">
        <w:rPr>
          <w:rFonts w:ascii="Verdana" w:hAnsi="Verdana"/>
          <w:sz w:val="20"/>
          <w:szCs w:val="20"/>
          <w:u w:val="single"/>
        </w:rPr>
        <w:t xml:space="preserve"> lugar</w:t>
      </w:r>
      <w:r w:rsidR="002E3E31">
        <w:rPr>
          <w:rFonts w:ascii="Verdana" w:hAnsi="Verdana"/>
          <w:sz w:val="20"/>
          <w:szCs w:val="20"/>
        </w:rPr>
        <w:t xml:space="preserve">, </w:t>
      </w:r>
      <w:r w:rsidR="00AF2565">
        <w:rPr>
          <w:rFonts w:ascii="Verdana" w:hAnsi="Verdana"/>
          <w:sz w:val="20"/>
          <w:szCs w:val="20"/>
        </w:rPr>
        <w:t>difiero de la mayoría</w:t>
      </w:r>
      <w:r w:rsidR="002E3E31">
        <w:rPr>
          <w:rFonts w:ascii="Verdana" w:hAnsi="Verdana"/>
          <w:sz w:val="20"/>
          <w:szCs w:val="20"/>
        </w:rPr>
        <w:t xml:space="preserve"> en</w:t>
      </w:r>
      <w:r w:rsidR="006F4083">
        <w:rPr>
          <w:rFonts w:ascii="Verdana" w:hAnsi="Verdana"/>
          <w:sz w:val="20"/>
          <w:szCs w:val="20"/>
        </w:rPr>
        <w:t xml:space="preserve"> cuanto a q</w:t>
      </w:r>
      <w:r w:rsidR="0081674C">
        <w:rPr>
          <w:rFonts w:ascii="Verdana" w:hAnsi="Verdana"/>
          <w:sz w:val="20"/>
          <w:szCs w:val="20"/>
        </w:rPr>
        <w:t xml:space="preserve">ue no se comprobó la violación </w:t>
      </w:r>
      <w:r w:rsidR="0086411C">
        <w:rPr>
          <w:rFonts w:ascii="Verdana" w:hAnsi="Verdana"/>
          <w:sz w:val="20"/>
          <w:szCs w:val="20"/>
        </w:rPr>
        <w:t>a</w:t>
      </w:r>
      <w:r w:rsidR="00B21A80">
        <w:rPr>
          <w:rFonts w:ascii="Verdana" w:hAnsi="Verdana"/>
          <w:sz w:val="20"/>
          <w:szCs w:val="20"/>
        </w:rPr>
        <w:t>l derecho</w:t>
      </w:r>
      <w:r w:rsidR="006F4083">
        <w:rPr>
          <w:rFonts w:ascii="Verdana" w:hAnsi="Verdana"/>
          <w:sz w:val="20"/>
          <w:szCs w:val="20"/>
        </w:rPr>
        <w:t xml:space="preserve"> a la propiedad privada</w:t>
      </w:r>
      <w:r w:rsidR="00AF48D2">
        <w:rPr>
          <w:rFonts w:ascii="Verdana" w:hAnsi="Verdana"/>
          <w:sz w:val="20"/>
          <w:szCs w:val="20"/>
        </w:rPr>
        <w:t xml:space="preserve"> </w:t>
      </w:r>
      <w:r w:rsidR="00B21A80">
        <w:rPr>
          <w:rFonts w:ascii="Verdana" w:hAnsi="Verdana"/>
          <w:sz w:val="20"/>
          <w:szCs w:val="20"/>
        </w:rPr>
        <w:t xml:space="preserve">previsto en </w:t>
      </w:r>
      <w:r w:rsidR="00B14F92">
        <w:rPr>
          <w:rFonts w:ascii="Verdana" w:hAnsi="Verdana"/>
          <w:sz w:val="20"/>
          <w:szCs w:val="20"/>
        </w:rPr>
        <w:t>el artículo  21, en relación con el artículo 1.1. de la Convención (Resolutivo 13 de la Sentencia)</w:t>
      </w:r>
      <w:r w:rsidR="00B21A80">
        <w:rPr>
          <w:rFonts w:ascii="Verdana" w:hAnsi="Verdana"/>
          <w:sz w:val="20"/>
          <w:szCs w:val="20"/>
        </w:rPr>
        <w:t>.</w:t>
      </w:r>
      <w:r w:rsidR="000A74BF">
        <w:rPr>
          <w:rFonts w:ascii="Verdana" w:hAnsi="Verdana"/>
          <w:sz w:val="20"/>
          <w:szCs w:val="20"/>
        </w:rPr>
        <w:t xml:space="preserve"> </w:t>
      </w:r>
      <w:r w:rsidR="00B14F92">
        <w:rPr>
          <w:rFonts w:ascii="Verdana" w:hAnsi="Verdana"/>
          <w:sz w:val="20"/>
          <w:szCs w:val="20"/>
        </w:rPr>
        <w:t>E</w:t>
      </w:r>
      <w:r w:rsidR="000A74BF">
        <w:rPr>
          <w:rFonts w:ascii="Verdana" w:hAnsi="Verdana"/>
          <w:sz w:val="20"/>
          <w:szCs w:val="20"/>
        </w:rPr>
        <w:t xml:space="preserve">n la Sentencia se aborda </w:t>
      </w:r>
      <w:r w:rsidR="00B14F92">
        <w:rPr>
          <w:rFonts w:ascii="Verdana" w:hAnsi="Verdana"/>
          <w:sz w:val="20"/>
          <w:szCs w:val="20"/>
        </w:rPr>
        <w:t>el estudio de la alegada violación al derecho a la propiedad privada</w:t>
      </w:r>
      <w:r w:rsidR="000A74BF">
        <w:rPr>
          <w:rFonts w:ascii="Verdana" w:hAnsi="Verdana"/>
          <w:sz w:val="20"/>
          <w:szCs w:val="20"/>
        </w:rPr>
        <w:t xml:space="preserve"> de</w:t>
      </w:r>
      <w:r w:rsidR="00B14F92">
        <w:rPr>
          <w:rFonts w:ascii="Verdana" w:hAnsi="Verdana"/>
          <w:sz w:val="20"/>
          <w:szCs w:val="20"/>
        </w:rPr>
        <w:t xml:space="preserve"> manera aislada y no relacionado</w:t>
      </w:r>
      <w:r w:rsidR="000A74BF">
        <w:rPr>
          <w:rFonts w:ascii="Verdana" w:hAnsi="Verdana"/>
          <w:sz w:val="20"/>
          <w:szCs w:val="20"/>
        </w:rPr>
        <w:t xml:space="preserve"> con el der</w:t>
      </w:r>
      <w:r w:rsidR="00AF67CE">
        <w:rPr>
          <w:rFonts w:ascii="Verdana" w:hAnsi="Verdana"/>
          <w:sz w:val="20"/>
          <w:szCs w:val="20"/>
        </w:rPr>
        <w:t>echo a la libertad de expresión</w:t>
      </w:r>
      <w:r w:rsidR="0081674C">
        <w:rPr>
          <w:rFonts w:ascii="Verdana" w:hAnsi="Verdana"/>
          <w:sz w:val="20"/>
          <w:szCs w:val="20"/>
        </w:rPr>
        <w:t xml:space="preserve"> —</w:t>
      </w:r>
      <w:r w:rsidR="00AF67CE">
        <w:rPr>
          <w:rFonts w:ascii="Verdana" w:hAnsi="Verdana"/>
          <w:sz w:val="20"/>
          <w:szCs w:val="20"/>
        </w:rPr>
        <w:t xml:space="preserve">como sí se hace con respecto al derecho de igualdad ante la ley </w:t>
      </w:r>
      <w:r w:rsidR="0081674C">
        <w:rPr>
          <w:rFonts w:ascii="Verdana" w:hAnsi="Verdana"/>
          <w:sz w:val="20"/>
          <w:szCs w:val="20"/>
        </w:rPr>
        <w:t>que fue declarado violado—</w:t>
      </w:r>
      <w:r w:rsidR="00AF67CE">
        <w:rPr>
          <w:rFonts w:ascii="Verdana" w:hAnsi="Verdana"/>
          <w:sz w:val="20"/>
          <w:szCs w:val="20"/>
        </w:rPr>
        <w:t>.</w:t>
      </w:r>
      <w:r w:rsidR="000A74BF">
        <w:rPr>
          <w:rFonts w:ascii="Verdana" w:hAnsi="Verdana"/>
          <w:sz w:val="20"/>
          <w:szCs w:val="20"/>
        </w:rPr>
        <w:t xml:space="preserve"> Estimo que el estudio del derecho a la propiedad</w:t>
      </w:r>
      <w:r w:rsidR="000A74BF" w:rsidRPr="001F1A1A">
        <w:rPr>
          <w:rFonts w:ascii="Verdana" w:hAnsi="Verdana"/>
          <w:sz w:val="20"/>
          <w:szCs w:val="20"/>
        </w:rPr>
        <w:t xml:space="preserve"> debió </w:t>
      </w:r>
      <w:r w:rsidR="00C2472C">
        <w:rPr>
          <w:rFonts w:ascii="Verdana" w:hAnsi="Verdana"/>
          <w:sz w:val="20"/>
          <w:szCs w:val="20"/>
        </w:rPr>
        <w:t xml:space="preserve">realizarse </w:t>
      </w:r>
      <w:r w:rsidR="0086411C">
        <w:rPr>
          <w:rFonts w:ascii="Verdana" w:hAnsi="Verdana"/>
          <w:sz w:val="20"/>
          <w:szCs w:val="20"/>
        </w:rPr>
        <w:t>a la luz del derecho a la libertad de expresión</w:t>
      </w:r>
      <w:r w:rsidR="000A74BF" w:rsidRPr="001F1A1A">
        <w:rPr>
          <w:rFonts w:ascii="Verdana" w:hAnsi="Verdana"/>
          <w:sz w:val="20"/>
          <w:szCs w:val="20"/>
        </w:rPr>
        <w:t xml:space="preserve">, pues evidentemente </w:t>
      </w:r>
      <w:r w:rsidR="00AF2565">
        <w:rPr>
          <w:rFonts w:ascii="Verdana" w:hAnsi="Verdana"/>
          <w:sz w:val="20"/>
          <w:szCs w:val="20"/>
        </w:rPr>
        <w:t xml:space="preserve">este precepto </w:t>
      </w:r>
      <w:r w:rsidR="000A74BF" w:rsidRPr="001F1A1A">
        <w:rPr>
          <w:rFonts w:ascii="Verdana" w:hAnsi="Verdana"/>
          <w:sz w:val="20"/>
          <w:szCs w:val="20"/>
        </w:rPr>
        <w:t>encierra un contenido patrim</w:t>
      </w:r>
      <w:r w:rsidR="00A77912">
        <w:rPr>
          <w:rFonts w:ascii="Verdana" w:hAnsi="Verdana"/>
          <w:sz w:val="20"/>
          <w:szCs w:val="20"/>
        </w:rPr>
        <w:t>onial en el derecho que protege</w:t>
      </w:r>
      <w:r w:rsidR="00724251">
        <w:rPr>
          <w:rFonts w:ascii="Verdana" w:hAnsi="Verdana"/>
          <w:sz w:val="20"/>
          <w:szCs w:val="20"/>
        </w:rPr>
        <w:t>.</w:t>
      </w:r>
    </w:p>
    <w:p w14:paraId="3564852D" w14:textId="77777777" w:rsidR="00237B64" w:rsidRPr="001C7A20" w:rsidRDefault="00724251" w:rsidP="00724251">
      <w:pPr>
        <w:spacing w:after="120" w:line="240" w:lineRule="auto"/>
        <w:jc w:val="both"/>
        <w:rPr>
          <w:rFonts w:ascii="Verdana" w:hAnsi="Verdana" w:cs="Times New Roman"/>
          <w:sz w:val="20"/>
          <w:szCs w:val="20"/>
        </w:rPr>
      </w:pPr>
      <w:r>
        <w:rPr>
          <w:rFonts w:ascii="Verdana" w:hAnsi="Verdana"/>
          <w:sz w:val="20"/>
          <w:szCs w:val="20"/>
        </w:rPr>
        <w:t xml:space="preserve">15. </w:t>
      </w:r>
      <w:r>
        <w:rPr>
          <w:rFonts w:ascii="Verdana" w:hAnsi="Verdana"/>
          <w:sz w:val="20"/>
          <w:szCs w:val="20"/>
        </w:rPr>
        <w:tab/>
      </w:r>
      <w:r w:rsidRPr="00724251">
        <w:rPr>
          <w:rFonts w:ascii="Verdana" w:hAnsi="Verdana"/>
          <w:sz w:val="20"/>
          <w:szCs w:val="20"/>
        </w:rPr>
        <w:t xml:space="preserve">En efecto, </w:t>
      </w:r>
      <w:r w:rsidRPr="00724251">
        <w:rPr>
          <w:rFonts w:ascii="Verdana" w:hAnsi="Verdana" w:cs="Times New Roman"/>
          <w:sz w:val="20"/>
          <w:szCs w:val="20"/>
        </w:rPr>
        <w:t>el artículo 13.3 de la Convención textualmente otorga protección a los bienes que s</w:t>
      </w:r>
      <w:r w:rsidR="003D68BF">
        <w:rPr>
          <w:rFonts w:ascii="Verdana" w:hAnsi="Verdana" w:cs="Times New Roman"/>
          <w:sz w:val="20"/>
          <w:szCs w:val="20"/>
        </w:rPr>
        <w:t>on</w:t>
      </w:r>
      <w:r w:rsidR="001812B0">
        <w:rPr>
          <w:rFonts w:ascii="Verdana" w:hAnsi="Verdana" w:cs="Times New Roman"/>
          <w:sz w:val="20"/>
          <w:szCs w:val="20"/>
        </w:rPr>
        <w:t>,</w:t>
      </w:r>
      <w:r w:rsidR="003D68BF">
        <w:rPr>
          <w:rFonts w:ascii="Verdana" w:hAnsi="Verdana" w:cs="Times New Roman"/>
          <w:sz w:val="20"/>
          <w:szCs w:val="20"/>
        </w:rPr>
        <w:t xml:space="preserve"> bajo ciertas circunstancias</w:t>
      </w:r>
      <w:r w:rsidR="001812B0">
        <w:rPr>
          <w:rFonts w:ascii="Verdana" w:hAnsi="Verdana" w:cs="Times New Roman"/>
          <w:sz w:val="20"/>
          <w:szCs w:val="20"/>
        </w:rPr>
        <w:t>,</w:t>
      </w:r>
      <w:r w:rsidR="003D68BF">
        <w:rPr>
          <w:rFonts w:ascii="Verdana" w:hAnsi="Verdana" w:cs="Times New Roman"/>
          <w:sz w:val="20"/>
          <w:szCs w:val="20"/>
        </w:rPr>
        <w:t xml:space="preserve"> </w:t>
      </w:r>
      <w:r w:rsidRPr="00724251">
        <w:rPr>
          <w:rFonts w:ascii="Verdana" w:hAnsi="Verdana" w:cs="Times New Roman"/>
          <w:sz w:val="20"/>
          <w:szCs w:val="20"/>
        </w:rPr>
        <w:t xml:space="preserve">indispensables para materializar </w:t>
      </w:r>
      <w:r w:rsidR="001812B0">
        <w:rPr>
          <w:rFonts w:ascii="Verdana" w:hAnsi="Verdana" w:cs="Times New Roman"/>
          <w:sz w:val="20"/>
          <w:szCs w:val="20"/>
        </w:rPr>
        <w:t>la libertad de expresión;</w:t>
      </w:r>
      <w:r w:rsidRPr="00724251">
        <w:rPr>
          <w:rFonts w:ascii="Verdana" w:hAnsi="Verdana" w:cs="Times New Roman"/>
          <w:sz w:val="20"/>
          <w:szCs w:val="20"/>
        </w:rPr>
        <w:t xml:space="preserve"> entre </w:t>
      </w:r>
      <w:r w:rsidR="001812B0">
        <w:rPr>
          <w:rFonts w:ascii="Verdana" w:hAnsi="Verdana" w:cs="Times New Roman"/>
          <w:sz w:val="20"/>
          <w:szCs w:val="20"/>
        </w:rPr>
        <w:t xml:space="preserve">estos bienes, </w:t>
      </w:r>
      <w:r w:rsidR="000043A8">
        <w:rPr>
          <w:rFonts w:ascii="Verdana" w:hAnsi="Verdana" w:cs="Times New Roman"/>
          <w:sz w:val="20"/>
          <w:szCs w:val="20"/>
        </w:rPr>
        <w:t>dicho precepto</w:t>
      </w:r>
      <w:r w:rsidR="001812B0">
        <w:rPr>
          <w:rFonts w:ascii="Verdana" w:hAnsi="Verdana" w:cs="Times New Roman"/>
          <w:sz w:val="20"/>
          <w:szCs w:val="20"/>
        </w:rPr>
        <w:t xml:space="preserve"> señala</w:t>
      </w:r>
      <w:r w:rsidRPr="00724251">
        <w:rPr>
          <w:rFonts w:ascii="Verdana" w:hAnsi="Verdana" w:cs="Times New Roman"/>
          <w:sz w:val="20"/>
          <w:szCs w:val="20"/>
        </w:rPr>
        <w:t xml:space="preserve"> los “</w:t>
      </w:r>
      <w:r w:rsidRPr="00E30169">
        <w:rPr>
          <w:rFonts w:ascii="Verdana" w:hAnsi="Verdana" w:cs="Times New Roman"/>
          <w:sz w:val="20"/>
          <w:szCs w:val="20"/>
          <w:u w:val="single"/>
        </w:rPr>
        <w:t>enseres y aparatos usados en la difusión de información</w:t>
      </w:r>
      <w:r w:rsidRPr="00724251">
        <w:rPr>
          <w:rFonts w:ascii="Verdana" w:hAnsi="Verdana" w:cs="Times New Roman"/>
          <w:sz w:val="20"/>
          <w:szCs w:val="20"/>
        </w:rPr>
        <w:t>”</w:t>
      </w:r>
      <w:r w:rsidR="001812B0">
        <w:rPr>
          <w:rFonts w:ascii="Verdana" w:hAnsi="Verdana" w:cs="Times New Roman"/>
          <w:sz w:val="20"/>
          <w:szCs w:val="20"/>
        </w:rPr>
        <w:t xml:space="preserve"> tal como son</w:t>
      </w:r>
      <w:r>
        <w:rPr>
          <w:rFonts w:ascii="Verdana" w:hAnsi="Verdana" w:cs="Times New Roman"/>
          <w:sz w:val="20"/>
          <w:szCs w:val="20"/>
        </w:rPr>
        <w:t xml:space="preserve"> los bienes</w:t>
      </w:r>
      <w:r w:rsidRPr="00724251">
        <w:rPr>
          <w:rFonts w:ascii="Verdana" w:hAnsi="Verdana" w:cs="Times New Roman"/>
          <w:sz w:val="20"/>
          <w:szCs w:val="20"/>
        </w:rPr>
        <w:t xml:space="preserve"> utilizados por un medio de comunicación</w:t>
      </w:r>
      <w:r w:rsidR="001812B0">
        <w:rPr>
          <w:rFonts w:ascii="Verdana" w:hAnsi="Verdana" w:cs="Times New Roman"/>
          <w:sz w:val="20"/>
          <w:szCs w:val="20"/>
        </w:rPr>
        <w:t xml:space="preserve"> como los de </w:t>
      </w:r>
      <w:r>
        <w:rPr>
          <w:rFonts w:ascii="Verdana" w:hAnsi="Verdana" w:cs="Times New Roman"/>
          <w:sz w:val="20"/>
          <w:szCs w:val="20"/>
        </w:rPr>
        <w:t>RCTV</w:t>
      </w:r>
      <w:r w:rsidR="001812B0">
        <w:rPr>
          <w:rFonts w:ascii="Verdana" w:hAnsi="Verdana" w:cs="Times New Roman"/>
          <w:sz w:val="20"/>
          <w:szCs w:val="20"/>
        </w:rPr>
        <w:t xml:space="preserve"> para el caso en concreto</w:t>
      </w:r>
      <w:r w:rsidRPr="00724251">
        <w:rPr>
          <w:rFonts w:ascii="Verdana" w:hAnsi="Verdana" w:cs="Times New Roman"/>
          <w:sz w:val="20"/>
          <w:szCs w:val="20"/>
        </w:rPr>
        <w:t xml:space="preserve">. </w:t>
      </w:r>
      <w:r>
        <w:rPr>
          <w:rFonts w:ascii="Verdana" w:hAnsi="Verdana" w:cs="Times New Roman"/>
          <w:sz w:val="20"/>
          <w:szCs w:val="20"/>
        </w:rPr>
        <w:t>E</w:t>
      </w:r>
      <w:r w:rsidRPr="00724251">
        <w:rPr>
          <w:rFonts w:ascii="Verdana" w:hAnsi="Verdana" w:cs="Times New Roman"/>
          <w:sz w:val="20"/>
          <w:szCs w:val="20"/>
        </w:rPr>
        <w:t xml:space="preserve">sta disposición </w:t>
      </w:r>
      <w:r w:rsidR="001812B0">
        <w:rPr>
          <w:rFonts w:ascii="Verdana" w:hAnsi="Verdana" w:cs="Times New Roman"/>
          <w:sz w:val="20"/>
          <w:szCs w:val="20"/>
        </w:rPr>
        <w:t xml:space="preserve">convencional </w:t>
      </w:r>
      <w:r w:rsidRPr="00724251">
        <w:rPr>
          <w:rFonts w:ascii="Verdana" w:hAnsi="Verdana" w:cs="Times New Roman"/>
          <w:sz w:val="20"/>
          <w:szCs w:val="20"/>
        </w:rPr>
        <w:t xml:space="preserve">tiene por objeto proteger la propiedad de tales enseres y aparatos evitando que los mismos sean objeto de injerencias arbitrarias. Asimismo, la propiedad de dichos bienes no puede ser ejercida de forma absoluta, sino que en todo caso, tiene que orientarse de acuerdo con los parámetros impuestos por el </w:t>
      </w:r>
      <w:r>
        <w:rPr>
          <w:rFonts w:ascii="Verdana" w:hAnsi="Verdana" w:cs="Times New Roman"/>
          <w:sz w:val="20"/>
          <w:szCs w:val="20"/>
        </w:rPr>
        <w:t xml:space="preserve">propio </w:t>
      </w:r>
      <w:r w:rsidR="00AF48D2">
        <w:rPr>
          <w:rFonts w:ascii="Verdana" w:hAnsi="Verdana" w:cs="Times New Roman"/>
          <w:sz w:val="20"/>
          <w:szCs w:val="20"/>
        </w:rPr>
        <w:t>a</w:t>
      </w:r>
      <w:r w:rsidRPr="00724251">
        <w:rPr>
          <w:rFonts w:ascii="Verdana" w:hAnsi="Verdana" w:cs="Times New Roman"/>
          <w:sz w:val="20"/>
          <w:szCs w:val="20"/>
        </w:rPr>
        <w:t>rtículo 21 de la Convención Americana.</w:t>
      </w:r>
    </w:p>
    <w:p w14:paraId="6C55ED88" w14:textId="77777777" w:rsidR="000A74BF" w:rsidRDefault="00724251" w:rsidP="00C2472C">
      <w:pPr>
        <w:pStyle w:val="ListParagraph"/>
        <w:spacing w:line="240" w:lineRule="auto"/>
        <w:ind w:left="0"/>
        <w:jc w:val="both"/>
        <w:rPr>
          <w:rFonts w:ascii="Verdana" w:hAnsi="Verdana"/>
          <w:sz w:val="20"/>
          <w:szCs w:val="20"/>
        </w:rPr>
      </w:pPr>
      <w:r>
        <w:rPr>
          <w:rFonts w:ascii="Verdana" w:hAnsi="Verdana"/>
          <w:sz w:val="20"/>
          <w:szCs w:val="20"/>
        </w:rPr>
        <w:t xml:space="preserve">16. </w:t>
      </w:r>
      <w:r>
        <w:rPr>
          <w:rFonts w:ascii="Verdana" w:hAnsi="Verdana"/>
          <w:sz w:val="20"/>
          <w:szCs w:val="20"/>
        </w:rPr>
        <w:tab/>
        <w:t xml:space="preserve">Así, en el </w:t>
      </w:r>
      <w:r w:rsidR="00C2472C">
        <w:rPr>
          <w:rFonts w:ascii="Verdana" w:hAnsi="Verdana"/>
          <w:sz w:val="20"/>
          <w:szCs w:val="20"/>
        </w:rPr>
        <w:t>caso concreto</w:t>
      </w:r>
      <w:r w:rsidR="001812B0">
        <w:rPr>
          <w:rFonts w:ascii="Verdana" w:hAnsi="Verdana"/>
          <w:sz w:val="20"/>
          <w:szCs w:val="20"/>
        </w:rPr>
        <w:t>,</w:t>
      </w:r>
      <w:r w:rsidR="00C2472C">
        <w:rPr>
          <w:rFonts w:ascii="Verdana" w:hAnsi="Verdana"/>
          <w:sz w:val="20"/>
          <w:szCs w:val="20"/>
        </w:rPr>
        <w:t xml:space="preserve"> la Sala Constitucional del Tribunal Supremo de Justicia privó del </w:t>
      </w:r>
      <w:r w:rsidR="008E011A">
        <w:rPr>
          <w:rFonts w:ascii="Verdana" w:hAnsi="Verdana"/>
          <w:sz w:val="20"/>
          <w:szCs w:val="20"/>
        </w:rPr>
        <w:t>“</w:t>
      </w:r>
      <w:r w:rsidR="00C2472C">
        <w:rPr>
          <w:rFonts w:ascii="Verdana" w:hAnsi="Verdana"/>
          <w:sz w:val="20"/>
          <w:szCs w:val="20"/>
        </w:rPr>
        <w:t>uso y goce</w:t>
      </w:r>
      <w:r w:rsidR="008E011A">
        <w:rPr>
          <w:rFonts w:ascii="Verdana" w:hAnsi="Verdana"/>
          <w:sz w:val="20"/>
          <w:szCs w:val="20"/>
        </w:rPr>
        <w:t>”</w:t>
      </w:r>
      <w:r w:rsidR="00C2472C">
        <w:rPr>
          <w:rFonts w:ascii="Verdana" w:hAnsi="Verdana"/>
          <w:sz w:val="20"/>
          <w:szCs w:val="20"/>
        </w:rPr>
        <w:t xml:space="preserve"> de una parte importante de los bienes de RCTV</w:t>
      </w:r>
      <w:r w:rsidR="008E3F73">
        <w:rPr>
          <w:rStyle w:val="FootnoteReference"/>
          <w:rFonts w:ascii="Verdana" w:hAnsi="Verdana"/>
          <w:sz w:val="20"/>
          <w:szCs w:val="20"/>
        </w:rPr>
        <w:footnoteReference w:id="21"/>
      </w:r>
      <w:r w:rsidR="00C2472C">
        <w:rPr>
          <w:rFonts w:ascii="Verdana" w:hAnsi="Verdana"/>
          <w:sz w:val="20"/>
          <w:szCs w:val="20"/>
        </w:rPr>
        <w:t xml:space="preserve"> a través de unas “medidas cautelares innominadas”</w:t>
      </w:r>
      <w:r w:rsidR="001812B0">
        <w:rPr>
          <w:rFonts w:ascii="Verdana" w:hAnsi="Verdana"/>
          <w:sz w:val="20"/>
          <w:szCs w:val="20"/>
        </w:rPr>
        <w:t xml:space="preserve"> e</w:t>
      </w:r>
      <w:r w:rsidR="00C2472C">
        <w:rPr>
          <w:rFonts w:ascii="Verdana" w:hAnsi="Verdana"/>
          <w:sz w:val="20"/>
          <w:szCs w:val="20"/>
        </w:rPr>
        <w:t xml:space="preserve"> indefinidas en el tiempo</w:t>
      </w:r>
      <w:r w:rsidR="00A3280D">
        <w:rPr>
          <w:rStyle w:val="FootnoteReference"/>
          <w:rFonts w:ascii="Verdana" w:hAnsi="Verdana"/>
          <w:sz w:val="20"/>
          <w:szCs w:val="20"/>
        </w:rPr>
        <w:footnoteReference w:id="22"/>
      </w:r>
      <w:r w:rsidR="001812B0">
        <w:rPr>
          <w:rFonts w:ascii="Verdana" w:hAnsi="Verdana"/>
          <w:sz w:val="20"/>
          <w:szCs w:val="20"/>
        </w:rPr>
        <w:t>;</w:t>
      </w:r>
      <w:r w:rsidR="00C2472C">
        <w:rPr>
          <w:rFonts w:ascii="Verdana" w:hAnsi="Verdana"/>
          <w:sz w:val="20"/>
          <w:szCs w:val="20"/>
        </w:rPr>
        <w:t xml:space="preserve"> lo que</w:t>
      </w:r>
      <w:r w:rsidR="001812B0">
        <w:rPr>
          <w:rFonts w:ascii="Verdana" w:hAnsi="Verdana"/>
          <w:sz w:val="20"/>
          <w:szCs w:val="20"/>
        </w:rPr>
        <w:t>,</w:t>
      </w:r>
      <w:r w:rsidR="00C2472C">
        <w:rPr>
          <w:rFonts w:ascii="Verdana" w:hAnsi="Verdana"/>
          <w:sz w:val="20"/>
          <w:szCs w:val="20"/>
        </w:rPr>
        <w:t xml:space="preserve"> </w:t>
      </w:r>
      <w:r w:rsidR="00D10C55" w:rsidRPr="001812B0">
        <w:rPr>
          <w:rFonts w:ascii="Verdana" w:hAnsi="Verdana"/>
          <w:i/>
          <w:sz w:val="20"/>
          <w:szCs w:val="20"/>
        </w:rPr>
        <w:t>de facto</w:t>
      </w:r>
      <w:r w:rsidR="001812B0">
        <w:rPr>
          <w:rFonts w:ascii="Verdana" w:hAnsi="Verdana"/>
          <w:sz w:val="20"/>
          <w:szCs w:val="20"/>
        </w:rPr>
        <w:t>,</w:t>
      </w:r>
      <w:r w:rsidR="00C2472C">
        <w:rPr>
          <w:rFonts w:ascii="Verdana" w:hAnsi="Verdana"/>
          <w:sz w:val="20"/>
          <w:szCs w:val="20"/>
        </w:rPr>
        <w:t xml:space="preserve"> se traduce en una </w:t>
      </w:r>
      <w:r w:rsidR="001812B0">
        <w:rPr>
          <w:rFonts w:ascii="Verdana" w:hAnsi="Verdana"/>
          <w:sz w:val="20"/>
          <w:szCs w:val="20"/>
        </w:rPr>
        <w:t>i</w:t>
      </w:r>
      <w:r w:rsidR="00C2472C">
        <w:rPr>
          <w:rFonts w:ascii="Verdana" w:hAnsi="Verdana"/>
          <w:sz w:val="20"/>
          <w:szCs w:val="20"/>
        </w:rPr>
        <w:t>ncautación de bienes</w:t>
      </w:r>
      <w:r w:rsidR="00A870AC">
        <w:rPr>
          <w:rFonts w:ascii="Verdana" w:hAnsi="Verdana"/>
          <w:sz w:val="20"/>
          <w:szCs w:val="20"/>
        </w:rPr>
        <w:t xml:space="preserve"> sin indemnización y en una restricción indirecta al ejercicio de </w:t>
      </w:r>
      <w:r w:rsidR="00E30169">
        <w:rPr>
          <w:rFonts w:ascii="Verdana" w:hAnsi="Verdana"/>
          <w:sz w:val="20"/>
          <w:szCs w:val="20"/>
        </w:rPr>
        <w:t xml:space="preserve">libertad de </w:t>
      </w:r>
      <w:r w:rsidR="001812B0">
        <w:rPr>
          <w:rFonts w:ascii="Verdana" w:hAnsi="Verdana"/>
          <w:sz w:val="20"/>
          <w:szCs w:val="20"/>
        </w:rPr>
        <w:t xml:space="preserve">expresión </w:t>
      </w:r>
      <w:r w:rsidR="00A870AC">
        <w:rPr>
          <w:rFonts w:ascii="Verdana" w:hAnsi="Verdana"/>
          <w:sz w:val="20"/>
          <w:szCs w:val="20"/>
        </w:rPr>
        <w:t xml:space="preserve">que </w:t>
      </w:r>
      <w:r w:rsidR="001812B0">
        <w:rPr>
          <w:rFonts w:ascii="Verdana" w:hAnsi="Verdana"/>
          <w:sz w:val="20"/>
          <w:szCs w:val="20"/>
        </w:rPr>
        <w:t>las víct</w:t>
      </w:r>
      <w:r w:rsidR="0052278E">
        <w:rPr>
          <w:rFonts w:ascii="Verdana" w:hAnsi="Verdana"/>
          <w:sz w:val="20"/>
          <w:szCs w:val="20"/>
        </w:rPr>
        <w:t>i</w:t>
      </w:r>
      <w:r w:rsidR="001812B0">
        <w:rPr>
          <w:rFonts w:ascii="Verdana" w:hAnsi="Verdana"/>
          <w:sz w:val="20"/>
          <w:szCs w:val="20"/>
        </w:rPr>
        <w:t xml:space="preserve">mas </w:t>
      </w:r>
      <w:r w:rsidR="00A870AC">
        <w:rPr>
          <w:rFonts w:ascii="Verdana" w:hAnsi="Verdana"/>
          <w:sz w:val="20"/>
          <w:szCs w:val="20"/>
        </w:rPr>
        <w:t>realizaban a través del medio de comunicación.</w:t>
      </w:r>
      <w:r w:rsidR="00C2472C">
        <w:rPr>
          <w:rFonts w:ascii="Verdana" w:hAnsi="Verdana"/>
          <w:sz w:val="20"/>
          <w:szCs w:val="20"/>
        </w:rPr>
        <w:t xml:space="preserve"> </w:t>
      </w:r>
      <w:r w:rsidR="00237B64">
        <w:rPr>
          <w:rFonts w:ascii="Verdana" w:hAnsi="Verdana"/>
          <w:sz w:val="20"/>
          <w:szCs w:val="20"/>
        </w:rPr>
        <w:t>R</w:t>
      </w:r>
      <w:r w:rsidR="00237B64" w:rsidRPr="00237B64">
        <w:rPr>
          <w:rFonts w:ascii="Verdana" w:hAnsi="Verdana" w:cs="Times New Roman"/>
          <w:sz w:val="20"/>
          <w:szCs w:val="20"/>
        </w:rPr>
        <w:t xml:space="preserve">esulta evidente que la pérdida de </w:t>
      </w:r>
      <w:r w:rsidR="001812B0">
        <w:rPr>
          <w:rFonts w:ascii="Verdana" w:hAnsi="Verdana" w:cs="Times New Roman"/>
          <w:sz w:val="20"/>
          <w:szCs w:val="20"/>
        </w:rPr>
        <w:t xml:space="preserve">los </w:t>
      </w:r>
      <w:r w:rsidR="00237B64" w:rsidRPr="00237B64">
        <w:rPr>
          <w:rFonts w:ascii="Verdana" w:hAnsi="Verdana" w:cs="Times New Roman"/>
          <w:sz w:val="20"/>
          <w:szCs w:val="20"/>
        </w:rPr>
        <w:t xml:space="preserve">bienes </w:t>
      </w:r>
      <w:r w:rsidR="00E30169">
        <w:rPr>
          <w:rFonts w:ascii="Verdana" w:hAnsi="Verdana" w:cs="Times New Roman"/>
          <w:sz w:val="20"/>
          <w:szCs w:val="20"/>
        </w:rPr>
        <w:t>de la empresa</w:t>
      </w:r>
      <w:r w:rsidR="001812B0">
        <w:rPr>
          <w:rFonts w:ascii="Verdana" w:hAnsi="Verdana" w:cs="Times New Roman"/>
          <w:sz w:val="20"/>
          <w:szCs w:val="20"/>
        </w:rPr>
        <w:t>,</w:t>
      </w:r>
      <w:r w:rsidR="00E30169">
        <w:rPr>
          <w:rFonts w:ascii="Verdana" w:hAnsi="Verdana" w:cs="Times New Roman"/>
          <w:sz w:val="20"/>
          <w:szCs w:val="20"/>
        </w:rPr>
        <w:t xml:space="preserve"> </w:t>
      </w:r>
      <w:r w:rsidR="00237B64" w:rsidRPr="00237B64">
        <w:rPr>
          <w:rFonts w:ascii="Verdana" w:hAnsi="Verdana" w:cs="Times New Roman"/>
          <w:sz w:val="20"/>
          <w:szCs w:val="20"/>
        </w:rPr>
        <w:t xml:space="preserve">que hacían posible la labor </w:t>
      </w:r>
      <w:r w:rsidR="00910C88">
        <w:rPr>
          <w:rFonts w:ascii="Verdana" w:hAnsi="Verdana" w:cs="Times New Roman"/>
          <w:sz w:val="20"/>
          <w:szCs w:val="20"/>
        </w:rPr>
        <w:t xml:space="preserve">comunicacional de las </w:t>
      </w:r>
      <w:r w:rsidR="00237B64" w:rsidRPr="00237B64">
        <w:rPr>
          <w:rFonts w:ascii="Verdana" w:hAnsi="Verdana" w:cs="Times New Roman"/>
          <w:sz w:val="20"/>
          <w:szCs w:val="20"/>
        </w:rPr>
        <w:t>víctimas del caso</w:t>
      </w:r>
      <w:r w:rsidR="00E30169">
        <w:rPr>
          <w:rFonts w:ascii="Verdana" w:hAnsi="Verdana" w:cs="Times New Roman"/>
          <w:sz w:val="20"/>
          <w:szCs w:val="20"/>
        </w:rPr>
        <w:t>,</w:t>
      </w:r>
      <w:r w:rsidR="00237B64" w:rsidRPr="00237B64">
        <w:rPr>
          <w:rFonts w:ascii="Verdana" w:hAnsi="Verdana" w:cs="Times New Roman"/>
          <w:sz w:val="20"/>
          <w:szCs w:val="20"/>
        </w:rPr>
        <w:t xml:space="preserve"> fue</w:t>
      </w:r>
      <w:r w:rsidR="0052278E">
        <w:rPr>
          <w:rFonts w:ascii="Verdana" w:hAnsi="Verdana" w:cs="Times New Roman"/>
          <w:sz w:val="20"/>
          <w:szCs w:val="20"/>
        </w:rPr>
        <w:t xml:space="preserve"> un hecho que se sumó a</w:t>
      </w:r>
      <w:r w:rsidR="00237B64" w:rsidRPr="00237B64">
        <w:rPr>
          <w:rFonts w:ascii="Verdana" w:hAnsi="Verdana" w:cs="Times New Roman"/>
          <w:sz w:val="20"/>
          <w:szCs w:val="20"/>
        </w:rPr>
        <w:t xml:space="preserve"> la no renovación de la concesión de forma arbitraria. A partir de dicho acto ilícito</w:t>
      </w:r>
      <w:r w:rsidR="001812B0">
        <w:rPr>
          <w:rFonts w:ascii="Verdana" w:hAnsi="Verdana" w:cs="Times New Roman"/>
          <w:sz w:val="20"/>
          <w:szCs w:val="20"/>
        </w:rPr>
        <w:t>,</w:t>
      </w:r>
      <w:r w:rsidR="00237B64" w:rsidRPr="00237B64">
        <w:rPr>
          <w:rFonts w:ascii="Verdana" w:hAnsi="Verdana" w:cs="Times New Roman"/>
          <w:sz w:val="20"/>
          <w:szCs w:val="20"/>
        </w:rPr>
        <w:t xml:space="preserve"> se justificó la adopción de las medidas cautelares que llevaron a que dichos bienes fueran traspasado</w:t>
      </w:r>
      <w:r w:rsidR="00910C88">
        <w:rPr>
          <w:rFonts w:ascii="Verdana" w:hAnsi="Verdana" w:cs="Times New Roman"/>
          <w:sz w:val="20"/>
          <w:szCs w:val="20"/>
        </w:rPr>
        <w:t>s</w:t>
      </w:r>
      <w:r w:rsidR="00237B64" w:rsidRPr="00237B64">
        <w:rPr>
          <w:rFonts w:ascii="Verdana" w:hAnsi="Verdana" w:cs="Times New Roman"/>
          <w:sz w:val="20"/>
          <w:szCs w:val="20"/>
        </w:rPr>
        <w:t xml:space="preserve"> al nuevo concesionario, con el fin de que la nueva compañía pudiera iniciar operaciones</w:t>
      </w:r>
      <w:r w:rsidR="001812B0">
        <w:rPr>
          <w:rFonts w:ascii="Verdana" w:hAnsi="Verdana" w:cs="Times New Roman"/>
          <w:sz w:val="20"/>
          <w:szCs w:val="20"/>
        </w:rPr>
        <w:t>,</w:t>
      </w:r>
      <w:r w:rsidR="00237B64" w:rsidRPr="00237B64">
        <w:rPr>
          <w:rFonts w:ascii="Verdana" w:hAnsi="Verdana" w:cs="Times New Roman"/>
          <w:sz w:val="20"/>
          <w:szCs w:val="20"/>
        </w:rPr>
        <w:t xml:space="preserve"> dado que “</w:t>
      </w:r>
      <w:r w:rsidR="00237B64" w:rsidRPr="00237B64">
        <w:rPr>
          <w:rFonts w:ascii="Verdana" w:hAnsi="Verdana" w:cs="Times New Roman"/>
          <w:sz w:val="20"/>
          <w:szCs w:val="20"/>
          <w:lang w:val="es-CL"/>
        </w:rPr>
        <w:t xml:space="preserve">no contaba con la infraestructura necesaria para la transmisión a nivel nacional”. </w:t>
      </w:r>
      <w:r w:rsidR="00C2472C">
        <w:rPr>
          <w:rFonts w:ascii="Verdana" w:hAnsi="Verdana"/>
          <w:sz w:val="20"/>
          <w:szCs w:val="20"/>
        </w:rPr>
        <w:t xml:space="preserve">Además, resulta evidente </w:t>
      </w:r>
      <w:r w:rsidR="00A870AC">
        <w:rPr>
          <w:rFonts w:ascii="Verdana" w:hAnsi="Verdana"/>
          <w:sz w:val="20"/>
          <w:szCs w:val="20"/>
        </w:rPr>
        <w:t>el menoscabo</w:t>
      </w:r>
      <w:r w:rsidR="001812B0">
        <w:rPr>
          <w:rFonts w:ascii="Verdana" w:hAnsi="Verdana"/>
          <w:sz w:val="20"/>
          <w:szCs w:val="20"/>
        </w:rPr>
        <w:t xml:space="preserve"> en el</w:t>
      </w:r>
      <w:r w:rsidR="00C2472C">
        <w:rPr>
          <w:rFonts w:ascii="Verdana" w:hAnsi="Verdana"/>
          <w:sz w:val="20"/>
          <w:szCs w:val="20"/>
        </w:rPr>
        <w:t xml:space="preserve"> valor de las acciones —cuya titularidad y propiedad son </w:t>
      </w:r>
      <w:r w:rsidR="0052278E">
        <w:rPr>
          <w:rFonts w:ascii="Verdana" w:hAnsi="Verdana"/>
          <w:sz w:val="20"/>
          <w:szCs w:val="20"/>
        </w:rPr>
        <w:t xml:space="preserve">de </w:t>
      </w:r>
      <w:r w:rsidR="00C2472C">
        <w:rPr>
          <w:rFonts w:ascii="Verdana" w:hAnsi="Verdana"/>
          <w:sz w:val="20"/>
          <w:szCs w:val="20"/>
        </w:rPr>
        <w:t xml:space="preserve">los accionistas víctimas en </w:t>
      </w:r>
      <w:r w:rsidR="00A870AC">
        <w:rPr>
          <w:rFonts w:ascii="Verdana" w:hAnsi="Verdana"/>
          <w:sz w:val="20"/>
          <w:szCs w:val="20"/>
        </w:rPr>
        <w:t>el caso—</w:t>
      </w:r>
      <w:r w:rsidR="00E30169">
        <w:rPr>
          <w:rFonts w:ascii="Verdana" w:hAnsi="Verdana"/>
          <w:sz w:val="20"/>
          <w:szCs w:val="20"/>
        </w:rPr>
        <w:t xml:space="preserve"> </w:t>
      </w:r>
      <w:r w:rsidR="00A870AC">
        <w:rPr>
          <w:rFonts w:ascii="Verdana" w:hAnsi="Verdana"/>
          <w:sz w:val="20"/>
          <w:szCs w:val="20"/>
        </w:rPr>
        <w:t xml:space="preserve">por el cierre de RCTV, cuestión distinta es determinar el </w:t>
      </w:r>
      <w:r w:rsidR="00A870AC" w:rsidRPr="00A870AC">
        <w:rPr>
          <w:rFonts w:ascii="Verdana" w:hAnsi="Verdana"/>
          <w:i/>
          <w:sz w:val="20"/>
          <w:szCs w:val="20"/>
        </w:rPr>
        <w:t>quantum</w:t>
      </w:r>
      <w:r w:rsidR="00A870AC">
        <w:rPr>
          <w:rFonts w:ascii="Verdana" w:hAnsi="Verdana"/>
          <w:sz w:val="20"/>
          <w:szCs w:val="20"/>
        </w:rPr>
        <w:t xml:space="preserve"> del deterioro de las acciones.</w:t>
      </w:r>
    </w:p>
    <w:p w14:paraId="3786609C" w14:textId="77777777" w:rsidR="002E3E31" w:rsidRDefault="002E3E31" w:rsidP="002E3E31">
      <w:pPr>
        <w:pStyle w:val="ListParagraph"/>
        <w:spacing w:line="240" w:lineRule="auto"/>
        <w:ind w:left="0"/>
        <w:jc w:val="both"/>
        <w:rPr>
          <w:rFonts w:ascii="Verdana" w:hAnsi="Verdana"/>
          <w:sz w:val="20"/>
          <w:szCs w:val="20"/>
        </w:rPr>
      </w:pPr>
    </w:p>
    <w:p w14:paraId="39351138" w14:textId="78E9764A" w:rsidR="0019361C" w:rsidRPr="0019361C" w:rsidRDefault="00724251" w:rsidP="00D26E89">
      <w:pPr>
        <w:pStyle w:val="ListParagraph"/>
        <w:spacing w:line="240" w:lineRule="auto"/>
        <w:ind w:left="0"/>
        <w:jc w:val="both"/>
        <w:rPr>
          <w:rFonts w:ascii="Verdana" w:hAnsi="Verdana"/>
          <w:sz w:val="20"/>
          <w:szCs w:val="20"/>
        </w:rPr>
      </w:pPr>
      <w:r>
        <w:rPr>
          <w:rFonts w:ascii="Verdana" w:hAnsi="Verdana"/>
          <w:sz w:val="20"/>
          <w:szCs w:val="20"/>
        </w:rPr>
        <w:lastRenderedPageBreak/>
        <w:t>17</w:t>
      </w:r>
      <w:r w:rsidR="0022429B">
        <w:rPr>
          <w:rFonts w:ascii="Verdana" w:hAnsi="Verdana"/>
          <w:sz w:val="20"/>
          <w:szCs w:val="20"/>
        </w:rPr>
        <w:t>.</w:t>
      </w:r>
      <w:r w:rsidR="0022429B">
        <w:rPr>
          <w:rFonts w:ascii="Verdana" w:hAnsi="Verdana"/>
          <w:sz w:val="20"/>
          <w:szCs w:val="20"/>
        </w:rPr>
        <w:tab/>
      </w:r>
      <w:r w:rsidR="007534D1">
        <w:rPr>
          <w:rFonts w:ascii="Verdana" w:hAnsi="Verdana"/>
          <w:sz w:val="20"/>
          <w:szCs w:val="20"/>
          <w:u w:val="single"/>
        </w:rPr>
        <w:t>En tercer</w:t>
      </w:r>
      <w:r w:rsidR="007534D1" w:rsidRPr="00B21A80">
        <w:rPr>
          <w:rFonts w:ascii="Verdana" w:hAnsi="Verdana"/>
          <w:sz w:val="20"/>
          <w:szCs w:val="20"/>
          <w:u w:val="single"/>
        </w:rPr>
        <w:t xml:space="preserve"> lugar</w:t>
      </w:r>
      <w:r w:rsidR="007534D1">
        <w:rPr>
          <w:rFonts w:ascii="Verdana" w:hAnsi="Verdana"/>
          <w:sz w:val="20"/>
          <w:szCs w:val="20"/>
        </w:rPr>
        <w:t xml:space="preserve">, difiero de la mayoría en cuanto a que no se comprobó la violación </w:t>
      </w:r>
      <w:r w:rsidR="00B21A80">
        <w:rPr>
          <w:rFonts w:ascii="Verdana" w:hAnsi="Verdana"/>
          <w:sz w:val="20"/>
          <w:szCs w:val="20"/>
        </w:rPr>
        <w:t xml:space="preserve">a las garantías de independencia e imparcialidad </w:t>
      </w:r>
      <w:r w:rsidR="007534D1">
        <w:rPr>
          <w:rFonts w:ascii="Verdana" w:hAnsi="Verdana"/>
          <w:sz w:val="20"/>
          <w:szCs w:val="20"/>
        </w:rPr>
        <w:t>contenidas en el artículo 8.1 en relación con el artículo 1.1. de la Convención (Resolutivos 11 y 12 de la Sentencia)</w:t>
      </w:r>
      <w:r w:rsidR="00B21A80">
        <w:rPr>
          <w:rFonts w:ascii="Verdana" w:hAnsi="Verdana"/>
          <w:sz w:val="20"/>
          <w:szCs w:val="20"/>
        </w:rPr>
        <w:t xml:space="preserve">. </w:t>
      </w:r>
      <w:r w:rsidR="007534D1">
        <w:rPr>
          <w:rFonts w:ascii="Verdana" w:hAnsi="Verdana"/>
          <w:sz w:val="20"/>
          <w:szCs w:val="20"/>
        </w:rPr>
        <w:t>E</w:t>
      </w:r>
      <w:r w:rsidR="000A74BF">
        <w:rPr>
          <w:rFonts w:ascii="Verdana" w:hAnsi="Verdana"/>
          <w:sz w:val="20"/>
          <w:szCs w:val="20"/>
        </w:rPr>
        <w:t>stimo que</w:t>
      </w:r>
      <w:r w:rsidR="00A82C8C">
        <w:rPr>
          <w:rFonts w:ascii="Verdana" w:hAnsi="Verdana"/>
          <w:sz w:val="20"/>
          <w:szCs w:val="20"/>
        </w:rPr>
        <w:t>,</w:t>
      </w:r>
      <w:r w:rsidR="000A74BF">
        <w:rPr>
          <w:rFonts w:ascii="Verdana" w:hAnsi="Verdana"/>
          <w:sz w:val="20"/>
          <w:szCs w:val="20"/>
        </w:rPr>
        <w:t xml:space="preserve"> al habers</w:t>
      </w:r>
      <w:r w:rsidR="00A77912">
        <w:rPr>
          <w:rFonts w:ascii="Verdana" w:hAnsi="Verdana"/>
          <w:sz w:val="20"/>
          <w:szCs w:val="20"/>
        </w:rPr>
        <w:t xml:space="preserve">e declarado y probado en el caso la existencia de una “desviación de poder”, </w:t>
      </w:r>
      <w:r w:rsidR="0019361C" w:rsidRPr="00E2636C">
        <w:rPr>
          <w:rFonts w:ascii="Verdana" w:hAnsi="Verdana"/>
          <w:sz w:val="20"/>
          <w:szCs w:val="20"/>
        </w:rPr>
        <w:t xml:space="preserve">debido a que se hizo uso de una facultad permitida del Estado con el objetivo de “alinear editorialmente” al medio de comunicación con el gobierno, la consecuencia </w:t>
      </w:r>
      <w:r w:rsidR="00B64B18">
        <w:rPr>
          <w:rFonts w:ascii="Verdana" w:hAnsi="Verdana"/>
          <w:sz w:val="20"/>
          <w:szCs w:val="20"/>
        </w:rPr>
        <w:t>lógica y coherente</w:t>
      </w:r>
      <w:r w:rsidR="0019361C">
        <w:rPr>
          <w:rFonts w:ascii="Verdana" w:hAnsi="Verdana"/>
          <w:sz w:val="20"/>
          <w:szCs w:val="20"/>
        </w:rPr>
        <w:t xml:space="preserve"> </w:t>
      </w:r>
      <w:r w:rsidR="00B64B18">
        <w:rPr>
          <w:rFonts w:ascii="Verdana" w:hAnsi="Verdana"/>
          <w:sz w:val="20"/>
          <w:szCs w:val="20"/>
        </w:rPr>
        <w:t>sería</w:t>
      </w:r>
      <w:r w:rsidR="0019361C">
        <w:rPr>
          <w:rFonts w:ascii="Verdana" w:hAnsi="Verdana"/>
          <w:sz w:val="20"/>
          <w:szCs w:val="20"/>
        </w:rPr>
        <w:t xml:space="preserve"> </w:t>
      </w:r>
      <w:r w:rsidR="00A870AC">
        <w:rPr>
          <w:rFonts w:ascii="Verdana" w:hAnsi="Verdana"/>
          <w:sz w:val="20"/>
          <w:szCs w:val="20"/>
        </w:rPr>
        <w:t>haber declarado</w:t>
      </w:r>
      <w:r w:rsidR="00A82C8C">
        <w:rPr>
          <w:rFonts w:ascii="Verdana" w:hAnsi="Verdana"/>
          <w:sz w:val="20"/>
          <w:szCs w:val="20"/>
        </w:rPr>
        <w:t xml:space="preserve"> también </w:t>
      </w:r>
      <w:r w:rsidR="00A870AC">
        <w:rPr>
          <w:rFonts w:ascii="Verdana" w:hAnsi="Verdana"/>
          <w:sz w:val="20"/>
          <w:szCs w:val="20"/>
        </w:rPr>
        <w:t>violad</w:t>
      </w:r>
      <w:r w:rsidR="00A82C8C">
        <w:rPr>
          <w:rFonts w:ascii="Verdana" w:hAnsi="Verdana"/>
          <w:sz w:val="20"/>
          <w:szCs w:val="20"/>
        </w:rPr>
        <w:t>a</w:t>
      </w:r>
      <w:r w:rsidR="00A870AC">
        <w:rPr>
          <w:rFonts w:ascii="Verdana" w:hAnsi="Verdana"/>
          <w:sz w:val="20"/>
          <w:szCs w:val="20"/>
        </w:rPr>
        <w:t xml:space="preserve"> la</w:t>
      </w:r>
      <w:r w:rsidR="007534D1">
        <w:rPr>
          <w:rFonts w:ascii="Verdana" w:hAnsi="Verdana"/>
          <w:sz w:val="20"/>
          <w:szCs w:val="20"/>
        </w:rPr>
        <w:t>s</w:t>
      </w:r>
      <w:r w:rsidR="00A870AC">
        <w:rPr>
          <w:rFonts w:ascii="Verdana" w:hAnsi="Verdana"/>
          <w:sz w:val="20"/>
          <w:szCs w:val="20"/>
        </w:rPr>
        <w:t xml:space="preserve"> garantía</w:t>
      </w:r>
      <w:r w:rsidR="007534D1">
        <w:rPr>
          <w:rFonts w:ascii="Verdana" w:hAnsi="Verdana"/>
          <w:sz w:val="20"/>
          <w:szCs w:val="20"/>
        </w:rPr>
        <w:t>s</w:t>
      </w:r>
      <w:r w:rsidR="00A870AC">
        <w:rPr>
          <w:rFonts w:ascii="Verdana" w:hAnsi="Verdana"/>
          <w:sz w:val="20"/>
          <w:szCs w:val="20"/>
        </w:rPr>
        <w:t xml:space="preserve"> de independencia </w:t>
      </w:r>
      <w:r w:rsidR="007534D1">
        <w:rPr>
          <w:rFonts w:ascii="Verdana" w:hAnsi="Verdana"/>
          <w:sz w:val="20"/>
          <w:szCs w:val="20"/>
        </w:rPr>
        <w:t xml:space="preserve">e imparcialidad </w:t>
      </w:r>
      <w:r w:rsidR="00A870AC">
        <w:rPr>
          <w:rFonts w:ascii="Verdana" w:hAnsi="Verdana"/>
          <w:sz w:val="20"/>
          <w:szCs w:val="20"/>
        </w:rPr>
        <w:t>judicial que prevé el artículo 8.1</w:t>
      </w:r>
      <w:r w:rsidR="0088372D">
        <w:rPr>
          <w:rFonts w:ascii="Verdana" w:hAnsi="Verdana"/>
          <w:sz w:val="20"/>
          <w:szCs w:val="20"/>
        </w:rPr>
        <w:t xml:space="preserve"> de la Convención Americana</w:t>
      </w:r>
      <w:r w:rsidR="00A870AC">
        <w:rPr>
          <w:rFonts w:ascii="Verdana" w:hAnsi="Verdana"/>
          <w:sz w:val="20"/>
          <w:szCs w:val="20"/>
        </w:rPr>
        <w:t xml:space="preserve">. Lo anterior debido a </w:t>
      </w:r>
      <w:r w:rsidR="0088372D">
        <w:rPr>
          <w:rFonts w:ascii="Verdana" w:hAnsi="Verdana"/>
          <w:sz w:val="20"/>
          <w:szCs w:val="20"/>
        </w:rPr>
        <w:t>que la finalidad no declarada en las actuaciones en sede de los procedimientos administrativos y</w:t>
      </w:r>
      <w:r w:rsidR="00A82C8C">
        <w:rPr>
          <w:rFonts w:ascii="Verdana" w:hAnsi="Verdana"/>
          <w:sz w:val="20"/>
          <w:szCs w:val="20"/>
        </w:rPr>
        <w:t>,</w:t>
      </w:r>
      <w:r w:rsidR="0088372D">
        <w:rPr>
          <w:rFonts w:ascii="Verdana" w:hAnsi="Verdana"/>
          <w:sz w:val="20"/>
          <w:szCs w:val="20"/>
        </w:rPr>
        <w:t xml:space="preserve"> particularmente</w:t>
      </w:r>
      <w:r w:rsidR="00A82C8C">
        <w:rPr>
          <w:rFonts w:ascii="Verdana" w:hAnsi="Verdana"/>
          <w:sz w:val="20"/>
          <w:szCs w:val="20"/>
        </w:rPr>
        <w:t>,</w:t>
      </w:r>
      <w:r w:rsidR="0088372D">
        <w:rPr>
          <w:rFonts w:ascii="Verdana" w:hAnsi="Verdana"/>
          <w:sz w:val="20"/>
          <w:szCs w:val="20"/>
        </w:rPr>
        <w:t xml:space="preserve"> de la Sala Constitucional del Tribunal Supremo de Justicia</w:t>
      </w:r>
      <w:r w:rsidR="00A82C8C">
        <w:rPr>
          <w:rFonts w:ascii="Verdana" w:hAnsi="Verdana"/>
          <w:sz w:val="20"/>
          <w:szCs w:val="20"/>
        </w:rPr>
        <w:t>,</w:t>
      </w:r>
      <w:r w:rsidR="0088372D">
        <w:rPr>
          <w:rFonts w:ascii="Verdana" w:hAnsi="Verdana"/>
          <w:sz w:val="20"/>
          <w:szCs w:val="20"/>
        </w:rPr>
        <w:t xml:space="preserve"> al resolver de oficio las “</w:t>
      </w:r>
      <w:r w:rsidR="00B64B18">
        <w:rPr>
          <w:rFonts w:ascii="Verdana" w:hAnsi="Verdana"/>
          <w:sz w:val="20"/>
          <w:szCs w:val="20"/>
        </w:rPr>
        <w:t xml:space="preserve">medidas cautelares innominadas”, </w:t>
      </w:r>
      <w:r w:rsidR="0088372D">
        <w:rPr>
          <w:rFonts w:ascii="Verdana" w:hAnsi="Verdana"/>
          <w:sz w:val="20"/>
          <w:szCs w:val="20"/>
        </w:rPr>
        <w:t>denotan</w:t>
      </w:r>
      <w:r w:rsidR="00910C88">
        <w:rPr>
          <w:rFonts w:ascii="Verdana" w:hAnsi="Verdana"/>
          <w:sz w:val="20"/>
          <w:szCs w:val="20"/>
        </w:rPr>
        <w:t>,</w:t>
      </w:r>
      <w:r w:rsidR="0088372D">
        <w:rPr>
          <w:rFonts w:ascii="Verdana" w:hAnsi="Verdana"/>
          <w:sz w:val="20"/>
          <w:szCs w:val="20"/>
        </w:rPr>
        <w:t xml:space="preserve"> </w:t>
      </w:r>
      <w:r w:rsidR="00B64B18">
        <w:rPr>
          <w:rFonts w:ascii="Verdana" w:hAnsi="Verdana"/>
          <w:sz w:val="20"/>
          <w:szCs w:val="20"/>
        </w:rPr>
        <w:t>en su conjunto</w:t>
      </w:r>
      <w:r w:rsidR="00910C88">
        <w:rPr>
          <w:rFonts w:ascii="Verdana" w:hAnsi="Verdana"/>
          <w:sz w:val="20"/>
          <w:szCs w:val="20"/>
        </w:rPr>
        <w:t>,</w:t>
      </w:r>
      <w:r w:rsidR="00B64B18">
        <w:rPr>
          <w:rFonts w:ascii="Verdana" w:hAnsi="Verdana"/>
          <w:sz w:val="20"/>
          <w:szCs w:val="20"/>
        </w:rPr>
        <w:t xml:space="preserve"> </w:t>
      </w:r>
      <w:r w:rsidR="0088372D">
        <w:rPr>
          <w:rFonts w:ascii="Verdana" w:hAnsi="Verdana"/>
          <w:sz w:val="20"/>
          <w:szCs w:val="20"/>
        </w:rPr>
        <w:t xml:space="preserve">que coadyuvaron a la </w:t>
      </w:r>
      <w:r w:rsidR="00B64B18">
        <w:rPr>
          <w:rFonts w:ascii="Verdana" w:hAnsi="Verdana"/>
          <w:sz w:val="20"/>
          <w:szCs w:val="20"/>
        </w:rPr>
        <w:t xml:space="preserve">intención real y </w:t>
      </w:r>
      <w:r w:rsidR="0088372D">
        <w:rPr>
          <w:rFonts w:ascii="Verdana" w:hAnsi="Verdana"/>
          <w:sz w:val="20"/>
          <w:szCs w:val="20"/>
        </w:rPr>
        <w:t>fi</w:t>
      </w:r>
      <w:r w:rsidR="00B64B18">
        <w:rPr>
          <w:rFonts w:ascii="Verdana" w:hAnsi="Verdana"/>
          <w:sz w:val="20"/>
          <w:szCs w:val="20"/>
        </w:rPr>
        <w:t>nalidad no declarada, c</w:t>
      </w:r>
      <w:r w:rsidR="0088372D">
        <w:rPr>
          <w:rFonts w:ascii="Verdana" w:hAnsi="Verdana"/>
          <w:sz w:val="20"/>
          <w:szCs w:val="20"/>
        </w:rPr>
        <w:t xml:space="preserve">onsistente en acallar </w:t>
      </w:r>
      <w:r w:rsidR="00D26E89">
        <w:rPr>
          <w:rFonts w:ascii="Verdana" w:hAnsi="Verdana"/>
          <w:sz w:val="20"/>
          <w:szCs w:val="20"/>
        </w:rPr>
        <w:t>las voces críticas del gobierno</w:t>
      </w:r>
      <w:r w:rsidR="00CF527C">
        <w:rPr>
          <w:rFonts w:ascii="Verdana" w:hAnsi="Verdana"/>
          <w:sz w:val="20"/>
          <w:szCs w:val="20"/>
        </w:rPr>
        <w:t xml:space="preserve"> a través del cierre de RCTV</w:t>
      </w:r>
      <w:r w:rsidR="00B64B18">
        <w:rPr>
          <w:rFonts w:ascii="Verdana" w:hAnsi="Verdana"/>
          <w:sz w:val="20"/>
          <w:szCs w:val="20"/>
        </w:rPr>
        <w:t>. A</w:t>
      </w:r>
      <w:r w:rsidR="00D26E89">
        <w:rPr>
          <w:rFonts w:ascii="Verdana" w:hAnsi="Verdana"/>
          <w:sz w:val="20"/>
          <w:szCs w:val="20"/>
        </w:rPr>
        <w:t>demás</w:t>
      </w:r>
      <w:r w:rsidR="00B64B18">
        <w:rPr>
          <w:rFonts w:ascii="Verdana" w:hAnsi="Verdana"/>
          <w:sz w:val="20"/>
          <w:szCs w:val="20"/>
        </w:rPr>
        <w:t>,</w:t>
      </w:r>
      <w:r w:rsidR="00D26E89">
        <w:rPr>
          <w:rFonts w:ascii="Verdana" w:hAnsi="Verdana"/>
          <w:sz w:val="20"/>
          <w:szCs w:val="20"/>
        </w:rPr>
        <w:t xml:space="preserve"> </w:t>
      </w:r>
      <w:r w:rsidR="00A870AC">
        <w:rPr>
          <w:rFonts w:ascii="Verdana" w:hAnsi="Verdana"/>
          <w:sz w:val="20"/>
          <w:szCs w:val="20"/>
        </w:rPr>
        <w:t xml:space="preserve">dicho análisis debió necesariamente vincularse con el </w:t>
      </w:r>
      <w:r w:rsidR="00D26E89">
        <w:rPr>
          <w:rFonts w:ascii="Verdana" w:hAnsi="Verdana"/>
          <w:sz w:val="20"/>
          <w:szCs w:val="20"/>
        </w:rPr>
        <w:t xml:space="preserve">“contexto” </w:t>
      </w:r>
      <w:r w:rsidR="00A870AC">
        <w:rPr>
          <w:rFonts w:ascii="Verdana" w:hAnsi="Verdana"/>
          <w:sz w:val="20"/>
          <w:szCs w:val="20"/>
        </w:rPr>
        <w:t>probado por la Corte IDH</w:t>
      </w:r>
      <w:r w:rsidR="00A82C8C">
        <w:rPr>
          <w:rFonts w:ascii="Verdana" w:hAnsi="Verdana"/>
          <w:sz w:val="20"/>
          <w:szCs w:val="20"/>
        </w:rPr>
        <w:t>;</w:t>
      </w:r>
      <w:r w:rsidR="00A870AC">
        <w:rPr>
          <w:rFonts w:ascii="Verdana" w:hAnsi="Verdana"/>
          <w:sz w:val="20"/>
          <w:szCs w:val="20"/>
        </w:rPr>
        <w:t xml:space="preserve"> esto es, con motivo de que </w:t>
      </w:r>
      <w:r w:rsidR="0019361C" w:rsidRPr="0019361C">
        <w:rPr>
          <w:rFonts w:ascii="Verdana" w:hAnsi="Verdana"/>
          <w:sz w:val="20"/>
          <w:szCs w:val="20"/>
        </w:rPr>
        <w:t>“el Tribunal considera que fueron probados</w:t>
      </w:r>
      <w:r w:rsidR="00A82C8C">
        <w:rPr>
          <w:rFonts w:ascii="Verdana" w:hAnsi="Verdana"/>
          <w:sz w:val="20"/>
          <w:szCs w:val="20"/>
        </w:rPr>
        <w:t>,</w:t>
      </w:r>
      <w:r w:rsidR="0019361C" w:rsidRPr="0019361C">
        <w:rPr>
          <w:rFonts w:ascii="Verdana" w:hAnsi="Verdana"/>
          <w:sz w:val="20"/>
          <w:szCs w:val="20"/>
        </w:rPr>
        <w:t xml:space="preserve"> en el presente caso</w:t>
      </w:r>
      <w:r w:rsidR="00A82C8C">
        <w:rPr>
          <w:rFonts w:ascii="Verdana" w:hAnsi="Verdana"/>
          <w:sz w:val="20"/>
          <w:szCs w:val="20"/>
        </w:rPr>
        <w:t>,</w:t>
      </w:r>
      <w:r w:rsidR="0019361C" w:rsidRPr="0019361C">
        <w:rPr>
          <w:rFonts w:ascii="Verdana" w:hAnsi="Verdana"/>
          <w:sz w:val="20"/>
          <w:szCs w:val="20"/>
        </w:rPr>
        <w:t xml:space="preserve"> </w:t>
      </w:r>
      <w:r w:rsidR="0019361C" w:rsidRPr="0019361C">
        <w:rPr>
          <w:rFonts w:ascii="Verdana" w:hAnsi="Verdana" w:cs="Arial"/>
          <w:sz w:val="20"/>
          <w:szCs w:val="20"/>
          <w:lang w:val="es-PE"/>
        </w:rPr>
        <w:t>el ‘ambiente de intimidación’ generado por las declaraciones de altas autoridades estatales en contra de medios de comunicación independientes” y “</w:t>
      </w:r>
      <w:r w:rsidR="0019361C" w:rsidRPr="0019361C">
        <w:rPr>
          <w:rFonts w:ascii="Verdana" w:hAnsi="Verdana" w:cs="Arial"/>
          <w:sz w:val="20"/>
          <w:szCs w:val="20"/>
          <w:lang w:val="es-ES"/>
        </w:rPr>
        <w:t>un discurso proveniente de sectores oficialistas de descrédito profesional contra los periodistas</w:t>
      </w:r>
      <w:r w:rsidR="0019361C" w:rsidRPr="0019361C">
        <w:rPr>
          <w:rFonts w:ascii="Verdana" w:hAnsi="Verdana" w:cs="Arial"/>
          <w:sz w:val="20"/>
          <w:szCs w:val="20"/>
          <w:lang w:val="es-PE"/>
        </w:rPr>
        <w:t>”</w:t>
      </w:r>
      <w:r w:rsidR="0019361C" w:rsidRPr="0019361C">
        <w:rPr>
          <w:rStyle w:val="FootnoteReference"/>
          <w:rFonts w:ascii="Verdana" w:hAnsi="Verdana" w:cs="Arial"/>
          <w:sz w:val="20"/>
          <w:szCs w:val="20"/>
          <w:lang w:val="es-PE"/>
        </w:rPr>
        <w:footnoteReference w:id="23"/>
      </w:r>
      <w:r w:rsidR="0019361C" w:rsidRPr="0019361C">
        <w:rPr>
          <w:rFonts w:ascii="Verdana" w:hAnsi="Verdana" w:cs="Arial"/>
          <w:sz w:val="20"/>
          <w:szCs w:val="20"/>
          <w:lang w:val="es-PE"/>
        </w:rPr>
        <w:t xml:space="preserve">. </w:t>
      </w:r>
    </w:p>
    <w:p w14:paraId="43E2754C" w14:textId="77777777" w:rsidR="0019361C" w:rsidRDefault="0019361C" w:rsidP="0022429B">
      <w:pPr>
        <w:pStyle w:val="ListParagraph"/>
        <w:spacing w:line="240" w:lineRule="auto"/>
        <w:ind w:left="0"/>
        <w:jc w:val="both"/>
        <w:rPr>
          <w:rFonts w:ascii="Verdana" w:hAnsi="Verdana"/>
          <w:sz w:val="20"/>
          <w:szCs w:val="20"/>
        </w:rPr>
      </w:pPr>
    </w:p>
    <w:p w14:paraId="1BD804DA" w14:textId="693BA462" w:rsidR="00CD193B" w:rsidRPr="00570F85" w:rsidRDefault="00724251" w:rsidP="004F26AA">
      <w:pPr>
        <w:pStyle w:val="ListParagraph"/>
        <w:spacing w:line="240" w:lineRule="auto"/>
        <w:ind w:left="0"/>
        <w:jc w:val="both"/>
        <w:rPr>
          <w:rFonts w:ascii="Verdana" w:hAnsi="Verdana"/>
          <w:sz w:val="20"/>
          <w:szCs w:val="20"/>
        </w:rPr>
      </w:pPr>
      <w:r>
        <w:rPr>
          <w:rFonts w:ascii="Verdana" w:hAnsi="Verdana"/>
          <w:sz w:val="20"/>
          <w:szCs w:val="20"/>
        </w:rPr>
        <w:t>18</w:t>
      </w:r>
      <w:r w:rsidR="0022429B">
        <w:rPr>
          <w:rFonts w:ascii="Verdana" w:hAnsi="Verdana"/>
          <w:sz w:val="20"/>
          <w:szCs w:val="20"/>
        </w:rPr>
        <w:t xml:space="preserve">. </w:t>
      </w:r>
      <w:r w:rsidR="0022429B">
        <w:rPr>
          <w:rFonts w:ascii="Verdana" w:hAnsi="Verdana"/>
          <w:sz w:val="20"/>
          <w:szCs w:val="20"/>
        </w:rPr>
        <w:tab/>
      </w:r>
      <w:bookmarkStart w:id="1" w:name="_ftn2"/>
      <w:bookmarkEnd w:id="1"/>
      <w:r w:rsidR="00A3280D">
        <w:rPr>
          <w:rFonts w:ascii="Verdana" w:hAnsi="Verdana"/>
          <w:sz w:val="20"/>
          <w:szCs w:val="20"/>
        </w:rPr>
        <w:t>A la luz de lo anterior</w:t>
      </w:r>
      <w:r w:rsidR="00D01805">
        <w:rPr>
          <w:rFonts w:ascii="Verdana" w:hAnsi="Verdana"/>
          <w:sz w:val="20"/>
          <w:szCs w:val="20"/>
        </w:rPr>
        <w:t xml:space="preserve">, </w:t>
      </w:r>
      <w:r w:rsidR="00570F85">
        <w:rPr>
          <w:rFonts w:ascii="Verdana" w:hAnsi="Verdana"/>
          <w:sz w:val="20"/>
          <w:szCs w:val="20"/>
        </w:rPr>
        <w:t xml:space="preserve">se </w:t>
      </w:r>
      <w:r w:rsidR="00297D8D">
        <w:rPr>
          <w:rFonts w:ascii="Verdana" w:hAnsi="Verdana"/>
          <w:sz w:val="20"/>
          <w:szCs w:val="20"/>
        </w:rPr>
        <w:t>divide el presente voto</w:t>
      </w:r>
      <w:r w:rsidR="00FC6C35">
        <w:rPr>
          <w:rFonts w:ascii="Verdana" w:hAnsi="Verdana"/>
          <w:sz w:val="20"/>
          <w:szCs w:val="20"/>
        </w:rPr>
        <w:t xml:space="preserve"> </w:t>
      </w:r>
      <w:r w:rsidR="009F49D1">
        <w:rPr>
          <w:rFonts w:ascii="Verdana" w:hAnsi="Verdana"/>
          <w:sz w:val="20"/>
          <w:szCs w:val="20"/>
        </w:rPr>
        <w:t xml:space="preserve">en los siguientes apartados: </w:t>
      </w:r>
      <w:r w:rsidR="00570F85">
        <w:rPr>
          <w:rFonts w:ascii="Verdana" w:hAnsi="Verdana"/>
          <w:sz w:val="20"/>
          <w:szCs w:val="20"/>
        </w:rPr>
        <w:t xml:space="preserve">I. </w:t>
      </w:r>
      <w:r w:rsidR="00E30169">
        <w:rPr>
          <w:rFonts w:ascii="Verdana" w:hAnsi="Verdana"/>
          <w:sz w:val="20"/>
          <w:szCs w:val="20"/>
        </w:rPr>
        <w:t>L</w:t>
      </w:r>
      <w:r w:rsidR="00570F85" w:rsidRPr="008D4320">
        <w:rPr>
          <w:rFonts w:ascii="Verdana" w:hAnsi="Verdana"/>
          <w:sz w:val="20"/>
          <w:szCs w:val="20"/>
        </w:rPr>
        <w:t xml:space="preserve">a importancia de los medios audiovisuales en las sociedades democráticas </w:t>
      </w:r>
      <w:r w:rsidRPr="008D4320">
        <w:rPr>
          <w:rFonts w:ascii="Verdana" w:hAnsi="Verdana"/>
          <w:sz w:val="20"/>
          <w:szCs w:val="20"/>
        </w:rPr>
        <w:t>(</w:t>
      </w:r>
      <w:r w:rsidRPr="008D4320">
        <w:rPr>
          <w:rFonts w:ascii="Verdana" w:hAnsi="Verdana"/>
          <w:i/>
          <w:sz w:val="20"/>
          <w:szCs w:val="20"/>
        </w:rPr>
        <w:t>párrs. 19-31</w:t>
      </w:r>
      <w:r w:rsidR="00E30169" w:rsidRPr="00F964F3">
        <w:rPr>
          <w:rFonts w:ascii="Verdana" w:hAnsi="Verdana"/>
          <w:sz w:val="20"/>
          <w:szCs w:val="20"/>
        </w:rPr>
        <w:t>). II. L</w:t>
      </w:r>
      <w:r w:rsidR="00570F85" w:rsidRPr="00F964F3">
        <w:rPr>
          <w:rFonts w:ascii="Verdana" w:hAnsi="Verdana"/>
          <w:sz w:val="20"/>
          <w:szCs w:val="20"/>
        </w:rPr>
        <w:t xml:space="preserve">a </w:t>
      </w:r>
      <w:r w:rsidR="0052278E" w:rsidRPr="00F964F3">
        <w:rPr>
          <w:rFonts w:ascii="Verdana" w:hAnsi="Verdana"/>
          <w:sz w:val="20"/>
          <w:szCs w:val="20"/>
        </w:rPr>
        <w:t>determinación de no violación respecto al derecho a</w:t>
      </w:r>
      <w:r w:rsidR="0026499C" w:rsidRPr="00F964F3">
        <w:rPr>
          <w:rFonts w:ascii="Verdana" w:hAnsi="Verdana"/>
          <w:sz w:val="20"/>
          <w:szCs w:val="20"/>
        </w:rPr>
        <w:t xml:space="preserve"> </w:t>
      </w:r>
      <w:r w:rsidR="0052278E" w:rsidRPr="00F964F3">
        <w:rPr>
          <w:rFonts w:ascii="Verdana" w:hAnsi="Verdana"/>
          <w:sz w:val="20"/>
          <w:szCs w:val="20"/>
        </w:rPr>
        <w:t>l</w:t>
      </w:r>
      <w:r w:rsidR="0026499C" w:rsidRPr="00F964F3">
        <w:rPr>
          <w:rFonts w:ascii="Verdana" w:hAnsi="Verdana"/>
          <w:sz w:val="20"/>
          <w:szCs w:val="20"/>
        </w:rPr>
        <w:t>a</w:t>
      </w:r>
      <w:r w:rsidR="0052278E" w:rsidRPr="00F964F3">
        <w:rPr>
          <w:rFonts w:ascii="Verdana" w:hAnsi="Verdana"/>
          <w:sz w:val="20"/>
          <w:szCs w:val="20"/>
        </w:rPr>
        <w:t xml:space="preserve"> libertad de expresión de algunas </w:t>
      </w:r>
      <w:r w:rsidR="00570F85" w:rsidRPr="00F964F3">
        <w:rPr>
          <w:rFonts w:ascii="Verdana" w:hAnsi="Verdana"/>
          <w:sz w:val="20"/>
          <w:szCs w:val="20"/>
        </w:rPr>
        <w:t xml:space="preserve">víctimas (accionistas) </w:t>
      </w:r>
      <w:r w:rsidR="00D62C93" w:rsidRPr="00F964F3">
        <w:rPr>
          <w:rFonts w:ascii="Verdana" w:hAnsi="Verdana"/>
          <w:sz w:val="20"/>
          <w:szCs w:val="20"/>
        </w:rPr>
        <w:t>(</w:t>
      </w:r>
      <w:r w:rsidR="00D62C93" w:rsidRPr="00F964F3">
        <w:rPr>
          <w:rFonts w:ascii="Verdana" w:hAnsi="Verdana"/>
          <w:i/>
          <w:sz w:val="20"/>
          <w:szCs w:val="20"/>
        </w:rPr>
        <w:t>párrs. 32</w:t>
      </w:r>
      <w:r w:rsidR="004F26AA" w:rsidRPr="00F964F3">
        <w:rPr>
          <w:rFonts w:ascii="Verdana" w:hAnsi="Verdana"/>
          <w:i/>
          <w:sz w:val="20"/>
          <w:szCs w:val="20"/>
        </w:rPr>
        <w:t>-</w:t>
      </w:r>
      <w:r w:rsidR="00D62C93" w:rsidRPr="00F964F3">
        <w:rPr>
          <w:rFonts w:ascii="Verdana" w:hAnsi="Verdana"/>
          <w:i/>
          <w:sz w:val="20"/>
          <w:szCs w:val="20"/>
        </w:rPr>
        <w:t>62</w:t>
      </w:r>
      <w:r w:rsidR="00E30169" w:rsidRPr="00F964F3">
        <w:rPr>
          <w:rFonts w:ascii="Verdana" w:hAnsi="Verdana"/>
          <w:sz w:val="20"/>
          <w:szCs w:val="20"/>
        </w:rPr>
        <w:t>).</w:t>
      </w:r>
      <w:r w:rsidR="00E30169">
        <w:rPr>
          <w:rFonts w:ascii="Verdana" w:hAnsi="Verdana"/>
          <w:sz w:val="20"/>
          <w:szCs w:val="20"/>
        </w:rPr>
        <w:t xml:space="preserve"> III. </w:t>
      </w:r>
      <w:r w:rsidR="0026499C">
        <w:rPr>
          <w:rFonts w:ascii="Verdana" w:hAnsi="Verdana"/>
          <w:sz w:val="20"/>
          <w:szCs w:val="20"/>
        </w:rPr>
        <w:t>L</w:t>
      </w:r>
      <w:r w:rsidR="00570F85" w:rsidRPr="008D4320">
        <w:rPr>
          <w:rFonts w:ascii="Verdana" w:hAnsi="Verdana"/>
          <w:sz w:val="20"/>
          <w:szCs w:val="20"/>
        </w:rPr>
        <w:t xml:space="preserve">a violación al derecho a la propiedad privada en relación con la libertad de expresión </w:t>
      </w:r>
      <w:r w:rsidR="00D62C93" w:rsidRPr="008D4320">
        <w:rPr>
          <w:rFonts w:ascii="Verdana" w:hAnsi="Verdana"/>
          <w:i/>
          <w:sz w:val="20"/>
          <w:szCs w:val="20"/>
        </w:rPr>
        <w:t>(párrs. 63-12</w:t>
      </w:r>
      <w:r w:rsidR="00D44BB6">
        <w:rPr>
          <w:rFonts w:ascii="Verdana" w:hAnsi="Verdana"/>
          <w:i/>
          <w:sz w:val="20"/>
          <w:szCs w:val="20"/>
        </w:rPr>
        <w:t>5</w:t>
      </w:r>
      <w:r w:rsidR="008D4320" w:rsidRPr="008D4320">
        <w:rPr>
          <w:rFonts w:ascii="Verdana" w:hAnsi="Verdana"/>
          <w:sz w:val="20"/>
          <w:szCs w:val="20"/>
        </w:rPr>
        <w:t>);</w:t>
      </w:r>
      <w:r w:rsidR="00570F85" w:rsidRPr="008D4320">
        <w:rPr>
          <w:rFonts w:ascii="Verdana" w:hAnsi="Verdana"/>
          <w:sz w:val="20"/>
          <w:szCs w:val="20"/>
        </w:rPr>
        <w:t xml:space="preserve"> IV. La violación a las garantías de independencia e imparcialidad</w:t>
      </w:r>
      <w:r w:rsidR="00D62C93" w:rsidRPr="008D4320">
        <w:rPr>
          <w:rFonts w:ascii="Verdana" w:hAnsi="Verdana"/>
          <w:sz w:val="20"/>
          <w:szCs w:val="20"/>
        </w:rPr>
        <w:t xml:space="preserve"> (</w:t>
      </w:r>
      <w:r w:rsidR="00D44BB6">
        <w:rPr>
          <w:rFonts w:ascii="Verdana" w:hAnsi="Verdana"/>
          <w:i/>
          <w:sz w:val="20"/>
          <w:szCs w:val="20"/>
        </w:rPr>
        <w:t>párrs. 126</w:t>
      </w:r>
      <w:r w:rsidR="00D62C93" w:rsidRPr="008D4320">
        <w:rPr>
          <w:rFonts w:ascii="Verdana" w:hAnsi="Verdana"/>
          <w:i/>
          <w:sz w:val="20"/>
          <w:szCs w:val="20"/>
        </w:rPr>
        <w:t>-13</w:t>
      </w:r>
      <w:r w:rsidR="00D44BB6">
        <w:rPr>
          <w:rFonts w:ascii="Verdana" w:hAnsi="Verdana"/>
          <w:i/>
          <w:sz w:val="20"/>
          <w:szCs w:val="20"/>
        </w:rPr>
        <w:t>7</w:t>
      </w:r>
      <w:r w:rsidR="008D4320" w:rsidRPr="008D4320">
        <w:rPr>
          <w:rFonts w:ascii="Verdana" w:hAnsi="Verdana"/>
          <w:sz w:val="20"/>
          <w:szCs w:val="20"/>
        </w:rPr>
        <w:t>); y V. Conclu</w:t>
      </w:r>
      <w:r w:rsidR="008D4320">
        <w:rPr>
          <w:rFonts w:ascii="Verdana" w:hAnsi="Verdana"/>
          <w:sz w:val="20"/>
          <w:szCs w:val="20"/>
        </w:rPr>
        <w:t>s</w:t>
      </w:r>
      <w:r w:rsidR="008D4320" w:rsidRPr="008D4320">
        <w:rPr>
          <w:rFonts w:ascii="Verdana" w:hAnsi="Verdana"/>
          <w:sz w:val="20"/>
          <w:szCs w:val="20"/>
        </w:rPr>
        <w:t>ió</w:t>
      </w:r>
      <w:r w:rsidR="008D4320">
        <w:rPr>
          <w:rFonts w:ascii="Verdana" w:hAnsi="Verdana"/>
          <w:sz w:val="20"/>
          <w:szCs w:val="20"/>
        </w:rPr>
        <w:t>n (</w:t>
      </w:r>
      <w:r w:rsidR="008D4320" w:rsidRPr="008D4320">
        <w:rPr>
          <w:rFonts w:ascii="Verdana" w:hAnsi="Verdana"/>
          <w:i/>
          <w:sz w:val="20"/>
          <w:szCs w:val="20"/>
        </w:rPr>
        <w:t>pá</w:t>
      </w:r>
      <w:r w:rsidR="008D4320">
        <w:rPr>
          <w:rFonts w:ascii="Verdana" w:hAnsi="Verdana"/>
          <w:i/>
          <w:sz w:val="20"/>
          <w:szCs w:val="20"/>
        </w:rPr>
        <w:t xml:space="preserve">rrs. </w:t>
      </w:r>
      <w:r w:rsidR="00D44BB6">
        <w:rPr>
          <w:rFonts w:ascii="Verdana" w:hAnsi="Verdana"/>
          <w:i/>
          <w:sz w:val="20"/>
          <w:szCs w:val="20"/>
        </w:rPr>
        <w:t>138</w:t>
      </w:r>
      <w:r w:rsidR="00041FD6">
        <w:rPr>
          <w:rFonts w:ascii="Verdana" w:hAnsi="Verdana"/>
          <w:i/>
          <w:sz w:val="20"/>
          <w:szCs w:val="20"/>
        </w:rPr>
        <w:t>-14</w:t>
      </w:r>
      <w:r w:rsidR="00D44BB6">
        <w:rPr>
          <w:rFonts w:ascii="Verdana" w:hAnsi="Verdana"/>
          <w:i/>
          <w:sz w:val="20"/>
          <w:szCs w:val="20"/>
        </w:rPr>
        <w:t>2</w:t>
      </w:r>
      <w:r w:rsidR="008D4320">
        <w:rPr>
          <w:rFonts w:ascii="Verdana" w:hAnsi="Verdana"/>
          <w:sz w:val="20"/>
          <w:szCs w:val="20"/>
        </w:rPr>
        <w:t>).</w:t>
      </w:r>
    </w:p>
    <w:p w14:paraId="55EF3F04" w14:textId="77777777" w:rsidR="00EC14E6" w:rsidRDefault="00EC14E6" w:rsidP="00EC14E6">
      <w:pPr>
        <w:pStyle w:val="Estilo2"/>
        <w:tabs>
          <w:tab w:val="clear" w:pos="720"/>
          <w:tab w:val="clear" w:pos="6261"/>
          <w:tab w:val="left" w:pos="142"/>
        </w:tabs>
        <w:ind w:left="1800" w:right="-142"/>
        <w:rPr>
          <w:b/>
        </w:rPr>
      </w:pPr>
      <w:r>
        <w:rPr>
          <w:b/>
        </w:rPr>
        <w:t xml:space="preserve">I. </w:t>
      </w:r>
      <w:r w:rsidR="00E005F5">
        <w:rPr>
          <w:b/>
        </w:rPr>
        <w:t xml:space="preserve">LA IMPORTANCIA DE LOS MEDIOS AUDIOVISUALES </w:t>
      </w:r>
    </w:p>
    <w:p w14:paraId="565156E4" w14:textId="77777777" w:rsidR="00D4070A" w:rsidRPr="002E46D2" w:rsidRDefault="00EC14E6" w:rsidP="00D4070A">
      <w:pPr>
        <w:pStyle w:val="Estilo2"/>
        <w:tabs>
          <w:tab w:val="clear" w:pos="720"/>
          <w:tab w:val="clear" w:pos="6261"/>
          <w:tab w:val="left" w:pos="142"/>
        </w:tabs>
        <w:spacing w:after="200"/>
        <w:ind w:left="1797" w:right="-142"/>
        <w:rPr>
          <w:b/>
        </w:rPr>
      </w:pPr>
      <w:r>
        <w:rPr>
          <w:b/>
        </w:rPr>
        <w:t xml:space="preserve">             </w:t>
      </w:r>
      <w:r w:rsidR="00E005F5">
        <w:rPr>
          <w:b/>
        </w:rPr>
        <w:t>EN LAS SOCIEDADES DEMOCRÁTICAS</w:t>
      </w:r>
    </w:p>
    <w:p w14:paraId="097F4BE3" w14:textId="77777777" w:rsidR="001F1A1A" w:rsidRDefault="00724251" w:rsidP="00CA5368">
      <w:pPr>
        <w:pStyle w:val="ListParagraph"/>
        <w:widowControl w:val="0"/>
        <w:autoSpaceDE w:val="0"/>
        <w:autoSpaceDN w:val="0"/>
        <w:adjustRightInd w:val="0"/>
        <w:spacing w:after="0" w:line="240" w:lineRule="auto"/>
        <w:ind w:left="0"/>
        <w:jc w:val="both"/>
        <w:rPr>
          <w:rFonts w:ascii="Verdana" w:hAnsi="Verdana" w:cs="Arial"/>
          <w:sz w:val="20"/>
          <w:szCs w:val="20"/>
          <w:lang w:val="es-ES"/>
        </w:rPr>
      </w:pPr>
      <w:r>
        <w:rPr>
          <w:rFonts w:ascii="Verdana" w:hAnsi="Verdana" w:cs="Arial"/>
          <w:sz w:val="20"/>
          <w:szCs w:val="20"/>
          <w:lang w:val="es-ES"/>
        </w:rPr>
        <w:t>19</w:t>
      </w:r>
      <w:r w:rsidR="00D26E89" w:rsidRPr="00E35C84">
        <w:rPr>
          <w:rFonts w:ascii="Verdana" w:hAnsi="Verdana" w:cs="Arial"/>
          <w:sz w:val="20"/>
          <w:szCs w:val="20"/>
          <w:lang w:val="es-ES"/>
        </w:rPr>
        <w:t xml:space="preserve">. </w:t>
      </w:r>
      <w:r w:rsidR="00D26E89" w:rsidRPr="00E35C84">
        <w:rPr>
          <w:rFonts w:ascii="Verdana" w:hAnsi="Verdana" w:cs="Arial"/>
          <w:sz w:val="20"/>
          <w:szCs w:val="20"/>
          <w:lang w:val="es-ES"/>
        </w:rPr>
        <w:tab/>
      </w:r>
      <w:r w:rsidR="00A567BF" w:rsidRPr="00E35C84">
        <w:rPr>
          <w:rFonts w:ascii="Verdana" w:hAnsi="Verdana" w:cs="Arial"/>
          <w:sz w:val="20"/>
          <w:szCs w:val="20"/>
          <w:lang w:val="es-ES"/>
        </w:rPr>
        <w:t>Como se destacó al principio del presente voto, d</w:t>
      </w:r>
      <w:r w:rsidR="00E005F5" w:rsidRPr="00E35C84">
        <w:rPr>
          <w:rFonts w:ascii="Verdana" w:hAnsi="Verdana" w:cs="Arial"/>
          <w:sz w:val="20"/>
          <w:szCs w:val="20"/>
          <w:lang w:val="es-ES"/>
        </w:rPr>
        <w:t>esde la O</w:t>
      </w:r>
      <w:r w:rsidR="00A567BF" w:rsidRPr="00E35C84">
        <w:rPr>
          <w:rFonts w:ascii="Verdana" w:hAnsi="Verdana" w:cs="Arial"/>
          <w:sz w:val="20"/>
          <w:szCs w:val="20"/>
          <w:lang w:val="es-ES"/>
        </w:rPr>
        <w:t>C-5</w:t>
      </w:r>
      <w:r w:rsidR="000C76B1" w:rsidRPr="00E35C84">
        <w:rPr>
          <w:rFonts w:ascii="Verdana" w:hAnsi="Verdana" w:cs="Arial"/>
          <w:sz w:val="20"/>
          <w:szCs w:val="20"/>
          <w:lang w:val="es-ES"/>
        </w:rPr>
        <w:t xml:space="preserve"> </w:t>
      </w:r>
      <w:r w:rsidR="00E005F5" w:rsidRPr="00E35C84">
        <w:rPr>
          <w:rFonts w:ascii="Verdana" w:hAnsi="Verdana" w:cs="Arial"/>
          <w:sz w:val="20"/>
          <w:szCs w:val="20"/>
          <w:lang w:val="es-ES"/>
        </w:rPr>
        <w:t xml:space="preserve">sobre la </w:t>
      </w:r>
      <w:r w:rsidR="00E005F5" w:rsidRPr="00E35C84">
        <w:rPr>
          <w:rFonts w:ascii="Verdana" w:hAnsi="Verdana" w:cs="Arial"/>
          <w:i/>
          <w:iCs/>
          <w:sz w:val="20"/>
          <w:szCs w:val="20"/>
          <w:lang w:val="es-ES"/>
        </w:rPr>
        <w:t xml:space="preserve">Colegiación Obligatoria de Periodistas </w:t>
      </w:r>
      <w:r w:rsidR="00E005F5" w:rsidRPr="00E35C84">
        <w:rPr>
          <w:rFonts w:ascii="Verdana" w:hAnsi="Verdana" w:cs="Arial"/>
          <w:sz w:val="20"/>
          <w:szCs w:val="20"/>
          <w:lang w:val="es-ES"/>
        </w:rPr>
        <w:t xml:space="preserve">hasta el </w:t>
      </w:r>
      <w:r w:rsidR="000C76B1" w:rsidRPr="00E35C84">
        <w:rPr>
          <w:rFonts w:ascii="Verdana" w:hAnsi="Verdana" w:cs="Arial"/>
          <w:sz w:val="20"/>
          <w:szCs w:val="20"/>
          <w:lang w:val="es-ES"/>
        </w:rPr>
        <w:t xml:space="preserve">presente </w:t>
      </w:r>
      <w:r w:rsidR="00E005F5" w:rsidRPr="00E35C84">
        <w:rPr>
          <w:rFonts w:ascii="Verdana" w:hAnsi="Verdana" w:cs="Arial"/>
          <w:sz w:val="20"/>
          <w:szCs w:val="20"/>
          <w:lang w:val="es-ES"/>
        </w:rPr>
        <w:t xml:space="preserve">caso </w:t>
      </w:r>
      <w:r w:rsidR="000C76B1" w:rsidRPr="00E35C84">
        <w:rPr>
          <w:rFonts w:ascii="Verdana" w:hAnsi="Verdana" w:cs="Arial"/>
          <w:sz w:val="20"/>
          <w:szCs w:val="20"/>
          <w:lang w:val="es-ES"/>
        </w:rPr>
        <w:t>vs. Venezuela</w:t>
      </w:r>
      <w:r w:rsidR="00E005F5" w:rsidRPr="00E35C84">
        <w:rPr>
          <w:rFonts w:ascii="Verdana" w:hAnsi="Verdana" w:cs="Arial"/>
          <w:bCs/>
          <w:sz w:val="20"/>
          <w:szCs w:val="20"/>
          <w:lang w:val="es-ES"/>
        </w:rPr>
        <w:t>,</w:t>
      </w:r>
      <w:r w:rsidR="00AA3A75" w:rsidRPr="00E35C84">
        <w:rPr>
          <w:rFonts w:ascii="Verdana" w:hAnsi="Verdana" w:cs="Arial"/>
          <w:bCs/>
          <w:sz w:val="20"/>
          <w:szCs w:val="20"/>
          <w:lang w:val="es-ES"/>
        </w:rPr>
        <w:t xml:space="preserve"> </w:t>
      </w:r>
      <w:r w:rsidR="00E005F5" w:rsidRPr="00E35C84">
        <w:rPr>
          <w:rFonts w:ascii="Verdana" w:hAnsi="Verdana" w:cs="Arial"/>
          <w:sz w:val="20"/>
          <w:szCs w:val="20"/>
          <w:lang w:val="es-ES"/>
        </w:rPr>
        <w:t xml:space="preserve">el Tribunal Interamericano </w:t>
      </w:r>
      <w:r w:rsidR="00A567BF" w:rsidRPr="00E35C84">
        <w:rPr>
          <w:rFonts w:ascii="Verdana" w:hAnsi="Verdana" w:cs="Arial"/>
          <w:sz w:val="20"/>
          <w:szCs w:val="20"/>
          <w:lang w:val="es-ES"/>
        </w:rPr>
        <w:t xml:space="preserve">ha </w:t>
      </w:r>
      <w:r w:rsidR="000043A8">
        <w:rPr>
          <w:rFonts w:ascii="Verdana" w:hAnsi="Verdana" w:cs="Arial"/>
          <w:sz w:val="20"/>
          <w:szCs w:val="20"/>
          <w:lang w:val="es-ES"/>
        </w:rPr>
        <w:t>sido constante al otorgar</w:t>
      </w:r>
      <w:r w:rsidR="008D4320">
        <w:rPr>
          <w:rFonts w:ascii="Verdana" w:hAnsi="Verdana" w:cs="Arial"/>
          <w:sz w:val="20"/>
          <w:szCs w:val="20"/>
          <w:lang w:val="es-ES"/>
        </w:rPr>
        <w:t xml:space="preserve"> </w:t>
      </w:r>
      <w:r w:rsidR="000043A8">
        <w:rPr>
          <w:rFonts w:ascii="Verdana" w:hAnsi="Verdana" w:cs="Arial"/>
          <w:sz w:val="20"/>
          <w:szCs w:val="20"/>
          <w:lang w:val="es-ES"/>
        </w:rPr>
        <w:t xml:space="preserve">un </w:t>
      </w:r>
      <w:r w:rsidR="008D4320">
        <w:rPr>
          <w:rFonts w:ascii="Verdana" w:hAnsi="Verdana" w:cs="Arial"/>
          <w:sz w:val="20"/>
          <w:szCs w:val="20"/>
          <w:lang w:val="es-ES"/>
        </w:rPr>
        <w:t xml:space="preserve">contenido </w:t>
      </w:r>
      <w:r w:rsidR="000043A8">
        <w:rPr>
          <w:rFonts w:ascii="Verdana" w:hAnsi="Verdana" w:cs="Arial"/>
          <w:sz w:val="20"/>
          <w:szCs w:val="20"/>
          <w:lang w:val="es-ES"/>
        </w:rPr>
        <w:t>amplio al</w:t>
      </w:r>
      <w:r w:rsidR="00E005F5" w:rsidRPr="00E35C84">
        <w:rPr>
          <w:rFonts w:ascii="Verdana" w:hAnsi="Verdana" w:cs="Arial"/>
          <w:sz w:val="20"/>
          <w:szCs w:val="20"/>
          <w:lang w:val="es-ES"/>
        </w:rPr>
        <w:t xml:space="preserve"> derecho a la libertad de pensa</w:t>
      </w:r>
      <w:r w:rsidR="000043A8">
        <w:rPr>
          <w:rFonts w:ascii="Verdana" w:hAnsi="Verdana" w:cs="Arial"/>
          <w:sz w:val="20"/>
          <w:szCs w:val="20"/>
          <w:lang w:val="es-ES"/>
        </w:rPr>
        <w:t>miento y de expresión consagrado</w:t>
      </w:r>
      <w:r w:rsidR="00E005F5" w:rsidRPr="00E35C84">
        <w:rPr>
          <w:rFonts w:ascii="Verdana" w:hAnsi="Verdana" w:cs="Arial"/>
          <w:sz w:val="20"/>
          <w:szCs w:val="20"/>
          <w:lang w:val="es-ES"/>
        </w:rPr>
        <w:t xml:space="preserve"> en el artículo 13 de la Convención</w:t>
      </w:r>
      <w:r w:rsidR="00E005F5" w:rsidRPr="00E35C84">
        <w:rPr>
          <w:rStyle w:val="FootnoteReference"/>
          <w:rFonts w:ascii="Verdana" w:hAnsi="Verdana" w:cs="Arial"/>
          <w:iCs/>
          <w:sz w:val="20"/>
          <w:szCs w:val="20"/>
          <w:lang w:val="es-ES"/>
        </w:rPr>
        <w:footnoteReference w:id="24"/>
      </w:r>
      <w:r w:rsidR="00E005F5" w:rsidRPr="00E35C84">
        <w:rPr>
          <w:rFonts w:ascii="Verdana" w:hAnsi="Verdana" w:cs="Arial"/>
          <w:sz w:val="20"/>
          <w:szCs w:val="20"/>
          <w:lang w:val="es-ES"/>
        </w:rPr>
        <w:t xml:space="preserve">. La </w:t>
      </w:r>
      <w:r w:rsidR="008D4320">
        <w:rPr>
          <w:rFonts w:ascii="Verdana" w:hAnsi="Verdana" w:cs="Arial"/>
          <w:sz w:val="20"/>
          <w:szCs w:val="20"/>
          <w:lang w:val="es-ES"/>
        </w:rPr>
        <w:t xml:space="preserve">Corte </w:t>
      </w:r>
      <w:r w:rsidR="00564755">
        <w:rPr>
          <w:rFonts w:ascii="Verdana" w:hAnsi="Verdana" w:cs="Arial"/>
          <w:sz w:val="20"/>
          <w:szCs w:val="20"/>
          <w:lang w:val="es-ES"/>
        </w:rPr>
        <w:t>IDH</w:t>
      </w:r>
      <w:r w:rsidR="00E005F5" w:rsidRPr="00E35C84">
        <w:rPr>
          <w:rFonts w:ascii="Verdana" w:hAnsi="Verdana" w:cs="Arial"/>
          <w:sz w:val="20"/>
          <w:szCs w:val="20"/>
          <w:lang w:val="es-ES"/>
        </w:rPr>
        <w:t xml:space="preserve"> ha indicado que dicha norma protege el derecho de buscar, recibir y difundir ideas e informaciones de toda índole, así como también el de recibir y conocer las informaciones e ideas difundidas por los </w:t>
      </w:r>
      <w:r w:rsidR="00E005F5" w:rsidRPr="00E35C84">
        <w:rPr>
          <w:rFonts w:ascii="Verdana" w:hAnsi="Verdana" w:cs="Arial"/>
          <w:sz w:val="20"/>
          <w:szCs w:val="20"/>
          <w:lang w:val="es-ES"/>
        </w:rPr>
        <w:lastRenderedPageBreak/>
        <w:t>demás. Además, ha señalado que la libertad de expresión tiene una dimensión individual y una dimensión social, debiendo ser garantizadas plenamente en forma simultánea para dar efectividad total al derecho a la libertad de expresión</w:t>
      </w:r>
      <w:r w:rsidR="00E005F5" w:rsidRPr="00E35C84">
        <w:rPr>
          <w:rStyle w:val="FootnoteReference"/>
          <w:rFonts w:ascii="Verdana" w:hAnsi="Verdana" w:cs="Arial"/>
          <w:sz w:val="20"/>
          <w:szCs w:val="20"/>
          <w:lang w:val="es-ES"/>
        </w:rPr>
        <w:footnoteReference w:id="25"/>
      </w:r>
      <w:r w:rsidR="00E005F5" w:rsidRPr="00E35C84">
        <w:rPr>
          <w:rFonts w:ascii="Verdana" w:hAnsi="Verdana" w:cs="Arial"/>
          <w:sz w:val="20"/>
          <w:szCs w:val="20"/>
          <w:lang w:val="es-ES"/>
        </w:rPr>
        <w:t>.</w:t>
      </w:r>
      <w:r w:rsidR="00E005F5" w:rsidRPr="004E147C">
        <w:rPr>
          <w:rFonts w:ascii="Verdana" w:hAnsi="Verdana" w:cs="Arial"/>
          <w:sz w:val="20"/>
          <w:szCs w:val="20"/>
          <w:lang w:val="es-ES"/>
        </w:rPr>
        <w:t xml:space="preserve"> </w:t>
      </w:r>
    </w:p>
    <w:p w14:paraId="738EFBE2" w14:textId="77777777" w:rsidR="001F1A1A" w:rsidRDefault="001F1A1A" w:rsidP="001F1A1A">
      <w:pPr>
        <w:pStyle w:val="ListParagraph"/>
        <w:widowControl w:val="0"/>
        <w:autoSpaceDE w:val="0"/>
        <w:autoSpaceDN w:val="0"/>
        <w:adjustRightInd w:val="0"/>
        <w:spacing w:after="0" w:line="240" w:lineRule="auto"/>
        <w:ind w:left="0"/>
        <w:jc w:val="both"/>
        <w:rPr>
          <w:rFonts w:ascii="Verdana" w:hAnsi="Verdana" w:cs="Arial"/>
          <w:sz w:val="20"/>
          <w:szCs w:val="20"/>
          <w:lang w:val="es-ES"/>
        </w:rPr>
      </w:pPr>
    </w:p>
    <w:p w14:paraId="4F6204B0" w14:textId="77777777" w:rsidR="001F1A1A" w:rsidRPr="00AA3A75" w:rsidRDefault="00724251" w:rsidP="00CA5368">
      <w:pPr>
        <w:pStyle w:val="ListParagraph"/>
        <w:widowControl w:val="0"/>
        <w:autoSpaceDE w:val="0"/>
        <w:autoSpaceDN w:val="0"/>
        <w:adjustRightInd w:val="0"/>
        <w:spacing w:after="0" w:line="240" w:lineRule="auto"/>
        <w:ind w:left="0"/>
        <w:jc w:val="both"/>
        <w:rPr>
          <w:rFonts w:ascii="Verdana" w:hAnsi="Verdana" w:cs="Arial"/>
          <w:sz w:val="20"/>
          <w:szCs w:val="20"/>
          <w:lang w:val="es-ES"/>
        </w:rPr>
      </w:pPr>
      <w:r>
        <w:rPr>
          <w:rFonts w:ascii="Verdana" w:hAnsi="Verdana"/>
          <w:sz w:val="20"/>
          <w:szCs w:val="20"/>
        </w:rPr>
        <w:t>20</w:t>
      </w:r>
      <w:r w:rsidR="00D26E89">
        <w:rPr>
          <w:rFonts w:ascii="Verdana" w:hAnsi="Verdana"/>
          <w:sz w:val="20"/>
          <w:szCs w:val="20"/>
        </w:rPr>
        <w:t xml:space="preserve">. </w:t>
      </w:r>
      <w:r w:rsidR="00D26E89">
        <w:rPr>
          <w:rFonts w:ascii="Verdana" w:hAnsi="Verdana"/>
          <w:sz w:val="20"/>
          <w:szCs w:val="20"/>
        </w:rPr>
        <w:tab/>
      </w:r>
      <w:r w:rsidR="00E005F5" w:rsidRPr="001F1A1A">
        <w:rPr>
          <w:rFonts w:ascii="Verdana" w:hAnsi="Verdana"/>
          <w:sz w:val="20"/>
          <w:szCs w:val="20"/>
        </w:rPr>
        <w:t>La dimensión individual de la libertad de expresión comprende el derecho a utilizar cualquier medio apropiado para difundir opiniones, ideas e información y hacerlo llegar al mayor número de destinatarios. En este sentido, la expresión y la difusión son indivisibles, de modo que una restricción de las posibilidades de divulgación representa directamente, y en la misma medida, un límite al derecho de expresarse libremente</w:t>
      </w:r>
      <w:r w:rsidR="00E005F5" w:rsidRPr="001F1A1A">
        <w:rPr>
          <w:rStyle w:val="FootnoteReference"/>
          <w:rFonts w:ascii="Verdana" w:hAnsi="Verdana"/>
          <w:sz w:val="20"/>
          <w:szCs w:val="20"/>
        </w:rPr>
        <w:footnoteReference w:id="26"/>
      </w:r>
      <w:r w:rsidR="00E005F5" w:rsidRPr="001F1A1A">
        <w:rPr>
          <w:rFonts w:ascii="Verdana" w:hAnsi="Verdana"/>
          <w:sz w:val="20"/>
          <w:szCs w:val="20"/>
        </w:rPr>
        <w:t>.</w:t>
      </w:r>
    </w:p>
    <w:p w14:paraId="7E5AA9E0" w14:textId="77777777" w:rsidR="00AA3A75" w:rsidRPr="0038503F" w:rsidRDefault="00AA3A75" w:rsidP="00AA3A75">
      <w:pPr>
        <w:pStyle w:val="ListParagraph"/>
        <w:widowControl w:val="0"/>
        <w:autoSpaceDE w:val="0"/>
        <w:autoSpaceDN w:val="0"/>
        <w:adjustRightInd w:val="0"/>
        <w:spacing w:after="0" w:line="240" w:lineRule="auto"/>
        <w:ind w:left="0"/>
        <w:jc w:val="both"/>
        <w:rPr>
          <w:rFonts w:ascii="Verdana" w:hAnsi="Verdana" w:cs="Arial"/>
          <w:sz w:val="20"/>
          <w:szCs w:val="20"/>
          <w:lang w:val="es-ES"/>
        </w:rPr>
      </w:pPr>
    </w:p>
    <w:p w14:paraId="773403B0" w14:textId="77777777" w:rsidR="00E005F5" w:rsidRPr="001F1A1A" w:rsidRDefault="00724251" w:rsidP="00CA5368">
      <w:pPr>
        <w:pStyle w:val="ListParagraph"/>
        <w:widowControl w:val="0"/>
        <w:autoSpaceDE w:val="0"/>
        <w:autoSpaceDN w:val="0"/>
        <w:adjustRightInd w:val="0"/>
        <w:spacing w:after="0" w:line="240" w:lineRule="auto"/>
        <w:ind w:left="0"/>
        <w:jc w:val="both"/>
        <w:rPr>
          <w:rFonts w:ascii="Verdana" w:hAnsi="Verdana" w:cs="Arial"/>
          <w:sz w:val="20"/>
          <w:szCs w:val="20"/>
          <w:lang w:val="es-ES"/>
        </w:rPr>
      </w:pPr>
      <w:r>
        <w:rPr>
          <w:rFonts w:ascii="Verdana" w:hAnsi="Verdana"/>
          <w:sz w:val="20"/>
          <w:szCs w:val="20"/>
        </w:rPr>
        <w:t>21</w:t>
      </w:r>
      <w:r w:rsidR="00D26E89">
        <w:rPr>
          <w:rFonts w:ascii="Verdana" w:hAnsi="Verdana"/>
          <w:sz w:val="20"/>
          <w:szCs w:val="20"/>
        </w:rPr>
        <w:t xml:space="preserve">. </w:t>
      </w:r>
      <w:r w:rsidR="00D26E89">
        <w:rPr>
          <w:rFonts w:ascii="Verdana" w:hAnsi="Verdana"/>
          <w:sz w:val="20"/>
          <w:szCs w:val="20"/>
        </w:rPr>
        <w:tab/>
      </w:r>
      <w:r w:rsidR="00E005F5" w:rsidRPr="001F1A1A">
        <w:rPr>
          <w:rFonts w:ascii="Verdana" w:hAnsi="Verdana"/>
          <w:sz w:val="20"/>
          <w:szCs w:val="20"/>
        </w:rPr>
        <w:t>Por otro lado, con respecto a la segunda dimensión del derecho a la libertad de expresión</w:t>
      </w:r>
      <w:r w:rsidR="00EC14E6">
        <w:rPr>
          <w:rFonts w:ascii="Verdana" w:hAnsi="Verdana"/>
          <w:sz w:val="20"/>
          <w:szCs w:val="20"/>
        </w:rPr>
        <w:t>,</w:t>
      </w:r>
      <w:r w:rsidR="00E005F5" w:rsidRPr="001F1A1A">
        <w:rPr>
          <w:rFonts w:ascii="Verdana" w:hAnsi="Verdana"/>
          <w:sz w:val="20"/>
          <w:szCs w:val="20"/>
        </w:rPr>
        <w:t xml:space="preserve"> esto es, la social, es menester señalar que la libertad de expresión es un medio para el intercambio de ideas e informaciones entre las personas; comprende su derecho a tratar de comunicar a otras sus puntos de vista, pero implica también el derecho de tod</w:t>
      </w:r>
      <w:r w:rsidR="00DB7C82">
        <w:rPr>
          <w:rFonts w:ascii="Verdana" w:hAnsi="Verdana"/>
          <w:sz w:val="20"/>
          <w:szCs w:val="20"/>
        </w:rPr>
        <w:t>a</w:t>
      </w:r>
      <w:r w:rsidR="00E005F5" w:rsidRPr="001F1A1A">
        <w:rPr>
          <w:rFonts w:ascii="Verdana" w:hAnsi="Verdana"/>
          <w:sz w:val="20"/>
          <w:szCs w:val="20"/>
        </w:rPr>
        <w:t>s a conocer opiniones, relatos y noticias vertidas por terceros</w:t>
      </w:r>
      <w:r w:rsidR="00E005F5" w:rsidRPr="001F1A1A">
        <w:rPr>
          <w:rStyle w:val="FootnoteReference"/>
          <w:rFonts w:ascii="Verdana" w:hAnsi="Verdana"/>
          <w:sz w:val="20"/>
          <w:szCs w:val="20"/>
        </w:rPr>
        <w:footnoteReference w:id="27"/>
      </w:r>
      <w:r w:rsidR="00E005F5" w:rsidRPr="001F1A1A">
        <w:rPr>
          <w:rFonts w:ascii="Verdana" w:hAnsi="Verdana"/>
          <w:sz w:val="20"/>
          <w:szCs w:val="20"/>
        </w:rPr>
        <w:t>. Para el ciudadano común tiene tanta importancia el conocimiento de la opinión ajena o de la información de que disponen otros</w:t>
      </w:r>
      <w:r w:rsidR="003A1C8D">
        <w:rPr>
          <w:rFonts w:ascii="Verdana" w:hAnsi="Verdana"/>
          <w:sz w:val="20"/>
          <w:szCs w:val="20"/>
        </w:rPr>
        <w:t>,</w:t>
      </w:r>
      <w:r w:rsidR="00E005F5" w:rsidRPr="001F1A1A">
        <w:rPr>
          <w:rFonts w:ascii="Verdana" w:hAnsi="Verdana"/>
          <w:sz w:val="20"/>
          <w:szCs w:val="20"/>
        </w:rPr>
        <w:t xml:space="preserve"> como el derecho a difundir</w:t>
      </w:r>
      <w:r w:rsidR="0026499C">
        <w:rPr>
          <w:rFonts w:ascii="Verdana" w:hAnsi="Verdana"/>
          <w:sz w:val="20"/>
          <w:szCs w:val="20"/>
        </w:rPr>
        <w:t>la</w:t>
      </w:r>
      <w:r w:rsidR="00E005F5" w:rsidRPr="001F1A1A">
        <w:rPr>
          <w:rFonts w:ascii="Verdana" w:hAnsi="Verdana"/>
          <w:sz w:val="20"/>
          <w:szCs w:val="20"/>
        </w:rPr>
        <w:t xml:space="preserve">. Así, a la luz de ambas dimensiones, la libertad de expresión requiere, </w:t>
      </w:r>
      <w:r w:rsidR="00E005F5" w:rsidRPr="001F1A1A">
        <w:rPr>
          <w:rFonts w:ascii="Verdana" w:hAnsi="Verdana"/>
          <w:spacing w:val="-3"/>
          <w:sz w:val="20"/>
          <w:szCs w:val="20"/>
        </w:rPr>
        <w:t>por un lado, que nadie sea arbitrariamente menoscabado o impedido de manifestar su propio pensamiento y representa, por tanto, un derecho de cada individuo; pero implica también, por otro lado, un derecho colectivo a recibir cualquier información y a conocer la expresión del pensamiento ajeno</w:t>
      </w:r>
      <w:r w:rsidR="00E005F5" w:rsidRPr="001F1A1A">
        <w:rPr>
          <w:rStyle w:val="FootnoteReference"/>
          <w:rFonts w:ascii="Verdana" w:hAnsi="Verdana"/>
          <w:spacing w:val="-3"/>
          <w:sz w:val="20"/>
          <w:szCs w:val="20"/>
        </w:rPr>
        <w:footnoteReference w:id="28"/>
      </w:r>
      <w:r w:rsidR="00E005F5" w:rsidRPr="001F1A1A">
        <w:rPr>
          <w:rFonts w:ascii="Verdana" w:hAnsi="Verdana"/>
          <w:spacing w:val="-3"/>
          <w:sz w:val="20"/>
          <w:szCs w:val="20"/>
        </w:rPr>
        <w:t>.</w:t>
      </w:r>
    </w:p>
    <w:p w14:paraId="217E66F5" w14:textId="77777777" w:rsidR="001F1A1A" w:rsidRPr="001F1A1A" w:rsidRDefault="001F1A1A" w:rsidP="001F1A1A">
      <w:pPr>
        <w:pStyle w:val="ListParagraph"/>
        <w:widowControl w:val="0"/>
        <w:autoSpaceDE w:val="0"/>
        <w:autoSpaceDN w:val="0"/>
        <w:adjustRightInd w:val="0"/>
        <w:spacing w:after="0" w:line="240" w:lineRule="auto"/>
        <w:ind w:left="0"/>
        <w:jc w:val="both"/>
        <w:rPr>
          <w:rFonts w:ascii="Verdana" w:hAnsi="Verdana" w:cs="Arial"/>
          <w:sz w:val="20"/>
          <w:szCs w:val="20"/>
          <w:lang w:val="es-ES"/>
        </w:rPr>
      </w:pPr>
    </w:p>
    <w:p w14:paraId="09408DC3" w14:textId="77777777" w:rsidR="00E005F5" w:rsidRPr="00AF7316" w:rsidRDefault="00724251" w:rsidP="00CA5368">
      <w:pPr>
        <w:pStyle w:val="Estilo2"/>
        <w:tabs>
          <w:tab w:val="clear" w:pos="720"/>
          <w:tab w:val="clear" w:pos="6261"/>
          <w:tab w:val="left" w:pos="142"/>
        </w:tabs>
        <w:ind w:right="-1"/>
      </w:pPr>
      <w:r>
        <w:rPr>
          <w:lang w:val="es-ES_tradnl" w:eastAsia="es-ES"/>
        </w:rPr>
        <w:t>22</w:t>
      </w:r>
      <w:r w:rsidR="00D26E89">
        <w:rPr>
          <w:lang w:val="es-ES_tradnl" w:eastAsia="es-ES"/>
        </w:rPr>
        <w:t xml:space="preserve">. </w:t>
      </w:r>
      <w:r w:rsidR="00D26E89">
        <w:rPr>
          <w:lang w:val="es-ES_tradnl" w:eastAsia="es-ES"/>
        </w:rPr>
        <w:tab/>
      </w:r>
      <w:r w:rsidR="00E005F5" w:rsidRPr="00AF7316">
        <w:rPr>
          <w:lang w:val="es-ES_tradnl" w:eastAsia="es-ES"/>
        </w:rPr>
        <w:t xml:space="preserve">La </w:t>
      </w:r>
      <w:r w:rsidR="00564755">
        <w:rPr>
          <w:lang w:val="es-ES_tradnl" w:eastAsia="es-ES"/>
        </w:rPr>
        <w:t>Corte IDH</w:t>
      </w:r>
      <w:r w:rsidR="00E005F5" w:rsidRPr="00AF7316">
        <w:rPr>
          <w:lang w:val="es-ES_tradnl" w:eastAsia="es-ES"/>
        </w:rPr>
        <w:t xml:space="preserve"> en su Opinión Consultiva</w:t>
      </w:r>
      <w:r w:rsidR="00E005F5">
        <w:rPr>
          <w:lang w:val="es-ES_tradnl" w:eastAsia="es-ES"/>
        </w:rPr>
        <w:t xml:space="preserve"> </w:t>
      </w:r>
      <w:r w:rsidR="008B7A56">
        <w:rPr>
          <w:lang w:val="es-ES_tradnl" w:eastAsia="es-ES"/>
        </w:rPr>
        <w:t>OC-5/85</w:t>
      </w:r>
      <w:r w:rsidR="00E005F5" w:rsidRPr="00AF7316">
        <w:rPr>
          <w:lang w:val="es-ES_tradnl" w:eastAsia="es-ES"/>
        </w:rPr>
        <w:t>, hizo referencia a la estrecha relación existente entre democracia y libertad de expresión, al establecer</w:t>
      </w:r>
      <w:r w:rsidR="00E005F5">
        <w:rPr>
          <w:lang w:val="es-ES_tradnl" w:eastAsia="es-ES"/>
        </w:rPr>
        <w:t xml:space="preserve"> que: </w:t>
      </w:r>
    </w:p>
    <w:p w14:paraId="0C8B33A1" w14:textId="77777777" w:rsidR="00E005F5" w:rsidRPr="000A2DBB" w:rsidRDefault="00E005F5" w:rsidP="00E005F5">
      <w:pPr>
        <w:spacing w:before="100" w:beforeAutospacing="1" w:after="100" w:afterAutospacing="1" w:line="240" w:lineRule="auto"/>
        <w:ind w:left="567" w:right="424"/>
        <w:jc w:val="both"/>
        <w:rPr>
          <w:rFonts w:ascii="Verdana" w:hAnsi="Verdana" w:cs="Times New Roman"/>
          <w:sz w:val="18"/>
          <w:szCs w:val="18"/>
          <w:lang w:val="es-ES_tradnl" w:eastAsia="es-ES"/>
        </w:rPr>
      </w:pPr>
      <w:r w:rsidRPr="000A2DBB">
        <w:rPr>
          <w:rFonts w:ascii="Verdana" w:hAnsi="Verdana" w:cs="Times New Roman"/>
          <w:sz w:val="18"/>
          <w:szCs w:val="18"/>
          <w:lang w:val="es-ES_tradnl" w:eastAsia="es-ES"/>
        </w:rPr>
        <w:t>[...] la libertad de expresión es un elemento fundamental sobre el cual se basa la existencia de una sociedad democrática. Es indispensable para la formación de la opinión pública. Es también</w:t>
      </w:r>
      <w:r w:rsidR="00AA3A75" w:rsidRPr="000A2DBB">
        <w:rPr>
          <w:rFonts w:ascii="Verdana" w:hAnsi="Verdana" w:cs="Times New Roman"/>
          <w:sz w:val="18"/>
          <w:szCs w:val="18"/>
          <w:lang w:val="es-ES_tradnl" w:eastAsia="es-ES"/>
        </w:rPr>
        <w:t xml:space="preserve"> </w:t>
      </w:r>
      <w:proofErr w:type="spellStart"/>
      <w:r w:rsidRPr="000A2DBB">
        <w:rPr>
          <w:rFonts w:ascii="Verdana" w:hAnsi="Verdana" w:cs="Times New Roman"/>
          <w:i/>
          <w:iCs/>
          <w:sz w:val="18"/>
          <w:szCs w:val="18"/>
          <w:lang w:val="es-ES_tradnl" w:eastAsia="es-ES"/>
        </w:rPr>
        <w:t>conditio</w:t>
      </w:r>
      <w:proofErr w:type="spellEnd"/>
      <w:r w:rsidRPr="000A2DBB">
        <w:rPr>
          <w:rFonts w:ascii="Verdana" w:hAnsi="Verdana" w:cs="Times New Roman"/>
          <w:i/>
          <w:iCs/>
          <w:sz w:val="18"/>
          <w:szCs w:val="18"/>
          <w:lang w:val="es-ES_tradnl" w:eastAsia="es-ES"/>
        </w:rPr>
        <w:t xml:space="preserve"> sine qua non </w:t>
      </w:r>
      <w:r w:rsidRPr="000A2DBB">
        <w:rPr>
          <w:rFonts w:ascii="Verdana" w:hAnsi="Verdana" w:cs="Times New Roman"/>
          <w:sz w:val="18"/>
          <w:szCs w:val="18"/>
          <w:lang w:val="es-ES_tradnl" w:eastAsia="es-ES"/>
        </w:rPr>
        <w:t>para que los partidos políticos, los sindicatos, las sociedades científicas y culturales, y en general, quienes deseen influir sobre la colectividad puedan desarrollarse plenamente</w:t>
      </w:r>
      <w:r w:rsidRPr="000A2DBB">
        <w:rPr>
          <w:rStyle w:val="FootnoteReference"/>
          <w:rFonts w:ascii="Verdana" w:hAnsi="Verdana" w:cs="Times New Roman"/>
          <w:sz w:val="18"/>
          <w:szCs w:val="18"/>
          <w:lang w:val="es-ES_tradnl" w:eastAsia="es-ES"/>
        </w:rPr>
        <w:footnoteReference w:id="29"/>
      </w:r>
      <w:r w:rsidRPr="000A2DBB">
        <w:rPr>
          <w:rFonts w:ascii="Verdana" w:hAnsi="Verdana" w:cs="Times New Roman"/>
          <w:sz w:val="18"/>
          <w:szCs w:val="18"/>
          <w:lang w:val="es-ES_tradnl" w:eastAsia="es-ES"/>
        </w:rPr>
        <w:t xml:space="preserve">. </w:t>
      </w:r>
    </w:p>
    <w:p w14:paraId="53486D65" w14:textId="2813BF78" w:rsidR="00E005F5" w:rsidRPr="008912AE" w:rsidRDefault="00724251" w:rsidP="008912AE">
      <w:pPr>
        <w:pStyle w:val="NormalWeb"/>
        <w:jc w:val="both"/>
      </w:pPr>
      <w:r>
        <w:rPr>
          <w:rFonts w:ascii="Verdana" w:hAnsi="Verdana"/>
        </w:rPr>
        <w:t>23</w:t>
      </w:r>
      <w:r w:rsidR="00D26E89">
        <w:rPr>
          <w:rFonts w:ascii="Verdana" w:hAnsi="Verdana"/>
        </w:rPr>
        <w:t xml:space="preserve">. </w:t>
      </w:r>
      <w:r w:rsidR="00D26E89">
        <w:rPr>
          <w:rFonts w:ascii="Verdana" w:hAnsi="Verdana"/>
        </w:rPr>
        <w:tab/>
      </w:r>
      <w:r w:rsidR="00E005F5" w:rsidRPr="00AF7316">
        <w:rPr>
          <w:rFonts w:ascii="Verdana" w:hAnsi="Verdana"/>
        </w:rPr>
        <w:t xml:space="preserve">Existe </w:t>
      </w:r>
      <w:r w:rsidR="00E005F5">
        <w:rPr>
          <w:rFonts w:ascii="Verdana" w:hAnsi="Verdana"/>
        </w:rPr>
        <w:t xml:space="preserve">una </w:t>
      </w:r>
      <w:r w:rsidR="00E005F5" w:rsidRPr="00AF7316">
        <w:rPr>
          <w:rFonts w:ascii="Verdana" w:hAnsi="Verdana"/>
        </w:rPr>
        <w:t>coincidencia en</w:t>
      </w:r>
      <w:r w:rsidR="00A82C8C">
        <w:rPr>
          <w:rFonts w:ascii="Verdana" w:hAnsi="Verdana"/>
        </w:rPr>
        <w:t>tre</w:t>
      </w:r>
      <w:r w:rsidR="00E005F5" w:rsidRPr="00AF7316">
        <w:rPr>
          <w:rFonts w:ascii="Verdana" w:hAnsi="Verdana"/>
        </w:rPr>
        <w:t xml:space="preserve"> los diferentes sistemas regionales de protección </w:t>
      </w:r>
      <w:r w:rsidR="00E005F5">
        <w:rPr>
          <w:rFonts w:ascii="Verdana" w:hAnsi="Verdana"/>
        </w:rPr>
        <w:t>de</w:t>
      </w:r>
      <w:r w:rsidR="00E005F5" w:rsidRPr="00AF7316">
        <w:rPr>
          <w:rFonts w:ascii="Verdana" w:hAnsi="Verdana"/>
        </w:rPr>
        <w:t xml:space="preserve"> derechos humanos y el universal, en cuanto al papel esencial que juega la libertad de expresión en la consolidación y dinámica de una sociedad democrática. Sin una efectiva libertad de expresión, materializada en todos sus términos, la democracia se desvanece, el pluralismo y la tolerancia empiezan a quebrantarse, los mecanismos de control y denuncia</w:t>
      </w:r>
      <w:r w:rsidR="00E005F5">
        <w:rPr>
          <w:rFonts w:ascii="Verdana" w:hAnsi="Verdana"/>
        </w:rPr>
        <w:t xml:space="preserve"> </w:t>
      </w:r>
      <w:r w:rsidR="008912AE">
        <w:rPr>
          <w:rFonts w:ascii="Verdana" w:hAnsi="Verdana"/>
        </w:rPr>
        <w:lastRenderedPageBreak/>
        <w:t>ciudadana se torna</w:t>
      </w:r>
      <w:r w:rsidR="00A82C8C">
        <w:rPr>
          <w:rFonts w:ascii="Verdana" w:hAnsi="Verdana"/>
        </w:rPr>
        <w:t>n</w:t>
      </w:r>
      <w:r w:rsidR="008912AE">
        <w:rPr>
          <w:rFonts w:ascii="Verdana" w:hAnsi="Verdana"/>
        </w:rPr>
        <w:t xml:space="preserve"> </w:t>
      </w:r>
      <w:r w:rsidR="008912AE" w:rsidRPr="008912AE">
        <w:rPr>
          <w:rFonts w:ascii="Verdana" w:hAnsi="Verdana"/>
        </w:rPr>
        <w:t>inoperantes y, en definitiva, se empieza a crear el campo fértil para que sistemas autoritari</w:t>
      </w:r>
      <w:r w:rsidR="008912AE">
        <w:rPr>
          <w:rFonts w:ascii="Verdana" w:hAnsi="Verdana"/>
        </w:rPr>
        <w:t>os se arraiguen en la sociedad</w:t>
      </w:r>
      <w:r w:rsidR="00E005F5">
        <w:rPr>
          <w:rStyle w:val="FootnoteReference"/>
          <w:rFonts w:ascii="Verdana" w:hAnsi="Verdana"/>
        </w:rPr>
        <w:footnoteReference w:id="30"/>
      </w:r>
      <w:r w:rsidR="00E005F5">
        <w:rPr>
          <w:rFonts w:ascii="Verdana" w:hAnsi="Verdana"/>
        </w:rPr>
        <w:t xml:space="preserve">. </w:t>
      </w:r>
    </w:p>
    <w:p w14:paraId="1C99A797" w14:textId="77777777" w:rsidR="00E005F5" w:rsidRPr="00EC14E6" w:rsidRDefault="00724251" w:rsidP="00EC14E6">
      <w:pPr>
        <w:spacing w:before="100" w:beforeAutospacing="1" w:after="100" w:afterAutospacing="1" w:line="240" w:lineRule="auto"/>
        <w:jc w:val="both"/>
        <w:rPr>
          <w:rFonts w:ascii="Verdana" w:hAnsi="Verdana"/>
        </w:rPr>
      </w:pPr>
      <w:r>
        <w:rPr>
          <w:rFonts w:ascii="Verdana" w:hAnsi="Verdana" w:cs="Times New Roman"/>
          <w:sz w:val="20"/>
          <w:szCs w:val="20"/>
          <w:lang w:val="es-ES_tradnl" w:eastAsia="es-ES"/>
        </w:rPr>
        <w:t>24</w:t>
      </w:r>
      <w:r w:rsidR="00D26E89">
        <w:rPr>
          <w:rFonts w:ascii="Verdana" w:hAnsi="Verdana" w:cs="Times New Roman"/>
          <w:sz w:val="20"/>
          <w:szCs w:val="20"/>
          <w:lang w:val="es-ES_tradnl" w:eastAsia="es-ES"/>
        </w:rPr>
        <w:t xml:space="preserve">. </w:t>
      </w:r>
      <w:r w:rsidR="00D26E89">
        <w:rPr>
          <w:rFonts w:ascii="Verdana" w:hAnsi="Verdana" w:cs="Times New Roman"/>
          <w:sz w:val="20"/>
          <w:szCs w:val="20"/>
          <w:lang w:val="es-ES_tradnl" w:eastAsia="es-ES"/>
        </w:rPr>
        <w:tab/>
      </w:r>
      <w:r w:rsidR="00E005F5" w:rsidRPr="00EC14E6">
        <w:rPr>
          <w:rFonts w:ascii="Verdana" w:hAnsi="Verdana" w:cs="Times New Roman"/>
          <w:sz w:val="20"/>
          <w:szCs w:val="20"/>
          <w:lang w:val="es-ES_tradnl" w:eastAsia="es-ES"/>
        </w:rPr>
        <w:t>Sobre la importancia de los medios de comun</w:t>
      </w:r>
      <w:r w:rsidR="00564755">
        <w:rPr>
          <w:rFonts w:ascii="Verdana" w:hAnsi="Verdana" w:cs="Times New Roman"/>
          <w:sz w:val="20"/>
          <w:szCs w:val="20"/>
          <w:lang w:val="es-ES_tradnl" w:eastAsia="es-ES"/>
        </w:rPr>
        <w:t>icación, la Corte IDH</w:t>
      </w:r>
      <w:r w:rsidR="00E005F5" w:rsidRPr="00EC14E6">
        <w:rPr>
          <w:rFonts w:ascii="Verdana" w:hAnsi="Verdana" w:cs="Times New Roman"/>
          <w:sz w:val="20"/>
          <w:szCs w:val="20"/>
          <w:lang w:val="es-ES_tradnl" w:eastAsia="es-ES"/>
        </w:rPr>
        <w:t>, en la misma Opinión Consultiva</w:t>
      </w:r>
      <w:r w:rsidR="00564755">
        <w:rPr>
          <w:rFonts w:ascii="Verdana" w:hAnsi="Verdana" w:cs="Times New Roman"/>
          <w:sz w:val="20"/>
          <w:szCs w:val="20"/>
          <w:lang w:val="es-ES_tradnl" w:eastAsia="es-ES"/>
        </w:rPr>
        <w:t xml:space="preserve"> OC-5/85</w:t>
      </w:r>
      <w:r w:rsidR="00E005F5" w:rsidRPr="00EC14E6">
        <w:rPr>
          <w:rFonts w:ascii="Verdana" w:hAnsi="Verdana" w:cs="Times New Roman"/>
          <w:sz w:val="20"/>
          <w:szCs w:val="20"/>
          <w:lang w:val="es-ES_tradnl" w:eastAsia="es-ES"/>
        </w:rPr>
        <w:t xml:space="preserve">, hizo referencia a los medios de comunicación social al expresar que: </w:t>
      </w:r>
    </w:p>
    <w:p w14:paraId="4DBF14E9" w14:textId="77777777" w:rsidR="00EC14E6" w:rsidRPr="000A2DBB" w:rsidRDefault="00E005F5" w:rsidP="00EC14E6">
      <w:pPr>
        <w:spacing w:before="100" w:beforeAutospacing="1" w:after="100" w:afterAutospacing="1" w:line="240" w:lineRule="auto"/>
        <w:ind w:left="567" w:right="424"/>
        <w:jc w:val="both"/>
        <w:rPr>
          <w:rFonts w:ascii="Verdana" w:hAnsi="Verdana" w:cs="Times New Roman"/>
          <w:sz w:val="18"/>
          <w:szCs w:val="18"/>
          <w:lang w:val="es-ES_tradnl" w:eastAsia="es-ES"/>
        </w:rPr>
      </w:pPr>
      <w:r w:rsidRPr="000A2DBB">
        <w:rPr>
          <w:rFonts w:ascii="Verdana" w:hAnsi="Verdana" w:cs="Times New Roman"/>
          <w:sz w:val="18"/>
          <w:szCs w:val="18"/>
          <w:lang w:val="es-ES_tradnl" w:eastAsia="es-ES"/>
        </w:rPr>
        <w:t xml:space="preserve">[…] en principio la libertad de expresión requiere que los medios de comunicación social estén virtualmente abiertos a todos sin discriminación, o, más exactamente, que no haya individuos o grupos que, </w:t>
      </w:r>
      <w:r w:rsidRPr="000A2DBB">
        <w:rPr>
          <w:rFonts w:ascii="Verdana" w:hAnsi="Verdana" w:cs="Times New Roman"/>
          <w:bCs/>
          <w:i/>
          <w:sz w:val="18"/>
          <w:szCs w:val="18"/>
          <w:lang w:val="es-ES_tradnl" w:eastAsia="es-ES"/>
        </w:rPr>
        <w:t>a priori</w:t>
      </w:r>
      <w:r w:rsidRPr="000A2DBB">
        <w:rPr>
          <w:rFonts w:ascii="Verdana" w:hAnsi="Verdana" w:cs="Times New Roman"/>
          <w:bCs/>
          <w:sz w:val="18"/>
          <w:szCs w:val="18"/>
          <w:lang w:val="es-ES_tradnl" w:eastAsia="es-ES"/>
        </w:rPr>
        <w:t>,</w:t>
      </w:r>
      <w:r w:rsidRPr="000A2DBB">
        <w:rPr>
          <w:rFonts w:ascii="Verdana" w:hAnsi="Verdana" w:cs="Times New Roman"/>
          <w:b/>
          <w:bCs/>
          <w:sz w:val="18"/>
          <w:szCs w:val="18"/>
          <w:lang w:val="es-ES_tradnl" w:eastAsia="es-ES"/>
        </w:rPr>
        <w:t xml:space="preserve"> </w:t>
      </w:r>
      <w:r w:rsidRPr="000A2DBB">
        <w:rPr>
          <w:rFonts w:ascii="Verdana" w:hAnsi="Verdana" w:cs="Times New Roman"/>
          <w:sz w:val="18"/>
          <w:szCs w:val="18"/>
          <w:lang w:val="es-ES_tradnl" w:eastAsia="es-ES"/>
        </w:rPr>
        <w:t xml:space="preserve">estén excluidos del acceso a tales medios, exige igualmente ciertas condiciones respecto de estos, de manera que, en la práctica, sean verdaderos instrumentos de esa libertad y no vehículos para restringirla. Son los medios de comunicación social los que sirven para materializar el ejercicio de la libertad de expresión, de tal modo que sus condiciones de funcionamiento deben adecuarse a los requerimientos de esa libertad. Para ello es indispensable, </w:t>
      </w:r>
      <w:r w:rsidRPr="000A2DBB">
        <w:rPr>
          <w:rFonts w:ascii="Verdana" w:hAnsi="Verdana" w:cs="Times New Roman"/>
          <w:bCs/>
          <w:i/>
          <w:sz w:val="18"/>
          <w:szCs w:val="18"/>
          <w:lang w:val="es-ES_tradnl" w:eastAsia="es-ES"/>
        </w:rPr>
        <w:t xml:space="preserve">inter </w:t>
      </w:r>
      <w:proofErr w:type="spellStart"/>
      <w:r w:rsidRPr="000A2DBB">
        <w:rPr>
          <w:rFonts w:ascii="Verdana" w:hAnsi="Verdana" w:cs="Times New Roman"/>
          <w:bCs/>
          <w:i/>
          <w:sz w:val="18"/>
          <w:szCs w:val="18"/>
          <w:lang w:val="es-ES_tradnl" w:eastAsia="es-ES"/>
        </w:rPr>
        <w:t>alia</w:t>
      </w:r>
      <w:proofErr w:type="spellEnd"/>
      <w:r w:rsidRPr="000A2DBB">
        <w:rPr>
          <w:rFonts w:ascii="Verdana" w:hAnsi="Verdana" w:cs="Times New Roman"/>
          <w:i/>
          <w:sz w:val="18"/>
          <w:szCs w:val="18"/>
          <w:lang w:val="es-ES_tradnl" w:eastAsia="es-ES"/>
        </w:rPr>
        <w:t>,</w:t>
      </w:r>
      <w:r w:rsidRPr="000A2DBB">
        <w:rPr>
          <w:rFonts w:ascii="Verdana" w:hAnsi="Verdana" w:cs="Times New Roman"/>
          <w:sz w:val="18"/>
          <w:szCs w:val="18"/>
          <w:lang w:val="es-ES_tradnl" w:eastAsia="es-ES"/>
        </w:rPr>
        <w:t xml:space="preserve"> la pluralidad de medios, la prohibición de todo monopolio respecto de ellos, cualquiera sea la forma que pretenda adoptar, y la garantía de protección a la libertad e independencia de los periodistas</w:t>
      </w:r>
      <w:r w:rsidRPr="000A2DBB">
        <w:rPr>
          <w:rStyle w:val="FootnoteReference"/>
          <w:rFonts w:ascii="Verdana" w:hAnsi="Verdana" w:cs="Times New Roman"/>
          <w:sz w:val="18"/>
          <w:szCs w:val="18"/>
          <w:lang w:val="es-ES_tradnl" w:eastAsia="es-ES"/>
        </w:rPr>
        <w:footnoteReference w:id="31"/>
      </w:r>
      <w:r w:rsidRPr="000A2DBB">
        <w:rPr>
          <w:rFonts w:ascii="Verdana" w:hAnsi="Verdana" w:cs="Times New Roman"/>
          <w:sz w:val="18"/>
          <w:szCs w:val="18"/>
          <w:lang w:val="es-ES_tradnl" w:eastAsia="es-ES"/>
        </w:rPr>
        <w:t xml:space="preserve">. </w:t>
      </w:r>
    </w:p>
    <w:p w14:paraId="36920C4E" w14:textId="77777777" w:rsidR="001F1A1A" w:rsidRPr="00EC14E6" w:rsidRDefault="00724251" w:rsidP="008D4320">
      <w:pPr>
        <w:spacing w:before="100" w:beforeAutospacing="1" w:after="100" w:afterAutospacing="1" w:line="240" w:lineRule="auto"/>
        <w:ind w:right="-1"/>
        <w:jc w:val="both"/>
        <w:rPr>
          <w:rFonts w:ascii="Times" w:hAnsi="Times" w:cs="Times New Roman"/>
          <w:sz w:val="16"/>
          <w:szCs w:val="16"/>
          <w:lang w:val="es-ES_tradnl" w:eastAsia="es-ES"/>
        </w:rPr>
      </w:pPr>
      <w:r>
        <w:rPr>
          <w:rFonts w:ascii="Verdana" w:hAnsi="Verdana"/>
          <w:sz w:val="20"/>
          <w:szCs w:val="20"/>
        </w:rPr>
        <w:t>25</w:t>
      </w:r>
      <w:r w:rsidR="00D26E89">
        <w:rPr>
          <w:rFonts w:ascii="Verdana" w:hAnsi="Verdana"/>
          <w:sz w:val="20"/>
          <w:szCs w:val="20"/>
        </w:rPr>
        <w:t xml:space="preserve">. </w:t>
      </w:r>
      <w:r w:rsidR="00D26E89">
        <w:rPr>
          <w:rFonts w:ascii="Verdana" w:hAnsi="Verdana"/>
          <w:sz w:val="20"/>
          <w:szCs w:val="20"/>
        </w:rPr>
        <w:tab/>
      </w:r>
      <w:r w:rsidR="00CA5368">
        <w:rPr>
          <w:rFonts w:ascii="Verdana" w:hAnsi="Verdana"/>
          <w:sz w:val="20"/>
          <w:szCs w:val="20"/>
        </w:rPr>
        <w:t>E</w:t>
      </w:r>
      <w:r w:rsidR="00E005F5" w:rsidRPr="00EC14E6">
        <w:rPr>
          <w:rFonts w:ascii="Verdana" w:hAnsi="Verdana"/>
          <w:sz w:val="20"/>
          <w:szCs w:val="20"/>
        </w:rPr>
        <w:t>n el mismo sentido, el Tribunal Europeo ha considerado que la democracia se nutre de la libertad de expresión</w:t>
      </w:r>
      <w:r w:rsidR="00A82C8C">
        <w:rPr>
          <w:rFonts w:ascii="Verdana" w:hAnsi="Verdana"/>
          <w:sz w:val="20"/>
          <w:szCs w:val="20"/>
        </w:rPr>
        <w:t xml:space="preserve"> y que ésta</w:t>
      </w:r>
      <w:r w:rsidR="00E005F5" w:rsidRPr="00EC14E6">
        <w:rPr>
          <w:rFonts w:ascii="Verdana" w:hAnsi="Verdana"/>
          <w:sz w:val="20"/>
          <w:szCs w:val="20"/>
        </w:rPr>
        <w:t xml:space="preserve"> es esencial para permitir la propuesta y discusión de proyectos políticos diversos, incluso aquellos que ponen en tela de juicio el modo de organización actual de un Estado, siempre que no atente contra la democracia misma</w:t>
      </w:r>
      <w:r w:rsidR="00E005F5">
        <w:rPr>
          <w:rStyle w:val="FootnoteReference"/>
          <w:rFonts w:ascii="Verdana" w:hAnsi="Verdana"/>
          <w:sz w:val="20"/>
          <w:szCs w:val="20"/>
        </w:rPr>
        <w:footnoteReference w:id="32"/>
      </w:r>
      <w:r w:rsidR="00E005F5" w:rsidRPr="00EC14E6">
        <w:rPr>
          <w:rFonts w:ascii="Verdana" w:hAnsi="Verdana"/>
          <w:sz w:val="20"/>
          <w:szCs w:val="20"/>
        </w:rPr>
        <w:t>. Además, ha resaltado que en una sociedad democrática, no basta con garantizar un auténtico pluralismo en el sector audiovisual, permitiendo la existencia de diversas cadenas o la posibilidad teórica para los operadores potenciales de tener acceso al mercado del sector audiovisual. Es preciso permitir el acceso efectivo al mercado, a fin de garantizar, en el contenido de los programas considerados en su conjunto, una diversidad que refleje, lo máximo posible, la variedad de corrientes de opinión que existen en la sociedad a la que se dirigen los programas</w:t>
      </w:r>
      <w:r w:rsidR="00E005F5">
        <w:rPr>
          <w:rStyle w:val="FootnoteReference"/>
          <w:rFonts w:ascii="Verdana" w:hAnsi="Verdana"/>
          <w:sz w:val="20"/>
          <w:szCs w:val="20"/>
        </w:rPr>
        <w:footnoteReference w:id="33"/>
      </w:r>
      <w:r w:rsidR="00E005F5" w:rsidRPr="00EC14E6">
        <w:rPr>
          <w:rFonts w:ascii="Verdana" w:hAnsi="Verdana"/>
          <w:sz w:val="20"/>
          <w:szCs w:val="20"/>
        </w:rPr>
        <w:t xml:space="preserve">. </w:t>
      </w:r>
    </w:p>
    <w:p w14:paraId="1BEEE820" w14:textId="1516D023" w:rsidR="001F1A1A" w:rsidRPr="001F1A1A" w:rsidRDefault="00724251" w:rsidP="00EC14E6">
      <w:pPr>
        <w:tabs>
          <w:tab w:val="left" w:pos="0"/>
        </w:tabs>
        <w:spacing w:line="240" w:lineRule="auto"/>
        <w:jc w:val="both"/>
        <w:rPr>
          <w:rFonts w:ascii="Verdana" w:hAnsi="Verdana"/>
          <w:b/>
          <w:sz w:val="20"/>
          <w:szCs w:val="20"/>
        </w:rPr>
      </w:pPr>
      <w:r>
        <w:rPr>
          <w:rFonts w:ascii="Verdana" w:hAnsi="Verdana"/>
          <w:sz w:val="20"/>
          <w:szCs w:val="20"/>
        </w:rPr>
        <w:t>26</w:t>
      </w:r>
      <w:r w:rsidR="00D26E89">
        <w:rPr>
          <w:rFonts w:ascii="Verdana" w:hAnsi="Verdana"/>
          <w:sz w:val="20"/>
          <w:szCs w:val="20"/>
        </w:rPr>
        <w:t xml:space="preserve">. </w:t>
      </w:r>
      <w:r w:rsidR="00D26E89">
        <w:rPr>
          <w:rFonts w:ascii="Verdana" w:hAnsi="Verdana"/>
          <w:sz w:val="20"/>
          <w:szCs w:val="20"/>
        </w:rPr>
        <w:tab/>
      </w:r>
      <w:r w:rsidR="00E005F5" w:rsidRPr="00EC14E6">
        <w:rPr>
          <w:rFonts w:ascii="Verdana" w:hAnsi="Verdana"/>
          <w:sz w:val="20"/>
          <w:szCs w:val="20"/>
        </w:rPr>
        <w:t>Bajo este mism</w:t>
      </w:r>
      <w:r w:rsidR="00A82C8C">
        <w:rPr>
          <w:rFonts w:ascii="Verdana" w:hAnsi="Verdana"/>
          <w:sz w:val="20"/>
          <w:szCs w:val="20"/>
        </w:rPr>
        <w:t>o panorama, el Tribunal Europeo</w:t>
      </w:r>
      <w:r w:rsidR="00E005F5" w:rsidRPr="00EC14E6">
        <w:rPr>
          <w:rFonts w:ascii="Verdana" w:hAnsi="Verdana"/>
          <w:sz w:val="20"/>
          <w:szCs w:val="20"/>
        </w:rPr>
        <w:t xml:space="preserve"> ha enfatiza</w:t>
      </w:r>
      <w:r w:rsidR="00A82C8C">
        <w:rPr>
          <w:rFonts w:ascii="Verdana" w:hAnsi="Verdana"/>
          <w:sz w:val="20"/>
          <w:szCs w:val="20"/>
        </w:rPr>
        <w:t>do que la libertad de expresión</w:t>
      </w:r>
      <w:r w:rsidR="005957C9">
        <w:rPr>
          <w:rFonts w:ascii="Verdana" w:hAnsi="Verdana"/>
          <w:sz w:val="20"/>
          <w:szCs w:val="20"/>
        </w:rPr>
        <w:t>,</w:t>
      </w:r>
      <w:r w:rsidR="00E005F5" w:rsidRPr="00EC14E6">
        <w:rPr>
          <w:rFonts w:ascii="Verdana" w:hAnsi="Verdana"/>
          <w:sz w:val="20"/>
          <w:szCs w:val="20"/>
        </w:rPr>
        <w:t xml:space="preserve"> consagrada en el artículo 10</w:t>
      </w:r>
      <w:r w:rsidR="00A82C8C">
        <w:rPr>
          <w:rFonts w:ascii="Verdana" w:hAnsi="Verdana"/>
          <w:sz w:val="20"/>
          <w:szCs w:val="20"/>
        </w:rPr>
        <w:t>,</w:t>
      </w:r>
      <w:r w:rsidR="00E005F5" w:rsidRPr="00EC14E6">
        <w:rPr>
          <w:rFonts w:ascii="Verdana" w:hAnsi="Verdana"/>
          <w:sz w:val="20"/>
          <w:szCs w:val="20"/>
        </w:rPr>
        <w:t xml:space="preserve"> apartado 1</w:t>
      </w:r>
      <w:r w:rsidR="00A82C8C">
        <w:rPr>
          <w:rFonts w:ascii="Verdana" w:hAnsi="Verdana"/>
          <w:sz w:val="20"/>
          <w:szCs w:val="20"/>
        </w:rPr>
        <w:t>,</w:t>
      </w:r>
      <w:r w:rsidR="00E005F5" w:rsidRPr="00EC14E6">
        <w:rPr>
          <w:rFonts w:ascii="Verdana" w:hAnsi="Verdana"/>
          <w:sz w:val="20"/>
          <w:szCs w:val="20"/>
        </w:rPr>
        <w:t xml:space="preserve"> del Convenio Europeo de Derechos Humanos</w:t>
      </w:r>
      <w:r w:rsidR="00A82C8C">
        <w:rPr>
          <w:rFonts w:ascii="Verdana" w:hAnsi="Verdana"/>
          <w:sz w:val="20"/>
          <w:szCs w:val="20"/>
        </w:rPr>
        <w:t>,</w:t>
      </w:r>
      <w:r w:rsidR="00E005F5" w:rsidRPr="00EC14E6">
        <w:rPr>
          <w:rFonts w:ascii="Verdana" w:hAnsi="Verdana"/>
          <w:sz w:val="20"/>
          <w:szCs w:val="20"/>
        </w:rPr>
        <w:t xml:space="preserve"> constituye una de las condiciones primordiales del progreso de una sociedad</w:t>
      </w:r>
      <w:r w:rsidR="00E005F5">
        <w:rPr>
          <w:rStyle w:val="FootnoteReference"/>
          <w:rFonts w:ascii="Verdana" w:hAnsi="Verdana"/>
          <w:sz w:val="20"/>
          <w:szCs w:val="20"/>
        </w:rPr>
        <w:footnoteReference w:id="34"/>
      </w:r>
      <w:r w:rsidR="00E005F5" w:rsidRPr="00EC14E6">
        <w:rPr>
          <w:rFonts w:ascii="Verdana" w:hAnsi="Verdana"/>
          <w:sz w:val="20"/>
          <w:szCs w:val="20"/>
        </w:rPr>
        <w:t>. Así, la difusión de información, mediante la prensa o cualquier otro medio de comunicación, facilita a la opinión pública uno de los mejores mecanismos para conocer y juzgar las ideas y actitudes de las autoridades</w:t>
      </w:r>
      <w:r w:rsidR="00E005F5">
        <w:rPr>
          <w:rStyle w:val="FootnoteReference"/>
          <w:rFonts w:ascii="Verdana" w:hAnsi="Verdana"/>
          <w:sz w:val="20"/>
          <w:szCs w:val="20"/>
        </w:rPr>
        <w:footnoteReference w:id="35"/>
      </w:r>
      <w:r w:rsidR="00E005F5" w:rsidRPr="00EC14E6">
        <w:rPr>
          <w:rFonts w:ascii="Verdana" w:hAnsi="Verdana"/>
          <w:sz w:val="20"/>
          <w:szCs w:val="20"/>
        </w:rPr>
        <w:t xml:space="preserve">. </w:t>
      </w:r>
    </w:p>
    <w:p w14:paraId="374BDAA8" w14:textId="77777777" w:rsidR="001F1A1A" w:rsidRPr="001F1A1A" w:rsidRDefault="00724251" w:rsidP="00CA5368">
      <w:pPr>
        <w:pStyle w:val="ListParagraph"/>
        <w:tabs>
          <w:tab w:val="left" w:pos="0"/>
        </w:tabs>
        <w:spacing w:line="240" w:lineRule="auto"/>
        <w:ind w:left="0"/>
        <w:jc w:val="both"/>
        <w:rPr>
          <w:rFonts w:ascii="Verdana" w:hAnsi="Verdana"/>
          <w:b/>
          <w:sz w:val="20"/>
          <w:szCs w:val="20"/>
        </w:rPr>
      </w:pPr>
      <w:r>
        <w:rPr>
          <w:rFonts w:ascii="Verdana" w:hAnsi="Verdana"/>
          <w:sz w:val="20"/>
          <w:szCs w:val="20"/>
        </w:rPr>
        <w:lastRenderedPageBreak/>
        <w:t>27</w:t>
      </w:r>
      <w:r w:rsidR="00D26E89">
        <w:rPr>
          <w:rFonts w:ascii="Verdana" w:hAnsi="Verdana"/>
          <w:sz w:val="20"/>
          <w:szCs w:val="20"/>
        </w:rPr>
        <w:t xml:space="preserve">. </w:t>
      </w:r>
      <w:r w:rsidR="00D26E89">
        <w:rPr>
          <w:rFonts w:ascii="Verdana" w:hAnsi="Verdana"/>
          <w:sz w:val="20"/>
          <w:szCs w:val="20"/>
        </w:rPr>
        <w:tab/>
      </w:r>
      <w:r w:rsidR="00E005F5" w:rsidRPr="001F1A1A">
        <w:rPr>
          <w:rFonts w:ascii="Verdana" w:hAnsi="Verdana"/>
          <w:sz w:val="20"/>
          <w:szCs w:val="20"/>
        </w:rPr>
        <w:t xml:space="preserve">Sobre los medios audiovisuales, como la radio y la televisión, </w:t>
      </w:r>
      <w:r w:rsidR="00C07FA1">
        <w:rPr>
          <w:rFonts w:ascii="Verdana" w:hAnsi="Verdana"/>
          <w:sz w:val="20"/>
          <w:szCs w:val="20"/>
        </w:rPr>
        <w:t>l</w:t>
      </w:r>
      <w:r w:rsidR="00E005F5" w:rsidRPr="001F1A1A">
        <w:rPr>
          <w:rFonts w:ascii="Verdana" w:hAnsi="Verdana"/>
          <w:sz w:val="20"/>
          <w:szCs w:val="20"/>
        </w:rPr>
        <w:t>a Corte Europea ha dejado por sentado que tienen un papel fundamental para garantizar el derecho a la libertad de expresión. Así, en razón de su poder de transmitir mensajes mediante el sonido y la imagen, tienen efectos más inmediatos y poderosos que la prensa escrita</w:t>
      </w:r>
      <w:r w:rsidR="00E005F5">
        <w:rPr>
          <w:rStyle w:val="FootnoteReference"/>
          <w:rFonts w:ascii="Verdana" w:hAnsi="Verdana"/>
          <w:sz w:val="20"/>
          <w:szCs w:val="20"/>
        </w:rPr>
        <w:footnoteReference w:id="36"/>
      </w:r>
      <w:r w:rsidR="00E005F5" w:rsidRPr="001F1A1A">
        <w:rPr>
          <w:rFonts w:ascii="Verdana" w:hAnsi="Verdana"/>
          <w:sz w:val="20"/>
          <w:szCs w:val="20"/>
        </w:rPr>
        <w:t>. La función de los medios audiovisuales, fuentes conocidas de entretenimiento en la intimidad del telespectador o de</w:t>
      </w:r>
      <w:r w:rsidR="00FE5719">
        <w:rPr>
          <w:rFonts w:ascii="Verdana" w:hAnsi="Verdana"/>
          <w:sz w:val="20"/>
          <w:szCs w:val="20"/>
        </w:rPr>
        <w:t>l</w:t>
      </w:r>
      <w:r w:rsidR="00E005F5" w:rsidRPr="001F1A1A">
        <w:rPr>
          <w:rFonts w:ascii="Verdana" w:hAnsi="Verdana"/>
          <w:sz w:val="20"/>
          <w:szCs w:val="20"/>
        </w:rPr>
        <w:t xml:space="preserve"> oyente, refuerzan</w:t>
      </w:r>
      <w:r w:rsidR="0026499C">
        <w:rPr>
          <w:rFonts w:ascii="Verdana" w:hAnsi="Verdana"/>
          <w:sz w:val="20"/>
          <w:szCs w:val="20"/>
        </w:rPr>
        <w:t xml:space="preserve"> aún</w:t>
      </w:r>
      <w:r w:rsidR="00E005F5" w:rsidRPr="001F1A1A">
        <w:rPr>
          <w:rFonts w:ascii="Verdana" w:hAnsi="Verdana"/>
          <w:sz w:val="20"/>
          <w:szCs w:val="20"/>
        </w:rPr>
        <w:t xml:space="preserve"> más su impacto</w:t>
      </w:r>
      <w:r w:rsidR="00E005F5">
        <w:rPr>
          <w:rStyle w:val="FootnoteReference"/>
          <w:rFonts w:ascii="Verdana" w:hAnsi="Verdana"/>
          <w:sz w:val="20"/>
          <w:szCs w:val="20"/>
        </w:rPr>
        <w:footnoteReference w:id="37"/>
      </w:r>
      <w:r w:rsidR="00E005F5" w:rsidRPr="001F1A1A">
        <w:rPr>
          <w:rFonts w:ascii="Verdana" w:hAnsi="Verdana"/>
          <w:sz w:val="20"/>
          <w:szCs w:val="20"/>
        </w:rPr>
        <w:t xml:space="preserve">. </w:t>
      </w:r>
      <w:r w:rsidR="00FE5719">
        <w:rPr>
          <w:rFonts w:ascii="Verdana" w:hAnsi="Verdana"/>
          <w:sz w:val="20"/>
          <w:szCs w:val="20"/>
        </w:rPr>
        <w:t>Además, h</w:t>
      </w:r>
      <w:r w:rsidR="00E005F5" w:rsidRPr="001F1A1A">
        <w:rPr>
          <w:rFonts w:ascii="Verdana" w:hAnsi="Verdana"/>
          <w:sz w:val="20"/>
          <w:szCs w:val="20"/>
        </w:rPr>
        <w:t>a sido muy enfática al considerar que en un sector muy sensible como lo es el de los medios audiovisuales, al deber de no injerencia de los Estados, se añade la obligación de los Estados de establecer un marco legislativo y administrativo apropiado para garantizar un pluralismo efectivo</w:t>
      </w:r>
      <w:r w:rsidR="00E005F5">
        <w:rPr>
          <w:rStyle w:val="FootnoteReference"/>
          <w:rFonts w:ascii="Verdana" w:hAnsi="Verdana"/>
          <w:sz w:val="20"/>
          <w:szCs w:val="20"/>
        </w:rPr>
        <w:footnoteReference w:id="38"/>
      </w:r>
      <w:r w:rsidR="00E005F5" w:rsidRPr="001F1A1A">
        <w:rPr>
          <w:rFonts w:ascii="Verdana" w:hAnsi="Verdana"/>
          <w:sz w:val="20"/>
          <w:szCs w:val="20"/>
        </w:rPr>
        <w:t xml:space="preserve">. </w:t>
      </w:r>
    </w:p>
    <w:p w14:paraId="7410405C" w14:textId="77777777" w:rsidR="001F1A1A" w:rsidRPr="001F1A1A" w:rsidRDefault="001F1A1A" w:rsidP="001F1A1A">
      <w:pPr>
        <w:pStyle w:val="ListParagraph"/>
        <w:tabs>
          <w:tab w:val="left" w:pos="0"/>
        </w:tabs>
        <w:spacing w:line="240" w:lineRule="auto"/>
        <w:ind w:left="0"/>
        <w:jc w:val="both"/>
        <w:rPr>
          <w:rFonts w:ascii="Verdana" w:hAnsi="Verdana"/>
          <w:b/>
          <w:sz w:val="20"/>
          <w:szCs w:val="20"/>
        </w:rPr>
      </w:pPr>
    </w:p>
    <w:p w14:paraId="2E8207C1" w14:textId="77777777" w:rsidR="001F1A1A" w:rsidRPr="001F1A1A" w:rsidRDefault="00724251" w:rsidP="00CA5368">
      <w:pPr>
        <w:pStyle w:val="ListParagraph"/>
        <w:tabs>
          <w:tab w:val="left" w:pos="0"/>
        </w:tabs>
        <w:spacing w:line="240" w:lineRule="auto"/>
        <w:ind w:left="0"/>
        <w:jc w:val="both"/>
        <w:rPr>
          <w:rFonts w:ascii="Verdana" w:hAnsi="Verdana"/>
          <w:b/>
          <w:sz w:val="20"/>
          <w:szCs w:val="20"/>
        </w:rPr>
      </w:pPr>
      <w:r>
        <w:rPr>
          <w:rFonts w:ascii="Verdana" w:hAnsi="Verdana"/>
          <w:sz w:val="20"/>
          <w:szCs w:val="20"/>
        </w:rPr>
        <w:t>28</w:t>
      </w:r>
      <w:r w:rsidR="00D26E89">
        <w:rPr>
          <w:rFonts w:ascii="Verdana" w:hAnsi="Verdana"/>
          <w:sz w:val="20"/>
          <w:szCs w:val="20"/>
        </w:rPr>
        <w:t xml:space="preserve">. </w:t>
      </w:r>
      <w:r w:rsidR="00D26E89">
        <w:rPr>
          <w:rFonts w:ascii="Verdana" w:hAnsi="Verdana"/>
          <w:sz w:val="20"/>
          <w:szCs w:val="20"/>
        </w:rPr>
        <w:tab/>
      </w:r>
      <w:r w:rsidR="00E005F5" w:rsidRPr="001F1A1A">
        <w:rPr>
          <w:rFonts w:ascii="Verdana" w:hAnsi="Verdana"/>
          <w:sz w:val="20"/>
          <w:szCs w:val="20"/>
        </w:rPr>
        <w:t xml:space="preserve">En el mismo sentido que </w:t>
      </w:r>
      <w:r w:rsidR="00700CEE">
        <w:rPr>
          <w:rFonts w:ascii="Verdana" w:hAnsi="Verdana"/>
          <w:sz w:val="20"/>
          <w:szCs w:val="20"/>
        </w:rPr>
        <w:t xml:space="preserve">el Tribunal </w:t>
      </w:r>
      <w:r w:rsidR="00E005F5" w:rsidRPr="001F1A1A">
        <w:rPr>
          <w:rFonts w:ascii="Verdana" w:hAnsi="Verdana"/>
          <w:sz w:val="20"/>
          <w:szCs w:val="20"/>
        </w:rPr>
        <w:t>Europe</w:t>
      </w:r>
      <w:r w:rsidR="0026499C">
        <w:rPr>
          <w:rFonts w:ascii="Verdana" w:hAnsi="Verdana"/>
          <w:sz w:val="20"/>
          <w:szCs w:val="20"/>
        </w:rPr>
        <w:t>o</w:t>
      </w:r>
      <w:r w:rsidR="00E005F5" w:rsidRPr="001F1A1A">
        <w:rPr>
          <w:rFonts w:ascii="Verdana" w:hAnsi="Verdana"/>
          <w:sz w:val="20"/>
          <w:szCs w:val="20"/>
        </w:rPr>
        <w:t xml:space="preserve"> de Derechos Humano</w:t>
      </w:r>
      <w:r w:rsidR="00700CEE">
        <w:rPr>
          <w:rFonts w:ascii="Verdana" w:hAnsi="Verdana"/>
          <w:sz w:val="20"/>
          <w:szCs w:val="20"/>
        </w:rPr>
        <w:t>s, la Corte IDH</w:t>
      </w:r>
      <w:r w:rsidR="00E005F5" w:rsidRPr="001F1A1A">
        <w:rPr>
          <w:rFonts w:ascii="Verdana" w:hAnsi="Verdana"/>
          <w:sz w:val="20"/>
          <w:szCs w:val="20"/>
        </w:rPr>
        <w:t xml:space="preserve"> ha puntualizado que </w:t>
      </w:r>
      <w:r w:rsidR="00E005F5" w:rsidRPr="0026499C">
        <w:rPr>
          <w:rFonts w:ascii="Verdana" w:hAnsi="Verdana"/>
          <w:sz w:val="20"/>
          <w:szCs w:val="20"/>
        </w:rPr>
        <w:t>la libertad de expresión no sólo debe garantizarse en lo que respecta a la difusión de información o ideas que son recibidas favorablemente o consideradas como inofensivas o indiferentes, sino también en lo que toca a las que ofenden, resultan ingratas o perturban al Estado o a cualquier sector de la población</w:t>
      </w:r>
      <w:r w:rsidR="00E005F5">
        <w:rPr>
          <w:rStyle w:val="FootnoteReference"/>
          <w:rFonts w:ascii="Verdana" w:hAnsi="Verdana"/>
          <w:sz w:val="20"/>
          <w:szCs w:val="20"/>
        </w:rPr>
        <w:footnoteReference w:id="39"/>
      </w:r>
      <w:r w:rsidR="00E005F5" w:rsidRPr="001F1A1A">
        <w:rPr>
          <w:rFonts w:ascii="Verdana" w:hAnsi="Verdana"/>
          <w:sz w:val="20"/>
          <w:szCs w:val="20"/>
        </w:rPr>
        <w:t xml:space="preserve">. Lo anteriormente expuesto, en criterio de este Tribunal </w:t>
      </w:r>
      <w:r w:rsidR="009825AC">
        <w:rPr>
          <w:rFonts w:ascii="Verdana" w:hAnsi="Verdana"/>
          <w:sz w:val="20"/>
          <w:szCs w:val="20"/>
        </w:rPr>
        <w:t xml:space="preserve">Interamericano </w:t>
      </w:r>
      <w:r w:rsidR="00E005F5" w:rsidRPr="001F1A1A">
        <w:rPr>
          <w:rFonts w:ascii="Verdana" w:hAnsi="Verdana"/>
          <w:sz w:val="20"/>
          <w:szCs w:val="20"/>
        </w:rPr>
        <w:t xml:space="preserve">tiene una importancia particular cuando se aplica a los medios de comunicación social, ya que no solo implica que compete a los medios de </w:t>
      </w:r>
      <w:r w:rsidR="0026499C">
        <w:rPr>
          <w:rFonts w:ascii="Verdana" w:hAnsi="Verdana"/>
          <w:sz w:val="20"/>
          <w:szCs w:val="20"/>
        </w:rPr>
        <w:t xml:space="preserve">comunicación </w:t>
      </w:r>
      <w:r w:rsidR="00E005F5" w:rsidRPr="001F1A1A">
        <w:rPr>
          <w:rFonts w:ascii="Verdana" w:hAnsi="Verdana"/>
          <w:sz w:val="20"/>
          <w:szCs w:val="20"/>
        </w:rPr>
        <w:t xml:space="preserve">la tarea de transmitir información e ideas relativas a asuntos de interés público, sino también </w:t>
      </w:r>
      <w:r w:rsidR="009825AC">
        <w:rPr>
          <w:rFonts w:ascii="Verdana" w:hAnsi="Verdana"/>
          <w:sz w:val="20"/>
          <w:szCs w:val="20"/>
        </w:rPr>
        <w:t xml:space="preserve">a </w:t>
      </w:r>
      <w:r w:rsidR="00E005F5" w:rsidRPr="001F1A1A">
        <w:rPr>
          <w:rFonts w:ascii="Verdana" w:hAnsi="Verdana"/>
          <w:sz w:val="20"/>
          <w:szCs w:val="20"/>
        </w:rPr>
        <w:t>que el público tiene derecho de recibirlas</w:t>
      </w:r>
      <w:r w:rsidR="00E005F5">
        <w:rPr>
          <w:rStyle w:val="FootnoteReference"/>
          <w:rFonts w:ascii="Verdana" w:hAnsi="Verdana"/>
          <w:sz w:val="20"/>
          <w:szCs w:val="20"/>
        </w:rPr>
        <w:footnoteReference w:id="40"/>
      </w:r>
      <w:r w:rsidR="00E005F5" w:rsidRPr="001F1A1A">
        <w:rPr>
          <w:rFonts w:ascii="Verdana" w:hAnsi="Verdana"/>
          <w:sz w:val="20"/>
          <w:szCs w:val="20"/>
        </w:rPr>
        <w:t xml:space="preserve">. </w:t>
      </w:r>
    </w:p>
    <w:p w14:paraId="4D70342E" w14:textId="77777777" w:rsidR="00CA5368" w:rsidRDefault="00CA5368" w:rsidP="00CA5368">
      <w:pPr>
        <w:pStyle w:val="ListParagraph"/>
        <w:tabs>
          <w:tab w:val="left" w:pos="0"/>
        </w:tabs>
        <w:spacing w:line="240" w:lineRule="auto"/>
        <w:ind w:left="0"/>
        <w:jc w:val="both"/>
        <w:rPr>
          <w:rFonts w:ascii="Verdana" w:hAnsi="Verdana"/>
          <w:b/>
          <w:sz w:val="20"/>
          <w:szCs w:val="20"/>
        </w:rPr>
      </w:pPr>
    </w:p>
    <w:p w14:paraId="648EA3F9" w14:textId="01BDF7B6" w:rsidR="00CA5368" w:rsidRDefault="00724251" w:rsidP="00CA5368">
      <w:pPr>
        <w:pStyle w:val="ListParagraph"/>
        <w:tabs>
          <w:tab w:val="left" w:pos="0"/>
        </w:tabs>
        <w:spacing w:line="240" w:lineRule="auto"/>
        <w:ind w:left="0"/>
        <w:jc w:val="both"/>
        <w:rPr>
          <w:rFonts w:ascii="Verdana" w:hAnsi="Verdana"/>
          <w:b/>
          <w:sz w:val="20"/>
          <w:szCs w:val="20"/>
        </w:rPr>
      </w:pPr>
      <w:r>
        <w:rPr>
          <w:rFonts w:ascii="Verdana" w:hAnsi="Verdana" w:cs="Arial"/>
          <w:sz w:val="20"/>
          <w:szCs w:val="20"/>
          <w:lang w:val="es-ES"/>
        </w:rPr>
        <w:t>29</w:t>
      </w:r>
      <w:r w:rsidR="00D26E89">
        <w:rPr>
          <w:rFonts w:ascii="Verdana" w:hAnsi="Verdana" w:cs="Arial"/>
          <w:sz w:val="20"/>
          <w:szCs w:val="20"/>
          <w:lang w:val="es-ES"/>
        </w:rPr>
        <w:t xml:space="preserve">. </w:t>
      </w:r>
      <w:r w:rsidR="00D26E89">
        <w:rPr>
          <w:rFonts w:ascii="Verdana" w:hAnsi="Verdana" w:cs="Arial"/>
          <w:sz w:val="20"/>
          <w:szCs w:val="20"/>
          <w:lang w:val="es-ES"/>
        </w:rPr>
        <w:tab/>
      </w:r>
      <w:r w:rsidR="00E005F5" w:rsidRPr="001F1A1A">
        <w:rPr>
          <w:rFonts w:ascii="Verdana" w:hAnsi="Verdana" w:cs="Arial"/>
          <w:sz w:val="20"/>
          <w:szCs w:val="20"/>
          <w:lang w:val="es-ES"/>
        </w:rPr>
        <w:t>En los c</w:t>
      </w:r>
      <w:r w:rsidR="00E005F5" w:rsidRPr="001F1A1A">
        <w:rPr>
          <w:rFonts w:ascii="Verdana" w:hAnsi="Verdana" w:cs="Arial"/>
          <w:iCs/>
          <w:sz w:val="20"/>
          <w:szCs w:val="20"/>
          <w:lang w:val="es-ES"/>
        </w:rPr>
        <w:t>asos</w:t>
      </w:r>
      <w:r w:rsidR="00E005F5" w:rsidRPr="001F1A1A">
        <w:rPr>
          <w:rFonts w:ascii="Verdana" w:hAnsi="Verdana" w:cs="Arial"/>
          <w:i/>
          <w:iCs/>
          <w:sz w:val="20"/>
          <w:szCs w:val="20"/>
          <w:lang w:val="es-ES"/>
        </w:rPr>
        <w:t xml:space="preserve"> Ríos y </w:t>
      </w:r>
      <w:r w:rsidR="00A82C8C">
        <w:rPr>
          <w:rFonts w:ascii="Verdana" w:hAnsi="Verdana" w:cs="Arial"/>
          <w:i/>
          <w:iCs/>
          <w:sz w:val="20"/>
          <w:szCs w:val="20"/>
          <w:lang w:val="es-ES"/>
        </w:rPr>
        <w:t>o</w:t>
      </w:r>
      <w:r w:rsidR="00E005F5" w:rsidRPr="001F1A1A">
        <w:rPr>
          <w:rFonts w:ascii="Verdana" w:hAnsi="Verdana" w:cs="Arial"/>
          <w:i/>
          <w:iCs/>
          <w:sz w:val="20"/>
          <w:szCs w:val="20"/>
          <w:lang w:val="es-ES"/>
        </w:rPr>
        <w:t xml:space="preserve">tros </w:t>
      </w:r>
      <w:r w:rsidR="00E005F5" w:rsidRPr="001F1A1A">
        <w:rPr>
          <w:rFonts w:ascii="Verdana" w:hAnsi="Verdana" w:cs="Arial"/>
          <w:sz w:val="20"/>
          <w:szCs w:val="20"/>
          <w:lang w:val="es-ES"/>
        </w:rPr>
        <w:t xml:space="preserve">y </w:t>
      </w:r>
      <w:r w:rsidR="00E005F5" w:rsidRPr="001F1A1A">
        <w:rPr>
          <w:rFonts w:ascii="Verdana" w:hAnsi="Verdana" w:cs="Arial"/>
          <w:i/>
          <w:iCs/>
          <w:sz w:val="20"/>
          <w:szCs w:val="20"/>
          <w:lang w:val="es-ES"/>
        </w:rPr>
        <w:t xml:space="preserve">Perozo y otros, </w:t>
      </w:r>
      <w:r w:rsidR="00E005F5" w:rsidRPr="001F1A1A">
        <w:rPr>
          <w:rFonts w:ascii="Verdana" w:hAnsi="Verdana" w:cs="Arial"/>
          <w:iCs/>
          <w:sz w:val="20"/>
          <w:szCs w:val="20"/>
          <w:lang w:val="es-ES"/>
        </w:rPr>
        <w:t>ambos contra Ve</w:t>
      </w:r>
      <w:r w:rsidR="00700CEE">
        <w:rPr>
          <w:rFonts w:ascii="Verdana" w:hAnsi="Verdana" w:cs="Arial"/>
          <w:iCs/>
          <w:sz w:val="20"/>
          <w:szCs w:val="20"/>
          <w:lang w:val="es-ES"/>
        </w:rPr>
        <w:t>nezuela, la Corte IDH</w:t>
      </w:r>
      <w:r w:rsidR="00E005F5" w:rsidRPr="001F1A1A">
        <w:rPr>
          <w:rFonts w:ascii="Verdana" w:hAnsi="Verdana" w:cs="Arial"/>
          <w:iCs/>
          <w:sz w:val="20"/>
          <w:szCs w:val="20"/>
          <w:lang w:val="es-ES"/>
        </w:rPr>
        <w:t xml:space="preserve"> </w:t>
      </w:r>
      <w:r w:rsidR="00E005F5" w:rsidRPr="001F1A1A">
        <w:rPr>
          <w:rFonts w:ascii="Verdana" w:hAnsi="Verdana" w:cs="Arial"/>
          <w:sz w:val="20"/>
          <w:szCs w:val="20"/>
          <w:lang w:val="es-ES"/>
        </w:rPr>
        <w:t xml:space="preserve">expuso que la libertad de expresión, particularmente en asuntos de interés público, es una piedra angular en la existencia misma de una sociedad democrática. </w:t>
      </w:r>
      <w:r w:rsidR="00376F0B">
        <w:rPr>
          <w:rFonts w:ascii="Verdana" w:hAnsi="Verdana" w:cs="Arial"/>
          <w:sz w:val="20"/>
          <w:szCs w:val="20"/>
          <w:lang w:val="es-ES"/>
        </w:rPr>
        <w:t>El Tribunal Interamericano reitera en esos casos la necesidad de garantizar la difusión de información de ideas, incluso las que son ingratas para el Estado.</w:t>
      </w:r>
      <w:r w:rsidR="00E005F5" w:rsidRPr="001F1A1A">
        <w:rPr>
          <w:rFonts w:ascii="Verdana" w:hAnsi="Verdana" w:cs="Arial"/>
          <w:sz w:val="20"/>
          <w:szCs w:val="20"/>
          <w:lang w:val="es-ES"/>
        </w:rPr>
        <w:t xml:space="preserve"> Tales son las demandas del pluralismo, que implica tolerancia y espíritu de apertura, sin los cuales no existe una sociedad democrática.</w:t>
      </w:r>
      <w:r w:rsidR="00E005F5">
        <w:rPr>
          <w:rStyle w:val="FootnoteReference"/>
          <w:rFonts w:ascii="Verdana" w:hAnsi="Verdana" w:cs="Arial"/>
          <w:sz w:val="20"/>
          <w:szCs w:val="20"/>
          <w:lang w:val="es-ES"/>
        </w:rPr>
        <w:footnoteReference w:id="41"/>
      </w:r>
      <w:r w:rsidR="00E005F5" w:rsidRPr="001F1A1A">
        <w:rPr>
          <w:rFonts w:ascii="Verdana" w:hAnsi="Verdana" w:cs="Arial"/>
          <w:sz w:val="20"/>
          <w:szCs w:val="20"/>
          <w:lang w:val="es-ES"/>
        </w:rPr>
        <w:t xml:space="preserve"> </w:t>
      </w:r>
    </w:p>
    <w:p w14:paraId="4F356A70" w14:textId="77777777" w:rsidR="00CA5368" w:rsidRDefault="00CA5368" w:rsidP="00CA5368">
      <w:pPr>
        <w:pStyle w:val="ListParagraph"/>
        <w:tabs>
          <w:tab w:val="left" w:pos="0"/>
        </w:tabs>
        <w:spacing w:line="240" w:lineRule="auto"/>
        <w:ind w:left="0"/>
        <w:jc w:val="both"/>
        <w:rPr>
          <w:rFonts w:ascii="Verdana" w:hAnsi="Verdana"/>
          <w:b/>
          <w:sz w:val="20"/>
          <w:szCs w:val="20"/>
        </w:rPr>
      </w:pPr>
    </w:p>
    <w:p w14:paraId="4F412281" w14:textId="77777777" w:rsidR="00E005F5" w:rsidRPr="001F1A1A" w:rsidRDefault="00724251" w:rsidP="00376F0B">
      <w:pPr>
        <w:pStyle w:val="ListParagraph"/>
        <w:tabs>
          <w:tab w:val="left" w:pos="0"/>
        </w:tabs>
        <w:spacing w:after="120" w:line="240" w:lineRule="auto"/>
        <w:ind w:left="0"/>
        <w:jc w:val="both"/>
        <w:rPr>
          <w:rFonts w:ascii="Verdana" w:hAnsi="Verdana"/>
          <w:b/>
          <w:sz w:val="20"/>
          <w:szCs w:val="20"/>
        </w:rPr>
      </w:pPr>
      <w:r>
        <w:rPr>
          <w:rFonts w:ascii="Verdana" w:hAnsi="Verdana"/>
          <w:sz w:val="20"/>
          <w:szCs w:val="20"/>
        </w:rPr>
        <w:t>30</w:t>
      </w:r>
      <w:r w:rsidR="00D26E89">
        <w:rPr>
          <w:rFonts w:ascii="Verdana" w:hAnsi="Verdana"/>
          <w:sz w:val="20"/>
          <w:szCs w:val="20"/>
        </w:rPr>
        <w:t xml:space="preserve">. </w:t>
      </w:r>
      <w:r w:rsidR="00D26E89">
        <w:rPr>
          <w:rFonts w:ascii="Verdana" w:hAnsi="Verdana"/>
          <w:sz w:val="20"/>
          <w:szCs w:val="20"/>
        </w:rPr>
        <w:tab/>
      </w:r>
      <w:r w:rsidR="00E005F5" w:rsidRPr="001F1A1A">
        <w:rPr>
          <w:rFonts w:ascii="Verdana" w:hAnsi="Verdana"/>
          <w:sz w:val="20"/>
          <w:szCs w:val="20"/>
        </w:rPr>
        <w:t xml:space="preserve">La Corte </w:t>
      </w:r>
      <w:r w:rsidR="00700CEE">
        <w:rPr>
          <w:rFonts w:ascii="Verdana" w:hAnsi="Verdana"/>
          <w:sz w:val="20"/>
          <w:szCs w:val="20"/>
        </w:rPr>
        <w:t xml:space="preserve">IDH </w:t>
      </w:r>
      <w:r w:rsidR="00E005F5" w:rsidRPr="001F1A1A">
        <w:rPr>
          <w:rFonts w:ascii="Verdana" w:hAnsi="Verdana"/>
          <w:sz w:val="20"/>
          <w:szCs w:val="20"/>
        </w:rPr>
        <w:t>ha manifestado la importancia que tiene minimizar las restricciones a la información en la mayor medida posible por el Estado, a fin de garantizar las distintas corrientes en el debate político, impulsando el pluralismo informativo</w:t>
      </w:r>
      <w:r w:rsidR="00A82C8C">
        <w:rPr>
          <w:rFonts w:ascii="Verdana" w:hAnsi="Verdana"/>
          <w:sz w:val="20"/>
          <w:szCs w:val="20"/>
        </w:rPr>
        <w:t>. A</w:t>
      </w:r>
      <w:r w:rsidR="00E005F5" w:rsidRPr="001F1A1A">
        <w:rPr>
          <w:rFonts w:ascii="Verdana" w:hAnsi="Verdana"/>
          <w:sz w:val="20"/>
          <w:szCs w:val="20"/>
        </w:rPr>
        <w:t xml:space="preserve">sí, ha entendido que: </w:t>
      </w:r>
    </w:p>
    <w:p w14:paraId="10D58436" w14:textId="77777777" w:rsidR="00CA5368" w:rsidRPr="000A2DBB" w:rsidRDefault="00FE5719" w:rsidP="00376F0B">
      <w:pPr>
        <w:spacing w:after="0" w:line="240" w:lineRule="auto"/>
        <w:ind w:left="567" w:right="567"/>
        <w:jc w:val="both"/>
        <w:rPr>
          <w:rFonts w:ascii="Verdana" w:hAnsi="Verdana" w:cs="Times New Roman"/>
          <w:sz w:val="18"/>
          <w:szCs w:val="18"/>
          <w:lang w:val="es-ES_tradnl" w:eastAsia="es-ES"/>
        </w:rPr>
      </w:pPr>
      <w:r w:rsidRPr="000A2DBB">
        <w:rPr>
          <w:rFonts w:ascii="Verdana" w:hAnsi="Verdana" w:cs="Times New Roman"/>
          <w:sz w:val="18"/>
          <w:szCs w:val="18"/>
          <w:lang w:val="es-ES_tradnl" w:eastAsia="es-ES"/>
        </w:rPr>
        <w:t xml:space="preserve">“ </w:t>
      </w:r>
      <w:r w:rsidR="00DE60A9">
        <w:rPr>
          <w:rFonts w:ascii="Verdana" w:hAnsi="Verdana" w:cs="Times New Roman"/>
          <w:sz w:val="18"/>
          <w:szCs w:val="18"/>
          <w:lang w:val="es-ES_tradnl" w:eastAsia="es-ES"/>
        </w:rPr>
        <w:t>[</w:t>
      </w:r>
      <w:r w:rsidRPr="000A2DBB">
        <w:rPr>
          <w:rFonts w:ascii="Verdana" w:hAnsi="Verdana" w:cs="Times New Roman"/>
          <w:sz w:val="18"/>
          <w:szCs w:val="18"/>
          <w:lang w:val="es-ES_tradnl" w:eastAsia="es-ES"/>
        </w:rPr>
        <w:t>d</w:t>
      </w:r>
      <w:r w:rsidR="00DE60A9">
        <w:rPr>
          <w:rFonts w:ascii="Verdana" w:hAnsi="Verdana" w:cs="Times New Roman"/>
          <w:sz w:val="18"/>
          <w:szCs w:val="18"/>
          <w:lang w:val="es-ES_tradnl" w:eastAsia="es-ES"/>
        </w:rPr>
        <w:t>]</w:t>
      </w:r>
      <w:proofErr w:type="spellStart"/>
      <w:r w:rsidR="00E005F5" w:rsidRPr="000A2DBB">
        <w:rPr>
          <w:rFonts w:ascii="Verdana" w:hAnsi="Verdana" w:cs="Times New Roman"/>
          <w:sz w:val="18"/>
          <w:szCs w:val="18"/>
          <w:lang w:val="es-ES_tradnl" w:eastAsia="es-ES"/>
        </w:rPr>
        <w:t>ada</w:t>
      </w:r>
      <w:proofErr w:type="spellEnd"/>
      <w:r w:rsidR="00E005F5" w:rsidRPr="000A2DBB">
        <w:rPr>
          <w:rFonts w:ascii="Verdana" w:hAnsi="Verdana" w:cs="Times New Roman"/>
          <w:sz w:val="18"/>
          <w:szCs w:val="18"/>
          <w:lang w:val="es-ES_tradnl" w:eastAsia="es-ES"/>
        </w:rPr>
        <w:t xml:space="preserve"> la importancia de la libertad de expresión en una sociedad democrática y la responsabilidad que entraña para los medios de comunicación social y para quienes ejercen profesionalmente estas labores, el Estado debe de minimizar las restricciones a la información y equilibrar, en la mayor medida posible, la participación de las distintas corrientes en el debate público, impulsando el pluralismo informativo. En estos términos se puede explicar la protección de los derechos humanos de quien enfrenta el poder de los medios, que deben ejercer con responsabilidad la función social que </w:t>
      </w:r>
      <w:proofErr w:type="spellStart"/>
      <w:r w:rsidR="00E005F5" w:rsidRPr="000A2DBB">
        <w:rPr>
          <w:rFonts w:ascii="Verdana" w:hAnsi="Verdana" w:cs="Times New Roman"/>
          <w:sz w:val="18"/>
          <w:szCs w:val="18"/>
          <w:lang w:val="es-ES_tradnl" w:eastAsia="es-ES"/>
        </w:rPr>
        <w:t>desarroll</w:t>
      </w:r>
      <w:proofErr w:type="spellEnd"/>
      <w:r w:rsidR="00DE60A9">
        <w:rPr>
          <w:rFonts w:ascii="Verdana" w:hAnsi="Verdana" w:cs="Times New Roman"/>
          <w:sz w:val="18"/>
          <w:szCs w:val="18"/>
          <w:lang w:val="es-ES_tradnl" w:eastAsia="es-ES"/>
        </w:rPr>
        <w:t>[</w:t>
      </w:r>
      <w:r w:rsidR="00E005F5" w:rsidRPr="000A2DBB">
        <w:rPr>
          <w:rFonts w:ascii="Verdana" w:hAnsi="Verdana" w:cs="Times New Roman"/>
          <w:sz w:val="18"/>
          <w:szCs w:val="18"/>
          <w:lang w:val="es-ES_tradnl" w:eastAsia="es-ES"/>
        </w:rPr>
        <w:t>a</w:t>
      </w:r>
      <w:r w:rsidR="00DE60A9">
        <w:rPr>
          <w:rFonts w:ascii="Verdana" w:hAnsi="Verdana" w:cs="Times New Roman"/>
          <w:sz w:val="18"/>
          <w:szCs w:val="18"/>
          <w:lang w:val="es-ES_tradnl" w:eastAsia="es-ES"/>
        </w:rPr>
        <w:t>]</w:t>
      </w:r>
      <w:r w:rsidR="00E005F5" w:rsidRPr="000A2DBB">
        <w:rPr>
          <w:rFonts w:ascii="Verdana" w:hAnsi="Verdana" w:cs="Times New Roman"/>
          <w:sz w:val="18"/>
          <w:szCs w:val="18"/>
          <w:lang w:val="es-ES_tradnl" w:eastAsia="es-ES"/>
        </w:rPr>
        <w:t xml:space="preserve">, y el </w:t>
      </w:r>
      <w:r w:rsidR="00E005F5" w:rsidRPr="000A2DBB">
        <w:rPr>
          <w:rFonts w:ascii="Verdana" w:hAnsi="Verdana" w:cs="Times New Roman"/>
          <w:sz w:val="18"/>
          <w:szCs w:val="18"/>
          <w:lang w:val="es-ES_tradnl" w:eastAsia="es-ES"/>
        </w:rPr>
        <w:lastRenderedPageBreak/>
        <w:t>esfuerzo por asegurar condiciones estructurales que permitan la expresión equitativa de las ideas”</w:t>
      </w:r>
      <w:r w:rsidR="00E005F5" w:rsidRPr="000A2DBB">
        <w:rPr>
          <w:rStyle w:val="FootnoteReference"/>
          <w:rFonts w:ascii="Verdana" w:hAnsi="Verdana"/>
          <w:sz w:val="18"/>
          <w:szCs w:val="18"/>
        </w:rPr>
        <w:footnoteReference w:id="42"/>
      </w:r>
      <w:r w:rsidR="00E005F5" w:rsidRPr="000A2DBB">
        <w:rPr>
          <w:rFonts w:ascii="Verdana" w:hAnsi="Verdana" w:cs="Times New Roman"/>
          <w:sz w:val="18"/>
          <w:szCs w:val="18"/>
          <w:lang w:val="es-ES_tradnl" w:eastAsia="es-ES"/>
        </w:rPr>
        <w:t xml:space="preserve">. </w:t>
      </w:r>
    </w:p>
    <w:p w14:paraId="5D34F4C3" w14:textId="3DED6630" w:rsidR="000A2DBB" w:rsidRPr="00427FF5" w:rsidRDefault="00724251" w:rsidP="00427FF5">
      <w:pPr>
        <w:spacing w:before="100" w:beforeAutospacing="1" w:after="100" w:afterAutospacing="1" w:line="240" w:lineRule="auto"/>
        <w:ind w:right="-1"/>
        <w:jc w:val="both"/>
        <w:rPr>
          <w:rFonts w:ascii="Verdana" w:hAnsi="Verdana" w:cs="Times New Roman"/>
          <w:sz w:val="16"/>
          <w:szCs w:val="16"/>
          <w:lang w:val="es-ES_tradnl" w:eastAsia="es-ES"/>
        </w:rPr>
      </w:pPr>
      <w:r>
        <w:rPr>
          <w:rFonts w:ascii="Verdana" w:hAnsi="Verdana" w:cs="Times New Roman"/>
          <w:sz w:val="20"/>
          <w:szCs w:val="20"/>
          <w:lang w:val="es-ES_tradnl" w:eastAsia="es-ES"/>
        </w:rPr>
        <w:t>31</w:t>
      </w:r>
      <w:r w:rsidR="008D2185">
        <w:rPr>
          <w:rFonts w:ascii="Verdana" w:hAnsi="Verdana" w:cs="Times New Roman"/>
          <w:sz w:val="20"/>
          <w:szCs w:val="20"/>
          <w:lang w:val="es-ES_tradnl" w:eastAsia="es-ES"/>
        </w:rPr>
        <w:t>.</w:t>
      </w:r>
      <w:r w:rsidR="00D26E89">
        <w:rPr>
          <w:rFonts w:ascii="Verdana" w:hAnsi="Verdana" w:cs="Times New Roman"/>
          <w:sz w:val="20"/>
          <w:szCs w:val="20"/>
          <w:lang w:val="es-ES_tradnl" w:eastAsia="es-ES"/>
        </w:rPr>
        <w:t xml:space="preserve"> </w:t>
      </w:r>
      <w:r w:rsidR="00D26E89">
        <w:rPr>
          <w:rFonts w:ascii="Verdana" w:hAnsi="Verdana" w:cs="Times New Roman"/>
          <w:sz w:val="20"/>
          <w:szCs w:val="20"/>
          <w:lang w:val="es-ES_tradnl" w:eastAsia="es-ES"/>
        </w:rPr>
        <w:tab/>
      </w:r>
      <w:r w:rsidR="00E005F5" w:rsidRPr="00BD1638">
        <w:rPr>
          <w:rFonts w:ascii="Verdana" w:hAnsi="Verdana" w:cs="Times New Roman"/>
          <w:sz w:val="20"/>
          <w:szCs w:val="20"/>
          <w:lang w:val="es-ES_tradnl" w:eastAsia="es-ES"/>
        </w:rPr>
        <w:t>La libertad de expresión es, en fin, condición para que la comunidad,</w:t>
      </w:r>
      <w:r w:rsidR="0026499C">
        <w:rPr>
          <w:rFonts w:ascii="Verdana" w:hAnsi="Verdana" w:cs="Times New Roman"/>
          <w:sz w:val="20"/>
          <w:szCs w:val="20"/>
          <w:lang w:val="es-ES_tradnl" w:eastAsia="es-ES"/>
        </w:rPr>
        <w:t xml:space="preserve"> al momento</w:t>
      </w:r>
      <w:r w:rsidR="00E005F5" w:rsidRPr="00BD1638">
        <w:rPr>
          <w:rFonts w:ascii="Verdana" w:hAnsi="Verdana" w:cs="Times New Roman"/>
          <w:sz w:val="20"/>
          <w:szCs w:val="20"/>
          <w:lang w:val="es-ES_tradnl" w:eastAsia="es-ES"/>
        </w:rPr>
        <w:t xml:space="preserve"> de ejercer sus opciones, esté suficientemente informada. Por ende, es posible afirmar que una sociedad que no está́ bien informada no es plenamente libre</w:t>
      </w:r>
      <w:r w:rsidR="00E005F5">
        <w:rPr>
          <w:rStyle w:val="FootnoteReference"/>
          <w:rFonts w:ascii="Verdana" w:hAnsi="Verdana" w:cs="Times New Roman"/>
          <w:sz w:val="20"/>
          <w:szCs w:val="20"/>
          <w:lang w:val="es-ES_tradnl" w:eastAsia="es-ES"/>
        </w:rPr>
        <w:footnoteReference w:id="43"/>
      </w:r>
      <w:r w:rsidR="00E005F5" w:rsidRPr="00BD1638">
        <w:rPr>
          <w:rFonts w:ascii="Verdana" w:hAnsi="Verdana" w:cs="Times New Roman"/>
          <w:sz w:val="20"/>
          <w:szCs w:val="20"/>
          <w:lang w:val="es-ES_tradnl" w:eastAsia="es-ES"/>
        </w:rPr>
        <w:t xml:space="preserve">. </w:t>
      </w:r>
    </w:p>
    <w:p w14:paraId="539EBAF3" w14:textId="77777777" w:rsidR="00E005F5" w:rsidRDefault="00570F85" w:rsidP="0026499C">
      <w:pPr>
        <w:pStyle w:val="ListParagraph"/>
        <w:spacing w:line="360" w:lineRule="auto"/>
        <w:ind w:left="0"/>
        <w:jc w:val="center"/>
        <w:rPr>
          <w:rFonts w:ascii="Verdana" w:hAnsi="Verdana"/>
          <w:b/>
          <w:sz w:val="20"/>
          <w:szCs w:val="20"/>
        </w:rPr>
      </w:pPr>
      <w:r w:rsidRPr="00F964F3">
        <w:rPr>
          <w:rFonts w:ascii="Verdana" w:hAnsi="Verdana"/>
          <w:b/>
          <w:sz w:val="20"/>
          <w:szCs w:val="20"/>
        </w:rPr>
        <w:t>II</w:t>
      </w:r>
      <w:r w:rsidR="00EC14E6" w:rsidRPr="00F964F3">
        <w:rPr>
          <w:rFonts w:ascii="Verdana" w:hAnsi="Verdana"/>
          <w:b/>
          <w:sz w:val="20"/>
          <w:szCs w:val="20"/>
        </w:rPr>
        <w:t>.</w:t>
      </w:r>
      <w:r w:rsidR="0026499C" w:rsidRPr="00F964F3">
        <w:rPr>
          <w:rFonts w:ascii="Verdana" w:hAnsi="Verdana"/>
          <w:b/>
          <w:sz w:val="20"/>
          <w:szCs w:val="20"/>
        </w:rPr>
        <w:t xml:space="preserve"> LA DETERMINACIÓN DE NO VIOLACIÓN RESPECTO AL DERECHO A LA LIBERTAD DE EXPRESIÓN DE ALGUNAS VÍCTIMAS (ACCIONISTAS)</w:t>
      </w:r>
    </w:p>
    <w:p w14:paraId="57761CCC" w14:textId="77777777" w:rsidR="00427FF5" w:rsidRDefault="00427FF5" w:rsidP="00E005F5">
      <w:pPr>
        <w:pStyle w:val="ListParagraph"/>
        <w:spacing w:line="240" w:lineRule="auto"/>
        <w:ind w:left="0"/>
        <w:jc w:val="both"/>
        <w:rPr>
          <w:rFonts w:ascii="Verdana" w:hAnsi="Verdana"/>
          <w:b/>
          <w:sz w:val="20"/>
          <w:szCs w:val="20"/>
        </w:rPr>
      </w:pPr>
    </w:p>
    <w:p w14:paraId="69D00542" w14:textId="31DEDE39" w:rsidR="00E005F5" w:rsidRPr="00786B09" w:rsidRDefault="00EC14E6" w:rsidP="00E005F5">
      <w:pPr>
        <w:pStyle w:val="ListParagraph"/>
        <w:spacing w:line="240" w:lineRule="auto"/>
        <w:ind w:left="0"/>
        <w:jc w:val="both"/>
        <w:rPr>
          <w:rFonts w:ascii="Verdana" w:hAnsi="Verdana"/>
          <w:b/>
          <w:i/>
          <w:sz w:val="20"/>
          <w:szCs w:val="20"/>
        </w:rPr>
      </w:pPr>
      <w:r w:rsidRPr="00786B09">
        <w:rPr>
          <w:rFonts w:ascii="Verdana" w:hAnsi="Verdana"/>
          <w:b/>
          <w:i/>
          <w:sz w:val="20"/>
          <w:szCs w:val="20"/>
        </w:rPr>
        <w:t>A</w:t>
      </w:r>
      <w:r w:rsidR="00E005F5" w:rsidRPr="00786B09">
        <w:rPr>
          <w:rFonts w:ascii="Verdana" w:hAnsi="Verdana"/>
          <w:b/>
          <w:i/>
          <w:sz w:val="20"/>
          <w:szCs w:val="20"/>
        </w:rPr>
        <w:t>) Los accionistas de las empresas como víctimas, en lo individual, en la jurisprudencia del Tribunal Europeo de Derechos Humanos</w:t>
      </w:r>
    </w:p>
    <w:p w14:paraId="6C66988E" w14:textId="77777777" w:rsidR="00E005F5" w:rsidRPr="00EC14E6" w:rsidRDefault="00E005F5" w:rsidP="00E005F5">
      <w:pPr>
        <w:pStyle w:val="ListParagraph"/>
        <w:spacing w:line="240" w:lineRule="auto"/>
        <w:ind w:left="0"/>
        <w:jc w:val="both"/>
        <w:rPr>
          <w:rFonts w:ascii="Verdana" w:hAnsi="Verdana"/>
          <w:b/>
          <w:sz w:val="20"/>
          <w:szCs w:val="20"/>
        </w:rPr>
      </w:pPr>
    </w:p>
    <w:p w14:paraId="36F768C9" w14:textId="77777777" w:rsidR="00E005F5" w:rsidRPr="009E7EDB" w:rsidRDefault="00724251" w:rsidP="00CA5368">
      <w:pPr>
        <w:pStyle w:val="ListParagraph"/>
        <w:spacing w:line="240" w:lineRule="auto"/>
        <w:ind w:left="0"/>
        <w:jc w:val="both"/>
        <w:rPr>
          <w:rFonts w:ascii="Verdana" w:hAnsi="Verdana"/>
          <w:sz w:val="20"/>
          <w:szCs w:val="20"/>
        </w:rPr>
      </w:pPr>
      <w:r>
        <w:rPr>
          <w:rFonts w:ascii="Verdana" w:hAnsi="Verdana"/>
          <w:sz w:val="20"/>
          <w:szCs w:val="20"/>
        </w:rPr>
        <w:t>32</w:t>
      </w:r>
      <w:r w:rsidR="00CA5368">
        <w:rPr>
          <w:rFonts w:ascii="Verdana" w:hAnsi="Verdana"/>
          <w:sz w:val="20"/>
          <w:szCs w:val="20"/>
        </w:rPr>
        <w:t xml:space="preserve">. </w:t>
      </w:r>
      <w:r w:rsidR="00CA5368">
        <w:rPr>
          <w:rFonts w:ascii="Verdana" w:hAnsi="Verdana"/>
          <w:sz w:val="20"/>
          <w:szCs w:val="20"/>
        </w:rPr>
        <w:tab/>
      </w:r>
      <w:r w:rsidR="00E005F5" w:rsidRPr="00591256">
        <w:rPr>
          <w:rFonts w:ascii="Verdana" w:hAnsi="Verdana"/>
          <w:sz w:val="20"/>
          <w:szCs w:val="20"/>
        </w:rPr>
        <w:t>En</w:t>
      </w:r>
      <w:r w:rsidR="00E005F5">
        <w:rPr>
          <w:rFonts w:ascii="Verdana" w:hAnsi="Verdana"/>
          <w:sz w:val="20"/>
          <w:szCs w:val="20"/>
        </w:rPr>
        <w:t xml:space="preserve"> el Sistema Interamericano</w:t>
      </w:r>
      <w:r w:rsidR="00EB7CA3">
        <w:rPr>
          <w:rFonts w:ascii="Verdana" w:hAnsi="Verdana"/>
          <w:sz w:val="20"/>
          <w:szCs w:val="20"/>
        </w:rPr>
        <w:t>,</w:t>
      </w:r>
      <w:r w:rsidR="00E005F5">
        <w:rPr>
          <w:rFonts w:ascii="Verdana" w:hAnsi="Verdana"/>
          <w:sz w:val="20"/>
          <w:szCs w:val="20"/>
        </w:rPr>
        <w:t xml:space="preserve"> el </w:t>
      </w:r>
      <w:r w:rsidR="00E005F5" w:rsidRPr="00FF089D">
        <w:rPr>
          <w:rFonts w:ascii="Verdana" w:hAnsi="Verdana"/>
          <w:i/>
          <w:sz w:val="20"/>
          <w:szCs w:val="20"/>
        </w:rPr>
        <w:t xml:space="preserve">ius </w:t>
      </w:r>
      <w:r w:rsidR="00E005F5" w:rsidRPr="00591256">
        <w:rPr>
          <w:rFonts w:ascii="Verdana" w:hAnsi="Verdana"/>
          <w:i/>
          <w:sz w:val="20"/>
          <w:szCs w:val="20"/>
        </w:rPr>
        <w:t>standi</w:t>
      </w:r>
      <w:r w:rsidR="00E005F5" w:rsidRPr="00591256">
        <w:rPr>
          <w:rFonts w:ascii="Verdana" w:hAnsi="Verdana"/>
          <w:sz w:val="20"/>
          <w:szCs w:val="20"/>
        </w:rPr>
        <w:t xml:space="preserve"> de las personas jurídicas ha sido reducido a ciertos derechos que los individuos</w:t>
      </w:r>
      <w:r w:rsidR="00E005F5">
        <w:rPr>
          <w:rFonts w:ascii="Verdana" w:hAnsi="Verdana"/>
          <w:sz w:val="20"/>
          <w:szCs w:val="20"/>
        </w:rPr>
        <w:t xml:space="preserve">, </w:t>
      </w:r>
      <w:r w:rsidR="00E005F5" w:rsidRPr="00591256">
        <w:rPr>
          <w:rFonts w:ascii="Verdana" w:hAnsi="Verdana"/>
          <w:sz w:val="20"/>
          <w:szCs w:val="20"/>
        </w:rPr>
        <w:t>que formen parte de la empresa o sociedad</w:t>
      </w:r>
      <w:r w:rsidR="00E005F5">
        <w:rPr>
          <w:rFonts w:ascii="Verdana" w:hAnsi="Verdana"/>
          <w:sz w:val="20"/>
          <w:szCs w:val="20"/>
        </w:rPr>
        <w:t>, detenten</w:t>
      </w:r>
      <w:r w:rsidR="00E005F5" w:rsidRPr="00591256">
        <w:rPr>
          <w:rFonts w:ascii="Verdana" w:hAnsi="Verdana"/>
          <w:sz w:val="20"/>
          <w:szCs w:val="20"/>
        </w:rPr>
        <w:t>.</w:t>
      </w:r>
      <w:r w:rsidR="00E005F5">
        <w:rPr>
          <w:rFonts w:ascii="Verdana" w:hAnsi="Verdana"/>
          <w:sz w:val="20"/>
          <w:szCs w:val="20"/>
        </w:rPr>
        <w:t xml:space="preserve"> Así</w:t>
      </w:r>
      <w:r w:rsidR="00EB7CA3">
        <w:rPr>
          <w:rFonts w:ascii="Verdana" w:hAnsi="Verdana"/>
          <w:sz w:val="20"/>
          <w:szCs w:val="20"/>
        </w:rPr>
        <w:t>,</w:t>
      </w:r>
      <w:r w:rsidR="00E005F5">
        <w:rPr>
          <w:rFonts w:ascii="Verdana" w:hAnsi="Verdana"/>
          <w:sz w:val="20"/>
          <w:szCs w:val="20"/>
        </w:rPr>
        <w:t xml:space="preserve"> el Tribunal Interamericano</w:t>
      </w:r>
      <w:r w:rsidR="00E005F5" w:rsidRPr="00486350">
        <w:rPr>
          <w:rFonts w:ascii="Verdana" w:hAnsi="Verdana"/>
          <w:sz w:val="20"/>
          <w:szCs w:val="20"/>
        </w:rPr>
        <w:t xml:space="preserve">, siguiendo el célebre caso </w:t>
      </w:r>
      <w:r w:rsidR="00E005F5" w:rsidRPr="00486350">
        <w:rPr>
          <w:rFonts w:ascii="Verdana" w:hAnsi="Verdana"/>
          <w:i/>
          <w:sz w:val="20"/>
          <w:szCs w:val="20"/>
        </w:rPr>
        <w:t>Barcelona Traction, Light and Power Company</w:t>
      </w:r>
      <w:r w:rsidR="00E005F5" w:rsidRPr="00486350">
        <w:rPr>
          <w:rFonts w:ascii="Verdana" w:hAnsi="Verdana"/>
          <w:sz w:val="20"/>
          <w:szCs w:val="20"/>
        </w:rPr>
        <w:t xml:space="preserve"> de la Corte Internacional de Justicia, en el </w:t>
      </w:r>
      <w:r w:rsidR="00E005F5" w:rsidRPr="00486350">
        <w:rPr>
          <w:rFonts w:ascii="Verdana" w:hAnsi="Verdana"/>
          <w:i/>
          <w:sz w:val="20"/>
          <w:szCs w:val="20"/>
        </w:rPr>
        <w:t>Caso Cantos Vs. Argentina</w:t>
      </w:r>
      <w:r w:rsidR="00E005F5" w:rsidRPr="00486350">
        <w:rPr>
          <w:rFonts w:ascii="Verdana" w:hAnsi="Verdana"/>
          <w:sz w:val="20"/>
          <w:szCs w:val="20"/>
        </w:rPr>
        <w:t xml:space="preserve"> apuntaló </w:t>
      </w:r>
      <w:r w:rsidR="00EB7CA3">
        <w:rPr>
          <w:rFonts w:ascii="Verdana" w:hAnsi="Verdana"/>
          <w:sz w:val="20"/>
          <w:szCs w:val="20"/>
        </w:rPr>
        <w:t>el criterio de</w:t>
      </w:r>
      <w:r w:rsidR="00E005F5" w:rsidRPr="00486350">
        <w:rPr>
          <w:rFonts w:ascii="Verdana" w:hAnsi="Verdana"/>
          <w:sz w:val="20"/>
          <w:szCs w:val="20"/>
        </w:rPr>
        <w:t xml:space="preserve"> distinguir entre los derechos de personas individuales que formaban parte de personas jurídicas y los derechos de las personas jurídicas</w:t>
      </w:r>
      <w:r w:rsidR="00E005F5">
        <w:rPr>
          <w:rStyle w:val="FootnoteReference"/>
          <w:rFonts w:ascii="Verdana" w:hAnsi="Verdana"/>
          <w:sz w:val="20"/>
          <w:szCs w:val="20"/>
        </w:rPr>
        <w:footnoteReference w:id="44"/>
      </w:r>
      <w:r w:rsidR="00E005F5" w:rsidRPr="00486350">
        <w:rPr>
          <w:rFonts w:ascii="Verdana" w:hAnsi="Verdana"/>
          <w:sz w:val="20"/>
          <w:szCs w:val="20"/>
        </w:rPr>
        <w:t xml:space="preserve">. </w:t>
      </w:r>
      <w:r w:rsidR="00E005F5" w:rsidRPr="009E7EDB">
        <w:rPr>
          <w:rFonts w:ascii="Verdana" w:hAnsi="Verdana"/>
          <w:sz w:val="20"/>
          <w:szCs w:val="20"/>
        </w:rPr>
        <w:t>De esta forma, el Tribunal Interamericano determinó que los derechos propios de accionistas de las empresas se referían, por ejemplo, a la percepción de dividendos, a la participación en el gobierno de la sociedad a través de los órganos de ésta y a recibir una parte de lo que quede del activo social luego de la liquidación de la sociedad, entre otros</w:t>
      </w:r>
      <w:r w:rsidR="00EB7CA3">
        <w:rPr>
          <w:rStyle w:val="FootnoteReference"/>
          <w:rFonts w:ascii="Verdana" w:hAnsi="Verdana"/>
          <w:sz w:val="20"/>
          <w:szCs w:val="20"/>
        </w:rPr>
        <w:footnoteReference w:id="45"/>
      </w:r>
      <w:r w:rsidR="00E005F5" w:rsidRPr="009E7EDB">
        <w:rPr>
          <w:rFonts w:ascii="Verdana" w:hAnsi="Verdana"/>
          <w:sz w:val="20"/>
          <w:szCs w:val="20"/>
        </w:rPr>
        <w:t>, por lo que eventualmente podrían ser declarados v</w:t>
      </w:r>
      <w:r w:rsidR="0026499C">
        <w:rPr>
          <w:rFonts w:ascii="Verdana" w:hAnsi="Verdana"/>
          <w:sz w:val="20"/>
          <w:szCs w:val="20"/>
        </w:rPr>
        <w:t>í</w:t>
      </w:r>
      <w:r w:rsidR="00E005F5" w:rsidRPr="009E7EDB">
        <w:rPr>
          <w:rFonts w:ascii="Verdana" w:hAnsi="Verdana"/>
          <w:sz w:val="20"/>
          <w:szCs w:val="20"/>
        </w:rPr>
        <w:t xml:space="preserve">ctimas en los casos respectivos. </w:t>
      </w:r>
    </w:p>
    <w:p w14:paraId="4C7BC1C2" w14:textId="77777777" w:rsidR="00CA5368" w:rsidRDefault="00CA5368" w:rsidP="00CA5368">
      <w:pPr>
        <w:pStyle w:val="ListParagraph"/>
        <w:spacing w:line="240" w:lineRule="auto"/>
        <w:ind w:left="0"/>
        <w:jc w:val="both"/>
        <w:rPr>
          <w:rFonts w:ascii="Verdana" w:hAnsi="Verdana"/>
          <w:sz w:val="20"/>
          <w:szCs w:val="20"/>
        </w:rPr>
      </w:pPr>
    </w:p>
    <w:p w14:paraId="1BD25C4C" w14:textId="0190D606" w:rsidR="00E005F5" w:rsidRDefault="00724251" w:rsidP="002C59ED">
      <w:pPr>
        <w:pStyle w:val="ListParagraph"/>
        <w:spacing w:line="240" w:lineRule="auto"/>
        <w:ind w:left="0"/>
        <w:jc w:val="both"/>
        <w:rPr>
          <w:rFonts w:ascii="Verdana" w:hAnsi="Verdana"/>
          <w:sz w:val="20"/>
          <w:szCs w:val="20"/>
        </w:rPr>
      </w:pPr>
      <w:r>
        <w:rPr>
          <w:rFonts w:ascii="Verdana" w:hAnsi="Verdana"/>
          <w:sz w:val="20"/>
          <w:szCs w:val="20"/>
        </w:rPr>
        <w:t>33</w:t>
      </w:r>
      <w:r w:rsidR="00CA5368">
        <w:rPr>
          <w:rFonts w:ascii="Verdana" w:hAnsi="Verdana"/>
          <w:sz w:val="20"/>
          <w:szCs w:val="20"/>
        </w:rPr>
        <w:t xml:space="preserve">. </w:t>
      </w:r>
      <w:r w:rsidR="00CA5368">
        <w:rPr>
          <w:rFonts w:ascii="Verdana" w:hAnsi="Verdana"/>
          <w:sz w:val="20"/>
          <w:szCs w:val="20"/>
        </w:rPr>
        <w:tab/>
      </w:r>
      <w:r w:rsidR="00E005F5">
        <w:rPr>
          <w:rFonts w:ascii="Verdana" w:hAnsi="Verdana"/>
          <w:sz w:val="20"/>
          <w:szCs w:val="20"/>
        </w:rPr>
        <w:t>E</w:t>
      </w:r>
      <w:r w:rsidR="00E005F5" w:rsidRPr="00334F02">
        <w:rPr>
          <w:rFonts w:ascii="Verdana" w:hAnsi="Verdana"/>
          <w:sz w:val="20"/>
          <w:szCs w:val="20"/>
        </w:rPr>
        <w:t xml:space="preserve">l </w:t>
      </w:r>
      <w:r w:rsidR="00E005F5" w:rsidRPr="00334F02">
        <w:rPr>
          <w:rStyle w:val="sb8d990e2"/>
          <w:rFonts w:ascii="Verdana" w:hAnsi="Verdana" w:cs="Arial"/>
          <w:sz w:val="20"/>
          <w:szCs w:val="20"/>
          <w:shd w:val="clear" w:color="auto" w:fill="FFFFFF"/>
        </w:rPr>
        <w:t>Tribunal</w:t>
      </w:r>
      <w:r w:rsidR="00E005F5">
        <w:rPr>
          <w:rStyle w:val="sb8d990e2"/>
          <w:rFonts w:ascii="Verdana" w:hAnsi="Verdana" w:cs="Arial"/>
          <w:sz w:val="20"/>
          <w:szCs w:val="20"/>
          <w:shd w:val="clear" w:color="auto" w:fill="FFFFFF"/>
        </w:rPr>
        <w:t xml:space="preserve"> Europeo </w:t>
      </w:r>
      <w:r w:rsidR="00E005F5" w:rsidRPr="00334F02">
        <w:rPr>
          <w:rStyle w:val="sb8d990e2"/>
          <w:rFonts w:ascii="Verdana" w:hAnsi="Verdana" w:cs="Arial"/>
          <w:sz w:val="20"/>
          <w:szCs w:val="20"/>
          <w:shd w:val="clear" w:color="auto" w:fill="FFFFFF"/>
        </w:rPr>
        <w:t>ha considerado que el término "víctima", que se utiliza en el artículo 34 de la Convención Europea, denota a la persona directamente afectada por el acto u omisión que está en cuestión</w:t>
      </w:r>
      <w:r w:rsidR="00E005F5" w:rsidRPr="00334F02">
        <w:rPr>
          <w:rStyle w:val="FootnoteReference"/>
          <w:rFonts w:ascii="Verdana" w:hAnsi="Verdana" w:cs="Arial"/>
          <w:sz w:val="20"/>
          <w:szCs w:val="20"/>
          <w:shd w:val="clear" w:color="auto" w:fill="FFFFFF"/>
        </w:rPr>
        <w:footnoteReference w:id="46"/>
      </w:r>
      <w:r w:rsidR="00E005F5" w:rsidRPr="00334F02">
        <w:rPr>
          <w:rStyle w:val="sb8d990e2"/>
          <w:rFonts w:ascii="Verdana" w:hAnsi="Verdana" w:cs="Arial"/>
          <w:sz w:val="20"/>
          <w:szCs w:val="20"/>
          <w:shd w:val="clear" w:color="auto" w:fill="FFFFFF"/>
        </w:rPr>
        <w:t xml:space="preserve">. </w:t>
      </w:r>
      <w:r w:rsidR="00E005F5" w:rsidRPr="002C59ED">
        <w:rPr>
          <w:rFonts w:ascii="Verdana" w:hAnsi="Verdana"/>
          <w:sz w:val="20"/>
          <w:szCs w:val="20"/>
        </w:rPr>
        <w:t>En el caso del Sistema Europeo de Derechos Humanos, con la adopción el 20 de marzo de 1952 del Protocolo Adicional al Convenio Europeo para la Protección de los Derechos Humanos y Libertades Fundamentales o Protocolo No. 1, y su entrada en vigor el 18 de mayo de 1954, se reconoció de manera e</w:t>
      </w:r>
      <w:r w:rsidR="00B94012" w:rsidRPr="002C59ED">
        <w:rPr>
          <w:rFonts w:ascii="Verdana" w:hAnsi="Verdana"/>
          <w:sz w:val="20"/>
          <w:szCs w:val="20"/>
        </w:rPr>
        <w:t>xpresa que las personas morales</w:t>
      </w:r>
      <w:r w:rsidR="00E005F5" w:rsidRPr="002C59ED">
        <w:rPr>
          <w:rFonts w:ascii="Verdana" w:hAnsi="Verdana"/>
          <w:sz w:val="20"/>
          <w:szCs w:val="20"/>
        </w:rPr>
        <w:t xml:space="preserve"> o jurídicas, podían tener </w:t>
      </w:r>
      <w:r w:rsidR="00E005F5" w:rsidRPr="002C59ED">
        <w:rPr>
          <w:rFonts w:ascii="Verdana" w:hAnsi="Verdana"/>
          <w:i/>
          <w:sz w:val="20"/>
          <w:szCs w:val="20"/>
        </w:rPr>
        <w:t>ius sta</w:t>
      </w:r>
      <w:r w:rsidR="000043A8" w:rsidRPr="002C59ED">
        <w:rPr>
          <w:rFonts w:ascii="Verdana" w:hAnsi="Verdana"/>
          <w:i/>
          <w:sz w:val="20"/>
          <w:szCs w:val="20"/>
        </w:rPr>
        <w:t>n</w:t>
      </w:r>
      <w:r w:rsidR="00E005F5" w:rsidRPr="002C59ED">
        <w:rPr>
          <w:rFonts w:ascii="Verdana" w:hAnsi="Verdana"/>
          <w:i/>
          <w:sz w:val="20"/>
          <w:szCs w:val="20"/>
        </w:rPr>
        <w:t xml:space="preserve">di </w:t>
      </w:r>
      <w:r w:rsidR="00E005F5" w:rsidRPr="002C59ED">
        <w:rPr>
          <w:rFonts w:ascii="Verdana" w:hAnsi="Verdana"/>
          <w:sz w:val="20"/>
          <w:szCs w:val="20"/>
        </w:rPr>
        <w:t xml:space="preserve">ante la extinta Comisión Europea de Derechos Humanos y el Tribunal Europeo de Derechos Humanos, al incluir en su artículo 1º que </w:t>
      </w:r>
      <w:r w:rsidR="00E005F5" w:rsidRPr="002C59ED">
        <w:rPr>
          <w:rFonts w:ascii="Verdana" w:hAnsi="Verdana"/>
          <w:i/>
          <w:sz w:val="20"/>
          <w:szCs w:val="20"/>
        </w:rPr>
        <w:t xml:space="preserve">“[t]oda persona física o </w:t>
      </w:r>
      <w:r w:rsidR="00E005F5" w:rsidRPr="002C59ED">
        <w:rPr>
          <w:rFonts w:ascii="Verdana" w:hAnsi="Verdana"/>
          <w:i/>
          <w:sz w:val="20"/>
          <w:szCs w:val="20"/>
          <w:u w:val="single"/>
        </w:rPr>
        <w:t>jurídica</w:t>
      </w:r>
      <w:r w:rsidR="00E005F5" w:rsidRPr="002C59ED">
        <w:rPr>
          <w:rFonts w:ascii="Verdana" w:hAnsi="Verdana"/>
          <w:i/>
          <w:sz w:val="20"/>
          <w:szCs w:val="20"/>
        </w:rPr>
        <w:t xml:space="preserve"> tiene derecho al respeto de sus bienes”</w:t>
      </w:r>
      <w:r w:rsidR="00E005F5">
        <w:rPr>
          <w:rStyle w:val="FootnoteReference"/>
          <w:rFonts w:ascii="Verdana" w:hAnsi="Verdana"/>
          <w:sz w:val="20"/>
          <w:szCs w:val="20"/>
        </w:rPr>
        <w:footnoteReference w:id="47"/>
      </w:r>
      <w:r w:rsidR="00E005F5" w:rsidRPr="002C59ED">
        <w:rPr>
          <w:rFonts w:ascii="Verdana" w:hAnsi="Verdana"/>
          <w:sz w:val="20"/>
          <w:szCs w:val="20"/>
        </w:rPr>
        <w:t xml:space="preserve"> (énfasis añadido)</w:t>
      </w:r>
      <w:r w:rsidR="0026499C" w:rsidRPr="002C59ED">
        <w:rPr>
          <w:rFonts w:ascii="Verdana" w:hAnsi="Verdana"/>
          <w:sz w:val="20"/>
          <w:szCs w:val="20"/>
        </w:rPr>
        <w:t>.</w:t>
      </w:r>
      <w:r w:rsidR="00E005F5" w:rsidRPr="002C59ED">
        <w:rPr>
          <w:rFonts w:ascii="Verdana" w:hAnsi="Verdana"/>
          <w:sz w:val="20"/>
          <w:szCs w:val="20"/>
        </w:rPr>
        <w:t xml:space="preserve"> </w:t>
      </w:r>
    </w:p>
    <w:p w14:paraId="2C3A6528" w14:textId="77777777" w:rsidR="00FF72CB" w:rsidRPr="002C59ED" w:rsidRDefault="00FF72CB" w:rsidP="002C59ED">
      <w:pPr>
        <w:pStyle w:val="ListParagraph"/>
        <w:spacing w:line="240" w:lineRule="auto"/>
        <w:ind w:left="0"/>
        <w:jc w:val="both"/>
        <w:rPr>
          <w:rFonts w:ascii="Verdana" w:hAnsi="Verdana"/>
          <w:vanish/>
          <w:sz w:val="20"/>
          <w:szCs w:val="20"/>
        </w:rPr>
      </w:pPr>
    </w:p>
    <w:p w14:paraId="54FF5EBC" w14:textId="77777777" w:rsidR="00E005F5" w:rsidRDefault="00E005F5" w:rsidP="00E005F5">
      <w:pPr>
        <w:pStyle w:val="ListParagraph"/>
        <w:spacing w:line="240" w:lineRule="auto"/>
        <w:ind w:left="0"/>
        <w:jc w:val="both"/>
        <w:rPr>
          <w:rFonts w:ascii="Verdana" w:hAnsi="Verdana"/>
          <w:sz w:val="20"/>
          <w:szCs w:val="20"/>
        </w:rPr>
      </w:pPr>
    </w:p>
    <w:p w14:paraId="63E233A0" w14:textId="5B20409B" w:rsidR="00F24959" w:rsidRDefault="00724251" w:rsidP="00564755">
      <w:pPr>
        <w:pStyle w:val="ListParagraph"/>
        <w:spacing w:line="240" w:lineRule="auto"/>
        <w:ind w:left="0"/>
        <w:jc w:val="both"/>
        <w:rPr>
          <w:rFonts w:ascii="Verdana" w:hAnsi="Verdana"/>
          <w:sz w:val="20"/>
          <w:szCs w:val="20"/>
        </w:rPr>
      </w:pPr>
      <w:r>
        <w:rPr>
          <w:rFonts w:ascii="Verdana" w:hAnsi="Verdana"/>
          <w:sz w:val="20"/>
          <w:szCs w:val="20"/>
        </w:rPr>
        <w:t>34</w:t>
      </w:r>
      <w:r w:rsidR="00CA5368">
        <w:rPr>
          <w:rFonts w:ascii="Verdana" w:hAnsi="Verdana"/>
          <w:sz w:val="20"/>
          <w:szCs w:val="20"/>
        </w:rPr>
        <w:t xml:space="preserve">. </w:t>
      </w:r>
      <w:r w:rsidR="00CA5368">
        <w:rPr>
          <w:rFonts w:ascii="Verdana" w:hAnsi="Verdana"/>
          <w:sz w:val="20"/>
          <w:szCs w:val="20"/>
        </w:rPr>
        <w:tab/>
      </w:r>
      <w:r w:rsidR="00E005F5" w:rsidRPr="00C302D7">
        <w:rPr>
          <w:rFonts w:ascii="Verdana" w:hAnsi="Verdana"/>
          <w:sz w:val="20"/>
          <w:szCs w:val="20"/>
        </w:rPr>
        <w:t xml:space="preserve">Pese a que el Sistema Europeo brinda una protección a las personas jurídicas, </w:t>
      </w:r>
      <w:r w:rsidR="00E005F5">
        <w:rPr>
          <w:rFonts w:ascii="Verdana" w:hAnsi="Verdana"/>
          <w:sz w:val="20"/>
          <w:szCs w:val="20"/>
        </w:rPr>
        <w:t xml:space="preserve">la jurisprudencia del Tribunal Europeo </w:t>
      </w:r>
      <w:r w:rsidR="00E005F5" w:rsidRPr="00483383">
        <w:rPr>
          <w:rFonts w:ascii="Verdana" w:hAnsi="Verdana"/>
          <w:sz w:val="20"/>
          <w:szCs w:val="20"/>
        </w:rPr>
        <w:t xml:space="preserve">también ha desarrollado una serie de excepciones que </w:t>
      </w:r>
      <w:r w:rsidR="00E005F5" w:rsidRPr="00483383">
        <w:rPr>
          <w:rFonts w:ascii="Verdana" w:hAnsi="Verdana"/>
          <w:sz w:val="20"/>
          <w:szCs w:val="20"/>
        </w:rPr>
        <w:lastRenderedPageBreak/>
        <w:t>brind</w:t>
      </w:r>
      <w:r w:rsidR="0032154C">
        <w:rPr>
          <w:rFonts w:ascii="Verdana" w:hAnsi="Verdana"/>
          <w:sz w:val="20"/>
          <w:szCs w:val="20"/>
        </w:rPr>
        <w:t>a</w:t>
      </w:r>
      <w:r w:rsidR="00E005F5" w:rsidRPr="00483383">
        <w:rPr>
          <w:rFonts w:ascii="Verdana" w:hAnsi="Verdana"/>
          <w:sz w:val="20"/>
          <w:szCs w:val="20"/>
        </w:rPr>
        <w:t>n protección a los individuos</w:t>
      </w:r>
      <w:r w:rsidR="006874D1" w:rsidRPr="006874D1">
        <w:rPr>
          <w:rFonts w:ascii="Verdana" w:hAnsi="Verdana"/>
          <w:sz w:val="20"/>
          <w:szCs w:val="20"/>
        </w:rPr>
        <w:t xml:space="preserve"> </w:t>
      </w:r>
      <w:r w:rsidR="006874D1" w:rsidRPr="00483383">
        <w:rPr>
          <w:rFonts w:ascii="Verdana" w:hAnsi="Verdana"/>
          <w:sz w:val="20"/>
          <w:szCs w:val="20"/>
        </w:rPr>
        <w:t>que formen parte de las personas jurídicas</w:t>
      </w:r>
      <w:r w:rsidR="006874D1">
        <w:rPr>
          <w:rFonts w:ascii="Verdana" w:hAnsi="Verdana"/>
          <w:sz w:val="20"/>
          <w:szCs w:val="20"/>
        </w:rPr>
        <w:t xml:space="preserve"> como presuntas víctimas,</w:t>
      </w:r>
      <w:r w:rsidR="00E005F5" w:rsidRPr="00483383">
        <w:rPr>
          <w:rFonts w:ascii="Verdana" w:hAnsi="Verdana"/>
          <w:sz w:val="20"/>
          <w:szCs w:val="20"/>
        </w:rPr>
        <w:t xml:space="preserve"> por ejemplo, en su calidad de accionistas o socios</w:t>
      </w:r>
      <w:r w:rsidR="006874D1">
        <w:rPr>
          <w:rFonts w:ascii="Verdana" w:hAnsi="Verdana"/>
          <w:sz w:val="20"/>
          <w:szCs w:val="20"/>
        </w:rPr>
        <w:t xml:space="preserve"> de la empresa</w:t>
      </w:r>
      <w:r w:rsidR="00E005F5" w:rsidRPr="00483383">
        <w:rPr>
          <w:rFonts w:ascii="Verdana" w:hAnsi="Verdana"/>
          <w:sz w:val="20"/>
          <w:szCs w:val="20"/>
        </w:rPr>
        <w:t>. Se trata pues, de una situación excepcional en la medida que las personas jurídicas están protegidas por la Convención Europea a la luz del Protocolo No. 1. En estas excepciones</w:t>
      </w:r>
      <w:r w:rsidR="00A82C8C">
        <w:rPr>
          <w:rFonts w:ascii="Verdana" w:hAnsi="Verdana"/>
          <w:sz w:val="20"/>
          <w:szCs w:val="20"/>
        </w:rPr>
        <w:t>,</w:t>
      </w:r>
      <w:r w:rsidR="00E005F5" w:rsidRPr="00483383">
        <w:rPr>
          <w:rFonts w:ascii="Verdana" w:hAnsi="Verdana"/>
          <w:sz w:val="20"/>
          <w:szCs w:val="20"/>
        </w:rPr>
        <w:t xml:space="preserve"> el Tribunal </w:t>
      </w:r>
      <w:r w:rsidR="00FF72CB">
        <w:rPr>
          <w:rFonts w:ascii="Verdana" w:hAnsi="Verdana"/>
          <w:sz w:val="20"/>
          <w:szCs w:val="20"/>
        </w:rPr>
        <w:t xml:space="preserve">Europeo no ha tomado en cuenta </w:t>
      </w:r>
      <w:r w:rsidR="00E005F5" w:rsidRPr="00483383">
        <w:rPr>
          <w:rFonts w:ascii="Verdana" w:hAnsi="Verdana"/>
          <w:sz w:val="20"/>
          <w:szCs w:val="20"/>
        </w:rPr>
        <w:t>la personalidad jurídica de la sociedad, sino que ha centrado su análisis, para</w:t>
      </w:r>
      <w:r w:rsidR="00E005F5">
        <w:rPr>
          <w:rFonts w:ascii="Verdana" w:hAnsi="Verdana"/>
          <w:sz w:val="20"/>
          <w:szCs w:val="20"/>
        </w:rPr>
        <w:t xml:space="preserve"> declarar posibles violaciones dirigidas contra</w:t>
      </w:r>
      <w:r w:rsidR="00E005F5" w:rsidRPr="00483383">
        <w:rPr>
          <w:rFonts w:ascii="Verdana" w:hAnsi="Verdana"/>
          <w:sz w:val="20"/>
          <w:szCs w:val="20"/>
        </w:rPr>
        <w:t xml:space="preserve"> los accionistas</w:t>
      </w:r>
      <w:r w:rsidR="00E005F5">
        <w:rPr>
          <w:rFonts w:ascii="Verdana" w:hAnsi="Verdana"/>
          <w:sz w:val="20"/>
          <w:szCs w:val="20"/>
        </w:rPr>
        <w:t>, en</w:t>
      </w:r>
      <w:r w:rsidR="00E005F5" w:rsidRPr="00483383">
        <w:rPr>
          <w:rFonts w:ascii="Verdana" w:hAnsi="Verdana"/>
          <w:sz w:val="20"/>
          <w:szCs w:val="20"/>
        </w:rPr>
        <w:t xml:space="preserve"> que las empresas son </w:t>
      </w:r>
      <w:r w:rsidR="00E005F5" w:rsidRPr="00483383">
        <w:rPr>
          <w:rFonts w:ascii="Verdana" w:hAnsi="Verdana"/>
          <w:i/>
          <w:sz w:val="20"/>
          <w:szCs w:val="20"/>
        </w:rPr>
        <w:t>vehículos</w:t>
      </w:r>
      <w:r w:rsidR="00E005F5" w:rsidRPr="00483383">
        <w:rPr>
          <w:rFonts w:ascii="Verdana" w:hAnsi="Verdana"/>
          <w:sz w:val="20"/>
          <w:szCs w:val="20"/>
        </w:rPr>
        <w:t xml:space="preserve"> para llevar a cabo el fin de la sociedad o empresa misma</w:t>
      </w:r>
      <w:r w:rsidR="00E005F5" w:rsidRPr="00C302D7">
        <w:rPr>
          <w:rStyle w:val="FootnoteReference"/>
          <w:rFonts w:ascii="Verdana" w:hAnsi="Verdana"/>
          <w:sz w:val="20"/>
          <w:szCs w:val="20"/>
        </w:rPr>
        <w:footnoteReference w:id="48"/>
      </w:r>
      <w:r w:rsidR="00E005F5" w:rsidRPr="00483383">
        <w:rPr>
          <w:rFonts w:ascii="Verdana" w:hAnsi="Verdana"/>
          <w:sz w:val="20"/>
          <w:szCs w:val="20"/>
        </w:rPr>
        <w:t xml:space="preserve">. </w:t>
      </w:r>
    </w:p>
    <w:p w14:paraId="77E37F73" w14:textId="77777777" w:rsidR="00865387" w:rsidRDefault="00865387" w:rsidP="00F24959">
      <w:pPr>
        <w:pStyle w:val="ListParagraph"/>
        <w:spacing w:line="240" w:lineRule="auto"/>
        <w:ind w:left="0"/>
        <w:jc w:val="both"/>
        <w:rPr>
          <w:rFonts w:ascii="Verdana" w:hAnsi="Verdana"/>
          <w:sz w:val="20"/>
          <w:szCs w:val="20"/>
        </w:rPr>
      </w:pPr>
    </w:p>
    <w:p w14:paraId="6D9D686B" w14:textId="77777777" w:rsidR="00E005F5" w:rsidRPr="00F24959" w:rsidRDefault="00724251" w:rsidP="00F24959">
      <w:pPr>
        <w:pStyle w:val="ListParagraph"/>
        <w:spacing w:line="240" w:lineRule="auto"/>
        <w:ind w:left="0"/>
        <w:jc w:val="both"/>
        <w:rPr>
          <w:rFonts w:ascii="Verdana" w:hAnsi="Verdana"/>
          <w:sz w:val="20"/>
          <w:szCs w:val="20"/>
        </w:rPr>
      </w:pPr>
      <w:r>
        <w:rPr>
          <w:rFonts w:ascii="Verdana" w:hAnsi="Verdana"/>
          <w:sz w:val="20"/>
          <w:szCs w:val="20"/>
        </w:rPr>
        <w:t>35</w:t>
      </w:r>
      <w:r w:rsidR="00CA5368">
        <w:rPr>
          <w:rFonts w:ascii="Verdana" w:hAnsi="Verdana"/>
          <w:sz w:val="20"/>
          <w:szCs w:val="20"/>
        </w:rPr>
        <w:t xml:space="preserve">. </w:t>
      </w:r>
      <w:r w:rsidR="00CA5368">
        <w:rPr>
          <w:rFonts w:ascii="Verdana" w:hAnsi="Verdana"/>
          <w:sz w:val="20"/>
          <w:szCs w:val="20"/>
        </w:rPr>
        <w:tab/>
      </w:r>
      <w:r w:rsidR="00E005F5" w:rsidRPr="00F24959">
        <w:rPr>
          <w:rFonts w:ascii="Verdana" w:hAnsi="Verdana"/>
          <w:sz w:val="20"/>
          <w:szCs w:val="20"/>
        </w:rPr>
        <w:t xml:space="preserve">En los casos </w:t>
      </w:r>
      <w:r w:rsidR="00E005F5" w:rsidRPr="00F24959">
        <w:rPr>
          <w:rFonts w:ascii="Verdana" w:hAnsi="Verdana"/>
          <w:i/>
          <w:sz w:val="20"/>
          <w:szCs w:val="20"/>
        </w:rPr>
        <w:t xml:space="preserve">Agrotexim y otros Vs. </w:t>
      </w:r>
      <w:proofErr w:type="spellStart"/>
      <w:r w:rsidR="00E005F5" w:rsidRPr="00F24959">
        <w:rPr>
          <w:rFonts w:ascii="Verdana" w:hAnsi="Verdana"/>
          <w:i/>
          <w:sz w:val="20"/>
          <w:szCs w:val="20"/>
          <w:lang w:val="en-US"/>
        </w:rPr>
        <w:t>Grecia</w:t>
      </w:r>
      <w:proofErr w:type="spellEnd"/>
      <w:r w:rsidR="00E005F5" w:rsidRPr="009000B3">
        <w:rPr>
          <w:rStyle w:val="FootnoteReference"/>
          <w:rFonts w:ascii="Verdana" w:hAnsi="Verdana"/>
          <w:i/>
          <w:sz w:val="20"/>
          <w:szCs w:val="20"/>
        </w:rPr>
        <w:footnoteReference w:id="49"/>
      </w:r>
      <w:r w:rsidR="00E005F5" w:rsidRPr="00F24959">
        <w:rPr>
          <w:rFonts w:ascii="Verdana" w:hAnsi="Verdana"/>
          <w:sz w:val="20"/>
          <w:szCs w:val="20"/>
          <w:lang w:val="en-US"/>
        </w:rPr>
        <w:t xml:space="preserve">, </w:t>
      </w:r>
      <w:r w:rsidR="00E005F5" w:rsidRPr="00F24959">
        <w:rPr>
          <w:rFonts w:ascii="Verdana" w:hAnsi="Verdana"/>
          <w:i/>
          <w:sz w:val="20"/>
          <w:szCs w:val="20"/>
          <w:lang w:val="en-US"/>
        </w:rPr>
        <w:t>AD Capital Bank Vs.</w:t>
      </w:r>
      <w:r w:rsidR="00311C61" w:rsidRPr="00F24959">
        <w:rPr>
          <w:rFonts w:ascii="Verdana" w:hAnsi="Verdana"/>
          <w:i/>
          <w:sz w:val="20"/>
          <w:szCs w:val="20"/>
          <w:lang w:val="en-US"/>
        </w:rPr>
        <w:t xml:space="preserve"> </w:t>
      </w:r>
      <w:r w:rsidR="00E005F5" w:rsidRPr="00F24959">
        <w:rPr>
          <w:rFonts w:ascii="Verdana" w:hAnsi="Verdana"/>
          <w:i/>
          <w:sz w:val="20"/>
          <w:szCs w:val="20"/>
        </w:rPr>
        <w:t>Bulgaria</w:t>
      </w:r>
      <w:r w:rsidR="00E005F5" w:rsidRPr="009000B3">
        <w:rPr>
          <w:rStyle w:val="FootnoteReference"/>
          <w:rFonts w:ascii="Verdana" w:hAnsi="Verdana"/>
          <w:i/>
          <w:sz w:val="20"/>
          <w:szCs w:val="20"/>
          <w:lang w:val="en-US"/>
        </w:rPr>
        <w:footnoteReference w:id="50"/>
      </w:r>
      <w:r w:rsidR="00E005F5" w:rsidRPr="00F24959">
        <w:rPr>
          <w:rFonts w:ascii="Verdana" w:hAnsi="Verdana"/>
          <w:sz w:val="20"/>
          <w:szCs w:val="20"/>
        </w:rPr>
        <w:t xml:space="preserve"> y </w:t>
      </w:r>
      <w:r w:rsidR="00E005F5" w:rsidRPr="00F24959">
        <w:rPr>
          <w:rFonts w:ascii="Verdana" w:hAnsi="Verdana"/>
          <w:i/>
          <w:sz w:val="20"/>
          <w:szCs w:val="20"/>
        </w:rPr>
        <w:t>Camberrow MM5 AD Vs. Bulgaria</w:t>
      </w:r>
      <w:r w:rsidR="00E005F5" w:rsidRPr="009000B3">
        <w:rPr>
          <w:rStyle w:val="FootnoteReference"/>
          <w:rFonts w:ascii="Verdana" w:hAnsi="Verdana"/>
          <w:i/>
          <w:sz w:val="20"/>
          <w:szCs w:val="20"/>
        </w:rPr>
        <w:footnoteReference w:id="51"/>
      </w:r>
      <w:r w:rsidR="00311C61" w:rsidRPr="00F24959">
        <w:rPr>
          <w:rFonts w:ascii="Verdana" w:hAnsi="Verdana"/>
          <w:i/>
          <w:sz w:val="20"/>
          <w:szCs w:val="20"/>
        </w:rPr>
        <w:t xml:space="preserve"> </w:t>
      </w:r>
      <w:r w:rsidR="00E005F5" w:rsidRPr="00F24959">
        <w:rPr>
          <w:rFonts w:ascii="Verdana" w:hAnsi="Verdana"/>
          <w:sz w:val="20"/>
          <w:szCs w:val="20"/>
        </w:rPr>
        <w:t>el Tribunal Europeo definió la primera excepción para la protección de los accionistas que formaran parte de una empresa. De esta forma consideró que cuando los accionistas sufr</w:t>
      </w:r>
      <w:r w:rsidR="0032154C">
        <w:rPr>
          <w:rFonts w:ascii="Verdana" w:hAnsi="Verdana"/>
          <w:sz w:val="20"/>
          <w:szCs w:val="20"/>
        </w:rPr>
        <w:t>ier</w:t>
      </w:r>
      <w:r w:rsidR="00E005F5" w:rsidRPr="00F24959">
        <w:rPr>
          <w:rFonts w:ascii="Verdana" w:hAnsi="Verdana"/>
          <w:sz w:val="20"/>
          <w:szCs w:val="20"/>
        </w:rPr>
        <w:t>an una interferencia o violación ileg</w:t>
      </w:r>
      <w:r w:rsidR="0026499C">
        <w:rPr>
          <w:rFonts w:ascii="Verdana" w:hAnsi="Verdana"/>
          <w:sz w:val="20"/>
          <w:szCs w:val="20"/>
        </w:rPr>
        <w:t>í</w:t>
      </w:r>
      <w:r w:rsidR="00E005F5" w:rsidRPr="00F24959">
        <w:rPr>
          <w:rFonts w:ascii="Verdana" w:hAnsi="Verdana"/>
          <w:sz w:val="20"/>
          <w:szCs w:val="20"/>
        </w:rPr>
        <w:t>tima sobre su derecho a la propiedad, se podría acceder, al sistema de protección de derechos humanos sin tener en cuenta la personalidad jurídica de l</w:t>
      </w:r>
      <w:r w:rsidR="00B94012">
        <w:rPr>
          <w:rFonts w:ascii="Verdana" w:hAnsi="Verdana"/>
          <w:sz w:val="20"/>
          <w:szCs w:val="20"/>
        </w:rPr>
        <w:t>a empresa; siendo justificable e</w:t>
      </w:r>
      <w:r w:rsidR="00E005F5" w:rsidRPr="00F24959">
        <w:rPr>
          <w:rFonts w:ascii="Verdana" w:hAnsi="Verdana"/>
          <w:sz w:val="20"/>
          <w:szCs w:val="20"/>
        </w:rPr>
        <w:t>sta excepción cuando, por las circunstancias del caso, se estable</w:t>
      </w:r>
      <w:r w:rsidR="0032154C">
        <w:rPr>
          <w:rFonts w:ascii="Verdana" w:hAnsi="Verdana"/>
          <w:sz w:val="20"/>
          <w:szCs w:val="20"/>
        </w:rPr>
        <w:t>ciere</w:t>
      </w:r>
      <w:r w:rsidR="00E005F5" w:rsidRPr="00F24959">
        <w:rPr>
          <w:rFonts w:ascii="Verdana" w:hAnsi="Verdana"/>
          <w:sz w:val="20"/>
          <w:szCs w:val="20"/>
        </w:rPr>
        <w:t xml:space="preserve"> claramente que es imposible que la empresa presente una petición a las instituciones de la Convención a través de los órganos creados en virtud de </w:t>
      </w:r>
      <w:r w:rsidR="0026499C">
        <w:rPr>
          <w:rFonts w:ascii="Verdana" w:hAnsi="Verdana"/>
          <w:sz w:val="20"/>
          <w:szCs w:val="20"/>
        </w:rPr>
        <w:t xml:space="preserve">la </w:t>
      </w:r>
      <w:r w:rsidR="00E005F5" w:rsidRPr="00F24959">
        <w:rPr>
          <w:rFonts w:ascii="Verdana" w:hAnsi="Verdana"/>
          <w:sz w:val="20"/>
          <w:szCs w:val="20"/>
        </w:rPr>
        <w:t>escritura de constitución</w:t>
      </w:r>
      <w:r w:rsidR="00311C61" w:rsidRPr="00F24959">
        <w:rPr>
          <w:rFonts w:ascii="Verdana" w:hAnsi="Verdana"/>
          <w:sz w:val="20"/>
          <w:szCs w:val="20"/>
        </w:rPr>
        <w:t xml:space="preserve"> de la empresa</w:t>
      </w:r>
      <w:r w:rsidR="00E005F5" w:rsidRPr="00F24959">
        <w:rPr>
          <w:rFonts w:ascii="Verdana" w:hAnsi="Verdana"/>
          <w:sz w:val="20"/>
          <w:szCs w:val="20"/>
        </w:rPr>
        <w:t>, en caso de liquidación por sus liquidadores o bien por los síndicos en caso de quiebra</w:t>
      </w:r>
      <w:r w:rsidR="00E005F5">
        <w:rPr>
          <w:rStyle w:val="FootnoteReference"/>
          <w:rFonts w:ascii="Verdana" w:hAnsi="Verdana"/>
          <w:sz w:val="20"/>
          <w:szCs w:val="20"/>
        </w:rPr>
        <w:footnoteReference w:id="52"/>
      </w:r>
      <w:r w:rsidR="00E005F5" w:rsidRPr="00F24959">
        <w:rPr>
          <w:rFonts w:ascii="Verdana" w:hAnsi="Verdana"/>
          <w:sz w:val="20"/>
          <w:szCs w:val="20"/>
        </w:rPr>
        <w:t xml:space="preserve">. </w:t>
      </w:r>
    </w:p>
    <w:p w14:paraId="4ABBC4A3" w14:textId="77777777" w:rsidR="00311C61" w:rsidRPr="00EC5451" w:rsidRDefault="00311C61" w:rsidP="00311C61">
      <w:pPr>
        <w:pStyle w:val="ListParagraph"/>
        <w:spacing w:line="240" w:lineRule="auto"/>
        <w:ind w:left="0"/>
        <w:jc w:val="both"/>
        <w:rPr>
          <w:rFonts w:ascii="Verdana" w:hAnsi="Verdana"/>
          <w:sz w:val="20"/>
          <w:szCs w:val="20"/>
        </w:rPr>
      </w:pPr>
    </w:p>
    <w:p w14:paraId="20736D1F" w14:textId="77777777" w:rsidR="004B134A" w:rsidRDefault="00724251" w:rsidP="00CA5368">
      <w:pPr>
        <w:pStyle w:val="ListParagraph"/>
        <w:spacing w:line="240" w:lineRule="auto"/>
        <w:ind w:left="0"/>
        <w:jc w:val="both"/>
        <w:rPr>
          <w:rFonts w:ascii="Verdana" w:hAnsi="Verdana"/>
          <w:sz w:val="20"/>
          <w:szCs w:val="20"/>
        </w:rPr>
      </w:pPr>
      <w:r>
        <w:rPr>
          <w:rFonts w:ascii="Verdana" w:hAnsi="Verdana"/>
          <w:sz w:val="20"/>
          <w:szCs w:val="20"/>
        </w:rPr>
        <w:t>36</w:t>
      </w:r>
      <w:r w:rsidR="00CA5368">
        <w:rPr>
          <w:rFonts w:ascii="Verdana" w:hAnsi="Verdana"/>
          <w:sz w:val="20"/>
          <w:szCs w:val="20"/>
        </w:rPr>
        <w:t xml:space="preserve">. </w:t>
      </w:r>
      <w:r w:rsidR="00CA5368">
        <w:rPr>
          <w:rFonts w:ascii="Verdana" w:hAnsi="Verdana"/>
          <w:sz w:val="20"/>
          <w:szCs w:val="20"/>
        </w:rPr>
        <w:tab/>
      </w:r>
      <w:r w:rsidR="00E005F5" w:rsidRPr="002339CC">
        <w:rPr>
          <w:rFonts w:ascii="Verdana" w:hAnsi="Verdana"/>
          <w:sz w:val="20"/>
          <w:szCs w:val="20"/>
        </w:rPr>
        <w:t>Un segundo escenario que ha identificado el Tribunal de Estrasburgo, se presentó en los casos</w:t>
      </w:r>
      <w:r w:rsidR="00311C61">
        <w:rPr>
          <w:rFonts w:ascii="Verdana" w:hAnsi="Verdana"/>
          <w:sz w:val="20"/>
          <w:szCs w:val="20"/>
        </w:rPr>
        <w:t xml:space="preserve"> </w:t>
      </w:r>
      <w:r w:rsidR="00E005F5" w:rsidRPr="002339CC">
        <w:rPr>
          <w:rFonts w:ascii="Verdana" w:hAnsi="Verdana"/>
          <w:i/>
          <w:sz w:val="20"/>
          <w:szCs w:val="20"/>
        </w:rPr>
        <w:t>Groppera Radio A.G. y otros Vs. Suiza</w:t>
      </w:r>
      <w:r w:rsidR="00E005F5" w:rsidRPr="00B94012">
        <w:rPr>
          <w:rStyle w:val="FootnoteReference"/>
          <w:rFonts w:ascii="Verdana" w:hAnsi="Verdana"/>
          <w:sz w:val="20"/>
          <w:szCs w:val="20"/>
        </w:rPr>
        <w:footnoteReference w:id="53"/>
      </w:r>
      <w:r w:rsidR="00E005F5" w:rsidRPr="002339CC">
        <w:rPr>
          <w:rFonts w:ascii="Verdana" w:hAnsi="Verdana"/>
          <w:i/>
          <w:sz w:val="20"/>
          <w:szCs w:val="20"/>
        </w:rPr>
        <w:t>,</w:t>
      </w:r>
      <w:r w:rsidR="00311C61">
        <w:rPr>
          <w:rFonts w:ascii="Verdana" w:hAnsi="Verdana"/>
          <w:i/>
          <w:sz w:val="20"/>
          <w:szCs w:val="20"/>
        </w:rPr>
        <w:t xml:space="preserve"> </w:t>
      </w:r>
      <w:r w:rsidR="00E005F5" w:rsidRPr="002339CC">
        <w:rPr>
          <w:rFonts w:ascii="Verdana" w:hAnsi="Verdana"/>
          <w:i/>
          <w:sz w:val="20"/>
          <w:szCs w:val="20"/>
        </w:rPr>
        <w:t>Glas Nadejda EOOD y Anatoli Elenkov Vs. Bulgaria</w:t>
      </w:r>
      <w:r w:rsidR="00E005F5" w:rsidRPr="00B94012">
        <w:rPr>
          <w:rStyle w:val="FootnoteReference"/>
          <w:rFonts w:ascii="Verdana" w:hAnsi="Verdana"/>
          <w:sz w:val="20"/>
          <w:szCs w:val="20"/>
        </w:rPr>
        <w:footnoteReference w:id="54"/>
      </w:r>
      <w:r w:rsidR="00E005F5" w:rsidRPr="002339CC">
        <w:rPr>
          <w:rFonts w:ascii="Verdana" w:hAnsi="Verdana"/>
          <w:sz w:val="20"/>
          <w:szCs w:val="20"/>
        </w:rPr>
        <w:t xml:space="preserve">, </w:t>
      </w:r>
      <w:r w:rsidR="00E005F5" w:rsidRPr="002339CC">
        <w:rPr>
          <w:rFonts w:ascii="Verdana" w:hAnsi="Verdana"/>
          <w:i/>
          <w:sz w:val="20"/>
          <w:szCs w:val="20"/>
        </w:rPr>
        <w:t>Ankarcrona Vs. Suecia</w:t>
      </w:r>
      <w:r w:rsidR="00E005F5" w:rsidRPr="00B94012">
        <w:rPr>
          <w:rStyle w:val="FootnoteReference"/>
          <w:rFonts w:ascii="Verdana" w:hAnsi="Verdana"/>
          <w:sz w:val="20"/>
          <w:szCs w:val="20"/>
        </w:rPr>
        <w:footnoteReference w:id="55"/>
      </w:r>
      <w:r w:rsidR="00E005F5" w:rsidRPr="002339CC">
        <w:rPr>
          <w:rFonts w:ascii="Verdana" w:hAnsi="Verdana"/>
          <w:i/>
          <w:sz w:val="20"/>
          <w:szCs w:val="20"/>
        </w:rPr>
        <w:t xml:space="preserve"> y Eugenia</w:t>
      </w:r>
      <w:r w:rsidR="00E005F5" w:rsidRPr="0099794D">
        <w:rPr>
          <w:rFonts w:ascii="Verdana" w:hAnsi="Verdana"/>
          <w:i/>
          <w:sz w:val="20"/>
          <w:szCs w:val="20"/>
        </w:rPr>
        <w:t xml:space="preserve"> Michaelidou Developments LTD y Michael Tymios Vs. Turquía</w:t>
      </w:r>
      <w:r w:rsidR="00E005F5" w:rsidRPr="00B94012">
        <w:rPr>
          <w:rStyle w:val="FootnoteReference"/>
          <w:rFonts w:ascii="Verdana" w:hAnsi="Verdana"/>
          <w:sz w:val="20"/>
          <w:szCs w:val="20"/>
        </w:rPr>
        <w:footnoteReference w:id="56"/>
      </w:r>
      <w:r w:rsidR="00E005F5">
        <w:rPr>
          <w:rFonts w:ascii="Verdana" w:hAnsi="Verdana"/>
          <w:i/>
          <w:sz w:val="20"/>
          <w:szCs w:val="20"/>
        </w:rPr>
        <w:t xml:space="preserve">, </w:t>
      </w:r>
      <w:r w:rsidR="00E005F5" w:rsidRPr="0099794D">
        <w:rPr>
          <w:rFonts w:ascii="Verdana" w:hAnsi="Verdana"/>
          <w:sz w:val="20"/>
          <w:szCs w:val="20"/>
        </w:rPr>
        <w:t>cuando</w:t>
      </w:r>
      <w:r w:rsidR="00E005F5">
        <w:rPr>
          <w:rFonts w:ascii="Verdana" w:hAnsi="Verdana"/>
          <w:sz w:val="20"/>
          <w:szCs w:val="20"/>
        </w:rPr>
        <w:t xml:space="preserve"> la empresa tiene un accionista único o cuando es un accionista que detenta la totalidad del capital social. Así, la Corte Europea ha considerado admisible que el único accionista de una sociedad acuda individualmente a los órganos del Sistema Europeo para reclamar la violación de los derechos de la sociedad o empresa puesto que, a consideración del Tribunal, en esta situación no existe el riesgo de opiniones divergentes entre los accionistas o entre éstos y la junta directiva</w:t>
      </w:r>
      <w:r w:rsidR="00E005F5">
        <w:rPr>
          <w:rStyle w:val="FootnoteReference"/>
          <w:rFonts w:ascii="Verdana" w:hAnsi="Verdana"/>
          <w:sz w:val="20"/>
          <w:szCs w:val="20"/>
        </w:rPr>
        <w:footnoteReference w:id="57"/>
      </w:r>
      <w:r w:rsidR="00E005F5">
        <w:rPr>
          <w:rFonts w:ascii="Verdana" w:hAnsi="Verdana"/>
          <w:sz w:val="20"/>
          <w:szCs w:val="20"/>
        </w:rPr>
        <w:t xml:space="preserve">. </w:t>
      </w:r>
    </w:p>
    <w:p w14:paraId="072DF1D1" w14:textId="77777777" w:rsidR="004B134A" w:rsidRPr="004B134A" w:rsidRDefault="004B134A" w:rsidP="004B134A">
      <w:pPr>
        <w:pStyle w:val="ListParagraph"/>
        <w:spacing w:line="240" w:lineRule="auto"/>
        <w:ind w:left="0"/>
        <w:jc w:val="both"/>
        <w:rPr>
          <w:rFonts w:ascii="Verdana" w:hAnsi="Verdana"/>
          <w:sz w:val="20"/>
          <w:szCs w:val="20"/>
        </w:rPr>
      </w:pPr>
    </w:p>
    <w:p w14:paraId="08A29135" w14:textId="77777777" w:rsidR="004B134A" w:rsidRDefault="00724251" w:rsidP="00CA5368">
      <w:pPr>
        <w:pStyle w:val="ListParagraph"/>
        <w:spacing w:line="240" w:lineRule="auto"/>
        <w:ind w:left="0"/>
        <w:jc w:val="both"/>
        <w:rPr>
          <w:rFonts w:ascii="Verdana" w:hAnsi="Verdana"/>
          <w:sz w:val="20"/>
          <w:szCs w:val="20"/>
        </w:rPr>
      </w:pPr>
      <w:r>
        <w:rPr>
          <w:rFonts w:ascii="Verdana" w:hAnsi="Verdana"/>
          <w:sz w:val="20"/>
          <w:szCs w:val="20"/>
        </w:rPr>
        <w:t>37</w:t>
      </w:r>
      <w:r w:rsidR="00CA5368">
        <w:rPr>
          <w:rFonts w:ascii="Verdana" w:hAnsi="Verdana"/>
          <w:sz w:val="20"/>
          <w:szCs w:val="20"/>
        </w:rPr>
        <w:t xml:space="preserve">. </w:t>
      </w:r>
      <w:r w:rsidR="00CA5368">
        <w:rPr>
          <w:rFonts w:ascii="Verdana" w:hAnsi="Verdana"/>
          <w:sz w:val="20"/>
          <w:szCs w:val="20"/>
        </w:rPr>
        <w:tab/>
      </w:r>
      <w:r w:rsidR="00E005F5" w:rsidRPr="004B134A">
        <w:rPr>
          <w:rFonts w:ascii="Verdana" w:hAnsi="Verdana"/>
          <w:sz w:val="20"/>
          <w:szCs w:val="20"/>
        </w:rPr>
        <w:t xml:space="preserve">En el caso </w:t>
      </w:r>
      <w:r w:rsidR="00E005F5" w:rsidRPr="004B134A">
        <w:rPr>
          <w:rFonts w:ascii="Verdana" w:hAnsi="Verdana"/>
          <w:i/>
          <w:sz w:val="20"/>
          <w:szCs w:val="20"/>
        </w:rPr>
        <w:t>Khamido</w:t>
      </w:r>
      <w:r w:rsidR="00D54CE5">
        <w:rPr>
          <w:rFonts w:ascii="Verdana" w:hAnsi="Verdana"/>
          <w:i/>
          <w:sz w:val="20"/>
          <w:szCs w:val="20"/>
        </w:rPr>
        <w:t>v</w:t>
      </w:r>
      <w:r w:rsidR="00E005F5" w:rsidRPr="004B134A">
        <w:rPr>
          <w:rFonts w:ascii="Verdana" w:hAnsi="Verdana"/>
          <w:i/>
          <w:sz w:val="20"/>
          <w:szCs w:val="20"/>
        </w:rPr>
        <w:t xml:space="preserve"> Vs. Rusia</w:t>
      </w:r>
      <w:r w:rsidR="00E005F5" w:rsidRPr="00B94012">
        <w:rPr>
          <w:rStyle w:val="FootnoteReference"/>
          <w:rFonts w:ascii="Verdana" w:hAnsi="Verdana"/>
          <w:sz w:val="20"/>
          <w:szCs w:val="20"/>
        </w:rPr>
        <w:footnoteReference w:id="58"/>
      </w:r>
      <w:r w:rsidR="00E005F5" w:rsidRPr="004B134A">
        <w:rPr>
          <w:rFonts w:ascii="Verdana" w:hAnsi="Verdana"/>
          <w:sz w:val="20"/>
          <w:szCs w:val="20"/>
        </w:rPr>
        <w:t>, el Tribunal Europeo fijó una tercera excepción para acudir subsidiariamente al sistema de</w:t>
      </w:r>
      <w:r w:rsidR="00B94012">
        <w:rPr>
          <w:rFonts w:ascii="Verdana" w:hAnsi="Verdana"/>
          <w:sz w:val="20"/>
          <w:szCs w:val="20"/>
        </w:rPr>
        <w:t xml:space="preserve"> protección de derechos humanos;</w:t>
      </w:r>
      <w:r w:rsidR="00E005F5" w:rsidRPr="004B134A">
        <w:rPr>
          <w:rFonts w:ascii="Verdana" w:hAnsi="Verdana"/>
          <w:sz w:val="20"/>
          <w:szCs w:val="20"/>
        </w:rPr>
        <w:t xml:space="preserve"> así, consideró que en el supuesto en que un accionista decida acudir ante los órganos de la Convención pero no así otro(s) ni la sociedad, se consideraría como víctima al que optó por acudir al Tribunal</w:t>
      </w:r>
      <w:r w:rsidR="00E005F5" w:rsidRPr="00304D6B">
        <w:rPr>
          <w:rStyle w:val="FootnoteReference"/>
          <w:rFonts w:ascii="Verdana" w:hAnsi="Verdana"/>
          <w:sz w:val="20"/>
          <w:szCs w:val="20"/>
        </w:rPr>
        <w:footnoteReference w:id="59"/>
      </w:r>
      <w:r w:rsidR="00E005F5" w:rsidRPr="004B134A">
        <w:rPr>
          <w:rFonts w:ascii="Verdana" w:hAnsi="Verdana"/>
          <w:sz w:val="20"/>
          <w:szCs w:val="20"/>
        </w:rPr>
        <w:t>.</w:t>
      </w:r>
    </w:p>
    <w:p w14:paraId="5FA94D28" w14:textId="77777777" w:rsidR="004B134A" w:rsidRPr="004B134A" w:rsidRDefault="004B134A" w:rsidP="004B134A">
      <w:pPr>
        <w:pStyle w:val="ListParagraph"/>
        <w:spacing w:line="240" w:lineRule="auto"/>
        <w:ind w:left="0"/>
        <w:jc w:val="both"/>
        <w:rPr>
          <w:rFonts w:ascii="Verdana" w:hAnsi="Verdana"/>
          <w:sz w:val="20"/>
          <w:szCs w:val="20"/>
        </w:rPr>
      </w:pPr>
    </w:p>
    <w:p w14:paraId="7D01EC7E" w14:textId="77777777" w:rsidR="00E005F5" w:rsidRPr="004B134A" w:rsidRDefault="00724251" w:rsidP="00CA5368">
      <w:pPr>
        <w:pStyle w:val="ListParagraph"/>
        <w:spacing w:line="240" w:lineRule="auto"/>
        <w:ind w:left="0"/>
        <w:jc w:val="both"/>
        <w:rPr>
          <w:rFonts w:ascii="Verdana" w:hAnsi="Verdana"/>
          <w:sz w:val="20"/>
          <w:szCs w:val="20"/>
        </w:rPr>
      </w:pPr>
      <w:r>
        <w:rPr>
          <w:rFonts w:ascii="Verdana" w:hAnsi="Verdana"/>
          <w:sz w:val="20"/>
          <w:szCs w:val="20"/>
        </w:rPr>
        <w:lastRenderedPageBreak/>
        <w:t>38</w:t>
      </w:r>
      <w:r w:rsidR="00CA5368">
        <w:rPr>
          <w:rFonts w:ascii="Verdana" w:hAnsi="Verdana"/>
          <w:sz w:val="20"/>
          <w:szCs w:val="20"/>
        </w:rPr>
        <w:t xml:space="preserve">. </w:t>
      </w:r>
      <w:r w:rsidR="00CA5368">
        <w:rPr>
          <w:rFonts w:ascii="Verdana" w:hAnsi="Verdana"/>
          <w:sz w:val="20"/>
          <w:szCs w:val="20"/>
        </w:rPr>
        <w:tab/>
      </w:r>
      <w:r w:rsidR="00E005F5" w:rsidRPr="004B134A">
        <w:rPr>
          <w:rFonts w:ascii="Verdana" w:hAnsi="Verdana"/>
          <w:sz w:val="20"/>
          <w:szCs w:val="20"/>
        </w:rPr>
        <w:t xml:space="preserve">Por </w:t>
      </w:r>
      <w:r w:rsidR="00B94012">
        <w:rPr>
          <w:rFonts w:ascii="Verdana" w:hAnsi="Verdana"/>
          <w:sz w:val="20"/>
          <w:szCs w:val="20"/>
        </w:rPr>
        <w:t xml:space="preserve">el </w:t>
      </w:r>
      <w:r w:rsidR="00E005F5" w:rsidRPr="004B134A">
        <w:rPr>
          <w:rFonts w:ascii="Verdana" w:hAnsi="Verdana"/>
          <w:sz w:val="20"/>
          <w:szCs w:val="20"/>
        </w:rPr>
        <w:t xml:space="preserve">contrario, el Tribunal de Estrasburgo en los casos </w:t>
      </w:r>
      <w:r w:rsidR="00E005F5" w:rsidRPr="004B134A">
        <w:rPr>
          <w:rFonts w:ascii="Verdana" w:hAnsi="Verdana"/>
          <w:i/>
          <w:sz w:val="20"/>
          <w:szCs w:val="20"/>
        </w:rPr>
        <w:t>F Santos LDA y Fachadas Vs. Portugal</w:t>
      </w:r>
      <w:r w:rsidR="00E005F5" w:rsidRPr="00B94012">
        <w:rPr>
          <w:rStyle w:val="FootnoteReference"/>
          <w:rFonts w:ascii="Verdana" w:hAnsi="Verdana"/>
          <w:sz w:val="20"/>
          <w:szCs w:val="20"/>
        </w:rPr>
        <w:footnoteReference w:id="60"/>
      </w:r>
      <w:r w:rsidR="00E005F5" w:rsidRPr="004B134A">
        <w:rPr>
          <w:rFonts w:ascii="Verdana" w:hAnsi="Verdana"/>
          <w:i/>
          <w:sz w:val="20"/>
          <w:szCs w:val="20"/>
        </w:rPr>
        <w:t>, Nosov Vs. Rusia</w:t>
      </w:r>
      <w:r w:rsidR="00E005F5" w:rsidRPr="00B94012">
        <w:rPr>
          <w:rStyle w:val="FootnoteReference"/>
          <w:rFonts w:ascii="Verdana" w:hAnsi="Verdana"/>
          <w:sz w:val="20"/>
          <w:szCs w:val="20"/>
        </w:rPr>
        <w:footnoteReference w:id="61"/>
      </w:r>
      <w:r w:rsidR="00E005F5" w:rsidRPr="004B134A">
        <w:rPr>
          <w:rFonts w:ascii="Verdana" w:hAnsi="Verdana"/>
          <w:i/>
          <w:sz w:val="20"/>
          <w:szCs w:val="20"/>
        </w:rPr>
        <w:t>, y Roseltrans, Finlease y Myshkin Vs. Rusia</w:t>
      </w:r>
      <w:r w:rsidR="00E005F5" w:rsidRPr="00B94012">
        <w:rPr>
          <w:rStyle w:val="FootnoteReference"/>
          <w:rFonts w:ascii="Verdana" w:hAnsi="Verdana"/>
          <w:sz w:val="20"/>
          <w:szCs w:val="20"/>
        </w:rPr>
        <w:footnoteReference w:id="62"/>
      </w:r>
      <w:r w:rsidR="00AB58B9">
        <w:rPr>
          <w:rFonts w:ascii="Verdana" w:hAnsi="Verdana"/>
          <w:i/>
          <w:sz w:val="20"/>
          <w:szCs w:val="20"/>
        </w:rPr>
        <w:t xml:space="preserve"> </w:t>
      </w:r>
      <w:r w:rsidR="00E005F5" w:rsidRPr="004B134A">
        <w:rPr>
          <w:rFonts w:ascii="Verdana" w:hAnsi="Verdana"/>
          <w:sz w:val="20"/>
          <w:szCs w:val="20"/>
        </w:rPr>
        <w:t xml:space="preserve">consideró que una </w:t>
      </w:r>
      <w:r w:rsidR="00B94012">
        <w:rPr>
          <w:rFonts w:ascii="Verdana" w:hAnsi="Verdana"/>
          <w:sz w:val="20"/>
          <w:szCs w:val="20"/>
        </w:rPr>
        <w:t>persona no puede ser considerada</w:t>
      </w:r>
      <w:r w:rsidR="00E005F5" w:rsidRPr="004B134A">
        <w:rPr>
          <w:rFonts w:ascii="Verdana" w:hAnsi="Verdana"/>
          <w:sz w:val="20"/>
          <w:szCs w:val="20"/>
        </w:rPr>
        <w:t xml:space="preserve"> como víctima en el contexto de un procedimiento del cual no fue parte ante el sistema de protección de derechos humanos pese a su calidad de accionista o dirigente de la sociedad que era parte del procedimiento</w:t>
      </w:r>
      <w:r w:rsidR="00E005F5">
        <w:rPr>
          <w:rStyle w:val="FootnoteReference"/>
          <w:rFonts w:ascii="Verdana" w:hAnsi="Verdana"/>
          <w:sz w:val="20"/>
          <w:szCs w:val="20"/>
        </w:rPr>
        <w:footnoteReference w:id="63"/>
      </w:r>
      <w:r w:rsidR="00E005F5" w:rsidRPr="004B134A">
        <w:rPr>
          <w:rFonts w:ascii="Verdana" w:hAnsi="Verdana"/>
          <w:sz w:val="20"/>
          <w:szCs w:val="20"/>
        </w:rPr>
        <w:t xml:space="preserve">. </w:t>
      </w:r>
    </w:p>
    <w:p w14:paraId="4DDA8C5E" w14:textId="77777777" w:rsidR="00E005F5" w:rsidRPr="002B50DB" w:rsidRDefault="00E005F5" w:rsidP="00E005F5">
      <w:pPr>
        <w:pStyle w:val="ListParagraph"/>
        <w:spacing w:line="240" w:lineRule="auto"/>
        <w:ind w:left="0"/>
        <w:jc w:val="both"/>
        <w:rPr>
          <w:rFonts w:ascii="Verdana" w:hAnsi="Verdana"/>
          <w:sz w:val="20"/>
          <w:szCs w:val="20"/>
        </w:rPr>
      </w:pPr>
    </w:p>
    <w:p w14:paraId="5447CFE2" w14:textId="381BDF24" w:rsidR="00E005F5" w:rsidRPr="002B50DB" w:rsidRDefault="00724251" w:rsidP="00CA5368">
      <w:pPr>
        <w:pStyle w:val="ListParagraph"/>
        <w:spacing w:line="240" w:lineRule="auto"/>
        <w:ind w:left="0"/>
        <w:jc w:val="both"/>
        <w:rPr>
          <w:rFonts w:ascii="Verdana" w:hAnsi="Verdana"/>
          <w:sz w:val="20"/>
          <w:szCs w:val="20"/>
        </w:rPr>
      </w:pPr>
      <w:r>
        <w:rPr>
          <w:rFonts w:ascii="Verdana" w:hAnsi="Verdana"/>
          <w:sz w:val="20"/>
          <w:szCs w:val="20"/>
        </w:rPr>
        <w:t>39</w:t>
      </w:r>
      <w:r w:rsidR="00CA5368">
        <w:rPr>
          <w:rFonts w:ascii="Verdana" w:hAnsi="Verdana"/>
          <w:sz w:val="20"/>
          <w:szCs w:val="20"/>
        </w:rPr>
        <w:t xml:space="preserve">. </w:t>
      </w:r>
      <w:r w:rsidR="00CA5368">
        <w:rPr>
          <w:rFonts w:ascii="Verdana" w:hAnsi="Verdana"/>
          <w:sz w:val="20"/>
          <w:szCs w:val="20"/>
        </w:rPr>
        <w:tab/>
      </w:r>
      <w:r w:rsidR="00E005F5" w:rsidRPr="002B50DB">
        <w:rPr>
          <w:rFonts w:ascii="Verdana" w:hAnsi="Verdana"/>
          <w:sz w:val="20"/>
          <w:szCs w:val="20"/>
        </w:rPr>
        <w:t xml:space="preserve">Inclusive, en el caso </w:t>
      </w:r>
      <w:r w:rsidR="00E005F5" w:rsidRPr="002B50DB">
        <w:rPr>
          <w:rFonts w:ascii="Verdana" w:hAnsi="Verdana"/>
          <w:i/>
          <w:sz w:val="20"/>
          <w:szCs w:val="20"/>
        </w:rPr>
        <w:t>Meltex LTD y Mesrop</w:t>
      </w:r>
      <w:r w:rsidR="00E005F5">
        <w:rPr>
          <w:rFonts w:ascii="Verdana" w:hAnsi="Verdana"/>
          <w:i/>
          <w:sz w:val="20"/>
          <w:szCs w:val="20"/>
        </w:rPr>
        <w:t xml:space="preserve"> Movsesyan</w:t>
      </w:r>
      <w:r w:rsidR="00E005F5" w:rsidRPr="002B50DB">
        <w:rPr>
          <w:rFonts w:ascii="Verdana" w:hAnsi="Verdana"/>
          <w:i/>
          <w:sz w:val="20"/>
          <w:szCs w:val="20"/>
        </w:rPr>
        <w:t xml:space="preserve"> Vs. Armenia</w:t>
      </w:r>
      <w:r w:rsidR="00E005F5" w:rsidRPr="00B94012">
        <w:rPr>
          <w:rStyle w:val="FootnoteReference"/>
          <w:rFonts w:ascii="Verdana" w:hAnsi="Verdana"/>
          <w:sz w:val="20"/>
          <w:szCs w:val="20"/>
        </w:rPr>
        <w:footnoteReference w:id="64"/>
      </w:r>
      <w:r w:rsidR="00AB58B9">
        <w:rPr>
          <w:rFonts w:ascii="Verdana" w:hAnsi="Verdana"/>
          <w:i/>
          <w:sz w:val="20"/>
          <w:szCs w:val="20"/>
        </w:rPr>
        <w:t xml:space="preserve"> </w:t>
      </w:r>
      <w:r w:rsidR="00E005F5" w:rsidRPr="002B50DB">
        <w:rPr>
          <w:rFonts w:ascii="Verdana" w:hAnsi="Verdana"/>
          <w:sz w:val="20"/>
          <w:szCs w:val="20"/>
        </w:rPr>
        <w:t xml:space="preserve">se consideró que no se podía acceder al sistema de protección de derechos humanos cuando el peticionario no </w:t>
      </w:r>
      <w:r w:rsidR="0096173D">
        <w:rPr>
          <w:rFonts w:ascii="Verdana" w:hAnsi="Verdana"/>
          <w:sz w:val="20"/>
          <w:szCs w:val="20"/>
        </w:rPr>
        <w:t>fu</w:t>
      </w:r>
      <w:r w:rsidR="00E005F5" w:rsidRPr="002B50DB">
        <w:rPr>
          <w:rFonts w:ascii="Verdana" w:hAnsi="Verdana"/>
          <w:sz w:val="20"/>
          <w:szCs w:val="20"/>
        </w:rPr>
        <w:t>es</w:t>
      </w:r>
      <w:r w:rsidR="0096173D">
        <w:rPr>
          <w:rFonts w:ascii="Verdana" w:hAnsi="Verdana"/>
          <w:sz w:val="20"/>
          <w:szCs w:val="20"/>
        </w:rPr>
        <w:t>e</w:t>
      </w:r>
      <w:r w:rsidR="00FF72CB">
        <w:rPr>
          <w:rFonts w:ascii="Verdana" w:hAnsi="Verdana"/>
          <w:sz w:val="20"/>
          <w:szCs w:val="20"/>
        </w:rPr>
        <w:t xml:space="preserve"> accionista y tampoco </w:t>
      </w:r>
      <w:r w:rsidR="00E005F5" w:rsidRPr="002B50DB">
        <w:rPr>
          <w:rFonts w:ascii="Verdana" w:hAnsi="Verdana"/>
          <w:sz w:val="20"/>
          <w:szCs w:val="20"/>
        </w:rPr>
        <w:t>representante legal de la empresa</w:t>
      </w:r>
      <w:r w:rsidR="00E005F5">
        <w:rPr>
          <w:rStyle w:val="FootnoteReference"/>
          <w:rFonts w:ascii="Verdana" w:hAnsi="Verdana"/>
          <w:sz w:val="20"/>
          <w:szCs w:val="20"/>
        </w:rPr>
        <w:footnoteReference w:id="65"/>
      </w:r>
      <w:r w:rsidR="00E005F5" w:rsidRPr="002B50DB">
        <w:rPr>
          <w:rFonts w:ascii="Verdana" w:hAnsi="Verdana"/>
          <w:sz w:val="20"/>
          <w:szCs w:val="20"/>
        </w:rPr>
        <w:t xml:space="preserve">. Aunado a lo anterior, en </w:t>
      </w:r>
      <w:r w:rsidR="00E005F5" w:rsidRPr="002B50DB">
        <w:rPr>
          <w:rFonts w:ascii="Verdana" w:hAnsi="Verdana"/>
          <w:sz w:val="20"/>
          <w:szCs w:val="20"/>
        </w:rPr>
        <w:lastRenderedPageBreak/>
        <w:t>el  caso</w:t>
      </w:r>
      <w:r w:rsidR="00AB58B9">
        <w:rPr>
          <w:rFonts w:ascii="Verdana" w:hAnsi="Verdana"/>
          <w:sz w:val="20"/>
          <w:szCs w:val="20"/>
        </w:rPr>
        <w:t xml:space="preserve"> </w:t>
      </w:r>
      <w:r w:rsidR="00E005F5" w:rsidRPr="002B50DB">
        <w:rPr>
          <w:rFonts w:ascii="Verdana" w:hAnsi="Verdana"/>
          <w:i/>
          <w:sz w:val="20"/>
          <w:szCs w:val="20"/>
        </w:rPr>
        <w:t>Amat-G LTD y Mebaghishvli Vs. Georgia</w:t>
      </w:r>
      <w:r w:rsidR="00E005F5" w:rsidRPr="00B94012">
        <w:rPr>
          <w:rStyle w:val="FootnoteReference"/>
          <w:rFonts w:ascii="Verdana" w:hAnsi="Verdana"/>
          <w:sz w:val="20"/>
          <w:szCs w:val="20"/>
          <w:lang w:val="en-US"/>
        </w:rPr>
        <w:footnoteReference w:id="66"/>
      </w:r>
      <w:r w:rsidR="00B94012">
        <w:rPr>
          <w:rFonts w:ascii="Verdana" w:hAnsi="Verdana"/>
          <w:sz w:val="20"/>
          <w:szCs w:val="20"/>
        </w:rPr>
        <w:t xml:space="preserve"> se llegó a la </w:t>
      </w:r>
      <w:r w:rsidR="00E005F5" w:rsidRPr="002B50DB">
        <w:rPr>
          <w:rFonts w:ascii="Verdana" w:hAnsi="Verdana"/>
          <w:sz w:val="20"/>
          <w:szCs w:val="20"/>
        </w:rPr>
        <w:t xml:space="preserve">conclusión de que tampoco se podía acceder como víctima cuando </w:t>
      </w:r>
      <w:r w:rsidR="0026499C">
        <w:rPr>
          <w:rFonts w:ascii="Verdana" w:hAnsi="Verdana"/>
          <w:sz w:val="20"/>
          <w:szCs w:val="20"/>
        </w:rPr>
        <w:t>aun</w:t>
      </w:r>
      <w:r w:rsidR="00E005F5" w:rsidRPr="002B50DB">
        <w:rPr>
          <w:rFonts w:ascii="Verdana" w:hAnsi="Verdana"/>
          <w:sz w:val="20"/>
          <w:szCs w:val="20"/>
        </w:rPr>
        <w:t xml:space="preserve"> teniendo en la empresa cargos de dirección, como la de gerente general, no se lograra acreditar la calidad de accionista</w:t>
      </w:r>
      <w:r w:rsidR="00E005F5">
        <w:rPr>
          <w:rStyle w:val="FootnoteReference"/>
          <w:rFonts w:ascii="Verdana" w:hAnsi="Verdana"/>
          <w:sz w:val="20"/>
          <w:szCs w:val="20"/>
        </w:rPr>
        <w:footnoteReference w:id="67"/>
      </w:r>
      <w:r w:rsidR="00E005F5" w:rsidRPr="002B50DB">
        <w:rPr>
          <w:rFonts w:ascii="Verdana" w:hAnsi="Verdana"/>
          <w:sz w:val="20"/>
          <w:szCs w:val="20"/>
        </w:rPr>
        <w:t xml:space="preserve">. </w:t>
      </w:r>
    </w:p>
    <w:p w14:paraId="61FEF3DB" w14:textId="77777777" w:rsidR="00E005F5" w:rsidRPr="00CC6975" w:rsidRDefault="00E005F5" w:rsidP="00E005F5">
      <w:pPr>
        <w:pStyle w:val="ListParagraph"/>
        <w:spacing w:line="240" w:lineRule="auto"/>
        <w:ind w:left="0"/>
        <w:jc w:val="both"/>
        <w:rPr>
          <w:rFonts w:ascii="Verdana" w:hAnsi="Verdana"/>
          <w:sz w:val="20"/>
          <w:szCs w:val="20"/>
        </w:rPr>
      </w:pPr>
    </w:p>
    <w:p w14:paraId="0CDE01D6" w14:textId="77777777" w:rsidR="004B134A" w:rsidRDefault="00724251" w:rsidP="00CA5368">
      <w:pPr>
        <w:pStyle w:val="ListParagraph"/>
        <w:spacing w:line="240" w:lineRule="auto"/>
        <w:ind w:left="0"/>
        <w:jc w:val="both"/>
        <w:rPr>
          <w:rFonts w:ascii="Verdana" w:hAnsi="Verdana"/>
          <w:sz w:val="20"/>
          <w:szCs w:val="20"/>
        </w:rPr>
      </w:pPr>
      <w:r>
        <w:rPr>
          <w:rFonts w:ascii="Verdana" w:hAnsi="Verdana"/>
          <w:sz w:val="20"/>
          <w:szCs w:val="20"/>
        </w:rPr>
        <w:t>40</w:t>
      </w:r>
      <w:r w:rsidR="00CA5368">
        <w:rPr>
          <w:rFonts w:ascii="Verdana" w:hAnsi="Verdana"/>
          <w:sz w:val="20"/>
          <w:szCs w:val="20"/>
        </w:rPr>
        <w:t xml:space="preserve">. </w:t>
      </w:r>
      <w:r w:rsidR="00CA5368">
        <w:rPr>
          <w:rFonts w:ascii="Verdana" w:hAnsi="Verdana"/>
          <w:sz w:val="20"/>
          <w:szCs w:val="20"/>
        </w:rPr>
        <w:tab/>
      </w:r>
      <w:r w:rsidR="00C10567">
        <w:rPr>
          <w:rFonts w:ascii="Verdana" w:hAnsi="Verdana"/>
          <w:sz w:val="20"/>
          <w:szCs w:val="20"/>
        </w:rPr>
        <w:t>En lo tocante a</w:t>
      </w:r>
      <w:r w:rsidR="00E005F5" w:rsidRPr="007635A7">
        <w:rPr>
          <w:rFonts w:ascii="Verdana" w:hAnsi="Verdana"/>
          <w:sz w:val="20"/>
          <w:szCs w:val="20"/>
        </w:rPr>
        <w:t xml:space="preserve"> las actividades que se desempeñan dentro de un medio de comunicación </w:t>
      </w:r>
      <w:r w:rsidR="00AB58B9">
        <w:rPr>
          <w:rFonts w:ascii="Verdana" w:hAnsi="Verdana"/>
          <w:sz w:val="20"/>
          <w:szCs w:val="20"/>
        </w:rPr>
        <w:t>audiovisual</w:t>
      </w:r>
      <w:r w:rsidR="00A82C8C">
        <w:rPr>
          <w:rFonts w:ascii="Verdana" w:hAnsi="Verdana"/>
          <w:sz w:val="20"/>
          <w:szCs w:val="20"/>
        </w:rPr>
        <w:t>,</w:t>
      </w:r>
      <w:r w:rsidR="00E005F5" w:rsidRPr="007635A7">
        <w:rPr>
          <w:rFonts w:ascii="Verdana" w:hAnsi="Verdana"/>
          <w:sz w:val="20"/>
          <w:szCs w:val="20"/>
        </w:rPr>
        <w:t xml:space="preserve"> y que tenían relación directa con la actividad comunicacional, el Tribunal</w:t>
      </w:r>
      <w:r w:rsidR="00E005F5">
        <w:rPr>
          <w:rFonts w:ascii="Verdana" w:hAnsi="Verdana"/>
          <w:sz w:val="20"/>
          <w:szCs w:val="20"/>
        </w:rPr>
        <w:t xml:space="preserve"> Europeo s</w:t>
      </w:r>
      <w:r w:rsidR="00A82C8C">
        <w:rPr>
          <w:rFonts w:ascii="Verdana" w:hAnsi="Verdana"/>
          <w:sz w:val="20"/>
          <w:szCs w:val="20"/>
        </w:rPr>
        <w:t>ó</w:t>
      </w:r>
      <w:r w:rsidR="00E005F5">
        <w:rPr>
          <w:rFonts w:ascii="Verdana" w:hAnsi="Verdana"/>
          <w:sz w:val="20"/>
          <w:szCs w:val="20"/>
        </w:rPr>
        <w:t xml:space="preserve">lo ha tomado en cuenta dichas actividades cuando se trata de calificar como </w:t>
      </w:r>
      <w:r w:rsidR="0026499C">
        <w:rPr>
          <w:rFonts w:ascii="Verdana" w:hAnsi="Verdana"/>
          <w:sz w:val="20"/>
          <w:szCs w:val="20"/>
        </w:rPr>
        <w:t>víctimas</w:t>
      </w:r>
      <w:r w:rsidR="00E005F5">
        <w:rPr>
          <w:rFonts w:ascii="Verdana" w:hAnsi="Verdana"/>
          <w:sz w:val="20"/>
          <w:szCs w:val="20"/>
        </w:rPr>
        <w:t xml:space="preserve"> a personas </w:t>
      </w:r>
      <w:r w:rsidR="00AB58B9">
        <w:rPr>
          <w:rFonts w:ascii="Verdana" w:hAnsi="Verdana"/>
          <w:sz w:val="20"/>
          <w:szCs w:val="20"/>
        </w:rPr>
        <w:t xml:space="preserve">físicas </w:t>
      </w:r>
      <w:r w:rsidR="00E005F5">
        <w:rPr>
          <w:rFonts w:ascii="Verdana" w:hAnsi="Verdana"/>
          <w:sz w:val="20"/>
          <w:szCs w:val="20"/>
        </w:rPr>
        <w:t>que no son accionistas, pero que tienen un importante papel en la línea editorial del medio de comunicación</w:t>
      </w:r>
      <w:r w:rsidR="00E005F5">
        <w:rPr>
          <w:rStyle w:val="FootnoteReference"/>
          <w:rFonts w:ascii="Verdana" w:hAnsi="Verdana"/>
          <w:sz w:val="20"/>
          <w:szCs w:val="20"/>
        </w:rPr>
        <w:footnoteReference w:id="68"/>
      </w:r>
      <w:r w:rsidR="00E005F5">
        <w:rPr>
          <w:rFonts w:ascii="Verdana" w:hAnsi="Verdana"/>
          <w:sz w:val="20"/>
          <w:szCs w:val="20"/>
        </w:rPr>
        <w:t xml:space="preserve">. </w:t>
      </w:r>
      <w:r w:rsidR="00E005F5" w:rsidRPr="007635A7">
        <w:rPr>
          <w:rFonts w:ascii="Verdana" w:hAnsi="Verdana"/>
          <w:sz w:val="20"/>
          <w:szCs w:val="20"/>
        </w:rPr>
        <w:t>Así, en el caso</w:t>
      </w:r>
      <w:r w:rsidR="00AB58B9">
        <w:rPr>
          <w:rFonts w:ascii="Verdana" w:hAnsi="Verdana"/>
          <w:sz w:val="20"/>
          <w:szCs w:val="20"/>
        </w:rPr>
        <w:t xml:space="preserve"> </w:t>
      </w:r>
      <w:r w:rsidR="00E005F5">
        <w:rPr>
          <w:rFonts w:ascii="Verdana" w:hAnsi="Verdana"/>
          <w:i/>
          <w:sz w:val="20"/>
          <w:szCs w:val="20"/>
        </w:rPr>
        <w:t>Groppera Radio A.</w:t>
      </w:r>
      <w:r w:rsidR="00E005F5" w:rsidRPr="00C51CE5">
        <w:rPr>
          <w:rFonts w:ascii="Verdana" w:hAnsi="Verdana"/>
          <w:i/>
          <w:sz w:val="20"/>
          <w:szCs w:val="20"/>
        </w:rPr>
        <w:t>G. y otros Vs. Suiza</w:t>
      </w:r>
      <w:r w:rsidR="00E005F5">
        <w:rPr>
          <w:rFonts w:ascii="Verdana" w:hAnsi="Verdana"/>
          <w:sz w:val="20"/>
          <w:szCs w:val="20"/>
        </w:rPr>
        <w:t>, además de considerar como víctima al ac</w:t>
      </w:r>
      <w:r w:rsidR="00700CEE">
        <w:rPr>
          <w:rFonts w:ascii="Verdana" w:hAnsi="Verdana"/>
          <w:sz w:val="20"/>
          <w:szCs w:val="20"/>
        </w:rPr>
        <w:t>cionista único de la empresa,</w:t>
      </w:r>
      <w:r w:rsidR="00E005F5">
        <w:rPr>
          <w:rFonts w:ascii="Verdana" w:hAnsi="Verdana"/>
          <w:sz w:val="20"/>
          <w:szCs w:val="20"/>
        </w:rPr>
        <w:t xml:space="preserve"> </w:t>
      </w:r>
      <w:r w:rsidR="00700CEE">
        <w:rPr>
          <w:rFonts w:ascii="Verdana" w:hAnsi="Verdana"/>
          <w:sz w:val="20"/>
          <w:szCs w:val="20"/>
        </w:rPr>
        <w:t>el Tribunal Europeo</w:t>
      </w:r>
      <w:r w:rsidR="00E005F5">
        <w:rPr>
          <w:rFonts w:ascii="Verdana" w:hAnsi="Verdana"/>
          <w:sz w:val="20"/>
          <w:szCs w:val="20"/>
        </w:rPr>
        <w:t xml:space="preserve"> incluyó en esta categoría a los señores Fröhlivh y Caluzzi, quienes eran periodistas de la empresa.</w:t>
      </w:r>
      <w:r w:rsidR="009D139A">
        <w:rPr>
          <w:rFonts w:ascii="Verdana" w:hAnsi="Verdana"/>
          <w:sz w:val="20"/>
          <w:szCs w:val="20"/>
        </w:rPr>
        <w:t xml:space="preserve"> Para arribar a esta conclusión</w:t>
      </w:r>
      <w:r w:rsidR="00E005F5">
        <w:rPr>
          <w:rFonts w:ascii="Verdana" w:hAnsi="Verdana"/>
          <w:sz w:val="20"/>
          <w:szCs w:val="20"/>
        </w:rPr>
        <w:t>, el Tribunal Europeo consideró que si bien existían diferencias de puestos, no existía argumento alguno para hacer una diferenciación de v</w:t>
      </w:r>
      <w:r w:rsidR="0026499C">
        <w:rPr>
          <w:rFonts w:ascii="Verdana" w:hAnsi="Verdana"/>
          <w:sz w:val="20"/>
          <w:szCs w:val="20"/>
        </w:rPr>
        <w:t>í</w:t>
      </w:r>
      <w:r w:rsidR="00E005F5">
        <w:rPr>
          <w:rFonts w:ascii="Verdana" w:hAnsi="Verdana"/>
          <w:sz w:val="20"/>
          <w:szCs w:val="20"/>
        </w:rPr>
        <w:t xml:space="preserve">ctimas pues todos tenían un interés directo en la transmisión continua de programas de radio; para el accionista único era esencial mantener la audiencia de la estación y por tanto mantener su financiación a partir de los ingresos de la publicidad, y para los demás empleados se trataba de una cuestión de seguridad laboral como periodistas. En resumen, el Tribunal </w:t>
      </w:r>
      <w:r w:rsidR="006E7EDF">
        <w:rPr>
          <w:rFonts w:ascii="Verdana" w:hAnsi="Verdana"/>
          <w:sz w:val="20"/>
          <w:szCs w:val="20"/>
        </w:rPr>
        <w:t xml:space="preserve">de Estrasburgo </w:t>
      </w:r>
      <w:r w:rsidR="00E005F5">
        <w:rPr>
          <w:rFonts w:ascii="Verdana" w:hAnsi="Verdana"/>
          <w:sz w:val="20"/>
          <w:szCs w:val="20"/>
        </w:rPr>
        <w:t xml:space="preserve">concluyó que los tres solicitantes podían alegar ser víctimas de la supuesta violación. </w:t>
      </w:r>
    </w:p>
    <w:p w14:paraId="3BF92A16" w14:textId="77777777" w:rsidR="009A3017" w:rsidRPr="00C10567" w:rsidRDefault="009A3017" w:rsidP="009A3017">
      <w:pPr>
        <w:pStyle w:val="ListParagraph"/>
        <w:spacing w:line="240" w:lineRule="auto"/>
        <w:ind w:left="0"/>
        <w:jc w:val="both"/>
        <w:rPr>
          <w:rFonts w:ascii="Verdana" w:hAnsi="Verdana"/>
          <w:sz w:val="20"/>
          <w:szCs w:val="20"/>
        </w:rPr>
      </w:pPr>
    </w:p>
    <w:p w14:paraId="60D0626F" w14:textId="77777777" w:rsidR="00E005F5" w:rsidRPr="002339CC" w:rsidRDefault="00724251" w:rsidP="00CA5368">
      <w:pPr>
        <w:pStyle w:val="ListParagraph"/>
        <w:spacing w:line="240" w:lineRule="auto"/>
        <w:ind w:left="0"/>
        <w:jc w:val="both"/>
        <w:rPr>
          <w:rFonts w:ascii="Verdana" w:hAnsi="Verdana"/>
          <w:sz w:val="20"/>
          <w:szCs w:val="20"/>
        </w:rPr>
      </w:pPr>
      <w:r>
        <w:rPr>
          <w:rFonts w:ascii="Verdana" w:hAnsi="Verdana"/>
          <w:sz w:val="20"/>
          <w:szCs w:val="20"/>
        </w:rPr>
        <w:t>41</w:t>
      </w:r>
      <w:r w:rsidR="00CA5368">
        <w:rPr>
          <w:rFonts w:ascii="Verdana" w:hAnsi="Verdana"/>
          <w:sz w:val="20"/>
          <w:szCs w:val="20"/>
        </w:rPr>
        <w:t xml:space="preserve">. </w:t>
      </w:r>
      <w:r w:rsidR="00CA5368">
        <w:rPr>
          <w:rFonts w:ascii="Verdana" w:hAnsi="Verdana"/>
          <w:sz w:val="20"/>
          <w:szCs w:val="20"/>
        </w:rPr>
        <w:tab/>
      </w:r>
      <w:r w:rsidR="00E005F5" w:rsidRPr="002339CC">
        <w:rPr>
          <w:rFonts w:ascii="Verdana" w:hAnsi="Verdana"/>
          <w:sz w:val="20"/>
          <w:szCs w:val="20"/>
        </w:rPr>
        <w:t>Cabe mencionar que</w:t>
      </w:r>
      <w:r w:rsidR="00A82C8C">
        <w:rPr>
          <w:rFonts w:ascii="Verdana" w:hAnsi="Verdana"/>
          <w:sz w:val="20"/>
          <w:szCs w:val="20"/>
        </w:rPr>
        <w:t>,</w:t>
      </w:r>
      <w:r w:rsidR="00E005F5" w:rsidRPr="002339CC">
        <w:rPr>
          <w:rFonts w:ascii="Verdana" w:hAnsi="Verdana"/>
          <w:sz w:val="20"/>
          <w:szCs w:val="20"/>
        </w:rPr>
        <w:t xml:space="preserve"> </w:t>
      </w:r>
      <w:r w:rsidR="00E005F5" w:rsidRPr="00A82C8C">
        <w:rPr>
          <w:rFonts w:ascii="Verdana" w:hAnsi="Verdana"/>
          <w:sz w:val="20"/>
          <w:szCs w:val="20"/>
        </w:rPr>
        <w:t xml:space="preserve">en los casos que han versado sobre medios de comunicación audiovisuales, y en los que además ha aceptado a los accionistas como víctimas en lo individual, </w:t>
      </w:r>
      <w:r w:rsidR="00E005F5" w:rsidRPr="0089128D">
        <w:rPr>
          <w:rFonts w:ascii="Verdana" w:hAnsi="Verdana"/>
          <w:sz w:val="20"/>
          <w:szCs w:val="20"/>
          <w:u w:val="single"/>
        </w:rPr>
        <w:t>el Tribunal Europeo no ha hecho distinciones sobre las actividades que llevaban a cabo dentro de la empresa</w:t>
      </w:r>
      <w:r w:rsidR="0089128D">
        <w:rPr>
          <w:rFonts w:ascii="Verdana" w:hAnsi="Verdana"/>
          <w:sz w:val="20"/>
          <w:szCs w:val="20"/>
        </w:rPr>
        <w:t>;</w:t>
      </w:r>
      <w:r w:rsidR="00E005F5" w:rsidRPr="00A82C8C">
        <w:rPr>
          <w:rFonts w:ascii="Verdana" w:hAnsi="Verdana"/>
          <w:sz w:val="20"/>
          <w:szCs w:val="20"/>
        </w:rPr>
        <w:t xml:space="preserve"> por el contrario</w:t>
      </w:r>
      <w:r w:rsidR="0089128D">
        <w:rPr>
          <w:rFonts w:ascii="Verdana" w:hAnsi="Verdana"/>
          <w:sz w:val="20"/>
          <w:szCs w:val="20"/>
        </w:rPr>
        <w:t>,</w:t>
      </w:r>
      <w:r w:rsidR="00E005F5" w:rsidRPr="00A82C8C">
        <w:rPr>
          <w:rFonts w:ascii="Verdana" w:hAnsi="Verdana"/>
          <w:sz w:val="20"/>
          <w:szCs w:val="20"/>
        </w:rPr>
        <w:t xml:space="preserve"> ha tomado en cuenta la capacidad, en su calidad de accionistas, de aportar bienes o patrimonio para llevar a cabo la actividad comunicacional o de difusión y garantizar la pluralidad de opiniones</w:t>
      </w:r>
      <w:r w:rsidR="0089128D">
        <w:rPr>
          <w:rFonts w:ascii="Verdana" w:hAnsi="Verdana"/>
          <w:sz w:val="20"/>
          <w:szCs w:val="20"/>
        </w:rPr>
        <w:t>, en atención a que</w:t>
      </w:r>
      <w:r w:rsidR="00E005F5" w:rsidRPr="00A82C8C">
        <w:rPr>
          <w:rFonts w:ascii="Verdana" w:hAnsi="Verdana"/>
          <w:sz w:val="20"/>
          <w:szCs w:val="20"/>
        </w:rPr>
        <w:t xml:space="preserve"> cuando la empresa sufre una injerencia por el Estado</w:t>
      </w:r>
      <w:r w:rsidR="00A82C8C">
        <w:rPr>
          <w:rFonts w:ascii="Verdana" w:hAnsi="Verdana"/>
          <w:sz w:val="20"/>
          <w:szCs w:val="20"/>
        </w:rPr>
        <w:t>,</w:t>
      </w:r>
      <w:r w:rsidR="00E005F5" w:rsidRPr="00A82C8C">
        <w:rPr>
          <w:rFonts w:ascii="Verdana" w:hAnsi="Verdana"/>
          <w:sz w:val="20"/>
          <w:szCs w:val="20"/>
        </w:rPr>
        <w:t xml:space="preserve"> existe un </w:t>
      </w:r>
      <w:r w:rsidR="0026499C">
        <w:rPr>
          <w:rFonts w:ascii="Verdana" w:hAnsi="Verdana"/>
          <w:sz w:val="20"/>
          <w:szCs w:val="20"/>
        </w:rPr>
        <w:t>vínculo</w:t>
      </w:r>
      <w:r w:rsidR="00E005F5" w:rsidRPr="00A82C8C">
        <w:rPr>
          <w:rFonts w:ascii="Verdana" w:hAnsi="Verdana"/>
          <w:sz w:val="20"/>
          <w:szCs w:val="20"/>
        </w:rPr>
        <w:t xml:space="preserve"> entre las afectaciones que reciente la empresa y las afectaciones de los socios o accionistas. </w:t>
      </w:r>
    </w:p>
    <w:p w14:paraId="355D315D" w14:textId="77777777" w:rsidR="00E005F5" w:rsidRPr="002339CC" w:rsidRDefault="00E005F5" w:rsidP="00E005F5">
      <w:pPr>
        <w:pStyle w:val="ListParagraph"/>
        <w:spacing w:line="240" w:lineRule="auto"/>
        <w:ind w:left="0"/>
        <w:jc w:val="both"/>
        <w:rPr>
          <w:rFonts w:ascii="Verdana" w:hAnsi="Verdana"/>
          <w:sz w:val="20"/>
          <w:szCs w:val="20"/>
        </w:rPr>
      </w:pPr>
    </w:p>
    <w:p w14:paraId="533B8BFC" w14:textId="77777777" w:rsidR="00E005F5" w:rsidRDefault="00724251" w:rsidP="00CA5368">
      <w:pPr>
        <w:pStyle w:val="ListParagraph"/>
        <w:spacing w:line="240" w:lineRule="auto"/>
        <w:ind w:left="0"/>
        <w:jc w:val="both"/>
        <w:rPr>
          <w:rFonts w:ascii="Verdana" w:hAnsi="Verdana"/>
          <w:sz w:val="20"/>
          <w:szCs w:val="20"/>
        </w:rPr>
      </w:pPr>
      <w:r>
        <w:rPr>
          <w:rFonts w:ascii="Verdana" w:hAnsi="Verdana"/>
          <w:sz w:val="20"/>
          <w:szCs w:val="20"/>
        </w:rPr>
        <w:t>42</w:t>
      </w:r>
      <w:r w:rsidR="00CA5368">
        <w:rPr>
          <w:rFonts w:ascii="Verdana" w:hAnsi="Verdana"/>
          <w:sz w:val="20"/>
          <w:szCs w:val="20"/>
        </w:rPr>
        <w:t xml:space="preserve">. </w:t>
      </w:r>
      <w:r w:rsidR="00CA5368">
        <w:rPr>
          <w:rFonts w:ascii="Verdana" w:hAnsi="Verdana"/>
          <w:sz w:val="20"/>
          <w:szCs w:val="20"/>
        </w:rPr>
        <w:tab/>
      </w:r>
      <w:r w:rsidR="00E005F5">
        <w:rPr>
          <w:rFonts w:ascii="Verdana" w:hAnsi="Verdana"/>
          <w:sz w:val="20"/>
          <w:szCs w:val="20"/>
        </w:rPr>
        <w:t>Bajo esta serie de supuestos, el Tribunal Europeo considera</w:t>
      </w:r>
      <w:r w:rsidR="00A82C8C">
        <w:rPr>
          <w:rFonts w:ascii="Verdana" w:hAnsi="Verdana"/>
          <w:sz w:val="20"/>
          <w:szCs w:val="20"/>
        </w:rPr>
        <w:t xml:space="preserve"> como víctimas a todos los accionistas</w:t>
      </w:r>
      <w:r w:rsidR="00E005F5">
        <w:rPr>
          <w:rFonts w:ascii="Verdana" w:hAnsi="Verdana"/>
          <w:sz w:val="20"/>
          <w:szCs w:val="20"/>
        </w:rPr>
        <w:t xml:space="preserve"> que: 1) por impedimentos de la propia empresa n</w:t>
      </w:r>
      <w:r w:rsidR="009D139A">
        <w:rPr>
          <w:rFonts w:ascii="Verdana" w:hAnsi="Verdana"/>
          <w:sz w:val="20"/>
          <w:szCs w:val="20"/>
        </w:rPr>
        <w:t>o pueda</w:t>
      </w:r>
      <w:r w:rsidR="00D70951">
        <w:rPr>
          <w:rFonts w:ascii="Verdana" w:hAnsi="Verdana"/>
          <w:sz w:val="20"/>
          <w:szCs w:val="20"/>
        </w:rPr>
        <w:t>n</w:t>
      </w:r>
      <w:r w:rsidR="009D139A">
        <w:rPr>
          <w:rFonts w:ascii="Verdana" w:hAnsi="Verdana"/>
          <w:sz w:val="20"/>
          <w:szCs w:val="20"/>
        </w:rPr>
        <w:t xml:space="preserve"> acudir ante el sistema;</w:t>
      </w:r>
      <w:r w:rsidR="00E005F5">
        <w:rPr>
          <w:rFonts w:ascii="Verdana" w:hAnsi="Verdana"/>
          <w:sz w:val="20"/>
          <w:szCs w:val="20"/>
        </w:rPr>
        <w:t xml:space="preserve"> 2) sean a</w:t>
      </w:r>
      <w:r w:rsidR="009D139A">
        <w:rPr>
          <w:rFonts w:ascii="Verdana" w:hAnsi="Verdana"/>
          <w:sz w:val="20"/>
          <w:szCs w:val="20"/>
        </w:rPr>
        <w:t>ccionistas únicos de la empresa;</w:t>
      </w:r>
      <w:r w:rsidR="00E005F5">
        <w:rPr>
          <w:rFonts w:ascii="Verdana" w:hAnsi="Verdana"/>
          <w:sz w:val="20"/>
          <w:szCs w:val="20"/>
        </w:rPr>
        <w:t xml:space="preserve"> 3) a pesar de no ser accionistas únicos, tengan el consentimiento de los que no </w:t>
      </w:r>
      <w:r w:rsidR="009D139A">
        <w:rPr>
          <w:rFonts w:ascii="Verdana" w:hAnsi="Verdana"/>
          <w:sz w:val="20"/>
          <w:szCs w:val="20"/>
        </w:rPr>
        <w:t xml:space="preserve">acuden al sistema de protección; </w:t>
      </w:r>
      <w:r w:rsidR="00E005F5">
        <w:rPr>
          <w:rFonts w:ascii="Verdana" w:hAnsi="Verdana"/>
          <w:sz w:val="20"/>
          <w:szCs w:val="20"/>
        </w:rPr>
        <w:t xml:space="preserve">y 4) formen parte del procedimiento ante el sistema para la protección de sus derechos como accionistas. </w:t>
      </w:r>
    </w:p>
    <w:p w14:paraId="2E761C2A" w14:textId="77777777" w:rsidR="00E005F5" w:rsidRPr="00B91818" w:rsidRDefault="00E005F5" w:rsidP="00E005F5">
      <w:pPr>
        <w:pStyle w:val="ListParagraph"/>
        <w:spacing w:line="240" w:lineRule="auto"/>
        <w:ind w:left="0"/>
        <w:jc w:val="both"/>
        <w:rPr>
          <w:rFonts w:ascii="Verdana" w:hAnsi="Verdana"/>
          <w:sz w:val="20"/>
          <w:szCs w:val="20"/>
        </w:rPr>
      </w:pPr>
    </w:p>
    <w:p w14:paraId="04233407" w14:textId="77777777" w:rsidR="00E005F5" w:rsidRDefault="00724251" w:rsidP="00CA5368">
      <w:pPr>
        <w:pStyle w:val="ListParagraph"/>
        <w:spacing w:line="240" w:lineRule="auto"/>
        <w:ind w:left="0"/>
        <w:jc w:val="both"/>
        <w:rPr>
          <w:rFonts w:ascii="Verdana" w:hAnsi="Verdana"/>
          <w:sz w:val="20"/>
          <w:szCs w:val="20"/>
        </w:rPr>
      </w:pPr>
      <w:r>
        <w:rPr>
          <w:rFonts w:ascii="Verdana" w:hAnsi="Verdana"/>
          <w:sz w:val="20"/>
          <w:szCs w:val="20"/>
        </w:rPr>
        <w:t>43</w:t>
      </w:r>
      <w:r w:rsidR="00CA5368">
        <w:rPr>
          <w:rFonts w:ascii="Verdana" w:hAnsi="Verdana"/>
          <w:sz w:val="20"/>
          <w:szCs w:val="20"/>
        </w:rPr>
        <w:t xml:space="preserve">. </w:t>
      </w:r>
      <w:r w:rsidR="00CA5368">
        <w:rPr>
          <w:rFonts w:ascii="Verdana" w:hAnsi="Verdana"/>
          <w:sz w:val="20"/>
          <w:szCs w:val="20"/>
        </w:rPr>
        <w:tab/>
      </w:r>
      <w:r w:rsidR="00E005F5">
        <w:rPr>
          <w:rFonts w:ascii="Verdana" w:hAnsi="Verdana"/>
          <w:sz w:val="20"/>
          <w:szCs w:val="20"/>
        </w:rPr>
        <w:t xml:space="preserve">Estas soluciones prácticas para la consideración de los accionistas de sociedades o empresas como víctimas de violaciones a derechos humanos por actos estatales contrarios a la Convención Europea, pero que son dirigidos contra la sociedad o empresa, son la respuesta que </w:t>
      </w:r>
      <w:r w:rsidR="00700CEE">
        <w:rPr>
          <w:rFonts w:ascii="Verdana" w:hAnsi="Verdana"/>
          <w:sz w:val="20"/>
          <w:szCs w:val="20"/>
        </w:rPr>
        <w:t>el Tribunal Europeo</w:t>
      </w:r>
      <w:r w:rsidR="00E005F5">
        <w:rPr>
          <w:rFonts w:ascii="Verdana" w:hAnsi="Verdana"/>
          <w:sz w:val="20"/>
          <w:szCs w:val="20"/>
        </w:rPr>
        <w:t xml:space="preserve"> le ha dado a un escenario que, </w:t>
      </w:r>
      <w:r w:rsidR="00E005F5" w:rsidRPr="00B91818">
        <w:rPr>
          <w:rFonts w:ascii="Verdana" w:hAnsi="Verdana"/>
          <w:i/>
          <w:sz w:val="20"/>
          <w:szCs w:val="20"/>
        </w:rPr>
        <w:t>prima facie</w:t>
      </w:r>
      <w:r w:rsidR="00E005F5">
        <w:rPr>
          <w:rFonts w:ascii="Verdana" w:hAnsi="Verdana"/>
          <w:sz w:val="20"/>
          <w:szCs w:val="20"/>
        </w:rPr>
        <w:t xml:space="preserve">, no debiera </w:t>
      </w:r>
      <w:r w:rsidR="00E005F5">
        <w:rPr>
          <w:rFonts w:ascii="Verdana" w:hAnsi="Verdana"/>
          <w:sz w:val="20"/>
          <w:szCs w:val="20"/>
        </w:rPr>
        <w:lastRenderedPageBreak/>
        <w:t xml:space="preserve">presentarse en el Sistema Europeo, al gozar las personas jurídicas de </w:t>
      </w:r>
      <w:r w:rsidR="00E005F5" w:rsidRPr="00B91818">
        <w:rPr>
          <w:rFonts w:ascii="Verdana" w:hAnsi="Verdana"/>
          <w:i/>
          <w:sz w:val="20"/>
          <w:szCs w:val="20"/>
        </w:rPr>
        <w:t>ius standi</w:t>
      </w:r>
      <w:r w:rsidR="00E005F5">
        <w:rPr>
          <w:rFonts w:ascii="Verdana" w:hAnsi="Verdana"/>
          <w:sz w:val="20"/>
          <w:szCs w:val="20"/>
        </w:rPr>
        <w:t xml:space="preserve"> ante el Tribunal. </w:t>
      </w:r>
    </w:p>
    <w:p w14:paraId="558FAFEE" w14:textId="77777777" w:rsidR="00E005F5" w:rsidRPr="00486350" w:rsidRDefault="00E005F5" w:rsidP="00E005F5">
      <w:pPr>
        <w:pStyle w:val="ListParagraph"/>
        <w:spacing w:line="240" w:lineRule="auto"/>
        <w:ind w:left="0"/>
        <w:jc w:val="both"/>
        <w:rPr>
          <w:rFonts w:ascii="Verdana" w:hAnsi="Verdana"/>
          <w:sz w:val="20"/>
          <w:szCs w:val="20"/>
        </w:rPr>
      </w:pPr>
    </w:p>
    <w:p w14:paraId="045D30EE" w14:textId="77777777" w:rsidR="00E005F5" w:rsidRPr="00B348DB" w:rsidRDefault="00724251" w:rsidP="00CA5368">
      <w:pPr>
        <w:pStyle w:val="ListParagraph"/>
        <w:spacing w:line="240" w:lineRule="auto"/>
        <w:ind w:left="0"/>
        <w:jc w:val="both"/>
        <w:rPr>
          <w:rFonts w:ascii="Verdana" w:hAnsi="Verdana"/>
          <w:sz w:val="20"/>
          <w:szCs w:val="20"/>
        </w:rPr>
      </w:pPr>
      <w:r>
        <w:rPr>
          <w:rFonts w:ascii="Verdana" w:hAnsi="Verdana"/>
          <w:sz w:val="20"/>
          <w:szCs w:val="20"/>
        </w:rPr>
        <w:t>44</w:t>
      </w:r>
      <w:r w:rsidR="00CA5368">
        <w:rPr>
          <w:rFonts w:ascii="Verdana" w:hAnsi="Verdana"/>
          <w:sz w:val="20"/>
          <w:szCs w:val="20"/>
        </w:rPr>
        <w:t xml:space="preserve">. </w:t>
      </w:r>
      <w:r w:rsidR="00CA5368">
        <w:rPr>
          <w:rFonts w:ascii="Verdana" w:hAnsi="Verdana"/>
          <w:sz w:val="20"/>
          <w:szCs w:val="20"/>
        </w:rPr>
        <w:tab/>
      </w:r>
      <w:r w:rsidR="00E005F5" w:rsidRPr="00486350">
        <w:rPr>
          <w:rFonts w:ascii="Verdana" w:hAnsi="Verdana"/>
          <w:sz w:val="20"/>
          <w:szCs w:val="20"/>
        </w:rPr>
        <w:t>Las anteriores excepciones</w:t>
      </w:r>
      <w:r w:rsidR="00E005F5">
        <w:rPr>
          <w:rFonts w:ascii="Verdana" w:hAnsi="Verdana"/>
          <w:sz w:val="20"/>
          <w:szCs w:val="20"/>
        </w:rPr>
        <w:t xml:space="preserve"> que ha adoptado el Tribunal Europeo, en</w:t>
      </w:r>
      <w:r w:rsidR="00E005F5" w:rsidRPr="00486350">
        <w:rPr>
          <w:rFonts w:ascii="Verdana" w:hAnsi="Verdana"/>
          <w:sz w:val="20"/>
          <w:szCs w:val="20"/>
        </w:rPr>
        <w:t xml:space="preserve"> el </w:t>
      </w:r>
      <w:r w:rsidR="0026499C">
        <w:rPr>
          <w:rFonts w:ascii="Verdana" w:hAnsi="Verdana"/>
          <w:sz w:val="20"/>
          <w:szCs w:val="20"/>
        </w:rPr>
        <w:t>S</w:t>
      </w:r>
      <w:r w:rsidR="00E005F5" w:rsidRPr="00486350">
        <w:rPr>
          <w:rFonts w:ascii="Verdana" w:hAnsi="Verdana"/>
          <w:sz w:val="20"/>
          <w:szCs w:val="20"/>
        </w:rPr>
        <w:t xml:space="preserve">istema </w:t>
      </w:r>
      <w:r w:rsidR="0026499C">
        <w:rPr>
          <w:rFonts w:ascii="Verdana" w:hAnsi="Verdana"/>
          <w:sz w:val="20"/>
          <w:szCs w:val="20"/>
        </w:rPr>
        <w:t>I</w:t>
      </w:r>
      <w:r w:rsidR="00E005F5" w:rsidRPr="00486350">
        <w:rPr>
          <w:rFonts w:ascii="Verdana" w:hAnsi="Verdana"/>
          <w:sz w:val="20"/>
          <w:szCs w:val="20"/>
        </w:rPr>
        <w:t>nteramericano se p</w:t>
      </w:r>
      <w:r w:rsidR="00E005F5">
        <w:rPr>
          <w:rFonts w:ascii="Verdana" w:hAnsi="Verdana"/>
          <w:sz w:val="20"/>
          <w:szCs w:val="20"/>
        </w:rPr>
        <w:t>odrían traducir en que se deberían</w:t>
      </w:r>
      <w:r w:rsidR="00343985">
        <w:rPr>
          <w:rFonts w:ascii="Verdana" w:hAnsi="Verdana"/>
          <w:sz w:val="20"/>
          <w:szCs w:val="20"/>
        </w:rPr>
        <w:t xml:space="preserve"> considerar ví</w:t>
      </w:r>
      <w:r w:rsidR="00E005F5" w:rsidRPr="00486350">
        <w:rPr>
          <w:rFonts w:ascii="Verdana" w:hAnsi="Verdana"/>
          <w:sz w:val="20"/>
          <w:szCs w:val="20"/>
        </w:rPr>
        <w:t>ctim</w:t>
      </w:r>
      <w:r w:rsidR="00E005F5">
        <w:rPr>
          <w:rFonts w:ascii="Verdana" w:hAnsi="Verdana"/>
          <w:sz w:val="20"/>
          <w:szCs w:val="20"/>
        </w:rPr>
        <w:t>as a todos aquellos accionistas</w:t>
      </w:r>
      <w:r w:rsidR="00343985" w:rsidRPr="00343985">
        <w:rPr>
          <w:rFonts w:ascii="Verdana" w:hAnsi="Verdana"/>
          <w:sz w:val="20"/>
          <w:szCs w:val="20"/>
        </w:rPr>
        <w:t xml:space="preserve"> </w:t>
      </w:r>
      <w:r w:rsidR="00343985" w:rsidRPr="00486350">
        <w:rPr>
          <w:rFonts w:ascii="Verdana" w:hAnsi="Verdana"/>
          <w:sz w:val="20"/>
          <w:szCs w:val="20"/>
        </w:rPr>
        <w:t>de una empresa</w:t>
      </w:r>
      <w:r w:rsidR="00343985">
        <w:rPr>
          <w:rFonts w:ascii="Verdana" w:hAnsi="Verdana"/>
          <w:sz w:val="20"/>
          <w:szCs w:val="20"/>
        </w:rPr>
        <w:t xml:space="preserve"> </w:t>
      </w:r>
      <w:r w:rsidR="00E005F5" w:rsidRPr="00486350">
        <w:rPr>
          <w:rFonts w:ascii="Verdana" w:hAnsi="Verdana"/>
          <w:sz w:val="20"/>
          <w:szCs w:val="20"/>
        </w:rPr>
        <w:t xml:space="preserve">que acudan al </w:t>
      </w:r>
      <w:r w:rsidR="0026499C">
        <w:rPr>
          <w:rFonts w:ascii="Verdana" w:hAnsi="Verdana"/>
          <w:sz w:val="20"/>
          <w:szCs w:val="20"/>
        </w:rPr>
        <w:t>S</w:t>
      </w:r>
      <w:r w:rsidR="00E005F5" w:rsidRPr="00486350">
        <w:rPr>
          <w:rFonts w:ascii="Verdana" w:hAnsi="Verdana"/>
          <w:sz w:val="20"/>
          <w:szCs w:val="20"/>
        </w:rPr>
        <w:t xml:space="preserve">istema </w:t>
      </w:r>
      <w:r w:rsidR="0026499C">
        <w:rPr>
          <w:rFonts w:ascii="Verdana" w:hAnsi="Verdana"/>
          <w:sz w:val="20"/>
          <w:szCs w:val="20"/>
        </w:rPr>
        <w:t>I</w:t>
      </w:r>
      <w:r w:rsidR="00E005F5" w:rsidRPr="00486350">
        <w:rPr>
          <w:rFonts w:ascii="Verdana" w:hAnsi="Verdana"/>
          <w:sz w:val="20"/>
          <w:szCs w:val="20"/>
        </w:rPr>
        <w:t xml:space="preserve">nteramericano en busca de protección de sus derechos </w:t>
      </w:r>
      <w:r w:rsidR="00343985">
        <w:rPr>
          <w:rFonts w:ascii="Verdana" w:hAnsi="Verdana"/>
          <w:sz w:val="20"/>
          <w:szCs w:val="20"/>
        </w:rPr>
        <w:t xml:space="preserve">por el solo hecho de ser accionistas </w:t>
      </w:r>
      <w:r w:rsidR="00E005F5">
        <w:rPr>
          <w:rFonts w:ascii="Verdana" w:hAnsi="Verdana"/>
          <w:sz w:val="20"/>
          <w:szCs w:val="20"/>
        </w:rPr>
        <w:t>y,</w:t>
      </w:r>
      <w:r w:rsidR="0026499C">
        <w:rPr>
          <w:rFonts w:ascii="Verdana" w:hAnsi="Verdana"/>
          <w:sz w:val="20"/>
          <w:szCs w:val="20"/>
        </w:rPr>
        <w:t xml:space="preserve"> cuando </w:t>
      </w:r>
      <w:r w:rsidR="00E005F5">
        <w:rPr>
          <w:rFonts w:ascii="Verdana" w:hAnsi="Verdana"/>
          <w:sz w:val="20"/>
          <w:szCs w:val="20"/>
        </w:rPr>
        <w:t xml:space="preserve">además, </w:t>
      </w:r>
      <w:r w:rsidR="00E005F5" w:rsidRPr="00486350">
        <w:rPr>
          <w:rFonts w:ascii="Verdana" w:hAnsi="Verdana"/>
          <w:sz w:val="20"/>
          <w:szCs w:val="20"/>
        </w:rPr>
        <w:t xml:space="preserve">no exista riesgo de discrepancia o reclamaciones entre </w:t>
      </w:r>
      <w:r w:rsidR="00E005F5">
        <w:rPr>
          <w:rFonts w:ascii="Verdana" w:hAnsi="Verdana"/>
          <w:sz w:val="20"/>
          <w:szCs w:val="20"/>
        </w:rPr>
        <w:t>ellos o la junta directiva</w:t>
      </w:r>
      <w:r w:rsidR="00E005F5" w:rsidRPr="00486350">
        <w:rPr>
          <w:rFonts w:ascii="Verdana" w:hAnsi="Verdana"/>
          <w:sz w:val="20"/>
          <w:szCs w:val="20"/>
        </w:rPr>
        <w:t xml:space="preserve">. </w:t>
      </w:r>
      <w:r w:rsidR="00E005F5">
        <w:rPr>
          <w:rFonts w:ascii="Verdana" w:hAnsi="Verdana"/>
          <w:sz w:val="20"/>
          <w:szCs w:val="20"/>
        </w:rPr>
        <w:t xml:space="preserve">Lo anterior es de vital importancia en el </w:t>
      </w:r>
      <w:r w:rsidR="0026499C">
        <w:rPr>
          <w:rFonts w:ascii="Verdana" w:hAnsi="Verdana"/>
          <w:sz w:val="20"/>
          <w:szCs w:val="20"/>
        </w:rPr>
        <w:t>S</w:t>
      </w:r>
      <w:r w:rsidR="00E005F5">
        <w:rPr>
          <w:rFonts w:ascii="Verdana" w:hAnsi="Verdana"/>
          <w:sz w:val="20"/>
          <w:szCs w:val="20"/>
        </w:rPr>
        <w:t xml:space="preserve">istema </w:t>
      </w:r>
      <w:r w:rsidR="0026499C">
        <w:rPr>
          <w:rFonts w:ascii="Verdana" w:hAnsi="Verdana"/>
          <w:sz w:val="20"/>
          <w:szCs w:val="20"/>
        </w:rPr>
        <w:t>I</w:t>
      </w:r>
      <w:r w:rsidR="00E005F5">
        <w:rPr>
          <w:rFonts w:ascii="Verdana" w:hAnsi="Verdana"/>
          <w:sz w:val="20"/>
          <w:szCs w:val="20"/>
        </w:rPr>
        <w:t>nteramericano, en donde a diferencia del Tribunal Europeo, la regla general de proteger a las empresas no existe</w:t>
      </w:r>
      <w:r w:rsidR="0089128D">
        <w:rPr>
          <w:rFonts w:ascii="Verdana" w:hAnsi="Verdana"/>
          <w:sz w:val="20"/>
          <w:szCs w:val="20"/>
        </w:rPr>
        <w:t>.</w:t>
      </w:r>
      <w:r w:rsidR="00E005F5">
        <w:rPr>
          <w:rFonts w:ascii="Verdana" w:hAnsi="Verdana"/>
          <w:sz w:val="20"/>
          <w:szCs w:val="20"/>
        </w:rPr>
        <w:t xml:space="preserve"> </w:t>
      </w:r>
      <w:r w:rsidR="0089128D">
        <w:rPr>
          <w:rFonts w:ascii="Verdana" w:hAnsi="Verdana"/>
          <w:sz w:val="20"/>
          <w:szCs w:val="20"/>
        </w:rPr>
        <w:t>E</w:t>
      </w:r>
      <w:r w:rsidR="00E005F5">
        <w:rPr>
          <w:rFonts w:ascii="Verdana" w:hAnsi="Verdana"/>
          <w:sz w:val="20"/>
          <w:szCs w:val="20"/>
        </w:rPr>
        <w:t xml:space="preserve">ntonces, la única vía con que cuentan los accionistas es la de acudir de manera individual ante los órganos de protección de derechos humanos en el Sistema Interamericano. </w:t>
      </w:r>
    </w:p>
    <w:p w14:paraId="062ACA6B" w14:textId="77777777" w:rsidR="000A2DBB" w:rsidRDefault="000A2DBB" w:rsidP="00E005F5">
      <w:pPr>
        <w:pStyle w:val="ListParagraph"/>
        <w:tabs>
          <w:tab w:val="left" w:pos="567"/>
          <w:tab w:val="left" w:pos="709"/>
        </w:tabs>
        <w:spacing w:line="240" w:lineRule="auto"/>
        <w:ind w:left="0"/>
        <w:jc w:val="both"/>
        <w:rPr>
          <w:rFonts w:ascii="Verdana" w:hAnsi="Verdana"/>
          <w:b/>
          <w:sz w:val="20"/>
          <w:szCs w:val="20"/>
        </w:rPr>
      </w:pPr>
    </w:p>
    <w:p w14:paraId="32A427F0" w14:textId="77777777" w:rsidR="00E005F5" w:rsidRPr="00786B09" w:rsidRDefault="00EC14E6" w:rsidP="00E005F5">
      <w:pPr>
        <w:pStyle w:val="ListParagraph"/>
        <w:tabs>
          <w:tab w:val="left" w:pos="567"/>
          <w:tab w:val="left" w:pos="709"/>
        </w:tabs>
        <w:spacing w:line="240" w:lineRule="auto"/>
        <w:ind w:left="0"/>
        <w:jc w:val="both"/>
        <w:rPr>
          <w:rFonts w:ascii="Verdana" w:hAnsi="Verdana"/>
          <w:b/>
          <w:i/>
          <w:sz w:val="20"/>
          <w:szCs w:val="20"/>
        </w:rPr>
      </w:pPr>
      <w:r w:rsidRPr="00786B09">
        <w:rPr>
          <w:rFonts w:ascii="Verdana" w:hAnsi="Verdana"/>
          <w:b/>
          <w:i/>
          <w:sz w:val="20"/>
          <w:szCs w:val="20"/>
        </w:rPr>
        <w:t>B</w:t>
      </w:r>
      <w:r w:rsidR="00E005F5" w:rsidRPr="00786B09">
        <w:rPr>
          <w:rFonts w:ascii="Verdana" w:hAnsi="Verdana"/>
          <w:b/>
          <w:i/>
          <w:sz w:val="20"/>
          <w:szCs w:val="20"/>
        </w:rPr>
        <w:t xml:space="preserve">) La exclusión de Jean Nestares, Fernando Nestares, Alicia Phelps Tovar y Francisco J. Nestares como víctimas de la violación al derecho a la libertad de expresión </w:t>
      </w:r>
      <w:r w:rsidR="00A00B55" w:rsidRPr="00786B09">
        <w:rPr>
          <w:rFonts w:ascii="Verdana" w:hAnsi="Verdana"/>
          <w:b/>
          <w:i/>
          <w:sz w:val="20"/>
          <w:szCs w:val="20"/>
        </w:rPr>
        <w:t xml:space="preserve">e igualdad </w:t>
      </w:r>
      <w:r w:rsidR="000533C4" w:rsidRPr="00786B09">
        <w:rPr>
          <w:rFonts w:ascii="Verdana" w:hAnsi="Verdana"/>
          <w:b/>
          <w:i/>
          <w:sz w:val="20"/>
          <w:szCs w:val="20"/>
        </w:rPr>
        <w:t>(al no ser parte de la Junta D</w:t>
      </w:r>
      <w:r w:rsidR="00B04005" w:rsidRPr="00786B09">
        <w:rPr>
          <w:rFonts w:ascii="Verdana" w:hAnsi="Verdana"/>
          <w:b/>
          <w:i/>
          <w:sz w:val="20"/>
          <w:szCs w:val="20"/>
        </w:rPr>
        <w:t>irectiva</w:t>
      </w:r>
      <w:r w:rsidR="000533C4" w:rsidRPr="00786B09">
        <w:rPr>
          <w:rFonts w:ascii="Verdana" w:hAnsi="Verdana"/>
          <w:b/>
          <w:i/>
          <w:sz w:val="20"/>
          <w:szCs w:val="20"/>
        </w:rPr>
        <w:t xml:space="preserve"> de RCTV</w:t>
      </w:r>
      <w:r w:rsidR="00A00B55" w:rsidRPr="00786B09">
        <w:rPr>
          <w:rFonts w:ascii="Verdana" w:hAnsi="Verdana"/>
          <w:b/>
          <w:i/>
          <w:sz w:val="20"/>
          <w:szCs w:val="20"/>
        </w:rPr>
        <w:t>)</w:t>
      </w:r>
    </w:p>
    <w:p w14:paraId="5E9CFD73" w14:textId="77777777" w:rsidR="00E005F5" w:rsidRDefault="00E005F5" w:rsidP="00E005F5">
      <w:pPr>
        <w:pStyle w:val="ListParagraph"/>
        <w:spacing w:line="240" w:lineRule="auto"/>
        <w:ind w:left="0"/>
        <w:jc w:val="both"/>
        <w:rPr>
          <w:rFonts w:ascii="Verdana" w:hAnsi="Verdana"/>
          <w:sz w:val="20"/>
          <w:szCs w:val="20"/>
        </w:rPr>
      </w:pPr>
    </w:p>
    <w:p w14:paraId="47B407C2" w14:textId="28A8B235" w:rsidR="009B0D0B" w:rsidRPr="00786B09" w:rsidRDefault="00786B09" w:rsidP="00E005F5">
      <w:pPr>
        <w:pStyle w:val="ListParagraph"/>
        <w:spacing w:line="240" w:lineRule="auto"/>
        <w:ind w:left="0"/>
        <w:jc w:val="both"/>
        <w:rPr>
          <w:rFonts w:ascii="Verdana" w:hAnsi="Verdana"/>
          <w:b/>
          <w:i/>
          <w:sz w:val="20"/>
          <w:szCs w:val="20"/>
        </w:rPr>
      </w:pPr>
      <w:r w:rsidRPr="00786B09">
        <w:rPr>
          <w:rFonts w:ascii="Verdana" w:hAnsi="Verdana"/>
          <w:b/>
          <w:i/>
          <w:sz w:val="20"/>
          <w:szCs w:val="20"/>
        </w:rPr>
        <w:t>B.</w:t>
      </w:r>
      <w:r w:rsidR="009B0D0B" w:rsidRPr="00786B09">
        <w:rPr>
          <w:rFonts w:ascii="Verdana" w:hAnsi="Verdana"/>
          <w:b/>
          <w:i/>
          <w:sz w:val="20"/>
          <w:szCs w:val="20"/>
        </w:rPr>
        <w:t>1. Criterio de la Corte</w:t>
      </w:r>
    </w:p>
    <w:p w14:paraId="609A754A" w14:textId="77777777" w:rsidR="009B0D0B" w:rsidRDefault="009B0D0B" w:rsidP="00E005F5">
      <w:pPr>
        <w:pStyle w:val="ListParagraph"/>
        <w:spacing w:line="240" w:lineRule="auto"/>
        <w:ind w:left="0"/>
        <w:jc w:val="both"/>
        <w:rPr>
          <w:rFonts w:ascii="Verdana" w:hAnsi="Verdana"/>
          <w:sz w:val="20"/>
          <w:szCs w:val="20"/>
        </w:rPr>
      </w:pPr>
    </w:p>
    <w:p w14:paraId="20929397" w14:textId="77777777" w:rsidR="00E005F5" w:rsidRDefault="00D62C93" w:rsidP="00CA5368">
      <w:pPr>
        <w:pStyle w:val="ListParagraph"/>
        <w:spacing w:line="240" w:lineRule="auto"/>
        <w:ind w:left="0"/>
        <w:jc w:val="both"/>
        <w:rPr>
          <w:rFonts w:ascii="Verdana" w:hAnsi="Verdana"/>
          <w:sz w:val="20"/>
          <w:szCs w:val="20"/>
        </w:rPr>
      </w:pPr>
      <w:r>
        <w:rPr>
          <w:rFonts w:ascii="Verdana" w:hAnsi="Verdana"/>
          <w:sz w:val="20"/>
          <w:szCs w:val="20"/>
        </w:rPr>
        <w:t>45</w:t>
      </w:r>
      <w:r w:rsidR="00CA5368">
        <w:rPr>
          <w:rFonts w:ascii="Verdana" w:hAnsi="Verdana"/>
          <w:sz w:val="20"/>
          <w:szCs w:val="20"/>
        </w:rPr>
        <w:t xml:space="preserve">. </w:t>
      </w:r>
      <w:r w:rsidR="00CA5368">
        <w:rPr>
          <w:rFonts w:ascii="Verdana" w:hAnsi="Verdana"/>
          <w:sz w:val="20"/>
          <w:szCs w:val="20"/>
        </w:rPr>
        <w:tab/>
      </w:r>
      <w:r w:rsidR="00E005F5">
        <w:rPr>
          <w:rFonts w:ascii="Verdana" w:hAnsi="Verdana"/>
          <w:sz w:val="20"/>
          <w:szCs w:val="20"/>
        </w:rPr>
        <w:t xml:space="preserve">En la </w:t>
      </w:r>
      <w:r w:rsidR="00A00B55">
        <w:rPr>
          <w:rFonts w:ascii="Verdana" w:hAnsi="Verdana"/>
          <w:sz w:val="20"/>
          <w:szCs w:val="20"/>
        </w:rPr>
        <w:t xml:space="preserve">Sentencia (al igual que en el Informe de Fondo de la </w:t>
      </w:r>
      <w:r w:rsidR="00E005F5">
        <w:rPr>
          <w:rFonts w:ascii="Verdana" w:hAnsi="Verdana"/>
          <w:sz w:val="20"/>
          <w:szCs w:val="20"/>
        </w:rPr>
        <w:t>Comisión Interamericana</w:t>
      </w:r>
      <w:r w:rsidR="00A00B55">
        <w:rPr>
          <w:rFonts w:ascii="Verdana" w:hAnsi="Verdana"/>
          <w:sz w:val="20"/>
          <w:szCs w:val="20"/>
        </w:rPr>
        <w:t>)</w:t>
      </w:r>
      <w:r w:rsidR="00E005F5">
        <w:rPr>
          <w:rFonts w:ascii="Verdana" w:hAnsi="Verdana"/>
          <w:sz w:val="20"/>
          <w:szCs w:val="20"/>
        </w:rPr>
        <w:t xml:space="preserve">, </w:t>
      </w:r>
      <w:r w:rsidR="00A00B55">
        <w:rPr>
          <w:rFonts w:ascii="Verdana" w:hAnsi="Verdana"/>
          <w:sz w:val="20"/>
          <w:szCs w:val="20"/>
        </w:rPr>
        <w:t>se</w:t>
      </w:r>
      <w:r w:rsidR="00E005F5">
        <w:rPr>
          <w:rFonts w:ascii="Verdana" w:hAnsi="Verdana"/>
          <w:sz w:val="20"/>
          <w:szCs w:val="20"/>
        </w:rPr>
        <w:t xml:space="preserve"> desconocen</w:t>
      </w:r>
      <w:r w:rsidR="00E005F5" w:rsidRPr="00507983">
        <w:rPr>
          <w:rFonts w:ascii="Verdana" w:hAnsi="Verdana"/>
          <w:sz w:val="20"/>
          <w:szCs w:val="20"/>
        </w:rPr>
        <w:t xml:space="preserve"> a Jean Nestares, Fernando Nestares, Alicia Phelps Tovar y Francisco J. Nestares</w:t>
      </w:r>
      <w:r w:rsidR="00E005F5">
        <w:rPr>
          <w:rFonts w:ascii="Verdana" w:hAnsi="Verdana"/>
          <w:sz w:val="20"/>
          <w:szCs w:val="20"/>
        </w:rPr>
        <w:t xml:space="preserve"> como víctimas del derecho a libertad de expresión </w:t>
      </w:r>
      <w:r w:rsidR="00A00B55">
        <w:rPr>
          <w:rFonts w:ascii="Verdana" w:hAnsi="Verdana"/>
          <w:sz w:val="20"/>
          <w:szCs w:val="20"/>
        </w:rPr>
        <w:t>e igualdad</w:t>
      </w:r>
      <w:r w:rsidR="0089128D">
        <w:rPr>
          <w:rFonts w:ascii="Verdana" w:hAnsi="Verdana"/>
          <w:sz w:val="20"/>
          <w:szCs w:val="20"/>
        </w:rPr>
        <w:t>,</w:t>
      </w:r>
      <w:r w:rsidR="00A00B55">
        <w:rPr>
          <w:rFonts w:ascii="Verdana" w:hAnsi="Verdana"/>
          <w:sz w:val="20"/>
          <w:szCs w:val="20"/>
        </w:rPr>
        <w:t xml:space="preserve"> </w:t>
      </w:r>
      <w:r w:rsidR="00E005F5">
        <w:rPr>
          <w:rFonts w:ascii="Verdana" w:hAnsi="Verdana"/>
          <w:sz w:val="20"/>
          <w:szCs w:val="20"/>
        </w:rPr>
        <w:t>en virtud de que</w:t>
      </w:r>
      <w:r w:rsidR="00A00B55">
        <w:rPr>
          <w:rFonts w:ascii="Verdana" w:hAnsi="Verdana"/>
          <w:sz w:val="20"/>
          <w:szCs w:val="20"/>
        </w:rPr>
        <w:t xml:space="preserve"> </w:t>
      </w:r>
      <w:r w:rsidR="00E005F5">
        <w:rPr>
          <w:rFonts w:ascii="Verdana" w:hAnsi="Verdana"/>
          <w:sz w:val="20"/>
          <w:szCs w:val="20"/>
        </w:rPr>
        <w:t>no tenían</w:t>
      </w:r>
      <w:r w:rsidR="0089128D">
        <w:rPr>
          <w:rFonts w:ascii="Verdana" w:hAnsi="Verdana"/>
          <w:sz w:val="20"/>
          <w:szCs w:val="20"/>
        </w:rPr>
        <w:t>,</w:t>
      </w:r>
      <w:r w:rsidR="00E005F5">
        <w:rPr>
          <w:rFonts w:ascii="Verdana" w:hAnsi="Verdana"/>
          <w:sz w:val="20"/>
          <w:szCs w:val="20"/>
        </w:rPr>
        <w:t xml:space="preserve"> al momento de los hechos</w:t>
      </w:r>
      <w:r w:rsidR="0089128D">
        <w:rPr>
          <w:rFonts w:ascii="Verdana" w:hAnsi="Verdana"/>
          <w:sz w:val="20"/>
          <w:szCs w:val="20"/>
        </w:rPr>
        <w:t>,</w:t>
      </w:r>
      <w:r w:rsidR="00E005F5">
        <w:rPr>
          <w:rFonts w:ascii="Verdana" w:hAnsi="Verdana"/>
          <w:sz w:val="20"/>
          <w:szCs w:val="20"/>
        </w:rPr>
        <w:t xml:space="preserve"> “funciones dentro de la junta directiva, por lo que no [habían] elementos que dem</w:t>
      </w:r>
      <w:r w:rsidR="002353E4">
        <w:rPr>
          <w:rFonts w:ascii="Verdana" w:hAnsi="Verdana"/>
          <w:sz w:val="20"/>
          <w:szCs w:val="20"/>
        </w:rPr>
        <w:t>[ostraran]</w:t>
      </w:r>
      <w:r w:rsidR="00E005F5">
        <w:rPr>
          <w:rFonts w:ascii="Verdana" w:hAnsi="Verdana"/>
          <w:sz w:val="20"/>
          <w:szCs w:val="20"/>
        </w:rPr>
        <w:t xml:space="preserve"> el ví</w:t>
      </w:r>
      <w:r w:rsidR="00E005F5" w:rsidRPr="001878EB">
        <w:rPr>
          <w:rFonts w:ascii="Verdana" w:hAnsi="Verdana"/>
          <w:sz w:val="20"/>
          <w:szCs w:val="20"/>
        </w:rPr>
        <w:t xml:space="preserve">nculo y la contribución que tenían </w:t>
      </w:r>
      <w:r w:rsidR="00E005F5">
        <w:rPr>
          <w:rFonts w:ascii="Verdana" w:hAnsi="Verdana"/>
          <w:sz w:val="20"/>
          <w:szCs w:val="20"/>
        </w:rPr>
        <w:t>con la misión comunicacional del canal y que permit[</w:t>
      </w:r>
      <w:r w:rsidR="002353E4">
        <w:rPr>
          <w:rFonts w:ascii="Verdana" w:hAnsi="Verdana"/>
          <w:sz w:val="20"/>
          <w:szCs w:val="20"/>
        </w:rPr>
        <w:t>ieran</w:t>
      </w:r>
      <w:r w:rsidR="00E005F5">
        <w:rPr>
          <w:rFonts w:ascii="Verdana" w:hAnsi="Verdana"/>
          <w:sz w:val="20"/>
          <w:szCs w:val="20"/>
        </w:rPr>
        <w:t>] establecer que estas personas realizaban un ejercicio de su libertad de expresión a través de RCTV”</w:t>
      </w:r>
      <w:r w:rsidR="00E005F5">
        <w:rPr>
          <w:rStyle w:val="FootnoteReference"/>
          <w:rFonts w:ascii="Verdana" w:hAnsi="Verdana"/>
          <w:sz w:val="20"/>
          <w:szCs w:val="20"/>
        </w:rPr>
        <w:footnoteReference w:id="69"/>
      </w:r>
      <w:r w:rsidR="00A00B55">
        <w:rPr>
          <w:rFonts w:ascii="Verdana" w:hAnsi="Verdana"/>
          <w:sz w:val="20"/>
          <w:szCs w:val="20"/>
        </w:rPr>
        <w:t>;</w:t>
      </w:r>
      <w:r w:rsidR="00E005F5">
        <w:rPr>
          <w:rFonts w:ascii="Verdana" w:hAnsi="Verdana"/>
          <w:sz w:val="20"/>
          <w:szCs w:val="20"/>
        </w:rPr>
        <w:t xml:space="preserve"> a diferencia de Marcel Granier, Peter B</w:t>
      </w:r>
      <w:r w:rsidR="0026499C">
        <w:rPr>
          <w:rFonts w:ascii="Verdana" w:hAnsi="Verdana"/>
          <w:sz w:val="20"/>
          <w:szCs w:val="20"/>
        </w:rPr>
        <w:t>o</w:t>
      </w:r>
      <w:r w:rsidR="00E005F5">
        <w:rPr>
          <w:rFonts w:ascii="Verdana" w:hAnsi="Verdana"/>
          <w:sz w:val="20"/>
          <w:szCs w:val="20"/>
        </w:rPr>
        <w:t xml:space="preserve">ttome y Jaime Nestares, </w:t>
      </w:r>
      <w:r w:rsidR="00280917">
        <w:rPr>
          <w:rFonts w:ascii="Verdana" w:hAnsi="Verdana"/>
          <w:sz w:val="20"/>
          <w:szCs w:val="20"/>
        </w:rPr>
        <w:t xml:space="preserve">quienes </w:t>
      </w:r>
      <w:r w:rsidR="00E005F5">
        <w:rPr>
          <w:rFonts w:ascii="Verdana" w:hAnsi="Verdana"/>
          <w:sz w:val="20"/>
          <w:szCs w:val="20"/>
        </w:rPr>
        <w:t>además de ser accionistas que participaron regularmente en las juntas de la Asamblea General de Accionistas de la empresa</w:t>
      </w:r>
      <w:r w:rsidR="00D530F0">
        <w:rPr>
          <w:rFonts w:ascii="Verdana" w:hAnsi="Verdana"/>
          <w:sz w:val="20"/>
          <w:szCs w:val="20"/>
        </w:rPr>
        <w:t>,</w:t>
      </w:r>
      <w:r w:rsidR="00E005F5">
        <w:rPr>
          <w:rFonts w:ascii="Verdana" w:hAnsi="Verdana"/>
          <w:sz w:val="20"/>
          <w:szCs w:val="20"/>
        </w:rPr>
        <w:t xml:space="preserve"> eran al momento de los hechos, miembros de la junta directiva de RCTV</w:t>
      </w:r>
      <w:r w:rsidR="008904C3">
        <w:rPr>
          <w:rFonts w:ascii="Verdana" w:hAnsi="Verdana"/>
          <w:sz w:val="20"/>
          <w:szCs w:val="20"/>
        </w:rPr>
        <w:t xml:space="preserve"> y por ende</w:t>
      </w:r>
      <w:r w:rsidR="008904C3" w:rsidRPr="008904C3">
        <w:rPr>
          <w:rFonts w:ascii="Verdana" w:hAnsi="Verdana"/>
          <w:sz w:val="20"/>
          <w:szCs w:val="20"/>
        </w:rPr>
        <w:t xml:space="preserve"> “</w:t>
      </w:r>
      <w:r w:rsidR="008904C3" w:rsidRPr="008904C3">
        <w:rPr>
          <w:rFonts w:ascii="Verdana" w:hAnsi="Verdana"/>
          <w:sz w:val="20"/>
          <w:szCs w:val="20"/>
          <w:lang w:val="es-AR"/>
        </w:rPr>
        <w:t>ejercían funciones que contribuían de una manera indispensable a la misión comunicacional de RCTV</w:t>
      </w:r>
      <w:r w:rsidR="0026499C">
        <w:rPr>
          <w:rFonts w:ascii="Verdana" w:hAnsi="Verdana"/>
          <w:sz w:val="20"/>
          <w:szCs w:val="20"/>
          <w:lang w:val="es-AR"/>
        </w:rPr>
        <w:t>”</w:t>
      </w:r>
      <w:r w:rsidR="00E005F5">
        <w:rPr>
          <w:rStyle w:val="FootnoteReference"/>
          <w:rFonts w:ascii="Verdana" w:hAnsi="Verdana"/>
          <w:sz w:val="20"/>
          <w:szCs w:val="20"/>
        </w:rPr>
        <w:footnoteReference w:id="70"/>
      </w:r>
      <w:r w:rsidR="00E005F5">
        <w:rPr>
          <w:rFonts w:ascii="Verdana" w:hAnsi="Verdana"/>
          <w:sz w:val="20"/>
          <w:szCs w:val="20"/>
        </w:rPr>
        <w:t xml:space="preserve">. </w:t>
      </w:r>
    </w:p>
    <w:p w14:paraId="3234DD6D" w14:textId="77777777" w:rsidR="00A00B55" w:rsidRDefault="00A00B55" w:rsidP="00A00B55">
      <w:pPr>
        <w:pStyle w:val="ListParagraph"/>
        <w:tabs>
          <w:tab w:val="left" w:pos="142"/>
          <w:tab w:val="left" w:pos="709"/>
        </w:tabs>
        <w:spacing w:line="240" w:lineRule="auto"/>
        <w:ind w:left="0"/>
        <w:jc w:val="both"/>
        <w:rPr>
          <w:rFonts w:ascii="Verdana" w:hAnsi="Verdana"/>
          <w:sz w:val="20"/>
          <w:szCs w:val="20"/>
        </w:rPr>
      </w:pPr>
    </w:p>
    <w:p w14:paraId="311F62B5" w14:textId="6AC95253" w:rsidR="009B0D0B" w:rsidRPr="00786B09" w:rsidRDefault="00786B09" w:rsidP="00A00B55">
      <w:pPr>
        <w:pStyle w:val="ListParagraph"/>
        <w:tabs>
          <w:tab w:val="left" w:pos="142"/>
          <w:tab w:val="left" w:pos="709"/>
        </w:tabs>
        <w:spacing w:line="240" w:lineRule="auto"/>
        <w:ind w:left="0"/>
        <w:jc w:val="both"/>
        <w:rPr>
          <w:rFonts w:ascii="Verdana" w:hAnsi="Verdana"/>
          <w:b/>
          <w:i/>
          <w:sz w:val="20"/>
          <w:szCs w:val="20"/>
        </w:rPr>
      </w:pPr>
      <w:r w:rsidRPr="00786B09">
        <w:rPr>
          <w:rFonts w:ascii="Verdana" w:hAnsi="Verdana"/>
          <w:b/>
          <w:i/>
          <w:sz w:val="20"/>
          <w:szCs w:val="20"/>
        </w:rPr>
        <w:t>B.</w:t>
      </w:r>
      <w:r w:rsidR="009B0D0B" w:rsidRPr="00786B09">
        <w:rPr>
          <w:rFonts w:ascii="Verdana" w:hAnsi="Verdana"/>
          <w:b/>
          <w:i/>
          <w:sz w:val="20"/>
          <w:szCs w:val="20"/>
        </w:rPr>
        <w:t>2. Disidencia</w:t>
      </w:r>
    </w:p>
    <w:p w14:paraId="1C1A97DE" w14:textId="77777777" w:rsidR="00865387" w:rsidRPr="009B0D0B" w:rsidRDefault="00865387" w:rsidP="00A00B55">
      <w:pPr>
        <w:pStyle w:val="ListParagraph"/>
        <w:tabs>
          <w:tab w:val="left" w:pos="142"/>
          <w:tab w:val="left" w:pos="709"/>
        </w:tabs>
        <w:spacing w:line="240" w:lineRule="auto"/>
        <w:ind w:left="0"/>
        <w:jc w:val="both"/>
        <w:rPr>
          <w:rFonts w:ascii="Verdana" w:hAnsi="Verdana"/>
          <w:sz w:val="20"/>
          <w:szCs w:val="20"/>
          <w:u w:val="single"/>
        </w:rPr>
      </w:pPr>
    </w:p>
    <w:p w14:paraId="4340D885" w14:textId="77777777" w:rsidR="00A00B55" w:rsidRPr="009B0D0B" w:rsidRDefault="00D62C93" w:rsidP="00A00B55">
      <w:pPr>
        <w:pStyle w:val="ListParagraph"/>
        <w:tabs>
          <w:tab w:val="left" w:pos="142"/>
          <w:tab w:val="left" w:pos="709"/>
        </w:tabs>
        <w:spacing w:line="240" w:lineRule="auto"/>
        <w:ind w:left="0"/>
        <w:jc w:val="both"/>
        <w:rPr>
          <w:rFonts w:ascii="Verdana" w:hAnsi="Verdana"/>
          <w:sz w:val="20"/>
          <w:szCs w:val="20"/>
          <w:lang w:val="es-AR"/>
        </w:rPr>
      </w:pPr>
      <w:r>
        <w:rPr>
          <w:rFonts w:ascii="Verdana" w:hAnsi="Verdana"/>
          <w:sz w:val="20"/>
          <w:szCs w:val="20"/>
        </w:rPr>
        <w:t>46</w:t>
      </w:r>
      <w:r w:rsidR="00CA5368">
        <w:rPr>
          <w:rFonts w:ascii="Verdana" w:hAnsi="Verdana"/>
          <w:sz w:val="20"/>
          <w:szCs w:val="20"/>
        </w:rPr>
        <w:t xml:space="preserve">. </w:t>
      </w:r>
      <w:r w:rsidR="00CA5368">
        <w:rPr>
          <w:rFonts w:ascii="Verdana" w:hAnsi="Verdana"/>
          <w:sz w:val="20"/>
          <w:szCs w:val="20"/>
        </w:rPr>
        <w:tab/>
      </w:r>
      <w:r w:rsidR="00A00B55" w:rsidRPr="009B0D0B">
        <w:rPr>
          <w:rFonts w:ascii="Verdana" w:hAnsi="Verdana"/>
          <w:sz w:val="20"/>
          <w:szCs w:val="20"/>
        </w:rPr>
        <w:t>Contrario al criterio mayoritario, estimo que los accionistas que no eran miembros de la Junta Directiva de RCTV (</w:t>
      </w:r>
      <w:r w:rsidR="00A00B55" w:rsidRPr="009B0D0B">
        <w:rPr>
          <w:rFonts w:ascii="Verdana" w:hAnsi="Verdana"/>
          <w:sz w:val="20"/>
          <w:szCs w:val="20"/>
          <w:lang w:val="es-ES_tradnl"/>
        </w:rPr>
        <w:t xml:space="preserve">Jean </w:t>
      </w:r>
      <w:proofErr w:type="spellStart"/>
      <w:r w:rsidR="00A00B55" w:rsidRPr="009B0D0B">
        <w:rPr>
          <w:rFonts w:ascii="Verdana" w:hAnsi="Verdana"/>
          <w:sz w:val="20"/>
          <w:szCs w:val="20"/>
          <w:lang w:val="es-ES_tradnl"/>
        </w:rPr>
        <w:t>Nestares</w:t>
      </w:r>
      <w:proofErr w:type="spellEnd"/>
      <w:r w:rsidR="00A00B55" w:rsidRPr="009B0D0B">
        <w:rPr>
          <w:rFonts w:ascii="Verdana" w:hAnsi="Verdana"/>
          <w:sz w:val="20"/>
          <w:szCs w:val="20"/>
          <w:lang w:val="es-ES_tradnl"/>
        </w:rPr>
        <w:t xml:space="preserve">, Fernando </w:t>
      </w:r>
      <w:proofErr w:type="spellStart"/>
      <w:r w:rsidR="00A00B55" w:rsidRPr="009B0D0B">
        <w:rPr>
          <w:rFonts w:ascii="Verdana" w:hAnsi="Verdana"/>
          <w:sz w:val="20"/>
          <w:szCs w:val="20"/>
          <w:lang w:val="es-ES_tradnl"/>
        </w:rPr>
        <w:t>Nestares</w:t>
      </w:r>
      <w:proofErr w:type="spellEnd"/>
      <w:r w:rsidR="00A00B55" w:rsidRPr="009B0D0B">
        <w:rPr>
          <w:rFonts w:ascii="Verdana" w:hAnsi="Verdana"/>
          <w:sz w:val="20"/>
          <w:szCs w:val="20"/>
          <w:lang w:val="es-ES_tradnl"/>
        </w:rPr>
        <w:t xml:space="preserve">, Alicia </w:t>
      </w:r>
      <w:proofErr w:type="spellStart"/>
      <w:r w:rsidR="00A00B55" w:rsidRPr="009B0D0B">
        <w:rPr>
          <w:rFonts w:ascii="Verdana" w:hAnsi="Verdana"/>
          <w:sz w:val="20"/>
          <w:szCs w:val="20"/>
          <w:lang w:val="es-ES_tradnl"/>
        </w:rPr>
        <w:t>Phelps</w:t>
      </w:r>
      <w:proofErr w:type="spellEnd"/>
      <w:r w:rsidR="00A00B55" w:rsidRPr="009B0D0B">
        <w:rPr>
          <w:rFonts w:ascii="Verdana" w:hAnsi="Verdana"/>
          <w:sz w:val="20"/>
          <w:szCs w:val="20"/>
          <w:lang w:val="es-ES_tradnl"/>
        </w:rPr>
        <w:t xml:space="preserve"> de Tovar y Francisco J. </w:t>
      </w:r>
      <w:proofErr w:type="spellStart"/>
      <w:r w:rsidR="00A00B55" w:rsidRPr="009B0D0B">
        <w:rPr>
          <w:rFonts w:ascii="Verdana" w:hAnsi="Verdana"/>
          <w:sz w:val="20"/>
          <w:szCs w:val="20"/>
          <w:lang w:val="es-ES_tradnl"/>
        </w:rPr>
        <w:t>Nestares</w:t>
      </w:r>
      <w:proofErr w:type="spellEnd"/>
      <w:r w:rsidR="00A00B55" w:rsidRPr="009B0D0B">
        <w:rPr>
          <w:rFonts w:ascii="Verdana" w:hAnsi="Verdana"/>
          <w:sz w:val="20"/>
          <w:szCs w:val="20"/>
          <w:lang w:val="es-ES_tradnl"/>
        </w:rPr>
        <w:t xml:space="preserve">) deben ser considerados “víctimas” </w:t>
      </w:r>
      <w:r w:rsidR="000533C4" w:rsidRPr="009B0D0B">
        <w:rPr>
          <w:rFonts w:ascii="Verdana" w:hAnsi="Verdana"/>
          <w:sz w:val="20"/>
          <w:szCs w:val="20"/>
          <w:lang w:val="es-ES_tradnl"/>
        </w:rPr>
        <w:t xml:space="preserve">de los derechos de libertad de expresión e igualdad, </w:t>
      </w:r>
      <w:r w:rsidR="00A00B55" w:rsidRPr="009B0D0B">
        <w:rPr>
          <w:rFonts w:ascii="Verdana" w:hAnsi="Verdana"/>
          <w:sz w:val="20"/>
          <w:szCs w:val="20"/>
          <w:lang w:val="es-ES_tradnl"/>
        </w:rPr>
        <w:t>a pesar</w:t>
      </w:r>
      <w:r w:rsidR="00A00B55" w:rsidRPr="009B0D0B">
        <w:rPr>
          <w:rFonts w:ascii="Verdana" w:hAnsi="Verdana" w:cs="Tahoma"/>
          <w:sz w:val="20"/>
          <w:szCs w:val="20"/>
          <w:lang w:val="es-ES"/>
        </w:rPr>
        <w:t xml:space="preserve"> de </w:t>
      </w:r>
      <w:r w:rsidR="00A00B55" w:rsidRPr="009B0D0B">
        <w:rPr>
          <w:rFonts w:ascii="Verdana" w:hAnsi="Verdana"/>
          <w:sz w:val="20"/>
          <w:szCs w:val="20"/>
          <w:lang w:val="es-AR"/>
        </w:rPr>
        <w:t>que no tenían a su cargo func</w:t>
      </w:r>
      <w:r w:rsidR="009D139A">
        <w:rPr>
          <w:rFonts w:ascii="Verdana" w:hAnsi="Verdana"/>
          <w:sz w:val="20"/>
          <w:szCs w:val="20"/>
          <w:lang w:val="es-AR"/>
        </w:rPr>
        <w:t>iones dentro de la junta d</w:t>
      </w:r>
      <w:r w:rsidR="00A00B55" w:rsidRPr="009B0D0B">
        <w:rPr>
          <w:rFonts w:ascii="Verdana" w:hAnsi="Verdana"/>
          <w:sz w:val="20"/>
          <w:szCs w:val="20"/>
          <w:lang w:val="es-AR"/>
        </w:rPr>
        <w:t>irectiva. En efecto, considero que existen varios elementos que demuestran el vínculo y la contribución que tenían con la misión comunicacional del canal y que permiten establecer que estas personas realizaban un ejercicio de su libertad de expresión a</w:t>
      </w:r>
      <w:r w:rsidR="000533C4" w:rsidRPr="009B0D0B">
        <w:rPr>
          <w:rFonts w:ascii="Verdana" w:hAnsi="Verdana"/>
          <w:sz w:val="20"/>
          <w:szCs w:val="20"/>
          <w:lang w:val="es-AR"/>
        </w:rPr>
        <w:t xml:space="preserve"> través de</w:t>
      </w:r>
      <w:r w:rsidR="00700CEE">
        <w:rPr>
          <w:rFonts w:ascii="Verdana" w:hAnsi="Verdana"/>
          <w:sz w:val="20"/>
          <w:szCs w:val="20"/>
          <w:lang w:val="es-AR"/>
        </w:rPr>
        <w:t xml:space="preserve"> RCTV</w:t>
      </w:r>
      <w:r w:rsidR="000533C4" w:rsidRPr="009B0D0B">
        <w:rPr>
          <w:rFonts w:ascii="Verdana" w:hAnsi="Verdana"/>
          <w:sz w:val="20"/>
          <w:szCs w:val="20"/>
          <w:lang w:val="es-AR"/>
        </w:rPr>
        <w:t>.</w:t>
      </w:r>
    </w:p>
    <w:p w14:paraId="29BF3AFD" w14:textId="77777777" w:rsidR="00A00B55" w:rsidRDefault="00A00B55" w:rsidP="00A00B55">
      <w:pPr>
        <w:pStyle w:val="ListParagraph"/>
        <w:tabs>
          <w:tab w:val="left" w:pos="142"/>
          <w:tab w:val="left" w:pos="709"/>
        </w:tabs>
        <w:spacing w:line="240" w:lineRule="auto"/>
        <w:ind w:left="0"/>
        <w:jc w:val="both"/>
        <w:rPr>
          <w:rFonts w:ascii="Verdana" w:hAnsi="Verdana"/>
          <w:b/>
          <w:sz w:val="20"/>
          <w:szCs w:val="20"/>
          <w:lang w:val="es-AR"/>
        </w:rPr>
      </w:pPr>
    </w:p>
    <w:p w14:paraId="2846B921" w14:textId="77777777" w:rsidR="000533C4" w:rsidRPr="000B4E84" w:rsidRDefault="00786B09" w:rsidP="00A00B55">
      <w:pPr>
        <w:pStyle w:val="ListParagraph"/>
        <w:tabs>
          <w:tab w:val="left" w:pos="142"/>
          <w:tab w:val="left" w:pos="709"/>
        </w:tabs>
        <w:spacing w:line="240" w:lineRule="auto"/>
        <w:ind w:left="0"/>
        <w:jc w:val="both"/>
        <w:rPr>
          <w:rFonts w:ascii="Verdana" w:hAnsi="Verdana"/>
          <w:i/>
          <w:sz w:val="20"/>
          <w:szCs w:val="20"/>
          <w:u w:val="single"/>
          <w:lang w:val="es-AR"/>
        </w:rPr>
      </w:pPr>
      <w:r w:rsidRPr="000B4E84">
        <w:rPr>
          <w:rFonts w:ascii="Verdana" w:hAnsi="Verdana"/>
          <w:i/>
          <w:sz w:val="20"/>
          <w:szCs w:val="20"/>
          <w:u w:val="single"/>
          <w:lang w:val="es-AR"/>
        </w:rPr>
        <w:t>B.</w:t>
      </w:r>
      <w:r w:rsidR="009B0D0B" w:rsidRPr="000B4E84">
        <w:rPr>
          <w:rFonts w:ascii="Verdana" w:hAnsi="Verdana"/>
          <w:i/>
          <w:sz w:val="20"/>
          <w:szCs w:val="20"/>
          <w:u w:val="single"/>
          <w:lang w:val="es-AR"/>
        </w:rPr>
        <w:t>2.</w:t>
      </w:r>
      <w:r w:rsidRPr="000B4E84">
        <w:rPr>
          <w:rFonts w:ascii="Verdana" w:hAnsi="Verdana"/>
          <w:i/>
          <w:sz w:val="20"/>
          <w:szCs w:val="20"/>
          <w:u w:val="single"/>
          <w:lang w:val="es-AR"/>
        </w:rPr>
        <w:t>a)</w:t>
      </w:r>
      <w:r w:rsidR="000533C4" w:rsidRPr="000B4E84">
        <w:rPr>
          <w:rFonts w:ascii="Verdana" w:hAnsi="Verdana"/>
          <w:i/>
          <w:sz w:val="20"/>
          <w:szCs w:val="20"/>
          <w:u w:val="single"/>
          <w:lang w:val="es-AR"/>
        </w:rPr>
        <w:t xml:space="preserve"> Proyecto familiar y político compartido  </w:t>
      </w:r>
    </w:p>
    <w:p w14:paraId="3C38E9D3" w14:textId="77777777" w:rsidR="000533C4" w:rsidRDefault="000533C4" w:rsidP="00A00B55">
      <w:pPr>
        <w:pStyle w:val="ListParagraph"/>
        <w:tabs>
          <w:tab w:val="left" w:pos="142"/>
          <w:tab w:val="left" w:pos="709"/>
        </w:tabs>
        <w:spacing w:line="240" w:lineRule="auto"/>
        <w:ind w:left="0"/>
        <w:jc w:val="both"/>
        <w:rPr>
          <w:rFonts w:ascii="Verdana" w:hAnsi="Verdana"/>
          <w:b/>
          <w:sz w:val="20"/>
          <w:szCs w:val="20"/>
          <w:lang w:val="es-AR"/>
        </w:rPr>
      </w:pPr>
    </w:p>
    <w:p w14:paraId="6E6F1E63" w14:textId="77777777" w:rsidR="00A00B55" w:rsidRPr="009B0D0B" w:rsidRDefault="00D62C93" w:rsidP="00A00B55">
      <w:pPr>
        <w:pStyle w:val="ListParagraph"/>
        <w:tabs>
          <w:tab w:val="left" w:pos="142"/>
          <w:tab w:val="left" w:pos="709"/>
        </w:tabs>
        <w:spacing w:line="240" w:lineRule="auto"/>
        <w:ind w:left="0"/>
        <w:jc w:val="both"/>
        <w:rPr>
          <w:rFonts w:ascii="Verdana" w:hAnsi="Verdana"/>
          <w:sz w:val="20"/>
          <w:szCs w:val="20"/>
          <w:lang w:val="es-AR"/>
        </w:rPr>
      </w:pPr>
      <w:r>
        <w:rPr>
          <w:rFonts w:ascii="Verdana" w:hAnsi="Verdana"/>
          <w:sz w:val="20"/>
          <w:szCs w:val="20"/>
          <w:lang w:val="es-AR"/>
        </w:rPr>
        <w:t>47</w:t>
      </w:r>
      <w:r w:rsidR="00CA5368">
        <w:rPr>
          <w:rFonts w:ascii="Verdana" w:hAnsi="Verdana"/>
          <w:sz w:val="20"/>
          <w:szCs w:val="20"/>
          <w:lang w:val="es-AR"/>
        </w:rPr>
        <w:t xml:space="preserve">. </w:t>
      </w:r>
      <w:r w:rsidR="00CA5368">
        <w:rPr>
          <w:rFonts w:ascii="Verdana" w:hAnsi="Verdana"/>
          <w:sz w:val="20"/>
          <w:szCs w:val="20"/>
          <w:lang w:val="es-AR"/>
        </w:rPr>
        <w:tab/>
      </w:r>
      <w:r w:rsidR="00A00B55" w:rsidRPr="009B0D0B">
        <w:rPr>
          <w:rFonts w:ascii="Verdana" w:hAnsi="Verdana"/>
          <w:sz w:val="20"/>
          <w:szCs w:val="20"/>
          <w:lang w:val="es-AR"/>
        </w:rPr>
        <w:t>En primer lugar</w:t>
      </w:r>
      <w:r w:rsidR="000533C4" w:rsidRPr="009B0D0B">
        <w:rPr>
          <w:rFonts w:ascii="Verdana" w:hAnsi="Verdana"/>
          <w:sz w:val="20"/>
          <w:szCs w:val="20"/>
          <w:lang w:val="es-AR"/>
        </w:rPr>
        <w:t>, debe destacarse que</w:t>
      </w:r>
      <w:r w:rsidR="00A00B55" w:rsidRPr="009B0D0B">
        <w:rPr>
          <w:rFonts w:ascii="Verdana" w:hAnsi="Verdana"/>
          <w:sz w:val="20"/>
          <w:szCs w:val="20"/>
          <w:lang w:val="es-AR"/>
        </w:rPr>
        <w:t xml:space="preserve"> todos los accionistas de RCTV son miembros de una misma familia y compartían un proyecto personal y político que se materializaba a través del contenido transmitido por RCTV. En el presente caso, </w:t>
      </w:r>
      <w:r w:rsidR="00A00B55" w:rsidRPr="009B0D0B">
        <w:rPr>
          <w:rFonts w:ascii="Verdana" w:hAnsi="Verdana"/>
          <w:sz w:val="20"/>
          <w:szCs w:val="20"/>
          <w:lang w:val="es-ES_tradnl"/>
        </w:rPr>
        <w:t xml:space="preserve">Jean </w:t>
      </w:r>
      <w:proofErr w:type="spellStart"/>
      <w:r w:rsidR="00A00B55" w:rsidRPr="009B0D0B">
        <w:rPr>
          <w:rFonts w:ascii="Verdana" w:hAnsi="Verdana"/>
          <w:sz w:val="20"/>
          <w:szCs w:val="20"/>
          <w:lang w:val="es-ES_tradnl"/>
        </w:rPr>
        <w:t>Nestares</w:t>
      </w:r>
      <w:proofErr w:type="spellEnd"/>
      <w:r w:rsidR="00A00B55" w:rsidRPr="009B0D0B">
        <w:rPr>
          <w:rFonts w:ascii="Verdana" w:hAnsi="Verdana"/>
          <w:sz w:val="20"/>
          <w:szCs w:val="20"/>
          <w:lang w:val="es-ES_tradnl"/>
        </w:rPr>
        <w:t xml:space="preserve">, Fernando </w:t>
      </w:r>
      <w:proofErr w:type="spellStart"/>
      <w:r w:rsidR="00A00B55" w:rsidRPr="009B0D0B">
        <w:rPr>
          <w:rFonts w:ascii="Verdana" w:hAnsi="Verdana"/>
          <w:sz w:val="20"/>
          <w:szCs w:val="20"/>
          <w:lang w:val="es-ES_tradnl"/>
        </w:rPr>
        <w:t>Nestares</w:t>
      </w:r>
      <w:proofErr w:type="spellEnd"/>
      <w:r w:rsidR="00A00B55" w:rsidRPr="009B0D0B">
        <w:rPr>
          <w:rFonts w:ascii="Verdana" w:hAnsi="Verdana"/>
          <w:sz w:val="20"/>
          <w:szCs w:val="20"/>
          <w:lang w:val="es-ES_tradnl"/>
        </w:rPr>
        <w:t xml:space="preserve">, Alicia </w:t>
      </w:r>
      <w:proofErr w:type="spellStart"/>
      <w:r w:rsidR="00A00B55" w:rsidRPr="009B0D0B">
        <w:rPr>
          <w:rFonts w:ascii="Verdana" w:hAnsi="Verdana"/>
          <w:sz w:val="20"/>
          <w:szCs w:val="20"/>
          <w:lang w:val="es-ES_tradnl"/>
        </w:rPr>
        <w:t>Phelps</w:t>
      </w:r>
      <w:proofErr w:type="spellEnd"/>
      <w:r w:rsidR="00A00B55" w:rsidRPr="009B0D0B">
        <w:rPr>
          <w:rFonts w:ascii="Verdana" w:hAnsi="Verdana"/>
          <w:sz w:val="20"/>
          <w:szCs w:val="20"/>
          <w:lang w:val="es-ES_tradnl"/>
        </w:rPr>
        <w:t xml:space="preserve"> de Tovar y Francisco J. </w:t>
      </w:r>
      <w:proofErr w:type="spellStart"/>
      <w:r w:rsidR="00A00B55" w:rsidRPr="009B0D0B">
        <w:rPr>
          <w:rFonts w:ascii="Verdana" w:hAnsi="Verdana"/>
          <w:sz w:val="20"/>
          <w:szCs w:val="20"/>
          <w:lang w:val="es-ES_tradnl"/>
        </w:rPr>
        <w:t>Nestares</w:t>
      </w:r>
      <w:proofErr w:type="spellEnd"/>
      <w:r w:rsidR="00A00B55" w:rsidRPr="009B0D0B">
        <w:rPr>
          <w:rFonts w:ascii="Verdana" w:hAnsi="Verdana"/>
          <w:sz w:val="20"/>
          <w:szCs w:val="20"/>
          <w:lang w:val="es-AR"/>
        </w:rPr>
        <w:t xml:space="preserve"> no eran únicamente accionistas capitalistas </w:t>
      </w:r>
      <w:r w:rsidR="00A00B55" w:rsidRPr="009B0D0B">
        <w:rPr>
          <w:rFonts w:ascii="Verdana" w:hAnsi="Verdana"/>
          <w:sz w:val="20"/>
          <w:szCs w:val="20"/>
        </w:rPr>
        <w:t>que buscaban obtener un beneficio económico a través de la empresa</w:t>
      </w:r>
      <w:r w:rsidR="00A00B55" w:rsidRPr="009B0D0B">
        <w:rPr>
          <w:rFonts w:ascii="Verdana" w:hAnsi="Verdana"/>
          <w:sz w:val="20"/>
          <w:szCs w:val="20"/>
          <w:lang w:val="es-AR"/>
        </w:rPr>
        <w:t>, sino que</w:t>
      </w:r>
      <w:r w:rsidR="0089128D">
        <w:rPr>
          <w:rFonts w:ascii="Verdana" w:hAnsi="Verdana"/>
          <w:sz w:val="20"/>
          <w:szCs w:val="20"/>
          <w:lang w:val="es-AR"/>
        </w:rPr>
        <w:t>,</w:t>
      </w:r>
      <w:r w:rsidR="00A00B55" w:rsidRPr="009B0D0B">
        <w:rPr>
          <w:rFonts w:ascii="Verdana" w:hAnsi="Verdana"/>
          <w:sz w:val="20"/>
          <w:szCs w:val="20"/>
          <w:lang w:val="es-AR"/>
        </w:rPr>
        <w:t xml:space="preserve"> </w:t>
      </w:r>
      <w:r w:rsidR="00A00B55" w:rsidRPr="009B0D0B">
        <w:rPr>
          <w:rFonts w:ascii="Verdana" w:hAnsi="Verdana"/>
          <w:sz w:val="20"/>
          <w:szCs w:val="20"/>
          <w:lang w:val="es-AR"/>
        </w:rPr>
        <w:lastRenderedPageBreak/>
        <w:t>como parte de una familia</w:t>
      </w:r>
      <w:r w:rsidR="0089128D">
        <w:rPr>
          <w:rFonts w:ascii="Verdana" w:hAnsi="Verdana"/>
          <w:sz w:val="20"/>
          <w:szCs w:val="20"/>
          <w:lang w:val="es-AR"/>
        </w:rPr>
        <w:t>,</w:t>
      </w:r>
      <w:r w:rsidR="00A00B55" w:rsidRPr="009B0D0B">
        <w:rPr>
          <w:rFonts w:ascii="Verdana" w:hAnsi="Verdana"/>
          <w:sz w:val="20"/>
          <w:szCs w:val="20"/>
          <w:lang w:val="es-AR"/>
        </w:rPr>
        <w:t xml:space="preserve"> contribuían conscientemente con su participación patrimonial a la existencia, independencia y funcionamiento de RCTV. En relación </w:t>
      </w:r>
      <w:r w:rsidR="0089128D">
        <w:rPr>
          <w:rFonts w:ascii="Verdana" w:hAnsi="Verdana"/>
          <w:sz w:val="20"/>
          <w:szCs w:val="20"/>
          <w:lang w:val="es-AR"/>
        </w:rPr>
        <w:t>con</w:t>
      </w:r>
      <w:r w:rsidR="00A00B55" w:rsidRPr="009B0D0B">
        <w:rPr>
          <w:rFonts w:ascii="Verdana" w:hAnsi="Verdana"/>
          <w:sz w:val="20"/>
          <w:szCs w:val="20"/>
          <w:lang w:val="es-AR"/>
        </w:rPr>
        <w:t xml:space="preserve"> esto, </w:t>
      </w:r>
      <w:r w:rsidR="00A00B55" w:rsidRPr="009B0D0B">
        <w:rPr>
          <w:rFonts w:ascii="Verdana" w:hAnsi="Verdana"/>
          <w:sz w:val="20"/>
          <w:szCs w:val="20"/>
        </w:rPr>
        <w:t xml:space="preserve">el señor Jaime Nestares afirmó: </w:t>
      </w:r>
    </w:p>
    <w:p w14:paraId="37EDBAE5" w14:textId="77777777" w:rsidR="009B0D0B" w:rsidRPr="00FC0398" w:rsidRDefault="00A00B55" w:rsidP="009B0D0B">
      <w:pPr>
        <w:tabs>
          <w:tab w:val="left" w:pos="142"/>
          <w:tab w:val="left" w:pos="709"/>
        </w:tabs>
        <w:spacing w:line="240" w:lineRule="auto"/>
        <w:ind w:left="709" w:right="616"/>
        <w:jc w:val="both"/>
        <w:rPr>
          <w:rFonts w:ascii="Verdana" w:hAnsi="Verdana"/>
          <w:bCs/>
          <w:sz w:val="18"/>
          <w:szCs w:val="18"/>
        </w:rPr>
      </w:pPr>
      <w:r w:rsidRPr="00FC0398">
        <w:rPr>
          <w:rFonts w:ascii="Verdana" w:hAnsi="Verdana"/>
          <w:sz w:val="18"/>
          <w:szCs w:val="18"/>
        </w:rPr>
        <w:t>“</w:t>
      </w:r>
      <w:r w:rsidRPr="00FC0398">
        <w:rPr>
          <w:rFonts w:ascii="Verdana" w:hAnsi="Verdana"/>
          <w:bCs/>
          <w:sz w:val="18"/>
          <w:szCs w:val="18"/>
        </w:rPr>
        <w:t>Soy accionista de RCTV, al igual que mis hermanos Fernando, Francisco Javier y Jean Hope […]Nosotros heredamos no sólo las acciones y participación en la empresa sino que también heredamos los principios y valores que han inspirado el funcionamiento, actividades y gobierno de la Empresa y las estructuras jurídicas y los capitales necesarios para llevar adelante dichas actividades. De la misma manera, Alicia Phelps de Tovar, mi tía, hereda en igual parte de su padre Alberto Phelps, mi abuelo Alberto, y éste, de su padre William H. Phelps. […] Además de la estructura jurídica y de gobierno se han preservado en el tiempo los principios y valores que inspiraron la fundación de RCTV”.</w:t>
      </w:r>
      <w:r w:rsidRPr="00FC0398">
        <w:rPr>
          <w:rFonts w:ascii="Verdana" w:hAnsi="Verdana"/>
          <w:sz w:val="18"/>
          <w:szCs w:val="18"/>
          <w:vertAlign w:val="superscript"/>
        </w:rPr>
        <w:footnoteReference w:id="71"/>
      </w:r>
    </w:p>
    <w:p w14:paraId="3627B1A4" w14:textId="77777777" w:rsidR="00A00B55" w:rsidRPr="009B0D0B" w:rsidRDefault="00D62C93" w:rsidP="004D7DDE">
      <w:pPr>
        <w:tabs>
          <w:tab w:val="left" w:pos="142"/>
          <w:tab w:val="left" w:pos="709"/>
        </w:tabs>
        <w:spacing w:line="240" w:lineRule="auto"/>
        <w:ind w:right="-1"/>
        <w:jc w:val="both"/>
        <w:rPr>
          <w:bCs/>
          <w:sz w:val="16"/>
          <w:szCs w:val="20"/>
        </w:rPr>
      </w:pPr>
      <w:r>
        <w:rPr>
          <w:rFonts w:ascii="Verdana" w:hAnsi="Verdana"/>
          <w:sz w:val="20"/>
          <w:szCs w:val="20"/>
          <w:lang w:val="es-AR"/>
        </w:rPr>
        <w:t>48</w:t>
      </w:r>
      <w:r w:rsidR="00CA5368">
        <w:rPr>
          <w:rFonts w:ascii="Verdana" w:hAnsi="Verdana"/>
          <w:sz w:val="20"/>
          <w:szCs w:val="20"/>
          <w:lang w:val="es-AR"/>
        </w:rPr>
        <w:t xml:space="preserve">. </w:t>
      </w:r>
      <w:r w:rsidR="00CA5368">
        <w:rPr>
          <w:rFonts w:ascii="Verdana" w:hAnsi="Verdana"/>
          <w:sz w:val="20"/>
          <w:szCs w:val="20"/>
          <w:lang w:val="es-AR"/>
        </w:rPr>
        <w:tab/>
      </w:r>
      <w:r w:rsidR="009B0D0B" w:rsidRPr="009B0D0B">
        <w:rPr>
          <w:rFonts w:ascii="Verdana" w:hAnsi="Verdana"/>
          <w:sz w:val="20"/>
          <w:szCs w:val="20"/>
          <w:lang w:val="es-AR"/>
        </w:rPr>
        <w:t>A</w:t>
      </w:r>
      <w:r w:rsidR="00A00B55" w:rsidRPr="009B0D0B">
        <w:rPr>
          <w:rFonts w:ascii="Verdana" w:hAnsi="Verdana"/>
          <w:sz w:val="20"/>
          <w:szCs w:val="20"/>
          <w:lang w:val="es-AR"/>
        </w:rPr>
        <w:t xml:space="preserve">l respecto, </w:t>
      </w:r>
      <w:r w:rsidR="000533C4" w:rsidRPr="009B0D0B">
        <w:rPr>
          <w:rFonts w:ascii="Verdana" w:hAnsi="Verdana"/>
          <w:sz w:val="20"/>
          <w:szCs w:val="20"/>
          <w:lang w:val="es-AR"/>
        </w:rPr>
        <w:t>no debe pasar inadvertido</w:t>
      </w:r>
      <w:r w:rsidR="00A00B55" w:rsidRPr="009B0D0B">
        <w:rPr>
          <w:rFonts w:ascii="Verdana" w:hAnsi="Verdana"/>
          <w:sz w:val="20"/>
          <w:szCs w:val="20"/>
          <w:lang w:val="es-AR"/>
        </w:rPr>
        <w:t xml:space="preserve"> que el artículo 13 de la Convención establece que el derecho a la libertad de expresión comprende la libertad de buscar, recibir y difundir informaciones e ideas de toda índole, ya sea oralmente, por escrito, en forma impresa o artística o por cualquier otro procedimiento de su elección</w:t>
      </w:r>
      <w:r w:rsidR="00A00B55" w:rsidRPr="009B0D0B">
        <w:rPr>
          <w:rStyle w:val="FootnoteReference"/>
          <w:rFonts w:ascii="Verdana" w:hAnsi="Verdana"/>
          <w:sz w:val="20"/>
          <w:szCs w:val="20"/>
          <w:lang w:val="es-AR"/>
        </w:rPr>
        <w:footnoteReference w:id="72"/>
      </w:r>
      <w:r w:rsidR="000533C4" w:rsidRPr="009B0D0B">
        <w:rPr>
          <w:rFonts w:ascii="Verdana" w:hAnsi="Verdana"/>
          <w:sz w:val="20"/>
          <w:szCs w:val="20"/>
          <w:lang w:val="es-AR"/>
        </w:rPr>
        <w:t>;</w:t>
      </w:r>
      <w:r w:rsidR="00A00B55" w:rsidRPr="009B0D0B">
        <w:rPr>
          <w:rFonts w:ascii="Verdana" w:hAnsi="Verdana"/>
          <w:sz w:val="20"/>
          <w:szCs w:val="20"/>
          <w:lang w:val="es-AR"/>
        </w:rPr>
        <w:t xml:space="preserve"> y</w:t>
      </w:r>
      <w:r w:rsidR="000533C4" w:rsidRPr="009B0D0B">
        <w:rPr>
          <w:rFonts w:ascii="Verdana" w:hAnsi="Verdana"/>
          <w:sz w:val="20"/>
          <w:szCs w:val="20"/>
          <w:lang w:val="es-AR"/>
        </w:rPr>
        <w:t>, consecuentemente,</w:t>
      </w:r>
      <w:r w:rsidR="00A00B55" w:rsidRPr="009B0D0B">
        <w:rPr>
          <w:rFonts w:ascii="Verdana" w:hAnsi="Verdana"/>
          <w:sz w:val="20"/>
          <w:szCs w:val="20"/>
          <w:lang w:val="es-AR"/>
        </w:rPr>
        <w:t xml:space="preserve"> que entre dichos procedimientos se encuentra la participación económica </w:t>
      </w:r>
      <w:r w:rsidR="00A00B55" w:rsidRPr="009B0D0B">
        <w:rPr>
          <w:rFonts w:ascii="Verdana" w:hAnsi="Verdana" w:cs="Tahoma"/>
          <w:bCs/>
          <w:sz w:val="20"/>
          <w:szCs w:val="20"/>
        </w:rPr>
        <w:t xml:space="preserve">a través de la cual una persona física puede fundar o sustentar un medio de comunicación, materializando de esta manera el ejercicio de su libertad de expresión. </w:t>
      </w:r>
      <w:r w:rsidR="00A00B55" w:rsidRPr="009B0D0B">
        <w:rPr>
          <w:rFonts w:ascii="Verdana" w:hAnsi="Verdana" w:cs="Tahoma"/>
          <w:sz w:val="20"/>
          <w:szCs w:val="20"/>
          <w:lang w:val="es-ES"/>
        </w:rPr>
        <w:t xml:space="preserve"> </w:t>
      </w:r>
    </w:p>
    <w:p w14:paraId="2BD6C13D" w14:textId="77777777" w:rsidR="00A00B55" w:rsidRPr="009B0D0B" w:rsidRDefault="00D62C93" w:rsidP="009B0D0B">
      <w:pPr>
        <w:pStyle w:val="ListParagraph"/>
        <w:tabs>
          <w:tab w:val="left" w:pos="142"/>
          <w:tab w:val="left" w:pos="709"/>
        </w:tabs>
        <w:spacing w:line="240" w:lineRule="auto"/>
        <w:ind w:left="0"/>
        <w:jc w:val="both"/>
        <w:rPr>
          <w:rFonts w:ascii="Verdana" w:hAnsi="Verdana"/>
          <w:sz w:val="20"/>
          <w:szCs w:val="20"/>
          <w:lang w:val="es-AR"/>
        </w:rPr>
      </w:pPr>
      <w:r>
        <w:rPr>
          <w:rFonts w:ascii="Verdana" w:hAnsi="Verdana" w:cs="Tahoma"/>
          <w:sz w:val="20"/>
          <w:szCs w:val="20"/>
          <w:lang w:val="es-ES"/>
        </w:rPr>
        <w:t>49</w:t>
      </w:r>
      <w:r w:rsidR="00CA5368">
        <w:rPr>
          <w:rFonts w:ascii="Verdana" w:hAnsi="Verdana" w:cs="Tahoma"/>
          <w:sz w:val="20"/>
          <w:szCs w:val="20"/>
          <w:lang w:val="es-ES"/>
        </w:rPr>
        <w:t xml:space="preserve">. </w:t>
      </w:r>
      <w:r w:rsidR="00CA5368">
        <w:rPr>
          <w:rFonts w:ascii="Verdana" w:hAnsi="Verdana" w:cs="Tahoma"/>
          <w:sz w:val="20"/>
          <w:szCs w:val="20"/>
          <w:lang w:val="es-ES"/>
        </w:rPr>
        <w:tab/>
      </w:r>
      <w:r w:rsidR="003E021C" w:rsidRPr="009B0D0B">
        <w:rPr>
          <w:rFonts w:ascii="Verdana" w:hAnsi="Verdana" w:cs="Tahoma"/>
          <w:sz w:val="20"/>
          <w:szCs w:val="20"/>
          <w:lang w:val="es-ES"/>
        </w:rPr>
        <w:t>L</w:t>
      </w:r>
      <w:r w:rsidR="00A00B55" w:rsidRPr="009B0D0B">
        <w:rPr>
          <w:rFonts w:ascii="Verdana" w:hAnsi="Verdana" w:cs="Tahoma"/>
          <w:sz w:val="20"/>
          <w:szCs w:val="20"/>
          <w:lang w:val="es-ES"/>
        </w:rPr>
        <w:t xml:space="preserve">a participación patrimonial de todos los accionistas de RCTV </w:t>
      </w:r>
      <w:r w:rsidR="00A00B55" w:rsidRPr="009B0D0B">
        <w:rPr>
          <w:rFonts w:ascii="Verdana" w:hAnsi="Verdana"/>
          <w:sz w:val="20"/>
          <w:szCs w:val="20"/>
          <w:lang w:val="es-AR"/>
        </w:rPr>
        <w:t xml:space="preserve">permitía la construcción de un proyecto familiar que lograba mantener la independencia de las decisiones acerca del contenido de la programación que era transmitida en el canal. Tal </w:t>
      </w:r>
      <w:r w:rsidR="00A00B55" w:rsidRPr="009B0D0B">
        <w:rPr>
          <w:rFonts w:ascii="Verdana" w:hAnsi="Verdana" w:cs="Tahoma"/>
          <w:sz w:val="20"/>
          <w:szCs w:val="20"/>
          <w:lang w:val="es-ES"/>
        </w:rPr>
        <w:t xml:space="preserve">participación patrimonial </w:t>
      </w:r>
      <w:r w:rsidR="00A00B55" w:rsidRPr="009B0D0B">
        <w:rPr>
          <w:rFonts w:ascii="Verdana" w:hAnsi="Verdana"/>
          <w:sz w:val="20"/>
          <w:szCs w:val="20"/>
          <w:lang w:val="es-AR"/>
        </w:rPr>
        <w:t xml:space="preserve">era parte del engranaje necesario para el desarrollo independiente de la misión comunicativa de RCTV </w:t>
      </w:r>
      <w:r w:rsidR="00A00B55" w:rsidRPr="00865387">
        <w:rPr>
          <w:rFonts w:ascii="Verdana" w:hAnsi="Verdana"/>
          <w:sz w:val="20"/>
          <w:szCs w:val="20"/>
          <w:u w:val="single"/>
          <w:lang w:val="es-AR"/>
        </w:rPr>
        <w:t>y era compartida por todos sus accionistas</w:t>
      </w:r>
      <w:r w:rsidR="00A00B55" w:rsidRPr="009B0D0B">
        <w:rPr>
          <w:rFonts w:ascii="Verdana" w:hAnsi="Verdana"/>
          <w:sz w:val="20"/>
          <w:szCs w:val="20"/>
          <w:lang w:val="es-AR"/>
        </w:rPr>
        <w:t xml:space="preserve">. </w:t>
      </w:r>
    </w:p>
    <w:p w14:paraId="68C000C6" w14:textId="77777777" w:rsidR="00A00B55" w:rsidRPr="00917D8F" w:rsidRDefault="00A00B55" w:rsidP="00A00B55">
      <w:pPr>
        <w:pStyle w:val="ListParagraph"/>
        <w:tabs>
          <w:tab w:val="left" w:pos="142"/>
          <w:tab w:val="left" w:pos="709"/>
        </w:tabs>
        <w:spacing w:line="240" w:lineRule="auto"/>
        <w:ind w:left="0"/>
        <w:jc w:val="both"/>
        <w:rPr>
          <w:rFonts w:ascii="Verdana" w:hAnsi="Verdana"/>
          <w:b/>
          <w:sz w:val="20"/>
          <w:szCs w:val="20"/>
          <w:lang w:val="es-AR"/>
        </w:rPr>
      </w:pPr>
    </w:p>
    <w:p w14:paraId="28EA8DF0" w14:textId="77777777" w:rsidR="00A00B55" w:rsidRPr="009B0D0B" w:rsidRDefault="00D62C93" w:rsidP="009B0D0B">
      <w:pPr>
        <w:pStyle w:val="ListParagraph"/>
        <w:tabs>
          <w:tab w:val="left" w:pos="142"/>
          <w:tab w:val="left" w:pos="709"/>
        </w:tabs>
        <w:spacing w:line="240" w:lineRule="auto"/>
        <w:ind w:left="0"/>
        <w:jc w:val="both"/>
        <w:rPr>
          <w:rFonts w:ascii="Verdana" w:hAnsi="Verdana"/>
          <w:sz w:val="20"/>
          <w:szCs w:val="20"/>
          <w:lang w:val="es-AR"/>
        </w:rPr>
      </w:pPr>
      <w:r>
        <w:rPr>
          <w:rFonts w:ascii="Verdana" w:hAnsi="Verdana"/>
          <w:sz w:val="20"/>
          <w:szCs w:val="20"/>
          <w:lang w:val="es-AR"/>
        </w:rPr>
        <w:t>50</w:t>
      </w:r>
      <w:r w:rsidR="00CA5368">
        <w:rPr>
          <w:rFonts w:ascii="Verdana" w:hAnsi="Verdana"/>
          <w:sz w:val="20"/>
          <w:szCs w:val="20"/>
          <w:lang w:val="es-AR"/>
        </w:rPr>
        <w:t xml:space="preserve">. </w:t>
      </w:r>
      <w:r w:rsidR="00CA5368">
        <w:rPr>
          <w:rFonts w:ascii="Verdana" w:hAnsi="Verdana"/>
          <w:sz w:val="20"/>
          <w:szCs w:val="20"/>
          <w:lang w:val="es-AR"/>
        </w:rPr>
        <w:tab/>
      </w:r>
      <w:r w:rsidR="000533C4" w:rsidRPr="009B0D0B">
        <w:rPr>
          <w:rFonts w:ascii="Verdana" w:hAnsi="Verdana"/>
          <w:sz w:val="20"/>
          <w:szCs w:val="20"/>
          <w:lang w:val="es-AR"/>
        </w:rPr>
        <w:t>L</w:t>
      </w:r>
      <w:r w:rsidR="00A00B55" w:rsidRPr="009B0D0B">
        <w:rPr>
          <w:rFonts w:ascii="Verdana" w:hAnsi="Verdana"/>
          <w:sz w:val="20"/>
          <w:szCs w:val="20"/>
          <w:lang w:val="es-AR"/>
        </w:rPr>
        <w:t xml:space="preserve">a independencia del proyecto comunicacional de RCTV </w:t>
      </w:r>
      <w:r w:rsidR="00A00B55" w:rsidRPr="009B0D0B">
        <w:rPr>
          <w:rFonts w:ascii="Verdana" w:hAnsi="Verdana"/>
          <w:sz w:val="20"/>
          <w:szCs w:val="20"/>
          <w:u w:val="single"/>
          <w:lang w:val="es-AR"/>
        </w:rPr>
        <w:t>fue defendida por todos sus accionistas</w:t>
      </w:r>
      <w:r w:rsidR="00A00B55" w:rsidRPr="009B0D0B">
        <w:rPr>
          <w:rFonts w:ascii="Verdana" w:hAnsi="Verdana"/>
          <w:sz w:val="20"/>
          <w:szCs w:val="20"/>
          <w:lang w:val="es-AR"/>
        </w:rPr>
        <w:t xml:space="preserve">. Lo anterior quedó evidenciado mediante la negativa unánime que expresaron </w:t>
      </w:r>
      <w:r w:rsidR="00A00B55" w:rsidRPr="009B0D0B">
        <w:rPr>
          <w:rFonts w:ascii="Verdana" w:hAnsi="Verdana"/>
          <w:sz w:val="20"/>
          <w:szCs w:val="20"/>
        </w:rPr>
        <w:t>frente a la oferta de compra de RCTV por parte del</w:t>
      </w:r>
      <w:r w:rsidR="0026499C">
        <w:rPr>
          <w:rFonts w:ascii="Verdana" w:hAnsi="Verdana"/>
          <w:sz w:val="20"/>
          <w:szCs w:val="20"/>
        </w:rPr>
        <w:t xml:space="preserve"> Estado</w:t>
      </w:r>
      <w:r w:rsidR="00A00B55" w:rsidRPr="009B0D0B">
        <w:rPr>
          <w:rFonts w:ascii="Verdana" w:hAnsi="Verdana"/>
          <w:sz w:val="20"/>
          <w:szCs w:val="20"/>
        </w:rPr>
        <w:t>. Al respecto, el señor Marcel Granier resaltó que</w:t>
      </w:r>
      <w:r w:rsidR="0089128D">
        <w:rPr>
          <w:rFonts w:ascii="Verdana" w:hAnsi="Verdana"/>
          <w:sz w:val="20"/>
          <w:szCs w:val="20"/>
        </w:rPr>
        <w:t>,</w:t>
      </w:r>
      <w:r w:rsidR="00A00B55" w:rsidRPr="009B0D0B">
        <w:rPr>
          <w:rFonts w:ascii="Verdana" w:hAnsi="Verdana"/>
          <w:sz w:val="20"/>
          <w:szCs w:val="20"/>
        </w:rPr>
        <w:t xml:space="preserve"> ante la oferta de compra, los accionistas decidieron en su totalidad conservar la propiedad sobre el medio de comunicación, en parte para evitar que fuera utilizado con fines de propaganda política del gobierno</w:t>
      </w:r>
      <w:r w:rsidR="00A00B55" w:rsidRPr="009B0D0B">
        <w:rPr>
          <w:rStyle w:val="FootnoteReference"/>
          <w:rFonts w:ascii="Verdana" w:hAnsi="Verdana"/>
          <w:sz w:val="20"/>
          <w:szCs w:val="20"/>
        </w:rPr>
        <w:footnoteReference w:id="73"/>
      </w:r>
      <w:r w:rsidR="00A00B55" w:rsidRPr="009B0D0B">
        <w:rPr>
          <w:rFonts w:ascii="Verdana" w:hAnsi="Verdana"/>
          <w:sz w:val="20"/>
          <w:szCs w:val="20"/>
        </w:rPr>
        <w:t>.</w:t>
      </w:r>
    </w:p>
    <w:p w14:paraId="4953FA24" w14:textId="77777777" w:rsidR="00A00B55" w:rsidRDefault="00A00B55" w:rsidP="00A00B55">
      <w:pPr>
        <w:pStyle w:val="ListParagraph"/>
        <w:spacing w:line="240" w:lineRule="auto"/>
        <w:ind w:left="0"/>
        <w:jc w:val="both"/>
        <w:rPr>
          <w:rFonts w:ascii="Verdana" w:hAnsi="Verdana"/>
          <w:sz w:val="20"/>
          <w:szCs w:val="20"/>
        </w:rPr>
      </w:pPr>
    </w:p>
    <w:p w14:paraId="35B01BA2" w14:textId="77777777" w:rsidR="00A00B55" w:rsidRPr="000B4E84" w:rsidRDefault="00786B09" w:rsidP="00A00B55">
      <w:pPr>
        <w:pStyle w:val="ListParagraph"/>
        <w:spacing w:line="240" w:lineRule="auto"/>
        <w:ind w:left="0"/>
        <w:jc w:val="both"/>
        <w:rPr>
          <w:rFonts w:ascii="Verdana" w:hAnsi="Verdana"/>
          <w:i/>
          <w:sz w:val="20"/>
          <w:szCs w:val="20"/>
          <w:u w:val="single"/>
        </w:rPr>
      </w:pPr>
      <w:r w:rsidRPr="000B4E84">
        <w:rPr>
          <w:rFonts w:ascii="Verdana" w:hAnsi="Verdana"/>
          <w:i/>
          <w:sz w:val="20"/>
          <w:szCs w:val="20"/>
          <w:u w:val="single"/>
        </w:rPr>
        <w:t>B.</w:t>
      </w:r>
      <w:r w:rsidR="003E021C" w:rsidRPr="000B4E84">
        <w:rPr>
          <w:rFonts w:ascii="Verdana" w:hAnsi="Verdana"/>
          <w:i/>
          <w:sz w:val="20"/>
          <w:szCs w:val="20"/>
          <w:u w:val="single"/>
        </w:rPr>
        <w:t>2.</w:t>
      </w:r>
      <w:r w:rsidRPr="000B4E84">
        <w:rPr>
          <w:rFonts w:ascii="Verdana" w:hAnsi="Verdana"/>
          <w:i/>
          <w:sz w:val="20"/>
          <w:szCs w:val="20"/>
          <w:u w:val="single"/>
        </w:rPr>
        <w:t>b)</w:t>
      </w:r>
      <w:r w:rsidR="003E021C" w:rsidRPr="000B4E84">
        <w:rPr>
          <w:rFonts w:ascii="Verdana" w:hAnsi="Verdana"/>
          <w:i/>
          <w:sz w:val="20"/>
          <w:szCs w:val="20"/>
          <w:u w:val="single"/>
        </w:rPr>
        <w:t xml:space="preserve"> </w:t>
      </w:r>
      <w:r w:rsidR="008F18F3" w:rsidRPr="000B4E84">
        <w:rPr>
          <w:rFonts w:ascii="Verdana" w:hAnsi="Verdana"/>
          <w:i/>
          <w:sz w:val="20"/>
          <w:szCs w:val="20"/>
          <w:u w:val="single"/>
        </w:rPr>
        <w:tab/>
      </w:r>
      <w:r w:rsidR="003E021C" w:rsidRPr="000B4E84">
        <w:rPr>
          <w:rFonts w:ascii="Verdana" w:hAnsi="Verdana"/>
          <w:i/>
          <w:sz w:val="20"/>
          <w:szCs w:val="20"/>
          <w:u w:val="single"/>
        </w:rPr>
        <w:t>No existe controversia entre los accionistas (mayoritarios o minoritarios) para acudir al Sistema Interamericano</w:t>
      </w:r>
    </w:p>
    <w:p w14:paraId="4020E68D" w14:textId="77777777" w:rsidR="00E005F5" w:rsidRPr="008329BA" w:rsidRDefault="00E005F5" w:rsidP="00E005F5">
      <w:pPr>
        <w:pStyle w:val="ListParagraph"/>
        <w:spacing w:line="240" w:lineRule="auto"/>
        <w:ind w:left="0"/>
        <w:jc w:val="both"/>
        <w:rPr>
          <w:rFonts w:ascii="Verdana" w:hAnsi="Verdana"/>
          <w:sz w:val="20"/>
          <w:szCs w:val="20"/>
        </w:rPr>
      </w:pPr>
    </w:p>
    <w:p w14:paraId="49397AC0" w14:textId="77777777" w:rsidR="00343985" w:rsidRDefault="00D62C93" w:rsidP="009B0D0B">
      <w:pPr>
        <w:pStyle w:val="ListParagraph"/>
        <w:spacing w:line="240" w:lineRule="auto"/>
        <w:ind w:left="0"/>
        <w:jc w:val="both"/>
        <w:rPr>
          <w:rFonts w:ascii="Verdana" w:hAnsi="Verdana"/>
          <w:sz w:val="20"/>
          <w:szCs w:val="20"/>
        </w:rPr>
      </w:pPr>
      <w:r>
        <w:rPr>
          <w:rFonts w:ascii="Verdana" w:hAnsi="Verdana"/>
          <w:sz w:val="20"/>
          <w:szCs w:val="20"/>
        </w:rPr>
        <w:t>51</w:t>
      </w:r>
      <w:r w:rsidR="009B0D0B">
        <w:rPr>
          <w:rFonts w:ascii="Verdana" w:hAnsi="Verdana"/>
          <w:sz w:val="20"/>
          <w:szCs w:val="20"/>
        </w:rPr>
        <w:t xml:space="preserve">. </w:t>
      </w:r>
      <w:r w:rsidR="009B0D0B">
        <w:rPr>
          <w:rFonts w:ascii="Verdana" w:hAnsi="Verdana"/>
          <w:sz w:val="20"/>
          <w:szCs w:val="20"/>
        </w:rPr>
        <w:tab/>
      </w:r>
      <w:r w:rsidR="00CC660C">
        <w:rPr>
          <w:rFonts w:ascii="Verdana" w:hAnsi="Verdana"/>
          <w:sz w:val="20"/>
          <w:szCs w:val="20"/>
        </w:rPr>
        <w:t>Además</w:t>
      </w:r>
      <w:r w:rsidR="003E021C">
        <w:rPr>
          <w:rFonts w:ascii="Verdana" w:hAnsi="Verdana"/>
          <w:sz w:val="20"/>
          <w:szCs w:val="20"/>
        </w:rPr>
        <w:t>, s</w:t>
      </w:r>
      <w:r w:rsidR="004D7DDE">
        <w:rPr>
          <w:rFonts w:ascii="Verdana" w:hAnsi="Verdana"/>
          <w:sz w:val="20"/>
          <w:szCs w:val="20"/>
        </w:rPr>
        <w:t>i se tienen</w:t>
      </w:r>
      <w:r w:rsidR="00E005F5">
        <w:rPr>
          <w:rFonts w:ascii="Verdana" w:hAnsi="Verdana"/>
          <w:sz w:val="20"/>
          <w:szCs w:val="20"/>
        </w:rPr>
        <w:t xml:space="preserve"> en c</w:t>
      </w:r>
      <w:r w:rsidR="004D7DDE">
        <w:rPr>
          <w:rFonts w:ascii="Verdana" w:hAnsi="Verdana"/>
          <w:sz w:val="20"/>
          <w:szCs w:val="20"/>
        </w:rPr>
        <w:t>onsideración</w:t>
      </w:r>
      <w:r w:rsidR="00E005F5">
        <w:rPr>
          <w:rFonts w:ascii="Verdana" w:hAnsi="Verdana"/>
          <w:sz w:val="20"/>
          <w:szCs w:val="20"/>
        </w:rPr>
        <w:t xml:space="preserve"> las excepciones que el Tribunal Europeo ha desarrollado en su jurisprudencia</w:t>
      </w:r>
      <w:r w:rsidR="003E021C">
        <w:rPr>
          <w:rFonts w:ascii="Verdana" w:hAnsi="Verdana"/>
          <w:sz w:val="20"/>
          <w:szCs w:val="20"/>
        </w:rPr>
        <w:t xml:space="preserve"> (véase </w:t>
      </w:r>
      <w:r w:rsidR="003E021C" w:rsidRPr="004D7DDE">
        <w:rPr>
          <w:rFonts w:ascii="Verdana" w:hAnsi="Verdana"/>
          <w:i/>
          <w:sz w:val="20"/>
          <w:szCs w:val="20"/>
        </w:rPr>
        <w:t>supra</w:t>
      </w:r>
      <w:r w:rsidR="004D7DDE">
        <w:rPr>
          <w:rFonts w:ascii="Verdana" w:hAnsi="Verdana"/>
          <w:sz w:val="20"/>
          <w:szCs w:val="20"/>
        </w:rPr>
        <w:t xml:space="preserve"> párr</w:t>
      </w:r>
      <w:r w:rsidR="00713607">
        <w:rPr>
          <w:rFonts w:ascii="Verdana" w:hAnsi="Verdana"/>
          <w:sz w:val="20"/>
          <w:szCs w:val="20"/>
        </w:rPr>
        <w:t>s</w:t>
      </w:r>
      <w:r w:rsidR="003E021C">
        <w:rPr>
          <w:rFonts w:ascii="Verdana" w:hAnsi="Verdana"/>
          <w:sz w:val="20"/>
          <w:szCs w:val="20"/>
        </w:rPr>
        <w:t xml:space="preserve">. </w:t>
      </w:r>
      <w:r w:rsidR="003A1C8D">
        <w:rPr>
          <w:rFonts w:ascii="Verdana" w:hAnsi="Verdana"/>
          <w:sz w:val="20"/>
          <w:szCs w:val="20"/>
        </w:rPr>
        <w:t>32-44</w:t>
      </w:r>
      <w:r w:rsidR="004D7DDE">
        <w:rPr>
          <w:rFonts w:ascii="Verdana" w:hAnsi="Verdana"/>
          <w:sz w:val="20"/>
          <w:szCs w:val="20"/>
        </w:rPr>
        <w:t xml:space="preserve"> del presente voto</w:t>
      </w:r>
      <w:r w:rsidR="003E021C">
        <w:rPr>
          <w:rFonts w:ascii="Verdana" w:hAnsi="Verdana"/>
          <w:sz w:val="20"/>
          <w:szCs w:val="20"/>
        </w:rPr>
        <w:t>)</w:t>
      </w:r>
      <w:r w:rsidR="00E005F5">
        <w:rPr>
          <w:rFonts w:ascii="Verdana" w:hAnsi="Verdana"/>
          <w:sz w:val="20"/>
          <w:szCs w:val="20"/>
        </w:rPr>
        <w:t xml:space="preserve">, todos aquellos accionistas que formen parte de una </w:t>
      </w:r>
      <w:r w:rsidR="0089128D">
        <w:rPr>
          <w:rFonts w:ascii="Verdana" w:hAnsi="Verdana"/>
          <w:sz w:val="20"/>
          <w:szCs w:val="20"/>
        </w:rPr>
        <w:t xml:space="preserve">persona jurídica </w:t>
      </w:r>
      <w:r w:rsidR="00E005F5">
        <w:rPr>
          <w:rFonts w:ascii="Verdana" w:hAnsi="Verdana"/>
          <w:sz w:val="20"/>
          <w:szCs w:val="20"/>
        </w:rPr>
        <w:t>tienen derecho a ser cat</w:t>
      </w:r>
      <w:r w:rsidR="00FC0398">
        <w:rPr>
          <w:rFonts w:ascii="Verdana" w:hAnsi="Verdana"/>
          <w:sz w:val="20"/>
          <w:szCs w:val="20"/>
        </w:rPr>
        <w:t>egorizados bajo la noción de “ví</w:t>
      </w:r>
      <w:r w:rsidR="00E005F5">
        <w:rPr>
          <w:rFonts w:ascii="Verdana" w:hAnsi="Verdana"/>
          <w:sz w:val="20"/>
          <w:szCs w:val="20"/>
        </w:rPr>
        <w:t xml:space="preserve">ctima”, máxime si en el supuesto de medios de comunicación privados, sus bienes son destinados a consolidar la pluralidad de información en una sociedad. </w:t>
      </w:r>
    </w:p>
    <w:p w14:paraId="3D26F530" w14:textId="77777777" w:rsidR="00343985" w:rsidRDefault="00343985" w:rsidP="00343985">
      <w:pPr>
        <w:pStyle w:val="ListParagraph"/>
        <w:spacing w:line="240" w:lineRule="auto"/>
        <w:ind w:left="0"/>
        <w:jc w:val="both"/>
        <w:rPr>
          <w:rFonts w:ascii="Verdana" w:hAnsi="Verdana"/>
          <w:sz w:val="20"/>
          <w:szCs w:val="20"/>
        </w:rPr>
      </w:pPr>
    </w:p>
    <w:p w14:paraId="1A98F953" w14:textId="2F5CA5D5" w:rsidR="00E005F5" w:rsidRPr="003F2C61" w:rsidRDefault="00D62C93" w:rsidP="009B0D0B">
      <w:pPr>
        <w:pStyle w:val="ListParagraph"/>
        <w:spacing w:line="240" w:lineRule="auto"/>
        <w:ind w:left="0"/>
        <w:jc w:val="both"/>
        <w:rPr>
          <w:rFonts w:ascii="Verdana" w:hAnsi="Verdana"/>
          <w:sz w:val="20"/>
          <w:szCs w:val="20"/>
        </w:rPr>
      </w:pPr>
      <w:r>
        <w:rPr>
          <w:rFonts w:ascii="Verdana" w:hAnsi="Verdana"/>
          <w:sz w:val="20"/>
          <w:szCs w:val="20"/>
        </w:rPr>
        <w:t>52</w:t>
      </w:r>
      <w:r w:rsidR="009B0D0B">
        <w:rPr>
          <w:rFonts w:ascii="Verdana" w:hAnsi="Verdana"/>
          <w:sz w:val="20"/>
          <w:szCs w:val="20"/>
        </w:rPr>
        <w:t xml:space="preserve">. </w:t>
      </w:r>
      <w:r w:rsidR="009B0D0B">
        <w:rPr>
          <w:rFonts w:ascii="Verdana" w:hAnsi="Verdana"/>
          <w:sz w:val="20"/>
          <w:szCs w:val="20"/>
        </w:rPr>
        <w:tab/>
      </w:r>
      <w:r w:rsidR="00E005F5">
        <w:rPr>
          <w:rFonts w:ascii="Verdana" w:hAnsi="Verdana"/>
          <w:sz w:val="20"/>
          <w:szCs w:val="20"/>
        </w:rPr>
        <w:t>Sobre esta línea, e</w:t>
      </w:r>
      <w:r w:rsidR="00E005F5" w:rsidRPr="003F2C61">
        <w:rPr>
          <w:rFonts w:ascii="Verdana" w:hAnsi="Verdana"/>
          <w:sz w:val="20"/>
          <w:szCs w:val="20"/>
        </w:rPr>
        <w:t xml:space="preserve">l perito </w:t>
      </w:r>
      <w:r w:rsidR="00865387">
        <w:rPr>
          <w:rFonts w:ascii="Verdana" w:hAnsi="Verdana"/>
          <w:sz w:val="20"/>
          <w:szCs w:val="20"/>
        </w:rPr>
        <w:t>Rubio Llorente</w:t>
      </w:r>
      <w:r w:rsidR="00E005F5" w:rsidRPr="003F2C61">
        <w:rPr>
          <w:rFonts w:ascii="Verdana" w:hAnsi="Verdana"/>
          <w:sz w:val="20"/>
          <w:szCs w:val="20"/>
        </w:rPr>
        <w:t xml:space="preserve"> manifestó que la libertad de expresión en los medios privad</w:t>
      </w:r>
      <w:r w:rsidR="00343985">
        <w:rPr>
          <w:rFonts w:ascii="Verdana" w:hAnsi="Verdana"/>
          <w:sz w:val="20"/>
          <w:szCs w:val="20"/>
        </w:rPr>
        <w:t xml:space="preserve">os de comunicación </w:t>
      </w:r>
      <w:r w:rsidR="00343985" w:rsidRPr="00865387">
        <w:rPr>
          <w:rFonts w:ascii="Verdana" w:hAnsi="Verdana"/>
          <w:sz w:val="20"/>
          <w:szCs w:val="20"/>
        </w:rPr>
        <w:t>protege no só</w:t>
      </w:r>
      <w:r w:rsidR="00E005F5" w:rsidRPr="00865387">
        <w:rPr>
          <w:rFonts w:ascii="Verdana" w:hAnsi="Verdana"/>
          <w:sz w:val="20"/>
          <w:szCs w:val="20"/>
        </w:rPr>
        <w:t>lo los contenidos de sus emisiones, sino también su actividad específicamente empresarial, que es vital para su propia subsistencia en el mercado.</w:t>
      </w:r>
      <w:r w:rsidR="00E005F5">
        <w:rPr>
          <w:rFonts w:ascii="Verdana" w:hAnsi="Verdana"/>
          <w:sz w:val="20"/>
          <w:szCs w:val="20"/>
        </w:rPr>
        <w:t xml:space="preserve"> La libertad</w:t>
      </w:r>
      <w:r w:rsidR="00E005F5" w:rsidRPr="003F2C61">
        <w:rPr>
          <w:rFonts w:ascii="Verdana" w:hAnsi="Verdana"/>
          <w:sz w:val="20"/>
          <w:szCs w:val="20"/>
        </w:rPr>
        <w:t xml:space="preserve"> y la independencia en la línea editorial que tienen los medios </w:t>
      </w:r>
      <w:r w:rsidR="00E005F5" w:rsidRPr="003F2C61">
        <w:rPr>
          <w:rFonts w:ascii="Verdana" w:hAnsi="Verdana"/>
          <w:sz w:val="20"/>
          <w:szCs w:val="20"/>
        </w:rPr>
        <w:lastRenderedPageBreak/>
        <w:t xml:space="preserve">privados de comunicación televisivos, se debe en gran medida a que su financiamiento no proviene de fondos públicos. Además, agregó que sean cuales </w:t>
      </w:r>
      <w:r w:rsidR="00CC660C">
        <w:rPr>
          <w:rFonts w:ascii="Verdana" w:hAnsi="Verdana"/>
          <w:sz w:val="20"/>
          <w:szCs w:val="20"/>
        </w:rPr>
        <w:t>fuesen</w:t>
      </w:r>
      <w:r w:rsidR="00CC660C" w:rsidRPr="003F2C61">
        <w:rPr>
          <w:rFonts w:ascii="Verdana" w:hAnsi="Verdana"/>
          <w:sz w:val="20"/>
          <w:szCs w:val="20"/>
        </w:rPr>
        <w:t xml:space="preserve"> </w:t>
      </w:r>
      <w:r w:rsidR="00E005F5" w:rsidRPr="003F2C61">
        <w:rPr>
          <w:rFonts w:ascii="Verdana" w:hAnsi="Verdana"/>
          <w:sz w:val="20"/>
          <w:szCs w:val="20"/>
        </w:rPr>
        <w:t>las motivaciones personales de los socios de la empresa de comunicación, o su grado d</w:t>
      </w:r>
      <w:r w:rsidR="00713607">
        <w:rPr>
          <w:rFonts w:ascii="Verdana" w:hAnsi="Verdana"/>
          <w:sz w:val="20"/>
          <w:szCs w:val="20"/>
        </w:rPr>
        <w:t>e implicación en la gestión de é</w:t>
      </w:r>
      <w:r w:rsidR="00E005F5" w:rsidRPr="003F2C61">
        <w:rPr>
          <w:rFonts w:ascii="Verdana" w:hAnsi="Verdana"/>
          <w:sz w:val="20"/>
          <w:szCs w:val="20"/>
        </w:rPr>
        <w:t>sta</w:t>
      </w:r>
      <w:r w:rsidR="00CC660C">
        <w:rPr>
          <w:rFonts w:ascii="Verdana" w:hAnsi="Verdana"/>
          <w:sz w:val="20"/>
          <w:szCs w:val="20"/>
        </w:rPr>
        <w:t>, o bien</w:t>
      </w:r>
      <w:r w:rsidR="00CA560C">
        <w:rPr>
          <w:rFonts w:ascii="Verdana" w:hAnsi="Verdana"/>
          <w:sz w:val="20"/>
          <w:szCs w:val="20"/>
        </w:rPr>
        <w:t xml:space="preserve"> </w:t>
      </w:r>
      <w:r w:rsidR="00E005F5" w:rsidRPr="003F2C61">
        <w:rPr>
          <w:rFonts w:ascii="Verdana" w:hAnsi="Verdana"/>
          <w:sz w:val="20"/>
          <w:szCs w:val="20"/>
        </w:rPr>
        <w:t xml:space="preserve">el peso </w:t>
      </w:r>
      <w:r w:rsidR="00CC660C">
        <w:rPr>
          <w:rFonts w:ascii="Verdana" w:hAnsi="Verdana"/>
          <w:sz w:val="20"/>
          <w:szCs w:val="20"/>
        </w:rPr>
        <w:t>d</w:t>
      </w:r>
      <w:r w:rsidR="00E005F5" w:rsidRPr="003F2C61">
        <w:rPr>
          <w:rFonts w:ascii="Verdana" w:hAnsi="Verdana"/>
          <w:sz w:val="20"/>
          <w:szCs w:val="20"/>
        </w:rPr>
        <w:t xml:space="preserve">el ánimo de lucro que inspira su actividad, tanto los socios como la empresa están protegidos por la libertad de expresión. </w:t>
      </w:r>
      <w:r w:rsidR="00E005F5" w:rsidRPr="006551DB">
        <w:rPr>
          <w:rFonts w:ascii="Verdana" w:hAnsi="Verdana"/>
          <w:sz w:val="20"/>
          <w:szCs w:val="20"/>
          <w:u w:val="single"/>
        </w:rPr>
        <w:t>Sobre el grado de afectación, el perito apuntó que si bien existen diferencias en el grado de afectación, éstas pueden ser tomadas en consideración para ponderar la gravedad del daño causado por la negación de la renovación, pues dicha decisión lesionó la libertad de expresión del medio de comunicación y por ende, de cada uno de los socios</w:t>
      </w:r>
      <w:r w:rsidR="00E005F5">
        <w:rPr>
          <w:rStyle w:val="FootnoteReference"/>
          <w:rFonts w:ascii="Verdana" w:hAnsi="Verdana"/>
          <w:sz w:val="20"/>
          <w:szCs w:val="20"/>
        </w:rPr>
        <w:footnoteReference w:id="74"/>
      </w:r>
      <w:r w:rsidR="00E005F5" w:rsidRPr="003F2C61">
        <w:rPr>
          <w:rFonts w:ascii="Verdana" w:hAnsi="Verdana"/>
          <w:sz w:val="20"/>
          <w:szCs w:val="20"/>
        </w:rPr>
        <w:t xml:space="preserve">. </w:t>
      </w:r>
    </w:p>
    <w:p w14:paraId="79A1922E" w14:textId="77777777" w:rsidR="00E005F5" w:rsidRDefault="00E005F5" w:rsidP="00E005F5">
      <w:pPr>
        <w:pStyle w:val="ListParagraph"/>
        <w:spacing w:line="240" w:lineRule="auto"/>
        <w:ind w:left="0"/>
        <w:jc w:val="both"/>
        <w:rPr>
          <w:rFonts w:ascii="Verdana" w:hAnsi="Verdana"/>
          <w:sz w:val="20"/>
          <w:szCs w:val="20"/>
        </w:rPr>
      </w:pPr>
    </w:p>
    <w:p w14:paraId="4671F548" w14:textId="4DC3EF6F" w:rsidR="00E005F5" w:rsidRDefault="00D62C93" w:rsidP="009B0D0B">
      <w:pPr>
        <w:pStyle w:val="ListParagraph"/>
        <w:spacing w:line="240" w:lineRule="auto"/>
        <w:ind w:left="0"/>
        <w:jc w:val="both"/>
        <w:rPr>
          <w:rFonts w:ascii="Verdana" w:hAnsi="Verdana"/>
          <w:sz w:val="20"/>
          <w:szCs w:val="20"/>
        </w:rPr>
      </w:pPr>
      <w:r>
        <w:rPr>
          <w:rFonts w:ascii="Verdana" w:hAnsi="Verdana"/>
          <w:sz w:val="20"/>
          <w:szCs w:val="20"/>
        </w:rPr>
        <w:t>53</w:t>
      </w:r>
      <w:r w:rsidR="009B0D0B">
        <w:rPr>
          <w:rFonts w:ascii="Verdana" w:hAnsi="Verdana"/>
          <w:sz w:val="20"/>
          <w:szCs w:val="20"/>
        </w:rPr>
        <w:t xml:space="preserve">. </w:t>
      </w:r>
      <w:r w:rsidR="009B0D0B">
        <w:rPr>
          <w:rFonts w:ascii="Verdana" w:hAnsi="Verdana"/>
          <w:sz w:val="20"/>
          <w:szCs w:val="20"/>
        </w:rPr>
        <w:tab/>
      </w:r>
      <w:r w:rsidR="00E005F5" w:rsidRPr="00E472A9">
        <w:rPr>
          <w:rFonts w:ascii="Verdana" w:hAnsi="Verdana"/>
          <w:sz w:val="20"/>
          <w:szCs w:val="20"/>
        </w:rPr>
        <w:t xml:space="preserve">En el presente caso, </w:t>
      </w:r>
      <w:r w:rsidR="00E005F5">
        <w:rPr>
          <w:rFonts w:ascii="Verdana" w:hAnsi="Verdana"/>
          <w:sz w:val="20"/>
          <w:szCs w:val="20"/>
        </w:rPr>
        <w:t>no existe controversia ni discrepancia entre los accionistas</w:t>
      </w:r>
      <w:r w:rsidR="00C10567" w:rsidRPr="00C10567">
        <w:rPr>
          <w:rFonts w:ascii="Verdana" w:hAnsi="Verdana"/>
          <w:sz w:val="20"/>
          <w:szCs w:val="20"/>
        </w:rPr>
        <w:t xml:space="preserve"> </w:t>
      </w:r>
      <w:r w:rsidR="00C10567">
        <w:rPr>
          <w:rFonts w:ascii="Verdana" w:hAnsi="Verdana"/>
          <w:sz w:val="20"/>
          <w:szCs w:val="20"/>
        </w:rPr>
        <w:t>de RCTV</w:t>
      </w:r>
      <w:r w:rsidR="00E005F5">
        <w:rPr>
          <w:rFonts w:ascii="Verdana" w:hAnsi="Verdana"/>
          <w:sz w:val="20"/>
          <w:szCs w:val="20"/>
        </w:rPr>
        <w:t>, mayoritarios y minori</w:t>
      </w:r>
      <w:r w:rsidR="00343985">
        <w:rPr>
          <w:rFonts w:ascii="Verdana" w:hAnsi="Verdana"/>
          <w:sz w:val="20"/>
          <w:szCs w:val="20"/>
        </w:rPr>
        <w:t>tarios, para acudir al Sistema I</w:t>
      </w:r>
      <w:r w:rsidR="00E005F5">
        <w:rPr>
          <w:rFonts w:ascii="Verdana" w:hAnsi="Verdana"/>
          <w:sz w:val="20"/>
          <w:szCs w:val="20"/>
        </w:rPr>
        <w:t xml:space="preserve">nteramericano de protección de derechos humanos, pues </w:t>
      </w:r>
      <w:r w:rsidR="00E005F5" w:rsidRPr="006551DB">
        <w:rPr>
          <w:rFonts w:ascii="Verdana" w:hAnsi="Verdana"/>
          <w:sz w:val="20"/>
          <w:szCs w:val="20"/>
          <w:u w:val="single"/>
        </w:rPr>
        <w:t>todos y cada uno</w:t>
      </w:r>
      <w:r w:rsidR="00865387">
        <w:rPr>
          <w:rFonts w:ascii="Verdana" w:hAnsi="Verdana"/>
          <w:sz w:val="20"/>
          <w:szCs w:val="20"/>
          <w:u w:val="single"/>
        </w:rPr>
        <w:t xml:space="preserve"> de ellos</w:t>
      </w:r>
      <w:r w:rsidR="00E005F5" w:rsidRPr="006551DB">
        <w:rPr>
          <w:rFonts w:ascii="Verdana" w:hAnsi="Verdana"/>
          <w:sz w:val="20"/>
          <w:szCs w:val="20"/>
          <w:u w:val="single"/>
        </w:rPr>
        <w:t xml:space="preserve"> han solicitado la protección de sus derechos ante los órganos del </w:t>
      </w:r>
      <w:r w:rsidR="0026499C">
        <w:rPr>
          <w:rFonts w:ascii="Verdana" w:hAnsi="Verdana"/>
          <w:sz w:val="20"/>
          <w:szCs w:val="20"/>
          <w:u w:val="single"/>
        </w:rPr>
        <w:t>S</w:t>
      </w:r>
      <w:r w:rsidR="00E005F5" w:rsidRPr="006551DB">
        <w:rPr>
          <w:rFonts w:ascii="Verdana" w:hAnsi="Verdana"/>
          <w:sz w:val="20"/>
          <w:szCs w:val="20"/>
          <w:u w:val="single"/>
        </w:rPr>
        <w:t>istema</w:t>
      </w:r>
      <w:r w:rsidR="00865387">
        <w:rPr>
          <w:rFonts w:ascii="Verdana" w:hAnsi="Verdana"/>
          <w:sz w:val="20"/>
          <w:szCs w:val="20"/>
        </w:rPr>
        <w:t xml:space="preserve"> y</w:t>
      </w:r>
      <w:r w:rsidR="00E005F5">
        <w:rPr>
          <w:rFonts w:ascii="Verdana" w:hAnsi="Verdana"/>
          <w:sz w:val="20"/>
          <w:szCs w:val="20"/>
        </w:rPr>
        <w:t xml:space="preserve"> a</w:t>
      </w:r>
      <w:r w:rsidR="00865387">
        <w:rPr>
          <w:rFonts w:ascii="Verdana" w:hAnsi="Verdana"/>
          <w:sz w:val="20"/>
          <w:szCs w:val="20"/>
        </w:rPr>
        <w:t>sí</w:t>
      </w:r>
      <w:r w:rsidR="00E005F5" w:rsidRPr="00E472A9">
        <w:rPr>
          <w:rFonts w:ascii="Verdana" w:hAnsi="Verdana"/>
          <w:sz w:val="20"/>
          <w:szCs w:val="20"/>
        </w:rPr>
        <w:t xml:space="preserve"> son v</w:t>
      </w:r>
      <w:r w:rsidR="0026499C">
        <w:rPr>
          <w:rFonts w:ascii="Verdana" w:hAnsi="Verdana"/>
          <w:sz w:val="20"/>
          <w:szCs w:val="20"/>
        </w:rPr>
        <w:t>í</w:t>
      </w:r>
      <w:r w:rsidR="00E005F5" w:rsidRPr="00E472A9">
        <w:rPr>
          <w:rFonts w:ascii="Verdana" w:hAnsi="Verdana"/>
          <w:sz w:val="20"/>
          <w:szCs w:val="20"/>
        </w:rPr>
        <w:t xml:space="preserve">ctimas demandantes en el caso </w:t>
      </w:r>
      <w:r w:rsidR="00E005F5" w:rsidRPr="00E472A9">
        <w:rPr>
          <w:rFonts w:ascii="Verdana" w:hAnsi="Verdana"/>
          <w:i/>
          <w:sz w:val="20"/>
          <w:szCs w:val="20"/>
        </w:rPr>
        <w:t>sub judice</w:t>
      </w:r>
      <w:r w:rsidR="003A1C8D">
        <w:rPr>
          <w:rFonts w:ascii="Verdana" w:hAnsi="Verdana"/>
          <w:i/>
          <w:sz w:val="20"/>
          <w:szCs w:val="20"/>
        </w:rPr>
        <w:t>.</w:t>
      </w:r>
      <w:r w:rsidR="003A1C8D" w:rsidRPr="003A1C8D">
        <w:rPr>
          <w:rFonts w:ascii="Verdana" w:hAnsi="Verdana"/>
          <w:sz w:val="20"/>
          <w:szCs w:val="20"/>
        </w:rPr>
        <w:t xml:space="preserve"> </w:t>
      </w:r>
      <w:r w:rsidR="003A1C8D">
        <w:rPr>
          <w:rFonts w:ascii="Verdana" w:hAnsi="Verdana"/>
          <w:sz w:val="20"/>
          <w:szCs w:val="20"/>
          <w:u w:val="single"/>
        </w:rPr>
        <w:t xml:space="preserve">Es la totalidad de accionistas de RCTV </w:t>
      </w:r>
      <w:r w:rsidR="00E005F5" w:rsidRPr="006551DB">
        <w:rPr>
          <w:rFonts w:ascii="Verdana" w:hAnsi="Verdana"/>
          <w:sz w:val="20"/>
          <w:szCs w:val="20"/>
          <w:u w:val="single"/>
        </w:rPr>
        <w:t>quienes</w:t>
      </w:r>
      <w:r w:rsidR="003A1C8D">
        <w:rPr>
          <w:rFonts w:ascii="Verdana" w:hAnsi="Verdana"/>
          <w:sz w:val="20"/>
          <w:szCs w:val="20"/>
          <w:u w:val="single"/>
        </w:rPr>
        <w:t xml:space="preserve">, </w:t>
      </w:r>
      <w:r w:rsidR="00E005F5" w:rsidRPr="006551DB">
        <w:rPr>
          <w:rFonts w:ascii="Verdana" w:hAnsi="Verdana"/>
          <w:sz w:val="20"/>
          <w:szCs w:val="20"/>
          <w:u w:val="single"/>
        </w:rPr>
        <w:t>sumados</w:t>
      </w:r>
      <w:r w:rsidR="003A1C8D">
        <w:rPr>
          <w:rFonts w:ascii="Verdana" w:hAnsi="Verdana"/>
          <w:sz w:val="20"/>
          <w:szCs w:val="20"/>
          <w:u w:val="single"/>
        </w:rPr>
        <w:t xml:space="preserve">, representan la totalidad de la propiedad sobre el </w:t>
      </w:r>
      <w:r w:rsidR="00E005F5" w:rsidRPr="006551DB">
        <w:rPr>
          <w:rFonts w:ascii="Verdana" w:hAnsi="Verdana"/>
          <w:sz w:val="20"/>
          <w:szCs w:val="20"/>
          <w:u w:val="single"/>
        </w:rPr>
        <w:t>medio</w:t>
      </w:r>
      <w:r w:rsidR="003A1C8D">
        <w:rPr>
          <w:rFonts w:ascii="Verdana" w:hAnsi="Verdana"/>
          <w:sz w:val="20"/>
          <w:szCs w:val="20"/>
          <w:u w:val="single"/>
        </w:rPr>
        <w:t xml:space="preserve">; por lo que no </w:t>
      </w:r>
      <w:r w:rsidR="00E005F5" w:rsidRPr="006551DB">
        <w:rPr>
          <w:rFonts w:ascii="Verdana" w:hAnsi="Verdana"/>
          <w:sz w:val="20"/>
          <w:szCs w:val="20"/>
          <w:u w:val="single"/>
        </w:rPr>
        <w:t>existe riesgo alguno de posiciones contradictor</w:t>
      </w:r>
      <w:r w:rsidR="00CA560C">
        <w:rPr>
          <w:rFonts w:ascii="Verdana" w:hAnsi="Verdana"/>
          <w:sz w:val="20"/>
          <w:szCs w:val="20"/>
          <w:u w:val="single"/>
        </w:rPr>
        <w:t>ias entre ellos cuando decidieron</w:t>
      </w:r>
      <w:r w:rsidR="00E005F5" w:rsidRPr="006551DB">
        <w:rPr>
          <w:rFonts w:ascii="Verdana" w:hAnsi="Verdana"/>
          <w:sz w:val="20"/>
          <w:szCs w:val="20"/>
          <w:u w:val="single"/>
        </w:rPr>
        <w:t xml:space="preserve"> acudir </w:t>
      </w:r>
      <w:r w:rsidR="00343985" w:rsidRPr="006551DB">
        <w:rPr>
          <w:rFonts w:ascii="Verdana" w:hAnsi="Verdana"/>
          <w:sz w:val="20"/>
          <w:szCs w:val="20"/>
          <w:u w:val="single"/>
        </w:rPr>
        <w:t>a la protección interamericana</w:t>
      </w:r>
      <w:r w:rsidR="00865387">
        <w:rPr>
          <w:rFonts w:ascii="Verdana" w:hAnsi="Verdana"/>
          <w:sz w:val="20"/>
          <w:szCs w:val="20"/>
        </w:rPr>
        <w:t>. A</w:t>
      </w:r>
      <w:r w:rsidR="00E005F5" w:rsidRPr="00E472A9">
        <w:rPr>
          <w:rFonts w:ascii="Verdana" w:hAnsi="Verdana"/>
          <w:sz w:val="20"/>
          <w:szCs w:val="20"/>
        </w:rPr>
        <w:t>demás, todos han aprobado</w:t>
      </w:r>
      <w:r w:rsidR="00E005F5">
        <w:rPr>
          <w:rFonts w:ascii="Verdana" w:hAnsi="Verdana"/>
          <w:sz w:val="20"/>
          <w:szCs w:val="20"/>
        </w:rPr>
        <w:t xml:space="preserve"> la reserva editorial </w:t>
      </w:r>
      <w:r w:rsidR="00E005F5" w:rsidRPr="00E472A9">
        <w:rPr>
          <w:rFonts w:ascii="Verdana" w:hAnsi="Verdana"/>
          <w:sz w:val="20"/>
          <w:szCs w:val="20"/>
        </w:rPr>
        <w:t>e información de RCTV y, a pesar de las amenazas de</w:t>
      </w:r>
      <w:r w:rsidR="00E005F5">
        <w:rPr>
          <w:rFonts w:ascii="Verdana" w:hAnsi="Verdana"/>
          <w:sz w:val="20"/>
          <w:szCs w:val="20"/>
        </w:rPr>
        <w:t>l</w:t>
      </w:r>
      <w:r w:rsidR="00E005F5" w:rsidRPr="00E472A9">
        <w:rPr>
          <w:rFonts w:ascii="Verdana" w:hAnsi="Verdana"/>
          <w:sz w:val="20"/>
          <w:szCs w:val="20"/>
        </w:rPr>
        <w:t xml:space="preserve"> cierre por parte del</w:t>
      </w:r>
      <w:r w:rsidR="0026499C">
        <w:rPr>
          <w:rFonts w:ascii="Verdana" w:hAnsi="Verdana"/>
          <w:sz w:val="20"/>
          <w:szCs w:val="20"/>
        </w:rPr>
        <w:t xml:space="preserve"> entonces</w:t>
      </w:r>
      <w:r w:rsidR="00E005F5" w:rsidRPr="00E472A9">
        <w:rPr>
          <w:rFonts w:ascii="Verdana" w:hAnsi="Verdana"/>
          <w:sz w:val="20"/>
          <w:szCs w:val="20"/>
        </w:rPr>
        <w:t xml:space="preserve"> Presidente de la República y sus Ministros, </w:t>
      </w:r>
      <w:r w:rsidR="00865387">
        <w:rPr>
          <w:rFonts w:ascii="Verdana" w:hAnsi="Verdana"/>
          <w:sz w:val="20"/>
          <w:szCs w:val="20"/>
        </w:rPr>
        <w:t>decidieron</w:t>
      </w:r>
      <w:r w:rsidR="00E005F5" w:rsidRPr="00E472A9">
        <w:rPr>
          <w:rFonts w:ascii="Verdana" w:hAnsi="Verdana"/>
          <w:sz w:val="20"/>
          <w:szCs w:val="20"/>
        </w:rPr>
        <w:t xml:space="preserve"> mantenerse con la misma posición crítica hacia el gobierno.</w:t>
      </w:r>
    </w:p>
    <w:p w14:paraId="1CDBADB0" w14:textId="77777777" w:rsidR="00E005F5" w:rsidRDefault="00E005F5" w:rsidP="00E005F5">
      <w:pPr>
        <w:pStyle w:val="ListParagraph"/>
        <w:spacing w:line="240" w:lineRule="auto"/>
        <w:ind w:left="0"/>
        <w:jc w:val="both"/>
        <w:rPr>
          <w:rFonts w:ascii="Verdana" w:hAnsi="Verdana"/>
          <w:sz w:val="20"/>
          <w:szCs w:val="20"/>
        </w:rPr>
      </w:pPr>
    </w:p>
    <w:p w14:paraId="32A30D4F" w14:textId="48682766" w:rsidR="00EB5625" w:rsidRPr="00EB5625" w:rsidRDefault="000B4E84" w:rsidP="00EB5625">
      <w:pPr>
        <w:pStyle w:val="ListParagraph"/>
        <w:spacing w:line="240" w:lineRule="auto"/>
        <w:ind w:left="0"/>
        <w:jc w:val="both"/>
        <w:rPr>
          <w:rFonts w:ascii="Verdana" w:hAnsi="Verdana"/>
          <w:b/>
          <w:i/>
          <w:sz w:val="20"/>
          <w:szCs w:val="20"/>
        </w:rPr>
      </w:pPr>
      <w:r>
        <w:rPr>
          <w:rFonts w:ascii="Verdana" w:hAnsi="Verdana"/>
          <w:b/>
          <w:i/>
          <w:sz w:val="20"/>
          <w:szCs w:val="20"/>
        </w:rPr>
        <w:t>B.3.</w:t>
      </w:r>
      <w:r w:rsidR="00EB5625" w:rsidRPr="00EB5625">
        <w:rPr>
          <w:rFonts w:ascii="Verdana" w:hAnsi="Verdana"/>
          <w:b/>
          <w:i/>
          <w:sz w:val="20"/>
          <w:szCs w:val="20"/>
        </w:rPr>
        <w:t xml:space="preserve"> C</w:t>
      </w:r>
      <w:r>
        <w:rPr>
          <w:rFonts w:ascii="Verdana" w:hAnsi="Verdana"/>
          <w:b/>
          <w:i/>
          <w:sz w:val="20"/>
          <w:szCs w:val="20"/>
        </w:rPr>
        <w:t>onclusión</w:t>
      </w:r>
      <w:r w:rsidR="00EB5625" w:rsidRPr="00EB5625">
        <w:rPr>
          <w:rFonts w:ascii="Verdana" w:hAnsi="Verdana"/>
          <w:b/>
          <w:i/>
          <w:sz w:val="20"/>
          <w:szCs w:val="20"/>
        </w:rPr>
        <w:t xml:space="preserve"> </w:t>
      </w:r>
    </w:p>
    <w:p w14:paraId="34425768" w14:textId="77777777" w:rsidR="0026499C" w:rsidRPr="001E0A36" w:rsidRDefault="0026499C" w:rsidP="00E005F5">
      <w:pPr>
        <w:pStyle w:val="ListParagraph"/>
        <w:spacing w:line="240" w:lineRule="auto"/>
        <w:ind w:left="0"/>
        <w:jc w:val="both"/>
        <w:rPr>
          <w:rFonts w:ascii="Verdana" w:hAnsi="Verdana"/>
          <w:sz w:val="20"/>
          <w:szCs w:val="20"/>
        </w:rPr>
      </w:pPr>
    </w:p>
    <w:p w14:paraId="70200419" w14:textId="77777777" w:rsidR="00E005F5" w:rsidRDefault="00D62C93" w:rsidP="009B0D0B">
      <w:pPr>
        <w:pStyle w:val="ListParagraph"/>
        <w:spacing w:line="240" w:lineRule="auto"/>
        <w:ind w:left="0"/>
        <w:jc w:val="both"/>
        <w:rPr>
          <w:rFonts w:ascii="Verdana" w:hAnsi="Verdana"/>
          <w:sz w:val="20"/>
          <w:szCs w:val="20"/>
        </w:rPr>
      </w:pPr>
      <w:r>
        <w:rPr>
          <w:rFonts w:ascii="Verdana" w:hAnsi="Verdana"/>
          <w:sz w:val="20"/>
          <w:szCs w:val="20"/>
        </w:rPr>
        <w:t>54</w:t>
      </w:r>
      <w:r w:rsidR="009B0D0B">
        <w:rPr>
          <w:rFonts w:ascii="Verdana" w:hAnsi="Verdana"/>
          <w:sz w:val="20"/>
          <w:szCs w:val="20"/>
        </w:rPr>
        <w:t xml:space="preserve">. </w:t>
      </w:r>
      <w:r w:rsidR="009B0D0B">
        <w:rPr>
          <w:rFonts w:ascii="Verdana" w:hAnsi="Verdana"/>
          <w:sz w:val="20"/>
          <w:szCs w:val="20"/>
        </w:rPr>
        <w:tab/>
      </w:r>
      <w:r w:rsidR="00E005F5">
        <w:rPr>
          <w:rFonts w:ascii="Verdana" w:hAnsi="Verdana"/>
          <w:sz w:val="20"/>
          <w:szCs w:val="20"/>
        </w:rPr>
        <w:t xml:space="preserve">En el caso </w:t>
      </w:r>
      <w:r w:rsidR="00E005F5" w:rsidRPr="00F43B4F">
        <w:rPr>
          <w:rFonts w:ascii="Verdana" w:hAnsi="Verdana"/>
          <w:i/>
          <w:sz w:val="20"/>
          <w:szCs w:val="20"/>
        </w:rPr>
        <w:t>Cantos Vs. Argentina</w:t>
      </w:r>
      <w:r w:rsidR="00E005F5">
        <w:rPr>
          <w:rFonts w:ascii="Verdana" w:hAnsi="Verdana"/>
          <w:sz w:val="20"/>
          <w:szCs w:val="20"/>
        </w:rPr>
        <w:t xml:space="preserve">, el Tribunal </w:t>
      </w:r>
      <w:r w:rsidR="006E7EDF">
        <w:rPr>
          <w:rFonts w:ascii="Verdana" w:hAnsi="Verdana"/>
          <w:sz w:val="20"/>
          <w:szCs w:val="20"/>
        </w:rPr>
        <w:t xml:space="preserve">Interamericano </w:t>
      </w:r>
      <w:r w:rsidR="00E005F5">
        <w:rPr>
          <w:rFonts w:ascii="Verdana" w:hAnsi="Verdana"/>
          <w:sz w:val="20"/>
          <w:szCs w:val="20"/>
        </w:rPr>
        <w:t xml:space="preserve">realizó la determinación de lo que el </w:t>
      </w:r>
      <w:r w:rsidR="00EB5625">
        <w:rPr>
          <w:rFonts w:ascii="Verdana" w:hAnsi="Verdana"/>
          <w:sz w:val="20"/>
          <w:szCs w:val="20"/>
        </w:rPr>
        <w:t>S</w:t>
      </w:r>
      <w:r w:rsidR="00E005F5">
        <w:rPr>
          <w:rFonts w:ascii="Verdana" w:hAnsi="Verdana"/>
          <w:sz w:val="20"/>
          <w:szCs w:val="20"/>
        </w:rPr>
        <w:t xml:space="preserve">istema </w:t>
      </w:r>
      <w:r w:rsidR="00EB5625">
        <w:rPr>
          <w:rFonts w:ascii="Verdana" w:hAnsi="Verdana"/>
          <w:sz w:val="20"/>
          <w:szCs w:val="20"/>
        </w:rPr>
        <w:t>I</w:t>
      </w:r>
      <w:r w:rsidR="00E005F5">
        <w:rPr>
          <w:rFonts w:ascii="Verdana" w:hAnsi="Verdana"/>
          <w:sz w:val="20"/>
          <w:szCs w:val="20"/>
        </w:rPr>
        <w:t>nteramericano debe entenderse como “v</w:t>
      </w:r>
      <w:r w:rsidR="00EB5625">
        <w:rPr>
          <w:rFonts w:ascii="Verdana" w:hAnsi="Verdana"/>
          <w:sz w:val="20"/>
          <w:szCs w:val="20"/>
        </w:rPr>
        <w:t>í</w:t>
      </w:r>
      <w:r w:rsidR="00E005F5">
        <w:rPr>
          <w:rFonts w:ascii="Verdana" w:hAnsi="Verdana"/>
          <w:sz w:val="20"/>
          <w:szCs w:val="20"/>
        </w:rPr>
        <w:t xml:space="preserve">ctima” cuando estén en controversia los derechos de las personas naturales y los derechos de las personas jurídicas. En el caso </w:t>
      </w:r>
      <w:r w:rsidR="00E005F5" w:rsidRPr="00EB5625">
        <w:rPr>
          <w:rFonts w:ascii="Verdana" w:hAnsi="Verdana"/>
          <w:i/>
          <w:sz w:val="20"/>
          <w:szCs w:val="20"/>
        </w:rPr>
        <w:t>Cantos</w:t>
      </w:r>
      <w:r w:rsidR="00E005F5">
        <w:rPr>
          <w:rFonts w:ascii="Verdana" w:hAnsi="Verdana"/>
          <w:sz w:val="20"/>
          <w:szCs w:val="20"/>
        </w:rPr>
        <w:t xml:space="preserve">, la Corte </w:t>
      </w:r>
      <w:r w:rsidR="00700CEE">
        <w:rPr>
          <w:rFonts w:ascii="Verdana" w:hAnsi="Verdana"/>
          <w:sz w:val="20"/>
          <w:szCs w:val="20"/>
        </w:rPr>
        <w:t xml:space="preserve">IDH </w:t>
      </w:r>
      <w:r w:rsidR="00E005F5">
        <w:rPr>
          <w:rFonts w:ascii="Verdana" w:hAnsi="Verdana"/>
          <w:sz w:val="20"/>
          <w:szCs w:val="20"/>
        </w:rPr>
        <w:t xml:space="preserve">consideró que: </w:t>
      </w:r>
    </w:p>
    <w:p w14:paraId="174A32B0" w14:textId="77777777" w:rsidR="00E005F5" w:rsidRPr="00B8017B" w:rsidRDefault="00E005F5" w:rsidP="00E005F5">
      <w:pPr>
        <w:pStyle w:val="NormalWeb"/>
        <w:ind w:left="708" w:right="615"/>
        <w:jc w:val="both"/>
        <w:rPr>
          <w:sz w:val="18"/>
          <w:szCs w:val="18"/>
        </w:rPr>
      </w:pPr>
      <w:r w:rsidRPr="00B8017B">
        <w:rPr>
          <w:rFonts w:ascii="Verdana" w:hAnsi="Verdana"/>
          <w:b/>
          <w:sz w:val="18"/>
          <w:szCs w:val="18"/>
        </w:rPr>
        <w:t>[E]n general, los derechos y las obligaciones atribuidos a las personas morales se resuelven en derechos y obligaciones de las personas físicas que las constituyen o que actúan en su nombre o representación</w:t>
      </w:r>
      <w:r w:rsidRPr="00B8017B">
        <w:rPr>
          <w:rFonts w:ascii="Verdana" w:hAnsi="Verdana"/>
          <w:sz w:val="18"/>
          <w:szCs w:val="18"/>
        </w:rPr>
        <w:t>. Además, apuntó que “si bien la figura de las personas jurídicas no ha sido reconocida expresamente por la Convención Americana, como sí lo hace el Protocolo no. 1 a la Convención Europea de Derechos Humanos, esto no restringe la posibilidad que bajo determinados supuestos el individuo pueda acudir al Sistema Interamericano de Protección de los Derechos Humanos para hacer valer sus derechos fundamentales, aún cuando los mismos estén cubiertos por una figura o ficción jurídica creada por el mismo sistema del Derecho”</w:t>
      </w:r>
      <w:r w:rsidRPr="00B8017B">
        <w:rPr>
          <w:rStyle w:val="FootnoteReference"/>
          <w:rFonts w:ascii="Verdana" w:hAnsi="Verdana"/>
          <w:sz w:val="18"/>
          <w:szCs w:val="18"/>
        </w:rPr>
        <w:footnoteReference w:id="75"/>
      </w:r>
      <w:r w:rsidRPr="00B8017B">
        <w:rPr>
          <w:rFonts w:ascii="Verdana" w:hAnsi="Verdana"/>
          <w:sz w:val="18"/>
          <w:szCs w:val="18"/>
        </w:rPr>
        <w:t>. (Énfasis añadido)</w:t>
      </w:r>
      <w:r w:rsidR="00713607" w:rsidRPr="00B8017B">
        <w:rPr>
          <w:rFonts w:ascii="Verdana" w:hAnsi="Verdana"/>
          <w:sz w:val="18"/>
          <w:szCs w:val="18"/>
        </w:rPr>
        <w:t>.</w:t>
      </w:r>
    </w:p>
    <w:p w14:paraId="14874A4E" w14:textId="77777777" w:rsidR="00E005F5" w:rsidRPr="003F337F" w:rsidRDefault="00D62C93" w:rsidP="009B0D0B">
      <w:pPr>
        <w:pStyle w:val="NormalWeb"/>
        <w:spacing w:after="0" w:afterAutospacing="0"/>
        <w:contextualSpacing/>
        <w:jc w:val="both"/>
      </w:pPr>
      <w:r>
        <w:rPr>
          <w:rFonts w:ascii="Verdana" w:hAnsi="Verdana"/>
        </w:rPr>
        <w:t>55</w:t>
      </w:r>
      <w:r w:rsidR="009B0D0B">
        <w:rPr>
          <w:rFonts w:ascii="Verdana" w:hAnsi="Verdana"/>
        </w:rPr>
        <w:t xml:space="preserve">. </w:t>
      </w:r>
      <w:r w:rsidR="009B0D0B">
        <w:rPr>
          <w:rFonts w:ascii="Verdana" w:hAnsi="Verdana"/>
        </w:rPr>
        <w:tab/>
      </w:r>
      <w:r w:rsidR="00E005F5">
        <w:rPr>
          <w:rFonts w:ascii="Verdana" w:hAnsi="Verdana"/>
        </w:rPr>
        <w:t>En el presente caso</w:t>
      </w:r>
      <w:r w:rsidR="0089128D">
        <w:rPr>
          <w:rFonts w:ascii="Verdana" w:hAnsi="Verdana"/>
        </w:rPr>
        <w:t>,</w:t>
      </w:r>
      <w:r w:rsidR="00E005F5">
        <w:rPr>
          <w:rFonts w:ascii="Verdana" w:hAnsi="Verdana"/>
        </w:rPr>
        <w:t xml:space="preserve"> no está en controversia la posibilidad que tienen accionistas para acudir al Sistema Interamericano cuando vean afectados sus derechos, pues ya la Corte </w:t>
      </w:r>
      <w:r w:rsidR="00700CEE">
        <w:rPr>
          <w:rFonts w:ascii="Verdana" w:hAnsi="Verdana"/>
        </w:rPr>
        <w:t xml:space="preserve">IDH </w:t>
      </w:r>
      <w:r w:rsidR="00E005F5">
        <w:rPr>
          <w:rFonts w:ascii="Verdana" w:hAnsi="Verdana"/>
        </w:rPr>
        <w:t xml:space="preserve">ha reconocido que los accionistas tienen derechos que pueden ser protegidos en el Pacto de San José; de lo expresado en el </w:t>
      </w:r>
      <w:r w:rsidR="00E005F5" w:rsidRPr="009869D8">
        <w:rPr>
          <w:rFonts w:ascii="Verdana" w:hAnsi="Verdana"/>
        </w:rPr>
        <w:t>caso</w:t>
      </w:r>
      <w:r w:rsidR="00E005F5" w:rsidRPr="0066637D">
        <w:rPr>
          <w:rFonts w:ascii="Verdana" w:hAnsi="Verdana"/>
          <w:i/>
        </w:rPr>
        <w:t xml:space="preserve"> Cantos Vs. Argentina</w:t>
      </w:r>
      <w:r w:rsidR="00E005F5">
        <w:rPr>
          <w:rFonts w:ascii="Verdana" w:hAnsi="Verdana"/>
        </w:rPr>
        <w:t xml:space="preserve"> se desprende que los derechos que se encuentren en ejercicio por las personas morales se reducen en los derechos de las pers</w:t>
      </w:r>
      <w:r w:rsidR="006551DB">
        <w:rPr>
          <w:rFonts w:ascii="Verdana" w:hAnsi="Verdana"/>
        </w:rPr>
        <w:t>onas naturales que las integran</w:t>
      </w:r>
      <w:r w:rsidR="0089128D">
        <w:rPr>
          <w:rFonts w:ascii="Verdana" w:hAnsi="Verdana"/>
        </w:rPr>
        <w:t>. E</w:t>
      </w:r>
      <w:r w:rsidR="00E005F5">
        <w:rPr>
          <w:rFonts w:ascii="Verdana" w:hAnsi="Verdana"/>
        </w:rPr>
        <w:t xml:space="preserve">s decir, </w:t>
      </w:r>
      <w:r w:rsidR="00E005F5" w:rsidRPr="00507983">
        <w:rPr>
          <w:rFonts w:ascii="Verdana" w:hAnsi="Verdana"/>
        </w:rPr>
        <w:t xml:space="preserve">todos aquellos accionistas que vean vulnerados sus derechos tienen la posibilidad de acudir al Sistema Interamericano para hacer efectivos sus derechos que se encuentran protegidos </w:t>
      </w:r>
      <w:r w:rsidR="00E005F5">
        <w:rPr>
          <w:rFonts w:ascii="Verdana" w:hAnsi="Verdana"/>
        </w:rPr>
        <w:t>por la</w:t>
      </w:r>
      <w:r w:rsidR="00E005F5" w:rsidRPr="00507983">
        <w:rPr>
          <w:rFonts w:ascii="Verdana" w:hAnsi="Verdana"/>
        </w:rPr>
        <w:t xml:space="preserve"> Convención Americana. </w:t>
      </w:r>
      <w:r w:rsidR="00E005F5">
        <w:rPr>
          <w:rFonts w:ascii="Verdana" w:hAnsi="Verdana"/>
        </w:rPr>
        <w:t xml:space="preserve">Así, la Corte </w:t>
      </w:r>
      <w:r w:rsidR="00700CEE">
        <w:rPr>
          <w:rFonts w:ascii="Verdana" w:hAnsi="Verdana"/>
        </w:rPr>
        <w:t xml:space="preserve">IDH </w:t>
      </w:r>
      <w:r w:rsidR="00E005F5">
        <w:rPr>
          <w:rFonts w:ascii="Verdana" w:hAnsi="Verdana"/>
        </w:rPr>
        <w:t xml:space="preserve">consideró que: </w:t>
      </w:r>
    </w:p>
    <w:p w14:paraId="253A46F0" w14:textId="77777777" w:rsidR="00E005F5" w:rsidRDefault="00E005F5" w:rsidP="00E005F5">
      <w:pPr>
        <w:pStyle w:val="NormalWeb"/>
        <w:spacing w:after="0" w:afterAutospacing="0"/>
        <w:contextualSpacing/>
        <w:jc w:val="both"/>
      </w:pPr>
    </w:p>
    <w:p w14:paraId="47C02C4B" w14:textId="77777777" w:rsidR="00E005F5" w:rsidRPr="00B8017B" w:rsidRDefault="00E005F5" w:rsidP="000D5706">
      <w:pPr>
        <w:pStyle w:val="NormalWeb"/>
        <w:spacing w:after="0" w:afterAutospacing="0"/>
        <w:ind w:left="709" w:right="615"/>
        <w:contextualSpacing/>
        <w:jc w:val="both"/>
        <w:rPr>
          <w:rFonts w:ascii="Verdana" w:hAnsi="Verdana"/>
          <w:sz w:val="18"/>
          <w:szCs w:val="18"/>
        </w:rPr>
      </w:pPr>
      <w:r w:rsidRPr="00B8017B">
        <w:rPr>
          <w:rFonts w:ascii="Verdana" w:hAnsi="Verdana"/>
          <w:b/>
          <w:sz w:val="18"/>
          <w:szCs w:val="18"/>
        </w:rPr>
        <w:lastRenderedPageBreak/>
        <w:t>El Derecho ofrece al individuo una amplia gama de alternativas para regular sus conductas para con otros individuos y para limitar su responsabilidad.</w:t>
      </w:r>
      <w:r w:rsidRPr="00B8017B">
        <w:rPr>
          <w:rFonts w:ascii="Verdana" w:hAnsi="Verdana"/>
          <w:sz w:val="18"/>
          <w:szCs w:val="18"/>
        </w:rPr>
        <w:t xml:space="preserve"> Así, existen sociedades colectivas, anónimas, de responsabilidad limitada, en comandita, etc. </w:t>
      </w:r>
      <w:r w:rsidRPr="00B8017B">
        <w:rPr>
          <w:rFonts w:ascii="Verdana" w:hAnsi="Verdana"/>
          <w:b/>
          <w:sz w:val="18"/>
          <w:szCs w:val="18"/>
        </w:rPr>
        <w:t xml:space="preserve">En todo caso, esta unión organizada permite coordinar las fuerzas individuales para conseguir un </w:t>
      </w:r>
      <w:r w:rsidRPr="00B8017B">
        <w:rPr>
          <w:rFonts w:ascii="Verdana" w:hAnsi="Verdana"/>
          <w:b/>
          <w:sz w:val="18"/>
          <w:szCs w:val="18"/>
          <w:u w:val="single"/>
        </w:rPr>
        <w:t>fin común superior</w:t>
      </w:r>
      <w:r w:rsidRPr="00B8017B">
        <w:rPr>
          <w:rStyle w:val="FootnoteReference"/>
          <w:rFonts w:ascii="Verdana" w:hAnsi="Verdana"/>
          <w:sz w:val="18"/>
          <w:szCs w:val="18"/>
        </w:rPr>
        <w:footnoteReference w:id="76"/>
      </w:r>
      <w:r w:rsidRPr="00B8017B">
        <w:rPr>
          <w:rFonts w:ascii="Verdana" w:hAnsi="Verdana"/>
          <w:b/>
          <w:sz w:val="18"/>
          <w:szCs w:val="18"/>
        </w:rPr>
        <w:t xml:space="preserve">. </w:t>
      </w:r>
      <w:r w:rsidRPr="00B8017B">
        <w:rPr>
          <w:rFonts w:ascii="Verdana" w:hAnsi="Verdana"/>
          <w:sz w:val="18"/>
          <w:szCs w:val="18"/>
        </w:rPr>
        <w:t>(Énfasis añadido)</w:t>
      </w:r>
      <w:r w:rsidR="00713607" w:rsidRPr="00B8017B">
        <w:rPr>
          <w:rFonts w:ascii="Verdana" w:hAnsi="Verdana"/>
          <w:sz w:val="18"/>
          <w:szCs w:val="18"/>
        </w:rPr>
        <w:t>.</w:t>
      </w:r>
    </w:p>
    <w:p w14:paraId="3270218C" w14:textId="77777777" w:rsidR="00757D06" w:rsidRPr="000D5706" w:rsidRDefault="00757D06" w:rsidP="000D5706">
      <w:pPr>
        <w:pStyle w:val="NormalWeb"/>
        <w:spacing w:after="0" w:afterAutospacing="0"/>
        <w:ind w:left="709" w:right="615"/>
        <w:contextualSpacing/>
        <w:jc w:val="both"/>
        <w:rPr>
          <w:rFonts w:ascii="Verdana" w:hAnsi="Verdana"/>
          <w:b/>
          <w:sz w:val="16"/>
          <w:szCs w:val="16"/>
        </w:rPr>
      </w:pPr>
    </w:p>
    <w:p w14:paraId="12C3CBB5" w14:textId="77777777" w:rsidR="00E005F5" w:rsidRPr="00AF4F1E" w:rsidRDefault="00D62C93" w:rsidP="009B0D0B">
      <w:pPr>
        <w:pStyle w:val="NormalWeb"/>
        <w:spacing w:after="0" w:afterAutospacing="0"/>
        <w:ind w:right="48"/>
        <w:contextualSpacing/>
        <w:jc w:val="both"/>
        <w:rPr>
          <w:rFonts w:ascii="Verdana" w:hAnsi="Verdana"/>
        </w:rPr>
      </w:pPr>
      <w:r>
        <w:rPr>
          <w:rFonts w:ascii="Verdana" w:hAnsi="Verdana"/>
        </w:rPr>
        <w:t>56</w:t>
      </w:r>
      <w:r w:rsidR="009B0D0B">
        <w:rPr>
          <w:rFonts w:ascii="Verdana" w:hAnsi="Verdana"/>
        </w:rPr>
        <w:t xml:space="preserve">. </w:t>
      </w:r>
      <w:r w:rsidR="009B0D0B">
        <w:rPr>
          <w:rFonts w:ascii="Verdana" w:hAnsi="Verdana"/>
        </w:rPr>
        <w:tab/>
      </w:r>
      <w:r w:rsidR="00E005F5" w:rsidRPr="00AF4F1E">
        <w:rPr>
          <w:rFonts w:ascii="Verdana" w:hAnsi="Verdana"/>
        </w:rPr>
        <w:t>En el caso que nos ocupa</w:t>
      </w:r>
      <w:r w:rsidR="00E005F5">
        <w:rPr>
          <w:rFonts w:ascii="Verdana" w:hAnsi="Verdana"/>
        </w:rPr>
        <w:t>,</w:t>
      </w:r>
      <w:r w:rsidR="00E005F5" w:rsidRPr="00AF4F1E">
        <w:rPr>
          <w:rFonts w:ascii="Verdana" w:hAnsi="Verdana"/>
        </w:rPr>
        <w:t xml:space="preserve"> ese </w:t>
      </w:r>
      <w:r w:rsidR="00E005F5">
        <w:rPr>
          <w:rFonts w:ascii="Verdana" w:hAnsi="Verdana"/>
          <w:i/>
        </w:rPr>
        <w:t>“</w:t>
      </w:r>
      <w:r w:rsidR="00E005F5" w:rsidRPr="00AF4F1E">
        <w:rPr>
          <w:rFonts w:ascii="Verdana" w:hAnsi="Verdana"/>
          <w:i/>
        </w:rPr>
        <w:t>fin común superior</w:t>
      </w:r>
      <w:r w:rsidR="00E005F5">
        <w:rPr>
          <w:rFonts w:ascii="Verdana" w:hAnsi="Verdana"/>
          <w:i/>
        </w:rPr>
        <w:t>”</w:t>
      </w:r>
      <w:r w:rsidR="00E005F5" w:rsidRPr="00AF4F1E">
        <w:rPr>
          <w:rFonts w:ascii="Verdana" w:hAnsi="Verdana"/>
        </w:rPr>
        <w:t>, que incluye a todos los accionistas, se traduce en la capacidad que tiene el medio de comu</w:t>
      </w:r>
      <w:r w:rsidR="00E005F5">
        <w:rPr>
          <w:rFonts w:ascii="Verdana" w:hAnsi="Verdana"/>
        </w:rPr>
        <w:t>nicac</w:t>
      </w:r>
      <w:r w:rsidR="00E005F5" w:rsidRPr="00AF4F1E">
        <w:rPr>
          <w:rFonts w:ascii="Verdana" w:hAnsi="Verdana"/>
        </w:rPr>
        <w:t>ión para llevar a cabo su labor informativa en la sociedad venezolana</w:t>
      </w:r>
      <w:r w:rsidR="00E005F5">
        <w:rPr>
          <w:rFonts w:ascii="Verdana" w:hAnsi="Verdana"/>
        </w:rPr>
        <w:t>. Desconocer el derecho que tienen algunos accionistas como v</w:t>
      </w:r>
      <w:r w:rsidR="00EB5625">
        <w:rPr>
          <w:rFonts w:ascii="Verdana" w:hAnsi="Verdana"/>
        </w:rPr>
        <w:t>í</w:t>
      </w:r>
      <w:r w:rsidR="00E005F5">
        <w:rPr>
          <w:rFonts w:ascii="Verdana" w:hAnsi="Verdana"/>
        </w:rPr>
        <w:t xml:space="preserve">ctimas también influye en que ese fin común se vea fragmentado, pues arriba en una conclusión irracional sobre a qué tipo de accionistas proteger y a cuáles no. En el caso de las </w:t>
      </w:r>
      <w:r w:rsidR="00E005F5" w:rsidRPr="00713607">
        <w:rPr>
          <w:rFonts w:ascii="Verdana" w:hAnsi="Verdana"/>
        </w:rPr>
        <w:t xml:space="preserve">personas </w:t>
      </w:r>
      <w:r w:rsidR="003A1C8D">
        <w:rPr>
          <w:rFonts w:ascii="Verdana" w:hAnsi="Verdana"/>
        </w:rPr>
        <w:t>jurídicas</w:t>
      </w:r>
      <w:r w:rsidR="0089128D">
        <w:rPr>
          <w:rFonts w:ascii="Verdana" w:hAnsi="Verdana"/>
        </w:rPr>
        <w:t>,</w:t>
      </w:r>
      <w:r w:rsidR="00E005F5">
        <w:rPr>
          <w:rFonts w:ascii="Verdana" w:hAnsi="Verdana"/>
        </w:rPr>
        <w:t xml:space="preserve"> son todas y cada una de las fuerzas individuales, las que permiten crear un agregado organizado y coordinado para llevar a cabo una finalidad en común, como lo es la actividad comunicacional de RCTV. </w:t>
      </w:r>
    </w:p>
    <w:p w14:paraId="7C6A9C0B" w14:textId="77777777" w:rsidR="00E005F5" w:rsidRPr="00AF4F1E" w:rsidRDefault="00E005F5" w:rsidP="0090559E">
      <w:pPr>
        <w:pStyle w:val="NormalWeb"/>
        <w:spacing w:after="0" w:afterAutospacing="0"/>
        <w:contextualSpacing/>
        <w:jc w:val="both"/>
      </w:pPr>
    </w:p>
    <w:p w14:paraId="20F1422A" w14:textId="77777777" w:rsidR="00E005F5" w:rsidRPr="009869D8" w:rsidRDefault="00D62C93" w:rsidP="009B0D0B">
      <w:pPr>
        <w:pStyle w:val="NormalWeb"/>
        <w:spacing w:after="0" w:afterAutospacing="0"/>
        <w:contextualSpacing/>
        <w:jc w:val="both"/>
      </w:pPr>
      <w:r>
        <w:rPr>
          <w:rFonts w:ascii="Verdana" w:hAnsi="Verdana"/>
        </w:rPr>
        <w:t>57</w:t>
      </w:r>
      <w:r w:rsidR="009B0D0B">
        <w:rPr>
          <w:rFonts w:ascii="Verdana" w:hAnsi="Verdana"/>
        </w:rPr>
        <w:t xml:space="preserve">. </w:t>
      </w:r>
      <w:r w:rsidR="009B0D0B">
        <w:rPr>
          <w:rFonts w:ascii="Verdana" w:hAnsi="Verdana"/>
        </w:rPr>
        <w:tab/>
      </w:r>
      <w:r w:rsidR="00E005F5" w:rsidRPr="002816DB">
        <w:rPr>
          <w:rFonts w:ascii="Verdana" w:hAnsi="Verdana"/>
        </w:rPr>
        <w:t>M</w:t>
      </w:r>
      <w:r w:rsidR="00E005F5">
        <w:rPr>
          <w:rFonts w:ascii="Verdana" w:hAnsi="Verdana"/>
        </w:rPr>
        <w:t>á</w:t>
      </w:r>
      <w:r w:rsidR="00E005F5" w:rsidRPr="002816DB">
        <w:rPr>
          <w:rFonts w:ascii="Verdana" w:hAnsi="Verdana"/>
        </w:rPr>
        <w:t xml:space="preserve">s que afirmar la calidad </w:t>
      </w:r>
      <w:r w:rsidR="00DD3292">
        <w:rPr>
          <w:rFonts w:ascii="Verdana" w:hAnsi="Verdana"/>
        </w:rPr>
        <w:t xml:space="preserve">de </w:t>
      </w:r>
      <w:r w:rsidR="00E005F5" w:rsidRPr="002816DB">
        <w:rPr>
          <w:rFonts w:ascii="Verdana" w:hAnsi="Verdana"/>
        </w:rPr>
        <w:t>víctimas</w:t>
      </w:r>
      <w:r w:rsidR="00E005F5">
        <w:rPr>
          <w:rFonts w:ascii="Verdana" w:hAnsi="Verdana"/>
        </w:rPr>
        <w:t xml:space="preserve"> de los </w:t>
      </w:r>
      <w:r w:rsidR="00E005F5" w:rsidRPr="002816DB">
        <w:rPr>
          <w:rFonts w:ascii="Verdana" w:hAnsi="Verdana"/>
        </w:rPr>
        <w:t xml:space="preserve">accionistas en su jurisprudencia en el contexto del derecho a la libertad de expresión, lo que el criterio mayoritario hace es crear dos categorías distintas de accionistas: los que tienen una participación en los órganos de toma de decisiones de un medio de comunicación y los que no forman parte de ella. Esta categorización de </w:t>
      </w:r>
      <w:r w:rsidR="00DB2C08">
        <w:rPr>
          <w:rFonts w:ascii="Verdana" w:hAnsi="Verdana"/>
        </w:rPr>
        <w:t>lo que debe entenderse por “</w:t>
      </w:r>
      <w:r w:rsidR="00E005F5" w:rsidRPr="002816DB">
        <w:rPr>
          <w:rFonts w:ascii="Verdana" w:hAnsi="Verdana"/>
        </w:rPr>
        <w:t>v</w:t>
      </w:r>
      <w:r w:rsidR="00EB5625">
        <w:rPr>
          <w:rFonts w:ascii="Verdana" w:hAnsi="Verdana"/>
        </w:rPr>
        <w:t>í</w:t>
      </w:r>
      <w:r w:rsidR="00E005F5" w:rsidRPr="002816DB">
        <w:rPr>
          <w:rFonts w:ascii="Verdana" w:hAnsi="Verdana"/>
        </w:rPr>
        <w:t>ctimas</w:t>
      </w:r>
      <w:r w:rsidR="00DB2C08">
        <w:rPr>
          <w:rFonts w:ascii="Verdana" w:hAnsi="Verdana"/>
        </w:rPr>
        <w:t>”</w:t>
      </w:r>
      <w:r w:rsidR="00E005F5" w:rsidRPr="002816DB">
        <w:rPr>
          <w:rFonts w:ascii="Verdana" w:hAnsi="Verdana"/>
        </w:rPr>
        <w:t xml:space="preserve"> en los medios de comunicación televisivos y radioeléctricos, evidentemente tiene una a</w:t>
      </w:r>
      <w:r w:rsidR="00713607">
        <w:rPr>
          <w:rFonts w:ascii="Verdana" w:hAnsi="Verdana"/>
        </w:rPr>
        <w:t>fectación sobre la violación al</w:t>
      </w:r>
      <w:r w:rsidR="00E005F5" w:rsidRPr="002816DB">
        <w:rPr>
          <w:rFonts w:ascii="Verdana" w:hAnsi="Verdana"/>
        </w:rPr>
        <w:t xml:space="preserve"> derecho a </w:t>
      </w:r>
      <w:r w:rsidR="00713607">
        <w:rPr>
          <w:rFonts w:ascii="Verdana" w:hAnsi="Verdana"/>
        </w:rPr>
        <w:t>la libertad de expresión, pues permite</w:t>
      </w:r>
      <w:r w:rsidR="00E005F5" w:rsidRPr="002816DB">
        <w:rPr>
          <w:rFonts w:ascii="Verdana" w:hAnsi="Verdana"/>
        </w:rPr>
        <w:t xml:space="preserve"> que </w:t>
      </w:r>
      <w:r w:rsidR="00B93555">
        <w:rPr>
          <w:rFonts w:ascii="Verdana" w:hAnsi="Verdana"/>
        </w:rPr>
        <w:t>aquellos accionistas —</w:t>
      </w:r>
      <w:r w:rsidR="00E005F5" w:rsidRPr="002816DB">
        <w:rPr>
          <w:rFonts w:ascii="Verdana" w:hAnsi="Verdana"/>
        </w:rPr>
        <w:t>que voluntariamente destin</w:t>
      </w:r>
      <w:r w:rsidR="0089128D">
        <w:rPr>
          <w:rFonts w:ascii="Verdana" w:hAnsi="Verdana"/>
        </w:rPr>
        <w:t>a</w:t>
      </w:r>
      <w:r w:rsidR="00E005F5" w:rsidRPr="002816DB">
        <w:rPr>
          <w:rFonts w:ascii="Verdana" w:hAnsi="Verdana"/>
        </w:rPr>
        <w:t>n bienes y recursos propios</w:t>
      </w:r>
      <w:r w:rsidR="00EB5625">
        <w:rPr>
          <w:rFonts w:ascii="Verdana" w:hAnsi="Verdana"/>
        </w:rPr>
        <w:t xml:space="preserve"> y forman parte de un medio compartiendo</w:t>
      </w:r>
      <w:r w:rsidR="00B93555">
        <w:rPr>
          <w:rFonts w:ascii="Verdana" w:hAnsi="Verdana"/>
        </w:rPr>
        <w:t xml:space="preserve"> </w:t>
      </w:r>
      <w:r w:rsidR="00EB5625">
        <w:rPr>
          <w:rFonts w:ascii="Verdana" w:hAnsi="Verdana"/>
        </w:rPr>
        <w:t>y defendiendo el proyecto comunicacional del mismo</w:t>
      </w:r>
      <w:r w:rsidR="00B93555">
        <w:rPr>
          <w:rFonts w:ascii="Verdana" w:hAnsi="Verdana"/>
        </w:rPr>
        <w:t xml:space="preserve">—, </w:t>
      </w:r>
      <w:r w:rsidR="00E005F5" w:rsidRPr="002816DB">
        <w:rPr>
          <w:rFonts w:ascii="Verdana" w:hAnsi="Verdana"/>
        </w:rPr>
        <w:t>que no form</w:t>
      </w:r>
      <w:r w:rsidR="0089128D">
        <w:rPr>
          <w:rFonts w:ascii="Verdana" w:hAnsi="Verdana"/>
        </w:rPr>
        <w:t>a</w:t>
      </w:r>
      <w:r w:rsidR="00E005F5" w:rsidRPr="002816DB">
        <w:rPr>
          <w:rFonts w:ascii="Verdana" w:hAnsi="Verdana"/>
        </w:rPr>
        <w:t>n parte de los órganos de direcc</w:t>
      </w:r>
      <w:r w:rsidR="00E005F5">
        <w:rPr>
          <w:rFonts w:ascii="Verdana" w:hAnsi="Verdana"/>
        </w:rPr>
        <w:t>ión del medio de comunicación</w:t>
      </w:r>
      <w:r w:rsidR="00B93555">
        <w:rPr>
          <w:rFonts w:ascii="Verdana" w:hAnsi="Verdana"/>
        </w:rPr>
        <w:t>,</w:t>
      </w:r>
      <w:r w:rsidR="00E005F5">
        <w:rPr>
          <w:rFonts w:ascii="Verdana" w:hAnsi="Verdana"/>
        </w:rPr>
        <w:t xml:space="preserve"> no</w:t>
      </w:r>
      <w:r w:rsidR="00E005F5" w:rsidRPr="002816DB">
        <w:rPr>
          <w:rFonts w:ascii="Verdana" w:hAnsi="Verdana"/>
        </w:rPr>
        <w:t xml:space="preserve"> encuentren protección en </w:t>
      </w:r>
      <w:r w:rsidR="00E005F5">
        <w:rPr>
          <w:rFonts w:ascii="Verdana" w:hAnsi="Verdana"/>
        </w:rPr>
        <w:t xml:space="preserve">el Sistema Interamericano. </w:t>
      </w:r>
    </w:p>
    <w:p w14:paraId="62841BF3" w14:textId="77777777" w:rsidR="00E005F5" w:rsidRDefault="00E005F5" w:rsidP="00E005F5">
      <w:pPr>
        <w:pStyle w:val="NormalWeb"/>
        <w:spacing w:after="0" w:afterAutospacing="0"/>
        <w:contextualSpacing/>
        <w:jc w:val="both"/>
        <w:rPr>
          <w:rFonts w:ascii="Verdana" w:hAnsi="Verdana"/>
        </w:rPr>
      </w:pPr>
    </w:p>
    <w:p w14:paraId="01311931" w14:textId="77777777" w:rsidR="00E005F5" w:rsidRPr="00B04005" w:rsidRDefault="00D62C93" w:rsidP="009B0D0B">
      <w:pPr>
        <w:pStyle w:val="NormalWeb"/>
        <w:spacing w:after="0" w:afterAutospacing="0"/>
        <w:contextualSpacing/>
        <w:jc w:val="both"/>
      </w:pPr>
      <w:r>
        <w:rPr>
          <w:rFonts w:ascii="Verdana" w:hAnsi="Verdana"/>
        </w:rPr>
        <w:t>58</w:t>
      </w:r>
      <w:r w:rsidR="009B0D0B">
        <w:rPr>
          <w:rFonts w:ascii="Verdana" w:hAnsi="Verdana"/>
        </w:rPr>
        <w:t xml:space="preserve">. </w:t>
      </w:r>
      <w:r w:rsidR="009B0D0B">
        <w:rPr>
          <w:rFonts w:ascii="Verdana" w:hAnsi="Verdana"/>
        </w:rPr>
        <w:tab/>
      </w:r>
      <w:r w:rsidR="00E005F5">
        <w:rPr>
          <w:rFonts w:ascii="Verdana" w:hAnsi="Verdana"/>
        </w:rPr>
        <w:t>En este sentido, el perito Alfredo Morales Hernández, en su dictamen, consideró que es difícil de entender la diferenciación entre qui</w:t>
      </w:r>
      <w:r w:rsidR="0089128D">
        <w:rPr>
          <w:rFonts w:ascii="Verdana" w:hAnsi="Verdana"/>
        </w:rPr>
        <w:t>é</w:t>
      </w:r>
      <w:r w:rsidR="00E005F5">
        <w:rPr>
          <w:rFonts w:ascii="Verdana" w:hAnsi="Verdana"/>
        </w:rPr>
        <w:t>nes deben ser tomados como víctimas en lo relativo al der</w:t>
      </w:r>
      <w:r w:rsidR="00DD3292">
        <w:rPr>
          <w:rFonts w:ascii="Verdana" w:hAnsi="Verdana"/>
        </w:rPr>
        <w:t>echo a la libertad de expresión</w:t>
      </w:r>
      <w:r w:rsidR="0089128D">
        <w:rPr>
          <w:rFonts w:ascii="Verdana" w:hAnsi="Verdana"/>
        </w:rPr>
        <w:t>. C</w:t>
      </w:r>
      <w:r w:rsidR="00E005F5">
        <w:rPr>
          <w:rFonts w:ascii="Verdana" w:hAnsi="Verdana"/>
        </w:rPr>
        <w:t xml:space="preserve">onsideró, además, que “las acciones gubernamentales violatorias al derecho a la libertad de expresión </w:t>
      </w:r>
      <w:r w:rsidR="008D77BF">
        <w:rPr>
          <w:rFonts w:ascii="Verdana" w:hAnsi="Verdana"/>
        </w:rPr>
        <w:t>[</w:t>
      </w:r>
      <w:r w:rsidR="00E005F5">
        <w:rPr>
          <w:rFonts w:ascii="Verdana" w:hAnsi="Verdana"/>
        </w:rPr>
        <w:t>que fueron</w:t>
      </w:r>
      <w:r w:rsidR="008D77BF">
        <w:rPr>
          <w:rFonts w:ascii="Verdana" w:hAnsi="Verdana"/>
        </w:rPr>
        <w:t>]</w:t>
      </w:r>
      <w:r w:rsidR="00E005F5">
        <w:rPr>
          <w:rFonts w:ascii="Verdana" w:hAnsi="Verdana"/>
        </w:rPr>
        <w:t xml:space="preserve"> denunciadas, </w:t>
      </w:r>
      <w:r w:rsidR="008D77BF">
        <w:rPr>
          <w:rFonts w:ascii="Verdana" w:hAnsi="Verdana"/>
        </w:rPr>
        <w:t xml:space="preserve">estuvieron </w:t>
      </w:r>
      <w:r w:rsidR="00E005F5">
        <w:rPr>
          <w:rFonts w:ascii="Verdana" w:hAnsi="Verdana"/>
        </w:rPr>
        <w:t>dirigidas al medio de comunicación y al conjunto de</w:t>
      </w:r>
      <w:r w:rsidR="0089128D">
        <w:rPr>
          <w:rFonts w:ascii="Verdana" w:hAnsi="Verdana"/>
        </w:rPr>
        <w:t xml:space="preserve"> personas que se asociaron para ejercer el derecho de expresión,</w:t>
      </w:r>
      <w:r w:rsidR="00E005F5">
        <w:rPr>
          <w:rFonts w:ascii="Verdana" w:hAnsi="Verdana"/>
        </w:rPr>
        <w:t xml:space="preserve"> sin distinción </w:t>
      </w:r>
      <w:r w:rsidR="00E26A97">
        <w:rPr>
          <w:rFonts w:ascii="Verdana" w:hAnsi="Verdana"/>
        </w:rPr>
        <w:t>[</w:t>
      </w:r>
      <w:r w:rsidR="00E005F5">
        <w:rPr>
          <w:rFonts w:ascii="Verdana" w:hAnsi="Verdana"/>
        </w:rPr>
        <w:t>a</w:t>
      </w:r>
      <w:r w:rsidR="0089128D">
        <w:rPr>
          <w:rFonts w:ascii="Verdana" w:hAnsi="Verdana"/>
        </w:rPr>
        <w:t>lguna</w:t>
      </w:r>
      <w:r w:rsidR="00E26A97">
        <w:rPr>
          <w:rFonts w:ascii="Verdana" w:hAnsi="Verdana"/>
        </w:rPr>
        <w:t>]</w:t>
      </w:r>
      <w:r w:rsidR="0089128D">
        <w:rPr>
          <w:rFonts w:ascii="Verdana" w:hAnsi="Verdana"/>
        </w:rPr>
        <w:t xml:space="preserve">. </w:t>
      </w:r>
      <w:r w:rsidR="00E26A97">
        <w:rPr>
          <w:rFonts w:ascii="Verdana" w:hAnsi="Verdana"/>
        </w:rPr>
        <w:t>[</w:t>
      </w:r>
      <w:r w:rsidR="0089128D">
        <w:rPr>
          <w:rFonts w:ascii="Verdana" w:hAnsi="Verdana"/>
        </w:rPr>
        <w:t>Entonces</w:t>
      </w:r>
      <w:r w:rsidR="00E26A97">
        <w:rPr>
          <w:rFonts w:ascii="Verdana" w:hAnsi="Verdana"/>
        </w:rPr>
        <w:t>]</w:t>
      </w:r>
      <w:r w:rsidR="0089128D">
        <w:rPr>
          <w:rFonts w:ascii="Verdana" w:hAnsi="Verdana"/>
        </w:rPr>
        <w:t xml:space="preserve">, la Comisión no </w:t>
      </w:r>
      <w:r w:rsidR="00E26A97">
        <w:rPr>
          <w:rFonts w:ascii="Verdana" w:hAnsi="Verdana"/>
        </w:rPr>
        <w:t>[</w:t>
      </w:r>
      <w:r w:rsidR="0089128D">
        <w:rPr>
          <w:rFonts w:ascii="Verdana" w:hAnsi="Verdana"/>
        </w:rPr>
        <w:t>debió</w:t>
      </w:r>
      <w:r w:rsidR="00E26A97">
        <w:rPr>
          <w:rFonts w:ascii="Verdana" w:hAnsi="Verdana"/>
        </w:rPr>
        <w:t>]</w:t>
      </w:r>
      <w:r w:rsidR="0089128D">
        <w:rPr>
          <w:rFonts w:ascii="Verdana" w:hAnsi="Verdana"/>
        </w:rPr>
        <w:t xml:space="preserve"> </w:t>
      </w:r>
      <w:r w:rsidR="00E005F5">
        <w:rPr>
          <w:rFonts w:ascii="Verdana" w:hAnsi="Verdana"/>
        </w:rPr>
        <w:t>realizar una distinción entre las v</w:t>
      </w:r>
      <w:r w:rsidR="00DD3292">
        <w:rPr>
          <w:rFonts w:ascii="Verdana" w:hAnsi="Verdana"/>
        </w:rPr>
        <w:t xml:space="preserve">íctimas y acordar protección a </w:t>
      </w:r>
      <w:r w:rsidR="00E005F5">
        <w:rPr>
          <w:rFonts w:ascii="Verdana" w:hAnsi="Verdana"/>
        </w:rPr>
        <w:t>unas y otras no, fundando tal diferenciación en el hecho de la participación en actividades que influyan en la línea informativa o en el control del medio de comunicación”</w:t>
      </w:r>
      <w:r w:rsidR="00E005F5">
        <w:rPr>
          <w:rStyle w:val="FootnoteReference"/>
          <w:rFonts w:ascii="Verdana" w:hAnsi="Verdana"/>
        </w:rPr>
        <w:footnoteReference w:id="77"/>
      </w:r>
      <w:r w:rsidR="00E005F5">
        <w:rPr>
          <w:rFonts w:ascii="Verdana" w:hAnsi="Verdana"/>
        </w:rPr>
        <w:t xml:space="preserve">. </w:t>
      </w:r>
    </w:p>
    <w:p w14:paraId="53A00D18" w14:textId="77777777" w:rsidR="00B04005" w:rsidRDefault="00B04005" w:rsidP="00B04005">
      <w:pPr>
        <w:pStyle w:val="NormalWeb"/>
        <w:spacing w:after="0" w:afterAutospacing="0"/>
        <w:contextualSpacing/>
        <w:jc w:val="both"/>
      </w:pPr>
    </w:p>
    <w:p w14:paraId="3E233693" w14:textId="24F007DC" w:rsidR="006F13A2" w:rsidRDefault="008D2185" w:rsidP="003E021C">
      <w:pPr>
        <w:pStyle w:val="NormalWeb"/>
        <w:spacing w:after="0" w:afterAutospacing="0"/>
        <w:contextualSpacing/>
        <w:jc w:val="both"/>
        <w:rPr>
          <w:rFonts w:ascii="Verdana" w:hAnsi="Verdana"/>
        </w:rPr>
      </w:pPr>
      <w:r>
        <w:rPr>
          <w:rFonts w:ascii="Verdana" w:hAnsi="Verdana"/>
        </w:rPr>
        <w:t>57</w:t>
      </w:r>
      <w:r w:rsidR="009B0D0B">
        <w:rPr>
          <w:rFonts w:ascii="Verdana" w:hAnsi="Verdana"/>
        </w:rPr>
        <w:t xml:space="preserve">. </w:t>
      </w:r>
      <w:r w:rsidR="009B0D0B">
        <w:rPr>
          <w:rFonts w:ascii="Verdana" w:hAnsi="Verdana"/>
        </w:rPr>
        <w:tab/>
      </w:r>
      <w:r w:rsidR="003E021C">
        <w:rPr>
          <w:rFonts w:ascii="Verdana" w:hAnsi="Verdana"/>
        </w:rPr>
        <w:t xml:space="preserve">En definitiva, estimo que </w:t>
      </w:r>
      <w:r w:rsidR="00E005F5" w:rsidRPr="007E0B88">
        <w:rPr>
          <w:rFonts w:ascii="Verdana" w:hAnsi="Verdana"/>
        </w:rPr>
        <w:t xml:space="preserve">poner limitaciones </w:t>
      </w:r>
      <w:r w:rsidR="00E005F5" w:rsidRPr="007E0B88">
        <w:rPr>
          <w:rFonts w:ascii="Verdana" w:hAnsi="Verdana"/>
          <w:i/>
        </w:rPr>
        <w:t>de facto</w:t>
      </w:r>
      <w:r w:rsidR="00757D06">
        <w:rPr>
          <w:rFonts w:ascii="Verdana" w:hAnsi="Verdana"/>
          <w:i/>
        </w:rPr>
        <w:t xml:space="preserve"> </w:t>
      </w:r>
      <w:r w:rsidR="00E005F5" w:rsidRPr="007E0B88">
        <w:rPr>
          <w:rFonts w:ascii="Verdana" w:hAnsi="Verdana"/>
        </w:rPr>
        <w:t>para calificar a un accionista como víctima</w:t>
      </w:r>
      <w:r w:rsidR="0089128D">
        <w:rPr>
          <w:rFonts w:ascii="Verdana" w:hAnsi="Verdana"/>
        </w:rPr>
        <w:t xml:space="preserve"> —</w:t>
      </w:r>
      <w:r w:rsidR="00E005F5" w:rsidRPr="007E0B88">
        <w:rPr>
          <w:rFonts w:ascii="Verdana" w:hAnsi="Verdana"/>
        </w:rPr>
        <w:t>en el presente y futuros casos</w:t>
      </w:r>
      <w:r w:rsidR="0089128D">
        <w:rPr>
          <w:rFonts w:ascii="Verdana" w:hAnsi="Verdana"/>
        </w:rPr>
        <w:t>—</w:t>
      </w:r>
      <w:r w:rsidR="00E005F5" w:rsidRPr="007E0B88">
        <w:rPr>
          <w:rFonts w:ascii="Verdana" w:hAnsi="Verdana"/>
        </w:rPr>
        <w:t xml:space="preserve"> implica </w:t>
      </w:r>
      <w:r w:rsidR="006E7EDF">
        <w:rPr>
          <w:rFonts w:ascii="Verdana" w:hAnsi="Verdana"/>
        </w:rPr>
        <w:t xml:space="preserve">de alguna </w:t>
      </w:r>
      <w:r w:rsidR="0089128D">
        <w:rPr>
          <w:rFonts w:ascii="Verdana" w:hAnsi="Verdana"/>
        </w:rPr>
        <w:t xml:space="preserve">manera </w:t>
      </w:r>
      <w:r w:rsidR="006E7EDF">
        <w:rPr>
          <w:rFonts w:ascii="Verdana" w:hAnsi="Verdana"/>
        </w:rPr>
        <w:t>matizar lo dispuesto por el</w:t>
      </w:r>
      <w:r w:rsidR="00E005F5" w:rsidRPr="007E0B88">
        <w:rPr>
          <w:rFonts w:ascii="Verdana" w:hAnsi="Verdana"/>
        </w:rPr>
        <w:t xml:space="preserve"> Tribunal </w:t>
      </w:r>
      <w:r w:rsidR="006E7EDF">
        <w:rPr>
          <w:rFonts w:ascii="Verdana" w:hAnsi="Verdana"/>
        </w:rPr>
        <w:t xml:space="preserve">Interamericano </w:t>
      </w:r>
      <w:r w:rsidR="00E005F5">
        <w:rPr>
          <w:rFonts w:ascii="Verdana" w:hAnsi="Verdana"/>
        </w:rPr>
        <w:t>en el</w:t>
      </w:r>
      <w:r w:rsidR="00FF72CB">
        <w:rPr>
          <w:rFonts w:ascii="Verdana" w:hAnsi="Verdana"/>
        </w:rPr>
        <w:t xml:space="preserve"> C</w:t>
      </w:r>
      <w:r w:rsidR="00E005F5" w:rsidRPr="007E0B88">
        <w:rPr>
          <w:rFonts w:ascii="Verdana" w:hAnsi="Verdana"/>
        </w:rPr>
        <w:t xml:space="preserve">aso </w:t>
      </w:r>
      <w:r w:rsidR="00E005F5" w:rsidRPr="00DD3292">
        <w:rPr>
          <w:rFonts w:ascii="Verdana" w:hAnsi="Verdana"/>
          <w:i/>
        </w:rPr>
        <w:t>Cantos</w:t>
      </w:r>
      <w:r w:rsidR="00E005F5" w:rsidRPr="007E0B88">
        <w:rPr>
          <w:rFonts w:ascii="Verdana" w:hAnsi="Verdana"/>
        </w:rPr>
        <w:t xml:space="preserve">, </w:t>
      </w:r>
      <w:r w:rsidR="006F13A2">
        <w:rPr>
          <w:rFonts w:ascii="Verdana" w:hAnsi="Verdana"/>
        </w:rPr>
        <w:t xml:space="preserve">al subordinar </w:t>
      </w:r>
      <w:r w:rsidR="0089128D">
        <w:rPr>
          <w:rFonts w:ascii="Verdana" w:hAnsi="Verdana"/>
        </w:rPr>
        <w:t xml:space="preserve">los derechos </w:t>
      </w:r>
      <w:r w:rsidR="006F13A2">
        <w:rPr>
          <w:rFonts w:ascii="Verdana" w:hAnsi="Verdana"/>
        </w:rPr>
        <w:t>(</w:t>
      </w:r>
      <w:r w:rsidR="00E005F5" w:rsidRPr="007E0B88">
        <w:rPr>
          <w:rFonts w:ascii="Verdana" w:hAnsi="Verdana"/>
        </w:rPr>
        <w:t xml:space="preserve">en el </w:t>
      </w:r>
      <w:r w:rsidR="0089128D">
        <w:rPr>
          <w:rFonts w:ascii="Verdana" w:hAnsi="Verdana"/>
        </w:rPr>
        <w:t xml:space="preserve">caso concreto, </w:t>
      </w:r>
      <w:r w:rsidR="00E005F5" w:rsidRPr="007E0B88">
        <w:rPr>
          <w:rFonts w:ascii="Verdana" w:hAnsi="Verdana"/>
        </w:rPr>
        <w:t>el derecho a la libertad de expresión</w:t>
      </w:r>
      <w:r w:rsidR="00E005F5">
        <w:rPr>
          <w:rFonts w:ascii="Verdana" w:hAnsi="Verdana"/>
        </w:rPr>
        <w:t xml:space="preserve"> por un medio comunicacional</w:t>
      </w:r>
      <w:r w:rsidR="006F13A2">
        <w:rPr>
          <w:rFonts w:ascii="Verdana" w:hAnsi="Verdana"/>
        </w:rPr>
        <w:t>)</w:t>
      </w:r>
      <w:r w:rsidR="0089128D">
        <w:rPr>
          <w:rFonts w:ascii="Verdana" w:hAnsi="Verdana"/>
        </w:rPr>
        <w:t xml:space="preserve"> a</w:t>
      </w:r>
      <w:r w:rsidR="00E005F5" w:rsidRPr="007E0B88">
        <w:rPr>
          <w:rFonts w:ascii="Verdana" w:hAnsi="Verdana"/>
        </w:rPr>
        <w:t xml:space="preserve"> que las posibles víctimas tengan la capacidad de tomar decisiones sobre la línea editorial que un medio de comunicación deb</w:t>
      </w:r>
      <w:r w:rsidR="0089128D">
        <w:rPr>
          <w:rFonts w:ascii="Verdana" w:hAnsi="Verdana"/>
        </w:rPr>
        <w:t>a</w:t>
      </w:r>
      <w:r w:rsidR="00E005F5" w:rsidRPr="007E0B88">
        <w:rPr>
          <w:rFonts w:ascii="Verdana" w:hAnsi="Verdana"/>
        </w:rPr>
        <w:t xml:space="preserve"> seguir u ofrecer</w:t>
      </w:r>
      <w:r w:rsidR="0089128D">
        <w:rPr>
          <w:rFonts w:ascii="Verdana" w:hAnsi="Verdana"/>
        </w:rPr>
        <w:t>;</w:t>
      </w:r>
      <w:r w:rsidR="00E005F5" w:rsidRPr="007E0B88">
        <w:rPr>
          <w:rFonts w:ascii="Verdana" w:hAnsi="Verdana"/>
        </w:rPr>
        <w:t xml:space="preserve"> excluyendo el aporte económico y de bienes q</w:t>
      </w:r>
      <w:r w:rsidR="00E005F5">
        <w:rPr>
          <w:rFonts w:ascii="Verdana" w:hAnsi="Verdana"/>
        </w:rPr>
        <w:t>ue el sujeto realiza,</w:t>
      </w:r>
      <w:r w:rsidR="00EB5625">
        <w:rPr>
          <w:rFonts w:ascii="Verdana" w:hAnsi="Verdana"/>
        </w:rPr>
        <w:t xml:space="preserve"> comprometido con la misión del medio de comunicación, y</w:t>
      </w:r>
      <w:r w:rsidR="00E005F5">
        <w:rPr>
          <w:rFonts w:ascii="Verdana" w:hAnsi="Verdana"/>
        </w:rPr>
        <w:t xml:space="preserve"> sin el cua</w:t>
      </w:r>
      <w:r w:rsidR="00E005F5" w:rsidRPr="007E0B88">
        <w:rPr>
          <w:rFonts w:ascii="Verdana" w:hAnsi="Verdana"/>
        </w:rPr>
        <w:t>l, muy posiblemente</w:t>
      </w:r>
      <w:r w:rsidR="00757D06">
        <w:rPr>
          <w:rFonts w:ascii="Verdana" w:hAnsi="Verdana"/>
        </w:rPr>
        <w:t>,</w:t>
      </w:r>
      <w:r w:rsidR="00E005F5" w:rsidRPr="007E0B88">
        <w:rPr>
          <w:rFonts w:ascii="Verdana" w:hAnsi="Verdana"/>
        </w:rPr>
        <w:t xml:space="preserve"> </w:t>
      </w:r>
      <w:r w:rsidR="00EB5625">
        <w:rPr>
          <w:rFonts w:ascii="Verdana" w:hAnsi="Verdana"/>
        </w:rPr>
        <w:t xml:space="preserve">la empresa </w:t>
      </w:r>
      <w:r w:rsidR="00E005F5">
        <w:rPr>
          <w:rFonts w:ascii="Verdana" w:hAnsi="Verdana"/>
        </w:rPr>
        <w:t>no se hubiera constituid</w:t>
      </w:r>
      <w:r w:rsidR="00757D06">
        <w:rPr>
          <w:rFonts w:ascii="Verdana" w:hAnsi="Verdana"/>
        </w:rPr>
        <w:t>o</w:t>
      </w:r>
      <w:r w:rsidR="00E005F5">
        <w:rPr>
          <w:rFonts w:ascii="Verdana" w:hAnsi="Verdana"/>
        </w:rPr>
        <w:t xml:space="preserve">. </w:t>
      </w:r>
    </w:p>
    <w:p w14:paraId="67F17712" w14:textId="77777777" w:rsidR="006F13A2" w:rsidRDefault="006F13A2" w:rsidP="003E021C">
      <w:pPr>
        <w:pStyle w:val="NormalWeb"/>
        <w:spacing w:after="0" w:afterAutospacing="0"/>
        <w:contextualSpacing/>
        <w:jc w:val="both"/>
        <w:rPr>
          <w:rFonts w:ascii="Verdana" w:hAnsi="Verdana"/>
        </w:rPr>
      </w:pPr>
    </w:p>
    <w:p w14:paraId="3571ED4B" w14:textId="77777777" w:rsidR="00DD3292" w:rsidRPr="006F13A2" w:rsidRDefault="00D62C93" w:rsidP="003E021C">
      <w:pPr>
        <w:pStyle w:val="NormalWeb"/>
        <w:spacing w:after="0" w:afterAutospacing="0"/>
        <w:contextualSpacing/>
        <w:jc w:val="both"/>
        <w:rPr>
          <w:rFonts w:ascii="Verdana" w:hAnsi="Verdana"/>
        </w:rPr>
      </w:pPr>
      <w:r>
        <w:rPr>
          <w:rFonts w:ascii="Verdana" w:hAnsi="Verdana"/>
        </w:rPr>
        <w:t>59</w:t>
      </w:r>
      <w:r w:rsidR="006F13A2">
        <w:rPr>
          <w:rFonts w:ascii="Verdana" w:hAnsi="Verdana"/>
        </w:rPr>
        <w:t xml:space="preserve">. </w:t>
      </w:r>
      <w:r w:rsidR="006F13A2">
        <w:rPr>
          <w:rFonts w:ascii="Verdana" w:hAnsi="Verdana"/>
        </w:rPr>
        <w:tab/>
      </w:r>
      <w:r w:rsidR="00DD3292" w:rsidRPr="006F13A2">
        <w:rPr>
          <w:rFonts w:ascii="Verdana" w:hAnsi="Verdana"/>
        </w:rPr>
        <w:t>Además, debe considerarse</w:t>
      </w:r>
      <w:r w:rsidR="00E005F5" w:rsidRPr="006F13A2">
        <w:rPr>
          <w:rFonts w:ascii="Verdana" w:hAnsi="Verdana"/>
        </w:rPr>
        <w:t xml:space="preserve"> que la permanencia en los órganos de dirección de los medios de comunicación se sujeta a un espacio de tiempo, </w:t>
      </w:r>
      <w:r w:rsidR="00DD3292" w:rsidRPr="006F13A2">
        <w:rPr>
          <w:rFonts w:ascii="Verdana" w:hAnsi="Verdana"/>
        </w:rPr>
        <w:t>al ser</w:t>
      </w:r>
      <w:r w:rsidR="00E005F5" w:rsidRPr="006F13A2">
        <w:rPr>
          <w:rFonts w:ascii="Verdana" w:hAnsi="Verdana"/>
        </w:rPr>
        <w:t xml:space="preserve"> renovados constantemente. </w:t>
      </w:r>
      <w:r w:rsidR="006F13A2" w:rsidRPr="006F13A2">
        <w:rPr>
          <w:rFonts w:ascii="Verdana" w:hAnsi="Verdana"/>
        </w:rPr>
        <w:t>Resultando especialmente relevante</w:t>
      </w:r>
      <w:r w:rsidR="0089128D">
        <w:rPr>
          <w:rFonts w:ascii="Verdana" w:hAnsi="Verdana"/>
        </w:rPr>
        <w:t>,</w:t>
      </w:r>
      <w:r w:rsidR="006F13A2" w:rsidRPr="006F13A2">
        <w:rPr>
          <w:rFonts w:ascii="Verdana" w:hAnsi="Verdana"/>
        </w:rPr>
        <w:t xml:space="preserve"> en el caso</w:t>
      </w:r>
      <w:r w:rsidR="0089128D">
        <w:rPr>
          <w:rFonts w:ascii="Verdana" w:hAnsi="Verdana"/>
        </w:rPr>
        <w:t>,</w:t>
      </w:r>
      <w:r w:rsidR="00DD3292" w:rsidRPr="006F13A2">
        <w:rPr>
          <w:rFonts w:ascii="Verdana" w:hAnsi="Verdana"/>
        </w:rPr>
        <w:t xml:space="preserve"> que el “órgano principal” de RCTV es la Asamblea General de Accionistas “</w:t>
      </w:r>
      <w:r w:rsidR="00DD3292" w:rsidRPr="006F13A2">
        <w:rPr>
          <w:rFonts w:ascii="Verdana" w:hAnsi="Verdana" w:cs="Arial"/>
          <w:lang w:val="es-PE"/>
        </w:rPr>
        <w:t xml:space="preserve">la cual reviste las más amplias facultades </w:t>
      </w:r>
      <w:r w:rsidR="00DD3292" w:rsidRPr="006F13A2">
        <w:rPr>
          <w:rFonts w:ascii="Verdana" w:hAnsi="Verdana" w:cs="Arial"/>
          <w:lang w:val="es-PE"/>
        </w:rPr>
        <w:lastRenderedPageBreak/>
        <w:t>para dirigir y administrar los negocios sociales</w:t>
      </w:r>
      <w:r w:rsidR="006F13A2" w:rsidRPr="006F13A2">
        <w:rPr>
          <w:rFonts w:ascii="Verdana" w:hAnsi="Verdana" w:cs="Arial"/>
          <w:lang w:val="es-PE"/>
        </w:rPr>
        <w:t>”</w:t>
      </w:r>
      <w:r w:rsidR="00DD3292" w:rsidRPr="006F13A2">
        <w:rPr>
          <w:rStyle w:val="FootnoteReference"/>
          <w:rFonts w:ascii="Verdana" w:hAnsi="Verdana"/>
          <w:lang w:val="es-PE"/>
        </w:rPr>
        <w:footnoteReference w:id="78"/>
      </w:r>
      <w:r w:rsidR="0089128D">
        <w:rPr>
          <w:rFonts w:ascii="Verdana" w:hAnsi="Verdana" w:cs="Arial"/>
          <w:lang w:val="es-PE"/>
        </w:rPr>
        <w:t>;</w:t>
      </w:r>
      <w:r w:rsidR="006F13A2" w:rsidRPr="006F13A2">
        <w:rPr>
          <w:rFonts w:ascii="Verdana" w:hAnsi="Verdana" w:cs="Arial"/>
          <w:lang w:val="es-PE"/>
        </w:rPr>
        <w:t xml:space="preserve"> siendo el órgano que nombra a la “Junta Directiva”</w:t>
      </w:r>
      <w:r w:rsidR="006F13A2" w:rsidRPr="006F13A2">
        <w:rPr>
          <w:rStyle w:val="FootnoteReference"/>
          <w:rFonts w:ascii="Verdana" w:hAnsi="Verdana" w:cs="Arial"/>
          <w:lang w:val="es-PE"/>
        </w:rPr>
        <w:footnoteReference w:id="79"/>
      </w:r>
      <w:r w:rsidR="0089128D">
        <w:rPr>
          <w:rFonts w:ascii="Verdana" w:hAnsi="Verdana" w:cs="Arial"/>
          <w:lang w:val="es-PE"/>
        </w:rPr>
        <w:t xml:space="preserve"> </w:t>
      </w:r>
      <w:r w:rsidR="008F18F3">
        <w:rPr>
          <w:rFonts w:ascii="Verdana" w:hAnsi="Verdana" w:cs="Arial"/>
          <w:lang w:val="es-PE"/>
        </w:rPr>
        <w:t>y</w:t>
      </w:r>
      <w:r w:rsidR="00713607">
        <w:rPr>
          <w:rFonts w:ascii="Verdana" w:hAnsi="Verdana" w:cs="Arial"/>
          <w:lang w:val="es-PE"/>
        </w:rPr>
        <w:t>,</w:t>
      </w:r>
      <w:r w:rsidR="008F18F3">
        <w:rPr>
          <w:rFonts w:ascii="Verdana" w:hAnsi="Verdana" w:cs="Arial"/>
          <w:lang w:val="es-PE"/>
        </w:rPr>
        <w:t xml:space="preserve"> evidentemente</w:t>
      </w:r>
      <w:r w:rsidR="0089128D">
        <w:rPr>
          <w:rFonts w:ascii="Verdana" w:hAnsi="Verdana" w:cs="Arial"/>
          <w:lang w:val="es-PE"/>
        </w:rPr>
        <w:t>,</w:t>
      </w:r>
      <w:r w:rsidR="008F18F3">
        <w:rPr>
          <w:rFonts w:ascii="Verdana" w:hAnsi="Verdana" w:cs="Arial"/>
          <w:lang w:val="es-PE"/>
        </w:rPr>
        <w:t xml:space="preserve"> dicha Junta </w:t>
      </w:r>
      <w:r w:rsidR="00EB5625">
        <w:rPr>
          <w:rFonts w:ascii="Verdana" w:hAnsi="Verdana" w:cs="Arial"/>
          <w:lang w:val="es-PE"/>
        </w:rPr>
        <w:t>—</w:t>
      </w:r>
      <w:r w:rsidR="008F18F3">
        <w:rPr>
          <w:rFonts w:ascii="Verdana" w:hAnsi="Verdana" w:cs="Arial"/>
          <w:lang w:val="es-PE"/>
        </w:rPr>
        <w:t xml:space="preserve">que se integra </w:t>
      </w:r>
      <w:r w:rsidR="008904C3">
        <w:rPr>
          <w:rFonts w:ascii="Verdana" w:hAnsi="Verdana" w:cs="Arial"/>
          <w:lang w:val="es-PE"/>
        </w:rPr>
        <w:t>por varios accionistas</w:t>
      </w:r>
      <w:r w:rsidR="00EB5625">
        <w:rPr>
          <w:rFonts w:ascii="Verdana" w:hAnsi="Verdana" w:cs="Arial"/>
          <w:lang w:val="es-PE"/>
        </w:rPr>
        <w:t>—</w:t>
      </w:r>
      <w:r w:rsidR="008F18F3">
        <w:rPr>
          <w:rFonts w:ascii="Verdana" w:hAnsi="Verdana" w:cs="Arial"/>
          <w:lang w:val="es-PE"/>
        </w:rPr>
        <w:t xml:space="preserve"> comparte el proyecto de todos los accionistas</w:t>
      </w:r>
      <w:r w:rsidR="0089128D">
        <w:rPr>
          <w:rFonts w:ascii="Verdana" w:hAnsi="Verdana" w:cs="Arial"/>
          <w:lang w:val="es-PE"/>
        </w:rPr>
        <w:t xml:space="preserve">; mismos </w:t>
      </w:r>
      <w:r w:rsidR="008904C3">
        <w:rPr>
          <w:rFonts w:ascii="Verdana" w:hAnsi="Verdana" w:cs="Arial"/>
          <w:lang w:val="es-PE"/>
        </w:rPr>
        <w:t>que</w:t>
      </w:r>
      <w:r w:rsidR="0089128D">
        <w:rPr>
          <w:rFonts w:ascii="Verdana" w:hAnsi="Verdana" w:cs="Arial"/>
          <w:lang w:val="es-PE"/>
        </w:rPr>
        <w:t>,</w:t>
      </w:r>
      <w:r w:rsidR="00713607">
        <w:rPr>
          <w:rFonts w:ascii="Verdana" w:hAnsi="Verdana" w:cs="Arial"/>
          <w:lang w:val="es-PE"/>
        </w:rPr>
        <w:t xml:space="preserve"> en el caso de RCTV</w:t>
      </w:r>
      <w:r w:rsidR="0089128D">
        <w:rPr>
          <w:rFonts w:ascii="Verdana" w:hAnsi="Verdana" w:cs="Arial"/>
          <w:lang w:val="es-PE"/>
        </w:rPr>
        <w:t>,</w:t>
      </w:r>
      <w:r w:rsidR="00713607">
        <w:rPr>
          <w:rFonts w:ascii="Verdana" w:hAnsi="Verdana" w:cs="Arial"/>
          <w:lang w:val="es-PE"/>
        </w:rPr>
        <w:t xml:space="preserve"> son miembros de una misma familia.</w:t>
      </w:r>
    </w:p>
    <w:p w14:paraId="6EA92478" w14:textId="77777777" w:rsidR="00F24959" w:rsidRDefault="00F24959" w:rsidP="00F24959">
      <w:pPr>
        <w:pStyle w:val="ListParagraph"/>
        <w:spacing w:line="240" w:lineRule="auto"/>
        <w:ind w:left="0"/>
        <w:jc w:val="both"/>
        <w:rPr>
          <w:rFonts w:ascii="Times" w:hAnsi="Times" w:cs="Times New Roman"/>
          <w:sz w:val="20"/>
          <w:szCs w:val="20"/>
          <w:lang w:val="es-ES_tradnl" w:eastAsia="es-ES"/>
        </w:rPr>
      </w:pPr>
    </w:p>
    <w:p w14:paraId="69E901B5" w14:textId="77777777" w:rsidR="00E005F5" w:rsidRPr="009869D8" w:rsidRDefault="00D62C93" w:rsidP="00713607">
      <w:pPr>
        <w:pStyle w:val="ListParagraph"/>
        <w:tabs>
          <w:tab w:val="left" w:pos="709"/>
        </w:tabs>
        <w:spacing w:line="240" w:lineRule="auto"/>
        <w:ind w:left="0"/>
        <w:jc w:val="both"/>
        <w:rPr>
          <w:rFonts w:ascii="Verdana" w:hAnsi="Verdana"/>
          <w:sz w:val="20"/>
          <w:szCs w:val="20"/>
        </w:rPr>
      </w:pPr>
      <w:r>
        <w:rPr>
          <w:rFonts w:ascii="Verdana" w:hAnsi="Verdana"/>
          <w:sz w:val="20"/>
          <w:szCs w:val="20"/>
        </w:rPr>
        <w:t>60</w:t>
      </w:r>
      <w:r w:rsidR="009B0D0B">
        <w:rPr>
          <w:rFonts w:ascii="Verdana" w:hAnsi="Verdana"/>
          <w:sz w:val="20"/>
          <w:szCs w:val="20"/>
        </w:rPr>
        <w:t xml:space="preserve">. </w:t>
      </w:r>
      <w:r w:rsidR="009B0D0B">
        <w:rPr>
          <w:rFonts w:ascii="Verdana" w:hAnsi="Verdana"/>
          <w:sz w:val="20"/>
          <w:szCs w:val="20"/>
        </w:rPr>
        <w:tab/>
      </w:r>
      <w:r w:rsidR="00F24959">
        <w:rPr>
          <w:rFonts w:ascii="Verdana" w:hAnsi="Verdana"/>
          <w:sz w:val="20"/>
          <w:szCs w:val="20"/>
        </w:rPr>
        <w:t>Si</w:t>
      </w:r>
      <w:r w:rsidR="00E005F5">
        <w:rPr>
          <w:rFonts w:ascii="Verdana" w:hAnsi="Verdana"/>
          <w:sz w:val="20"/>
          <w:szCs w:val="20"/>
        </w:rPr>
        <w:t xml:space="preserve"> todos los accionistas han invocado la protección de este Tribunal </w:t>
      </w:r>
      <w:r w:rsidR="006E7EDF">
        <w:rPr>
          <w:rFonts w:ascii="Verdana" w:hAnsi="Verdana"/>
          <w:sz w:val="20"/>
          <w:szCs w:val="20"/>
        </w:rPr>
        <w:t xml:space="preserve">Interamericano </w:t>
      </w:r>
      <w:r w:rsidR="00E005F5">
        <w:rPr>
          <w:rFonts w:ascii="Verdana" w:hAnsi="Verdana"/>
          <w:sz w:val="20"/>
          <w:szCs w:val="20"/>
        </w:rPr>
        <w:t>frente al cierre de RCTV, es precisamente porque no existen posicio</w:t>
      </w:r>
      <w:r w:rsidR="0089128D">
        <w:rPr>
          <w:rFonts w:ascii="Verdana" w:hAnsi="Verdana"/>
          <w:sz w:val="20"/>
          <w:szCs w:val="20"/>
        </w:rPr>
        <w:t>nes contrarias entre ellos</w:t>
      </w:r>
      <w:r w:rsidR="00E005F5">
        <w:rPr>
          <w:rFonts w:ascii="Verdana" w:hAnsi="Verdana"/>
          <w:sz w:val="20"/>
          <w:szCs w:val="20"/>
        </w:rPr>
        <w:t xml:space="preserve"> y mucho menos </w:t>
      </w:r>
      <w:r w:rsidR="0089128D">
        <w:rPr>
          <w:rFonts w:ascii="Verdana" w:hAnsi="Verdana"/>
          <w:sz w:val="20"/>
          <w:szCs w:val="20"/>
        </w:rPr>
        <w:t xml:space="preserve">posturas </w:t>
      </w:r>
      <w:r w:rsidR="00E005F5">
        <w:rPr>
          <w:rFonts w:ascii="Verdana" w:hAnsi="Verdana"/>
          <w:sz w:val="20"/>
          <w:szCs w:val="20"/>
        </w:rPr>
        <w:t>contendientes</w:t>
      </w:r>
      <w:r w:rsidR="0089128D">
        <w:rPr>
          <w:rFonts w:ascii="Verdana" w:hAnsi="Verdana"/>
          <w:sz w:val="20"/>
          <w:szCs w:val="20"/>
        </w:rPr>
        <w:t xml:space="preserve"> </w:t>
      </w:r>
      <w:r w:rsidR="00E005F5">
        <w:rPr>
          <w:rFonts w:ascii="Verdana" w:hAnsi="Verdana"/>
          <w:sz w:val="20"/>
          <w:szCs w:val="20"/>
        </w:rPr>
        <w:t>sobre el presente caso contra el Estado vene</w:t>
      </w:r>
      <w:r w:rsidR="00892F39">
        <w:rPr>
          <w:rFonts w:ascii="Verdana" w:hAnsi="Verdana"/>
          <w:sz w:val="20"/>
          <w:szCs w:val="20"/>
        </w:rPr>
        <w:t>zolano. Bajo esta tesitura, si e</w:t>
      </w:r>
      <w:r w:rsidR="006E7EDF">
        <w:rPr>
          <w:rFonts w:ascii="Verdana" w:hAnsi="Verdana"/>
          <w:sz w:val="20"/>
          <w:szCs w:val="20"/>
        </w:rPr>
        <w:t>sta Corte IDH</w:t>
      </w:r>
      <w:r w:rsidR="00713607">
        <w:rPr>
          <w:rFonts w:ascii="Verdana" w:hAnsi="Verdana"/>
          <w:sz w:val="20"/>
          <w:szCs w:val="20"/>
        </w:rPr>
        <w:t xml:space="preserve"> hubiese</w:t>
      </w:r>
      <w:r w:rsidR="00E005F5">
        <w:rPr>
          <w:rFonts w:ascii="Verdana" w:hAnsi="Verdana"/>
          <w:sz w:val="20"/>
          <w:szCs w:val="20"/>
        </w:rPr>
        <w:t xml:space="preserve"> seguido lo dispuesto por el Tribunal Europeo, al no existir discrepancia entre los accionistas y al formar todos parte del procedimiento en la tramitación ante el Sistema Interamericano, no</w:t>
      </w:r>
      <w:r w:rsidR="00713607">
        <w:rPr>
          <w:rFonts w:ascii="Verdana" w:hAnsi="Verdana"/>
          <w:sz w:val="20"/>
          <w:szCs w:val="20"/>
        </w:rPr>
        <w:t xml:space="preserve"> hubiesen existido</w:t>
      </w:r>
      <w:r w:rsidR="00E005F5">
        <w:rPr>
          <w:rFonts w:ascii="Verdana" w:hAnsi="Verdana"/>
          <w:sz w:val="20"/>
          <w:szCs w:val="20"/>
        </w:rPr>
        <w:t xml:space="preserve"> elementos para excluir a </w:t>
      </w:r>
      <w:r w:rsidR="00E005F5" w:rsidRPr="00507983">
        <w:rPr>
          <w:rFonts w:ascii="Verdana" w:hAnsi="Verdana"/>
          <w:sz w:val="20"/>
          <w:szCs w:val="20"/>
        </w:rPr>
        <w:t>Jean Nestares, Fernando Nestares, Alicia Phelps Tovar y Francisco J. Nestares</w:t>
      </w:r>
      <w:r w:rsidR="00E005F5">
        <w:rPr>
          <w:rFonts w:ascii="Verdana" w:hAnsi="Verdana"/>
          <w:sz w:val="20"/>
          <w:szCs w:val="20"/>
        </w:rPr>
        <w:t xml:space="preserve"> como víctimas del derecho a la libertad de expresi</w:t>
      </w:r>
      <w:r w:rsidR="00892F39">
        <w:rPr>
          <w:rFonts w:ascii="Verdana" w:hAnsi="Verdana"/>
          <w:sz w:val="20"/>
          <w:szCs w:val="20"/>
        </w:rPr>
        <w:t>ón.</w:t>
      </w:r>
    </w:p>
    <w:p w14:paraId="2AF36F2C" w14:textId="77777777" w:rsidR="00892F39" w:rsidRPr="00892F39" w:rsidRDefault="00D62C93" w:rsidP="00713607">
      <w:pPr>
        <w:pStyle w:val="NormalWeb"/>
        <w:tabs>
          <w:tab w:val="left" w:pos="709"/>
        </w:tabs>
        <w:spacing w:after="0" w:afterAutospacing="0"/>
        <w:contextualSpacing/>
        <w:jc w:val="both"/>
      </w:pPr>
      <w:r>
        <w:rPr>
          <w:rFonts w:ascii="Verdana" w:hAnsi="Verdana"/>
        </w:rPr>
        <w:t>61</w:t>
      </w:r>
      <w:r w:rsidR="009B0D0B">
        <w:rPr>
          <w:rFonts w:ascii="Verdana" w:hAnsi="Verdana"/>
        </w:rPr>
        <w:t xml:space="preserve">. </w:t>
      </w:r>
      <w:r w:rsidR="009B0D0B">
        <w:rPr>
          <w:rFonts w:ascii="Verdana" w:hAnsi="Verdana"/>
        </w:rPr>
        <w:tab/>
      </w:r>
      <w:r w:rsidR="00E005F5">
        <w:rPr>
          <w:rFonts w:ascii="Verdana" w:hAnsi="Verdana"/>
        </w:rPr>
        <w:t>A</w:t>
      </w:r>
      <w:r w:rsidR="00E005F5" w:rsidRPr="00933380">
        <w:rPr>
          <w:rFonts w:ascii="Verdana" w:hAnsi="Verdana"/>
        </w:rPr>
        <w:t xml:space="preserve">l igual que los accionistas que forman parte de los órganos que toman las decisiones, </w:t>
      </w:r>
      <w:r w:rsidR="00E005F5">
        <w:rPr>
          <w:rFonts w:ascii="Verdana" w:hAnsi="Verdana"/>
        </w:rPr>
        <w:t>los accionistas que no</w:t>
      </w:r>
      <w:r w:rsidR="0089128D">
        <w:rPr>
          <w:rFonts w:ascii="Verdana" w:hAnsi="Verdana"/>
        </w:rPr>
        <w:t xml:space="preserve"> forman parte de dichos órganos</w:t>
      </w:r>
      <w:r w:rsidR="00E005F5">
        <w:rPr>
          <w:rFonts w:ascii="Verdana" w:hAnsi="Verdana"/>
        </w:rPr>
        <w:t xml:space="preserve"> </w:t>
      </w:r>
      <w:r w:rsidR="00E005F5" w:rsidRPr="00933380">
        <w:rPr>
          <w:rFonts w:ascii="Verdana" w:hAnsi="Verdana"/>
        </w:rPr>
        <w:t>son pieza</w:t>
      </w:r>
      <w:r w:rsidR="00757D06">
        <w:rPr>
          <w:rFonts w:ascii="Verdana" w:hAnsi="Verdana"/>
        </w:rPr>
        <w:t xml:space="preserve"> clave para consolidar </w:t>
      </w:r>
      <w:r w:rsidR="00E005F5">
        <w:rPr>
          <w:rFonts w:ascii="Verdana" w:hAnsi="Verdana"/>
        </w:rPr>
        <w:t>derechos, como</w:t>
      </w:r>
      <w:r w:rsidR="00E005F5" w:rsidRPr="00933380">
        <w:rPr>
          <w:rFonts w:ascii="Verdana" w:hAnsi="Verdana"/>
        </w:rPr>
        <w:t xml:space="preserve"> la libertad de expresión</w:t>
      </w:r>
      <w:r w:rsidR="00E005F5">
        <w:rPr>
          <w:rFonts w:ascii="Verdana" w:hAnsi="Verdana"/>
        </w:rPr>
        <w:t>,</w:t>
      </w:r>
      <w:r w:rsidR="00E005F5" w:rsidRPr="00933380">
        <w:rPr>
          <w:rFonts w:ascii="Verdana" w:hAnsi="Verdana"/>
        </w:rPr>
        <w:t xml:space="preserve"> en un canal de televisión como RCTV</w:t>
      </w:r>
      <w:r w:rsidR="00E005F5">
        <w:rPr>
          <w:rFonts w:ascii="Verdana" w:hAnsi="Verdana"/>
        </w:rPr>
        <w:t>, ya</w:t>
      </w:r>
      <w:r w:rsidR="00E005F5" w:rsidRPr="00933380">
        <w:rPr>
          <w:rFonts w:ascii="Verdana" w:hAnsi="Verdana"/>
        </w:rPr>
        <w:t xml:space="preserve"> que optan</w:t>
      </w:r>
      <w:r w:rsidR="00E005F5">
        <w:rPr>
          <w:rFonts w:ascii="Verdana" w:hAnsi="Verdana"/>
        </w:rPr>
        <w:t xml:space="preserve"> por </w:t>
      </w:r>
      <w:r w:rsidR="00E005F5" w:rsidRPr="00933380">
        <w:rPr>
          <w:rFonts w:ascii="Verdana" w:hAnsi="Verdana"/>
        </w:rPr>
        <w:t>destinar sus bienes a un medio de comunicación cuyo objeto es la búsqueda, recepció</w:t>
      </w:r>
      <w:r w:rsidR="00E005F5">
        <w:rPr>
          <w:rFonts w:ascii="Verdana" w:hAnsi="Verdana"/>
        </w:rPr>
        <w:t>n y difusión de ideas</w:t>
      </w:r>
      <w:r w:rsidR="006F13A2">
        <w:rPr>
          <w:rFonts w:ascii="Verdana" w:hAnsi="Verdana"/>
        </w:rPr>
        <w:t xml:space="preserve">, </w:t>
      </w:r>
      <w:r w:rsidR="00E005F5">
        <w:rPr>
          <w:rFonts w:ascii="Verdana" w:hAnsi="Verdana"/>
        </w:rPr>
        <w:t xml:space="preserve"> que está</w:t>
      </w:r>
      <w:r w:rsidR="00E005F5" w:rsidRPr="00933380">
        <w:rPr>
          <w:rFonts w:ascii="Verdana" w:hAnsi="Verdana"/>
        </w:rPr>
        <w:t xml:space="preserve"> protegida, no solo por el artículo 13 de la </w:t>
      </w:r>
      <w:r w:rsidR="00E005F5">
        <w:rPr>
          <w:rFonts w:ascii="Verdana" w:hAnsi="Verdana"/>
        </w:rPr>
        <w:t xml:space="preserve">Convención, </w:t>
      </w:r>
      <w:r w:rsidR="006F13A2">
        <w:rPr>
          <w:rFonts w:ascii="Verdana" w:hAnsi="Verdana"/>
        </w:rPr>
        <w:t>sino también por el artículo 21</w:t>
      </w:r>
      <w:r w:rsidR="0089128D">
        <w:rPr>
          <w:rFonts w:ascii="Verdana" w:hAnsi="Verdana"/>
        </w:rPr>
        <w:t xml:space="preserve"> del mismo instrumento internacional</w:t>
      </w:r>
      <w:r w:rsidR="00DB2C08">
        <w:rPr>
          <w:rFonts w:ascii="Verdana" w:hAnsi="Verdana"/>
        </w:rPr>
        <w:t xml:space="preserve"> —cuyo análisis</w:t>
      </w:r>
      <w:r w:rsidR="00EB5625">
        <w:rPr>
          <w:rFonts w:ascii="Verdana" w:hAnsi="Verdana"/>
        </w:rPr>
        <w:t xml:space="preserve"> realizaré</w:t>
      </w:r>
      <w:r w:rsidR="00DB2C08">
        <w:rPr>
          <w:rFonts w:ascii="Verdana" w:hAnsi="Verdana"/>
        </w:rPr>
        <w:t xml:space="preserve"> en el siguiente epígrafe—</w:t>
      </w:r>
      <w:r w:rsidR="006F13A2">
        <w:rPr>
          <w:rFonts w:ascii="Verdana" w:hAnsi="Verdana"/>
        </w:rPr>
        <w:t>.</w:t>
      </w:r>
      <w:r w:rsidR="00892F39">
        <w:rPr>
          <w:rFonts w:ascii="Verdana" w:hAnsi="Verdana"/>
        </w:rPr>
        <w:t xml:space="preserve"> </w:t>
      </w:r>
    </w:p>
    <w:p w14:paraId="57FCAC78" w14:textId="77777777" w:rsidR="00892F39" w:rsidRDefault="00892F39" w:rsidP="00892F39">
      <w:pPr>
        <w:pStyle w:val="NormalWeb"/>
        <w:spacing w:after="0" w:afterAutospacing="0"/>
        <w:contextualSpacing/>
        <w:jc w:val="both"/>
        <w:rPr>
          <w:rFonts w:ascii="Verdana" w:hAnsi="Verdana"/>
        </w:rPr>
      </w:pPr>
    </w:p>
    <w:p w14:paraId="13716E5C" w14:textId="77777777" w:rsidR="00E005F5" w:rsidRDefault="008D2185" w:rsidP="0032600F">
      <w:pPr>
        <w:pStyle w:val="ListParagraph"/>
        <w:tabs>
          <w:tab w:val="left" w:pos="142"/>
          <w:tab w:val="left" w:pos="709"/>
        </w:tabs>
        <w:spacing w:after="0" w:line="240" w:lineRule="auto"/>
        <w:ind w:left="0"/>
        <w:jc w:val="both"/>
        <w:rPr>
          <w:rFonts w:ascii="Verdana" w:hAnsi="Verdana"/>
          <w:sz w:val="20"/>
          <w:szCs w:val="20"/>
          <w:lang w:val="es-AR"/>
        </w:rPr>
      </w:pPr>
      <w:r>
        <w:rPr>
          <w:rFonts w:ascii="Verdana" w:hAnsi="Verdana"/>
          <w:sz w:val="20"/>
          <w:szCs w:val="20"/>
        </w:rPr>
        <w:t>6</w:t>
      </w:r>
      <w:r w:rsidR="00D62C93">
        <w:rPr>
          <w:rFonts w:ascii="Verdana" w:hAnsi="Verdana"/>
          <w:sz w:val="20"/>
          <w:szCs w:val="20"/>
        </w:rPr>
        <w:t>2</w:t>
      </w:r>
      <w:r w:rsidR="009B0D0B" w:rsidRPr="009B0D0B">
        <w:rPr>
          <w:rFonts w:ascii="Verdana" w:hAnsi="Verdana"/>
        </w:rPr>
        <w:t xml:space="preserve">. </w:t>
      </w:r>
      <w:r w:rsidR="009B0D0B" w:rsidRPr="009B0D0B">
        <w:rPr>
          <w:rFonts w:ascii="Verdana" w:hAnsi="Verdana"/>
        </w:rPr>
        <w:tab/>
      </w:r>
      <w:r w:rsidR="00F24959" w:rsidRPr="009B0D0B">
        <w:rPr>
          <w:rFonts w:ascii="Verdana" w:hAnsi="Verdana"/>
          <w:sz w:val="20"/>
          <w:szCs w:val="20"/>
          <w:lang w:val="es-AR"/>
        </w:rPr>
        <w:t>Por todo lo</w:t>
      </w:r>
      <w:r w:rsidR="000533C4" w:rsidRPr="009B0D0B">
        <w:rPr>
          <w:rFonts w:ascii="Verdana" w:hAnsi="Verdana"/>
          <w:sz w:val="20"/>
          <w:szCs w:val="20"/>
          <w:lang w:val="es-AR"/>
        </w:rPr>
        <w:t xml:space="preserve"> anterior, </w:t>
      </w:r>
      <w:r w:rsidR="006F13A2">
        <w:rPr>
          <w:rFonts w:ascii="Verdana" w:hAnsi="Verdana"/>
          <w:sz w:val="20"/>
          <w:szCs w:val="20"/>
          <w:lang w:val="es-AR"/>
        </w:rPr>
        <w:t xml:space="preserve">estimo que </w:t>
      </w:r>
      <w:r w:rsidR="003E021C" w:rsidRPr="009B0D0B">
        <w:rPr>
          <w:rFonts w:ascii="Verdana" w:hAnsi="Verdana"/>
          <w:sz w:val="20"/>
          <w:szCs w:val="20"/>
          <w:lang w:val="es-AR"/>
        </w:rPr>
        <w:t xml:space="preserve">la Corte </w:t>
      </w:r>
      <w:r w:rsidR="00700CEE">
        <w:rPr>
          <w:rFonts w:ascii="Verdana" w:hAnsi="Verdana"/>
          <w:sz w:val="20"/>
          <w:szCs w:val="20"/>
          <w:lang w:val="es-AR"/>
        </w:rPr>
        <w:t xml:space="preserve">IDH </w:t>
      </w:r>
      <w:r w:rsidR="003E021C" w:rsidRPr="009B0D0B">
        <w:rPr>
          <w:rFonts w:ascii="Verdana" w:hAnsi="Verdana"/>
          <w:sz w:val="20"/>
          <w:szCs w:val="20"/>
          <w:lang w:val="es-AR"/>
        </w:rPr>
        <w:t>debió considerar como “víctimas” a la totalidad de accionistas</w:t>
      </w:r>
      <w:r w:rsidR="00F24959" w:rsidRPr="009B0D0B">
        <w:rPr>
          <w:rFonts w:ascii="Verdana" w:hAnsi="Verdana"/>
          <w:sz w:val="20"/>
          <w:szCs w:val="20"/>
          <w:lang w:val="es-AR"/>
        </w:rPr>
        <w:t xml:space="preserve">, incluyendo a </w:t>
      </w:r>
      <w:r w:rsidR="000533C4" w:rsidRPr="009B0D0B">
        <w:rPr>
          <w:rFonts w:ascii="Verdana" w:hAnsi="Verdana"/>
          <w:sz w:val="20"/>
          <w:szCs w:val="20"/>
          <w:lang w:val="es-ES_tradnl"/>
        </w:rPr>
        <w:t xml:space="preserve">Jean </w:t>
      </w:r>
      <w:proofErr w:type="spellStart"/>
      <w:r w:rsidR="000533C4" w:rsidRPr="009B0D0B">
        <w:rPr>
          <w:rFonts w:ascii="Verdana" w:hAnsi="Verdana"/>
          <w:sz w:val="20"/>
          <w:szCs w:val="20"/>
          <w:lang w:val="es-ES_tradnl"/>
        </w:rPr>
        <w:t>Nestares</w:t>
      </w:r>
      <w:proofErr w:type="spellEnd"/>
      <w:r w:rsidR="000533C4" w:rsidRPr="009B0D0B">
        <w:rPr>
          <w:rFonts w:ascii="Verdana" w:hAnsi="Verdana"/>
          <w:sz w:val="20"/>
          <w:szCs w:val="20"/>
          <w:lang w:val="es-ES_tradnl"/>
        </w:rPr>
        <w:t xml:space="preserve">, Fernando </w:t>
      </w:r>
      <w:proofErr w:type="spellStart"/>
      <w:r w:rsidR="000533C4" w:rsidRPr="009B0D0B">
        <w:rPr>
          <w:rFonts w:ascii="Verdana" w:hAnsi="Verdana"/>
          <w:sz w:val="20"/>
          <w:szCs w:val="20"/>
          <w:lang w:val="es-ES_tradnl"/>
        </w:rPr>
        <w:t>Nestares</w:t>
      </w:r>
      <w:proofErr w:type="spellEnd"/>
      <w:r w:rsidR="000533C4" w:rsidRPr="009B0D0B">
        <w:rPr>
          <w:rFonts w:ascii="Verdana" w:hAnsi="Verdana"/>
          <w:sz w:val="20"/>
          <w:szCs w:val="20"/>
          <w:lang w:val="es-ES_tradnl"/>
        </w:rPr>
        <w:t xml:space="preserve">, Alicia </w:t>
      </w:r>
      <w:proofErr w:type="spellStart"/>
      <w:r w:rsidR="000533C4" w:rsidRPr="009B0D0B">
        <w:rPr>
          <w:rFonts w:ascii="Verdana" w:hAnsi="Verdana"/>
          <w:sz w:val="20"/>
          <w:szCs w:val="20"/>
          <w:lang w:val="es-ES_tradnl"/>
        </w:rPr>
        <w:t>Phelps</w:t>
      </w:r>
      <w:proofErr w:type="spellEnd"/>
      <w:r w:rsidR="000533C4" w:rsidRPr="009B0D0B">
        <w:rPr>
          <w:rFonts w:ascii="Verdana" w:hAnsi="Verdana"/>
          <w:sz w:val="20"/>
          <w:szCs w:val="20"/>
          <w:lang w:val="es-ES_tradnl"/>
        </w:rPr>
        <w:t xml:space="preserve"> de Tovar y Francisco J. </w:t>
      </w:r>
      <w:proofErr w:type="spellStart"/>
      <w:r w:rsidR="000533C4" w:rsidRPr="009B0D0B">
        <w:rPr>
          <w:rFonts w:ascii="Verdana" w:hAnsi="Verdana"/>
          <w:sz w:val="20"/>
          <w:szCs w:val="20"/>
          <w:lang w:val="es-ES_tradnl"/>
        </w:rPr>
        <w:t>Nestares</w:t>
      </w:r>
      <w:proofErr w:type="spellEnd"/>
      <w:r w:rsidR="00F24959" w:rsidRPr="009B0D0B">
        <w:rPr>
          <w:rFonts w:ascii="Verdana" w:hAnsi="Verdana"/>
          <w:sz w:val="20"/>
          <w:szCs w:val="20"/>
          <w:lang w:val="es-ES_tradnl"/>
        </w:rPr>
        <w:t>, quienes</w:t>
      </w:r>
      <w:r w:rsidR="0089128D">
        <w:rPr>
          <w:rFonts w:ascii="Verdana" w:hAnsi="Verdana"/>
          <w:sz w:val="20"/>
          <w:szCs w:val="20"/>
          <w:lang w:val="es-ES_tradnl"/>
        </w:rPr>
        <w:t>,</w:t>
      </w:r>
      <w:r w:rsidR="000533C4" w:rsidRPr="009B0D0B">
        <w:rPr>
          <w:rFonts w:ascii="Verdana" w:hAnsi="Verdana"/>
          <w:sz w:val="20"/>
          <w:szCs w:val="20"/>
          <w:lang w:val="es-AR"/>
        </w:rPr>
        <w:t xml:space="preserve"> </w:t>
      </w:r>
      <w:r w:rsidR="006F13A2">
        <w:rPr>
          <w:rFonts w:ascii="Verdana" w:hAnsi="Verdana"/>
          <w:sz w:val="20"/>
          <w:szCs w:val="20"/>
          <w:lang w:val="es-AR"/>
        </w:rPr>
        <w:t>siendo parte de un</w:t>
      </w:r>
      <w:r w:rsidR="00DE5E41">
        <w:rPr>
          <w:rFonts w:ascii="Verdana" w:hAnsi="Verdana"/>
          <w:sz w:val="20"/>
          <w:szCs w:val="20"/>
          <w:lang w:val="es-AR"/>
        </w:rPr>
        <w:t xml:space="preserve">a </w:t>
      </w:r>
      <w:r w:rsidR="0089128D">
        <w:rPr>
          <w:rFonts w:ascii="Verdana" w:hAnsi="Verdana"/>
          <w:sz w:val="20"/>
          <w:szCs w:val="20"/>
          <w:lang w:val="es-AR"/>
        </w:rPr>
        <w:t xml:space="preserve">misma </w:t>
      </w:r>
      <w:r w:rsidR="00DE5E41">
        <w:rPr>
          <w:rFonts w:ascii="Verdana" w:hAnsi="Verdana"/>
          <w:sz w:val="20"/>
          <w:szCs w:val="20"/>
          <w:lang w:val="es-AR"/>
        </w:rPr>
        <w:t>familia</w:t>
      </w:r>
      <w:r w:rsidR="0089128D">
        <w:rPr>
          <w:rFonts w:ascii="Verdana" w:hAnsi="Verdana"/>
          <w:sz w:val="20"/>
          <w:szCs w:val="20"/>
          <w:lang w:val="es-AR"/>
        </w:rPr>
        <w:t>,</w:t>
      </w:r>
      <w:r w:rsidR="00DE5E41">
        <w:rPr>
          <w:rFonts w:ascii="Verdana" w:hAnsi="Verdana"/>
          <w:sz w:val="20"/>
          <w:szCs w:val="20"/>
          <w:lang w:val="es-AR"/>
        </w:rPr>
        <w:t xml:space="preserve"> compartían un</w:t>
      </w:r>
      <w:r w:rsidR="006F13A2">
        <w:rPr>
          <w:rFonts w:ascii="Verdana" w:hAnsi="Verdana"/>
          <w:sz w:val="20"/>
          <w:szCs w:val="20"/>
          <w:lang w:val="es-AR"/>
        </w:rPr>
        <w:t xml:space="preserve"> proyecto </w:t>
      </w:r>
      <w:r w:rsidR="00DE5E41">
        <w:rPr>
          <w:rFonts w:ascii="Verdana" w:hAnsi="Verdana"/>
          <w:sz w:val="20"/>
          <w:szCs w:val="20"/>
          <w:lang w:val="es-AR"/>
        </w:rPr>
        <w:t>personal y político</w:t>
      </w:r>
      <w:r w:rsidR="0089128D">
        <w:rPr>
          <w:rFonts w:ascii="Verdana" w:hAnsi="Verdana"/>
          <w:sz w:val="20"/>
          <w:szCs w:val="20"/>
          <w:lang w:val="es-AR"/>
        </w:rPr>
        <w:t>;</w:t>
      </w:r>
      <w:r w:rsidR="00DE5E41">
        <w:rPr>
          <w:rFonts w:ascii="Verdana" w:hAnsi="Verdana"/>
          <w:sz w:val="20"/>
          <w:szCs w:val="20"/>
          <w:lang w:val="es-AR"/>
        </w:rPr>
        <w:t xml:space="preserve"> y todos </w:t>
      </w:r>
      <w:r w:rsidR="006F13A2">
        <w:rPr>
          <w:rFonts w:ascii="Verdana" w:hAnsi="Verdana"/>
          <w:sz w:val="20"/>
          <w:szCs w:val="20"/>
          <w:lang w:val="es-AR"/>
        </w:rPr>
        <w:t xml:space="preserve">realizaban acciones </w:t>
      </w:r>
      <w:r w:rsidR="000533C4" w:rsidRPr="009B0D0B">
        <w:rPr>
          <w:rFonts w:ascii="Verdana" w:hAnsi="Verdana"/>
          <w:sz w:val="20"/>
          <w:szCs w:val="20"/>
          <w:lang w:val="es-AR"/>
        </w:rPr>
        <w:t>que coadyuvaban de forma imprescindible a l</w:t>
      </w:r>
      <w:r w:rsidR="00DE5E41">
        <w:rPr>
          <w:rFonts w:ascii="Verdana" w:hAnsi="Verdana"/>
          <w:sz w:val="20"/>
          <w:szCs w:val="20"/>
          <w:lang w:val="es-AR"/>
        </w:rPr>
        <w:t>a misión comunicacional de RCTV. Estos accionistas</w:t>
      </w:r>
      <w:r w:rsidR="000533C4" w:rsidRPr="009B0D0B">
        <w:rPr>
          <w:rFonts w:ascii="Verdana" w:hAnsi="Verdana"/>
          <w:sz w:val="20"/>
          <w:szCs w:val="20"/>
          <w:lang w:val="es-AR"/>
        </w:rPr>
        <w:t xml:space="preserve"> son personas naturales cuya libertad de expresión </w:t>
      </w:r>
      <w:r w:rsidR="006F13A2">
        <w:rPr>
          <w:rFonts w:ascii="Verdana" w:hAnsi="Verdana"/>
          <w:sz w:val="20"/>
          <w:szCs w:val="20"/>
          <w:lang w:val="es-AR"/>
        </w:rPr>
        <w:t>fue</w:t>
      </w:r>
      <w:r w:rsidR="000533C4" w:rsidRPr="009B0D0B">
        <w:rPr>
          <w:rFonts w:ascii="Verdana" w:hAnsi="Verdana"/>
          <w:sz w:val="20"/>
          <w:szCs w:val="20"/>
          <w:lang w:val="es-AR"/>
        </w:rPr>
        <w:t xml:space="preserve"> afectada por las actuacio</w:t>
      </w:r>
      <w:r w:rsidR="009B0D0B">
        <w:rPr>
          <w:rFonts w:ascii="Verdana" w:hAnsi="Verdana"/>
          <w:sz w:val="20"/>
          <w:szCs w:val="20"/>
          <w:lang w:val="es-AR"/>
        </w:rPr>
        <w:t>nes del Estado dirigidas a RCTV</w:t>
      </w:r>
      <w:r w:rsidR="006F13A2">
        <w:rPr>
          <w:rFonts w:ascii="Verdana" w:hAnsi="Verdana"/>
          <w:sz w:val="20"/>
          <w:szCs w:val="20"/>
          <w:lang w:val="es-AR"/>
        </w:rPr>
        <w:t>, tal y como fue probado y declarado respecto de los otros accion</w:t>
      </w:r>
      <w:r w:rsidR="00DE5E41">
        <w:rPr>
          <w:rFonts w:ascii="Verdana" w:hAnsi="Verdana"/>
          <w:sz w:val="20"/>
          <w:szCs w:val="20"/>
          <w:lang w:val="es-AR"/>
        </w:rPr>
        <w:t>istas que formaban parte de la junta d</w:t>
      </w:r>
      <w:r w:rsidR="006F13A2">
        <w:rPr>
          <w:rFonts w:ascii="Verdana" w:hAnsi="Verdana"/>
          <w:sz w:val="20"/>
          <w:szCs w:val="20"/>
          <w:lang w:val="es-AR"/>
        </w:rPr>
        <w:t>irectiva.</w:t>
      </w:r>
    </w:p>
    <w:p w14:paraId="276A581E" w14:textId="77777777" w:rsidR="00FF72CB" w:rsidRDefault="00FF72CB" w:rsidP="0032600F">
      <w:pPr>
        <w:pStyle w:val="ListParagraph"/>
        <w:tabs>
          <w:tab w:val="left" w:pos="142"/>
          <w:tab w:val="left" w:pos="709"/>
        </w:tabs>
        <w:spacing w:after="0" w:line="240" w:lineRule="auto"/>
        <w:ind w:left="0"/>
        <w:jc w:val="both"/>
        <w:rPr>
          <w:rFonts w:ascii="Verdana" w:hAnsi="Verdana"/>
          <w:sz w:val="20"/>
          <w:szCs w:val="20"/>
          <w:lang w:val="es-AR"/>
        </w:rPr>
      </w:pPr>
    </w:p>
    <w:p w14:paraId="75E919D2" w14:textId="77777777" w:rsidR="004731B1" w:rsidRPr="00026D1B" w:rsidRDefault="004731B1" w:rsidP="005A0435">
      <w:pPr>
        <w:spacing w:after="0" w:line="360" w:lineRule="auto"/>
        <w:jc w:val="center"/>
        <w:rPr>
          <w:rFonts w:ascii="Verdana" w:hAnsi="Verdana"/>
          <w:b/>
          <w:sz w:val="20"/>
          <w:szCs w:val="20"/>
        </w:rPr>
      </w:pPr>
      <w:r w:rsidRPr="00026D1B">
        <w:rPr>
          <w:rFonts w:ascii="Verdana" w:hAnsi="Verdana"/>
          <w:b/>
          <w:sz w:val="20"/>
          <w:szCs w:val="20"/>
        </w:rPr>
        <w:t>III. LA VIOLACIÓN AL DERECHO A LA PROPIEDAD PRIVADA (ART. 21) EN RELACIÓN CON EL DERECHO A LA LIBERTAD DE EXPRESIÓN (ART. 13)</w:t>
      </w:r>
    </w:p>
    <w:p w14:paraId="0A90790A" w14:textId="77777777" w:rsidR="004731B1" w:rsidRPr="00026D1B" w:rsidRDefault="004731B1" w:rsidP="00345243">
      <w:pPr>
        <w:spacing w:after="0" w:line="240" w:lineRule="auto"/>
        <w:rPr>
          <w:rFonts w:ascii="Verdana" w:hAnsi="Verdana"/>
          <w:b/>
          <w:sz w:val="20"/>
          <w:szCs w:val="20"/>
        </w:rPr>
      </w:pPr>
    </w:p>
    <w:p w14:paraId="63803B4A" w14:textId="77777777" w:rsidR="004731B1" w:rsidRPr="00026D1B" w:rsidRDefault="004731B1" w:rsidP="00994293">
      <w:pPr>
        <w:spacing w:after="0" w:line="240" w:lineRule="auto"/>
        <w:jc w:val="both"/>
        <w:rPr>
          <w:rFonts w:ascii="Verdana" w:hAnsi="Verdana"/>
          <w:sz w:val="20"/>
          <w:szCs w:val="20"/>
        </w:rPr>
      </w:pPr>
      <w:r w:rsidRPr="00026D1B">
        <w:rPr>
          <w:rFonts w:ascii="Verdana" w:hAnsi="Verdana"/>
          <w:sz w:val="20"/>
          <w:szCs w:val="20"/>
        </w:rPr>
        <w:t xml:space="preserve">63. </w:t>
      </w:r>
      <w:r w:rsidRPr="00026D1B">
        <w:rPr>
          <w:rFonts w:ascii="Verdana" w:hAnsi="Verdana"/>
          <w:sz w:val="20"/>
          <w:szCs w:val="20"/>
        </w:rPr>
        <w:tab/>
        <w:t>En la Sentencia el criterio mayoritario estimó que no se acreditó la violación al derecho de propiedad privada en los términos del artículo 21 de la Convención Americana, esencialmente al considerar “</w:t>
      </w:r>
      <w:r w:rsidRPr="00026D1B">
        <w:rPr>
          <w:rFonts w:ascii="Verdana" w:hAnsi="Verdana" w:cs="Arial"/>
          <w:sz w:val="20"/>
          <w:szCs w:val="20"/>
        </w:rPr>
        <w:t>que los posibles beneficios económicos derivados de la posible renovación de la concesión no eran derechos adquiridos y que</w:t>
      </w:r>
      <w:r w:rsidRPr="00026D1B">
        <w:rPr>
          <w:rFonts w:ascii="Verdana" w:hAnsi="Verdana"/>
          <w:sz w:val="20"/>
          <w:szCs w:val="20"/>
        </w:rPr>
        <w:t xml:space="preserve"> no se encontró claramente probada la afectación que las medidas cautelares [que de oficio decretó la Sala Constitucional del Tribunal Supremo de Justicia a favor de TVes] pudieron haber generado sobre el valor de la participación accionaria de los socios de RCTV”</w:t>
      </w:r>
      <w:r w:rsidRPr="00026D1B">
        <w:rPr>
          <w:rStyle w:val="FootnoteReference"/>
          <w:rFonts w:ascii="Verdana" w:hAnsi="Verdana"/>
          <w:sz w:val="20"/>
          <w:szCs w:val="20"/>
        </w:rPr>
        <w:footnoteReference w:id="80"/>
      </w:r>
      <w:r w:rsidRPr="00026D1B">
        <w:rPr>
          <w:rFonts w:ascii="Verdana" w:hAnsi="Verdana"/>
          <w:sz w:val="20"/>
          <w:szCs w:val="20"/>
        </w:rPr>
        <w:t>.</w:t>
      </w:r>
    </w:p>
    <w:p w14:paraId="496F6ABC" w14:textId="77777777" w:rsidR="004731B1" w:rsidRPr="00026D1B" w:rsidRDefault="004731B1" w:rsidP="00345243">
      <w:pPr>
        <w:spacing w:after="0" w:line="240" w:lineRule="auto"/>
        <w:rPr>
          <w:rFonts w:cs="Arial"/>
          <w:sz w:val="20"/>
          <w:szCs w:val="20"/>
        </w:rPr>
      </w:pPr>
    </w:p>
    <w:p w14:paraId="525E9ADE" w14:textId="77777777" w:rsidR="004731B1" w:rsidRPr="00026D1B" w:rsidRDefault="004731B1" w:rsidP="002D51D8">
      <w:pPr>
        <w:pStyle w:val="ListParagraph"/>
        <w:spacing w:after="0" w:line="240" w:lineRule="auto"/>
        <w:ind w:left="0"/>
        <w:jc w:val="both"/>
        <w:rPr>
          <w:rFonts w:ascii="Verdana" w:hAnsi="Verdana"/>
          <w:sz w:val="20"/>
          <w:szCs w:val="20"/>
        </w:rPr>
      </w:pPr>
      <w:r w:rsidRPr="00026D1B">
        <w:rPr>
          <w:rFonts w:ascii="Verdana" w:hAnsi="Verdana" w:cs="Arial"/>
          <w:sz w:val="20"/>
          <w:szCs w:val="20"/>
        </w:rPr>
        <w:t xml:space="preserve">64. </w:t>
      </w:r>
      <w:r w:rsidRPr="00026D1B">
        <w:rPr>
          <w:rFonts w:ascii="Verdana" w:hAnsi="Verdana" w:cs="Arial"/>
          <w:sz w:val="20"/>
          <w:szCs w:val="20"/>
        </w:rPr>
        <w:tab/>
        <w:t>Disiento del anterior criterio por las consideraciones que expondré en el presente epígrafe. En principio, no debe pasar inadvertido que el presente caso</w:t>
      </w:r>
      <w:r w:rsidRPr="00026D1B">
        <w:rPr>
          <w:rFonts w:ascii="Verdana" w:hAnsi="Verdana"/>
          <w:sz w:val="20"/>
          <w:szCs w:val="20"/>
        </w:rPr>
        <w:t xml:space="preserve"> surge en un escenario donde este Tribunal Interamericano ha encontrado, y dado por probado, que los hechos implicaron una “</w:t>
      </w:r>
      <w:r w:rsidRPr="00026D1B">
        <w:rPr>
          <w:rFonts w:ascii="Verdana" w:hAnsi="Verdana"/>
          <w:sz w:val="20"/>
          <w:szCs w:val="20"/>
          <w:u w:val="single"/>
        </w:rPr>
        <w:t>desviación de poder”</w:t>
      </w:r>
      <w:r w:rsidRPr="00026D1B">
        <w:rPr>
          <w:rFonts w:ascii="Verdana" w:hAnsi="Verdana"/>
          <w:sz w:val="20"/>
          <w:szCs w:val="20"/>
        </w:rPr>
        <w:t xml:space="preserve">, ya que se hizo uso de una facultad permitida del Estado con el objetivo de disfrazar las actuaciones internas. Esto se hace evidente por </w:t>
      </w:r>
      <w:r w:rsidRPr="00026D1B">
        <w:rPr>
          <w:rFonts w:ascii="Verdana" w:hAnsi="Verdana"/>
          <w:sz w:val="20"/>
          <w:szCs w:val="20"/>
        </w:rPr>
        <w:lastRenderedPageBreak/>
        <w:t>las declaraciones hechas por el entonces Presidente de la República y diversas autoridades, en la cuales hacían alusión a que la decisión de no renovar la concesión de RCTV se encontraba tomada con anterioridad y que estaba relacionada con las molestias generadas por su línea editorial</w:t>
      </w:r>
      <w:r w:rsidRPr="00026D1B">
        <w:rPr>
          <w:rStyle w:val="FootnoteReference"/>
          <w:rFonts w:ascii="Verdana" w:hAnsi="Verdana"/>
          <w:sz w:val="20"/>
          <w:szCs w:val="20"/>
        </w:rPr>
        <w:footnoteReference w:id="81"/>
      </w:r>
      <w:r w:rsidRPr="00026D1B">
        <w:rPr>
          <w:rFonts w:ascii="Verdana" w:hAnsi="Verdana"/>
          <w:sz w:val="20"/>
          <w:szCs w:val="20"/>
        </w:rPr>
        <w:t xml:space="preserve">. </w:t>
      </w:r>
    </w:p>
    <w:p w14:paraId="1268180F" w14:textId="77777777" w:rsidR="004731B1" w:rsidRPr="00026D1B" w:rsidRDefault="004731B1" w:rsidP="002D51D8">
      <w:pPr>
        <w:pStyle w:val="ListParagraph"/>
        <w:spacing w:after="0" w:line="240" w:lineRule="auto"/>
        <w:ind w:left="0"/>
        <w:jc w:val="both"/>
        <w:rPr>
          <w:rFonts w:ascii="Verdana" w:hAnsi="Verdana"/>
          <w:i/>
          <w:sz w:val="20"/>
          <w:szCs w:val="20"/>
        </w:rPr>
      </w:pPr>
    </w:p>
    <w:p w14:paraId="3E6FB005" w14:textId="77777777" w:rsidR="004731B1" w:rsidRPr="00026D1B" w:rsidRDefault="004731B1" w:rsidP="002D51D8">
      <w:pPr>
        <w:pStyle w:val="ListParagraph"/>
        <w:spacing w:after="0" w:line="240" w:lineRule="auto"/>
        <w:ind w:left="0"/>
        <w:jc w:val="both"/>
        <w:rPr>
          <w:rFonts w:ascii="Verdana" w:hAnsi="Verdana"/>
          <w:i/>
          <w:sz w:val="20"/>
          <w:szCs w:val="20"/>
        </w:rPr>
      </w:pPr>
      <w:r w:rsidRPr="00026D1B">
        <w:rPr>
          <w:rFonts w:ascii="Verdana" w:hAnsi="Verdana"/>
          <w:sz w:val="20"/>
          <w:szCs w:val="20"/>
        </w:rPr>
        <w:t>65.</w:t>
      </w:r>
      <w:r w:rsidRPr="00026D1B">
        <w:rPr>
          <w:rFonts w:ascii="Verdana" w:hAnsi="Verdana"/>
          <w:sz w:val="20"/>
          <w:szCs w:val="20"/>
        </w:rPr>
        <w:tab/>
        <w:t>Esta “desviación de poder” tuvo un impacto sobre RCTV, no solo en la dimensión individual del derecho a la libertad de expresión, sino también en la dimensión social de este derecho, pues es “la ciudadanía [quien] se vio privada de tener acceso a la línea editorial que RCTV representaba”</w:t>
      </w:r>
      <w:r w:rsidRPr="00026D1B">
        <w:rPr>
          <w:rStyle w:val="FootnoteReference"/>
          <w:rFonts w:ascii="Verdana" w:hAnsi="Verdana"/>
          <w:sz w:val="20"/>
          <w:szCs w:val="20"/>
        </w:rPr>
        <w:footnoteReference w:id="82"/>
      </w:r>
      <w:r w:rsidRPr="00026D1B">
        <w:rPr>
          <w:rFonts w:ascii="Verdana" w:hAnsi="Verdana"/>
          <w:sz w:val="20"/>
          <w:szCs w:val="20"/>
        </w:rPr>
        <w:t>. La finalidad que buscaba el gobierno era la de silenciar las voces que esgrimían críticas contra el Estado, “las cuales constituyen junto con el pluralismo, la tolerancia y el espíritu de apertura, las demandas propias de un debate democrático que, justamente, […] la libertad de expresión busca proteger”</w:t>
      </w:r>
      <w:r w:rsidRPr="00026D1B">
        <w:rPr>
          <w:rStyle w:val="FootnoteReference"/>
          <w:rFonts w:ascii="Verdana" w:hAnsi="Verdana"/>
          <w:sz w:val="20"/>
          <w:szCs w:val="20"/>
        </w:rPr>
        <w:footnoteReference w:id="83"/>
      </w:r>
      <w:r w:rsidRPr="00026D1B">
        <w:rPr>
          <w:rFonts w:ascii="Verdana" w:hAnsi="Verdana"/>
          <w:sz w:val="20"/>
          <w:szCs w:val="20"/>
        </w:rPr>
        <w:t>. De esta forma, se constituyen restricciones indirectas en el ejercicio del derecho a la libertad de expresión producto de medios encaminados a impedir la comunicación y circulación de ideas, al decidir que el Estado” se reservaría la porción del espectro y, por tanto, impedir la participación en los procedimientos administrativos para la adjudicación de los títulos o la renovación de la concesión”</w:t>
      </w:r>
      <w:r w:rsidRPr="00026D1B">
        <w:rPr>
          <w:rStyle w:val="FootnoteReference"/>
          <w:rFonts w:ascii="Verdana" w:hAnsi="Verdana"/>
          <w:sz w:val="20"/>
          <w:szCs w:val="20"/>
        </w:rPr>
        <w:footnoteReference w:id="84"/>
      </w:r>
      <w:r w:rsidRPr="00026D1B">
        <w:rPr>
          <w:rFonts w:ascii="Verdana" w:hAnsi="Verdana"/>
          <w:sz w:val="20"/>
          <w:szCs w:val="20"/>
        </w:rPr>
        <w:t xml:space="preserve">. </w:t>
      </w:r>
    </w:p>
    <w:p w14:paraId="5DC08EF9" w14:textId="77777777" w:rsidR="004731B1" w:rsidRPr="00026D1B" w:rsidRDefault="004731B1" w:rsidP="002D51D8">
      <w:pPr>
        <w:spacing w:after="0" w:line="240" w:lineRule="auto"/>
        <w:jc w:val="both"/>
        <w:rPr>
          <w:rFonts w:ascii="Verdana" w:hAnsi="Verdana"/>
          <w:sz w:val="20"/>
          <w:szCs w:val="20"/>
        </w:rPr>
      </w:pPr>
    </w:p>
    <w:p w14:paraId="3F39DA85" w14:textId="77777777" w:rsidR="004731B1" w:rsidRPr="00026D1B" w:rsidRDefault="004731B1" w:rsidP="002D51D8">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66. </w:t>
      </w:r>
      <w:r w:rsidRPr="00026D1B">
        <w:rPr>
          <w:rFonts w:ascii="Verdana" w:hAnsi="Verdana"/>
          <w:sz w:val="20"/>
          <w:szCs w:val="20"/>
        </w:rPr>
        <w:tab/>
        <w:t>En este entendido, no coincido con el análisis que se realiza por separado del contenido del artículo 21 de la Convención (derecho a la propiedad privada), teniendo en cuenta el escenario en el cual las violaciones se suscitaron, ya que todas y cada una de ellas, estaban relacionadas en un contexto de violación a la libertad de expresión. Así, el criterio mayoritario decidió abordar por separado dos derechos que estaban íntimamente relacionados, arribando a conclusiones contradictorias entre el artículo 13 y el artículo 21 de la Convención, pues resulta evidente que de la vulneración de la libertad de expresión, dos hechos se fundan de manera coherente con el contenido del artículo 13.1 y 13.3: A) la pérdida del valor de las acciones; y B) la incautación de los bienes de RCTV.</w:t>
      </w:r>
    </w:p>
    <w:p w14:paraId="29810805" w14:textId="77777777" w:rsidR="004731B1" w:rsidRPr="00026D1B" w:rsidRDefault="004731B1" w:rsidP="00D10EA8">
      <w:pPr>
        <w:pStyle w:val="ListParagraph"/>
        <w:spacing w:after="0" w:line="240" w:lineRule="auto"/>
        <w:ind w:left="0"/>
        <w:jc w:val="both"/>
        <w:rPr>
          <w:rFonts w:ascii="Verdana" w:hAnsi="Verdana" w:cs="Arial"/>
          <w:sz w:val="20"/>
          <w:szCs w:val="20"/>
        </w:rPr>
      </w:pPr>
    </w:p>
    <w:p w14:paraId="561D6A47" w14:textId="77777777" w:rsidR="004731B1" w:rsidRPr="00026D1B" w:rsidRDefault="004731B1" w:rsidP="00172FB4">
      <w:pPr>
        <w:pStyle w:val="ListParagraph"/>
        <w:spacing w:after="0" w:line="240" w:lineRule="auto"/>
        <w:ind w:left="0"/>
        <w:jc w:val="both"/>
        <w:rPr>
          <w:rFonts w:ascii="Verdana" w:hAnsi="Verdana"/>
          <w:i/>
          <w:sz w:val="20"/>
          <w:szCs w:val="20"/>
          <w:u w:val="single"/>
        </w:rPr>
      </w:pPr>
      <w:r w:rsidRPr="00026D1B">
        <w:rPr>
          <w:rFonts w:ascii="Verdana" w:hAnsi="Verdana"/>
          <w:i/>
          <w:sz w:val="20"/>
          <w:szCs w:val="20"/>
          <w:u w:val="single"/>
        </w:rPr>
        <w:t>El espectro radioeléctrico es un bien de dominio público</w:t>
      </w:r>
    </w:p>
    <w:p w14:paraId="4183040E" w14:textId="77777777" w:rsidR="004731B1" w:rsidRPr="00026D1B" w:rsidRDefault="004731B1" w:rsidP="00172FB4">
      <w:pPr>
        <w:pStyle w:val="ListParagraph"/>
        <w:spacing w:after="0" w:line="240" w:lineRule="auto"/>
        <w:ind w:left="0"/>
        <w:jc w:val="both"/>
        <w:rPr>
          <w:rFonts w:ascii="Verdana" w:hAnsi="Verdana"/>
          <w:i/>
          <w:sz w:val="20"/>
          <w:szCs w:val="20"/>
        </w:rPr>
      </w:pPr>
    </w:p>
    <w:p w14:paraId="5A3F53E4" w14:textId="77777777" w:rsidR="004731B1" w:rsidRPr="00026D1B" w:rsidRDefault="004731B1" w:rsidP="00AF4FCD">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67. </w:t>
      </w:r>
      <w:r w:rsidRPr="00026D1B">
        <w:rPr>
          <w:rFonts w:ascii="Verdana" w:hAnsi="Verdana"/>
          <w:sz w:val="20"/>
          <w:szCs w:val="20"/>
        </w:rPr>
        <w:tab/>
        <w:t>Antes de abordar estos dos puntos es muy importante hacer la siguiente precisión: no existe controversia entre la partes en que el espectro radioeléctrico de Venezuela es un bien de dominio público, por lo que la titularidad le corresponde al Estado venezolano, y dicha titularidad no puede ser reclamada por particulares; en este entendido no es posible, ni sería adecuado, afirmar que una concesión confiere un derecho o titularidad sobre el espectro</w:t>
      </w:r>
      <w:r w:rsidRPr="00026D1B">
        <w:rPr>
          <w:rStyle w:val="FootnoteReference"/>
          <w:rFonts w:ascii="Verdana" w:hAnsi="Verdana"/>
          <w:sz w:val="20"/>
          <w:szCs w:val="20"/>
        </w:rPr>
        <w:footnoteReference w:id="85"/>
      </w:r>
      <w:r w:rsidRPr="00026D1B">
        <w:rPr>
          <w:rFonts w:ascii="Verdana" w:hAnsi="Verdana"/>
          <w:sz w:val="20"/>
          <w:szCs w:val="20"/>
        </w:rPr>
        <w:t xml:space="preserve">. </w:t>
      </w:r>
    </w:p>
    <w:p w14:paraId="4A82449E" w14:textId="77777777" w:rsidR="004731B1" w:rsidRPr="00026D1B" w:rsidRDefault="004731B1" w:rsidP="00DA4719">
      <w:pPr>
        <w:pStyle w:val="ListParagraph"/>
        <w:spacing w:after="0" w:line="240" w:lineRule="auto"/>
        <w:ind w:left="0"/>
        <w:jc w:val="both"/>
        <w:rPr>
          <w:rFonts w:ascii="Verdana" w:hAnsi="Verdana"/>
          <w:i/>
          <w:sz w:val="20"/>
          <w:szCs w:val="20"/>
        </w:rPr>
      </w:pPr>
    </w:p>
    <w:p w14:paraId="028F45BB" w14:textId="77777777" w:rsidR="004731B1" w:rsidRPr="00026D1B" w:rsidRDefault="004731B1" w:rsidP="00AF4FCD">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68. </w:t>
      </w:r>
      <w:r w:rsidRPr="00026D1B">
        <w:rPr>
          <w:rFonts w:ascii="Verdana" w:hAnsi="Verdana"/>
          <w:sz w:val="20"/>
          <w:szCs w:val="20"/>
        </w:rPr>
        <w:tab/>
        <w:t>Así, la concesión es el medio por el cual el Estado decide otorgar una porción del espacio electromagnético para que un medio de comunicación, constituido por sus accionistas, ejerzan un derecho tutelado por la Convención. “[I]mpedir la participación en los procedimientos administrativos para la adjudicación de los títulos o la  renovación de la concesión”, tal como queda explicitado en la Sentencia, constituye una violación al derecho a la libertad de expresión; no obstante, lo que el criterio mayoritario pierde de vista son los efectos que se tienen sobre el derecho de propiedad, como consecuencia de las restricciones indirectas a la libertad de expresión.</w:t>
      </w:r>
    </w:p>
    <w:p w14:paraId="4D72D2BA" w14:textId="77777777" w:rsidR="004731B1" w:rsidRPr="00026D1B" w:rsidRDefault="004731B1" w:rsidP="00DA4719">
      <w:pPr>
        <w:spacing w:after="0" w:line="240" w:lineRule="auto"/>
        <w:jc w:val="both"/>
        <w:rPr>
          <w:rFonts w:ascii="Verdana" w:hAnsi="Verdana"/>
          <w:sz w:val="20"/>
          <w:szCs w:val="20"/>
        </w:rPr>
      </w:pPr>
    </w:p>
    <w:p w14:paraId="490B0177" w14:textId="77777777" w:rsidR="004731B1" w:rsidRPr="00026D1B" w:rsidRDefault="004731B1" w:rsidP="00AF4FCD">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69. </w:t>
      </w:r>
      <w:r w:rsidRPr="00026D1B">
        <w:rPr>
          <w:rFonts w:ascii="Verdana" w:hAnsi="Verdana"/>
          <w:sz w:val="20"/>
          <w:szCs w:val="20"/>
        </w:rPr>
        <w:tab/>
        <w:t>En el caso</w:t>
      </w:r>
      <w:r w:rsidRPr="00026D1B">
        <w:rPr>
          <w:rFonts w:ascii="Verdana" w:hAnsi="Verdana"/>
          <w:i/>
          <w:sz w:val="20"/>
          <w:szCs w:val="20"/>
        </w:rPr>
        <w:t xml:space="preserve"> Centro Europa 7 S.R.L. Di Stefano Vs. Italia</w:t>
      </w:r>
      <w:r w:rsidRPr="00026D1B">
        <w:rPr>
          <w:rFonts w:ascii="Verdana" w:hAnsi="Verdana"/>
          <w:sz w:val="20"/>
          <w:szCs w:val="20"/>
        </w:rPr>
        <w:t>, por ejemplo, el Tribunal Europeo tomó nota que, desde el 28 de julio de 1999, la empresa demandante era titular de una licencia que le permitiría instalar y explotar una red de radiodifusión televisiva en el ámbito nacional vía terrestre, que abarcaría un 80% del territorio nacional. Sin embargo, esta licencia no otorgaba la concesión para utilizar el espectro de radiofrecuencias. La legislación italiana contemplaba un procedimiento especial de adjudicación de ese espectro y, según la legislación, tal adjudicación debía hacerse en el plazo de los veinticuatro meses siguientes, a partir de la asignación de la licencia. A criterio del Tribunal de Estrasburgo, en el ámbito de las emisiones de radio y televisión, la libre prestación de los servicios no solo requiere el otorgamiento de licencias de emisión, sino también la concesión de radiofrecuencias de emisión, pues la empresa no puede ejercer de manera efectiva el derecho de radiodifusión televisiva en ausencia de radiofrecuencias de emisión</w:t>
      </w:r>
      <w:r w:rsidRPr="00026D1B">
        <w:rPr>
          <w:rStyle w:val="FootnoteReference"/>
          <w:rFonts w:ascii="Verdana" w:hAnsi="Verdana"/>
          <w:sz w:val="20"/>
          <w:szCs w:val="20"/>
        </w:rPr>
        <w:footnoteReference w:id="86"/>
      </w:r>
      <w:r w:rsidRPr="00026D1B">
        <w:rPr>
          <w:rFonts w:ascii="Verdana" w:hAnsi="Verdana"/>
          <w:sz w:val="20"/>
          <w:szCs w:val="20"/>
        </w:rPr>
        <w:t>.</w:t>
      </w:r>
    </w:p>
    <w:p w14:paraId="4643FF2F" w14:textId="77777777" w:rsidR="004731B1" w:rsidRPr="00026D1B" w:rsidRDefault="004731B1" w:rsidP="00E647CB">
      <w:pPr>
        <w:spacing w:after="0" w:line="240" w:lineRule="auto"/>
        <w:jc w:val="both"/>
        <w:rPr>
          <w:rFonts w:ascii="Verdana" w:hAnsi="Verdana"/>
          <w:sz w:val="20"/>
          <w:szCs w:val="20"/>
        </w:rPr>
      </w:pPr>
    </w:p>
    <w:p w14:paraId="39A17675" w14:textId="77777777" w:rsidR="004731B1" w:rsidRPr="00026D1B" w:rsidRDefault="004731B1" w:rsidP="00AF4FCD">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70. </w:t>
      </w:r>
      <w:r w:rsidRPr="00026D1B">
        <w:rPr>
          <w:rFonts w:ascii="Verdana" w:hAnsi="Verdana"/>
          <w:sz w:val="20"/>
          <w:szCs w:val="20"/>
        </w:rPr>
        <w:tab/>
        <w:t>La parte demandante consideró que el comportamiento del gobierno podía ser considerado “una expropiación de bienes” en el sentido del artículo 1 del Protocolo 1, dado que no solo se ha abstenido, sin justificación, de otorgar una concesión sobre las radiofrecuencias, sino también se ha negado a hacer efectiva la licencia otorgada. Sin embargo, el Tribunal Europeo no coincidió con ese argumento, pues a pesar de que el interés de la parte interesada era explotar una red de televisión analógica, esta no ha sido objeto de expropiación o injerencias por parte del Estado, como lo demostraba el hecho de que la parte recurrente tenía las condiciones materiales de difundir programas de televisión con la asignación de un espectro radioeléctrico. No obstante, sobre la licencia, el Tribunal Europeo consideró que varias medidas habían retrasado la fecha de puesta en marcha del canal de televisión, lo que constituía una medida de regulación sobre el uso de los bienes</w:t>
      </w:r>
      <w:r w:rsidRPr="00026D1B">
        <w:rPr>
          <w:rStyle w:val="FootnoteReference"/>
          <w:rFonts w:ascii="Verdana" w:hAnsi="Verdana"/>
          <w:sz w:val="20"/>
          <w:szCs w:val="20"/>
        </w:rPr>
        <w:footnoteReference w:id="87"/>
      </w:r>
      <w:r w:rsidRPr="00026D1B">
        <w:rPr>
          <w:rFonts w:ascii="Verdana" w:hAnsi="Verdana"/>
          <w:sz w:val="20"/>
          <w:szCs w:val="20"/>
        </w:rPr>
        <w:t>.</w:t>
      </w:r>
    </w:p>
    <w:p w14:paraId="024A2BD1" w14:textId="77777777" w:rsidR="004731B1" w:rsidRPr="00026D1B" w:rsidRDefault="004731B1" w:rsidP="00E647CB">
      <w:pPr>
        <w:spacing w:after="0" w:line="240" w:lineRule="auto"/>
        <w:jc w:val="both"/>
        <w:rPr>
          <w:rFonts w:ascii="Verdana" w:hAnsi="Verdana"/>
          <w:sz w:val="20"/>
          <w:szCs w:val="20"/>
        </w:rPr>
      </w:pPr>
    </w:p>
    <w:p w14:paraId="727FA513"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71. </w:t>
      </w:r>
      <w:r w:rsidRPr="00026D1B">
        <w:rPr>
          <w:rFonts w:ascii="Verdana" w:hAnsi="Verdana"/>
          <w:sz w:val="20"/>
          <w:szCs w:val="20"/>
        </w:rPr>
        <w:tab/>
        <w:t xml:space="preserve">En apreciación del Tribunal Europeo, lo que estaba protegido por el artículo 1 del Protocolo 1 eran los intereses que se relacionaban con la explotación de la licencia, los que constituían intereses patrimoniales protegidos por el derecho a la propiedad, pues operaba sobre ellos una </w:t>
      </w:r>
      <w:r w:rsidRPr="00026D1B">
        <w:rPr>
          <w:rFonts w:ascii="Verdana" w:hAnsi="Verdana"/>
          <w:i/>
          <w:sz w:val="20"/>
          <w:szCs w:val="20"/>
        </w:rPr>
        <w:t xml:space="preserve">expectativa legítima </w:t>
      </w:r>
      <w:r w:rsidRPr="00026D1B">
        <w:rPr>
          <w:rFonts w:ascii="Verdana" w:hAnsi="Verdana"/>
          <w:sz w:val="20"/>
          <w:szCs w:val="20"/>
        </w:rPr>
        <w:t>de la parte recurrente, que se refería a los intereses patrimoniales como la explotación de la concesión en virtud de la licencia; lo que, a su vez, fundaba un interés sustancial que podía ser protegido como un “bien” en el sentido expresado en la primera frase del artículo 1 del Protocolo 1</w:t>
      </w:r>
      <w:r w:rsidRPr="00026D1B">
        <w:rPr>
          <w:rStyle w:val="FootnoteReference"/>
          <w:rFonts w:ascii="Verdana" w:hAnsi="Verdana"/>
          <w:sz w:val="20"/>
          <w:szCs w:val="20"/>
        </w:rPr>
        <w:footnoteReference w:id="88"/>
      </w:r>
      <w:r w:rsidRPr="00026D1B">
        <w:rPr>
          <w:rFonts w:ascii="Verdana" w:hAnsi="Verdana"/>
          <w:sz w:val="20"/>
          <w:szCs w:val="20"/>
        </w:rPr>
        <w:t xml:space="preserve">. </w:t>
      </w:r>
    </w:p>
    <w:p w14:paraId="25ECB3EE" w14:textId="77777777" w:rsidR="004731B1" w:rsidRPr="00026D1B" w:rsidRDefault="004731B1" w:rsidP="00F93AD6">
      <w:pPr>
        <w:pStyle w:val="ListParagraph"/>
        <w:spacing w:after="0" w:line="240" w:lineRule="auto"/>
        <w:ind w:left="0"/>
        <w:jc w:val="both"/>
        <w:rPr>
          <w:rFonts w:ascii="Verdana" w:hAnsi="Verdana"/>
          <w:sz w:val="20"/>
          <w:szCs w:val="20"/>
        </w:rPr>
      </w:pPr>
    </w:p>
    <w:p w14:paraId="04BF7CC5" w14:textId="55DD32F8" w:rsidR="004731B1" w:rsidRPr="00026D1B" w:rsidRDefault="004731B1" w:rsidP="00AF4FCD">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72. </w:t>
      </w:r>
      <w:r w:rsidRPr="00026D1B">
        <w:rPr>
          <w:rFonts w:ascii="Verdana" w:hAnsi="Verdana"/>
          <w:sz w:val="20"/>
          <w:szCs w:val="20"/>
        </w:rPr>
        <w:tab/>
        <w:t>En primer lugar, en el caso Centro Europa 7, se arribó a la conclusión sobre la violación a la libertad de expresión, pues el Estado no había permitido que la empresa demandante ejerciera su actividad informativa por la ausencia de la concesión del espectro electromagnético. En el caso</w:t>
      </w:r>
      <w:r w:rsidRPr="00026D1B">
        <w:rPr>
          <w:rFonts w:ascii="Verdana" w:hAnsi="Verdana"/>
          <w:i/>
          <w:sz w:val="20"/>
          <w:szCs w:val="20"/>
        </w:rPr>
        <w:t xml:space="preserve"> sub judice, </w:t>
      </w:r>
      <w:r w:rsidRPr="00026D1B">
        <w:rPr>
          <w:rFonts w:ascii="Verdana" w:hAnsi="Verdana"/>
          <w:sz w:val="20"/>
          <w:szCs w:val="20"/>
        </w:rPr>
        <w:t>la concesión otorgada por el Estado venezolano abarcaba, tanto la licencia para transmitir programas televisivos, como la asignación de una porción del espectro electromagnético; por lo cual no es posible considerar que la concesión sea propiedad de los accionistas. Además, en el caso de RCTV, el desv</w:t>
      </w:r>
      <w:r w:rsidR="00CA560C">
        <w:rPr>
          <w:rFonts w:ascii="Verdana" w:hAnsi="Verdana"/>
          <w:sz w:val="20"/>
          <w:szCs w:val="20"/>
        </w:rPr>
        <w:t>ío</w:t>
      </w:r>
      <w:r w:rsidRPr="00026D1B">
        <w:rPr>
          <w:rFonts w:ascii="Verdana" w:hAnsi="Verdana"/>
          <w:sz w:val="20"/>
          <w:szCs w:val="20"/>
        </w:rPr>
        <w:t xml:space="preserve"> de poder utilizado por el gobierno venezolano tuvo como consecuencia que no se renovara la concesión a RCTV, derivando en una privación de su función como medio de comunicación. </w:t>
      </w:r>
    </w:p>
    <w:p w14:paraId="412233BC" w14:textId="77777777" w:rsidR="004731B1" w:rsidRPr="00026D1B" w:rsidRDefault="004731B1" w:rsidP="00E647CB">
      <w:pPr>
        <w:spacing w:after="0" w:line="240" w:lineRule="auto"/>
        <w:jc w:val="both"/>
        <w:rPr>
          <w:rFonts w:ascii="Verdana" w:hAnsi="Verdana"/>
          <w:sz w:val="20"/>
          <w:szCs w:val="20"/>
        </w:rPr>
      </w:pPr>
    </w:p>
    <w:p w14:paraId="5827868B" w14:textId="77777777" w:rsidR="004731B1" w:rsidRPr="00026D1B" w:rsidRDefault="004731B1" w:rsidP="00AF4FCD">
      <w:pPr>
        <w:pStyle w:val="ListParagraph"/>
        <w:spacing w:after="0" w:line="240" w:lineRule="auto"/>
        <w:ind w:left="0"/>
        <w:jc w:val="both"/>
        <w:rPr>
          <w:rFonts w:ascii="Verdana" w:hAnsi="Verdana"/>
          <w:i/>
          <w:sz w:val="20"/>
          <w:szCs w:val="20"/>
        </w:rPr>
      </w:pPr>
      <w:r w:rsidRPr="00026D1B">
        <w:rPr>
          <w:rFonts w:ascii="Verdana" w:hAnsi="Verdana"/>
          <w:sz w:val="20"/>
          <w:szCs w:val="20"/>
        </w:rPr>
        <w:t xml:space="preserve">73. </w:t>
      </w:r>
      <w:r w:rsidRPr="00026D1B">
        <w:rPr>
          <w:rFonts w:ascii="Verdana" w:hAnsi="Verdana"/>
          <w:sz w:val="20"/>
          <w:szCs w:val="20"/>
        </w:rPr>
        <w:tab/>
        <w:t xml:space="preserve">En segundo lugar, respecto de los bienes, tal como lo enfatiza el Tribunal Europeo, lo que el artículo protege son los intereses y derechos que se deriven de la explotación de la licencia, ello incluía en ese caso en particular, la asignación de una concesión sobre el </w:t>
      </w:r>
      <w:r w:rsidRPr="00026D1B">
        <w:rPr>
          <w:rFonts w:ascii="Verdana" w:hAnsi="Verdana"/>
          <w:sz w:val="20"/>
          <w:szCs w:val="20"/>
        </w:rPr>
        <w:lastRenderedPageBreak/>
        <w:t xml:space="preserve">espectro. En el caso de RCTV, la concesión no era un derecho patrimonial de los accionistas, por el contrario, era el medio que permitía explotar intereses que se derivaran de la concesión, como el valor de las acciones por ejercer una función comunicacional amparado por el artículo 21.1 de la Convención. </w:t>
      </w:r>
    </w:p>
    <w:p w14:paraId="7F6154C4" w14:textId="77777777" w:rsidR="004731B1" w:rsidRPr="00026D1B" w:rsidRDefault="004731B1" w:rsidP="00E647CB">
      <w:pPr>
        <w:spacing w:after="0" w:line="240" w:lineRule="auto"/>
        <w:jc w:val="both"/>
        <w:rPr>
          <w:rFonts w:ascii="Verdana" w:hAnsi="Verdana"/>
          <w:sz w:val="20"/>
          <w:szCs w:val="20"/>
        </w:rPr>
      </w:pPr>
    </w:p>
    <w:p w14:paraId="53FDCDFA" w14:textId="54417AA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74. </w:t>
      </w:r>
      <w:r w:rsidRPr="00026D1B">
        <w:rPr>
          <w:rFonts w:ascii="Verdana" w:hAnsi="Verdana"/>
          <w:sz w:val="20"/>
          <w:szCs w:val="20"/>
        </w:rPr>
        <w:tab/>
        <w:t xml:space="preserve">Aunado a lo anterior, el Tribunal Europeo no consideró que la ausencia del otorgamiento de la concesión se tradujera en una expropiación, ya que Centro Europa 7 contaba con la infraestructura para que, en el momento que se le asignara una concesión del espectro, pudiera transmitir. Sin embargo, sobre los bienes para poder llevar a cabo la función comunicacional, ocurre una situación distinta en el caso de RCTV, ya que el Estado venezolano realizó una incautación </w:t>
      </w:r>
      <w:r w:rsidRPr="00026D1B">
        <w:rPr>
          <w:rFonts w:ascii="Verdana" w:hAnsi="Verdana"/>
          <w:i/>
          <w:sz w:val="20"/>
          <w:szCs w:val="20"/>
        </w:rPr>
        <w:t>de facto</w:t>
      </w:r>
      <w:r w:rsidRPr="00026D1B">
        <w:rPr>
          <w:rFonts w:ascii="Verdana" w:hAnsi="Verdana"/>
          <w:sz w:val="20"/>
          <w:szCs w:val="20"/>
        </w:rPr>
        <w:t xml:space="preserve"> sobre los bienes de RCTV que le permi</w:t>
      </w:r>
      <w:r w:rsidR="00CA560C">
        <w:rPr>
          <w:rFonts w:ascii="Verdana" w:hAnsi="Verdana"/>
          <w:sz w:val="20"/>
          <w:szCs w:val="20"/>
        </w:rPr>
        <w:t>tían transmitir su programación,</w:t>
      </w:r>
      <w:r w:rsidRPr="00026D1B">
        <w:rPr>
          <w:rFonts w:ascii="Verdana" w:hAnsi="Verdana"/>
          <w:sz w:val="20"/>
          <w:szCs w:val="20"/>
        </w:rPr>
        <w:t xml:space="preserve"> lo cual, ante lo dispuesto por el artículo 21.2 de la Convención, implica una injerencia </w:t>
      </w:r>
      <w:r w:rsidR="00CA560C">
        <w:rPr>
          <w:rFonts w:ascii="Verdana" w:hAnsi="Verdana"/>
          <w:sz w:val="20"/>
          <w:szCs w:val="20"/>
        </w:rPr>
        <w:t xml:space="preserve">arbitraria </w:t>
      </w:r>
      <w:r w:rsidRPr="00026D1B">
        <w:rPr>
          <w:rFonts w:ascii="Verdana" w:hAnsi="Verdana"/>
          <w:sz w:val="20"/>
          <w:szCs w:val="20"/>
        </w:rPr>
        <w:t>por parte del gobierno.</w:t>
      </w:r>
    </w:p>
    <w:p w14:paraId="4AD3C384" w14:textId="77777777" w:rsidR="004731B1" w:rsidRPr="00026D1B" w:rsidRDefault="004731B1" w:rsidP="00AF4FCD">
      <w:pPr>
        <w:pStyle w:val="ListParagraph"/>
        <w:spacing w:after="0" w:line="240" w:lineRule="auto"/>
        <w:ind w:left="0"/>
        <w:jc w:val="both"/>
        <w:rPr>
          <w:rFonts w:ascii="Verdana" w:hAnsi="Verdana"/>
          <w:sz w:val="20"/>
          <w:szCs w:val="20"/>
        </w:rPr>
      </w:pPr>
    </w:p>
    <w:p w14:paraId="390074AC" w14:textId="09848C41" w:rsidR="004731B1" w:rsidRPr="00026D1B" w:rsidRDefault="004731B1" w:rsidP="00351AFE">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75. </w:t>
      </w:r>
      <w:r w:rsidRPr="00026D1B">
        <w:rPr>
          <w:rFonts w:ascii="Verdana" w:hAnsi="Verdana"/>
          <w:sz w:val="20"/>
          <w:szCs w:val="20"/>
        </w:rPr>
        <w:tab/>
        <w:t xml:space="preserve">Así, bajo el contexto de violación a la libertad de expresión de los accionistas de un medio de comunicación, lo que la Convención protege a través del artículo 21, relacionado con el artículo 13 (párrafos primero y tercero), son los intereses concernientes </w:t>
      </w:r>
      <w:r w:rsidR="00CA560C">
        <w:rPr>
          <w:rFonts w:ascii="Verdana" w:hAnsi="Verdana"/>
          <w:sz w:val="20"/>
          <w:szCs w:val="20"/>
        </w:rPr>
        <w:t xml:space="preserve">a </w:t>
      </w:r>
      <w:r w:rsidRPr="00026D1B">
        <w:rPr>
          <w:rFonts w:ascii="Verdana" w:hAnsi="Verdana"/>
          <w:sz w:val="20"/>
          <w:szCs w:val="20"/>
        </w:rPr>
        <w:t>la explotación de la concesión, tal como son las acciones y los bienes que fueran necesarios para garantizar la difusión de la información. Realizada esta aclaración, pasamos a continuación al análisis de los dos aspectos mencionados sobre el derecho de propiedad, a la luz de la libertad de expresión.</w:t>
      </w:r>
    </w:p>
    <w:p w14:paraId="55B58346" w14:textId="77777777" w:rsidR="004731B1" w:rsidRPr="00026D1B" w:rsidRDefault="004731B1" w:rsidP="00F93AD6">
      <w:pPr>
        <w:spacing w:after="0" w:line="240" w:lineRule="auto"/>
        <w:jc w:val="both"/>
        <w:rPr>
          <w:rFonts w:ascii="Verdana" w:hAnsi="Verdana"/>
          <w:i/>
          <w:sz w:val="20"/>
          <w:szCs w:val="20"/>
        </w:rPr>
      </w:pPr>
    </w:p>
    <w:p w14:paraId="2F79F46A" w14:textId="77777777" w:rsidR="004731B1" w:rsidRPr="00026D1B" w:rsidRDefault="004731B1" w:rsidP="00E005F5">
      <w:pPr>
        <w:spacing w:line="240" w:lineRule="auto"/>
        <w:jc w:val="both"/>
        <w:rPr>
          <w:rFonts w:ascii="Verdana" w:hAnsi="Verdana"/>
          <w:b/>
          <w:sz w:val="20"/>
          <w:szCs w:val="20"/>
        </w:rPr>
      </w:pPr>
      <w:r w:rsidRPr="00026D1B">
        <w:rPr>
          <w:rFonts w:ascii="Verdana" w:hAnsi="Verdana"/>
          <w:b/>
          <w:i/>
          <w:sz w:val="20"/>
          <w:szCs w:val="20"/>
        </w:rPr>
        <w:t xml:space="preserve">III.A. </w:t>
      </w:r>
      <w:r w:rsidRPr="00026D1B">
        <w:rPr>
          <w:rFonts w:ascii="Verdana" w:hAnsi="Verdana"/>
          <w:b/>
          <w:sz w:val="20"/>
          <w:szCs w:val="20"/>
        </w:rPr>
        <w:t xml:space="preserve">Pérdida del valor de las acciones de RCTV </w:t>
      </w:r>
    </w:p>
    <w:p w14:paraId="74A25421"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76. </w:t>
      </w:r>
      <w:r w:rsidRPr="00026D1B">
        <w:rPr>
          <w:rFonts w:ascii="Verdana" w:hAnsi="Verdana"/>
          <w:sz w:val="20"/>
          <w:szCs w:val="20"/>
        </w:rPr>
        <w:tab/>
        <w:t>El artículo 21.1 de la Convención Americana dispone que “</w:t>
      </w:r>
      <w:r w:rsidRPr="00026D1B">
        <w:rPr>
          <w:rFonts w:ascii="Verdana" w:eastAsia="Times New Roman" w:hAnsi="Verdana" w:cs="Times New Roman"/>
          <w:sz w:val="20"/>
          <w:szCs w:val="20"/>
          <w:lang w:val="es-ES_tradnl" w:eastAsia="es-ES"/>
        </w:rPr>
        <w:t xml:space="preserve">[t]oda persona tiene </w:t>
      </w:r>
      <w:r w:rsidRPr="00026D1B">
        <w:rPr>
          <w:rFonts w:ascii="Verdana" w:eastAsia="Times New Roman" w:hAnsi="Verdana" w:cs="Times New Roman"/>
          <w:sz w:val="20"/>
          <w:szCs w:val="20"/>
          <w:u w:val="single"/>
          <w:lang w:val="es-ES_tradnl" w:eastAsia="es-ES"/>
        </w:rPr>
        <w:t>derecho al uso y goce de sus bienes</w:t>
      </w:r>
      <w:r w:rsidRPr="00026D1B">
        <w:rPr>
          <w:rFonts w:ascii="Verdana" w:eastAsia="Times New Roman" w:hAnsi="Verdana" w:cs="Times New Roman"/>
          <w:sz w:val="20"/>
          <w:szCs w:val="20"/>
          <w:lang w:val="es-ES_tradnl" w:eastAsia="es-ES"/>
        </w:rPr>
        <w:t>.</w:t>
      </w:r>
      <w:r w:rsidRPr="00026D1B">
        <w:rPr>
          <w:rFonts w:ascii="Verdana" w:eastAsia="Times New Roman" w:hAnsi="Verdana" w:cs="Times New Roman"/>
          <w:b/>
          <w:sz w:val="20"/>
          <w:szCs w:val="20"/>
          <w:lang w:val="es-ES_tradnl" w:eastAsia="es-ES"/>
        </w:rPr>
        <w:t> </w:t>
      </w:r>
      <w:r w:rsidRPr="00026D1B">
        <w:rPr>
          <w:rFonts w:ascii="Verdana" w:eastAsia="Times New Roman" w:hAnsi="Verdana" w:cs="Times New Roman"/>
          <w:sz w:val="20"/>
          <w:szCs w:val="20"/>
          <w:lang w:val="es-ES_tradnl" w:eastAsia="es-ES"/>
        </w:rPr>
        <w:t xml:space="preserve"> La ley puede subordinar tal uso y goce al interés social”. </w:t>
      </w:r>
      <w:r w:rsidRPr="00026D1B">
        <w:rPr>
          <w:rFonts w:ascii="Verdana" w:hAnsi="Verdana"/>
          <w:sz w:val="20"/>
          <w:szCs w:val="20"/>
        </w:rPr>
        <w:t xml:space="preserve">La redacción de este precepto resolvió un tema que fue objeto de debate en Europa sobre la extensión de la protección ofrecida, pues explícitamente hace referencia al “derecho al uso y goce” y ofrece, en este sentido, una protección más amplia que la europea. En los términos de la Convención Americana, una restricción ilegítima a cualquiera de esos dos atributos (aunque no afecte a los dos conjuntamente) lesiona el derecho protegido. Es decir, la amplitud del enunciado del artículo 21 de la Convención garantiza la protección de la propiedad privada referida tanto al “uso” como al “goce”, también los dos en su conjunto, contra los medios ilegítimos para su restricción o privación. </w:t>
      </w:r>
    </w:p>
    <w:p w14:paraId="12827D16" w14:textId="77777777" w:rsidR="004731B1" w:rsidRPr="00026D1B" w:rsidRDefault="004731B1" w:rsidP="00E647CB">
      <w:pPr>
        <w:pStyle w:val="ListParagraph"/>
        <w:spacing w:after="0" w:line="240" w:lineRule="auto"/>
        <w:ind w:left="0"/>
        <w:jc w:val="both"/>
        <w:rPr>
          <w:rFonts w:ascii="Verdana" w:hAnsi="Verdana"/>
          <w:sz w:val="20"/>
          <w:szCs w:val="20"/>
        </w:rPr>
      </w:pPr>
    </w:p>
    <w:p w14:paraId="33057BA7"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77. </w:t>
      </w:r>
      <w:r w:rsidRPr="00026D1B">
        <w:rPr>
          <w:rFonts w:ascii="Verdana" w:hAnsi="Verdana"/>
          <w:sz w:val="20"/>
          <w:szCs w:val="20"/>
        </w:rPr>
        <w:tab/>
        <w:t>La Corte IDH ha desarrollado en su jurisprudencia un concepto amplio de propiedad, el cual abarca, entre otros, el uso y goce de los bienes, definidos como cosas materiales apropiables; así como todo derecho que pueda formar parte del patrimonio de una persona. Dicho concepto comprende todos los bienes muebles e inmuebles, los elementos corporales e incorporales y cualquier otro objeto inmaterial susceptible de valor</w:t>
      </w:r>
      <w:r w:rsidRPr="00026D1B">
        <w:rPr>
          <w:rStyle w:val="FootnoteReference"/>
          <w:rFonts w:ascii="Verdana" w:hAnsi="Verdana"/>
          <w:sz w:val="20"/>
          <w:szCs w:val="20"/>
        </w:rPr>
        <w:footnoteReference w:id="89"/>
      </w:r>
      <w:r w:rsidRPr="00026D1B">
        <w:rPr>
          <w:rFonts w:ascii="Verdana" w:hAnsi="Verdana"/>
          <w:sz w:val="20"/>
          <w:szCs w:val="20"/>
        </w:rPr>
        <w:t xml:space="preserve">. </w:t>
      </w:r>
    </w:p>
    <w:p w14:paraId="74657428" w14:textId="77777777" w:rsidR="004731B1" w:rsidRPr="00026D1B" w:rsidRDefault="004731B1" w:rsidP="00E005F5">
      <w:pPr>
        <w:spacing w:after="0" w:line="240" w:lineRule="auto"/>
        <w:jc w:val="both"/>
        <w:rPr>
          <w:rFonts w:ascii="Verdana" w:hAnsi="Verdana"/>
          <w:sz w:val="20"/>
          <w:szCs w:val="20"/>
        </w:rPr>
      </w:pPr>
    </w:p>
    <w:p w14:paraId="73260F19"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78. </w:t>
      </w:r>
      <w:r w:rsidRPr="00026D1B">
        <w:rPr>
          <w:rFonts w:ascii="Verdana" w:hAnsi="Verdana"/>
          <w:sz w:val="20"/>
          <w:szCs w:val="20"/>
        </w:rPr>
        <w:tab/>
        <w:t xml:space="preserve">El Tribunal Europeo ha adoptado un concepto similar al interpretar el artículo 1 del Protocolo No. 1 a la Convención Europea al considerar que: </w:t>
      </w:r>
    </w:p>
    <w:p w14:paraId="161E39EE" w14:textId="77777777" w:rsidR="004731B1" w:rsidRPr="00026D1B" w:rsidRDefault="004731B1" w:rsidP="00E647CB">
      <w:pPr>
        <w:pStyle w:val="ListParagraph"/>
        <w:spacing w:after="0" w:line="240" w:lineRule="auto"/>
        <w:ind w:left="0"/>
        <w:jc w:val="both"/>
        <w:rPr>
          <w:rFonts w:ascii="Verdana" w:hAnsi="Verdana"/>
          <w:sz w:val="20"/>
          <w:szCs w:val="20"/>
        </w:rPr>
      </w:pPr>
    </w:p>
    <w:p w14:paraId="20A11F14" w14:textId="77777777" w:rsidR="004731B1" w:rsidRPr="00026D1B" w:rsidRDefault="004731B1" w:rsidP="00E005F5">
      <w:pPr>
        <w:pStyle w:val="ListParagraph"/>
        <w:spacing w:after="0" w:line="240" w:lineRule="auto"/>
        <w:ind w:left="708" w:right="708"/>
        <w:jc w:val="both"/>
        <w:rPr>
          <w:rFonts w:ascii="Verdana" w:hAnsi="Verdana"/>
          <w:sz w:val="18"/>
          <w:szCs w:val="18"/>
        </w:rPr>
      </w:pPr>
      <w:r w:rsidRPr="00026D1B">
        <w:rPr>
          <w:rFonts w:ascii="Verdana" w:hAnsi="Verdana"/>
          <w:sz w:val="18"/>
          <w:szCs w:val="18"/>
        </w:rPr>
        <w:t>“[L]o mismo que los bienes físicos, ciertos derechos e intereses que constituyen activos pueden también ser considerados como ‘derechos de propiedad’, y por tanto, como ‘bienes’ a los efectos de esta disposición […]. El concepto de bienes no está limitado a los bienes existentes, sino que pueden incluir activos, incluidos derechos litigiosos, respecto de los cuales el peticionario alegue que tiene al menos una razonable y legítima expectativa de obtener el efectivo goce de un derecho de propiedad”</w:t>
      </w:r>
      <w:r w:rsidRPr="00026D1B">
        <w:rPr>
          <w:rStyle w:val="FootnoteReference"/>
          <w:rFonts w:ascii="Verdana" w:hAnsi="Verdana"/>
          <w:sz w:val="18"/>
          <w:szCs w:val="18"/>
        </w:rPr>
        <w:footnoteReference w:id="90"/>
      </w:r>
      <w:r w:rsidRPr="00026D1B">
        <w:rPr>
          <w:rFonts w:ascii="Verdana" w:hAnsi="Verdana"/>
          <w:sz w:val="18"/>
          <w:szCs w:val="18"/>
        </w:rPr>
        <w:t xml:space="preserve">. </w:t>
      </w:r>
    </w:p>
    <w:p w14:paraId="6031FDE8" w14:textId="77777777" w:rsidR="004731B1" w:rsidRPr="00026D1B" w:rsidRDefault="004731B1" w:rsidP="00E005F5">
      <w:pPr>
        <w:pStyle w:val="ListParagraph"/>
        <w:spacing w:after="0" w:line="240" w:lineRule="auto"/>
        <w:ind w:left="708" w:right="708"/>
        <w:jc w:val="both"/>
        <w:rPr>
          <w:rFonts w:ascii="Verdana" w:hAnsi="Verdana"/>
          <w:sz w:val="16"/>
          <w:szCs w:val="16"/>
        </w:rPr>
      </w:pPr>
    </w:p>
    <w:p w14:paraId="78E69D98"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79. </w:t>
      </w:r>
      <w:r w:rsidRPr="00026D1B">
        <w:rPr>
          <w:rFonts w:ascii="Verdana" w:hAnsi="Verdana"/>
          <w:sz w:val="20"/>
          <w:szCs w:val="20"/>
        </w:rPr>
        <w:tab/>
        <w:t xml:space="preserve">La Corte IDH ha considerado protegidos los derechos adquiridos; así, por ejemplo, en el caso </w:t>
      </w:r>
      <w:r w:rsidRPr="00026D1B">
        <w:rPr>
          <w:rFonts w:ascii="Verdana" w:hAnsi="Verdana"/>
          <w:i/>
          <w:sz w:val="20"/>
          <w:szCs w:val="20"/>
        </w:rPr>
        <w:t>Cinco Pensionistas vs. Perú</w:t>
      </w:r>
      <w:r w:rsidRPr="00026D1B">
        <w:rPr>
          <w:rFonts w:ascii="Verdana" w:hAnsi="Verdana"/>
          <w:sz w:val="20"/>
          <w:szCs w:val="20"/>
        </w:rPr>
        <w:t xml:space="preserve">, determinó que el artículo 21 también protegía los derechos adquiridos derivados de una pensión. De esta forma, el Tribunal Interamericano ha entendido como </w:t>
      </w:r>
      <w:r w:rsidRPr="00026D1B">
        <w:rPr>
          <w:rFonts w:ascii="Verdana" w:hAnsi="Verdana"/>
          <w:i/>
          <w:sz w:val="20"/>
          <w:szCs w:val="20"/>
        </w:rPr>
        <w:t>“derecho adquirido”</w:t>
      </w:r>
      <w:r w:rsidRPr="00026D1B">
        <w:rPr>
          <w:rFonts w:ascii="Verdana" w:hAnsi="Verdana"/>
          <w:sz w:val="20"/>
          <w:szCs w:val="20"/>
        </w:rPr>
        <w:t xml:space="preserve"> un derecho que se ha incorporado al patrimonio de las personas</w:t>
      </w:r>
      <w:r w:rsidRPr="00026D1B">
        <w:rPr>
          <w:rStyle w:val="FootnoteReference"/>
          <w:rFonts w:ascii="Verdana" w:hAnsi="Verdana"/>
          <w:sz w:val="20"/>
          <w:szCs w:val="20"/>
        </w:rPr>
        <w:footnoteReference w:id="91"/>
      </w:r>
      <w:r w:rsidRPr="00026D1B">
        <w:rPr>
          <w:rFonts w:ascii="Verdana" w:hAnsi="Verdana"/>
          <w:sz w:val="20"/>
          <w:szCs w:val="20"/>
        </w:rPr>
        <w:t xml:space="preserve">. </w:t>
      </w:r>
    </w:p>
    <w:p w14:paraId="4238DB23" w14:textId="77777777" w:rsidR="004731B1" w:rsidRPr="00026D1B" w:rsidRDefault="004731B1" w:rsidP="00E647CB">
      <w:pPr>
        <w:pStyle w:val="ListParagraph"/>
        <w:spacing w:after="0" w:line="240" w:lineRule="auto"/>
        <w:ind w:left="0"/>
        <w:jc w:val="both"/>
        <w:rPr>
          <w:rFonts w:ascii="Verdana" w:hAnsi="Verdana"/>
          <w:sz w:val="20"/>
          <w:szCs w:val="20"/>
        </w:rPr>
      </w:pPr>
    </w:p>
    <w:p w14:paraId="1A3B9E91" w14:textId="77777777" w:rsidR="004731B1" w:rsidRPr="00026D1B" w:rsidRDefault="004731B1" w:rsidP="00F92162">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80. </w:t>
      </w:r>
      <w:r w:rsidRPr="00026D1B">
        <w:rPr>
          <w:rFonts w:ascii="Verdana" w:hAnsi="Verdana"/>
          <w:sz w:val="20"/>
          <w:szCs w:val="20"/>
        </w:rPr>
        <w:tab/>
        <w:t xml:space="preserve">Siguiendo esta misma argumentación, en el caso </w:t>
      </w:r>
      <w:r w:rsidRPr="00026D1B">
        <w:rPr>
          <w:rFonts w:ascii="Verdana" w:hAnsi="Verdana"/>
          <w:i/>
          <w:sz w:val="20"/>
          <w:szCs w:val="20"/>
        </w:rPr>
        <w:t>Chaparro Álvarez y Lapo Iñiguez</w:t>
      </w:r>
      <w:r w:rsidRPr="00026D1B">
        <w:rPr>
          <w:rFonts w:ascii="Verdana" w:hAnsi="Verdana"/>
          <w:sz w:val="20"/>
          <w:szCs w:val="20"/>
        </w:rPr>
        <w:t>, la Corte IDH determinó que, en lo que al señor Chaparro correspondía, ninguna de las partes “h[izo] distinción entre los bienes de la Fábrica Plumavit y los bienes del señor Chaparro”</w:t>
      </w:r>
      <w:r w:rsidRPr="00026D1B">
        <w:rPr>
          <w:rStyle w:val="FootnoteReference"/>
          <w:rFonts w:ascii="Verdana" w:hAnsi="Verdana"/>
          <w:sz w:val="20"/>
          <w:szCs w:val="20"/>
        </w:rPr>
        <w:footnoteReference w:id="92"/>
      </w:r>
      <w:r w:rsidRPr="00026D1B">
        <w:rPr>
          <w:rFonts w:ascii="Verdana" w:hAnsi="Verdana"/>
          <w:sz w:val="20"/>
          <w:szCs w:val="20"/>
        </w:rPr>
        <w:t>. Sin embargo, el Tribunal Interamericano consideró que, de acuerdo a las pruebas aportadas, se desprendía que “el señor Chaparro tenía una participación en las acciones de la empresa Plumavit que alcanzaba el 50% del capital”</w:t>
      </w:r>
      <w:r w:rsidRPr="00026D1B">
        <w:rPr>
          <w:rStyle w:val="FootnoteReference"/>
          <w:rFonts w:ascii="Verdana" w:hAnsi="Verdana"/>
          <w:sz w:val="20"/>
          <w:szCs w:val="20"/>
        </w:rPr>
        <w:footnoteReference w:id="93"/>
      </w:r>
      <w:r w:rsidRPr="00026D1B">
        <w:rPr>
          <w:rFonts w:ascii="Verdana" w:hAnsi="Verdana"/>
          <w:sz w:val="20"/>
          <w:szCs w:val="20"/>
        </w:rPr>
        <w:t>. Esta participación de capital accionarial, a juicio del Tribunal Interamericano, “era susceptible de valoración y formaba parte del patrimonio de su titular desde el momento de su adquisición”</w:t>
      </w:r>
      <w:r w:rsidRPr="00026D1B">
        <w:rPr>
          <w:rStyle w:val="FootnoteReference"/>
          <w:rFonts w:ascii="Verdana" w:hAnsi="Verdana"/>
          <w:sz w:val="20"/>
          <w:szCs w:val="20"/>
        </w:rPr>
        <w:footnoteReference w:id="94"/>
      </w:r>
      <w:r w:rsidRPr="00026D1B">
        <w:rPr>
          <w:rFonts w:ascii="Verdana" w:hAnsi="Verdana"/>
          <w:sz w:val="20"/>
          <w:szCs w:val="20"/>
        </w:rPr>
        <w:t>. La Corte IDH sostuvo que dicha “participación constituía un bien sobre el cual el señor Chaparro tenía un derecho de uso y goce”</w:t>
      </w:r>
      <w:r w:rsidRPr="00026D1B">
        <w:rPr>
          <w:rStyle w:val="FootnoteReference"/>
          <w:rFonts w:ascii="Verdana" w:hAnsi="Verdana"/>
          <w:sz w:val="20"/>
          <w:szCs w:val="20"/>
        </w:rPr>
        <w:footnoteReference w:id="95"/>
      </w:r>
      <w:r w:rsidRPr="00026D1B">
        <w:rPr>
          <w:rFonts w:ascii="Verdana" w:hAnsi="Verdana"/>
          <w:sz w:val="20"/>
          <w:szCs w:val="20"/>
        </w:rPr>
        <w:t>.</w:t>
      </w:r>
    </w:p>
    <w:p w14:paraId="7C3ED3C6" w14:textId="77777777" w:rsidR="004731B1" w:rsidRPr="00026D1B" w:rsidRDefault="004731B1" w:rsidP="00E647CB">
      <w:pPr>
        <w:spacing w:after="0" w:line="240" w:lineRule="auto"/>
        <w:jc w:val="both"/>
        <w:rPr>
          <w:rFonts w:ascii="Verdana" w:hAnsi="Verdana"/>
          <w:sz w:val="20"/>
          <w:szCs w:val="20"/>
        </w:rPr>
      </w:pPr>
    </w:p>
    <w:p w14:paraId="114F4E7D" w14:textId="55179163"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81. </w:t>
      </w:r>
      <w:r w:rsidRPr="00026D1B">
        <w:rPr>
          <w:rFonts w:ascii="Verdana" w:hAnsi="Verdana"/>
          <w:sz w:val="20"/>
          <w:szCs w:val="20"/>
        </w:rPr>
        <w:tab/>
        <w:t xml:space="preserve">Sobre la pérdida del valor de las acciones, el Tribunal Interamericano consideró que la no devolución de bienes a la empresa y los daños que sufrieron los bienes en la custodia del Estado, incidieron en el valor y productividad de </w:t>
      </w:r>
      <w:r w:rsidR="00041225">
        <w:rPr>
          <w:rFonts w:ascii="Verdana" w:hAnsi="Verdana"/>
          <w:sz w:val="20"/>
          <w:szCs w:val="20"/>
        </w:rPr>
        <w:t>aquéllas,</w:t>
      </w:r>
      <w:r w:rsidRPr="00026D1B">
        <w:rPr>
          <w:rFonts w:ascii="Verdana" w:hAnsi="Verdana"/>
          <w:sz w:val="20"/>
          <w:szCs w:val="20"/>
        </w:rPr>
        <w:t xml:space="preserve"> lo que a su vez perjudicó a quienes son sus accionistas, por lo que este perjuicio debía ser entendido como una </w:t>
      </w:r>
      <w:r w:rsidRPr="00026D1B">
        <w:rPr>
          <w:rFonts w:ascii="Verdana" w:hAnsi="Verdana"/>
          <w:sz w:val="20"/>
          <w:szCs w:val="20"/>
        </w:rPr>
        <w:lastRenderedPageBreak/>
        <w:t>intromisión arbitraria en el “goce” del bien; es decir, una violación del artículo 21.1 de la Convención. De esta forma, la Corte IDH tuteló el capital accionarial del señor Chaparro Álvarez por considerarlo un derecho adquirido, que también se encontraba protegido por el artículo 21.1 de la Convención</w:t>
      </w:r>
      <w:r w:rsidRPr="00026D1B">
        <w:rPr>
          <w:rStyle w:val="FootnoteReference"/>
          <w:rFonts w:ascii="Verdana" w:hAnsi="Verdana"/>
          <w:sz w:val="20"/>
          <w:szCs w:val="20"/>
        </w:rPr>
        <w:footnoteReference w:id="96"/>
      </w:r>
      <w:r w:rsidRPr="00026D1B">
        <w:rPr>
          <w:rFonts w:ascii="Verdana" w:hAnsi="Verdana"/>
          <w:sz w:val="20"/>
          <w:szCs w:val="20"/>
        </w:rPr>
        <w:t>.</w:t>
      </w:r>
    </w:p>
    <w:p w14:paraId="2A82D91E" w14:textId="77777777" w:rsidR="004731B1" w:rsidRPr="00026D1B" w:rsidRDefault="004731B1" w:rsidP="00E647CB">
      <w:pPr>
        <w:spacing w:after="0" w:line="240" w:lineRule="auto"/>
        <w:jc w:val="both"/>
        <w:rPr>
          <w:rFonts w:ascii="Verdana" w:hAnsi="Verdana"/>
          <w:sz w:val="20"/>
          <w:szCs w:val="20"/>
        </w:rPr>
      </w:pPr>
    </w:p>
    <w:p w14:paraId="78D02737"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82. </w:t>
      </w:r>
      <w:r w:rsidRPr="00026D1B">
        <w:rPr>
          <w:rFonts w:ascii="Verdana" w:hAnsi="Verdana"/>
          <w:sz w:val="20"/>
          <w:szCs w:val="20"/>
        </w:rPr>
        <w:tab/>
        <w:t xml:space="preserve">El caso del señor Chaparro marca un precedente importante, pues considera que las “acciones” son derechos adquiridos que pasan a ser parte del patrimonio del accionista cuando este adquiere el título que le confiere tal calidad y, por tanto, serán objeto de protección por el artículo 21 de la Convención en la medida en que la pérdida sea susceptible de valoración. </w:t>
      </w:r>
    </w:p>
    <w:p w14:paraId="647D6895" w14:textId="77777777" w:rsidR="004731B1" w:rsidRPr="00026D1B" w:rsidRDefault="004731B1" w:rsidP="00E647CB">
      <w:pPr>
        <w:spacing w:after="0" w:line="240" w:lineRule="auto"/>
        <w:jc w:val="both"/>
        <w:rPr>
          <w:rFonts w:ascii="Verdana" w:hAnsi="Verdana"/>
          <w:sz w:val="20"/>
          <w:szCs w:val="20"/>
        </w:rPr>
      </w:pPr>
    </w:p>
    <w:p w14:paraId="3A2202DB"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83. </w:t>
      </w:r>
      <w:r w:rsidRPr="00026D1B">
        <w:rPr>
          <w:rFonts w:ascii="Verdana" w:hAnsi="Verdana"/>
          <w:sz w:val="20"/>
          <w:szCs w:val="20"/>
        </w:rPr>
        <w:tab/>
        <w:t>Por su parte, el Tribunal Europeo ha considerado que la titularidad de una acción en una sociedad de comercio debe ser tenida en cuenta como derecho de propiedad protegido en los términos del artículo 1 del Protocolo No. 1 a la Convención Europea, entendiendo la acción como una cosa compleja; pues certifica que su tenedor posee parte del activo social y no es solamente un crédito indirecto sobre el activo social, ya que también comprende, entre otros derechos, el derecho del voto y el derecho de influir en la sociedad</w:t>
      </w:r>
      <w:r w:rsidRPr="00026D1B">
        <w:rPr>
          <w:rStyle w:val="FootnoteReference"/>
          <w:rFonts w:ascii="Verdana" w:hAnsi="Verdana"/>
          <w:sz w:val="20"/>
          <w:szCs w:val="20"/>
        </w:rPr>
        <w:footnoteReference w:id="97"/>
      </w:r>
      <w:r w:rsidRPr="00026D1B">
        <w:rPr>
          <w:rFonts w:ascii="Verdana" w:hAnsi="Verdana"/>
          <w:sz w:val="20"/>
          <w:szCs w:val="20"/>
        </w:rPr>
        <w:t xml:space="preserve">. </w:t>
      </w:r>
    </w:p>
    <w:p w14:paraId="45D46686" w14:textId="77777777" w:rsidR="004731B1" w:rsidRPr="00026D1B" w:rsidRDefault="004731B1" w:rsidP="00E647CB">
      <w:pPr>
        <w:spacing w:after="0" w:line="240" w:lineRule="auto"/>
        <w:jc w:val="both"/>
        <w:rPr>
          <w:rFonts w:ascii="Verdana" w:hAnsi="Verdana"/>
          <w:sz w:val="20"/>
          <w:szCs w:val="20"/>
        </w:rPr>
      </w:pPr>
    </w:p>
    <w:p w14:paraId="006DE9CA"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84. </w:t>
      </w:r>
      <w:r w:rsidRPr="00026D1B">
        <w:rPr>
          <w:rFonts w:ascii="Verdana" w:hAnsi="Verdana"/>
          <w:sz w:val="20"/>
          <w:szCs w:val="20"/>
        </w:rPr>
        <w:tab/>
        <w:t xml:space="preserve">En el caso que nos ocupa, el criterio mayoritario, sobre la posible afectación al valor de las acciones propiedad de los socios de RCTV, llegó a la conclusión que, sobre este aspecto, no existía una violación del derecho a la propiedad privada de RCTV por dos vías: (i) sobre los derechos que tienen los accionistas que no fueron objeto de la intervención del Estado y (ii) la imposibilidad de establecer una afectación por la “constitución accionaria compleja” de los socios de RCTV. </w:t>
      </w:r>
    </w:p>
    <w:p w14:paraId="13AEAC53" w14:textId="77777777" w:rsidR="004731B1" w:rsidRPr="00026D1B" w:rsidRDefault="004731B1" w:rsidP="00CB710A">
      <w:pPr>
        <w:spacing w:after="0" w:line="240" w:lineRule="auto"/>
        <w:jc w:val="both"/>
        <w:rPr>
          <w:rFonts w:ascii="Verdana" w:hAnsi="Verdana"/>
          <w:sz w:val="20"/>
          <w:szCs w:val="20"/>
        </w:rPr>
      </w:pPr>
    </w:p>
    <w:p w14:paraId="2F1599A3" w14:textId="77777777" w:rsidR="004731B1" w:rsidRPr="006F2A55" w:rsidRDefault="004731B1" w:rsidP="00CB710A">
      <w:pPr>
        <w:spacing w:after="0" w:line="240" w:lineRule="auto"/>
        <w:jc w:val="both"/>
        <w:rPr>
          <w:rFonts w:ascii="Verdana" w:hAnsi="Verdana"/>
          <w:b/>
          <w:i/>
          <w:sz w:val="20"/>
          <w:szCs w:val="20"/>
        </w:rPr>
      </w:pPr>
      <w:r w:rsidRPr="006F2A55">
        <w:rPr>
          <w:rFonts w:ascii="Verdana" w:hAnsi="Verdana"/>
          <w:b/>
          <w:i/>
          <w:sz w:val="20"/>
          <w:szCs w:val="20"/>
        </w:rPr>
        <w:t>(i) sobre los derechos que tienen los accionistas que no fueron objeto de la intervención del Estado</w:t>
      </w:r>
    </w:p>
    <w:p w14:paraId="6AB3CB01" w14:textId="77777777" w:rsidR="004731B1" w:rsidRPr="00026D1B" w:rsidRDefault="004731B1" w:rsidP="00CB710A">
      <w:pPr>
        <w:spacing w:after="0" w:line="240" w:lineRule="auto"/>
        <w:jc w:val="both"/>
        <w:rPr>
          <w:rFonts w:ascii="Verdana" w:hAnsi="Verdana"/>
          <w:sz w:val="20"/>
          <w:szCs w:val="20"/>
        </w:rPr>
      </w:pPr>
    </w:p>
    <w:p w14:paraId="0E7FE42F"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85. </w:t>
      </w:r>
      <w:r w:rsidRPr="00026D1B">
        <w:rPr>
          <w:rFonts w:ascii="Verdana" w:hAnsi="Verdana"/>
          <w:sz w:val="20"/>
          <w:szCs w:val="20"/>
        </w:rPr>
        <w:tab/>
        <w:t xml:space="preserve">En primer lugar, el criterio mayoritario, reiterando los casos </w:t>
      </w:r>
      <w:r w:rsidRPr="00026D1B">
        <w:rPr>
          <w:rFonts w:ascii="Verdana" w:hAnsi="Verdana"/>
          <w:i/>
          <w:sz w:val="20"/>
          <w:szCs w:val="20"/>
        </w:rPr>
        <w:t>Ivcher Bronstein</w:t>
      </w:r>
      <w:r w:rsidRPr="00026D1B">
        <w:rPr>
          <w:rFonts w:ascii="Verdana" w:hAnsi="Verdana"/>
          <w:sz w:val="20"/>
          <w:szCs w:val="20"/>
        </w:rPr>
        <w:t xml:space="preserve">, </w:t>
      </w:r>
      <w:r w:rsidRPr="00026D1B">
        <w:rPr>
          <w:rFonts w:ascii="Verdana" w:hAnsi="Verdana"/>
          <w:i/>
          <w:sz w:val="20"/>
          <w:szCs w:val="20"/>
        </w:rPr>
        <w:t>Cantos</w:t>
      </w:r>
      <w:r w:rsidRPr="00026D1B">
        <w:rPr>
          <w:rFonts w:ascii="Verdana" w:hAnsi="Verdana"/>
          <w:sz w:val="20"/>
          <w:szCs w:val="20"/>
        </w:rPr>
        <w:t xml:space="preserve"> y </w:t>
      </w:r>
      <w:r w:rsidRPr="00026D1B">
        <w:rPr>
          <w:rFonts w:ascii="Verdana" w:hAnsi="Verdana"/>
          <w:i/>
          <w:sz w:val="20"/>
          <w:szCs w:val="20"/>
        </w:rPr>
        <w:t>Chaparro Álvarez y Lapo Iñiguez</w:t>
      </w:r>
      <w:r w:rsidRPr="00026D1B">
        <w:rPr>
          <w:rFonts w:ascii="Verdana" w:hAnsi="Verdana"/>
          <w:sz w:val="20"/>
          <w:szCs w:val="20"/>
        </w:rPr>
        <w:t xml:space="preserve">, tomó en consideración lo dispuesto por la Corte Internacional de Justicia en el caso </w:t>
      </w:r>
      <w:r w:rsidRPr="00026D1B">
        <w:rPr>
          <w:rFonts w:ascii="Verdana" w:hAnsi="Verdana"/>
          <w:i/>
          <w:sz w:val="20"/>
          <w:szCs w:val="20"/>
        </w:rPr>
        <w:t>Barcelona Traction, Light and Power Company</w:t>
      </w:r>
      <w:r w:rsidRPr="00026D1B">
        <w:rPr>
          <w:rFonts w:ascii="Verdana" w:hAnsi="Verdana"/>
          <w:sz w:val="20"/>
          <w:szCs w:val="20"/>
        </w:rPr>
        <w:t xml:space="preserve"> y señaló que “las leyes internas otorgan a los accionistas determinados derechos directos, como los de recibir los dividendos acordados, asistir y votar en las juntas generales, y recibir parte de los activos de la compañía en el momento de su liquidación, entre otros”</w:t>
      </w:r>
      <w:r w:rsidRPr="00026D1B">
        <w:rPr>
          <w:rStyle w:val="FootnoteReference"/>
          <w:rFonts w:ascii="Verdana" w:hAnsi="Verdana"/>
          <w:sz w:val="20"/>
          <w:szCs w:val="20"/>
        </w:rPr>
        <w:footnoteReference w:id="98"/>
      </w:r>
      <w:r w:rsidRPr="00026D1B">
        <w:rPr>
          <w:rFonts w:ascii="Verdana" w:hAnsi="Verdana"/>
          <w:sz w:val="20"/>
          <w:szCs w:val="20"/>
        </w:rPr>
        <w:t xml:space="preserve">. Ante esto, la mayoría de la Corte IDH consideró que del expediente “no se desprend[ió] que hubiera alguna limitación </w:t>
      </w:r>
      <w:r w:rsidRPr="00026D1B">
        <w:rPr>
          <w:rFonts w:ascii="Verdana" w:hAnsi="Verdana"/>
          <w:i/>
          <w:sz w:val="20"/>
          <w:szCs w:val="20"/>
        </w:rPr>
        <w:t>a los derechos de gestión</w:t>
      </w:r>
      <w:r w:rsidRPr="00026D1B">
        <w:rPr>
          <w:rFonts w:ascii="Verdana" w:hAnsi="Verdana"/>
          <w:sz w:val="20"/>
          <w:szCs w:val="20"/>
        </w:rPr>
        <w:t xml:space="preserve"> de los accionistas como los referidos en su participación en las juntas generales de accionistas”</w:t>
      </w:r>
      <w:r w:rsidRPr="00026D1B">
        <w:rPr>
          <w:rStyle w:val="FootnoteReference"/>
          <w:rFonts w:ascii="Verdana" w:hAnsi="Verdana"/>
          <w:sz w:val="20"/>
          <w:szCs w:val="20"/>
        </w:rPr>
        <w:footnoteReference w:id="99"/>
      </w:r>
      <w:r w:rsidRPr="00026D1B">
        <w:rPr>
          <w:rFonts w:ascii="Verdana" w:hAnsi="Verdana"/>
          <w:sz w:val="20"/>
          <w:szCs w:val="20"/>
        </w:rPr>
        <w:t xml:space="preserve">. (Cursiva añadida). </w:t>
      </w:r>
    </w:p>
    <w:p w14:paraId="5B618FC7" w14:textId="77777777" w:rsidR="004731B1" w:rsidRPr="00026D1B" w:rsidRDefault="004731B1" w:rsidP="00E647CB">
      <w:pPr>
        <w:spacing w:after="0" w:line="240" w:lineRule="auto"/>
        <w:jc w:val="both"/>
        <w:rPr>
          <w:rFonts w:ascii="Verdana" w:hAnsi="Verdana"/>
          <w:sz w:val="20"/>
          <w:szCs w:val="20"/>
        </w:rPr>
      </w:pPr>
    </w:p>
    <w:p w14:paraId="48D5A1AE"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86. </w:t>
      </w:r>
      <w:r w:rsidRPr="00026D1B">
        <w:rPr>
          <w:rFonts w:ascii="Verdana" w:hAnsi="Verdana"/>
          <w:sz w:val="20"/>
          <w:szCs w:val="20"/>
        </w:rPr>
        <w:tab/>
        <w:t xml:space="preserve">Sobre este punto, es muy importante esclarecer el alcance del caso </w:t>
      </w:r>
      <w:r w:rsidRPr="00026D1B">
        <w:rPr>
          <w:rFonts w:ascii="Verdana" w:hAnsi="Verdana"/>
          <w:i/>
          <w:sz w:val="20"/>
          <w:szCs w:val="20"/>
        </w:rPr>
        <w:t>Barcelona Traction</w:t>
      </w:r>
      <w:r w:rsidRPr="00026D1B">
        <w:rPr>
          <w:rFonts w:ascii="Verdana" w:hAnsi="Verdana"/>
          <w:sz w:val="20"/>
          <w:szCs w:val="20"/>
        </w:rPr>
        <w:t xml:space="preserve"> sobre los derechos de los accionistas. En el caso </w:t>
      </w:r>
      <w:r w:rsidRPr="00026D1B">
        <w:rPr>
          <w:rFonts w:ascii="Verdana" w:hAnsi="Verdana"/>
          <w:i/>
          <w:sz w:val="20"/>
          <w:szCs w:val="20"/>
        </w:rPr>
        <w:t>Barcelona Traction</w:t>
      </w:r>
      <w:r w:rsidRPr="00026D1B">
        <w:rPr>
          <w:rFonts w:ascii="Verdana" w:hAnsi="Verdana"/>
          <w:sz w:val="20"/>
          <w:szCs w:val="20"/>
        </w:rPr>
        <w:t xml:space="preserve">, Bélgica demandó a España en virtud de la protección que había decidido extender a personas jurídicas belgas que eran accionistas de una sociedad canadiense, reclamando los daños causados por actos imputables a España con respecto de dicha sociedad y que se denunciaban como ilícitos. Canadá había otorgado previamente su protección diplomática a la Barcelona Traction como persona jurídica canadiense, pero luego Canadá dejó de actuar por cuenta de esta empresa por motivos que no fueron revelados. En este punto resulta </w:t>
      </w:r>
      <w:r w:rsidRPr="00026D1B">
        <w:rPr>
          <w:rFonts w:ascii="Verdana" w:hAnsi="Verdana"/>
          <w:sz w:val="20"/>
          <w:szCs w:val="20"/>
        </w:rPr>
        <w:lastRenderedPageBreak/>
        <w:t xml:space="preserve">interesante el razonamiento seguido por la Corte Internacional de Justicia en este caso, pues hizo una distinción entre </w:t>
      </w:r>
      <w:r w:rsidRPr="00026D1B">
        <w:rPr>
          <w:rFonts w:ascii="Verdana" w:hAnsi="Verdana"/>
          <w:i/>
          <w:sz w:val="20"/>
          <w:szCs w:val="20"/>
        </w:rPr>
        <w:t>derechos e intereses</w:t>
      </w:r>
      <w:r w:rsidRPr="00026D1B">
        <w:rPr>
          <w:rFonts w:ascii="Verdana" w:hAnsi="Verdana"/>
          <w:sz w:val="20"/>
          <w:szCs w:val="20"/>
        </w:rPr>
        <w:t>. Así, solo las personas jurídicas tienen derechos que reclamar por los hechos ilícitos que le causen un daño que resulte en pérdidas para ella; mientras que los accionistas sólo se verían afectados en sus intereses. Es decir, los accionistas no tendrían derecho alguno para reclamar directamente y la única manera de proteger sus intereses sería a través de la totalidad de la empresa, para que ésta les haga valer sus derechos</w:t>
      </w:r>
      <w:r w:rsidRPr="00026D1B">
        <w:rPr>
          <w:rStyle w:val="FootnoteReference"/>
          <w:rFonts w:ascii="Verdana" w:hAnsi="Verdana"/>
          <w:sz w:val="20"/>
          <w:szCs w:val="20"/>
        </w:rPr>
        <w:footnoteReference w:id="100"/>
      </w:r>
      <w:r w:rsidRPr="00026D1B">
        <w:rPr>
          <w:rFonts w:ascii="Verdana" w:hAnsi="Verdana"/>
          <w:sz w:val="20"/>
          <w:szCs w:val="20"/>
        </w:rPr>
        <w:t xml:space="preserve">. </w:t>
      </w:r>
    </w:p>
    <w:p w14:paraId="46A868A0" w14:textId="77777777" w:rsidR="004731B1" w:rsidRPr="00026D1B" w:rsidRDefault="004731B1" w:rsidP="00E647CB">
      <w:pPr>
        <w:pStyle w:val="ListParagraph"/>
        <w:spacing w:after="0" w:line="240" w:lineRule="auto"/>
        <w:ind w:left="0"/>
        <w:jc w:val="both"/>
        <w:rPr>
          <w:rFonts w:ascii="Verdana" w:hAnsi="Verdana"/>
          <w:sz w:val="20"/>
          <w:szCs w:val="20"/>
        </w:rPr>
      </w:pPr>
    </w:p>
    <w:p w14:paraId="45C2A8DA"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87. </w:t>
      </w:r>
      <w:r w:rsidRPr="00026D1B">
        <w:rPr>
          <w:rFonts w:ascii="Verdana" w:hAnsi="Verdana"/>
          <w:sz w:val="20"/>
          <w:szCs w:val="20"/>
        </w:rPr>
        <w:tab/>
        <w:t xml:space="preserve">Sin embargo, estimo que esa precisión no tiene lugar en los sistemas de protección de derechos humanos, ya que, preferentemente, los instrumentos internacionales de derechos humanos tutelan los derechos de las personas </w:t>
      </w:r>
      <w:r w:rsidRPr="00026D1B">
        <w:rPr>
          <w:rFonts w:ascii="Verdana" w:hAnsi="Verdana"/>
          <w:sz w:val="20"/>
          <w:szCs w:val="20"/>
          <w:u w:val="single"/>
        </w:rPr>
        <w:t>por el simple hecho de ser persona natural</w:t>
      </w:r>
      <w:r w:rsidRPr="00026D1B">
        <w:rPr>
          <w:rFonts w:ascii="Verdana" w:hAnsi="Verdana"/>
          <w:sz w:val="20"/>
          <w:szCs w:val="20"/>
        </w:rPr>
        <w:t xml:space="preserve">. Además, aplicar de forma literal el principio de distinción entre derechos de las empresas o sociedades e interés de las personas naturales, dejaría sin protección ante los órganos del Sistema, en casos futuros, a un gran número de personas naturales que buscan asociarse para cumplir una finalidad legítima en una sociedad democrática, si tenemos en cuenta que, en el Sistema Interamericano, ni la Comisión Interamericana ni este Tribunal Interamericano han reconocido el </w:t>
      </w:r>
      <w:r w:rsidRPr="00026D1B">
        <w:rPr>
          <w:rFonts w:ascii="Verdana" w:hAnsi="Verdana"/>
          <w:i/>
          <w:sz w:val="20"/>
          <w:szCs w:val="20"/>
        </w:rPr>
        <w:t>ius standi</w:t>
      </w:r>
      <w:r w:rsidRPr="00026D1B">
        <w:rPr>
          <w:rFonts w:ascii="Verdana" w:hAnsi="Verdana"/>
          <w:sz w:val="20"/>
          <w:szCs w:val="20"/>
        </w:rPr>
        <w:t xml:space="preserve"> de las personas jurídicas, en virtud del artículo 1.2 de la Convención.</w:t>
      </w:r>
    </w:p>
    <w:p w14:paraId="57D48E28" w14:textId="77777777" w:rsidR="004731B1" w:rsidRPr="00026D1B" w:rsidRDefault="004731B1" w:rsidP="00E647CB">
      <w:pPr>
        <w:spacing w:after="0" w:line="240" w:lineRule="auto"/>
        <w:jc w:val="both"/>
        <w:rPr>
          <w:rFonts w:ascii="Verdana" w:hAnsi="Verdana"/>
          <w:sz w:val="20"/>
          <w:szCs w:val="20"/>
        </w:rPr>
      </w:pPr>
    </w:p>
    <w:p w14:paraId="105E8201"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88. </w:t>
      </w:r>
      <w:r w:rsidRPr="00026D1B">
        <w:rPr>
          <w:rFonts w:ascii="Verdana" w:hAnsi="Verdana"/>
          <w:sz w:val="20"/>
          <w:szCs w:val="20"/>
        </w:rPr>
        <w:tab/>
        <w:t xml:space="preserve">De esta forma, cuando la Corte Internacional de Justicia se refirió a los derechos propios de los accionistas, se refirió a los derechos societarios, considerando que una privación de estos derechos es algo que sólo una persona en calidad de accionista puede sufrir. Sin embargo, el caso </w:t>
      </w:r>
      <w:r w:rsidRPr="00026D1B">
        <w:rPr>
          <w:rFonts w:ascii="Verdana" w:hAnsi="Verdana"/>
          <w:i/>
          <w:sz w:val="20"/>
          <w:szCs w:val="20"/>
        </w:rPr>
        <w:t>Barcelona Traction</w:t>
      </w:r>
      <w:r w:rsidRPr="00026D1B">
        <w:rPr>
          <w:rFonts w:ascii="Verdana" w:hAnsi="Verdana"/>
          <w:sz w:val="20"/>
          <w:szCs w:val="20"/>
        </w:rPr>
        <w:t xml:space="preserve"> no tocó, en lo absoluto, que el accionista, para detentar tal calidad, tiene un título de propiedad sobre su acción. La acción, es así, el objeto del derecho de propiedad. Por una parte, la acción representa la expresión documental de la condición de socio, es decir, un título social y, por otra, es un valor patrimonial y, como tal, un título de propiedad; de tal suerte que todos los derechos del accionista están internacionalmente protegidos, como derechos humanos, por el derecho a la propiedad privada establecida en el artículo 21 de la Convención Americana. </w:t>
      </w:r>
    </w:p>
    <w:p w14:paraId="14AE224E" w14:textId="77777777" w:rsidR="004731B1" w:rsidRPr="00026D1B" w:rsidRDefault="004731B1" w:rsidP="00E647CB">
      <w:pPr>
        <w:spacing w:after="0" w:line="240" w:lineRule="auto"/>
        <w:jc w:val="both"/>
        <w:rPr>
          <w:rFonts w:ascii="Verdana" w:hAnsi="Verdana"/>
          <w:sz w:val="20"/>
          <w:szCs w:val="20"/>
        </w:rPr>
      </w:pPr>
    </w:p>
    <w:p w14:paraId="7766B7D0" w14:textId="77777777" w:rsidR="004731B1" w:rsidRPr="00026D1B" w:rsidRDefault="004731B1" w:rsidP="00D42F2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89. </w:t>
      </w:r>
      <w:r w:rsidRPr="00026D1B">
        <w:rPr>
          <w:rFonts w:ascii="Verdana" w:hAnsi="Verdana"/>
          <w:sz w:val="20"/>
          <w:szCs w:val="20"/>
        </w:rPr>
        <w:tab/>
        <w:t xml:space="preserve">Desde esta óptica, la acción es un título de participación en la sociedad en dos vertientes: </w:t>
      </w:r>
      <w:r w:rsidRPr="00026D1B">
        <w:rPr>
          <w:rFonts w:ascii="Verdana" w:hAnsi="Verdana"/>
          <w:i/>
          <w:sz w:val="20"/>
          <w:szCs w:val="20"/>
        </w:rPr>
        <w:t>a) administrativo (</w:t>
      </w:r>
      <w:r w:rsidRPr="00026D1B">
        <w:rPr>
          <w:rFonts w:ascii="Verdana" w:hAnsi="Verdana"/>
          <w:sz w:val="20"/>
          <w:szCs w:val="20"/>
        </w:rPr>
        <w:t xml:space="preserve">participar en las asambleas, votar e impugnar las decisiones de la mayoría), y </w:t>
      </w:r>
      <w:r w:rsidRPr="00026D1B">
        <w:rPr>
          <w:rFonts w:ascii="Verdana" w:hAnsi="Verdana"/>
          <w:i/>
          <w:sz w:val="20"/>
          <w:szCs w:val="20"/>
        </w:rPr>
        <w:t xml:space="preserve">b) económico </w:t>
      </w:r>
      <w:r w:rsidRPr="00026D1B">
        <w:rPr>
          <w:rFonts w:ascii="Verdana" w:hAnsi="Verdana"/>
          <w:sz w:val="20"/>
          <w:szCs w:val="20"/>
        </w:rPr>
        <w:t xml:space="preserve">(percepción de dividendos). </w:t>
      </w:r>
    </w:p>
    <w:p w14:paraId="3AA6B095" w14:textId="77777777" w:rsidR="004731B1" w:rsidRPr="00026D1B" w:rsidRDefault="004731B1" w:rsidP="00E647CB">
      <w:pPr>
        <w:spacing w:after="0" w:line="240" w:lineRule="auto"/>
        <w:jc w:val="both"/>
        <w:rPr>
          <w:rFonts w:ascii="Verdana" w:hAnsi="Verdana"/>
          <w:sz w:val="20"/>
          <w:szCs w:val="20"/>
        </w:rPr>
      </w:pPr>
    </w:p>
    <w:p w14:paraId="27D10E16"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90. </w:t>
      </w:r>
      <w:r w:rsidRPr="00026D1B">
        <w:rPr>
          <w:rFonts w:ascii="Verdana" w:hAnsi="Verdana"/>
          <w:sz w:val="20"/>
          <w:szCs w:val="20"/>
        </w:rPr>
        <w:tab/>
        <w:t xml:space="preserve">Sin embargo, la concepción de la acción como título de propiedad protegido por el artículo 21 se refuerza, en los casos </w:t>
      </w:r>
      <w:r w:rsidRPr="00026D1B">
        <w:rPr>
          <w:rFonts w:ascii="Verdana" w:hAnsi="Verdana"/>
          <w:i/>
          <w:sz w:val="20"/>
          <w:szCs w:val="20"/>
        </w:rPr>
        <w:t>Ivcher Bronstein</w:t>
      </w:r>
      <w:r w:rsidRPr="00026D1B">
        <w:rPr>
          <w:rFonts w:ascii="Verdana" w:hAnsi="Verdana"/>
          <w:sz w:val="20"/>
          <w:szCs w:val="20"/>
        </w:rPr>
        <w:t xml:space="preserve"> y </w:t>
      </w:r>
      <w:r w:rsidRPr="00026D1B">
        <w:rPr>
          <w:rFonts w:ascii="Verdana" w:hAnsi="Verdana"/>
          <w:i/>
          <w:sz w:val="20"/>
          <w:szCs w:val="20"/>
        </w:rPr>
        <w:t>Chaparro Álvarez y Lapo Iñiguez</w:t>
      </w:r>
      <w:r w:rsidRPr="00026D1B">
        <w:rPr>
          <w:rFonts w:ascii="Verdana" w:hAnsi="Verdana"/>
          <w:sz w:val="20"/>
          <w:szCs w:val="20"/>
        </w:rPr>
        <w:t xml:space="preserve">, en la medida en que las víctimas de esos casos fueron privadas de su título de propiedad sobre sus acciones; lo cual tuvo como consecuencia que no pudieran ejercer sus derechos como accionistas. Así, la participación de las acciones de la empresa, o titularidad de acciones de una empresa, es susceptible de valoración y forma parte del patrimonio de su titular desde el momento de su adquisición, lo cual se traduce en el derecho de uso y goce de la propiedad. </w:t>
      </w:r>
    </w:p>
    <w:p w14:paraId="1A16202F" w14:textId="77777777" w:rsidR="004731B1" w:rsidRPr="00026D1B" w:rsidRDefault="004731B1" w:rsidP="00E647CB">
      <w:pPr>
        <w:spacing w:after="0" w:line="240" w:lineRule="auto"/>
        <w:jc w:val="both"/>
        <w:rPr>
          <w:rFonts w:ascii="Verdana" w:hAnsi="Verdana"/>
          <w:sz w:val="20"/>
          <w:szCs w:val="20"/>
        </w:rPr>
      </w:pPr>
    </w:p>
    <w:p w14:paraId="5DDD7BC5"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91. </w:t>
      </w:r>
      <w:r w:rsidRPr="00026D1B">
        <w:rPr>
          <w:rFonts w:ascii="Verdana" w:hAnsi="Verdana"/>
          <w:sz w:val="20"/>
          <w:szCs w:val="20"/>
        </w:rPr>
        <w:tab/>
        <w:t xml:space="preserve">En el presente caso, la no renovación de la concesión tuvo como consecuencia que las acciones, como título de propiedad, perdieran prácticamente todo valor nominal de la cual los accionistas de RCTV eran dueños. Si bien los bienes de una compañía no son un patrimonio directo de sus accionistas, la afectación de aquellos afecta el patrimonio de éstos, en la medida en que el valor de sus acciones (título de propiedad), así como la distribución de dividendos y la asignación de los bienes en caso de liquidación, se ve </w:t>
      </w:r>
      <w:r w:rsidRPr="00026D1B">
        <w:rPr>
          <w:rFonts w:ascii="Verdana" w:hAnsi="Verdana"/>
          <w:sz w:val="20"/>
          <w:szCs w:val="20"/>
        </w:rPr>
        <w:lastRenderedPageBreak/>
        <w:t xml:space="preserve">afectada. </w:t>
      </w:r>
      <w:r w:rsidRPr="00026D1B">
        <w:rPr>
          <w:rFonts w:ascii="Verdana" w:hAnsi="Verdana"/>
          <w:sz w:val="20"/>
          <w:szCs w:val="20"/>
          <w:u w:val="single"/>
        </w:rPr>
        <w:t>Lo que está en discusión no son los derechos que ejercen los accionistas en su calidad de socios, sino la destrucción de la acción, como medio para llevar a cabo esos derechos; criterio que, implícitamente, la Corte IDH ya ha puesto en manifiesto en los casos que ha tratado sobre accionistas.</w:t>
      </w:r>
      <w:r w:rsidRPr="00026D1B">
        <w:rPr>
          <w:rFonts w:ascii="Verdana" w:hAnsi="Verdana"/>
          <w:sz w:val="20"/>
          <w:szCs w:val="20"/>
        </w:rPr>
        <w:t xml:space="preserve"> Es claro que para poder ejercitar los derechos propios de los accionistas, primero se necesita detentar tal calidad, es decir, ser dueño de una acción; lo cual, en el presente caso debió ser protegido por el artículo 21.1 de la Convención. </w:t>
      </w:r>
    </w:p>
    <w:p w14:paraId="14E22676" w14:textId="77777777" w:rsidR="004731B1" w:rsidRPr="00026D1B" w:rsidRDefault="004731B1" w:rsidP="00E647CB">
      <w:pPr>
        <w:spacing w:after="0" w:line="240" w:lineRule="auto"/>
        <w:jc w:val="both"/>
        <w:rPr>
          <w:rFonts w:ascii="Verdana" w:hAnsi="Verdana"/>
          <w:sz w:val="20"/>
          <w:szCs w:val="20"/>
        </w:rPr>
      </w:pPr>
    </w:p>
    <w:p w14:paraId="42EA33F1" w14:textId="77777777" w:rsidR="004731B1" w:rsidRPr="006F2A55" w:rsidRDefault="004731B1" w:rsidP="00D42F2D">
      <w:pPr>
        <w:pStyle w:val="ListParagraph"/>
        <w:spacing w:after="0" w:line="240" w:lineRule="auto"/>
        <w:ind w:left="0"/>
        <w:jc w:val="both"/>
        <w:rPr>
          <w:rFonts w:ascii="Verdana" w:hAnsi="Verdana"/>
          <w:b/>
          <w:i/>
          <w:sz w:val="20"/>
          <w:szCs w:val="20"/>
        </w:rPr>
      </w:pPr>
      <w:r w:rsidRPr="006F2A55">
        <w:rPr>
          <w:rFonts w:ascii="Verdana" w:hAnsi="Verdana"/>
          <w:b/>
          <w:i/>
          <w:sz w:val="20"/>
          <w:szCs w:val="20"/>
        </w:rPr>
        <w:t xml:space="preserve">(ii) la imposibilidad de establecer una afectación por la “constitución accionaria compleja” de los socios de RCTV </w:t>
      </w:r>
    </w:p>
    <w:p w14:paraId="2DD76B6F" w14:textId="77777777" w:rsidR="004731B1" w:rsidRPr="00026D1B" w:rsidRDefault="004731B1" w:rsidP="00AF4FCD">
      <w:pPr>
        <w:pStyle w:val="ListParagraph"/>
        <w:spacing w:after="0" w:line="240" w:lineRule="auto"/>
        <w:ind w:left="0"/>
        <w:jc w:val="both"/>
        <w:rPr>
          <w:rFonts w:ascii="Verdana" w:hAnsi="Verdana"/>
          <w:sz w:val="20"/>
          <w:szCs w:val="20"/>
        </w:rPr>
      </w:pPr>
    </w:p>
    <w:p w14:paraId="3C4154B8"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92. </w:t>
      </w:r>
      <w:r w:rsidRPr="00026D1B">
        <w:rPr>
          <w:rFonts w:ascii="Verdana" w:hAnsi="Verdana"/>
          <w:sz w:val="20"/>
          <w:szCs w:val="20"/>
        </w:rPr>
        <w:tab/>
        <w:t>En segundo lugar, el criterio mayoritario consideró que se había probado que las presuntas víctimas eran accionistas de personas jurídicas o patrimonios autónomos separados, que a su vez son accionistas o propietarios de una cadena que tiene en el intermedio entre una o hasta otros cinco patrimonios autónomos separados o personas jurídicas hasta llegar a la empresa RCTV C.A</w:t>
      </w:r>
      <w:r w:rsidRPr="00026D1B">
        <w:rPr>
          <w:rStyle w:val="FootnoteReference"/>
          <w:rFonts w:ascii="Verdana" w:hAnsi="Verdana"/>
          <w:sz w:val="20"/>
          <w:szCs w:val="20"/>
        </w:rPr>
        <w:footnoteReference w:id="101"/>
      </w:r>
      <w:r w:rsidRPr="00026D1B">
        <w:rPr>
          <w:rFonts w:ascii="Verdana" w:hAnsi="Verdana"/>
          <w:sz w:val="20"/>
          <w:szCs w:val="20"/>
        </w:rPr>
        <w:t xml:space="preserve">. Por ello, </w:t>
      </w:r>
      <w:r w:rsidRPr="00026D1B">
        <w:rPr>
          <w:rFonts w:ascii="Verdana" w:hAnsi="Verdana"/>
          <w:sz w:val="20"/>
          <w:szCs w:val="20"/>
          <w:u w:val="single"/>
        </w:rPr>
        <w:t>el criterio mayoritario llego a la conclusión que esta constitución accionaria era “compleja</w:t>
      </w:r>
      <w:r w:rsidRPr="00026D1B">
        <w:rPr>
          <w:rFonts w:ascii="Verdana" w:hAnsi="Verdana"/>
          <w:sz w:val="20"/>
          <w:szCs w:val="20"/>
        </w:rPr>
        <w:t xml:space="preserve">”, consecuencia de una estructura societaria amplia de personas jurídicas con patrimonios separados, </w:t>
      </w:r>
      <w:r w:rsidRPr="00026D1B">
        <w:rPr>
          <w:rFonts w:ascii="Verdana" w:hAnsi="Verdana"/>
          <w:sz w:val="20"/>
          <w:szCs w:val="20"/>
          <w:u w:val="single"/>
        </w:rPr>
        <w:t>lo que “‘dificulta[ba]’ aún más poder establecer una relación directa y evidente entre la alegada pérdida del valor de las acciones y las afectaciones al patrimonio de la persona jurídica de RCTV”</w:t>
      </w:r>
      <w:r w:rsidRPr="00026D1B">
        <w:rPr>
          <w:rStyle w:val="FootnoteReference"/>
          <w:rFonts w:ascii="Verdana" w:hAnsi="Verdana"/>
          <w:sz w:val="20"/>
          <w:szCs w:val="20"/>
          <w:u w:val="single"/>
        </w:rPr>
        <w:footnoteReference w:id="102"/>
      </w:r>
      <w:r w:rsidRPr="00026D1B">
        <w:rPr>
          <w:rFonts w:ascii="Verdana" w:hAnsi="Verdana"/>
          <w:sz w:val="20"/>
          <w:szCs w:val="20"/>
        </w:rPr>
        <w:t xml:space="preserve">. Además, consideró que según el caso </w:t>
      </w:r>
      <w:r w:rsidRPr="00026D1B">
        <w:rPr>
          <w:rFonts w:ascii="Verdana" w:hAnsi="Verdana"/>
          <w:i/>
          <w:sz w:val="20"/>
          <w:szCs w:val="20"/>
        </w:rPr>
        <w:t>Perozo y otros Vs. Venezuela</w:t>
      </w:r>
      <w:r w:rsidRPr="00026D1B">
        <w:rPr>
          <w:rFonts w:ascii="Verdana" w:hAnsi="Verdana"/>
          <w:sz w:val="20"/>
          <w:szCs w:val="20"/>
        </w:rPr>
        <w:t>, “debía ser demostrado cómo el daño o afectación de los bienes de propiedad de ‘Globovisión’ se traducían en una afectación a los derechos de los accionistas de la empresa y, al no encontrar probada la afectación, se concluyó que no había vulneración al derecho a la propiedad de los accionistas en ese caso”</w:t>
      </w:r>
      <w:r w:rsidRPr="00026D1B">
        <w:rPr>
          <w:rStyle w:val="FootnoteReference"/>
          <w:rFonts w:ascii="Verdana" w:hAnsi="Verdana"/>
          <w:sz w:val="20"/>
          <w:szCs w:val="20"/>
        </w:rPr>
        <w:footnoteReference w:id="103"/>
      </w:r>
      <w:r w:rsidRPr="00026D1B">
        <w:rPr>
          <w:rFonts w:ascii="Verdana" w:hAnsi="Verdana"/>
          <w:sz w:val="20"/>
          <w:szCs w:val="20"/>
        </w:rPr>
        <w:t xml:space="preserve">. </w:t>
      </w:r>
    </w:p>
    <w:p w14:paraId="315BF70E" w14:textId="77777777" w:rsidR="004731B1" w:rsidRPr="00026D1B" w:rsidRDefault="004731B1" w:rsidP="00E647CB">
      <w:pPr>
        <w:spacing w:after="0" w:line="240" w:lineRule="auto"/>
        <w:jc w:val="both"/>
        <w:rPr>
          <w:rFonts w:ascii="Verdana" w:hAnsi="Verdana"/>
          <w:sz w:val="20"/>
          <w:szCs w:val="20"/>
        </w:rPr>
      </w:pPr>
    </w:p>
    <w:p w14:paraId="30219041" w14:textId="769C672A"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93. </w:t>
      </w:r>
      <w:r w:rsidRPr="00026D1B">
        <w:rPr>
          <w:rFonts w:ascii="Verdana" w:hAnsi="Verdana"/>
          <w:sz w:val="20"/>
          <w:szCs w:val="20"/>
        </w:rPr>
        <w:tab/>
        <w:t xml:space="preserve">Sobre este segundo aspecto es muy importante aclarar que no resulta ni compleja ni difícil establecer una relación directa y evidente entre la pérdida del valor de las acciones y las afectaciones del patrimonio de los accionistas de RCTV. Lo anterior dado que, al igual que el </w:t>
      </w:r>
      <w:r w:rsidRPr="00026D1B">
        <w:rPr>
          <w:rFonts w:ascii="Verdana" w:hAnsi="Verdana"/>
          <w:i/>
          <w:sz w:val="20"/>
          <w:szCs w:val="20"/>
        </w:rPr>
        <w:t>caso Perozo y otros Vs. Venezuela</w:t>
      </w:r>
      <w:r w:rsidRPr="00026D1B">
        <w:rPr>
          <w:rStyle w:val="FootnoteReference"/>
          <w:rFonts w:ascii="Verdana" w:hAnsi="Verdana"/>
          <w:sz w:val="20"/>
          <w:szCs w:val="20"/>
        </w:rPr>
        <w:footnoteReference w:id="104"/>
      </w:r>
      <w:r w:rsidRPr="00026D1B">
        <w:rPr>
          <w:rFonts w:ascii="Verdana" w:hAnsi="Verdana"/>
          <w:sz w:val="20"/>
          <w:szCs w:val="20"/>
        </w:rPr>
        <w:t>, no existió controversia entre las partes e incluso se dio como un hecho probado del caso que Marcel Granier, Peter Bottome, Jaime Nestares, Jean Nestares, Fernando Nestares, Francisco Nestares y Alicia Phelps de Tovar son propietarios accionistas de la empresa RCTV a través de empresas y patrimonios autónomos separados</w:t>
      </w:r>
      <w:r w:rsidRPr="00026D1B">
        <w:rPr>
          <w:rStyle w:val="FootnoteReference"/>
          <w:rFonts w:ascii="Verdana" w:hAnsi="Verdana"/>
          <w:sz w:val="20"/>
          <w:szCs w:val="20"/>
        </w:rPr>
        <w:footnoteReference w:id="105"/>
      </w:r>
      <w:r w:rsidRPr="00026D1B">
        <w:rPr>
          <w:rFonts w:ascii="Verdana" w:hAnsi="Verdana"/>
          <w:sz w:val="20"/>
          <w:szCs w:val="20"/>
        </w:rPr>
        <w:t xml:space="preserve">. La complejidad de la estructura accionaria de RCTV podría, en todo caso, dificultar la determinación exacta del </w:t>
      </w:r>
      <w:r w:rsidRPr="00026D1B">
        <w:rPr>
          <w:rFonts w:ascii="Verdana" w:hAnsi="Verdana"/>
          <w:i/>
          <w:sz w:val="20"/>
          <w:szCs w:val="20"/>
        </w:rPr>
        <w:t>qua</w:t>
      </w:r>
      <w:r w:rsidR="00041225">
        <w:rPr>
          <w:rFonts w:ascii="Verdana" w:hAnsi="Verdana"/>
          <w:i/>
          <w:sz w:val="20"/>
          <w:szCs w:val="20"/>
        </w:rPr>
        <w:t>n</w:t>
      </w:r>
      <w:r w:rsidRPr="00026D1B">
        <w:rPr>
          <w:rFonts w:ascii="Verdana" w:hAnsi="Verdana"/>
          <w:i/>
          <w:sz w:val="20"/>
          <w:szCs w:val="20"/>
        </w:rPr>
        <w:t xml:space="preserve">tum </w:t>
      </w:r>
      <w:r w:rsidRPr="00026D1B">
        <w:rPr>
          <w:rFonts w:ascii="Verdana" w:hAnsi="Verdana"/>
          <w:sz w:val="20"/>
          <w:szCs w:val="20"/>
        </w:rPr>
        <w:t xml:space="preserve">del deterioro del valor de las acciones de la empresa, pero no constituye un elemento para concluir que finalmente no existió una afectación al valor de las acciones propiedad de Marcel Granier, Peter Bottome, Jaime Nestares, Jean Nestares, Fernando Nestares, Francisco Nestares y Alicia Phelps de Tovar. </w:t>
      </w:r>
    </w:p>
    <w:p w14:paraId="12A7E1FC" w14:textId="77777777" w:rsidR="004731B1" w:rsidRPr="00026D1B" w:rsidRDefault="004731B1" w:rsidP="009C0D1D">
      <w:pPr>
        <w:spacing w:after="0" w:line="240" w:lineRule="auto"/>
        <w:jc w:val="both"/>
        <w:rPr>
          <w:rFonts w:ascii="Verdana" w:hAnsi="Verdana"/>
          <w:sz w:val="20"/>
          <w:szCs w:val="20"/>
        </w:rPr>
      </w:pPr>
    </w:p>
    <w:p w14:paraId="4D954841" w14:textId="77777777"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94. </w:t>
      </w:r>
      <w:r w:rsidRPr="00026D1B">
        <w:rPr>
          <w:rFonts w:ascii="Verdana" w:hAnsi="Verdana"/>
          <w:sz w:val="20"/>
          <w:szCs w:val="20"/>
        </w:rPr>
        <w:tab/>
        <w:t xml:space="preserve">En el caso </w:t>
      </w:r>
      <w:r w:rsidRPr="00026D1B">
        <w:rPr>
          <w:rFonts w:ascii="Verdana" w:hAnsi="Verdana"/>
          <w:i/>
          <w:sz w:val="20"/>
          <w:szCs w:val="20"/>
        </w:rPr>
        <w:t>Perozo</w:t>
      </w:r>
      <w:r w:rsidRPr="00026D1B">
        <w:rPr>
          <w:rFonts w:ascii="Verdana" w:hAnsi="Verdana"/>
          <w:sz w:val="20"/>
          <w:szCs w:val="20"/>
        </w:rPr>
        <w:t>, la Corte IDH consideró que “los señores Alberto Federico Ravell y Guillermo Zuloaga [eran] accionistas de la empresa UNITEL de Venezuela C.A., que [era] a su vez propietaria de la emisora de televisión Globovisión[;] y, de la prueba aportada, surg[ió] que ellos eran accionistas […] de forma parcial de la emisora de televisión Globovisión al momento de los hechos alegados”</w:t>
      </w:r>
      <w:r w:rsidRPr="00026D1B">
        <w:rPr>
          <w:rStyle w:val="FootnoteReference"/>
          <w:rFonts w:ascii="Verdana" w:hAnsi="Verdana"/>
          <w:sz w:val="20"/>
          <w:szCs w:val="20"/>
        </w:rPr>
        <w:footnoteReference w:id="106"/>
      </w:r>
      <w:r w:rsidRPr="00026D1B">
        <w:rPr>
          <w:rFonts w:ascii="Verdana" w:hAnsi="Verdana"/>
          <w:sz w:val="20"/>
          <w:szCs w:val="20"/>
        </w:rPr>
        <w:t>. En este sentido,</w:t>
      </w:r>
      <w:r w:rsidRPr="00026D1B">
        <w:rPr>
          <w:rFonts w:ascii="Verdana" w:hAnsi="Verdana" w:cs="Times New Roman"/>
          <w:sz w:val="20"/>
          <w:szCs w:val="20"/>
          <w:lang w:val="es-ES_tradnl" w:eastAsia="es-ES"/>
        </w:rPr>
        <w:t xml:space="preserve"> “[l]os representantes </w:t>
      </w:r>
      <w:r w:rsidRPr="00026D1B">
        <w:rPr>
          <w:rFonts w:ascii="Verdana" w:hAnsi="Verdana" w:cs="Times New Roman"/>
          <w:sz w:val="20"/>
          <w:szCs w:val="20"/>
          <w:lang w:val="es-ES_tradnl" w:eastAsia="es-ES"/>
        </w:rPr>
        <w:lastRenderedPageBreak/>
        <w:t xml:space="preserve">aportaron diversos documentos constitutivos y actas de la asamblea de </w:t>
      </w:r>
      <w:proofErr w:type="spellStart"/>
      <w:r w:rsidRPr="00026D1B">
        <w:rPr>
          <w:rFonts w:ascii="Verdana" w:hAnsi="Verdana" w:cs="Times New Roman"/>
          <w:sz w:val="20"/>
          <w:szCs w:val="20"/>
          <w:lang w:val="es-ES_tradnl" w:eastAsia="es-ES"/>
        </w:rPr>
        <w:t>Unitel</w:t>
      </w:r>
      <w:proofErr w:type="spellEnd"/>
      <w:r w:rsidRPr="00026D1B">
        <w:rPr>
          <w:rFonts w:ascii="Verdana" w:hAnsi="Verdana" w:cs="Times New Roman"/>
          <w:sz w:val="20"/>
          <w:szCs w:val="20"/>
          <w:lang w:val="es-ES_tradnl" w:eastAsia="es-ES"/>
        </w:rPr>
        <w:t xml:space="preserve"> de Venezuela, C. A., </w:t>
      </w:r>
      <w:proofErr w:type="spellStart"/>
      <w:r w:rsidRPr="00026D1B">
        <w:rPr>
          <w:rFonts w:ascii="Verdana" w:hAnsi="Verdana" w:cs="Times New Roman"/>
          <w:sz w:val="20"/>
          <w:szCs w:val="20"/>
          <w:lang w:val="es-ES_tradnl" w:eastAsia="es-ES"/>
        </w:rPr>
        <w:t>Corpomedios</w:t>
      </w:r>
      <w:proofErr w:type="spellEnd"/>
      <w:r w:rsidRPr="00026D1B">
        <w:rPr>
          <w:rFonts w:ascii="Verdana" w:hAnsi="Verdana" w:cs="Times New Roman"/>
          <w:sz w:val="20"/>
          <w:szCs w:val="20"/>
          <w:lang w:val="es-ES_tradnl" w:eastAsia="es-ES"/>
        </w:rPr>
        <w:t xml:space="preserve"> GV Inversiones, C. A. y </w:t>
      </w:r>
      <w:proofErr w:type="spellStart"/>
      <w:r w:rsidRPr="00026D1B">
        <w:rPr>
          <w:rFonts w:ascii="Verdana" w:hAnsi="Verdana" w:cs="Times New Roman"/>
          <w:sz w:val="20"/>
          <w:szCs w:val="20"/>
          <w:lang w:val="es-ES_tradnl" w:eastAsia="es-ES"/>
        </w:rPr>
        <w:t>Globovisión</w:t>
      </w:r>
      <w:proofErr w:type="spellEnd"/>
      <w:r w:rsidRPr="00026D1B">
        <w:rPr>
          <w:rFonts w:ascii="Verdana" w:hAnsi="Verdana" w:cs="Times New Roman"/>
          <w:sz w:val="20"/>
          <w:szCs w:val="20"/>
          <w:lang w:val="es-ES_tradnl" w:eastAsia="es-ES"/>
        </w:rPr>
        <w:t xml:space="preserve"> Tele, C.A. en donde se demostraría la participación de los señores </w:t>
      </w:r>
      <w:proofErr w:type="spellStart"/>
      <w:r w:rsidRPr="00026D1B">
        <w:rPr>
          <w:rFonts w:ascii="Verdana" w:hAnsi="Verdana" w:cs="Times New Roman"/>
          <w:sz w:val="20"/>
          <w:szCs w:val="20"/>
          <w:lang w:val="es-ES_tradnl" w:eastAsia="es-ES"/>
        </w:rPr>
        <w:t>Ravell</w:t>
      </w:r>
      <w:proofErr w:type="spellEnd"/>
      <w:r w:rsidRPr="00026D1B">
        <w:rPr>
          <w:rFonts w:ascii="Verdana" w:hAnsi="Verdana" w:cs="Times New Roman"/>
          <w:sz w:val="20"/>
          <w:szCs w:val="20"/>
          <w:lang w:val="es-ES_tradnl" w:eastAsia="es-ES"/>
        </w:rPr>
        <w:t xml:space="preserve"> y Zuloaga como accionistas de Globovisión […] A partir de los documentos aportados </w:t>
      </w:r>
      <w:proofErr w:type="spellStart"/>
      <w:r w:rsidRPr="00026D1B">
        <w:rPr>
          <w:rFonts w:ascii="Verdana" w:hAnsi="Verdana" w:cs="Times New Roman"/>
          <w:sz w:val="20"/>
          <w:szCs w:val="20"/>
          <w:lang w:val="es-ES_tradnl" w:eastAsia="es-ES"/>
        </w:rPr>
        <w:t>const</w:t>
      </w:r>
      <w:proofErr w:type="spellEnd"/>
      <w:r w:rsidRPr="00026D1B">
        <w:rPr>
          <w:rFonts w:ascii="Verdana" w:hAnsi="Verdana" w:cs="Times New Roman"/>
          <w:sz w:val="20"/>
          <w:szCs w:val="20"/>
          <w:lang w:val="es-ES_tradnl" w:eastAsia="es-ES"/>
        </w:rPr>
        <w:t>[</w:t>
      </w:r>
      <w:proofErr w:type="spellStart"/>
      <w:r w:rsidRPr="00026D1B">
        <w:rPr>
          <w:rFonts w:ascii="Verdana" w:hAnsi="Verdana" w:cs="Times New Roman"/>
          <w:sz w:val="20"/>
          <w:szCs w:val="20"/>
          <w:lang w:val="es-ES_tradnl" w:eastAsia="es-ES"/>
        </w:rPr>
        <w:t>ó</w:t>
      </w:r>
      <w:proofErr w:type="spellEnd"/>
      <w:r w:rsidRPr="00026D1B">
        <w:rPr>
          <w:rFonts w:ascii="Verdana" w:hAnsi="Verdana" w:cs="Times New Roman"/>
          <w:sz w:val="20"/>
          <w:szCs w:val="20"/>
          <w:lang w:val="es-ES_tradnl" w:eastAsia="es-ES"/>
        </w:rPr>
        <w:t xml:space="preserve">] que la Sociedad Mercantil </w:t>
      </w:r>
      <w:proofErr w:type="spellStart"/>
      <w:r w:rsidRPr="00026D1B">
        <w:rPr>
          <w:rFonts w:ascii="Verdana" w:hAnsi="Verdana" w:cs="Times New Roman"/>
          <w:sz w:val="20"/>
          <w:szCs w:val="20"/>
          <w:lang w:val="es-ES_tradnl" w:eastAsia="es-ES"/>
        </w:rPr>
        <w:t>Corpomedios</w:t>
      </w:r>
      <w:proofErr w:type="spellEnd"/>
      <w:r w:rsidRPr="00026D1B">
        <w:rPr>
          <w:rFonts w:ascii="Verdana" w:hAnsi="Verdana" w:cs="Times New Roman"/>
          <w:sz w:val="20"/>
          <w:szCs w:val="20"/>
          <w:lang w:val="es-ES_tradnl" w:eastAsia="es-ES"/>
        </w:rPr>
        <w:t xml:space="preserve"> GV Inversiones, C.A. es propietaria del 100% de las acciones de la Sociedad Mercantil </w:t>
      </w:r>
      <w:proofErr w:type="spellStart"/>
      <w:r w:rsidRPr="00026D1B">
        <w:rPr>
          <w:rFonts w:ascii="Verdana" w:hAnsi="Verdana" w:cs="Times New Roman"/>
          <w:sz w:val="20"/>
          <w:szCs w:val="20"/>
          <w:lang w:val="es-ES_tradnl" w:eastAsia="es-ES"/>
        </w:rPr>
        <w:t>Globovisión</w:t>
      </w:r>
      <w:proofErr w:type="spellEnd"/>
      <w:r w:rsidRPr="00026D1B">
        <w:rPr>
          <w:rFonts w:ascii="Verdana" w:hAnsi="Verdana" w:cs="Times New Roman"/>
          <w:sz w:val="20"/>
          <w:szCs w:val="20"/>
          <w:lang w:val="es-ES_tradnl" w:eastAsia="es-ES"/>
        </w:rPr>
        <w:t xml:space="preserve"> Tele, C.A. […] A su vez, la Sociedad Mercantil </w:t>
      </w:r>
      <w:proofErr w:type="spellStart"/>
      <w:r w:rsidRPr="00026D1B">
        <w:rPr>
          <w:rFonts w:ascii="Verdana" w:hAnsi="Verdana" w:cs="Times New Roman"/>
          <w:sz w:val="20"/>
          <w:szCs w:val="20"/>
          <w:lang w:val="es-ES_tradnl" w:eastAsia="es-ES"/>
        </w:rPr>
        <w:t>Corpomedios</w:t>
      </w:r>
      <w:proofErr w:type="spellEnd"/>
      <w:r w:rsidRPr="00026D1B">
        <w:rPr>
          <w:rFonts w:ascii="Verdana" w:hAnsi="Verdana" w:cs="Times New Roman"/>
          <w:sz w:val="20"/>
          <w:szCs w:val="20"/>
          <w:lang w:val="es-ES_tradnl" w:eastAsia="es-ES"/>
        </w:rPr>
        <w:t xml:space="preserve"> GV contaría con la participación accionaria de Sociedad Mercantil UNITEL de Venezuela, C.A. en un 60% de sus acciones. Del 40% de las acciones restantes la mitad pertenecen a la Sociedad Mercantil Sindicato Ávila, C.A. [20%] y otra mitad a la Sociedad Mercantil DNS Inversiones 2000, C.A. [20%]. […] Al mismo tiempo, la Sociedad Mercantil UNITEL de Venezuela, C.A. para el 15 de mayo de 2000 se encontraba constituida por los accionistas Guillermo Antonio Zuloaga Núñez con el 66% de las acciones y Alberto Federico </w:t>
      </w:r>
      <w:proofErr w:type="spellStart"/>
      <w:r w:rsidRPr="00026D1B">
        <w:rPr>
          <w:rFonts w:ascii="Verdana" w:hAnsi="Verdana" w:cs="Times New Roman"/>
          <w:sz w:val="20"/>
          <w:szCs w:val="20"/>
          <w:lang w:val="es-ES_tradnl" w:eastAsia="es-ES"/>
        </w:rPr>
        <w:t>Ravell</w:t>
      </w:r>
      <w:proofErr w:type="spellEnd"/>
      <w:r w:rsidRPr="00026D1B">
        <w:rPr>
          <w:rFonts w:ascii="Verdana" w:hAnsi="Verdana" w:cs="Times New Roman"/>
          <w:sz w:val="20"/>
          <w:szCs w:val="20"/>
          <w:lang w:val="es-ES_tradnl" w:eastAsia="es-ES"/>
        </w:rPr>
        <w:t xml:space="preserve"> con el 17% de las acciones, quedando el restante 17% de las acciones en manos de la Sociedad Mercantil </w:t>
      </w:r>
      <w:proofErr w:type="spellStart"/>
      <w:r w:rsidRPr="00026D1B">
        <w:rPr>
          <w:rFonts w:ascii="Verdana" w:hAnsi="Verdana" w:cs="Times New Roman"/>
          <w:sz w:val="20"/>
          <w:szCs w:val="20"/>
          <w:lang w:val="es-ES_tradnl" w:eastAsia="es-ES"/>
        </w:rPr>
        <w:t>Montferrat</w:t>
      </w:r>
      <w:proofErr w:type="spellEnd"/>
      <w:r w:rsidRPr="00026D1B">
        <w:rPr>
          <w:rFonts w:ascii="Verdana" w:hAnsi="Verdana" w:cs="Times New Roman"/>
          <w:sz w:val="20"/>
          <w:szCs w:val="20"/>
          <w:lang w:val="es-ES_tradnl" w:eastAsia="es-ES"/>
        </w:rPr>
        <w:t>, S.A. […] En el día de 3 de enero 2005 se realizó un aumento del capital de la empresa UNITEL de Venezuela, C.A. pero no afectó el porcentaje de participación de los accionistas”</w:t>
      </w:r>
      <w:r w:rsidRPr="00026D1B">
        <w:rPr>
          <w:rStyle w:val="FootnoteReference"/>
          <w:rFonts w:ascii="Verdana" w:hAnsi="Verdana" w:cs="Times New Roman"/>
          <w:sz w:val="20"/>
          <w:szCs w:val="20"/>
          <w:lang w:val="es-ES_tradnl" w:eastAsia="es-ES"/>
        </w:rPr>
        <w:footnoteReference w:id="107"/>
      </w:r>
      <w:r w:rsidRPr="00026D1B">
        <w:rPr>
          <w:rFonts w:ascii="Verdana" w:hAnsi="Verdana" w:cs="Times New Roman"/>
          <w:sz w:val="20"/>
          <w:szCs w:val="20"/>
          <w:lang w:val="es-ES_tradnl" w:eastAsia="es-ES"/>
        </w:rPr>
        <w:t>.</w:t>
      </w:r>
    </w:p>
    <w:p w14:paraId="7301B8EE" w14:textId="77777777" w:rsidR="004731B1" w:rsidRPr="00026D1B" w:rsidRDefault="004731B1" w:rsidP="009C0D1D">
      <w:pPr>
        <w:pStyle w:val="ListParagraph"/>
        <w:spacing w:after="0" w:line="240" w:lineRule="auto"/>
        <w:ind w:left="0"/>
        <w:jc w:val="both"/>
        <w:rPr>
          <w:rFonts w:ascii="Verdana" w:hAnsi="Verdana"/>
          <w:sz w:val="20"/>
          <w:szCs w:val="20"/>
        </w:rPr>
      </w:pPr>
    </w:p>
    <w:p w14:paraId="24208211" w14:textId="67B01B0F" w:rsidR="004731B1" w:rsidRPr="00026D1B" w:rsidRDefault="004731B1" w:rsidP="00AF4FC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95. </w:t>
      </w:r>
      <w:r w:rsidRPr="00026D1B">
        <w:rPr>
          <w:rFonts w:ascii="Verdana" w:hAnsi="Verdana"/>
          <w:sz w:val="20"/>
          <w:szCs w:val="20"/>
        </w:rPr>
        <w:tab/>
        <w:t xml:space="preserve">Es decir, Guillermo Zuloaga era dueño del 39.6% de Corpomedios (a través de UNITEL) y Alberto Federico Ravell era dueño del 10.2% de Corpomedios (a través de UNITEL) y, de esta manera, Corpomedios era dueña del 100 % de Sociedad Mercantil Globovisión Tele, C.A., por lo que el Señor Zuloaga era dueño de 39.6% y el señor Ravell del 10.2% de Sociedad Mercantil Globovisión Tele, C.A.. Lo anterior pone en manifiesto que no es irrazonable lo propuesto por las víctimas </w:t>
      </w:r>
      <w:r w:rsidR="00041225">
        <w:rPr>
          <w:rFonts w:ascii="Verdana" w:hAnsi="Verdana"/>
          <w:sz w:val="20"/>
          <w:szCs w:val="20"/>
        </w:rPr>
        <w:t xml:space="preserve">del presente caso </w:t>
      </w:r>
      <w:r w:rsidRPr="00026D1B">
        <w:rPr>
          <w:rFonts w:ascii="Verdana" w:hAnsi="Verdana"/>
          <w:sz w:val="20"/>
          <w:szCs w:val="20"/>
        </w:rPr>
        <w:t xml:space="preserve">cuando afirman los porcentajes accionarios en los cuales resultaron afectados sus derechos sobre RCTV. En el caso Perozo, la Corte IDH no determinó la no violación al derecho a la propiedad privada por la “dificultad” de establecer en qué medida los señores Zuloaga y Ravell eran accionistas de Globovisión, por el contrario, afirmó que eran accionistas de manera parcial de ese medio de comunicación. </w:t>
      </w:r>
    </w:p>
    <w:p w14:paraId="0E2A868B" w14:textId="77777777" w:rsidR="004731B1" w:rsidRPr="00026D1B" w:rsidRDefault="004731B1" w:rsidP="00E647CB">
      <w:pPr>
        <w:pStyle w:val="ListParagraph"/>
        <w:spacing w:after="0" w:line="240" w:lineRule="auto"/>
        <w:ind w:left="0"/>
        <w:jc w:val="both"/>
        <w:rPr>
          <w:rFonts w:ascii="Verdana" w:hAnsi="Verdana"/>
          <w:sz w:val="20"/>
          <w:szCs w:val="20"/>
        </w:rPr>
      </w:pPr>
    </w:p>
    <w:p w14:paraId="10783719" w14:textId="77777777" w:rsidR="004731B1" w:rsidRPr="00026D1B" w:rsidRDefault="004731B1" w:rsidP="00CB710A">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96. </w:t>
      </w:r>
      <w:r w:rsidRPr="00026D1B">
        <w:rPr>
          <w:rFonts w:ascii="Verdana" w:hAnsi="Verdana"/>
          <w:sz w:val="20"/>
          <w:szCs w:val="20"/>
        </w:rPr>
        <w:tab/>
        <w:t xml:space="preserve">Además, en la presente Sentencia, citando el caso </w:t>
      </w:r>
      <w:r w:rsidRPr="00026D1B">
        <w:rPr>
          <w:rFonts w:ascii="Verdana" w:hAnsi="Verdana"/>
          <w:i/>
          <w:sz w:val="20"/>
          <w:szCs w:val="20"/>
        </w:rPr>
        <w:t>Perozo</w:t>
      </w:r>
      <w:r w:rsidRPr="00026D1B">
        <w:rPr>
          <w:rFonts w:ascii="Verdana" w:hAnsi="Verdana"/>
          <w:sz w:val="20"/>
          <w:szCs w:val="20"/>
        </w:rPr>
        <w:t>, el criterio mayoritario consideró que para que se declare vulnerado el derecho a la propiedad debía ser demostrado cómo el daño o afectación de los bienes de propiedad de los canales de comunicación se traducían en una afectación a los derechos de los accionistas de la empresa y, al no encontrar probada la afectación, se concluyó que no había violación a la propiedad de los accionistas en ese caso</w:t>
      </w:r>
      <w:r w:rsidRPr="00026D1B">
        <w:rPr>
          <w:rStyle w:val="FootnoteReference"/>
          <w:rFonts w:ascii="Verdana" w:hAnsi="Verdana"/>
          <w:sz w:val="20"/>
          <w:szCs w:val="20"/>
        </w:rPr>
        <w:footnoteReference w:id="108"/>
      </w:r>
      <w:r w:rsidRPr="00026D1B">
        <w:rPr>
          <w:rFonts w:ascii="Verdana" w:hAnsi="Verdana"/>
          <w:sz w:val="20"/>
          <w:szCs w:val="20"/>
        </w:rPr>
        <w:t xml:space="preserve">. No obstante, entre el caso de Globovisión y el de RCTV, se aprecian diferencias palpables. </w:t>
      </w:r>
    </w:p>
    <w:p w14:paraId="6EE68130" w14:textId="77777777" w:rsidR="004731B1" w:rsidRPr="00026D1B" w:rsidRDefault="004731B1" w:rsidP="00E647CB">
      <w:pPr>
        <w:spacing w:after="0" w:line="240" w:lineRule="auto"/>
        <w:jc w:val="both"/>
        <w:rPr>
          <w:rFonts w:ascii="Verdana" w:hAnsi="Verdana"/>
          <w:sz w:val="20"/>
          <w:szCs w:val="20"/>
        </w:rPr>
      </w:pPr>
    </w:p>
    <w:p w14:paraId="1BF6F6BD" w14:textId="77777777" w:rsidR="004731B1" w:rsidRPr="00026D1B" w:rsidRDefault="004731B1" w:rsidP="00673AAD">
      <w:pPr>
        <w:pStyle w:val="ListParagraph"/>
        <w:spacing w:after="0" w:line="240" w:lineRule="auto"/>
        <w:ind w:left="0"/>
        <w:jc w:val="both"/>
        <w:rPr>
          <w:rFonts w:ascii="Verdana" w:hAnsi="Verdana"/>
          <w:sz w:val="20"/>
          <w:szCs w:val="20"/>
        </w:rPr>
      </w:pPr>
      <w:r w:rsidRPr="00026D1B">
        <w:rPr>
          <w:rFonts w:ascii="Verdana" w:hAnsi="Verdana"/>
          <w:sz w:val="20"/>
          <w:szCs w:val="20"/>
        </w:rPr>
        <w:t xml:space="preserve">97. </w:t>
      </w:r>
      <w:r w:rsidRPr="00026D1B">
        <w:rPr>
          <w:rFonts w:ascii="Verdana" w:hAnsi="Verdana"/>
          <w:sz w:val="20"/>
          <w:szCs w:val="20"/>
        </w:rPr>
        <w:tab/>
        <w:t xml:space="preserve">La Corte IDH arribó, en el caso </w:t>
      </w:r>
      <w:r w:rsidRPr="00026D1B">
        <w:rPr>
          <w:rFonts w:ascii="Verdana" w:hAnsi="Verdana"/>
          <w:i/>
          <w:sz w:val="20"/>
          <w:szCs w:val="20"/>
        </w:rPr>
        <w:t>Perozo</w:t>
      </w:r>
      <w:r w:rsidRPr="00026D1B">
        <w:rPr>
          <w:rFonts w:ascii="Verdana" w:hAnsi="Verdana"/>
          <w:sz w:val="20"/>
          <w:szCs w:val="20"/>
        </w:rPr>
        <w:t xml:space="preserve">, a la conclusión de que no se había logrado probar la afectación a los bienes de los accionistas puesto que, en gran medida, esas afectaciones eran atribuibles a particulares no determinados. Diferente es, en el caso </w:t>
      </w:r>
      <w:r w:rsidRPr="00026D1B">
        <w:rPr>
          <w:rFonts w:ascii="Verdana" w:hAnsi="Verdana"/>
          <w:i/>
          <w:sz w:val="20"/>
          <w:szCs w:val="20"/>
        </w:rPr>
        <w:t xml:space="preserve">sub judice, </w:t>
      </w:r>
      <w:r w:rsidRPr="00026D1B">
        <w:rPr>
          <w:rFonts w:ascii="Verdana" w:hAnsi="Verdana"/>
          <w:sz w:val="20"/>
          <w:szCs w:val="20"/>
        </w:rPr>
        <w:t xml:space="preserve">que el Tribunal Interamericano ha dado por probado una </w:t>
      </w:r>
      <w:r w:rsidRPr="00026D1B">
        <w:rPr>
          <w:rFonts w:ascii="Verdana" w:hAnsi="Verdana"/>
          <w:sz w:val="20"/>
          <w:szCs w:val="20"/>
          <w:u w:val="single"/>
        </w:rPr>
        <w:t>desviación de poder</w:t>
      </w:r>
      <w:r w:rsidRPr="00026D1B">
        <w:rPr>
          <w:rFonts w:ascii="Verdana" w:hAnsi="Verdana"/>
          <w:sz w:val="20"/>
          <w:szCs w:val="20"/>
        </w:rPr>
        <w:t xml:space="preserve">, que se manifestó en la no renovación de la concesión; lo cual tuvo como consecuencia que los socios perdieran el valor de sus acciones, que se tradujo en afectación directa a su patrimonio. </w:t>
      </w:r>
    </w:p>
    <w:p w14:paraId="6C648481" w14:textId="77777777" w:rsidR="004731B1" w:rsidRPr="00026D1B" w:rsidRDefault="004731B1" w:rsidP="00673AAD">
      <w:pPr>
        <w:pStyle w:val="ListParagraph"/>
        <w:spacing w:after="0" w:line="240" w:lineRule="auto"/>
        <w:ind w:left="0"/>
        <w:jc w:val="both"/>
        <w:rPr>
          <w:rFonts w:ascii="Verdana" w:hAnsi="Verdana"/>
          <w:sz w:val="20"/>
          <w:szCs w:val="20"/>
        </w:rPr>
      </w:pPr>
    </w:p>
    <w:p w14:paraId="673C2C84" w14:textId="40FF5F3A" w:rsidR="004731B1" w:rsidRPr="00026D1B" w:rsidRDefault="004731B1" w:rsidP="00673AAD">
      <w:pPr>
        <w:pStyle w:val="ListParagraph"/>
        <w:spacing w:after="0" w:line="240" w:lineRule="auto"/>
        <w:ind w:left="0"/>
        <w:jc w:val="both"/>
      </w:pPr>
      <w:r w:rsidRPr="00026D1B">
        <w:rPr>
          <w:rFonts w:ascii="Verdana" w:hAnsi="Verdana"/>
          <w:sz w:val="20"/>
          <w:szCs w:val="20"/>
        </w:rPr>
        <w:t xml:space="preserve">98. </w:t>
      </w:r>
      <w:r w:rsidRPr="00026D1B">
        <w:rPr>
          <w:rFonts w:ascii="Verdana" w:hAnsi="Verdana"/>
          <w:sz w:val="20"/>
          <w:szCs w:val="20"/>
        </w:rPr>
        <w:tab/>
        <w:t>En el caso concreto, obra</w:t>
      </w:r>
      <w:r w:rsidR="00041225">
        <w:rPr>
          <w:rFonts w:ascii="Verdana" w:hAnsi="Verdana"/>
          <w:sz w:val="20"/>
          <w:szCs w:val="20"/>
        </w:rPr>
        <w:t>n</w:t>
      </w:r>
      <w:r w:rsidRPr="00026D1B">
        <w:rPr>
          <w:rFonts w:ascii="Verdana" w:hAnsi="Verdana"/>
          <w:sz w:val="20"/>
          <w:szCs w:val="20"/>
        </w:rPr>
        <w:t xml:space="preserve"> en el expediente diversas pruebas, como el peritaje del señor Ángel Alayón relativo al “Informe de cálculo de daños al patrimonio personal de los accionistas de RCTV”</w:t>
      </w:r>
      <w:r w:rsidRPr="00026D1B">
        <w:rPr>
          <w:rStyle w:val="FootnoteReference"/>
          <w:rFonts w:ascii="Verdana" w:hAnsi="Verdana"/>
          <w:sz w:val="20"/>
          <w:szCs w:val="20"/>
        </w:rPr>
        <w:footnoteReference w:id="109"/>
      </w:r>
      <w:r w:rsidRPr="00026D1B">
        <w:rPr>
          <w:rFonts w:ascii="Verdana" w:hAnsi="Verdana"/>
          <w:sz w:val="20"/>
          <w:szCs w:val="20"/>
        </w:rPr>
        <w:t xml:space="preserve">, en el que el perito para realizar el cálculo de dicho daño realizó una </w:t>
      </w:r>
      <w:r w:rsidRPr="00026D1B">
        <w:rPr>
          <w:rFonts w:ascii="Verdana" w:hAnsi="Verdana"/>
          <w:sz w:val="20"/>
          <w:szCs w:val="20"/>
        </w:rPr>
        <w:lastRenderedPageBreak/>
        <w:t>evaluación del valor de la empresa al cierre de RCTV, lo que se traduce en el “daño que se le ocasionó en su patrimonio al cien por ciento de los accionistas de RCTV a la fecha del cierre”</w:t>
      </w:r>
      <w:r w:rsidRPr="00026D1B">
        <w:rPr>
          <w:rStyle w:val="FootnoteReference"/>
          <w:rFonts w:ascii="Verdana" w:hAnsi="Verdana"/>
          <w:sz w:val="20"/>
          <w:szCs w:val="20"/>
        </w:rPr>
        <w:footnoteReference w:id="110"/>
      </w:r>
      <w:r w:rsidRPr="00026D1B">
        <w:rPr>
          <w:rFonts w:ascii="Verdana" w:hAnsi="Verdana"/>
          <w:sz w:val="20"/>
          <w:szCs w:val="20"/>
        </w:rPr>
        <w:t>. Estimo que el Tribunal Interamericano pudo haber entrado al análisis de dicho peritaje —entre otras pruebas aportadas</w:t>
      </w:r>
      <w:r w:rsidRPr="00026D1B">
        <w:rPr>
          <w:rStyle w:val="FootnoteReference"/>
          <w:rFonts w:ascii="Verdana" w:hAnsi="Verdana"/>
          <w:sz w:val="20"/>
          <w:szCs w:val="20"/>
        </w:rPr>
        <w:footnoteReference w:id="111"/>
      </w:r>
      <w:r w:rsidRPr="00026D1B">
        <w:rPr>
          <w:rFonts w:ascii="Verdana" w:hAnsi="Verdana"/>
          <w:sz w:val="20"/>
          <w:szCs w:val="20"/>
        </w:rPr>
        <w:t>— para precisamente estar en posibilidad de determinar la efectiva vulneración de la propiedad de los accionistas de RCTV, precisamente por el daño causado al valor de las acciones cuya titularidad ostentan los accionistas. Lo anterior en el entendido de que una vez levantado el velo corporativo de una empresa, eventualmente se arriba a la existencia de accionistas que son personas naturales y que forman parte de la empresa a título individual o a través de otras empresas de su propiedad.</w:t>
      </w:r>
    </w:p>
    <w:p w14:paraId="0A84B446" w14:textId="77777777" w:rsidR="004731B1" w:rsidRPr="00026D1B" w:rsidRDefault="004731B1" w:rsidP="00E647CB">
      <w:pPr>
        <w:spacing w:after="0" w:line="240" w:lineRule="auto"/>
        <w:jc w:val="both"/>
        <w:rPr>
          <w:rFonts w:ascii="Verdana" w:hAnsi="Verdana"/>
          <w:sz w:val="20"/>
          <w:szCs w:val="20"/>
        </w:rPr>
      </w:pPr>
    </w:p>
    <w:p w14:paraId="20049F9F" w14:textId="77777777" w:rsidR="004731B1" w:rsidRDefault="004731B1" w:rsidP="001D13C2">
      <w:pPr>
        <w:spacing w:after="120" w:line="240" w:lineRule="auto"/>
        <w:jc w:val="both"/>
        <w:rPr>
          <w:rFonts w:ascii="Verdana" w:hAnsi="Verdana"/>
          <w:sz w:val="20"/>
          <w:szCs w:val="20"/>
        </w:rPr>
      </w:pPr>
      <w:r w:rsidRPr="00026D1B">
        <w:rPr>
          <w:rFonts w:ascii="Verdana" w:hAnsi="Verdana"/>
          <w:sz w:val="20"/>
          <w:szCs w:val="20"/>
        </w:rPr>
        <w:t xml:space="preserve">99. </w:t>
      </w:r>
      <w:r w:rsidRPr="00026D1B">
        <w:rPr>
          <w:rFonts w:ascii="Verdana" w:hAnsi="Verdana"/>
          <w:sz w:val="20"/>
          <w:szCs w:val="20"/>
        </w:rPr>
        <w:tab/>
        <w:t>En suma, ni el argumento sobre la no interferencia por el Estado en los derechos de los accionistas, desconociéndose el título sobre la acción como medio para ejercitar esos derechos, ni la dificultad de determinar las afectaciones por la complejidad de la estructura accionaria de RCTV, resultan suficientes para negar la protección del derecho a la propiedad por la pérdida del valor de las acciones en el presente caso.</w:t>
      </w:r>
    </w:p>
    <w:p w14:paraId="77442E59" w14:textId="77777777" w:rsidR="001D13C2" w:rsidRPr="00026D1B" w:rsidRDefault="001D13C2" w:rsidP="001D13C2">
      <w:pPr>
        <w:spacing w:after="120" w:line="240" w:lineRule="auto"/>
        <w:jc w:val="both"/>
        <w:rPr>
          <w:rFonts w:ascii="Verdana" w:hAnsi="Verdana"/>
          <w:sz w:val="20"/>
          <w:szCs w:val="20"/>
        </w:rPr>
      </w:pPr>
    </w:p>
    <w:p w14:paraId="7D723120" w14:textId="77777777" w:rsidR="004731B1" w:rsidRPr="00026D1B" w:rsidRDefault="004731B1" w:rsidP="001D13C2">
      <w:pPr>
        <w:spacing w:after="120" w:line="240" w:lineRule="auto"/>
        <w:jc w:val="both"/>
        <w:rPr>
          <w:rFonts w:ascii="Verdana" w:hAnsi="Verdana"/>
          <w:b/>
          <w:i/>
          <w:sz w:val="20"/>
          <w:szCs w:val="20"/>
        </w:rPr>
      </w:pPr>
      <w:r w:rsidRPr="00026D1B">
        <w:rPr>
          <w:rFonts w:ascii="Verdana" w:hAnsi="Verdana"/>
          <w:b/>
          <w:i/>
          <w:sz w:val="20"/>
          <w:szCs w:val="20"/>
        </w:rPr>
        <w:t>III.B. Medida Cautelar impuesta por la Sala Constitucional del Tribunal Superior de Justicia para incautar los bienes de RCTV y la consecuente afectación al derecho a la propiedad de sus accionistas</w:t>
      </w:r>
    </w:p>
    <w:p w14:paraId="20D385DF"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100. </w:t>
      </w:r>
      <w:r w:rsidRPr="00026D1B">
        <w:rPr>
          <w:rFonts w:ascii="Verdana" w:hAnsi="Verdana"/>
          <w:sz w:val="20"/>
          <w:szCs w:val="20"/>
        </w:rPr>
        <w:tab/>
        <w:t>El artículo 21.2 dispone que “</w:t>
      </w:r>
      <w:r w:rsidRPr="006F2A55">
        <w:rPr>
          <w:rFonts w:ascii="Verdana" w:hAnsi="Verdana"/>
          <w:sz w:val="20"/>
          <w:szCs w:val="20"/>
        </w:rPr>
        <w:t>ninguna</w:t>
      </w:r>
      <w:r w:rsidRPr="00026D1B">
        <w:rPr>
          <w:rFonts w:ascii="Verdana" w:hAnsi="Verdana"/>
          <w:sz w:val="20"/>
          <w:szCs w:val="20"/>
        </w:rPr>
        <w:t xml:space="preserve"> </w:t>
      </w:r>
      <w:r w:rsidRPr="006F2A55">
        <w:rPr>
          <w:rFonts w:ascii="Verdana" w:hAnsi="Verdana"/>
          <w:sz w:val="20"/>
          <w:szCs w:val="20"/>
        </w:rPr>
        <w:t>persona puede ser privada de sus bienes, excepto mediante pago de indemnización justa, por razones de utilidad pública o de interés social y en los casos y según las formas establecidas por la ley”</w:t>
      </w:r>
      <w:r w:rsidRPr="00026D1B">
        <w:rPr>
          <w:rFonts w:ascii="Verdana" w:hAnsi="Verdana"/>
          <w:sz w:val="20"/>
          <w:szCs w:val="20"/>
        </w:rPr>
        <w:t>. Así, “[e]l derecho a la propiedad privada debe ser entendido dentro del contexto de una sociedad democrática donde[,] para la prevalencia del bien común y los derechos colectivos[,] deben existir medidas proporcionales que garanticen los derechos individuales”</w:t>
      </w:r>
      <w:r w:rsidRPr="00026D1B">
        <w:rPr>
          <w:rStyle w:val="FootnoteReference"/>
          <w:rFonts w:ascii="Verdana" w:hAnsi="Verdana"/>
          <w:sz w:val="20"/>
          <w:szCs w:val="20"/>
        </w:rPr>
        <w:footnoteReference w:id="112"/>
      </w:r>
      <w:r w:rsidRPr="00026D1B">
        <w:rPr>
          <w:rFonts w:ascii="Verdana" w:hAnsi="Verdana"/>
          <w:sz w:val="20"/>
          <w:szCs w:val="20"/>
        </w:rPr>
        <w:t xml:space="preserve">. </w:t>
      </w:r>
    </w:p>
    <w:p w14:paraId="6DC38F8E" w14:textId="77777777" w:rsidR="004731B1" w:rsidRPr="00026D1B" w:rsidRDefault="004731B1" w:rsidP="00E647CB">
      <w:pPr>
        <w:pStyle w:val="ListParagraph"/>
        <w:tabs>
          <w:tab w:val="left" w:pos="709"/>
          <w:tab w:val="left" w:pos="851"/>
        </w:tabs>
        <w:spacing w:line="240" w:lineRule="auto"/>
        <w:ind w:left="0"/>
        <w:jc w:val="both"/>
        <w:rPr>
          <w:rFonts w:ascii="Verdana" w:hAnsi="Verdana"/>
          <w:b/>
          <w:sz w:val="20"/>
          <w:szCs w:val="20"/>
        </w:rPr>
      </w:pPr>
    </w:p>
    <w:p w14:paraId="026728BC" w14:textId="77777777" w:rsidR="004731B1" w:rsidRPr="00026D1B" w:rsidRDefault="004731B1" w:rsidP="00F92162">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101. </w:t>
      </w:r>
      <w:r w:rsidRPr="00026D1B">
        <w:rPr>
          <w:rFonts w:ascii="Verdana" w:hAnsi="Verdana"/>
          <w:sz w:val="20"/>
          <w:szCs w:val="20"/>
        </w:rPr>
        <w:tab/>
        <w:t>“La función social de la propiedad es un elemento fundamental para el funcionamiento de la misma, y es por ello que el Estado, a fin de garantizar otros derechos fundamentales de vital relevancia para una sociedad específica, puede limitar o restringir el derecho a la propiedad privada, respetando siempre los supuestos contenidos en la norma del artículo 21 de la Convención, y los principios generales del derecho internacional”</w:t>
      </w:r>
      <w:r w:rsidRPr="00026D1B">
        <w:rPr>
          <w:rStyle w:val="FootnoteReference"/>
          <w:rFonts w:ascii="Verdana" w:hAnsi="Verdana"/>
          <w:sz w:val="20"/>
          <w:szCs w:val="20"/>
        </w:rPr>
        <w:footnoteReference w:id="113"/>
      </w:r>
      <w:r w:rsidRPr="00026D1B">
        <w:rPr>
          <w:rFonts w:ascii="Verdana" w:hAnsi="Verdana"/>
          <w:sz w:val="20"/>
          <w:szCs w:val="20"/>
        </w:rPr>
        <w:t>.</w:t>
      </w:r>
    </w:p>
    <w:p w14:paraId="4A92685F" w14:textId="77777777" w:rsidR="004731B1" w:rsidRPr="00026D1B" w:rsidRDefault="004731B1" w:rsidP="008F1A5B">
      <w:pPr>
        <w:pStyle w:val="ListParagraph"/>
        <w:tabs>
          <w:tab w:val="left" w:pos="709"/>
          <w:tab w:val="left" w:pos="851"/>
        </w:tabs>
        <w:spacing w:line="240" w:lineRule="auto"/>
        <w:ind w:left="0"/>
        <w:jc w:val="both"/>
        <w:rPr>
          <w:rFonts w:ascii="Verdana" w:hAnsi="Verdana"/>
          <w:b/>
          <w:sz w:val="20"/>
          <w:szCs w:val="20"/>
        </w:rPr>
      </w:pPr>
    </w:p>
    <w:p w14:paraId="6DBAE791" w14:textId="77777777" w:rsidR="004731B1" w:rsidRPr="00026D1B" w:rsidRDefault="004731B1" w:rsidP="00F92162">
      <w:pPr>
        <w:pStyle w:val="ListParagraph"/>
        <w:tabs>
          <w:tab w:val="left" w:pos="709"/>
        </w:tabs>
        <w:spacing w:line="240" w:lineRule="auto"/>
        <w:ind w:left="0"/>
        <w:jc w:val="both"/>
        <w:rPr>
          <w:rFonts w:ascii="Verdana" w:hAnsi="Verdana"/>
          <w:b/>
          <w:sz w:val="20"/>
          <w:szCs w:val="20"/>
        </w:rPr>
      </w:pPr>
      <w:r w:rsidRPr="00026D1B">
        <w:rPr>
          <w:rFonts w:ascii="Verdana" w:hAnsi="Verdana"/>
          <w:sz w:val="20"/>
          <w:szCs w:val="20"/>
        </w:rPr>
        <w:t xml:space="preserve">102. </w:t>
      </w:r>
      <w:r w:rsidRPr="00026D1B">
        <w:rPr>
          <w:rFonts w:ascii="Verdana" w:hAnsi="Verdana"/>
          <w:sz w:val="20"/>
          <w:szCs w:val="20"/>
        </w:rPr>
        <w:tab/>
        <w:t xml:space="preserve">La Corte IDH ha considerado que la adopción de medidas cautelares en la jurisdicción interna no constituye, </w:t>
      </w:r>
      <w:r w:rsidRPr="00026D1B">
        <w:rPr>
          <w:rFonts w:ascii="Verdana" w:hAnsi="Verdana"/>
          <w:i/>
          <w:sz w:val="20"/>
          <w:szCs w:val="20"/>
        </w:rPr>
        <w:t xml:space="preserve">per se, </w:t>
      </w:r>
      <w:r w:rsidRPr="00026D1B">
        <w:rPr>
          <w:rFonts w:ascii="Verdana" w:hAnsi="Verdana"/>
          <w:sz w:val="20"/>
          <w:szCs w:val="20"/>
        </w:rPr>
        <w:t xml:space="preserve">una violación del derecho a la propiedad; aun y cuando sí constituyan una limitación a dicho derecho, en la medida que afectan la facultad de las personas de disponer libremente de sus bienes, puesto que no significan un traslado de la titularidad de dicho dominio. Asimismo, “la disposición de los bienes no puede efectuarse en forma definitiva y [debe] restringir[se] exclusivamente a su administración y </w:t>
      </w:r>
      <w:r w:rsidRPr="00026D1B">
        <w:rPr>
          <w:rFonts w:ascii="Verdana" w:hAnsi="Verdana"/>
          <w:sz w:val="20"/>
          <w:szCs w:val="20"/>
        </w:rPr>
        <w:lastRenderedPageBreak/>
        <w:t>conservación”</w:t>
      </w:r>
      <w:r w:rsidRPr="00026D1B">
        <w:rPr>
          <w:rStyle w:val="FootnoteReference"/>
          <w:rFonts w:ascii="Verdana" w:hAnsi="Verdana"/>
          <w:sz w:val="20"/>
          <w:szCs w:val="20"/>
        </w:rPr>
        <w:footnoteReference w:id="114"/>
      </w:r>
      <w:r w:rsidRPr="00026D1B">
        <w:rPr>
          <w:rFonts w:ascii="Verdana" w:hAnsi="Verdana"/>
          <w:i/>
          <w:sz w:val="20"/>
          <w:szCs w:val="20"/>
        </w:rPr>
        <w:t>.</w:t>
      </w:r>
      <w:r w:rsidRPr="00026D1B">
        <w:rPr>
          <w:rFonts w:ascii="Verdana" w:hAnsi="Verdana"/>
          <w:b/>
          <w:sz w:val="20"/>
          <w:szCs w:val="20"/>
        </w:rPr>
        <w:t xml:space="preserve"> </w:t>
      </w:r>
      <w:r w:rsidRPr="00026D1B">
        <w:rPr>
          <w:rFonts w:ascii="Verdana" w:hAnsi="Verdana"/>
          <w:sz w:val="20"/>
          <w:szCs w:val="20"/>
        </w:rPr>
        <w:t xml:space="preserve">Es decir, de presentarse cualquier otro supuesto, se constituirá una violación al derecho a la propiedad. </w:t>
      </w:r>
    </w:p>
    <w:p w14:paraId="36529B77"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1A22EC64"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cs="Times New Roman"/>
          <w:sz w:val="20"/>
          <w:szCs w:val="20"/>
          <w:lang w:val="es-ES_tradnl" w:eastAsia="es-ES"/>
        </w:rPr>
        <w:t xml:space="preserve">103. </w:t>
      </w:r>
      <w:r w:rsidRPr="00026D1B">
        <w:rPr>
          <w:rFonts w:ascii="Verdana" w:hAnsi="Verdana" w:cs="Times New Roman"/>
          <w:sz w:val="20"/>
          <w:szCs w:val="20"/>
          <w:lang w:val="es-ES_tradnl" w:eastAsia="es-ES"/>
        </w:rPr>
        <w:tab/>
        <w:t xml:space="preserve">En consonancia con lo anterior, “siempre y cuando exista una debida justificación para adoptar estas medidas, la correspondiente afectación que se genera al poder de disposición sobre los bienes no constituye[,] en sí misma[,] una vulneración del derecho a la propiedad. Por ello, la Corte [IDH ha] </w:t>
      </w:r>
      <w:proofErr w:type="spellStart"/>
      <w:r w:rsidRPr="00026D1B">
        <w:rPr>
          <w:rFonts w:ascii="Verdana" w:hAnsi="Verdana" w:cs="Times New Roman"/>
          <w:sz w:val="20"/>
          <w:szCs w:val="20"/>
          <w:lang w:val="es-ES_tradnl" w:eastAsia="es-ES"/>
        </w:rPr>
        <w:t>consider</w:t>
      </w:r>
      <w:proofErr w:type="spellEnd"/>
      <w:r w:rsidRPr="00026D1B">
        <w:rPr>
          <w:rFonts w:ascii="Verdana" w:hAnsi="Verdana" w:cs="Times New Roman"/>
          <w:sz w:val="20"/>
          <w:szCs w:val="20"/>
          <w:lang w:val="es-ES_tradnl" w:eastAsia="es-ES"/>
        </w:rPr>
        <w:t>[</w:t>
      </w:r>
      <w:proofErr w:type="spellStart"/>
      <w:r w:rsidRPr="00026D1B">
        <w:rPr>
          <w:rFonts w:ascii="Verdana" w:hAnsi="Verdana" w:cs="Times New Roman"/>
          <w:sz w:val="20"/>
          <w:szCs w:val="20"/>
          <w:lang w:val="es-ES_tradnl" w:eastAsia="es-ES"/>
        </w:rPr>
        <w:t>ado</w:t>
      </w:r>
      <w:proofErr w:type="spellEnd"/>
      <w:r w:rsidRPr="00026D1B">
        <w:rPr>
          <w:rFonts w:ascii="Verdana" w:hAnsi="Verdana" w:cs="Times New Roman"/>
          <w:sz w:val="20"/>
          <w:szCs w:val="20"/>
          <w:lang w:val="es-ES_tradnl" w:eastAsia="es-ES"/>
        </w:rPr>
        <w:t>] que la finalidad que cumplen estas medidas es acorde con la Convención Americana y su existencia no es contraria a lo consagrado en el artículo 21 en consonancia con el artículo 2 de la misma”</w:t>
      </w:r>
      <w:r w:rsidRPr="00026D1B">
        <w:rPr>
          <w:rStyle w:val="FootnoteReference"/>
          <w:rFonts w:ascii="Verdana" w:hAnsi="Verdana" w:cs="Times New Roman"/>
          <w:sz w:val="20"/>
          <w:szCs w:val="20"/>
          <w:lang w:val="es-ES_tradnl" w:eastAsia="es-ES"/>
        </w:rPr>
        <w:footnoteReference w:id="115"/>
      </w:r>
      <w:r w:rsidRPr="00026D1B">
        <w:rPr>
          <w:rFonts w:ascii="Verdana" w:hAnsi="Verdana" w:cs="Times New Roman"/>
          <w:sz w:val="20"/>
          <w:szCs w:val="20"/>
          <w:lang w:val="es-ES_tradnl" w:eastAsia="es-ES"/>
        </w:rPr>
        <w:t xml:space="preserve">. </w:t>
      </w:r>
    </w:p>
    <w:p w14:paraId="48D368BB"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7165B4CF"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104. </w:t>
      </w:r>
      <w:r w:rsidRPr="00026D1B">
        <w:rPr>
          <w:rFonts w:ascii="Verdana" w:hAnsi="Verdana"/>
          <w:sz w:val="20"/>
          <w:szCs w:val="20"/>
        </w:rPr>
        <w:tab/>
        <w:t>“[E]l derecho a la propiedad no es un derecho absoluto, pues en el artículo 21.2 de la Convención se establece que para que la privación de los bienes de una persona sea compatible con el derecho a la propiedad debe fundarse en razones de utilidad pública o de interés social, sujetarse al pago de una justa indemnización, practicarse según los casos y las formas establecidas por la ley y efectuarse de conformidad con la Convención”</w:t>
      </w:r>
      <w:r w:rsidRPr="00026D1B">
        <w:rPr>
          <w:rStyle w:val="FootnoteReference"/>
          <w:rFonts w:ascii="Verdana" w:hAnsi="Verdana"/>
          <w:sz w:val="20"/>
          <w:szCs w:val="20"/>
        </w:rPr>
        <w:t xml:space="preserve"> </w:t>
      </w:r>
      <w:r w:rsidRPr="00026D1B">
        <w:rPr>
          <w:rStyle w:val="FootnoteReference"/>
          <w:rFonts w:ascii="Verdana" w:hAnsi="Verdana"/>
          <w:sz w:val="20"/>
          <w:szCs w:val="20"/>
        </w:rPr>
        <w:footnoteReference w:id="116"/>
      </w:r>
      <w:r w:rsidRPr="00026D1B">
        <w:rPr>
          <w:rFonts w:ascii="Verdana" w:hAnsi="Verdana"/>
          <w:sz w:val="20"/>
          <w:szCs w:val="20"/>
        </w:rPr>
        <w:t>. Sin embargo, sobre las limitaciones al derecho de propiedad permitidas por la Convención, este Tribunal Interamericano ha señalado que “la restricción de los derechos consagrados en la Convención debe ser proporcional al interés de la justicia y ajustarse estrechamente al logro de ese objetivo, interfiriendo en la menor medida posible en el efectivo ejercicio de [un] derecho […]”</w:t>
      </w:r>
      <w:r w:rsidRPr="00026D1B">
        <w:rPr>
          <w:rStyle w:val="FootnoteReference"/>
          <w:rFonts w:ascii="Verdana" w:hAnsi="Verdana"/>
          <w:sz w:val="20"/>
          <w:szCs w:val="20"/>
        </w:rPr>
        <w:footnoteReference w:id="117"/>
      </w:r>
      <w:r w:rsidRPr="00026D1B">
        <w:rPr>
          <w:rFonts w:ascii="Verdana" w:hAnsi="Verdana"/>
          <w:sz w:val="20"/>
          <w:szCs w:val="20"/>
        </w:rPr>
        <w:t xml:space="preserve">. </w:t>
      </w:r>
    </w:p>
    <w:p w14:paraId="65D65219" w14:textId="77777777" w:rsidR="004731B1" w:rsidRPr="00026D1B" w:rsidRDefault="004731B1" w:rsidP="008F1A5B">
      <w:pPr>
        <w:pStyle w:val="ListParagraph"/>
        <w:tabs>
          <w:tab w:val="left" w:pos="709"/>
          <w:tab w:val="left" w:pos="851"/>
        </w:tabs>
        <w:spacing w:line="240" w:lineRule="auto"/>
        <w:ind w:left="0"/>
        <w:jc w:val="both"/>
        <w:rPr>
          <w:rFonts w:ascii="Verdana" w:hAnsi="Verdana"/>
          <w:b/>
          <w:sz w:val="20"/>
          <w:szCs w:val="20"/>
        </w:rPr>
      </w:pPr>
    </w:p>
    <w:p w14:paraId="6A186E4F"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105. </w:t>
      </w:r>
      <w:r w:rsidRPr="00026D1B">
        <w:rPr>
          <w:rFonts w:ascii="Verdana" w:hAnsi="Verdana"/>
          <w:sz w:val="20"/>
          <w:szCs w:val="20"/>
        </w:rPr>
        <w:tab/>
      </w:r>
      <w:r w:rsidRPr="00026D1B">
        <w:rPr>
          <w:rFonts w:ascii="Verdana" w:hAnsi="Verdana"/>
          <w:sz w:val="20"/>
          <w:szCs w:val="20"/>
        </w:rPr>
        <w:tab/>
        <w:t>La Corte IDH ha enunciado que, “a fin de que el Estado pueda satisfacer legítimamente un interés social y encontrar un justo equilibrio con el interés del particular, debe utilizar los medios proporcionales a fin de vulnerar en la menor medida el derecho a la propiedad de la persona objeto de la restricción. En este sentido, el Tribunal [Interamericano] considera que en el marco de una privación al derecho a la propiedad privada, en específico en el caso de una expropiación, dicha restricción demanda el cumplimiento y fiel ejercicio de requerimientos o exigencias que ya se encuentran consagradas en el artículo 21.2 de la Convención”</w:t>
      </w:r>
      <w:r w:rsidRPr="00026D1B">
        <w:rPr>
          <w:rStyle w:val="FootnoteReference"/>
          <w:rFonts w:ascii="Verdana" w:hAnsi="Verdana"/>
          <w:sz w:val="20"/>
          <w:szCs w:val="20"/>
        </w:rPr>
        <w:footnoteReference w:id="118"/>
      </w:r>
      <w:r w:rsidRPr="00026D1B">
        <w:rPr>
          <w:rFonts w:ascii="Verdana" w:hAnsi="Verdana"/>
          <w:sz w:val="20"/>
          <w:szCs w:val="20"/>
        </w:rPr>
        <w:t>.</w:t>
      </w:r>
    </w:p>
    <w:p w14:paraId="464CB5C0"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07E5538E"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106. </w:t>
      </w:r>
      <w:r w:rsidRPr="00026D1B">
        <w:rPr>
          <w:rFonts w:ascii="Verdana" w:hAnsi="Verdana"/>
          <w:sz w:val="20"/>
          <w:szCs w:val="20"/>
        </w:rPr>
        <w:tab/>
      </w:r>
      <w:r w:rsidRPr="00026D1B">
        <w:rPr>
          <w:rFonts w:ascii="Verdana" w:hAnsi="Verdana"/>
          <w:sz w:val="20"/>
          <w:szCs w:val="20"/>
        </w:rPr>
        <w:tab/>
        <w:t>“Las razones de utilidad pública e interés social a que se refiere la Convención comprenden todos aquellos bienes que por el uso a que serán destinados, permitan el mejor desarrollo de una sociedad democrática. Para tal efecto, los Estados deberán emplear todos los medios a su alcance para afectar en menor medida otros derechos, y por tanto asumir las obligaciones que esto conlleve de acuerdo a la Convención”</w:t>
      </w:r>
      <w:r w:rsidRPr="00026D1B">
        <w:rPr>
          <w:rStyle w:val="FootnoteReference"/>
          <w:rFonts w:ascii="Verdana" w:hAnsi="Verdana"/>
          <w:sz w:val="20"/>
          <w:szCs w:val="20"/>
        </w:rPr>
        <w:footnoteReference w:id="119"/>
      </w:r>
      <w:r w:rsidRPr="00026D1B">
        <w:rPr>
          <w:rFonts w:ascii="Verdana" w:hAnsi="Verdana"/>
          <w:sz w:val="20"/>
          <w:szCs w:val="20"/>
        </w:rPr>
        <w:t>.</w:t>
      </w:r>
    </w:p>
    <w:p w14:paraId="03C32909"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7109E574"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107. </w:t>
      </w:r>
      <w:r w:rsidRPr="00026D1B">
        <w:rPr>
          <w:rFonts w:ascii="Verdana" w:hAnsi="Verdana"/>
          <w:sz w:val="20"/>
          <w:szCs w:val="20"/>
        </w:rPr>
        <w:tab/>
      </w:r>
      <w:r w:rsidRPr="00026D1B">
        <w:rPr>
          <w:rFonts w:ascii="Verdana" w:hAnsi="Verdana"/>
          <w:sz w:val="20"/>
          <w:szCs w:val="20"/>
        </w:rPr>
        <w:tab/>
        <w:t xml:space="preserve">“De manera análoga al interés social, esta Corte [IDH] ha interpretado el alcance de las razones de interés general comprendido en el artículo 30 de la Convención Americana (alcance de las restricciones), al señalar que [e]l requisito según [el] cual las leyes han de ser dictadas por razones de interés general significa que deben haber sido adoptadas en función del ‘bien común’ (art[ículo] 32.2 [de la Convención]), concepto que ha de interpretarse como elemento integrante del orden público del Estado democrático, cuyo fin </w:t>
      </w:r>
      <w:r w:rsidRPr="00026D1B">
        <w:rPr>
          <w:rFonts w:ascii="Verdana" w:hAnsi="Verdana"/>
          <w:sz w:val="20"/>
          <w:szCs w:val="20"/>
        </w:rPr>
        <w:lastRenderedPageBreak/>
        <w:t>principal es ‘la protección de los derechos esenciales del hombre y la creación de circunstancias que le permitan progresar espiritual y materialmente y alcanzar la felicidad’”</w:t>
      </w:r>
      <w:r w:rsidRPr="00026D1B">
        <w:rPr>
          <w:rStyle w:val="FootnoteReference"/>
          <w:rFonts w:ascii="Verdana" w:hAnsi="Verdana"/>
          <w:sz w:val="20"/>
          <w:szCs w:val="20"/>
        </w:rPr>
        <w:footnoteReference w:id="120"/>
      </w:r>
      <w:r w:rsidRPr="00026D1B">
        <w:rPr>
          <w:rFonts w:ascii="Verdana" w:hAnsi="Verdana"/>
          <w:sz w:val="20"/>
          <w:szCs w:val="20"/>
        </w:rPr>
        <w:t xml:space="preserve">. </w:t>
      </w:r>
    </w:p>
    <w:p w14:paraId="23B49345"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618288EB"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108. </w:t>
      </w:r>
      <w:r w:rsidRPr="00026D1B">
        <w:rPr>
          <w:rFonts w:ascii="Verdana" w:hAnsi="Verdana"/>
          <w:sz w:val="20"/>
          <w:szCs w:val="20"/>
        </w:rPr>
        <w:tab/>
      </w:r>
      <w:r w:rsidRPr="00026D1B">
        <w:rPr>
          <w:rFonts w:ascii="Verdana" w:hAnsi="Verdana"/>
          <w:sz w:val="20"/>
          <w:szCs w:val="20"/>
        </w:rPr>
        <w:tab/>
        <w:t>“Asimismo, este Tribunal [Interamericano] ha señalado que los conceptos de ‘orden público’ o el ‘bien común’, derivados del interés general, en cuanto se invoquen como fundamento de limitaciones a los derechos humanos, deben ser objeto de una interpretación estrictamente ceñida a las ‘justas exigencias’ de ‘una sociedad democrática’ que tenga en cuenta el equilibrio entre los distintos intereses en juego y la necesidad de preservar el objeto y fin de la Convención”</w:t>
      </w:r>
      <w:r w:rsidRPr="00026D1B">
        <w:rPr>
          <w:rStyle w:val="FootnoteReference"/>
          <w:rFonts w:ascii="Verdana" w:hAnsi="Verdana"/>
          <w:sz w:val="20"/>
          <w:szCs w:val="20"/>
        </w:rPr>
        <w:footnoteReference w:id="121"/>
      </w:r>
      <w:r w:rsidRPr="00026D1B">
        <w:rPr>
          <w:rFonts w:ascii="Verdana" w:hAnsi="Verdana"/>
          <w:sz w:val="20"/>
          <w:szCs w:val="20"/>
        </w:rPr>
        <w:t>.</w:t>
      </w:r>
    </w:p>
    <w:p w14:paraId="67CB8AD1"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06995FE7"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109. </w:t>
      </w:r>
      <w:r w:rsidRPr="00026D1B">
        <w:rPr>
          <w:rFonts w:ascii="Verdana" w:hAnsi="Verdana"/>
          <w:sz w:val="20"/>
          <w:szCs w:val="20"/>
        </w:rPr>
        <w:tab/>
      </w:r>
      <w:r w:rsidRPr="00026D1B">
        <w:rPr>
          <w:rFonts w:ascii="Verdana" w:hAnsi="Verdana"/>
          <w:sz w:val="20"/>
          <w:szCs w:val="20"/>
        </w:rPr>
        <w:tab/>
        <w:t>Así, “[e]l artículo 21.2 de la Convención Americana expresamente señala[,] como requisito para poder llevar a cabo una privación de la propiedad[,] el pago de una justa indemnización […] Al respecto, el Tribunal [Interamericano ha] estima[do] que en casos de expropiación el pago de una indemnización constituye un principio general del derecho internacional, el cual deriva de la necesidad de buscar un equilibrio entre el interés general y el del propietario. Dicho principio ha sido recogido en la Convención Americana en su artículo 21, al referirse al pago de una ‘justa indemnización’. Esta Corte [IDH ha] considera[do] que[,] para alcanzar el pago de una justa indemnización[,] ésta debe ser adecuada, pronta y efectiva”</w:t>
      </w:r>
      <w:r w:rsidRPr="00026D1B">
        <w:rPr>
          <w:rStyle w:val="FootnoteReference"/>
          <w:rFonts w:ascii="Verdana" w:hAnsi="Verdana"/>
          <w:sz w:val="20"/>
          <w:szCs w:val="20"/>
        </w:rPr>
        <w:footnoteReference w:id="122"/>
      </w:r>
      <w:r w:rsidRPr="00026D1B">
        <w:rPr>
          <w:rFonts w:ascii="Verdana" w:hAnsi="Verdana"/>
          <w:sz w:val="20"/>
          <w:szCs w:val="20"/>
        </w:rPr>
        <w:t xml:space="preserve">. </w:t>
      </w:r>
    </w:p>
    <w:p w14:paraId="4500CA94"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4A68694E"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110. </w:t>
      </w:r>
      <w:r w:rsidRPr="00026D1B">
        <w:rPr>
          <w:rFonts w:ascii="Verdana" w:hAnsi="Verdana"/>
          <w:sz w:val="20"/>
          <w:szCs w:val="20"/>
        </w:rPr>
        <w:tab/>
      </w:r>
      <w:r w:rsidRPr="00026D1B">
        <w:rPr>
          <w:rFonts w:ascii="Verdana" w:hAnsi="Verdana"/>
          <w:sz w:val="20"/>
          <w:szCs w:val="20"/>
        </w:rPr>
        <w:tab/>
        <w:t>“En este sentido, [el Tribunal] Europe[o] de Derechos Humanos ha interpretado la norma contenida en el artículo 1º del Protocolo No. 1, considerando que existe un derecho intrínseco a recibir una indemnización por la privación de la propiedad. Asimismo, la Asamblea General de la Organización de las Naciones Unidas[,] mediante Resolución No. 1803[,] señaló que[,] dentro del marco de la soberanía de un Estado[,] para la expropiación por causas de utilidad pública se encuentra el deber de éste de pagar al dueño la compensación apropiada. Más aún, el principio según el cual es exigible la indemnización en caso de expropiación ha sido reafirmado por la jurisprudencia internacional”</w:t>
      </w:r>
      <w:r w:rsidRPr="00026D1B">
        <w:rPr>
          <w:rStyle w:val="FootnoteReference"/>
          <w:rFonts w:ascii="Verdana" w:hAnsi="Verdana"/>
          <w:sz w:val="20"/>
          <w:szCs w:val="20"/>
        </w:rPr>
        <w:footnoteReference w:id="123"/>
      </w:r>
      <w:r w:rsidRPr="00026D1B">
        <w:rPr>
          <w:rFonts w:ascii="Verdana" w:hAnsi="Verdana"/>
          <w:sz w:val="20"/>
          <w:szCs w:val="20"/>
        </w:rPr>
        <w:t xml:space="preserve">. </w:t>
      </w:r>
    </w:p>
    <w:p w14:paraId="229CB180"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70523F02"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111. </w:t>
      </w:r>
      <w:r w:rsidRPr="00026D1B">
        <w:rPr>
          <w:rFonts w:ascii="Verdana" w:hAnsi="Verdana"/>
          <w:sz w:val="20"/>
          <w:szCs w:val="20"/>
        </w:rPr>
        <w:tab/>
      </w:r>
      <w:r w:rsidRPr="00026D1B">
        <w:rPr>
          <w:rFonts w:ascii="Verdana" w:hAnsi="Verdana"/>
          <w:sz w:val="20"/>
          <w:szCs w:val="20"/>
        </w:rPr>
        <w:tab/>
        <w:t>Adicionalmente, la Corte IDH ha establecido que “no [solo] debe limitarse a examinar únicamente si se produjo una desposesión o una expropiación formal, sino que debe […] comprobar, más allá de la apariencia, cual fue la situación real detrás de la situación denunciada”</w:t>
      </w:r>
      <w:r w:rsidRPr="00026D1B">
        <w:rPr>
          <w:rStyle w:val="FootnoteReference"/>
          <w:rFonts w:ascii="Verdana" w:hAnsi="Verdana"/>
          <w:sz w:val="20"/>
          <w:szCs w:val="20"/>
        </w:rPr>
        <w:footnoteReference w:id="124"/>
      </w:r>
      <w:r w:rsidRPr="00026D1B">
        <w:rPr>
          <w:rFonts w:ascii="Verdana" w:hAnsi="Verdana"/>
          <w:sz w:val="20"/>
          <w:szCs w:val="20"/>
        </w:rPr>
        <w:t xml:space="preserve">. </w:t>
      </w:r>
    </w:p>
    <w:p w14:paraId="1E4822D2"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506C85C4"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lastRenderedPageBreak/>
        <w:t xml:space="preserve">112. </w:t>
      </w:r>
      <w:r w:rsidRPr="00026D1B">
        <w:rPr>
          <w:rFonts w:ascii="Verdana" w:hAnsi="Verdana"/>
          <w:sz w:val="20"/>
          <w:szCs w:val="20"/>
        </w:rPr>
        <w:tab/>
      </w:r>
      <w:r w:rsidRPr="00026D1B">
        <w:rPr>
          <w:rFonts w:ascii="Verdana" w:hAnsi="Verdana"/>
          <w:sz w:val="20"/>
          <w:szCs w:val="20"/>
        </w:rPr>
        <w:tab/>
        <w:t>En el presente caso, “[e]l 22 de mayo de 2007, los representantes de los comités de usuarios y usuarias ‘José Leona Chirinos’, ‘Satélite Popular’, ‘27 de Febrero’, ‘Frabricio Ojeda’ , ‘Josefa Camejo’, ‘Observación’, ‘Yaracoop’, ‘Yurikli”, ‘La Voz que se Ve’, ‘Ojo Visor’, ‘AIPO’ y el CTI Casa de Alimentación y la Radio Comunitaria San Bernardino [ejercieron] ante la Sala Constitucional del Tribunal Supremo de Justicia […] una acción de amparo constitucional, [propuesta] conjuntamente con una medida cautelar innominada, contra el MINCI, MPPTI y la Fundación Televisora Venezolana Social ([…] TVes)[. L]os demandantes alegaron que la nueva [televisora, TVes, que ocuparía el] espectro [de] RCTV, no contaba con los equipos de infraestructura de transmisión y repetición necesarios para garantizar la cobertura nacional de sus transmisiones[, por lo que le] solicitaron [a] la Sala Constitucional […] medidas cautelares [que le] permiti[eran] a TVes, [acceder,] de manera temporal[, al] uso y operación de la plataforma que estaba siendo utilizada por RCTV[,] independientemente de sus propietarios o poseedores</w:t>
      </w:r>
      <w:r w:rsidRPr="00026D1B">
        <w:rPr>
          <w:rStyle w:val="FootnoteReference"/>
          <w:rFonts w:ascii="Verdana" w:hAnsi="Verdana"/>
          <w:sz w:val="20"/>
          <w:szCs w:val="20"/>
        </w:rPr>
        <w:footnoteReference w:id="125"/>
      </w:r>
      <w:r w:rsidRPr="00026D1B">
        <w:rPr>
          <w:rFonts w:ascii="Verdana" w:hAnsi="Verdana"/>
          <w:sz w:val="20"/>
          <w:szCs w:val="20"/>
        </w:rPr>
        <w:t xml:space="preserve">. </w:t>
      </w:r>
    </w:p>
    <w:p w14:paraId="6E5481DF"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3B0747C4"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113. </w:t>
      </w:r>
      <w:r w:rsidRPr="00026D1B">
        <w:rPr>
          <w:rFonts w:ascii="Verdana" w:hAnsi="Verdana"/>
          <w:sz w:val="20"/>
          <w:szCs w:val="20"/>
        </w:rPr>
        <w:tab/>
      </w:r>
      <w:r w:rsidRPr="00026D1B">
        <w:rPr>
          <w:rFonts w:ascii="Verdana" w:hAnsi="Verdana"/>
          <w:sz w:val="20"/>
          <w:szCs w:val="20"/>
        </w:rPr>
        <w:tab/>
        <w:t>“El 25 de mayo[,] la Sala Constitucional emitió la decisión No. 956 [en donde] ordenó, a través de [las] medidas cautelares innominadas [solicitadas], el traspaso temporal a [la] CONATEL del uso de los bienes [de] RCTV —tales como ‘microondas, telepuertos, transmisores, equipos auxiliares de televisión, equipos auxiliares de energía y clima, torres, antenas, casetas de transmisión, casetas de planta, cerca perimetral y acometida eléctrica’”</w:t>
      </w:r>
      <w:r w:rsidRPr="00026D1B">
        <w:rPr>
          <w:rStyle w:val="FootnoteReference"/>
          <w:rFonts w:ascii="Verdana" w:hAnsi="Verdana"/>
          <w:sz w:val="20"/>
          <w:szCs w:val="20"/>
        </w:rPr>
        <w:footnoteReference w:id="126"/>
      </w:r>
      <w:r w:rsidRPr="00026D1B">
        <w:rPr>
          <w:rFonts w:ascii="Verdana" w:hAnsi="Verdana"/>
          <w:sz w:val="20"/>
          <w:szCs w:val="20"/>
        </w:rPr>
        <w:t>—es decir, bienes tangibles. “Las medidas cautelares fueron ejecutadas los días 27 y 28 de mayo de 2007, con el traspaso a CONATEL del uso de los bienes indicados en las decisiones correspondientes y otros objetos que no constaban en la misma”</w:t>
      </w:r>
      <w:r w:rsidRPr="00026D1B">
        <w:rPr>
          <w:rStyle w:val="FootnoteReference"/>
          <w:rFonts w:ascii="Verdana" w:hAnsi="Verdana"/>
          <w:sz w:val="20"/>
          <w:szCs w:val="20"/>
        </w:rPr>
        <w:footnoteReference w:id="127"/>
      </w:r>
      <w:r w:rsidRPr="00026D1B">
        <w:rPr>
          <w:rFonts w:ascii="Verdana" w:hAnsi="Verdana"/>
          <w:sz w:val="20"/>
          <w:szCs w:val="20"/>
        </w:rPr>
        <w:t xml:space="preserve">. </w:t>
      </w:r>
    </w:p>
    <w:p w14:paraId="2158F881"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6D423F95" w14:textId="35C33E88"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114. </w:t>
      </w:r>
      <w:r w:rsidRPr="00026D1B">
        <w:rPr>
          <w:rFonts w:ascii="Verdana" w:hAnsi="Verdana"/>
          <w:sz w:val="20"/>
          <w:szCs w:val="20"/>
        </w:rPr>
        <w:tab/>
      </w:r>
      <w:r w:rsidRPr="00026D1B">
        <w:rPr>
          <w:rFonts w:ascii="Verdana" w:hAnsi="Verdana"/>
          <w:sz w:val="20"/>
          <w:szCs w:val="20"/>
        </w:rPr>
        <w:tab/>
        <w:t>“El 31 de mayo de 2007, los representantes de RCTV interpusieron una oposición contra la Decisión No. 957, [también] emitida por la Sala Constitucional de 25 de mayo de 2007 en el marco de la demanda de intereses colectivos y difusos”</w:t>
      </w:r>
      <w:r w:rsidRPr="00026D1B">
        <w:rPr>
          <w:rStyle w:val="FootnoteReference"/>
          <w:rFonts w:ascii="Verdana" w:hAnsi="Verdana"/>
          <w:sz w:val="20"/>
          <w:szCs w:val="20"/>
        </w:rPr>
        <w:footnoteReference w:id="128"/>
      </w:r>
      <w:r w:rsidRPr="00026D1B">
        <w:rPr>
          <w:rFonts w:ascii="Verdana" w:hAnsi="Verdana"/>
          <w:sz w:val="20"/>
          <w:szCs w:val="20"/>
        </w:rPr>
        <w:t>, en donde la Sala Constitucional “afirmó que el derecho de los usuarios a acceder y disfrutar de la presentación de un servicio público universal de telecomunicaciones comporta</w:t>
      </w:r>
      <w:r w:rsidR="00FF72CB">
        <w:rPr>
          <w:rFonts w:ascii="Verdana" w:hAnsi="Verdana"/>
          <w:sz w:val="20"/>
          <w:szCs w:val="20"/>
        </w:rPr>
        <w:t xml:space="preserve"> </w:t>
      </w:r>
      <w:r w:rsidRPr="00026D1B">
        <w:rPr>
          <w:rFonts w:ascii="Verdana" w:hAnsi="Verdana"/>
          <w:sz w:val="20"/>
          <w:szCs w:val="20"/>
        </w:rPr>
        <w:t>[, en un] principio, no la continuidad de determinado operador, sino ‘la posibilidad de que los aludidos usuarios puedan efectivamente acceder en condiciones de igualdad y con el mantenimiento de un estándar mínimo de calidad al correspondiente servicio[;] al margen de la vigencia o no del permiso o concesión a un operador privado especifico’”</w:t>
      </w:r>
      <w:r w:rsidRPr="00026D1B">
        <w:rPr>
          <w:rStyle w:val="FootnoteReference"/>
          <w:rFonts w:ascii="Verdana" w:hAnsi="Verdana"/>
          <w:sz w:val="20"/>
          <w:szCs w:val="20"/>
        </w:rPr>
        <w:footnoteReference w:id="129"/>
      </w:r>
      <w:r w:rsidRPr="00026D1B">
        <w:rPr>
          <w:rFonts w:ascii="Verdana" w:hAnsi="Verdana"/>
          <w:sz w:val="20"/>
          <w:szCs w:val="20"/>
        </w:rPr>
        <w:t>. Sin embargo, la Sala Constitucional también afirmó que los intervinientes solamente podrían alegar razones y promover pruebas que apoyaran las posiciones de la parte con quien coadyuvarían. “El 13 de junio de 2007[,] los representantes de RCTV presentaron un escrito de promoción de pruebas en el proceso de la oposición a la medida cautelar. Hasta la fecha, la promoción de pruebas no ha sido tramitada”</w:t>
      </w:r>
      <w:r w:rsidRPr="00026D1B">
        <w:rPr>
          <w:rStyle w:val="FootnoteReference"/>
          <w:rFonts w:ascii="Verdana" w:hAnsi="Verdana"/>
          <w:sz w:val="20"/>
          <w:szCs w:val="20"/>
        </w:rPr>
        <w:footnoteReference w:id="130"/>
      </w:r>
      <w:r w:rsidRPr="00026D1B">
        <w:rPr>
          <w:rFonts w:ascii="Verdana" w:hAnsi="Verdana"/>
          <w:sz w:val="20"/>
          <w:szCs w:val="20"/>
        </w:rPr>
        <w:t xml:space="preserve">. </w:t>
      </w:r>
    </w:p>
    <w:p w14:paraId="218E255A" w14:textId="77777777" w:rsidR="004731B1" w:rsidRPr="00026D1B" w:rsidRDefault="004731B1" w:rsidP="00511B7E">
      <w:pPr>
        <w:pStyle w:val="ListParagraph"/>
        <w:tabs>
          <w:tab w:val="left" w:pos="709"/>
          <w:tab w:val="left" w:pos="851"/>
        </w:tabs>
        <w:spacing w:line="240" w:lineRule="auto"/>
        <w:ind w:left="0"/>
        <w:jc w:val="both"/>
        <w:rPr>
          <w:rFonts w:ascii="Verdana" w:hAnsi="Verdana"/>
          <w:b/>
          <w:sz w:val="20"/>
          <w:szCs w:val="20"/>
        </w:rPr>
      </w:pPr>
    </w:p>
    <w:p w14:paraId="653BA8A9" w14:textId="77777777" w:rsidR="004731B1" w:rsidRPr="00026D1B" w:rsidRDefault="004731B1" w:rsidP="003520DD">
      <w:pPr>
        <w:pStyle w:val="ListParagraph"/>
        <w:tabs>
          <w:tab w:val="left" w:pos="709"/>
          <w:tab w:val="left" w:pos="851"/>
        </w:tabs>
        <w:spacing w:line="240" w:lineRule="auto"/>
        <w:ind w:left="0"/>
        <w:jc w:val="both"/>
        <w:rPr>
          <w:rFonts w:ascii="Verdana" w:hAnsi="Verdana"/>
          <w:b/>
          <w:sz w:val="20"/>
          <w:szCs w:val="20"/>
        </w:rPr>
      </w:pPr>
      <w:r w:rsidRPr="00026D1B">
        <w:rPr>
          <w:rFonts w:ascii="Verdana" w:hAnsi="Verdana"/>
          <w:sz w:val="20"/>
          <w:szCs w:val="20"/>
        </w:rPr>
        <w:t xml:space="preserve">115. </w:t>
      </w:r>
      <w:r w:rsidRPr="00026D1B">
        <w:rPr>
          <w:rFonts w:ascii="Verdana" w:hAnsi="Verdana"/>
          <w:sz w:val="20"/>
          <w:szCs w:val="20"/>
        </w:rPr>
        <w:tab/>
      </w:r>
      <w:r w:rsidRPr="00026D1B">
        <w:rPr>
          <w:rFonts w:ascii="Verdana" w:hAnsi="Verdana"/>
          <w:sz w:val="20"/>
          <w:szCs w:val="20"/>
        </w:rPr>
        <w:tab/>
        <w:t xml:space="preserve">Si bien en el presente caso, y a diferencia del caso </w:t>
      </w:r>
      <w:r w:rsidRPr="00026D1B">
        <w:rPr>
          <w:rFonts w:ascii="Verdana" w:hAnsi="Verdana"/>
          <w:i/>
          <w:sz w:val="20"/>
          <w:szCs w:val="20"/>
        </w:rPr>
        <w:t>Ivcher Bronstein</w:t>
      </w:r>
      <w:r w:rsidRPr="00026D1B">
        <w:rPr>
          <w:rFonts w:ascii="Verdana" w:hAnsi="Verdana"/>
          <w:sz w:val="20"/>
          <w:szCs w:val="20"/>
        </w:rPr>
        <w:t xml:space="preserve">, el Estado argumentó que el objeto de la medida cautelar innominada dictada por la Sala Constitucional tenía razones de utilidad pública, como lo era brindar un servicio público de comunicación, es muy importante hacer notar el contexto en el cual esta medida cautelar fue adoptada; y este hecho en lo particular, también debió ser analizado a la luz del artículo </w:t>
      </w:r>
      <w:r w:rsidRPr="00026D1B">
        <w:rPr>
          <w:rFonts w:ascii="Verdana" w:hAnsi="Verdana"/>
          <w:sz w:val="20"/>
          <w:szCs w:val="20"/>
        </w:rPr>
        <w:lastRenderedPageBreak/>
        <w:t>13.3 de la Convención. En este sentido, en la sección sobre la violación a la libertad de expresión de la Sentencia, la Corte IDH hizo una distinción entre la finalidad declarada por el Estado y la finalidad real (o finalidad no declarada) y concluyó que:</w:t>
      </w:r>
    </w:p>
    <w:p w14:paraId="3CC259B9" w14:textId="77777777" w:rsidR="004731B1" w:rsidRPr="00026D1B" w:rsidRDefault="004731B1" w:rsidP="00E005F5">
      <w:pPr>
        <w:tabs>
          <w:tab w:val="left" w:pos="560"/>
          <w:tab w:val="left" w:pos="709"/>
          <w:tab w:val="left" w:pos="851"/>
          <w:tab w:val="left" w:pos="5387"/>
        </w:tabs>
        <w:spacing w:after="0" w:line="240" w:lineRule="auto"/>
        <w:ind w:left="567" w:right="615"/>
        <w:jc w:val="both"/>
        <w:rPr>
          <w:rFonts w:ascii="Verdana" w:hAnsi="Verdana"/>
          <w:b/>
          <w:sz w:val="18"/>
          <w:szCs w:val="18"/>
        </w:rPr>
      </w:pPr>
      <w:r w:rsidRPr="00026D1B">
        <w:rPr>
          <w:rFonts w:ascii="Verdana" w:hAnsi="Verdana"/>
          <w:sz w:val="18"/>
          <w:szCs w:val="18"/>
        </w:rPr>
        <w:t xml:space="preserve">“de las declaraciones aportadas en el presente caso contencioso sólo una habría hecho mención a la finalidad declarada en la Comunicación No. 0424 y la Resolución No. 002, es decir, la protección a la pluralidad de medios[.] Lo anterior, [aunado a las declaraciones sobre otras posibles justificaciones,] </w:t>
      </w:r>
      <w:r w:rsidRPr="00026D1B">
        <w:rPr>
          <w:rFonts w:ascii="Verdana" w:hAnsi="Verdana"/>
          <w:i/>
          <w:sz w:val="18"/>
          <w:szCs w:val="18"/>
          <w:u w:val="single"/>
        </w:rPr>
        <w:t>le permite concluir a la Corte, en segundo lugar, que la finalidad declarada no era la real y que sólo se dio con el objetivo de dar una apariencia de legalidad a las declaraciones</w:t>
      </w:r>
      <w:r w:rsidRPr="00026D1B">
        <w:rPr>
          <w:rFonts w:ascii="Verdana" w:hAnsi="Verdana"/>
          <w:i/>
          <w:sz w:val="18"/>
          <w:szCs w:val="18"/>
        </w:rPr>
        <w:t>”</w:t>
      </w:r>
      <w:r w:rsidRPr="00026D1B">
        <w:rPr>
          <w:rStyle w:val="FootnoteReference"/>
          <w:rFonts w:ascii="Verdana" w:hAnsi="Verdana"/>
          <w:sz w:val="18"/>
          <w:szCs w:val="18"/>
        </w:rPr>
        <w:footnoteReference w:id="131"/>
      </w:r>
      <w:r w:rsidRPr="00026D1B">
        <w:rPr>
          <w:rFonts w:ascii="Verdana" w:hAnsi="Verdana"/>
          <w:sz w:val="18"/>
          <w:szCs w:val="18"/>
        </w:rPr>
        <w:t xml:space="preserve">. (Énfasis añadido). </w:t>
      </w:r>
    </w:p>
    <w:p w14:paraId="06F8F17E" w14:textId="77777777" w:rsidR="004731B1" w:rsidRPr="00026D1B" w:rsidRDefault="004731B1" w:rsidP="00E005F5">
      <w:pPr>
        <w:tabs>
          <w:tab w:val="left" w:pos="560"/>
          <w:tab w:val="left" w:pos="709"/>
          <w:tab w:val="left" w:pos="851"/>
          <w:tab w:val="left" w:pos="5387"/>
        </w:tabs>
        <w:spacing w:after="0" w:line="240" w:lineRule="auto"/>
        <w:ind w:left="567" w:right="615"/>
        <w:jc w:val="both"/>
        <w:rPr>
          <w:rFonts w:ascii="Verdana" w:hAnsi="Verdana"/>
          <w:b/>
          <w:sz w:val="16"/>
          <w:szCs w:val="16"/>
        </w:rPr>
      </w:pPr>
    </w:p>
    <w:p w14:paraId="175515BD"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sz w:val="20"/>
          <w:szCs w:val="20"/>
        </w:rPr>
        <w:t xml:space="preserve">116. </w:t>
      </w:r>
      <w:r w:rsidRPr="00026D1B">
        <w:rPr>
          <w:rFonts w:ascii="Verdana" w:hAnsi="Verdana"/>
          <w:sz w:val="20"/>
          <w:szCs w:val="20"/>
        </w:rPr>
        <w:tab/>
      </w:r>
      <w:r w:rsidRPr="00026D1B">
        <w:rPr>
          <w:rFonts w:ascii="Verdana" w:hAnsi="Verdana"/>
          <w:sz w:val="20"/>
          <w:szCs w:val="20"/>
        </w:rPr>
        <w:tab/>
        <w:t>De este razonamiento se desprende que las decisiones tomadas sobre RCTV con anterioridad obedecían, más que a un interés público, a las molestias generadas por la línea editorial crítica de RCTV contra el gobierno. Al respecto, obra en el expediente que el entonces Ministro del Poder Popular para las Telecomunicaciones y Director del CONATEL, Jesse Chacón, aseveró que “[o]</w:t>
      </w:r>
      <w:r w:rsidRPr="006F2A55">
        <w:rPr>
          <w:rFonts w:ascii="Verdana" w:hAnsi="Verdana"/>
          <w:sz w:val="20"/>
          <w:szCs w:val="20"/>
        </w:rPr>
        <w:t xml:space="preserve">jalá y </w:t>
      </w:r>
      <w:r w:rsidRPr="00026D1B">
        <w:rPr>
          <w:rFonts w:ascii="Verdana" w:hAnsi="Verdana"/>
          <w:sz w:val="20"/>
          <w:szCs w:val="20"/>
        </w:rPr>
        <w:t>[</w:t>
      </w:r>
      <w:r w:rsidRPr="006F2A55">
        <w:rPr>
          <w:rFonts w:ascii="Verdana" w:hAnsi="Verdana"/>
          <w:sz w:val="20"/>
          <w:szCs w:val="20"/>
        </w:rPr>
        <w:t>nosotros</w:t>
      </w:r>
      <w:r w:rsidRPr="00026D1B">
        <w:rPr>
          <w:rFonts w:ascii="Verdana" w:hAnsi="Verdana"/>
          <w:sz w:val="20"/>
          <w:szCs w:val="20"/>
        </w:rPr>
        <w:t>]</w:t>
      </w:r>
      <w:r w:rsidRPr="006F2A55">
        <w:rPr>
          <w:rFonts w:ascii="Verdana" w:hAnsi="Verdana"/>
          <w:sz w:val="20"/>
          <w:szCs w:val="20"/>
        </w:rPr>
        <w:t xml:space="preserve"> podamos llegar a un acuerdo con los dueños de</w:t>
      </w:r>
      <w:r w:rsidRPr="00026D1B">
        <w:rPr>
          <w:rFonts w:ascii="Verdana" w:hAnsi="Verdana"/>
          <w:sz w:val="20"/>
          <w:szCs w:val="20"/>
        </w:rPr>
        <w:t>[</w:t>
      </w:r>
      <w:r w:rsidRPr="006F2A55">
        <w:rPr>
          <w:rFonts w:ascii="Verdana" w:hAnsi="Verdana"/>
          <w:sz w:val="20"/>
          <w:szCs w:val="20"/>
        </w:rPr>
        <w:t>l Canal</w:t>
      </w:r>
      <w:r w:rsidRPr="00026D1B">
        <w:rPr>
          <w:rFonts w:ascii="Verdana" w:hAnsi="Verdana"/>
          <w:sz w:val="20"/>
          <w:szCs w:val="20"/>
        </w:rPr>
        <w:t>]</w:t>
      </w:r>
      <w:r w:rsidRPr="006F2A55">
        <w:rPr>
          <w:rFonts w:ascii="Verdana" w:hAnsi="Verdana"/>
          <w:sz w:val="20"/>
          <w:szCs w:val="20"/>
        </w:rPr>
        <w:t xml:space="preserve">, si no la ley prevé </w:t>
      </w:r>
      <w:r w:rsidRPr="00026D1B">
        <w:rPr>
          <w:rFonts w:ascii="Verdana" w:hAnsi="Verdana"/>
          <w:sz w:val="20"/>
          <w:szCs w:val="20"/>
        </w:rPr>
        <w:t xml:space="preserve">los </w:t>
      </w:r>
      <w:r w:rsidRPr="006F2A55">
        <w:rPr>
          <w:rFonts w:ascii="Verdana" w:hAnsi="Verdana"/>
          <w:sz w:val="20"/>
          <w:szCs w:val="20"/>
        </w:rPr>
        <w:t>mecanismos clarito de declaración de utilidad pública, expropiación y negociación de precios”</w:t>
      </w:r>
      <w:r w:rsidRPr="00026D1B">
        <w:rPr>
          <w:rStyle w:val="FootnoteReference"/>
          <w:rFonts w:ascii="Verdana" w:hAnsi="Verdana"/>
          <w:sz w:val="20"/>
          <w:szCs w:val="20"/>
        </w:rPr>
        <w:footnoteReference w:id="132"/>
      </w:r>
      <w:r w:rsidRPr="006F2A55">
        <w:rPr>
          <w:rFonts w:ascii="Verdana" w:hAnsi="Verdana"/>
          <w:sz w:val="20"/>
          <w:szCs w:val="20"/>
        </w:rPr>
        <w:t>.</w:t>
      </w:r>
    </w:p>
    <w:p w14:paraId="362FB885" w14:textId="77777777" w:rsidR="004731B1" w:rsidRPr="00026D1B" w:rsidRDefault="004731B1" w:rsidP="00511B7E">
      <w:pPr>
        <w:pStyle w:val="ListParagraph"/>
        <w:tabs>
          <w:tab w:val="left" w:pos="709"/>
          <w:tab w:val="left" w:pos="851"/>
          <w:tab w:val="left" w:pos="5387"/>
        </w:tabs>
        <w:spacing w:after="0" w:line="240" w:lineRule="auto"/>
        <w:ind w:left="0" w:right="48"/>
        <w:jc w:val="both"/>
        <w:rPr>
          <w:rFonts w:ascii="Verdana" w:hAnsi="Verdana"/>
          <w:b/>
          <w:sz w:val="20"/>
          <w:szCs w:val="20"/>
        </w:rPr>
      </w:pPr>
    </w:p>
    <w:p w14:paraId="5FC69D62"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sz w:val="20"/>
          <w:szCs w:val="20"/>
        </w:rPr>
        <w:t xml:space="preserve">117. </w:t>
      </w:r>
      <w:r w:rsidRPr="00026D1B">
        <w:rPr>
          <w:rFonts w:ascii="Verdana" w:hAnsi="Verdana"/>
          <w:sz w:val="20"/>
          <w:szCs w:val="20"/>
        </w:rPr>
        <w:tab/>
      </w:r>
      <w:r w:rsidRPr="00026D1B">
        <w:rPr>
          <w:rFonts w:ascii="Verdana" w:hAnsi="Verdana"/>
          <w:sz w:val="20"/>
          <w:szCs w:val="20"/>
        </w:rPr>
        <w:tab/>
        <w:t>En lo particular, los representantes de las víctimas, en su Escrito de Observaciones Finales, manifestaron que el 17 de febrero de 2007, el Ministro Chacón “reconoció […] que todos los bienes afectados al funcionamiento de RCTV, como televisora de señal abierta, eran objeto de propiedad privada y que, si el Estado optaba por adueñarse de ellos, estaría obligado a seguir los procedimientos expropiatorios y pagar la correspondiente indemnización”</w:t>
      </w:r>
      <w:r w:rsidRPr="00026D1B">
        <w:rPr>
          <w:rStyle w:val="FootnoteReference"/>
          <w:rFonts w:ascii="Verdana" w:hAnsi="Verdana"/>
          <w:sz w:val="20"/>
          <w:szCs w:val="20"/>
        </w:rPr>
        <w:footnoteReference w:id="133"/>
      </w:r>
      <w:r w:rsidRPr="00026D1B">
        <w:rPr>
          <w:rFonts w:ascii="Verdana" w:hAnsi="Verdana"/>
          <w:sz w:val="20"/>
          <w:szCs w:val="20"/>
        </w:rPr>
        <w:t>.</w:t>
      </w:r>
    </w:p>
    <w:p w14:paraId="619094FD" w14:textId="77777777" w:rsidR="004731B1" w:rsidRPr="00026D1B" w:rsidRDefault="004731B1" w:rsidP="00511B7E">
      <w:pPr>
        <w:tabs>
          <w:tab w:val="left" w:pos="709"/>
          <w:tab w:val="left" w:pos="851"/>
          <w:tab w:val="left" w:pos="5387"/>
        </w:tabs>
        <w:spacing w:after="0" w:line="240" w:lineRule="auto"/>
        <w:ind w:right="48"/>
        <w:jc w:val="both"/>
        <w:rPr>
          <w:rFonts w:ascii="Verdana" w:hAnsi="Verdana"/>
          <w:sz w:val="20"/>
          <w:szCs w:val="20"/>
        </w:rPr>
      </w:pPr>
    </w:p>
    <w:p w14:paraId="02B08654"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sz w:val="20"/>
          <w:szCs w:val="20"/>
        </w:rPr>
        <w:t xml:space="preserve">118. </w:t>
      </w:r>
      <w:r w:rsidRPr="00026D1B">
        <w:rPr>
          <w:rFonts w:ascii="Verdana" w:hAnsi="Verdana"/>
          <w:sz w:val="20"/>
          <w:szCs w:val="20"/>
        </w:rPr>
        <w:tab/>
      </w:r>
      <w:r w:rsidRPr="00026D1B">
        <w:rPr>
          <w:rFonts w:ascii="Verdana" w:hAnsi="Verdana"/>
          <w:sz w:val="20"/>
          <w:szCs w:val="20"/>
        </w:rPr>
        <w:tab/>
        <w:t xml:space="preserve">No resultaría, entonces, extraño y ajeno el argumento de las víctimas cuando refieren que la incautación arbitrada por la Sala Constitucional del Tribunal Supremo de Justicia resulta un acto confiscatorio cubierto con la apariencia de una medida cautelar. La denominación como “medida cautelar” de la incautación de los bienes de RCTV no altera la naturaleza confiscatoria del acto. En ese entendido, la Corte IDH debió, sobre la violación del derecho de propiedad, ver más allá de la apariencia y analizar cuál era </w:t>
      </w:r>
      <w:r w:rsidRPr="00026D1B">
        <w:rPr>
          <w:rFonts w:ascii="Verdana" w:hAnsi="Verdana"/>
          <w:i/>
          <w:sz w:val="20"/>
          <w:szCs w:val="20"/>
          <w:u w:val="single"/>
        </w:rPr>
        <w:t>la situación real detrás del acto denunciado</w:t>
      </w:r>
      <w:r w:rsidRPr="00026D1B">
        <w:rPr>
          <w:rFonts w:ascii="Verdana" w:hAnsi="Verdana"/>
          <w:sz w:val="20"/>
          <w:szCs w:val="20"/>
        </w:rPr>
        <w:t xml:space="preserve">; en especial, en un contexto en donde ha quedado demostrado que las finalidades declaradas por el Estado no eran las motivaciones reales (configurándose una “desviación de poder”), y sólo se perseguía el simple hecho de revestir las actuaciones del Estado de legalidad. </w:t>
      </w:r>
    </w:p>
    <w:p w14:paraId="491E04E1" w14:textId="77777777" w:rsidR="004731B1" w:rsidRPr="00026D1B" w:rsidRDefault="004731B1" w:rsidP="00511B7E">
      <w:pPr>
        <w:tabs>
          <w:tab w:val="left" w:pos="709"/>
          <w:tab w:val="left" w:pos="851"/>
          <w:tab w:val="left" w:pos="5387"/>
        </w:tabs>
        <w:spacing w:after="0" w:line="240" w:lineRule="auto"/>
        <w:ind w:right="48"/>
        <w:jc w:val="both"/>
        <w:rPr>
          <w:rFonts w:ascii="Verdana" w:hAnsi="Verdana"/>
          <w:sz w:val="20"/>
          <w:szCs w:val="20"/>
        </w:rPr>
      </w:pPr>
    </w:p>
    <w:p w14:paraId="1FAE06B5"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sz w:val="20"/>
          <w:szCs w:val="20"/>
        </w:rPr>
      </w:pPr>
      <w:r w:rsidRPr="00026D1B">
        <w:rPr>
          <w:rFonts w:ascii="Verdana" w:hAnsi="Verdana"/>
          <w:sz w:val="20"/>
          <w:szCs w:val="20"/>
        </w:rPr>
        <w:t xml:space="preserve">119. </w:t>
      </w:r>
      <w:r w:rsidRPr="00026D1B">
        <w:rPr>
          <w:rFonts w:ascii="Verdana" w:hAnsi="Verdana"/>
          <w:sz w:val="20"/>
          <w:szCs w:val="20"/>
        </w:rPr>
        <w:tab/>
      </w:r>
      <w:r w:rsidRPr="00026D1B">
        <w:rPr>
          <w:rFonts w:ascii="Verdana" w:hAnsi="Verdana"/>
          <w:sz w:val="20"/>
          <w:szCs w:val="20"/>
        </w:rPr>
        <w:tab/>
        <w:t>En consonancia con lo anterior, en primer lugar, la Corte IDH ha observado que, en una medida cautelar, “</w:t>
      </w:r>
      <w:r w:rsidRPr="006F2A55">
        <w:rPr>
          <w:rFonts w:ascii="Verdana" w:hAnsi="Verdana"/>
          <w:sz w:val="20"/>
          <w:szCs w:val="20"/>
        </w:rPr>
        <w:t>la disposición de los bienes no puede efectuarse en forma definitiva y debe restringirse exclusivamente a su administración y conservación”</w:t>
      </w:r>
      <w:r w:rsidRPr="00026D1B">
        <w:rPr>
          <w:rStyle w:val="FootnoteReference"/>
          <w:rFonts w:ascii="Verdana" w:hAnsi="Verdana"/>
          <w:sz w:val="18"/>
          <w:szCs w:val="18"/>
        </w:rPr>
        <w:footnoteReference w:id="134"/>
      </w:r>
      <w:r w:rsidRPr="00026D1B">
        <w:rPr>
          <w:rFonts w:ascii="Verdana" w:hAnsi="Verdana"/>
          <w:sz w:val="20"/>
          <w:szCs w:val="20"/>
        </w:rPr>
        <w:t xml:space="preserve">; pero también habría que hacer la siguiente precisión: una medida cautelar, de esta naturaleza, no puede efectuarse en forma </w:t>
      </w:r>
      <w:r w:rsidRPr="00026D1B">
        <w:rPr>
          <w:rFonts w:ascii="Verdana" w:hAnsi="Verdana"/>
          <w:i/>
          <w:sz w:val="20"/>
          <w:szCs w:val="20"/>
          <w:u w:val="single"/>
        </w:rPr>
        <w:t>indefinida</w:t>
      </w:r>
      <w:r w:rsidRPr="00026D1B">
        <w:rPr>
          <w:rFonts w:ascii="Verdana" w:hAnsi="Verdana"/>
          <w:sz w:val="20"/>
          <w:szCs w:val="20"/>
        </w:rPr>
        <w:t>.</w:t>
      </w:r>
    </w:p>
    <w:p w14:paraId="7244057F"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sz w:val="20"/>
          <w:szCs w:val="20"/>
        </w:rPr>
      </w:pPr>
    </w:p>
    <w:p w14:paraId="3693DEBC"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sz w:val="20"/>
          <w:szCs w:val="20"/>
        </w:rPr>
        <w:t xml:space="preserve">120. </w:t>
      </w:r>
      <w:r w:rsidRPr="00026D1B">
        <w:rPr>
          <w:rFonts w:ascii="Verdana" w:hAnsi="Verdana"/>
          <w:sz w:val="20"/>
          <w:szCs w:val="20"/>
        </w:rPr>
        <w:tab/>
        <w:t xml:space="preserve">En este sentido, en el presente caso, la promoción de pruebas, presentada el 13 de junio del 2007 por los representantes, todavía no ha sido tramitada hasta la emisión de la presente Sentencia y sobre la cual, según se desprende de la misma, el Estado no emitió argumento alguno por la dilación de dicho procedimiento. Además, el traslado de los bienes </w:t>
      </w:r>
      <w:r w:rsidRPr="00026D1B">
        <w:rPr>
          <w:rFonts w:ascii="Verdana" w:hAnsi="Verdana"/>
          <w:sz w:val="20"/>
          <w:szCs w:val="20"/>
        </w:rPr>
        <w:lastRenderedPageBreak/>
        <w:t xml:space="preserve">de RTCV a TVes, ordenado por la Sala Constitucional, no se limita a la “administración y conservación” de los bienes de RCTV; sino, por el contrario, la Sala Constitucional ordenó </w:t>
      </w:r>
      <w:r w:rsidRPr="00026D1B">
        <w:rPr>
          <w:rFonts w:ascii="Verdana" w:hAnsi="Verdana"/>
          <w:i/>
          <w:sz w:val="20"/>
          <w:szCs w:val="20"/>
          <w:u w:val="single"/>
        </w:rPr>
        <w:t>“el traspaso temporal a la CONATEL del uso de los bienes de RCTV”</w:t>
      </w:r>
      <w:r w:rsidRPr="00026D1B">
        <w:rPr>
          <w:rFonts w:ascii="Verdana" w:hAnsi="Verdana"/>
          <w:sz w:val="20"/>
          <w:szCs w:val="20"/>
        </w:rPr>
        <w:t xml:space="preserve">. Bajo estas consideraciones es palpable que no se está ante una medida cautelar, en cambio, dado el contexto de los hechos, la medida cautelar lo que reviste es en realidad una privación de bienes. </w:t>
      </w:r>
    </w:p>
    <w:p w14:paraId="61D4A70A" w14:textId="77777777" w:rsidR="004731B1" w:rsidRPr="00026D1B" w:rsidRDefault="004731B1" w:rsidP="00511B7E">
      <w:pPr>
        <w:pStyle w:val="ListParagraph"/>
        <w:tabs>
          <w:tab w:val="left" w:pos="709"/>
          <w:tab w:val="left" w:pos="851"/>
          <w:tab w:val="left" w:pos="5387"/>
        </w:tabs>
        <w:spacing w:after="0" w:line="240" w:lineRule="auto"/>
        <w:ind w:left="0" w:right="48"/>
        <w:jc w:val="both"/>
        <w:rPr>
          <w:rFonts w:ascii="Verdana" w:hAnsi="Verdana"/>
          <w:b/>
          <w:sz w:val="20"/>
          <w:szCs w:val="20"/>
        </w:rPr>
      </w:pPr>
    </w:p>
    <w:p w14:paraId="3619152F"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sz w:val="20"/>
          <w:szCs w:val="20"/>
        </w:rPr>
      </w:pPr>
      <w:r w:rsidRPr="00026D1B">
        <w:rPr>
          <w:rFonts w:ascii="Verdana" w:hAnsi="Verdana"/>
          <w:sz w:val="20"/>
          <w:szCs w:val="20"/>
        </w:rPr>
        <w:t xml:space="preserve">121. </w:t>
      </w:r>
      <w:r w:rsidRPr="00026D1B">
        <w:rPr>
          <w:rFonts w:ascii="Verdana" w:hAnsi="Verdana"/>
          <w:sz w:val="20"/>
          <w:szCs w:val="20"/>
        </w:rPr>
        <w:tab/>
      </w:r>
      <w:r w:rsidRPr="00026D1B">
        <w:rPr>
          <w:rFonts w:ascii="Verdana" w:hAnsi="Verdana"/>
          <w:sz w:val="20"/>
          <w:szCs w:val="20"/>
        </w:rPr>
        <w:tab/>
        <w:t>Así, lo que el Estado debió garantizar, y es lo que se pone de manifiesto cuando alega que la finalidad de la medida cautelar tuvo como razón principal garantizar a toda la población venezolana un servicio de transmisión de televisión de calidad, fue una declaratoria de utilidad pública, un procedimiento expropiatorio y pagar una justa indemnización. Sin embargo, el Estado lejos de tomar en cuenta y garantizar lo dispuesto por el artículo 21.2 de la Convención, basándose en la figura de medida cautelar, ordenó la incautación de los bienes que se realizó sin previa declaratoria de utilidad pública, sin apegarse a un procedimiento expropiatorio y, mucho menos, pagar una justa indemnización; lo que analizado bajo el contexto de represión de la libertad de expresión (declarado probado en la Sentencia)</w:t>
      </w:r>
      <w:r w:rsidRPr="00026D1B">
        <w:rPr>
          <w:rStyle w:val="FootnoteReference"/>
          <w:rFonts w:ascii="Verdana" w:hAnsi="Verdana"/>
          <w:sz w:val="20"/>
          <w:szCs w:val="20"/>
        </w:rPr>
        <w:footnoteReference w:id="135"/>
      </w:r>
      <w:r w:rsidRPr="00026D1B">
        <w:rPr>
          <w:rFonts w:ascii="Verdana" w:hAnsi="Verdana"/>
          <w:sz w:val="20"/>
          <w:szCs w:val="20"/>
        </w:rPr>
        <w:t>, contraviene lo dispuesto en el artículo 21.2 del Pacto de San José. De esta forma, una medida cautelar dictada por un juez puede afectar el uso y el goce de la víctima sobre sus bienes en una estación de televisión, ya que no se había previsto expropiación ni indemnización alguna</w:t>
      </w:r>
      <w:r w:rsidRPr="00026D1B">
        <w:rPr>
          <w:rStyle w:val="FootnoteReference"/>
          <w:rFonts w:ascii="Verdana" w:hAnsi="Verdana"/>
          <w:sz w:val="20"/>
          <w:szCs w:val="20"/>
        </w:rPr>
        <w:footnoteReference w:id="136"/>
      </w:r>
      <w:r w:rsidRPr="00026D1B">
        <w:rPr>
          <w:rFonts w:ascii="Verdana" w:hAnsi="Verdana"/>
          <w:sz w:val="20"/>
          <w:szCs w:val="20"/>
        </w:rPr>
        <w:t xml:space="preserve">. </w:t>
      </w:r>
    </w:p>
    <w:p w14:paraId="7B4E6AC9"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sz w:val="20"/>
          <w:szCs w:val="20"/>
        </w:rPr>
      </w:pPr>
    </w:p>
    <w:p w14:paraId="0A63A280" w14:textId="77777777" w:rsidR="004731B1" w:rsidRPr="00026D1B" w:rsidRDefault="004731B1" w:rsidP="00CC2B8C">
      <w:pPr>
        <w:pStyle w:val="ListParagraph"/>
        <w:tabs>
          <w:tab w:val="left" w:pos="709"/>
          <w:tab w:val="left" w:pos="851"/>
          <w:tab w:val="left" w:pos="5387"/>
        </w:tabs>
        <w:spacing w:after="0" w:line="240" w:lineRule="auto"/>
        <w:ind w:left="0" w:right="48"/>
        <w:jc w:val="both"/>
        <w:rPr>
          <w:rFonts w:ascii="Verdana" w:hAnsi="Verdana"/>
          <w:sz w:val="20"/>
          <w:szCs w:val="20"/>
        </w:rPr>
      </w:pPr>
      <w:r w:rsidRPr="00026D1B">
        <w:rPr>
          <w:rFonts w:ascii="Verdana" w:hAnsi="Verdana"/>
          <w:sz w:val="20"/>
          <w:szCs w:val="20"/>
        </w:rPr>
        <w:t xml:space="preserve">122. </w:t>
      </w:r>
      <w:r w:rsidRPr="00026D1B">
        <w:rPr>
          <w:rFonts w:ascii="Verdana" w:hAnsi="Verdana"/>
          <w:sz w:val="20"/>
          <w:szCs w:val="20"/>
        </w:rPr>
        <w:tab/>
        <w:t xml:space="preserve">No debe pasar inadvertido para entender este contexto de represión de la libertad de expresión y de amenazas y hostigamiento a medios de comunicación y periodistas, lo que estableció esta Corte IDH en el </w:t>
      </w:r>
      <w:r w:rsidRPr="00026D1B">
        <w:rPr>
          <w:rFonts w:ascii="Verdana" w:hAnsi="Verdana"/>
          <w:i/>
          <w:sz w:val="20"/>
          <w:szCs w:val="20"/>
        </w:rPr>
        <w:t xml:space="preserve">caso Ríos y otros Vs Venezuela </w:t>
      </w:r>
      <w:r w:rsidRPr="00026D1B">
        <w:rPr>
          <w:rFonts w:ascii="Verdana" w:hAnsi="Verdana"/>
          <w:sz w:val="20"/>
          <w:szCs w:val="20"/>
        </w:rPr>
        <w:t>—que se incorporó al acervo probatorio en el presente caso—, relacionado con restricciones a la labor de buscar, recibir y difundir información de veinte personas que habían estado vinculadas a RCTV en calidad de periodistas y trabajadores de la comunicación social</w:t>
      </w:r>
      <w:r w:rsidRPr="00026D1B">
        <w:rPr>
          <w:rStyle w:val="FootnoteReference"/>
          <w:rFonts w:ascii="Verdana" w:hAnsi="Verdana"/>
          <w:sz w:val="20"/>
          <w:szCs w:val="20"/>
        </w:rPr>
        <w:footnoteReference w:id="137"/>
      </w:r>
      <w:r w:rsidRPr="00026D1B">
        <w:rPr>
          <w:rFonts w:ascii="Verdana" w:hAnsi="Verdana"/>
          <w:sz w:val="20"/>
          <w:szCs w:val="20"/>
        </w:rPr>
        <w:t>:</w:t>
      </w:r>
    </w:p>
    <w:p w14:paraId="2B5DB72F" w14:textId="77777777" w:rsidR="004731B1" w:rsidRPr="00026D1B" w:rsidRDefault="004731B1" w:rsidP="00CC2B8C">
      <w:pPr>
        <w:pStyle w:val="ListParagraph"/>
        <w:spacing w:after="0" w:line="240" w:lineRule="auto"/>
        <w:jc w:val="both"/>
        <w:rPr>
          <w:rFonts w:ascii="Verdana" w:hAnsi="Verdana"/>
          <w:sz w:val="20"/>
          <w:szCs w:val="20"/>
        </w:rPr>
      </w:pPr>
    </w:p>
    <w:p w14:paraId="45493FC5" w14:textId="77777777" w:rsidR="004731B1" w:rsidRPr="00026D1B" w:rsidRDefault="004731B1" w:rsidP="000A2DBB">
      <w:pPr>
        <w:spacing w:line="240" w:lineRule="auto"/>
        <w:ind w:left="709" w:right="424"/>
        <w:jc w:val="both"/>
        <w:rPr>
          <w:rFonts w:ascii="Verdana" w:hAnsi="Verdana"/>
          <w:sz w:val="18"/>
          <w:szCs w:val="18"/>
        </w:rPr>
      </w:pPr>
      <w:r w:rsidRPr="00026D1B">
        <w:rPr>
          <w:rFonts w:ascii="Verdana" w:hAnsi="Verdana"/>
          <w:sz w:val="18"/>
          <w:szCs w:val="18"/>
          <w:lang w:val="es-ES_tradnl"/>
        </w:rPr>
        <w:t>“</w:t>
      </w:r>
      <w:r w:rsidRPr="00026D1B">
        <w:rPr>
          <w:rFonts w:ascii="Verdana" w:hAnsi="Verdana"/>
          <w:sz w:val="18"/>
          <w:szCs w:val="18"/>
        </w:rPr>
        <w:t xml:space="preserve">En sus informes anuales e informes sobre la situación de los derechos humanos en Venezuela, emitidos entre 2003 y 2006, la Comisión constató la existencia de un clima de agresión y amenaza contra la libertad de expresión y, en particular, contra la integridad personal de periodistas, camarógrafos, fotógrafos y demás trabajadores de la comunicación social. Al identificar las áreas de especial atención en la materia, </w:t>
      </w:r>
      <w:r w:rsidRPr="00026D1B">
        <w:rPr>
          <w:rFonts w:ascii="Verdana" w:hAnsi="Verdana"/>
          <w:sz w:val="18"/>
          <w:szCs w:val="18"/>
          <w:lang w:val="es-ES_tradnl"/>
        </w:rPr>
        <w:t>la Comisión observó la existencia de actos de ‘amenazas, ataques y actos de hostigamiento, contra comunicadores sociales, especialmente aquellos que trabajan en la calle, así como también la falta de investigación en relación a dichas amenazas y ataques’.</w:t>
      </w:r>
      <w:r w:rsidRPr="00026D1B">
        <w:rPr>
          <w:rFonts w:ascii="Verdana" w:hAnsi="Verdana"/>
          <w:sz w:val="18"/>
          <w:szCs w:val="18"/>
        </w:rPr>
        <w:t xml:space="preserve"> También se refirió a la falta de investigación de tales actos e hizo notar que en varias oportunidades solicitó al Estado la adopción de medidas cautelares con el fin de proteger la vida, integridad personal y libertad de expresión de periodistas, camarógrafos y fotógrafos atacados. Entre las recomendaciones hechas por la Comisión en sus informes, destacó ‘mantener desde las más altas instancias del Gobierno la condena pública a los ataques contra los comunicadores sociales, con el fin de prevenir acciones que fomenten’ la privación de la vida, ataques, amenazas e intimidaciones a aquéllos. La Comisión también recibió información sobre agresiones a medios y comunicadores fuera del contexto del conflicto político y social, un aumento de procesos penales en contra de comunicadores sociales y de actos que podrían configurar formas de restricción indirecta en el ejercicio de la libertad de expresión. La Comisión manifestó su preocupación porque esos hechos </w:t>
      </w:r>
      <w:r w:rsidRPr="00026D1B">
        <w:rPr>
          <w:rFonts w:ascii="Verdana" w:hAnsi="Verdana"/>
          <w:sz w:val="18"/>
          <w:szCs w:val="18"/>
        </w:rPr>
        <w:lastRenderedPageBreak/>
        <w:t>podían obstaculizar el libre ejercicio del periodismo, tanto de los medios que se perciben como opositores, como de los medios oficiales</w:t>
      </w:r>
      <w:r w:rsidRPr="00026D1B">
        <w:rPr>
          <w:rFonts w:ascii="Verdana" w:hAnsi="Verdana"/>
          <w:sz w:val="18"/>
          <w:szCs w:val="18"/>
          <w:lang w:val="es-ES_tradnl"/>
        </w:rPr>
        <w:t>”</w:t>
      </w:r>
      <w:r w:rsidRPr="00026D1B">
        <w:rPr>
          <w:rStyle w:val="FootnoteReference"/>
          <w:rFonts w:ascii="Verdana" w:hAnsi="Verdana"/>
          <w:sz w:val="18"/>
          <w:szCs w:val="18"/>
        </w:rPr>
        <w:footnoteReference w:id="138"/>
      </w:r>
      <w:r w:rsidRPr="00026D1B">
        <w:rPr>
          <w:rFonts w:ascii="Verdana" w:hAnsi="Verdana"/>
          <w:sz w:val="18"/>
          <w:szCs w:val="18"/>
        </w:rPr>
        <w:t>.</w:t>
      </w:r>
    </w:p>
    <w:p w14:paraId="26203D2A" w14:textId="77777777" w:rsidR="004731B1" w:rsidRPr="00026D1B" w:rsidRDefault="004731B1" w:rsidP="000A2DBB">
      <w:pPr>
        <w:spacing w:line="240" w:lineRule="auto"/>
        <w:ind w:left="709" w:right="424"/>
        <w:jc w:val="both"/>
        <w:rPr>
          <w:rFonts w:ascii="Verdana" w:hAnsi="Verdana"/>
          <w:sz w:val="18"/>
          <w:szCs w:val="18"/>
        </w:rPr>
      </w:pPr>
      <w:r w:rsidRPr="00026D1B">
        <w:rPr>
          <w:rFonts w:ascii="Verdana" w:hAnsi="Verdana"/>
          <w:sz w:val="18"/>
          <w:szCs w:val="18"/>
        </w:rPr>
        <w:t>“La Relatoría para la Libertad de Expresión de la Comisión Interamericana, […] ha[bía] hecho diversos señalamientos acerca de la situación en Venezuela y se ha[bía] referido a expresiones emitidas por altos funcionarios ‘que podrían considerarse amedrentadoras a los medios de comunicación y periodistas’. Asimismo, [La Relatoría había referido] que esas declaraciones podían ‘contribuir a crear un ambiente de intimidación hacia la prensa que no facilita el debate público e intercambio de opiniones e ideas, necesarios para la convivencia en democracia”</w:t>
      </w:r>
      <w:r w:rsidRPr="00026D1B">
        <w:rPr>
          <w:rStyle w:val="FootnoteReference"/>
          <w:rFonts w:ascii="Verdana" w:hAnsi="Verdana"/>
          <w:sz w:val="18"/>
          <w:szCs w:val="18"/>
        </w:rPr>
        <w:footnoteReference w:id="139"/>
      </w:r>
      <w:r w:rsidRPr="00026D1B">
        <w:rPr>
          <w:rFonts w:ascii="Verdana" w:hAnsi="Verdana"/>
          <w:sz w:val="18"/>
          <w:szCs w:val="18"/>
        </w:rPr>
        <w:t xml:space="preserve">. </w:t>
      </w:r>
    </w:p>
    <w:p w14:paraId="3DD72A82" w14:textId="77777777" w:rsidR="004731B1" w:rsidRPr="00026D1B" w:rsidRDefault="004731B1" w:rsidP="000A2DBB">
      <w:pPr>
        <w:pStyle w:val="BodyTextIndent2"/>
        <w:spacing w:after="0" w:line="240" w:lineRule="auto"/>
        <w:ind w:left="709" w:right="424"/>
        <w:rPr>
          <w:sz w:val="18"/>
          <w:szCs w:val="18"/>
        </w:rPr>
      </w:pPr>
      <w:r w:rsidRPr="00026D1B">
        <w:rPr>
          <w:sz w:val="18"/>
          <w:szCs w:val="18"/>
        </w:rPr>
        <w:t>Diversas situaciones provocaron reacciones de órganos políticos de la OEA. Por ejemplo, el Consejo Permanente de la Organización, mediante la Resolución 833, de fecha 16 de diciembre de 2002, resolvió</w:t>
      </w:r>
      <w:r w:rsidRPr="00026D1B">
        <w:rPr>
          <w:rStyle w:val="FootnoteReference"/>
          <w:sz w:val="18"/>
          <w:szCs w:val="18"/>
        </w:rPr>
        <w:footnoteReference w:id="140"/>
      </w:r>
      <w:r w:rsidRPr="00026D1B">
        <w:rPr>
          <w:sz w:val="18"/>
          <w:szCs w:val="18"/>
        </w:rPr>
        <w:t>:</w:t>
      </w:r>
    </w:p>
    <w:p w14:paraId="02868430" w14:textId="77777777" w:rsidR="004731B1" w:rsidRPr="00026D1B" w:rsidRDefault="004731B1" w:rsidP="000A2DBB">
      <w:pPr>
        <w:pStyle w:val="BodyTextIndent2"/>
        <w:spacing w:after="0" w:line="240" w:lineRule="auto"/>
        <w:ind w:left="709" w:right="424"/>
        <w:rPr>
          <w:sz w:val="18"/>
          <w:szCs w:val="18"/>
        </w:rPr>
      </w:pPr>
    </w:p>
    <w:p w14:paraId="7D89D96F" w14:textId="77777777" w:rsidR="004731B1" w:rsidRPr="00026D1B" w:rsidRDefault="004731B1" w:rsidP="006F2A55">
      <w:pPr>
        <w:spacing w:line="240" w:lineRule="auto"/>
        <w:ind w:left="1416" w:right="708"/>
        <w:jc w:val="both"/>
        <w:rPr>
          <w:rFonts w:ascii="Verdana" w:hAnsi="Verdana"/>
          <w:sz w:val="16"/>
          <w:szCs w:val="16"/>
        </w:rPr>
      </w:pPr>
      <w:r w:rsidRPr="00026D1B">
        <w:rPr>
          <w:rFonts w:ascii="Verdana" w:hAnsi="Verdana"/>
          <w:sz w:val="16"/>
          <w:szCs w:val="16"/>
        </w:rPr>
        <w:t xml:space="preserve">Instar al Gobierno de Venezuela a que vele por el pleno disfrute de la libertad de expresión y de prensa y hacer un llamado a todos los sectores de la sociedad venezolana para que contribuyan al fomento de la paz y de la tolerancia entre todos los venezolanos y a todos los actores sociales a que se abstengan de estimular la confrontación política y la violencia. </w:t>
      </w:r>
    </w:p>
    <w:p w14:paraId="2C6779C7" w14:textId="77777777" w:rsidR="004731B1" w:rsidRPr="00026D1B" w:rsidRDefault="004731B1" w:rsidP="000A2DBB">
      <w:pPr>
        <w:spacing w:line="240" w:lineRule="auto"/>
        <w:ind w:left="709" w:right="424"/>
        <w:jc w:val="both"/>
        <w:rPr>
          <w:sz w:val="18"/>
          <w:szCs w:val="18"/>
        </w:rPr>
      </w:pPr>
      <w:r w:rsidRPr="00026D1B">
        <w:rPr>
          <w:rFonts w:ascii="Verdana" w:hAnsi="Verdana"/>
          <w:sz w:val="18"/>
          <w:szCs w:val="18"/>
        </w:rPr>
        <w:t>Es oportuno recordar que en los períodos en que ocurrieron los hechos del presente caso, la Corte dictó varias resoluciones en que ordenaba a Venezuela que adoptara medidas provisionales de protección a favor de personas vinculadas con medios de comunicación social</w:t>
      </w:r>
      <w:r w:rsidRPr="00026D1B">
        <w:rPr>
          <w:rStyle w:val="FootnoteReference"/>
          <w:rFonts w:ascii="Verdana" w:hAnsi="Verdana"/>
          <w:sz w:val="18"/>
          <w:szCs w:val="18"/>
        </w:rPr>
        <w:footnoteReference w:id="141"/>
      </w:r>
      <w:r w:rsidRPr="00026D1B">
        <w:rPr>
          <w:rFonts w:ascii="Verdana" w:hAnsi="Verdana"/>
          <w:sz w:val="18"/>
          <w:szCs w:val="18"/>
        </w:rPr>
        <w:t>. Durante esa época, la Corte constató varias veces el incumplimiento de las órdenes sobre medidas provisionales</w:t>
      </w:r>
      <w:r w:rsidRPr="00026D1B">
        <w:rPr>
          <w:rStyle w:val="FootnoteReference"/>
          <w:sz w:val="18"/>
          <w:szCs w:val="18"/>
        </w:rPr>
        <w:footnoteReference w:id="142"/>
      </w:r>
      <w:r w:rsidRPr="00026D1B">
        <w:rPr>
          <w:sz w:val="18"/>
          <w:szCs w:val="18"/>
        </w:rPr>
        <w:t>.</w:t>
      </w:r>
    </w:p>
    <w:p w14:paraId="18B79AD7"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sz w:val="20"/>
          <w:szCs w:val="20"/>
        </w:rPr>
        <w:t xml:space="preserve">123. </w:t>
      </w:r>
      <w:r w:rsidRPr="00026D1B">
        <w:rPr>
          <w:rFonts w:ascii="Verdana" w:hAnsi="Verdana"/>
          <w:sz w:val="20"/>
          <w:szCs w:val="20"/>
        </w:rPr>
        <w:tab/>
      </w:r>
      <w:r w:rsidRPr="00026D1B">
        <w:rPr>
          <w:rFonts w:ascii="Verdana" w:hAnsi="Verdana"/>
          <w:sz w:val="20"/>
          <w:szCs w:val="20"/>
        </w:rPr>
        <w:tab/>
        <w:t>Asimismo, el criterio mayoritario también refiere, en atención a la medida cautelar adoptada por la Sala Constitucional, que no es competente para analizar las presuntas violaciones a la Convención que hayan ocurrido en contra de las personas jurídicas; por lo que no podía analizar las consecuencias que se derivaron de la imposición de la medida cautelar a los bienes que formaban parte del patrimonio de RCTV, ni determinar si estas han vulnerado la propiedad de la persona jurídica de la empresa</w:t>
      </w:r>
      <w:r w:rsidRPr="00026D1B">
        <w:rPr>
          <w:rStyle w:val="FootnoteReference"/>
          <w:rFonts w:ascii="Verdana" w:hAnsi="Verdana"/>
          <w:sz w:val="20"/>
          <w:szCs w:val="20"/>
        </w:rPr>
        <w:footnoteReference w:id="143"/>
      </w:r>
      <w:r w:rsidRPr="00026D1B">
        <w:rPr>
          <w:rFonts w:ascii="Verdana" w:hAnsi="Verdana"/>
          <w:sz w:val="20"/>
          <w:szCs w:val="20"/>
        </w:rPr>
        <w:t xml:space="preserve">. </w:t>
      </w:r>
    </w:p>
    <w:p w14:paraId="56BBF1E3" w14:textId="77777777" w:rsidR="004731B1" w:rsidRPr="00026D1B" w:rsidRDefault="004731B1" w:rsidP="00511B7E">
      <w:pPr>
        <w:tabs>
          <w:tab w:val="left" w:pos="709"/>
          <w:tab w:val="left" w:pos="851"/>
          <w:tab w:val="left" w:pos="5387"/>
        </w:tabs>
        <w:spacing w:after="0" w:line="240" w:lineRule="auto"/>
        <w:ind w:right="48"/>
        <w:jc w:val="both"/>
        <w:rPr>
          <w:rFonts w:ascii="Verdana" w:hAnsi="Verdana"/>
          <w:sz w:val="20"/>
          <w:szCs w:val="20"/>
        </w:rPr>
      </w:pPr>
    </w:p>
    <w:p w14:paraId="033B6BC2" w14:textId="77777777" w:rsidR="004731B1" w:rsidRPr="00026D1B" w:rsidRDefault="004731B1" w:rsidP="003520DD">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sz w:val="20"/>
          <w:szCs w:val="20"/>
        </w:rPr>
        <w:t xml:space="preserve">124. </w:t>
      </w:r>
      <w:r w:rsidRPr="00026D1B">
        <w:rPr>
          <w:rFonts w:ascii="Verdana" w:hAnsi="Verdana"/>
          <w:sz w:val="20"/>
          <w:szCs w:val="20"/>
        </w:rPr>
        <w:tab/>
      </w:r>
      <w:r w:rsidRPr="00026D1B">
        <w:rPr>
          <w:rFonts w:ascii="Verdana" w:hAnsi="Verdana"/>
          <w:sz w:val="20"/>
          <w:szCs w:val="20"/>
        </w:rPr>
        <w:tab/>
        <w:t xml:space="preserve">Sobre este argumento, hay que tener en consideración que los accionistas de las empresas destinan una parte de sus ingresos a la adquisición de bienes y equipos esenciales para su actividad principal. Al ser privada la empresa de esos bienes y equipos, los mismos accionistas son privados de su propiedad, pues la empresa ya no podrá servir al objeto para la que fue creada, con la correspondiente y lógica afectación al valor de sus acciones, como ha sido mencionado previamente (véase </w:t>
      </w:r>
      <w:r w:rsidRPr="00026D1B">
        <w:rPr>
          <w:rFonts w:ascii="Verdana" w:hAnsi="Verdana"/>
          <w:i/>
          <w:sz w:val="20"/>
          <w:szCs w:val="20"/>
        </w:rPr>
        <w:t>supra</w:t>
      </w:r>
      <w:r w:rsidRPr="00026D1B">
        <w:rPr>
          <w:rFonts w:ascii="Verdana" w:hAnsi="Verdana"/>
          <w:sz w:val="20"/>
          <w:szCs w:val="20"/>
        </w:rPr>
        <w:t xml:space="preserve"> párr. 91 del presente voto). Si bien la Convención Americana niega el </w:t>
      </w:r>
      <w:r w:rsidRPr="00026D1B">
        <w:rPr>
          <w:rFonts w:ascii="Verdana" w:hAnsi="Verdana"/>
          <w:i/>
          <w:sz w:val="20"/>
          <w:szCs w:val="20"/>
        </w:rPr>
        <w:t xml:space="preserve">ius standi </w:t>
      </w:r>
      <w:r w:rsidRPr="00026D1B">
        <w:rPr>
          <w:rFonts w:ascii="Verdana" w:hAnsi="Verdana"/>
          <w:sz w:val="20"/>
          <w:szCs w:val="20"/>
        </w:rPr>
        <w:t xml:space="preserve">a las personas jurídicas ante los órganos del Sistema, no niega los derechos de los accionistas de las personas jurídicas que no pierden su condición individual por integrarse a una de ellas. Los socios de una persona jurídica son personas humanas y, como tales, pueden acudir a título personal ante las instancias internacionales cuando sus derechos sean vulnerados. </w:t>
      </w:r>
    </w:p>
    <w:p w14:paraId="19A1A03C" w14:textId="77777777" w:rsidR="004731B1" w:rsidRPr="00026D1B" w:rsidRDefault="004731B1" w:rsidP="004731B1">
      <w:pPr>
        <w:tabs>
          <w:tab w:val="left" w:pos="709"/>
          <w:tab w:val="left" w:pos="851"/>
          <w:tab w:val="left" w:pos="5387"/>
        </w:tabs>
        <w:spacing w:after="0" w:line="240" w:lineRule="auto"/>
        <w:ind w:left="851" w:right="48" w:hanging="851"/>
        <w:jc w:val="both"/>
        <w:rPr>
          <w:rFonts w:ascii="Verdana" w:hAnsi="Verdana"/>
          <w:sz w:val="20"/>
          <w:szCs w:val="20"/>
        </w:rPr>
      </w:pPr>
    </w:p>
    <w:p w14:paraId="688CDE76" w14:textId="77777777" w:rsidR="004731B1" w:rsidRPr="00026D1B" w:rsidRDefault="004731B1" w:rsidP="004731B1">
      <w:pPr>
        <w:pStyle w:val="ListParagraph"/>
        <w:tabs>
          <w:tab w:val="left" w:pos="709"/>
          <w:tab w:val="left" w:pos="851"/>
          <w:tab w:val="left" w:pos="5387"/>
        </w:tabs>
        <w:spacing w:after="0" w:line="240" w:lineRule="auto"/>
        <w:ind w:left="0" w:right="48"/>
        <w:jc w:val="both"/>
        <w:rPr>
          <w:rFonts w:ascii="Verdana" w:hAnsi="Verdana"/>
          <w:sz w:val="20"/>
          <w:szCs w:val="20"/>
        </w:rPr>
      </w:pPr>
      <w:r w:rsidRPr="00026D1B">
        <w:rPr>
          <w:rFonts w:ascii="Verdana" w:hAnsi="Verdana"/>
          <w:sz w:val="20"/>
          <w:szCs w:val="20"/>
        </w:rPr>
        <w:t>125.</w:t>
      </w:r>
      <w:r w:rsidRPr="00026D1B">
        <w:rPr>
          <w:rFonts w:ascii="Verdana" w:hAnsi="Verdana"/>
          <w:sz w:val="20"/>
          <w:szCs w:val="20"/>
        </w:rPr>
        <w:tab/>
      </w:r>
      <w:r w:rsidRPr="00026D1B">
        <w:rPr>
          <w:rFonts w:ascii="Verdana" w:hAnsi="Verdana"/>
          <w:sz w:val="20"/>
          <w:szCs w:val="20"/>
        </w:rPr>
        <w:tab/>
        <w:t xml:space="preserve">En este entendido, al estar en realidad ante una confiscación de bienes, lo que el Estado tenía la obligación de garantizar, era una justa indemnización a los accionistas de RCTV por los equipos incautados. Es decir, la indemnización no iba a versar sobre la persona moral constituida como RCTV, sino en favor de los socios, los cuales se hubieran beneficiado de dicha indemnización en proporción a su participación accionaria dentro de RCTV. Lo anterior se expresaría mejor si, de la ausencia de incautación de los bienes de RCTV, se hubiera puesto en una situación de liquidación o disolución antes del 27 de mayo de 2007 (fecha en que finalizaba la concesión a RCTV) o después de ella, y siguieran siendo ellos titulares de sus bienes. Así, los accionistas se hubieran repartido unos bienes determinados o el equivalente de su valor, en proporción con su participación accionaria en la empresa. Esta misma lógica, en caso de declaratoria de utilidad pública y proceso expropiatorio, se hubiera aplicado a la indemnización para hacerla efectiva. </w:t>
      </w:r>
    </w:p>
    <w:p w14:paraId="37FACFE4" w14:textId="77777777" w:rsidR="004731B1" w:rsidRDefault="004731B1" w:rsidP="004731B1">
      <w:pPr>
        <w:pStyle w:val="ListParagraph"/>
        <w:tabs>
          <w:tab w:val="left" w:pos="709"/>
          <w:tab w:val="left" w:pos="851"/>
          <w:tab w:val="left" w:pos="5387"/>
        </w:tabs>
        <w:spacing w:after="0" w:line="240" w:lineRule="auto"/>
        <w:ind w:left="851" w:right="48" w:hanging="851"/>
        <w:jc w:val="both"/>
        <w:rPr>
          <w:rFonts w:ascii="Verdana" w:hAnsi="Verdana"/>
          <w:sz w:val="20"/>
          <w:szCs w:val="20"/>
        </w:rPr>
      </w:pPr>
    </w:p>
    <w:p w14:paraId="2C062217" w14:textId="77777777" w:rsidR="004731B1" w:rsidRPr="00026D1B" w:rsidRDefault="004731B1" w:rsidP="00427FF5">
      <w:pPr>
        <w:pStyle w:val="ListParagraph"/>
        <w:tabs>
          <w:tab w:val="left" w:pos="709"/>
          <w:tab w:val="left" w:pos="851"/>
          <w:tab w:val="left" w:pos="5387"/>
        </w:tabs>
        <w:spacing w:after="0" w:line="240" w:lineRule="auto"/>
        <w:ind w:left="0" w:right="48"/>
        <w:jc w:val="both"/>
        <w:rPr>
          <w:rFonts w:ascii="Verdana" w:hAnsi="Verdana"/>
          <w:b/>
          <w:sz w:val="20"/>
          <w:szCs w:val="20"/>
        </w:rPr>
      </w:pPr>
      <w:r w:rsidRPr="00026D1B">
        <w:rPr>
          <w:rFonts w:ascii="Verdana" w:hAnsi="Verdana"/>
          <w:b/>
          <w:sz w:val="20"/>
          <w:szCs w:val="20"/>
        </w:rPr>
        <w:t>IV. LA VIOLACIÓN A LAS GARANTÍAS DE INDEPENDENCIA E IMPARCIALIDAD (ART. 8.1. EN RELACIÓN CON EL ART. 1.1. DE LA CONVENCIÓN AMERICANA)</w:t>
      </w:r>
    </w:p>
    <w:p w14:paraId="51A98F23" w14:textId="77777777" w:rsidR="00427FF5" w:rsidRPr="00026D1B" w:rsidRDefault="00427FF5" w:rsidP="00427FF5">
      <w:pPr>
        <w:tabs>
          <w:tab w:val="left" w:pos="709"/>
          <w:tab w:val="left" w:pos="851"/>
          <w:tab w:val="left" w:pos="5387"/>
        </w:tabs>
        <w:spacing w:after="0" w:line="240" w:lineRule="auto"/>
        <w:jc w:val="both"/>
        <w:rPr>
          <w:rFonts w:ascii="Verdana" w:hAnsi="Verdana"/>
          <w:sz w:val="20"/>
          <w:szCs w:val="20"/>
        </w:rPr>
      </w:pPr>
    </w:p>
    <w:p w14:paraId="4E2D60A0" w14:textId="77777777" w:rsidR="004731B1" w:rsidRPr="00026D1B" w:rsidRDefault="004731B1" w:rsidP="001F1A1A">
      <w:pPr>
        <w:tabs>
          <w:tab w:val="left" w:pos="709"/>
          <w:tab w:val="left" w:pos="851"/>
          <w:tab w:val="left" w:pos="5387"/>
        </w:tabs>
        <w:spacing w:after="0" w:line="240" w:lineRule="auto"/>
        <w:jc w:val="both"/>
        <w:rPr>
          <w:rFonts w:ascii="Verdana" w:hAnsi="Verdana"/>
          <w:sz w:val="20"/>
          <w:szCs w:val="20"/>
        </w:rPr>
      </w:pPr>
      <w:r w:rsidRPr="00026D1B">
        <w:rPr>
          <w:rFonts w:ascii="Verdana" w:hAnsi="Verdana"/>
          <w:sz w:val="20"/>
          <w:szCs w:val="20"/>
        </w:rPr>
        <w:t xml:space="preserve">126. </w:t>
      </w:r>
      <w:r w:rsidRPr="00026D1B">
        <w:rPr>
          <w:rFonts w:ascii="Verdana" w:hAnsi="Verdana"/>
          <w:sz w:val="20"/>
          <w:szCs w:val="20"/>
        </w:rPr>
        <w:tab/>
      </w:r>
      <w:r w:rsidRPr="00026D1B">
        <w:rPr>
          <w:rFonts w:ascii="Verdana" w:hAnsi="Verdana"/>
          <w:sz w:val="20"/>
          <w:szCs w:val="20"/>
        </w:rPr>
        <w:tab/>
        <w:t>Tanto la Comisión Interamericana</w:t>
      </w:r>
      <w:r w:rsidRPr="00026D1B">
        <w:rPr>
          <w:rStyle w:val="FootnoteReference"/>
          <w:rFonts w:ascii="Verdana" w:hAnsi="Verdana"/>
          <w:sz w:val="20"/>
          <w:szCs w:val="20"/>
        </w:rPr>
        <w:footnoteReference w:id="144"/>
      </w:r>
      <w:r w:rsidRPr="00026D1B">
        <w:rPr>
          <w:rFonts w:ascii="Verdana" w:hAnsi="Verdana"/>
          <w:sz w:val="20"/>
          <w:szCs w:val="20"/>
        </w:rPr>
        <w:t>, como los representantes</w:t>
      </w:r>
      <w:r w:rsidRPr="00026D1B">
        <w:rPr>
          <w:rStyle w:val="FootnoteReference"/>
          <w:rFonts w:ascii="Verdana" w:hAnsi="Verdana"/>
          <w:sz w:val="20"/>
          <w:szCs w:val="20"/>
        </w:rPr>
        <w:footnoteReference w:id="145"/>
      </w:r>
      <w:r w:rsidRPr="00026D1B">
        <w:rPr>
          <w:rFonts w:ascii="Verdana" w:hAnsi="Verdana"/>
          <w:sz w:val="20"/>
          <w:szCs w:val="20"/>
        </w:rPr>
        <w:t xml:space="preserve">, alegaron expresamente la violación a las garantías de independencia e imparcialidad previstas en el artículo 8.1, en relación con el artículo 1.1 de la Convención Americana. El criterio mayoritario consideró en la Sentencia que no se encontró probado dicha violación, tanto en el marco del proceso contencioso administrativo de nulidad, como en el trámite de la </w:t>
      </w:r>
      <w:r w:rsidRPr="00026D1B">
        <w:rPr>
          <w:rFonts w:ascii="Verdana" w:hAnsi="Verdana"/>
          <w:sz w:val="20"/>
          <w:szCs w:val="20"/>
        </w:rPr>
        <w:lastRenderedPageBreak/>
        <w:t>demanda por intereses difusos y colectivos ante la Sala Constitucional del Tribunal Supremo de Justicia</w:t>
      </w:r>
      <w:r w:rsidRPr="00026D1B">
        <w:rPr>
          <w:rStyle w:val="FootnoteReference"/>
          <w:rFonts w:ascii="Verdana" w:hAnsi="Verdana"/>
          <w:sz w:val="20"/>
          <w:szCs w:val="20"/>
        </w:rPr>
        <w:footnoteReference w:id="146"/>
      </w:r>
      <w:r w:rsidRPr="00026D1B">
        <w:rPr>
          <w:rFonts w:ascii="Verdana" w:hAnsi="Verdana"/>
          <w:sz w:val="20"/>
          <w:szCs w:val="20"/>
        </w:rPr>
        <w:t>.</w:t>
      </w:r>
    </w:p>
    <w:p w14:paraId="3DE0AF8C" w14:textId="77777777" w:rsidR="004731B1" w:rsidRPr="00026D1B" w:rsidRDefault="004731B1" w:rsidP="001F1A1A">
      <w:pPr>
        <w:tabs>
          <w:tab w:val="left" w:pos="709"/>
          <w:tab w:val="left" w:pos="851"/>
          <w:tab w:val="left" w:pos="5387"/>
        </w:tabs>
        <w:spacing w:after="0" w:line="240" w:lineRule="auto"/>
        <w:jc w:val="both"/>
        <w:rPr>
          <w:rFonts w:ascii="Verdana" w:hAnsi="Verdana"/>
          <w:sz w:val="20"/>
          <w:szCs w:val="20"/>
        </w:rPr>
      </w:pPr>
    </w:p>
    <w:p w14:paraId="6FBB5B08" w14:textId="77777777" w:rsidR="004731B1" w:rsidRPr="00026D1B" w:rsidRDefault="004731B1" w:rsidP="001F1A1A">
      <w:pPr>
        <w:tabs>
          <w:tab w:val="left" w:pos="709"/>
          <w:tab w:val="left" w:pos="851"/>
          <w:tab w:val="left" w:pos="5387"/>
        </w:tabs>
        <w:spacing w:after="0" w:line="240" w:lineRule="auto"/>
        <w:jc w:val="both"/>
        <w:rPr>
          <w:rFonts w:ascii="Verdana" w:hAnsi="Verdana"/>
          <w:sz w:val="20"/>
          <w:szCs w:val="20"/>
        </w:rPr>
      </w:pPr>
      <w:r w:rsidRPr="00026D1B">
        <w:rPr>
          <w:rFonts w:ascii="Verdana" w:hAnsi="Verdana"/>
          <w:sz w:val="20"/>
          <w:szCs w:val="20"/>
        </w:rPr>
        <w:t>127.</w:t>
      </w:r>
      <w:r w:rsidRPr="00026D1B">
        <w:rPr>
          <w:rFonts w:ascii="Verdana" w:hAnsi="Verdana"/>
          <w:sz w:val="20"/>
          <w:szCs w:val="20"/>
        </w:rPr>
        <w:tab/>
      </w:r>
      <w:r w:rsidRPr="00026D1B">
        <w:rPr>
          <w:rFonts w:ascii="Verdana" w:hAnsi="Verdana"/>
          <w:sz w:val="20"/>
          <w:szCs w:val="20"/>
        </w:rPr>
        <w:tab/>
        <w:t>Contrariamente a lo decidido, considero que, al haber quedado demostrado plenamente que en el caso se configuró una “desviación de poder” —decidido por unanimidad en la Sentencia—, debido a que se hizo uso de una facultad permitida del Estado con el objetivo de “alinear editorialmente” al medio de comunicación con el gobierno; la consecuencia lógica y natural era no sólo declarar la violación del artículo 13, sino también del artículo 8.1 de la Convención Americana en relación con las garantías de independencia e imparcialidad.</w:t>
      </w:r>
    </w:p>
    <w:p w14:paraId="01A0458F" w14:textId="77777777" w:rsidR="004731B1" w:rsidRPr="00026D1B" w:rsidRDefault="004731B1" w:rsidP="001F1A1A">
      <w:pPr>
        <w:tabs>
          <w:tab w:val="left" w:pos="709"/>
          <w:tab w:val="left" w:pos="851"/>
          <w:tab w:val="left" w:pos="5387"/>
        </w:tabs>
        <w:spacing w:after="0" w:line="240" w:lineRule="auto"/>
        <w:jc w:val="both"/>
        <w:rPr>
          <w:rFonts w:ascii="Verdana" w:hAnsi="Verdana"/>
          <w:sz w:val="20"/>
          <w:szCs w:val="20"/>
        </w:rPr>
      </w:pPr>
    </w:p>
    <w:p w14:paraId="7C9937F7" w14:textId="77777777" w:rsidR="004731B1" w:rsidRPr="00026D1B" w:rsidRDefault="004731B1" w:rsidP="001F1A1A">
      <w:pPr>
        <w:tabs>
          <w:tab w:val="left" w:pos="709"/>
          <w:tab w:val="left" w:pos="851"/>
          <w:tab w:val="left" w:pos="5387"/>
        </w:tabs>
        <w:spacing w:after="0" w:line="240" w:lineRule="auto"/>
        <w:jc w:val="both"/>
        <w:rPr>
          <w:rFonts w:ascii="Verdana" w:hAnsi="Verdana" w:cs="Arial"/>
          <w:sz w:val="20"/>
          <w:szCs w:val="20"/>
          <w:lang w:val="es-PE"/>
        </w:rPr>
      </w:pPr>
      <w:r w:rsidRPr="00026D1B">
        <w:rPr>
          <w:rFonts w:ascii="Verdana" w:hAnsi="Verdana"/>
          <w:sz w:val="20"/>
          <w:szCs w:val="20"/>
        </w:rPr>
        <w:t xml:space="preserve">128. </w:t>
      </w:r>
      <w:r w:rsidRPr="00026D1B">
        <w:rPr>
          <w:rFonts w:ascii="Verdana" w:hAnsi="Verdana"/>
          <w:sz w:val="20"/>
          <w:szCs w:val="20"/>
        </w:rPr>
        <w:tab/>
      </w:r>
      <w:r w:rsidRPr="00026D1B">
        <w:rPr>
          <w:rFonts w:ascii="Verdana" w:hAnsi="Verdana"/>
          <w:sz w:val="20"/>
          <w:szCs w:val="20"/>
        </w:rPr>
        <w:tab/>
        <w:t>En efecto, la Corte IDH declaró violado el artículo 13.1 y 13.3 del Pacto de San José, al estimar probado</w:t>
      </w:r>
      <w:r w:rsidRPr="00026D1B">
        <w:rPr>
          <w:rFonts w:ascii="Verdana" w:hAnsi="Verdana" w:cs="Arial"/>
          <w:sz w:val="20"/>
          <w:szCs w:val="20"/>
          <w:lang w:val="es-PE"/>
        </w:rPr>
        <w:t xml:space="preserve"> que “se configuró una restricción indirecta al ejercicio del derecho a la libertad de expresión producida por la utilización de medios encaminados a impedir la comunicación y circulación de la ideas y opiniones, al decidir el Estado que se reservaría la porción del espectro y, por tanto, impedir la participación en los procedimientos administrativos para la adjudicación de los títulos o la renovación de la concesión a un medio que expresaba voces críticas contra el gobierno”</w:t>
      </w:r>
      <w:r w:rsidRPr="00026D1B">
        <w:rPr>
          <w:rStyle w:val="FootnoteReference"/>
          <w:rFonts w:ascii="Verdana" w:hAnsi="Verdana" w:cs="Arial"/>
          <w:sz w:val="20"/>
          <w:szCs w:val="20"/>
          <w:lang w:val="es-PE"/>
        </w:rPr>
        <w:footnoteReference w:id="147"/>
      </w:r>
      <w:r w:rsidRPr="00026D1B">
        <w:rPr>
          <w:rFonts w:ascii="Verdana" w:hAnsi="Verdana" w:cs="Arial"/>
          <w:sz w:val="20"/>
          <w:szCs w:val="20"/>
          <w:lang w:val="es-PE"/>
        </w:rPr>
        <w:t>.</w:t>
      </w:r>
    </w:p>
    <w:p w14:paraId="1D0507B4" w14:textId="77777777" w:rsidR="004731B1" w:rsidRPr="00026D1B" w:rsidRDefault="004731B1" w:rsidP="001F1A1A">
      <w:pPr>
        <w:tabs>
          <w:tab w:val="left" w:pos="709"/>
          <w:tab w:val="left" w:pos="851"/>
          <w:tab w:val="left" w:pos="5387"/>
        </w:tabs>
        <w:spacing w:after="0" w:line="240" w:lineRule="auto"/>
        <w:jc w:val="both"/>
        <w:rPr>
          <w:rFonts w:ascii="Verdana" w:hAnsi="Verdana" w:cs="Arial"/>
          <w:sz w:val="20"/>
          <w:szCs w:val="20"/>
          <w:lang w:val="es-PE"/>
        </w:rPr>
      </w:pPr>
    </w:p>
    <w:p w14:paraId="650544E7" w14:textId="77777777" w:rsidR="004731B1" w:rsidRPr="00026D1B" w:rsidRDefault="004731B1" w:rsidP="007179E6">
      <w:pPr>
        <w:tabs>
          <w:tab w:val="left" w:pos="709"/>
          <w:tab w:val="left" w:pos="851"/>
          <w:tab w:val="left" w:pos="5387"/>
        </w:tabs>
        <w:spacing w:after="0" w:line="240" w:lineRule="auto"/>
        <w:jc w:val="both"/>
        <w:rPr>
          <w:rFonts w:ascii="Verdana" w:hAnsi="Verdana" w:cs="Arial"/>
          <w:sz w:val="20"/>
          <w:szCs w:val="20"/>
          <w:lang w:val="es-PE"/>
        </w:rPr>
      </w:pPr>
      <w:r w:rsidRPr="00026D1B">
        <w:rPr>
          <w:rFonts w:ascii="Verdana" w:hAnsi="Verdana" w:cs="Arial"/>
          <w:sz w:val="20"/>
          <w:szCs w:val="20"/>
          <w:lang w:val="es-PE"/>
        </w:rPr>
        <w:t xml:space="preserve">129. </w:t>
      </w:r>
      <w:r w:rsidRPr="00026D1B">
        <w:rPr>
          <w:rFonts w:ascii="Verdana" w:hAnsi="Verdana" w:cs="Arial"/>
          <w:sz w:val="20"/>
          <w:szCs w:val="20"/>
          <w:lang w:val="es-PE"/>
        </w:rPr>
        <w:tab/>
      </w:r>
      <w:r w:rsidRPr="00026D1B">
        <w:rPr>
          <w:rFonts w:ascii="Verdana" w:hAnsi="Verdana" w:cs="Arial"/>
          <w:sz w:val="20"/>
          <w:szCs w:val="20"/>
          <w:lang w:val="es-PE"/>
        </w:rPr>
        <w:tab/>
        <w:t>En la Sentencia quedó plenamente acreditado que la decisión del gobierno sobre la no renovación a la concesión a RCTV estuvo tomada con anterioridad a los procedimientos administrativos y judiciales llevados a cabo, debido a las molestias generadas por la línea editorial de RCTV. En efecto, para llegar a esta conclusión, la Corte IDH consideró especialmente relevante las declaraciones —en su conjunto y no de manera aislada— de altos servidores públicos venezolanos desde el año 2002 (especialmente del entonces Presidente de la República) respecto a que no serían renovadas las concesiones a algunos medios privados de comunicación social y particularmente a RCTV</w:t>
      </w:r>
      <w:r w:rsidRPr="00026D1B">
        <w:rPr>
          <w:rStyle w:val="FootnoteReference"/>
          <w:rFonts w:ascii="Verdana" w:hAnsi="Verdana" w:cs="Arial"/>
          <w:sz w:val="20"/>
          <w:szCs w:val="20"/>
          <w:lang w:val="es-PE"/>
        </w:rPr>
        <w:footnoteReference w:id="148"/>
      </w:r>
      <w:r w:rsidRPr="00026D1B">
        <w:rPr>
          <w:rFonts w:ascii="Verdana" w:hAnsi="Verdana" w:cs="Arial"/>
          <w:sz w:val="20"/>
          <w:szCs w:val="20"/>
          <w:lang w:val="es-PE"/>
        </w:rPr>
        <w:t xml:space="preserve">. </w:t>
      </w:r>
    </w:p>
    <w:p w14:paraId="16313AD2" w14:textId="77777777" w:rsidR="004731B1" w:rsidRPr="00026D1B" w:rsidRDefault="004731B1" w:rsidP="00C26CAB">
      <w:pPr>
        <w:tabs>
          <w:tab w:val="left" w:pos="709"/>
          <w:tab w:val="left" w:pos="851"/>
          <w:tab w:val="left" w:pos="5387"/>
        </w:tabs>
        <w:spacing w:after="0" w:line="240" w:lineRule="auto"/>
        <w:jc w:val="both"/>
        <w:rPr>
          <w:rFonts w:ascii="Verdana" w:hAnsi="Verdana" w:cs="Arial"/>
          <w:sz w:val="20"/>
          <w:szCs w:val="20"/>
          <w:lang w:val="es-PE"/>
        </w:rPr>
      </w:pPr>
    </w:p>
    <w:p w14:paraId="79AA4927" w14:textId="77777777" w:rsidR="004731B1" w:rsidRPr="00026D1B" w:rsidRDefault="004731B1" w:rsidP="00C26CAB">
      <w:pPr>
        <w:tabs>
          <w:tab w:val="left" w:pos="709"/>
          <w:tab w:val="left" w:pos="851"/>
          <w:tab w:val="left" w:pos="5387"/>
        </w:tabs>
        <w:spacing w:after="0" w:line="240" w:lineRule="auto"/>
        <w:jc w:val="both"/>
        <w:rPr>
          <w:rFonts w:ascii="Verdana" w:hAnsi="Verdana"/>
          <w:sz w:val="20"/>
          <w:szCs w:val="20"/>
          <w:lang w:val="es-PE"/>
        </w:rPr>
      </w:pPr>
      <w:r w:rsidRPr="00026D1B">
        <w:rPr>
          <w:rFonts w:ascii="Verdana" w:hAnsi="Verdana" w:cs="Arial"/>
          <w:sz w:val="20"/>
          <w:szCs w:val="20"/>
          <w:lang w:val="es-PE"/>
        </w:rPr>
        <w:t xml:space="preserve">130. </w:t>
      </w:r>
      <w:r w:rsidRPr="00026D1B">
        <w:rPr>
          <w:rFonts w:ascii="Verdana" w:hAnsi="Verdana" w:cs="Arial"/>
          <w:sz w:val="20"/>
          <w:szCs w:val="20"/>
          <w:lang w:val="es-PE"/>
        </w:rPr>
        <w:tab/>
        <w:t>Asimismo se consideraron relevantes</w:t>
      </w:r>
      <w:r w:rsidRPr="00026D1B">
        <w:rPr>
          <w:rFonts w:ascii="Verdana" w:hAnsi="Verdana"/>
          <w:sz w:val="20"/>
          <w:szCs w:val="20"/>
          <w:lang w:val="es-PE"/>
        </w:rPr>
        <w:t xml:space="preserve"> las “publicaciones en diarios nacionales y hasta la divulgación de un libro con el fin de anunciar y justificar la decisión de no renovar la concesión de RCTV. Por lo [que] el Tribunal [Interamericano concluyó] en primer lugar, que la decisión fue tomada con bastante anterioridad a la finalización del término de la concesión y que la orden fue dada a CONATEL y al Ministerio para la Telecomunicación desde el ejecutivo”</w:t>
      </w:r>
      <w:r w:rsidRPr="00026D1B">
        <w:rPr>
          <w:rStyle w:val="FootnoteReference"/>
          <w:rFonts w:ascii="Verdana" w:hAnsi="Verdana"/>
          <w:sz w:val="20"/>
          <w:szCs w:val="20"/>
          <w:lang w:val="es-PE"/>
        </w:rPr>
        <w:footnoteReference w:id="149"/>
      </w:r>
      <w:r w:rsidRPr="00026D1B">
        <w:rPr>
          <w:rFonts w:ascii="Verdana" w:hAnsi="Verdana"/>
          <w:sz w:val="20"/>
          <w:szCs w:val="20"/>
          <w:lang w:val="es-PE"/>
        </w:rPr>
        <w:t xml:space="preserve">.  </w:t>
      </w:r>
    </w:p>
    <w:p w14:paraId="14C54638" w14:textId="77777777" w:rsidR="004731B1" w:rsidRPr="00026D1B" w:rsidRDefault="004731B1" w:rsidP="00C26CAB">
      <w:pPr>
        <w:tabs>
          <w:tab w:val="left" w:pos="709"/>
          <w:tab w:val="left" w:pos="851"/>
          <w:tab w:val="left" w:pos="5387"/>
        </w:tabs>
        <w:spacing w:after="0" w:line="240" w:lineRule="auto"/>
        <w:jc w:val="both"/>
        <w:rPr>
          <w:rFonts w:ascii="Verdana" w:hAnsi="Verdana"/>
          <w:sz w:val="20"/>
          <w:szCs w:val="20"/>
          <w:lang w:val="es-PE"/>
        </w:rPr>
      </w:pPr>
    </w:p>
    <w:p w14:paraId="6F239F4B" w14:textId="77777777" w:rsidR="004731B1" w:rsidRPr="00026D1B" w:rsidRDefault="004731B1" w:rsidP="00C26CAB">
      <w:pPr>
        <w:tabs>
          <w:tab w:val="left" w:pos="709"/>
          <w:tab w:val="left" w:pos="851"/>
          <w:tab w:val="left" w:pos="5387"/>
        </w:tabs>
        <w:spacing w:after="0" w:line="240" w:lineRule="auto"/>
        <w:jc w:val="both"/>
        <w:rPr>
          <w:rFonts w:ascii="Verdana" w:hAnsi="Verdana"/>
          <w:sz w:val="20"/>
          <w:szCs w:val="20"/>
          <w:lang w:val="es-PE"/>
        </w:rPr>
      </w:pPr>
      <w:r w:rsidRPr="00026D1B">
        <w:rPr>
          <w:rFonts w:ascii="Verdana" w:hAnsi="Verdana"/>
          <w:sz w:val="20"/>
          <w:szCs w:val="20"/>
          <w:lang w:val="es-PE"/>
        </w:rPr>
        <w:t xml:space="preserve">131. </w:t>
      </w:r>
      <w:r w:rsidRPr="00026D1B">
        <w:rPr>
          <w:rFonts w:ascii="Verdana" w:hAnsi="Verdana"/>
          <w:sz w:val="20"/>
          <w:szCs w:val="20"/>
          <w:lang w:val="es-PE"/>
        </w:rPr>
        <w:tab/>
      </w:r>
      <w:r w:rsidRPr="00026D1B">
        <w:rPr>
          <w:rFonts w:ascii="Verdana" w:hAnsi="Verdana"/>
          <w:sz w:val="20"/>
          <w:szCs w:val="20"/>
          <w:lang w:val="es-PE"/>
        </w:rPr>
        <w:tab/>
        <w:t>De esta forma la Corte IDH declaró, por unanimidad, la existencia de una “desviación de poder” debido a que la finalidad declarada en las resoluciones oficiales</w:t>
      </w:r>
      <w:r w:rsidRPr="00026D1B">
        <w:rPr>
          <w:rStyle w:val="FootnoteReference"/>
          <w:rFonts w:ascii="Verdana" w:hAnsi="Verdana"/>
          <w:sz w:val="20"/>
          <w:szCs w:val="20"/>
          <w:lang w:val="es-PE"/>
        </w:rPr>
        <w:footnoteReference w:id="150"/>
      </w:r>
      <w:r w:rsidRPr="00026D1B">
        <w:rPr>
          <w:rFonts w:ascii="Verdana" w:hAnsi="Verdana"/>
          <w:sz w:val="20"/>
          <w:szCs w:val="20"/>
          <w:lang w:val="es-PE"/>
        </w:rPr>
        <w:t xml:space="preserve"> no era la real y que sólo se dio con el objetivo de dar una apariencia de legalidad a las decisiones, tal como quedó establecido en la Sentencia</w:t>
      </w:r>
      <w:r w:rsidRPr="00026D1B">
        <w:rPr>
          <w:rStyle w:val="FootnoteReference"/>
          <w:rFonts w:ascii="Verdana" w:hAnsi="Verdana"/>
          <w:sz w:val="20"/>
          <w:szCs w:val="20"/>
          <w:lang w:val="es-PE"/>
        </w:rPr>
        <w:footnoteReference w:id="151"/>
      </w:r>
      <w:r w:rsidRPr="00026D1B">
        <w:rPr>
          <w:rFonts w:ascii="Verdana" w:hAnsi="Verdana"/>
          <w:sz w:val="20"/>
          <w:szCs w:val="20"/>
          <w:lang w:val="es-PE"/>
        </w:rPr>
        <w:t>.</w:t>
      </w:r>
    </w:p>
    <w:p w14:paraId="44A2EEFD" w14:textId="77777777" w:rsidR="004731B1" w:rsidRPr="00026D1B" w:rsidRDefault="004731B1" w:rsidP="008D0C0C">
      <w:pPr>
        <w:tabs>
          <w:tab w:val="left" w:pos="709"/>
          <w:tab w:val="left" w:pos="851"/>
          <w:tab w:val="left" w:pos="5387"/>
        </w:tabs>
        <w:spacing w:after="0" w:line="240" w:lineRule="auto"/>
        <w:jc w:val="both"/>
        <w:rPr>
          <w:rFonts w:ascii="Verdana" w:hAnsi="Verdana" w:cs="Arial"/>
          <w:sz w:val="20"/>
          <w:szCs w:val="20"/>
          <w:lang w:val="es-PE"/>
        </w:rPr>
      </w:pPr>
    </w:p>
    <w:p w14:paraId="39B74BBC" w14:textId="77777777" w:rsidR="004731B1" w:rsidRPr="00026D1B" w:rsidRDefault="004731B1" w:rsidP="00FD5940">
      <w:pPr>
        <w:tabs>
          <w:tab w:val="left" w:pos="709"/>
          <w:tab w:val="left" w:pos="851"/>
          <w:tab w:val="left" w:pos="5387"/>
        </w:tabs>
        <w:spacing w:after="0" w:line="240" w:lineRule="auto"/>
        <w:jc w:val="both"/>
        <w:rPr>
          <w:rFonts w:ascii="Verdana" w:hAnsi="Verdana"/>
          <w:sz w:val="20"/>
          <w:szCs w:val="20"/>
        </w:rPr>
      </w:pPr>
      <w:r w:rsidRPr="00026D1B">
        <w:rPr>
          <w:rFonts w:ascii="Verdana" w:hAnsi="Verdana" w:cs="Arial"/>
          <w:sz w:val="20"/>
          <w:szCs w:val="20"/>
          <w:lang w:val="es-PE"/>
        </w:rPr>
        <w:lastRenderedPageBreak/>
        <w:t xml:space="preserve">132. </w:t>
      </w:r>
      <w:r w:rsidRPr="00026D1B">
        <w:rPr>
          <w:rFonts w:ascii="Verdana" w:hAnsi="Verdana" w:cs="Arial"/>
          <w:sz w:val="20"/>
          <w:szCs w:val="20"/>
          <w:lang w:val="es-PE"/>
        </w:rPr>
        <w:tab/>
      </w:r>
      <w:r w:rsidRPr="00026D1B">
        <w:rPr>
          <w:rFonts w:ascii="Verdana" w:hAnsi="Verdana" w:cs="Arial"/>
          <w:sz w:val="20"/>
          <w:szCs w:val="20"/>
          <w:lang w:val="es-PE"/>
        </w:rPr>
        <w:tab/>
      </w:r>
      <w:r w:rsidRPr="00026D1B">
        <w:rPr>
          <w:rFonts w:ascii="Verdana" w:hAnsi="Verdana" w:cs="BookAntiqua"/>
          <w:sz w:val="20"/>
          <w:szCs w:val="20"/>
        </w:rPr>
        <w:t xml:space="preserve">Atendiendo la existencia de la “desviación de poder”, la Corte IDH debió considerar que existían elementos suficientes para sostener que la actuación del </w:t>
      </w:r>
      <w:r w:rsidRPr="00026D1B">
        <w:rPr>
          <w:rFonts w:ascii="Verdana" w:hAnsi="Verdana"/>
          <w:sz w:val="20"/>
        </w:rPr>
        <w:t xml:space="preserve">Tribunal Supremo de Justicia estuvo dirigida a coadyuvar con la decisión tomada con anterioridad por órganos del Poder Ejecutivo, respecto a reservarse el uso del espectro asignado inicialmente a RCTV y la creación de un canal de televisión propiedad del Estado. Esta actuación del Tribunal Supremo </w:t>
      </w:r>
      <w:r w:rsidRPr="00026D1B">
        <w:rPr>
          <w:rFonts w:ascii="Verdana" w:hAnsi="Verdana"/>
          <w:sz w:val="20"/>
          <w:u w:val="single"/>
        </w:rPr>
        <w:t xml:space="preserve">contribuyó </w:t>
      </w:r>
      <w:r w:rsidRPr="00026D1B">
        <w:rPr>
          <w:rFonts w:ascii="Verdana" w:hAnsi="Verdana"/>
          <w:sz w:val="20"/>
          <w:szCs w:val="20"/>
          <w:u w:val="single"/>
          <w:lang w:val="es-PE"/>
        </w:rPr>
        <w:t>con la finalidad no declarada e ilegítima</w:t>
      </w:r>
      <w:r w:rsidRPr="00026D1B">
        <w:rPr>
          <w:rFonts w:ascii="Verdana" w:hAnsi="Verdana"/>
          <w:sz w:val="20"/>
          <w:szCs w:val="20"/>
          <w:lang w:val="es-PE"/>
        </w:rPr>
        <w:t xml:space="preserve">, puesto que se hizo uso de una facultad permitida </w:t>
      </w:r>
      <w:r w:rsidRPr="00026D1B">
        <w:rPr>
          <w:rFonts w:ascii="Verdana" w:hAnsi="Verdana"/>
          <w:sz w:val="20"/>
          <w:szCs w:val="20"/>
          <w:lang w:val="es-ES"/>
        </w:rPr>
        <w:t xml:space="preserve">con el objetivo de disfrazar una finalidad que no es legítima a la luz de la Convención Americana. </w:t>
      </w:r>
      <w:r w:rsidRPr="00026D1B">
        <w:rPr>
          <w:rFonts w:ascii="Verdana" w:hAnsi="Verdana" w:cs="BookAntiqua"/>
          <w:sz w:val="20"/>
          <w:szCs w:val="20"/>
        </w:rPr>
        <w:t>Por lo anterior, la Corte IDH debió considerar que el Tribunal Supremo de Justicia actuó con falta de independencia en la resolución de la decisión sobre la incautación de los bienes de RCTV</w:t>
      </w:r>
      <w:r w:rsidRPr="00026D1B">
        <w:rPr>
          <w:rFonts w:ascii="Verdana" w:hAnsi="Verdana"/>
          <w:sz w:val="20"/>
          <w:szCs w:val="20"/>
        </w:rPr>
        <w:t xml:space="preserve">.  </w:t>
      </w:r>
    </w:p>
    <w:p w14:paraId="47E12D62" w14:textId="77777777" w:rsidR="004731B1" w:rsidRPr="00026D1B" w:rsidRDefault="004731B1" w:rsidP="00FD5940">
      <w:pPr>
        <w:tabs>
          <w:tab w:val="left" w:pos="709"/>
          <w:tab w:val="left" w:pos="851"/>
          <w:tab w:val="left" w:pos="5387"/>
        </w:tabs>
        <w:spacing w:after="0" w:line="240" w:lineRule="auto"/>
        <w:jc w:val="both"/>
        <w:rPr>
          <w:rFonts w:ascii="Verdana" w:hAnsi="Verdana"/>
          <w:sz w:val="20"/>
          <w:szCs w:val="20"/>
        </w:rPr>
      </w:pPr>
    </w:p>
    <w:p w14:paraId="2496EA63" w14:textId="77777777" w:rsidR="004731B1" w:rsidRPr="00026D1B" w:rsidRDefault="004731B1" w:rsidP="00FD5940">
      <w:pPr>
        <w:tabs>
          <w:tab w:val="left" w:pos="709"/>
          <w:tab w:val="left" w:pos="851"/>
          <w:tab w:val="left" w:pos="5387"/>
        </w:tabs>
        <w:spacing w:after="0" w:line="240" w:lineRule="auto"/>
        <w:jc w:val="both"/>
        <w:rPr>
          <w:rFonts w:ascii="Verdana" w:hAnsi="Verdana"/>
          <w:sz w:val="20"/>
          <w:szCs w:val="20"/>
          <w:lang w:val="es-ES"/>
        </w:rPr>
      </w:pPr>
      <w:r w:rsidRPr="00026D1B">
        <w:rPr>
          <w:rFonts w:ascii="Verdana" w:hAnsi="Verdana"/>
          <w:sz w:val="20"/>
          <w:szCs w:val="20"/>
        </w:rPr>
        <w:t xml:space="preserve">133. </w:t>
      </w:r>
      <w:r w:rsidRPr="00026D1B">
        <w:rPr>
          <w:rFonts w:ascii="Verdana" w:hAnsi="Verdana"/>
          <w:sz w:val="20"/>
          <w:szCs w:val="20"/>
        </w:rPr>
        <w:tab/>
        <w:t>De igual manera, debe decirse respecto del recurso contencioso administrativo de nulidad, al resultar evidente que coadyuvó con la decisión adoptada con anterioridad de no renovar la concesión; tan es así, que el propio Tribunal Interamericano destacó al respecto, que un efecto más de esa finalidad real e ilegítima fue la violación al artículo 8 de la Convención Americana, ya que “la finalidad del cierre de los procesos administrativos sobre la transformación de los títulos y la renovación era acallar al medio de comunicación”</w:t>
      </w:r>
      <w:r w:rsidRPr="00026D1B">
        <w:rPr>
          <w:rStyle w:val="FootnoteReference"/>
          <w:rFonts w:ascii="Verdana" w:hAnsi="Verdana"/>
          <w:sz w:val="20"/>
          <w:szCs w:val="20"/>
        </w:rPr>
        <w:footnoteReference w:id="152"/>
      </w:r>
      <w:r w:rsidRPr="00026D1B">
        <w:rPr>
          <w:rFonts w:ascii="Verdana" w:hAnsi="Verdana"/>
          <w:sz w:val="20"/>
          <w:szCs w:val="20"/>
        </w:rPr>
        <w:t xml:space="preserve">, por lo que era necesario que dichos procedimientos administrativos continuaran para efectos de definir sobre la transformación o renovación de la concesión. </w:t>
      </w:r>
    </w:p>
    <w:p w14:paraId="4CAA8D03" w14:textId="77777777" w:rsidR="004731B1" w:rsidRPr="00026D1B" w:rsidRDefault="004731B1" w:rsidP="00E2636C">
      <w:pPr>
        <w:tabs>
          <w:tab w:val="num" w:pos="12305"/>
        </w:tabs>
        <w:spacing w:after="0" w:line="240" w:lineRule="auto"/>
        <w:jc w:val="both"/>
        <w:rPr>
          <w:rFonts w:ascii="Verdana" w:hAnsi="Verdana" w:cs="Arial"/>
          <w:sz w:val="20"/>
          <w:szCs w:val="20"/>
        </w:rPr>
      </w:pPr>
    </w:p>
    <w:p w14:paraId="45F09D02" w14:textId="77777777" w:rsidR="004731B1" w:rsidRPr="00026D1B" w:rsidRDefault="004731B1" w:rsidP="003520DD">
      <w:pPr>
        <w:tabs>
          <w:tab w:val="left" w:pos="851"/>
          <w:tab w:val="num" w:pos="12305"/>
        </w:tabs>
        <w:spacing w:after="0" w:line="240" w:lineRule="auto"/>
        <w:jc w:val="both"/>
        <w:rPr>
          <w:rFonts w:ascii="Verdana" w:hAnsi="Verdana" w:cs="Arial"/>
          <w:sz w:val="20"/>
          <w:szCs w:val="20"/>
        </w:rPr>
      </w:pPr>
      <w:r w:rsidRPr="00026D1B">
        <w:rPr>
          <w:rFonts w:ascii="Verdana" w:hAnsi="Verdana" w:cs="Arial"/>
          <w:sz w:val="20"/>
          <w:szCs w:val="20"/>
        </w:rPr>
        <w:t xml:space="preserve">134. </w:t>
      </w:r>
      <w:r w:rsidRPr="00026D1B">
        <w:rPr>
          <w:rFonts w:ascii="Verdana" w:hAnsi="Verdana" w:cs="Arial"/>
          <w:sz w:val="20"/>
          <w:szCs w:val="20"/>
        </w:rPr>
        <w:tab/>
        <w:t>Debe tenerse presente la línea jurisprudencial de la Corte IDH sobre</w:t>
      </w:r>
      <w:r w:rsidRPr="00026D1B">
        <w:rPr>
          <w:rFonts w:ascii="Verdana" w:hAnsi="Verdana" w:cs="Arial"/>
          <w:sz w:val="20"/>
          <w:szCs w:val="20"/>
          <w:lang w:val="es-ES"/>
        </w:rPr>
        <w:t xml:space="preserve"> el derecho a ser juzgado por un juez o tribunal imparcial, considerando que es una garantía fundamental del debido proceso; debiéndose garantizar que el juez o tribunal, en el ejercicio de su función como juzgador, cuente con la mayor objetividad para enfrentar el juicio</w:t>
      </w:r>
      <w:r w:rsidRPr="00026D1B">
        <w:rPr>
          <w:rStyle w:val="FootnoteReference"/>
          <w:rFonts w:ascii="Verdana" w:hAnsi="Verdana" w:cs="Arial"/>
          <w:sz w:val="20"/>
          <w:szCs w:val="20"/>
          <w:lang w:val="es-ES"/>
        </w:rPr>
        <w:footnoteReference w:id="153"/>
      </w:r>
      <w:r w:rsidRPr="00026D1B">
        <w:rPr>
          <w:rFonts w:ascii="Verdana" w:hAnsi="Verdana" w:cs="Arial"/>
          <w:sz w:val="20"/>
          <w:szCs w:val="20"/>
          <w:lang w:val="es-ES"/>
        </w:rPr>
        <w:t>. El Tribunal Interamericano ha establecido que la </w:t>
      </w:r>
      <w:r w:rsidRPr="00026D1B">
        <w:rPr>
          <w:rFonts w:ascii="Verdana" w:hAnsi="Verdana" w:cs="Arial"/>
          <w:bCs/>
          <w:iCs/>
          <w:sz w:val="20"/>
          <w:szCs w:val="20"/>
          <w:lang w:val="es-ES"/>
        </w:rPr>
        <w:t>imparcialidad</w:t>
      </w:r>
      <w:r w:rsidRPr="00026D1B">
        <w:rPr>
          <w:rFonts w:ascii="Verdana" w:hAnsi="Verdana" w:cs="Arial"/>
          <w:sz w:val="20"/>
          <w:szCs w:val="20"/>
          <w:lang w:val="es-ES"/>
        </w:rPr>
        <w:t xml:space="preserve"> exige que el juez que interviene en una contienda particular se aproxime a los hechos de la causa careciendo, de manera subjetiva, de todo prejuicio y, asimismo, ofreciendo garantías suficientes de índole objetiva que </w:t>
      </w:r>
      <w:r w:rsidRPr="00026D1B">
        <w:rPr>
          <w:rFonts w:ascii="Verdana" w:hAnsi="Verdana"/>
          <w:sz w:val="20"/>
        </w:rPr>
        <w:t>inspiren la confianza necesaria a las partes en el caso, así como a los ciudadanos en una sociedad democrática</w:t>
      </w:r>
      <w:r w:rsidRPr="00026D1B">
        <w:rPr>
          <w:rStyle w:val="FootnoteReference"/>
          <w:rFonts w:ascii="Verdana" w:hAnsi="Verdana"/>
          <w:sz w:val="20"/>
        </w:rPr>
        <w:footnoteReference w:id="154"/>
      </w:r>
      <w:r w:rsidRPr="00026D1B">
        <w:rPr>
          <w:rFonts w:ascii="Verdana" w:hAnsi="Verdana"/>
          <w:sz w:val="20"/>
        </w:rPr>
        <w:t>.</w:t>
      </w:r>
      <w:r w:rsidRPr="00026D1B">
        <w:rPr>
          <w:rFonts w:ascii="Verdana" w:hAnsi="Verdana" w:cs="Arial"/>
          <w:sz w:val="20"/>
          <w:szCs w:val="20"/>
          <w:lang w:val="es-ES"/>
        </w:rPr>
        <w:t xml:space="preserve"> La </w:t>
      </w:r>
      <w:r w:rsidRPr="00026D1B">
        <w:rPr>
          <w:rFonts w:ascii="Verdana" w:hAnsi="Verdana" w:cs="Arial"/>
          <w:bCs/>
          <w:iCs/>
          <w:sz w:val="20"/>
          <w:szCs w:val="20"/>
          <w:lang w:val="es-ES"/>
        </w:rPr>
        <w:t>imparcialidad</w:t>
      </w:r>
      <w:r w:rsidRPr="00026D1B">
        <w:rPr>
          <w:rFonts w:ascii="Verdana" w:hAnsi="Verdana" w:cs="Arial"/>
          <w:sz w:val="20"/>
          <w:szCs w:val="20"/>
          <w:lang w:val="es-ES"/>
        </w:rPr>
        <w:t> del tribunal implica que sus integrantes no tengan un interés directo, una posición tomada, una preferencia por alguna de las partes y que no se encuentren involucrados en la controversia</w:t>
      </w:r>
      <w:r w:rsidRPr="00026D1B">
        <w:rPr>
          <w:rStyle w:val="FootnoteReference"/>
          <w:rFonts w:ascii="Verdana" w:hAnsi="Verdana" w:cs="Arial"/>
          <w:sz w:val="20"/>
          <w:szCs w:val="20"/>
          <w:lang w:val="es-ES"/>
        </w:rPr>
        <w:footnoteReference w:id="155"/>
      </w:r>
      <w:r w:rsidRPr="00026D1B">
        <w:rPr>
          <w:rFonts w:ascii="Verdana" w:hAnsi="Verdana" w:cs="Arial"/>
          <w:sz w:val="20"/>
          <w:szCs w:val="20"/>
          <w:lang w:val="es-ES"/>
        </w:rPr>
        <w:t>.</w:t>
      </w:r>
    </w:p>
    <w:p w14:paraId="3AC4254D" w14:textId="77777777" w:rsidR="004731B1" w:rsidRPr="00026D1B" w:rsidRDefault="004731B1" w:rsidP="00E2636C">
      <w:pPr>
        <w:tabs>
          <w:tab w:val="num" w:pos="12305"/>
        </w:tabs>
        <w:spacing w:after="0" w:line="240" w:lineRule="auto"/>
        <w:jc w:val="both"/>
        <w:rPr>
          <w:rFonts w:ascii="Verdana" w:hAnsi="Verdana" w:cs="Arial"/>
          <w:sz w:val="20"/>
          <w:szCs w:val="20"/>
        </w:rPr>
      </w:pPr>
    </w:p>
    <w:p w14:paraId="11D7D112" w14:textId="77777777" w:rsidR="004731B1" w:rsidRPr="00026D1B" w:rsidRDefault="004731B1" w:rsidP="003520DD">
      <w:pPr>
        <w:tabs>
          <w:tab w:val="left" w:pos="851"/>
          <w:tab w:val="num" w:pos="12305"/>
        </w:tabs>
        <w:spacing w:after="0" w:line="240" w:lineRule="auto"/>
        <w:jc w:val="both"/>
        <w:rPr>
          <w:rFonts w:ascii="Verdana" w:hAnsi="Verdana" w:cs="BookAntiqua"/>
          <w:sz w:val="20"/>
          <w:szCs w:val="20"/>
        </w:rPr>
      </w:pPr>
      <w:r w:rsidRPr="00026D1B">
        <w:rPr>
          <w:rFonts w:ascii="Verdana" w:hAnsi="Verdana" w:cs="Arial"/>
          <w:sz w:val="20"/>
          <w:szCs w:val="20"/>
        </w:rPr>
        <w:t xml:space="preserve">135. </w:t>
      </w:r>
      <w:r w:rsidRPr="00026D1B">
        <w:rPr>
          <w:rFonts w:ascii="Verdana" w:hAnsi="Verdana" w:cs="Arial"/>
          <w:sz w:val="20"/>
          <w:szCs w:val="20"/>
        </w:rPr>
        <w:tab/>
        <w:t xml:space="preserve">En el caso concreto, la Sala Constitucional del Tribunal Supremo de Justicia </w:t>
      </w:r>
      <w:r w:rsidRPr="00026D1B">
        <w:rPr>
          <w:rFonts w:ascii="Verdana" w:hAnsi="Verdana" w:cs="Arial"/>
          <w:sz w:val="20"/>
          <w:szCs w:val="20"/>
          <w:u w:val="single"/>
        </w:rPr>
        <w:t>determinó asignar el uso de los bienes propiedad de RCTV a TVes a través del otorgamiento de las medidas cautelares en dos procesos donde se le hacían requerimientos contrarios</w:t>
      </w:r>
      <w:r w:rsidRPr="00026D1B">
        <w:rPr>
          <w:rFonts w:ascii="Verdana" w:hAnsi="Verdana" w:cs="Arial"/>
          <w:sz w:val="20"/>
          <w:szCs w:val="20"/>
        </w:rPr>
        <w:t xml:space="preserve">. En efecto, a pesar de que en </w:t>
      </w:r>
      <w:r w:rsidRPr="00026D1B">
        <w:rPr>
          <w:rFonts w:ascii="Verdana" w:hAnsi="Verdana" w:cs="BookAntiqua"/>
          <w:sz w:val="20"/>
          <w:szCs w:val="20"/>
        </w:rPr>
        <w:t xml:space="preserve">la demanda por intereses difusos y colectivos se solicitaba al Tribunal Supremo permitir a RCTV continuar con sus transmisiones, el Tribunal Supremo de Justicia </w:t>
      </w:r>
      <w:r w:rsidRPr="00026D1B">
        <w:rPr>
          <w:rFonts w:ascii="Verdana" w:hAnsi="Verdana" w:cs="BookAntiqua"/>
          <w:sz w:val="20"/>
          <w:szCs w:val="20"/>
          <w:u w:val="single"/>
        </w:rPr>
        <w:t>decidió, de oficio, asignar a TVes el uso de los bienes de RCTV.</w:t>
      </w:r>
      <w:r w:rsidRPr="00026D1B">
        <w:rPr>
          <w:rFonts w:ascii="Verdana" w:hAnsi="Verdana" w:cs="BookAntiqua"/>
          <w:sz w:val="20"/>
          <w:szCs w:val="20"/>
        </w:rPr>
        <w:t xml:space="preserve"> Dicha decisión del Tribunal Supremo de Justicia refleja que el análisis de los hechos, planteados en la demanda, fue realizado con base en la decisión previamente tomada de otorgar a TVes la plataforma y los bienes que necesitaba para poder transmitir a nivel nacional. Lo anterior pone en evidencia, a mi juicio, una clara falta de imparcialidad en la actuación de la Sala Constitucional al resolver la medida cautelar presentada conjuntamente con la demanda por intereses difusos y colectivos; lo que corrobora que el Tribunal Supremo contribuyó con la finalidad no declarada e ilegítima (desvío de poder).</w:t>
      </w:r>
    </w:p>
    <w:p w14:paraId="1F7C47B4" w14:textId="77777777" w:rsidR="004731B1" w:rsidRPr="00026D1B" w:rsidRDefault="004731B1" w:rsidP="00D61174">
      <w:pPr>
        <w:tabs>
          <w:tab w:val="num" w:pos="12305"/>
        </w:tabs>
        <w:spacing w:after="0" w:line="240" w:lineRule="auto"/>
        <w:jc w:val="both"/>
        <w:rPr>
          <w:rFonts w:ascii="Verdana" w:hAnsi="Verdana" w:cs="BookAntiqua"/>
          <w:sz w:val="20"/>
          <w:szCs w:val="20"/>
        </w:rPr>
      </w:pPr>
    </w:p>
    <w:p w14:paraId="7DD785A6" w14:textId="77777777" w:rsidR="004731B1" w:rsidRPr="00026D1B" w:rsidRDefault="004731B1" w:rsidP="00B134A6">
      <w:pPr>
        <w:tabs>
          <w:tab w:val="left" w:pos="851"/>
          <w:tab w:val="num" w:pos="12305"/>
        </w:tabs>
        <w:spacing w:after="0" w:line="240" w:lineRule="auto"/>
        <w:jc w:val="both"/>
        <w:rPr>
          <w:rFonts w:ascii="Verdana" w:hAnsi="Verdana"/>
          <w:sz w:val="20"/>
          <w:szCs w:val="20"/>
          <w:lang w:val="es-ES_tradnl"/>
        </w:rPr>
      </w:pPr>
      <w:r w:rsidRPr="00026D1B">
        <w:rPr>
          <w:rFonts w:ascii="Verdana" w:hAnsi="Verdana" w:cs="BookAntiqua"/>
          <w:sz w:val="20"/>
          <w:szCs w:val="20"/>
        </w:rPr>
        <w:lastRenderedPageBreak/>
        <w:t xml:space="preserve">136. </w:t>
      </w:r>
      <w:r w:rsidRPr="00026D1B">
        <w:rPr>
          <w:rFonts w:ascii="Verdana" w:hAnsi="Verdana" w:cs="BookAntiqua"/>
          <w:sz w:val="20"/>
          <w:szCs w:val="20"/>
        </w:rPr>
        <w:tab/>
        <w:t xml:space="preserve">El haber declarado violado el artículo 8.1 de la Convención Americana (en cuanto a la falta de independencia e imparcialidad) fortalecería la congruencia de la decisión de la Corte IDH reflejada en los Puntos Resolutivos 15 y 16 de la Sentencia </w:t>
      </w:r>
      <w:r w:rsidRPr="00026D1B">
        <w:rPr>
          <w:rFonts w:ascii="Verdana" w:hAnsi="Verdana"/>
          <w:sz w:val="20"/>
          <w:szCs w:val="20"/>
        </w:rPr>
        <w:t>—</w:t>
      </w:r>
      <w:r w:rsidRPr="00026D1B">
        <w:rPr>
          <w:rFonts w:ascii="Verdana" w:hAnsi="Verdana" w:cs="BookAntiqua"/>
          <w:sz w:val="20"/>
          <w:szCs w:val="20"/>
        </w:rPr>
        <w:t>que comparto plenamente</w:t>
      </w:r>
      <w:r w:rsidRPr="00026D1B">
        <w:rPr>
          <w:rFonts w:ascii="Verdana" w:hAnsi="Verdana"/>
          <w:sz w:val="20"/>
          <w:szCs w:val="20"/>
        </w:rPr>
        <w:t>—</w:t>
      </w:r>
      <w:r w:rsidRPr="00026D1B">
        <w:rPr>
          <w:rFonts w:ascii="Verdana" w:hAnsi="Verdana" w:cs="BookAntiqua"/>
          <w:sz w:val="20"/>
          <w:szCs w:val="20"/>
        </w:rPr>
        <w:t>, relativa a que el Estado “</w:t>
      </w:r>
      <w:r w:rsidRPr="00026D1B">
        <w:rPr>
          <w:rFonts w:ascii="Verdana" w:hAnsi="Verdana"/>
          <w:spacing w:val="-2"/>
          <w:sz w:val="20"/>
          <w:szCs w:val="20"/>
          <w:lang w:val="es-PR"/>
        </w:rPr>
        <w:t xml:space="preserve">deberá </w:t>
      </w:r>
      <w:r w:rsidRPr="00026D1B">
        <w:rPr>
          <w:rFonts w:ascii="Verdana" w:hAnsi="Verdana"/>
          <w:sz w:val="20"/>
          <w:szCs w:val="20"/>
          <w:lang w:val="es-ES_tradnl"/>
        </w:rPr>
        <w:t>restablecer la concesión de la frecuencia del espectro radioeléctrico correspondiente al canal 2”, ordenando para tal efecto “</w:t>
      </w:r>
      <w:r w:rsidRPr="00026D1B">
        <w:rPr>
          <w:rFonts w:ascii="Verdana" w:hAnsi="Verdana"/>
          <w:sz w:val="20"/>
          <w:szCs w:val="20"/>
          <w:u w:val="single"/>
          <w:lang w:val="es-ES_tradnl"/>
        </w:rPr>
        <w:t>la devolución de los bienes objeto de las medidas cautelares, por cuanto son elementos indispensables para la efectiva operación de la concesión</w:t>
      </w:r>
      <w:r w:rsidRPr="00026D1B">
        <w:rPr>
          <w:rFonts w:ascii="Verdana" w:hAnsi="Verdana"/>
          <w:sz w:val="20"/>
          <w:szCs w:val="20"/>
          <w:lang w:val="es-ES_tradnl"/>
        </w:rPr>
        <w:t>. Además, esta medida repara las violaciones declaradas en relación con las garantías judiciales al derecho a ser oído y a un plazo razonable en los procesos judiciales respecto al trámite de la demanda por intereses difusos y colectivos”</w:t>
      </w:r>
      <w:r w:rsidRPr="00026D1B">
        <w:rPr>
          <w:rStyle w:val="FootnoteReference"/>
          <w:rFonts w:ascii="Verdana" w:hAnsi="Verdana"/>
          <w:sz w:val="20"/>
          <w:szCs w:val="20"/>
          <w:lang w:val="es-ES_tradnl"/>
        </w:rPr>
        <w:footnoteReference w:id="156"/>
      </w:r>
      <w:r w:rsidRPr="00026D1B">
        <w:rPr>
          <w:rFonts w:ascii="Verdana" w:hAnsi="Verdana"/>
          <w:sz w:val="20"/>
          <w:szCs w:val="20"/>
          <w:lang w:val="es-ES_tradnl"/>
        </w:rPr>
        <w:t>.</w:t>
      </w:r>
    </w:p>
    <w:p w14:paraId="502F3986" w14:textId="77777777" w:rsidR="004731B1" w:rsidRPr="00026D1B" w:rsidRDefault="004731B1" w:rsidP="00B134A6">
      <w:pPr>
        <w:pStyle w:val="Default"/>
        <w:jc w:val="both"/>
        <w:rPr>
          <w:b/>
          <w:color w:val="auto"/>
          <w:spacing w:val="-2"/>
          <w:sz w:val="20"/>
          <w:szCs w:val="20"/>
          <w:lang w:val="es-PR"/>
        </w:rPr>
      </w:pPr>
    </w:p>
    <w:p w14:paraId="3EBEAC36" w14:textId="77777777" w:rsidR="004731B1" w:rsidRPr="00026D1B" w:rsidRDefault="004731B1" w:rsidP="00291C02">
      <w:pPr>
        <w:tabs>
          <w:tab w:val="left" w:pos="851"/>
          <w:tab w:val="num" w:pos="12305"/>
        </w:tabs>
        <w:spacing w:after="0" w:line="240" w:lineRule="auto"/>
        <w:jc w:val="both"/>
        <w:rPr>
          <w:rFonts w:ascii="Verdana" w:hAnsi="Verdana"/>
          <w:sz w:val="20"/>
          <w:szCs w:val="20"/>
        </w:rPr>
      </w:pPr>
      <w:r w:rsidRPr="00026D1B">
        <w:rPr>
          <w:rFonts w:ascii="Verdana" w:hAnsi="Verdana" w:cs="BookAntiqua"/>
          <w:sz w:val="20"/>
          <w:szCs w:val="20"/>
        </w:rPr>
        <w:t xml:space="preserve">137. </w:t>
      </w:r>
      <w:r w:rsidRPr="00026D1B">
        <w:rPr>
          <w:rFonts w:ascii="Verdana" w:hAnsi="Verdana" w:cs="BookAntiqua"/>
          <w:sz w:val="20"/>
          <w:szCs w:val="20"/>
        </w:rPr>
        <w:tab/>
        <w:t>En suma, la Corte IDH debió establecer que el Tribunal Supremo de Justicia incumplió con las garantías de independencia e imparcialidad en la resolución de la decisión sobre la incautación de los bienes de RCTV</w:t>
      </w:r>
      <w:r w:rsidRPr="00026D1B">
        <w:rPr>
          <w:rFonts w:ascii="Verdana" w:hAnsi="Verdana"/>
          <w:sz w:val="20"/>
          <w:szCs w:val="20"/>
        </w:rPr>
        <w:t>, situación que también se advierte respecto del recurso contencioso de nulidad, ya que todas estas resoluciones, en su conjunto, coadyuvan con la decisión previa, tomada por las autoridades del poder ejecutivo, de no renovar la concesión de RCTV. Consecuentemente, debió declararse violado el artículo 8.1 en relación con el 1.1 de la Convención Americana, respecto al incumplimiento de las garantías de independencia e imparcialidad; lo que daría congruencia con lo previamente decidido respecto a la configuración de una “desviación de poder”, respecto a las restricciones indirectas al ejercicio de la libertad de expresión (Art. 13 de la Convención) y a lo ordenado como medidas de restitución en los Puntos Resolutivos 15 y 16 de la Sentencia.</w:t>
      </w:r>
    </w:p>
    <w:p w14:paraId="400F246B" w14:textId="77777777" w:rsidR="00427FF5" w:rsidRDefault="00427FF5" w:rsidP="00427FF5">
      <w:pPr>
        <w:tabs>
          <w:tab w:val="left" w:pos="709"/>
          <w:tab w:val="left" w:pos="851"/>
          <w:tab w:val="left" w:pos="5387"/>
        </w:tabs>
        <w:spacing w:after="0" w:line="240" w:lineRule="auto"/>
        <w:rPr>
          <w:rFonts w:ascii="Verdana" w:hAnsi="Verdana"/>
          <w:b/>
          <w:sz w:val="20"/>
          <w:szCs w:val="20"/>
        </w:rPr>
      </w:pPr>
    </w:p>
    <w:p w14:paraId="1316DC63" w14:textId="77777777" w:rsidR="00427FF5" w:rsidRDefault="00427FF5" w:rsidP="00427FF5">
      <w:pPr>
        <w:tabs>
          <w:tab w:val="left" w:pos="709"/>
          <w:tab w:val="left" w:pos="851"/>
          <w:tab w:val="left" w:pos="5387"/>
        </w:tabs>
        <w:spacing w:after="0" w:line="240" w:lineRule="auto"/>
        <w:rPr>
          <w:rFonts w:ascii="Verdana" w:hAnsi="Verdana"/>
          <w:b/>
          <w:sz w:val="20"/>
          <w:szCs w:val="20"/>
        </w:rPr>
      </w:pPr>
    </w:p>
    <w:p w14:paraId="00D9ACB9" w14:textId="77777777" w:rsidR="004731B1" w:rsidRPr="00026D1B" w:rsidRDefault="004731B1" w:rsidP="00910C88">
      <w:pPr>
        <w:tabs>
          <w:tab w:val="left" w:pos="709"/>
          <w:tab w:val="left" w:pos="851"/>
          <w:tab w:val="left" w:pos="5387"/>
        </w:tabs>
        <w:spacing w:after="0" w:line="240" w:lineRule="auto"/>
        <w:jc w:val="center"/>
        <w:rPr>
          <w:rFonts w:ascii="Verdana" w:hAnsi="Verdana"/>
          <w:b/>
          <w:sz w:val="20"/>
          <w:szCs w:val="20"/>
        </w:rPr>
      </w:pPr>
      <w:r w:rsidRPr="00026D1B">
        <w:rPr>
          <w:rFonts w:ascii="Verdana" w:hAnsi="Verdana"/>
          <w:b/>
          <w:sz w:val="20"/>
          <w:szCs w:val="20"/>
        </w:rPr>
        <w:t>V. CONCLUSIÓN</w:t>
      </w:r>
    </w:p>
    <w:p w14:paraId="6F118759" w14:textId="77777777" w:rsidR="00427FF5" w:rsidRDefault="00427FF5" w:rsidP="008B1D35">
      <w:pPr>
        <w:tabs>
          <w:tab w:val="left" w:pos="709"/>
          <w:tab w:val="left" w:pos="851"/>
          <w:tab w:val="left" w:pos="5387"/>
        </w:tabs>
        <w:spacing w:after="0" w:line="240" w:lineRule="auto"/>
        <w:jc w:val="both"/>
        <w:rPr>
          <w:rFonts w:ascii="Verdana" w:hAnsi="Verdana"/>
          <w:sz w:val="20"/>
          <w:szCs w:val="20"/>
        </w:rPr>
      </w:pPr>
    </w:p>
    <w:p w14:paraId="2BAB5449" w14:textId="77777777" w:rsidR="004731B1" w:rsidRPr="00026D1B" w:rsidRDefault="004731B1" w:rsidP="008B1D35">
      <w:pPr>
        <w:tabs>
          <w:tab w:val="left" w:pos="709"/>
          <w:tab w:val="left" w:pos="851"/>
          <w:tab w:val="left" w:pos="5387"/>
        </w:tabs>
        <w:spacing w:after="0" w:line="240" w:lineRule="auto"/>
        <w:jc w:val="both"/>
        <w:rPr>
          <w:rFonts w:ascii="Verdana" w:hAnsi="Verdana"/>
          <w:sz w:val="20"/>
          <w:szCs w:val="20"/>
          <w:lang w:val="es-ES_tradnl"/>
        </w:rPr>
      </w:pPr>
      <w:r w:rsidRPr="00026D1B">
        <w:rPr>
          <w:rFonts w:ascii="Verdana" w:hAnsi="Verdana"/>
          <w:sz w:val="20"/>
          <w:szCs w:val="20"/>
        </w:rPr>
        <w:t xml:space="preserve">138. </w:t>
      </w:r>
      <w:r w:rsidRPr="00026D1B">
        <w:rPr>
          <w:rFonts w:ascii="Verdana" w:hAnsi="Verdana"/>
          <w:sz w:val="20"/>
          <w:szCs w:val="20"/>
        </w:rPr>
        <w:tab/>
        <w:t>RCTV no era cualquier medio de comunicación privado en Venezuela. Se trata de un medio de comunicación social que operaba desde 1953 y que, al momento de su cierre, “</w:t>
      </w:r>
      <w:r w:rsidRPr="00026D1B">
        <w:rPr>
          <w:rFonts w:ascii="Verdana" w:hAnsi="Verdana"/>
          <w:sz w:val="20"/>
          <w:szCs w:val="20"/>
          <w:lang w:val="es-ES_tradnl"/>
        </w:rPr>
        <w:t>era el canal de televisión con cobertura nacional que [contaba con] la más alta sintonía en todos los sectores de la población venezolana”</w:t>
      </w:r>
      <w:r w:rsidRPr="00026D1B">
        <w:rPr>
          <w:rStyle w:val="FootnoteReference"/>
          <w:rFonts w:ascii="Verdana" w:hAnsi="Verdana"/>
          <w:sz w:val="20"/>
          <w:szCs w:val="20"/>
          <w:lang w:val="es-ES_tradnl"/>
        </w:rPr>
        <w:footnoteReference w:id="157"/>
      </w:r>
      <w:r w:rsidRPr="00026D1B">
        <w:rPr>
          <w:rFonts w:ascii="Verdana" w:hAnsi="Verdana"/>
          <w:sz w:val="20"/>
          <w:szCs w:val="20"/>
          <w:lang w:val="es-ES_tradnl"/>
        </w:rPr>
        <w:t xml:space="preserve"> de las distintas estaciones de televisión del país, manteniendo una línea editorial crítica hacia gobierno.</w:t>
      </w:r>
    </w:p>
    <w:p w14:paraId="66CD2D9D" w14:textId="77777777" w:rsidR="004731B1" w:rsidRPr="00026D1B" w:rsidRDefault="004731B1" w:rsidP="008B1D35">
      <w:pPr>
        <w:tabs>
          <w:tab w:val="left" w:pos="709"/>
          <w:tab w:val="left" w:pos="851"/>
          <w:tab w:val="left" w:pos="5387"/>
        </w:tabs>
        <w:spacing w:after="0" w:line="240" w:lineRule="auto"/>
        <w:jc w:val="both"/>
        <w:rPr>
          <w:rFonts w:ascii="Verdana" w:hAnsi="Verdana"/>
          <w:sz w:val="20"/>
          <w:szCs w:val="20"/>
        </w:rPr>
      </w:pPr>
    </w:p>
    <w:p w14:paraId="685BC99B" w14:textId="76EE6C2B" w:rsidR="004731B1" w:rsidRPr="00026D1B" w:rsidRDefault="004731B1" w:rsidP="00D070DD">
      <w:pPr>
        <w:tabs>
          <w:tab w:val="left" w:pos="709"/>
          <w:tab w:val="left" w:pos="851"/>
          <w:tab w:val="left" w:pos="5387"/>
        </w:tabs>
        <w:spacing w:line="240" w:lineRule="auto"/>
        <w:jc w:val="both"/>
        <w:rPr>
          <w:rFonts w:ascii="Verdana" w:hAnsi="Verdana"/>
          <w:sz w:val="20"/>
          <w:szCs w:val="20"/>
          <w:lang w:val="es-PE"/>
        </w:rPr>
      </w:pPr>
      <w:r w:rsidRPr="00026D1B">
        <w:rPr>
          <w:rFonts w:ascii="Verdana" w:hAnsi="Verdana"/>
          <w:sz w:val="20"/>
          <w:szCs w:val="20"/>
        </w:rPr>
        <w:t xml:space="preserve">139. </w:t>
      </w:r>
      <w:r w:rsidRPr="00026D1B">
        <w:rPr>
          <w:rFonts w:ascii="Verdana" w:hAnsi="Verdana"/>
          <w:sz w:val="20"/>
          <w:szCs w:val="20"/>
        </w:rPr>
        <w:tab/>
        <w:t>Esta línea editorial crítica tuvo como consecuencia que se utilizaran vías o medios indirectos por parte del gobierno para restringir el derecho a la libertad de expresión de las víctimas que ejercían por conducto de RCTV</w:t>
      </w:r>
      <w:r w:rsidR="00041225">
        <w:rPr>
          <w:rFonts w:ascii="Verdana" w:hAnsi="Verdana"/>
          <w:sz w:val="20"/>
          <w:szCs w:val="20"/>
        </w:rPr>
        <w:t>,</w:t>
      </w:r>
      <w:r w:rsidRPr="00026D1B">
        <w:rPr>
          <w:rFonts w:ascii="Verdana" w:hAnsi="Verdana"/>
          <w:sz w:val="20"/>
          <w:szCs w:val="20"/>
        </w:rPr>
        <w:t xml:space="preserve"> debido a la “desviación de poder” en las esferas gubernamentales; ya que la finalidad declarada en las resoluciones oficiales para la no renovación de la concesión no era la real, sino que estas constituían un disfraz para dar una apariencia de legalidad, siendo que</w:t>
      </w:r>
      <w:r w:rsidR="00041225">
        <w:rPr>
          <w:rFonts w:ascii="Verdana" w:hAnsi="Verdana"/>
          <w:sz w:val="20"/>
          <w:szCs w:val="20"/>
        </w:rPr>
        <w:t>, como se dice en la Sentencia,</w:t>
      </w:r>
      <w:r w:rsidRPr="00026D1B">
        <w:rPr>
          <w:rFonts w:ascii="Verdana" w:hAnsi="Verdana"/>
          <w:sz w:val="20"/>
          <w:szCs w:val="20"/>
        </w:rPr>
        <w:t xml:space="preserve"> “</w:t>
      </w:r>
      <w:r w:rsidRPr="00026D1B">
        <w:rPr>
          <w:rFonts w:ascii="Verdana" w:hAnsi="Verdana"/>
          <w:sz w:val="20"/>
          <w:szCs w:val="20"/>
          <w:lang w:val="es-PE"/>
        </w:rPr>
        <w:t>la finalidad real buscaba acallar voces críticas al gobierno, las cuales se constituyen junto con el pluralismo, la tolerancia y el espíritu de apertura, en las demandas propias de un debate democrático que, justamente, el derecho a la libertad de expresión busca proteger”</w:t>
      </w:r>
      <w:r w:rsidRPr="00026D1B">
        <w:rPr>
          <w:rStyle w:val="FootnoteReference"/>
          <w:rFonts w:ascii="Verdana" w:hAnsi="Verdana"/>
          <w:sz w:val="20"/>
          <w:szCs w:val="20"/>
          <w:lang w:val="es-PE"/>
        </w:rPr>
        <w:footnoteReference w:id="158"/>
      </w:r>
      <w:r w:rsidRPr="00026D1B">
        <w:rPr>
          <w:rFonts w:ascii="Verdana" w:hAnsi="Verdana"/>
          <w:sz w:val="20"/>
          <w:szCs w:val="20"/>
          <w:lang w:val="es-PE"/>
        </w:rPr>
        <w:t>.</w:t>
      </w:r>
    </w:p>
    <w:p w14:paraId="24523CE4" w14:textId="77777777" w:rsidR="004731B1" w:rsidRPr="00026D1B" w:rsidRDefault="004731B1" w:rsidP="00A53DAC">
      <w:pPr>
        <w:tabs>
          <w:tab w:val="left" w:pos="709"/>
          <w:tab w:val="left" w:pos="851"/>
          <w:tab w:val="left" w:pos="5387"/>
        </w:tabs>
        <w:spacing w:line="240" w:lineRule="auto"/>
        <w:jc w:val="both"/>
        <w:rPr>
          <w:rFonts w:ascii="Verdana" w:hAnsi="Verdana"/>
          <w:sz w:val="20"/>
          <w:szCs w:val="20"/>
          <w:lang w:val="es-PE"/>
        </w:rPr>
      </w:pPr>
      <w:r w:rsidRPr="00026D1B">
        <w:rPr>
          <w:rFonts w:ascii="Verdana" w:hAnsi="Verdana"/>
          <w:sz w:val="20"/>
          <w:szCs w:val="20"/>
          <w:lang w:val="es-PE"/>
        </w:rPr>
        <w:t xml:space="preserve">140. </w:t>
      </w:r>
      <w:r w:rsidRPr="00026D1B">
        <w:rPr>
          <w:rFonts w:ascii="Verdana" w:hAnsi="Verdana"/>
          <w:sz w:val="20"/>
          <w:szCs w:val="20"/>
          <w:lang w:val="es-PE"/>
        </w:rPr>
        <w:tab/>
        <w:t xml:space="preserve"> Sin una garantía efectiva de la libertad de expresión se debilitan los sistemas democráticos, propiciando un campo fértil para el arraigo de sistemas autoritarios, tal como lo expresó el Tribunal Interamericano en la Sentencia</w:t>
      </w:r>
      <w:r w:rsidRPr="00026D1B">
        <w:rPr>
          <w:rStyle w:val="FootnoteReference"/>
          <w:rFonts w:ascii="Verdana" w:hAnsi="Verdana"/>
          <w:sz w:val="20"/>
          <w:szCs w:val="20"/>
          <w:lang w:val="es-PE"/>
        </w:rPr>
        <w:footnoteReference w:id="159"/>
      </w:r>
      <w:r w:rsidRPr="00026D1B">
        <w:rPr>
          <w:rFonts w:ascii="Verdana" w:hAnsi="Verdana"/>
          <w:sz w:val="20"/>
          <w:szCs w:val="20"/>
          <w:lang w:val="es-PE"/>
        </w:rPr>
        <w:t xml:space="preserve">. De ahí también la importancia de la medida de reparación adoptada de restituir la concesión de la frecuencia del espectro radioeléctrico correspondiente al canal 2 de televisión; devolver, para tal efecto, los bienes </w:t>
      </w:r>
      <w:r w:rsidRPr="00026D1B">
        <w:rPr>
          <w:rFonts w:ascii="Verdana" w:hAnsi="Verdana"/>
          <w:sz w:val="20"/>
          <w:szCs w:val="20"/>
          <w:lang w:val="es-PE"/>
        </w:rPr>
        <w:lastRenderedPageBreak/>
        <w:t>propiedad de RCTV y, en su momento, llevar a cabo un proceso abierto, independiente y transparente para el otorgamiento de dicha frecuencia.</w:t>
      </w:r>
    </w:p>
    <w:p w14:paraId="01F6BACB" w14:textId="4B3980DD" w:rsidR="004731B1" w:rsidRPr="00026D1B" w:rsidRDefault="004731B1" w:rsidP="00AD5115">
      <w:pPr>
        <w:tabs>
          <w:tab w:val="left" w:pos="709"/>
          <w:tab w:val="left" w:pos="851"/>
          <w:tab w:val="left" w:pos="5387"/>
        </w:tabs>
        <w:spacing w:line="240" w:lineRule="auto"/>
        <w:jc w:val="both"/>
        <w:rPr>
          <w:rFonts w:ascii="Verdana" w:hAnsi="Verdana"/>
          <w:sz w:val="20"/>
          <w:szCs w:val="20"/>
          <w:lang w:val="es-PE"/>
        </w:rPr>
      </w:pPr>
      <w:r w:rsidRPr="00026D1B">
        <w:rPr>
          <w:rFonts w:ascii="Verdana" w:hAnsi="Verdana"/>
          <w:sz w:val="20"/>
          <w:szCs w:val="20"/>
          <w:lang w:val="es-PE"/>
        </w:rPr>
        <w:t xml:space="preserve">141. </w:t>
      </w:r>
      <w:r w:rsidRPr="00026D1B">
        <w:rPr>
          <w:rFonts w:ascii="Verdana" w:hAnsi="Verdana"/>
          <w:sz w:val="20"/>
          <w:szCs w:val="20"/>
          <w:lang w:val="es-PE"/>
        </w:rPr>
        <w:tab/>
      </w:r>
      <w:r w:rsidRPr="00026D1B">
        <w:rPr>
          <w:rFonts w:ascii="Verdana" w:hAnsi="Verdana"/>
          <w:sz w:val="20"/>
          <w:szCs w:val="20"/>
          <w:lang w:val="es-PE"/>
        </w:rPr>
        <w:tab/>
        <w:t xml:space="preserve">Más allá de las divergencias relativas a excluir como víctimas a un grupo de accionistas por no formar parte de la junta directiva y no considerar probada las violaciones a los derechos de propiedad </w:t>
      </w:r>
      <w:r w:rsidR="00BA3C01">
        <w:rPr>
          <w:rFonts w:ascii="Verdana" w:hAnsi="Verdana"/>
          <w:sz w:val="20"/>
          <w:szCs w:val="20"/>
          <w:lang w:val="es-PE"/>
        </w:rPr>
        <w:t xml:space="preserve">privada </w:t>
      </w:r>
      <w:r w:rsidRPr="00026D1B">
        <w:rPr>
          <w:rFonts w:ascii="Verdana" w:hAnsi="Verdana"/>
          <w:sz w:val="20"/>
          <w:szCs w:val="20"/>
          <w:lang w:val="es-PE"/>
        </w:rPr>
        <w:t>y de independencia e imparcialidad conforme lo he tratado de argumentar a t</w:t>
      </w:r>
      <w:r w:rsidR="00365A1C">
        <w:rPr>
          <w:rFonts w:ascii="Verdana" w:hAnsi="Verdana"/>
          <w:sz w:val="20"/>
          <w:szCs w:val="20"/>
          <w:lang w:val="es-PE"/>
        </w:rPr>
        <w:t>ravés del presente voto</w:t>
      </w:r>
      <w:r w:rsidR="0072014F">
        <w:rPr>
          <w:rFonts w:ascii="Verdana" w:hAnsi="Verdana"/>
          <w:sz w:val="20"/>
          <w:szCs w:val="20"/>
          <w:lang w:val="es-PE"/>
        </w:rPr>
        <w:t xml:space="preserve"> razonado</w:t>
      </w:r>
      <w:r w:rsidRPr="00026D1B">
        <w:rPr>
          <w:rFonts w:ascii="Verdana" w:hAnsi="Verdana"/>
          <w:sz w:val="20"/>
          <w:szCs w:val="20"/>
          <w:lang w:val="es-PE"/>
        </w:rPr>
        <w:t xml:space="preserve">, en la Sentencia se establecen estándares de la mayor relevancia para la región, </w:t>
      </w:r>
      <w:r w:rsidR="00365A1C">
        <w:rPr>
          <w:rFonts w:ascii="Verdana" w:hAnsi="Verdana"/>
          <w:sz w:val="20"/>
          <w:szCs w:val="20"/>
          <w:lang w:val="es-PE"/>
        </w:rPr>
        <w:t>que contribuye</w:t>
      </w:r>
      <w:r w:rsidR="00326D46">
        <w:rPr>
          <w:rFonts w:ascii="Verdana" w:hAnsi="Verdana"/>
          <w:sz w:val="20"/>
          <w:szCs w:val="20"/>
          <w:lang w:val="es-PE"/>
        </w:rPr>
        <w:t>n</w:t>
      </w:r>
      <w:r w:rsidR="00365A1C">
        <w:rPr>
          <w:rFonts w:ascii="Verdana" w:hAnsi="Verdana"/>
          <w:sz w:val="20"/>
          <w:szCs w:val="20"/>
          <w:lang w:val="es-PE"/>
        </w:rPr>
        <w:t xml:space="preserve"> a la construcción progresiva de</w:t>
      </w:r>
      <w:r w:rsidRPr="00026D1B">
        <w:rPr>
          <w:rFonts w:ascii="Verdana" w:hAnsi="Verdana"/>
          <w:sz w:val="20"/>
          <w:szCs w:val="20"/>
          <w:lang w:val="es-PE"/>
        </w:rPr>
        <w:t xml:space="preserve"> un </w:t>
      </w:r>
      <w:r w:rsidRPr="00026D1B">
        <w:rPr>
          <w:rFonts w:ascii="Verdana" w:hAnsi="Verdana"/>
          <w:i/>
          <w:sz w:val="20"/>
          <w:szCs w:val="20"/>
          <w:lang w:val="es-PE"/>
        </w:rPr>
        <w:t>ius constitutionale commune</w:t>
      </w:r>
      <w:r w:rsidR="00736689">
        <w:rPr>
          <w:rFonts w:ascii="Verdana" w:hAnsi="Verdana"/>
          <w:sz w:val="20"/>
          <w:szCs w:val="20"/>
          <w:lang w:val="es-PE"/>
        </w:rPr>
        <w:t xml:space="preserve"> </w:t>
      </w:r>
      <w:r w:rsidR="0072014F">
        <w:rPr>
          <w:rFonts w:ascii="Verdana" w:hAnsi="Verdana"/>
          <w:sz w:val="20"/>
          <w:szCs w:val="20"/>
          <w:lang w:val="es-PE"/>
        </w:rPr>
        <w:t>cimentado</w:t>
      </w:r>
      <w:r w:rsidR="008D3C6E">
        <w:rPr>
          <w:rFonts w:ascii="Verdana" w:hAnsi="Verdana"/>
          <w:sz w:val="20"/>
          <w:szCs w:val="20"/>
          <w:lang w:val="es-PE"/>
        </w:rPr>
        <w:t xml:space="preserve"> </w:t>
      </w:r>
      <w:r w:rsidR="00BA3C01">
        <w:rPr>
          <w:rFonts w:ascii="Verdana" w:hAnsi="Verdana"/>
          <w:sz w:val="20"/>
          <w:szCs w:val="20"/>
          <w:lang w:val="es-PE"/>
        </w:rPr>
        <w:t xml:space="preserve">en la efectividad de </w:t>
      </w:r>
      <w:r w:rsidR="00736689">
        <w:rPr>
          <w:rFonts w:ascii="Verdana" w:hAnsi="Verdana"/>
          <w:sz w:val="20"/>
          <w:szCs w:val="20"/>
          <w:lang w:val="es-PE"/>
        </w:rPr>
        <w:t>los derechos humanos</w:t>
      </w:r>
      <w:r w:rsidRPr="00026D1B">
        <w:rPr>
          <w:rFonts w:ascii="Verdana" w:hAnsi="Verdana"/>
          <w:sz w:val="20"/>
          <w:szCs w:val="20"/>
          <w:lang w:val="es-PE"/>
        </w:rPr>
        <w:t xml:space="preserve">; especialmente importante para el debido respeto y garantía de los derechos convencionales en los procedimientos para el otorgamiento o renovación de concesiones en materia de telecomunicaciones. </w:t>
      </w:r>
    </w:p>
    <w:p w14:paraId="70EA82BC" w14:textId="1241BA1F" w:rsidR="00365A1C" w:rsidRDefault="004731B1" w:rsidP="00D44BB6">
      <w:pPr>
        <w:tabs>
          <w:tab w:val="left" w:pos="709"/>
          <w:tab w:val="left" w:pos="851"/>
          <w:tab w:val="left" w:pos="5387"/>
        </w:tabs>
        <w:spacing w:line="240" w:lineRule="auto"/>
        <w:jc w:val="both"/>
        <w:rPr>
          <w:rFonts w:ascii="Verdana" w:hAnsi="Verdana"/>
          <w:sz w:val="20"/>
          <w:szCs w:val="20"/>
          <w:lang w:val="es-PE"/>
        </w:rPr>
      </w:pPr>
      <w:r w:rsidRPr="00026D1B">
        <w:rPr>
          <w:rFonts w:ascii="Verdana" w:hAnsi="Verdana"/>
          <w:sz w:val="20"/>
          <w:szCs w:val="20"/>
          <w:lang w:val="es-PE"/>
        </w:rPr>
        <w:t xml:space="preserve">142. </w:t>
      </w:r>
      <w:r w:rsidRPr="00026D1B">
        <w:rPr>
          <w:rFonts w:ascii="Verdana" w:hAnsi="Verdana"/>
          <w:sz w:val="20"/>
          <w:szCs w:val="20"/>
          <w:lang w:val="es-PE"/>
        </w:rPr>
        <w:tab/>
      </w:r>
      <w:r w:rsidRPr="00026D1B">
        <w:rPr>
          <w:rFonts w:ascii="Verdana" w:hAnsi="Verdana"/>
          <w:sz w:val="20"/>
          <w:szCs w:val="20"/>
          <w:lang w:val="es-PE"/>
        </w:rPr>
        <w:tab/>
        <w:t>Estos estándares internacionales, en general, resultan relevantes en términos del artículo 2 de la Convención Americana, para efectos de que los Estados establezcan leyes y políticas públicas que garanticen, de manera efectiva, el pluralismo de medios o informativo en las distintas áreas comunicacionales (por ejemplo, prensa, radio, televisión e internet) como condición necesaria para la consolidación de una democracia constitucional, fundada en el pleno respeto de los derechos fundamentales; constituyendo la libertad de expresión uno de sus componentes es</w:t>
      </w:r>
      <w:r w:rsidR="006F372C">
        <w:rPr>
          <w:rFonts w:ascii="Verdana" w:hAnsi="Verdana"/>
          <w:sz w:val="20"/>
          <w:szCs w:val="20"/>
          <w:lang w:val="es-PE"/>
        </w:rPr>
        <w:t>enciales, como se advierte de los artículos 3 y 4 de la</w:t>
      </w:r>
      <w:r w:rsidRPr="00026D1B">
        <w:rPr>
          <w:rFonts w:ascii="Verdana" w:hAnsi="Verdana"/>
          <w:sz w:val="20"/>
          <w:szCs w:val="20"/>
          <w:lang w:val="es-PE"/>
        </w:rPr>
        <w:t xml:space="preserve"> Carta Democrática Interamericana.</w:t>
      </w:r>
    </w:p>
    <w:p w14:paraId="0DB30B44" w14:textId="77777777" w:rsidR="001D13C2" w:rsidRPr="00026D1B" w:rsidRDefault="001D13C2" w:rsidP="00D44BB6">
      <w:pPr>
        <w:tabs>
          <w:tab w:val="left" w:pos="709"/>
          <w:tab w:val="left" w:pos="851"/>
          <w:tab w:val="left" w:pos="5387"/>
        </w:tabs>
        <w:spacing w:line="240" w:lineRule="auto"/>
        <w:jc w:val="both"/>
        <w:rPr>
          <w:rFonts w:ascii="Verdana" w:hAnsi="Verdana"/>
          <w:sz w:val="20"/>
          <w:szCs w:val="20"/>
          <w:lang w:val="es-PE"/>
        </w:rPr>
      </w:pPr>
    </w:p>
    <w:p w14:paraId="6FA647DA" w14:textId="77777777" w:rsidR="004731B1" w:rsidRPr="00026D1B" w:rsidRDefault="004731B1" w:rsidP="0007791A">
      <w:pPr>
        <w:spacing w:after="0" w:line="240" w:lineRule="auto"/>
        <w:ind w:left="5041"/>
        <w:jc w:val="center"/>
        <w:rPr>
          <w:rFonts w:ascii="Verdana" w:hAnsi="Verdana"/>
          <w:spacing w:val="-4"/>
          <w:sz w:val="20"/>
          <w:szCs w:val="20"/>
        </w:rPr>
      </w:pPr>
    </w:p>
    <w:p w14:paraId="591F6337" w14:textId="77777777" w:rsidR="004731B1" w:rsidRPr="00026D1B" w:rsidRDefault="004731B1" w:rsidP="0007791A">
      <w:pPr>
        <w:spacing w:after="0" w:line="240" w:lineRule="auto"/>
        <w:ind w:left="5041"/>
        <w:jc w:val="center"/>
        <w:rPr>
          <w:rFonts w:ascii="Verdana" w:hAnsi="Verdana"/>
          <w:spacing w:val="-4"/>
          <w:sz w:val="20"/>
          <w:szCs w:val="20"/>
        </w:rPr>
      </w:pPr>
      <w:r w:rsidRPr="00026D1B">
        <w:rPr>
          <w:rFonts w:ascii="Verdana" w:hAnsi="Verdana"/>
          <w:spacing w:val="-4"/>
          <w:sz w:val="20"/>
          <w:szCs w:val="20"/>
        </w:rPr>
        <w:t>Eduardo Ferrer Mac-Gregor Poisot</w:t>
      </w:r>
    </w:p>
    <w:p w14:paraId="7DDBF3B5" w14:textId="36DFDD95" w:rsidR="00365A1C" w:rsidRPr="00427FF5" w:rsidRDefault="004731B1" w:rsidP="00427FF5">
      <w:pPr>
        <w:spacing w:after="0" w:line="240" w:lineRule="auto"/>
        <w:ind w:left="5041"/>
        <w:jc w:val="center"/>
        <w:rPr>
          <w:rFonts w:ascii="Verdana" w:hAnsi="Verdana"/>
          <w:i/>
          <w:spacing w:val="-4"/>
          <w:sz w:val="20"/>
          <w:szCs w:val="20"/>
        </w:rPr>
      </w:pPr>
      <w:r w:rsidRPr="00026D1B">
        <w:rPr>
          <w:rFonts w:ascii="Verdana" w:hAnsi="Verdana"/>
          <w:spacing w:val="-4"/>
          <w:sz w:val="20"/>
          <w:szCs w:val="20"/>
        </w:rPr>
        <w:t xml:space="preserve">Juez </w:t>
      </w:r>
    </w:p>
    <w:p w14:paraId="7A2168C0" w14:textId="77777777" w:rsidR="004731B1" w:rsidRDefault="004731B1" w:rsidP="00D62C93">
      <w:pPr>
        <w:spacing w:after="0" w:line="240" w:lineRule="auto"/>
        <w:jc w:val="both"/>
        <w:rPr>
          <w:rFonts w:ascii="Verdana" w:hAnsi="Verdana" w:cs="Verdana"/>
          <w:spacing w:val="-4"/>
          <w:sz w:val="20"/>
          <w:szCs w:val="20"/>
        </w:rPr>
      </w:pPr>
    </w:p>
    <w:p w14:paraId="28C3D7CB" w14:textId="77777777" w:rsidR="001D13C2" w:rsidRDefault="001D13C2" w:rsidP="00D62C93">
      <w:pPr>
        <w:spacing w:after="0" w:line="240" w:lineRule="auto"/>
        <w:jc w:val="both"/>
        <w:rPr>
          <w:rFonts w:ascii="Verdana" w:hAnsi="Verdana" w:cs="Verdana"/>
          <w:spacing w:val="-4"/>
          <w:sz w:val="20"/>
          <w:szCs w:val="20"/>
        </w:rPr>
      </w:pPr>
    </w:p>
    <w:p w14:paraId="7C3A4109" w14:textId="77777777" w:rsidR="001D13C2" w:rsidRDefault="001D13C2" w:rsidP="00D62C93">
      <w:pPr>
        <w:spacing w:after="0" w:line="240" w:lineRule="auto"/>
        <w:jc w:val="both"/>
        <w:rPr>
          <w:rFonts w:ascii="Verdana" w:hAnsi="Verdana" w:cs="Verdana"/>
          <w:spacing w:val="-4"/>
          <w:sz w:val="20"/>
          <w:szCs w:val="20"/>
        </w:rPr>
      </w:pPr>
    </w:p>
    <w:p w14:paraId="61DE029C" w14:textId="77777777" w:rsidR="001D13C2" w:rsidRDefault="001D13C2" w:rsidP="00D62C93">
      <w:pPr>
        <w:spacing w:after="0" w:line="240" w:lineRule="auto"/>
        <w:jc w:val="both"/>
        <w:rPr>
          <w:rFonts w:ascii="Verdana" w:hAnsi="Verdana" w:cs="Verdana"/>
          <w:spacing w:val="-4"/>
          <w:sz w:val="20"/>
          <w:szCs w:val="20"/>
        </w:rPr>
      </w:pPr>
    </w:p>
    <w:p w14:paraId="1D16FCC1" w14:textId="77777777" w:rsidR="001D13C2" w:rsidRDefault="001D13C2" w:rsidP="00D62C93">
      <w:pPr>
        <w:spacing w:after="0" w:line="240" w:lineRule="auto"/>
        <w:jc w:val="both"/>
        <w:rPr>
          <w:rFonts w:ascii="Verdana" w:hAnsi="Verdana" w:cs="Verdana"/>
          <w:spacing w:val="-4"/>
          <w:sz w:val="20"/>
          <w:szCs w:val="20"/>
        </w:rPr>
      </w:pPr>
    </w:p>
    <w:p w14:paraId="15EB490A" w14:textId="77777777" w:rsidR="001D13C2" w:rsidRDefault="001D13C2" w:rsidP="00D62C93">
      <w:pPr>
        <w:spacing w:after="0" w:line="240" w:lineRule="auto"/>
        <w:jc w:val="both"/>
        <w:rPr>
          <w:rFonts w:ascii="Verdana" w:hAnsi="Verdana" w:cs="Verdana"/>
          <w:spacing w:val="-4"/>
          <w:sz w:val="20"/>
          <w:szCs w:val="20"/>
        </w:rPr>
      </w:pPr>
    </w:p>
    <w:p w14:paraId="66A37516" w14:textId="77777777" w:rsidR="004731B1" w:rsidRPr="00026D1B" w:rsidRDefault="004731B1" w:rsidP="00D62C93">
      <w:pPr>
        <w:spacing w:after="0" w:line="240" w:lineRule="auto"/>
        <w:jc w:val="both"/>
        <w:rPr>
          <w:rFonts w:ascii="Verdana" w:hAnsi="Verdana" w:cs="Verdana"/>
          <w:spacing w:val="-4"/>
          <w:sz w:val="20"/>
          <w:szCs w:val="20"/>
        </w:rPr>
      </w:pPr>
      <w:r w:rsidRPr="00026D1B">
        <w:rPr>
          <w:rFonts w:ascii="Verdana" w:hAnsi="Verdana" w:cs="Verdana"/>
          <w:spacing w:val="-4"/>
          <w:sz w:val="20"/>
          <w:szCs w:val="20"/>
        </w:rPr>
        <w:t>Pablo Saavedra Alessandri</w:t>
      </w:r>
    </w:p>
    <w:p w14:paraId="67340909" w14:textId="6527B9C8" w:rsidR="000A2DBB" w:rsidRPr="00427FF5" w:rsidRDefault="004731B1" w:rsidP="00427FF5">
      <w:r w:rsidRPr="00026D1B">
        <w:rPr>
          <w:rFonts w:ascii="Verdana" w:hAnsi="Verdana" w:cs="Verdana"/>
          <w:spacing w:val="-4"/>
          <w:sz w:val="20"/>
          <w:szCs w:val="20"/>
        </w:rPr>
        <w:tab/>
        <w:t>Secretario</w:t>
      </w:r>
    </w:p>
    <w:p w14:paraId="524B945B" w14:textId="77777777" w:rsidR="0032600F" w:rsidRPr="0032600F" w:rsidRDefault="0032600F" w:rsidP="0032600F">
      <w:pPr>
        <w:pStyle w:val="ListParagraph"/>
        <w:tabs>
          <w:tab w:val="left" w:pos="142"/>
          <w:tab w:val="left" w:pos="709"/>
        </w:tabs>
        <w:spacing w:after="0" w:line="240" w:lineRule="auto"/>
        <w:ind w:left="0"/>
        <w:jc w:val="both"/>
        <w:rPr>
          <w:rFonts w:ascii="Verdana" w:hAnsi="Verdana"/>
          <w:sz w:val="20"/>
          <w:szCs w:val="20"/>
          <w:lang w:val="es-AR"/>
        </w:rPr>
      </w:pPr>
    </w:p>
    <w:p w14:paraId="38874B17" w14:textId="77777777" w:rsidR="001F1A1A" w:rsidRPr="007E1C8B" w:rsidRDefault="001F1A1A" w:rsidP="007E1C8B">
      <w:pPr>
        <w:spacing w:after="0" w:line="240" w:lineRule="auto"/>
        <w:rPr>
          <w:rFonts w:ascii="Verdana" w:hAnsi="Verdana" w:cs="Verdana"/>
          <w:spacing w:val="-4"/>
          <w:sz w:val="20"/>
          <w:szCs w:val="20"/>
        </w:rPr>
      </w:pPr>
    </w:p>
    <w:sectPr w:rsidR="001F1A1A" w:rsidRPr="007E1C8B" w:rsidSect="00D4070A">
      <w:headerReference w:type="default" r:id="rId9"/>
      <w:footerReference w:type="even" r:id="rId10"/>
      <w:footerReference w:type="default" r:id="rId11"/>
      <w:pgSz w:w="12240" w:h="15840"/>
      <w:pgMar w:top="1418" w:right="1467"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A6AEB" w14:textId="77777777" w:rsidR="008B1D67" w:rsidRDefault="008B1D67" w:rsidP="009A4AA8">
      <w:pPr>
        <w:spacing w:after="0" w:line="240" w:lineRule="auto"/>
      </w:pPr>
      <w:r>
        <w:separator/>
      </w:r>
    </w:p>
  </w:endnote>
  <w:endnote w:type="continuationSeparator" w:id="0">
    <w:p w14:paraId="6D13ECDA" w14:textId="77777777" w:rsidR="008B1D67" w:rsidRDefault="008B1D67" w:rsidP="009A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7F66" w14:textId="77777777" w:rsidR="008D3C6E" w:rsidRDefault="008D3C6E" w:rsidP="00D407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213E1A" w14:textId="77777777" w:rsidR="008D3C6E" w:rsidRDefault="008D3C6E" w:rsidP="008B1F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EBFD" w14:textId="77777777" w:rsidR="008D3C6E" w:rsidRPr="005C3E76" w:rsidRDefault="008D3C6E" w:rsidP="008B1F42">
    <w:pPr>
      <w:pStyle w:val="Footer"/>
      <w:ind w:right="360"/>
      <w:jc w:val="center"/>
      <w:rPr>
        <w:rFonts w:ascii="Verdana" w:hAnsi="Verdana"/>
        <w:sz w:val="20"/>
        <w:szCs w:val="20"/>
      </w:rPr>
    </w:pPr>
  </w:p>
  <w:p w14:paraId="1A660348" w14:textId="77777777" w:rsidR="008D3C6E" w:rsidRPr="005C3E76" w:rsidRDefault="008D3C6E">
    <w:pPr>
      <w:pStyle w:val="Foo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99802" w14:textId="77777777" w:rsidR="008B1D67" w:rsidRDefault="008B1D67" w:rsidP="009A4AA8">
      <w:pPr>
        <w:spacing w:after="0" w:line="240" w:lineRule="auto"/>
      </w:pPr>
      <w:r>
        <w:separator/>
      </w:r>
    </w:p>
  </w:footnote>
  <w:footnote w:type="continuationSeparator" w:id="0">
    <w:p w14:paraId="1A9A2657" w14:textId="77777777" w:rsidR="008B1D67" w:rsidRDefault="008B1D67" w:rsidP="009A4AA8">
      <w:pPr>
        <w:spacing w:after="0" w:line="240" w:lineRule="auto"/>
      </w:pPr>
      <w:r>
        <w:continuationSeparator/>
      </w:r>
    </w:p>
  </w:footnote>
  <w:footnote w:id="1">
    <w:p w14:paraId="605E5430" w14:textId="0FA90FBF" w:rsidR="008D3C6E" w:rsidRPr="00A567BF" w:rsidRDefault="008D3C6E" w:rsidP="00A567BF">
      <w:pPr>
        <w:pStyle w:val="FootnoteText"/>
        <w:spacing w:after="120"/>
        <w:jc w:val="both"/>
        <w:rPr>
          <w:rFonts w:ascii="Verdana" w:hAnsi="Verdana"/>
          <w:sz w:val="16"/>
          <w:szCs w:val="16"/>
          <w:lang w:val="es-ES_tradnl"/>
        </w:rPr>
      </w:pPr>
      <w:r w:rsidRPr="00A567BF">
        <w:rPr>
          <w:rStyle w:val="FootnoteReference"/>
          <w:rFonts w:ascii="Verdana" w:hAnsi="Verdana"/>
          <w:sz w:val="16"/>
          <w:szCs w:val="16"/>
        </w:rPr>
        <w:footnoteRef/>
      </w:r>
      <w:r w:rsidRPr="00A567BF">
        <w:rPr>
          <w:rFonts w:ascii="Verdana" w:hAnsi="Verdana"/>
          <w:sz w:val="16"/>
          <w:szCs w:val="16"/>
        </w:rPr>
        <w:t xml:space="preserve"> </w:t>
      </w:r>
      <w:r w:rsidRPr="00A567BF">
        <w:rPr>
          <w:rFonts w:ascii="Verdana" w:hAnsi="Verdana"/>
          <w:sz w:val="16"/>
          <w:szCs w:val="16"/>
          <w:lang w:val="es-ES_tradnl"/>
        </w:rPr>
        <w:tab/>
      </w:r>
      <w:r w:rsidRPr="00A567BF">
        <w:rPr>
          <w:rFonts w:ascii="Verdana" w:hAnsi="Verdana"/>
          <w:i/>
          <w:iCs/>
          <w:sz w:val="16"/>
          <w:szCs w:val="16"/>
        </w:rPr>
        <w:t>La Colegiación Obligatoria de Periodistas (arts. 13 y 29 Conv</w:t>
      </w:r>
      <w:r>
        <w:rPr>
          <w:rFonts w:ascii="Verdana" w:hAnsi="Verdana"/>
          <w:i/>
          <w:iCs/>
          <w:sz w:val="16"/>
          <w:szCs w:val="16"/>
        </w:rPr>
        <w:t xml:space="preserve">ención Americana sobre Derechos </w:t>
      </w:r>
      <w:r w:rsidRPr="00A567BF">
        <w:rPr>
          <w:rFonts w:ascii="Verdana" w:hAnsi="Verdana"/>
          <w:i/>
          <w:iCs/>
          <w:sz w:val="16"/>
          <w:szCs w:val="16"/>
        </w:rPr>
        <w:t>Humanos)</w:t>
      </w:r>
      <w:r w:rsidR="00C55C57">
        <w:rPr>
          <w:rFonts w:ascii="Verdana" w:hAnsi="Verdana"/>
          <w:sz w:val="16"/>
          <w:szCs w:val="16"/>
        </w:rPr>
        <w:t>.</w:t>
      </w:r>
      <w:r w:rsidR="001231A4">
        <w:rPr>
          <w:rFonts w:ascii="Verdana" w:hAnsi="Verdana"/>
          <w:sz w:val="16"/>
          <w:szCs w:val="16"/>
        </w:rPr>
        <w:t xml:space="preserve"> </w:t>
      </w:r>
      <w:r w:rsidRPr="00A567BF">
        <w:rPr>
          <w:rFonts w:ascii="Verdana" w:hAnsi="Verdana"/>
          <w:sz w:val="16"/>
          <w:szCs w:val="16"/>
        </w:rPr>
        <w:t>Opinión Consultiva OC-5/85 del 13 de noviembre de 1985. Serie A No. 5</w:t>
      </w:r>
      <w:r>
        <w:rPr>
          <w:rFonts w:ascii="Verdana" w:hAnsi="Verdana"/>
          <w:sz w:val="16"/>
          <w:szCs w:val="16"/>
        </w:rPr>
        <w:t>, especialmente párr. 70.</w:t>
      </w:r>
    </w:p>
  </w:footnote>
  <w:footnote w:id="2">
    <w:p w14:paraId="1DD09679" w14:textId="77777777" w:rsidR="008D3C6E" w:rsidRPr="00A567BF" w:rsidRDefault="008D3C6E" w:rsidP="00A567BF">
      <w:pPr>
        <w:pStyle w:val="FootnoteText"/>
        <w:spacing w:after="120"/>
        <w:jc w:val="both"/>
        <w:rPr>
          <w:rFonts w:ascii="Verdana" w:hAnsi="Verdana"/>
          <w:sz w:val="16"/>
          <w:szCs w:val="16"/>
        </w:rPr>
      </w:pPr>
      <w:r w:rsidRPr="00A567BF">
        <w:rPr>
          <w:rStyle w:val="FootnoteReference"/>
          <w:rFonts w:ascii="Verdana" w:hAnsi="Verdana"/>
          <w:sz w:val="16"/>
          <w:szCs w:val="16"/>
        </w:rPr>
        <w:footnoteRef/>
      </w:r>
      <w:r w:rsidRPr="00A567BF">
        <w:rPr>
          <w:rFonts w:ascii="Verdana" w:hAnsi="Verdana"/>
          <w:sz w:val="16"/>
          <w:szCs w:val="16"/>
        </w:rPr>
        <w:t xml:space="preserve"> </w:t>
      </w:r>
      <w:r w:rsidRPr="00A567BF">
        <w:rPr>
          <w:rFonts w:ascii="Verdana" w:hAnsi="Verdana"/>
          <w:sz w:val="16"/>
          <w:szCs w:val="16"/>
        </w:rPr>
        <w:tab/>
      </w:r>
      <w:r w:rsidRPr="00A567BF">
        <w:rPr>
          <w:rFonts w:ascii="Verdana" w:hAnsi="Verdana"/>
          <w:i/>
          <w:sz w:val="16"/>
          <w:szCs w:val="16"/>
          <w:lang w:val="es-CR" w:eastAsia="es-CR"/>
        </w:rPr>
        <w:t xml:space="preserve">Cfr. Caso Ivcher Bronstein Vs. Perú. Fondo, Reparaciones y Costas. </w:t>
      </w:r>
      <w:r w:rsidRPr="00A567BF">
        <w:rPr>
          <w:rFonts w:ascii="Verdana" w:hAnsi="Verdana"/>
          <w:sz w:val="16"/>
          <w:szCs w:val="16"/>
          <w:lang w:val="es-CR" w:eastAsia="es-CR"/>
        </w:rPr>
        <w:t>Sentencia de 6 de febrero de 2001. Serie C No. 74, párr. 149</w:t>
      </w:r>
      <w:r>
        <w:rPr>
          <w:rFonts w:ascii="Verdana" w:hAnsi="Verdana"/>
          <w:sz w:val="16"/>
          <w:szCs w:val="16"/>
          <w:lang w:val="es-CR" w:eastAsia="es-CR"/>
        </w:rPr>
        <w:t>;</w:t>
      </w:r>
      <w:r w:rsidRPr="00A567BF">
        <w:rPr>
          <w:rFonts w:ascii="Verdana" w:hAnsi="Verdana"/>
          <w:sz w:val="16"/>
          <w:szCs w:val="16"/>
          <w:lang w:val="es-CR" w:eastAsia="es-CR"/>
        </w:rPr>
        <w:t xml:space="preserve"> y </w:t>
      </w:r>
      <w:r w:rsidRPr="00A567BF">
        <w:rPr>
          <w:rFonts w:ascii="Verdana" w:hAnsi="Verdana"/>
          <w:i/>
          <w:sz w:val="16"/>
          <w:szCs w:val="16"/>
          <w:lang w:val="es-CR" w:eastAsia="es-CR"/>
        </w:rPr>
        <w:t xml:space="preserve">Caso Fontevecchia y D´Amico Vs. Argentina. Fondo, Reparaciones y Costas. </w:t>
      </w:r>
      <w:r w:rsidRPr="00A567BF">
        <w:rPr>
          <w:rFonts w:ascii="Verdana" w:hAnsi="Verdana"/>
          <w:sz w:val="16"/>
          <w:szCs w:val="16"/>
          <w:lang w:val="es-CR" w:eastAsia="es-CR"/>
        </w:rPr>
        <w:t>Sentencia de 29 de noviembre de 2011. Serie C. No 238, párr. 44.</w:t>
      </w:r>
    </w:p>
  </w:footnote>
  <w:footnote w:id="3">
    <w:p w14:paraId="66295C0C" w14:textId="77777777" w:rsidR="008D3C6E" w:rsidRPr="00A567BF" w:rsidRDefault="008D3C6E" w:rsidP="00A567BF">
      <w:pPr>
        <w:pStyle w:val="FootnoteText"/>
        <w:spacing w:after="120"/>
        <w:jc w:val="both"/>
        <w:rPr>
          <w:rFonts w:ascii="Verdana" w:hAnsi="Verdana"/>
          <w:sz w:val="16"/>
          <w:szCs w:val="16"/>
          <w:lang w:val="es-CR"/>
        </w:rPr>
      </w:pPr>
      <w:r w:rsidRPr="00A567BF">
        <w:rPr>
          <w:rStyle w:val="FootnoteReference"/>
          <w:rFonts w:ascii="Verdana" w:hAnsi="Verdana"/>
          <w:sz w:val="16"/>
          <w:szCs w:val="16"/>
        </w:rPr>
        <w:footnoteRef/>
      </w:r>
      <w:r w:rsidRPr="00A567BF">
        <w:rPr>
          <w:rFonts w:ascii="Verdana" w:hAnsi="Verdana"/>
          <w:sz w:val="16"/>
          <w:szCs w:val="16"/>
        </w:rPr>
        <w:t xml:space="preserve"> </w:t>
      </w:r>
      <w:r w:rsidRPr="00A567BF">
        <w:rPr>
          <w:rFonts w:ascii="Verdana" w:hAnsi="Verdana"/>
          <w:sz w:val="16"/>
          <w:szCs w:val="16"/>
        </w:rPr>
        <w:tab/>
      </w:r>
      <w:r w:rsidRPr="00A567BF">
        <w:rPr>
          <w:rFonts w:ascii="Verdana" w:hAnsi="Verdana"/>
          <w:i/>
          <w:sz w:val="16"/>
          <w:szCs w:val="16"/>
          <w:lang w:val="es-CR" w:eastAsia="es-CR"/>
        </w:rPr>
        <w:t>Cfr. Caso “La Última Tentación de Cristo” (Olmedo Bustos</w:t>
      </w:r>
      <w:r w:rsidRPr="00A567BF">
        <w:rPr>
          <w:rFonts w:ascii="Verdana" w:hAnsi="Verdana"/>
          <w:sz w:val="16"/>
          <w:szCs w:val="16"/>
          <w:lang w:val="es-CR" w:eastAsia="es-CR"/>
        </w:rPr>
        <w:t xml:space="preserve">. </w:t>
      </w:r>
      <w:r w:rsidRPr="00A567BF">
        <w:rPr>
          <w:rFonts w:ascii="Verdana" w:hAnsi="Verdana"/>
          <w:i/>
          <w:sz w:val="16"/>
          <w:szCs w:val="16"/>
          <w:lang w:val="es-CR" w:eastAsia="es-CR"/>
        </w:rPr>
        <w:t>Vs. Chile. Fondo, Reparaciones y Costas.</w:t>
      </w:r>
      <w:r w:rsidRPr="00A567BF">
        <w:rPr>
          <w:rFonts w:ascii="Verdana" w:hAnsi="Verdana"/>
          <w:sz w:val="16"/>
          <w:szCs w:val="16"/>
          <w:lang w:val="es-CR" w:eastAsia="es-CR"/>
        </w:rPr>
        <w:t xml:space="preserve"> Sentencia de 5 de febrero de 2001. Serie C No. 73, párr. 69; y </w:t>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otros (Radio Caracas Televisión) Vs. Venezuela. Excepciones Preliminares, Fondo, Reparaciones y Costas.</w:t>
      </w:r>
      <w:r w:rsidRPr="009501B6">
        <w:rPr>
          <w:rFonts w:ascii="Verdana" w:hAnsi="Verdana"/>
          <w:sz w:val="16"/>
          <w:szCs w:val="16"/>
          <w:lang w:val="es-ES_tradnl"/>
        </w:rPr>
        <w:t xml:space="preserve"> Sentencia de 22 de junio de 2015. Serie C No. 293, párr. 14</w:t>
      </w:r>
      <w:r>
        <w:rPr>
          <w:rFonts w:ascii="Verdana" w:hAnsi="Verdana"/>
          <w:sz w:val="16"/>
          <w:szCs w:val="16"/>
          <w:lang w:val="es-ES_tradnl"/>
        </w:rPr>
        <w:t>0.</w:t>
      </w:r>
    </w:p>
  </w:footnote>
  <w:footnote w:id="4">
    <w:p w14:paraId="5BBD2C1F" w14:textId="77777777" w:rsidR="008D3C6E" w:rsidRPr="000973F4" w:rsidRDefault="008D3C6E" w:rsidP="00E35C84">
      <w:pPr>
        <w:pStyle w:val="FootnoteText"/>
        <w:spacing w:after="120"/>
        <w:jc w:val="both"/>
        <w:rPr>
          <w:rFonts w:ascii="Verdana" w:hAnsi="Verdana"/>
          <w:sz w:val="16"/>
          <w:szCs w:val="16"/>
          <w:lang w:val="es-CO"/>
        </w:rPr>
      </w:pPr>
      <w:r w:rsidRPr="000973F4">
        <w:rPr>
          <w:rStyle w:val="FootnoteReference"/>
          <w:rFonts w:ascii="Verdana" w:hAnsi="Verdana"/>
          <w:sz w:val="16"/>
          <w:szCs w:val="16"/>
        </w:rPr>
        <w:footnoteRef/>
      </w:r>
      <w:r w:rsidRPr="000973F4">
        <w:rPr>
          <w:rFonts w:ascii="Verdana" w:hAnsi="Verdana"/>
          <w:sz w:val="16"/>
          <w:szCs w:val="16"/>
          <w:lang w:val="es-CO"/>
        </w:rPr>
        <w:t xml:space="preserve"> </w:t>
      </w:r>
      <w:r w:rsidRPr="000973F4">
        <w:rPr>
          <w:rFonts w:ascii="Verdana" w:hAnsi="Verdana"/>
          <w:sz w:val="16"/>
          <w:szCs w:val="16"/>
          <w:lang w:val="es-CO"/>
        </w:rPr>
        <w:tab/>
        <w:t xml:space="preserve">En similar sentido, el perito </w:t>
      </w:r>
      <w:r>
        <w:rPr>
          <w:rFonts w:ascii="Verdana" w:hAnsi="Verdana"/>
          <w:sz w:val="16"/>
          <w:szCs w:val="16"/>
          <w:lang w:val="es-CO"/>
        </w:rPr>
        <w:t xml:space="preserve">Alfredo </w:t>
      </w:r>
      <w:r w:rsidRPr="000973F4">
        <w:rPr>
          <w:rFonts w:ascii="Verdana" w:hAnsi="Verdana"/>
          <w:sz w:val="16"/>
          <w:szCs w:val="16"/>
          <w:lang w:val="es-CO"/>
        </w:rPr>
        <w:t xml:space="preserve">Morles Hernández indicó que “aunque la organización societaria en el campo de las telecomunicaciones fuera simplemente discrecional, la regla general que proporciona la práctica nacional e internacional es que para ejercer el derecho a la libertad de expresión[,] los sujetos se organicen en forma de empresa”. Declaración </w:t>
      </w:r>
      <w:r w:rsidRPr="000973F4">
        <w:rPr>
          <w:rFonts w:ascii="Verdana" w:hAnsi="Verdana"/>
          <w:sz w:val="16"/>
          <w:szCs w:val="16"/>
        </w:rPr>
        <w:t xml:space="preserve">del perito </w:t>
      </w:r>
      <w:r>
        <w:rPr>
          <w:rFonts w:ascii="Verdana" w:hAnsi="Verdana"/>
          <w:sz w:val="16"/>
          <w:szCs w:val="16"/>
        </w:rPr>
        <w:t xml:space="preserve">Alfredo </w:t>
      </w:r>
      <w:r w:rsidRPr="000973F4">
        <w:rPr>
          <w:rFonts w:ascii="Verdana" w:hAnsi="Verdana"/>
          <w:sz w:val="16"/>
          <w:szCs w:val="16"/>
        </w:rPr>
        <w:t>Morles Hernández de 5 de mayo de 2014 (expediente de fondo, folio 1607).</w:t>
      </w:r>
      <w:r w:rsidRPr="000973F4">
        <w:rPr>
          <w:rFonts w:ascii="Verdana" w:hAnsi="Verdana"/>
          <w:sz w:val="16"/>
          <w:szCs w:val="16"/>
          <w:lang w:val="es-CO"/>
        </w:rPr>
        <w:t xml:space="preserve"> Asimismo, Ver: Corte Constitucional de Colombia. Sentencia T-611 de 1992. M.P Alejandro Martínez Caballero</w:t>
      </w:r>
      <w:r>
        <w:rPr>
          <w:rFonts w:ascii="Verdana" w:hAnsi="Verdana"/>
          <w:sz w:val="16"/>
          <w:szCs w:val="16"/>
          <w:lang w:val="es-CO"/>
        </w:rPr>
        <w:t>,</w:t>
      </w:r>
      <w:r w:rsidRPr="000973F4">
        <w:rPr>
          <w:rFonts w:ascii="Verdana" w:hAnsi="Verdana"/>
          <w:sz w:val="16"/>
          <w:szCs w:val="16"/>
          <w:lang w:val="es-CO"/>
        </w:rPr>
        <w:t xml:space="preserve"> Fabio Morón Díaz.</w:t>
      </w:r>
    </w:p>
  </w:footnote>
  <w:footnote w:id="5">
    <w:p w14:paraId="03529375" w14:textId="77777777" w:rsidR="008D3C6E" w:rsidRPr="000973F4" w:rsidRDefault="008D3C6E" w:rsidP="002F74F2">
      <w:pPr>
        <w:pStyle w:val="FootnoteText"/>
        <w:spacing w:after="120"/>
        <w:rPr>
          <w:rFonts w:ascii="Verdana" w:hAnsi="Verdana"/>
          <w:sz w:val="16"/>
          <w:szCs w:val="16"/>
          <w:lang w:val="es-ES_tradnl"/>
        </w:rPr>
      </w:pPr>
      <w:r w:rsidRPr="000973F4">
        <w:rPr>
          <w:rStyle w:val="FootnoteReference"/>
          <w:rFonts w:ascii="Verdana" w:hAnsi="Verdana"/>
          <w:sz w:val="16"/>
          <w:szCs w:val="16"/>
        </w:rPr>
        <w:footnoteRef/>
      </w:r>
      <w:r w:rsidRPr="000973F4">
        <w:rPr>
          <w:rFonts w:ascii="Verdana" w:hAnsi="Verdana"/>
          <w:sz w:val="16"/>
          <w:szCs w:val="16"/>
        </w:rPr>
        <w:t xml:space="preserve"> </w:t>
      </w:r>
      <w:r w:rsidRPr="000973F4">
        <w:rPr>
          <w:rFonts w:ascii="Verdana" w:hAnsi="Verdana"/>
          <w:sz w:val="16"/>
          <w:szCs w:val="16"/>
          <w:lang w:val="es-ES_tradnl"/>
        </w:rPr>
        <w:tab/>
      </w:r>
      <w:r w:rsidRPr="006F2A55">
        <w:rPr>
          <w:rFonts w:ascii="Verdana" w:hAnsi="Verdana"/>
          <w:i/>
          <w:sz w:val="16"/>
          <w:szCs w:val="16"/>
          <w:lang w:val="es-ES_tradnl"/>
        </w:rPr>
        <w:t xml:space="preserve">Caso </w:t>
      </w:r>
      <w:proofErr w:type="spellStart"/>
      <w:r w:rsidRPr="006F2A55">
        <w:rPr>
          <w:rFonts w:ascii="Verdana" w:hAnsi="Verdana"/>
          <w:i/>
          <w:sz w:val="16"/>
          <w:szCs w:val="16"/>
          <w:lang w:val="es-ES_tradnl"/>
        </w:rPr>
        <w:t>Granier</w:t>
      </w:r>
      <w:proofErr w:type="spellEnd"/>
      <w:r w:rsidRPr="006F2A55">
        <w:rPr>
          <w:rFonts w:ascii="Verdana" w:hAnsi="Verdana"/>
          <w:i/>
          <w:sz w:val="16"/>
          <w:szCs w:val="16"/>
          <w:lang w:val="es-ES_tradnl"/>
        </w:rPr>
        <w:t xml:space="preserve"> y otros (Radio Caracas Televisión) Vs. Venezuela</w:t>
      </w:r>
      <w:r w:rsidRPr="009501B6">
        <w:rPr>
          <w:rFonts w:ascii="Verdana" w:hAnsi="Verdana"/>
          <w:sz w:val="16"/>
          <w:szCs w:val="16"/>
          <w:lang w:val="es-ES_tradnl"/>
        </w:rPr>
        <w:t>, párr. 14</w:t>
      </w:r>
      <w:r>
        <w:rPr>
          <w:rFonts w:ascii="Verdana" w:hAnsi="Verdana"/>
          <w:sz w:val="16"/>
          <w:szCs w:val="16"/>
          <w:lang w:val="es-ES_tradnl"/>
        </w:rPr>
        <w:t>8.</w:t>
      </w:r>
    </w:p>
  </w:footnote>
  <w:footnote w:id="6">
    <w:p w14:paraId="11EF9C17" w14:textId="77777777" w:rsidR="008D3C6E" w:rsidRPr="00EC46AE" w:rsidRDefault="008D3C6E" w:rsidP="00EC46AE">
      <w:pPr>
        <w:pStyle w:val="FootnoteText"/>
        <w:spacing w:after="120"/>
        <w:jc w:val="both"/>
        <w:rPr>
          <w:rFonts w:ascii="Verdana" w:hAnsi="Verdana"/>
          <w:sz w:val="16"/>
          <w:szCs w:val="16"/>
          <w:lang w:val="es-ES_tradnl"/>
        </w:rPr>
      </w:pPr>
      <w:r w:rsidRPr="00EC46AE">
        <w:rPr>
          <w:rStyle w:val="FootnoteReference"/>
          <w:rFonts w:ascii="Verdana" w:hAnsi="Verdana"/>
          <w:sz w:val="16"/>
          <w:szCs w:val="16"/>
        </w:rPr>
        <w:footnoteRef/>
      </w:r>
      <w:r w:rsidRPr="00EC46AE">
        <w:rPr>
          <w:rFonts w:ascii="Verdana" w:hAnsi="Verdana"/>
          <w:sz w:val="16"/>
          <w:szCs w:val="16"/>
        </w:rPr>
        <w:t xml:space="preserve"> </w:t>
      </w:r>
      <w:r w:rsidRPr="00EC46AE">
        <w:rPr>
          <w:rFonts w:ascii="Verdana" w:hAnsi="Verdana"/>
          <w:sz w:val="16"/>
          <w:szCs w:val="16"/>
          <w:lang w:val="es-ES_tradnl"/>
        </w:rPr>
        <w:tab/>
        <w:t xml:space="preserve">Protocolo </w:t>
      </w:r>
      <w:r>
        <w:rPr>
          <w:rFonts w:ascii="Verdana" w:hAnsi="Verdana"/>
          <w:sz w:val="16"/>
          <w:szCs w:val="16"/>
          <w:lang w:val="es-ES_tradnl"/>
        </w:rPr>
        <w:t>Adicional al</w:t>
      </w:r>
      <w:r w:rsidRPr="00EC46AE">
        <w:rPr>
          <w:rFonts w:ascii="Verdana" w:hAnsi="Verdana"/>
          <w:sz w:val="16"/>
          <w:szCs w:val="16"/>
          <w:lang w:val="es-ES_tradnl"/>
        </w:rPr>
        <w:t xml:space="preserve"> Convenio Europeo para la Pro</w:t>
      </w:r>
      <w:r>
        <w:rPr>
          <w:rFonts w:ascii="Verdana" w:hAnsi="Verdana"/>
          <w:sz w:val="16"/>
          <w:szCs w:val="16"/>
          <w:lang w:val="es-ES_tradnl"/>
        </w:rPr>
        <w:t xml:space="preserve">tección de los Derechos Humanos </w:t>
      </w:r>
      <w:r w:rsidRPr="00EC46AE">
        <w:rPr>
          <w:rFonts w:ascii="Verdana" w:hAnsi="Verdana"/>
          <w:sz w:val="16"/>
          <w:szCs w:val="16"/>
          <w:lang w:val="es-ES_tradnl"/>
        </w:rPr>
        <w:t>y de las Libertades Fundamentales</w:t>
      </w:r>
      <w:r>
        <w:rPr>
          <w:rFonts w:ascii="Verdana" w:hAnsi="Verdana"/>
          <w:sz w:val="16"/>
          <w:szCs w:val="16"/>
          <w:lang w:val="es-ES_tradnl"/>
        </w:rPr>
        <w:t xml:space="preserve"> (conocido como Protocolo No. 1), aprobado el 20 de marzo de 1952 y entrado en vigor el 18 de mayo de 1954.</w:t>
      </w:r>
    </w:p>
  </w:footnote>
  <w:footnote w:id="7">
    <w:p w14:paraId="3043D4C2" w14:textId="77777777" w:rsidR="008D3C6E" w:rsidRPr="00CE1D28" w:rsidRDefault="008D3C6E" w:rsidP="009776C7">
      <w:pPr>
        <w:pStyle w:val="FootnoteText"/>
        <w:spacing w:after="120"/>
        <w:jc w:val="both"/>
        <w:rPr>
          <w:rFonts w:ascii="Verdana" w:hAnsi="Verdana"/>
          <w:sz w:val="16"/>
          <w:szCs w:val="16"/>
          <w:lang w:val="es-CO"/>
        </w:rPr>
      </w:pPr>
      <w:r w:rsidRPr="00CE1D28">
        <w:rPr>
          <w:rStyle w:val="FootnoteReference"/>
          <w:rFonts w:ascii="Verdana" w:hAnsi="Verdana"/>
          <w:sz w:val="16"/>
          <w:szCs w:val="16"/>
        </w:rPr>
        <w:footnoteRef/>
      </w:r>
      <w:r w:rsidRPr="00CE1D28">
        <w:rPr>
          <w:rFonts w:ascii="Verdana" w:hAnsi="Verdana"/>
          <w:i/>
          <w:sz w:val="16"/>
          <w:szCs w:val="16"/>
          <w:lang w:val="es-CO"/>
        </w:rPr>
        <w:t xml:space="preserve"> </w:t>
      </w:r>
      <w:r w:rsidRPr="00CE1D28">
        <w:rPr>
          <w:rFonts w:ascii="Verdana" w:hAnsi="Verdana"/>
          <w:i/>
          <w:sz w:val="16"/>
          <w:szCs w:val="16"/>
          <w:lang w:val="es-CO"/>
        </w:rPr>
        <w:tab/>
        <w:t>Cfr. Caso Cantos Vs. Argentina. Excepciones Preliminares.</w:t>
      </w:r>
      <w:r w:rsidRPr="00CE1D28">
        <w:rPr>
          <w:rFonts w:ascii="Verdana" w:hAnsi="Verdana"/>
          <w:sz w:val="16"/>
          <w:szCs w:val="16"/>
          <w:lang w:val="es-CO"/>
        </w:rPr>
        <w:t xml:space="preserve"> Sentencia de 7 de septiembre de 2001. Serie C No. 85, párr.29</w:t>
      </w:r>
      <w:r>
        <w:rPr>
          <w:rFonts w:ascii="Verdana" w:hAnsi="Verdana"/>
          <w:sz w:val="16"/>
          <w:szCs w:val="16"/>
          <w:lang w:val="es-CO"/>
        </w:rPr>
        <w:t>;</w:t>
      </w:r>
      <w:r w:rsidRPr="00CE1D28">
        <w:rPr>
          <w:rFonts w:ascii="Verdana" w:hAnsi="Verdana"/>
          <w:sz w:val="16"/>
          <w:szCs w:val="16"/>
          <w:lang w:val="es-CO"/>
        </w:rPr>
        <w:t xml:space="preserve"> y </w:t>
      </w:r>
      <w:r w:rsidRPr="00CE1D28">
        <w:rPr>
          <w:rFonts w:ascii="Verdana" w:hAnsi="Verdana"/>
          <w:i/>
          <w:sz w:val="16"/>
          <w:szCs w:val="16"/>
          <w:lang w:val="es-CO"/>
        </w:rPr>
        <w:t>Caso Perozo y otros Vs. Venezuela</w:t>
      </w:r>
      <w:r w:rsidRPr="00CE1D28">
        <w:rPr>
          <w:rFonts w:ascii="Verdana" w:hAnsi="Verdana"/>
          <w:sz w:val="16"/>
          <w:szCs w:val="16"/>
          <w:lang w:val="es-CO"/>
        </w:rPr>
        <w:t xml:space="preserve">. </w:t>
      </w:r>
      <w:r w:rsidRPr="00CE1D28">
        <w:rPr>
          <w:rFonts w:ascii="Verdana" w:hAnsi="Verdana"/>
          <w:i/>
          <w:sz w:val="16"/>
          <w:szCs w:val="16"/>
          <w:lang w:val="es-CO"/>
        </w:rPr>
        <w:t xml:space="preserve">Excepciones Preliminares, Fondo, Reparaciones y Costas. </w:t>
      </w:r>
      <w:r w:rsidRPr="00CE1D28">
        <w:rPr>
          <w:rFonts w:ascii="Verdana" w:hAnsi="Verdana"/>
          <w:sz w:val="16"/>
          <w:szCs w:val="16"/>
          <w:lang w:val="es-CO"/>
        </w:rPr>
        <w:t>Sentencia de 28 de enero de 2009. Serie C No. 195, párr. 399.</w:t>
      </w:r>
    </w:p>
  </w:footnote>
  <w:footnote w:id="8">
    <w:p w14:paraId="3545DC03" w14:textId="77777777" w:rsidR="008D3C6E" w:rsidRPr="000973F4" w:rsidRDefault="008D3C6E" w:rsidP="000973F4">
      <w:pPr>
        <w:pStyle w:val="FootnoteText"/>
        <w:spacing w:after="120"/>
        <w:jc w:val="both"/>
        <w:rPr>
          <w:rFonts w:ascii="Verdana" w:hAnsi="Verdana"/>
          <w:sz w:val="16"/>
          <w:szCs w:val="16"/>
        </w:rPr>
      </w:pPr>
      <w:r w:rsidRPr="000973F4">
        <w:rPr>
          <w:rStyle w:val="FootnoteReference"/>
          <w:rFonts w:ascii="Verdana" w:hAnsi="Verdana"/>
          <w:sz w:val="16"/>
          <w:szCs w:val="16"/>
        </w:rPr>
        <w:footnoteRef/>
      </w:r>
      <w:r w:rsidRPr="000973F4">
        <w:rPr>
          <w:rFonts w:ascii="Verdana" w:hAnsi="Verdana"/>
          <w:sz w:val="16"/>
          <w:szCs w:val="16"/>
        </w:rPr>
        <w:t xml:space="preserve"> </w:t>
      </w:r>
      <w:r w:rsidRPr="000973F4">
        <w:rPr>
          <w:rFonts w:ascii="Verdana" w:hAnsi="Verdana"/>
          <w:sz w:val="16"/>
          <w:szCs w:val="16"/>
        </w:rPr>
        <w:tab/>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otros (Radio Caracas Televisión) Vs. Venezuela</w:t>
      </w:r>
      <w:r>
        <w:rPr>
          <w:rFonts w:ascii="Verdana" w:hAnsi="Verdana"/>
          <w:sz w:val="16"/>
          <w:szCs w:val="16"/>
        </w:rPr>
        <w:t>, párr. 151</w:t>
      </w:r>
      <w:r w:rsidRPr="000973F4">
        <w:rPr>
          <w:rFonts w:ascii="Verdana" w:hAnsi="Verdana"/>
          <w:sz w:val="16"/>
          <w:szCs w:val="16"/>
        </w:rPr>
        <w:t>.</w:t>
      </w:r>
    </w:p>
  </w:footnote>
  <w:footnote w:id="9">
    <w:p w14:paraId="54162825" w14:textId="77777777" w:rsidR="008D3C6E" w:rsidRPr="009776C7" w:rsidRDefault="008D3C6E" w:rsidP="009776C7">
      <w:pPr>
        <w:pStyle w:val="FootnoteText"/>
        <w:spacing w:after="120"/>
        <w:jc w:val="both"/>
        <w:rPr>
          <w:rFonts w:ascii="Verdana" w:hAnsi="Verdana"/>
          <w:sz w:val="16"/>
          <w:szCs w:val="16"/>
          <w:lang w:val="es-ES_tradnl"/>
        </w:rPr>
      </w:pPr>
      <w:r w:rsidRPr="009776C7">
        <w:rPr>
          <w:rStyle w:val="FootnoteReference"/>
          <w:rFonts w:ascii="Verdana" w:hAnsi="Verdana"/>
          <w:sz w:val="16"/>
          <w:szCs w:val="16"/>
        </w:rPr>
        <w:footnoteRef/>
      </w:r>
      <w:r w:rsidRPr="009776C7">
        <w:rPr>
          <w:rFonts w:ascii="Verdana" w:hAnsi="Verdana"/>
          <w:sz w:val="16"/>
          <w:szCs w:val="16"/>
        </w:rPr>
        <w:t xml:space="preserve"> </w:t>
      </w:r>
      <w:r w:rsidRPr="009776C7">
        <w:rPr>
          <w:rFonts w:ascii="Verdana" w:hAnsi="Verdana"/>
          <w:sz w:val="16"/>
          <w:szCs w:val="16"/>
          <w:lang w:val="es-ES_tradnl"/>
        </w:rPr>
        <w:tab/>
      </w:r>
      <w:r>
        <w:rPr>
          <w:rFonts w:ascii="Verdana" w:hAnsi="Verdana"/>
          <w:sz w:val="16"/>
          <w:szCs w:val="16"/>
          <w:lang w:val="es-ES_tradnl"/>
        </w:rPr>
        <w:t>“</w:t>
      </w:r>
      <w:r>
        <w:rPr>
          <w:rFonts w:ascii="Verdana" w:hAnsi="Verdana" w:cs="Tahoma"/>
          <w:sz w:val="16"/>
          <w:szCs w:val="16"/>
          <w:lang w:val="es-ES"/>
        </w:rPr>
        <w:t xml:space="preserve">Art. 13... 3. </w:t>
      </w:r>
      <w:r w:rsidRPr="009776C7">
        <w:rPr>
          <w:rFonts w:ascii="Verdana" w:hAnsi="Verdana" w:cs="Tahoma"/>
          <w:sz w:val="16"/>
          <w:szCs w:val="16"/>
          <w:lang w:val="es-ES"/>
        </w:rPr>
        <w:t xml:space="preserve">No se puede restringir el derecho de expresión por vías o medios indirectos, tales como el abuso de controles oficiales o particulares de papel para periódicos, </w:t>
      </w:r>
      <w:r w:rsidRPr="009776C7">
        <w:rPr>
          <w:rFonts w:ascii="Verdana" w:hAnsi="Verdana" w:cs="Tahoma"/>
          <w:sz w:val="16"/>
          <w:szCs w:val="16"/>
          <w:u w:val="single"/>
          <w:lang w:val="es-ES"/>
        </w:rPr>
        <w:t>de frecuencias radioeléctricas</w:t>
      </w:r>
      <w:r w:rsidRPr="00A3280D">
        <w:rPr>
          <w:rFonts w:ascii="Verdana" w:hAnsi="Verdana" w:cs="Tahoma"/>
          <w:sz w:val="16"/>
          <w:szCs w:val="16"/>
          <w:u w:val="single"/>
          <w:lang w:val="es-ES"/>
        </w:rPr>
        <w:t>, o de enseres y aparatos usados en la difusión de información</w:t>
      </w:r>
      <w:r w:rsidRPr="009776C7">
        <w:rPr>
          <w:rFonts w:ascii="Verdana" w:hAnsi="Verdana" w:cs="Tahoma"/>
          <w:sz w:val="16"/>
          <w:szCs w:val="16"/>
          <w:lang w:val="es-ES"/>
        </w:rPr>
        <w:t xml:space="preserve"> o por cualesquiera otros medios encaminados a impedir la comunicación y la circulación de ideas y opiniones</w:t>
      </w:r>
      <w:r>
        <w:rPr>
          <w:rFonts w:ascii="Verdana" w:hAnsi="Verdana" w:cs="Tahoma"/>
          <w:sz w:val="16"/>
          <w:szCs w:val="16"/>
          <w:lang w:val="es-ES"/>
        </w:rPr>
        <w:t>” (énfasis añadido)</w:t>
      </w:r>
      <w:r w:rsidRPr="009776C7">
        <w:rPr>
          <w:rFonts w:ascii="Verdana" w:hAnsi="Verdana" w:cs="Tahoma"/>
          <w:sz w:val="16"/>
          <w:szCs w:val="16"/>
          <w:lang w:val="es-ES"/>
        </w:rPr>
        <w:t>.</w:t>
      </w:r>
    </w:p>
  </w:footnote>
  <w:footnote w:id="10">
    <w:p w14:paraId="710EF119" w14:textId="77777777" w:rsidR="008D3C6E" w:rsidRPr="00952643" w:rsidRDefault="008D3C6E" w:rsidP="00C50C03">
      <w:pPr>
        <w:pStyle w:val="FootnoteText"/>
        <w:spacing w:after="120"/>
        <w:jc w:val="both"/>
        <w:rPr>
          <w:rFonts w:ascii="Verdana" w:eastAsia="Times New Roman" w:hAnsi="Verdana"/>
          <w:b/>
          <w:caps/>
          <w:lang w:val="es-ES" w:eastAsia="es-ES"/>
        </w:rPr>
      </w:pPr>
      <w:r w:rsidRPr="00C50C03">
        <w:rPr>
          <w:rStyle w:val="FootnoteReference"/>
          <w:rFonts w:ascii="Verdana" w:hAnsi="Verdana"/>
          <w:sz w:val="16"/>
          <w:szCs w:val="16"/>
        </w:rPr>
        <w:footnoteRef/>
      </w:r>
      <w:r w:rsidRPr="00C50C03">
        <w:rPr>
          <w:rFonts w:ascii="Verdana" w:hAnsi="Verdana"/>
          <w:sz w:val="16"/>
          <w:szCs w:val="16"/>
        </w:rPr>
        <w:t xml:space="preserve"> </w:t>
      </w:r>
      <w:r w:rsidRPr="00C50C03">
        <w:rPr>
          <w:rFonts w:ascii="Verdana" w:hAnsi="Verdana"/>
          <w:sz w:val="16"/>
          <w:szCs w:val="16"/>
          <w:lang w:val="es-ES_tradnl"/>
        </w:rPr>
        <w:tab/>
      </w:r>
      <w:r>
        <w:rPr>
          <w:rFonts w:ascii="Verdana" w:hAnsi="Verdana"/>
          <w:sz w:val="16"/>
          <w:szCs w:val="16"/>
          <w:lang w:val="es-ES_tradnl"/>
        </w:rPr>
        <w:t xml:space="preserve">Sobre el concepto y alcances de la figura de la “desviación de poder” véase el Voto parcialmente disidente del Juez Eduardo Ferrer Mac-Gregor Poisot en el </w:t>
      </w:r>
      <w:r w:rsidRPr="00C50C03">
        <w:rPr>
          <w:rFonts w:ascii="Verdana" w:hAnsi="Verdana"/>
          <w:sz w:val="16"/>
          <w:szCs w:val="16"/>
        </w:rPr>
        <w:t xml:space="preserve">Caso </w:t>
      </w:r>
      <w:r w:rsidRPr="00C50C03">
        <w:rPr>
          <w:rFonts w:ascii="Verdana" w:hAnsi="Verdana"/>
          <w:i/>
          <w:sz w:val="16"/>
          <w:szCs w:val="16"/>
        </w:rPr>
        <w:t>Camba Campos y otros Vs. Ecuador</w:t>
      </w:r>
      <w:r w:rsidRPr="008D2185">
        <w:rPr>
          <w:rFonts w:ascii="Verdana" w:hAnsi="Verdana"/>
          <w:i/>
          <w:sz w:val="16"/>
          <w:szCs w:val="16"/>
        </w:rPr>
        <w:t xml:space="preserve"> </w:t>
      </w:r>
      <w:r>
        <w:rPr>
          <w:rFonts w:ascii="Verdana" w:hAnsi="Verdana"/>
          <w:i/>
          <w:sz w:val="16"/>
          <w:szCs w:val="16"/>
        </w:rPr>
        <w:t>(</w:t>
      </w:r>
      <w:r w:rsidRPr="00C50C03">
        <w:rPr>
          <w:rFonts w:ascii="Verdana" w:hAnsi="Verdana"/>
          <w:i/>
          <w:sz w:val="16"/>
          <w:szCs w:val="16"/>
        </w:rPr>
        <w:t>Excepciones Preliminares, Fondo, Reparaciones y Costas.</w:t>
      </w:r>
      <w:r w:rsidRPr="00C50C03">
        <w:rPr>
          <w:rFonts w:ascii="Verdana" w:hAnsi="Verdana"/>
          <w:sz w:val="16"/>
          <w:szCs w:val="16"/>
        </w:rPr>
        <w:t xml:space="preserve"> Sentencia de 28 de agosto de 2013</w:t>
      </w:r>
      <w:r>
        <w:rPr>
          <w:rFonts w:ascii="Verdana" w:hAnsi="Verdana"/>
          <w:sz w:val="16"/>
          <w:szCs w:val="16"/>
        </w:rPr>
        <w:t>)</w:t>
      </w:r>
      <w:r>
        <w:rPr>
          <w:rFonts w:ascii="Verdana" w:hAnsi="Verdana"/>
          <w:i/>
          <w:sz w:val="16"/>
          <w:szCs w:val="16"/>
        </w:rPr>
        <w:t xml:space="preserve">, </w:t>
      </w:r>
      <w:r>
        <w:rPr>
          <w:rFonts w:ascii="Verdana" w:hAnsi="Verdana"/>
          <w:sz w:val="16"/>
          <w:szCs w:val="16"/>
        </w:rPr>
        <w:t xml:space="preserve">especialmente párrs. 120-137. </w:t>
      </w:r>
    </w:p>
  </w:footnote>
  <w:footnote w:id="11">
    <w:p w14:paraId="65444E3B" w14:textId="77777777" w:rsidR="008D3C6E" w:rsidRPr="00CC02EA" w:rsidRDefault="008D3C6E" w:rsidP="00B9351B">
      <w:pPr>
        <w:pStyle w:val="FootnoteText"/>
        <w:spacing w:after="120"/>
      </w:pPr>
      <w:r>
        <w:rPr>
          <w:rStyle w:val="FootnoteReference"/>
        </w:rPr>
        <w:footnoteRef/>
      </w:r>
      <w:r>
        <w:t xml:space="preserve">            </w:t>
      </w:r>
      <w:r>
        <w:tab/>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otros (Radio Caracas Televisión) Vs. Venezuela</w:t>
      </w:r>
      <w:r>
        <w:rPr>
          <w:rFonts w:ascii="Verdana" w:hAnsi="Verdana"/>
          <w:sz w:val="16"/>
          <w:szCs w:val="16"/>
        </w:rPr>
        <w:t>, párr. 199.</w:t>
      </w:r>
    </w:p>
  </w:footnote>
  <w:footnote w:id="12">
    <w:p w14:paraId="087A1AE8" w14:textId="77777777" w:rsidR="008D3C6E" w:rsidRPr="008D4320" w:rsidRDefault="008D3C6E" w:rsidP="008D4320">
      <w:pPr>
        <w:pStyle w:val="FootnoteText"/>
        <w:spacing w:after="120"/>
        <w:jc w:val="both"/>
        <w:rPr>
          <w:rFonts w:ascii="Arial" w:hAnsi="Arial" w:cs="Arial"/>
          <w:sz w:val="16"/>
          <w:szCs w:val="16"/>
          <w:lang w:val="es-ES_tradnl"/>
        </w:rPr>
      </w:pPr>
      <w:r w:rsidRPr="008D4320">
        <w:rPr>
          <w:rStyle w:val="FootnoteReference"/>
          <w:rFonts w:ascii="Arial" w:hAnsi="Arial" w:cs="Arial"/>
          <w:sz w:val="16"/>
          <w:szCs w:val="16"/>
        </w:rPr>
        <w:footnoteRef/>
      </w:r>
      <w:r w:rsidRPr="008D4320">
        <w:rPr>
          <w:rFonts w:ascii="Arial" w:hAnsi="Arial" w:cs="Arial"/>
          <w:sz w:val="16"/>
          <w:szCs w:val="16"/>
        </w:rPr>
        <w:t xml:space="preserve"> </w:t>
      </w:r>
      <w:r>
        <w:rPr>
          <w:rFonts w:ascii="Arial" w:hAnsi="Arial" w:cs="Arial"/>
          <w:sz w:val="16"/>
          <w:szCs w:val="16"/>
          <w:lang w:val="es-ES_tradnl"/>
        </w:rPr>
        <w:tab/>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otros (Radio Caracas Televisión) Vs. Venezuela</w:t>
      </w:r>
      <w:r>
        <w:rPr>
          <w:rFonts w:ascii="Verdana" w:hAnsi="Verdana"/>
          <w:sz w:val="16"/>
          <w:szCs w:val="16"/>
        </w:rPr>
        <w:t>, párr</w:t>
      </w:r>
      <w:r>
        <w:rPr>
          <w:rFonts w:ascii="Arial" w:hAnsi="Arial" w:cs="Arial"/>
          <w:sz w:val="16"/>
          <w:szCs w:val="16"/>
          <w:lang w:val="es-ES_tradnl"/>
        </w:rPr>
        <w:t xml:space="preserve">. </w:t>
      </w:r>
      <w:r w:rsidRPr="008D4320">
        <w:rPr>
          <w:rFonts w:ascii="Arial" w:hAnsi="Arial" w:cs="Arial"/>
          <w:sz w:val="16"/>
          <w:szCs w:val="16"/>
          <w:lang w:val="es-ES_tradnl"/>
        </w:rPr>
        <w:t>252.</w:t>
      </w:r>
    </w:p>
  </w:footnote>
  <w:footnote w:id="13">
    <w:p w14:paraId="4F66F838" w14:textId="77777777" w:rsidR="008D3C6E" w:rsidRPr="00BA61AA" w:rsidRDefault="008D3C6E" w:rsidP="00BA61AA">
      <w:pPr>
        <w:pStyle w:val="FootnoteText"/>
        <w:spacing w:after="120"/>
        <w:jc w:val="both"/>
        <w:rPr>
          <w:rFonts w:ascii="Verdana" w:hAnsi="Verdana"/>
          <w:sz w:val="16"/>
          <w:szCs w:val="16"/>
          <w:lang w:val="es-ES_tradnl"/>
        </w:rPr>
      </w:pPr>
      <w:r w:rsidRPr="00BA61AA">
        <w:rPr>
          <w:rStyle w:val="FootnoteReference"/>
          <w:rFonts w:ascii="Verdana" w:hAnsi="Verdana"/>
          <w:sz w:val="16"/>
          <w:szCs w:val="16"/>
        </w:rPr>
        <w:footnoteRef/>
      </w:r>
      <w:r w:rsidRPr="00BA61AA">
        <w:rPr>
          <w:rFonts w:ascii="Verdana" w:hAnsi="Verdana"/>
          <w:sz w:val="16"/>
          <w:szCs w:val="16"/>
        </w:rPr>
        <w:t xml:space="preserve"> </w:t>
      </w:r>
      <w:r w:rsidRPr="00BA61AA">
        <w:rPr>
          <w:rFonts w:ascii="Verdana" w:hAnsi="Verdana"/>
          <w:sz w:val="16"/>
          <w:szCs w:val="16"/>
          <w:lang w:val="es-ES_tradnl"/>
        </w:rPr>
        <w:tab/>
      </w:r>
      <w:r w:rsidRPr="00BA61AA">
        <w:rPr>
          <w:rFonts w:ascii="Verdana" w:hAnsi="Verdana"/>
          <w:sz w:val="16"/>
          <w:szCs w:val="16"/>
          <w:lang w:val="es-CL"/>
        </w:rPr>
        <w:t>E</w:t>
      </w:r>
      <w:r w:rsidRPr="00BA61AA">
        <w:rPr>
          <w:rFonts w:ascii="Verdana" w:hAnsi="Verdana"/>
          <w:sz w:val="16"/>
          <w:szCs w:val="16"/>
          <w:lang w:val="es-ES"/>
        </w:rPr>
        <w:t>l 27 de mayo de 2007 finalizaba, además de la concesión de RCTV, la concesión de otras cuatro televisoras, cuyas concesiones fueron renovadas</w:t>
      </w:r>
      <w:r>
        <w:rPr>
          <w:rFonts w:ascii="Verdana" w:hAnsi="Verdana"/>
          <w:sz w:val="16"/>
          <w:szCs w:val="16"/>
          <w:lang w:val="es-ES"/>
        </w:rPr>
        <w:t>, entre la que se encontraba</w:t>
      </w:r>
      <w:r w:rsidRPr="00BA61AA">
        <w:rPr>
          <w:rFonts w:ascii="Verdana" w:hAnsi="Verdana"/>
          <w:sz w:val="16"/>
          <w:szCs w:val="16"/>
          <w:lang w:val="es-ES"/>
        </w:rPr>
        <w:t xml:space="preserve"> Venevisión, una estación privada de televisión abierta que operaba en la banda VHF, cubría casi todo el territorio nacional, y tenía una audiencia muy parecida a la de RCTV</w:t>
      </w:r>
      <w:r>
        <w:rPr>
          <w:rFonts w:ascii="Verdana" w:hAnsi="Verdana"/>
          <w:sz w:val="16"/>
          <w:szCs w:val="16"/>
          <w:lang w:val="es-ES"/>
        </w:rPr>
        <w:t xml:space="preserve">. Véase </w:t>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w:t>
      </w:r>
      <w:r>
        <w:rPr>
          <w:rFonts w:ascii="Verdana" w:hAnsi="Verdana"/>
          <w:i/>
          <w:sz w:val="16"/>
          <w:szCs w:val="16"/>
          <w:lang w:val="es-ES_tradnl"/>
        </w:rPr>
        <w:t>ros (Radio Caracas Televisión) v</w:t>
      </w:r>
      <w:r w:rsidRPr="009501B6">
        <w:rPr>
          <w:rFonts w:ascii="Verdana" w:hAnsi="Verdana"/>
          <w:i/>
          <w:sz w:val="16"/>
          <w:szCs w:val="16"/>
          <w:lang w:val="es-ES_tradnl"/>
        </w:rPr>
        <w:t>s. Venezuela</w:t>
      </w:r>
      <w:r>
        <w:rPr>
          <w:rFonts w:ascii="Verdana" w:hAnsi="Verdana"/>
          <w:sz w:val="16"/>
          <w:szCs w:val="16"/>
        </w:rPr>
        <w:t>, párr.</w:t>
      </w:r>
      <w:r>
        <w:rPr>
          <w:rFonts w:ascii="Verdana" w:hAnsi="Verdana"/>
          <w:sz w:val="16"/>
          <w:szCs w:val="16"/>
          <w:lang w:val="es-ES"/>
        </w:rPr>
        <w:t xml:space="preserve"> 102.</w:t>
      </w:r>
    </w:p>
  </w:footnote>
  <w:footnote w:id="14">
    <w:p w14:paraId="3C4D5030" w14:textId="77777777" w:rsidR="008D3C6E" w:rsidRPr="0036565E" w:rsidRDefault="008D3C6E" w:rsidP="0036565E">
      <w:pPr>
        <w:pStyle w:val="FootnoteText"/>
        <w:spacing w:after="120"/>
        <w:jc w:val="both"/>
        <w:rPr>
          <w:rFonts w:ascii="Verdana" w:hAnsi="Verdana"/>
          <w:sz w:val="16"/>
          <w:szCs w:val="16"/>
          <w:lang w:val="es-ES_tradnl"/>
        </w:rPr>
      </w:pPr>
      <w:r w:rsidRPr="0036565E">
        <w:rPr>
          <w:rStyle w:val="FootnoteReference"/>
          <w:rFonts w:ascii="Verdana" w:hAnsi="Verdana"/>
          <w:sz w:val="16"/>
          <w:szCs w:val="16"/>
        </w:rPr>
        <w:footnoteRef/>
      </w:r>
      <w:r w:rsidRPr="0036565E">
        <w:rPr>
          <w:rFonts w:ascii="Verdana" w:hAnsi="Verdana"/>
          <w:sz w:val="16"/>
          <w:szCs w:val="16"/>
        </w:rPr>
        <w:t xml:space="preserve"> </w:t>
      </w:r>
      <w:r w:rsidRPr="0036565E">
        <w:rPr>
          <w:rFonts w:ascii="Verdana" w:hAnsi="Verdana"/>
          <w:sz w:val="16"/>
          <w:szCs w:val="16"/>
          <w:lang w:val="es-ES_tradnl"/>
        </w:rPr>
        <w:tab/>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w:t>
      </w:r>
      <w:r>
        <w:rPr>
          <w:rFonts w:ascii="Verdana" w:hAnsi="Verdana"/>
          <w:i/>
          <w:sz w:val="16"/>
          <w:szCs w:val="16"/>
          <w:lang w:val="es-ES_tradnl"/>
        </w:rPr>
        <w:t>ros (Radio Caracas Televisión) V</w:t>
      </w:r>
      <w:r w:rsidRPr="009501B6">
        <w:rPr>
          <w:rFonts w:ascii="Verdana" w:hAnsi="Verdana"/>
          <w:i/>
          <w:sz w:val="16"/>
          <w:szCs w:val="16"/>
          <w:lang w:val="es-ES_tradnl"/>
        </w:rPr>
        <w:t>s. Venezuela</w:t>
      </w:r>
      <w:r>
        <w:rPr>
          <w:rFonts w:ascii="Verdana" w:hAnsi="Verdana"/>
          <w:sz w:val="16"/>
          <w:szCs w:val="16"/>
        </w:rPr>
        <w:t>, párr</w:t>
      </w:r>
      <w:r w:rsidRPr="0036565E">
        <w:rPr>
          <w:rFonts w:ascii="Verdana" w:hAnsi="Verdana"/>
          <w:sz w:val="16"/>
          <w:szCs w:val="16"/>
          <w:lang w:val="es-ES_tradnl"/>
        </w:rPr>
        <w:t xml:space="preserve"> 234</w:t>
      </w:r>
      <w:r>
        <w:rPr>
          <w:rFonts w:ascii="Verdana" w:hAnsi="Verdana"/>
          <w:sz w:val="16"/>
          <w:szCs w:val="16"/>
          <w:lang w:val="es-ES_tradnl"/>
        </w:rPr>
        <w:t>.</w:t>
      </w:r>
    </w:p>
  </w:footnote>
  <w:footnote w:id="15">
    <w:p w14:paraId="7D0A2517" w14:textId="77777777" w:rsidR="008D3C6E" w:rsidRPr="0036565E" w:rsidRDefault="008D3C6E" w:rsidP="0036565E">
      <w:pPr>
        <w:pStyle w:val="FootnoteText"/>
        <w:spacing w:after="120"/>
        <w:jc w:val="both"/>
        <w:rPr>
          <w:rFonts w:ascii="Verdana" w:hAnsi="Verdana"/>
          <w:sz w:val="16"/>
          <w:szCs w:val="16"/>
          <w:lang w:val="es-ES_tradnl"/>
        </w:rPr>
      </w:pPr>
      <w:r w:rsidRPr="0036565E">
        <w:rPr>
          <w:rStyle w:val="FootnoteReference"/>
          <w:rFonts w:ascii="Verdana" w:hAnsi="Verdana"/>
          <w:sz w:val="16"/>
          <w:szCs w:val="16"/>
        </w:rPr>
        <w:footnoteRef/>
      </w:r>
      <w:r w:rsidRPr="0036565E">
        <w:rPr>
          <w:rFonts w:ascii="Verdana" w:hAnsi="Verdana"/>
          <w:sz w:val="16"/>
          <w:szCs w:val="16"/>
        </w:rPr>
        <w:t xml:space="preserve"> </w:t>
      </w:r>
      <w:r w:rsidRPr="0036565E">
        <w:rPr>
          <w:rFonts w:ascii="Verdana" w:hAnsi="Verdana"/>
          <w:sz w:val="16"/>
          <w:szCs w:val="16"/>
          <w:lang w:val="es-ES_tradnl"/>
        </w:rPr>
        <w:tab/>
      </w:r>
      <w:r w:rsidRPr="0036565E">
        <w:rPr>
          <w:rFonts w:ascii="Verdana" w:hAnsi="Verdana"/>
          <w:i/>
          <w:sz w:val="16"/>
          <w:szCs w:val="16"/>
          <w:lang w:val="es-ES_tradnl"/>
        </w:rPr>
        <w:t>Ídem</w:t>
      </w:r>
      <w:r w:rsidRPr="0036565E">
        <w:rPr>
          <w:rFonts w:ascii="Verdana" w:hAnsi="Verdana"/>
          <w:sz w:val="16"/>
          <w:szCs w:val="16"/>
          <w:lang w:val="es-ES_tradnl"/>
        </w:rPr>
        <w:t>.</w:t>
      </w:r>
    </w:p>
  </w:footnote>
  <w:footnote w:id="16">
    <w:p w14:paraId="093DD387" w14:textId="77777777" w:rsidR="008D3C6E" w:rsidRPr="0011317E" w:rsidRDefault="008D3C6E" w:rsidP="0011317E">
      <w:pPr>
        <w:pStyle w:val="FootnoteText"/>
        <w:spacing w:after="120"/>
        <w:jc w:val="both"/>
        <w:rPr>
          <w:rFonts w:ascii="Verdana" w:hAnsi="Verdana"/>
          <w:sz w:val="16"/>
          <w:szCs w:val="16"/>
          <w:lang w:val="es-ES_tradnl"/>
        </w:rPr>
      </w:pPr>
      <w:r w:rsidRPr="006306D5">
        <w:rPr>
          <w:rStyle w:val="FootnoteReference"/>
          <w:rFonts w:ascii="Verdana" w:hAnsi="Verdana"/>
          <w:sz w:val="16"/>
          <w:szCs w:val="16"/>
        </w:rPr>
        <w:footnoteRef/>
      </w:r>
      <w:r w:rsidRPr="006306D5">
        <w:rPr>
          <w:rFonts w:ascii="Verdana" w:hAnsi="Verdana"/>
          <w:sz w:val="16"/>
          <w:szCs w:val="16"/>
        </w:rPr>
        <w:t xml:space="preserve"> </w:t>
      </w:r>
      <w:r w:rsidRPr="006306D5">
        <w:rPr>
          <w:rFonts w:ascii="Verdana" w:hAnsi="Verdana"/>
          <w:sz w:val="16"/>
          <w:szCs w:val="16"/>
          <w:lang w:val="es-ES_tradnl"/>
        </w:rPr>
        <w:tab/>
      </w:r>
      <w:r>
        <w:rPr>
          <w:rFonts w:ascii="Verdana" w:hAnsi="Verdana"/>
          <w:sz w:val="16"/>
          <w:szCs w:val="16"/>
          <w:lang w:val="es-ES_tradnl"/>
        </w:rPr>
        <w:t>La Sala Constitucional del Tribunal Supremo de Justicia ordenó de oficio</w:t>
      </w:r>
      <w:r w:rsidRPr="006306D5">
        <w:rPr>
          <w:rFonts w:ascii="Verdana" w:hAnsi="Verdana"/>
          <w:sz w:val="16"/>
          <w:szCs w:val="16"/>
          <w:lang w:val="es-CL"/>
        </w:rPr>
        <w:t>, a través de medidas cautelares innominadas, el traspaso temporal a CONATEL del uso de los bienes propiedad de RCTV</w:t>
      </w:r>
      <w:r>
        <w:rPr>
          <w:rFonts w:ascii="Verdana" w:hAnsi="Verdana"/>
          <w:sz w:val="16"/>
          <w:szCs w:val="16"/>
          <w:lang w:val="es-CL"/>
        </w:rPr>
        <w:t xml:space="preserve"> </w:t>
      </w:r>
      <w:r w:rsidRPr="006306D5">
        <w:rPr>
          <w:rFonts w:ascii="Verdana" w:hAnsi="Verdana"/>
          <w:sz w:val="16"/>
          <w:szCs w:val="16"/>
          <w:lang w:val="es-CL"/>
        </w:rPr>
        <w:t>con el objetivo de acordar el uso de esos bienes a favor de TVes, por cuanto este no contaba con la infraestructura necesaria para la transmisión a nivel nacional. De igual forma, en la decisión No. 957, la Sala Constitucional asignó a CONATEL, con el fin de tutelar la continuidad de la prestación de un servicio público universal, el derecho de uso de los equipos necesarios para las operaciones televisivas, para acordar su uso al operador que a tal efecto se dispusiera conforme lo establecido por la LOTEL. Ambas medidas fueron ejecutadas en los días 27 y 28 de mayo de tal año y ambas medidas procedieron frente a los bienes de propiedad de la empresa.</w:t>
      </w:r>
    </w:p>
  </w:footnote>
  <w:footnote w:id="17">
    <w:p w14:paraId="23E89260" w14:textId="04849A39" w:rsidR="008D3C6E" w:rsidRPr="006306D5" w:rsidRDefault="008D3C6E" w:rsidP="006306D5">
      <w:pPr>
        <w:spacing w:after="120" w:line="240" w:lineRule="auto"/>
        <w:jc w:val="both"/>
        <w:rPr>
          <w:rFonts w:ascii="Verdana" w:hAnsi="Verdana"/>
          <w:sz w:val="16"/>
          <w:szCs w:val="16"/>
        </w:rPr>
      </w:pPr>
      <w:r w:rsidRPr="006306D5">
        <w:rPr>
          <w:rStyle w:val="FootnoteReference"/>
          <w:rFonts w:ascii="Verdana" w:hAnsi="Verdana"/>
          <w:sz w:val="16"/>
          <w:szCs w:val="16"/>
        </w:rPr>
        <w:footnoteRef/>
      </w:r>
      <w:r>
        <w:rPr>
          <w:rFonts w:ascii="Verdana" w:hAnsi="Verdana"/>
          <w:sz w:val="16"/>
          <w:szCs w:val="16"/>
        </w:rPr>
        <w:t xml:space="preserve"> </w:t>
      </w:r>
      <w:r>
        <w:rPr>
          <w:rFonts w:ascii="Verdana" w:hAnsi="Verdana"/>
          <w:sz w:val="16"/>
          <w:szCs w:val="16"/>
        </w:rPr>
        <w:tab/>
      </w:r>
      <w:r w:rsidRPr="006306D5">
        <w:rPr>
          <w:rFonts w:ascii="Verdana" w:hAnsi="Verdana"/>
          <w:sz w:val="16"/>
          <w:szCs w:val="16"/>
        </w:rPr>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8">
    <w:p w14:paraId="2C44266C" w14:textId="77777777" w:rsidR="008D3C6E" w:rsidRPr="00446F76" w:rsidRDefault="008D3C6E" w:rsidP="00B9351B">
      <w:pPr>
        <w:pStyle w:val="FootnoteText"/>
        <w:spacing w:after="120"/>
      </w:pPr>
      <w:r>
        <w:rPr>
          <w:rStyle w:val="FootnoteReference"/>
        </w:rPr>
        <w:footnoteRef/>
      </w:r>
      <w:r>
        <w:t xml:space="preserve">  </w:t>
      </w:r>
      <w:r>
        <w:tab/>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w:t>
      </w:r>
      <w:r>
        <w:rPr>
          <w:rFonts w:ascii="Verdana" w:hAnsi="Verdana"/>
          <w:i/>
          <w:sz w:val="16"/>
          <w:szCs w:val="16"/>
          <w:lang w:val="es-ES_tradnl"/>
        </w:rPr>
        <w:t>ros (Radio Caracas Televisión) V</w:t>
      </w:r>
      <w:r w:rsidRPr="009501B6">
        <w:rPr>
          <w:rFonts w:ascii="Verdana" w:hAnsi="Verdana"/>
          <w:i/>
          <w:sz w:val="16"/>
          <w:szCs w:val="16"/>
          <w:lang w:val="es-ES_tradnl"/>
        </w:rPr>
        <w:t>s. Venezuela</w:t>
      </w:r>
      <w:r w:rsidRPr="00BA60C6">
        <w:rPr>
          <w:rFonts w:ascii="Verdana" w:hAnsi="Verdana"/>
          <w:i/>
          <w:sz w:val="16"/>
          <w:szCs w:val="16"/>
        </w:rPr>
        <w:t xml:space="preserve">, </w:t>
      </w:r>
      <w:r>
        <w:rPr>
          <w:rFonts w:ascii="Verdana" w:hAnsi="Verdana"/>
          <w:sz w:val="16"/>
          <w:szCs w:val="16"/>
          <w:lang w:val="es-ES_tradnl"/>
        </w:rPr>
        <w:t xml:space="preserve">párr. </w:t>
      </w:r>
      <w:r w:rsidRPr="00CE0F24">
        <w:rPr>
          <w:rFonts w:ascii="Verdana" w:hAnsi="Verdana"/>
          <w:sz w:val="16"/>
          <w:szCs w:val="16"/>
          <w:lang w:val="es-ES_tradnl"/>
        </w:rPr>
        <w:t>3</w:t>
      </w:r>
      <w:r>
        <w:rPr>
          <w:rFonts w:ascii="Verdana" w:hAnsi="Verdana"/>
          <w:sz w:val="16"/>
          <w:szCs w:val="16"/>
          <w:lang w:val="es-ES_tradnl"/>
        </w:rPr>
        <w:t>61.</w:t>
      </w:r>
    </w:p>
  </w:footnote>
  <w:footnote w:id="19">
    <w:p w14:paraId="4D82C3E4" w14:textId="77777777" w:rsidR="008D3C6E" w:rsidRPr="00CE0F24" w:rsidRDefault="008D3C6E" w:rsidP="00CE0F24">
      <w:pPr>
        <w:pStyle w:val="FootnoteText"/>
        <w:spacing w:after="120"/>
        <w:rPr>
          <w:rFonts w:ascii="Verdana" w:hAnsi="Verdana"/>
          <w:sz w:val="16"/>
          <w:szCs w:val="16"/>
          <w:lang w:val="es-ES_tradnl"/>
        </w:rPr>
      </w:pPr>
      <w:r w:rsidRPr="00CE0F24">
        <w:rPr>
          <w:rStyle w:val="FootnoteReference"/>
          <w:rFonts w:ascii="Verdana" w:hAnsi="Verdana"/>
          <w:sz w:val="16"/>
          <w:szCs w:val="16"/>
        </w:rPr>
        <w:footnoteRef/>
      </w:r>
      <w:r w:rsidRPr="00CE0F24">
        <w:rPr>
          <w:rFonts w:ascii="Verdana" w:hAnsi="Verdana"/>
          <w:sz w:val="16"/>
          <w:szCs w:val="16"/>
        </w:rPr>
        <w:t xml:space="preserve"> </w:t>
      </w:r>
      <w:r>
        <w:rPr>
          <w:rFonts w:ascii="Verdana" w:hAnsi="Verdana"/>
          <w:sz w:val="16"/>
          <w:szCs w:val="16"/>
          <w:lang w:val="es-ES_tradnl"/>
        </w:rPr>
        <w:tab/>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w:t>
      </w:r>
      <w:r>
        <w:rPr>
          <w:rFonts w:ascii="Verdana" w:hAnsi="Verdana"/>
          <w:i/>
          <w:sz w:val="16"/>
          <w:szCs w:val="16"/>
          <w:lang w:val="es-ES_tradnl"/>
        </w:rPr>
        <w:t>ros (Radio Caracas Televisión) V</w:t>
      </w:r>
      <w:r w:rsidRPr="009501B6">
        <w:rPr>
          <w:rFonts w:ascii="Verdana" w:hAnsi="Verdana"/>
          <w:i/>
          <w:sz w:val="16"/>
          <w:szCs w:val="16"/>
          <w:lang w:val="es-ES_tradnl"/>
        </w:rPr>
        <w:t>s. Venezuela</w:t>
      </w:r>
      <w:r w:rsidRPr="006F2A55">
        <w:rPr>
          <w:rFonts w:ascii="Verdana" w:hAnsi="Verdana"/>
          <w:i/>
          <w:sz w:val="16"/>
          <w:szCs w:val="16"/>
        </w:rPr>
        <w:t xml:space="preserve">, </w:t>
      </w:r>
      <w:r>
        <w:rPr>
          <w:rFonts w:ascii="Verdana" w:hAnsi="Verdana"/>
          <w:sz w:val="16"/>
          <w:szCs w:val="16"/>
          <w:lang w:val="es-ES_tradnl"/>
        </w:rPr>
        <w:t xml:space="preserve">párr. </w:t>
      </w:r>
      <w:r w:rsidRPr="00CE0F24">
        <w:rPr>
          <w:rFonts w:ascii="Verdana" w:hAnsi="Verdana"/>
          <w:sz w:val="16"/>
          <w:szCs w:val="16"/>
          <w:lang w:val="es-ES_tradnl"/>
        </w:rPr>
        <w:t>379.</w:t>
      </w:r>
    </w:p>
  </w:footnote>
  <w:footnote w:id="20">
    <w:p w14:paraId="2CA1E6AF" w14:textId="77777777" w:rsidR="008D3C6E" w:rsidRPr="00B14299" w:rsidRDefault="008D3C6E" w:rsidP="00B14299">
      <w:pPr>
        <w:pStyle w:val="FootnoteText"/>
        <w:spacing w:after="120"/>
        <w:jc w:val="both"/>
        <w:rPr>
          <w:rFonts w:ascii="Verdana" w:hAnsi="Verdana"/>
          <w:sz w:val="16"/>
          <w:szCs w:val="16"/>
          <w:lang w:val="es-ES_tradnl"/>
        </w:rPr>
      </w:pPr>
      <w:r w:rsidRPr="00B14299">
        <w:rPr>
          <w:rStyle w:val="FootnoteReference"/>
          <w:rFonts w:ascii="Verdana" w:hAnsi="Verdana"/>
          <w:sz w:val="16"/>
          <w:szCs w:val="16"/>
        </w:rPr>
        <w:footnoteRef/>
      </w:r>
      <w:r w:rsidRPr="00B14299">
        <w:rPr>
          <w:rFonts w:ascii="Verdana" w:hAnsi="Verdana"/>
          <w:sz w:val="16"/>
          <w:szCs w:val="16"/>
        </w:rPr>
        <w:t xml:space="preserve"> </w:t>
      </w:r>
      <w:r w:rsidRPr="00B14299">
        <w:rPr>
          <w:rFonts w:ascii="Verdana" w:hAnsi="Verdana"/>
          <w:sz w:val="16"/>
          <w:szCs w:val="16"/>
        </w:rPr>
        <w:tab/>
      </w:r>
      <w:r w:rsidRPr="00B14299">
        <w:rPr>
          <w:rFonts w:ascii="Verdana" w:eastAsia="Calibri" w:hAnsi="Verdana" w:cs="Verdana"/>
          <w:spacing w:val="-2"/>
          <w:sz w:val="16"/>
          <w:szCs w:val="16"/>
        </w:rPr>
        <w:t>L</w:t>
      </w:r>
      <w:r>
        <w:rPr>
          <w:rFonts w:ascii="Verdana" w:eastAsia="Calibri" w:hAnsi="Verdana" w:cs="Verdana"/>
          <w:spacing w:val="-2"/>
          <w:sz w:val="16"/>
          <w:szCs w:val="16"/>
        </w:rPr>
        <w:t>a Corte deliberó sobre el proyecto de sentencia</w:t>
      </w:r>
      <w:r w:rsidRPr="00B14299">
        <w:rPr>
          <w:rFonts w:ascii="Verdana" w:eastAsia="Calibri" w:hAnsi="Verdana" w:cs="Verdana"/>
          <w:spacing w:val="-2"/>
          <w:sz w:val="16"/>
          <w:szCs w:val="16"/>
        </w:rPr>
        <w:t xml:space="preserve"> durante su 106, 107, 108 y 109 Períodos Ordinarios de Sesiones</w:t>
      </w:r>
      <w:r>
        <w:rPr>
          <w:rFonts w:ascii="Verdana" w:eastAsia="Calibri" w:hAnsi="Verdana" w:cs="Verdana"/>
          <w:spacing w:val="-2"/>
          <w:sz w:val="16"/>
          <w:szCs w:val="16"/>
        </w:rPr>
        <w:t xml:space="preserve">. Véase </w:t>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w:t>
      </w:r>
      <w:r>
        <w:rPr>
          <w:rFonts w:ascii="Verdana" w:hAnsi="Verdana"/>
          <w:i/>
          <w:sz w:val="16"/>
          <w:szCs w:val="16"/>
          <w:lang w:val="es-ES_tradnl"/>
        </w:rPr>
        <w:t>ros (Radio Caracas Televisión) V</w:t>
      </w:r>
      <w:r w:rsidRPr="009501B6">
        <w:rPr>
          <w:rFonts w:ascii="Verdana" w:hAnsi="Verdana"/>
          <w:i/>
          <w:sz w:val="16"/>
          <w:szCs w:val="16"/>
          <w:lang w:val="es-ES_tradnl"/>
        </w:rPr>
        <w:t>s. Venezuela</w:t>
      </w:r>
      <w:r w:rsidRPr="006F2A55">
        <w:rPr>
          <w:rFonts w:ascii="Verdana" w:hAnsi="Verdana"/>
          <w:i/>
          <w:sz w:val="16"/>
          <w:szCs w:val="16"/>
        </w:rPr>
        <w:t xml:space="preserve">, </w:t>
      </w:r>
      <w:r>
        <w:rPr>
          <w:rFonts w:ascii="Verdana" w:hAnsi="Verdana"/>
          <w:sz w:val="16"/>
          <w:szCs w:val="16"/>
          <w:lang w:val="es-ES_tradnl"/>
        </w:rPr>
        <w:t>párr.</w:t>
      </w:r>
      <w:r>
        <w:rPr>
          <w:rFonts w:ascii="Verdana" w:eastAsia="Calibri" w:hAnsi="Verdana" w:cs="Verdana"/>
          <w:spacing w:val="-2"/>
          <w:sz w:val="16"/>
          <w:szCs w:val="16"/>
        </w:rPr>
        <w:t xml:space="preserve"> 13.</w:t>
      </w:r>
    </w:p>
  </w:footnote>
  <w:footnote w:id="21">
    <w:p w14:paraId="5A1B8DC8" w14:textId="77777777" w:rsidR="008D3C6E" w:rsidRPr="008E3F73" w:rsidRDefault="008D3C6E" w:rsidP="008E3F73">
      <w:pPr>
        <w:pStyle w:val="FootnoteText"/>
        <w:spacing w:after="120"/>
        <w:jc w:val="both"/>
        <w:rPr>
          <w:rFonts w:ascii="Verdana" w:hAnsi="Verdana"/>
          <w:sz w:val="16"/>
          <w:szCs w:val="16"/>
          <w:lang w:val="es-ES_tradnl"/>
        </w:rPr>
      </w:pPr>
      <w:r w:rsidRPr="008E3F73">
        <w:rPr>
          <w:rStyle w:val="FootnoteReference"/>
          <w:rFonts w:ascii="Verdana" w:hAnsi="Verdana"/>
          <w:sz w:val="16"/>
          <w:szCs w:val="16"/>
        </w:rPr>
        <w:footnoteRef/>
      </w:r>
      <w:r w:rsidRPr="008E3F73">
        <w:rPr>
          <w:rFonts w:ascii="Verdana" w:hAnsi="Verdana"/>
          <w:sz w:val="16"/>
          <w:szCs w:val="16"/>
        </w:rPr>
        <w:t xml:space="preserve"> </w:t>
      </w:r>
      <w:r w:rsidRPr="008E3F73">
        <w:rPr>
          <w:rFonts w:ascii="Verdana" w:hAnsi="Verdana"/>
          <w:sz w:val="16"/>
          <w:szCs w:val="16"/>
          <w:lang w:val="es-ES_tradnl"/>
        </w:rPr>
        <w:tab/>
      </w:r>
      <w:r>
        <w:rPr>
          <w:rFonts w:ascii="Verdana" w:hAnsi="Verdana"/>
          <w:sz w:val="16"/>
          <w:szCs w:val="16"/>
        </w:rPr>
        <w:t>M</w:t>
      </w:r>
      <w:r w:rsidRPr="008E3F73">
        <w:rPr>
          <w:rFonts w:ascii="Verdana" w:hAnsi="Verdana"/>
          <w:sz w:val="16"/>
          <w:szCs w:val="16"/>
        </w:rPr>
        <w:t>icroondas, telepuertos, transmisores, equipos auxiliares de televisión, equipos auxiliares de energía y clima, torres, antenas, casetas de transmisión, casetas de planta, cerca perimetral y acometida eléctrica</w:t>
      </w:r>
      <w:r>
        <w:rPr>
          <w:rFonts w:ascii="Verdana" w:hAnsi="Verdana"/>
          <w:sz w:val="16"/>
          <w:szCs w:val="16"/>
        </w:rPr>
        <w:t>.</w:t>
      </w:r>
    </w:p>
  </w:footnote>
  <w:footnote w:id="22">
    <w:p w14:paraId="6E1B130F" w14:textId="77777777" w:rsidR="008D3C6E" w:rsidRPr="00A3280D" w:rsidRDefault="008D3C6E" w:rsidP="00A3280D">
      <w:pPr>
        <w:pStyle w:val="FootnoteText"/>
        <w:spacing w:after="120"/>
        <w:jc w:val="both"/>
        <w:rPr>
          <w:rFonts w:ascii="Verdana" w:hAnsi="Verdana"/>
          <w:sz w:val="16"/>
          <w:szCs w:val="16"/>
          <w:lang w:val="es-ES_tradnl"/>
        </w:rPr>
      </w:pPr>
      <w:r w:rsidRPr="00A3280D">
        <w:rPr>
          <w:rStyle w:val="FootnoteReference"/>
          <w:rFonts w:ascii="Verdana" w:hAnsi="Verdana"/>
          <w:sz w:val="16"/>
          <w:szCs w:val="16"/>
        </w:rPr>
        <w:footnoteRef/>
      </w:r>
      <w:r w:rsidRPr="00A3280D">
        <w:rPr>
          <w:rFonts w:ascii="Verdana" w:hAnsi="Verdana"/>
          <w:sz w:val="16"/>
          <w:szCs w:val="16"/>
        </w:rPr>
        <w:t xml:space="preserve"> </w:t>
      </w:r>
      <w:r w:rsidRPr="00A3280D">
        <w:rPr>
          <w:rFonts w:ascii="Verdana" w:hAnsi="Verdana"/>
          <w:sz w:val="16"/>
          <w:szCs w:val="16"/>
          <w:lang w:val="es-ES_tradnl"/>
        </w:rPr>
        <w:tab/>
      </w:r>
      <w:r>
        <w:rPr>
          <w:rFonts w:ascii="Verdana" w:hAnsi="Verdana"/>
          <w:sz w:val="16"/>
          <w:szCs w:val="16"/>
          <w:lang w:val="es-ES_tradnl"/>
        </w:rPr>
        <w:t xml:space="preserve">Sobre estas “medidas cautelares innominadas”, </w:t>
      </w:r>
      <w:r w:rsidRPr="00211C13">
        <w:rPr>
          <w:rFonts w:ascii="Verdana" w:hAnsi="Verdana"/>
          <w:sz w:val="16"/>
          <w:szCs w:val="16"/>
          <w:lang w:val="es-ES_tradnl"/>
        </w:rPr>
        <w:t xml:space="preserve">véase </w:t>
      </w:r>
      <w:r w:rsidRPr="00211C13">
        <w:rPr>
          <w:rFonts w:ascii="Verdana" w:hAnsi="Verdana"/>
          <w:i/>
          <w:sz w:val="16"/>
          <w:szCs w:val="16"/>
          <w:lang w:val="es-ES_tradnl"/>
        </w:rPr>
        <w:t>supra</w:t>
      </w:r>
      <w:r w:rsidRPr="00211C13">
        <w:rPr>
          <w:rFonts w:ascii="Verdana" w:hAnsi="Verdana"/>
          <w:sz w:val="16"/>
          <w:szCs w:val="16"/>
          <w:lang w:val="es-ES_tradnl"/>
        </w:rPr>
        <w:t xml:space="preserve"> nota 16 del presente voto.</w:t>
      </w:r>
    </w:p>
  </w:footnote>
  <w:footnote w:id="23">
    <w:p w14:paraId="1FB72BC0" w14:textId="77777777" w:rsidR="008D3C6E" w:rsidRPr="0019361C" w:rsidRDefault="008D3C6E" w:rsidP="0019361C">
      <w:pPr>
        <w:pStyle w:val="FootnoteText"/>
        <w:spacing w:after="120"/>
        <w:rPr>
          <w:rFonts w:ascii="Verdana" w:hAnsi="Verdana"/>
          <w:sz w:val="16"/>
          <w:szCs w:val="16"/>
          <w:lang w:val="es-ES_tradnl"/>
        </w:rPr>
      </w:pPr>
      <w:r w:rsidRPr="0019361C">
        <w:rPr>
          <w:rStyle w:val="FootnoteReference"/>
          <w:rFonts w:ascii="Verdana" w:hAnsi="Verdana"/>
          <w:sz w:val="16"/>
          <w:szCs w:val="16"/>
        </w:rPr>
        <w:footnoteRef/>
      </w:r>
      <w:r w:rsidRPr="0019361C">
        <w:rPr>
          <w:rFonts w:ascii="Verdana" w:hAnsi="Verdana"/>
          <w:sz w:val="16"/>
          <w:szCs w:val="16"/>
        </w:rPr>
        <w:t xml:space="preserve"> </w:t>
      </w:r>
      <w:r w:rsidRPr="0019361C">
        <w:rPr>
          <w:rFonts w:ascii="Verdana" w:hAnsi="Verdana"/>
          <w:sz w:val="16"/>
          <w:szCs w:val="16"/>
          <w:lang w:val="es-ES_tradnl"/>
        </w:rPr>
        <w:tab/>
      </w:r>
      <w:r>
        <w:rPr>
          <w:rFonts w:ascii="Verdana" w:eastAsia="Calibri" w:hAnsi="Verdana" w:cs="Verdana"/>
          <w:spacing w:val="-2"/>
          <w:sz w:val="16"/>
          <w:szCs w:val="16"/>
        </w:rPr>
        <w:t xml:space="preserve"> </w:t>
      </w:r>
      <w:r w:rsidRPr="009501B6">
        <w:rPr>
          <w:rFonts w:ascii="Verdana" w:hAnsi="Verdana"/>
          <w:i/>
          <w:sz w:val="16"/>
          <w:szCs w:val="16"/>
          <w:lang w:val="es-ES_tradnl"/>
        </w:rPr>
        <w:t xml:space="preserve">Caso </w:t>
      </w:r>
      <w:proofErr w:type="spellStart"/>
      <w:r w:rsidRPr="009501B6">
        <w:rPr>
          <w:rFonts w:ascii="Verdana" w:hAnsi="Verdana"/>
          <w:i/>
          <w:sz w:val="16"/>
          <w:szCs w:val="16"/>
          <w:lang w:val="es-ES_tradnl"/>
        </w:rPr>
        <w:t>Granier</w:t>
      </w:r>
      <w:proofErr w:type="spellEnd"/>
      <w:r w:rsidRPr="009501B6">
        <w:rPr>
          <w:rFonts w:ascii="Verdana" w:hAnsi="Verdana"/>
          <w:i/>
          <w:sz w:val="16"/>
          <w:szCs w:val="16"/>
          <w:lang w:val="es-ES_tradnl"/>
        </w:rPr>
        <w:t xml:space="preserve"> y otros (Radio Caracas Televisión) Vs. Venezuela</w:t>
      </w:r>
      <w:r w:rsidRPr="009E6C4C">
        <w:rPr>
          <w:rFonts w:ascii="Verdana" w:hAnsi="Verdana"/>
          <w:i/>
          <w:sz w:val="16"/>
          <w:szCs w:val="16"/>
        </w:rPr>
        <w:t>,</w:t>
      </w:r>
      <w:r>
        <w:rPr>
          <w:rFonts w:ascii="Verdana" w:hAnsi="Verdana"/>
          <w:sz w:val="16"/>
          <w:szCs w:val="16"/>
        </w:rPr>
        <w:t xml:space="preserve"> </w:t>
      </w:r>
      <w:r w:rsidRPr="00CE0F24">
        <w:rPr>
          <w:rFonts w:ascii="Verdana" w:hAnsi="Verdana"/>
          <w:sz w:val="16"/>
          <w:szCs w:val="16"/>
          <w:lang w:val="es-ES_tradnl"/>
        </w:rPr>
        <w:t xml:space="preserve"> </w:t>
      </w:r>
      <w:r>
        <w:rPr>
          <w:rFonts w:ascii="Verdana" w:hAnsi="Verdana"/>
          <w:sz w:val="16"/>
          <w:szCs w:val="16"/>
          <w:lang w:val="es-ES_tradnl"/>
        </w:rPr>
        <w:t>párr.</w:t>
      </w:r>
      <w:r w:rsidRPr="0019361C">
        <w:rPr>
          <w:rFonts w:ascii="Verdana" w:hAnsi="Verdana"/>
          <w:sz w:val="16"/>
          <w:szCs w:val="16"/>
          <w:lang w:val="es-ES_tradnl"/>
        </w:rPr>
        <w:t xml:space="preserve"> 61</w:t>
      </w:r>
      <w:r>
        <w:rPr>
          <w:rFonts w:ascii="Verdana" w:hAnsi="Verdana"/>
          <w:sz w:val="16"/>
          <w:szCs w:val="16"/>
          <w:lang w:val="es-ES_tradnl"/>
        </w:rPr>
        <w:t>.</w:t>
      </w:r>
    </w:p>
  </w:footnote>
  <w:footnote w:id="24">
    <w:p w14:paraId="51161D9F" w14:textId="77777777" w:rsidR="008D3C6E" w:rsidRPr="00E35C84" w:rsidRDefault="008D3C6E" w:rsidP="00E35C84">
      <w:pPr>
        <w:pStyle w:val="NormalWeb"/>
        <w:spacing w:before="0" w:beforeAutospacing="0" w:after="120" w:afterAutospacing="0"/>
        <w:jc w:val="both"/>
        <w:rPr>
          <w:rFonts w:ascii="Verdana" w:hAnsi="Verdana" w:cs="Verdana"/>
          <w:bCs/>
          <w:sz w:val="16"/>
          <w:szCs w:val="16"/>
          <w:lang w:val="es-ES"/>
        </w:rPr>
      </w:pPr>
      <w:r w:rsidRPr="0031791E">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iCs/>
          <w:sz w:val="16"/>
          <w:szCs w:val="16"/>
        </w:rPr>
        <w:t>La Colegiación Obligatoria de Periodistas (arts. 13 y 29 Convención Americana sobre Derechos Humanos)</w:t>
      </w:r>
      <w:r w:rsidRPr="00817CD9">
        <w:rPr>
          <w:rFonts w:ascii="Verdana" w:hAnsi="Verdana"/>
          <w:sz w:val="16"/>
          <w:szCs w:val="16"/>
        </w:rPr>
        <w:t xml:space="preserve">; </w:t>
      </w:r>
      <w:r w:rsidRPr="00817CD9">
        <w:rPr>
          <w:rFonts w:ascii="Verdana" w:hAnsi="Verdana"/>
          <w:i/>
          <w:iCs/>
          <w:sz w:val="16"/>
          <w:szCs w:val="16"/>
        </w:rPr>
        <w:t xml:space="preserve">Caso “La Última Tentación de Cristo” (Olmedo Bustos y otros) </w:t>
      </w:r>
      <w:r>
        <w:rPr>
          <w:rFonts w:ascii="Verdana" w:hAnsi="Verdana"/>
          <w:i/>
          <w:iCs/>
          <w:sz w:val="16"/>
          <w:szCs w:val="16"/>
        </w:rPr>
        <w:t>V</w:t>
      </w:r>
      <w:r w:rsidRPr="00817CD9">
        <w:rPr>
          <w:rFonts w:ascii="Verdana" w:hAnsi="Verdana"/>
          <w:i/>
          <w:iCs/>
          <w:sz w:val="16"/>
          <w:szCs w:val="16"/>
        </w:rPr>
        <w:t>s. Chile</w:t>
      </w:r>
      <w:r w:rsidRPr="00817CD9">
        <w:rPr>
          <w:rFonts w:ascii="Verdana" w:hAnsi="Verdana"/>
          <w:sz w:val="16"/>
          <w:szCs w:val="16"/>
        </w:rPr>
        <w:t xml:space="preserve">; </w:t>
      </w:r>
      <w:r w:rsidRPr="00817CD9">
        <w:rPr>
          <w:rFonts w:ascii="Verdana" w:hAnsi="Verdana"/>
          <w:i/>
          <w:iCs/>
          <w:sz w:val="16"/>
          <w:szCs w:val="16"/>
        </w:rPr>
        <w:t xml:space="preserve">Caso </w:t>
      </w:r>
      <w:proofErr w:type="spellStart"/>
      <w:r w:rsidRPr="00817CD9">
        <w:rPr>
          <w:rFonts w:ascii="Verdana" w:hAnsi="Verdana"/>
          <w:i/>
          <w:iCs/>
          <w:sz w:val="16"/>
          <w:szCs w:val="16"/>
        </w:rPr>
        <w:t>Ivcher</w:t>
      </w:r>
      <w:proofErr w:type="spellEnd"/>
      <w:r w:rsidRPr="00817CD9">
        <w:rPr>
          <w:rFonts w:ascii="Verdana" w:hAnsi="Verdana"/>
          <w:i/>
          <w:iCs/>
          <w:sz w:val="16"/>
          <w:szCs w:val="16"/>
        </w:rPr>
        <w:t xml:space="preserve"> </w:t>
      </w:r>
      <w:proofErr w:type="spellStart"/>
      <w:r w:rsidRPr="00817CD9">
        <w:rPr>
          <w:rFonts w:ascii="Verdana" w:hAnsi="Verdana"/>
          <w:i/>
          <w:iCs/>
          <w:sz w:val="16"/>
          <w:szCs w:val="16"/>
        </w:rPr>
        <w:t>Bronstein</w:t>
      </w:r>
      <w:proofErr w:type="spellEnd"/>
      <w:r w:rsidRPr="00817CD9">
        <w:rPr>
          <w:rFonts w:ascii="Verdana" w:hAnsi="Verdana"/>
          <w:i/>
          <w:iCs/>
          <w:sz w:val="16"/>
          <w:szCs w:val="16"/>
        </w:rPr>
        <w:t xml:space="preserve"> vs. Perú́</w:t>
      </w:r>
      <w:r w:rsidRPr="00817CD9">
        <w:rPr>
          <w:rFonts w:ascii="Verdana" w:hAnsi="Verdana"/>
          <w:sz w:val="16"/>
          <w:szCs w:val="16"/>
        </w:rPr>
        <w:t xml:space="preserve">; </w:t>
      </w:r>
      <w:r w:rsidRPr="00817CD9">
        <w:rPr>
          <w:rFonts w:ascii="Verdana" w:hAnsi="Verdana"/>
          <w:i/>
          <w:iCs/>
          <w:sz w:val="16"/>
          <w:szCs w:val="16"/>
        </w:rPr>
        <w:t xml:space="preserve">Caso Herrera Ulloa </w:t>
      </w:r>
      <w:r>
        <w:rPr>
          <w:rFonts w:ascii="Verdana" w:hAnsi="Verdana"/>
          <w:i/>
          <w:iCs/>
          <w:sz w:val="16"/>
          <w:szCs w:val="16"/>
        </w:rPr>
        <w:t>V</w:t>
      </w:r>
      <w:r w:rsidRPr="00817CD9">
        <w:rPr>
          <w:rFonts w:ascii="Verdana" w:hAnsi="Verdana"/>
          <w:i/>
          <w:iCs/>
          <w:sz w:val="16"/>
          <w:szCs w:val="16"/>
        </w:rPr>
        <w:t>s. Costa Rica</w:t>
      </w:r>
      <w:r w:rsidRPr="00817CD9">
        <w:rPr>
          <w:rFonts w:ascii="Verdana" w:hAnsi="Verdana"/>
          <w:sz w:val="16"/>
          <w:szCs w:val="16"/>
        </w:rPr>
        <w:t xml:space="preserve">. Excepciones preliminares, fondo, reparaciones y costas. Sentencia de 2 de julio de 2004. Serie C No. 107; </w:t>
      </w:r>
      <w:r w:rsidRPr="00817CD9">
        <w:rPr>
          <w:rFonts w:ascii="Verdana" w:hAnsi="Verdana"/>
          <w:i/>
          <w:iCs/>
          <w:sz w:val="16"/>
          <w:szCs w:val="16"/>
        </w:rPr>
        <w:t xml:space="preserve">Caso Ricardo </w:t>
      </w:r>
      <w:proofErr w:type="spellStart"/>
      <w:r w:rsidRPr="00817CD9">
        <w:rPr>
          <w:rFonts w:ascii="Verdana" w:hAnsi="Verdana"/>
          <w:i/>
          <w:iCs/>
          <w:sz w:val="16"/>
          <w:szCs w:val="16"/>
        </w:rPr>
        <w:t>Canese</w:t>
      </w:r>
      <w:proofErr w:type="spellEnd"/>
      <w:r w:rsidRPr="00817CD9">
        <w:rPr>
          <w:rFonts w:ascii="Verdana" w:hAnsi="Verdana"/>
          <w:i/>
          <w:iCs/>
          <w:sz w:val="16"/>
          <w:szCs w:val="16"/>
        </w:rPr>
        <w:t xml:space="preserve"> </w:t>
      </w:r>
      <w:r>
        <w:rPr>
          <w:rFonts w:ascii="Verdana" w:hAnsi="Verdana"/>
          <w:i/>
          <w:iCs/>
          <w:sz w:val="16"/>
          <w:szCs w:val="16"/>
        </w:rPr>
        <w:t>V</w:t>
      </w:r>
      <w:r w:rsidRPr="00817CD9">
        <w:rPr>
          <w:rFonts w:ascii="Verdana" w:hAnsi="Verdana"/>
          <w:i/>
          <w:iCs/>
          <w:sz w:val="16"/>
          <w:szCs w:val="16"/>
        </w:rPr>
        <w:t>s. Paraguay</w:t>
      </w:r>
      <w:r w:rsidRPr="00817CD9">
        <w:rPr>
          <w:rFonts w:ascii="Verdana" w:hAnsi="Verdana"/>
          <w:sz w:val="16"/>
          <w:szCs w:val="16"/>
        </w:rPr>
        <w:t xml:space="preserve">. Fondo, reparaciones y costas. Sentencia de 31 de agosto de 2004. Serie C No. 111; </w:t>
      </w:r>
      <w:r w:rsidRPr="00817CD9">
        <w:rPr>
          <w:rFonts w:ascii="Verdana" w:hAnsi="Verdana"/>
          <w:i/>
          <w:iCs/>
          <w:sz w:val="16"/>
          <w:szCs w:val="16"/>
        </w:rPr>
        <w:t xml:space="preserve">Caso </w:t>
      </w:r>
      <w:proofErr w:type="spellStart"/>
      <w:r w:rsidRPr="00817CD9">
        <w:rPr>
          <w:rFonts w:ascii="Verdana" w:hAnsi="Verdana"/>
          <w:i/>
          <w:iCs/>
          <w:sz w:val="16"/>
          <w:szCs w:val="16"/>
        </w:rPr>
        <w:t>Palamara</w:t>
      </w:r>
      <w:proofErr w:type="spellEnd"/>
      <w:r w:rsidRPr="00817CD9">
        <w:rPr>
          <w:rFonts w:ascii="Verdana" w:hAnsi="Verdana"/>
          <w:i/>
          <w:iCs/>
          <w:sz w:val="16"/>
          <w:szCs w:val="16"/>
        </w:rPr>
        <w:t xml:space="preserve"> Iribarne </w:t>
      </w:r>
      <w:r>
        <w:rPr>
          <w:rFonts w:ascii="Verdana" w:hAnsi="Verdana"/>
          <w:i/>
          <w:iCs/>
          <w:sz w:val="16"/>
          <w:szCs w:val="16"/>
        </w:rPr>
        <w:t>V</w:t>
      </w:r>
      <w:r w:rsidRPr="00817CD9">
        <w:rPr>
          <w:rFonts w:ascii="Verdana" w:hAnsi="Verdana"/>
          <w:i/>
          <w:iCs/>
          <w:sz w:val="16"/>
          <w:szCs w:val="16"/>
        </w:rPr>
        <w:t>s. Chile</w:t>
      </w:r>
      <w:r w:rsidRPr="00817CD9">
        <w:rPr>
          <w:rFonts w:ascii="Verdana" w:hAnsi="Verdana"/>
          <w:sz w:val="16"/>
          <w:szCs w:val="16"/>
        </w:rPr>
        <w:t xml:space="preserve">. Fondo, reparaciones y costas. Sentencia de 22 de noviembre de 2005. Serie C No. 135; </w:t>
      </w:r>
      <w:r w:rsidRPr="00817CD9">
        <w:rPr>
          <w:rFonts w:ascii="Verdana" w:hAnsi="Verdana"/>
          <w:i/>
          <w:iCs/>
          <w:sz w:val="16"/>
          <w:szCs w:val="16"/>
        </w:rPr>
        <w:t>Caso Claude Reyes y otros</w:t>
      </w:r>
      <w:r>
        <w:rPr>
          <w:rFonts w:ascii="Verdana" w:hAnsi="Verdana"/>
          <w:i/>
          <w:iCs/>
          <w:sz w:val="16"/>
          <w:szCs w:val="16"/>
        </w:rPr>
        <w:t xml:space="preserve"> Vs Chile</w:t>
      </w:r>
      <w:r w:rsidRPr="00817CD9">
        <w:rPr>
          <w:rFonts w:ascii="Verdana" w:hAnsi="Verdana"/>
          <w:sz w:val="16"/>
          <w:szCs w:val="16"/>
        </w:rPr>
        <w:t xml:space="preserve">. Fondo, reparaciones y costas. Sentencia de 19 de septiembre de 2006. Serie C No. 151; </w:t>
      </w:r>
      <w:r w:rsidRPr="00817CD9">
        <w:rPr>
          <w:rFonts w:ascii="Verdana" w:hAnsi="Verdana"/>
          <w:i/>
          <w:iCs/>
          <w:sz w:val="16"/>
          <w:szCs w:val="16"/>
        </w:rPr>
        <w:t xml:space="preserve">Caso </w:t>
      </w:r>
      <w:proofErr w:type="spellStart"/>
      <w:r w:rsidRPr="00817CD9">
        <w:rPr>
          <w:rFonts w:ascii="Verdana" w:hAnsi="Verdana"/>
          <w:i/>
          <w:iCs/>
          <w:sz w:val="16"/>
          <w:szCs w:val="16"/>
        </w:rPr>
        <w:t>Kimel</w:t>
      </w:r>
      <w:proofErr w:type="spellEnd"/>
      <w:r w:rsidRPr="00817CD9">
        <w:rPr>
          <w:rFonts w:ascii="Verdana" w:hAnsi="Verdana"/>
          <w:i/>
          <w:iCs/>
          <w:sz w:val="16"/>
          <w:szCs w:val="16"/>
        </w:rPr>
        <w:t xml:space="preserve"> </w:t>
      </w:r>
      <w:r>
        <w:rPr>
          <w:rFonts w:ascii="Verdana" w:hAnsi="Verdana"/>
          <w:i/>
          <w:iCs/>
          <w:sz w:val="16"/>
          <w:szCs w:val="16"/>
        </w:rPr>
        <w:t>V</w:t>
      </w:r>
      <w:r w:rsidRPr="00817CD9">
        <w:rPr>
          <w:rFonts w:ascii="Verdana" w:hAnsi="Verdana"/>
          <w:i/>
          <w:iCs/>
          <w:sz w:val="16"/>
          <w:szCs w:val="16"/>
        </w:rPr>
        <w:t>s. Argentina</w:t>
      </w:r>
      <w:r w:rsidRPr="00817CD9">
        <w:rPr>
          <w:rFonts w:ascii="Verdana" w:hAnsi="Verdana"/>
          <w:sz w:val="16"/>
          <w:szCs w:val="16"/>
        </w:rPr>
        <w:t>. Fondo, reparaciones y costas. Sentencia de 2 de mayo de 2008</w:t>
      </w:r>
      <w:r>
        <w:rPr>
          <w:rFonts w:ascii="Verdana" w:hAnsi="Verdana"/>
          <w:sz w:val="16"/>
          <w:szCs w:val="16"/>
        </w:rPr>
        <w:t>.</w:t>
      </w:r>
      <w:r w:rsidRPr="00817CD9">
        <w:rPr>
          <w:rFonts w:ascii="Verdana" w:hAnsi="Verdana"/>
          <w:sz w:val="16"/>
          <w:szCs w:val="16"/>
        </w:rPr>
        <w:t xml:space="preserve"> Serie C No. 177; </w:t>
      </w:r>
      <w:r w:rsidRPr="00817CD9">
        <w:rPr>
          <w:rFonts w:ascii="Verdana" w:hAnsi="Verdana"/>
          <w:i/>
          <w:iCs/>
          <w:sz w:val="16"/>
          <w:szCs w:val="16"/>
        </w:rPr>
        <w:t xml:space="preserve">Caso </w:t>
      </w:r>
      <w:proofErr w:type="spellStart"/>
      <w:r w:rsidRPr="00817CD9">
        <w:rPr>
          <w:rFonts w:ascii="Verdana" w:hAnsi="Verdana"/>
          <w:i/>
          <w:iCs/>
          <w:sz w:val="16"/>
          <w:szCs w:val="16"/>
        </w:rPr>
        <w:t>Tristán</w:t>
      </w:r>
      <w:proofErr w:type="spellEnd"/>
      <w:r w:rsidRPr="00817CD9">
        <w:rPr>
          <w:rFonts w:ascii="Verdana" w:hAnsi="Verdana"/>
          <w:i/>
          <w:iCs/>
          <w:sz w:val="16"/>
          <w:szCs w:val="16"/>
        </w:rPr>
        <w:t xml:space="preserve"> Donoso </w:t>
      </w:r>
      <w:r>
        <w:rPr>
          <w:rFonts w:ascii="Verdana" w:hAnsi="Verdana"/>
          <w:i/>
          <w:iCs/>
          <w:sz w:val="16"/>
          <w:szCs w:val="16"/>
        </w:rPr>
        <w:t>V</w:t>
      </w:r>
      <w:r w:rsidRPr="00817CD9">
        <w:rPr>
          <w:rFonts w:ascii="Verdana" w:hAnsi="Verdana"/>
          <w:i/>
          <w:iCs/>
          <w:sz w:val="16"/>
          <w:szCs w:val="16"/>
        </w:rPr>
        <w:t xml:space="preserve">s. </w:t>
      </w:r>
      <w:proofErr w:type="spellStart"/>
      <w:r w:rsidRPr="00817CD9">
        <w:rPr>
          <w:rFonts w:ascii="Verdana" w:hAnsi="Verdana"/>
          <w:i/>
          <w:iCs/>
          <w:sz w:val="16"/>
          <w:szCs w:val="16"/>
        </w:rPr>
        <w:t>Panama</w:t>
      </w:r>
      <w:proofErr w:type="spellEnd"/>
      <w:r w:rsidRPr="00817CD9">
        <w:rPr>
          <w:rFonts w:ascii="Verdana" w:hAnsi="Verdana"/>
          <w:i/>
          <w:iCs/>
          <w:sz w:val="16"/>
          <w:szCs w:val="16"/>
        </w:rPr>
        <w:t>́</w:t>
      </w:r>
      <w:r w:rsidRPr="00817CD9">
        <w:rPr>
          <w:rFonts w:ascii="Verdana" w:hAnsi="Verdana"/>
          <w:sz w:val="16"/>
          <w:szCs w:val="16"/>
        </w:rPr>
        <w:t xml:space="preserve">. </w:t>
      </w:r>
      <w:proofErr w:type="spellStart"/>
      <w:r w:rsidRPr="00817CD9">
        <w:rPr>
          <w:rFonts w:ascii="Verdana" w:hAnsi="Verdana"/>
          <w:sz w:val="16"/>
          <w:szCs w:val="16"/>
        </w:rPr>
        <w:t>Excepción</w:t>
      </w:r>
      <w:proofErr w:type="spellEnd"/>
      <w:r w:rsidRPr="00817CD9">
        <w:rPr>
          <w:rFonts w:ascii="Verdana" w:hAnsi="Verdana"/>
          <w:sz w:val="16"/>
          <w:szCs w:val="16"/>
        </w:rPr>
        <w:t xml:space="preserve"> preliminar, fondo, reparaciones y costas. Sentencia de 27 de enero  de 2009</w:t>
      </w:r>
      <w:r>
        <w:rPr>
          <w:rFonts w:ascii="Verdana" w:hAnsi="Verdana"/>
          <w:sz w:val="16"/>
          <w:szCs w:val="16"/>
        </w:rPr>
        <w:t>.</w:t>
      </w:r>
      <w:r w:rsidRPr="00817CD9">
        <w:rPr>
          <w:rFonts w:ascii="Verdana" w:hAnsi="Verdana"/>
          <w:sz w:val="16"/>
          <w:szCs w:val="16"/>
        </w:rPr>
        <w:t xml:space="preserve"> Serie C No. 193; </w:t>
      </w:r>
      <w:r w:rsidRPr="00817CD9">
        <w:rPr>
          <w:rFonts w:ascii="Verdana" w:hAnsi="Verdana"/>
          <w:i/>
          <w:iCs/>
          <w:sz w:val="16"/>
          <w:szCs w:val="16"/>
        </w:rPr>
        <w:t xml:space="preserve">Caso </w:t>
      </w:r>
      <w:proofErr w:type="spellStart"/>
      <w:r w:rsidRPr="00817CD9">
        <w:rPr>
          <w:rFonts w:ascii="Verdana" w:hAnsi="Verdana"/>
          <w:i/>
          <w:iCs/>
          <w:sz w:val="16"/>
          <w:szCs w:val="16"/>
        </w:rPr>
        <w:t>Ríos</w:t>
      </w:r>
      <w:proofErr w:type="spellEnd"/>
      <w:r w:rsidRPr="00817CD9">
        <w:rPr>
          <w:rFonts w:ascii="Verdana" w:hAnsi="Verdana"/>
          <w:i/>
          <w:iCs/>
          <w:sz w:val="16"/>
          <w:szCs w:val="16"/>
        </w:rPr>
        <w:t xml:space="preserve"> y otros </w:t>
      </w:r>
      <w:r>
        <w:rPr>
          <w:rFonts w:ascii="Verdana" w:hAnsi="Verdana"/>
          <w:i/>
          <w:iCs/>
          <w:sz w:val="16"/>
          <w:szCs w:val="16"/>
        </w:rPr>
        <w:t>V</w:t>
      </w:r>
      <w:r w:rsidRPr="00817CD9">
        <w:rPr>
          <w:rFonts w:ascii="Verdana" w:hAnsi="Verdana"/>
          <w:i/>
          <w:iCs/>
          <w:sz w:val="16"/>
          <w:szCs w:val="16"/>
        </w:rPr>
        <w:t>s. Venezuela</w:t>
      </w:r>
      <w:r w:rsidRPr="00817CD9">
        <w:rPr>
          <w:rFonts w:ascii="Verdana" w:hAnsi="Verdana"/>
          <w:sz w:val="16"/>
          <w:szCs w:val="16"/>
        </w:rPr>
        <w:t xml:space="preserve">. Excepciones preliminares, fondo, reparaciones y costas. Sentencia de 28 de enero de 2009. Serie C No. 194; </w:t>
      </w:r>
      <w:r w:rsidRPr="00817CD9">
        <w:rPr>
          <w:rFonts w:ascii="Verdana" w:hAnsi="Verdana"/>
          <w:i/>
          <w:iCs/>
          <w:sz w:val="16"/>
          <w:szCs w:val="16"/>
        </w:rPr>
        <w:t xml:space="preserve">Caso Perozo y otros </w:t>
      </w:r>
      <w:r>
        <w:rPr>
          <w:rFonts w:ascii="Verdana" w:hAnsi="Verdana"/>
          <w:i/>
          <w:iCs/>
          <w:sz w:val="16"/>
          <w:szCs w:val="16"/>
        </w:rPr>
        <w:t>V</w:t>
      </w:r>
      <w:r w:rsidRPr="00817CD9">
        <w:rPr>
          <w:rFonts w:ascii="Verdana" w:hAnsi="Verdana"/>
          <w:i/>
          <w:iCs/>
          <w:sz w:val="16"/>
          <w:szCs w:val="16"/>
        </w:rPr>
        <w:t>s. Venezuela</w:t>
      </w:r>
      <w:r w:rsidRPr="00817CD9">
        <w:rPr>
          <w:rFonts w:ascii="Verdana" w:hAnsi="Verdana"/>
          <w:sz w:val="16"/>
          <w:szCs w:val="16"/>
        </w:rPr>
        <w:t xml:space="preserve">. Excepciones preliminares, fondo, reparaciones y costas. Sentencia de 28 de enero de 2009. Serie C No. 195; </w:t>
      </w:r>
      <w:r w:rsidRPr="00817CD9">
        <w:rPr>
          <w:rFonts w:ascii="Verdana" w:hAnsi="Verdana"/>
          <w:i/>
          <w:iCs/>
          <w:sz w:val="16"/>
          <w:szCs w:val="16"/>
        </w:rPr>
        <w:t xml:space="preserve">Caso </w:t>
      </w:r>
      <w:proofErr w:type="spellStart"/>
      <w:r w:rsidRPr="00817CD9">
        <w:rPr>
          <w:rFonts w:ascii="Verdana" w:hAnsi="Verdana"/>
          <w:i/>
          <w:iCs/>
          <w:sz w:val="16"/>
          <w:szCs w:val="16"/>
        </w:rPr>
        <w:t>Usón</w:t>
      </w:r>
      <w:proofErr w:type="spellEnd"/>
      <w:r>
        <w:rPr>
          <w:rFonts w:ascii="Verdana" w:hAnsi="Verdana"/>
          <w:i/>
          <w:iCs/>
          <w:sz w:val="16"/>
          <w:szCs w:val="16"/>
        </w:rPr>
        <w:t xml:space="preserve"> </w:t>
      </w:r>
      <w:proofErr w:type="spellStart"/>
      <w:r w:rsidRPr="00817CD9">
        <w:rPr>
          <w:rFonts w:ascii="Verdana" w:hAnsi="Verdana"/>
          <w:i/>
          <w:iCs/>
          <w:sz w:val="16"/>
          <w:szCs w:val="16"/>
        </w:rPr>
        <w:t>Ramírez</w:t>
      </w:r>
      <w:proofErr w:type="spellEnd"/>
      <w:r w:rsidRPr="00817CD9">
        <w:rPr>
          <w:rFonts w:ascii="Verdana" w:hAnsi="Verdana"/>
          <w:i/>
          <w:iCs/>
          <w:sz w:val="16"/>
          <w:szCs w:val="16"/>
        </w:rPr>
        <w:t xml:space="preserve"> </w:t>
      </w:r>
      <w:r>
        <w:rPr>
          <w:rFonts w:ascii="Verdana" w:hAnsi="Verdana"/>
          <w:i/>
          <w:iCs/>
          <w:sz w:val="16"/>
          <w:szCs w:val="16"/>
        </w:rPr>
        <w:t>V</w:t>
      </w:r>
      <w:r w:rsidRPr="00817CD9">
        <w:rPr>
          <w:rFonts w:ascii="Verdana" w:hAnsi="Verdana"/>
          <w:i/>
          <w:iCs/>
          <w:sz w:val="16"/>
          <w:szCs w:val="16"/>
        </w:rPr>
        <w:t>s. Venezuela</w:t>
      </w:r>
      <w:r w:rsidRPr="00817CD9">
        <w:rPr>
          <w:rFonts w:ascii="Verdana" w:hAnsi="Verdana"/>
          <w:sz w:val="16"/>
          <w:szCs w:val="16"/>
        </w:rPr>
        <w:t xml:space="preserve">. </w:t>
      </w:r>
      <w:proofErr w:type="spellStart"/>
      <w:r w:rsidRPr="00817CD9">
        <w:rPr>
          <w:rFonts w:ascii="Verdana" w:hAnsi="Verdana"/>
          <w:sz w:val="16"/>
          <w:szCs w:val="16"/>
        </w:rPr>
        <w:t>Excepción</w:t>
      </w:r>
      <w:proofErr w:type="spellEnd"/>
      <w:r w:rsidRPr="00817CD9">
        <w:rPr>
          <w:rFonts w:ascii="Verdana" w:hAnsi="Verdana"/>
          <w:sz w:val="16"/>
          <w:szCs w:val="16"/>
        </w:rPr>
        <w:t xml:space="preserve"> preliminar, fondo, reparaciones y costas. Sentencia de 20 de noviembre de 2009. Serie C No. 207; </w:t>
      </w:r>
      <w:r w:rsidRPr="00817CD9">
        <w:rPr>
          <w:rFonts w:ascii="Verdana" w:hAnsi="Verdana"/>
          <w:i/>
          <w:iCs/>
          <w:sz w:val="16"/>
          <w:szCs w:val="16"/>
        </w:rPr>
        <w:t xml:space="preserve">Caso Gomes </w:t>
      </w:r>
      <w:proofErr w:type="spellStart"/>
      <w:r w:rsidRPr="00817CD9">
        <w:rPr>
          <w:rFonts w:ascii="Verdana" w:hAnsi="Verdana"/>
          <w:i/>
          <w:iCs/>
          <w:sz w:val="16"/>
          <w:szCs w:val="16"/>
        </w:rPr>
        <w:t>Lund</w:t>
      </w:r>
      <w:proofErr w:type="spellEnd"/>
      <w:r w:rsidRPr="00817CD9">
        <w:rPr>
          <w:rFonts w:ascii="Verdana" w:hAnsi="Verdana"/>
          <w:i/>
          <w:iCs/>
          <w:sz w:val="16"/>
          <w:szCs w:val="16"/>
        </w:rPr>
        <w:t xml:space="preserve"> y otros (</w:t>
      </w:r>
      <w:proofErr w:type="spellStart"/>
      <w:r w:rsidRPr="00817CD9">
        <w:rPr>
          <w:rFonts w:ascii="Verdana" w:hAnsi="Verdana"/>
          <w:i/>
          <w:iCs/>
          <w:sz w:val="16"/>
          <w:szCs w:val="16"/>
        </w:rPr>
        <w:t>Guerrilha</w:t>
      </w:r>
      <w:proofErr w:type="spellEnd"/>
      <w:r w:rsidRPr="00817CD9">
        <w:rPr>
          <w:rFonts w:ascii="Verdana" w:hAnsi="Verdana"/>
          <w:i/>
          <w:iCs/>
          <w:sz w:val="16"/>
          <w:szCs w:val="16"/>
        </w:rPr>
        <w:t xml:space="preserve"> do </w:t>
      </w:r>
      <w:proofErr w:type="spellStart"/>
      <w:r w:rsidRPr="00817CD9">
        <w:rPr>
          <w:rFonts w:ascii="Verdana" w:hAnsi="Verdana"/>
          <w:i/>
          <w:iCs/>
          <w:sz w:val="16"/>
          <w:szCs w:val="16"/>
        </w:rPr>
        <w:t>Araguaia</w:t>
      </w:r>
      <w:proofErr w:type="spellEnd"/>
      <w:r w:rsidRPr="00817CD9">
        <w:rPr>
          <w:rFonts w:ascii="Verdana" w:hAnsi="Verdana"/>
          <w:i/>
          <w:iCs/>
          <w:sz w:val="16"/>
          <w:szCs w:val="16"/>
        </w:rPr>
        <w:t xml:space="preserve">) </w:t>
      </w:r>
      <w:r>
        <w:rPr>
          <w:rFonts w:ascii="Verdana" w:hAnsi="Verdana"/>
          <w:i/>
          <w:iCs/>
          <w:sz w:val="16"/>
          <w:szCs w:val="16"/>
        </w:rPr>
        <w:t>V</w:t>
      </w:r>
      <w:r w:rsidRPr="00817CD9">
        <w:rPr>
          <w:rFonts w:ascii="Verdana" w:hAnsi="Verdana"/>
          <w:i/>
          <w:iCs/>
          <w:sz w:val="16"/>
          <w:szCs w:val="16"/>
        </w:rPr>
        <w:t>s. Brasil</w:t>
      </w:r>
      <w:r w:rsidRPr="00817CD9">
        <w:rPr>
          <w:rFonts w:ascii="Verdana" w:hAnsi="Verdana"/>
          <w:sz w:val="16"/>
          <w:szCs w:val="16"/>
        </w:rPr>
        <w:t>. Excepciones preliminares, fondo, reparaciones y costas. Sentencia de 24 de noviembre de 2010. Serie C No. 219</w:t>
      </w:r>
      <w:r w:rsidRPr="00817CD9">
        <w:rPr>
          <w:rFonts w:ascii="Verdana" w:hAnsi="Verdana"/>
          <w:i/>
          <w:iCs/>
          <w:sz w:val="16"/>
          <w:szCs w:val="16"/>
        </w:rPr>
        <w:t xml:space="preserve">;  Caso </w:t>
      </w:r>
      <w:proofErr w:type="spellStart"/>
      <w:r w:rsidRPr="00817CD9">
        <w:rPr>
          <w:rFonts w:ascii="Verdana" w:hAnsi="Verdana"/>
          <w:i/>
          <w:iCs/>
          <w:sz w:val="16"/>
          <w:szCs w:val="16"/>
        </w:rPr>
        <w:t>Fontevecchia</w:t>
      </w:r>
      <w:proofErr w:type="spellEnd"/>
      <w:r w:rsidRPr="00817CD9">
        <w:rPr>
          <w:rFonts w:ascii="Verdana" w:hAnsi="Verdana"/>
          <w:i/>
          <w:iCs/>
          <w:sz w:val="16"/>
          <w:szCs w:val="16"/>
        </w:rPr>
        <w:t xml:space="preserve"> y </w:t>
      </w:r>
      <w:proofErr w:type="spellStart"/>
      <w:r w:rsidRPr="00817CD9">
        <w:rPr>
          <w:rFonts w:ascii="Verdana" w:hAnsi="Verdana"/>
          <w:i/>
          <w:iCs/>
          <w:sz w:val="16"/>
          <w:szCs w:val="16"/>
        </w:rPr>
        <w:t>D’Amico</w:t>
      </w:r>
      <w:proofErr w:type="spellEnd"/>
      <w:r w:rsidRPr="00817CD9">
        <w:rPr>
          <w:rFonts w:ascii="Verdana" w:hAnsi="Verdana"/>
          <w:i/>
          <w:iCs/>
          <w:sz w:val="16"/>
          <w:szCs w:val="16"/>
        </w:rPr>
        <w:t xml:space="preserve"> </w:t>
      </w:r>
      <w:r>
        <w:rPr>
          <w:rFonts w:ascii="Verdana" w:hAnsi="Verdana"/>
          <w:i/>
          <w:iCs/>
          <w:sz w:val="16"/>
          <w:szCs w:val="16"/>
        </w:rPr>
        <w:t>V</w:t>
      </w:r>
      <w:r w:rsidRPr="00817CD9">
        <w:rPr>
          <w:rFonts w:ascii="Verdana" w:hAnsi="Verdana"/>
          <w:i/>
          <w:iCs/>
          <w:sz w:val="16"/>
          <w:szCs w:val="16"/>
        </w:rPr>
        <w:t>s. Argentina</w:t>
      </w:r>
      <w:r w:rsidRPr="00817CD9">
        <w:rPr>
          <w:rFonts w:ascii="Verdana" w:hAnsi="Verdana"/>
          <w:sz w:val="16"/>
          <w:szCs w:val="16"/>
        </w:rPr>
        <w:t xml:space="preserve">. Fondo, reparaciones y costas. Sentencia de 29 de noviembre de 2011. Serie C No. 238; </w:t>
      </w:r>
      <w:r w:rsidRPr="00817CD9">
        <w:rPr>
          <w:rFonts w:ascii="Verdana" w:hAnsi="Verdana" w:cs="Verdana"/>
          <w:bCs/>
          <w:i/>
          <w:sz w:val="16"/>
          <w:szCs w:val="16"/>
          <w:lang w:val="es-ES"/>
        </w:rPr>
        <w:t xml:space="preserve">Caso </w:t>
      </w:r>
      <w:proofErr w:type="spellStart"/>
      <w:r w:rsidRPr="00817CD9">
        <w:rPr>
          <w:rFonts w:ascii="Verdana" w:hAnsi="Verdana" w:cs="Verdana"/>
          <w:bCs/>
          <w:i/>
          <w:sz w:val="16"/>
          <w:szCs w:val="16"/>
          <w:lang w:val="es-ES"/>
        </w:rPr>
        <w:t>Mémoli</w:t>
      </w:r>
      <w:proofErr w:type="spellEnd"/>
      <w:r w:rsidRPr="00817CD9">
        <w:rPr>
          <w:rFonts w:ascii="Verdana" w:hAnsi="Verdana" w:cs="Verdana"/>
          <w:bCs/>
          <w:i/>
          <w:sz w:val="16"/>
          <w:szCs w:val="16"/>
          <w:lang w:val="es-ES"/>
        </w:rPr>
        <w:t xml:space="preserve"> </w:t>
      </w:r>
      <w:r>
        <w:rPr>
          <w:rFonts w:ascii="Verdana" w:hAnsi="Verdana" w:cs="Verdana"/>
          <w:bCs/>
          <w:i/>
          <w:sz w:val="16"/>
          <w:szCs w:val="16"/>
          <w:lang w:val="es-ES"/>
        </w:rPr>
        <w:t>v</w:t>
      </w:r>
      <w:r w:rsidRPr="00817CD9">
        <w:rPr>
          <w:rFonts w:ascii="Verdana" w:hAnsi="Verdana" w:cs="Verdana"/>
          <w:bCs/>
          <w:i/>
          <w:sz w:val="16"/>
          <w:szCs w:val="16"/>
          <w:lang w:val="es-ES"/>
        </w:rPr>
        <w:t xml:space="preserve">s. Argentina. Excepciones </w:t>
      </w:r>
      <w:r>
        <w:rPr>
          <w:rFonts w:ascii="Verdana" w:hAnsi="Verdana" w:cs="Verdana"/>
          <w:bCs/>
          <w:i/>
          <w:sz w:val="16"/>
          <w:szCs w:val="16"/>
          <w:lang w:val="es-ES"/>
        </w:rPr>
        <w:t>p</w:t>
      </w:r>
      <w:r w:rsidRPr="00817CD9">
        <w:rPr>
          <w:rFonts w:ascii="Verdana" w:hAnsi="Verdana" w:cs="Verdana"/>
          <w:bCs/>
          <w:i/>
          <w:sz w:val="16"/>
          <w:szCs w:val="16"/>
          <w:lang w:val="es-ES"/>
        </w:rPr>
        <w:t xml:space="preserve">reliminares, </w:t>
      </w:r>
      <w:r>
        <w:rPr>
          <w:rFonts w:ascii="Verdana" w:hAnsi="Verdana" w:cs="Verdana"/>
          <w:bCs/>
          <w:i/>
          <w:sz w:val="16"/>
          <w:szCs w:val="16"/>
          <w:lang w:val="es-ES"/>
        </w:rPr>
        <w:t>f</w:t>
      </w:r>
      <w:r w:rsidRPr="00817CD9">
        <w:rPr>
          <w:rFonts w:ascii="Verdana" w:hAnsi="Verdana" w:cs="Verdana"/>
          <w:bCs/>
          <w:i/>
          <w:sz w:val="16"/>
          <w:szCs w:val="16"/>
          <w:lang w:val="es-ES"/>
        </w:rPr>
        <w:t xml:space="preserve">ondo, </w:t>
      </w:r>
      <w:proofErr w:type="spellStart"/>
      <w:r w:rsidRPr="00817CD9">
        <w:rPr>
          <w:rFonts w:ascii="Verdana" w:hAnsi="Verdana" w:cs="Verdana"/>
          <w:bCs/>
          <w:i/>
          <w:sz w:val="16"/>
          <w:szCs w:val="16"/>
          <w:lang w:val="es-ES"/>
        </w:rPr>
        <w:t>R</w:t>
      </w:r>
      <w:r>
        <w:rPr>
          <w:rFonts w:ascii="Verdana" w:hAnsi="Verdana" w:cs="Verdana"/>
          <w:bCs/>
          <w:i/>
          <w:sz w:val="16"/>
          <w:szCs w:val="16"/>
          <w:lang w:val="es-ES"/>
        </w:rPr>
        <w:t>r</w:t>
      </w:r>
      <w:r w:rsidRPr="00817CD9">
        <w:rPr>
          <w:rFonts w:ascii="Verdana" w:hAnsi="Verdana" w:cs="Verdana"/>
          <w:bCs/>
          <w:i/>
          <w:sz w:val="16"/>
          <w:szCs w:val="16"/>
          <w:lang w:val="es-ES"/>
        </w:rPr>
        <w:t>eparaciones</w:t>
      </w:r>
      <w:proofErr w:type="spellEnd"/>
      <w:r w:rsidRPr="00817CD9">
        <w:rPr>
          <w:rFonts w:ascii="Verdana" w:hAnsi="Verdana" w:cs="Verdana"/>
          <w:bCs/>
          <w:i/>
          <w:sz w:val="16"/>
          <w:szCs w:val="16"/>
          <w:lang w:val="es-ES"/>
        </w:rPr>
        <w:t xml:space="preserve"> y </w:t>
      </w:r>
      <w:r>
        <w:rPr>
          <w:rFonts w:ascii="Verdana" w:hAnsi="Verdana" w:cs="Verdana"/>
          <w:bCs/>
          <w:i/>
          <w:sz w:val="16"/>
          <w:szCs w:val="16"/>
          <w:lang w:val="es-ES"/>
        </w:rPr>
        <w:t>c</w:t>
      </w:r>
      <w:r w:rsidRPr="00817CD9">
        <w:rPr>
          <w:rFonts w:ascii="Verdana" w:hAnsi="Verdana" w:cs="Verdana"/>
          <w:bCs/>
          <w:i/>
          <w:sz w:val="16"/>
          <w:szCs w:val="16"/>
          <w:lang w:val="es-ES"/>
        </w:rPr>
        <w:t>ostas</w:t>
      </w:r>
      <w:r w:rsidRPr="00817CD9">
        <w:rPr>
          <w:rFonts w:ascii="Verdana" w:hAnsi="Verdana" w:cs="Verdana"/>
          <w:bCs/>
          <w:sz w:val="16"/>
          <w:szCs w:val="16"/>
          <w:lang w:val="es-ES"/>
        </w:rPr>
        <w:t xml:space="preserve">. Sentencia de 22 de </w:t>
      </w:r>
      <w:r>
        <w:rPr>
          <w:rFonts w:ascii="Verdana" w:hAnsi="Verdana" w:cs="Verdana"/>
          <w:bCs/>
          <w:sz w:val="16"/>
          <w:szCs w:val="16"/>
          <w:lang w:val="es-ES"/>
        </w:rPr>
        <w:t xml:space="preserve">agosto de 2013. Serie C No. 265; </w:t>
      </w:r>
      <w:r w:rsidRPr="00817CD9">
        <w:rPr>
          <w:rFonts w:ascii="Verdana" w:hAnsi="Verdana" w:cs="Verdana"/>
          <w:bCs/>
          <w:i/>
          <w:sz w:val="16"/>
          <w:szCs w:val="16"/>
          <w:lang w:val="es-ES"/>
        </w:rPr>
        <w:t xml:space="preserve">Caso </w:t>
      </w:r>
      <w:proofErr w:type="spellStart"/>
      <w:r w:rsidRPr="00817CD9">
        <w:rPr>
          <w:rFonts w:ascii="Verdana" w:hAnsi="Verdana" w:cs="Verdana"/>
          <w:bCs/>
          <w:i/>
          <w:sz w:val="16"/>
          <w:szCs w:val="16"/>
          <w:lang w:val="es-ES"/>
        </w:rPr>
        <w:t>Norín</w:t>
      </w:r>
      <w:proofErr w:type="spellEnd"/>
      <w:r w:rsidRPr="00817CD9">
        <w:rPr>
          <w:rFonts w:ascii="Verdana" w:hAnsi="Verdana" w:cs="Verdana"/>
          <w:bCs/>
          <w:i/>
          <w:sz w:val="16"/>
          <w:szCs w:val="16"/>
          <w:lang w:val="es-ES"/>
        </w:rPr>
        <w:t xml:space="preserve"> </w:t>
      </w:r>
      <w:proofErr w:type="spellStart"/>
      <w:r w:rsidRPr="00817CD9">
        <w:rPr>
          <w:rFonts w:ascii="Verdana" w:hAnsi="Verdana" w:cs="Verdana"/>
          <w:bCs/>
          <w:i/>
          <w:sz w:val="16"/>
          <w:szCs w:val="16"/>
          <w:lang w:val="es-ES"/>
        </w:rPr>
        <w:t>Catrimán</w:t>
      </w:r>
      <w:proofErr w:type="spellEnd"/>
      <w:r w:rsidRPr="00817CD9">
        <w:rPr>
          <w:rFonts w:ascii="Verdana" w:hAnsi="Verdana" w:cs="Verdana"/>
          <w:bCs/>
          <w:i/>
          <w:sz w:val="16"/>
          <w:szCs w:val="16"/>
          <w:lang w:val="es-ES"/>
        </w:rPr>
        <w:t xml:space="preserve"> y otros (Dirigentes, miembros y activista del Pueblo Indígena Mapuche) Vs. Chile. Fondo, </w:t>
      </w:r>
      <w:r>
        <w:rPr>
          <w:rFonts w:ascii="Verdana" w:hAnsi="Verdana" w:cs="Verdana"/>
          <w:bCs/>
          <w:i/>
          <w:sz w:val="16"/>
          <w:szCs w:val="16"/>
          <w:lang w:val="es-ES"/>
        </w:rPr>
        <w:t>r</w:t>
      </w:r>
      <w:r w:rsidRPr="00817CD9">
        <w:rPr>
          <w:rFonts w:ascii="Verdana" w:hAnsi="Verdana" w:cs="Verdana"/>
          <w:bCs/>
          <w:i/>
          <w:sz w:val="16"/>
          <w:szCs w:val="16"/>
          <w:lang w:val="es-ES"/>
        </w:rPr>
        <w:t xml:space="preserve">eparaciones y </w:t>
      </w:r>
      <w:r>
        <w:rPr>
          <w:rFonts w:ascii="Verdana" w:hAnsi="Verdana" w:cs="Verdana"/>
          <w:bCs/>
          <w:i/>
          <w:sz w:val="16"/>
          <w:szCs w:val="16"/>
          <w:lang w:val="es-ES"/>
        </w:rPr>
        <w:t>c</w:t>
      </w:r>
      <w:r w:rsidRPr="00817CD9">
        <w:rPr>
          <w:rFonts w:ascii="Verdana" w:hAnsi="Verdana" w:cs="Verdana"/>
          <w:bCs/>
          <w:i/>
          <w:sz w:val="16"/>
          <w:szCs w:val="16"/>
          <w:lang w:val="es-ES"/>
        </w:rPr>
        <w:t>ostas</w:t>
      </w:r>
      <w:r w:rsidRPr="00817CD9">
        <w:rPr>
          <w:rFonts w:ascii="Verdana" w:hAnsi="Verdana" w:cs="Verdana"/>
          <w:bCs/>
          <w:sz w:val="16"/>
          <w:szCs w:val="16"/>
          <w:lang w:val="es-ES"/>
        </w:rPr>
        <w:t>. Sentencia de 29 d</w:t>
      </w:r>
      <w:r>
        <w:rPr>
          <w:rFonts w:ascii="Verdana" w:hAnsi="Verdana" w:cs="Verdana"/>
          <w:bCs/>
          <w:sz w:val="16"/>
          <w:szCs w:val="16"/>
          <w:lang w:val="es-ES"/>
        </w:rPr>
        <w:t xml:space="preserve">e mayo de 2014. Serie C No. 279; y </w:t>
      </w:r>
      <w:r>
        <w:rPr>
          <w:rFonts w:ascii="Verdana" w:hAnsi="Verdana" w:cs="Verdana"/>
          <w:bCs/>
          <w:i/>
          <w:sz w:val="16"/>
          <w:szCs w:val="16"/>
          <w:lang w:val="es-ES"/>
        </w:rPr>
        <w:t xml:space="preserve">Caso </w:t>
      </w:r>
      <w:proofErr w:type="spellStart"/>
      <w:r>
        <w:rPr>
          <w:rFonts w:ascii="Verdana" w:hAnsi="Verdana" w:cs="Verdana"/>
          <w:bCs/>
          <w:i/>
          <w:sz w:val="16"/>
          <w:szCs w:val="16"/>
          <w:lang w:val="es-ES"/>
        </w:rPr>
        <w:t>Granier</w:t>
      </w:r>
      <w:proofErr w:type="spellEnd"/>
      <w:r>
        <w:rPr>
          <w:rFonts w:ascii="Verdana" w:hAnsi="Verdana" w:cs="Verdana"/>
          <w:bCs/>
          <w:i/>
          <w:sz w:val="16"/>
          <w:szCs w:val="16"/>
          <w:lang w:val="es-ES"/>
        </w:rPr>
        <w:t xml:space="preserve"> y Otros (Radio Caracas Televisión) Vs. Venezuela. </w:t>
      </w:r>
    </w:p>
  </w:footnote>
  <w:footnote w:id="25">
    <w:p w14:paraId="587B316E" w14:textId="77777777" w:rsidR="008D3C6E" w:rsidRPr="00817CD9" w:rsidRDefault="008D3C6E" w:rsidP="00817CD9">
      <w:pPr>
        <w:pStyle w:val="FootnoteText"/>
        <w:spacing w:after="120"/>
        <w:jc w:val="both"/>
        <w:rPr>
          <w:rFonts w:ascii="Verdana" w:hAnsi="Verdana" w:cs="Verdana"/>
          <w:bCs/>
          <w:sz w:val="16"/>
          <w:szCs w:val="16"/>
          <w:lang w:val="es-ES"/>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iCs/>
          <w:sz w:val="16"/>
          <w:szCs w:val="16"/>
        </w:rPr>
        <w:t>La Colegiación Obligatoria de Periodistas (arts. 13 y 29 Convención Americana sobre Derechos Humanos)</w:t>
      </w:r>
      <w:r w:rsidRPr="00817CD9">
        <w:rPr>
          <w:rFonts w:ascii="Verdana" w:hAnsi="Verdana"/>
          <w:sz w:val="16"/>
          <w:szCs w:val="16"/>
        </w:rPr>
        <w:t>., párr. 53</w:t>
      </w:r>
      <w:r>
        <w:rPr>
          <w:rFonts w:ascii="Verdana" w:hAnsi="Verdana"/>
          <w:sz w:val="16"/>
          <w:szCs w:val="16"/>
        </w:rPr>
        <w:t>;</w:t>
      </w:r>
      <w:r w:rsidRPr="00817CD9">
        <w:rPr>
          <w:rFonts w:ascii="Verdana" w:hAnsi="Verdana"/>
          <w:sz w:val="16"/>
          <w:szCs w:val="16"/>
        </w:rPr>
        <w:t xml:space="preserve"> y </w:t>
      </w:r>
      <w:r w:rsidRPr="00817CD9">
        <w:rPr>
          <w:rFonts w:ascii="Verdana" w:hAnsi="Verdana" w:cs="Verdana"/>
          <w:bCs/>
          <w:i/>
          <w:sz w:val="16"/>
          <w:szCs w:val="16"/>
          <w:lang w:val="es-ES"/>
        </w:rPr>
        <w:t xml:space="preserve">Caso </w:t>
      </w:r>
      <w:proofErr w:type="spellStart"/>
      <w:r w:rsidRPr="00817CD9">
        <w:rPr>
          <w:rFonts w:ascii="Verdana" w:hAnsi="Verdana" w:cs="Verdana"/>
          <w:bCs/>
          <w:i/>
          <w:sz w:val="16"/>
          <w:szCs w:val="16"/>
          <w:lang w:val="es-ES"/>
        </w:rPr>
        <w:t>Norín</w:t>
      </w:r>
      <w:proofErr w:type="spellEnd"/>
      <w:r>
        <w:rPr>
          <w:rFonts w:ascii="Verdana" w:hAnsi="Verdana" w:cs="Verdana"/>
          <w:bCs/>
          <w:i/>
          <w:sz w:val="16"/>
          <w:szCs w:val="16"/>
          <w:lang w:val="es-ES"/>
        </w:rPr>
        <w:t xml:space="preserve"> </w:t>
      </w:r>
      <w:proofErr w:type="spellStart"/>
      <w:r w:rsidRPr="00817CD9">
        <w:rPr>
          <w:rFonts w:ascii="Verdana" w:hAnsi="Verdana" w:cs="Verdana"/>
          <w:bCs/>
          <w:i/>
          <w:sz w:val="16"/>
          <w:szCs w:val="16"/>
          <w:lang w:val="es-ES"/>
        </w:rPr>
        <w:t>Catrimán</w:t>
      </w:r>
      <w:proofErr w:type="spellEnd"/>
      <w:r w:rsidRPr="00817CD9">
        <w:rPr>
          <w:rFonts w:ascii="Verdana" w:hAnsi="Verdana" w:cs="Verdana"/>
          <w:bCs/>
          <w:i/>
          <w:sz w:val="16"/>
          <w:szCs w:val="16"/>
          <w:lang w:val="es-ES"/>
        </w:rPr>
        <w:t xml:space="preserve"> y otros (Dirigentes, miembros y activista del Pueblo Indígena Mapuche) Vs. Chile.</w:t>
      </w:r>
      <w:r w:rsidRPr="00817CD9">
        <w:rPr>
          <w:rFonts w:ascii="Verdana" w:hAnsi="Verdana" w:cs="Verdana"/>
          <w:bCs/>
          <w:sz w:val="16"/>
          <w:szCs w:val="16"/>
          <w:lang w:val="es-ES"/>
        </w:rPr>
        <w:t>, párr. 371</w:t>
      </w:r>
    </w:p>
  </w:footnote>
  <w:footnote w:id="26">
    <w:p w14:paraId="09242C8B" w14:textId="77777777" w:rsidR="008D3C6E" w:rsidRPr="00817CD9" w:rsidRDefault="008D3C6E" w:rsidP="00817CD9">
      <w:pPr>
        <w:spacing w:after="120" w:line="240" w:lineRule="auto"/>
        <w:ind w:right="-1"/>
        <w:jc w:val="both"/>
        <w:rPr>
          <w:rFonts w:ascii="Verdana" w:hAnsi="Verdana"/>
          <w:spacing w:val="-4"/>
          <w:sz w:val="16"/>
          <w:szCs w:val="16"/>
        </w:rPr>
      </w:pPr>
      <w:r w:rsidRPr="00817CD9">
        <w:rPr>
          <w:rStyle w:val="FootnoteReference"/>
          <w:rFonts w:ascii="Verdana" w:eastAsia="Times New Roman" w:hAnsi="Verdana"/>
          <w:spacing w:val="-4"/>
          <w:sz w:val="16"/>
          <w:szCs w:val="16"/>
        </w:rPr>
        <w:footnoteRef/>
      </w:r>
      <w:r w:rsidRPr="00817CD9">
        <w:rPr>
          <w:rFonts w:ascii="Verdana" w:hAnsi="Verdana"/>
          <w:spacing w:val="-4"/>
          <w:sz w:val="16"/>
          <w:szCs w:val="16"/>
        </w:rPr>
        <w:tab/>
      </w:r>
      <w:r w:rsidRPr="00817CD9">
        <w:rPr>
          <w:rFonts w:ascii="Verdana" w:hAnsi="Verdana"/>
          <w:i/>
          <w:spacing w:val="-4"/>
          <w:sz w:val="16"/>
          <w:szCs w:val="16"/>
        </w:rPr>
        <w:t>Cfr. Cfr. Caso "La Última Tentación de Cristo" (Olmedo Bustos y otros) Vs. Chile.</w:t>
      </w:r>
      <w:r w:rsidRPr="00817CD9">
        <w:rPr>
          <w:rFonts w:ascii="Verdana" w:hAnsi="Verdana"/>
          <w:spacing w:val="-4"/>
          <w:sz w:val="16"/>
          <w:szCs w:val="16"/>
        </w:rPr>
        <w:t xml:space="preserve">, </w:t>
      </w:r>
      <w:r w:rsidRPr="00817CD9">
        <w:rPr>
          <w:rFonts w:ascii="Verdana" w:hAnsi="Verdana"/>
          <w:sz w:val="16"/>
          <w:szCs w:val="16"/>
        </w:rPr>
        <w:t xml:space="preserve">párr. </w:t>
      </w:r>
      <w:r>
        <w:rPr>
          <w:rFonts w:ascii="Verdana" w:hAnsi="Verdana"/>
          <w:spacing w:val="-4"/>
          <w:sz w:val="16"/>
          <w:szCs w:val="16"/>
        </w:rPr>
        <w:t xml:space="preserve"> 65;</w:t>
      </w:r>
      <w:r w:rsidRPr="00817CD9">
        <w:rPr>
          <w:rFonts w:ascii="Verdana" w:hAnsi="Verdana"/>
          <w:spacing w:val="-4"/>
          <w:sz w:val="16"/>
          <w:szCs w:val="16"/>
        </w:rPr>
        <w:t xml:space="preserve"> y </w:t>
      </w:r>
      <w:r w:rsidRPr="00817CD9">
        <w:rPr>
          <w:rFonts w:ascii="Verdana" w:hAnsi="Verdana" w:cs="Verdana"/>
          <w:bCs/>
          <w:i/>
          <w:sz w:val="16"/>
          <w:szCs w:val="16"/>
          <w:lang w:val="es-ES"/>
        </w:rPr>
        <w:t xml:space="preserve">Caso </w:t>
      </w:r>
      <w:proofErr w:type="spellStart"/>
      <w:r w:rsidRPr="00817CD9">
        <w:rPr>
          <w:rFonts w:ascii="Verdana" w:hAnsi="Verdana" w:cs="Verdana"/>
          <w:bCs/>
          <w:i/>
          <w:sz w:val="16"/>
          <w:szCs w:val="16"/>
          <w:lang w:val="es-ES"/>
        </w:rPr>
        <w:t>Norín</w:t>
      </w:r>
      <w:proofErr w:type="spellEnd"/>
      <w:r w:rsidRPr="00817CD9">
        <w:rPr>
          <w:rFonts w:ascii="Verdana" w:hAnsi="Verdana" w:cs="Verdana"/>
          <w:bCs/>
          <w:i/>
          <w:sz w:val="16"/>
          <w:szCs w:val="16"/>
          <w:lang w:val="es-ES"/>
        </w:rPr>
        <w:t xml:space="preserve"> </w:t>
      </w:r>
      <w:proofErr w:type="spellStart"/>
      <w:r w:rsidRPr="00817CD9">
        <w:rPr>
          <w:rFonts w:ascii="Verdana" w:hAnsi="Verdana" w:cs="Verdana"/>
          <w:bCs/>
          <w:i/>
          <w:sz w:val="16"/>
          <w:szCs w:val="16"/>
          <w:lang w:val="es-ES"/>
        </w:rPr>
        <w:t>Catrimán</w:t>
      </w:r>
      <w:proofErr w:type="spellEnd"/>
      <w:r w:rsidRPr="00817CD9">
        <w:rPr>
          <w:rFonts w:ascii="Verdana" w:hAnsi="Verdana" w:cs="Verdana"/>
          <w:bCs/>
          <w:i/>
          <w:sz w:val="16"/>
          <w:szCs w:val="16"/>
          <w:lang w:val="es-ES"/>
        </w:rPr>
        <w:t xml:space="preserve"> y otros (Dirigentes, miembros y activista del Pueblo Indígena Mapuche) Vs. Chile. Fondo, </w:t>
      </w:r>
      <w:r>
        <w:rPr>
          <w:rFonts w:ascii="Verdana" w:hAnsi="Verdana" w:cs="Verdana"/>
          <w:bCs/>
          <w:i/>
          <w:sz w:val="16"/>
          <w:szCs w:val="16"/>
          <w:lang w:val="es-ES"/>
        </w:rPr>
        <w:t>r</w:t>
      </w:r>
      <w:r w:rsidRPr="00817CD9">
        <w:rPr>
          <w:rFonts w:ascii="Verdana" w:hAnsi="Verdana" w:cs="Verdana"/>
          <w:bCs/>
          <w:i/>
          <w:sz w:val="16"/>
          <w:szCs w:val="16"/>
          <w:lang w:val="es-ES"/>
        </w:rPr>
        <w:t xml:space="preserve">eparaciones y </w:t>
      </w:r>
      <w:r>
        <w:rPr>
          <w:rFonts w:ascii="Verdana" w:hAnsi="Verdana" w:cs="Verdana"/>
          <w:bCs/>
          <w:i/>
          <w:sz w:val="16"/>
          <w:szCs w:val="16"/>
          <w:lang w:val="es-ES"/>
        </w:rPr>
        <w:t>c</w:t>
      </w:r>
      <w:r w:rsidRPr="00817CD9">
        <w:rPr>
          <w:rFonts w:ascii="Verdana" w:hAnsi="Verdana" w:cs="Verdana"/>
          <w:bCs/>
          <w:i/>
          <w:sz w:val="16"/>
          <w:szCs w:val="16"/>
          <w:lang w:val="es-ES"/>
        </w:rPr>
        <w:t>ostas</w:t>
      </w:r>
      <w:r w:rsidRPr="00817CD9">
        <w:rPr>
          <w:rFonts w:ascii="Verdana" w:hAnsi="Verdana" w:cs="Verdana"/>
          <w:bCs/>
          <w:sz w:val="16"/>
          <w:szCs w:val="16"/>
          <w:lang w:val="es-ES"/>
        </w:rPr>
        <w:t>. Sentencia de 29 d</w:t>
      </w:r>
      <w:r>
        <w:rPr>
          <w:rFonts w:ascii="Verdana" w:hAnsi="Verdana" w:cs="Verdana"/>
          <w:bCs/>
          <w:sz w:val="16"/>
          <w:szCs w:val="16"/>
          <w:lang w:val="es-ES"/>
        </w:rPr>
        <w:t xml:space="preserve">e mayo de 2014. Serie C No. 279, </w:t>
      </w:r>
      <w:r w:rsidRPr="00817CD9">
        <w:rPr>
          <w:rFonts w:ascii="Verdana" w:hAnsi="Verdana"/>
          <w:spacing w:val="-4"/>
          <w:sz w:val="16"/>
          <w:szCs w:val="16"/>
        </w:rPr>
        <w:t xml:space="preserve">párr. </w:t>
      </w:r>
      <w:r>
        <w:rPr>
          <w:rFonts w:ascii="Verdana" w:hAnsi="Verdana"/>
          <w:spacing w:val="-4"/>
          <w:sz w:val="16"/>
          <w:szCs w:val="16"/>
        </w:rPr>
        <w:t>372</w:t>
      </w:r>
      <w:r w:rsidRPr="00817CD9">
        <w:rPr>
          <w:rFonts w:ascii="Verdana" w:hAnsi="Verdana"/>
          <w:spacing w:val="-4"/>
          <w:sz w:val="16"/>
          <w:szCs w:val="16"/>
        </w:rPr>
        <w:t>.</w:t>
      </w:r>
    </w:p>
  </w:footnote>
  <w:footnote w:id="27">
    <w:p w14:paraId="4BCD9355" w14:textId="77777777" w:rsidR="008D3C6E" w:rsidRPr="00817CD9" w:rsidRDefault="008D3C6E" w:rsidP="00817CD9">
      <w:pPr>
        <w:pStyle w:val="FootnoteText"/>
        <w:spacing w:after="120"/>
        <w:jc w:val="both"/>
        <w:rPr>
          <w:rFonts w:ascii="Verdana" w:hAnsi="Verdana"/>
          <w:spacing w:val="-4"/>
          <w:sz w:val="16"/>
          <w:szCs w:val="16"/>
        </w:rPr>
      </w:pPr>
      <w:r w:rsidRPr="00817CD9">
        <w:rPr>
          <w:rStyle w:val="FootnoteReference"/>
          <w:rFonts w:ascii="Verdana" w:hAnsi="Verdana"/>
          <w:sz w:val="16"/>
          <w:szCs w:val="16"/>
        </w:rPr>
        <w:footnoteRef/>
      </w:r>
      <w:r w:rsidRPr="00817CD9">
        <w:rPr>
          <w:rFonts w:ascii="Verdana" w:hAnsi="Verdana"/>
          <w:sz w:val="16"/>
          <w:szCs w:val="16"/>
          <w:lang w:val="es-ES_tradnl"/>
        </w:rPr>
        <w:tab/>
      </w:r>
      <w:r w:rsidRPr="00817CD9">
        <w:rPr>
          <w:rFonts w:ascii="Verdana" w:hAnsi="Verdana"/>
          <w:i/>
          <w:spacing w:val="-4"/>
          <w:sz w:val="16"/>
          <w:szCs w:val="16"/>
        </w:rPr>
        <w:t>Caso "La Última Tentación de Cristo" (Olmedo Bustos y otros) Vs. Chile.</w:t>
      </w:r>
      <w:r w:rsidRPr="00817CD9">
        <w:rPr>
          <w:rFonts w:ascii="Verdana" w:hAnsi="Verdana"/>
          <w:spacing w:val="-4"/>
          <w:sz w:val="16"/>
          <w:szCs w:val="16"/>
        </w:rPr>
        <w:t>, párr. 66</w:t>
      </w:r>
      <w:r>
        <w:rPr>
          <w:rFonts w:ascii="Verdana" w:hAnsi="Verdana"/>
          <w:spacing w:val="-4"/>
          <w:sz w:val="16"/>
          <w:szCs w:val="16"/>
        </w:rPr>
        <w:t xml:space="preserve">; y </w:t>
      </w:r>
      <w:r w:rsidRPr="00817CD9">
        <w:rPr>
          <w:rFonts w:ascii="Verdana" w:hAnsi="Verdana" w:cs="Verdana"/>
          <w:bCs/>
          <w:i/>
          <w:sz w:val="16"/>
          <w:szCs w:val="16"/>
          <w:lang w:val="es-ES"/>
        </w:rPr>
        <w:t xml:space="preserve">Caso </w:t>
      </w:r>
      <w:proofErr w:type="spellStart"/>
      <w:r w:rsidRPr="00817CD9">
        <w:rPr>
          <w:rFonts w:ascii="Verdana" w:hAnsi="Verdana" w:cs="Verdana"/>
          <w:bCs/>
          <w:i/>
          <w:sz w:val="16"/>
          <w:szCs w:val="16"/>
          <w:lang w:val="es-ES"/>
        </w:rPr>
        <w:t>Norín</w:t>
      </w:r>
      <w:proofErr w:type="spellEnd"/>
      <w:r w:rsidRPr="00817CD9">
        <w:rPr>
          <w:rFonts w:ascii="Verdana" w:hAnsi="Verdana" w:cs="Verdana"/>
          <w:bCs/>
          <w:i/>
          <w:sz w:val="16"/>
          <w:szCs w:val="16"/>
          <w:lang w:val="es-ES"/>
        </w:rPr>
        <w:t xml:space="preserve"> </w:t>
      </w:r>
      <w:proofErr w:type="spellStart"/>
      <w:r w:rsidRPr="00817CD9">
        <w:rPr>
          <w:rFonts w:ascii="Verdana" w:hAnsi="Verdana" w:cs="Verdana"/>
          <w:bCs/>
          <w:i/>
          <w:sz w:val="16"/>
          <w:szCs w:val="16"/>
          <w:lang w:val="es-ES"/>
        </w:rPr>
        <w:t>Catrimán</w:t>
      </w:r>
      <w:proofErr w:type="spellEnd"/>
      <w:r w:rsidRPr="00817CD9">
        <w:rPr>
          <w:rFonts w:ascii="Verdana" w:hAnsi="Verdana" w:cs="Verdana"/>
          <w:bCs/>
          <w:i/>
          <w:sz w:val="16"/>
          <w:szCs w:val="16"/>
          <w:lang w:val="es-ES"/>
        </w:rPr>
        <w:t xml:space="preserve"> y otros (Dirigentes, miembros y activista del Pue</w:t>
      </w:r>
      <w:r>
        <w:rPr>
          <w:rFonts w:ascii="Verdana" w:hAnsi="Verdana" w:cs="Verdana"/>
          <w:bCs/>
          <w:i/>
          <w:sz w:val="16"/>
          <w:szCs w:val="16"/>
          <w:lang w:val="es-ES"/>
        </w:rPr>
        <w:t>blo Indígena Mapuche) Vs. Chile</w:t>
      </w:r>
      <w:r>
        <w:rPr>
          <w:rFonts w:ascii="Verdana" w:hAnsi="Verdana" w:cs="Verdana"/>
          <w:bCs/>
          <w:sz w:val="16"/>
          <w:szCs w:val="16"/>
          <w:lang w:val="es-ES"/>
        </w:rPr>
        <w:t>, párr. 375.</w:t>
      </w:r>
    </w:p>
  </w:footnote>
  <w:footnote w:id="28">
    <w:p w14:paraId="2899FE9E" w14:textId="77777777" w:rsidR="008D3C6E" w:rsidRPr="00817CD9" w:rsidRDefault="008D3C6E" w:rsidP="00817CD9">
      <w:pPr>
        <w:spacing w:after="120" w:line="240" w:lineRule="auto"/>
        <w:ind w:right="-1"/>
        <w:jc w:val="both"/>
        <w:rPr>
          <w:rFonts w:ascii="Verdana" w:hAnsi="Verdana"/>
          <w:spacing w:val="-4"/>
          <w:sz w:val="16"/>
          <w:szCs w:val="16"/>
        </w:rPr>
      </w:pPr>
      <w:r w:rsidRPr="00817CD9">
        <w:rPr>
          <w:rStyle w:val="FootnoteReference"/>
          <w:rFonts w:ascii="Verdana" w:eastAsia="Times New Roman" w:hAnsi="Verdana"/>
          <w:spacing w:val="-4"/>
          <w:sz w:val="16"/>
          <w:szCs w:val="16"/>
        </w:rPr>
        <w:footnoteRef/>
      </w:r>
      <w:r w:rsidRPr="00817CD9">
        <w:rPr>
          <w:rFonts w:ascii="Verdana" w:hAnsi="Verdana"/>
          <w:spacing w:val="-4"/>
          <w:sz w:val="16"/>
          <w:szCs w:val="16"/>
        </w:rPr>
        <w:tab/>
      </w:r>
      <w:r w:rsidRPr="00817CD9">
        <w:rPr>
          <w:rFonts w:ascii="Verdana" w:hAnsi="Verdana"/>
          <w:i/>
          <w:spacing w:val="-4"/>
          <w:sz w:val="16"/>
          <w:szCs w:val="16"/>
        </w:rPr>
        <w:t>Caso "La Última Tentación de Cristo" (Olmedo Bustos y otros) Vs. Chile. Fondo, Reparaciones y Costas.</w:t>
      </w:r>
      <w:r w:rsidRPr="00817CD9">
        <w:rPr>
          <w:rFonts w:ascii="Verdana" w:hAnsi="Verdana"/>
          <w:spacing w:val="-4"/>
          <w:sz w:val="16"/>
          <w:szCs w:val="16"/>
        </w:rPr>
        <w:t xml:space="preserve"> Sentencia de 5 de febrero de 2001 Serie C No. 73, párr. 6</w:t>
      </w:r>
      <w:r>
        <w:rPr>
          <w:rFonts w:ascii="Verdana" w:hAnsi="Verdana"/>
          <w:spacing w:val="-4"/>
          <w:sz w:val="16"/>
          <w:szCs w:val="16"/>
        </w:rPr>
        <w:t>4.;</w:t>
      </w:r>
      <w:r w:rsidRPr="00817CD9">
        <w:rPr>
          <w:rFonts w:ascii="Verdana" w:hAnsi="Verdana"/>
          <w:spacing w:val="-4"/>
          <w:sz w:val="16"/>
          <w:szCs w:val="16"/>
        </w:rPr>
        <w:t xml:space="preserve"> y </w:t>
      </w:r>
      <w:r w:rsidRPr="00817CD9">
        <w:rPr>
          <w:rFonts w:ascii="Verdana" w:hAnsi="Verdana" w:cs="Verdana"/>
          <w:bCs/>
          <w:i/>
          <w:sz w:val="16"/>
          <w:szCs w:val="16"/>
          <w:lang w:val="es-ES"/>
        </w:rPr>
        <w:t xml:space="preserve">Caso </w:t>
      </w:r>
      <w:proofErr w:type="spellStart"/>
      <w:r w:rsidRPr="00817CD9">
        <w:rPr>
          <w:rFonts w:ascii="Verdana" w:hAnsi="Verdana" w:cs="Verdana"/>
          <w:bCs/>
          <w:i/>
          <w:sz w:val="16"/>
          <w:szCs w:val="16"/>
          <w:lang w:val="es-ES"/>
        </w:rPr>
        <w:t>Mémoli</w:t>
      </w:r>
      <w:proofErr w:type="spellEnd"/>
      <w:r w:rsidRPr="00817CD9">
        <w:rPr>
          <w:rFonts w:ascii="Verdana" w:hAnsi="Verdana" w:cs="Verdana"/>
          <w:bCs/>
          <w:i/>
          <w:sz w:val="16"/>
          <w:szCs w:val="16"/>
          <w:lang w:val="es-ES"/>
        </w:rPr>
        <w:t xml:space="preserve"> Vs. Argentina</w:t>
      </w:r>
      <w:r>
        <w:rPr>
          <w:rFonts w:ascii="Verdana" w:hAnsi="Verdana" w:cs="Verdana"/>
          <w:bCs/>
          <w:i/>
          <w:sz w:val="16"/>
          <w:szCs w:val="16"/>
          <w:lang w:val="es-ES"/>
        </w:rPr>
        <w:t>,</w:t>
      </w:r>
      <w:r w:rsidRPr="00817CD9">
        <w:rPr>
          <w:rFonts w:ascii="Verdana" w:hAnsi="Verdana"/>
          <w:spacing w:val="-4"/>
          <w:sz w:val="16"/>
          <w:szCs w:val="16"/>
        </w:rPr>
        <w:t>párr. 119.</w:t>
      </w:r>
    </w:p>
  </w:footnote>
  <w:footnote w:id="29">
    <w:p w14:paraId="36C9CBF7" w14:textId="77777777"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lang w:val="es-ES_tradnl"/>
        </w:rPr>
        <w:tab/>
      </w:r>
      <w:r w:rsidRPr="00817CD9">
        <w:rPr>
          <w:rFonts w:ascii="Verdana" w:hAnsi="Verdana"/>
          <w:i/>
          <w:iCs/>
          <w:sz w:val="16"/>
          <w:szCs w:val="16"/>
        </w:rPr>
        <w:t>La Colegiación Obligatoria de Periodistas (arts. 13 y 29 Convención Americana sobre Derechos Humanos)</w:t>
      </w:r>
      <w:r w:rsidRPr="00817CD9">
        <w:rPr>
          <w:rFonts w:ascii="Verdana" w:hAnsi="Verdana"/>
          <w:sz w:val="16"/>
          <w:szCs w:val="16"/>
        </w:rPr>
        <w:t>,</w:t>
      </w:r>
      <w:r>
        <w:rPr>
          <w:rFonts w:ascii="Verdana" w:hAnsi="Verdana"/>
          <w:sz w:val="16"/>
          <w:szCs w:val="16"/>
        </w:rPr>
        <w:t xml:space="preserve"> </w:t>
      </w:r>
      <w:r w:rsidRPr="00817CD9">
        <w:rPr>
          <w:rFonts w:ascii="Verdana" w:hAnsi="Verdana"/>
          <w:sz w:val="16"/>
          <w:szCs w:val="16"/>
        </w:rPr>
        <w:t xml:space="preserve">párr. 70. </w:t>
      </w:r>
    </w:p>
  </w:footnote>
  <w:footnote w:id="30">
    <w:p w14:paraId="76A29107" w14:textId="77777777" w:rsidR="008D3C6E" w:rsidRPr="00817CD9" w:rsidRDefault="008D3C6E" w:rsidP="00817CD9">
      <w:pPr>
        <w:pStyle w:val="NormalWeb"/>
        <w:spacing w:before="0" w:beforeAutospacing="0" w:after="120" w:afterAutospacing="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iCs/>
          <w:sz w:val="16"/>
          <w:szCs w:val="16"/>
        </w:rPr>
        <w:t xml:space="preserve">Caso Herrera Ulloa </w:t>
      </w:r>
      <w:r>
        <w:rPr>
          <w:rFonts w:ascii="Verdana" w:hAnsi="Verdana"/>
          <w:i/>
          <w:iCs/>
          <w:sz w:val="16"/>
          <w:szCs w:val="16"/>
        </w:rPr>
        <w:t>V</w:t>
      </w:r>
      <w:r w:rsidRPr="00817CD9">
        <w:rPr>
          <w:rFonts w:ascii="Verdana" w:hAnsi="Verdana"/>
          <w:i/>
          <w:iCs/>
          <w:sz w:val="16"/>
          <w:szCs w:val="16"/>
        </w:rPr>
        <w:t>s. Costa Rica</w:t>
      </w:r>
      <w:r w:rsidRPr="00817CD9">
        <w:rPr>
          <w:rFonts w:ascii="Verdana" w:hAnsi="Verdana"/>
          <w:sz w:val="16"/>
          <w:szCs w:val="16"/>
        </w:rPr>
        <w:t xml:space="preserve">, párr. </w:t>
      </w:r>
      <w:r w:rsidRPr="006F2A55">
        <w:rPr>
          <w:rFonts w:ascii="Verdana" w:hAnsi="Verdana"/>
          <w:sz w:val="16"/>
          <w:szCs w:val="16"/>
          <w:lang w:val="en-US"/>
        </w:rPr>
        <w:t xml:space="preserve">116, </w:t>
      </w:r>
      <w:r w:rsidRPr="006F2A55">
        <w:rPr>
          <w:rFonts w:ascii="Verdana" w:hAnsi="Verdana"/>
          <w:i/>
          <w:sz w:val="16"/>
          <w:szCs w:val="16"/>
          <w:lang w:val="en-US"/>
        </w:rPr>
        <w:t xml:space="preserve">mutatis </w:t>
      </w:r>
      <w:proofErr w:type="spellStart"/>
      <w:r w:rsidRPr="006F2A55">
        <w:rPr>
          <w:rFonts w:ascii="Verdana" w:hAnsi="Verdana"/>
          <w:i/>
          <w:sz w:val="16"/>
          <w:szCs w:val="16"/>
          <w:lang w:val="en-US"/>
        </w:rPr>
        <w:t>mutandi</w:t>
      </w:r>
      <w:proofErr w:type="spellEnd"/>
      <w:r w:rsidRPr="006F2A55">
        <w:rPr>
          <w:rFonts w:ascii="Verdana" w:hAnsi="Verdana"/>
          <w:i/>
          <w:sz w:val="16"/>
          <w:szCs w:val="16"/>
          <w:lang w:val="en-US"/>
        </w:rPr>
        <w:t>,</w:t>
      </w:r>
      <w:r w:rsidRPr="006F2A55">
        <w:rPr>
          <w:rFonts w:ascii="Verdana" w:hAnsi="Verdana"/>
          <w:sz w:val="16"/>
          <w:szCs w:val="16"/>
          <w:lang w:val="en-US"/>
        </w:rPr>
        <w:t xml:space="preserve">  </w:t>
      </w:r>
      <w:proofErr w:type="spellStart"/>
      <w:r w:rsidRPr="006F2A55">
        <w:rPr>
          <w:rFonts w:ascii="Verdana" w:hAnsi="Verdana"/>
          <w:i/>
          <w:iCs/>
          <w:sz w:val="16"/>
          <w:szCs w:val="16"/>
          <w:lang w:val="en-US"/>
        </w:rPr>
        <w:t>Caso</w:t>
      </w:r>
      <w:proofErr w:type="spellEnd"/>
      <w:r w:rsidRPr="006F2A55">
        <w:rPr>
          <w:rFonts w:ascii="Verdana" w:hAnsi="Verdana"/>
          <w:i/>
          <w:iCs/>
          <w:sz w:val="16"/>
          <w:szCs w:val="16"/>
          <w:lang w:val="en-US"/>
        </w:rPr>
        <w:t xml:space="preserve">  The Sunday Times Vs. </w:t>
      </w:r>
      <w:r w:rsidRPr="00BA60C6">
        <w:rPr>
          <w:rFonts w:ascii="Verdana" w:hAnsi="Verdana"/>
          <w:i/>
          <w:iCs/>
          <w:sz w:val="16"/>
          <w:szCs w:val="16"/>
          <w:lang w:val="es-CO"/>
        </w:rPr>
        <w:t>Reino Unido</w:t>
      </w:r>
      <w:r w:rsidRPr="00BA60C6">
        <w:rPr>
          <w:rFonts w:ascii="Verdana" w:hAnsi="Verdana"/>
          <w:sz w:val="16"/>
          <w:szCs w:val="16"/>
          <w:lang w:val="es-CO"/>
        </w:rPr>
        <w:t>, 2</w:t>
      </w:r>
      <w:r>
        <w:rPr>
          <w:rFonts w:ascii="Verdana" w:hAnsi="Verdana"/>
          <w:sz w:val="16"/>
          <w:szCs w:val="16"/>
          <w:lang w:val="es-CO"/>
        </w:rPr>
        <w:t>6</w:t>
      </w:r>
      <w:r w:rsidRPr="00BA60C6">
        <w:rPr>
          <w:rFonts w:ascii="Verdana" w:hAnsi="Verdana"/>
          <w:sz w:val="16"/>
          <w:szCs w:val="16"/>
          <w:lang w:val="es-CO"/>
        </w:rPr>
        <w:t xml:space="preserve"> </w:t>
      </w:r>
      <w:r>
        <w:rPr>
          <w:rFonts w:ascii="Verdana" w:hAnsi="Verdana"/>
          <w:sz w:val="16"/>
          <w:szCs w:val="16"/>
          <w:lang w:val="es-CO"/>
        </w:rPr>
        <w:t xml:space="preserve">de Abril </w:t>
      </w:r>
      <w:r w:rsidRPr="00BA60C6">
        <w:rPr>
          <w:rFonts w:ascii="Verdana" w:hAnsi="Verdana"/>
          <w:sz w:val="16"/>
          <w:szCs w:val="16"/>
          <w:lang w:val="es-CO"/>
        </w:rPr>
        <w:t>de 1979, Series A no. 30, párr. 65; y</w:t>
      </w:r>
      <w:r w:rsidRPr="00BA60C6">
        <w:rPr>
          <w:rFonts w:ascii="Verdana" w:hAnsi="Verdana"/>
          <w:i/>
          <w:iCs/>
          <w:sz w:val="16"/>
          <w:szCs w:val="16"/>
          <w:lang w:val="es-CO"/>
        </w:rPr>
        <w:t xml:space="preserve"> Caso  Handyside </w:t>
      </w:r>
      <w:r>
        <w:rPr>
          <w:rFonts w:ascii="Verdana" w:hAnsi="Verdana"/>
          <w:i/>
          <w:iCs/>
          <w:sz w:val="16"/>
          <w:szCs w:val="16"/>
          <w:lang w:val="es-CO"/>
        </w:rPr>
        <w:t>V</w:t>
      </w:r>
      <w:r w:rsidRPr="00BA60C6">
        <w:rPr>
          <w:rFonts w:ascii="Verdana" w:hAnsi="Verdana"/>
          <w:i/>
          <w:iCs/>
          <w:sz w:val="16"/>
          <w:szCs w:val="16"/>
          <w:lang w:val="es-CO"/>
        </w:rPr>
        <w:t>s. Reino Unido</w:t>
      </w:r>
      <w:r w:rsidRPr="00BA60C6">
        <w:rPr>
          <w:rFonts w:ascii="Verdana" w:hAnsi="Verdana"/>
          <w:sz w:val="16"/>
          <w:szCs w:val="16"/>
          <w:lang w:val="es-CO"/>
        </w:rPr>
        <w:t xml:space="preserve">, 7 </w:t>
      </w:r>
      <w:r>
        <w:rPr>
          <w:rFonts w:ascii="Verdana" w:hAnsi="Verdana"/>
          <w:sz w:val="16"/>
          <w:szCs w:val="16"/>
          <w:lang w:val="es-CO"/>
        </w:rPr>
        <w:t xml:space="preserve">de </w:t>
      </w:r>
      <w:r w:rsidRPr="00BA60C6">
        <w:rPr>
          <w:rFonts w:ascii="Verdana" w:hAnsi="Verdana"/>
          <w:sz w:val="16"/>
          <w:szCs w:val="16"/>
          <w:lang w:val="es-CO"/>
        </w:rPr>
        <w:t>D</w:t>
      </w:r>
      <w:r>
        <w:rPr>
          <w:rFonts w:ascii="Verdana" w:hAnsi="Verdana"/>
          <w:sz w:val="16"/>
          <w:szCs w:val="16"/>
          <w:lang w:val="es-CO"/>
        </w:rPr>
        <w:t>i</w:t>
      </w:r>
      <w:r w:rsidRPr="00BA60C6">
        <w:rPr>
          <w:rFonts w:ascii="Verdana" w:hAnsi="Verdana"/>
          <w:sz w:val="16"/>
          <w:szCs w:val="16"/>
          <w:lang w:val="es-CO"/>
        </w:rPr>
        <w:t>c</w:t>
      </w:r>
      <w:r>
        <w:rPr>
          <w:rFonts w:ascii="Verdana" w:hAnsi="Verdana"/>
          <w:sz w:val="16"/>
          <w:szCs w:val="16"/>
          <w:lang w:val="es-CO"/>
        </w:rPr>
        <w:t>i</w:t>
      </w:r>
      <w:r w:rsidRPr="00BA60C6">
        <w:rPr>
          <w:rFonts w:ascii="Verdana" w:hAnsi="Verdana"/>
          <w:sz w:val="16"/>
          <w:szCs w:val="16"/>
          <w:lang w:val="es-CO"/>
        </w:rPr>
        <w:t>embr</w:t>
      </w:r>
      <w:r>
        <w:rPr>
          <w:rFonts w:ascii="Verdana" w:hAnsi="Verdana"/>
          <w:sz w:val="16"/>
          <w:szCs w:val="16"/>
          <w:lang w:val="es-CO"/>
        </w:rPr>
        <w:t>e de</w:t>
      </w:r>
      <w:r w:rsidRPr="00BA60C6">
        <w:rPr>
          <w:rFonts w:ascii="Verdana" w:hAnsi="Verdana"/>
          <w:sz w:val="16"/>
          <w:szCs w:val="16"/>
          <w:lang w:val="es-CO"/>
        </w:rPr>
        <w:t xml:space="preserve"> 1976, Series A No. 24, para. 49; Cfr. Comisi</w:t>
      </w:r>
      <w:r>
        <w:rPr>
          <w:rFonts w:ascii="Verdana" w:hAnsi="Verdana"/>
          <w:sz w:val="16"/>
          <w:szCs w:val="16"/>
          <w:lang w:val="es-CO"/>
        </w:rPr>
        <w:t>ón Africana de Derechos Hu</w:t>
      </w:r>
      <w:r w:rsidRPr="00BA60C6">
        <w:rPr>
          <w:rFonts w:ascii="Verdana" w:hAnsi="Verdana"/>
          <w:sz w:val="16"/>
          <w:szCs w:val="16"/>
          <w:lang w:val="es-CO"/>
        </w:rPr>
        <w:t>manos y de los Pueblos,</w:t>
      </w:r>
      <w:r w:rsidRPr="00BE07D0" w:rsidDel="00BE07D0">
        <w:rPr>
          <w:rFonts w:ascii="Verdana" w:hAnsi="Verdana"/>
          <w:i/>
          <w:iCs/>
          <w:sz w:val="16"/>
          <w:szCs w:val="16"/>
          <w:lang w:val="es-CO"/>
        </w:rPr>
        <w:t xml:space="preserve"> </w:t>
      </w:r>
      <w:r w:rsidRPr="00BA60C6">
        <w:rPr>
          <w:rFonts w:ascii="Verdana" w:hAnsi="Verdana"/>
          <w:sz w:val="16"/>
          <w:szCs w:val="16"/>
          <w:lang w:val="es-CO"/>
        </w:rPr>
        <w:t xml:space="preserve">, Media Rigths Agenda and Constitucional Rights Project </w:t>
      </w:r>
      <w:r>
        <w:rPr>
          <w:rFonts w:ascii="Verdana" w:hAnsi="Verdana"/>
          <w:sz w:val="16"/>
          <w:szCs w:val="16"/>
          <w:lang w:val="es-CO"/>
        </w:rPr>
        <w:t>Vs</w:t>
      </w:r>
      <w:r w:rsidRPr="00BA60C6">
        <w:rPr>
          <w:rFonts w:ascii="Verdana" w:hAnsi="Verdana"/>
          <w:sz w:val="16"/>
          <w:szCs w:val="16"/>
          <w:lang w:val="es-CO"/>
        </w:rPr>
        <w:t>. Nigeria, Com</w:t>
      </w:r>
      <w:r>
        <w:rPr>
          <w:rFonts w:ascii="Verdana" w:hAnsi="Verdana"/>
          <w:sz w:val="16"/>
          <w:szCs w:val="16"/>
          <w:lang w:val="es-CO"/>
        </w:rPr>
        <w:t>unicaciones</w:t>
      </w:r>
      <w:r w:rsidRPr="00BA60C6">
        <w:rPr>
          <w:rFonts w:ascii="Verdana" w:hAnsi="Verdana"/>
          <w:sz w:val="16"/>
          <w:szCs w:val="16"/>
          <w:lang w:val="es-CO"/>
        </w:rPr>
        <w:t>Nos 105/93, 128/94, 130/94 and 152/96, Decisi</w:t>
      </w:r>
      <w:r>
        <w:rPr>
          <w:rFonts w:ascii="Verdana" w:hAnsi="Verdana"/>
          <w:sz w:val="16"/>
          <w:szCs w:val="16"/>
          <w:lang w:val="es-CO"/>
        </w:rPr>
        <w:t>ó</w:t>
      </w:r>
      <w:r w:rsidRPr="00BA60C6">
        <w:rPr>
          <w:rFonts w:ascii="Verdana" w:hAnsi="Verdana"/>
          <w:sz w:val="16"/>
          <w:szCs w:val="16"/>
          <w:lang w:val="es-CO"/>
        </w:rPr>
        <w:t xml:space="preserve">n </w:t>
      </w:r>
      <w:r>
        <w:rPr>
          <w:rFonts w:ascii="Verdana" w:hAnsi="Verdana"/>
          <w:sz w:val="16"/>
          <w:szCs w:val="16"/>
          <w:lang w:val="es-CO"/>
        </w:rPr>
        <w:t>de</w:t>
      </w:r>
      <w:r w:rsidRPr="00BA60C6">
        <w:rPr>
          <w:rFonts w:ascii="Verdana" w:hAnsi="Verdana"/>
          <w:sz w:val="16"/>
          <w:szCs w:val="16"/>
          <w:lang w:val="es-CO"/>
        </w:rPr>
        <w:t xml:space="preserve"> 31</w:t>
      </w:r>
      <w:r>
        <w:rPr>
          <w:rFonts w:ascii="Verdana" w:hAnsi="Verdana"/>
          <w:sz w:val="16"/>
          <w:szCs w:val="16"/>
          <w:lang w:val="es-CO"/>
        </w:rPr>
        <w:t xml:space="preserve"> de</w:t>
      </w:r>
      <w:r w:rsidRPr="00BA60C6">
        <w:rPr>
          <w:rFonts w:ascii="Verdana" w:hAnsi="Verdana"/>
          <w:sz w:val="16"/>
          <w:szCs w:val="16"/>
          <w:lang w:val="es-CO"/>
        </w:rPr>
        <w:t xml:space="preserve"> Oct</w:t>
      </w:r>
      <w:r>
        <w:rPr>
          <w:rFonts w:ascii="Verdana" w:hAnsi="Verdana"/>
          <w:sz w:val="16"/>
          <w:szCs w:val="16"/>
          <w:lang w:val="es-CO"/>
        </w:rPr>
        <w:t>u</w:t>
      </w:r>
      <w:r w:rsidRPr="00BA60C6">
        <w:rPr>
          <w:rFonts w:ascii="Verdana" w:hAnsi="Verdana"/>
          <w:sz w:val="16"/>
          <w:szCs w:val="16"/>
          <w:lang w:val="es-CO"/>
        </w:rPr>
        <w:t>b</w:t>
      </w:r>
      <w:r>
        <w:rPr>
          <w:rFonts w:ascii="Verdana" w:hAnsi="Verdana"/>
          <w:sz w:val="16"/>
          <w:szCs w:val="16"/>
          <w:lang w:val="es-CO"/>
        </w:rPr>
        <w:t>r</w:t>
      </w:r>
      <w:r w:rsidRPr="00BA60C6">
        <w:rPr>
          <w:rFonts w:ascii="Verdana" w:hAnsi="Verdana"/>
          <w:sz w:val="16"/>
          <w:szCs w:val="16"/>
          <w:lang w:val="es-CO"/>
        </w:rPr>
        <w:t>e</w:t>
      </w:r>
      <w:r>
        <w:rPr>
          <w:rFonts w:ascii="Verdana" w:hAnsi="Verdana"/>
          <w:sz w:val="16"/>
          <w:szCs w:val="16"/>
          <w:lang w:val="es-CO"/>
        </w:rPr>
        <w:t xml:space="preserve"> de</w:t>
      </w:r>
      <w:r w:rsidRPr="00BA60C6">
        <w:rPr>
          <w:rFonts w:ascii="Verdana" w:hAnsi="Verdana"/>
          <w:sz w:val="16"/>
          <w:szCs w:val="16"/>
          <w:lang w:val="es-CO"/>
        </w:rPr>
        <w:t xml:space="preserve">1998, párr. </w:t>
      </w:r>
      <w:r w:rsidRPr="00817CD9">
        <w:rPr>
          <w:rFonts w:ascii="Verdana" w:hAnsi="Verdana"/>
          <w:sz w:val="16"/>
          <w:szCs w:val="16"/>
        </w:rPr>
        <w:t>54</w:t>
      </w:r>
      <w:r>
        <w:rPr>
          <w:rFonts w:ascii="Verdana" w:hAnsi="Verdana"/>
          <w:sz w:val="16"/>
          <w:szCs w:val="16"/>
        </w:rPr>
        <w:t>;</w:t>
      </w:r>
      <w:r w:rsidRPr="00817CD9">
        <w:rPr>
          <w:rFonts w:ascii="Verdana" w:hAnsi="Verdana"/>
          <w:sz w:val="16"/>
          <w:szCs w:val="16"/>
        </w:rPr>
        <w:t xml:space="preserve"> y </w:t>
      </w:r>
      <w:r w:rsidRPr="00817CD9">
        <w:rPr>
          <w:rFonts w:ascii="Verdana" w:hAnsi="Verdana"/>
          <w:i/>
          <w:iCs/>
          <w:sz w:val="16"/>
          <w:szCs w:val="16"/>
        </w:rPr>
        <w:t xml:space="preserve">Cfr. </w:t>
      </w:r>
      <w:r w:rsidRPr="00817CD9">
        <w:rPr>
          <w:rFonts w:ascii="Verdana" w:hAnsi="Verdana"/>
          <w:sz w:val="16"/>
          <w:szCs w:val="16"/>
        </w:rPr>
        <w:t xml:space="preserve">O.N.U., Comité́ de Derechos Humanos, </w:t>
      </w:r>
      <w:proofErr w:type="spellStart"/>
      <w:r w:rsidRPr="00817CD9">
        <w:rPr>
          <w:rFonts w:ascii="Verdana" w:hAnsi="Verdana"/>
          <w:i/>
          <w:iCs/>
          <w:sz w:val="16"/>
          <w:szCs w:val="16"/>
        </w:rPr>
        <w:t>Aduayom</w:t>
      </w:r>
      <w:proofErr w:type="spellEnd"/>
      <w:r w:rsidRPr="00817CD9">
        <w:rPr>
          <w:rFonts w:ascii="Verdana" w:hAnsi="Verdana"/>
          <w:i/>
          <w:iCs/>
          <w:sz w:val="16"/>
          <w:szCs w:val="16"/>
        </w:rPr>
        <w:t xml:space="preserve"> y otros </w:t>
      </w:r>
      <w:r>
        <w:rPr>
          <w:rFonts w:ascii="Verdana" w:hAnsi="Verdana"/>
          <w:i/>
          <w:iCs/>
          <w:sz w:val="16"/>
          <w:szCs w:val="16"/>
        </w:rPr>
        <w:t>vs</w:t>
      </w:r>
      <w:r w:rsidRPr="00817CD9">
        <w:rPr>
          <w:rFonts w:ascii="Verdana" w:hAnsi="Verdana"/>
          <w:i/>
          <w:iCs/>
          <w:sz w:val="16"/>
          <w:szCs w:val="16"/>
        </w:rPr>
        <w:t xml:space="preserve">. Togo </w:t>
      </w:r>
      <w:r w:rsidRPr="00817CD9">
        <w:rPr>
          <w:rFonts w:ascii="Verdana" w:hAnsi="Verdana"/>
          <w:sz w:val="16"/>
          <w:szCs w:val="16"/>
        </w:rPr>
        <w:t xml:space="preserve">(422/1990, 423/1990 y 424/1990), dictamen de 12 de julio de 1996, </w:t>
      </w:r>
      <w:proofErr w:type="spellStart"/>
      <w:r w:rsidRPr="00817CD9">
        <w:rPr>
          <w:rFonts w:ascii="Verdana" w:hAnsi="Verdana"/>
          <w:sz w:val="16"/>
          <w:szCs w:val="16"/>
        </w:rPr>
        <w:t>párr</w:t>
      </w:r>
      <w:proofErr w:type="spellEnd"/>
      <w:r w:rsidRPr="00817CD9">
        <w:rPr>
          <w:rFonts w:ascii="Verdana" w:hAnsi="Verdana"/>
          <w:sz w:val="16"/>
          <w:szCs w:val="16"/>
        </w:rPr>
        <w:t xml:space="preserve">. 7.4. </w:t>
      </w:r>
    </w:p>
  </w:footnote>
  <w:footnote w:id="31">
    <w:p w14:paraId="55A2B2A0" w14:textId="77777777" w:rsidR="008D3C6E" w:rsidRPr="00797413" w:rsidRDefault="008D3C6E" w:rsidP="00817CD9">
      <w:pPr>
        <w:pStyle w:val="FootnoteText"/>
        <w:spacing w:after="120"/>
        <w:jc w:val="both"/>
        <w:rPr>
          <w:rFonts w:ascii="Verdana" w:hAnsi="Verdana"/>
          <w:sz w:val="16"/>
          <w:szCs w:val="16"/>
          <w:lang w:val="es-CO"/>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iCs/>
          <w:sz w:val="16"/>
          <w:szCs w:val="16"/>
        </w:rPr>
        <w:t>La Colegiación Obligatoria de Periodistas (arts. 13 y 29 Convención Americana sobre Derechos Humanos)</w:t>
      </w:r>
      <w:r w:rsidRPr="00817CD9">
        <w:rPr>
          <w:rFonts w:ascii="Verdana" w:hAnsi="Verdana"/>
          <w:sz w:val="16"/>
          <w:szCs w:val="16"/>
        </w:rPr>
        <w:t xml:space="preserve">, párr. </w:t>
      </w:r>
      <w:r w:rsidRPr="00BA60C6">
        <w:rPr>
          <w:rFonts w:ascii="Verdana" w:hAnsi="Verdana"/>
          <w:sz w:val="16"/>
          <w:szCs w:val="16"/>
          <w:lang w:val="es-CO"/>
        </w:rPr>
        <w:t>34.</w:t>
      </w:r>
    </w:p>
  </w:footnote>
  <w:footnote w:id="32">
    <w:p w14:paraId="5DAB9258" w14:textId="77777777" w:rsidR="008D3C6E" w:rsidRPr="004F41B7" w:rsidRDefault="008D3C6E" w:rsidP="00817CD9">
      <w:pPr>
        <w:pStyle w:val="FootnoteText"/>
        <w:spacing w:after="120"/>
        <w:jc w:val="both"/>
        <w:rPr>
          <w:rFonts w:ascii="Verdana" w:hAnsi="Verdana" w:cs="Arial"/>
          <w:color w:val="313131"/>
          <w:sz w:val="16"/>
          <w:szCs w:val="16"/>
          <w:lang w:val="es-CO"/>
        </w:rPr>
      </w:pPr>
      <w:r w:rsidRPr="00817CD9">
        <w:rPr>
          <w:rStyle w:val="FootnoteReference"/>
          <w:rFonts w:ascii="Verdana" w:hAnsi="Verdana"/>
          <w:sz w:val="16"/>
          <w:szCs w:val="16"/>
        </w:rPr>
        <w:footnoteRef/>
      </w:r>
      <w:r w:rsidRPr="006F2A55">
        <w:rPr>
          <w:rFonts w:ascii="Verdana" w:hAnsi="Verdana"/>
          <w:sz w:val="16"/>
          <w:szCs w:val="16"/>
          <w:lang w:val="es-CO"/>
        </w:rPr>
        <w:tab/>
      </w:r>
      <w:r w:rsidRPr="006F2A55">
        <w:rPr>
          <w:rFonts w:ascii="Verdana" w:hAnsi="Verdana"/>
          <w:i/>
          <w:sz w:val="16"/>
          <w:szCs w:val="16"/>
          <w:lang w:val="es-CO"/>
        </w:rPr>
        <w:t>Cas</w:t>
      </w:r>
      <w:r>
        <w:rPr>
          <w:rFonts w:ascii="Verdana" w:hAnsi="Verdana"/>
          <w:i/>
          <w:sz w:val="16"/>
          <w:szCs w:val="16"/>
          <w:lang w:val="es-CO"/>
        </w:rPr>
        <w:t>o</w:t>
      </w:r>
      <w:r w:rsidRPr="00BA60C6">
        <w:rPr>
          <w:rFonts w:ascii="Verdana" w:hAnsi="Verdana"/>
          <w:i/>
          <w:sz w:val="16"/>
          <w:szCs w:val="16"/>
          <w:lang w:val="es-CO"/>
        </w:rPr>
        <w:t xml:space="preserve"> </w:t>
      </w:r>
      <w:r w:rsidRPr="00BA60C6">
        <w:rPr>
          <w:rFonts w:ascii="Verdana" w:hAnsi="Verdana" w:cs="Arial"/>
          <w:i/>
          <w:iCs/>
          <w:color w:val="313131"/>
          <w:sz w:val="16"/>
          <w:szCs w:val="16"/>
          <w:lang w:val="es-CO"/>
        </w:rPr>
        <w:t>Manole y</w:t>
      </w:r>
      <w:r>
        <w:rPr>
          <w:rFonts w:ascii="Verdana" w:hAnsi="Verdana" w:cs="Arial"/>
          <w:i/>
          <w:iCs/>
          <w:color w:val="313131"/>
          <w:sz w:val="16"/>
          <w:szCs w:val="16"/>
          <w:lang w:val="es-CO"/>
        </w:rPr>
        <w:t xml:space="preserve"> O</w:t>
      </w:r>
      <w:r w:rsidRPr="00BA60C6">
        <w:rPr>
          <w:rFonts w:ascii="Verdana" w:hAnsi="Verdana" w:cs="Arial"/>
          <w:i/>
          <w:iCs/>
          <w:color w:val="313131"/>
          <w:sz w:val="16"/>
          <w:szCs w:val="16"/>
          <w:lang w:val="es-CO"/>
        </w:rPr>
        <w:t xml:space="preserve">tros </w:t>
      </w:r>
      <w:r>
        <w:rPr>
          <w:rFonts w:ascii="Verdana" w:hAnsi="Verdana" w:cs="Arial"/>
          <w:i/>
          <w:iCs/>
          <w:color w:val="313131"/>
          <w:sz w:val="16"/>
          <w:szCs w:val="16"/>
          <w:lang w:val="es-CO"/>
        </w:rPr>
        <w:t>V</w:t>
      </w:r>
      <w:r w:rsidRPr="00BA60C6">
        <w:rPr>
          <w:rFonts w:ascii="Verdana" w:hAnsi="Verdana" w:cs="Arial"/>
          <w:i/>
          <w:iCs/>
          <w:color w:val="313131"/>
          <w:sz w:val="16"/>
          <w:szCs w:val="16"/>
          <w:lang w:val="es-CO"/>
        </w:rPr>
        <w:t>s. Moldavia</w:t>
      </w:r>
      <w:r w:rsidRPr="00BA60C6">
        <w:rPr>
          <w:rFonts w:ascii="Verdana" w:hAnsi="Verdana" w:cs="Arial"/>
          <w:color w:val="313131"/>
          <w:sz w:val="16"/>
          <w:szCs w:val="16"/>
          <w:lang w:val="es-CO"/>
        </w:rPr>
        <w:t xml:space="preserve">, No. </w:t>
      </w:r>
      <w:r w:rsidRPr="00BA60C6">
        <w:rPr>
          <w:rFonts w:ascii="Verdana" w:hAnsi="Verdana" w:cs="Arial"/>
          <w:sz w:val="16"/>
          <w:szCs w:val="16"/>
          <w:lang w:val="es-CO"/>
        </w:rPr>
        <w:t>13936/02</w:t>
      </w:r>
      <w:r w:rsidRPr="00BA60C6">
        <w:rPr>
          <w:rFonts w:ascii="Verdana" w:hAnsi="Verdana" w:cs="Arial"/>
          <w:color w:val="313131"/>
          <w:sz w:val="16"/>
          <w:szCs w:val="16"/>
          <w:lang w:val="es-CO"/>
        </w:rPr>
        <w:t xml:space="preserve">, 17 de Septiembre de  2009, párr. 95; y </w:t>
      </w:r>
      <w:r w:rsidRPr="00BA60C6">
        <w:rPr>
          <w:rFonts w:ascii="Verdana" w:hAnsi="Verdana"/>
          <w:i/>
          <w:sz w:val="16"/>
          <w:szCs w:val="16"/>
          <w:lang w:val="es-CO"/>
        </w:rPr>
        <w:t xml:space="preserve">Caso </w:t>
      </w:r>
      <w:r w:rsidRPr="00BA60C6">
        <w:rPr>
          <w:rFonts w:ascii="Verdana" w:hAnsi="Verdana" w:cs="Arial"/>
          <w:i/>
          <w:iCs/>
          <w:color w:val="313131"/>
          <w:sz w:val="16"/>
          <w:szCs w:val="16"/>
          <w:lang w:val="es-CO"/>
        </w:rPr>
        <w:t xml:space="preserve">Socialist Party and Otros </w:t>
      </w:r>
      <w:r>
        <w:rPr>
          <w:rFonts w:ascii="Verdana" w:hAnsi="Verdana" w:cs="Arial"/>
          <w:i/>
          <w:iCs/>
          <w:color w:val="313131"/>
          <w:sz w:val="16"/>
          <w:szCs w:val="16"/>
          <w:lang w:val="es-CO"/>
        </w:rPr>
        <w:t>V</w:t>
      </w:r>
      <w:r w:rsidRPr="00BA60C6">
        <w:rPr>
          <w:rFonts w:ascii="Verdana" w:hAnsi="Verdana" w:cs="Arial"/>
          <w:i/>
          <w:iCs/>
          <w:color w:val="313131"/>
          <w:sz w:val="16"/>
          <w:szCs w:val="16"/>
          <w:lang w:val="es-CO"/>
        </w:rPr>
        <w:t>s. Turquía</w:t>
      </w:r>
      <w:r w:rsidRPr="00BA60C6">
        <w:rPr>
          <w:rFonts w:ascii="Verdana" w:hAnsi="Verdana" w:cs="Arial"/>
          <w:color w:val="313131"/>
          <w:sz w:val="16"/>
          <w:szCs w:val="16"/>
          <w:lang w:val="es-CO"/>
        </w:rPr>
        <w:t xml:space="preserve">, 25 de Mayo de 1998, párrs.  </w:t>
      </w:r>
      <w:r w:rsidRPr="004F41B7">
        <w:rPr>
          <w:rFonts w:ascii="Verdana" w:hAnsi="Verdana" w:cs="Arial"/>
          <w:color w:val="313131"/>
          <w:sz w:val="16"/>
          <w:szCs w:val="16"/>
          <w:lang w:val="es-CO"/>
        </w:rPr>
        <w:t>41, 45-47.</w:t>
      </w:r>
    </w:p>
  </w:footnote>
  <w:footnote w:id="33">
    <w:p w14:paraId="1A1A1B3A" w14:textId="4D397F8B" w:rsidR="008D3C6E" w:rsidRPr="006F2A55" w:rsidRDefault="008D3C6E" w:rsidP="00817CD9">
      <w:pPr>
        <w:widowControl w:val="0"/>
        <w:autoSpaceDE w:val="0"/>
        <w:autoSpaceDN w:val="0"/>
        <w:adjustRightInd w:val="0"/>
        <w:spacing w:after="120" w:line="240" w:lineRule="auto"/>
        <w:jc w:val="both"/>
        <w:rPr>
          <w:rFonts w:ascii="Verdana" w:hAnsi="Verdana" w:cs="Arial"/>
          <w:sz w:val="16"/>
          <w:szCs w:val="16"/>
          <w:lang w:val="es-CO"/>
        </w:rPr>
      </w:pPr>
      <w:r w:rsidRPr="00817CD9">
        <w:rPr>
          <w:rStyle w:val="FootnoteReference"/>
          <w:rFonts w:ascii="Verdana" w:hAnsi="Verdana"/>
          <w:sz w:val="16"/>
          <w:szCs w:val="16"/>
        </w:rPr>
        <w:footnoteRef/>
      </w:r>
      <w:r w:rsidRPr="006F2A55">
        <w:rPr>
          <w:rFonts w:ascii="Verdana" w:hAnsi="Verdana"/>
          <w:sz w:val="16"/>
          <w:szCs w:val="16"/>
          <w:lang w:val="es-CO"/>
        </w:rPr>
        <w:tab/>
      </w:r>
      <w:r w:rsidRPr="006F2A55">
        <w:rPr>
          <w:rFonts w:ascii="Verdana" w:hAnsi="Verdana" w:cs="Arial"/>
          <w:bCs/>
          <w:i/>
          <w:color w:val="313131"/>
          <w:sz w:val="16"/>
          <w:szCs w:val="16"/>
          <w:lang w:val="es-CO"/>
        </w:rPr>
        <w:t>Caso</w:t>
      </w:r>
      <w:r>
        <w:rPr>
          <w:rFonts w:ascii="Verdana" w:hAnsi="Verdana" w:cs="Arial"/>
          <w:bCs/>
          <w:i/>
          <w:color w:val="313131"/>
          <w:sz w:val="16"/>
          <w:szCs w:val="16"/>
          <w:lang w:val="es-CO"/>
        </w:rPr>
        <w:t xml:space="preserve"> </w:t>
      </w:r>
      <w:r w:rsidRPr="006F2A55">
        <w:rPr>
          <w:rFonts w:ascii="Verdana" w:hAnsi="Verdana" w:cs="Arial"/>
          <w:bCs/>
          <w:i/>
          <w:sz w:val="16"/>
          <w:szCs w:val="16"/>
          <w:lang w:val="es-CO"/>
        </w:rPr>
        <w:t xml:space="preserve">Centro Europa 7 S.R.L.y Di Stefano </w:t>
      </w:r>
      <w:r>
        <w:rPr>
          <w:rFonts w:ascii="Verdana" w:hAnsi="Verdana" w:cs="Arial"/>
          <w:bCs/>
          <w:i/>
          <w:sz w:val="16"/>
          <w:szCs w:val="16"/>
          <w:lang w:val="es-CO"/>
        </w:rPr>
        <w:t>V</w:t>
      </w:r>
      <w:r w:rsidRPr="006F2A55">
        <w:rPr>
          <w:rFonts w:ascii="Verdana" w:hAnsi="Verdana" w:cs="Arial"/>
          <w:bCs/>
          <w:i/>
          <w:sz w:val="16"/>
          <w:szCs w:val="16"/>
          <w:lang w:val="es-CO"/>
        </w:rPr>
        <w:t>s. Ital</w:t>
      </w:r>
      <w:r>
        <w:rPr>
          <w:rFonts w:ascii="Verdana" w:hAnsi="Verdana" w:cs="Arial"/>
          <w:bCs/>
          <w:i/>
          <w:sz w:val="16"/>
          <w:szCs w:val="16"/>
          <w:lang w:val="es-CO"/>
        </w:rPr>
        <w:t>ia</w:t>
      </w:r>
      <w:r w:rsidRPr="00BA60C6">
        <w:rPr>
          <w:rFonts w:ascii="Verdana" w:hAnsi="Verdana" w:cs="Arial"/>
          <w:i/>
          <w:sz w:val="16"/>
          <w:szCs w:val="16"/>
          <w:lang w:val="es-CO"/>
        </w:rPr>
        <w:t>,</w:t>
      </w:r>
      <w:r w:rsidRPr="00BA60C6">
        <w:rPr>
          <w:rFonts w:ascii="Verdana" w:hAnsi="Verdana" w:cs="Arial"/>
          <w:iCs/>
          <w:sz w:val="16"/>
          <w:szCs w:val="16"/>
          <w:lang w:val="es-CO"/>
        </w:rPr>
        <w:t>Ap</w:t>
      </w:r>
      <w:r>
        <w:rPr>
          <w:rFonts w:ascii="Verdana" w:hAnsi="Verdana" w:cs="Arial"/>
          <w:iCs/>
          <w:sz w:val="16"/>
          <w:szCs w:val="16"/>
          <w:lang w:val="es-CO"/>
        </w:rPr>
        <w:t>licación</w:t>
      </w:r>
      <w:r w:rsidRPr="006F2A55">
        <w:rPr>
          <w:rFonts w:ascii="Verdana" w:hAnsi="Verdana" w:cs="Arial"/>
          <w:iCs/>
          <w:sz w:val="16"/>
          <w:szCs w:val="16"/>
          <w:lang w:val="es-CO"/>
        </w:rPr>
        <w:t xml:space="preserve"> No</w:t>
      </w:r>
      <w:r w:rsidRPr="006F2A55">
        <w:rPr>
          <w:rFonts w:ascii="Verdana" w:hAnsi="Verdana" w:cs="Arial"/>
          <w:i/>
          <w:iCs/>
          <w:sz w:val="16"/>
          <w:szCs w:val="16"/>
          <w:lang w:val="es-CO"/>
        </w:rPr>
        <w:t xml:space="preserve">. </w:t>
      </w:r>
      <w:r w:rsidRPr="006F2A55">
        <w:rPr>
          <w:rFonts w:ascii="Verdana" w:hAnsi="Verdana" w:cs="Arial"/>
          <w:iCs/>
          <w:sz w:val="16"/>
          <w:szCs w:val="16"/>
          <w:lang w:val="es-CO"/>
        </w:rPr>
        <w:t xml:space="preserve">38433/09, </w:t>
      </w:r>
      <w:r w:rsidRPr="006F2A55">
        <w:rPr>
          <w:rFonts w:ascii="Verdana" w:hAnsi="Verdana" w:cs="Arial"/>
          <w:sz w:val="16"/>
          <w:szCs w:val="16"/>
          <w:lang w:val="es-CO"/>
        </w:rPr>
        <w:t xml:space="preserve">7 de Junio de 2012, párr. 130. </w:t>
      </w:r>
    </w:p>
  </w:footnote>
  <w:footnote w:id="34">
    <w:p w14:paraId="76935111" w14:textId="77777777" w:rsidR="008D3C6E" w:rsidRPr="00DC5620" w:rsidRDefault="008D3C6E" w:rsidP="00817CD9">
      <w:pPr>
        <w:pStyle w:val="FootnoteText"/>
        <w:spacing w:after="120"/>
        <w:jc w:val="both"/>
        <w:rPr>
          <w:rFonts w:ascii="Verdana" w:hAnsi="Verdana" w:cs="Arial"/>
          <w:sz w:val="16"/>
          <w:szCs w:val="16"/>
          <w:lang w:val="es-CO"/>
        </w:rPr>
      </w:pPr>
      <w:r w:rsidRPr="00817CD9">
        <w:rPr>
          <w:rStyle w:val="FootnoteReference"/>
          <w:rFonts w:ascii="Verdana" w:hAnsi="Verdana"/>
          <w:sz w:val="16"/>
          <w:szCs w:val="16"/>
        </w:rPr>
        <w:footnoteRef/>
      </w:r>
      <w:r w:rsidRPr="006F2A55">
        <w:rPr>
          <w:rFonts w:ascii="Verdana" w:hAnsi="Verdana"/>
          <w:sz w:val="16"/>
          <w:szCs w:val="16"/>
          <w:lang w:val="es-CO"/>
        </w:rPr>
        <w:tab/>
      </w:r>
      <w:r w:rsidRPr="006F2A55">
        <w:rPr>
          <w:rFonts w:ascii="Verdana" w:hAnsi="Verdana"/>
          <w:i/>
          <w:sz w:val="16"/>
          <w:szCs w:val="16"/>
          <w:lang w:val="es-CO"/>
        </w:rPr>
        <w:t xml:space="preserve">Caso </w:t>
      </w:r>
      <w:r w:rsidRPr="006F2A55">
        <w:rPr>
          <w:rFonts w:ascii="Verdana" w:hAnsi="Verdana" w:cs="Arial"/>
          <w:i/>
          <w:iCs/>
          <w:sz w:val="16"/>
          <w:szCs w:val="16"/>
          <w:lang w:val="es-CO"/>
        </w:rPr>
        <w:t>Lingens vs. Austria</w:t>
      </w:r>
      <w:r w:rsidRPr="006F2A55">
        <w:rPr>
          <w:rFonts w:ascii="Verdana" w:hAnsi="Verdana" w:cs="Arial"/>
          <w:sz w:val="16"/>
          <w:szCs w:val="16"/>
          <w:lang w:val="es-CO"/>
        </w:rPr>
        <w:t xml:space="preserve">, Series A no. 103, 8 de Julio de 1986, párr. 41; y </w:t>
      </w:r>
      <w:r w:rsidRPr="006F2A55">
        <w:rPr>
          <w:rFonts w:ascii="Verdana" w:hAnsi="Verdana" w:cs="Arial"/>
          <w:bCs/>
          <w:i/>
          <w:color w:val="313131"/>
          <w:sz w:val="16"/>
          <w:szCs w:val="16"/>
          <w:lang w:val="es-CO"/>
        </w:rPr>
        <w:t xml:space="preserve">Caso </w:t>
      </w:r>
      <w:r w:rsidRPr="006F2A55">
        <w:rPr>
          <w:rFonts w:ascii="Verdana" w:hAnsi="Verdana" w:cs="Arial"/>
          <w:bCs/>
          <w:i/>
          <w:sz w:val="16"/>
          <w:szCs w:val="16"/>
          <w:lang w:val="es-CO"/>
        </w:rPr>
        <w:t xml:space="preserve"> Centro Europa 7 S.R.L. and Di Stefano </w:t>
      </w:r>
      <w:r>
        <w:rPr>
          <w:rFonts w:ascii="Verdana" w:hAnsi="Verdana" w:cs="Arial"/>
          <w:bCs/>
          <w:i/>
          <w:sz w:val="16"/>
          <w:szCs w:val="16"/>
          <w:lang w:val="es-CO"/>
        </w:rPr>
        <w:t>Vs</w:t>
      </w:r>
      <w:r w:rsidRPr="006F2A55">
        <w:rPr>
          <w:rFonts w:ascii="Verdana" w:hAnsi="Verdana" w:cs="Arial"/>
          <w:bCs/>
          <w:i/>
          <w:sz w:val="16"/>
          <w:szCs w:val="16"/>
          <w:lang w:val="es-CO"/>
        </w:rPr>
        <w:t>. Ital</w:t>
      </w:r>
      <w:r>
        <w:rPr>
          <w:rFonts w:ascii="Verdana" w:hAnsi="Verdana" w:cs="Arial"/>
          <w:bCs/>
          <w:i/>
          <w:sz w:val="16"/>
          <w:szCs w:val="16"/>
          <w:lang w:val="es-CO"/>
        </w:rPr>
        <w:t>ia</w:t>
      </w:r>
      <w:r w:rsidRPr="00BA60C6">
        <w:rPr>
          <w:rFonts w:ascii="Verdana" w:hAnsi="Verdana" w:cs="Arial"/>
          <w:i/>
          <w:sz w:val="16"/>
          <w:szCs w:val="16"/>
          <w:lang w:val="es-CO"/>
        </w:rPr>
        <w:t xml:space="preserve">, </w:t>
      </w:r>
      <w:r w:rsidRPr="00BA60C6">
        <w:rPr>
          <w:rFonts w:ascii="Verdana" w:hAnsi="Verdana" w:cs="Arial"/>
          <w:sz w:val="16"/>
          <w:szCs w:val="16"/>
          <w:lang w:val="es-CO"/>
        </w:rPr>
        <w:t xml:space="preserve">, párr. 131. </w:t>
      </w:r>
    </w:p>
  </w:footnote>
  <w:footnote w:id="35">
    <w:p w14:paraId="0C99E095" w14:textId="77777777" w:rsidR="008D3C6E" w:rsidRPr="002F3337" w:rsidRDefault="008D3C6E" w:rsidP="00817CD9">
      <w:pPr>
        <w:pStyle w:val="FootnoteText"/>
        <w:spacing w:after="120"/>
        <w:jc w:val="both"/>
        <w:rPr>
          <w:rFonts w:ascii="Verdana" w:hAnsi="Verdana" w:cs="Arial"/>
          <w:color w:val="313131"/>
          <w:sz w:val="16"/>
          <w:szCs w:val="16"/>
          <w:lang w:val="es-CO"/>
        </w:rPr>
      </w:pPr>
      <w:r w:rsidRPr="00817CD9">
        <w:rPr>
          <w:rStyle w:val="FootnoteReference"/>
          <w:rFonts w:ascii="Verdana" w:hAnsi="Verdana"/>
          <w:sz w:val="16"/>
          <w:szCs w:val="16"/>
        </w:rPr>
        <w:footnoteRef/>
      </w:r>
      <w:r w:rsidRPr="00BA60C6">
        <w:rPr>
          <w:rFonts w:ascii="Verdana" w:hAnsi="Verdana"/>
          <w:sz w:val="16"/>
          <w:szCs w:val="16"/>
          <w:lang w:val="es-CO"/>
        </w:rPr>
        <w:tab/>
      </w:r>
      <w:r w:rsidRPr="00BA60C6">
        <w:rPr>
          <w:rFonts w:ascii="Verdana" w:hAnsi="Verdana"/>
          <w:i/>
          <w:sz w:val="16"/>
          <w:szCs w:val="16"/>
          <w:lang w:val="es-CO"/>
        </w:rPr>
        <w:t>Cas</w:t>
      </w:r>
      <w:r>
        <w:rPr>
          <w:rFonts w:ascii="Verdana" w:hAnsi="Verdana"/>
          <w:i/>
          <w:sz w:val="16"/>
          <w:szCs w:val="16"/>
          <w:lang w:val="es-CO"/>
        </w:rPr>
        <w:t>o</w:t>
      </w:r>
      <w:r w:rsidRPr="00BA60C6">
        <w:rPr>
          <w:rFonts w:ascii="Verdana" w:hAnsi="Verdana"/>
          <w:i/>
          <w:sz w:val="16"/>
          <w:szCs w:val="16"/>
          <w:lang w:val="es-CO"/>
        </w:rPr>
        <w:t xml:space="preserve"> </w:t>
      </w:r>
      <w:r w:rsidRPr="00BA60C6">
        <w:rPr>
          <w:rFonts w:ascii="Verdana" w:hAnsi="Verdana" w:cs="Arial"/>
          <w:i/>
          <w:iCs/>
          <w:color w:val="313131"/>
          <w:sz w:val="16"/>
          <w:szCs w:val="16"/>
          <w:lang w:val="es-CO"/>
        </w:rPr>
        <w:t xml:space="preserve">Handyside </w:t>
      </w:r>
      <w:r>
        <w:rPr>
          <w:rFonts w:ascii="Verdana" w:hAnsi="Verdana" w:cs="Arial"/>
          <w:i/>
          <w:iCs/>
          <w:color w:val="313131"/>
          <w:sz w:val="16"/>
          <w:szCs w:val="16"/>
          <w:lang w:val="es-CO"/>
        </w:rPr>
        <w:t>V</w:t>
      </w:r>
      <w:r w:rsidRPr="00BA60C6">
        <w:rPr>
          <w:rFonts w:ascii="Verdana" w:hAnsi="Verdana" w:cs="Arial"/>
          <w:i/>
          <w:iCs/>
          <w:color w:val="313131"/>
          <w:sz w:val="16"/>
          <w:szCs w:val="16"/>
          <w:lang w:val="es-CO"/>
        </w:rPr>
        <w:t>s. Reino Unido</w:t>
      </w:r>
      <w:r w:rsidRPr="00BA60C6">
        <w:rPr>
          <w:rFonts w:ascii="Verdana" w:hAnsi="Verdana" w:cs="Arial"/>
          <w:color w:val="313131"/>
          <w:sz w:val="16"/>
          <w:szCs w:val="16"/>
          <w:lang w:val="es-CO"/>
        </w:rPr>
        <w:t xml:space="preserve">, , párr. 49; y </w:t>
      </w:r>
      <w:r w:rsidRPr="00BA60C6">
        <w:rPr>
          <w:rFonts w:ascii="Verdana" w:hAnsi="Verdana"/>
          <w:i/>
          <w:sz w:val="16"/>
          <w:szCs w:val="16"/>
          <w:lang w:val="es-CO"/>
        </w:rPr>
        <w:t xml:space="preserve">Caso </w:t>
      </w:r>
      <w:r w:rsidRPr="00BA60C6">
        <w:rPr>
          <w:rFonts w:ascii="Verdana" w:hAnsi="Verdana" w:cs="Arial"/>
          <w:i/>
          <w:iCs/>
          <w:sz w:val="16"/>
          <w:szCs w:val="16"/>
          <w:lang w:val="es-CO"/>
        </w:rPr>
        <w:t xml:space="preserve">Lingens </w:t>
      </w:r>
      <w:r>
        <w:rPr>
          <w:rFonts w:ascii="Verdana" w:hAnsi="Verdana" w:cs="Arial"/>
          <w:i/>
          <w:iCs/>
          <w:sz w:val="16"/>
          <w:szCs w:val="16"/>
          <w:lang w:val="es-CO"/>
        </w:rPr>
        <w:t>V</w:t>
      </w:r>
      <w:r w:rsidRPr="00BA60C6">
        <w:rPr>
          <w:rFonts w:ascii="Verdana" w:hAnsi="Verdana" w:cs="Arial"/>
          <w:i/>
          <w:iCs/>
          <w:sz w:val="16"/>
          <w:szCs w:val="16"/>
          <w:lang w:val="es-CO"/>
        </w:rPr>
        <w:t>s. Austria</w:t>
      </w:r>
      <w:r w:rsidRPr="00BA60C6">
        <w:rPr>
          <w:rFonts w:ascii="Verdana" w:hAnsi="Verdana" w:cs="Arial"/>
          <w:sz w:val="16"/>
          <w:szCs w:val="16"/>
          <w:lang w:val="es-CO"/>
        </w:rPr>
        <w:t xml:space="preserve">, párr. </w:t>
      </w:r>
      <w:r w:rsidRPr="00BA60C6">
        <w:rPr>
          <w:rFonts w:ascii="Verdana" w:hAnsi="Verdana" w:cs="Arial"/>
          <w:color w:val="313131"/>
          <w:sz w:val="16"/>
          <w:szCs w:val="16"/>
          <w:lang w:val="es-CO"/>
        </w:rPr>
        <w:t>41-42.</w:t>
      </w:r>
    </w:p>
  </w:footnote>
  <w:footnote w:id="36">
    <w:p w14:paraId="06495AB9" w14:textId="77777777" w:rsidR="008D3C6E" w:rsidRPr="006703D3" w:rsidRDefault="008D3C6E" w:rsidP="00817CD9">
      <w:pPr>
        <w:pStyle w:val="FootnoteText"/>
        <w:spacing w:after="120"/>
        <w:jc w:val="both"/>
        <w:rPr>
          <w:rFonts w:ascii="Verdana" w:hAnsi="Verdana" w:cs="Arial"/>
          <w:color w:val="313131"/>
          <w:sz w:val="16"/>
          <w:szCs w:val="16"/>
          <w:lang w:val="es-CO"/>
        </w:rPr>
      </w:pPr>
      <w:r w:rsidRPr="00817CD9">
        <w:rPr>
          <w:rStyle w:val="FootnoteReference"/>
          <w:rFonts w:ascii="Verdana" w:hAnsi="Verdana"/>
          <w:sz w:val="16"/>
          <w:szCs w:val="16"/>
        </w:rPr>
        <w:footnoteRef/>
      </w:r>
      <w:r w:rsidRPr="00BA60C6">
        <w:rPr>
          <w:rFonts w:ascii="Verdana" w:hAnsi="Verdana"/>
          <w:sz w:val="16"/>
          <w:szCs w:val="16"/>
          <w:lang w:val="es-CO"/>
        </w:rPr>
        <w:tab/>
      </w:r>
      <w:r w:rsidRPr="00BA60C6">
        <w:rPr>
          <w:rFonts w:ascii="Verdana" w:hAnsi="Verdana" w:cs="Arial"/>
          <w:color w:val="313131"/>
          <w:sz w:val="16"/>
          <w:szCs w:val="16"/>
          <w:lang w:val="es-CO"/>
        </w:rPr>
        <w:t>Véase</w:t>
      </w:r>
      <w:r>
        <w:rPr>
          <w:rFonts w:ascii="Verdana" w:hAnsi="Verdana" w:cs="Arial"/>
          <w:color w:val="313131"/>
          <w:sz w:val="16"/>
          <w:szCs w:val="16"/>
          <w:lang w:val="es-CO"/>
        </w:rPr>
        <w:t>,</w:t>
      </w:r>
      <w:r w:rsidRPr="00BA60C6">
        <w:rPr>
          <w:rFonts w:ascii="Verdana" w:hAnsi="Verdana"/>
          <w:i/>
          <w:sz w:val="16"/>
          <w:szCs w:val="16"/>
          <w:lang w:val="es-CO"/>
        </w:rPr>
        <w:t xml:space="preserve">Caso </w:t>
      </w:r>
      <w:r w:rsidRPr="00BA60C6">
        <w:rPr>
          <w:rFonts w:ascii="Verdana" w:hAnsi="Verdana" w:cs="Arial"/>
          <w:i/>
          <w:iCs/>
          <w:color w:val="313131"/>
          <w:sz w:val="16"/>
          <w:szCs w:val="16"/>
          <w:lang w:val="es-CO"/>
        </w:rPr>
        <w:t>Jersild v. Dinamarca</w:t>
      </w:r>
      <w:r w:rsidRPr="00BA60C6">
        <w:rPr>
          <w:rFonts w:ascii="Verdana" w:hAnsi="Verdana" w:cs="Arial"/>
          <w:color w:val="313131"/>
          <w:sz w:val="16"/>
          <w:szCs w:val="16"/>
          <w:lang w:val="es-CO"/>
        </w:rPr>
        <w:t xml:space="preserve">, Series A no. 298, 23 de Septiembre de 1994, párr. 31; y </w:t>
      </w:r>
      <w:r w:rsidRPr="00BA60C6">
        <w:rPr>
          <w:rFonts w:ascii="Verdana" w:hAnsi="Verdana"/>
          <w:i/>
          <w:sz w:val="16"/>
          <w:szCs w:val="16"/>
          <w:lang w:val="es-CO"/>
        </w:rPr>
        <w:t xml:space="preserve">Caso </w:t>
      </w:r>
      <w:r w:rsidRPr="00BA60C6">
        <w:rPr>
          <w:rFonts w:ascii="Verdana" w:hAnsi="Verdana" w:cs="Arial"/>
          <w:i/>
          <w:iCs/>
          <w:color w:val="313131"/>
          <w:sz w:val="16"/>
          <w:szCs w:val="16"/>
          <w:lang w:val="es-CO"/>
        </w:rPr>
        <w:t xml:space="preserve">Pedersen yBaadsgaard </w:t>
      </w:r>
      <w:r>
        <w:rPr>
          <w:rFonts w:ascii="Verdana" w:hAnsi="Verdana" w:cs="Arial"/>
          <w:i/>
          <w:iCs/>
          <w:color w:val="313131"/>
          <w:sz w:val="16"/>
          <w:szCs w:val="16"/>
          <w:lang w:val="es-CO"/>
        </w:rPr>
        <w:t>V</w:t>
      </w:r>
      <w:r w:rsidRPr="00BA60C6">
        <w:rPr>
          <w:rFonts w:ascii="Verdana" w:hAnsi="Verdana" w:cs="Arial"/>
          <w:i/>
          <w:iCs/>
          <w:color w:val="313131"/>
          <w:sz w:val="16"/>
          <w:szCs w:val="16"/>
          <w:lang w:val="es-CO"/>
        </w:rPr>
        <w:t>s. D</w:t>
      </w:r>
      <w:r>
        <w:rPr>
          <w:rFonts w:ascii="Verdana" w:hAnsi="Verdana" w:cs="Arial"/>
          <w:i/>
          <w:iCs/>
          <w:color w:val="313131"/>
          <w:sz w:val="16"/>
          <w:szCs w:val="16"/>
          <w:lang w:val="es-CO"/>
        </w:rPr>
        <w:t>inamarca</w:t>
      </w:r>
      <w:r w:rsidRPr="00BA60C6">
        <w:rPr>
          <w:rFonts w:ascii="Verdana" w:hAnsi="Verdana" w:cs="Arial"/>
          <w:i/>
          <w:iCs/>
          <w:color w:val="313131"/>
          <w:sz w:val="16"/>
          <w:szCs w:val="16"/>
          <w:lang w:val="es-CO"/>
        </w:rPr>
        <w:t xml:space="preserve"> </w:t>
      </w:r>
      <w:r w:rsidRPr="00BA60C6">
        <w:rPr>
          <w:rFonts w:ascii="Verdana" w:hAnsi="Verdana" w:cs="Arial"/>
          <w:color w:val="313131"/>
          <w:sz w:val="16"/>
          <w:szCs w:val="16"/>
          <w:lang w:val="es-CO"/>
        </w:rPr>
        <w:t>[GC], No</w:t>
      </w:r>
      <w:r w:rsidRPr="00BA60C6">
        <w:rPr>
          <w:rFonts w:ascii="Verdana" w:hAnsi="Verdana" w:cs="Arial"/>
          <w:sz w:val="16"/>
          <w:szCs w:val="16"/>
          <w:lang w:val="es-CO"/>
        </w:rPr>
        <w:t>. 49017/99,</w:t>
      </w:r>
      <w:r w:rsidRPr="00BA60C6">
        <w:rPr>
          <w:rFonts w:ascii="Verdana" w:hAnsi="Verdana" w:cs="Arial"/>
          <w:color w:val="313131"/>
          <w:sz w:val="16"/>
          <w:szCs w:val="16"/>
          <w:lang w:val="es-CO"/>
        </w:rPr>
        <w:t xml:space="preserve"> 17 </w:t>
      </w:r>
      <w:r>
        <w:rPr>
          <w:rFonts w:ascii="Verdana" w:hAnsi="Verdana" w:cs="Arial"/>
          <w:color w:val="313131"/>
          <w:sz w:val="16"/>
          <w:szCs w:val="16"/>
          <w:lang w:val="es-CO"/>
        </w:rPr>
        <w:t xml:space="preserve">de </w:t>
      </w:r>
      <w:r w:rsidRPr="00BA60C6">
        <w:rPr>
          <w:rFonts w:ascii="Verdana" w:hAnsi="Verdana" w:cs="Arial"/>
          <w:color w:val="313131"/>
          <w:sz w:val="16"/>
          <w:szCs w:val="16"/>
          <w:lang w:val="es-CO"/>
        </w:rPr>
        <w:t>D</w:t>
      </w:r>
      <w:r>
        <w:rPr>
          <w:rFonts w:ascii="Verdana" w:hAnsi="Verdana" w:cs="Arial"/>
          <w:color w:val="313131"/>
          <w:sz w:val="16"/>
          <w:szCs w:val="16"/>
          <w:lang w:val="es-CO"/>
        </w:rPr>
        <w:t>i</w:t>
      </w:r>
      <w:r w:rsidRPr="00BA60C6">
        <w:rPr>
          <w:rFonts w:ascii="Verdana" w:hAnsi="Verdana" w:cs="Arial"/>
          <w:color w:val="313131"/>
          <w:sz w:val="16"/>
          <w:szCs w:val="16"/>
          <w:lang w:val="es-CO"/>
        </w:rPr>
        <w:t>c</w:t>
      </w:r>
      <w:r>
        <w:rPr>
          <w:rFonts w:ascii="Verdana" w:hAnsi="Verdana" w:cs="Arial"/>
          <w:color w:val="313131"/>
          <w:sz w:val="16"/>
          <w:szCs w:val="16"/>
          <w:lang w:val="es-CO"/>
        </w:rPr>
        <w:t>i</w:t>
      </w:r>
      <w:r w:rsidRPr="00BA60C6">
        <w:rPr>
          <w:rFonts w:ascii="Verdana" w:hAnsi="Verdana" w:cs="Arial"/>
          <w:color w:val="313131"/>
          <w:sz w:val="16"/>
          <w:szCs w:val="16"/>
          <w:lang w:val="es-CO"/>
        </w:rPr>
        <w:t>embr</w:t>
      </w:r>
      <w:r>
        <w:rPr>
          <w:rFonts w:ascii="Verdana" w:hAnsi="Verdana" w:cs="Arial"/>
          <w:color w:val="313131"/>
          <w:sz w:val="16"/>
          <w:szCs w:val="16"/>
          <w:lang w:val="es-CO"/>
        </w:rPr>
        <w:t>e de</w:t>
      </w:r>
      <w:r w:rsidRPr="00BA60C6">
        <w:rPr>
          <w:rFonts w:ascii="Verdana" w:hAnsi="Verdana" w:cs="Arial"/>
          <w:color w:val="313131"/>
          <w:sz w:val="16"/>
          <w:szCs w:val="16"/>
          <w:lang w:val="es-CO"/>
        </w:rPr>
        <w:t>2004, párr.79, ECHR 2004-XI.</w:t>
      </w:r>
    </w:p>
  </w:footnote>
  <w:footnote w:id="37">
    <w:p w14:paraId="472A0D39" w14:textId="77777777" w:rsidR="008D3C6E" w:rsidRPr="002F3337" w:rsidRDefault="008D3C6E" w:rsidP="00817CD9">
      <w:pPr>
        <w:pStyle w:val="FootnoteText"/>
        <w:spacing w:after="120"/>
        <w:jc w:val="both"/>
        <w:rPr>
          <w:rFonts w:ascii="Verdana" w:hAnsi="Verdana" w:cs="Arial"/>
          <w:sz w:val="16"/>
          <w:szCs w:val="16"/>
          <w:lang w:val="es-CO"/>
        </w:rPr>
      </w:pPr>
      <w:r w:rsidRPr="00817CD9">
        <w:rPr>
          <w:rStyle w:val="FootnoteReference"/>
          <w:rFonts w:ascii="Verdana" w:hAnsi="Verdana"/>
          <w:sz w:val="16"/>
          <w:szCs w:val="16"/>
        </w:rPr>
        <w:footnoteRef/>
      </w:r>
      <w:r w:rsidRPr="00BA60C6">
        <w:rPr>
          <w:rFonts w:ascii="Verdana" w:hAnsi="Verdana"/>
          <w:sz w:val="16"/>
          <w:szCs w:val="16"/>
          <w:lang w:val="es-CO"/>
        </w:rPr>
        <w:tab/>
      </w:r>
      <w:r w:rsidRPr="00BA60C6">
        <w:rPr>
          <w:rFonts w:ascii="Verdana" w:hAnsi="Verdana"/>
          <w:i/>
          <w:sz w:val="16"/>
          <w:szCs w:val="16"/>
          <w:lang w:val="es-CO"/>
        </w:rPr>
        <w:t>Caso</w:t>
      </w:r>
      <w:r w:rsidRPr="00BA60C6">
        <w:rPr>
          <w:rFonts w:ascii="Verdana" w:hAnsi="Verdana" w:cs="Arial"/>
          <w:i/>
          <w:iCs/>
          <w:color w:val="313131"/>
          <w:sz w:val="16"/>
          <w:szCs w:val="16"/>
          <w:lang w:val="es-CO"/>
        </w:rPr>
        <w:t xml:space="preserve"> Murphy vs. Ir</w:t>
      </w:r>
      <w:r>
        <w:rPr>
          <w:rFonts w:ascii="Verdana" w:hAnsi="Verdana" w:cs="Arial"/>
          <w:i/>
          <w:iCs/>
          <w:color w:val="313131"/>
          <w:sz w:val="16"/>
          <w:szCs w:val="16"/>
          <w:lang w:val="es-CO"/>
        </w:rPr>
        <w:t>landa</w:t>
      </w:r>
      <w:r w:rsidRPr="00BA60C6">
        <w:rPr>
          <w:rFonts w:ascii="Verdana" w:hAnsi="Verdana" w:cs="Arial"/>
          <w:color w:val="313131"/>
          <w:sz w:val="16"/>
          <w:szCs w:val="16"/>
          <w:lang w:val="es-CO"/>
        </w:rPr>
        <w:t>, No. </w:t>
      </w:r>
      <w:r w:rsidRPr="00BA60C6">
        <w:rPr>
          <w:rFonts w:ascii="Verdana" w:hAnsi="Verdana" w:cs="Arial"/>
          <w:sz w:val="16"/>
          <w:szCs w:val="16"/>
          <w:lang w:val="es-CO"/>
        </w:rPr>
        <w:t>44179/98,</w:t>
      </w:r>
      <w:r w:rsidRPr="00BA60C6">
        <w:rPr>
          <w:rFonts w:ascii="Verdana" w:hAnsi="Verdana" w:cs="Arial"/>
          <w:color w:val="313131"/>
          <w:sz w:val="16"/>
          <w:szCs w:val="16"/>
          <w:lang w:val="es-CO"/>
        </w:rPr>
        <w:t xml:space="preserve"> 10</w:t>
      </w:r>
      <w:r>
        <w:rPr>
          <w:rFonts w:ascii="Verdana" w:hAnsi="Verdana" w:cs="Arial"/>
          <w:color w:val="313131"/>
          <w:sz w:val="16"/>
          <w:szCs w:val="16"/>
          <w:lang w:val="es-CO"/>
        </w:rPr>
        <w:t xml:space="preserve"> de</w:t>
      </w:r>
      <w:r w:rsidRPr="00BA60C6">
        <w:rPr>
          <w:rFonts w:ascii="Verdana" w:hAnsi="Verdana" w:cs="Arial"/>
          <w:color w:val="313131"/>
          <w:sz w:val="16"/>
          <w:szCs w:val="16"/>
          <w:lang w:val="es-CO"/>
        </w:rPr>
        <w:t xml:space="preserve"> Jul</w:t>
      </w:r>
      <w:r>
        <w:rPr>
          <w:rFonts w:ascii="Verdana" w:hAnsi="Verdana" w:cs="Arial"/>
          <w:color w:val="313131"/>
          <w:sz w:val="16"/>
          <w:szCs w:val="16"/>
          <w:lang w:val="es-CO"/>
        </w:rPr>
        <w:t>iode</w:t>
      </w:r>
      <w:r w:rsidRPr="00BA60C6">
        <w:rPr>
          <w:rFonts w:ascii="Verdana" w:hAnsi="Verdana" w:cs="Arial"/>
          <w:color w:val="313131"/>
          <w:sz w:val="16"/>
          <w:szCs w:val="16"/>
          <w:lang w:val="es-CO"/>
        </w:rPr>
        <w:t xml:space="preserve"> 2003, párr. 74, ECHR 2003-IX y </w:t>
      </w:r>
      <w:r w:rsidRPr="00BA60C6">
        <w:rPr>
          <w:rFonts w:ascii="Verdana" w:hAnsi="Verdana" w:cs="Arial"/>
          <w:bCs/>
          <w:i/>
          <w:color w:val="313131"/>
          <w:sz w:val="16"/>
          <w:szCs w:val="16"/>
          <w:lang w:val="es-CO"/>
        </w:rPr>
        <w:t>Cas</w:t>
      </w:r>
      <w:r>
        <w:rPr>
          <w:rFonts w:ascii="Verdana" w:hAnsi="Verdana" w:cs="Arial"/>
          <w:bCs/>
          <w:i/>
          <w:color w:val="313131"/>
          <w:sz w:val="16"/>
          <w:szCs w:val="16"/>
          <w:lang w:val="es-CO"/>
        </w:rPr>
        <w:t>o</w:t>
      </w:r>
      <w:r w:rsidRPr="00BA60C6">
        <w:rPr>
          <w:rFonts w:ascii="Verdana" w:hAnsi="Verdana" w:cs="Arial"/>
          <w:bCs/>
          <w:i/>
          <w:sz w:val="16"/>
          <w:szCs w:val="16"/>
          <w:lang w:val="es-CO"/>
        </w:rPr>
        <w:t xml:space="preserve"> Centro Europa 7 S.R.L. </w:t>
      </w:r>
      <w:r>
        <w:rPr>
          <w:rFonts w:ascii="Verdana" w:hAnsi="Verdana" w:cs="Arial"/>
          <w:bCs/>
          <w:i/>
          <w:sz w:val="16"/>
          <w:szCs w:val="16"/>
          <w:lang w:val="es-CO"/>
        </w:rPr>
        <w:t>y</w:t>
      </w:r>
      <w:r w:rsidRPr="00BA60C6">
        <w:rPr>
          <w:rFonts w:ascii="Verdana" w:hAnsi="Verdana" w:cs="Arial"/>
          <w:bCs/>
          <w:i/>
          <w:sz w:val="16"/>
          <w:szCs w:val="16"/>
          <w:lang w:val="es-CO"/>
        </w:rPr>
        <w:t xml:space="preserve"> Di Stefano </w:t>
      </w:r>
      <w:r>
        <w:rPr>
          <w:rFonts w:ascii="Verdana" w:hAnsi="Verdana" w:cs="Arial"/>
          <w:bCs/>
          <w:i/>
          <w:sz w:val="16"/>
          <w:szCs w:val="16"/>
          <w:lang w:val="es-CO"/>
        </w:rPr>
        <w:t>Vs</w:t>
      </w:r>
      <w:r w:rsidRPr="00BA60C6">
        <w:rPr>
          <w:rFonts w:ascii="Verdana" w:hAnsi="Verdana" w:cs="Arial"/>
          <w:bCs/>
          <w:i/>
          <w:sz w:val="16"/>
          <w:szCs w:val="16"/>
          <w:lang w:val="es-CO"/>
        </w:rPr>
        <w:t>. Ital</w:t>
      </w:r>
      <w:r>
        <w:rPr>
          <w:rFonts w:ascii="Verdana" w:hAnsi="Verdana" w:cs="Arial"/>
          <w:bCs/>
          <w:i/>
          <w:sz w:val="16"/>
          <w:szCs w:val="16"/>
          <w:lang w:val="es-CO"/>
        </w:rPr>
        <w:t>i</w:t>
      </w:r>
      <w:r w:rsidRPr="00BA60C6">
        <w:rPr>
          <w:rFonts w:ascii="Verdana" w:hAnsi="Verdana" w:cs="Arial"/>
          <w:i/>
          <w:sz w:val="16"/>
          <w:szCs w:val="16"/>
          <w:lang w:val="es-CO"/>
        </w:rPr>
        <w:t xml:space="preserve">, </w:t>
      </w:r>
      <w:r w:rsidRPr="00BA60C6">
        <w:rPr>
          <w:rFonts w:ascii="Verdana" w:hAnsi="Verdana" w:cs="Arial"/>
          <w:sz w:val="16"/>
          <w:szCs w:val="16"/>
          <w:lang w:val="es-CO"/>
        </w:rPr>
        <w:t xml:space="preserve">párr. 132. </w:t>
      </w:r>
    </w:p>
  </w:footnote>
  <w:footnote w:id="38">
    <w:p w14:paraId="334A2F61" w14:textId="77777777" w:rsidR="008D3C6E" w:rsidRPr="002F3337" w:rsidRDefault="008D3C6E" w:rsidP="00817CD9">
      <w:pPr>
        <w:pStyle w:val="FootnoteText"/>
        <w:spacing w:after="120"/>
        <w:jc w:val="both"/>
        <w:rPr>
          <w:rFonts w:ascii="Verdana" w:hAnsi="Verdana" w:cs="Arial"/>
          <w:sz w:val="16"/>
          <w:szCs w:val="16"/>
          <w:lang w:val="es-CO"/>
        </w:rPr>
      </w:pPr>
      <w:r w:rsidRPr="00817CD9">
        <w:rPr>
          <w:rStyle w:val="FootnoteReference"/>
          <w:rFonts w:ascii="Verdana" w:hAnsi="Verdana"/>
          <w:sz w:val="16"/>
          <w:szCs w:val="16"/>
        </w:rPr>
        <w:footnoteRef/>
      </w:r>
      <w:r w:rsidRPr="00BA60C6">
        <w:rPr>
          <w:rFonts w:ascii="Verdana" w:hAnsi="Verdana"/>
          <w:sz w:val="16"/>
          <w:szCs w:val="16"/>
          <w:lang w:val="es-CO"/>
        </w:rPr>
        <w:tab/>
      </w:r>
      <w:r w:rsidRPr="00BA60C6">
        <w:rPr>
          <w:rFonts w:ascii="Verdana" w:hAnsi="Verdana" w:cs="Arial"/>
          <w:bCs/>
          <w:i/>
          <w:color w:val="313131"/>
          <w:sz w:val="16"/>
          <w:szCs w:val="16"/>
          <w:lang w:val="es-CO"/>
        </w:rPr>
        <w:t xml:space="preserve">Caso </w:t>
      </w:r>
      <w:r w:rsidRPr="00BA60C6">
        <w:rPr>
          <w:rFonts w:ascii="Verdana" w:hAnsi="Verdana" w:cs="Arial"/>
          <w:bCs/>
          <w:i/>
          <w:sz w:val="16"/>
          <w:szCs w:val="16"/>
          <w:lang w:val="es-CO"/>
        </w:rPr>
        <w:t xml:space="preserve"> Centro Europa 7 S.R.L. y Di Stefano </w:t>
      </w:r>
      <w:r>
        <w:rPr>
          <w:rFonts w:ascii="Verdana" w:hAnsi="Verdana" w:cs="Arial"/>
          <w:bCs/>
          <w:i/>
          <w:sz w:val="16"/>
          <w:szCs w:val="16"/>
          <w:lang w:val="es-CO"/>
        </w:rPr>
        <w:t>Vs</w:t>
      </w:r>
      <w:r w:rsidRPr="00BA60C6">
        <w:rPr>
          <w:rFonts w:ascii="Verdana" w:hAnsi="Verdana" w:cs="Arial"/>
          <w:bCs/>
          <w:i/>
          <w:sz w:val="16"/>
          <w:szCs w:val="16"/>
          <w:lang w:val="es-CO"/>
        </w:rPr>
        <w:t>. Ital</w:t>
      </w:r>
      <w:r>
        <w:rPr>
          <w:rFonts w:ascii="Verdana" w:hAnsi="Verdana" w:cs="Arial"/>
          <w:bCs/>
          <w:i/>
          <w:sz w:val="16"/>
          <w:szCs w:val="16"/>
          <w:lang w:val="es-CO"/>
        </w:rPr>
        <w:t>ia</w:t>
      </w:r>
      <w:r w:rsidRPr="00BA60C6">
        <w:rPr>
          <w:rFonts w:ascii="Verdana" w:hAnsi="Verdana" w:cs="Arial"/>
          <w:i/>
          <w:sz w:val="16"/>
          <w:szCs w:val="16"/>
          <w:lang w:val="es-CO"/>
        </w:rPr>
        <w:t xml:space="preserve">, </w:t>
      </w:r>
      <w:r w:rsidRPr="00BA60C6">
        <w:rPr>
          <w:rFonts w:ascii="Verdana" w:hAnsi="Verdana" w:cs="Arial"/>
          <w:sz w:val="16"/>
          <w:szCs w:val="16"/>
          <w:lang w:val="es-CO"/>
        </w:rPr>
        <w:t xml:space="preserve"> párr. 134. </w:t>
      </w:r>
    </w:p>
  </w:footnote>
  <w:footnote w:id="39">
    <w:p w14:paraId="400876C1" w14:textId="77777777" w:rsidR="008D3C6E" w:rsidRPr="00C60758" w:rsidRDefault="008D3C6E" w:rsidP="00817CD9">
      <w:pPr>
        <w:pStyle w:val="FootnoteText"/>
        <w:spacing w:after="120"/>
        <w:jc w:val="both"/>
        <w:rPr>
          <w:rFonts w:ascii="Verdana" w:hAnsi="Verdana"/>
          <w:sz w:val="16"/>
          <w:szCs w:val="16"/>
          <w:lang w:val="es-CO"/>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sz w:val="16"/>
          <w:szCs w:val="16"/>
        </w:rPr>
        <w:t>Caso “La Última Tentación de Cristo” (Olmedo Bustos) Vs. Chile</w:t>
      </w:r>
      <w:r w:rsidRPr="00817CD9">
        <w:rPr>
          <w:rFonts w:ascii="Verdana" w:hAnsi="Verdana"/>
          <w:sz w:val="16"/>
          <w:szCs w:val="16"/>
        </w:rPr>
        <w:t xml:space="preserve">, párr. 69; </w:t>
      </w:r>
      <w:r w:rsidRPr="00817CD9">
        <w:rPr>
          <w:rFonts w:ascii="Verdana" w:hAnsi="Verdana"/>
          <w:i/>
          <w:iCs/>
          <w:sz w:val="16"/>
          <w:szCs w:val="16"/>
        </w:rPr>
        <w:t>Caso Ivcher Bronstein Vs. Perú́</w:t>
      </w:r>
      <w:r w:rsidRPr="00817CD9">
        <w:rPr>
          <w:rFonts w:ascii="Verdana" w:hAnsi="Verdana"/>
          <w:sz w:val="16"/>
          <w:szCs w:val="16"/>
        </w:rPr>
        <w:t xml:space="preserve">, </w:t>
      </w:r>
      <w:r w:rsidRPr="00817CD9">
        <w:rPr>
          <w:rFonts w:ascii="Verdana" w:hAnsi="Verdana"/>
          <w:spacing w:val="-4"/>
          <w:sz w:val="16"/>
          <w:szCs w:val="16"/>
        </w:rPr>
        <w:t xml:space="preserve">párr. 152; </w:t>
      </w:r>
      <w:r w:rsidRPr="00817CD9">
        <w:rPr>
          <w:rFonts w:ascii="Verdana" w:hAnsi="Verdana"/>
          <w:i/>
          <w:iCs/>
          <w:sz w:val="16"/>
          <w:szCs w:val="16"/>
        </w:rPr>
        <w:t>Caso Herrera Ulloa Vs. Costa Rica</w:t>
      </w:r>
      <w:r w:rsidRPr="00817CD9">
        <w:rPr>
          <w:rFonts w:ascii="Verdana" w:hAnsi="Verdana"/>
          <w:sz w:val="16"/>
          <w:szCs w:val="16"/>
        </w:rPr>
        <w:t xml:space="preserve">, párr. 113; </w:t>
      </w:r>
      <w:r w:rsidRPr="00817CD9">
        <w:rPr>
          <w:rFonts w:ascii="Verdana" w:hAnsi="Verdana" w:cs="Verdana"/>
          <w:bCs/>
          <w:i/>
          <w:sz w:val="16"/>
          <w:szCs w:val="16"/>
          <w:lang w:val="es-ES"/>
        </w:rPr>
        <w:t xml:space="preserve">Caso Ricardo </w:t>
      </w:r>
      <w:proofErr w:type="spellStart"/>
      <w:r w:rsidRPr="00817CD9">
        <w:rPr>
          <w:rFonts w:ascii="Verdana" w:hAnsi="Verdana" w:cs="Verdana"/>
          <w:bCs/>
          <w:i/>
          <w:sz w:val="16"/>
          <w:szCs w:val="16"/>
          <w:lang w:val="es-ES"/>
        </w:rPr>
        <w:t>Canese</w:t>
      </w:r>
      <w:proofErr w:type="spellEnd"/>
      <w:r w:rsidRPr="00817CD9">
        <w:rPr>
          <w:rFonts w:ascii="Verdana" w:hAnsi="Verdana" w:cs="Verdana"/>
          <w:bCs/>
          <w:i/>
          <w:sz w:val="16"/>
          <w:szCs w:val="16"/>
          <w:lang w:val="es-ES"/>
        </w:rPr>
        <w:t xml:space="preserve"> Vs. Paraguay</w:t>
      </w:r>
      <w:r w:rsidRPr="00817CD9">
        <w:rPr>
          <w:rFonts w:ascii="Verdana" w:hAnsi="Verdana" w:cs="Verdana"/>
          <w:bCs/>
          <w:sz w:val="16"/>
          <w:szCs w:val="16"/>
          <w:lang w:val="es-ES"/>
        </w:rPr>
        <w:t xml:space="preserve">, párr. </w:t>
      </w:r>
      <w:r w:rsidRPr="00BA60C6">
        <w:rPr>
          <w:rFonts w:ascii="Verdana" w:hAnsi="Verdana" w:cs="Verdana"/>
          <w:bCs/>
          <w:sz w:val="16"/>
          <w:szCs w:val="16"/>
          <w:lang w:val="es-CO"/>
        </w:rPr>
        <w:t>83</w:t>
      </w:r>
      <w:r>
        <w:rPr>
          <w:rFonts w:ascii="Verdana" w:hAnsi="Verdana" w:cs="Verdana"/>
          <w:bCs/>
          <w:sz w:val="16"/>
          <w:szCs w:val="16"/>
          <w:lang w:val="es-CO"/>
        </w:rPr>
        <w:t xml:space="preserve">, </w:t>
      </w:r>
      <w:r w:rsidRPr="004B54A8">
        <w:rPr>
          <w:rFonts w:ascii="Verdana" w:hAnsi="Verdana" w:cs="Verdana"/>
          <w:bCs/>
          <w:i/>
          <w:sz w:val="16"/>
          <w:szCs w:val="16"/>
          <w:lang w:val="es-CO"/>
        </w:rPr>
        <w:t>mutatis mutandi</w:t>
      </w:r>
      <w:r>
        <w:rPr>
          <w:rFonts w:ascii="Verdana" w:hAnsi="Verdana" w:cs="Verdana"/>
          <w:bCs/>
          <w:sz w:val="16"/>
          <w:szCs w:val="16"/>
          <w:lang w:val="es-CO"/>
        </w:rPr>
        <w:t xml:space="preserve">, </w:t>
      </w:r>
      <w:r w:rsidRPr="00BA60C6">
        <w:rPr>
          <w:rFonts w:ascii="Verdana" w:hAnsi="Verdana" w:cs="Verdana"/>
          <w:bCs/>
          <w:sz w:val="16"/>
          <w:szCs w:val="16"/>
          <w:lang w:val="es-CO"/>
        </w:rPr>
        <w:t xml:space="preserve">: </w:t>
      </w:r>
      <w:r w:rsidRPr="00BA60C6">
        <w:rPr>
          <w:rFonts w:ascii="Verdana" w:hAnsi="Verdana" w:cs="Verdana"/>
          <w:bCs/>
          <w:i/>
          <w:sz w:val="16"/>
          <w:szCs w:val="16"/>
          <w:lang w:val="es-CO"/>
        </w:rPr>
        <w:t xml:space="preserve">Caso Handyside </w:t>
      </w:r>
      <w:r>
        <w:rPr>
          <w:rFonts w:ascii="Verdana" w:hAnsi="Verdana" w:cs="Verdana"/>
          <w:bCs/>
          <w:i/>
          <w:sz w:val="16"/>
          <w:szCs w:val="16"/>
          <w:lang w:val="es-CO"/>
        </w:rPr>
        <w:t>V</w:t>
      </w:r>
      <w:r w:rsidRPr="00BA60C6">
        <w:rPr>
          <w:rFonts w:ascii="Verdana" w:hAnsi="Verdana" w:cs="Verdana"/>
          <w:bCs/>
          <w:i/>
          <w:sz w:val="16"/>
          <w:szCs w:val="16"/>
          <w:lang w:val="es-CO"/>
        </w:rPr>
        <w:t xml:space="preserve">s.  </w:t>
      </w:r>
      <w:r>
        <w:rPr>
          <w:rFonts w:ascii="Verdana" w:hAnsi="Verdana" w:cs="Verdana"/>
          <w:bCs/>
          <w:i/>
          <w:sz w:val="16"/>
          <w:szCs w:val="16"/>
          <w:lang w:val="es-CO"/>
        </w:rPr>
        <w:t>Reino Unido</w:t>
      </w:r>
      <w:r w:rsidRPr="00BA60C6">
        <w:rPr>
          <w:rFonts w:ascii="Verdana" w:hAnsi="Verdana" w:cs="Verdana"/>
          <w:bCs/>
          <w:i/>
          <w:sz w:val="16"/>
          <w:szCs w:val="16"/>
          <w:lang w:val="es-CO"/>
        </w:rPr>
        <w:t xml:space="preserve">, </w:t>
      </w:r>
      <w:r w:rsidRPr="00BA60C6">
        <w:rPr>
          <w:rFonts w:ascii="Verdana" w:hAnsi="Verdana" w:cs="Verdana"/>
          <w:bCs/>
          <w:sz w:val="16"/>
          <w:szCs w:val="16"/>
          <w:lang w:val="es-CO"/>
        </w:rPr>
        <w:t xml:space="preserve">párr. </w:t>
      </w:r>
      <w:r w:rsidRPr="004F41B7">
        <w:rPr>
          <w:rFonts w:ascii="Verdana" w:hAnsi="Verdana" w:cs="Verdana"/>
          <w:bCs/>
          <w:sz w:val="16"/>
          <w:szCs w:val="16"/>
          <w:lang w:val="es-CO"/>
        </w:rPr>
        <w:t>49</w:t>
      </w:r>
      <w:r w:rsidRPr="004F41B7">
        <w:rPr>
          <w:rFonts w:ascii="Verdana" w:hAnsi="Verdana" w:cs="Verdana"/>
          <w:bCs/>
          <w:i/>
          <w:sz w:val="16"/>
          <w:szCs w:val="16"/>
          <w:lang w:val="es-CO"/>
        </w:rPr>
        <w:t xml:space="preserve">; Caso The Sunday Times </w:t>
      </w:r>
      <w:r>
        <w:rPr>
          <w:rFonts w:ascii="Verdana" w:hAnsi="Verdana" w:cs="Verdana"/>
          <w:bCs/>
          <w:i/>
          <w:sz w:val="16"/>
          <w:szCs w:val="16"/>
          <w:lang w:val="es-CO"/>
        </w:rPr>
        <w:t>V</w:t>
      </w:r>
      <w:r w:rsidRPr="004F41B7">
        <w:rPr>
          <w:rFonts w:ascii="Verdana" w:hAnsi="Verdana" w:cs="Verdana"/>
          <w:bCs/>
          <w:i/>
          <w:sz w:val="16"/>
          <w:szCs w:val="16"/>
          <w:lang w:val="es-CO"/>
        </w:rPr>
        <w:t>s. Reino Unido</w:t>
      </w:r>
      <w:r w:rsidRPr="004F41B7">
        <w:rPr>
          <w:rFonts w:ascii="Verdana" w:hAnsi="Verdana" w:cs="Verdana"/>
          <w:bCs/>
          <w:sz w:val="16"/>
          <w:szCs w:val="16"/>
          <w:lang w:val="es-CO"/>
        </w:rPr>
        <w:t xml:space="preserve">, párr. </w:t>
      </w:r>
      <w:r w:rsidRPr="00BA60C6">
        <w:rPr>
          <w:rFonts w:ascii="Verdana" w:hAnsi="Verdana" w:cs="Verdana"/>
          <w:bCs/>
          <w:sz w:val="16"/>
          <w:szCs w:val="16"/>
          <w:lang w:val="es-CO"/>
        </w:rPr>
        <w:t>59 y 65</w:t>
      </w:r>
      <w:r w:rsidRPr="00BA60C6">
        <w:rPr>
          <w:rFonts w:ascii="Verdana" w:hAnsi="Verdana" w:cs="Verdana"/>
          <w:bCs/>
          <w:i/>
          <w:sz w:val="16"/>
          <w:szCs w:val="16"/>
          <w:lang w:val="es-CO"/>
        </w:rPr>
        <w:t xml:space="preserve">; Caso Barthold </w:t>
      </w:r>
      <w:r>
        <w:rPr>
          <w:rFonts w:ascii="Verdana" w:hAnsi="Verdana" w:cs="Verdana"/>
          <w:bCs/>
          <w:i/>
          <w:sz w:val="16"/>
          <w:szCs w:val="16"/>
          <w:lang w:val="es-CO"/>
        </w:rPr>
        <w:t>V</w:t>
      </w:r>
      <w:r w:rsidRPr="00BA60C6">
        <w:rPr>
          <w:rFonts w:ascii="Verdana" w:hAnsi="Verdana" w:cs="Verdana"/>
          <w:bCs/>
          <w:i/>
          <w:sz w:val="16"/>
          <w:szCs w:val="16"/>
          <w:lang w:val="es-CO"/>
        </w:rPr>
        <w:t xml:space="preserve">s. Alemania, </w:t>
      </w:r>
      <w:r w:rsidRPr="00BA60C6">
        <w:rPr>
          <w:rFonts w:ascii="Verdana" w:hAnsi="Verdana" w:cs="Verdana"/>
          <w:bCs/>
          <w:sz w:val="16"/>
          <w:szCs w:val="16"/>
          <w:lang w:val="es-CO"/>
        </w:rPr>
        <w:t>Application No. 8734/79, 25 de Marzo de 1985, párr. 55;</w:t>
      </w:r>
      <w:r w:rsidRPr="00BA60C6">
        <w:rPr>
          <w:rFonts w:ascii="Verdana" w:hAnsi="Verdana" w:cs="Verdana"/>
          <w:bCs/>
          <w:i/>
          <w:sz w:val="16"/>
          <w:szCs w:val="16"/>
          <w:lang w:val="es-CO"/>
        </w:rPr>
        <w:t xml:space="preserve"> Case Lingens vs. Austria, </w:t>
      </w:r>
      <w:r w:rsidRPr="00BA60C6">
        <w:rPr>
          <w:rFonts w:ascii="Verdana" w:hAnsi="Verdana" w:cs="Verdana"/>
          <w:bCs/>
          <w:sz w:val="16"/>
          <w:szCs w:val="16"/>
          <w:lang w:val="es-CO"/>
        </w:rPr>
        <w:t>párr.41;</w:t>
      </w:r>
      <w:r w:rsidRPr="00BA60C6">
        <w:rPr>
          <w:rFonts w:ascii="Verdana" w:hAnsi="Verdana" w:cs="Verdana"/>
          <w:bCs/>
          <w:i/>
          <w:sz w:val="16"/>
          <w:szCs w:val="16"/>
          <w:lang w:val="es-CO"/>
        </w:rPr>
        <w:t xml:space="preserve"> Case Müller </w:t>
      </w:r>
      <w:r>
        <w:rPr>
          <w:rFonts w:ascii="Verdana" w:hAnsi="Verdana" w:cs="Verdana"/>
          <w:bCs/>
          <w:i/>
          <w:sz w:val="16"/>
          <w:szCs w:val="16"/>
          <w:lang w:val="es-CO"/>
        </w:rPr>
        <w:t>V</w:t>
      </w:r>
      <w:r w:rsidRPr="00BA60C6">
        <w:rPr>
          <w:rFonts w:ascii="Verdana" w:hAnsi="Verdana" w:cs="Verdana"/>
          <w:bCs/>
          <w:i/>
          <w:sz w:val="16"/>
          <w:szCs w:val="16"/>
          <w:lang w:val="es-CO"/>
        </w:rPr>
        <w:t xml:space="preserve">s. Suiza, </w:t>
      </w:r>
      <w:r w:rsidRPr="00BA60C6">
        <w:rPr>
          <w:rFonts w:ascii="Verdana" w:hAnsi="Verdana" w:cs="Verdana"/>
          <w:bCs/>
          <w:sz w:val="16"/>
          <w:szCs w:val="16"/>
          <w:lang w:val="es-CO"/>
        </w:rPr>
        <w:t>Application No. 10737/84,  24 de mayo de 1988, párr. 33;</w:t>
      </w:r>
      <w:r w:rsidRPr="00BA60C6">
        <w:rPr>
          <w:rFonts w:ascii="Verdana" w:hAnsi="Verdana" w:cs="Verdana"/>
          <w:bCs/>
          <w:i/>
          <w:sz w:val="16"/>
          <w:szCs w:val="16"/>
          <w:lang w:val="es-CO"/>
        </w:rPr>
        <w:t xml:space="preserve"> y Caso Otto- Preminger- Institut v. Austria</w:t>
      </w:r>
      <w:r w:rsidRPr="00BA60C6">
        <w:rPr>
          <w:rFonts w:ascii="Verdana" w:hAnsi="Verdana" w:cs="Verdana"/>
          <w:bCs/>
          <w:sz w:val="16"/>
          <w:szCs w:val="16"/>
          <w:lang w:val="es-CO"/>
        </w:rPr>
        <w:t>,  Application No. 13470/87,  20 de September 1994, párr. 49.</w:t>
      </w:r>
      <w:r w:rsidRPr="00BA60C6">
        <w:rPr>
          <w:rFonts w:ascii="Verdana" w:hAnsi="Verdana"/>
          <w:sz w:val="16"/>
          <w:szCs w:val="16"/>
          <w:lang w:val="es-CO"/>
        </w:rPr>
        <w:tab/>
      </w:r>
    </w:p>
  </w:footnote>
  <w:footnote w:id="40">
    <w:p w14:paraId="1FC08DC7" w14:textId="77777777" w:rsidR="008D3C6E" w:rsidRPr="00A82C8C" w:rsidRDefault="008D3C6E" w:rsidP="00817CD9">
      <w:pPr>
        <w:pStyle w:val="FootnoteText"/>
        <w:spacing w:after="120"/>
        <w:jc w:val="both"/>
        <w:rPr>
          <w:rFonts w:ascii="Verdana" w:hAnsi="Verdana" w:cs="Verdana"/>
          <w:bCs/>
          <w:sz w:val="16"/>
          <w:szCs w:val="16"/>
        </w:rPr>
      </w:pPr>
      <w:r w:rsidRPr="00817CD9">
        <w:rPr>
          <w:rStyle w:val="FootnoteReference"/>
          <w:rFonts w:ascii="Verdana" w:hAnsi="Verdana"/>
          <w:sz w:val="16"/>
          <w:szCs w:val="16"/>
        </w:rPr>
        <w:footnoteRef/>
      </w:r>
      <w:r w:rsidRPr="0065576D">
        <w:rPr>
          <w:rFonts w:ascii="Verdana" w:hAnsi="Verdana"/>
          <w:sz w:val="16"/>
          <w:szCs w:val="16"/>
          <w:lang w:val="es-CO"/>
        </w:rPr>
        <w:tab/>
      </w:r>
      <w:r w:rsidRPr="0065576D">
        <w:rPr>
          <w:rFonts w:ascii="Verdana" w:hAnsi="Verdana"/>
          <w:i/>
          <w:iCs/>
          <w:sz w:val="16"/>
          <w:szCs w:val="16"/>
          <w:lang w:val="es-CO"/>
        </w:rPr>
        <w:t>Caso Ivcher Bronstein Vs. Perú́</w:t>
      </w:r>
      <w:r w:rsidRPr="0065576D">
        <w:rPr>
          <w:rFonts w:ascii="Verdana" w:hAnsi="Verdana"/>
          <w:sz w:val="16"/>
          <w:szCs w:val="16"/>
          <w:lang w:val="es-CO"/>
        </w:rPr>
        <w:t xml:space="preserve">. </w:t>
      </w:r>
      <w:r w:rsidRPr="0065576D">
        <w:rPr>
          <w:rFonts w:ascii="Verdana" w:hAnsi="Verdana"/>
          <w:spacing w:val="-4"/>
          <w:sz w:val="16"/>
          <w:szCs w:val="16"/>
          <w:lang w:val="es-CO"/>
        </w:rPr>
        <w:t xml:space="preserve">párr. 153; y </w:t>
      </w:r>
      <w:r w:rsidRPr="0065576D">
        <w:rPr>
          <w:rFonts w:ascii="Verdana" w:hAnsi="Verdana" w:cs="Verdana"/>
          <w:bCs/>
          <w:i/>
          <w:sz w:val="16"/>
          <w:szCs w:val="16"/>
          <w:lang w:val="es-CO"/>
        </w:rPr>
        <w:t xml:space="preserve">Caso The Sunday Times Vs. </w:t>
      </w:r>
      <w:r w:rsidRPr="004F41B7">
        <w:rPr>
          <w:rFonts w:ascii="Verdana" w:hAnsi="Verdana" w:cs="Verdana"/>
          <w:bCs/>
          <w:i/>
          <w:sz w:val="16"/>
          <w:szCs w:val="16"/>
          <w:lang w:val="es-CO"/>
        </w:rPr>
        <w:t>Reino Unido</w:t>
      </w:r>
      <w:r w:rsidRPr="004F41B7">
        <w:rPr>
          <w:rFonts w:ascii="Verdana" w:hAnsi="Verdana" w:cs="Verdana"/>
          <w:bCs/>
          <w:sz w:val="16"/>
          <w:szCs w:val="16"/>
          <w:lang w:val="es-CO"/>
        </w:rPr>
        <w:t xml:space="preserve">, párr. </w:t>
      </w:r>
      <w:r w:rsidRPr="00A82C8C">
        <w:rPr>
          <w:rFonts w:ascii="Verdana" w:hAnsi="Verdana" w:cs="Verdana"/>
          <w:bCs/>
          <w:sz w:val="16"/>
          <w:szCs w:val="16"/>
        </w:rPr>
        <w:t xml:space="preserve">65. </w:t>
      </w:r>
    </w:p>
  </w:footnote>
  <w:footnote w:id="41">
    <w:p w14:paraId="390BBF98" w14:textId="219F3544" w:rsidR="008D3C6E" w:rsidRPr="00CA5368" w:rsidRDefault="008D3C6E" w:rsidP="00817CD9">
      <w:pPr>
        <w:widowControl w:val="0"/>
        <w:autoSpaceDE w:val="0"/>
        <w:autoSpaceDN w:val="0"/>
        <w:adjustRightInd w:val="0"/>
        <w:spacing w:after="120" w:line="240" w:lineRule="auto"/>
        <w:jc w:val="both"/>
        <w:rPr>
          <w:rFonts w:ascii="Verdana" w:hAnsi="Verdana" w:cs="Arial"/>
          <w:sz w:val="16"/>
          <w:szCs w:val="16"/>
          <w:lang w:val="es-ES"/>
        </w:rPr>
      </w:pPr>
      <w:r w:rsidRPr="00817CD9">
        <w:rPr>
          <w:rStyle w:val="FootnoteReference"/>
          <w:rFonts w:ascii="Verdana" w:hAnsi="Verdana"/>
          <w:sz w:val="16"/>
          <w:szCs w:val="16"/>
        </w:rPr>
        <w:footnoteRef/>
      </w:r>
      <w:r w:rsidRPr="00817CD9">
        <w:rPr>
          <w:rFonts w:ascii="Verdana" w:hAnsi="Verdana"/>
          <w:sz w:val="16"/>
          <w:szCs w:val="16"/>
          <w:lang w:val="es-ES_tradnl"/>
        </w:rPr>
        <w:tab/>
      </w:r>
      <w:r w:rsidRPr="00817CD9">
        <w:rPr>
          <w:rFonts w:ascii="Verdana" w:hAnsi="Verdana"/>
          <w:i/>
          <w:sz w:val="16"/>
          <w:szCs w:val="16"/>
          <w:lang w:val="es-ES_tradnl"/>
        </w:rPr>
        <w:t>Cas</w:t>
      </w:r>
      <w:r w:rsidRPr="00817CD9">
        <w:rPr>
          <w:rFonts w:ascii="Verdana" w:hAnsi="Verdana" w:cs="Arial"/>
          <w:i/>
          <w:iCs/>
          <w:sz w:val="16"/>
          <w:szCs w:val="16"/>
          <w:lang w:val="es-ES"/>
        </w:rPr>
        <w:t>o Ríos y otros Vs. Venezuela</w:t>
      </w:r>
      <w:r w:rsidRPr="00817CD9">
        <w:rPr>
          <w:rFonts w:ascii="Verdana" w:hAnsi="Verdana" w:cs="Arial"/>
          <w:sz w:val="16"/>
          <w:szCs w:val="16"/>
          <w:lang w:val="es-ES"/>
        </w:rPr>
        <w:t>, párr</w:t>
      </w:r>
      <w:r w:rsidRPr="00817CD9">
        <w:rPr>
          <w:rFonts w:ascii="Verdana" w:hAnsi="Verdana" w:cs="Arial"/>
          <w:b/>
          <w:bCs/>
          <w:sz w:val="16"/>
          <w:szCs w:val="16"/>
          <w:lang w:val="es-ES"/>
        </w:rPr>
        <w:t xml:space="preserve">. </w:t>
      </w:r>
      <w:r w:rsidRPr="00817CD9">
        <w:rPr>
          <w:rFonts w:ascii="Verdana" w:hAnsi="Verdana" w:cs="Arial"/>
          <w:sz w:val="16"/>
          <w:szCs w:val="16"/>
          <w:lang w:val="es-ES"/>
        </w:rPr>
        <w:t>105</w:t>
      </w:r>
      <w:r>
        <w:rPr>
          <w:rFonts w:ascii="Verdana" w:hAnsi="Verdana" w:cs="Arial"/>
          <w:sz w:val="16"/>
          <w:szCs w:val="16"/>
          <w:lang w:val="es-ES"/>
        </w:rPr>
        <w:t>.</w:t>
      </w:r>
    </w:p>
  </w:footnote>
  <w:footnote w:id="42">
    <w:p w14:paraId="12C1FBD2" w14:textId="77777777" w:rsidR="008D3C6E" w:rsidRPr="00817CD9" w:rsidRDefault="008D3C6E" w:rsidP="00817CD9">
      <w:pPr>
        <w:pStyle w:val="FootnoteText"/>
        <w:spacing w:after="120"/>
        <w:jc w:val="both"/>
        <w:rPr>
          <w:rFonts w:ascii="Verdana" w:hAnsi="Verdana" w:cs="Arial"/>
          <w:sz w:val="16"/>
          <w:szCs w:val="16"/>
          <w:lang w:val="es-ES"/>
        </w:rPr>
      </w:pPr>
      <w:r w:rsidRPr="00817CD9">
        <w:rPr>
          <w:rStyle w:val="FootnoteReference"/>
          <w:rFonts w:ascii="Verdana" w:hAnsi="Verdana"/>
          <w:sz w:val="16"/>
          <w:szCs w:val="16"/>
        </w:rPr>
        <w:footnoteRef/>
      </w:r>
      <w:r w:rsidRPr="00817CD9">
        <w:rPr>
          <w:rFonts w:ascii="Verdana" w:hAnsi="Verdana"/>
          <w:i/>
          <w:sz w:val="16"/>
          <w:szCs w:val="16"/>
          <w:lang w:val="es-ES_tradnl"/>
        </w:rPr>
        <w:tab/>
        <w:t>Cas</w:t>
      </w:r>
      <w:r w:rsidRPr="00817CD9">
        <w:rPr>
          <w:rFonts w:ascii="Verdana" w:hAnsi="Verdana" w:cs="Arial"/>
          <w:i/>
          <w:iCs/>
          <w:sz w:val="16"/>
          <w:szCs w:val="16"/>
          <w:lang w:val="es-ES"/>
        </w:rPr>
        <w:t>o Ríos y otros Vs. Venezuela</w:t>
      </w:r>
      <w:r w:rsidRPr="00817CD9">
        <w:rPr>
          <w:rFonts w:ascii="Verdana" w:hAnsi="Verdana" w:cs="Arial"/>
          <w:sz w:val="16"/>
          <w:szCs w:val="16"/>
          <w:lang w:val="es-ES"/>
        </w:rPr>
        <w:t>, párr</w:t>
      </w:r>
      <w:r w:rsidRPr="00817CD9">
        <w:rPr>
          <w:rFonts w:ascii="Verdana" w:hAnsi="Verdana" w:cs="Arial"/>
          <w:b/>
          <w:bCs/>
          <w:sz w:val="16"/>
          <w:szCs w:val="16"/>
          <w:lang w:val="es-ES"/>
        </w:rPr>
        <w:t xml:space="preserve">. </w:t>
      </w:r>
      <w:r w:rsidRPr="00817CD9">
        <w:rPr>
          <w:rFonts w:ascii="Verdana" w:hAnsi="Verdana" w:cs="Arial"/>
          <w:sz w:val="16"/>
          <w:szCs w:val="16"/>
          <w:lang w:val="es-ES"/>
        </w:rPr>
        <w:t xml:space="preserve">106. </w:t>
      </w:r>
    </w:p>
  </w:footnote>
  <w:footnote w:id="43">
    <w:p w14:paraId="36E65359" w14:textId="57478360"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iCs/>
          <w:sz w:val="16"/>
          <w:szCs w:val="16"/>
        </w:rPr>
        <w:t>La Colegiación Obligatoria de Periodistas (arts. 13 y 29 Convención Americana sobre Derechos Humanos)</w:t>
      </w:r>
      <w:r w:rsidRPr="00817CD9">
        <w:rPr>
          <w:rFonts w:ascii="Verdana" w:hAnsi="Verdana"/>
          <w:sz w:val="16"/>
          <w:szCs w:val="16"/>
        </w:rPr>
        <w:t>,</w:t>
      </w:r>
      <w:r>
        <w:rPr>
          <w:rFonts w:ascii="Verdana" w:hAnsi="Verdana"/>
          <w:sz w:val="16"/>
          <w:szCs w:val="16"/>
        </w:rPr>
        <w:t xml:space="preserve"> </w:t>
      </w:r>
      <w:r w:rsidRPr="00817CD9">
        <w:rPr>
          <w:rFonts w:ascii="Verdana" w:hAnsi="Verdana"/>
          <w:sz w:val="16"/>
          <w:szCs w:val="16"/>
        </w:rPr>
        <w:t>párr. 70.</w:t>
      </w:r>
    </w:p>
  </w:footnote>
  <w:footnote w:id="44">
    <w:p w14:paraId="3D184FAE" w14:textId="104A7437" w:rsidR="008D3C6E" w:rsidRPr="00817CD9" w:rsidRDefault="008D3C6E" w:rsidP="00817CD9">
      <w:pPr>
        <w:pStyle w:val="NormalWeb"/>
        <w:spacing w:before="0" w:beforeAutospacing="0" w:after="120" w:afterAutospacing="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sz w:val="16"/>
          <w:szCs w:val="16"/>
        </w:rPr>
        <w:t>Cfr</w:t>
      </w:r>
      <w:r w:rsidRPr="00817CD9">
        <w:rPr>
          <w:rFonts w:ascii="Verdana" w:hAnsi="Verdana"/>
          <w:sz w:val="16"/>
          <w:szCs w:val="16"/>
        </w:rPr>
        <w:t xml:space="preserve">. </w:t>
      </w:r>
      <w:r w:rsidRPr="00817CD9">
        <w:rPr>
          <w:rFonts w:ascii="Verdana" w:hAnsi="Verdana" w:cs="Verdana"/>
          <w:bCs/>
          <w:i/>
          <w:sz w:val="16"/>
          <w:szCs w:val="16"/>
          <w:lang w:val="es-ES"/>
        </w:rPr>
        <w:t>Caso Cantos Vs. Argentina</w:t>
      </w:r>
      <w:r w:rsidRPr="00817CD9">
        <w:rPr>
          <w:rFonts w:ascii="Verdana" w:hAnsi="Verdana" w:cs="Verdana"/>
          <w:bCs/>
          <w:sz w:val="16"/>
          <w:szCs w:val="16"/>
          <w:lang w:val="es-ES"/>
        </w:rPr>
        <w:t xml:space="preserve">, párr. </w:t>
      </w:r>
      <w:r>
        <w:rPr>
          <w:rFonts w:ascii="Verdana" w:hAnsi="Verdana" w:cs="Verdana"/>
          <w:bCs/>
          <w:sz w:val="16"/>
          <w:szCs w:val="16"/>
          <w:lang w:val="en-US"/>
        </w:rPr>
        <w:t xml:space="preserve">26. </w:t>
      </w:r>
      <w:proofErr w:type="spellStart"/>
      <w:r>
        <w:rPr>
          <w:rFonts w:ascii="Verdana" w:hAnsi="Verdana" w:cs="Verdana"/>
          <w:bCs/>
          <w:sz w:val="16"/>
          <w:szCs w:val="16"/>
          <w:lang w:val="en-US"/>
        </w:rPr>
        <w:t>Citando</w:t>
      </w:r>
      <w:proofErr w:type="spellEnd"/>
      <w:r>
        <w:rPr>
          <w:rFonts w:ascii="Verdana" w:hAnsi="Verdana" w:cs="Verdana"/>
          <w:bCs/>
          <w:sz w:val="16"/>
          <w:szCs w:val="16"/>
          <w:lang w:val="en-US"/>
        </w:rPr>
        <w:t xml:space="preserve"> el </w:t>
      </w:r>
      <w:proofErr w:type="spellStart"/>
      <w:r>
        <w:rPr>
          <w:rFonts w:ascii="Verdana" w:hAnsi="Verdana" w:cs="Verdana"/>
          <w:bCs/>
          <w:sz w:val="16"/>
          <w:szCs w:val="16"/>
          <w:lang w:val="en-US"/>
        </w:rPr>
        <w:t>C</w:t>
      </w:r>
      <w:r w:rsidRPr="006F2A55">
        <w:rPr>
          <w:rFonts w:ascii="Verdana" w:hAnsi="Verdana" w:cs="Verdana"/>
          <w:bCs/>
          <w:sz w:val="16"/>
          <w:szCs w:val="16"/>
          <w:lang w:val="en-US"/>
        </w:rPr>
        <w:t>aso</w:t>
      </w:r>
      <w:proofErr w:type="spellEnd"/>
      <w:r w:rsidRPr="006F2A55">
        <w:rPr>
          <w:rFonts w:ascii="Verdana" w:hAnsi="Verdana" w:cs="Verdana"/>
          <w:bCs/>
          <w:sz w:val="16"/>
          <w:szCs w:val="16"/>
          <w:lang w:val="en-US"/>
        </w:rPr>
        <w:t xml:space="preserve"> </w:t>
      </w:r>
      <w:r w:rsidRPr="006F2A55">
        <w:rPr>
          <w:rFonts w:ascii="Verdana" w:hAnsi="Verdana"/>
          <w:i/>
          <w:iCs/>
          <w:sz w:val="16"/>
          <w:szCs w:val="16"/>
          <w:lang w:val="en-US"/>
        </w:rPr>
        <w:t>Barcelona Traction, Light and Power Company, Limited, Judgment, I.C.J. Reports 1970</w:t>
      </w:r>
      <w:r w:rsidRPr="006F2A55">
        <w:rPr>
          <w:rFonts w:ascii="Verdana" w:hAnsi="Verdana"/>
          <w:sz w:val="16"/>
          <w:szCs w:val="16"/>
          <w:lang w:val="en-US"/>
        </w:rPr>
        <w:t xml:space="preserve">, p. 36, </w:t>
      </w:r>
      <w:proofErr w:type="spellStart"/>
      <w:r w:rsidRPr="006F2A55">
        <w:rPr>
          <w:rFonts w:ascii="Verdana" w:hAnsi="Verdana"/>
          <w:sz w:val="16"/>
          <w:szCs w:val="16"/>
          <w:lang w:val="en-US"/>
        </w:rPr>
        <w:t>párr</w:t>
      </w:r>
      <w:proofErr w:type="spellEnd"/>
      <w:r w:rsidRPr="006F2A55">
        <w:rPr>
          <w:rFonts w:ascii="Verdana" w:hAnsi="Verdana"/>
          <w:sz w:val="16"/>
          <w:szCs w:val="16"/>
          <w:lang w:val="en-US"/>
        </w:rPr>
        <w:t xml:space="preserve">. </w:t>
      </w:r>
      <w:r w:rsidRPr="00817CD9">
        <w:rPr>
          <w:rFonts w:ascii="Verdana" w:hAnsi="Verdana"/>
          <w:sz w:val="16"/>
          <w:szCs w:val="16"/>
        </w:rPr>
        <w:t xml:space="preserve">47. </w:t>
      </w:r>
    </w:p>
  </w:footnote>
  <w:footnote w:id="45">
    <w:p w14:paraId="68B59196" w14:textId="77777777" w:rsidR="008D3C6E" w:rsidRPr="004E7130" w:rsidRDefault="008D3C6E" w:rsidP="00817CD9">
      <w:pPr>
        <w:pStyle w:val="FootnoteText"/>
        <w:spacing w:after="120"/>
        <w:jc w:val="both"/>
        <w:rPr>
          <w:rFonts w:ascii="Verdana" w:hAnsi="Verdana" w:cs="Verdana"/>
          <w:bCs/>
          <w:sz w:val="16"/>
          <w:szCs w:val="16"/>
          <w:lang w:val="es-ES"/>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cs="Verdana"/>
          <w:bCs/>
          <w:i/>
          <w:sz w:val="16"/>
          <w:szCs w:val="16"/>
          <w:lang w:val="es-ES"/>
        </w:rPr>
        <w:t>Caso Cantos Vs. Argentina</w:t>
      </w:r>
      <w:r w:rsidRPr="00817CD9">
        <w:rPr>
          <w:rFonts w:ascii="Verdana" w:hAnsi="Verdana" w:cs="Verdana"/>
          <w:bCs/>
          <w:sz w:val="16"/>
          <w:szCs w:val="16"/>
          <w:lang w:val="es-ES"/>
        </w:rPr>
        <w:t xml:space="preserve">, párr. 26. </w:t>
      </w:r>
    </w:p>
  </w:footnote>
  <w:footnote w:id="46">
    <w:p w14:paraId="189F1D5B" w14:textId="77777777" w:rsidR="008D3C6E" w:rsidRPr="00817CD9" w:rsidRDefault="008D3C6E" w:rsidP="00817CD9">
      <w:pPr>
        <w:pStyle w:val="ListParagraph"/>
        <w:spacing w:after="120" w:line="240" w:lineRule="auto"/>
        <w:ind w:left="0"/>
        <w:jc w:val="both"/>
        <w:rPr>
          <w:rFonts w:ascii="Verdana" w:hAnsi="Verdana" w:cs="Arial"/>
          <w:color w:val="000000"/>
          <w:sz w:val="16"/>
          <w:szCs w:val="16"/>
          <w:shd w:val="clear" w:color="auto" w:fill="FFFFFF"/>
        </w:rPr>
      </w:pPr>
      <w:r w:rsidRPr="00817CD9">
        <w:rPr>
          <w:rStyle w:val="FootnoteReference"/>
          <w:rFonts w:ascii="Verdana" w:hAnsi="Verdana"/>
          <w:sz w:val="16"/>
          <w:szCs w:val="16"/>
        </w:rPr>
        <w:footnoteRef/>
      </w:r>
      <w:r w:rsidRPr="00817CD9">
        <w:rPr>
          <w:rStyle w:val="sb8d990e2"/>
          <w:rFonts w:ascii="Verdana" w:hAnsi="Verdana" w:cs="Arial"/>
          <w:color w:val="000000"/>
          <w:sz w:val="16"/>
          <w:szCs w:val="16"/>
          <w:shd w:val="clear" w:color="auto" w:fill="FFFFFF"/>
        </w:rPr>
        <w:tab/>
      </w:r>
      <w:r w:rsidRPr="00817CD9">
        <w:rPr>
          <w:rFonts w:ascii="Verdana" w:hAnsi="Verdana" w:cs="Arial"/>
          <w:color w:val="000000"/>
          <w:sz w:val="16"/>
          <w:szCs w:val="16"/>
          <w:shd w:val="clear" w:color="auto" w:fill="FFFFFF"/>
        </w:rPr>
        <w:t xml:space="preserve">La palabra "víctima", en el contexto del artículo 25 (Art. 25), denota la persona directamente afectada por el acto u omisión que está en cuestión, la existencia de una violación concebible, incluso en ausencia de prejuicios. </w:t>
      </w:r>
      <w:r w:rsidRPr="00817CD9">
        <w:rPr>
          <w:rStyle w:val="sb8d990e2"/>
          <w:rFonts w:ascii="Verdana" w:hAnsi="Verdana" w:cs="Arial"/>
          <w:color w:val="000000"/>
          <w:sz w:val="16"/>
          <w:szCs w:val="16"/>
          <w:shd w:val="clear" w:color="auto" w:fill="FFFFFF"/>
        </w:rPr>
        <w:t xml:space="preserve">Véase, entre otros: </w:t>
      </w:r>
      <w:r w:rsidRPr="00817CD9">
        <w:rPr>
          <w:rStyle w:val="s6b621b36"/>
          <w:rFonts w:ascii="Verdana" w:hAnsi="Verdana" w:cs="Arial"/>
          <w:i/>
          <w:iCs/>
          <w:color w:val="000000"/>
          <w:sz w:val="16"/>
          <w:szCs w:val="16"/>
          <w:shd w:val="clear" w:color="auto" w:fill="FFFFFF"/>
        </w:rPr>
        <w:t xml:space="preserve">Vatan </w:t>
      </w:r>
      <w:r>
        <w:rPr>
          <w:rStyle w:val="s6b621b36"/>
          <w:rFonts w:ascii="Verdana" w:hAnsi="Verdana" w:cs="Arial"/>
          <w:i/>
          <w:iCs/>
          <w:color w:val="000000"/>
          <w:sz w:val="16"/>
          <w:szCs w:val="16"/>
          <w:shd w:val="clear" w:color="auto" w:fill="FFFFFF"/>
        </w:rPr>
        <w:t>Vs</w:t>
      </w:r>
      <w:r w:rsidRPr="00817CD9">
        <w:rPr>
          <w:rStyle w:val="s6b621b36"/>
          <w:rFonts w:ascii="Verdana" w:hAnsi="Verdana" w:cs="Arial"/>
          <w:i/>
          <w:iCs/>
          <w:color w:val="000000"/>
          <w:sz w:val="16"/>
          <w:szCs w:val="16"/>
          <w:shd w:val="clear" w:color="auto" w:fill="FFFFFF"/>
        </w:rPr>
        <w:t>. Rusia</w:t>
      </w:r>
      <w:r w:rsidRPr="00817CD9">
        <w:rPr>
          <w:rStyle w:val="apple-converted-space"/>
          <w:rFonts w:ascii="Verdana" w:hAnsi="Verdana" w:cs="Arial"/>
          <w:i/>
          <w:iCs/>
          <w:color w:val="000000"/>
          <w:sz w:val="16"/>
          <w:szCs w:val="16"/>
          <w:shd w:val="clear" w:color="auto" w:fill="FFFFFF"/>
        </w:rPr>
        <w:t> </w:t>
      </w:r>
      <w:r w:rsidRPr="00817CD9">
        <w:rPr>
          <w:rStyle w:val="sb8d990e2"/>
          <w:rFonts w:ascii="Verdana" w:hAnsi="Verdana" w:cs="Arial"/>
          <w:color w:val="000000"/>
          <w:sz w:val="16"/>
          <w:szCs w:val="16"/>
          <w:shd w:val="clear" w:color="auto" w:fill="FFFFFF"/>
        </w:rPr>
        <w:t>, no.</w:t>
      </w:r>
      <w:r w:rsidRPr="00817CD9">
        <w:rPr>
          <w:rStyle w:val="apple-converted-space"/>
          <w:rFonts w:ascii="Verdana" w:hAnsi="Verdana" w:cs="Arial"/>
          <w:color w:val="000000"/>
          <w:sz w:val="16"/>
          <w:szCs w:val="16"/>
          <w:shd w:val="clear" w:color="auto" w:fill="FFFFFF"/>
        </w:rPr>
        <w:t> </w:t>
      </w:r>
      <w:r w:rsidRPr="00817CD9">
        <w:rPr>
          <w:rStyle w:val="sb8d990e2"/>
          <w:rFonts w:ascii="Verdana" w:hAnsi="Verdana" w:cs="Arial"/>
          <w:color w:val="000000"/>
          <w:sz w:val="16"/>
          <w:szCs w:val="16"/>
          <w:shd w:val="clear" w:color="auto" w:fill="FFFFFF"/>
        </w:rPr>
        <w:t> </w:t>
      </w:r>
      <w:r w:rsidRPr="00817CD9">
        <w:rPr>
          <w:rFonts w:ascii="Verdana" w:hAnsi="Verdana" w:cs="Arial"/>
          <w:sz w:val="16"/>
          <w:szCs w:val="16"/>
          <w:shd w:val="clear" w:color="auto" w:fill="FFFFFF"/>
        </w:rPr>
        <w:t>47978/99</w:t>
      </w:r>
      <w:r w:rsidRPr="00817CD9">
        <w:rPr>
          <w:rStyle w:val="apple-converted-space"/>
          <w:rFonts w:ascii="Verdana" w:hAnsi="Verdana" w:cs="Arial"/>
          <w:color w:val="000000"/>
          <w:sz w:val="16"/>
          <w:szCs w:val="16"/>
          <w:shd w:val="clear" w:color="auto" w:fill="FFFFFF"/>
        </w:rPr>
        <w:t> </w:t>
      </w:r>
      <w:r w:rsidRPr="00817CD9">
        <w:rPr>
          <w:rStyle w:val="sb8d990e2"/>
          <w:rFonts w:ascii="Verdana" w:hAnsi="Verdana" w:cs="Arial"/>
          <w:color w:val="000000"/>
          <w:sz w:val="16"/>
          <w:szCs w:val="16"/>
          <w:shd w:val="clear" w:color="auto" w:fill="FFFFFF"/>
        </w:rPr>
        <w:t xml:space="preserve">,7 de octubre de 2004, párr. </w:t>
      </w:r>
      <w:r w:rsidRPr="006F2A55">
        <w:rPr>
          <w:rStyle w:val="sb8d990e2"/>
          <w:rFonts w:ascii="Verdana" w:hAnsi="Verdana" w:cs="Arial"/>
          <w:color w:val="000000"/>
          <w:sz w:val="16"/>
          <w:szCs w:val="16"/>
          <w:shd w:val="clear" w:color="auto" w:fill="FFFFFF"/>
          <w:lang w:val="es-CO"/>
        </w:rPr>
        <w:t xml:space="preserve">48, y </w:t>
      </w:r>
      <w:r w:rsidRPr="006F2A55">
        <w:rPr>
          <w:rStyle w:val="s6b621b36"/>
          <w:rFonts w:ascii="Verdana" w:hAnsi="Verdana" w:cs="Arial"/>
          <w:i/>
          <w:iCs/>
          <w:color w:val="000000"/>
          <w:sz w:val="16"/>
          <w:szCs w:val="16"/>
          <w:shd w:val="clear" w:color="auto" w:fill="FFFFFF"/>
          <w:lang w:val="es-CO"/>
        </w:rPr>
        <w:t xml:space="preserve">Eckle </w:t>
      </w:r>
      <w:r>
        <w:rPr>
          <w:rStyle w:val="s6b621b36"/>
          <w:rFonts w:ascii="Verdana" w:hAnsi="Verdana" w:cs="Arial"/>
          <w:i/>
          <w:iCs/>
          <w:color w:val="000000"/>
          <w:sz w:val="16"/>
          <w:szCs w:val="16"/>
          <w:shd w:val="clear" w:color="auto" w:fill="FFFFFF"/>
          <w:lang w:val="es-CO"/>
        </w:rPr>
        <w:t>Vs</w:t>
      </w:r>
      <w:r w:rsidRPr="006F2A55">
        <w:rPr>
          <w:rStyle w:val="s6b621b36"/>
          <w:rFonts w:ascii="Verdana" w:hAnsi="Verdana" w:cs="Arial"/>
          <w:i/>
          <w:iCs/>
          <w:color w:val="000000"/>
          <w:sz w:val="16"/>
          <w:szCs w:val="16"/>
          <w:shd w:val="clear" w:color="auto" w:fill="FFFFFF"/>
          <w:lang w:val="es-CO"/>
        </w:rPr>
        <w:t>. Germany</w:t>
      </w:r>
      <w:r w:rsidRPr="006F2A55">
        <w:rPr>
          <w:rStyle w:val="sb8d990e2"/>
          <w:rFonts w:ascii="Verdana" w:hAnsi="Verdana" w:cs="Arial"/>
          <w:color w:val="000000"/>
          <w:sz w:val="16"/>
          <w:szCs w:val="16"/>
          <w:shd w:val="clear" w:color="auto" w:fill="FFFFFF"/>
          <w:lang w:val="es-CO"/>
        </w:rPr>
        <w:t>, 15 de Julio</w:t>
      </w:r>
      <w:r>
        <w:rPr>
          <w:rStyle w:val="sb8d990e2"/>
          <w:rFonts w:ascii="Verdana" w:hAnsi="Verdana" w:cs="Arial"/>
          <w:color w:val="000000"/>
          <w:sz w:val="16"/>
          <w:szCs w:val="16"/>
          <w:shd w:val="clear" w:color="auto" w:fill="FFFFFF"/>
          <w:lang w:val="es-CO"/>
        </w:rPr>
        <w:t xml:space="preserve"> de</w:t>
      </w:r>
      <w:r w:rsidRPr="006F2A55">
        <w:rPr>
          <w:rStyle w:val="sb8d990e2"/>
          <w:rFonts w:ascii="Verdana" w:hAnsi="Verdana" w:cs="Arial"/>
          <w:color w:val="000000"/>
          <w:sz w:val="16"/>
          <w:szCs w:val="16"/>
          <w:shd w:val="clear" w:color="auto" w:fill="FFFFFF"/>
          <w:lang w:val="es-CO"/>
        </w:rPr>
        <w:t xml:space="preserve"> 1982, Series A no. 51, p. 30, párr. </w:t>
      </w:r>
      <w:r w:rsidRPr="00817CD9">
        <w:rPr>
          <w:rStyle w:val="sb8d990e2"/>
          <w:rFonts w:ascii="Verdana" w:hAnsi="Verdana" w:cs="Arial"/>
          <w:color w:val="000000"/>
          <w:sz w:val="16"/>
          <w:szCs w:val="16"/>
          <w:shd w:val="clear" w:color="auto" w:fill="FFFFFF"/>
        </w:rPr>
        <w:t>66.</w:t>
      </w:r>
    </w:p>
  </w:footnote>
  <w:footnote w:id="47">
    <w:p w14:paraId="2B35FB2F" w14:textId="77777777"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t xml:space="preserve">Protocolo Adicional al Convenio Europeo para la Protección de los Derechos Humanos y Libertades Fundamentales, </w:t>
      </w:r>
      <w:r>
        <w:rPr>
          <w:rFonts w:ascii="Verdana" w:hAnsi="Verdana"/>
          <w:sz w:val="16"/>
          <w:szCs w:val="16"/>
        </w:rPr>
        <w:t>artículo</w:t>
      </w:r>
      <w:r w:rsidRPr="00817CD9">
        <w:rPr>
          <w:rFonts w:ascii="Verdana" w:hAnsi="Verdana"/>
          <w:sz w:val="16"/>
          <w:szCs w:val="16"/>
        </w:rPr>
        <w:t xml:space="preserve"> 1º. </w:t>
      </w:r>
    </w:p>
  </w:footnote>
  <w:footnote w:id="48">
    <w:p w14:paraId="50F20CB8" w14:textId="77777777" w:rsidR="008D3C6E" w:rsidRPr="004E7130" w:rsidRDefault="008D3C6E" w:rsidP="00817CD9">
      <w:pPr>
        <w:pStyle w:val="FootnoteText"/>
        <w:spacing w:after="120"/>
        <w:jc w:val="both"/>
        <w:rPr>
          <w:rFonts w:ascii="Verdana" w:hAnsi="Verdana"/>
          <w:sz w:val="16"/>
          <w:szCs w:val="16"/>
          <w:lang w:val="es-ES_tradnl"/>
        </w:rPr>
      </w:pPr>
      <w:r w:rsidRPr="00817CD9">
        <w:rPr>
          <w:rStyle w:val="FootnoteReference"/>
          <w:rFonts w:ascii="Verdana" w:hAnsi="Verdana"/>
          <w:sz w:val="16"/>
          <w:szCs w:val="16"/>
        </w:rPr>
        <w:footnoteRef/>
      </w:r>
      <w:r w:rsidRPr="006F2A55">
        <w:rPr>
          <w:rFonts w:ascii="Verdana" w:hAnsi="Verdana"/>
          <w:sz w:val="16"/>
          <w:szCs w:val="16"/>
        </w:rPr>
        <w:tab/>
      </w:r>
      <w:r w:rsidRPr="006F2A55">
        <w:rPr>
          <w:rFonts w:ascii="Verdana" w:hAnsi="Verdana"/>
          <w:i/>
          <w:sz w:val="16"/>
          <w:szCs w:val="16"/>
        </w:rPr>
        <w:t>Caso Piney Valley Developments Ltd. y Otros v</w:t>
      </w:r>
      <w:r>
        <w:rPr>
          <w:rFonts w:ascii="Verdana" w:hAnsi="Verdana"/>
          <w:i/>
          <w:sz w:val="16"/>
          <w:szCs w:val="16"/>
        </w:rPr>
        <w:t>s</w:t>
      </w:r>
      <w:r w:rsidRPr="006F2A55">
        <w:rPr>
          <w:rFonts w:ascii="Verdana" w:hAnsi="Verdana"/>
          <w:i/>
          <w:sz w:val="16"/>
          <w:szCs w:val="16"/>
        </w:rPr>
        <w:t>. Ir</w:t>
      </w:r>
      <w:r>
        <w:rPr>
          <w:rFonts w:ascii="Verdana" w:hAnsi="Verdana"/>
          <w:i/>
          <w:sz w:val="16"/>
          <w:szCs w:val="16"/>
        </w:rPr>
        <w:t>landa</w:t>
      </w:r>
      <w:r w:rsidRPr="006F2A55">
        <w:rPr>
          <w:rFonts w:ascii="Verdana" w:hAnsi="Verdana"/>
          <w:i/>
          <w:sz w:val="16"/>
          <w:szCs w:val="16"/>
        </w:rPr>
        <w:t xml:space="preserve">, </w:t>
      </w:r>
      <w:r w:rsidRPr="006F2A55">
        <w:rPr>
          <w:rFonts w:ascii="Verdana" w:hAnsi="Verdana"/>
          <w:sz w:val="16"/>
          <w:szCs w:val="16"/>
        </w:rPr>
        <w:t xml:space="preserve">No. 12742, 29 </w:t>
      </w:r>
      <w:r>
        <w:rPr>
          <w:rFonts w:ascii="Verdana" w:hAnsi="Verdana"/>
          <w:sz w:val="16"/>
          <w:szCs w:val="16"/>
        </w:rPr>
        <w:t>de</w:t>
      </w:r>
      <w:r w:rsidRPr="006F2A55">
        <w:rPr>
          <w:rFonts w:ascii="Verdana" w:hAnsi="Verdana"/>
          <w:sz w:val="16"/>
          <w:szCs w:val="16"/>
        </w:rPr>
        <w:t xml:space="preserve"> Nov</w:t>
      </w:r>
      <w:r>
        <w:rPr>
          <w:rFonts w:ascii="Verdana" w:hAnsi="Verdana"/>
          <w:sz w:val="16"/>
          <w:szCs w:val="16"/>
        </w:rPr>
        <w:t>i</w:t>
      </w:r>
      <w:r w:rsidRPr="006F2A55">
        <w:rPr>
          <w:rFonts w:ascii="Verdana" w:hAnsi="Verdana"/>
          <w:sz w:val="16"/>
          <w:szCs w:val="16"/>
        </w:rPr>
        <w:t>embr</w:t>
      </w:r>
      <w:r>
        <w:rPr>
          <w:rFonts w:ascii="Verdana" w:hAnsi="Verdana"/>
          <w:sz w:val="16"/>
          <w:szCs w:val="16"/>
        </w:rPr>
        <w:t>e de</w:t>
      </w:r>
      <w:r w:rsidRPr="006F2A55">
        <w:rPr>
          <w:rFonts w:ascii="Verdana" w:hAnsi="Verdana"/>
          <w:sz w:val="16"/>
          <w:szCs w:val="16"/>
        </w:rPr>
        <w:t xml:space="preserve"> 1991, párr.42 y </w:t>
      </w:r>
      <w:r w:rsidRPr="006F2A55">
        <w:rPr>
          <w:rFonts w:ascii="Verdana" w:hAnsi="Verdana"/>
          <w:i/>
          <w:sz w:val="16"/>
          <w:szCs w:val="16"/>
        </w:rPr>
        <w:t>Cas</w:t>
      </w:r>
      <w:r>
        <w:rPr>
          <w:rFonts w:ascii="Verdana" w:hAnsi="Verdana"/>
          <w:i/>
          <w:sz w:val="16"/>
          <w:szCs w:val="16"/>
        </w:rPr>
        <w:t>o</w:t>
      </w:r>
      <w:r w:rsidRPr="006F2A55">
        <w:rPr>
          <w:rFonts w:ascii="Verdana" w:hAnsi="Verdana"/>
          <w:i/>
          <w:sz w:val="16"/>
          <w:szCs w:val="16"/>
        </w:rPr>
        <w:t xml:space="preserve"> Eugenia Michaelidou Developments LTD y Michael Tymios Vs. </w:t>
      </w:r>
      <w:r w:rsidRPr="00817CD9">
        <w:rPr>
          <w:rFonts w:ascii="Verdana" w:hAnsi="Verdana"/>
          <w:i/>
          <w:sz w:val="16"/>
          <w:szCs w:val="16"/>
        </w:rPr>
        <w:t xml:space="preserve">Turquía, </w:t>
      </w:r>
      <w:r w:rsidRPr="00817CD9">
        <w:rPr>
          <w:rFonts w:ascii="Verdana" w:hAnsi="Verdana"/>
          <w:sz w:val="16"/>
          <w:szCs w:val="16"/>
        </w:rPr>
        <w:t xml:space="preserve">No. 16163/90, 31 </w:t>
      </w:r>
      <w:r>
        <w:rPr>
          <w:rFonts w:ascii="Verdana" w:hAnsi="Verdana"/>
          <w:sz w:val="16"/>
          <w:szCs w:val="16"/>
        </w:rPr>
        <w:t xml:space="preserve">de </w:t>
      </w:r>
      <w:r w:rsidRPr="00817CD9">
        <w:rPr>
          <w:rFonts w:ascii="Verdana" w:hAnsi="Verdana"/>
          <w:sz w:val="16"/>
          <w:szCs w:val="16"/>
        </w:rPr>
        <w:t>Jul</w:t>
      </w:r>
      <w:r>
        <w:rPr>
          <w:rFonts w:ascii="Verdana" w:hAnsi="Verdana"/>
          <w:sz w:val="16"/>
          <w:szCs w:val="16"/>
        </w:rPr>
        <w:t>io de</w:t>
      </w:r>
      <w:r w:rsidRPr="00817CD9">
        <w:rPr>
          <w:rFonts w:ascii="Verdana" w:hAnsi="Verdana"/>
          <w:sz w:val="16"/>
          <w:szCs w:val="16"/>
        </w:rPr>
        <w:t xml:space="preserve"> 2003, párr. 21. </w:t>
      </w:r>
    </w:p>
  </w:footnote>
  <w:footnote w:id="49">
    <w:p w14:paraId="70DED618" w14:textId="77777777" w:rsidR="008D3C6E" w:rsidRPr="00817CD9" w:rsidRDefault="008D3C6E" w:rsidP="00817CD9">
      <w:pPr>
        <w:pStyle w:val="s269b7f08"/>
        <w:shd w:val="clear" w:color="auto" w:fill="FFFFFF"/>
        <w:spacing w:before="0" w:beforeAutospacing="0" w:after="120" w:afterAutospacing="0"/>
        <w:jc w:val="both"/>
        <w:rPr>
          <w:rFonts w:ascii="Verdana" w:hAnsi="Verdana" w:cs="Arial"/>
          <w:color w:val="E36C0A" w:themeColor="accent6" w:themeShade="BF"/>
          <w:sz w:val="16"/>
          <w:szCs w:val="16"/>
        </w:rPr>
      </w:pPr>
      <w:r w:rsidRPr="00817CD9">
        <w:rPr>
          <w:rStyle w:val="FootnoteReference"/>
          <w:rFonts w:ascii="Verdana" w:hAnsi="Verdana"/>
          <w:sz w:val="16"/>
          <w:szCs w:val="16"/>
        </w:rPr>
        <w:footnoteRef/>
      </w:r>
      <w:r w:rsidRPr="00817CD9">
        <w:rPr>
          <w:rStyle w:val="sf6541cea"/>
          <w:rFonts w:ascii="Verdana" w:hAnsi="Verdana" w:cs="Arial"/>
          <w:color w:val="E36C0A" w:themeColor="accent6" w:themeShade="BF"/>
          <w:sz w:val="16"/>
          <w:szCs w:val="16"/>
        </w:rPr>
        <w:tab/>
      </w:r>
      <w:r w:rsidRPr="00817CD9">
        <w:rPr>
          <w:rStyle w:val="sf6541cea"/>
          <w:rFonts w:ascii="Verdana" w:hAnsi="Verdana" w:cs="Arial"/>
          <w:sz w:val="16"/>
          <w:szCs w:val="16"/>
        </w:rPr>
        <w:t>En agosto de 1982 el Banco Nacional de Grecia cesó la financiación a Fix Brewery.  Mientras que el negocio de la compañía continuó disminuyendo, los accionistas de la Asamblea General decidieron el 30 de agosto de 1983  liquidar la empresa y se nombraron a dos liquidadores. Las empresas Agrotexim,Viotex, Hymofix, Kykladiki, y Texem eran accionistas de la empresa. En el presente caso, en primer lugar, pese a que las empresas presentaron su solicitud ante la Comisión de 1988,  en el proceso de liquidación no había dejado de existir la personalidad jurídica de la empresa.  El Tribunal consideró que, en el momento de la presentación de la petición  sus dos liquidadores tenían capacidad legal en ese momento para defender sus derechos, por lo que no se desprendió, para el momento de los hechos</w:t>
      </w:r>
      <w:r>
        <w:rPr>
          <w:rStyle w:val="sf6541cea"/>
          <w:rFonts w:ascii="Verdana" w:hAnsi="Verdana" w:cs="Arial"/>
          <w:sz w:val="16"/>
          <w:szCs w:val="16"/>
        </w:rPr>
        <w:t>,</w:t>
      </w:r>
      <w:r w:rsidRPr="00817CD9">
        <w:rPr>
          <w:rStyle w:val="sf6541cea"/>
          <w:rFonts w:ascii="Verdana" w:hAnsi="Verdana" w:cs="Arial"/>
          <w:sz w:val="16"/>
          <w:szCs w:val="16"/>
        </w:rPr>
        <w:t xml:space="preserve"> que habría sido imposible como una cuestión de hecho o de derecho que los liquidadores no hubieran ejercido ese derecho.</w:t>
      </w:r>
      <w:r w:rsidRPr="00817CD9">
        <w:rPr>
          <w:rStyle w:val="apple-converted-space"/>
          <w:rFonts w:ascii="Verdana" w:hAnsi="Verdana" w:cs="Arial"/>
          <w:sz w:val="16"/>
          <w:szCs w:val="16"/>
        </w:rPr>
        <w:t xml:space="preserve">  </w:t>
      </w:r>
      <w:r w:rsidRPr="00817CD9">
        <w:rPr>
          <w:rStyle w:val="sf6541cea"/>
          <w:rFonts w:ascii="Verdana" w:hAnsi="Verdana" w:cs="Arial"/>
          <w:sz w:val="16"/>
          <w:szCs w:val="16"/>
        </w:rPr>
        <w:t xml:space="preserve">Además, el Tribunal constató que no hubo razón </w:t>
      </w:r>
      <w:r>
        <w:rPr>
          <w:rStyle w:val="sf6541cea"/>
          <w:rFonts w:ascii="Verdana" w:hAnsi="Verdana" w:cs="Arial"/>
          <w:sz w:val="16"/>
          <w:szCs w:val="16"/>
        </w:rPr>
        <w:t xml:space="preserve">para </w:t>
      </w:r>
      <w:r w:rsidRPr="00817CD9">
        <w:rPr>
          <w:rStyle w:val="sf6541cea"/>
          <w:rFonts w:ascii="Verdana" w:hAnsi="Verdana" w:cs="Arial"/>
          <w:sz w:val="16"/>
          <w:szCs w:val="16"/>
        </w:rPr>
        <w:t>suponer que los  liquidadores no lograron cumplir bien sus funciones, y de manera satisfactoria. Por el contrario, consideró que existían pruebas  suficientes para demostrar que tomaron las medidas necesarias. En suma, no fue establecido que al momento de interponer la solicitud ante la Comisión no era posible, para la empresa, aplicar a través de los liquidadores de la Convención, que es la base sobre la cual las empresas solicitantes fundan la petición, así se desprendió que las empresas demandantes, no tenían derecho a solicitar alguna violación ante la Convención de manera de empresas accionistas en lo individual.</w:t>
      </w:r>
      <w:r w:rsidRPr="00817CD9">
        <w:rPr>
          <w:rStyle w:val="sf6541cea"/>
          <w:rFonts w:ascii="Verdana" w:hAnsi="Verdana" w:cs="Arial"/>
          <w:i/>
          <w:sz w:val="16"/>
          <w:szCs w:val="16"/>
        </w:rPr>
        <w:t>Cas</w:t>
      </w:r>
      <w:r>
        <w:rPr>
          <w:rStyle w:val="sf6541cea"/>
          <w:rFonts w:ascii="Verdana" w:hAnsi="Verdana" w:cs="Arial"/>
          <w:i/>
          <w:sz w:val="16"/>
          <w:szCs w:val="16"/>
        </w:rPr>
        <w:t>o</w:t>
      </w:r>
      <w:r w:rsidRPr="00817CD9">
        <w:rPr>
          <w:rStyle w:val="sf6541cea"/>
          <w:rFonts w:ascii="Verdana" w:hAnsi="Verdana" w:cs="Arial"/>
          <w:i/>
          <w:sz w:val="16"/>
          <w:szCs w:val="16"/>
        </w:rPr>
        <w:t xml:space="preserve"> Agrotexim </w:t>
      </w:r>
      <w:r>
        <w:rPr>
          <w:rStyle w:val="sf6541cea"/>
          <w:rFonts w:ascii="Verdana" w:hAnsi="Verdana" w:cs="Arial"/>
          <w:i/>
          <w:sz w:val="16"/>
          <w:szCs w:val="16"/>
        </w:rPr>
        <w:t>y</w:t>
      </w:r>
      <w:r w:rsidRPr="00817CD9">
        <w:rPr>
          <w:rStyle w:val="sf6541cea"/>
          <w:rFonts w:ascii="Verdana" w:hAnsi="Verdana" w:cs="Arial"/>
          <w:i/>
          <w:sz w:val="16"/>
          <w:szCs w:val="16"/>
        </w:rPr>
        <w:t xml:space="preserve"> Ot</w:t>
      </w:r>
      <w:r>
        <w:rPr>
          <w:rStyle w:val="sf6541cea"/>
          <w:rFonts w:ascii="Verdana" w:hAnsi="Verdana" w:cs="Arial"/>
          <w:i/>
          <w:sz w:val="16"/>
          <w:szCs w:val="16"/>
        </w:rPr>
        <w:t>ros</w:t>
      </w:r>
      <w:r w:rsidRPr="00817CD9">
        <w:rPr>
          <w:rStyle w:val="sf6541cea"/>
          <w:rFonts w:ascii="Verdana" w:hAnsi="Verdana" w:cs="Arial"/>
          <w:i/>
          <w:sz w:val="16"/>
          <w:szCs w:val="16"/>
        </w:rPr>
        <w:t xml:space="preserve"> </w:t>
      </w:r>
      <w:r>
        <w:rPr>
          <w:rStyle w:val="sf6541cea"/>
          <w:rFonts w:ascii="Verdana" w:hAnsi="Verdana" w:cs="Arial"/>
          <w:i/>
          <w:sz w:val="16"/>
          <w:szCs w:val="16"/>
        </w:rPr>
        <w:t>Vs</w:t>
      </w:r>
      <w:r w:rsidRPr="00817CD9">
        <w:rPr>
          <w:rStyle w:val="sf6541cea"/>
          <w:rFonts w:ascii="Verdana" w:hAnsi="Verdana" w:cs="Arial"/>
          <w:i/>
          <w:sz w:val="16"/>
          <w:szCs w:val="16"/>
        </w:rPr>
        <w:t>. Grec</w:t>
      </w:r>
      <w:r>
        <w:rPr>
          <w:rStyle w:val="sf6541cea"/>
          <w:rFonts w:ascii="Verdana" w:hAnsi="Verdana" w:cs="Arial"/>
          <w:i/>
          <w:sz w:val="16"/>
          <w:szCs w:val="16"/>
        </w:rPr>
        <w:t>ia</w:t>
      </w:r>
      <w:r w:rsidRPr="00817CD9">
        <w:rPr>
          <w:rStyle w:val="sf6541cea"/>
          <w:rFonts w:ascii="Verdana" w:hAnsi="Verdana" w:cs="Arial"/>
          <w:sz w:val="16"/>
          <w:szCs w:val="16"/>
        </w:rPr>
        <w:t xml:space="preserve">, No. 15/1994/462/543, 24 </w:t>
      </w:r>
      <w:r>
        <w:rPr>
          <w:rStyle w:val="sf6541cea"/>
          <w:rFonts w:ascii="Verdana" w:hAnsi="Verdana" w:cs="Arial"/>
          <w:sz w:val="16"/>
          <w:szCs w:val="16"/>
        </w:rPr>
        <w:t xml:space="preserve">de </w:t>
      </w:r>
      <w:r w:rsidRPr="00817CD9">
        <w:rPr>
          <w:rStyle w:val="sf6541cea"/>
          <w:rFonts w:ascii="Verdana" w:hAnsi="Verdana" w:cs="Arial"/>
          <w:sz w:val="16"/>
          <w:szCs w:val="16"/>
        </w:rPr>
        <w:t>Octubr</w:t>
      </w:r>
      <w:r>
        <w:rPr>
          <w:rStyle w:val="sf6541cea"/>
          <w:rFonts w:ascii="Verdana" w:hAnsi="Verdana" w:cs="Arial"/>
          <w:sz w:val="16"/>
          <w:szCs w:val="16"/>
        </w:rPr>
        <w:t>e de</w:t>
      </w:r>
      <w:r w:rsidRPr="00817CD9">
        <w:rPr>
          <w:rStyle w:val="sf6541cea"/>
          <w:rFonts w:ascii="Verdana" w:hAnsi="Verdana" w:cs="Arial"/>
          <w:sz w:val="16"/>
          <w:szCs w:val="16"/>
        </w:rPr>
        <w:t xml:space="preserve"> 1995.  </w:t>
      </w:r>
    </w:p>
  </w:footnote>
  <w:footnote w:id="50">
    <w:p w14:paraId="2FC83C19" w14:textId="77777777" w:rsidR="008D3C6E" w:rsidRPr="006F2A55" w:rsidRDefault="008D3C6E" w:rsidP="00817CD9">
      <w:pPr>
        <w:pStyle w:val="s30eec3f8"/>
        <w:shd w:val="clear" w:color="auto" w:fill="FFFFFF"/>
        <w:spacing w:before="0" w:beforeAutospacing="0" w:after="120" w:afterAutospacing="0"/>
        <w:jc w:val="both"/>
        <w:rPr>
          <w:rFonts w:ascii="Verdana" w:hAnsi="Verdana" w:cs="Arial"/>
          <w:color w:val="E36C0A" w:themeColor="accent6" w:themeShade="BF"/>
          <w:sz w:val="16"/>
          <w:szCs w:val="16"/>
          <w:lang w:val="es-CO"/>
        </w:rPr>
      </w:pPr>
      <w:r w:rsidRPr="00817CD9">
        <w:rPr>
          <w:rStyle w:val="FootnoteReference"/>
          <w:rFonts w:ascii="Verdana" w:hAnsi="Verdana"/>
          <w:sz w:val="16"/>
          <w:szCs w:val="16"/>
        </w:rPr>
        <w:footnoteRef/>
      </w:r>
      <w:r w:rsidRPr="00817CD9">
        <w:rPr>
          <w:rStyle w:val="sb8d990e2"/>
          <w:rFonts w:ascii="Verdana" w:hAnsi="Verdana" w:cs="Arial"/>
          <w:color w:val="E36C0A" w:themeColor="accent6" w:themeShade="BF"/>
          <w:sz w:val="16"/>
          <w:szCs w:val="16"/>
        </w:rPr>
        <w:tab/>
      </w:r>
      <w:r w:rsidRPr="00817CD9">
        <w:rPr>
          <w:rStyle w:val="sb8d990e2"/>
          <w:rFonts w:ascii="Verdana" w:hAnsi="Verdana" w:cs="Arial"/>
          <w:sz w:val="16"/>
          <w:szCs w:val="16"/>
        </w:rPr>
        <w:t>En el presente caso, a diferencia de la situación existente en</w:t>
      </w:r>
      <w:r w:rsidRPr="00817CD9">
        <w:rPr>
          <w:rStyle w:val="apple-converted-space"/>
          <w:rFonts w:ascii="Verdana" w:hAnsi="Verdana" w:cs="Arial"/>
          <w:sz w:val="16"/>
          <w:szCs w:val="16"/>
        </w:rPr>
        <w:t> </w:t>
      </w:r>
      <w:r w:rsidRPr="00817CD9">
        <w:rPr>
          <w:rStyle w:val="s6b621b36"/>
          <w:rFonts w:ascii="Verdana" w:hAnsi="Verdana" w:cs="Arial"/>
          <w:i/>
          <w:iCs/>
          <w:sz w:val="16"/>
          <w:szCs w:val="16"/>
        </w:rPr>
        <w:t>Agrotexim y otros</w:t>
      </w:r>
      <w:r w:rsidRPr="00817CD9">
        <w:rPr>
          <w:rStyle w:val="apple-converted-space"/>
          <w:rFonts w:ascii="Verdana" w:hAnsi="Verdana" w:cs="Arial"/>
          <w:i/>
          <w:iCs/>
          <w:sz w:val="16"/>
          <w:szCs w:val="16"/>
        </w:rPr>
        <w:t>,</w:t>
      </w:r>
      <w:r w:rsidRPr="00817CD9">
        <w:rPr>
          <w:rStyle w:val="sb8d990e2"/>
          <w:rFonts w:ascii="Verdana" w:hAnsi="Verdana" w:cs="Arial"/>
          <w:sz w:val="16"/>
          <w:szCs w:val="16"/>
        </w:rPr>
        <w:t xml:space="preserve"> el Tribunal Europeo consideró que la aplicación no se refería a una cuestión respecto de la cual se podía esperar de los custodios una actuación que protegiera los intereses del banco.</w:t>
      </w:r>
      <w:r w:rsidRPr="00817CD9">
        <w:rPr>
          <w:rStyle w:val="apple-converted-space"/>
          <w:rFonts w:ascii="Verdana" w:hAnsi="Verdana" w:cs="Arial"/>
          <w:sz w:val="16"/>
          <w:szCs w:val="16"/>
        </w:rPr>
        <w:t> </w:t>
      </w:r>
      <w:r w:rsidRPr="00817CD9">
        <w:rPr>
          <w:rStyle w:val="sb8d990e2"/>
          <w:rFonts w:ascii="Verdana" w:hAnsi="Verdana" w:cs="Arial"/>
          <w:sz w:val="16"/>
          <w:szCs w:val="16"/>
        </w:rPr>
        <w:t>Por tanto, concluyó que existía un claro conflicto de intereses entre el banco y los síndicos que habían sido nombrados para la situación de quiebra que vivía la sociedad, por lo que era inviable que el banco presentara una petición al Sistema  a través de ellos</w:t>
      </w:r>
      <w:r>
        <w:rPr>
          <w:rStyle w:val="sb8d990e2"/>
          <w:rFonts w:ascii="Verdana" w:hAnsi="Verdana" w:cs="Arial"/>
          <w:sz w:val="16"/>
          <w:szCs w:val="16"/>
        </w:rPr>
        <w:t>.</w:t>
      </w:r>
      <w:r w:rsidRPr="00817CD9">
        <w:rPr>
          <w:rStyle w:val="sb8d990e2"/>
          <w:rFonts w:ascii="Verdana" w:hAnsi="Verdana" w:cs="Arial"/>
          <w:sz w:val="16"/>
          <w:szCs w:val="16"/>
        </w:rPr>
        <w:t xml:space="preserve">  </w:t>
      </w:r>
      <w:r>
        <w:rPr>
          <w:rStyle w:val="sb8d990e2"/>
          <w:rFonts w:ascii="Verdana" w:hAnsi="Verdana" w:cs="Arial"/>
          <w:sz w:val="16"/>
          <w:szCs w:val="16"/>
        </w:rPr>
        <w:t>En</w:t>
      </w:r>
      <w:r w:rsidRPr="00817CD9">
        <w:rPr>
          <w:rStyle w:val="sb8d990e2"/>
          <w:rFonts w:ascii="Verdana" w:hAnsi="Verdana" w:cs="Arial"/>
          <w:sz w:val="16"/>
          <w:szCs w:val="16"/>
        </w:rPr>
        <w:t xml:space="preserve"> vista de las anteriores consideraciones, la Corte concluyó que para sostener que los fideicomisarios solo estaban autorizados a representar a la entidad en la presentación de una demanda ante la Corte equivaldría a privar del derecho de petición individual que confie</w:t>
      </w:r>
      <w:r>
        <w:rPr>
          <w:rStyle w:val="sb8d990e2"/>
          <w:rFonts w:ascii="Verdana" w:hAnsi="Verdana" w:cs="Arial"/>
          <w:sz w:val="16"/>
          <w:szCs w:val="16"/>
        </w:rPr>
        <w:t>re el artículo 34 (calidad de ví</w:t>
      </w:r>
      <w:r w:rsidRPr="00817CD9">
        <w:rPr>
          <w:rStyle w:val="sb8d990e2"/>
          <w:rFonts w:ascii="Verdana" w:hAnsi="Verdana" w:cs="Arial"/>
          <w:sz w:val="16"/>
          <w:szCs w:val="16"/>
        </w:rPr>
        <w:t xml:space="preserve">ctima) teórica e ilusoria. </w:t>
      </w:r>
      <w:r w:rsidRPr="006F2A55">
        <w:rPr>
          <w:rStyle w:val="sb8d990e2"/>
          <w:rFonts w:ascii="Verdana" w:hAnsi="Verdana" w:cs="Arial"/>
          <w:i/>
          <w:sz w:val="16"/>
          <w:szCs w:val="16"/>
          <w:lang w:val="es-CO"/>
        </w:rPr>
        <w:t xml:space="preserve">Caso </w:t>
      </w:r>
      <w:r w:rsidRPr="006F2A55">
        <w:rPr>
          <w:rFonts w:ascii="Verdana" w:hAnsi="Verdana"/>
          <w:i/>
          <w:sz w:val="16"/>
          <w:szCs w:val="16"/>
          <w:lang w:val="es-CO"/>
        </w:rPr>
        <w:t xml:space="preserve">AD Capital Bank vs. Bulgaria, </w:t>
      </w:r>
      <w:r w:rsidRPr="006F2A55">
        <w:rPr>
          <w:rFonts w:ascii="Verdana" w:hAnsi="Verdana"/>
          <w:sz w:val="16"/>
          <w:szCs w:val="16"/>
          <w:lang w:val="es-CO"/>
        </w:rPr>
        <w:t xml:space="preserve">No. 49429/99, </w:t>
      </w:r>
      <w:r>
        <w:rPr>
          <w:rFonts w:ascii="Verdana" w:hAnsi="Verdana"/>
          <w:sz w:val="16"/>
          <w:szCs w:val="16"/>
          <w:lang w:val="es-CO"/>
        </w:rPr>
        <w:t>Primera Sección- Admisibilidad</w:t>
      </w:r>
      <w:r w:rsidRPr="006F2A55">
        <w:rPr>
          <w:rFonts w:ascii="Verdana" w:hAnsi="Verdana"/>
          <w:sz w:val="16"/>
          <w:szCs w:val="16"/>
          <w:lang w:val="es-CO"/>
        </w:rPr>
        <w:t xml:space="preserve">, 9 de Septiembre de 2004.  </w:t>
      </w:r>
    </w:p>
  </w:footnote>
  <w:footnote w:id="51">
    <w:p w14:paraId="2FB65BC8" w14:textId="77777777" w:rsidR="008D3C6E" w:rsidRPr="006F2A55" w:rsidRDefault="008D3C6E" w:rsidP="00817CD9">
      <w:pPr>
        <w:spacing w:after="120" w:line="240" w:lineRule="auto"/>
        <w:jc w:val="both"/>
        <w:rPr>
          <w:rFonts w:ascii="Verdana" w:hAnsi="Verdana" w:cs="Arial"/>
          <w:color w:val="000000"/>
          <w:sz w:val="16"/>
          <w:szCs w:val="16"/>
        </w:rPr>
      </w:pPr>
      <w:r w:rsidRPr="00817CD9">
        <w:rPr>
          <w:rStyle w:val="FootnoteReference"/>
          <w:rFonts w:ascii="Verdana" w:hAnsi="Verdana"/>
          <w:sz w:val="16"/>
          <w:szCs w:val="16"/>
        </w:rPr>
        <w:footnoteRef/>
      </w:r>
      <w:r w:rsidRPr="00817CD9">
        <w:rPr>
          <w:rStyle w:val="sb8d990e2"/>
          <w:rFonts w:ascii="Verdana" w:hAnsi="Verdana" w:cs="Arial"/>
          <w:color w:val="000000"/>
          <w:sz w:val="16"/>
          <w:szCs w:val="16"/>
        </w:rPr>
        <w:tab/>
        <w:t>El Tribunal consideró que debido al conflicto de intereses entre la empresa y sus administradores y síndicos no era posible que el propio banco pudiera llevar el caso ante el Tribunal Europeo.</w:t>
      </w:r>
      <w:r w:rsidRPr="00817CD9">
        <w:rPr>
          <w:rStyle w:val="apple-converted-space"/>
          <w:rFonts w:ascii="Verdana" w:hAnsi="Verdana" w:cs="Arial"/>
          <w:color w:val="000000"/>
          <w:sz w:val="16"/>
          <w:szCs w:val="16"/>
        </w:rPr>
        <w:t> </w:t>
      </w:r>
      <w:r w:rsidRPr="00817CD9">
        <w:rPr>
          <w:rStyle w:val="sb8d990e2"/>
          <w:rFonts w:ascii="Verdana" w:hAnsi="Verdana" w:cs="Arial"/>
          <w:color w:val="000000"/>
          <w:sz w:val="16"/>
          <w:szCs w:val="16"/>
        </w:rPr>
        <w:t>Por otra parte, el Tribunal recordó que la parte demandante ocupaba una importante participación del 98% en el banco.</w:t>
      </w:r>
      <w:r w:rsidRPr="00817CD9">
        <w:rPr>
          <w:rStyle w:val="apple-converted-space"/>
          <w:rFonts w:ascii="Verdana" w:hAnsi="Verdana" w:cs="Arial"/>
          <w:color w:val="000000"/>
          <w:sz w:val="16"/>
          <w:szCs w:val="16"/>
        </w:rPr>
        <w:t> </w:t>
      </w:r>
      <w:r w:rsidRPr="00817CD9">
        <w:rPr>
          <w:rStyle w:val="sb8d990e2"/>
          <w:rFonts w:ascii="Verdana" w:hAnsi="Verdana" w:cs="Arial"/>
          <w:color w:val="000000"/>
          <w:sz w:val="16"/>
          <w:szCs w:val="16"/>
        </w:rPr>
        <w:t xml:space="preserve">Era, en efecto, llevar a cabo parte de su negocio a través del banco y tenia un interés personal directo en el objeto de la solicitud.  Por lo tanto, la Corte consideró que en las circunstancias especiales del presente caso, la parte solicitante podía presumirse de ser una víctima de las presuntas violaciones de la Convención que afectan a los derechos del banco. </w:t>
      </w:r>
      <w:r w:rsidRPr="006F2A55">
        <w:rPr>
          <w:rStyle w:val="sb8d990e2"/>
          <w:rFonts w:ascii="Verdana" w:hAnsi="Verdana" w:cs="Arial"/>
          <w:i/>
          <w:color w:val="000000"/>
          <w:sz w:val="16"/>
          <w:szCs w:val="16"/>
        </w:rPr>
        <w:t xml:space="preserve">Caso </w:t>
      </w:r>
      <w:r w:rsidRPr="006F2A55">
        <w:rPr>
          <w:rFonts w:ascii="Verdana" w:hAnsi="Verdana"/>
          <w:i/>
          <w:sz w:val="16"/>
          <w:szCs w:val="16"/>
        </w:rPr>
        <w:t xml:space="preserve">Camberrow MM5 AD </w:t>
      </w:r>
      <w:r>
        <w:rPr>
          <w:rFonts w:ascii="Verdana" w:hAnsi="Verdana"/>
          <w:i/>
          <w:sz w:val="16"/>
          <w:szCs w:val="16"/>
        </w:rPr>
        <w:t>V</w:t>
      </w:r>
      <w:r w:rsidRPr="006F2A55">
        <w:rPr>
          <w:rFonts w:ascii="Verdana" w:hAnsi="Verdana"/>
          <w:i/>
          <w:sz w:val="16"/>
          <w:szCs w:val="16"/>
        </w:rPr>
        <w:t xml:space="preserve">s. Bulgaria, </w:t>
      </w:r>
      <w:r w:rsidRPr="006F2A55">
        <w:rPr>
          <w:rFonts w:ascii="Verdana" w:hAnsi="Verdana"/>
          <w:sz w:val="16"/>
          <w:szCs w:val="16"/>
        </w:rPr>
        <w:t xml:space="preserve">No. 50357/94, </w:t>
      </w:r>
      <w:r w:rsidRPr="006F2A55">
        <w:rPr>
          <w:rStyle w:val="sb8d990e2"/>
          <w:rFonts w:ascii="Verdana" w:hAnsi="Verdana" w:cs="Arial"/>
          <w:color w:val="000000"/>
          <w:sz w:val="16"/>
          <w:szCs w:val="16"/>
        </w:rPr>
        <w:t xml:space="preserve">Decision of Admissibility, 4 de Abril de 2004. </w:t>
      </w:r>
    </w:p>
  </w:footnote>
  <w:footnote w:id="52">
    <w:p w14:paraId="01EBD330" w14:textId="77777777" w:rsidR="008D3C6E" w:rsidRPr="004E7130" w:rsidRDefault="008D3C6E" w:rsidP="004E7130">
      <w:pPr>
        <w:spacing w:after="120" w:line="240" w:lineRule="auto"/>
        <w:jc w:val="both"/>
        <w:rPr>
          <w:rFonts w:ascii="Verdana" w:hAnsi="Verdana" w:cs="Arial"/>
          <w:color w:val="000000"/>
          <w:sz w:val="16"/>
          <w:szCs w:val="16"/>
        </w:rPr>
      </w:pPr>
      <w:r w:rsidRPr="00817CD9">
        <w:rPr>
          <w:rStyle w:val="FootnoteReference"/>
          <w:rFonts w:ascii="Verdana" w:hAnsi="Verdana"/>
          <w:sz w:val="16"/>
          <w:szCs w:val="16"/>
        </w:rPr>
        <w:footnoteRef/>
      </w:r>
      <w:r w:rsidRPr="006F2A55">
        <w:rPr>
          <w:rFonts w:ascii="Verdana" w:hAnsi="Verdana"/>
          <w:sz w:val="16"/>
          <w:szCs w:val="16"/>
        </w:rPr>
        <w:tab/>
      </w:r>
      <w:r w:rsidRPr="006F2A55">
        <w:rPr>
          <w:rStyle w:val="sf6541cea"/>
          <w:rFonts w:ascii="Verdana" w:hAnsi="Verdana" w:cs="Arial"/>
          <w:i/>
          <w:sz w:val="16"/>
          <w:szCs w:val="16"/>
        </w:rPr>
        <w:t xml:space="preserve">Caso  Agrotexim y Otros </w:t>
      </w:r>
      <w:r>
        <w:rPr>
          <w:rStyle w:val="sf6541cea"/>
          <w:rFonts w:ascii="Verdana" w:hAnsi="Verdana" w:cs="Arial"/>
          <w:i/>
          <w:sz w:val="16"/>
          <w:szCs w:val="16"/>
        </w:rPr>
        <w:t>V</w:t>
      </w:r>
      <w:r w:rsidRPr="006F2A55">
        <w:rPr>
          <w:rStyle w:val="sf6541cea"/>
          <w:rFonts w:ascii="Verdana" w:hAnsi="Verdana" w:cs="Arial"/>
          <w:i/>
          <w:sz w:val="16"/>
          <w:szCs w:val="16"/>
        </w:rPr>
        <w:t>s. Grec</w:t>
      </w:r>
      <w:r>
        <w:rPr>
          <w:rStyle w:val="sf6541cea"/>
          <w:rFonts w:ascii="Verdana" w:hAnsi="Verdana" w:cs="Arial"/>
          <w:i/>
          <w:sz w:val="16"/>
          <w:szCs w:val="16"/>
        </w:rPr>
        <w:t>ia</w:t>
      </w:r>
      <w:r w:rsidRPr="006F2A55">
        <w:rPr>
          <w:rStyle w:val="sf6541cea"/>
          <w:rFonts w:ascii="Verdana" w:hAnsi="Verdana" w:cs="Arial"/>
          <w:sz w:val="16"/>
          <w:szCs w:val="16"/>
        </w:rPr>
        <w:t>, No, párr. 63-71;</w:t>
      </w:r>
      <w:r w:rsidRPr="006F2A55">
        <w:rPr>
          <w:rStyle w:val="sf6541cea"/>
          <w:rFonts w:ascii="Verdana" w:hAnsi="Verdana" w:cs="Arial"/>
          <w:i/>
          <w:sz w:val="16"/>
          <w:szCs w:val="16"/>
        </w:rPr>
        <w:t xml:space="preserve"> Caso </w:t>
      </w:r>
      <w:r w:rsidRPr="006F2A55">
        <w:rPr>
          <w:rFonts w:ascii="Verdana" w:hAnsi="Verdana"/>
          <w:i/>
          <w:sz w:val="16"/>
          <w:szCs w:val="16"/>
        </w:rPr>
        <w:t>AD Capital Bank vs. Bulgaria</w:t>
      </w:r>
      <w:r>
        <w:rPr>
          <w:rFonts w:ascii="Verdana" w:hAnsi="Verdana"/>
          <w:i/>
          <w:sz w:val="16"/>
          <w:szCs w:val="16"/>
        </w:rPr>
        <w:t>,</w:t>
      </w:r>
      <w:r w:rsidRPr="006F2A55">
        <w:rPr>
          <w:rFonts w:ascii="Verdana" w:hAnsi="Verdana"/>
          <w:sz w:val="16"/>
          <w:szCs w:val="16"/>
        </w:rPr>
        <w:t xml:space="preserve"> y </w:t>
      </w:r>
      <w:r w:rsidRPr="006F2A55">
        <w:rPr>
          <w:rStyle w:val="sb8d990e2"/>
          <w:rFonts w:ascii="Verdana" w:hAnsi="Verdana" w:cs="Arial"/>
          <w:i/>
          <w:color w:val="000000"/>
          <w:sz w:val="16"/>
          <w:szCs w:val="16"/>
        </w:rPr>
        <w:t xml:space="preserve">Caso </w:t>
      </w:r>
      <w:r w:rsidRPr="006F2A55">
        <w:rPr>
          <w:rFonts w:ascii="Verdana" w:hAnsi="Verdana"/>
          <w:i/>
          <w:sz w:val="16"/>
          <w:szCs w:val="16"/>
        </w:rPr>
        <w:t xml:space="preserve">Camberrow MM5 AD </w:t>
      </w:r>
      <w:r>
        <w:rPr>
          <w:rFonts w:ascii="Verdana" w:hAnsi="Verdana"/>
          <w:i/>
          <w:sz w:val="16"/>
          <w:szCs w:val="16"/>
        </w:rPr>
        <w:t>Vs</w:t>
      </w:r>
      <w:r w:rsidRPr="006F2A55">
        <w:rPr>
          <w:rFonts w:ascii="Verdana" w:hAnsi="Verdana"/>
          <w:i/>
          <w:sz w:val="16"/>
          <w:szCs w:val="16"/>
        </w:rPr>
        <w:t xml:space="preserve">. Bulgaria, </w:t>
      </w:r>
      <w:r w:rsidRPr="006F2A55">
        <w:rPr>
          <w:rStyle w:val="sb8d990e2"/>
          <w:rFonts w:ascii="Verdana" w:hAnsi="Verdana" w:cs="Arial"/>
          <w:color w:val="000000"/>
          <w:sz w:val="16"/>
          <w:szCs w:val="16"/>
        </w:rPr>
        <w:t xml:space="preserve">párr. </w:t>
      </w:r>
      <w:r w:rsidRPr="00817CD9">
        <w:rPr>
          <w:rStyle w:val="sb8d990e2"/>
          <w:rFonts w:ascii="Verdana" w:hAnsi="Verdana" w:cs="Arial"/>
          <w:color w:val="000000"/>
          <w:sz w:val="16"/>
          <w:szCs w:val="16"/>
        </w:rPr>
        <w:t>1.</w:t>
      </w:r>
    </w:p>
  </w:footnote>
  <w:footnote w:id="53">
    <w:p w14:paraId="4F118F82" w14:textId="77777777" w:rsidR="008D3C6E" w:rsidRPr="00817CD9" w:rsidRDefault="008D3C6E" w:rsidP="00817CD9">
      <w:pPr>
        <w:pStyle w:val="FootnoteText"/>
        <w:spacing w:after="120"/>
        <w:jc w:val="both"/>
        <w:rPr>
          <w:rFonts w:ascii="Verdana" w:hAnsi="Verdana"/>
          <w:sz w:val="16"/>
          <w:szCs w:val="16"/>
          <w:lang w:val="es-ES_tradnl"/>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sz w:val="16"/>
          <w:szCs w:val="16"/>
          <w:lang w:val="es-ES_tradnl"/>
        </w:rPr>
        <w:t>Cas</w:t>
      </w:r>
      <w:r>
        <w:rPr>
          <w:rFonts w:ascii="Verdana" w:hAnsi="Verdana"/>
          <w:i/>
          <w:sz w:val="16"/>
          <w:szCs w:val="16"/>
          <w:lang w:val="es-ES_tradnl"/>
        </w:rPr>
        <w:t>o</w:t>
      </w:r>
      <w:r w:rsidRPr="00817CD9">
        <w:rPr>
          <w:rFonts w:ascii="Verdana" w:hAnsi="Verdana"/>
          <w:i/>
          <w:sz w:val="16"/>
          <w:szCs w:val="16"/>
          <w:lang w:val="es-ES_tradnl"/>
        </w:rPr>
        <w:t xml:space="preserve"> </w:t>
      </w:r>
      <w:r w:rsidRPr="00817CD9">
        <w:rPr>
          <w:rFonts w:ascii="Verdana" w:hAnsi="Verdana"/>
          <w:i/>
          <w:sz w:val="16"/>
          <w:szCs w:val="16"/>
        </w:rPr>
        <w:t xml:space="preserve">Groppera Radio A.G. y </w:t>
      </w:r>
      <w:r>
        <w:rPr>
          <w:rFonts w:ascii="Verdana" w:hAnsi="Verdana"/>
          <w:i/>
          <w:sz w:val="16"/>
          <w:szCs w:val="16"/>
        </w:rPr>
        <w:t>O</w:t>
      </w:r>
      <w:r w:rsidRPr="00817CD9">
        <w:rPr>
          <w:rFonts w:ascii="Verdana" w:hAnsi="Verdana"/>
          <w:i/>
          <w:sz w:val="16"/>
          <w:szCs w:val="16"/>
        </w:rPr>
        <w:t xml:space="preserve">tros </w:t>
      </w:r>
      <w:r>
        <w:rPr>
          <w:rFonts w:ascii="Verdana" w:hAnsi="Verdana"/>
          <w:i/>
          <w:sz w:val="16"/>
          <w:szCs w:val="16"/>
        </w:rPr>
        <w:t>Vs</w:t>
      </w:r>
      <w:r w:rsidRPr="00817CD9">
        <w:rPr>
          <w:rFonts w:ascii="Verdana" w:hAnsi="Verdana"/>
          <w:i/>
          <w:sz w:val="16"/>
          <w:szCs w:val="16"/>
        </w:rPr>
        <w:t xml:space="preserve">. Suiza, </w:t>
      </w:r>
      <w:r w:rsidRPr="00817CD9">
        <w:rPr>
          <w:rFonts w:ascii="Verdana" w:hAnsi="Verdana"/>
          <w:sz w:val="16"/>
          <w:szCs w:val="16"/>
        </w:rPr>
        <w:t xml:space="preserve">No. 10890/84, 28 </w:t>
      </w:r>
      <w:r>
        <w:rPr>
          <w:rFonts w:ascii="Verdana" w:hAnsi="Verdana"/>
          <w:sz w:val="16"/>
          <w:szCs w:val="16"/>
        </w:rPr>
        <w:t xml:space="preserve">de </w:t>
      </w:r>
      <w:r w:rsidRPr="00817CD9">
        <w:rPr>
          <w:rFonts w:ascii="Verdana" w:hAnsi="Verdana"/>
          <w:sz w:val="16"/>
          <w:szCs w:val="16"/>
        </w:rPr>
        <w:t>Mar</w:t>
      </w:r>
      <w:r>
        <w:rPr>
          <w:rFonts w:ascii="Verdana" w:hAnsi="Verdana"/>
          <w:sz w:val="16"/>
          <w:szCs w:val="16"/>
        </w:rPr>
        <w:t>zo de</w:t>
      </w:r>
      <w:r w:rsidRPr="00817CD9">
        <w:rPr>
          <w:rFonts w:ascii="Verdana" w:hAnsi="Verdana"/>
          <w:sz w:val="16"/>
          <w:szCs w:val="16"/>
        </w:rPr>
        <w:t xml:space="preserve"> 1990, párrs. 46-51.</w:t>
      </w:r>
    </w:p>
  </w:footnote>
  <w:footnote w:id="54">
    <w:p w14:paraId="6FBB5B79" w14:textId="7DE65DD5" w:rsidR="008D3C6E" w:rsidRPr="004E7130" w:rsidRDefault="008D3C6E" w:rsidP="00817CD9">
      <w:pPr>
        <w:pStyle w:val="s32b251d"/>
        <w:shd w:val="clear" w:color="auto" w:fill="FFFFFF"/>
        <w:spacing w:before="0" w:beforeAutospacing="0" w:after="120" w:afterAutospacing="0"/>
        <w:jc w:val="both"/>
        <w:rPr>
          <w:rFonts w:ascii="Verdana" w:hAnsi="Verdana" w:cs="Arial"/>
          <w:sz w:val="16"/>
          <w:szCs w:val="16"/>
        </w:rPr>
      </w:pPr>
      <w:r w:rsidRPr="00817CD9">
        <w:rPr>
          <w:rStyle w:val="FootnoteReference"/>
          <w:rFonts w:ascii="Verdana" w:hAnsi="Verdana"/>
          <w:sz w:val="16"/>
          <w:szCs w:val="16"/>
        </w:rPr>
        <w:footnoteRef/>
      </w:r>
      <w:r w:rsidRPr="00817CD9">
        <w:rPr>
          <w:rStyle w:val="sb8d990e2"/>
          <w:rFonts w:ascii="Verdana" w:hAnsi="Verdana" w:cs="Arial"/>
          <w:sz w:val="16"/>
          <w:szCs w:val="16"/>
          <w:shd w:val="clear" w:color="auto" w:fill="FFFFFF"/>
        </w:rPr>
        <w:t> </w:t>
      </w:r>
      <w:r w:rsidRPr="00817CD9">
        <w:rPr>
          <w:rStyle w:val="sb8d990e2"/>
          <w:rFonts w:ascii="Verdana" w:hAnsi="Verdana" w:cs="Arial"/>
          <w:sz w:val="16"/>
          <w:szCs w:val="16"/>
          <w:shd w:val="clear" w:color="auto" w:fill="FFFFFF"/>
        </w:rPr>
        <w:tab/>
        <w:t xml:space="preserve">El Tribunal constató que en un primer momento se había establecido como víctima a la empresa solicitante,  Glas </w:t>
      </w:r>
      <w:proofErr w:type="spellStart"/>
      <w:r w:rsidRPr="00817CD9">
        <w:rPr>
          <w:rStyle w:val="sb8d990e2"/>
          <w:rFonts w:ascii="Verdana" w:hAnsi="Verdana" w:cs="Arial"/>
          <w:sz w:val="16"/>
          <w:szCs w:val="16"/>
          <w:shd w:val="clear" w:color="auto" w:fill="FFFFFF"/>
        </w:rPr>
        <w:t>Nadezhda</w:t>
      </w:r>
      <w:proofErr w:type="spellEnd"/>
      <w:r w:rsidRPr="00817CD9">
        <w:rPr>
          <w:rStyle w:val="sb8d990e2"/>
          <w:rFonts w:ascii="Verdana" w:hAnsi="Verdana" w:cs="Arial"/>
          <w:sz w:val="16"/>
          <w:szCs w:val="16"/>
          <w:shd w:val="clear" w:color="auto" w:fill="FFFFFF"/>
        </w:rPr>
        <w:t xml:space="preserve"> EOOD, pues fue la que solicitó y le fue negada una licencia. </w:t>
      </w:r>
      <w:r w:rsidRPr="00817CD9">
        <w:rPr>
          <w:rStyle w:val="apple-converted-space"/>
          <w:rFonts w:ascii="Verdana" w:hAnsi="Verdana" w:cs="Arial"/>
          <w:sz w:val="16"/>
          <w:szCs w:val="16"/>
          <w:shd w:val="clear" w:color="auto" w:fill="FFFFFF"/>
        </w:rPr>
        <w:t> </w:t>
      </w:r>
      <w:r w:rsidRPr="00817CD9">
        <w:rPr>
          <w:rStyle w:val="sb8d990e2"/>
          <w:rFonts w:ascii="Verdana" w:hAnsi="Verdana" w:cs="Arial"/>
          <w:sz w:val="16"/>
          <w:szCs w:val="16"/>
          <w:shd w:val="clear" w:color="auto" w:fill="FFFFFF"/>
        </w:rPr>
        <w:t xml:space="preserve">Así pues, la cuestión que surgió </w:t>
      </w:r>
      <w:r>
        <w:rPr>
          <w:rStyle w:val="sb8d990e2"/>
          <w:rFonts w:ascii="Verdana" w:hAnsi="Verdana" w:cs="Arial"/>
          <w:sz w:val="16"/>
          <w:szCs w:val="16"/>
          <w:shd w:val="clear" w:color="auto" w:fill="FFFFFF"/>
        </w:rPr>
        <w:t>fue</w:t>
      </w:r>
      <w:r w:rsidRPr="00817CD9">
        <w:rPr>
          <w:rStyle w:val="sb8d990e2"/>
          <w:rFonts w:ascii="Verdana" w:hAnsi="Verdana" w:cs="Arial"/>
          <w:sz w:val="16"/>
          <w:szCs w:val="16"/>
          <w:shd w:val="clear" w:color="auto" w:fill="FFFFFF"/>
        </w:rPr>
        <w:t xml:space="preserve"> si el segundo demandante, Sr. </w:t>
      </w:r>
      <w:proofErr w:type="spellStart"/>
      <w:r w:rsidRPr="00817CD9">
        <w:rPr>
          <w:rStyle w:val="sb8d990e2"/>
          <w:rFonts w:ascii="Verdana" w:hAnsi="Verdana" w:cs="Arial"/>
          <w:sz w:val="16"/>
          <w:szCs w:val="16"/>
          <w:shd w:val="clear" w:color="auto" w:fill="FFFFFF"/>
        </w:rPr>
        <w:t>Elenkov</w:t>
      </w:r>
      <w:proofErr w:type="spellEnd"/>
      <w:r w:rsidRPr="00817CD9">
        <w:rPr>
          <w:rStyle w:val="sb8d990e2"/>
          <w:rFonts w:ascii="Verdana" w:hAnsi="Verdana" w:cs="Arial"/>
          <w:sz w:val="16"/>
          <w:szCs w:val="16"/>
          <w:shd w:val="clear" w:color="auto" w:fill="FFFFFF"/>
        </w:rPr>
        <w:t>, quien e</w:t>
      </w:r>
      <w:r>
        <w:rPr>
          <w:rStyle w:val="sb8d990e2"/>
          <w:rFonts w:ascii="Verdana" w:hAnsi="Verdana" w:cs="Arial"/>
          <w:sz w:val="16"/>
          <w:szCs w:val="16"/>
          <w:shd w:val="clear" w:color="auto" w:fill="FFFFFF"/>
        </w:rPr>
        <w:t>n</w:t>
      </w:r>
      <w:r w:rsidRPr="00817CD9">
        <w:rPr>
          <w:rStyle w:val="sb8d990e2"/>
          <w:rFonts w:ascii="Verdana" w:hAnsi="Verdana" w:cs="Arial"/>
          <w:sz w:val="16"/>
          <w:szCs w:val="16"/>
          <w:shd w:val="clear" w:color="auto" w:fill="FFFFFF"/>
        </w:rPr>
        <w:t xml:space="preserve"> su condición de socio único y administrador, podía pretender ser una víctima en el sentido del artículo 34 de la Convención.</w:t>
      </w:r>
      <w:r w:rsidRPr="00817CD9">
        <w:rPr>
          <w:rStyle w:val="apple-converted-space"/>
          <w:rFonts w:ascii="Verdana" w:hAnsi="Verdana" w:cs="Arial"/>
          <w:sz w:val="16"/>
          <w:szCs w:val="16"/>
          <w:shd w:val="clear" w:color="auto" w:fill="FFFFFF"/>
        </w:rPr>
        <w:t xml:space="preserve">  </w:t>
      </w:r>
      <w:r w:rsidRPr="00817CD9">
        <w:rPr>
          <w:rStyle w:val="sb8d990e2"/>
          <w:rFonts w:ascii="Verdana" w:hAnsi="Verdana" w:cs="Arial"/>
          <w:sz w:val="16"/>
          <w:szCs w:val="16"/>
          <w:shd w:val="clear" w:color="auto" w:fill="FFFFFF"/>
        </w:rPr>
        <w:t>La Corte observó que en el caso de</w:t>
      </w:r>
      <w:r w:rsidRPr="00817CD9">
        <w:rPr>
          <w:rStyle w:val="apple-converted-space"/>
          <w:rFonts w:ascii="Verdana" w:hAnsi="Verdana" w:cs="Arial"/>
          <w:sz w:val="16"/>
          <w:szCs w:val="16"/>
          <w:shd w:val="clear" w:color="auto" w:fill="FFFFFF"/>
        </w:rPr>
        <w:t> </w:t>
      </w:r>
      <w:proofErr w:type="spellStart"/>
      <w:r>
        <w:rPr>
          <w:rStyle w:val="s6b621b36"/>
          <w:rFonts w:ascii="Verdana" w:hAnsi="Verdana" w:cs="Arial"/>
          <w:i/>
          <w:iCs/>
          <w:sz w:val="16"/>
          <w:szCs w:val="16"/>
          <w:shd w:val="clear" w:color="auto" w:fill="FFFFFF"/>
        </w:rPr>
        <w:t>Groppera</w:t>
      </w:r>
      <w:proofErr w:type="spellEnd"/>
      <w:r>
        <w:rPr>
          <w:rStyle w:val="s6b621b36"/>
          <w:rFonts w:ascii="Verdana" w:hAnsi="Verdana" w:cs="Arial"/>
          <w:i/>
          <w:iCs/>
          <w:sz w:val="16"/>
          <w:szCs w:val="16"/>
          <w:shd w:val="clear" w:color="auto" w:fill="FFFFFF"/>
        </w:rPr>
        <w:t xml:space="preserve"> Radio AG y otros Vs</w:t>
      </w:r>
      <w:r w:rsidRPr="00817CD9">
        <w:rPr>
          <w:rStyle w:val="s6b621b36"/>
          <w:rFonts w:ascii="Verdana" w:hAnsi="Verdana" w:cs="Arial"/>
          <w:i/>
          <w:iCs/>
          <w:sz w:val="16"/>
          <w:szCs w:val="16"/>
          <w:shd w:val="clear" w:color="auto" w:fill="FFFFFF"/>
        </w:rPr>
        <w:t>.</w:t>
      </w:r>
      <w:r w:rsidRPr="00817CD9">
        <w:rPr>
          <w:rStyle w:val="apple-converted-space"/>
          <w:rFonts w:ascii="Verdana" w:hAnsi="Verdana" w:cs="Arial"/>
          <w:i/>
          <w:iCs/>
          <w:sz w:val="16"/>
          <w:szCs w:val="16"/>
          <w:shd w:val="clear" w:color="auto" w:fill="FFFFFF"/>
        </w:rPr>
        <w:t> </w:t>
      </w:r>
      <w:r w:rsidRPr="00817CD9">
        <w:rPr>
          <w:rStyle w:val="s6b621b36"/>
          <w:rFonts w:ascii="Verdana" w:hAnsi="Verdana" w:cs="Arial"/>
          <w:i/>
          <w:iCs/>
          <w:sz w:val="16"/>
          <w:szCs w:val="16"/>
          <w:shd w:val="clear" w:color="auto" w:fill="FFFFFF"/>
        </w:rPr>
        <w:t>Suiza</w:t>
      </w:r>
      <w:r w:rsidRPr="00817CD9">
        <w:rPr>
          <w:rStyle w:val="apple-converted-space"/>
          <w:rFonts w:ascii="Verdana" w:hAnsi="Verdana" w:cs="Arial"/>
          <w:i/>
          <w:iCs/>
          <w:sz w:val="16"/>
          <w:szCs w:val="16"/>
          <w:shd w:val="clear" w:color="auto" w:fill="FFFFFF"/>
        </w:rPr>
        <w:t> </w:t>
      </w:r>
      <w:r w:rsidRPr="00817CD9">
        <w:rPr>
          <w:rStyle w:val="sb8d990e2"/>
          <w:rFonts w:ascii="Verdana" w:hAnsi="Verdana" w:cs="Arial"/>
          <w:sz w:val="16"/>
          <w:szCs w:val="16"/>
          <w:shd w:val="clear" w:color="auto" w:fill="FFFFFF"/>
        </w:rPr>
        <w:t xml:space="preserve">se encontró que el único accionista y representante legal de una empresa también podía ser considerado como una víctima en cuanto a la prohibición de la difusión. Dado el caso en cuestión, no se podía  distinguir lo contrario al caso anteriormente citado, por lo que la Corte consideró que el Sr. </w:t>
      </w:r>
      <w:proofErr w:type="spellStart"/>
      <w:r w:rsidRPr="00817CD9">
        <w:rPr>
          <w:rStyle w:val="sb8d990e2"/>
          <w:rFonts w:ascii="Verdana" w:hAnsi="Verdana" w:cs="Arial"/>
          <w:sz w:val="16"/>
          <w:szCs w:val="16"/>
          <w:shd w:val="clear" w:color="auto" w:fill="FFFFFF"/>
        </w:rPr>
        <w:t>Elenkov</w:t>
      </w:r>
      <w:proofErr w:type="spellEnd"/>
      <w:r w:rsidRPr="00817CD9">
        <w:rPr>
          <w:rStyle w:val="sb8d990e2"/>
          <w:rFonts w:ascii="Verdana" w:hAnsi="Verdana" w:cs="Arial"/>
          <w:sz w:val="16"/>
          <w:szCs w:val="16"/>
          <w:shd w:val="clear" w:color="auto" w:fill="FFFFFF"/>
        </w:rPr>
        <w:t xml:space="preserve"> también se podía presumir como víctima de una violación. </w:t>
      </w:r>
      <w:r w:rsidRPr="00817CD9">
        <w:rPr>
          <w:rStyle w:val="s7d2086b4"/>
          <w:rFonts w:ascii="Verdana" w:hAnsi="Verdana" w:cs="Arial"/>
          <w:bCs/>
          <w:i/>
          <w:sz w:val="16"/>
          <w:szCs w:val="16"/>
        </w:rPr>
        <w:t>Cas</w:t>
      </w:r>
      <w:r>
        <w:rPr>
          <w:rStyle w:val="s7d2086b4"/>
          <w:rFonts w:ascii="Verdana" w:hAnsi="Verdana" w:cs="Arial"/>
          <w:bCs/>
          <w:i/>
          <w:sz w:val="16"/>
          <w:szCs w:val="16"/>
        </w:rPr>
        <w:t>o</w:t>
      </w:r>
      <w:r w:rsidRPr="00817CD9">
        <w:rPr>
          <w:rStyle w:val="s7d2086b4"/>
          <w:rFonts w:ascii="Verdana" w:hAnsi="Verdana" w:cs="Arial"/>
          <w:bCs/>
          <w:i/>
          <w:sz w:val="16"/>
          <w:szCs w:val="16"/>
        </w:rPr>
        <w:t xml:space="preserve"> De Glas </w:t>
      </w:r>
      <w:proofErr w:type="spellStart"/>
      <w:r w:rsidRPr="00817CD9">
        <w:rPr>
          <w:rStyle w:val="s7d2086b4"/>
          <w:rFonts w:ascii="Verdana" w:hAnsi="Verdana" w:cs="Arial"/>
          <w:bCs/>
          <w:i/>
          <w:sz w:val="16"/>
          <w:szCs w:val="16"/>
        </w:rPr>
        <w:t>Nadezhda</w:t>
      </w:r>
      <w:proofErr w:type="spellEnd"/>
      <w:r w:rsidRPr="00817CD9">
        <w:rPr>
          <w:rStyle w:val="s7d2086b4"/>
          <w:rFonts w:ascii="Verdana" w:hAnsi="Verdana" w:cs="Arial"/>
          <w:bCs/>
          <w:i/>
          <w:sz w:val="16"/>
          <w:szCs w:val="16"/>
        </w:rPr>
        <w:t xml:space="preserve"> EOOD Y </w:t>
      </w:r>
      <w:proofErr w:type="spellStart"/>
      <w:r w:rsidRPr="00817CD9">
        <w:rPr>
          <w:rStyle w:val="s7d2086b4"/>
          <w:rFonts w:ascii="Verdana" w:hAnsi="Verdana" w:cs="Arial"/>
          <w:bCs/>
          <w:i/>
          <w:sz w:val="16"/>
          <w:szCs w:val="16"/>
        </w:rPr>
        <w:t>Elenkov</w:t>
      </w:r>
      <w:proofErr w:type="spellEnd"/>
      <w:r w:rsidRPr="00817CD9">
        <w:rPr>
          <w:rStyle w:val="s7d2086b4"/>
          <w:rFonts w:ascii="Verdana" w:hAnsi="Verdana" w:cs="Arial"/>
          <w:bCs/>
          <w:i/>
          <w:sz w:val="16"/>
          <w:szCs w:val="16"/>
        </w:rPr>
        <w:t xml:space="preserve"> </w:t>
      </w:r>
      <w:r>
        <w:rPr>
          <w:rStyle w:val="s7d2086b4"/>
          <w:rFonts w:ascii="Verdana" w:hAnsi="Verdana" w:cs="Arial"/>
          <w:bCs/>
          <w:i/>
          <w:sz w:val="16"/>
          <w:szCs w:val="16"/>
        </w:rPr>
        <w:t>Vs</w:t>
      </w:r>
      <w:r w:rsidRPr="00817CD9">
        <w:rPr>
          <w:rStyle w:val="s7d2086b4"/>
          <w:rFonts w:ascii="Verdana" w:hAnsi="Verdana" w:cs="Arial"/>
          <w:bCs/>
          <w:i/>
          <w:sz w:val="16"/>
          <w:szCs w:val="16"/>
        </w:rPr>
        <w:t>.</w:t>
      </w:r>
      <w:r w:rsidRPr="00817CD9">
        <w:rPr>
          <w:rStyle w:val="apple-converted-space"/>
          <w:rFonts w:ascii="Verdana" w:hAnsi="Verdana" w:cs="Arial"/>
          <w:bCs/>
          <w:i/>
          <w:sz w:val="16"/>
          <w:szCs w:val="16"/>
        </w:rPr>
        <w:t> </w:t>
      </w:r>
      <w:r w:rsidRPr="00817CD9">
        <w:rPr>
          <w:rStyle w:val="s7d2086b4"/>
          <w:rFonts w:ascii="Verdana" w:hAnsi="Verdana" w:cs="Arial"/>
          <w:bCs/>
          <w:i/>
          <w:sz w:val="16"/>
          <w:szCs w:val="16"/>
        </w:rPr>
        <w:t> Bulgaria</w:t>
      </w:r>
      <w:r>
        <w:rPr>
          <w:rStyle w:val="s7d2086b4"/>
          <w:rFonts w:ascii="Verdana" w:hAnsi="Verdana" w:cs="Arial"/>
          <w:bCs/>
          <w:sz w:val="16"/>
          <w:szCs w:val="16"/>
        </w:rPr>
        <w:t>,</w:t>
      </w:r>
      <w:r w:rsidRPr="00817CD9">
        <w:rPr>
          <w:rStyle w:val="s7d2086b4"/>
          <w:rFonts w:ascii="Verdana" w:hAnsi="Verdana" w:cs="Arial"/>
          <w:b/>
          <w:bCs/>
          <w:sz w:val="16"/>
          <w:szCs w:val="16"/>
        </w:rPr>
        <w:t xml:space="preserve"> </w:t>
      </w:r>
      <w:r w:rsidRPr="00817CD9">
        <w:rPr>
          <w:rStyle w:val="s6b621b36"/>
          <w:rFonts w:ascii="Verdana" w:hAnsi="Verdana" w:cs="Arial"/>
          <w:iCs/>
          <w:sz w:val="16"/>
          <w:szCs w:val="16"/>
        </w:rPr>
        <w:t xml:space="preserve">No. </w:t>
      </w:r>
      <w:r w:rsidRPr="00817CD9">
        <w:rPr>
          <w:rStyle w:val="apple-converted-space"/>
          <w:rFonts w:ascii="Verdana" w:hAnsi="Verdana" w:cs="Arial"/>
          <w:iCs/>
          <w:sz w:val="16"/>
          <w:szCs w:val="16"/>
        </w:rPr>
        <w:t xml:space="preserve">14134/02, 11 </w:t>
      </w:r>
      <w:r>
        <w:rPr>
          <w:rStyle w:val="apple-converted-space"/>
          <w:rFonts w:ascii="Verdana" w:hAnsi="Verdana" w:cs="Arial"/>
          <w:iCs/>
          <w:sz w:val="16"/>
          <w:szCs w:val="16"/>
        </w:rPr>
        <w:t xml:space="preserve">de </w:t>
      </w:r>
      <w:r w:rsidRPr="00817CD9">
        <w:rPr>
          <w:rStyle w:val="apple-converted-space"/>
          <w:rFonts w:ascii="Verdana" w:hAnsi="Verdana" w:cs="Arial"/>
          <w:iCs/>
          <w:sz w:val="16"/>
          <w:szCs w:val="16"/>
        </w:rPr>
        <w:t>Oct</w:t>
      </w:r>
      <w:r>
        <w:rPr>
          <w:rStyle w:val="apple-converted-space"/>
          <w:rFonts w:ascii="Verdana" w:hAnsi="Verdana" w:cs="Arial"/>
          <w:iCs/>
          <w:sz w:val="16"/>
          <w:szCs w:val="16"/>
        </w:rPr>
        <w:t>u</w:t>
      </w:r>
      <w:r w:rsidRPr="00817CD9">
        <w:rPr>
          <w:rStyle w:val="apple-converted-space"/>
          <w:rFonts w:ascii="Verdana" w:hAnsi="Verdana" w:cs="Arial"/>
          <w:iCs/>
          <w:sz w:val="16"/>
          <w:szCs w:val="16"/>
        </w:rPr>
        <w:t>br</w:t>
      </w:r>
      <w:r>
        <w:rPr>
          <w:rStyle w:val="apple-converted-space"/>
          <w:rFonts w:ascii="Verdana" w:hAnsi="Verdana" w:cs="Arial"/>
          <w:iCs/>
          <w:sz w:val="16"/>
          <w:szCs w:val="16"/>
        </w:rPr>
        <w:t>e</w:t>
      </w:r>
      <w:r w:rsidRPr="00817CD9">
        <w:rPr>
          <w:rStyle w:val="apple-converted-space"/>
          <w:rFonts w:ascii="Verdana" w:hAnsi="Verdana" w:cs="Arial"/>
          <w:iCs/>
          <w:sz w:val="16"/>
          <w:szCs w:val="16"/>
        </w:rPr>
        <w:t xml:space="preserve"> 2007</w:t>
      </w:r>
      <w:r w:rsidRPr="00817CD9">
        <w:rPr>
          <w:rStyle w:val="apple-converted-space"/>
          <w:rFonts w:ascii="Verdana" w:hAnsi="Verdana" w:cs="Arial"/>
          <w:i/>
          <w:iCs/>
          <w:sz w:val="16"/>
          <w:szCs w:val="16"/>
        </w:rPr>
        <w:t xml:space="preserve">. </w:t>
      </w:r>
    </w:p>
  </w:footnote>
  <w:footnote w:id="55">
    <w:p w14:paraId="01B11B5C" w14:textId="75294683" w:rsidR="008D3C6E" w:rsidRPr="004E7130"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t xml:space="preserve">Siguiendo </w:t>
      </w:r>
      <w:r>
        <w:rPr>
          <w:rFonts w:ascii="Verdana" w:hAnsi="Verdana"/>
          <w:sz w:val="16"/>
          <w:szCs w:val="16"/>
        </w:rPr>
        <w:t>el criterio desarrollado en el C</w:t>
      </w:r>
      <w:r w:rsidRPr="00817CD9">
        <w:rPr>
          <w:rFonts w:ascii="Verdana" w:hAnsi="Verdana"/>
          <w:sz w:val="16"/>
          <w:szCs w:val="16"/>
        </w:rPr>
        <w:t xml:space="preserve">aso </w:t>
      </w:r>
      <w:r w:rsidRPr="00817CD9">
        <w:rPr>
          <w:rStyle w:val="s6b621b36"/>
          <w:rFonts w:ascii="Verdana" w:hAnsi="Verdana" w:cs="Arial"/>
          <w:i/>
          <w:iCs/>
          <w:sz w:val="16"/>
          <w:szCs w:val="16"/>
          <w:shd w:val="clear" w:color="auto" w:fill="FFFFFF"/>
        </w:rPr>
        <w:t xml:space="preserve">Groppera Radio AG, </w:t>
      </w:r>
      <w:r w:rsidRPr="00817CD9">
        <w:rPr>
          <w:rStyle w:val="s6b621b36"/>
          <w:rFonts w:ascii="Verdana" w:hAnsi="Verdana" w:cs="Arial"/>
          <w:iCs/>
          <w:sz w:val="16"/>
          <w:szCs w:val="16"/>
          <w:shd w:val="clear" w:color="auto" w:fill="FFFFFF"/>
        </w:rPr>
        <w:t>de nuev</w:t>
      </w:r>
      <w:r>
        <w:rPr>
          <w:rStyle w:val="s6b621b36"/>
          <w:rFonts w:ascii="Verdana" w:hAnsi="Verdana" w:cs="Arial"/>
          <w:iCs/>
          <w:sz w:val="16"/>
          <w:szCs w:val="16"/>
          <w:shd w:val="clear" w:color="auto" w:fill="FFFFFF"/>
        </w:rPr>
        <w:t>o</w:t>
      </w:r>
      <w:r w:rsidRPr="00817CD9">
        <w:rPr>
          <w:rStyle w:val="s6b621b36"/>
          <w:rFonts w:ascii="Verdana" w:hAnsi="Verdana" w:cs="Arial"/>
          <w:iCs/>
          <w:sz w:val="16"/>
          <w:szCs w:val="16"/>
          <w:shd w:val="clear" w:color="auto" w:fill="FFFFFF"/>
        </w:rPr>
        <w:t xml:space="preserve"> e</w:t>
      </w:r>
      <w:r w:rsidRPr="00817CD9">
        <w:rPr>
          <w:rFonts w:ascii="Verdana" w:hAnsi="Verdana"/>
          <w:sz w:val="16"/>
          <w:szCs w:val="16"/>
        </w:rPr>
        <w:t xml:space="preserve">n este caso la Corte Europea consideró admisible que el único accionista de una sociedad acuda individualmente a los órganos del Sistema Europeo de Derechos Humanos para reclamar la violación de derechos de la sociedad y, además, consideró que </w:t>
      </w:r>
      <w:r w:rsidRPr="00817CD9">
        <w:rPr>
          <w:rFonts w:ascii="Verdana" w:hAnsi="Verdana"/>
          <w:i/>
          <w:sz w:val="16"/>
          <w:szCs w:val="16"/>
        </w:rPr>
        <w:t>no había riesgo de opiniones divergentes entre los accionistas o entre estos y la junta directiva. Cas</w:t>
      </w:r>
      <w:r>
        <w:rPr>
          <w:rFonts w:ascii="Verdana" w:hAnsi="Verdana"/>
          <w:i/>
          <w:sz w:val="16"/>
          <w:szCs w:val="16"/>
        </w:rPr>
        <w:t>o</w:t>
      </w:r>
      <w:r w:rsidRPr="00817CD9">
        <w:rPr>
          <w:rFonts w:ascii="Verdana" w:hAnsi="Verdana"/>
          <w:i/>
          <w:sz w:val="16"/>
          <w:szCs w:val="16"/>
        </w:rPr>
        <w:t xml:space="preserve"> Ankarcrona </w:t>
      </w:r>
      <w:r>
        <w:rPr>
          <w:rFonts w:ascii="Verdana" w:hAnsi="Verdana"/>
          <w:i/>
          <w:sz w:val="16"/>
          <w:szCs w:val="16"/>
        </w:rPr>
        <w:t>Vs</w:t>
      </w:r>
      <w:r w:rsidRPr="00817CD9">
        <w:rPr>
          <w:rFonts w:ascii="Verdana" w:hAnsi="Verdana"/>
          <w:i/>
          <w:sz w:val="16"/>
          <w:szCs w:val="16"/>
        </w:rPr>
        <w:t xml:space="preserve">. Suecia, </w:t>
      </w:r>
      <w:r w:rsidRPr="00817CD9">
        <w:rPr>
          <w:rFonts w:ascii="Verdana" w:hAnsi="Verdana"/>
          <w:sz w:val="16"/>
          <w:szCs w:val="16"/>
        </w:rPr>
        <w:t xml:space="preserve">No. 35178/97, 26 </w:t>
      </w:r>
      <w:r>
        <w:rPr>
          <w:rFonts w:ascii="Verdana" w:hAnsi="Verdana"/>
          <w:sz w:val="16"/>
          <w:szCs w:val="16"/>
        </w:rPr>
        <w:t xml:space="preserve">de </w:t>
      </w:r>
      <w:r w:rsidRPr="00817CD9">
        <w:rPr>
          <w:rFonts w:ascii="Verdana" w:hAnsi="Verdana"/>
          <w:sz w:val="16"/>
          <w:szCs w:val="16"/>
        </w:rPr>
        <w:t>Octubr</w:t>
      </w:r>
      <w:r>
        <w:rPr>
          <w:rFonts w:ascii="Verdana" w:hAnsi="Verdana"/>
          <w:sz w:val="16"/>
          <w:szCs w:val="16"/>
        </w:rPr>
        <w:t>e de</w:t>
      </w:r>
      <w:r w:rsidRPr="00817CD9">
        <w:rPr>
          <w:rFonts w:ascii="Verdana" w:hAnsi="Verdana"/>
          <w:sz w:val="16"/>
          <w:szCs w:val="16"/>
        </w:rPr>
        <w:t xml:space="preserve"> 2000.</w:t>
      </w:r>
    </w:p>
  </w:footnote>
  <w:footnote w:id="56">
    <w:p w14:paraId="02734934" w14:textId="77777777"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t xml:space="preserve">El Tribunal Europeo arribó a la conclusión de que un accionista único que detentaba la casi totalidad del capital social, salvo un pequeño porcentaje perteneciente a su esposa, tenía la condición de víctima por violaciones al Convenio Europeo en perjuicio directo de la sociedad, porque esta debía considerarse como un mero vehículo para su actividad comercial. En lo particular, entre  julio de 1986 y noviembre  de 1986, el peticionario detentó todas las acciones de la sociedad, salvo 40 acciones que estaban en nombre de su esposa, del 29 de noviembre de 1986 en adelante, poseyó todas las acciones excepto 1 que seguía a nombre de su esposa y el 3 de abril de 1996 la titularidad total fue cedida al peticionario. En la opinión del Tribunal Europeo, ambos demandantes (la empresa y el peticionario) se identifican tan estrechamente que sería artificial observar a cada uno como un solicitante en su propio nombre. En realidad la empresa es la compañía del segundo demandante y el vehículo para su actividad comercial. </w:t>
      </w:r>
      <w:r w:rsidRPr="00817CD9">
        <w:rPr>
          <w:rFonts w:ascii="Verdana" w:hAnsi="Verdana"/>
          <w:i/>
          <w:sz w:val="16"/>
          <w:szCs w:val="16"/>
          <w:lang w:val="es-ES_tradnl"/>
        </w:rPr>
        <w:t>Cas</w:t>
      </w:r>
      <w:r>
        <w:rPr>
          <w:rFonts w:ascii="Verdana" w:hAnsi="Verdana"/>
          <w:i/>
          <w:sz w:val="16"/>
          <w:szCs w:val="16"/>
          <w:lang w:val="es-ES_tradnl"/>
        </w:rPr>
        <w:t>o</w:t>
      </w:r>
      <w:r w:rsidRPr="00817CD9">
        <w:rPr>
          <w:rFonts w:ascii="Verdana" w:hAnsi="Verdana"/>
          <w:i/>
          <w:sz w:val="16"/>
          <w:szCs w:val="16"/>
          <w:lang w:val="es-ES_tradnl"/>
        </w:rPr>
        <w:t xml:space="preserve"> </w:t>
      </w:r>
      <w:r w:rsidRPr="00817CD9">
        <w:rPr>
          <w:rFonts w:ascii="Verdana" w:hAnsi="Verdana"/>
          <w:i/>
          <w:sz w:val="16"/>
          <w:szCs w:val="16"/>
        </w:rPr>
        <w:t xml:space="preserve">Eugenia Michaelidou Developments LTD y Michael Tymios Vs. Turquía, </w:t>
      </w:r>
      <w:r w:rsidRPr="00817CD9">
        <w:rPr>
          <w:rFonts w:ascii="Verdana" w:hAnsi="Verdana"/>
          <w:sz w:val="16"/>
          <w:szCs w:val="16"/>
        </w:rPr>
        <w:t>No. 16163/90, 31</w:t>
      </w:r>
      <w:r>
        <w:rPr>
          <w:rFonts w:ascii="Verdana" w:hAnsi="Verdana"/>
          <w:sz w:val="16"/>
          <w:szCs w:val="16"/>
        </w:rPr>
        <w:t xml:space="preserve"> de</w:t>
      </w:r>
      <w:r w:rsidRPr="00817CD9">
        <w:rPr>
          <w:rFonts w:ascii="Verdana" w:hAnsi="Verdana"/>
          <w:sz w:val="16"/>
          <w:szCs w:val="16"/>
        </w:rPr>
        <w:t xml:space="preserve"> Jul</w:t>
      </w:r>
      <w:r>
        <w:rPr>
          <w:rFonts w:ascii="Verdana" w:hAnsi="Verdana"/>
          <w:sz w:val="16"/>
          <w:szCs w:val="16"/>
        </w:rPr>
        <w:t>io</w:t>
      </w:r>
      <w:r w:rsidRPr="00817CD9">
        <w:rPr>
          <w:rFonts w:ascii="Verdana" w:hAnsi="Verdana"/>
          <w:sz w:val="16"/>
          <w:szCs w:val="16"/>
        </w:rPr>
        <w:t xml:space="preserve"> 2003.</w:t>
      </w:r>
    </w:p>
  </w:footnote>
  <w:footnote w:id="57">
    <w:p w14:paraId="1BCC0CE3" w14:textId="4B82F7E4" w:rsidR="008D3C6E" w:rsidRPr="00DE5E41" w:rsidRDefault="008D3C6E" w:rsidP="00817CD9">
      <w:pPr>
        <w:pStyle w:val="s32b251d"/>
        <w:shd w:val="clear" w:color="auto" w:fill="FFFFFF"/>
        <w:spacing w:before="0" w:beforeAutospacing="0" w:after="120" w:afterAutospacing="0"/>
        <w:jc w:val="both"/>
        <w:rPr>
          <w:rFonts w:ascii="Verdana" w:hAnsi="Verdana" w:cs="Arial"/>
          <w:sz w:val="16"/>
          <w:szCs w:val="16"/>
        </w:rPr>
      </w:pPr>
      <w:r w:rsidRPr="00817CD9">
        <w:rPr>
          <w:rStyle w:val="FootnoteReference"/>
          <w:rFonts w:ascii="Verdana" w:hAnsi="Verdana"/>
          <w:sz w:val="16"/>
          <w:szCs w:val="16"/>
        </w:rPr>
        <w:footnoteRef/>
      </w:r>
      <w:r w:rsidRPr="00817CD9">
        <w:rPr>
          <w:rStyle w:val="s7d2086b4"/>
          <w:rFonts w:ascii="Verdana" w:hAnsi="Verdana" w:cs="Arial"/>
          <w:bCs/>
          <w:i/>
          <w:sz w:val="16"/>
          <w:szCs w:val="16"/>
        </w:rPr>
        <w:tab/>
        <w:t>Cas</w:t>
      </w:r>
      <w:r>
        <w:rPr>
          <w:rStyle w:val="s7d2086b4"/>
          <w:rFonts w:ascii="Verdana" w:hAnsi="Verdana" w:cs="Arial"/>
          <w:bCs/>
          <w:i/>
          <w:sz w:val="16"/>
          <w:szCs w:val="16"/>
        </w:rPr>
        <w:t>o</w:t>
      </w:r>
      <w:r w:rsidRPr="00817CD9">
        <w:rPr>
          <w:rStyle w:val="s7d2086b4"/>
          <w:rFonts w:ascii="Verdana" w:hAnsi="Verdana" w:cs="Arial"/>
          <w:bCs/>
          <w:i/>
          <w:sz w:val="16"/>
          <w:szCs w:val="16"/>
        </w:rPr>
        <w:t xml:space="preserve"> De Glas </w:t>
      </w:r>
      <w:proofErr w:type="spellStart"/>
      <w:r w:rsidRPr="00817CD9">
        <w:rPr>
          <w:rStyle w:val="s7d2086b4"/>
          <w:rFonts w:ascii="Verdana" w:hAnsi="Verdana" w:cs="Arial"/>
          <w:bCs/>
          <w:i/>
          <w:sz w:val="16"/>
          <w:szCs w:val="16"/>
        </w:rPr>
        <w:t>Nadezhda</w:t>
      </w:r>
      <w:proofErr w:type="spellEnd"/>
      <w:r w:rsidRPr="00817CD9">
        <w:rPr>
          <w:rStyle w:val="s7d2086b4"/>
          <w:rFonts w:ascii="Verdana" w:hAnsi="Verdana" w:cs="Arial"/>
          <w:bCs/>
          <w:i/>
          <w:sz w:val="16"/>
          <w:szCs w:val="16"/>
        </w:rPr>
        <w:t xml:space="preserve"> EOOD Y </w:t>
      </w:r>
      <w:proofErr w:type="spellStart"/>
      <w:r w:rsidRPr="00817CD9">
        <w:rPr>
          <w:rStyle w:val="s7d2086b4"/>
          <w:rFonts w:ascii="Verdana" w:hAnsi="Verdana" w:cs="Arial"/>
          <w:bCs/>
          <w:i/>
          <w:sz w:val="16"/>
          <w:szCs w:val="16"/>
        </w:rPr>
        <w:t>Elenkov</w:t>
      </w:r>
      <w:proofErr w:type="spellEnd"/>
      <w:r w:rsidRPr="00817CD9">
        <w:rPr>
          <w:rStyle w:val="s7d2086b4"/>
          <w:rFonts w:ascii="Verdana" w:hAnsi="Verdana" w:cs="Arial"/>
          <w:bCs/>
          <w:i/>
          <w:sz w:val="16"/>
          <w:szCs w:val="16"/>
        </w:rPr>
        <w:t xml:space="preserve"> </w:t>
      </w:r>
      <w:r>
        <w:rPr>
          <w:rStyle w:val="s7d2086b4"/>
          <w:rFonts w:ascii="Verdana" w:hAnsi="Verdana" w:cs="Arial"/>
          <w:bCs/>
          <w:i/>
          <w:sz w:val="16"/>
          <w:szCs w:val="16"/>
        </w:rPr>
        <w:t>Vs</w:t>
      </w:r>
      <w:r w:rsidRPr="00817CD9">
        <w:rPr>
          <w:rStyle w:val="s7d2086b4"/>
          <w:rFonts w:ascii="Verdana" w:hAnsi="Verdana" w:cs="Arial"/>
          <w:bCs/>
          <w:i/>
          <w:sz w:val="16"/>
          <w:szCs w:val="16"/>
        </w:rPr>
        <w:t>.</w:t>
      </w:r>
      <w:r w:rsidRPr="00817CD9">
        <w:rPr>
          <w:rStyle w:val="apple-converted-space"/>
          <w:rFonts w:ascii="Verdana" w:hAnsi="Verdana" w:cs="Arial"/>
          <w:bCs/>
          <w:i/>
          <w:sz w:val="16"/>
          <w:szCs w:val="16"/>
        </w:rPr>
        <w:t> </w:t>
      </w:r>
      <w:r w:rsidRPr="00817CD9">
        <w:rPr>
          <w:rStyle w:val="s7d2086b4"/>
          <w:rFonts w:ascii="Verdana" w:hAnsi="Verdana" w:cs="Arial"/>
          <w:bCs/>
          <w:i/>
          <w:sz w:val="16"/>
          <w:szCs w:val="16"/>
        </w:rPr>
        <w:t> Bulgaria</w:t>
      </w:r>
      <w:r w:rsidRPr="00817CD9">
        <w:rPr>
          <w:rStyle w:val="s7d2086b4"/>
          <w:rFonts w:ascii="Verdana" w:hAnsi="Verdana" w:cs="Arial"/>
          <w:b/>
          <w:bCs/>
          <w:sz w:val="16"/>
          <w:szCs w:val="16"/>
        </w:rPr>
        <w:t xml:space="preserve">, </w:t>
      </w:r>
      <w:proofErr w:type="spellStart"/>
      <w:r w:rsidRPr="00817CD9">
        <w:rPr>
          <w:rStyle w:val="apple-converted-space"/>
          <w:rFonts w:ascii="Verdana" w:hAnsi="Verdana" w:cs="Arial"/>
          <w:iCs/>
          <w:sz w:val="16"/>
          <w:szCs w:val="16"/>
        </w:rPr>
        <w:t>p</w:t>
      </w:r>
      <w:r>
        <w:rPr>
          <w:rStyle w:val="apple-converted-space"/>
          <w:rFonts w:ascii="Verdana" w:hAnsi="Verdana" w:cs="Arial"/>
          <w:iCs/>
          <w:sz w:val="16"/>
          <w:szCs w:val="16"/>
        </w:rPr>
        <w:t>á</w:t>
      </w:r>
      <w:r w:rsidRPr="00817CD9">
        <w:rPr>
          <w:rStyle w:val="apple-converted-space"/>
          <w:rFonts w:ascii="Verdana" w:hAnsi="Verdana" w:cs="Arial"/>
          <w:iCs/>
          <w:sz w:val="16"/>
          <w:szCs w:val="16"/>
        </w:rPr>
        <w:t>rrs</w:t>
      </w:r>
      <w:proofErr w:type="spellEnd"/>
      <w:r w:rsidRPr="00817CD9">
        <w:rPr>
          <w:rStyle w:val="apple-converted-space"/>
          <w:rFonts w:ascii="Verdana" w:hAnsi="Verdana" w:cs="Arial"/>
          <w:iCs/>
          <w:sz w:val="16"/>
          <w:szCs w:val="16"/>
        </w:rPr>
        <w:t>. 40 y 41</w:t>
      </w:r>
      <w:r w:rsidRPr="00817CD9">
        <w:rPr>
          <w:rStyle w:val="apple-converted-space"/>
          <w:rFonts w:ascii="Verdana" w:hAnsi="Verdana" w:cs="Arial"/>
          <w:i/>
          <w:iCs/>
          <w:sz w:val="16"/>
          <w:szCs w:val="16"/>
        </w:rPr>
        <w:t xml:space="preserve">; </w:t>
      </w:r>
      <w:proofErr w:type="spellStart"/>
      <w:r w:rsidRPr="00817CD9">
        <w:rPr>
          <w:rFonts w:ascii="Verdana" w:hAnsi="Verdana"/>
          <w:i/>
          <w:sz w:val="16"/>
          <w:szCs w:val="16"/>
        </w:rPr>
        <w:t>Ca</w:t>
      </w:r>
      <w:r>
        <w:rPr>
          <w:rFonts w:ascii="Verdana" w:hAnsi="Verdana"/>
          <w:i/>
          <w:sz w:val="16"/>
          <w:szCs w:val="16"/>
        </w:rPr>
        <w:t>o</w:t>
      </w:r>
      <w:r w:rsidRPr="00817CD9">
        <w:rPr>
          <w:rFonts w:ascii="Verdana" w:hAnsi="Verdana"/>
          <w:i/>
          <w:sz w:val="16"/>
          <w:szCs w:val="16"/>
        </w:rPr>
        <w:t>e</w:t>
      </w:r>
      <w:proofErr w:type="spellEnd"/>
      <w:r w:rsidRPr="00817CD9">
        <w:rPr>
          <w:rFonts w:ascii="Verdana" w:hAnsi="Verdana"/>
          <w:i/>
          <w:sz w:val="16"/>
          <w:szCs w:val="16"/>
        </w:rPr>
        <w:t xml:space="preserve"> </w:t>
      </w:r>
      <w:proofErr w:type="spellStart"/>
      <w:r w:rsidRPr="00817CD9">
        <w:rPr>
          <w:rFonts w:ascii="Verdana" w:hAnsi="Verdana"/>
          <w:i/>
          <w:sz w:val="16"/>
          <w:szCs w:val="16"/>
        </w:rPr>
        <w:t>Ankarcrona</w:t>
      </w:r>
      <w:proofErr w:type="spellEnd"/>
      <w:r w:rsidRPr="00817CD9">
        <w:rPr>
          <w:rFonts w:ascii="Verdana" w:hAnsi="Verdana"/>
          <w:i/>
          <w:sz w:val="16"/>
          <w:szCs w:val="16"/>
        </w:rPr>
        <w:t xml:space="preserve"> </w:t>
      </w:r>
      <w:r>
        <w:rPr>
          <w:rFonts w:ascii="Verdana" w:hAnsi="Verdana"/>
          <w:i/>
          <w:sz w:val="16"/>
          <w:szCs w:val="16"/>
        </w:rPr>
        <w:t>Vs</w:t>
      </w:r>
      <w:r w:rsidRPr="00817CD9">
        <w:rPr>
          <w:rFonts w:ascii="Verdana" w:hAnsi="Verdana"/>
          <w:i/>
          <w:sz w:val="16"/>
          <w:szCs w:val="16"/>
        </w:rPr>
        <w:t xml:space="preserve">. Suecia, </w:t>
      </w:r>
      <w:r w:rsidRPr="00817CD9">
        <w:rPr>
          <w:rFonts w:ascii="Verdana" w:hAnsi="Verdana"/>
          <w:sz w:val="16"/>
          <w:szCs w:val="16"/>
        </w:rPr>
        <w:t xml:space="preserve">párr. 24 y </w:t>
      </w:r>
      <w:r w:rsidRPr="00817CD9">
        <w:rPr>
          <w:rFonts w:ascii="Verdana" w:hAnsi="Verdana"/>
          <w:i/>
          <w:sz w:val="16"/>
          <w:szCs w:val="16"/>
        </w:rPr>
        <w:t>Cas</w:t>
      </w:r>
      <w:r>
        <w:rPr>
          <w:rFonts w:ascii="Verdana" w:hAnsi="Verdana"/>
          <w:i/>
          <w:sz w:val="16"/>
          <w:szCs w:val="16"/>
        </w:rPr>
        <w:t>o</w:t>
      </w:r>
      <w:r w:rsidRPr="00817CD9">
        <w:rPr>
          <w:rFonts w:ascii="Verdana" w:hAnsi="Verdana"/>
          <w:i/>
          <w:sz w:val="16"/>
          <w:szCs w:val="16"/>
        </w:rPr>
        <w:t xml:space="preserve"> Eugenia </w:t>
      </w:r>
      <w:proofErr w:type="spellStart"/>
      <w:r w:rsidRPr="00817CD9">
        <w:rPr>
          <w:rFonts w:ascii="Verdana" w:hAnsi="Verdana"/>
          <w:i/>
          <w:sz w:val="16"/>
          <w:szCs w:val="16"/>
        </w:rPr>
        <w:t>Michaelidou</w:t>
      </w:r>
      <w:proofErr w:type="spellEnd"/>
      <w:r>
        <w:rPr>
          <w:rFonts w:ascii="Verdana" w:hAnsi="Verdana"/>
          <w:i/>
          <w:sz w:val="16"/>
          <w:szCs w:val="16"/>
        </w:rPr>
        <w:t xml:space="preserve"> </w:t>
      </w:r>
      <w:proofErr w:type="spellStart"/>
      <w:r w:rsidRPr="00817CD9">
        <w:rPr>
          <w:rFonts w:ascii="Verdana" w:hAnsi="Verdana"/>
          <w:i/>
          <w:sz w:val="16"/>
          <w:szCs w:val="16"/>
        </w:rPr>
        <w:t>Developments</w:t>
      </w:r>
      <w:proofErr w:type="spellEnd"/>
      <w:r w:rsidRPr="00817CD9">
        <w:rPr>
          <w:rFonts w:ascii="Verdana" w:hAnsi="Verdana"/>
          <w:i/>
          <w:sz w:val="16"/>
          <w:szCs w:val="16"/>
        </w:rPr>
        <w:t xml:space="preserve"> LTD y Michael </w:t>
      </w:r>
      <w:proofErr w:type="spellStart"/>
      <w:r w:rsidRPr="00817CD9">
        <w:rPr>
          <w:rFonts w:ascii="Verdana" w:hAnsi="Verdana"/>
          <w:i/>
          <w:sz w:val="16"/>
          <w:szCs w:val="16"/>
        </w:rPr>
        <w:t>Tymios</w:t>
      </w:r>
      <w:proofErr w:type="spellEnd"/>
      <w:r w:rsidRPr="00817CD9">
        <w:rPr>
          <w:rFonts w:ascii="Verdana" w:hAnsi="Verdana"/>
          <w:i/>
          <w:sz w:val="16"/>
          <w:szCs w:val="16"/>
        </w:rPr>
        <w:t xml:space="preserve"> Vs. Turquía</w:t>
      </w:r>
      <w:r>
        <w:rPr>
          <w:rFonts w:ascii="Verdana" w:hAnsi="Verdana"/>
          <w:i/>
          <w:sz w:val="16"/>
          <w:szCs w:val="16"/>
        </w:rPr>
        <w:t xml:space="preserve">, </w:t>
      </w:r>
      <w:r w:rsidRPr="00817CD9">
        <w:rPr>
          <w:rFonts w:ascii="Verdana" w:hAnsi="Verdana"/>
          <w:sz w:val="16"/>
          <w:szCs w:val="16"/>
        </w:rPr>
        <w:t xml:space="preserve">párr. 21. </w:t>
      </w:r>
      <w:r w:rsidRPr="00817CD9">
        <w:rPr>
          <w:rStyle w:val="sae070d1d"/>
          <w:rFonts w:ascii="Verdana" w:hAnsi="Verdana" w:cs="Arial"/>
          <w:color w:val="000000"/>
          <w:sz w:val="16"/>
          <w:szCs w:val="16"/>
        </w:rPr>
        <w:t> </w:t>
      </w:r>
    </w:p>
  </w:footnote>
  <w:footnote w:id="58">
    <w:p w14:paraId="7E172564" w14:textId="77777777" w:rsidR="008D3C6E" w:rsidRPr="00950C85" w:rsidRDefault="008D3C6E" w:rsidP="00817CD9">
      <w:pPr>
        <w:pStyle w:val="FootnoteText"/>
        <w:spacing w:after="120"/>
        <w:jc w:val="both"/>
        <w:rPr>
          <w:rFonts w:ascii="Verdana" w:hAnsi="Verdana"/>
          <w:sz w:val="16"/>
          <w:szCs w:val="16"/>
          <w:lang w:val="es-CO"/>
        </w:rPr>
      </w:pPr>
      <w:r w:rsidRPr="00817CD9">
        <w:rPr>
          <w:rStyle w:val="FootnoteReference"/>
          <w:rFonts w:ascii="Verdana" w:hAnsi="Verdana"/>
          <w:sz w:val="16"/>
          <w:szCs w:val="16"/>
        </w:rPr>
        <w:footnoteRef/>
      </w:r>
      <w:r w:rsidRPr="00817CD9">
        <w:rPr>
          <w:rFonts w:ascii="Verdana" w:hAnsi="Verdana"/>
          <w:sz w:val="16"/>
          <w:szCs w:val="16"/>
        </w:rPr>
        <w:tab/>
        <w:t xml:space="preserve">El demandante era socio de la mitad de una sociedad, la Corte Europea reconoció la condición de víctima al demandante que tenía el 50 % de participación de una sociedad de responsabilidad limitada junto con su hermano, que era titular del otro 50 %. Ambos habían constituido esa sociedad aportando inmuebles que constituían el patrimonio familiar, que fueron objeto de ocupación por las fuerzas antiterroristas rusas de Chechenia. Solo uno de los hermanos acudió a la Corte Europea, pero no así el otro ni la sociedad. La Corte Europea consideró admisible esa petición dada la cercanía entre los dos hermanos, que manejaron siempre juntos a través de la empresa los negocios de la familia. El hermano denunciante tuvo siempre la representación del otro ante los tribunales nacionales y apoyó siempre la denuncia de su hermano en Estrasburgo, otorgándole incluso un poder para el caso que fuera necesario. Así, en las reparaciones la Corte Europea solo se limitó a decidir sobre el 50 % del patrimonio afectado. </w:t>
      </w:r>
      <w:r w:rsidRPr="00BA60C6">
        <w:rPr>
          <w:rFonts w:ascii="Verdana" w:hAnsi="Verdana"/>
          <w:i/>
          <w:sz w:val="16"/>
          <w:szCs w:val="16"/>
          <w:lang w:val="es-CO"/>
        </w:rPr>
        <w:t xml:space="preserve">Caso  Khamidov </w:t>
      </w:r>
      <w:r>
        <w:rPr>
          <w:rFonts w:ascii="Verdana" w:hAnsi="Verdana"/>
          <w:i/>
          <w:sz w:val="16"/>
          <w:szCs w:val="16"/>
          <w:lang w:val="es-CO"/>
        </w:rPr>
        <w:t>V</w:t>
      </w:r>
      <w:r w:rsidRPr="00BA60C6">
        <w:rPr>
          <w:rFonts w:ascii="Verdana" w:hAnsi="Verdana"/>
          <w:i/>
          <w:sz w:val="16"/>
          <w:szCs w:val="16"/>
          <w:lang w:val="es-CO"/>
        </w:rPr>
        <w:t xml:space="preserve">s. Rusia, </w:t>
      </w:r>
      <w:r w:rsidRPr="00BA60C6">
        <w:rPr>
          <w:rFonts w:ascii="Verdana" w:hAnsi="Verdana"/>
          <w:sz w:val="16"/>
          <w:szCs w:val="16"/>
          <w:lang w:val="es-CO"/>
        </w:rPr>
        <w:t xml:space="preserve">No. 72118/01, 15 de Noviembre de 2007. </w:t>
      </w:r>
    </w:p>
  </w:footnote>
  <w:footnote w:id="59">
    <w:p w14:paraId="59026A15" w14:textId="77777777"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BA60C6">
        <w:rPr>
          <w:rFonts w:ascii="Verdana" w:hAnsi="Verdana"/>
          <w:sz w:val="16"/>
          <w:szCs w:val="16"/>
          <w:lang w:val="es-CO"/>
        </w:rPr>
        <w:tab/>
      </w:r>
      <w:r w:rsidRPr="00BA60C6">
        <w:rPr>
          <w:rFonts w:ascii="Verdana" w:hAnsi="Verdana"/>
          <w:i/>
          <w:sz w:val="16"/>
          <w:szCs w:val="16"/>
          <w:lang w:val="es-CO"/>
        </w:rPr>
        <w:t xml:space="preserve">Caso Khamidov </w:t>
      </w:r>
      <w:r>
        <w:rPr>
          <w:rFonts w:ascii="Verdana" w:hAnsi="Verdana"/>
          <w:i/>
          <w:sz w:val="16"/>
          <w:szCs w:val="16"/>
          <w:lang w:val="es-CO"/>
        </w:rPr>
        <w:t>Vs</w:t>
      </w:r>
      <w:r w:rsidRPr="00BA60C6">
        <w:rPr>
          <w:rFonts w:ascii="Verdana" w:hAnsi="Verdana"/>
          <w:i/>
          <w:sz w:val="16"/>
          <w:szCs w:val="16"/>
          <w:lang w:val="es-CO"/>
        </w:rPr>
        <w:t>. Rusia</w:t>
      </w:r>
      <w:r w:rsidRPr="00BA60C6">
        <w:rPr>
          <w:rFonts w:ascii="Verdana" w:hAnsi="Verdana"/>
          <w:sz w:val="16"/>
          <w:szCs w:val="16"/>
          <w:lang w:val="es-CO"/>
        </w:rPr>
        <w:t xml:space="preserve">, párr. </w:t>
      </w:r>
      <w:r w:rsidRPr="00817CD9">
        <w:rPr>
          <w:rFonts w:ascii="Verdana" w:hAnsi="Verdana"/>
          <w:sz w:val="16"/>
          <w:szCs w:val="16"/>
        </w:rPr>
        <w:t xml:space="preserve">125. </w:t>
      </w:r>
    </w:p>
  </w:footnote>
  <w:footnote w:id="60">
    <w:p w14:paraId="4CAC921A" w14:textId="71641C90" w:rsidR="008D3C6E" w:rsidRPr="004E7130" w:rsidRDefault="008D3C6E" w:rsidP="00817CD9">
      <w:pPr>
        <w:spacing w:after="120" w:line="240" w:lineRule="auto"/>
        <w:jc w:val="both"/>
        <w:rPr>
          <w:rFonts w:ascii="Verdana" w:eastAsia="Times New Roman" w:hAnsi="Verdana" w:cs="Arial"/>
          <w:color w:val="000000"/>
          <w:sz w:val="16"/>
          <w:szCs w:val="16"/>
          <w:shd w:val="clear" w:color="auto" w:fill="FFFFFF"/>
          <w:lang w:val="es-ES_tradnl" w:eastAsia="es-ES"/>
        </w:rPr>
      </w:pPr>
      <w:r w:rsidRPr="00817CD9">
        <w:rPr>
          <w:rStyle w:val="FootnoteReference"/>
          <w:rFonts w:ascii="Verdana" w:hAnsi="Verdana"/>
          <w:sz w:val="16"/>
          <w:szCs w:val="16"/>
        </w:rPr>
        <w:footnoteRef/>
      </w:r>
      <w:r w:rsidRPr="00817CD9">
        <w:rPr>
          <w:rStyle w:val="sb8d990e2"/>
          <w:rFonts w:ascii="Verdana" w:hAnsi="Verdana" w:cs="Arial"/>
          <w:sz w:val="16"/>
          <w:szCs w:val="16"/>
        </w:rPr>
        <w:tab/>
        <w:t>El 5 de abril de 1990, la sociedad interpuso una demanda de indemnización en el Tribunal de Distrito de Santiago contra uno de los accionistas quien presuntamente había recibido en nombre</w:t>
      </w:r>
      <w:r>
        <w:rPr>
          <w:rStyle w:val="sb8d990e2"/>
          <w:rFonts w:ascii="Verdana" w:hAnsi="Verdana" w:cs="Arial"/>
          <w:sz w:val="16"/>
          <w:szCs w:val="16"/>
        </w:rPr>
        <w:t xml:space="preserve"> de</w:t>
      </w:r>
      <w:r w:rsidRPr="00817CD9">
        <w:rPr>
          <w:rStyle w:val="sb8d990e2"/>
          <w:rFonts w:ascii="Verdana" w:hAnsi="Verdana" w:cs="Arial"/>
          <w:sz w:val="16"/>
          <w:szCs w:val="16"/>
        </w:rPr>
        <w:t xml:space="preserve"> la compañía una cantidad de dinero pero que </w:t>
      </w:r>
      <w:r>
        <w:rPr>
          <w:rStyle w:val="sb8d990e2"/>
          <w:rFonts w:ascii="Verdana" w:hAnsi="Verdana" w:cs="Arial"/>
          <w:sz w:val="16"/>
          <w:szCs w:val="16"/>
        </w:rPr>
        <w:t>e</w:t>
      </w:r>
      <w:r w:rsidRPr="00817CD9">
        <w:rPr>
          <w:rStyle w:val="sb8d990e2"/>
          <w:rFonts w:ascii="Verdana" w:hAnsi="Verdana" w:cs="Arial"/>
          <w:sz w:val="16"/>
          <w:szCs w:val="16"/>
        </w:rPr>
        <w:t>sta no había sido pagada a aquella. Por su parte, la Sra. Fachadas también, ante el trámite en el Tribunal, alegó que se caracteriza</w:t>
      </w:r>
      <w:r>
        <w:rPr>
          <w:rStyle w:val="sb8d990e2"/>
          <w:rFonts w:ascii="Verdana" w:hAnsi="Verdana" w:cs="Arial"/>
          <w:sz w:val="16"/>
          <w:szCs w:val="16"/>
        </w:rPr>
        <w:t>ba</w:t>
      </w:r>
      <w:r w:rsidRPr="00817CD9">
        <w:rPr>
          <w:rStyle w:val="sb8d990e2"/>
          <w:rFonts w:ascii="Verdana" w:hAnsi="Verdana" w:cs="Arial"/>
          <w:sz w:val="16"/>
          <w:szCs w:val="16"/>
        </w:rPr>
        <w:t xml:space="preserve"> como víctima. El Tribunal observó, con carácter preliminar, que el segundo solicitante no era parte en el procedimiento en cuestión, y que la petición solo se refería al primer solicitante, es decir, la sociedad.</w:t>
      </w:r>
      <w:r w:rsidRPr="00817CD9">
        <w:rPr>
          <w:rStyle w:val="apple-converted-space"/>
          <w:rFonts w:ascii="Verdana" w:hAnsi="Verdana" w:cs="Arial"/>
          <w:sz w:val="16"/>
          <w:szCs w:val="16"/>
        </w:rPr>
        <w:t xml:space="preserve"> Por lo que tomando en cuenta </w:t>
      </w:r>
      <w:r w:rsidRPr="00817CD9">
        <w:rPr>
          <w:rStyle w:val="sb8d990e2"/>
          <w:rFonts w:ascii="Verdana" w:hAnsi="Verdana" w:cs="Arial"/>
          <w:sz w:val="16"/>
          <w:szCs w:val="16"/>
        </w:rPr>
        <w:t>lo dispuesto en el artículo 34 de la Convención, según el cual la Corte podrá recibir solicitudes "de cualquier persona... que afirma ser víctima de una violación... de los derechos enunciados en la Convención...", en este caso era la sociedad a la cual no se le pagaron las cantidades aportadas a la sociedad. Por lo que la segunda parte peticionaria no p</w:t>
      </w:r>
      <w:r>
        <w:rPr>
          <w:rStyle w:val="sb8d990e2"/>
          <w:rFonts w:ascii="Verdana" w:hAnsi="Verdana" w:cs="Arial"/>
          <w:sz w:val="16"/>
          <w:szCs w:val="16"/>
        </w:rPr>
        <w:t>o</w:t>
      </w:r>
      <w:r w:rsidRPr="00817CD9">
        <w:rPr>
          <w:rStyle w:val="sb8d990e2"/>
          <w:rFonts w:ascii="Verdana" w:hAnsi="Verdana" w:cs="Arial"/>
          <w:sz w:val="16"/>
          <w:szCs w:val="16"/>
        </w:rPr>
        <w:t>d</w:t>
      </w:r>
      <w:r>
        <w:rPr>
          <w:rStyle w:val="sb8d990e2"/>
          <w:rFonts w:ascii="Verdana" w:hAnsi="Verdana" w:cs="Arial"/>
          <w:sz w:val="16"/>
          <w:szCs w:val="16"/>
        </w:rPr>
        <w:t>ía</w:t>
      </w:r>
      <w:r w:rsidRPr="00817CD9">
        <w:rPr>
          <w:rStyle w:val="sb8d990e2"/>
          <w:rFonts w:ascii="Verdana" w:hAnsi="Verdana" w:cs="Arial"/>
          <w:sz w:val="16"/>
          <w:szCs w:val="16"/>
        </w:rPr>
        <w:t xml:space="preserve"> quejarse del procedimiento, aún siendo a</w:t>
      </w:r>
      <w:r>
        <w:rPr>
          <w:rStyle w:val="sb8d990e2"/>
          <w:rFonts w:ascii="Verdana" w:hAnsi="Verdana" w:cs="Arial"/>
          <w:sz w:val="16"/>
          <w:szCs w:val="16"/>
        </w:rPr>
        <w:t xml:space="preserve">ccionista de la misma sociedad. </w:t>
      </w:r>
      <w:r w:rsidRPr="00817CD9">
        <w:rPr>
          <w:rStyle w:val="sb8d990e2"/>
          <w:rFonts w:ascii="Verdana" w:hAnsi="Verdana" w:cs="Arial"/>
          <w:i/>
          <w:sz w:val="16"/>
          <w:szCs w:val="16"/>
        </w:rPr>
        <w:t>Cas</w:t>
      </w:r>
      <w:r>
        <w:rPr>
          <w:rStyle w:val="sb8d990e2"/>
          <w:rFonts w:ascii="Verdana" w:hAnsi="Verdana" w:cs="Arial"/>
          <w:i/>
          <w:sz w:val="16"/>
          <w:szCs w:val="16"/>
        </w:rPr>
        <w:t>o</w:t>
      </w:r>
      <w:r w:rsidRPr="00817CD9">
        <w:rPr>
          <w:rStyle w:val="sb8d990e2"/>
          <w:rFonts w:ascii="Verdana" w:hAnsi="Verdana" w:cs="Arial"/>
          <w:i/>
          <w:sz w:val="16"/>
          <w:szCs w:val="16"/>
        </w:rPr>
        <w:t xml:space="preserve"> </w:t>
      </w:r>
      <w:r w:rsidRPr="00817CD9">
        <w:rPr>
          <w:rFonts w:ascii="Verdana" w:hAnsi="Verdana"/>
          <w:i/>
          <w:sz w:val="16"/>
          <w:szCs w:val="16"/>
        </w:rPr>
        <w:t>F Santos LDA y Fachadas Vs. Portugal</w:t>
      </w:r>
      <w:r w:rsidRPr="00817CD9">
        <w:rPr>
          <w:rFonts w:ascii="Verdana" w:hAnsi="Verdana"/>
          <w:sz w:val="16"/>
          <w:szCs w:val="16"/>
        </w:rPr>
        <w:t xml:space="preserve">, No. </w:t>
      </w:r>
      <w:r w:rsidRPr="00817CD9">
        <w:rPr>
          <w:rFonts w:ascii="Verdana" w:eastAsia="Times New Roman" w:hAnsi="Verdana" w:cs="Arial"/>
          <w:color w:val="000000"/>
          <w:sz w:val="16"/>
          <w:szCs w:val="16"/>
          <w:shd w:val="clear" w:color="auto" w:fill="FFFFFF"/>
          <w:lang w:val="es-ES_tradnl" w:eastAsia="es-ES"/>
        </w:rPr>
        <w:t>49020/99, 19 Sept</w:t>
      </w:r>
      <w:r>
        <w:rPr>
          <w:rFonts w:ascii="Verdana" w:eastAsia="Times New Roman" w:hAnsi="Verdana" w:cs="Arial"/>
          <w:color w:val="000000"/>
          <w:sz w:val="16"/>
          <w:szCs w:val="16"/>
          <w:shd w:val="clear" w:color="auto" w:fill="FFFFFF"/>
          <w:lang w:val="es-ES_tradnl" w:eastAsia="es-ES"/>
        </w:rPr>
        <w:t>i</w:t>
      </w:r>
      <w:r w:rsidRPr="00817CD9">
        <w:rPr>
          <w:rFonts w:ascii="Verdana" w:eastAsia="Times New Roman" w:hAnsi="Verdana" w:cs="Arial"/>
          <w:color w:val="000000"/>
          <w:sz w:val="16"/>
          <w:szCs w:val="16"/>
          <w:shd w:val="clear" w:color="auto" w:fill="FFFFFF"/>
          <w:lang w:val="es-ES_tradnl" w:eastAsia="es-ES"/>
        </w:rPr>
        <w:t>embr</w:t>
      </w:r>
      <w:r>
        <w:rPr>
          <w:rFonts w:ascii="Verdana" w:eastAsia="Times New Roman" w:hAnsi="Verdana" w:cs="Arial"/>
          <w:color w:val="000000"/>
          <w:sz w:val="16"/>
          <w:szCs w:val="16"/>
          <w:shd w:val="clear" w:color="auto" w:fill="FFFFFF"/>
          <w:lang w:val="es-ES_tradnl" w:eastAsia="es-ES"/>
        </w:rPr>
        <w:t>e de</w:t>
      </w:r>
      <w:r w:rsidRPr="00817CD9">
        <w:rPr>
          <w:rFonts w:ascii="Verdana" w:eastAsia="Times New Roman" w:hAnsi="Verdana" w:cs="Arial"/>
          <w:color w:val="000000"/>
          <w:sz w:val="16"/>
          <w:szCs w:val="16"/>
          <w:shd w:val="clear" w:color="auto" w:fill="FFFFFF"/>
          <w:lang w:val="es-ES_tradnl" w:eastAsia="es-ES"/>
        </w:rPr>
        <w:t xml:space="preserve"> 2000, </w:t>
      </w:r>
      <w:r>
        <w:rPr>
          <w:rFonts w:ascii="Verdana" w:eastAsia="Times New Roman" w:hAnsi="Verdana" w:cs="Arial"/>
          <w:color w:val="000000"/>
          <w:sz w:val="16"/>
          <w:szCs w:val="16"/>
          <w:shd w:val="clear" w:color="auto" w:fill="FFFFFF"/>
          <w:lang w:val="es-ES_tradnl" w:eastAsia="es-ES"/>
        </w:rPr>
        <w:t>Admisibilidad.</w:t>
      </w:r>
      <w:r w:rsidRPr="00817CD9">
        <w:rPr>
          <w:rFonts w:ascii="Verdana" w:eastAsia="Times New Roman" w:hAnsi="Verdana" w:cs="Arial"/>
          <w:color w:val="000000"/>
          <w:sz w:val="16"/>
          <w:szCs w:val="16"/>
          <w:shd w:val="clear" w:color="auto" w:fill="FFFFFF"/>
          <w:lang w:val="es-ES_tradnl" w:eastAsia="es-ES"/>
        </w:rPr>
        <w:t xml:space="preserve"> </w:t>
      </w:r>
    </w:p>
  </w:footnote>
  <w:footnote w:id="61">
    <w:p w14:paraId="136DCD8F" w14:textId="77777777" w:rsidR="008D3C6E" w:rsidRPr="00817CD9" w:rsidRDefault="008D3C6E" w:rsidP="00817CD9">
      <w:pPr>
        <w:spacing w:after="120" w:line="240" w:lineRule="auto"/>
        <w:jc w:val="both"/>
        <w:rPr>
          <w:rFonts w:ascii="Verdana" w:hAnsi="Verdana"/>
          <w:sz w:val="16"/>
          <w:szCs w:val="16"/>
        </w:rPr>
      </w:pPr>
      <w:r w:rsidRPr="00817CD9">
        <w:rPr>
          <w:rStyle w:val="FootnoteReference"/>
          <w:rFonts w:ascii="Verdana" w:hAnsi="Verdana"/>
          <w:sz w:val="16"/>
          <w:szCs w:val="16"/>
        </w:rPr>
        <w:footnoteRef/>
      </w:r>
      <w:r w:rsidRPr="00817CD9">
        <w:rPr>
          <w:rStyle w:val="sb8d990e2"/>
          <w:rFonts w:ascii="Verdana" w:hAnsi="Verdana" w:cs="Arial"/>
          <w:sz w:val="16"/>
          <w:szCs w:val="16"/>
        </w:rPr>
        <w:tab/>
        <w:t>El Tribunal se</w:t>
      </w:r>
      <w:r>
        <w:rPr>
          <w:rStyle w:val="sb8d990e2"/>
          <w:rFonts w:ascii="Verdana" w:hAnsi="Verdana" w:cs="Arial"/>
          <w:sz w:val="16"/>
          <w:szCs w:val="16"/>
        </w:rPr>
        <w:t xml:space="preserve">ñaló que, en este caso, </w:t>
      </w:r>
      <w:r w:rsidRPr="00817CD9">
        <w:rPr>
          <w:rStyle w:val="sb8d990e2"/>
          <w:rFonts w:ascii="Verdana" w:hAnsi="Verdana" w:cs="Arial"/>
          <w:sz w:val="16"/>
          <w:szCs w:val="16"/>
        </w:rPr>
        <w:t>la parte demandante se quejó de la reapertura de las actuaciones y la anulación de una sentencia firme y ejecutoriada.</w:t>
      </w:r>
      <w:r w:rsidRPr="00817CD9">
        <w:rPr>
          <w:rStyle w:val="apple-converted-space"/>
          <w:rFonts w:ascii="Verdana" w:hAnsi="Verdana" w:cs="Arial"/>
          <w:sz w:val="16"/>
          <w:szCs w:val="16"/>
        </w:rPr>
        <w:t> </w:t>
      </w:r>
      <w:r w:rsidRPr="00817CD9">
        <w:rPr>
          <w:rStyle w:val="sb8d990e2"/>
          <w:rFonts w:ascii="Verdana" w:hAnsi="Verdana" w:cs="Arial"/>
          <w:sz w:val="16"/>
          <w:szCs w:val="16"/>
        </w:rPr>
        <w:t>La Corte tomó nota de la divergencia de opiniones en cuanto a quién era el propietario real de las compañías  Kompanyony y Pamir-99. Mientras que en el formulario de solicitud de</w:t>
      </w:r>
      <w:r w:rsidRPr="00817CD9">
        <w:rPr>
          <w:rStyle w:val="apple-converted-space"/>
          <w:rFonts w:ascii="Verdana" w:hAnsi="Verdana" w:cs="Arial"/>
          <w:sz w:val="16"/>
          <w:szCs w:val="16"/>
        </w:rPr>
        <w:t> </w:t>
      </w:r>
      <w:r w:rsidRPr="00817CD9">
        <w:rPr>
          <w:rStyle w:val="sb8d990e2"/>
          <w:rFonts w:ascii="Verdana" w:hAnsi="Verdana" w:cs="Arial"/>
          <w:sz w:val="16"/>
          <w:szCs w:val="16"/>
        </w:rPr>
        <w:t>28 de agosto 2001</w:t>
      </w:r>
      <w:r w:rsidRPr="00817CD9">
        <w:rPr>
          <w:rStyle w:val="apple-converted-space"/>
          <w:rFonts w:ascii="Verdana" w:hAnsi="Verdana" w:cs="Arial"/>
          <w:sz w:val="16"/>
          <w:szCs w:val="16"/>
        </w:rPr>
        <w:t> </w:t>
      </w:r>
      <w:r w:rsidRPr="00817CD9">
        <w:rPr>
          <w:rStyle w:val="sb8d990e2"/>
          <w:rFonts w:ascii="Verdana" w:hAnsi="Verdana" w:cs="Arial"/>
          <w:sz w:val="16"/>
          <w:szCs w:val="16"/>
        </w:rPr>
        <w:t>el segundo demandante alegó que había sido "copropietario" una de las dos empresas, en sus observaciones sobre la admisibilidad y el fondo de</w:t>
      </w:r>
      <w:r w:rsidRPr="00817CD9">
        <w:rPr>
          <w:rStyle w:val="apple-converted-space"/>
          <w:rFonts w:ascii="Verdana" w:hAnsi="Verdana" w:cs="Arial"/>
          <w:sz w:val="16"/>
          <w:szCs w:val="16"/>
        </w:rPr>
        <w:t> </w:t>
      </w:r>
      <w:r w:rsidRPr="00817CD9">
        <w:rPr>
          <w:rStyle w:val="sb8d990e2"/>
          <w:rFonts w:ascii="Verdana" w:hAnsi="Verdana" w:cs="Arial"/>
          <w:sz w:val="16"/>
          <w:szCs w:val="16"/>
        </w:rPr>
        <w:t>13 de agosto 2004, sostuvo que había sido director, pero no el propietario de cualquiera de estas sociedades.</w:t>
      </w:r>
      <w:r w:rsidRPr="00817CD9">
        <w:rPr>
          <w:rStyle w:val="apple-converted-space"/>
          <w:rFonts w:ascii="Verdana" w:hAnsi="Verdana" w:cs="Arial"/>
          <w:sz w:val="16"/>
          <w:szCs w:val="16"/>
        </w:rPr>
        <w:t xml:space="preserve">  </w:t>
      </w:r>
      <w:r w:rsidRPr="00817CD9">
        <w:rPr>
          <w:rStyle w:val="sb8d990e2"/>
          <w:rFonts w:ascii="Verdana" w:hAnsi="Verdana" w:cs="Arial"/>
          <w:sz w:val="16"/>
          <w:szCs w:val="16"/>
        </w:rPr>
        <w:t>Durante su informe oral en la audiencia, el Gobierno, se refirió constantemente a ambas compañías como pertenecientes al solicitante.</w:t>
      </w:r>
      <w:r w:rsidRPr="00817CD9">
        <w:rPr>
          <w:rStyle w:val="apple-converted-space"/>
          <w:rFonts w:ascii="Verdana" w:hAnsi="Verdana" w:cs="Arial"/>
          <w:sz w:val="16"/>
          <w:szCs w:val="16"/>
        </w:rPr>
        <w:t> </w:t>
      </w:r>
      <w:r w:rsidRPr="00817CD9">
        <w:rPr>
          <w:rStyle w:val="sb8d990e2"/>
          <w:rFonts w:ascii="Verdana" w:hAnsi="Verdana" w:cs="Arial"/>
          <w:sz w:val="16"/>
          <w:szCs w:val="16"/>
        </w:rPr>
        <w:t>Sin embargo, ninguna de las partes aportó ningún documento que demuestre la titularidad de las acciones de cualquiera de las empresas.</w:t>
      </w:r>
      <w:r w:rsidRPr="00817CD9">
        <w:rPr>
          <w:rStyle w:val="apple-converted-space"/>
          <w:rFonts w:ascii="Verdana" w:hAnsi="Verdana" w:cs="Arial"/>
          <w:sz w:val="16"/>
          <w:szCs w:val="16"/>
        </w:rPr>
        <w:t> </w:t>
      </w:r>
      <w:r w:rsidRPr="00817CD9">
        <w:rPr>
          <w:rStyle w:val="sb8d990e2"/>
          <w:rFonts w:ascii="Verdana" w:hAnsi="Verdana" w:cs="Arial"/>
          <w:sz w:val="16"/>
          <w:szCs w:val="16"/>
        </w:rPr>
        <w:t>En estas circunstancias, la identidad de los accionistas de ambas empresas no se pudo establecer con la suficiente claridad, la Corte, por lo tanto no pudo identificar al solicitante con la empresa. Ademas,  el Tribunal observó que el segundo demandante no era parte en el procedimiento en el que se había dictado una resolución final a favor de la empresa Kompanyony y posteriormente se anulara.</w:t>
      </w:r>
      <w:r w:rsidRPr="00817CD9">
        <w:rPr>
          <w:rStyle w:val="apple-converted-space"/>
          <w:rFonts w:ascii="Verdana" w:hAnsi="Verdana" w:cs="Arial"/>
          <w:sz w:val="16"/>
          <w:szCs w:val="16"/>
        </w:rPr>
        <w:t> </w:t>
      </w:r>
      <w:r w:rsidRPr="00817CD9">
        <w:rPr>
          <w:rStyle w:val="sb8d990e2"/>
          <w:rFonts w:ascii="Verdana" w:hAnsi="Verdana" w:cs="Arial"/>
          <w:sz w:val="16"/>
          <w:szCs w:val="16"/>
        </w:rPr>
        <w:t>Tampoco obraron en a</w:t>
      </w:r>
      <w:r>
        <w:rPr>
          <w:rStyle w:val="sb8d990e2"/>
          <w:rFonts w:ascii="Verdana" w:hAnsi="Verdana" w:cs="Arial"/>
          <w:sz w:val="16"/>
          <w:szCs w:val="16"/>
        </w:rPr>
        <w:t xml:space="preserve">utos, elementos que </w:t>
      </w:r>
      <w:r w:rsidRPr="00817CD9">
        <w:rPr>
          <w:rStyle w:val="sb8d990e2"/>
          <w:rFonts w:ascii="Verdana" w:hAnsi="Verdana" w:cs="Arial"/>
          <w:sz w:val="16"/>
          <w:szCs w:val="16"/>
        </w:rPr>
        <w:t>sugirieran que la parte  demandante trató de intervenir en el procedimiento a título personal.</w:t>
      </w:r>
      <w:r w:rsidRPr="00817CD9">
        <w:rPr>
          <w:rStyle w:val="apple-converted-space"/>
          <w:rFonts w:ascii="Verdana" w:hAnsi="Verdana" w:cs="Arial"/>
          <w:sz w:val="16"/>
          <w:szCs w:val="16"/>
        </w:rPr>
        <w:t> </w:t>
      </w:r>
      <w:r w:rsidRPr="00817CD9">
        <w:rPr>
          <w:rStyle w:val="apple-converted-space"/>
          <w:rFonts w:ascii="Verdana" w:hAnsi="Verdana" w:cs="Arial"/>
          <w:i/>
          <w:sz w:val="16"/>
          <w:szCs w:val="16"/>
        </w:rPr>
        <w:t>Cas</w:t>
      </w:r>
      <w:r>
        <w:rPr>
          <w:rStyle w:val="apple-converted-space"/>
          <w:rFonts w:ascii="Verdana" w:hAnsi="Verdana" w:cs="Arial"/>
          <w:i/>
          <w:sz w:val="16"/>
          <w:szCs w:val="16"/>
        </w:rPr>
        <w:t>o</w:t>
      </w:r>
      <w:r w:rsidRPr="00817CD9">
        <w:rPr>
          <w:rStyle w:val="apple-converted-space"/>
          <w:rFonts w:ascii="Verdana" w:hAnsi="Verdana" w:cs="Arial"/>
          <w:i/>
          <w:sz w:val="16"/>
          <w:szCs w:val="16"/>
        </w:rPr>
        <w:t xml:space="preserve"> </w:t>
      </w:r>
      <w:r w:rsidRPr="00817CD9">
        <w:rPr>
          <w:rFonts w:ascii="Verdana" w:hAnsi="Verdana"/>
          <w:i/>
          <w:sz w:val="16"/>
          <w:szCs w:val="16"/>
        </w:rPr>
        <w:t xml:space="preserve">Nosov </w:t>
      </w:r>
      <w:r>
        <w:rPr>
          <w:rFonts w:ascii="Verdana" w:hAnsi="Verdana"/>
          <w:i/>
          <w:sz w:val="16"/>
          <w:szCs w:val="16"/>
        </w:rPr>
        <w:t>Vs</w:t>
      </w:r>
      <w:r w:rsidRPr="00817CD9">
        <w:rPr>
          <w:rFonts w:ascii="Verdana" w:hAnsi="Verdana"/>
          <w:i/>
          <w:sz w:val="16"/>
          <w:szCs w:val="16"/>
        </w:rPr>
        <w:t xml:space="preserve">. Rusia, </w:t>
      </w:r>
      <w:r>
        <w:rPr>
          <w:rFonts w:ascii="Verdana" w:hAnsi="Verdana"/>
          <w:sz w:val="16"/>
          <w:szCs w:val="16"/>
        </w:rPr>
        <w:t>No. 30877/02, 20 de Octu</w:t>
      </w:r>
      <w:r w:rsidRPr="00817CD9">
        <w:rPr>
          <w:rFonts w:ascii="Verdana" w:hAnsi="Verdana"/>
          <w:sz w:val="16"/>
          <w:szCs w:val="16"/>
        </w:rPr>
        <w:t>br</w:t>
      </w:r>
      <w:r>
        <w:rPr>
          <w:rFonts w:ascii="Verdana" w:hAnsi="Verdana"/>
          <w:sz w:val="16"/>
          <w:szCs w:val="16"/>
        </w:rPr>
        <w:t>e de</w:t>
      </w:r>
      <w:r w:rsidRPr="00817CD9">
        <w:rPr>
          <w:rFonts w:ascii="Verdana" w:hAnsi="Verdana"/>
          <w:sz w:val="16"/>
          <w:szCs w:val="16"/>
        </w:rPr>
        <w:t xml:space="preserve"> 2005. </w:t>
      </w:r>
    </w:p>
  </w:footnote>
  <w:footnote w:id="62">
    <w:p w14:paraId="76739FD1" w14:textId="77777777" w:rsidR="008D3C6E" w:rsidRPr="00817CD9" w:rsidRDefault="008D3C6E" w:rsidP="00817CD9">
      <w:pPr>
        <w:spacing w:after="120" w:line="240" w:lineRule="auto"/>
        <w:jc w:val="both"/>
        <w:rPr>
          <w:rFonts w:ascii="Verdana" w:eastAsia="Times New Roman" w:hAnsi="Verdana" w:cs="Arial"/>
          <w:sz w:val="16"/>
          <w:szCs w:val="16"/>
          <w:shd w:val="clear" w:color="auto" w:fill="FFFFFF"/>
          <w:lang w:val="es-ES_tradnl" w:eastAsia="es-ES"/>
        </w:rPr>
      </w:pPr>
      <w:r w:rsidRPr="00817CD9">
        <w:rPr>
          <w:rStyle w:val="FootnoteReference"/>
          <w:rFonts w:ascii="Verdana" w:hAnsi="Verdana"/>
          <w:sz w:val="16"/>
          <w:szCs w:val="16"/>
        </w:rPr>
        <w:footnoteRef/>
      </w:r>
      <w:r w:rsidRPr="00817CD9">
        <w:rPr>
          <w:rStyle w:val="sb8d990e2"/>
          <w:rFonts w:ascii="Verdana" w:hAnsi="Verdana" w:cs="Arial"/>
          <w:sz w:val="16"/>
          <w:szCs w:val="16"/>
        </w:rPr>
        <w:tab/>
        <w:t>La Corte Eur</w:t>
      </w:r>
      <w:r>
        <w:rPr>
          <w:rStyle w:val="sb8d990e2"/>
          <w:rFonts w:ascii="Verdana" w:hAnsi="Verdana" w:cs="Arial"/>
          <w:sz w:val="16"/>
          <w:szCs w:val="16"/>
        </w:rPr>
        <w:t>opea señaló la observación del g</w:t>
      </w:r>
      <w:r w:rsidRPr="00817CD9">
        <w:rPr>
          <w:rStyle w:val="sb8d990e2"/>
          <w:rFonts w:ascii="Verdana" w:hAnsi="Verdana" w:cs="Arial"/>
          <w:sz w:val="16"/>
          <w:szCs w:val="16"/>
        </w:rPr>
        <w:t>obierno en relación del poder que ostentaba el señor Myshkin para representar Roseltrans.</w:t>
      </w:r>
      <w:r w:rsidRPr="00817CD9">
        <w:rPr>
          <w:rStyle w:val="apple-converted-space"/>
          <w:rFonts w:ascii="Verdana" w:hAnsi="Verdana" w:cs="Arial"/>
          <w:sz w:val="16"/>
          <w:szCs w:val="16"/>
        </w:rPr>
        <w:t> </w:t>
      </w:r>
      <w:r w:rsidRPr="00817CD9">
        <w:rPr>
          <w:rStyle w:val="sb8d990e2"/>
          <w:rFonts w:ascii="Verdana" w:hAnsi="Verdana" w:cs="Arial"/>
          <w:sz w:val="16"/>
          <w:szCs w:val="16"/>
        </w:rPr>
        <w:t>El Tribunal constató, además, que la aplicación de Roseltrans fue firmad</w:t>
      </w:r>
      <w:r>
        <w:rPr>
          <w:rStyle w:val="sb8d990e2"/>
          <w:rFonts w:ascii="Verdana" w:hAnsi="Verdana" w:cs="Arial"/>
          <w:sz w:val="16"/>
          <w:szCs w:val="16"/>
        </w:rPr>
        <w:t>a</w:t>
      </w:r>
      <w:r w:rsidRPr="00817CD9">
        <w:rPr>
          <w:rStyle w:val="sb8d990e2"/>
          <w:rFonts w:ascii="Verdana" w:hAnsi="Verdana" w:cs="Arial"/>
          <w:sz w:val="16"/>
          <w:szCs w:val="16"/>
        </w:rPr>
        <w:t xml:space="preserve"> por el Sr. Myshkin como director general de Roseltrans.</w:t>
      </w:r>
      <w:r w:rsidRPr="00817CD9">
        <w:rPr>
          <w:rStyle w:val="apple-converted-space"/>
          <w:rFonts w:ascii="Verdana" w:hAnsi="Verdana" w:cs="Arial"/>
          <w:sz w:val="16"/>
          <w:szCs w:val="16"/>
        </w:rPr>
        <w:t> </w:t>
      </w:r>
      <w:r w:rsidRPr="00817CD9">
        <w:rPr>
          <w:rStyle w:val="sb8d990e2"/>
          <w:rFonts w:ascii="Verdana" w:hAnsi="Verdana" w:cs="Arial"/>
          <w:sz w:val="16"/>
          <w:szCs w:val="16"/>
        </w:rPr>
        <w:t>Del mismo modo, Roseltrans estuvo representada por la misma persona en el proceso interno que concluyó con la decisión de la Corte de Distrito Lyublinskiy, de 17</w:t>
      </w:r>
      <w:r w:rsidRPr="00817CD9">
        <w:rPr>
          <w:rStyle w:val="apple-converted-space"/>
          <w:rFonts w:ascii="Verdana" w:hAnsi="Verdana" w:cs="Arial"/>
          <w:sz w:val="16"/>
          <w:szCs w:val="16"/>
        </w:rPr>
        <w:t> </w:t>
      </w:r>
      <w:r w:rsidRPr="00817CD9">
        <w:rPr>
          <w:rStyle w:val="sb8d990e2"/>
          <w:rFonts w:ascii="Verdana" w:hAnsi="Verdana" w:cs="Arial"/>
          <w:sz w:val="16"/>
          <w:szCs w:val="16"/>
        </w:rPr>
        <w:t xml:space="preserve"> de mayo de 2000, con la anulación de la que fue objeto la petición. La Corte observó que el señor Myshkin fue uno de los demandantes en el litigio en cuestión, relativa a la decisión de liquidar Roseltrans, sin embargo, el Tribunal consideró que dicho vínculo entre la decisión de liquidar la empresa y los intereses del señor Myshkin no </w:t>
      </w:r>
      <w:r>
        <w:rPr>
          <w:rStyle w:val="sb8d990e2"/>
          <w:rFonts w:ascii="Verdana" w:hAnsi="Verdana" w:cs="Arial"/>
          <w:sz w:val="16"/>
          <w:szCs w:val="16"/>
        </w:rPr>
        <w:t>era</w:t>
      </w:r>
      <w:r w:rsidRPr="00817CD9">
        <w:rPr>
          <w:rStyle w:val="sb8d990e2"/>
          <w:rFonts w:ascii="Verdana" w:hAnsi="Verdana" w:cs="Arial"/>
          <w:sz w:val="16"/>
          <w:szCs w:val="16"/>
        </w:rPr>
        <w:t>n suficientemente directos para concluir que el procedimiento en cuestión le habia afectado personalmente.</w:t>
      </w:r>
      <w:r w:rsidRPr="00817CD9">
        <w:rPr>
          <w:rStyle w:val="apple-converted-space"/>
          <w:rFonts w:ascii="Verdana" w:hAnsi="Verdana" w:cs="Arial"/>
          <w:sz w:val="16"/>
          <w:szCs w:val="16"/>
        </w:rPr>
        <w:t> </w:t>
      </w:r>
      <w:r w:rsidRPr="00817CD9">
        <w:rPr>
          <w:rStyle w:val="sb8d990e2"/>
          <w:rFonts w:ascii="Verdana" w:hAnsi="Verdana" w:cs="Arial"/>
          <w:sz w:val="16"/>
          <w:szCs w:val="16"/>
        </w:rPr>
        <w:t>El mero hecho de que los tribunales nacionales consideran al Sr. Myshkin como demandante legítimo no le dota</w:t>
      </w:r>
      <w:r>
        <w:rPr>
          <w:rStyle w:val="sb8d990e2"/>
          <w:rFonts w:ascii="Verdana" w:hAnsi="Verdana" w:cs="Arial"/>
          <w:sz w:val="16"/>
          <w:szCs w:val="16"/>
        </w:rPr>
        <w:t>ba</w:t>
      </w:r>
      <w:r w:rsidRPr="00817CD9">
        <w:rPr>
          <w:rStyle w:val="sb8d990e2"/>
          <w:rFonts w:ascii="Verdana" w:hAnsi="Verdana" w:cs="Arial"/>
          <w:sz w:val="16"/>
          <w:szCs w:val="16"/>
        </w:rPr>
        <w:t xml:space="preserve"> de la condición de víctima bajo la Convención. </w:t>
      </w:r>
      <w:r w:rsidRPr="00817CD9">
        <w:rPr>
          <w:rStyle w:val="sb8d990e2"/>
          <w:rFonts w:ascii="Verdana" w:hAnsi="Verdana" w:cs="Arial"/>
          <w:i/>
          <w:sz w:val="16"/>
          <w:szCs w:val="16"/>
        </w:rPr>
        <w:t>Cas</w:t>
      </w:r>
      <w:r>
        <w:rPr>
          <w:rStyle w:val="sb8d990e2"/>
          <w:rFonts w:ascii="Verdana" w:hAnsi="Verdana" w:cs="Arial"/>
          <w:i/>
          <w:sz w:val="16"/>
          <w:szCs w:val="16"/>
        </w:rPr>
        <w:t>o</w:t>
      </w:r>
      <w:r w:rsidRPr="00817CD9">
        <w:rPr>
          <w:rStyle w:val="sb8d990e2"/>
          <w:rFonts w:ascii="Verdana" w:hAnsi="Verdana" w:cs="Arial"/>
          <w:i/>
          <w:sz w:val="16"/>
          <w:szCs w:val="16"/>
        </w:rPr>
        <w:t xml:space="preserve"> </w:t>
      </w:r>
      <w:r w:rsidRPr="00817CD9">
        <w:rPr>
          <w:rFonts w:ascii="Verdana" w:hAnsi="Verdana"/>
          <w:i/>
          <w:sz w:val="16"/>
          <w:szCs w:val="16"/>
        </w:rPr>
        <w:t xml:space="preserve">Roseltrans, Finlease y Myshkin </w:t>
      </w:r>
      <w:r>
        <w:rPr>
          <w:rFonts w:ascii="Verdana" w:hAnsi="Verdana"/>
          <w:i/>
          <w:sz w:val="16"/>
          <w:szCs w:val="16"/>
        </w:rPr>
        <w:t>Vs</w:t>
      </w:r>
      <w:r w:rsidRPr="00817CD9">
        <w:rPr>
          <w:rFonts w:ascii="Verdana" w:hAnsi="Verdana"/>
          <w:i/>
          <w:sz w:val="16"/>
          <w:szCs w:val="16"/>
        </w:rPr>
        <w:t xml:space="preserve">. Rusia, </w:t>
      </w:r>
      <w:r w:rsidRPr="00817CD9">
        <w:rPr>
          <w:rFonts w:ascii="Verdana" w:hAnsi="Verdana"/>
          <w:sz w:val="16"/>
          <w:szCs w:val="16"/>
        </w:rPr>
        <w:t xml:space="preserve"> No. </w:t>
      </w:r>
      <w:r w:rsidRPr="00817CD9">
        <w:rPr>
          <w:rFonts w:ascii="Verdana" w:eastAsia="Times New Roman" w:hAnsi="Verdana" w:cs="Arial"/>
          <w:sz w:val="16"/>
          <w:szCs w:val="16"/>
          <w:shd w:val="clear" w:color="auto" w:fill="FFFFFF"/>
          <w:lang w:val="es-ES_tradnl" w:eastAsia="es-ES"/>
        </w:rPr>
        <w:t xml:space="preserve">60974/00, 27 </w:t>
      </w:r>
      <w:r>
        <w:rPr>
          <w:rFonts w:ascii="Verdana" w:eastAsia="Times New Roman" w:hAnsi="Verdana" w:cs="Arial"/>
          <w:sz w:val="16"/>
          <w:szCs w:val="16"/>
          <w:shd w:val="clear" w:color="auto" w:fill="FFFFFF"/>
          <w:lang w:val="es-ES_tradnl" w:eastAsia="es-ES"/>
        </w:rPr>
        <w:t xml:space="preserve">de </w:t>
      </w:r>
      <w:r w:rsidRPr="00817CD9">
        <w:rPr>
          <w:rFonts w:ascii="Verdana" w:eastAsia="Times New Roman" w:hAnsi="Verdana" w:cs="Arial"/>
          <w:sz w:val="16"/>
          <w:szCs w:val="16"/>
          <w:shd w:val="clear" w:color="auto" w:fill="FFFFFF"/>
          <w:lang w:val="es-ES_tradnl" w:eastAsia="es-ES"/>
        </w:rPr>
        <w:t>May</w:t>
      </w:r>
      <w:r>
        <w:rPr>
          <w:rFonts w:ascii="Verdana" w:eastAsia="Times New Roman" w:hAnsi="Verdana" w:cs="Arial"/>
          <w:sz w:val="16"/>
          <w:szCs w:val="16"/>
          <w:shd w:val="clear" w:color="auto" w:fill="FFFFFF"/>
          <w:lang w:val="es-ES_tradnl" w:eastAsia="es-ES"/>
        </w:rPr>
        <w:t>o de</w:t>
      </w:r>
      <w:r w:rsidRPr="00817CD9">
        <w:rPr>
          <w:rFonts w:ascii="Verdana" w:eastAsia="Times New Roman" w:hAnsi="Verdana" w:cs="Arial"/>
          <w:sz w:val="16"/>
          <w:szCs w:val="16"/>
          <w:shd w:val="clear" w:color="auto" w:fill="FFFFFF"/>
          <w:lang w:val="es-ES_tradnl" w:eastAsia="es-ES"/>
        </w:rPr>
        <w:t xml:space="preserve"> 2004.</w:t>
      </w:r>
    </w:p>
  </w:footnote>
  <w:footnote w:id="63">
    <w:p w14:paraId="4CC70FF5" w14:textId="77777777" w:rsidR="008D3C6E" w:rsidRPr="004E7130" w:rsidRDefault="008D3C6E" w:rsidP="00817CD9">
      <w:pPr>
        <w:spacing w:after="120" w:line="240" w:lineRule="auto"/>
        <w:jc w:val="both"/>
        <w:rPr>
          <w:rFonts w:ascii="Verdana" w:eastAsia="Times New Roman" w:hAnsi="Verdana" w:cs="Arial"/>
          <w:color w:val="000000"/>
          <w:sz w:val="16"/>
          <w:szCs w:val="16"/>
          <w:shd w:val="clear" w:color="auto" w:fill="FFFFFF"/>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i/>
          <w:sz w:val="16"/>
          <w:szCs w:val="16"/>
        </w:rPr>
        <w:t>Cas</w:t>
      </w:r>
      <w:r>
        <w:rPr>
          <w:rFonts w:ascii="Verdana" w:hAnsi="Verdana"/>
          <w:i/>
          <w:sz w:val="16"/>
          <w:szCs w:val="16"/>
        </w:rPr>
        <w:t>o</w:t>
      </w:r>
      <w:r w:rsidRPr="00817CD9">
        <w:rPr>
          <w:rFonts w:ascii="Verdana" w:hAnsi="Verdana"/>
          <w:i/>
          <w:sz w:val="16"/>
          <w:szCs w:val="16"/>
        </w:rPr>
        <w:t xml:space="preserve"> F Santos LDA y Fachadas Vs. </w:t>
      </w:r>
      <w:r w:rsidRPr="00BA60C6">
        <w:rPr>
          <w:rFonts w:ascii="Verdana" w:hAnsi="Verdana"/>
          <w:i/>
          <w:sz w:val="16"/>
          <w:szCs w:val="16"/>
        </w:rPr>
        <w:t>Portugal</w:t>
      </w:r>
      <w:r w:rsidRPr="00BA60C6">
        <w:rPr>
          <w:rFonts w:ascii="Verdana" w:hAnsi="Verdana"/>
          <w:sz w:val="16"/>
          <w:szCs w:val="16"/>
        </w:rPr>
        <w:t xml:space="preserve">, </w:t>
      </w:r>
      <w:r w:rsidRPr="00BA60C6">
        <w:rPr>
          <w:rFonts w:ascii="Verdana" w:eastAsia="Times New Roman" w:hAnsi="Verdana" w:cs="Arial"/>
          <w:color w:val="000000"/>
          <w:sz w:val="16"/>
          <w:szCs w:val="16"/>
          <w:shd w:val="clear" w:color="auto" w:fill="FFFFFF"/>
          <w:lang w:eastAsia="es-ES"/>
        </w:rPr>
        <w:t xml:space="preserve">, párr. </w:t>
      </w:r>
      <w:r w:rsidRPr="00817CD9">
        <w:rPr>
          <w:rFonts w:ascii="Verdana" w:eastAsia="Times New Roman" w:hAnsi="Verdana" w:cs="Arial"/>
          <w:color w:val="000000"/>
          <w:sz w:val="16"/>
          <w:szCs w:val="16"/>
          <w:shd w:val="clear" w:color="auto" w:fill="FFFFFF"/>
          <w:lang w:val="es-ES_tradnl" w:eastAsia="es-ES"/>
        </w:rPr>
        <w:t xml:space="preserve">1; </w:t>
      </w:r>
      <w:r w:rsidRPr="00817CD9">
        <w:rPr>
          <w:rStyle w:val="apple-converted-space"/>
          <w:rFonts w:ascii="Verdana" w:hAnsi="Verdana" w:cs="Arial"/>
          <w:i/>
          <w:sz w:val="16"/>
          <w:szCs w:val="16"/>
        </w:rPr>
        <w:t>Cas</w:t>
      </w:r>
      <w:r>
        <w:rPr>
          <w:rStyle w:val="apple-converted-space"/>
          <w:rFonts w:ascii="Verdana" w:hAnsi="Verdana" w:cs="Arial"/>
          <w:i/>
          <w:sz w:val="16"/>
          <w:szCs w:val="16"/>
        </w:rPr>
        <w:t>o</w:t>
      </w:r>
      <w:r w:rsidRPr="00817CD9">
        <w:rPr>
          <w:rStyle w:val="apple-converted-space"/>
          <w:rFonts w:ascii="Verdana" w:hAnsi="Verdana" w:cs="Arial"/>
          <w:i/>
          <w:sz w:val="16"/>
          <w:szCs w:val="16"/>
        </w:rPr>
        <w:t xml:space="preserve"> </w:t>
      </w:r>
      <w:r w:rsidRPr="00817CD9">
        <w:rPr>
          <w:rFonts w:ascii="Verdana" w:hAnsi="Verdana"/>
          <w:i/>
          <w:sz w:val="16"/>
          <w:szCs w:val="16"/>
        </w:rPr>
        <w:t>Nosov v</w:t>
      </w:r>
      <w:r>
        <w:rPr>
          <w:rFonts w:ascii="Verdana" w:hAnsi="Verdana"/>
          <w:i/>
          <w:sz w:val="16"/>
          <w:szCs w:val="16"/>
        </w:rPr>
        <w:t>s</w:t>
      </w:r>
      <w:r w:rsidRPr="00817CD9">
        <w:rPr>
          <w:rFonts w:ascii="Verdana" w:hAnsi="Verdana"/>
          <w:i/>
          <w:sz w:val="16"/>
          <w:szCs w:val="16"/>
        </w:rPr>
        <w:t xml:space="preserve">. Rusia, </w:t>
      </w:r>
      <w:r w:rsidRPr="00817CD9">
        <w:rPr>
          <w:rFonts w:ascii="Verdana" w:hAnsi="Verdana"/>
          <w:sz w:val="16"/>
          <w:szCs w:val="16"/>
        </w:rPr>
        <w:t>, párr, 2</w:t>
      </w:r>
      <w:r>
        <w:rPr>
          <w:rFonts w:ascii="Verdana" w:hAnsi="Verdana"/>
          <w:sz w:val="16"/>
          <w:szCs w:val="16"/>
        </w:rPr>
        <w:t>;</w:t>
      </w:r>
      <w:r w:rsidRPr="00817CD9">
        <w:rPr>
          <w:rFonts w:ascii="Verdana" w:hAnsi="Verdana"/>
          <w:sz w:val="16"/>
          <w:szCs w:val="16"/>
        </w:rPr>
        <w:t xml:space="preserve"> y </w:t>
      </w:r>
      <w:r w:rsidRPr="00817CD9">
        <w:rPr>
          <w:rStyle w:val="sb8d990e2"/>
          <w:rFonts w:ascii="Verdana" w:hAnsi="Verdana" w:cs="Arial"/>
          <w:i/>
          <w:sz w:val="16"/>
          <w:szCs w:val="16"/>
        </w:rPr>
        <w:t>Cas</w:t>
      </w:r>
      <w:r>
        <w:rPr>
          <w:rStyle w:val="sb8d990e2"/>
          <w:rFonts w:ascii="Verdana" w:hAnsi="Verdana" w:cs="Arial"/>
          <w:i/>
          <w:sz w:val="16"/>
          <w:szCs w:val="16"/>
        </w:rPr>
        <w:t>o</w:t>
      </w:r>
      <w:r w:rsidRPr="00817CD9">
        <w:rPr>
          <w:rStyle w:val="sb8d990e2"/>
          <w:rFonts w:ascii="Verdana" w:hAnsi="Verdana" w:cs="Arial"/>
          <w:i/>
          <w:sz w:val="16"/>
          <w:szCs w:val="16"/>
        </w:rPr>
        <w:t xml:space="preserve"> </w:t>
      </w:r>
      <w:r w:rsidRPr="00817CD9">
        <w:rPr>
          <w:rFonts w:ascii="Verdana" w:hAnsi="Verdana"/>
          <w:i/>
          <w:sz w:val="16"/>
          <w:szCs w:val="16"/>
        </w:rPr>
        <w:t>Roseltrans, Finlease y Myshkin v</w:t>
      </w:r>
      <w:r>
        <w:rPr>
          <w:rFonts w:ascii="Verdana" w:hAnsi="Verdana"/>
          <w:i/>
          <w:sz w:val="16"/>
          <w:szCs w:val="16"/>
        </w:rPr>
        <w:t>s</w:t>
      </w:r>
      <w:r w:rsidRPr="00817CD9">
        <w:rPr>
          <w:rFonts w:ascii="Verdana" w:hAnsi="Verdana"/>
          <w:i/>
          <w:sz w:val="16"/>
          <w:szCs w:val="16"/>
        </w:rPr>
        <w:t xml:space="preserve">. Rusia, </w:t>
      </w:r>
      <w:r w:rsidRPr="00817CD9">
        <w:rPr>
          <w:rFonts w:ascii="Verdana" w:hAnsi="Verdana"/>
          <w:sz w:val="16"/>
          <w:szCs w:val="16"/>
        </w:rPr>
        <w:t xml:space="preserve"> </w:t>
      </w:r>
      <w:r w:rsidRPr="00817CD9">
        <w:rPr>
          <w:rFonts w:ascii="Verdana" w:eastAsia="Times New Roman" w:hAnsi="Verdana" w:cs="Arial"/>
          <w:sz w:val="16"/>
          <w:szCs w:val="16"/>
          <w:shd w:val="clear" w:color="auto" w:fill="FFFFFF"/>
          <w:lang w:val="es-ES_tradnl" w:eastAsia="es-ES"/>
        </w:rPr>
        <w:t xml:space="preserve">párr. 2; </w:t>
      </w:r>
      <w:r w:rsidRPr="00DE5E41">
        <w:rPr>
          <w:rFonts w:ascii="Verdana" w:eastAsia="Times New Roman" w:hAnsi="Verdana" w:cs="Arial"/>
          <w:i/>
          <w:sz w:val="16"/>
          <w:szCs w:val="16"/>
          <w:shd w:val="clear" w:color="auto" w:fill="FFFFFF"/>
          <w:lang w:val="es-ES_tradnl" w:eastAsia="es-ES"/>
        </w:rPr>
        <w:t>m</w:t>
      </w:r>
      <w:r w:rsidRPr="00817CD9">
        <w:rPr>
          <w:rStyle w:val="s6b621b36"/>
          <w:rFonts w:ascii="Verdana" w:eastAsia="Times New Roman" w:hAnsi="Verdana" w:cs="Arial"/>
          <w:i/>
          <w:iCs/>
          <w:color w:val="000000"/>
          <w:sz w:val="16"/>
          <w:szCs w:val="16"/>
          <w:shd w:val="clear" w:color="auto" w:fill="FFFFFF"/>
        </w:rPr>
        <w:t>utatis mutandis</w:t>
      </w:r>
      <w:r w:rsidRPr="00817CD9">
        <w:rPr>
          <w:rStyle w:val="apple-converted-space"/>
          <w:rFonts w:ascii="Verdana" w:eastAsia="Times New Roman" w:hAnsi="Verdana" w:cs="Arial"/>
          <w:i/>
          <w:iCs/>
          <w:color w:val="000000"/>
          <w:sz w:val="16"/>
          <w:szCs w:val="16"/>
          <w:shd w:val="clear" w:color="auto" w:fill="FFFFFF"/>
        </w:rPr>
        <w:t> </w:t>
      </w:r>
      <w:r w:rsidRPr="00817CD9">
        <w:rPr>
          <w:rStyle w:val="sb8d990e2"/>
          <w:rFonts w:ascii="Verdana" w:eastAsia="Times New Roman" w:hAnsi="Verdana" w:cs="Arial"/>
          <w:color w:val="000000"/>
          <w:sz w:val="16"/>
          <w:szCs w:val="16"/>
          <w:shd w:val="clear" w:color="auto" w:fill="FFFFFF"/>
        </w:rPr>
        <w:t>, Aplicación No.</w:t>
      </w:r>
      <w:r w:rsidRPr="00817CD9">
        <w:rPr>
          <w:rStyle w:val="apple-converted-space"/>
          <w:rFonts w:ascii="Verdana" w:eastAsia="Times New Roman" w:hAnsi="Verdana" w:cs="Arial"/>
          <w:color w:val="000000"/>
          <w:sz w:val="16"/>
          <w:szCs w:val="16"/>
          <w:shd w:val="clear" w:color="auto" w:fill="FFFFFF"/>
        </w:rPr>
        <w:t> </w:t>
      </w:r>
      <w:r w:rsidRPr="00817CD9">
        <w:rPr>
          <w:rStyle w:val="sb8d990e2"/>
          <w:rFonts w:ascii="Verdana" w:eastAsia="Times New Roman" w:hAnsi="Verdana" w:cs="Arial"/>
          <w:color w:val="000000"/>
          <w:sz w:val="16"/>
          <w:szCs w:val="16"/>
          <w:shd w:val="clear" w:color="auto" w:fill="FFFFFF"/>
        </w:rPr>
        <w:t xml:space="preserve">436/58, Decisión Comisión </w:t>
      </w:r>
      <w:r w:rsidRPr="00817CD9">
        <w:rPr>
          <w:rStyle w:val="sb8d990e2"/>
          <w:rFonts w:ascii="Verdana" w:eastAsia="Times New Roman" w:hAnsi="Verdana" w:cs="Arial"/>
          <w:i/>
          <w:color w:val="000000"/>
          <w:sz w:val="16"/>
          <w:szCs w:val="16"/>
          <w:shd w:val="clear" w:color="auto" w:fill="FFFFFF"/>
        </w:rPr>
        <w:t>Cas</w:t>
      </w:r>
      <w:r>
        <w:rPr>
          <w:rStyle w:val="sb8d990e2"/>
          <w:rFonts w:ascii="Verdana" w:eastAsia="Times New Roman" w:hAnsi="Verdana" w:cs="Arial"/>
          <w:i/>
          <w:color w:val="000000"/>
          <w:sz w:val="16"/>
          <w:szCs w:val="16"/>
          <w:shd w:val="clear" w:color="auto" w:fill="FFFFFF"/>
        </w:rPr>
        <w:t>o</w:t>
      </w:r>
      <w:r w:rsidRPr="00817CD9">
        <w:rPr>
          <w:rStyle w:val="sb8d990e2"/>
          <w:rFonts w:ascii="Verdana" w:eastAsia="Times New Roman" w:hAnsi="Verdana" w:cs="Arial"/>
          <w:i/>
          <w:color w:val="000000"/>
          <w:sz w:val="16"/>
          <w:szCs w:val="16"/>
          <w:shd w:val="clear" w:color="auto" w:fill="FFFFFF"/>
        </w:rPr>
        <w:t xml:space="preserve"> Pires da Silva y otros </w:t>
      </w:r>
      <w:r>
        <w:rPr>
          <w:rStyle w:val="sb8d990e2"/>
          <w:rFonts w:ascii="Verdana" w:eastAsia="Times New Roman" w:hAnsi="Verdana" w:cs="Arial"/>
          <w:i/>
          <w:color w:val="000000"/>
          <w:sz w:val="16"/>
          <w:szCs w:val="16"/>
          <w:shd w:val="clear" w:color="auto" w:fill="FFFFFF"/>
        </w:rPr>
        <w:t>Vs</w:t>
      </w:r>
      <w:r w:rsidRPr="00817CD9">
        <w:rPr>
          <w:rStyle w:val="sb8d990e2"/>
          <w:rFonts w:ascii="Verdana" w:eastAsia="Times New Roman" w:hAnsi="Verdana" w:cs="Arial"/>
          <w:i/>
          <w:color w:val="000000"/>
          <w:sz w:val="16"/>
          <w:szCs w:val="16"/>
          <w:shd w:val="clear" w:color="auto" w:fill="FFFFFF"/>
        </w:rPr>
        <w:t>. Portugal</w:t>
      </w:r>
      <w:r w:rsidRPr="00817CD9">
        <w:rPr>
          <w:rStyle w:val="sb8d990e2"/>
          <w:rFonts w:ascii="Verdana" w:eastAsia="Times New Roman" w:hAnsi="Verdana" w:cs="Arial"/>
          <w:color w:val="000000"/>
          <w:sz w:val="16"/>
          <w:szCs w:val="16"/>
          <w:shd w:val="clear" w:color="auto" w:fill="FFFFFF"/>
        </w:rPr>
        <w:t>, No.</w:t>
      </w:r>
      <w:r w:rsidRPr="00817CD9">
        <w:rPr>
          <w:rStyle w:val="apple-converted-space"/>
          <w:rFonts w:ascii="Verdana" w:eastAsia="Times New Roman" w:hAnsi="Verdana" w:cs="Arial"/>
          <w:color w:val="000000"/>
          <w:sz w:val="16"/>
          <w:szCs w:val="16"/>
          <w:shd w:val="clear" w:color="auto" w:fill="FFFFFF"/>
        </w:rPr>
        <w:t> </w:t>
      </w:r>
      <w:r w:rsidRPr="00817CD9">
        <w:rPr>
          <w:rStyle w:val="sb8d990e2"/>
          <w:rFonts w:ascii="Verdana" w:eastAsia="Times New Roman" w:hAnsi="Verdana" w:cs="Arial"/>
          <w:color w:val="000000"/>
          <w:sz w:val="16"/>
          <w:szCs w:val="16"/>
          <w:shd w:val="clear" w:color="auto" w:fill="FFFFFF"/>
        </w:rPr>
        <w:t>19157/91, decisión de la Comisión de 5 de julio de 1993.</w:t>
      </w:r>
    </w:p>
  </w:footnote>
  <w:footnote w:id="64">
    <w:p w14:paraId="0BBC0DBD" w14:textId="77777777" w:rsidR="008D3C6E" w:rsidRPr="004E7130" w:rsidRDefault="008D3C6E" w:rsidP="00817CD9">
      <w:pPr>
        <w:spacing w:after="120" w:line="240" w:lineRule="auto"/>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color w:val="E36C0A" w:themeColor="accent6" w:themeShade="BF"/>
          <w:sz w:val="16"/>
          <w:szCs w:val="16"/>
        </w:rPr>
        <w:tab/>
      </w:r>
      <w:r w:rsidRPr="00817CD9">
        <w:rPr>
          <w:rFonts w:ascii="Verdana" w:hAnsi="Verdana"/>
          <w:sz w:val="16"/>
          <w:szCs w:val="16"/>
        </w:rPr>
        <w:t>El caso fue presentado por una compañía de responsabilidad limitada Melmex LTD y el Sr. Mesrop Movseyan. En 1995, ya establecida y registrada la empresa solicitante, se creó como una empresa independiente de difusión fuera del control del Estado, posteriormente el segundo demandante creo la empresa A1 dentro de la estructura de la empresa solicitante, sin embargo no era accionista de la empresa demandante. En el presente caso, el segundo demandante no demostró que era accionista de la empresa y, mucho menos su único propietario. Por el contrario, fue la empresa la que solicitó y le fue negada una licencia, y más tarde, fue una parte en el procedi</w:t>
      </w:r>
      <w:r>
        <w:rPr>
          <w:rFonts w:ascii="Verdana" w:hAnsi="Verdana"/>
          <w:sz w:val="16"/>
          <w:szCs w:val="16"/>
        </w:rPr>
        <w:t>miento</w:t>
      </w:r>
      <w:r w:rsidRPr="00817CD9">
        <w:rPr>
          <w:rFonts w:ascii="Verdana" w:hAnsi="Verdana"/>
          <w:sz w:val="16"/>
          <w:szCs w:val="16"/>
        </w:rPr>
        <w:t xml:space="preserve"> judicial. Además, todas las decisiones internas se entregaron respecto a la empresa solicitante y no en el nombre del segundo demandante, que ni siquiera representó a la empresa en el procedimiento interno.  Con todas estas circunstancias, el Tribunal consideró que la aplicación del segundo demandante es incompatible </w:t>
      </w:r>
      <w:r w:rsidRPr="00817CD9">
        <w:rPr>
          <w:rFonts w:ascii="Verdana" w:hAnsi="Verdana"/>
          <w:i/>
          <w:sz w:val="16"/>
          <w:szCs w:val="16"/>
        </w:rPr>
        <w:t>ratione persona</w:t>
      </w:r>
      <w:r w:rsidRPr="00817CD9">
        <w:rPr>
          <w:rFonts w:ascii="Verdana" w:hAnsi="Verdana"/>
          <w:sz w:val="16"/>
          <w:szCs w:val="16"/>
        </w:rPr>
        <w:t xml:space="preserve"> con las disposiciones de la Convención. Por lo que sólo se limitó a analizar las violaciones solicitadas por la empresa peticionaria.  </w:t>
      </w:r>
      <w:r w:rsidRPr="00817CD9">
        <w:rPr>
          <w:rFonts w:ascii="Verdana" w:hAnsi="Verdana"/>
          <w:i/>
          <w:sz w:val="16"/>
          <w:szCs w:val="16"/>
        </w:rPr>
        <w:t>Cas</w:t>
      </w:r>
      <w:r>
        <w:rPr>
          <w:rFonts w:ascii="Verdana" w:hAnsi="Verdana"/>
          <w:i/>
          <w:sz w:val="16"/>
          <w:szCs w:val="16"/>
        </w:rPr>
        <w:t>o</w:t>
      </w:r>
      <w:r w:rsidRPr="00817CD9">
        <w:rPr>
          <w:rFonts w:ascii="Verdana" w:hAnsi="Verdana"/>
          <w:i/>
          <w:sz w:val="16"/>
          <w:szCs w:val="16"/>
        </w:rPr>
        <w:t xml:space="preserve"> Meltex LTD y Mesrop Movsesyan </w:t>
      </w:r>
      <w:r>
        <w:rPr>
          <w:rFonts w:ascii="Verdana" w:hAnsi="Verdana"/>
          <w:i/>
          <w:sz w:val="16"/>
          <w:szCs w:val="16"/>
        </w:rPr>
        <w:t>Vs</w:t>
      </w:r>
      <w:r w:rsidRPr="00817CD9">
        <w:rPr>
          <w:rFonts w:ascii="Verdana" w:hAnsi="Verdana"/>
          <w:i/>
          <w:sz w:val="16"/>
          <w:szCs w:val="16"/>
        </w:rPr>
        <w:t xml:space="preserve">. Armenia, </w:t>
      </w:r>
      <w:r w:rsidRPr="00817CD9">
        <w:rPr>
          <w:rFonts w:ascii="Verdana" w:hAnsi="Verdana"/>
          <w:sz w:val="16"/>
          <w:szCs w:val="16"/>
        </w:rPr>
        <w:t>No. 32283/04, 17</w:t>
      </w:r>
      <w:r>
        <w:rPr>
          <w:rFonts w:ascii="Verdana" w:hAnsi="Verdana"/>
          <w:sz w:val="16"/>
          <w:szCs w:val="16"/>
        </w:rPr>
        <w:t xml:space="preserve"> de</w:t>
      </w:r>
      <w:r w:rsidRPr="00817CD9">
        <w:rPr>
          <w:rFonts w:ascii="Verdana" w:hAnsi="Verdana"/>
          <w:sz w:val="16"/>
          <w:szCs w:val="16"/>
        </w:rPr>
        <w:t xml:space="preserve"> Jun</w:t>
      </w:r>
      <w:r>
        <w:rPr>
          <w:rFonts w:ascii="Verdana" w:hAnsi="Verdana"/>
          <w:sz w:val="16"/>
          <w:szCs w:val="16"/>
        </w:rPr>
        <w:t>io de</w:t>
      </w:r>
      <w:r w:rsidRPr="00817CD9">
        <w:rPr>
          <w:rFonts w:ascii="Verdana" w:hAnsi="Verdana"/>
          <w:sz w:val="16"/>
          <w:szCs w:val="16"/>
        </w:rPr>
        <w:t xml:space="preserve"> 2008. </w:t>
      </w:r>
    </w:p>
  </w:footnote>
  <w:footnote w:id="65">
    <w:p w14:paraId="4867B612" w14:textId="77777777" w:rsidR="008D3C6E" w:rsidRPr="004E7130"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6F2A55">
        <w:rPr>
          <w:rFonts w:ascii="Verdana" w:hAnsi="Verdana"/>
          <w:sz w:val="16"/>
          <w:szCs w:val="16"/>
          <w:lang w:val="en-US"/>
        </w:rPr>
        <w:tab/>
      </w:r>
      <w:r w:rsidRPr="006F2A55">
        <w:rPr>
          <w:rFonts w:ascii="Verdana" w:hAnsi="Verdana"/>
          <w:i/>
          <w:sz w:val="16"/>
          <w:szCs w:val="16"/>
          <w:lang w:val="en-US"/>
        </w:rPr>
        <w:t xml:space="preserve">Case </w:t>
      </w:r>
      <w:proofErr w:type="spellStart"/>
      <w:r w:rsidRPr="006F2A55">
        <w:rPr>
          <w:rFonts w:ascii="Verdana" w:hAnsi="Verdana"/>
          <w:i/>
          <w:sz w:val="16"/>
          <w:szCs w:val="16"/>
          <w:lang w:val="en-US"/>
        </w:rPr>
        <w:t>Meltex</w:t>
      </w:r>
      <w:proofErr w:type="spellEnd"/>
      <w:r w:rsidRPr="006F2A55">
        <w:rPr>
          <w:rFonts w:ascii="Verdana" w:hAnsi="Verdana"/>
          <w:i/>
          <w:sz w:val="16"/>
          <w:szCs w:val="16"/>
          <w:lang w:val="en-US"/>
        </w:rPr>
        <w:t xml:space="preserve"> LTD y </w:t>
      </w:r>
      <w:proofErr w:type="spellStart"/>
      <w:r w:rsidRPr="006F2A55">
        <w:rPr>
          <w:rFonts w:ascii="Verdana" w:hAnsi="Verdana"/>
          <w:i/>
          <w:sz w:val="16"/>
          <w:szCs w:val="16"/>
          <w:lang w:val="en-US"/>
        </w:rPr>
        <w:t>Mesrop</w:t>
      </w:r>
      <w:proofErr w:type="spellEnd"/>
      <w:r w:rsidRPr="006F2A55">
        <w:rPr>
          <w:rFonts w:ascii="Verdana" w:hAnsi="Verdana"/>
          <w:i/>
          <w:sz w:val="16"/>
          <w:szCs w:val="16"/>
          <w:lang w:val="en-US"/>
        </w:rPr>
        <w:t xml:space="preserve"> </w:t>
      </w:r>
      <w:proofErr w:type="spellStart"/>
      <w:r w:rsidRPr="006F2A55">
        <w:rPr>
          <w:rFonts w:ascii="Verdana" w:hAnsi="Verdana"/>
          <w:i/>
          <w:sz w:val="16"/>
          <w:szCs w:val="16"/>
          <w:lang w:val="en-US"/>
        </w:rPr>
        <w:t>Movsesyan</w:t>
      </w:r>
      <w:proofErr w:type="spellEnd"/>
      <w:r w:rsidRPr="006F2A55">
        <w:rPr>
          <w:rFonts w:ascii="Verdana" w:hAnsi="Verdana"/>
          <w:i/>
          <w:sz w:val="16"/>
          <w:szCs w:val="16"/>
          <w:lang w:val="en-US"/>
        </w:rPr>
        <w:t xml:space="preserve"> </w:t>
      </w:r>
      <w:proofErr w:type="gramStart"/>
      <w:r w:rsidRPr="006F2A55">
        <w:rPr>
          <w:rFonts w:ascii="Verdana" w:hAnsi="Verdana"/>
          <w:i/>
          <w:sz w:val="16"/>
          <w:szCs w:val="16"/>
          <w:lang w:val="en-US"/>
        </w:rPr>
        <w:t>Vs</w:t>
      </w:r>
      <w:proofErr w:type="gramEnd"/>
      <w:r w:rsidRPr="006F2A55">
        <w:rPr>
          <w:rFonts w:ascii="Verdana" w:hAnsi="Verdana"/>
          <w:i/>
          <w:sz w:val="16"/>
          <w:szCs w:val="16"/>
          <w:lang w:val="en-US"/>
        </w:rPr>
        <w:t xml:space="preserve">. </w:t>
      </w:r>
      <w:r w:rsidRPr="00817CD9">
        <w:rPr>
          <w:rFonts w:ascii="Verdana" w:hAnsi="Verdana"/>
          <w:i/>
          <w:sz w:val="16"/>
          <w:szCs w:val="16"/>
        </w:rPr>
        <w:t xml:space="preserve">Armenia, </w:t>
      </w:r>
      <w:r w:rsidRPr="00817CD9">
        <w:rPr>
          <w:rFonts w:ascii="Verdana" w:hAnsi="Verdana"/>
          <w:sz w:val="16"/>
          <w:szCs w:val="16"/>
        </w:rPr>
        <w:t xml:space="preserve">No. 32283/04, 17 </w:t>
      </w:r>
      <w:r>
        <w:rPr>
          <w:rFonts w:ascii="Verdana" w:hAnsi="Verdana"/>
          <w:sz w:val="16"/>
          <w:szCs w:val="16"/>
        </w:rPr>
        <w:t xml:space="preserve">de </w:t>
      </w:r>
      <w:r w:rsidRPr="00817CD9">
        <w:rPr>
          <w:rFonts w:ascii="Verdana" w:hAnsi="Verdana"/>
          <w:sz w:val="16"/>
          <w:szCs w:val="16"/>
        </w:rPr>
        <w:t>Jun</w:t>
      </w:r>
      <w:r>
        <w:rPr>
          <w:rFonts w:ascii="Verdana" w:hAnsi="Verdana"/>
          <w:sz w:val="16"/>
          <w:szCs w:val="16"/>
        </w:rPr>
        <w:t>io de</w:t>
      </w:r>
      <w:r w:rsidRPr="00817CD9">
        <w:rPr>
          <w:rFonts w:ascii="Verdana" w:hAnsi="Verdana"/>
          <w:sz w:val="16"/>
          <w:szCs w:val="16"/>
        </w:rPr>
        <w:t xml:space="preserve"> 2008, párr. 67.</w:t>
      </w:r>
    </w:p>
  </w:footnote>
  <w:footnote w:id="66">
    <w:p w14:paraId="4DC0A309" w14:textId="77777777" w:rsidR="008D3C6E" w:rsidRPr="006F2A55" w:rsidRDefault="008D3C6E" w:rsidP="00817CD9">
      <w:pPr>
        <w:pStyle w:val="s30eec3f8"/>
        <w:shd w:val="clear" w:color="auto" w:fill="FFFFFF"/>
        <w:spacing w:before="0" w:beforeAutospacing="0" w:after="120" w:afterAutospacing="0"/>
        <w:jc w:val="both"/>
        <w:rPr>
          <w:rFonts w:ascii="Verdana" w:hAnsi="Verdana" w:cs="Arial"/>
          <w:sz w:val="16"/>
          <w:szCs w:val="16"/>
          <w:lang w:val="es-CO"/>
        </w:rPr>
      </w:pPr>
      <w:r w:rsidRPr="00817CD9">
        <w:rPr>
          <w:rStyle w:val="FootnoteReference"/>
          <w:rFonts w:ascii="Verdana" w:hAnsi="Verdana"/>
          <w:sz w:val="16"/>
          <w:szCs w:val="16"/>
        </w:rPr>
        <w:footnoteRef/>
      </w:r>
      <w:r w:rsidRPr="00817CD9">
        <w:rPr>
          <w:rStyle w:val="sb8d990e2"/>
          <w:rFonts w:ascii="Verdana" w:hAnsi="Verdana" w:cs="Arial"/>
          <w:sz w:val="16"/>
          <w:szCs w:val="16"/>
        </w:rPr>
        <w:tab/>
        <w:t>En el presente caso, Amat-G, una sociedad de responsabilidad limitada,  actuó a través del segundo demandante, su gerente general, quien representó a la empresa en sus relaciones con terceros y ante los tribunales nacionales. La sentencia de</w:t>
      </w:r>
      <w:r w:rsidRPr="00817CD9">
        <w:rPr>
          <w:rStyle w:val="apple-converted-space"/>
          <w:rFonts w:ascii="Verdana" w:hAnsi="Verdana" w:cs="Arial"/>
          <w:sz w:val="16"/>
          <w:szCs w:val="16"/>
        </w:rPr>
        <w:t> </w:t>
      </w:r>
      <w:r w:rsidRPr="00817CD9">
        <w:rPr>
          <w:rStyle w:val="sb8d990e2"/>
          <w:rFonts w:ascii="Verdana" w:hAnsi="Verdana" w:cs="Arial"/>
          <w:sz w:val="16"/>
          <w:szCs w:val="16"/>
        </w:rPr>
        <w:t>6 de diciembre 1999</w:t>
      </w:r>
      <w:r w:rsidRPr="00817CD9">
        <w:rPr>
          <w:rStyle w:val="apple-converted-space"/>
          <w:rFonts w:ascii="Verdana" w:hAnsi="Verdana" w:cs="Arial"/>
          <w:sz w:val="16"/>
          <w:szCs w:val="16"/>
        </w:rPr>
        <w:t> </w:t>
      </w:r>
      <w:r w:rsidRPr="00817CD9">
        <w:rPr>
          <w:rStyle w:val="sb8d990e2"/>
          <w:rFonts w:ascii="Verdana" w:hAnsi="Verdana" w:cs="Arial"/>
          <w:sz w:val="16"/>
          <w:szCs w:val="16"/>
        </w:rPr>
        <w:t>fue a favor de la empresa solicitante, no del segundo demandante. En consecuencia, la no ejecución de la sentencia del 6 de diciembre de 1999, sólo ha afectado directamente a los intereses de la empresa solicitante.</w:t>
      </w:r>
      <w:r w:rsidRPr="00817CD9">
        <w:rPr>
          <w:rStyle w:val="apple-converted-space"/>
          <w:rFonts w:ascii="Verdana" w:hAnsi="Verdana" w:cs="Arial"/>
          <w:sz w:val="16"/>
          <w:szCs w:val="16"/>
        </w:rPr>
        <w:t xml:space="preserve">  </w:t>
      </w:r>
      <w:r w:rsidRPr="00817CD9">
        <w:rPr>
          <w:rStyle w:val="sb8d990e2"/>
          <w:rFonts w:ascii="Verdana" w:hAnsi="Verdana" w:cs="Arial"/>
          <w:sz w:val="16"/>
          <w:szCs w:val="16"/>
        </w:rPr>
        <w:t>Por otra parte, el segundo demandante no se quejó de una violación de los derechos que le confiere como el director general de la empresa solicitante. Su denuncia se basó exclusivamente en la no ejecución de la sentencia dictada en favor de "su" empresa.</w:t>
      </w:r>
      <w:r w:rsidRPr="00817CD9">
        <w:rPr>
          <w:rStyle w:val="apple-converted-space"/>
          <w:rFonts w:ascii="Verdana" w:hAnsi="Verdana" w:cs="Arial"/>
          <w:sz w:val="16"/>
          <w:szCs w:val="16"/>
        </w:rPr>
        <w:t> </w:t>
      </w:r>
      <w:r w:rsidRPr="00817CD9">
        <w:rPr>
          <w:rStyle w:val="sb8d990e2"/>
          <w:rFonts w:ascii="Verdana" w:hAnsi="Verdana" w:cs="Arial"/>
          <w:sz w:val="16"/>
          <w:szCs w:val="16"/>
        </w:rPr>
        <w:t xml:space="preserve">Por otra parte, no hay nada en el expediente que sugiera que el segundo solicitante puede presumir de ser una víctima indirecta en lo individual de la presunta violación de la Convención que afectan los derechos de la sociedad de responsabilidad limitada. </w:t>
      </w:r>
      <w:r w:rsidRPr="006F2A55">
        <w:rPr>
          <w:rStyle w:val="sb8d990e2"/>
          <w:rFonts w:ascii="Verdana" w:hAnsi="Verdana" w:cs="Arial"/>
          <w:i/>
          <w:sz w:val="16"/>
          <w:szCs w:val="16"/>
          <w:lang w:val="es-CO"/>
        </w:rPr>
        <w:t>Cas</w:t>
      </w:r>
      <w:r>
        <w:rPr>
          <w:rStyle w:val="sb8d990e2"/>
          <w:rFonts w:ascii="Verdana" w:hAnsi="Verdana" w:cs="Arial"/>
          <w:i/>
          <w:sz w:val="16"/>
          <w:szCs w:val="16"/>
          <w:lang w:val="es-CO"/>
        </w:rPr>
        <w:t>o</w:t>
      </w:r>
      <w:r w:rsidRPr="006F2A55">
        <w:rPr>
          <w:rStyle w:val="sb8d990e2"/>
          <w:rFonts w:ascii="Verdana" w:hAnsi="Verdana" w:cs="Arial"/>
          <w:i/>
          <w:sz w:val="16"/>
          <w:szCs w:val="16"/>
          <w:lang w:val="es-CO"/>
        </w:rPr>
        <w:t xml:space="preserve"> </w:t>
      </w:r>
      <w:r w:rsidRPr="006F2A55">
        <w:rPr>
          <w:rFonts w:ascii="Verdana" w:hAnsi="Verdana"/>
          <w:i/>
          <w:sz w:val="16"/>
          <w:szCs w:val="16"/>
          <w:lang w:val="es-CO"/>
        </w:rPr>
        <w:t xml:space="preserve">Amat-G LTD y Mebaghishvli </w:t>
      </w:r>
      <w:r>
        <w:rPr>
          <w:rFonts w:ascii="Verdana" w:hAnsi="Verdana"/>
          <w:i/>
          <w:sz w:val="16"/>
          <w:szCs w:val="16"/>
          <w:lang w:val="es-CO"/>
        </w:rPr>
        <w:t>V</w:t>
      </w:r>
      <w:r w:rsidRPr="006F2A55">
        <w:rPr>
          <w:rFonts w:ascii="Verdana" w:hAnsi="Verdana"/>
          <w:i/>
          <w:sz w:val="16"/>
          <w:szCs w:val="16"/>
          <w:lang w:val="es-CO"/>
        </w:rPr>
        <w:t xml:space="preserve">s. Georgia, </w:t>
      </w:r>
      <w:r w:rsidRPr="006F2A55">
        <w:rPr>
          <w:rFonts w:ascii="Verdana" w:hAnsi="Verdana"/>
          <w:sz w:val="16"/>
          <w:szCs w:val="16"/>
          <w:lang w:val="es-CO"/>
        </w:rPr>
        <w:t xml:space="preserve">No. 2507/03, 27 de Septiembre de 2005. </w:t>
      </w:r>
    </w:p>
  </w:footnote>
  <w:footnote w:id="67">
    <w:p w14:paraId="723B6995" w14:textId="77777777" w:rsidR="008D3C6E" w:rsidRPr="00817CD9" w:rsidRDefault="008D3C6E" w:rsidP="00817CD9">
      <w:pPr>
        <w:pStyle w:val="s30eec3f8"/>
        <w:shd w:val="clear" w:color="auto" w:fill="FFFFFF"/>
        <w:spacing w:before="0" w:beforeAutospacing="0" w:after="120" w:afterAutospacing="0"/>
        <w:jc w:val="both"/>
        <w:rPr>
          <w:rFonts w:ascii="Verdana" w:hAnsi="Verdana" w:cs="Arial"/>
          <w:sz w:val="16"/>
          <w:szCs w:val="16"/>
        </w:rPr>
      </w:pPr>
      <w:r w:rsidRPr="00817CD9">
        <w:rPr>
          <w:rStyle w:val="FootnoteReference"/>
          <w:rFonts w:ascii="Verdana" w:hAnsi="Verdana"/>
          <w:sz w:val="16"/>
          <w:szCs w:val="16"/>
        </w:rPr>
        <w:footnoteRef/>
      </w:r>
      <w:r w:rsidRPr="006F2A55">
        <w:rPr>
          <w:rFonts w:ascii="Verdana" w:hAnsi="Verdana"/>
          <w:sz w:val="16"/>
          <w:szCs w:val="16"/>
          <w:lang w:val="es-CO"/>
        </w:rPr>
        <w:tab/>
      </w:r>
      <w:r w:rsidRPr="006F2A55">
        <w:rPr>
          <w:rStyle w:val="sb8d990e2"/>
          <w:rFonts w:ascii="Verdana" w:hAnsi="Verdana" w:cs="Arial"/>
          <w:i/>
          <w:sz w:val="16"/>
          <w:szCs w:val="16"/>
          <w:lang w:val="es-CO"/>
        </w:rPr>
        <w:t xml:space="preserve">Caso </w:t>
      </w:r>
      <w:r w:rsidRPr="006F2A55">
        <w:rPr>
          <w:rFonts w:ascii="Verdana" w:hAnsi="Verdana"/>
          <w:i/>
          <w:sz w:val="16"/>
          <w:szCs w:val="16"/>
          <w:lang w:val="es-CO"/>
        </w:rPr>
        <w:t xml:space="preserve">Amat-G LTD y Mebaghishvli </w:t>
      </w:r>
      <w:r>
        <w:rPr>
          <w:rFonts w:ascii="Verdana" w:hAnsi="Verdana"/>
          <w:i/>
          <w:sz w:val="16"/>
          <w:szCs w:val="16"/>
          <w:lang w:val="es-CO"/>
        </w:rPr>
        <w:t>V</w:t>
      </w:r>
      <w:r w:rsidRPr="006F2A55">
        <w:rPr>
          <w:rFonts w:ascii="Verdana" w:hAnsi="Verdana"/>
          <w:i/>
          <w:sz w:val="16"/>
          <w:szCs w:val="16"/>
          <w:lang w:val="es-CO"/>
        </w:rPr>
        <w:t xml:space="preserve">s. Georgia, </w:t>
      </w:r>
      <w:r w:rsidRPr="006F2A55">
        <w:rPr>
          <w:rFonts w:ascii="Verdana" w:hAnsi="Verdana"/>
          <w:sz w:val="16"/>
          <w:szCs w:val="16"/>
          <w:lang w:val="es-CO"/>
        </w:rPr>
        <w:t xml:space="preserve">párrs. </w:t>
      </w:r>
      <w:r w:rsidRPr="00817CD9">
        <w:rPr>
          <w:rFonts w:ascii="Verdana" w:hAnsi="Verdana"/>
          <w:sz w:val="16"/>
          <w:szCs w:val="16"/>
        </w:rPr>
        <w:t>32-34</w:t>
      </w:r>
      <w:r>
        <w:rPr>
          <w:rFonts w:ascii="Verdana" w:hAnsi="Verdana"/>
          <w:sz w:val="16"/>
          <w:szCs w:val="16"/>
        </w:rPr>
        <w:t>.</w:t>
      </w:r>
    </w:p>
  </w:footnote>
  <w:footnote w:id="68">
    <w:p w14:paraId="6C4E66BF" w14:textId="77777777" w:rsidR="008D3C6E" w:rsidRPr="00817CD9" w:rsidRDefault="008D3C6E" w:rsidP="00817CD9">
      <w:pPr>
        <w:pStyle w:val="FootnoteText"/>
        <w:spacing w:after="120"/>
        <w:jc w:val="both"/>
        <w:rPr>
          <w:rFonts w:ascii="Verdana" w:hAnsi="Verdana"/>
          <w:sz w:val="16"/>
          <w:szCs w:val="16"/>
          <w:lang w:val="es-ES_tradnl"/>
        </w:rPr>
      </w:pPr>
      <w:r w:rsidRPr="00817CD9">
        <w:rPr>
          <w:rStyle w:val="FootnoteReference"/>
          <w:rFonts w:ascii="Verdana" w:hAnsi="Verdana"/>
          <w:sz w:val="16"/>
          <w:szCs w:val="16"/>
        </w:rPr>
        <w:footnoteRef/>
      </w:r>
      <w:r w:rsidRPr="00817CD9">
        <w:rPr>
          <w:rFonts w:ascii="Verdana" w:hAnsi="Verdana"/>
          <w:sz w:val="16"/>
          <w:szCs w:val="16"/>
          <w:lang w:val="es-ES_tradnl"/>
        </w:rPr>
        <w:tab/>
      </w:r>
      <w:r w:rsidRPr="00817CD9">
        <w:rPr>
          <w:rFonts w:ascii="Verdana" w:hAnsi="Verdana"/>
          <w:i/>
          <w:sz w:val="16"/>
          <w:szCs w:val="16"/>
          <w:lang w:val="es-ES_tradnl"/>
        </w:rPr>
        <w:t>Cas</w:t>
      </w:r>
      <w:r>
        <w:rPr>
          <w:rFonts w:ascii="Verdana" w:hAnsi="Verdana"/>
          <w:i/>
          <w:sz w:val="16"/>
          <w:szCs w:val="16"/>
          <w:lang w:val="es-ES_tradnl"/>
        </w:rPr>
        <w:t>o</w:t>
      </w:r>
      <w:r w:rsidRPr="00817CD9">
        <w:rPr>
          <w:rFonts w:ascii="Verdana" w:hAnsi="Verdana"/>
          <w:i/>
          <w:sz w:val="16"/>
          <w:szCs w:val="16"/>
          <w:lang w:val="es-ES_tradnl"/>
        </w:rPr>
        <w:t xml:space="preserve"> </w:t>
      </w:r>
      <w:r w:rsidRPr="00817CD9">
        <w:rPr>
          <w:rFonts w:ascii="Verdana" w:hAnsi="Verdana"/>
          <w:i/>
          <w:sz w:val="16"/>
          <w:szCs w:val="16"/>
        </w:rPr>
        <w:t xml:space="preserve">Groppera Radio A.G. y otros </w:t>
      </w:r>
      <w:r>
        <w:rPr>
          <w:rFonts w:ascii="Verdana" w:hAnsi="Verdana"/>
          <w:i/>
          <w:sz w:val="16"/>
          <w:szCs w:val="16"/>
        </w:rPr>
        <w:t>Vs</w:t>
      </w:r>
      <w:r w:rsidRPr="00817CD9">
        <w:rPr>
          <w:rFonts w:ascii="Verdana" w:hAnsi="Verdana"/>
          <w:i/>
          <w:sz w:val="16"/>
          <w:szCs w:val="16"/>
        </w:rPr>
        <w:t>. Suiza</w:t>
      </w:r>
      <w:r>
        <w:rPr>
          <w:rFonts w:ascii="Verdana" w:hAnsi="Verdana"/>
          <w:i/>
          <w:sz w:val="16"/>
          <w:szCs w:val="16"/>
        </w:rPr>
        <w:t>,</w:t>
      </w:r>
      <w:r w:rsidRPr="00817CD9">
        <w:rPr>
          <w:rFonts w:ascii="Verdana" w:hAnsi="Verdana"/>
          <w:sz w:val="16"/>
          <w:szCs w:val="16"/>
        </w:rPr>
        <w:t>párrs. 46-51</w:t>
      </w:r>
    </w:p>
    <w:p w14:paraId="16C8A3B4" w14:textId="77777777" w:rsidR="008D3C6E" w:rsidRPr="00817CD9" w:rsidRDefault="008D3C6E" w:rsidP="00817CD9">
      <w:pPr>
        <w:pStyle w:val="FootnoteText"/>
        <w:spacing w:after="120"/>
        <w:jc w:val="both"/>
        <w:rPr>
          <w:rFonts w:ascii="Verdana" w:hAnsi="Verdana"/>
          <w:sz w:val="16"/>
          <w:szCs w:val="16"/>
          <w:lang w:val="es-ES_tradnl"/>
        </w:rPr>
      </w:pPr>
    </w:p>
  </w:footnote>
  <w:footnote w:id="69">
    <w:p w14:paraId="2A3CDCAD" w14:textId="77777777" w:rsidR="008D3C6E" w:rsidRPr="004E7130"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r>
      <w:r>
        <w:rPr>
          <w:rFonts w:ascii="Verdana" w:hAnsi="Verdana" w:cs="Verdana"/>
          <w:bCs/>
          <w:i/>
          <w:sz w:val="16"/>
          <w:szCs w:val="16"/>
          <w:lang w:val="es-ES"/>
        </w:rPr>
        <w:t xml:space="preserve">Caso </w:t>
      </w:r>
      <w:proofErr w:type="spellStart"/>
      <w:r>
        <w:rPr>
          <w:rFonts w:ascii="Verdana" w:hAnsi="Verdana" w:cs="Verdana"/>
          <w:bCs/>
          <w:i/>
          <w:sz w:val="16"/>
          <w:szCs w:val="16"/>
          <w:lang w:val="es-ES"/>
        </w:rPr>
        <w:t>Granier</w:t>
      </w:r>
      <w:proofErr w:type="spellEnd"/>
      <w:r>
        <w:rPr>
          <w:rFonts w:ascii="Verdana" w:hAnsi="Verdana" w:cs="Verdana"/>
          <w:bCs/>
          <w:i/>
          <w:sz w:val="16"/>
          <w:szCs w:val="16"/>
          <w:lang w:val="es-ES"/>
        </w:rPr>
        <w:t xml:space="preserve"> y Otros (Radio Caracas Televisión) Vs. Venezuela</w:t>
      </w:r>
      <w:r>
        <w:rPr>
          <w:rFonts w:ascii="Verdana" w:hAnsi="Verdana"/>
          <w:sz w:val="16"/>
          <w:szCs w:val="16"/>
        </w:rPr>
        <w:t xml:space="preserve">, párr. </w:t>
      </w:r>
      <w:r w:rsidRPr="008904C3">
        <w:rPr>
          <w:rFonts w:ascii="Verdana" w:hAnsi="Verdana"/>
          <w:sz w:val="16"/>
          <w:szCs w:val="16"/>
        </w:rPr>
        <w:t>160</w:t>
      </w:r>
      <w:r>
        <w:rPr>
          <w:rFonts w:ascii="Verdana" w:hAnsi="Verdana"/>
          <w:sz w:val="16"/>
          <w:szCs w:val="16"/>
        </w:rPr>
        <w:t>.</w:t>
      </w:r>
      <w:r w:rsidRPr="00817CD9">
        <w:rPr>
          <w:rFonts w:ascii="Verdana" w:hAnsi="Verdana"/>
          <w:sz w:val="16"/>
          <w:szCs w:val="16"/>
        </w:rPr>
        <w:t xml:space="preserve"> </w:t>
      </w:r>
    </w:p>
  </w:footnote>
  <w:footnote w:id="70">
    <w:p w14:paraId="7BEA99BB" w14:textId="77777777"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r>
      <w:r>
        <w:rPr>
          <w:rFonts w:ascii="Verdana" w:hAnsi="Verdana" w:cs="Verdana"/>
          <w:bCs/>
          <w:i/>
          <w:sz w:val="16"/>
          <w:szCs w:val="16"/>
          <w:lang w:val="es-ES"/>
        </w:rPr>
        <w:t xml:space="preserve">Caso </w:t>
      </w:r>
      <w:proofErr w:type="spellStart"/>
      <w:r>
        <w:rPr>
          <w:rFonts w:ascii="Verdana" w:hAnsi="Verdana" w:cs="Verdana"/>
          <w:bCs/>
          <w:i/>
          <w:sz w:val="16"/>
          <w:szCs w:val="16"/>
          <w:lang w:val="es-ES"/>
        </w:rPr>
        <w:t>Granier</w:t>
      </w:r>
      <w:proofErr w:type="spellEnd"/>
      <w:r>
        <w:rPr>
          <w:rFonts w:ascii="Verdana" w:hAnsi="Verdana" w:cs="Verdana"/>
          <w:bCs/>
          <w:i/>
          <w:sz w:val="16"/>
          <w:szCs w:val="16"/>
          <w:lang w:val="es-ES"/>
        </w:rPr>
        <w:t xml:space="preserve"> y Otros (Radio Caracas Televisión) Vs. Venezuela</w:t>
      </w:r>
      <w:r>
        <w:rPr>
          <w:rFonts w:ascii="Verdana" w:hAnsi="Verdana"/>
          <w:sz w:val="16"/>
          <w:szCs w:val="16"/>
        </w:rPr>
        <w:t>, párr. 157.</w:t>
      </w:r>
    </w:p>
  </w:footnote>
  <w:footnote w:id="71">
    <w:p w14:paraId="7218A6AC" w14:textId="77777777" w:rsidR="008D3C6E" w:rsidRPr="00817CD9" w:rsidRDefault="008D3C6E" w:rsidP="00817CD9">
      <w:pPr>
        <w:autoSpaceDE w:val="0"/>
        <w:autoSpaceDN w:val="0"/>
        <w:spacing w:after="120" w:line="240" w:lineRule="auto"/>
        <w:jc w:val="both"/>
        <w:rPr>
          <w:rFonts w:ascii="Verdana" w:hAnsi="Verdana"/>
          <w:sz w:val="16"/>
          <w:szCs w:val="16"/>
          <w:lang w:val="es-ES"/>
        </w:rPr>
      </w:pPr>
      <w:r w:rsidRPr="00817CD9">
        <w:rPr>
          <w:rStyle w:val="FootnoteReference"/>
          <w:rFonts w:ascii="Verdana" w:hAnsi="Verdana"/>
          <w:sz w:val="16"/>
          <w:szCs w:val="16"/>
        </w:rPr>
        <w:footnoteRef/>
      </w:r>
      <w:r>
        <w:rPr>
          <w:rFonts w:ascii="Verdana" w:hAnsi="Verdana" w:cs="Tahoma"/>
          <w:sz w:val="16"/>
          <w:szCs w:val="16"/>
        </w:rPr>
        <w:t xml:space="preserve">         </w:t>
      </w:r>
      <w:r w:rsidRPr="00817CD9">
        <w:rPr>
          <w:rFonts w:ascii="Verdana" w:hAnsi="Verdana" w:cs="Tahoma"/>
          <w:sz w:val="16"/>
          <w:szCs w:val="16"/>
        </w:rPr>
        <w:t>Declaración escrita del testigo Jaime Nestares de 7 de mayo de 2014 (expediente de fondo</w:t>
      </w:r>
      <w:r>
        <w:rPr>
          <w:rFonts w:ascii="Verdana" w:hAnsi="Verdana" w:cs="Tahoma"/>
          <w:sz w:val="16"/>
          <w:szCs w:val="16"/>
        </w:rPr>
        <w:t>,</w:t>
      </w:r>
      <w:r w:rsidRPr="00817CD9">
        <w:rPr>
          <w:rFonts w:ascii="Verdana" w:hAnsi="Verdana" w:cs="Tahoma"/>
          <w:sz w:val="16"/>
          <w:szCs w:val="16"/>
        </w:rPr>
        <w:t>folios 1421 y 1422)</w:t>
      </w:r>
    </w:p>
  </w:footnote>
  <w:footnote w:id="72">
    <w:p w14:paraId="36BF0B8C" w14:textId="77777777" w:rsidR="008D3C6E" w:rsidRPr="00817CD9" w:rsidRDefault="008D3C6E" w:rsidP="00817CD9">
      <w:pPr>
        <w:pStyle w:val="FootnoteText"/>
        <w:spacing w:after="120"/>
        <w:jc w:val="both"/>
        <w:rPr>
          <w:rFonts w:ascii="Verdana" w:hAnsi="Verdana"/>
          <w:sz w:val="16"/>
          <w:szCs w:val="16"/>
          <w:lang w:val="es-CO"/>
        </w:rPr>
      </w:pPr>
      <w:r w:rsidRPr="00817CD9">
        <w:rPr>
          <w:rStyle w:val="FootnoteReference"/>
          <w:rFonts w:ascii="Verdana" w:hAnsi="Verdana"/>
          <w:sz w:val="16"/>
          <w:szCs w:val="16"/>
        </w:rPr>
        <w:footnoteRef/>
      </w:r>
      <w:r w:rsidRPr="00817CD9">
        <w:rPr>
          <w:rFonts w:ascii="Verdana" w:hAnsi="Verdana"/>
          <w:sz w:val="16"/>
          <w:szCs w:val="16"/>
        </w:rPr>
        <w:t xml:space="preserve"> </w:t>
      </w:r>
      <w:r w:rsidRPr="00817CD9">
        <w:rPr>
          <w:rFonts w:ascii="Verdana" w:hAnsi="Verdana"/>
          <w:sz w:val="16"/>
          <w:szCs w:val="16"/>
          <w:lang w:val="es-CO"/>
        </w:rPr>
        <w:t xml:space="preserve">      </w:t>
      </w:r>
      <w:r>
        <w:rPr>
          <w:rFonts w:ascii="Verdana" w:hAnsi="Verdana"/>
          <w:sz w:val="16"/>
          <w:szCs w:val="16"/>
          <w:lang w:val="es-CO"/>
        </w:rPr>
        <w:tab/>
      </w:r>
      <w:r w:rsidRPr="00817CD9">
        <w:rPr>
          <w:rFonts w:ascii="Verdana" w:hAnsi="Verdana"/>
          <w:sz w:val="16"/>
          <w:szCs w:val="16"/>
          <w:lang w:val="es-CO"/>
        </w:rPr>
        <w:t>Convención Americana sobre Derechos Humanos, artículo 13</w:t>
      </w:r>
      <w:r>
        <w:rPr>
          <w:rFonts w:ascii="Verdana" w:hAnsi="Verdana"/>
          <w:sz w:val="16"/>
          <w:szCs w:val="16"/>
          <w:lang w:val="es-CO"/>
        </w:rPr>
        <w:t>.</w:t>
      </w:r>
    </w:p>
  </w:footnote>
  <w:footnote w:id="73">
    <w:p w14:paraId="5A2AC576" w14:textId="77777777" w:rsidR="008D3C6E" w:rsidRPr="00817CD9"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 xml:space="preserve">       </w:t>
      </w:r>
      <w:r>
        <w:rPr>
          <w:rFonts w:ascii="Verdana" w:hAnsi="Verdana"/>
          <w:sz w:val="16"/>
          <w:szCs w:val="16"/>
        </w:rPr>
        <w:tab/>
      </w:r>
      <w:r w:rsidRPr="00817CD9">
        <w:rPr>
          <w:rFonts w:ascii="Verdana" w:hAnsi="Verdana"/>
          <w:i/>
          <w:sz w:val="16"/>
          <w:szCs w:val="16"/>
        </w:rPr>
        <w:t xml:space="preserve">Cfr. </w:t>
      </w:r>
      <w:r>
        <w:rPr>
          <w:rFonts w:ascii="Verdana" w:hAnsi="Verdana"/>
          <w:sz w:val="16"/>
          <w:szCs w:val="16"/>
        </w:rPr>
        <w:t>la d</w:t>
      </w:r>
      <w:r w:rsidRPr="00817CD9">
        <w:rPr>
          <w:rFonts w:ascii="Verdana" w:hAnsi="Verdana"/>
          <w:sz w:val="16"/>
          <w:szCs w:val="16"/>
        </w:rPr>
        <w:t>eclaración del testigo Marcel Granier en audiencia pública del pr</w:t>
      </w:r>
      <w:r w:rsidRPr="003A0CEF">
        <w:rPr>
          <w:rFonts w:ascii="Verdana" w:hAnsi="Verdana"/>
          <w:sz w:val="16"/>
          <w:szCs w:val="16"/>
        </w:rPr>
        <w:t>es</w:t>
      </w:r>
      <w:r w:rsidRPr="00817CD9">
        <w:rPr>
          <w:rFonts w:ascii="Verdana" w:hAnsi="Verdana"/>
          <w:sz w:val="16"/>
          <w:szCs w:val="16"/>
        </w:rPr>
        <w:t>ente caso</w:t>
      </w:r>
      <w:r>
        <w:rPr>
          <w:rFonts w:ascii="Verdana" w:hAnsi="Verdana"/>
          <w:sz w:val="16"/>
          <w:szCs w:val="16"/>
        </w:rPr>
        <w:t>.</w:t>
      </w:r>
    </w:p>
  </w:footnote>
  <w:footnote w:id="74">
    <w:p w14:paraId="35E62446" w14:textId="77777777" w:rsidR="008D3C6E" w:rsidRPr="00817CD9" w:rsidRDefault="008D3C6E" w:rsidP="00817CD9">
      <w:pPr>
        <w:pStyle w:val="FootnoteText"/>
        <w:spacing w:after="120"/>
        <w:jc w:val="both"/>
        <w:rPr>
          <w:rFonts w:ascii="Verdana" w:hAnsi="Verdana"/>
          <w:sz w:val="16"/>
          <w:szCs w:val="16"/>
          <w:lang w:val="es-ES_tradnl"/>
        </w:rPr>
      </w:pPr>
      <w:r w:rsidRPr="00817CD9">
        <w:rPr>
          <w:rStyle w:val="FootnoteReference"/>
          <w:rFonts w:ascii="Verdana" w:hAnsi="Verdana"/>
          <w:sz w:val="16"/>
          <w:szCs w:val="16"/>
        </w:rPr>
        <w:footnoteRef/>
      </w:r>
      <w:r w:rsidRPr="00817CD9">
        <w:rPr>
          <w:rFonts w:ascii="Verdana" w:hAnsi="Verdana"/>
          <w:sz w:val="16"/>
          <w:szCs w:val="16"/>
          <w:lang w:val="es-ES_tradnl"/>
        </w:rPr>
        <w:tab/>
        <w:t xml:space="preserve">Dictamen del Perito Francisco Rubio Llorente, </w:t>
      </w:r>
      <w:r>
        <w:rPr>
          <w:rFonts w:ascii="Verdana" w:hAnsi="Verdana"/>
          <w:sz w:val="16"/>
          <w:szCs w:val="16"/>
          <w:lang w:val="es-ES_tradnl"/>
        </w:rPr>
        <w:t>(expediente de fondo, folio 1678)</w:t>
      </w:r>
      <w:r w:rsidRPr="00817CD9">
        <w:rPr>
          <w:rFonts w:ascii="Verdana" w:hAnsi="Verdana"/>
          <w:sz w:val="16"/>
          <w:szCs w:val="16"/>
          <w:lang w:val="es-ES_tradnl"/>
        </w:rPr>
        <w:t xml:space="preserve">. </w:t>
      </w:r>
    </w:p>
  </w:footnote>
  <w:footnote w:id="75">
    <w:p w14:paraId="590A5431" w14:textId="77777777" w:rsidR="008D3C6E" w:rsidRPr="00817CD9" w:rsidRDefault="008D3C6E" w:rsidP="00817CD9">
      <w:pPr>
        <w:pStyle w:val="FootnoteText"/>
        <w:spacing w:after="120"/>
        <w:jc w:val="both"/>
        <w:rPr>
          <w:rFonts w:ascii="Verdana" w:hAnsi="Verdana" w:cs="Verdana"/>
          <w:bCs/>
          <w:sz w:val="16"/>
          <w:szCs w:val="16"/>
          <w:lang w:val="es-ES"/>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cs="Verdana"/>
          <w:bCs/>
          <w:i/>
          <w:sz w:val="16"/>
          <w:szCs w:val="16"/>
          <w:lang w:val="es-ES"/>
        </w:rPr>
        <w:t>Caso Cantos Vs. Argentina</w:t>
      </w:r>
      <w:r w:rsidRPr="00817CD9">
        <w:rPr>
          <w:rFonts w:ascii="Verdana" w:hAnsi="Verdana" w:cs="Verdana"/>
          <w:bCs/>
          <w:sz w:val="16"/>
          <w:szCs w:val="16"/>
          <w:lang w:val="es-ES"/>
        </w:rPr>
        <w:t xml:space="preserve">, </w:t>
      </w:r>
      <w:proofErr w:type="spellStart"/>
      <w:r w:rsidRPr="00817CD9">
        <w:rPr>
          <w:rFonts w:ascii="Verdana" w:hAnsi="Verdana" w:cs="Verdana"/>
          <w:bCs/>
          <w:sz w:val="16"/>
          <w:szCs w:val="16"/>
          <w:lang w:val="es-ES"/>
        </w:rPr>
        <w:t>párr</w:t>
      </w:r>
      <w:r>
        <w:rPr>
          <w:rFonts w:ascii="Verdana" w:hAnsi="Verdana" w:cs="Verdana"/>
          <w:bCs/>
          <w:sz w:val="16"/>
          <w:szCs w:val="16"/>
          <w:lang w:val="es-ES"/>
        </w:rPr>
        <w:t>s</w:t>
      </w:r>
      <w:proofErr w:type="spellEnd"/>
      <w:r w:rsidRPr="00817CD9">
        <w:rPr>
          <w:rFonts w:ascii="Verdana" w:hAnsi="Verdana" w:cs="Verdana"/>
          <w:bCs/>
          <w:sz w:val="16"/>
          <w:szCs w:val="16"/>
          <w:lang w:val="es-ES"/>
        </w:rPr>
        <w:t>. 27</w:t>
      </w:r>
      <w:r>
        <w:rPr>
          <w:rFonts w:ascii="Verdana" w:hAnsi="Verdana" w:cs="Verdana"/>
          <w:bCs/>
          <w:sz w:val="16"/>
          <w:szCs w:val="16"/>
          <w:lang w:val="es-ES"/>
        </w:rPr>
        <w:t xml:space="preserve"> y 29</w:t>
      </w:r>
      <w:r w:rsidRPr="00817CD9">
        <w:rPr>
          <w:rFonts w:ascii="Verdana" w:hAnsi="Verdana" w:cs="Verdana"/>
          <w:bCs/>
          <w:sz w:val="16"/>
          <w:szCs w:val="16"/>
          <w:lang w:val="es-ES"/>
        </w:rPr>
        <w:t xml:space="preserve">. </w:t>
      </w:r>
    </w:p>
  </w:footnote>
  <w:footnote w:id="76">
    <w:p w14:paraId="7C4CAF91" w14:textId="77777777" w:rsidR="008D3C6E" w:rsidRPr="004E7130" w:rsidRDefault="008D3C6E" w:rsidP="00817CD9">
      <w:pPr>
        <w:pStyle w:val="FootnoteText"/>
        <w:spacing w:after="120"/>
        <w:jc w:val="both"/>
        <w:rPr>
          <w:rFonts w:ascii="Verdana" w:hAnsi="Verdana" w:cs="Verdana"/>
          <w:bCs/>
          <w:sz w:val="16"/>
          <w:szCs w:val="16"/>
          <w:lang w:val="es-ES"/>
        </w:rPr>
      </w:pPr>
      <w:r w:rsidRPr="00817CD9">
        <w:rPr>
          <w:rStyle w:val="FootnoteReference"/>
          <w:rFonts w:ascii="Verdana" w:hAnsi="Verdana"/>
          <w:sz w:val="16"/>
          <w:szCs w:val="16"/>
        </w:rPr>
        <w:footnoteRef/>
      </w:r>
      <w:r w:rsidRPr="00817CD9">
        <w:rPr>
          <w:rFonts w:ascii="Verdana" w:hAnsi="Verdana"/>
          <w:sz w:val="16"/>
          <w:szCs w:val="16"/>
        </w:rPr>
        <w:tab/>
      </w:r>
      <w:r w:rsidRPr="00817CD9">
        <w:rPr>
          <w:rFonts w:ascii="Verdana" w:hAnsi="Verdana" w:cs="Verdana"/>
          <w:bCs/>
          <w:i/>
          <w:sz w:val="16"/>
          <w:szCs w:val="16"/>
          <w:lang w:val="es-ES"/>
        </w:rPr>
        <w:t>Caso Cantos Vs. Argentina</w:t>
      </w:r>
      <w:r>
        <w:rPr>
          <w:rFonts w:ascii="Verdana" w:hAnsi="Verdana" w:cs="Verdana"/>
          <w:bCs/>
          <w:i/>
          <w:sz w:val="16"/>
          <w:szCs w:val="16"/>
          <w:lang w:val="es-ES"/>
        </w:rPr>
        <w:t xml:space="preserve">, </w:t>
      </w:r>
      <w:r w:rsidRPr="00817CD9">
        <w:rPr>
          <w:rFonts w:ascii="Verdana" w:hAnsi="Verdana" w:cs="Verdana"/>
          <w:bCs/>
          <w:sz w:val="16"/>
          <w:szCs w:val="16"/>
          <w:lang w:val="es-ES"/>
        </w:rPr>
        <w:t xml:space="preserve">párr. 26. </w:t>
      </w:r>
    </w:p>
  </w:footnote>
  <w:footnote w:id="77">
    <w:p w14:paraId="24F850BA" w14:textId="77777777" w:rsidR="008D3C6E" w:rsidRPr="00F92162" w:rsidRDefault="008D3C6E" w:rsidP="00817CD9">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ab/>
        <w:t>Dictamen del Perito Alfredo Morales Hernández</w:t>
      </w:r>
      <w:r>
        <w:rPr>
          <w:rFonts w:ascii="Verdana" w:hAnsi="Verdana"/>
          <w:sz w:val="16"/>
          <w:szCs w:val="16"/>
        </w:rPr>
        <w:t xml:space="preserve"> (expediente de fondo, folio 1627), </w:t>
      </w:r>
      <w:r w:rsidRPr="00817CD9">
        <w:rPr>
          <w:rFonts w:ascii="Verdana" w:hAnsi="Verdana"/>
          <w:sz w:val="16"/>
          <w:szCs w:val="16"/>
        </w:rPr>
        <w:t xml:space="preserve">párr. 45. </w:t>
      </w:r>
    </w:p>
  </w:footnote>
  <w:footnote w:id="78">
    <w:p w14:paraId="653DBD92" w14:textId="77777777" w:rsidR="008D3C6E" w:rsidRPr="00817CD9" w:rsidRDefault="008D3C6E" w:rsidP="004E7130">
      <w:pPr>
        <w:pStyle w:val="FootnoteText"/>
        <w:spacing w:after="120"/>
        <w:jc w:val="both"/>
        <w:rPr>
          <w:rFonts w:ascii="Verdana" w:hAnsi="Verdana"/>
          <w:sz w:val="16"/>
          <w:szCs w:val="16"/>
        </w:rPr>
      </w:pPr>
      <w:r w:rsidRPr="00817CD9">
        <w:rPr>
          <w:rStyle w:val="FootnoteReference"/>
          <w:rFonts w:ascii="Verdana" w:hAnsi="Verdana"/>
          <w:sz w:val="16"/>
          <w:szCs w:val="16"/>
        </w:rPr>
        <w:footnoteRef/>
      </w:r>
      <w:r w:rsidRPr="00817CD9">
        <w:rPr>
          <w:rFonts w:ascii="Verdana" w:hAnsi="Verdana"/>
          <w:sz w:val="16"/>
          <w:szCs w:val="16"/>
        </w:rPr>
        <w:t xml:space="preserve"> </w:t>
      </w:r>
      <w:r w:rsidRPr="00817CD9">
        <w:rPr>
          <w:rFonts w:ascii="Verdana" w:hAnsi="Verdana"/>
          <w:sz w:val="16"/>
          <w:szCs w:val="16"/>
        </w:rPr>
        <w:tab/>
      </w:r>
      <w:r>
        <w:rPr>
          <w:rFonts w:ascii="Verdana" w:hAnsi="Verdana" w:cs="Verdana"/>
          <w:bCs/>
          <w:i/>
          <w:sz w:val="16"/>
          <w:szCs w:val="16"/>
          <w:lang w:val="es-ES"/>
        </w:rPr>
        <w:t xml:space="preserve">Caso </w:t>
      </w:r>
      <w:proofErr w:type="spellStart"/>
      <w:r>
        <w:rPr>
          <w:rFonts w:ascii="Verdana" w:hAnsi="Verdana" w:cs="Verdana"/>
          <w:bCs/>
          <w:i/>
          <w:sz w:val="16"/>
          <w:szCs w:val="16"/>
          <w:lang w:val="es-ES"/>
        </w:rPr>
        <w:t>Granier</w:t>
      </w:r>
      <w:proofErr w:type="spellEnd"/>
      <w:r>
        <w:rPr>
          <w:rFonts w:ascii="Verdana" w:hAnsi="Verdana" w:cs="Verdana"/>
          <w:bCs/>
          <w:i/>
          <w:sz w:val="16"/>
          <w:szCs w:val="16"/>
          <w:lang w:val="es-ES"/>
        </w:rPr>
        <w:t xml:space="preserve"> y Otros (Radio Caracas Televisión) Vs. Venezuela</w:t>
      </w:r>
      <w:r>
        <w:rPr>
          <w:rFonts w:ascii="Verdana" w:hAnsi="Verdana"/>
          <w:sz w:val="16"/>
          <w:szCs w:val="16"/>
        </w:rPr>
        <w:t>, párr</w:t>
      </w:r>
      <w:r w:rsidRPr="00817CD9">
        <w:rPr>
          <w:rFonts w:ascii="Verdana" w:hAnsi="Verdana"/>
          <w:sz w:val="16"/>
          <w:szCs w:val="16"/>
        </w:rPr>
        <w:t xml:space="preserve">. </w:t>
      </w:r>
      <w:r w:rsidRPr="008904C3">
        <w:rPr>
          <w:rFonts w:ascii="Verdana" w:hAnsi="Verdana"/>
          <w:sz w:val="16"/>
          <w:szCs w:val="16"/>
        </w:rPr>
        <w:t>63</w:t>
      </w:r>
      <w:r w:rsidRPr="00817CD9">
        <w:rPr>
          <w:rFonts w:ascii="Verdana" w:hAnsi="Verdana"/>
          <w:sz w:val="16"/>
          <w:szCs w:val="16"/>
        </w:rPr>
        <w:t>.</w:t>
      </w:r>
    </w:p>
  </w:footnote>
  <w:footnote w:id="79">
    <w:p w14:paraId="0C9E6741" w14:textId="77777777" w:rsidR="008D3C6E" w:rsidRPr="00817CD9" w:rsidRDefault="008D3C6E" w:rsidP="00817CD9">
      <w:pPr>
        <w:pStyle w:val="FootnoteText"/>
        <w:spacing w:after="120"/>
        <w:jc w:val="both"/>
        <w:rPr>
          <w:rFonts w:ascii="Verdana" w:hAnsi="Verdana"/>
          <w:sz w:val="16"/>
          <w:szCs w:val="16"/>
          <w:lang w:val="es-ES_tradnl"/>
        </w:rPr>
      </w:pPr>
      <w:r w:rsidRPr="00817CD9">
        <w:rPr>
          <w:rStyle w:val="FootnoteReference"/>
          <w:rFonts w:ascii="Verdana" w:hAnsi="Verdana"/>
          <w:sz w:val="16"/>
          <w:szCs w:val="16"/>
        </w:rPr>
        <w:footnoteRef/>
      </w:r>
      <w:r w:rsidRPr="00817CD9">
        <w:rPr>
          <w:rFonts w:ascii="Verdana" w:hAnsi="Verdana"/>
          <w:sz w:val="16"/>
          <w:szCs w:val="16"/>
        </w:rPr>
        <w:t xml:space="preserve"> </w:t>
      </w:r>
      <w:r w:rsidRPr="00817CD9">
        <w:rPr>
          <w:rFonts w:ascii="Verdana" w:hAnsi="Verdana"/>
          <w:sz w:val="16"/>
          <w:szCs w:val="16"/>
          <w:lang w:val="es-ES_tradnl"/>
        </w:rPr>
        <w:tab/>
      </w:r>
      <w:r>
        <w:rPr>
          <w:rFonts w:ascii="Verdana" w:hAnsi="Verdana" w:cs="Verdana"/>
          <w:bCs/>
          <w:i/>
          <w:sz w:val="16"/>
          <w:szCs w:val="16"/>
          <w:lang w:val="es-ES"/>
        </w:rPr>
        <w:t xml:space="preserve">Caso </w:t>
      </w:r>
      <w:proofErr w:type="spellStart"/>
      <w:r>
        <w:rPr>
          <w:rFonts w:ascii="Verdana" w:hAnsi="Verdana" w:cs="Verdana"/>
          <w:bCs/>
          <w:i/>
          <w:sz w:val="16"/>
          <w:szCs w:val="16"/>
          <w:lang w:val="es-ES"/>
        </w:rPr>
        <w:t>Granier</w:t>
      </w:r>
      <w:proofErr w:type="spellEnd"/>
      <w:r>
        <w:rPr>
          <w:rFonts w:ascii="Verdana" w:hAnsi="Verdana" w:cs="Verdana"/>
          <w:bCs/>
          <w:i/>
          <w:sz w:val="16"/>
          <w:szCs w:val="16"/>
          <w:lang w:val="es-ES"/>
        </w:rPr>
        <w:t xml:space="preserve"> y Otros (Radio Caracas Televisión) Vs. Venezuela</w:t>
      </w:r>
      <w:r>
        <w:rPr>
          <w:rFonts w:ascii="Verdana" w:hAnsi="Verdana"/>
          <w:sz w:val="16"/>
          <w:szCs w:val="16"/>
        </w:rPr>
        <w:t xml:space="preserve">, párr. </w:t>
      </w:r>
      <w:r>
        <w:rPr>
          <w:rFonts w:ascii="Verdana" w:hAnsi="Verdana"/>
          <w:sz w:val="16"/>
          <w:szCs w:val="16"/>
          <w:lang w:val="es-ES_tradnl"/>
        </w:rPr>
        <w:t>66</w:t>
      </w:r>
      <w:r w:rsidRPr="00817CD9">
        <w:rPr>
          <w:rFonts w:ascii="Verdana" w:hAnsi="Verdana"/>
          <w:sz w:val="16"/>
          <w:szCs w:val="16"/>
          <w:lang w:val="es-ES_tradnl"/>
        </w:rPr>
        <w:t>.</w:t>
      </w:r>
    </w:p>
  </w:footnote>
  <w:footnote w:id="80">
    <w:p w14:paraId="33EBDA97"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lang w:val="es-ES_tradnl"/>
        </w:rPr>
        <w:t>359, Punto Resolutivo 13.</w:t>
      </w:r>
    </w:p>
  </w:footnote>
  <w:footnote w:id="81">
    <w:p w14:paraId="7A2DB29C" w14:textId="77777777" w:rsidR="008D3C6E" w:rsidRPr="00026D1B" w:rsidRDefault="008D3C6E" w:rsidP="002D51D8">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lang w:val="es-ES_tradnl"/>
        </w:rPr>
        <w:t>197.</w:t>
      </w:r>
    </w:p>
  </w:footnote>
  <w:footnote w:id="82">
    <w:p w14:paraId="462A101E"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rPr>
        <w:t>198.</w:t>
      </w:r>
    </w:p>
  </w:footnote>
  <w:footnote w:id="83">
    <w:p w14:paraId="56B93C11"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rPr>
        <w:t>198.</w:t>
      </w:r>
    </w:p>
  </w:footnote>
  <w:footnote w:id="84">
    <w:p w14:paraId="1B424AF8" w14:textId="77777777" w:rsidR="008D3C6E" w:rsidRPr="00026D1B" w:rsidRDefault="008D3C6E" w:rsidP="002D51D8">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rPr>
        <w:t>198.</w:t>
      </w:r>
    </w:p>
  </w:footnote>
  <w:footnote w:id="85">
    <w:p w14:paraId="5942CA0F"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rPr>
        <w:t>342.</w:t>
      </w:r>
      <w:r w:rsidRPr="00026D1B">
        <w:rPr>
          <w:rFonts w:ascii="Verdana" w:hAnsi="Verdana"/>
          <w:sz w:val="16"/>
          <w:szCs w:val="16"/>
          <w:lang w:val="es-ES_tradnl"/>
        </w:rPr>
        <w:t xml:space="preserve"> </w:t>
      </w:r>
    </w:p>
  </w:footnote>
  <w:footnote w:id="86">
    <w:p w14:paraId="724E839A" w14:textId="77777777" w:rsidR="008D3C6E" w:rsidRPr="004731B1" w:rsidRDefault="008D3C6E" w:rsidP="00817CD9">
      <w:pPr>
        <w:pStyle w:val="FootnoteText"/>
        <w:spacing w:after="120"/>
        <w:jc w:val="both"/>
        <w:rPr>
          <w:rFonts w:ascii="Verdana" w:hAnsi="Verdana" w:cs="Arial"/>
          <w:sz w:val="16"/>
          <w:szCs w:val="16"/>
          <w:lang w:val="es-CR"/>
        </w:rPr>
      </w:pPr>
      <w:r w:rsidRPr="00026D1B">
        <w:rPr>
          <w:rStyle w:val="FootnoteReference"/>
          <w:rFonts w:ascii="Verdana" w:hAnsi="Verdana"/>
          <w:sz w:val="16"/>
          <w:szCs w:val="16"/>
        </w:rPr>
        <w:footnoteRef/>
      </w:r>
      <w:r w:rsidRPr="00026D1B">
        <w:rPr>
          <w:rFonts w:ascii="Verdana" w:hAnsi="Verdana"/>
          <w:sz w:val="16"/>
          <w:szCs w:val="16"/>
        </w:rPr>
        <w:tab/>
        <w:t xml:space="preserve">TEDH, </w:t>
      </w:r>
      <w:r w:rsidRPr="00026D1B">
        <w:rPr>
          <w:rFonts w:ascii="Verdana" w:hAnsi="Verdana" w:cs="Arial"/>
          <w:bCs/>
          <w:i/>
          <w:sz w:val="16"/>
          <w:szCs w:val="16"/>
        </w:rPr>
        <w:t>Caso del Centro Europa 7 S.R.L. y Di Stefano vs. Italia</w:t>
      </w:r>
      <w:r w:rsidRPr="00026D1B">
        <w:rPr>
          <w:rFonts w:ascii="Verdana" w:hAnsi="Verdana" w:cs="Arial"/>
          <w:i/>
          <w:sz w:val="16"/>
          <w:szCs w:val="16"/>
        </w:rPr>
        <w:t xml:space="preserve">, </w:t>
      </w:r>
      <w:r w:rsidRPr="00026D1B">
        <w:rPr>
          <w:rFonts w:ascii="Verdana" w:hAnsi="Verdana" w:cs="Arial"/>
          <w:iCs/>
          <w:sz w:val="16"/>
          <w:szCs w:val="16"/>
        </w:rPr>
        <w:t>Aplicación No</w:t>
      </w:r>
      <w:r w:rsidRPr="00026D1B">
        <w:rPr>
          <w:rFonts w:ascii="Verdana" w:hAnsi="Verdana" w:cs="Arial"/>
          <w:i/>
          <w:iCs/>
          <w:sz w:val="16"/>
          <w:szCs w:val="16"/>
        </w:rPr>
        <w:t xml:space="preserve">. </w:t>
      </w:r>
      <w:r w:rsidRPr="00026D1B">
        <w:rPr>
          <w:rFonts w:ascii="Verdana" w:hAnsi="Verdana" w:cs="Arial"/>
          <w:iCs/>
          <w:sz w:val="16"/>
          <w:szCs w:val="16"/>
        </w:rPr>
        <w:t xml:space="preserve">38433/09, </w:t>
      </w:r>
      <w:r w:rsidRPr="00026D1B">
        <w:rPr>
          <w:rFonts w:ascii="Verdana" w:hAnsi="Verdana" w:cs="Arial"/>
          <w:sz w:val="16"/>
          <w:szCs w:val="16"/>
        </w:rPr>
        <w:t xml:space="preserve">7 de junio de 2012, párr. </w:t>
      </w:r>
      <w:r w:rsidRPr="004731B1">
        <w:rPr>
          <w:rFonts w:ascii="Verdana" w:hAnsi="Verdana" w:cs="Arial"/>
          <w:sz w:val="16"/>
          <w:szCs w:val="16"/>
          <w:lang w:val="es-CR"/>
        </w:rPr>
        <w:t xml:space="preserve">175. </w:t>
      </w:r>
    </w:p>
  </w:footnote>
  <w:footnote w:id="87">
    <w:p w14:paraId="491BA933" w14:textId="77777777" w:rsidR="008D3C6E" w:rsidRPr="004731B1" w:rsidRDefault="008D3C6E" w:rsidP="00817CD9">
      <w:pPr>
        <w:pStyle w:val="FootnoteText"/>
        <w:spacing w:after="120"/>
        <w:jc w:val="both"/>
        <w:rPr>
          <w:rFonts w:ascii="Verdana" w:hAnsi="Verdana"/>
          <w:sz w:val="16"/>
          <w:szCs w:val="16"/>
          <w:lang w:val="es-CR"/>
        </w:rPr>
      </w:pPr>
      <w:r w:rsidRPr="00026D1B">
        <w:rPr>
          <w:rStyle w:val="FootnoteReference"/>
          <w:rFonts w:ascii="Verdana" w:hAnsi="Verdana"/>
          <w:sz w:val="16"/>
          <w:szCs w:val="16"/>
        </w:rPr>
        <w:footnoteRef/>
      </w:r>
      <w:r w:rsidRPr="006F2A55">
        <w:rPr>
          <w:rFonts w:ascii="Verdana" w:hAnsi="Verdana"/>
          <w:sz w:val="16"/>
          <w:szCs w:val="16"/>
          <w:lang w:val="es-CR"/>
        </w:rPr>
        <w:tab/>
      </w:r>
      <w:r w:rsidRPr="00026D1B">
        <w:rPr>
          <w:rFonts w:ascii="Verdana" w:hAnsi="Verdana"/>
          <w:sz w:val="16"/>
          <w:szCs w:val="16"/>
        </w:rPr>
        <w:t xml:space="preserve">TEDH, </w:t>
      </w:r>
      <w:r w:rsidRPr="00026D1B">
        <w:rPr>
          <w:rFonts w:ascii="Verdana" w:hAnsi="Verdana" w:cs="Arial"/>
          <w:bCs/>
          <w:i/>
          <w:sz w:val="16"/>
          <w:szCs w:val="16"/>
        </w:rPr>
        <w:t xml:space="preserve">Caso del </w:t>
      </w:r>
      <w:r w:rsidRPr="006F2A55">
        <w:rPr>
          <w:rFonts w:ascii="Verdana" w:hAnsi="Verdana" w:cs="Arial"/>
          <w:bCs/>
          <w:i/>
          <w:sz w:val="16"/>
          <w:szCs w:val="16"/>
          <w:lang w:val="es-CR"/>
        </w:rPr>
        <w:t xml:space="preserve">Centro Europa 7 S.R.L. </w:t>
      </w:r>
      <w:r w:rsidRPr="00026D1B">
        <w:rPr>
          <w:rFonts w:ascii="Verdana" w:hAnsi="Verdana" w:cs="Arial"/>
          <w:bCs/>
          <w:i/>
          <w:sz w:val="16"/>
          <w:szCs w:val="16"/>
          <w:lang w:val="es-CR"/>
        </w:rPr>
        <w:t>y</w:t>
      </w:r>
      <w:r w:rsidRPr="006F2A55">
        <w:rPr>
          <w:rFonts w:ascii="Verdana" w:hAnsi="Verdana" w:cs="Arial"/>
          <w:bCs/>
          <w:i/>
          <w:sz w:val="16"/>
          <w:szCs w:val="16"/>
          <w:lang w:val="es-CR"/>
        </w:rPr>
        <w:t xml:space="preserve"> Di Stefano v</w:t>
      </w:r>
      <w:r w:rsidRPr="00026D1B">
        <w:rPr>
          <w:rFonts w:ascii="Verdana" w:hAnsi="Verdana" w:cs="Arial"/>
          <w:bCs/>
          <w:i/>
          <w:sz w:val="16"/>
          <w:szCs w:val="16"/>
          <w:lang w:val="es-CR"/>
        </w:rPr>
        <w:t>s</w:t>
      </w:r>
      <w:r w:rsidRPr="006F2A55">
        <w:rPr>
          <w:rFonts w:ascii="Verdana" w:hAnsi="Verdana" w:cs="Arial"/>
          <w:bCs/>
          <w:i/>
          <w:sz w:val="16"/>
          <w:szCs w:val="16"/>
          <w:lang w:val="es-CR"/>
        </w:rPr>
        <w:t>. Ital</w:t>
      </w:r>
      <w:r w:rsidRPr="00026D1B">
        <w:rPr>
          <w:rFonts w:ascii="Verdana" w:hAnsi="Verdana" w:cs="Arial"/>
          <w:bCs/>
          <w:i/>
          <w:sz w:val="16"/>
          <w:szCs w:val="16"/>
          <w:lang w:val="es-CR"/>
        </w:rPr>
        <w:t>ia</w:t>
      </w:r>
      <w:r w:rsidRPr="006F2A55">
        <w:rPr>
          <w:rFonts w:ascii="Verdana" w:hAnsi="Verdana" w:cs="Arial"/>
          <w:sz w:val="16"/>
          <w:szCs w:val="16"/>
          <w:lang w:val="es-CR"/>
        </w:rPr>
        <w:t xml:space="preserve">, párr. </w:t>
      </w:r>
      <w:r w:rsidRPr="004731B1">
        <w:rPr>
          <w:rFonts w:ascii="Verdana" w:hAnsi="Verdana" w:cs="Arial"/>
          <w:sz w:val="16"/>
          <w:szCs w:val="16"/>
          <w:lang w:val="es-CR"/>
        </w:rPr>
        <w:t>186.</w:t>
      </w:r>
    </w:p>
  </w:footnote>
  <w:footnote w:id="88">
    <w:p w14:paraId="4536E5EA"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6F2A55">
        <w:rPr>
          <w:rFonts w:ascii="Verdana" w:hAnsi="Verdana"/>
          <w:sz w:val="16"/>
          <w:szCs w:val="16"/>
          <w:lang w:val="es-CR"/>
        </w:rPr>
        <w:tab/>
      </w:r>
      <w:r w:rsidRPr="00026D1B">
        <w:rPr>
          <w:rFonts w:ascii="Verdana" w:hAnsi="Verdana"/>
          <w:sz w:val="16"/>
          <w:szCs w:val="16"/>
          <w:lang w:val="es-CR"/>
        </w:rPr>
        <w:t xml:space="preserve">TEDH, </w:t>
      </w:r>
      <w:r w:rsidRPr="006F2A55">
        <w:rPr>
          <w:rFonts w:ascii="Verdana" w:hAnsi="Verdana" w:cs="Arial"/>
          <w:bCs/>
          <w:i/>
          <w:sz w:val="16"/>
          <w:szCs w:val="16"/>
          <w:lang w:val="es-CR"/>
        </w:rPr>
        <w:t xml:space="preserve">Caso del Centro Europa 7 S.R.L. </w:t>
      </w:r>
      <w:r w:rsidRPr="00026D1B">
        <w:rPr>
          <w:rFonts w:ascii="Verdana" w:hAnsi="Verdana" w:cs="Arial"/>
          <w:bCs/>
          <w:i/>
          <w:sz w:val="16"/>
          <w:szCs w:val="16"/>
          <w:lang w:val="es-CR"/>
        </w:rPr>
        <w:t>y</w:t>
      </w:r>
      <w:r w:rsidRPr="006F2A55">
        <w:rPr>
          <w:rFonts w:ascii="Verdana" w:hAnsi="Verdana" w:cs="Arial"/>
          <w:bCs/>
          <w:i/>
          <w:sz w:val="16"/>
          <w:szCs w:val="16"/>
          <w:lang w:val="es-CR"/>
        </w:rPr>
        <w:t xml:space="preserve"> Di Stefano v</w:t>
      </w:r>
      <w:r w:rsidRPr="00026D1B">
        <w:rPr>
          <w:rFonts w:ascii="Verdana" w:hAnsi="Verdana" w:cs="Arial"/>
          <w:bCs/>
          <w:i/>
          <w:sz w:val="16"/>
          <w:szCs w:val="16"/>
          <w:lang w:val="es-CR"/>
        </w:rPr>
        <w:t>s</w:t>
      </w:r>
      <w:r w:rsidRPr="006F2A55">
        <w:rPr>
          <w:rFonts w:ascii="Verdana" w:hAnsi="Verdana" w:cs="Arial"/>
          <w:bCs/>
          <w:i/>
          <w:sz w:val="16"/>
          <w:szCs w:val="16"/>
          <w:lang w:val="es-CR"/>
        </w:rPr>
        <w:t>. Ital</w:t>
      </w:r>
      <w:r w:rsidRPr="00026D1B">
        <w:rPr>
          <w:rFonts w:ascii="Verdana" w:hAnsi="Verdana" w:cs="Arial"/>
          <w:bCs/>
          <w:i/>
          <w:sz w:val="16"/>
          <w:szCs w:val="16"/>
          <w:lang w:val="es-CR"/>
        </w:rPr>
        <w:t>ia</w:t>
      </w:r>
      <w:r w:rsidRPr="006F2A55">
        <w:rPr>
          <w:rFonts w:ascii="Verdana" w:hAnsi="Verdana" w:cs="Arial"/>
          <w:i/>
          <w:sz w:val="16"/>
          <w:szCs w:val="16"/>
          <w:lang w:val="es-CR"/>
        </w:rPr>
        <w:t>,</w:t>
      </w:r>
      <w:r w:rsidRPr="00026D1B">
        <w:rPr>
          <w:rFonts w:ascii="Verdana" w:hAnsi="Verdana" w:cs="Arial"/>
          <w:i/>
          <w:sz w:val="16"/>
          <w:szCs w:val="16"/>
          <w:lang w:val="es-CR"/>
        </w:rPr>
        <w:t xml:space="preserve"> </w:t>
      </w:r>
      <w:r w:rsidRPr="006F2A55">
        <w:rPr>
          <w:rFonts w:ascii="Verdana" w:hAnsi="Verdana" w:cs="Arial"/>
          <w:sz w:val="16"/>
          <w:szCs w:val="16"/>
          <w:lang w:val="es-CR"/>
        </w:rPr>
        <w:t>párr.</w:t>
      </w:r>
      <w:r w:rsidRPr="006F2A55">
        <w:rPr>
          <w:rFonts w:ascii="Verdana" w:hAnsi="Verdana"/>
          <w:sz w:val="16"/>
          <w:szCs w:val="16"/>
          <w:lang w:val="es-CR"/>
        </w:rPr>
        <w:t xml:space="preserve"> </w:t>
      </w:r>
      <w:r w:rsidRPr="00026D1B">
        <w:rPr>
          <w:rFonts w:ascii="Verdana" w:hAnsi="Verdana"/>
          <w:sz w:val="16"/>
          <w:szCs w:val="16"/>
        </w:rPr>
        <w:t>179.</w:t>
      </w:r>
    </w:p>
  </w:footnote>
  <w:footnote w:id="89">
    <w:p w14:paraId="661F1A6C" w14:textId="77777777" w:rsidR="008D3C6E" w:rsidRPr="00026D1B" w:rsidRDefault="008D3C6E" w:rsidP="00817CD9">
      <w:pPr>
        <w:pStyle w:val="NormalWeb"/>
        <w:spacing w:before="0" w:beforeAutospacing="0" w:after="120" w:afterAutospacing="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 xml:space="preserve">Caso </w:t>
      </w:r>
      <w:proofErr w:type="spellStart"/>
      <w:r w:rsidRPr="00026D1B">
        <w:rPr>
          <w:rFonts w:ascii="Verdana" w:hAnsi="Verdana"/>
          <w:i/>
          <w:sz w:val="16"/>
          <w:szCs w:val="16"/>
        </w:rPr>
        <w:t>Mémoli</w:t>
      </w:r>
      <w:proofErr w:type="spellEnd"/>
      <w:r w:rsidRPr="00026D1B">
        <w:rPr>
          <w:rFonts w:ascii="Verdana" w:hAnsi="Verdana"/>
          <w:i/>
          <w:sz w:val="16"/>
          <w:szCs w:val="16"/>
        </w:rPr>
        <w:t xml:space="preserve"> Vs. Argentina. Excepciones Preliminares, Fondo, Reparaciones y Costas.</w:t>
      </w:r>
      <w:r w:rsidRPr="00026D1B">
        <w:rPr>
          <w:rFonts w:ascii="Verdana" w:hAnsi="Verdana"/>
          <w:sz w:val="16"/>
          <w:szCs w:val="16"/>
        </w:rPr>
        <w:t xml:space="preserve"> Sentencia de 22 de agosto de 2013. Serie C No. 265, </w:t>
      </w:r>
      <w:proofErr w:type="spellStart"/>
      <w:r w:rsidRPr="00026D1B">
        <w:rPr>
          <w:rFonts w:ascii="Verdana" w:hAnsi="Verdana"/>
          <w:sz w:val="16"/>
          <w:szCs w:val="16"/>
        </w:rPr>
        <w:t>párr</w:t>
      </w:r>
      <w:proofErr w:type="spellEnd"/>
      <w:r w:rsidRPr="00026D1B">
        <w:rPr>
          <w:rFonts w:ascii="Verdana" w:hAnsi="Verdana"/>
          <w:sz w:val="16"/>
          <w:szCs w:val="16"/>
        </w:rPr>
        <w:t xml:space="preserve">. 170; </w:t>
      </w:r>
      <w:r w:rsidRPr="00026D1B">
        <w:rPr>
          <w:rFonts w:ascii="Verdana" w:hAnsi="Verdana"/>
          <w:i/>
          <w:sz w:val="16"/>
          <w:szCs w:val="16"/>
        </w:rPr>
        <w:t>Caso Masacre de Santo Domingo Vs. Colombia. Excepciones Preliminares, Fondo, Reparaciones y Costas.</w:t>
      </w:r>
      <w:r w:rsidRPr="00026D1B">
        <w:rPr>
          <w:rFonts w:ascii="Verdana" w:hAnsi="Verdana"/>
          <w:sz w:val="16"/>
          <w:szCs w:val="16"/>
        </w:rPr>
        <w:t xml:space="preserve"> Sentencia de 19 de agosto de 2013. Serie C No. 259, </w:t>
      </w:r>
      <w:proofErr w:type="spellStart"/>
      <w:r w:rsidRPr="00026D1B">
        <w:rPr>
          <w:rFonts w:ascii="Verdana" w:hAnsi="Verdana"/>
          <w:sz w:val="16"/>
          <w:szCs w:val="16"/>
        </w:rPr>
        <w:t>párr</w:t>
      </w:r>
      <w:proofErr w:type="spellEnd"/>
      <w:r w:rsidRPr="00026D1B">
        <w:rPr>
          <w:rFonts w:ascii="Verdana" w:hAnsi="Verdana"/>
          <w:sz w:val="16"/>
          <w:szCs w:val="16"/>
        </w:rPr>
        <w:t xml:space="preserve">. 269; </w:t>
      </w:r>
      <w:r w:rsidRPr="00026D1B">
        <w:rPr>
          <w:rFonts w:ascii="Verdana" w:hAnsi="Verdana"/>
          <w:i/>
          <w:sz w:val="16"/>
          <w:szCs w:val="16"/>
        </w:rPr>
        <w:t xml:space="preserve">Caso Masacres de El Mozote y lugares </w:t>
      </w:r>
      <w:proofErr w:type="spellStart"/>
      <w:r w:rsidRPr="00026D1B">
        <w:rPr>
          <w:rFonts w:ascii="Verdana" w:hAnsi="Verdana"/>
          <w:i/>
          <w:sz w:val="16"/>
          <w:szCs w:val="16"/>
        </w:rPr>
        <w:t>aledaños</w:t>
      </w:r>
      <w:proofErr w:type="spellEnd"/>
      <w:r w:rsidRPr="00026D1B">
        <w:rPr>
          <w:rFonts w:ascii="Verdana" w:hAnsi="Verdana"/>
          <w:i/>
          <w:sz w:val="16"/>
          <w:szCs w:val="16"/>
        </w:rPr>
        <w:t xml:space="preserve"> Vs. El Salvador. Fondo, Reparaciones y Costas</w:t>
      </w:r>
      <w:r w:rsidRPr="00026D1B">
        <w:rPr>
          <w:rFonts w:ascii="Verdana" w:hAnsi="Verdana"/>
          <w:sz w:val="16"/>
          <w:szCs w:val="16"/>
        </w:rPr>
        <w:t xml:space="preserve">. Sentencia de 25 de octubre de 2012 Serie C No. 252, </w:t>
      </w:r>
      <w:proofErr w:type="spellStart"/>
      <w:r w:rsidRPr="00026D1B">
        <w:rPr>
          <w:rFonts w:ascii="Verdana" w:hAnsi="Verdana"/>
          <w:sz w:val="16"/>
          <w:szCs w:val="16"/>
        </w:rPr>
        <w:t>párr</w:t>
      </w:r>
      <w:proofErr w:type="spellEnd"/>
      <w:r w:rsidRPr="00026D1B">
        <w:rPr>
          <w:rFonts w:ascii="Verdana" w:hAnsi="Verdana"/>
          <w:sz w:val="16"/>
          <w:szCs w:val="16"/>
        </w:rPr>
        <w:t xml:space="preserve">. 179; </w:t>
      </w:r>
      <w:r w:rsidRPr="00026D1B">
        <w:rPr>
          <w:rFonts w:ascii="Verdana" w:hAnsi="Verdana"/>
          <w:i/>
          <w:sz w:val="16"/>
          <w:szCs w:val="16"/>
        </w:rPr>
        <w:t xml:space="preserve">Caso </w:t>
      </w:r>
      <w:proofErr w:type="spellStart"/>
      <w:r w:rsidRPr="00026D1B">
        <w:rPr>
          <w:rFonts w:ascii="Verdana" w:hAnsi="Verdana"/>
          <w:i/>
          <w:sz w:val="16"/>
          <w:szCs w:val="16"/>
        </w:rPr>
        <w:t>Furlan</w:t>
      </w:r>
      <w:proofErr w:type="spellEnd"/>
      <w:r w:rsidRPr="00026D1B">
        <w:rPr>
          <w:rFonts w:ascii="Verdana" w:hAnsi="Verdana"/>
          <w:i/>
          <w:sz w:val="16"/>
          <w:szCs w:val="16"/>
        </w:rPr>
        <w:t xml:space="preserve"> y Familiares Vs. Argentina. Excepciones Preliminares, Fondo, Reparaciones y Costas.</w:t>
      </w:r>
      <w:r w:rsidRPr="00026D1B">
        <w:rPr>
          <w:rFonts w:ascii="Verdana" w:hAnsi="Verdana"/>
          <w:sz w:val="16"/>
          <w:szCs w:val="16"/>
        </w:rPr>
        <w:t xml:space="preserve"> Sentencia de 31 de agosto de 2012. Serie C No. 246, </w:t>
      </w:r>
      <w:proofErr w:type="spellStart"/>
      <w:r w:rsidRPr="00026D1B">
        <w:rPr>
          <w:rFonts w:ascii="Verdana" w:hAnsi="Verdana"/>
          <w:sz w:val="16"/>
          <w:szCs w:val="16"/>
        </w:rPr>
        <w:t>párr</w:t>
      </w:r>
      <w:proofErr w:type="spellEnd"/>
      <w:r w:rsidRPr="00026D1B">
        <w:rPr>
          <w:rFonts w:ascii="Verdana" w:hAnsi="Verdana"/>
          <w:sz w:val="16"/>
          <w:szCs w:val="16"/>
        </w:rPr>
        <w:t>. 220</w:t>
      </w:r>
      <w:r w:rsidRPr="00026D1B">
        <w:rPr>
          <w:rFonts w:ascii="Verdana" w:hAnsi="Verdana"/>
          <w:i/>
          <w:sz w:val="16"/>
          <w:szCs w:val="16"/>
        </w:rPr>
        <w:t>; Caso Familia Barrios Vs. Venezuela. Fondo, Reparaciones y Costas.</w:t>
      </w:r>
      <w:r w:rsidRPr="00026D1B">
        <w:rPr>
          <w:rFonts w:ascii="Verdana" w:hAnsi="Verdana"/>
          <w:sz w:val="16"/>
          <w:szCs w:val="16"/>
        </w:rPr>
        <w:t xml:space="preserve"> Sentencia de 24 de noviembre de 2011. Serie C No. 237, </w:t>
      </w:r>
      <w:proofErr w:type="spellStart"/>
      <w:r w:rsidRPr="00026D1B">
        <w:rPr>
          <w:rFonts w:ascii="Verdana" w:hAnsi="Verdana"/>
          <w:sz w:val="16"/>
          <w:szCs w:val="16"/>
        </w:rPr>
        <w:t>párr</w:t>
      </w:r>
      <w:proofErr w:type="spellEnd"/>
      <w:r w:rsidRPr="00026D1B">
        <w:rPr>
          <w:rFonts w:ascii="Verdana" w:hAnsi="Verdana"/>
          <w:sz w:val="16"/>
          <w:szCs w:val="16"/>
        </w:rPr>
        <w:t xml:space="preserve">. 148; </w:t>
      </w:r>
      <w:r w:rsidRPr="00026D1B">
        <w:rPr>
          <w:rFonts w:ascii="Verdana" w:hAnsi="Verdana"/>
          <w:i/>
          <w:sz w:val="16"/>
          <w:szCs w:val="16"/>
        </w:rPr>
        <w:t xml:space="preserve">Caso </w:t>
      </w:r>
      <w:proofErr w:type="spellStart"/>
      <w:r w:rsidRPr="00026D1B">
        <w:rPr>
          <w:rFonts w:ascii="Verdana" w:hAnsi="Verdana"/>
          <w:i/>
          <w:sz w:val="16"/>
          <w:szCs w:val="16"/>
        </w:rPr>
        <w:t>Barbani</w:t>
      </w:r>
      <w:proofErr w:type="spellEnd"/>
      <w:r w:rsidRPr="00026D1B">
        <w:rPr>
          <w:rFonts w:ascii="Verdana" w:hAnsi="Verdana"/>
          <w:i/>
          <w:sz w:val="16"/>
          <w:szCs w:val="16"/>
        </w:rPr>
        <w:t xml:space="preserve"> Duarte y Otros Vs. Uruguay. Fondo Reparaciones y Costas.</w:t>
      </w:r>
      <w:r w:rsidRPr="00026D1B">
        <w:rPr>
          <w:rFonts w:ascii="Verdana" w:hAnsi="Verdana"/>
          <w:sz w:val="16"/>
          <w:szCs w:val="16"/>
        </w:rPr>
        <w:t xml:space="preserve"> Sentencia de 13 de octubre de 2011. Serie C No. 234, </w:t>
      </w:r>
      <w:proofErr w:type="spellStart"/>
      <w:r w:rsidRPr="00026D1B">
        <w:rPr>
          <w:rFonts w:ascii="Verdana" w:hAnsi="Verdana"/>
          <w:sz w:val="16"/>
          <w:szCs w:val="16"/>
        </w:rPr>
        <w:t>párr</w:t>
      </w:r>
      <w:proofErr w:type="spellEnd"/>
      <w:r w:rsidRPr="00026D1B">
        <w:rPr>
          <w:rFonts w:ascii="Verdana" w:hAnsi="Verdana"/>
          <w:sz w:val="16"/>
          <w:szCs w:val="16"/>
        </w:rPr>
        <w:t>. 237</w:t>
      </w:r>
      <w:r w:rsidRPr="00026D1B">
        <w:rPr>
          <w:rFonts w:ascii="Verdana" w:hAnsi="Verdana"/>
          <w:i/>
          <w:sz w:val="16"/>
          <w:szCs w:val="16"/>
        </w:rPr>
        <w:t xml:space="preserve">; Caso </w:t>
      </w:r>
      <w:proofErr w:type="spellStart"/>
      <w:r w:rsidRPr="00026D1B">
        <w:rPr>
          <w:rFonts w:ascii="Verdana" w:hAnsi="Verdana"/>
          <w:i/>
          <w:sz w:val="16"/>
          <w:szCs w:val="16"/>
        </w:rPr>
        <w:t>Abrill</w:t>
      </w:r>
      <w:proofErr w:type="spellEnd"/>
      <w:r w:rsidRPr="00026D1B">
        <w:rPr>
          <w:rFonts w:ascii="Verdana" w:hAnsi="Verdana"/>
          <w:i/>
          <w:sz w:val="16"/>
          <w:szCs w:val="16"/>
        </w:rPr>
        <w:t xml:space="preserve"> </w:t>
      </w:r>
      <w:proofErr w:type="spellStart"/>
      <w:r w:rsidRPr="00026D1B">
        <w:rPr>
          <w:rFonts w:ascii="Verdana" w:hAnsi="Verdana"/>
          <w:i/>
          <w:sz w:val="16"/>
          <w:szCs w:val="16"/>
        </w:rPr>
        <w:t>Alosilla</w:t>
      </w:r>
      <w:proofErr w:type="spellEnd"/>
      <w:r w:rsidRPr="00026D1B">
        <w:rPr>
          <w:rFonts w:ascii="Verdana" w:hAnsi="Verdana"/>
          <w:i/>
          <w:sz w:val="16"/>
          <w:szCs w:val="16"/>
        </w:rPr>
        <w:t xml:space="preserve"> y otros Vs. </w:t>
      </w:r>
      <w:proofErr w:type="spellStart"/>
      <w:r w:rsidRPr="00026D1B">
        <w:rPr>
          <w:rFonts w:ascii="Verdana" w:hAnsi="Verdana"/>
          <w:i/>
          <w:sz w:val="16"/>
          <w:szCs w:val="16"/>
        </w:rPr>
        <w:t>Peru</w:t>
      </w:r>
      <w:proofErr w:type="spellEnd"/>
      <w:r w:rsidRPr="00026D1B">
        <w:rPr>
          <w:rFonts w:ascii="Verdana" w:hAnsi="Verdana"/>
          <w:i/>
          <w:sz w:val="16"/>
          <w:szCs w:val="16"/>
        </w:rPr>
        <w:t>́. Fondo, Reparaciones y Costas.</w:t>
      </w:r>
      <w:r w:rsidRPr="00026D1B">
        <w:rPr>
          <w:rFonts w:ascii="Verdana" w:hAnsi="Verdana"/>
          <w:sz w:val="16"/>
          <w:szCs w:val="16"/>
        </w:rPr>
        <w:t xml:space="preserve"> Sentencia de 4 de Marzo de 2011 Serie C No. 223, </w:t>
      </w:r>
      <w:proofErr w:type="spellStart"/>
      <w:r w:rsidRPr="00026D1B">
        <w:rPr>
          <w:rFonts w:ascii="Verdana" w:hAnsi="Verdana"/>
          <w:sz w:val="16"/>
          <w:szCs w:val="16"/>
        </w:rPr>
        <w:t>párr</w:t>
      </w:r>
      <w:proofErr w:type="spellEnd"/>
      <w:r w:rsidRPr="00026D1B">
        <w:rPr>
          <w:rFonts w:ascii="Verdana" w:hAnsi="Verdana"/>
          <w:sz w:val="16"/>
          <w:szCs w:val="16"/>
        </w:rPr>
        <w:t xml:space="preserve">. 82; </w:t>
      </w:r>
      <w:r w:rsidRPr="00026D1B">
        <w:rPr>
          <w:rFonts w:ascii="Verdana" w:hAnsi="Verdana"/>
          <w:i/>
          <w:sz w:val="16"/>
          <w:szCs w:val="16"/>
        </w:rPr>
        <w:t xml:space="preserve">Caso Acevedo </w:t>
      </w:r>
      <w:proofErr w:type="spellStart"/>
      <w:r w:rsidRPr="00026D1B">
        <w:rPr>
          <w:rFonts w:ascii="Verdana" w:hAnsi="Verdana"/>
          <w:i/>
          <w:sz w:val="16"/>
          <w:szCs w:val="16"/>
        </w:rPr>
        <w:t>Buendía</w:t>
      </w:r>
      <w:proofErr w:type="spellEnd"/>
      <w:r w:rsidRPr="00026D1B">
        <w:rPr>
          <w:rFonts w:ascii="Verdana" w:hAnsi="Verdana"/>
          <w:i/>
          <w:sz w:val="16"/>
          <w:szCs w:val="16"/>
        </w:rPr>
        <w:t xml:space="preserve"> y otros (“Cesantes y Jubilados de la </w:t>
      </w:r>
      <w:proofErr w:type="spellStart"/>
      <w:r w:rsidRPr="00026D1B">
        <w:rPr>
          <w:rFonts w:ascii="Verdana" w:hAnsi="Verdana"/>
          <w:i/>
          <w:sz w:val="16"/>
          <w:szCs w:val="16"/>
        </w:rPr>
        <w:t>Contraloría</w:t>
      </w:r>
      <w:proofErr w:type="spellEnd"/>
      <w:r w:rsidRPr="00026D1B">
        <w:rPr>
          <w:rFonts w:ascii="Verdana" w:hAnsi="Verdana"/>
          <w:i/>
          <w:sz w:val="16"/>
          <w:szCs w:val="16"/>
        </w:rPr>
        <w:t xml:space="preserve">”) Vs. </w:t>
      </w:r>
      <w:proofErr w:type="spellStart"/>
      <w:r w:rsidRPr="00026D1B">
        <w:rPr>
          <w:rFonts w:ascii="Verdana" w:hAnsi="Verdana"/>
          <w:i/>
          <w:sz w:val="16"/>
          <w:szCs w:val="16"/>
        </w:rPr>
        <w:t>Peru</w:t>
      </w:r>
      <w:proofErr w:type="spellEnd"/>
      <w:r w:rsidRPr="00026D1B">
        <w:rPr>
          <w:rFonts w:ascii="Verdana" w:hAnsi="Verdana"/>
          <w:i/>
          <w:sz w:val="16"/>
          <w:szCs w:val="16"/>
        </w:rPr>
        <w:t xml:space="preserve">́. </w:t>
      </w:r>
      <w:proofErr w:type="spellStart"/>
      <w:r w:rsidRPr="00026D1B">
        <w:rPr>
          <w:rFonts w:ascii="Verdana" w:hAnsi="Verdana"/>
          <w:i/>
          <w:sz w:val="16"/>
          <w:szCs w:val="16"/>
        </w:rPr>
        <w:t>Excepción</w:t>
      </w:r>
      <w:proofErr w:type="spellEnd"/>
      <w:r w:rsidRPr="00026D1B">
        <w:rPr>
          <w:rFonts w:ascii="Verdana" w:hAnsi="Verdana"/>
          <w:i/>
          <w:sz w:val="16"/>
          <w:szCs w:val="16"/>
        </w:rPr>
        <w:t xml:space="preserve"> Preliminar, Fondo, Reparaciones y Costas</w:t>
      </w:r>
      <w:r w:rsidRPr="00026D1B">
        <w:rPr>
          <w:rFonts w:ascii="Verdana" w:hAnsi="Verdana"/>
          <w:sz w:val="16"/>
          <w:szCs w:val="16"/>
        </w:rPr>
        <w:t xml:space="preserve">. Sentencia de 1 de julio de 2009 Serie C No. 198, </w:t>
      </w:r>
      <w:proofErr w:type="spellStart"/>
      <w:r w:rsidRPr="00026D1B">
        <w:rPr>
          <w:rFonts w:ascii="Verdana" w:hAnsi="Verdana"/>
          <w:sz w:val="16"/>
          <w:szCs w:val="16"/>
        </w:rPr>
        <w:t>párr</w:t>
      </w:r>
      <w:proofErr w:type="spellEnd"/>
      <w:r w:rsidRPr="00026D1B">
        <w:rPr>
          <w:rFonts w:ascii="Verdana" w:hAnsi="Verdana"/>
          <w:sz w:val="16"/>
          <w:szCs w:val="16"/>
        </w:rPr>
        <w:t>. 84; C</w:t>
      </w:r>
      <w:r w:rsidRPr="00026D1B">
        <w:rPr>
          <w:rFonts w:ascii="Verdana" w:hAnsi="Verdana"/>
          <w:i/>
          <w:sz w:val="16"/>
          <w:szCs w:val="16"/>
        </w:rPr>
        <w:t>aso Perozo y otros Vs. Venezuela. Excepciones Preliminares, Fondo, Reparaciones y Costas.</w:t>
      </w:r>
      <w:r w:rsidRPr="00026D1B">
        <w:rPr>
          <w:rFonts w:ascii="Verdana" w:hAnsi="Verdana"/>
          <w:sz w:val="16"/>
          <w:szCs w:val="16"/>
        </w:rPr>
        <w:t xml:space="preserve"> Sentencia de 28 de enero de 2009. Serie C No. 195, </w:t>
      </w:r>
      <w:proofErr w:type="spellStart"/>
      <w:r w:rsidRPr="00026D1B">
        <w:rPr>
          <w:rFonts w:ascii="Verdana" w:hAnsi="Verdana"/>
          <w:sz w:val="16"/>
          <w:szCs w:val="16"/>
        </w:rPr>
        <w:t>párr</w:t>
      </w:r>
      <w:proofErr w:type="spellEnd"/>
      <w:r w:rsidRPr="00026D1B">
        <w:rPr>
          <w:rFonts w:ascii="Verdana" w:hAnsi="Verdana"/>
          <w:sz w:val="16"/>
          <w:szCs w:val="16"/>
        </w:rPr>
        <w:t xml:space="preserve">. 399; </w:t>
      </w:r>
      <w:r w:rsidRPr="00026D1B">
        <w:rPr>
          <w:rFonts w:ascii="Verdana" w:hAnsi="Verdana"/>
          <w:i/>
          <w:sz w:val="16"/>
          <w:szCs w:val="16"/>
        </w:rPr>
        <w:t xml:space="preserve">Caso Salvador Chiriboga Vs. Ecuador. </w:t>
      </w:r>
      <w:proofErr w:type="spellStart"/>
      <w:r w:rsidRPr="00026D1B">
        <w:rPr>
          <w:rFonts w:ascii="Verdana" w:hAnsi="Verdana"/>
          <w:i/>
          <w:sz w:val="16"/>
          <w:szCs w:val="16"/>
        </w:rPr>
        <w:t>Excepción</w:t>
      </w:r>
      <w:proofErr w:type="spellEnd"/>
      <w:r w:rsidRPr="00026D1B">
        <w:rPr>
          <w:rFonts w:ascii="Verdana" w:hAnsi="Verdana"/>
          <w:i/>
          <w:sz w:val="16"/>
          <w:szCs w:val="16"/>
        </w:rPr>
        <w:t xml:space="preserve"> Preliminar y Fondo. </w:t>
      </w:r>
      <w:r w:rsidRPr="00026D1B">
        <w:rPr>
          <w:rFonts w:ascii="Verdana" w:hAnsi="Verdana"/>
          <w:sz w:val="16"/>
          <w:szCs w:val="16"/>
        </w:rPr>
        <w:t xml:space="preserve">Sentencia de 6 de mayo de 2008. Serie C No. 179, </w:t>
      </w:r>
      <w:proofErr w:type="spellStart"/>
      <w:r w:rsidRPr="00026D1B">
        <w:rPr>
          <w:rFonts w:ascii="Verdana" w:hAnsi="Verdana"/>
          <w:sz w:val="16"/>
          <w:szCs w:val="16"/>
        </w:rPr>
        <w:t>párr</w:t>
      </w:r>
      <w:proofErr w:type="spellEnd"/>
      <w:r w:rsidRPr="00026D1B">
        <w:rPr>
          <w:rFonts w:ascii="Verdana" w:hAnsi="Verdana"/>
          <w:sz w:val="16"/>
          <w:szCs w:val="16"/>
        </w:rPr>
        <w:t xml:space="preserve">. 55; </w:t>
      </w:r>
      <w:r w:rsidRPr="00026D1B">
        <w:rPr>
          <w:rFonts w:ascii="Verdana" w:hAnsi="Verdana"/>
          <w:i/>
          <w:sz w:val="16"/>
          <w:szCs w:val="16"/>
        </w:rPr>
        <w:t xml:space="preserve">Caso Chaparro </w:t>
      </w:r>
      <w:proofErr w:type="spellStart"/>
      <w:r w:rsidRPr="00026D1B">
        <w:rPr>
          <w:rFonts w:ascii="Verdana" w:hAnsi="Verdana"/>
          <w:i/>
          <w:sz w:val="16"/>
          <w:szCs w:val="16"/>
        </w:rPr>
        <w:t>Álvarez</w:t>
      </w:r>
      <w:proofErr w:type="spellEnd"/>
      <w:r w:rsidRPr="00026D1B">
        <w:rPr>
          <w:rFonts w:ascii="Verdana" w:hAnsi="Verdana"/>
          <w:i/>
          <w:sz w:val="16"/>
          <w:szCs w:val="16"/>
        </w:rPr>
        <w:t xml:space="preserve"> y Lapo </w:t>
      </w:r>
      <w:proofErr w:type="spellStart"/>
      <w:r w:rsidRPr="00026D1B">
        <w:rPr>
          <w:rFonts w:ascii="Verdana" w:hAnsi="Verdana"/>
          <w:i/>
          <w:sz w:val="16"/>
          <w:szCs w:val="16"/>
        </w:rPr>
        <w:t>Íñiguez</w:t>
      </w:r>
      <w:proofErr w:type="spellEnd"/>
      <w:r w:rsidRPr="00026D1B">
        <w:rPr>
          <w:rFonts w:ascii="Verdana" w:hAnsi="Verdana"/>
          <w:i/>
          <w:sz w:val="16"/>
          <w:szCs w:val="16"/>
        </w:rPr>
        <w:t>. Vs. Ecuador. Excepciones Preliminares, Fondo, Reparaciones y Costas</w:t>
      </w:r>
      <w:r w:rsidRPr="00026D1B">
        <w:rPr>
          <w:rFonts w:ascii="Verdana" w:hAnsi="Verdana"/>
          <w:sz w:val="16"/>
          <w:szCs w:val="16"/>
        </w:rPr>
        <w:t xml:space="preserve">. Sentencia de 21 de noviembre de 2007. Serie C No. 170, </w:t>
      </w:r>
      <w:proofErr w:type="spellStart"/>
      <w:r w:rsidRPr="00026D1B">
        <w:rPr>
          <w:rFonts w:ascii="Verdana" w:hAnsi="Verdana"/>
          <w:sz w:val="16"/>
          <w:szCs w:val="16"/>
        </w:rPr>
        <w:t>párr</w:t>
      </w:r>
      <w:proofErr w:type="spellEnd"/>
      <w:r w:rsidRPr="00026D1B">
        <w:rPr>
          <w:rFonts w:ascii="Verdana" w:hAnsi="Verdana"/>
          <w:sz w:val="16"/>
          <w:szCs w:val="16"/>
        </w:rPr>
        <w:t xml:space="preserve">. 174; </w:t>
      </w:r>
      <w:r w:rsidRPr="00026D1B">
        <w:rPr>
          <w:rFonts w:ascii="Verdana" w:hAnsi="Verdana"/>
          <w:i/>
          <w:sz w:val="16"/>
          <w:szCs w:val="16"/>
        </w:rPr>
        <w:t xml:space="preserve">Caso de las Masacres de </w:t>
      </w:r>
      <w:proofErr w:type="spellStart"/>
      <w:r w:rsidRPr="00026D1B">
        <w:rPr>
          <w:rFonts w:ascii="Verdana" w:hAnsi="Verdana"/>
          <w:i/>
          <w:sz w:val="16"/>
          <w:szCs w:val="16"/>
        </w:rPr>
        <w:t>Ituango</w:t>
      </w:r>
      <w:proofErr w:type="spellEnd"/>
      <w:r w:rsidRPr="00026D1B">
        <w:rPr>
          <w:rFonts w:ascii="Verdana" w:hAnsi="Verdana"/>
          <w:i/>
          <w:sz w:val="16"/>
          <w:szCs w:val="16"/>
        </w:rPr>
        <w:t xml:space="preserve"> Vs. Colombia.</w:t>
      </w:r>
      <w:r w:rsidRPr="00026D1B">
        <w:rPr>
          <w:rFonts w:ascii="Verdana" w:hAnsi="Verdana"/>
          <w:sz w:val="16"/>
          <w:szCs w:val="16"/>
        </w:rPr>
        <w:t xml:space="preserve"> Sentencia de 1 de julio de 2006 Serie C No. 148, </w:t>
      </w:r>
      <w:proofErr w:type="spellStart"/>
      <w:r w:rsidRPr="00026D1B">
        <w:rPr>
          <w:rFonts w:ascii="Verdana" w:hAnsi="Verdana"/>
          <w:sz w:val="16"/>
          <w:szCs w:val="16"/>
        </w:rPr>
        <w:t>párr</w:t>
      </w:r>
      <w:proofErr w:type="spellEnd"/>
      <w:r w:rsidRPr="00026D1B">
        <w:rPr>
          <w:rFonts w:ascii="Verdana" w:hAnsi="Verdana"/>
          <w:sz w:val="16"/>
          <w:szCs w:val="16"/>
        </w:rPr>
        <w:t xml:space="preserve">. 174; </w:t>
      </w:r>
      <w:r w:rsidRPr="00026D1B">
        <w:rPr>
          <w:rFonts w:ascii="Verdana" w:hAnsi="Verdana"/>
          <w:i/>
          <w:sz w:val="16"/>
          <w:szCs w:val="16"/>
        </w:rPr>
        <w:t xml:space="preserve">Caso Comunidad </w:t>
      </w:r>
      <w:proofErr w:type="spellStart"/>
      <w:r w:rsidRPr="00026D1B">
        <w:rPr>
          <w:rFonts w:ascii="Verdana" w:hAnsi="Verdana"/>
          <w:i/>
          <w:sz w:val="16"/>
          <w:szCs w:val="16"/>
        </w:rPr>
        <w:t>Indígena</w:t>
      </w:r>
      <w:proofErr w:type="spellEnd"/>
      <w:r w:rsidRPr="00026D1B">
        <w:rPr>
          <w:rFonts w:ascii="Verdana" w:hAnsi="Verdana"/>
          <w:i/>
          <w:sz w:val="16"/>
          <w:szCs w:val="16"/>
        </w:rPr>
        <w:t xml:space="preserve"> </w:t>
      </w:r>
      <w:proofErr w:type="spellStart"/>
      <w:r w:rsidRPr="00026D1B">
        <w:rPr>
          <w:rFonts w:ascii="Verdana" w:hAnsi="Verdana"/>
          <w:i/>
          <w:sz w:val="16"/>
          <w:szCs w:val="16"/>
        </w:rPr>
        <w:t>Sawhoyamaxa</w:t>
      </w:r>
      <w:proofErr w:type="spellEnd"/>
      <w:r w:rsidRPr="00026D1B">
        <w:rPr>
          <w:rFonts w:ascii="Verdana" w:hAnsi="Verdana"/>
          <w:i/>
          <w:sz w:val="16"/>
          <w:szCs w:val="16"/>
        </w:rPr>
        <w:t xml:space="preserve"> Vs. Paraguay. Fondo, Reparaciones y Costas</w:t>
      </w:r>
      <w:r w:rsidRPr="00026D1B">
        <w:rPr>
          <w:rFonts w:ascii="Verdana" w:hAnsi="Verdana"/>
          <w:sz w:val="16"/>
          <w:szCs w:val="16"/>
        </w:rPr>
        <w:t xml:space="preserve">. Sentencia de 29 de marzo de 2006. Serie C No. 146, </w:t>
      </w:r>
      <w:proofErr w:type="spellStart"/>
      <w:r w:rsidRPr="00026D1B">
        <w:rPr>
          <w:rFonts w:ascii="Verdana" w:hAnsi="Verdana"/>
          <w:sz w:val="16"/>
          <w:szCs w:val="16"/>
        </w:rPr>
        <w:t>párr</w:t>
      </w:r>
      <w:proofErr w:type="spellEnd"/>
      <w:r w:rsidRPr="00026D1B">
        <w:rPr>
          <w:rFonts w:ascii="Verdana" w:hAnsi="Verdana"/>
          <w:sz w:val="16"/>
          <w:szCs w:val="16"/>
        </w:rPr>
        <w:t xml:space="preserve">. 121; </w:t>
      </w:r>
      <w:r w:rsidRPr="00026D1B">
        <w:rPr>
          <w:rFonts w:ascii="Verdana" w:hAnsi="Verdana"/>
          <w:i/>
          <w:sz w:val="16"/>
          <w:szCs w:val="16"/>
        </w:rPr>
        <w:t xml:space="preserve">Caso </w:t>
      </w:r>
      <w:proofErr w:type="spellStart"/>
      <w:r w:rsidRPr="00026D1B">
        <w:rPr>
          <w:rFonts w:ascii="Verdana" w:hAnsi="Verdana"/>
          <w:i/>
          <w:sz w:val="16"/>
          <w:szCs w:val="16"/>
        </w:rPr>
        <w:t>Palamara</w:t>
      </w:r>
      <w:proofErr w:type="spellEnd"/>
      <w:r w:rsidRPr="00026D1B">
        <w:rPr>
          <w:rFonts w:ascii="Verdana" w:hAnsi="Verdana"/>
          <w:i/>
          <w:sz w:val="16"/>
          <w:szCs w:val="16"/>
        </w:rPr>
        <w:t xml:space="preserve"> Iribarne Vs. Chile</w:t>
      </w:r>
      <w:r w:rsidRPr="00026D1B">
        <w:rPr>
          <w:rFonts w:ascii="Verdana" w:hAnsi="Verdana"/>
          <w:sz w:val="16"/>
          <w:szCs w:val="16"/>
        </w:rPr>
        <w:t xml:space="preserve">, </w:t>
      </w:r>
      <w:proofErr w:type="spellStart"/>
      <w:r w:rsidRPr="00026D1B">
        <w:rPr>
          <w:rFonts w:ascii="Verdana" w:hAnsi="Verdana"/>
          <w:sz w:val="16"/>
          <w:szCs w:val="16"/>
        </w:rPr>
        <w:t>párr</w:t>
      </w:r>
      <w:proofErr w:type="spellEnd"/>
      <w:r w:rsidRPr="00026D1B">
        <w:rPr>
          <w:rFonts w:ascii="Verdana" w:hAnsi="Verdana"/>
          <w:sz w:val="16"/>
          <w:szCs w:val="16"/>
        </w:rPr>
        <w:t xml:space="preserve">. 102; </w:t>
      </w:r>
      <w:r w:rsidRPr="00026D1B">
        <w:rPr>
          <w:rFonts w:ascii="Verdana" w:hAnsi="Verdana"/>
          <w:i/>
          <w:sz w:val="16"/>
          <w:szCs w:val="16"/>
        </w:rPr>
        <w:t xml:space="preserve">Caso Comunidad </w:t>
      </w:r>
      <w:proofErr w:type="spellStart"/>
      <w:r w:rsidRPr="00026D1B">
        <w:rPr>
          <w:rFonts w:ascii="Verdana" w:hAnsi="Verdana"/>
          <w:i/>
          <w:sz w:val="16"/>
          <w:szCs w:val="16"/>
        </w:rPr>
        <w:t>Indígena</w:t>
      </w:r>
      <w:proofErr w:type="spellEnd"/>
      <w:r>
        <w:rPr>
          <w:rFonts w:ascii="Verdana" w:hAnsi="Verdana"/>
          <w:i/>
          <w:sz w:val="16"/>
          <w:szCs w:val="16"/>
        </w:rPr>
        <w:t xml:space="preserve"> </w:t>
      </w:r>
      <w:proofErr w:type="spellStart"/>
      <w:r w:rsidRPr="00026D1B">
        <w:rPr>
          <w:rFonts w:ascii="Verdana" w:hAnsi="Verdana"/>
          <w:i/>
          <w:sz w:val="16"/>
          <w:szCs w:val="16"/>
        </w:rPr>
        <w:t>Yakye</w:t>
      </w:r>
      <w:proofErr w:type="spellEnd"/>
      <w:r w:rsidRPr="00026D1B">
        <w:rPr>
          <w:rFonts w:ascii="Verdana" w:hAnsi="Verdana"/>
          <w:i/>
          <w:sz w:val="16"/>
          <w:szCs w:val="16"/>
        </w:rPr>
        <w:t xml:space="preserve"> Axa Vs. Paraguay. Fondo Reparaciones y Costas. </w:t>
      </w:r>
      <w:r w:rsidRPr="00026D1B">
        <w:rPr>
          <w:rFonts w:ascii="Verdana" w:hAnsi="Verdana"/>
          <w:sz w:val="16"/>
          <w:szCs w:val="16"/>
        </w:rPr>
        <w:t xml:space="preserve">Sentencia 17 de junio de 2005. Serie C No. 125, </w:t>
      </w:r>
      <w:proofErr w:type="spellStart"/>
      <w:r w:rsidRPr="00026D1B">
        <w:rPr>
          <w:rFonts w:ascii="Verdana" w:hAnsi="Verdana"/>
          <w:sz w:val="16"/>
          <w:szCs w:val="16"/>
        </w:rPr>
        <w:t>párr</w:t>
      </w:r>
      <w:proofErr w:type="spellEnd"/>
      <w:r w:rsidRPr="00026D1B">
        <w:rPr>
          <w:rFonts w:ascii="Verdana" w:hAnsi="Verdana"/>
          <w:sz w:val="16"/>
          <w:szCs w:val="16"/>
        </w:rPr>
        <w:t xml:space="preserve">. 137; </w:t>
      </w:r>
      <w:r w:rsidRPr="00026D1B">
        <w:rPr>
          <w:rFonts w:ascii="Verdana" w:hAnsi="Verdana"/>
          <w:i/>
          <w:sz w:val="16"/>
          <w:szCs w:val="16"/>
        </w:rPr>
        <w:t xml:space="preserve">Caso de la Comunidad </w:t>
      </w:r>
      <w:proofErr w:type="spellStart"/>
      <w:r w:rsidRPr="00026D1B">
        <w:rPr>
          <w:rFonts w:ascii="Verdana" w:hAnsi="Verdana"/>
          <w:i/>
          <w:sz w:val="16"/>
          <w:szCs w:val="16"/>
        </w:rPr>
        <w:t>Mayagna</w:t>
      </w:r>
      <w:proofErr w:type="spellEnd"/>
      <w:r w:rsidRPr="00026D1B">
        <w:rPr>
          <w:rFonts w:ascii="Verdana" w:hAnsi="Verdana"/>
          <w:i/>
          <w:sz w:val="16"/>
          <w:szCs w:val="16"/>
        </w:rPr>
        <w:t xml:space="preserve"> (Sumo) </w:t>
      </w:r>
      <w:proofErr w:type="spellStart"/>
      <w:r w:rsidRPr="00026D1B">
        <w:rPr>
          <w:rFonts w:ascii="Verdana" w:hAnsi="Verdana"/>
          <w:i/>
          <w:sz w:val="16"/>
          <w:szCs w:val="16"/>
        </w:rPr>
        <w:t>AwasTingni</w:t>
      </w:r>
      <w:proofErr w:type="spellEnd"/>
      <w:r w:rsidRPr="00026D1B">
        <w:rPr>
          <w:rFonts w:ascii="Verdana" w:hAnsi="Verdana"/>
          <w:i/>
          <w:sz w:val="16"/>
          <w:szCs w:val="16"/>
        </w:rPr>
        <w:t xml:space="preserve"> Vs. Nicaragua. Fondo, Reparaciones y Costas</w:t>
      </w:r>
      <w:r w:rsidRPr="00026D1B">
        <w:rPr>
          <w:rFonts w:ascii="Verdana" w:hAnsi="Verdana"/>
          <w:sz w:val="16"/>
          <w:szCs w:val="16"/>
        </w:rPr>
        <w:t xml:space="preserve">. Sentencia de 31 de agosto de 2001. Serie C No. 79, </w:t>
      </w:r>
      <w:proofErr w:type="spellStart"/>
      <w:r w:rsidRPr="00026D1B">
        <w:rPr>
          <w:rFonts w:ascii="Verdana" w:hAnsi="Verdana"/>
          <w:sz w:val="16"/>
          <w:szCs w:val="16"/>
        </w:rPr>
        <w:t>párr</w:t>
      </w:r>
      <w:proofErr w:type="spellEnd"/>
      <w:r w:rsidRPr="00026D1B">
        <w:rPr>
          <w:rFonts w:ascii="Verdana" w:hAnsi="Verdana"/>
          <w:sz w:val="16"/>
          <w:szCs w:val="16"/>
        </w:rPr>
        <w:t xml:space="preserve">. 144; y </w:t>
      </w:r>
      <w:r w:rsidRPr="00026D1B">
        <w:rPr>
          <w:rFonts w:ascii="Verdana" w:hAnsi="Verdana"/>
          <w:i/>
          <w:sz w:val="16"/>
          <w:szCs w:val="16"/>
        </w:rPr>
        <w:t xml:space="preserve">Caso </w:t>
      </w:r>
      <w:proofErr w:type="spellStart"/>
      <w:r w:rsidRPr="00026D1B">
        <w:rPr>
          <w:rFonts w:ascii="Verdana" w:hAnsi="Verdana"/>
          <w:i/>
          <w:sz w:val="16"/>
          <w:szCs w:val="16"/>
        </w:rPr>
        <w:t>Ivcher</w:t>
      </w:r>
      <w:proofErr w:type="spellEnd"/>
      <w:r>
        <w:rPr>
          <w:rFonts w:ascii="Verdana" w:hAnsi="Verdana"/>
          <w:i/>
          <w:sz w:val="16"/>
          <w:szCs w:val="16"/>
        </w:rPr>
        <w:t xml:space="preserve"> </w:t>
      </w:r>
      <w:proofErr w:type="spellStart"/>
      <w:r w:rsidRPr="00026D1B">
        <w:rPr>
          <w:rFonts w:ascii="Verdana" w:hAnsi="Verdana"/>
          <w:i/>
          <w:sz w:val="16"/>
          <w:szCs w:val="16"/>
        </w:rPr>
        <w:t>Bronstein</w:t>
      </w:r>
      <w:proofErr w:type="spellEnd"/>
      <w:r w:rsidRPr="00026D1B">
        <w:rPr>
          <w:rFonts w:ascii="Verdana" w:hAnsi="Verdana"/>
          <w:i/>
          <w:sz w:val="16"/>
          <w:szCs w:val="16"/>
        </w:rPr>
        <w:t xml:space="preserve"> Vs. </w:t>
      </w:r>
      <w:proofErr w:type="spellStart"/>
      <w:r w:rsidRPr="00026D1B">
        <w:rPr>
          <w:rFonts w:ascii="Verdana" w:hAnsi="Verdana"/>
          <w:i/>
          <w:sz w:val="16"/>
          <w:szCs w:val="16"/>
        </w:rPr>
        <w:t>Peru</w:t>
      </w:r>
      <w:proofErr w:type="spellEnd"/>
      <w:r w:rsidRPr="00026D1B">
        <w:rPr>
          <w:rFonts w:ascii="Verdana" w:hAnsi="Verdana"/>
          <w:i/>
          <w:sz w:val="16"/>
          <w:szCs w:val="16"/>
        </w:rPr>
        <w:t xml:space="preserve">́. Fondo, Reparaciones y Costas. </w:t>
      </w:r>
      <w:r w:rsidRPr="00026D1B">
        <w:rPr>
          <w:rFonts w:ascii="Verdana" w:hAnsi="Verdana"/>
          <w:sz w:val="16"/>
          <w:szCs w:val="16"/>
        </w:rPr>
        <w:t xml:space="preserve">Sentencia de 6 de febrero de 2001. Serie C No. 74, </w:t>
      </w:r>
      <w:proofErr w:type="spellStart"/>
      <w:r w:rsidRPr="00026D1B">
        <w:rPr>
          <w:rFonts w:ascii="Verdana" w:hAnsi="Verdana"/>
          <w:sz w:val="16"/>
          <w:szCs w:val="16"/>
        </w:rPr>
        <w:t>párr</w:t>
      </w:r>
      <w:proofErr w:type="spellEnd"/>
      <w:r w:rsidRPr="00026D1B">
        <w:rPr>
          <w:rFonts w:ascii="Verdana" w:hAnsi="Verdana"/>
          <w:sz w:val="16"/>
          <w:szCs w:val="16"/>
        </w:rPr>
        <w:t xml:space="preserve">. 122. </w:t>
      </w:r>
    </w:p>
  </w:footnote>
  <w:footnote w:id="90">
    <w:p w14:paraId="524587F6"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6F2A55">
        <w:rPr>
          <w:rFonts w:ascii="Verdana" w:hAnsi="Verdana"/>
          <w:sz w:val="16"/>
          <w:szCs w:val="16"/>
          <w:lang w:val="es-CR"/>
        </w:rPr>
        <w:tab/>
      </w:r>
      <w:r w:rsidRPr="00026D1B">
        <w:rPr>
          <w:rFonts w:ascii="Verdana" w:hAnsi="Verdana"/>
          <w:sz w:val="16"/>
          <w:szCs w:val="16"/>
          <w:lang w:val="es-CR"/>
        </w:rPr>
        <w:t xml:space="preserve">TEDH, </w:t>
      </w:r>
      <w:r w:rsidRPr="00026D1B">
        <w:rPr>
          <w:rFonts w:ascii="Verdana" w:hAnsi="Verdana"/>
          <w:i/>
          <w:sz w:val="16"/>
          <w:szCs w:val="16"/>
          <w:lang w:val="es-CR"/>
        </w:rPr>
        <w:t>Caso</w:t>
      </w:r>
      <w:r w:rsidRPr="006F2A55">
        <w:rPr>
          <w:rFonts w:ascii="Verdana" w:hAnsi="Verdana"/>
          <w:i/>
          <w:sz w:val="16"/>
          <w:szCs w:val="16"/>
          <w:lang w:val="es-CR"/>
        </w:rPr>
        <w:t xml:space="preserve"> Öneryildiz v</w:t>
      </w:r>
      <w:r w:rsidRPr="00026D1B">
        <w:rPr>
          <w:rFonts w:ascii="Verdana" w:hAnsi="Verdana"/>
          <w:i/>
          <w:sz w:val="16"/>
          <w:szCs w:val="16"/>
          <w:lang w:val="es-CR"/>
        </w:rPr>
        <w:t>s</w:t>
      </w:r>
      <w:r w:rsidRPr="006F2A55">
        <w:rPr>
          <w:rFonts w:ascii="Verdana" w:hAnsi="Verdana"/>
          <w:i/>
          <w:sz w:val="16"/>
          <w:szCs w:val="16"/>
          <w:lang w:val="es-CR"/>
        </w:rPr>
        <w:t>. Tur</w:t>
      </w:r>
      <w:r w:rsidRPr="00026D1B">
        <w:rPr>
          <w:rFonts w:ascii="Verdana" w:hAnsi="Verdana"/>
          <w:i/>
          <w:sz w:val="16"/>
          <w:szCs w:val="16"/>
          <w:lang w:val="es-CR"/>
        </w:rPr>
        <w:t>quía</w:t>
      </w:r>
      <w:r w:rsidRPr="006F2A55">
        <w:rPr>
          <w:rFonts w:ascii="Verdana" w:hAnsi="Verdana"/>
          <w:sz w:val="16"/>
          <w:szCs w:val="16"/>
          <w:lang w:val="es-CR"/>
        </w:rPr>
        <w:t>,</w:t>
      </w:r>
      <w:r w:rsidRPr="00026D1B">
        <w:rPr>
          <w:rFonts w:ascii="Verdana" w:hAnsi="Verdana"/>
          <w:sz w:val="16"/>
          <w:szCs w:val="16"/>
          <w:lang w:val="es-CR"/>
        </w:rPr>
        <w:t>Aplicación</w:t>
      </w:r>
      <w:r w:rsidRPr="006F2A55">
        <w:rPr>
          <w:rFonts w:ascii="Verdana" w:hAnsi="Verdana"/>
          <w:sz w:val="16"/>
          <w:szCs w:val="16"/>
          <w:lang w:val="es-CR"/>
        </w:rPr>
        <w:t xml:space="preserve"> No. 48939/99, 30 </w:t>
      </w:r>
      <w:r w:rsidRPr="00026D1B">
        <w:rPr>
          <w:rFonts w:ascii="Verdana" w:hAnsi="Verdana"/>
          <w:sz w:val="16"/>
          <w:szCs w:val="16"/>
          <w:lang w:val="es-CR"/>
        </w:rPr>
        <w:t>de noviembre de</w:t>
      </w:r>
      <w:r w:rsidRPr="006F2A55">
        <w:rPr>
          <w:rFonts w:ascii="Verdana" w:hAnsi="Verdana"/>
          <w:sz w:val="16"/>
          <w:szCs w:val="16"/>
          <w:lang w:val="es-CR"/>
        </w:rPr>
        <w:t xml:space="preserve"> 2004, párr. </w:t>
      </w:r>
      <w:r w:rsidRPr="00026D1B">
        <w:rPr>
          <w:rFonts w:ascii="Verdana" w:hAnsi="Verdana"/>
          <w:sz w:val="16"/>
          <w:szCs w:val="16"/>
        </w:rPr>
        <w:t xml:space="preserve">124.  </w:t>
      </w:r>
    </w:p>
  </w:footnote>
  <w:footnote w:id="91">
    <w:p w14:paraId="507DC354" w14:textId="77777777" w:rsidR="008D3C6E" w:rsidRPr="00026D1B" w:rsidRDefault="008D3C6E" w:rsidP="00817CD9">
      <w:pPr>
        <w:pStyle w:val="FootnoteText"/>
        <w:spacing w:after="120"/>
        <w:jc w:val="both"/>
        <w:rPr>
          <w:rFonts w:ascii="Verdana" w:hAnsi="Verdana" w:cs="Verdana"/>
          <w:bCs/>
          <w:sz w:val="16"/>
          <w:szCs w:val="16"/>
          <w:lang w:val="es-ES"/>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cs="Verdana"/>
          <w:bCs/>
          <w:i/>
          <w:sz w:val="16"/>
          <w:szCs w:val="16"/>
          <w:lang w:val="es-ES"/>
        </w:rPr>
        <w:t>Caso "Cinco Pensionistas" Vs. Perú. Fondo, Reparaciones y Costas.</w:t>
      </w:r>
      <w:r w:rsidRPr="00026D1B">
        <w:rPr>
          <w:rFonts w:ascii="Verdana" w:hAnsi="Verdana" w:cs="Verdana"/>
          <w:bCs/>
          <w:sz w:val="16"/>
          <w:szCs w:val="16"/>
          <w:lang w:val="es-ES"/>
        </w:rPr>
        <w:t xml:space="preserve"> Sentencia de 28 de febrero de 2003. Serie C No. 98, párr. 102. Esta misma concepción sobre “derechos adquiridos” ha sido reiterada en la jurisprudencia del este Tribunal: </w:t>
      </w:r>
      <w:r w:rsidRPr="00026D1B">
        <w:rPr>
          <w:rFonts w:ascii="Verdana" w:hAnsi="Verdana"/>
          <w:i/>
          <w:sz w:val="16"/>
          <w:szCs w:val="16"/>
        </w:rPr>
        <w:t>Caso Furlan y Familiares Vs. Argentina. Excepciones Preliminares, Fondo, Reparaciones y Costas.</w:t>
      </w:r>
      <w:r w:rsidRPr="00026D1B">
        <w:rPr>
          <w:rFonts w:ascii="Verdana" w:hAnsi="Verdana"/>
          <w:sz w:val="16"/>
          <w:szCs w:val="16"/>
        </w:rPr>
        <w:t xml:space="preserve"> Sentencia de 31 de agosto de 2012. Serie C No. 246, párr. 220; </w:t>
      </w:r>
      <w:r w:rsidRPr="00026D1B">
        <w:rPr>
          <w:rFonts w:ascii="Verdana" w:hAnsi="Verdana"/>
          <w:i/>
          <w:sz w:val="16"/>
          <w:szCs w:val="16"/>
        </w:rPr>
        <w:t>Caso Barbani Duarte y Otros Vs. Uruguay. Fondo Reparaciones y Costas.</w:t>
      </w:r>
      <w:r w:rsidRPr="00026D1B">
        <w:rPr>
          <w:rFonts w:ascii="Verdana" w:hAnsi="Verdana"/>
          <w:sz w:val="16"/>
          <w:szCs w:val="16"/>
        </w:rPr>
        <w:t xml:space="preserve"> Sentencia de 13 de octubre de 2011. Serie C No. 234, párr. 237</w:t>
      </w:r>
      <w:r w:rsidRPr="00026D1B">
        <w:rPr>
          <w:rFonts w:ascii="Verdana" w:hAnsi="Verdana"/>
          <w:i/>
          <w:sz w:val="16"/>
          <w:szCs w:val="16"/>
        </w:rPr>
        <w:t>; Caso Abrill Alosilla y otros Vs. Perú. Fondo, Reparaciones y Costas.</w:t>
      </w:r>
      <w:r w:rsidRPr="00026D1B">
        <w:rPr>
          <w:rFonts w:ascii="Verdana" w:hAnsi="Verdana"/>
          <w:sz w:val="16"/>
          <w:szCs w:val="16"/>
        </w:rPr>
        <w:t xml:space="preserve"> Sentencia de 4 de Marzo de 2011 Serie C No. 223, párr. 82; </w:t>
      </w:r>
      <w:r w:rsidRPr="00026D1B">
        <w:rPr>
          <w:rFonts w:ascii="Verdana" w:hAnsi="Verdana"/>
          <w:i/>
          <w:sz w:val="16"/>
          <w:szCs w:val="16"/>
        </w:rPr>
        <w:t>Caso Acevedo Buendía y otros (“Cesantes y Jubilados de la Contraloría”) Vs. Perú. Excepción Preliminar, Fondo, Reparaciones y Costas</w:t>
      </w:r>
      <w:r w:rsidRPr="00026D1B">
        <w:rPr>
          <w:rFonts w:ascii="Verdana" w:hAnsi="Verdana"/>
          <w:sz w:val="16"/>
          <w:szCs w:val="16"/>
        </w:rPr>
        <w:t xml:space="preserve">. Sentencia de 1 de julio de 2009 Serie C No. 198, párr. 84; y </w:t>
      </w:r>
      <w:r w:rsidRPr="00026D1B">
        <w:rPr>
          <w:rFonts w:ascii="Verdana" w:hAnsi="Verdana"/>
          <w:i/>
          <w:sz w:val="16"/>
          <w:szCs w:val="16"/>
        </w:rPr>
        <w:t>Caso Salvador Chiriboga Vs. Ecuador. Excepción Preliminar y Fondo</w:t>
      </w:r>
      <w:r w:rsidRPr="00026D1B">
        <w:rPr>
          <w:rFonts w:ascii="Verdana" w:hAnsi="Verdana"/>
          <w:sz w:val="16"/>
          <w:szCs w:val="16"/>
        </w:rPr>
        <w:t xml:space="preserve">, párr. 55. </w:t>
      </w:r>
    </w:p>
  </w:footnote>
  <w:footnote w:id="92">
    <w:p w14:paraId="03BB5AFD" w14:textId="77777777" w:rsidR="008D3C6E" w:rsidRPr="00026D1B" w:rsidRDefault="008D3C6E" w:rsidP="00B9351B">
      <w:pPr>
        <w:pStyle w:val="FootnoteText"/>
        <w:spacing w:after="120"/>
        <w:jc w:val="both"/>
        <w:rPr>
          <w:rFonts w:ascii="Verdana" w:hAnsi="Verdana"/>
          <w:b/>
          <w:sz w:val="16"/>
          <w:lang w:val="es-CR"/>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CR"/>
        </w:rPr>
        <w:tab/>
      </w:r>
      <w:r w:rsidRPr="00026D1B">
        <w:rPr>
          <w:rStyle w:val="Strong"/>
          <w:rFonts w:ascii="Verdana" w:hAnsi="Verdana"/>
          <w:b w:val="0"/>
          <w:i/>
          <w:sz w:val="16"/>
          <w:shd w:val="clear" w:color="auto" w:fill="FFFFFF"/>
        </w:rPr>
        <w:t>Caso Chaparro Álvarez y Lapo Íñiguez. Vs. Ecuador</w:t>
      </w:r>
      <w:r w:rsidRPr="00026D1B">
        <w:rPr>
          <w:rStyle w:val="Strong"/>
          <w:rFonts w:ascii="Verdana" w:hAnsi="Verdana"/>
          <w:b w:val="0"/>
          <w:sz w:val="16"/>
          <w:shd w:val="clear" w:color="auto" w:fill="FFFFFF"/>
        </w:rPr>
        <w:t>, párr. 181.</w:t>
      </w:r>
    </w:p>
  </w:footnote>
  <w:footnote w:id="93">
    <w:p w14:paraId="459E5DD9" w14:textId="77777777" w:rsidR="008D3C6E" w:rsidRPr="00026D1B" w:rsidRDefault="008D3C6E" w:rsidP="00B9351B">
      <w:pPr>
        <w:pStyle w:val="FootnoteText"/>
        <w:spacing w:after="120"/>
        <w:jc w:val="both"/>
        <w:rPr>
          <w:rFonts w:ascii="Verdana" w:hAnsi="Verdana"/>
          <w:b/>
          <w:sz w:val="16"/>
          <w:lang w:val="es-CR"/>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CR"/>
        </w:rPr>
        <w:tab/>
      </w:r>
      <w:r w:rsidRPr="00026D1B">
        <w:rPr>
          <w:rStyle w:val="Strong"/>
          <w:rFonts w:ascii="Verdana" w:hAnsi="Verdana"/>
          <w:b w:val="0"/>
          <w:i/>
          <w:sz w:val="16"/>
          <w:shd w:val="clear" w:color="auto" w:fill="FFFFFF"/>
        </w:rPr>
        <w:t xml:space="preserve">Caso Chaparro Álvarez y Lapo Íñiguez. Vs. Ecuador, </w:t>
      </w:r>
      <w:r w:rsidRPr="00026D1B">
        <w:rPr>
          <w:rStyle w:val="Strong"/>
          <w:rFonts w:ascii="Verdana" w:hAnsi="Verdana"/>
          <w:b w:val="0"/>
          <w:sz w:val="16"/>
          <w:shd w:val="clear" w:color="auto" w:fill="FFFFFF"/>
        </w:rPr>
        <w:t>párr. 182.</w:t>
      </w:r>
    </w:p>
  </w:footnote>
  <w:footnote w:id="94">
    <w:p w14:paraId="678321AD" w14:textId="77777777" w:rsidR="008D3C6E" w:rsidRPr="00026D1B" w:rsidRDefault="008D3C6E" w:rsidP="00B9351B">
      <w:pPr>
        <w:pStyle w:val="FootnoteText"/>
        <w:spacing w:after="120"/>
        <w:jc w:val="both"/>
        <w:rPr>
          <w:rFonts w:ascii="Verdana" w:hAnsi="Verdana"/>
          <w:b/>
          <w:sz w:val="16"/>
          <w:lang w:val="es-CR"/>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CR"/>
        </w:rPr>
        <w:tab/>
      </w:r>
      <w:r w:rsidRPr="00026D1B">
        <w:rPr>
          <w:rStyle w:val="Strong"/>
          <w:rFonts w:ascii="Verdana" w:hAnsi="Verdana"/>
          <w:b w:val="0"/>
          <w:i/>
          <w:sz w:val="16"/>
          <w:shd w:val="clear" w:color="auto" w:fill="FFFFFF"/>
        </w:rPr>
        <w:t xml:space="preserve">Caso Chaparro Álvarez y Lapo Íñiguez. Vs. Ecuador, </w:t>
      </w:r>
      <w:r w:rsidRPr="00026D1B">
        <w:rPr>
          <w:rStyle w:val="Strong"/>
          <w:rFonts w:ascii="Verdana" w:hAnsi="Verdana"/>
          <w:b w:val="0"/>
          <w:sz w:val="16"/>
          <w:shd w:val="clear" w:color="auto" w:fill="FFFFFF"/>
        </w:rPr>
        <w:t>párr. 182.</w:t>
      </w:r>
    </w:p>
  </w:footnote>
  <w:footnote w:id="95">
    <w:p w14:paraId="2CAFCD81" w14:textId="77777777" w:rsidR="008D3C6E" w:rsidRPr="00026D1B" w:rsidRDefault="008D3C6E" w:rsidP="00B9351B">
      <w:pPr>
        <w:pStyle w:val="FootnoteText"/>
        <w:spacing w:after="120"/>
        <w:jc w:val="both"/>
        <w:rPr>
          <w:rFonts w:ascii="Verdana" w:hAnsi="Verdana"/>
          <w:b/>
          <w:sz w:val="16"/>
          <w:lang w:val="es-CR"/>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CR"/>
        </w:rPr>
        <w:tab/>
      </w:r>
      <w:r w:rsidRPr="00026D1B">
        <w:rPr>
          <w:rStyle w:val="Strong"/>
          <w:rFonts w:ascii="Verdana" w:hAnsi="Verdana"/>
          <w:b w:val="0"/>
          <w:i/>
          <w:sz w:val="16"/>
          <w:shd w:val="clear" w:color="auto" w:fill="FFFFFF"/>
        </w:rPr>
        <w:t xml:space="preserve">Caso Chaparro Álvarez y Lapo Íñiguez. Vs. Ecuador, </w:t>
      </w:r>
      <w:r w:rsidRPr="00026D1B">
        <w:rPr>
          <w:rStyle w:val="Strong"/>
          <w:rFonts w:ascii="Verdana" w:hAnsi="Verdana"/>
          <w:b w:val="0"/>
          <w:sz w:val="16"/>
          <w:shd w:val="clear" w:color="auto" w:fill="FFFFFF"/>
        </w:rPr>
        <w:t>párr. 182.</w:t>
      </w:r>
    </w:p>
  </w:footnote>
  <w:footnote w:id="96">
    <w:p w14:paraId="6F6B97AA" w14:textId="77777777" w:rsidR="008D3C6E" w:rsidRPr="004731B1" w:rsidRDefault="008D3C6E" w:rsidP="00817CD9">
      <w:pPr>
        <w:pStyle w:val="FootnoteText"/>
        <w:spacing w:after="120"/>
        <w:jc w:val="both"/>
        <w:rPr>
          <w:rFonts w:ascii="Verdana" w:hAnsi="Verdana"/>
          <w:sz w:val="16"/>
          <w:szCs w:val="16"/>
          <w:lang w:val="es-CR"/>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Chaparro Álvarez y Lapo Íñiguez. Vs. Ecuador</w:t>
      </w:r>
      <w:r w:rsidRPr="004731B1">
        <w:rPr>
          <w:rFonts w:ascii="Verdana" w:hAnsi="Verdana"/>
          <w:sz w:val="16"/>
          <w:szCs w:val="16"/>
          <w:lang w:val="es-CR"/>
        </w:rPr>
        <w:t>, párrs. 174- 182 y 210-214.</w:t>
      </w:r>
    </w:p>
  </w:footnote>
  <w:footnote w:id="97">
    <w:p w14:paraId="0DA651BE" w14:textId="77777777" w:rsidR="008D3C6E" w:rsidRPr="004731B1" w:rsidRDefault="008D3C6E" w:rsidP="00817CD9">
      <w:pPr>
        <w:pStyle w:val="FootnoteText"/>
        <w:spacing w:after="120"/>
        <w:jc w:val="both"/>
        <w:rPr>
          <w:rFonts w:ascii="Verdana" w:hAnsi="Verdana"/>
          <w:i/>
          <w:sz w:val="16"/>
          <w:szCs w:val="16"/>
          <w:lang w:val="es-CR"/>
        </w:rPr>
      </w:pPr>
      <w:r w:rsidRPr="00026D1B">
        <w:rPr>
          <w:rStyle w:val="FootnoteReference"/>
          <w:rFonts w:ascii="Verdana" w:hAnsi="Verdana"/>
          <w:sz w:val="16"/>
          <w:szCs w:val="16"/>
        </w:rPr>
        <w:footnoteRef/>
      </w:r>
      <w:r w:rsidRPr="006F2A55">
        <w:rPr>
          <w:rFonts w:ascii="Verdana" w:hAnsi="Verdana"/>
          <w:sz w:val="16"/>
          <w:szCs w:val="16"/>
          <w:lang w:val="es-CR"/>
        </w:rPr>
        <w:tab/>
      </w:r>
      <w:r w:rsidRPr="00026D1B">
        <w:rPr>
          <w:rFonts w:ascii="Verdana" w:hAnsi="Verdana"/>
          <w:sz w:val="16"/>
          <w:szCs w:val="16"/>
          <w:lang w:val="es-CR"/>
        </w:rPr>
        <w:t xml:space="preserve">TEDH, </w:t>
      </w:r>
      <w:r w:rsidRPr="006F2A55">
        <w:rPr>
          <w:rFonts w:ascii="Verdana" w:hAnsi="Verdana"/>
          <w:i/>
          <w:sz w:val="16"/>
          <w:szCs w:val="16"/>
          <w:lang w:val="es-CR"/>
        </w:rPr>
        <w:t xml:space="preserve">Caso de Sovtransavtov Holding vs. Ukraine, </w:t>
      </w:r>
      <w:r w:rsidRPr="006F2A55">
        <w:rPr>
          <w:rFonts w:ascii="Verdana" w:hAnsi="Verdana"/>
          <w:sz w:val="16"/>
          <w:szCs w:val="16"/>
          <w:lang w:val="es-CR"/>
        </w:rPr>
        <w:t>Aplicación</w:t>
      </w:r>
      <w:r w:rsidRPr="006F2A55">
        <w:rPr>
          <w:rFonts w:ascii="Verdana" w:hAnsi="Verdana"/>
          <w:i/>
          <w:sz w:val="16"/>
          <w:szCs w:val="16"/>
          <w:lang w:val="es-CR"/>
        </w:rPr>
        <w:t xml:space="preserve"> </w:t>
      </w:r>
      <w:r w:rsidRPr="006F2A55">
        <w:rPr>
          <w:rFonts w:ascii="Verdana" w:hAnsi="Verdana"/>
          <w:sz w:val="16"/>
          <w:szCs w:val="16"/>
          <w:lang w:val="es-CR"/>
        </w:rPr>
        <w:t xml:space="preserve">No. 48553/99, 25 de junio de 2002, párr. </w:t>
      </w:r>
      <w:r w:rsidRPr="004731B1">
        <w:rPr>
          <w:rFonts w:ascii="Verdana" w:hAnsi="Verdana"/>
          <w:sz w:val="16"/>
          <w:szCs w:val="16"/>
          <w:lang w:val="es-CR"/>
        </w:rPr>
        <w:t>92.</w:t>
      </w:r>
    </w:p>
  </w:footnote>
  <w:footnote w:id="98">
    <w:p w14:paraId="409A989A" w14:textId="77777777" w:rsidR="008D3C6E" w:rsidRPr="00026D1B" w:rsidRDefault="008D3C6E" w:rsidP="004731B1">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rPr>
        <w:t>146.</w:t>
      </w:r>
      <w:r w:rsidRPr="00026D1B">
        <w:rPr>
          <w:rFonts w:ascii="Verdana" w:hAnsi="Verdana"/>
          <w:sz w:val="16"/>
          <w:szCs w:val="16"/>
          <w:lang w:val="es-ES_tradnl"/>
        </w:rPr>
        <w:t xml:space="preserve"> </w:t>
      </w:r>
    </w:p>
  </w:footnote>
  <w:footnote w:id="99">
    <w:p w14:paraId="05DD16BA" w14:textId="77777777" w:rsidR="008D3C6E" w:rsidRPr="00026D1B" w:rsidRDefault="008D3C6E" w:rsidP="004731B1">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rPr>
        <w:t>354.</w:t>
      </w:r>
      <w:r w:rsidRPr="00026D1B">
        <w:rPr>
          <w:rFonts w:ascii="Verdana" w:hAnsi="Verdana"/>
          <w:sz w:val="16"/>
          <w:szCs w:val="16"/>
          <w:lang w:val="es-ES_tradnl"/>
        </w:rPr>
        <w:t xml:space="preserve"> </w:t>
      </w:r>
    </w:p>
  </w:footnote>
  <w:footnote w:id="100">
    <w:p w14:paraId="0DBD9BB0"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4731B1">
        <w:rPr>
          <w:rFonts w:ascii="Verdana" w:hAnsi="Verdana"/>
          <w:sz w:val="16"/>
          <w:szCs w:val="16"/>
          <w:lang w:val="es-CR"/>
        </w:rPr>
        <w:tab/>
        <w:t>Corte Internacional de Justicia</w:t>
      </w:r>
      <w:r w:rsidRPr="004731B1">
        <w:rPr>
          <w:rFonts w:ascii="Verdana" w:hAnsi="Verdana"/>
          <w:i/>
          <w:sz w:val="16"/>
          <w:szCs w:val="16"/>
          <w:lang w:val="es-CR"/>
        </w:rPr>
        <w:t xml:space="preserve">, Barcelona Traction, Light and Power Company. </w:t>
      </w:r>
      <w:r w:rsidRPr="00026D1B">
        <w:rPr>
          <w:rFonts w:ascii="Verdana" w:hAnsi="Verdana"/>
          <w:i/>
          <w:sz w:val="16"/>
          <w:szCs w:val="16"/>
        </w:rPr>
        <w:t>Limited,</w:t>
      </w:r>
      <w:r w:rsidRPr="00026D1B">
        <w:rPr>
          <w:rFonts w:ascii="Verdana" w:hAnsi="Verdana"/>
          <w:sz w:val="16"/>
          <w:szCs w:val="16"/>
        </w:rPr>
        <w:t xml:space="preserve"> IJC Reports (1970), párr. 77. </w:t>
      </w:r>
    </w:p>
    <w:p w14:paraId="3E0A78AB" w14:textId="77777777" w:rsidR="008D3C6E" w:rsidRPr="00026D1B" w:rsidRDefault="008D3C6E" w:rsidP="00817CD9">
      <w:pPr>
        <w:pStyle w:val="FootnoteText"/>
        <w:spacing w:after="120"/>
        <w:jc w:val="both"/>
        <w:rPr>
          <w:rFonts w:ascii="Verdana" w:hAnsi="Verdana"/>
          <w:sz w:val="16"/>
          <w:szCs w:val="16"/>
        </w:rPr>
      </w:pPr>
    </w:p>
  </w:footnote>
  <w:footnote w:id="101">
    <w:p w14:paraId="32C407C5"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 xml:space="preserve">355. </w:t>
      </w:r>
    </w:p>
  </w:footnote>
  <w:footnote w:id="102">
    <w:p w14:paraId="256AEDA1" w14:textId="77777777" w:rsidR="008D3C6E" w:rsidRPr="00026D1B" w:rsidRDefault="008D3C6E" w:rsidP="007E3F35">
      <w:pPr>
        <w:pStyle w:val="FootnoteText"/>
        <w:spacing w:after="120"/>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párr. 355.</w:t>
      </w:r>
    </w:p>
  </w:footnote>
  <w:footnote w:id="103">
    <w:p w14:paraId="122B03E5" w14:textId="77777777" w:rsidR="008D3C6E" w:rsidRPr="00026D1B" w:rsidRDefault="008D3C6E" w:rsidP="007E3F35">
      <w:pPr>
        <w:pStyle w:val="FootnoteText"/>
        <w:spacing w:after="120"/>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lang w:val="es-ES_tradnl"/>
        </w:rPr>
        <w:t xml:space="preserve">356. </w:t>
      </w:r>
    </w:p>
  </w:footnote>
  <w:footnote w:id="104">
    <w:p w14:paraId="174129D5" w14:textId="77777777" w:rsidR="008D3C6E" w:rsidRPr="00026D1B" w:rsidRDefault="008D3C6E" w:rsidP="00817CD9">
      <w:pPr>
        <w:pStyle w:val="FootnoteText"/>
        <w:spacing w:after="120"/>
        <w:jc w:val="both"/>
        <w:rPr>
          <w:rFonts w:ascii="Verdana" w:hAnsi="Verdana"/>
          <w:b/>
          <w:sz w:val="16"/>
          <w:szCs w:val="16"/>
        </w:rPr>
      </w:pPr>
      <w:r w:rsidRPr="00026D1B">
        <w:rPr>
          <w:rStyle w:val="FootnoteReference"/>
          <w:rFonts w:ascii="Verdana" w:hAnsi="Verdana"/>
          <w:sz w:val="16"/>
          <w:szCs w:val="16"/>
        </w:rPr>
        <w:footnoteRef/>
      </w:r>
      <w:r w:rsidRPr="00026D1B">
        <w:rPr>
          <w:rFonts w:ascii="Verdana" w:hAnsi="Verdana"/>
          <w:b/>
          <w:sz w:val="16"/>
          <w:szCs w:val="16"/>
        </w:rPr>
        <w:tab/>
      </w:r>
      <w:r w:rsidRPr="00026D1B">
        <w:rPr>
          <w:rStyle w:val="Strong"/>
          <w:rFonts w:ascii="Verdana" w:hAnsi="Verdana"/>
          <w:b w:val="0"/>
          <w:sz w:val="16"/>
          <w:szCs w:val="16"/>
          <w:shd w:val="clear" w:color="auto" w:fill="FFFFFF"/>
        </w:rPr>
        <w:t xml:space="preserve">Caso </w:t>
      </w:r>
      <w:r w:rsidRPr="00026D1B">
        <w:rPr>
          <w:rStyle w:val="Strong"/>
          <w:rFonts w:ascii="Verdana" w:hAnsi="Verdana"/>
          <w:b w:val="0"/>
          <w:i/>
          <w:sz w:val="16"/>
          <w:szCs w:val="16"/>
          <w:shd w:val="clear" w:color="auto" w:fill="FFFFFF"/>
        </w:rPr>
        <w:t>Perozo y otros Vs. Venezuela,</w:t>
      </w:r>
      <w:r w:rsidRPr="00026D1B">
        <w:rPr>
          <w:rStyle w:val="Strong"/>
          <w:rFonts w:ascii="Verdana" w:hAnsi="Verdana"/>
          <w:b w:val="0"/>
          <w:sz w:val="16"/>
          <w:szCs w:val="16"/>
          <w:shd w:val="clear" w:color="auto" w:fill="FFFFFF"/>
        </w:rPr>
        <w:t xml:space="preserve"> párr. 401. </w:t>
      </w:r>
    </w:p>
  </w:footnote>
  <w:footnote w:id="105">
    <w:p w14:paraId="39EE885A" w14:textId="77777777" w:rsidR="008D3C6E" w:rsidRPr="00026D1B" w:rsidRDefault="008D3C6E" w:rsidP="00242B7A">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t>Sobre el porcentaje de las acciones de cada uno de los accionistas, véase el párr. 65 de la Sentencia.</w:t>
      </w:r>
    </w:p>
  </w:footnote>
  <w:footnote w:id="106">
    <w:p w14:paraId="0EF1B279" w14:textId="77777777" w:rsidR="008D3C6E" w:rsidRPr="00026D1B" w:rsidRDefault="008D3C6E" w:rsidP="004731B1">
      <w:pPr>
        <w:pStyle w:val="FootnoteText"/>
        <w:spacing w:after="120"/>
        <w:jc w:val="both"/>
        <w:rPr>
          <w:rFonts w:ascii="Verdana" w:hAnsi="Verdana"/>
          <w:b/>
          <w:sz w:val="16"/>
          <w:szCs w:val="16"/>
        </w:rPr>
      </w:pPr>
      <w:r w:rsidRPr="00026D1B">
        <w:rPr>
          <w:rStyle w:val="FootnoteReference"/>
          <w:rFonts w:ascii="Verdana" w:hAnsi="Verdana"/>
          <w:sz w:val="16"/>
          <w:szCs w:val="16"/>
        </w:rPr>
        <w:footnoteRef/>
      </w:r>
      <w:r w:rsidRPr="00026D1B">
        <w:rPr>
          <w:rFonts w:ascii="Verdana" w:hAnsi="Verdana"/>
          <w:b/>
          <w:sz w:val="16"/>
          <w:szCs w:val="16"/>
        </w:rPr>
        <w:tab/>
      </w:r>
      <w:r w:rsidRPr="00026D1B">
        <w:rPr>
          <w:rStyle w:val="Strong"/>
          <w:rFonts w:ascii="Verdana" w:hAnsi="Verdana"/>
          <w:b w:val="0"/>
          <w:sz w:val="16"/>
          <w:szCs w:val="16"/>
          <w:shd w:val="clear" w:color="auto" w:fill="FFFFFF"/>
        </w:rPr>
        <w:t xml:space="preserve">Caso </w:t>
      </w:r>
      <w:r w:rsidRPr="00026D1B">
        <w:rPr>
          <w:rStyle w:val="Strong"/>
          <w:rFonts w:ascii="Verdana" w:hAnsi="Verdana"/>
          <w:b w:val="0"/>
          <w:i/>
          <w:sz w:val="16"/>
          <w:szCs w:val="16"/>
          <w:shd w:val="clear" w:color="auto" w:fill="FFFFFF"/>
        </w:rPr>
        <w:t>Perozo y otros Vs. Venezuela,</w:t>
      </w:r>
      <w:r w:rsidRPr="00026D1B">
        <w:rPr>
          <w:rStyle w:val="Strong"/>
          <w:rFonts w:ascii="Verdana" w:hAnsi="Verdana"/>
          <w:b w:val="0"/>
          <w:sz w:val="16"/>
          <w:szCs w:val="16"/>
          <w:shd w:val="clear" w:color="auto" w:fill="FFFFFF"/>
        </w:rPr>
        <w:t xml:space="preserve"> párr. 401. </w:t>
      </w:r>
    </w:p>
  </w:footnote>
  <w:footnote w:id="107">
    <w:p w14:paraId="69589443" w14:textId="5861DF25" w:rsidR="008D3C6E" w:rsidRPr="00026D1B" w:rsidRDefault="008D3C6E" w:rsidP="00817CD9">
      <w:pPr>
        <w:pStyle w:val="FootnoteText"/>
        <w:spacing w:after="120"/>
        <w:jc w:val="both"/>
        <w:rPr>
          <w:rFonts w:ascii="Verdana" w:hAnsi="Verdana"/>
          <w:bCs/>
          <w:sz w:val="16"/>
          <w:szCs w:val="16"/>
          <w:shd w:val="clear" w:color="auto" w:fill="FFFFFF"/>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Style w:val="Strong"/>
          <w:rFonts w:ascii="Verdana" w:hAnsi="Verdana"/>
          <w:b w:val="0"/>
          <w:sz w:val="16"/>
          <w:szCs w:val="16"/>
          <w:shd w:val="clear" w:color="auto" w:fill="FFFFFF"/>
        </w:rPr>
        <w:t xml:space="preserve">Caso </w:t>
      </w:r>
      <w:r w:rsidRPr="00026D1B">
        <w:rPr>
          <w:rStyle w:val="Strong"/>
          <w:rFonts w:ascii="Verdana" w:hAnsi="Verdana"/>
          <w:b w:val="0"/>
          <w:i/>
          <w:sz w:val="16"/>
          <w:szCs w:val="16"/>
          <w:shd w:val="clear" w:color="auto" w:fill="FFFFFF"/>
        </w:rPr>
        <w:t>Perozo y otros Vs. Venezuela</w:t>
      </w:r>
      <w:r>
        <w:rPr>
          <w:rStyle w:val="Strong"/>
          <w:rFonts w:ascii="Verdana" w:hAnsi="Verdana"/>
          <w:b w:val="0"/>
          <w:i/>
          <w:sz w:val="16"/>
          <w:szCs w:val="16"/>
          <w:shd w:val="clear" w:color="auto" w:fill="FFFFFF"/>
        </w:rPr>
        <w:t>,</w:t>
      </w:r>
      <w:r w:rsidRPr="00026D1B">
        <w:rPr>
          <w:rStyle w:val="Strong"/>
          <w:rFonts w:ascii="Verdana" w:hAnsi="Verdana"/>
          <w:b w:val="0"/>
          <w:sz w:val="16"/>
          <w:szCs w:val="16"/>
          <w:shd w:val="clear" w:color="auto" w:fill="FFFFFF"/>
        </w:rPr>
        <w:t xml:space="preserve"> pie de página 357. </w:t>
      </w:r>
    </w:p>
  </w:footnote>
  <w:footnote w:id="108">
    <w:p w14:paraId="063CB30C"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párrs. </w:t>
      </w:r>
      <w:r w:rsidRPr="00026D1B">
        <w:rPr>
          <w:rFonts w:ascii="Verdana" w:hAnsi="Verdana"/>
          <w:sz w:val="16"/>
          <w:szCs w:val="16"/>
        </w:rPr>
        <w:t>356 a 359.</w:t>
      </w:r>
      <w:r w:rsidRPr="00026D1B">
        <w:rPr>
          <w:rFonts w:ascii="Verdana" w:hAnsi="Verdana"/>
          <w:sz w:val="16"/>
          <w:szCs w:val="16"/>
          <w:lang w:val="es-ES_tradnl"/>
        </w:rPr>
        <w:t xml:space="preserve"> </w:t>
      </w:r>
    </w:p>
  </w:footnote>
  <w:footnote w:id="109">
    <w:p w14:paraId="61AD8BA1" w14:textId="77777777" w:rsidR="008D3C6E" w:rsidRPr="00026D1B" w:rsidRDefault="008D3C6E" w:rsidP="00673AAD">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bCs/>
          <w:sz w:val="16"/>
          <w:szCs w:val="16"/>
        </w:rPr>
        <w:t>Declaración del perito Ángel Alayón de 7 de mayo de 2014 (expediente de fondo, folios 1636-1666).</w:t>
      </w:r>
    </w:p>
  </w:footnote>
  <w:footnote w:id="110">
    <w:p w14:paraId="59D28923"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bCs/>
          <w:sz w:val="16"/>
          <w:szCs w:val="16"/>
        </w:rPr>
        <w:t>Declaración del perito Ángel Alayón de 7 de mayo de 2014 (expediente de fondo, folio 1639).</w:t>
      </w:r>
    </w:p>
  </w:footnote>
  <w:footnote w:id="111">
    <w:p w14:paraId="7CE3E1E5"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t xml:space="preserve">Por ejemplo, un informe económico a raíz del cierre de RCTV (Informe económico a raíz del cierre de RCTV de 22 de marzo de 2010 (expediente de fondo, folios 3540 a 3544)); un informe sobre el modelo financiero para la evaluación del efecto de la eliminación de la concesión (Informe Ejecutivo sobre el modelo financiero para la evaluación del efecto económico de la eliminación de la Concesión de Agosto de 2013 (expediente de prueba, Folio 4769)); informes técnicos de la valoración de RCTV C.A. (Informe técnico: Valoración de Radio Caracas Televisión RCTV C.A. al año 2007 (expediente de prueba, folios 819 a 821)), y estados financieros de la empresa (Estados financieros consolidados del 1 de enero de 1999 a 31 de diciembre de 2007 (expediente de prueba, folio 4775)). Véase </w:t>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rFonts w:ascii="Verdana" w:hAnsi="Verdana"/>
          <w:sz w:val="16"/>
          <w:szCs w:val="16"/>
        </w:rPr>
        <w:t xml:space="preserve"> 357. </w:t>
      </w:r>
    </w:p>
  </w:footnote>
  <w:footnote w:id="112">
    <w:p w14:paraId="4D5E1AC2"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xml:space="preserve">, párr. 60. </w:t>
      </w:r>
    </w:p>
  </w:footnote>
  <w:footnote w:id="113">
    <w:p w14:paraId="2E355507"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párr. 60.</w:t>
      </w:r>
    </w:p>
  </w:footnote>
  <w:footnote w:id="114">
    <w:p w14:paraId="4F0BAB22"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rPr>
        <w:t>Caso Chaparro Álvarez y Lapo Íñiguez. Vs. Ecuador</w:t>
      </w:r>
      <w:r w:rsidRPr="00026D1B">
        <w:rPr>
          <w:rFonts w:ascii="Verdana" w:hAnsi="Verdana"/>
          <w:sz w:val="16"/>
          <w:szCs w:val="16"/>
        </w:rPr>
        <w:t xml:space="preserve">, párr. </w:t>
      </w:r>
      <w:r w:rsidRPr="00026D1B">
        <w:rPr>
          <w:rFonts w:ascii="Verdana" w:hAnsi="Verdana"/>
          <w:sz w:val="16"/>
          <w:szCs w:val="16"/>
          <w:lang w:val="es-ES_tradnl"/>
        </w:rPr>
        <w:t>187.</w:t>
      </w:r>
    </w:p>
  </w:footnote>
  <w:footnote w:id="115">
    <w:p w14:paraId="0DB11D08"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Chaparro Álvarez y Lapo Íñiguez. Vs. Ecuador</w:t>
      </w:r>
      <w:r w:rsidRPr="00026D1B">
        <w:rPr>
          <w:rFonts w:ascii="Verdana" w:hAnsi="Verdana"/>
          <w:sz w:val="16"/>
          <w:szCs w:val="16"/>
        </w:rPr>
        <w:t xml:space="preserve">, párr. </w:t>
      </w:r>
      <w:r w:rsidRPr="00026D1B">
        <w:rPr>
          <w:rFonts w:ascii="Verdana" w:hAnsi="Verdana"/>
          <w:sz w:val="16"/>
          <w:szCs w:val="16"/>
          <w:lang w:val="es-ES_tradnl"/>
        </w:rPr>
        <w:t xml:space="preserve">189. </w:t>
      </w:r>
    </w:p>
  </w:footnote>
  <w:footnote w:id="116">
    <w:p w14:paraId="5EB3820A"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xml:space="preserve">, párr. 61 y </w:t>
      </w:r>
      <w:r w:rsidRPr="00026D1B">
        <w:rPr>
          <w:rFonts w:ascii="Verdana" w:hAnsi="Verdana"/>
          <w:i/>
          <w:sz w:val="16"/>
          <w:szCs w:val="16"/>
        </w:rPr>
        <w:t>Caso Chaparro Álvarez y Lapo Íñiguez. Vs. Ecuador</w:t>
      </w:r>
      <w:r w:rsidRPr="00026D1B">
        <w:rPr>
          <w:rFonts w:ascii="Verdana" w:hAnsi="Verdana"/>
          <w:sz w:val="16"/>
          <w:szCs w:val="16"/>
        </w:rPr>
        <w:t xml:space="preserve">, párr. </w:t>
      </w:r>
      <w:r w:rsidRPr="00026D1B">
        <w:rPr>
          <w:rFonts w:ascii="Verdana" w:hAnsi="Verdana"/>
          <w:sz w:val="16"/>
          <w:szCs w:val="16"/>
          <w:lang w:val="es-ES_tradnl"/>
        </w:rPr>
        <w:t xml:space="preserve">174. </w:t>
      </w:r>
    </w:p>
  </w:footnote>
  <w:footnote w:id="117">
    <w:p w14:paraId="27909413"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párr.  62</w:t>
      </w:r>
      <w:r w:rsidRPr="00026D1B">
        <w:rPr>
          <w:rFonts w:ascii="Verdana" w:hAnsi="Verdana"/>
          <w:sz w:val="16"/>
          <w:szCs w:val="16"/>
          <w:lang w:val="es-ES_tradnl"/>
        </w:rPr>
        <w:t xml:space="preserve">. </w:t>
      </w:r>
    </w:p>
  </w:footnote>
  <w:footnote w:id="118">
    <w:p w14:paraId="708D5997"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xml:space="preserve">, párr. 63. </w:t>
      </w:r>
    </w:p>
  </w:footnote>
  <w:footnote w:id="119">
    <w:p w14:paraId="79B2FB00" w14:textId="77777777" w:rsidR="008D3C6E" w:rsidRPr="00026D1B" w:rsidRDefault="008D3C6E" w:rsidP="00817CD9">
      <w:pPr>
        <w:pStyle w:val="NormalWeb"/>
        <w:spacing w:before="0" w:beforeAutospacing="0" w:after="120" w:afterAutospacing="0"/>
        <w:jc w:val="both"/>
        <w:rPr>
          <w:rFonts w:ascii="Verdana" w:hAnsi="Verdana"/>
          <w:i/>
          <w:iCs/>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xml:space="preserve">, </w:t>
      </w:r>
      <w:proofErr w:type="spellStart"/>
      <w:r w:rsidRPr="00026D1B">
        <w:rPr>
          <w:rFonts w:ascii="Verdana" w:hAnsi="Verdana"/>
          <w:sz w:val="16"/>
          <w:szCs w:val="16"/>
        </w:rPr>
        <w:t>párr</w:t>
      </w:r>
      <w:proofErr w:type="spellEnd"/>
      <w:r w:rsidRPr="00026D1B">
        <w:rPr>
          <w:rFonts w:ascii="Verdana" w:hAnsi="Verdana"/>
          <w:sz w:val="16"/>
          <w:szCs w:val="16"/>
        </w:rPr>
        <w:t xml:space="preserve">. 73. </w:t>
      </w:r>
      <w:r w:rsidRPr="00026D1B">
        <w:rPr>
          <w:rFonts w:ascii="Verdana" w:hAnsi="Verdana"/>
          <w:i/>
          <w:iCs/>
          <w:sz w:val="16"/>
          <w:szCs w:val="16"/>
        </w:rPr>
        <w:t xml:space="preserve">Cfr. </w:t>
      </w:r>
      <w:r w:rsidRPr="00026D1B">
        <w:rPr>
          <w:rFonts w:ascii="Verdana" w:hAnsi="Verdana" w:cs="Verdana"/>
          <w:bCs/>
          <w:i/>
          <w:sz w:val="16"/>
          <w:szCs w:val="16"/>
          <w:lang w:val="es-ES"/>
        </w:rPr>
        <w:t>La Expresión "Leyes" en el Artículo 30 de la Convención Americana sobre Derechos Humanos.</w:t>
      </w:r>
      <w:r w:rsidRPr="00026D1B">
        <w:rPr>
          <w:rFonts w:ascii="Verdana" w:hAnsi="Verdana" w:cs="Verdana"/>
          <w:bCs/>
          <w:sz w:val="16"/>
          <w:szCs w:val="16"/>
          <w:lang w:val="es-ES"/>
        </w:rPr>
        <w:t xml:space="preserve"> Opinión Consultiva OC-6/86 del 9 de mayo de 1986. Serie A No. 6, </w:t>
      </w:r>
      <w:proofErr w:type="spellStart"/>
      <w:r w:rsidRPr="00026D1B">
        <w:rPr>
          <w:rFonts w:ascii="Verdana" w:hAnsi="Verdana"/>
          <w:sz w:val="16"/>
          <w:szCs w:val="16"/>
        </w:rPr>
        <w:t>párr</w:t>
      </w:r>
      <w:proofErr w:type="spellEnd"/>
      <w:r w:rsidRPr="00026D1B">
        <w:rPr>
          <w:rFonts w:ascii="Verdana" w:hAnsi="Verdana"/>
          <w:sz w:val="16"/>
          <w:szCs w:val="16"/>
        </w:rPr>
        <w:t>. 30.</w:t>
      </w:r>
    </w:p>
  </w:footnote>
  <w:footnote w:id="120">
    <w:p w14:paraId="625426A9" w14:textId="77777777" w:rsidR="008D3C6E" w:rsidRPr="00026D1B" w:rsidRDefault="008D3C6E" w:rsidP="00817CD9">
      <w:pPr>
        <w:pStyle w:val="NormalWeb"/>
        <w:spacing w:before="0" w:beforeAutospacing="0" w:after="120" w:afterAutospacing="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xml:space="preserve">, </w:t>
      </w:r>
      <w:proofErr w:type="spellStart"/>
      <w:r w:rsidRPr="00026D1B">
        <w:rPr>
          <w:rFonts w:ascii="Verdana" w:hAnsi="Verdana"/>
          <w:sz w:val="16"/>
          <w:szCs w:val="16"/>
        </w:rPr>
        <w:t>párr</w:t>
      </w:r>
      <w:proofErr w:type="spellEnd"/>
      <w:r w:rsidRPr="00026D1B">
        <w:rPr>
          <w:rFonts w:ascii="Verdana" w:hAnsi="Verdana"/>
          <w:sz w:val="16"/>
          <w:szCs w:val="16"/>
        </w:rPr>
        <w:t xml:space="preserve">. 74. </w:t>
      </w:r>
      <w:r w:rsidRPr="00026D1B">
        <w:rPr>
          <w:rFonts w:ascii="Verdana" w:hAnsi="Verdana"/>
          <w:i/>
          <w:iCs/>
          <w:sz w:val="16"/>
          <w:szCs w:val="16"/>
        </w:rPr>
        <w:t xml:space="preserve">Cfr. </w:t>
      </w:r>
      <w:r w:rsidRPr="00026D1B">
        <w:rPr>
          <w:rFonts w:ascii="Verdana" w:hAnsi="Verdana" w:cs="Verdana"/>
          <w:bCs/>
          <w:sz w:val="16"/>
          <w:szCs w:val="16"/>
          <w:lang w:val="es-ES"/>
        </w:rPr>
        <w:t xml:space="preserve">Opinión Consultiva OC-6/86 del 9 de mayo de 1986, </w:t>
      </w:r>
      <w:proofErr w:type="spellStart"/>
      <w:r w:rsidRPr="00026D1B">
        <w:rPr>
          <w:rFonts w:ascii="Verdana" w:hAnsi="Verdana"/>
          <w:sz w:val="16"/>
          <w:szCs w:val="16"/>
        </w:rPr>
        <w:t>párr</w:t>
      </w:r>
      <w:proofErr w:type="spellEnd"/>
      <w:r w:rsidRPr="00026D1B">
        <w:rPr>
          <w:rFonts w:ascii="Verdana" w:hAnsi="Verdana"/>
          <w:sz w:val="16"/>
          <w:szCs w:val="16"/>
        </w:rPr>
        <w:t>. 29.</w:t>
      </w:r>
    </w:p>
  </w:footnote>
  <w:footnote w:id="121">
    <w:p w14:paraId="515BFE61" w14:textId="77777777"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w:t>
      </w:r>
      <w:r w:rsidRPr="00026D1B">
        <w:rPr>
          <w:rFonts w:ascii="Verdana" w:hAnsi="Verdana"/>
          <w:sz w:val="16"/>
          <w:szCs w:val="16"/>
        </w:rPr>
        <w:t xml:space="preserve">, párr. 75. </w:t>
      </w:r>
      <w:r w:rsidRPr="00026D1B">
        <w:rPr>
          <w:rFonts w:ascii="Verdana" w:hAnsi="Verdana"/>
          <w:i/>
          <w:iCs/>
          <w:sz w:val="16"/>
          <w:szCs w:val="16"/>
        </w:rPr>
        <w:t xml:space="preserve">Cfr. </w:t>
      </w:r>
      <w:r w:rsidRPr="00026D1B">
        <w:rPr>
          <w:rFonts w:ascii="Verdana" w:hAnsi="Verdana"/>
          <w:sz w:val="16"/>
          <w:szCs w:val="16"/>
        </w:rPr>
        <w:t xml:space="preserve">Opinión Consultiva OC-5/85, párrs. 66 y 67, y </w:t>
      </w:r>
      <w:r w:rsidRPr="00026D1B">
        <w:rPr>
          <w:rFonts w:ascii="Verdana" w:hAnsi="Verdana"/>
          <w:i/>
          <w:iCs/>
          <w:sz w:val="16"/>
          <w:szCs w:val="16"/>
        </w:rPr>
        <w:t>Opinión Consultiva OC-6/86</w:t>
      </w:r>
      <w:r w:rsidRPr="00026D1B">
        <w:rPr>
          <w:rFonts w:ascii="Verdana" w:hAnsi="Verdana"/>
          <w:sz w:val="16"/>
          <w:szCs w:val="16"/>
        </w:rPr>
        <w:t>, párr. 31.</w:t>
      </w:r>
    </w:p>
  </w:footnote>
  <w:footnote w:id="122">
    <w:p w14:paraId="513AB909" w14:textId="77777777" w:rsidR="008D3C6E" w:rsidRPr="00026D1B" w:rsidRDefault="008D3C6E" w:rsidP="00817CD9">
      <w:pPr>
        <w:pStyle w:val="NormalWeb"/>
        <w:spacing w:before="0" w:beforeAutospacing="0" w:after="120" w:afterAutospacing="0"/>
        <w:jc w:val="both"/>
        <w:rPr>
          <w:rFonts w:ascii="Verdana" w:hAnsi="Verdana"/>
          <w:sz w:val="16"/>
          <w:szCs w:val="16"/>
          <w:lang w:val="en-US"/>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 supra</w:t>
      </w:r>
      <w:r w:rsidRPr="00026D1B">
        <w:rPr>
          <w:rFonts w:ascii="Verdana" w:hAnsi="Verdana"/>
          <w:sz w:val="16"/>
          <w:szCs w:val="16"/>
        </w:rPr>
        <w:t xml:space="preserve">, </w:t>
      </w:r>
      <w:proofErr w:type="spellStart"/>
      <w:r w:rsidRPr="00026D1B">
        <w:rPr>
          <w:rFonts w:ascii="Verdana" w:hAnsi="Verdana"/>
          <w:sz w:val="16"/>
          <w:szCs w:val="16"/>
        </w:rPr>
        <w:t>párr</w:t>
      </w:r>
      <w:proofErr w:type="spellEnd"/>
      <w:r w:rsidRPr="00026D1B">
        <w:rPr>
          <w:rFonts w:ascii="Verdana" w:hAnsi="Verdana"/>
          <w:sz w:val="16"/>
          <w:szCs w:val="16"/>
        </w:rPr>
        <w:t xml:space="preserve">. 95 y 96. </w:t>
      </w:r>
      <w:r w:rsidRPr="00026D1B">
        <w:rPr>
          <w:rFonts w:ascii="Verdana" w:hAnsi="Verdana"/>
          <w:i/>
          <w:iCs/>
          <w:sz w:val="16"/>
          <w:szCs w:val="16"/>
        </w:rPr>
        <w:t>Cfr</w:t>
      </w:r>
      <w:r w:rsidRPr="00026D1B">
        <w:rPr>
          <w:rFonts w:ascii="Verdana" w:hAnsi="Verdana"/>
          <w:sz w:val="16"/>
          <w:szCs w:val="16"/>
        </w:rPr>
        <w:t xml:space="preserve">. </w:t>
      </w:r>
      <w:r w:rsidRPr="00026D1B">
        <w:rPr>
          <w:rFonts w:ascii="Verdana" w:hAnsi="Verdana"/>
          <w:i/>
          <w:iCs/>
          <w:sz w:val="16"/>
          <w:szCs w:val="16"/>
        </w:rPr>
        <w:t xml:space="preserve">INA </w:t>
      </w:r>
      <w:proofErr w:type="spellStart"/>
      <w:r w:rsidRPr="00026D1B">
        <w:rPr>
          <w:rFonts w:ascii="Verdana" w:hAnsi="Verdana"/>
          <w:i/>
          <w:iCs/>
          <w:sz w:val="16"/>
          <w:szCs w:val="16"/>
        </w:rPr>
        <w:t>Corporation</w:t>
      </w:r>
      <w:proofErr w:type="spellEnd"/>
      <w:r w:rsidRPr="00026D1B">
        <w:rPr>
          <w:rFonts w:ascii="Verdana" w:hAnsi="Verdana"/>
          <w:i/>
          <w:iCs/>
          <w:sz w:val="16"/>
          <w:szCs w:val="16"/>
        </w:rPr>
        <w:t xml:space="preserve"> vs. La República Islámica de Irán</w:t>
      </w:r>
      <w:r w:rsidRPr="00026D1B">
        <w:rPr>
          <w:rFonts w:ascii="Verdana" w:hAnsi="Verdana"/>
          <w:sz w:val="16"/>
          <w:szCs w:val="16"/>
        </w:rPr>
        <w:t>, 8 Irán US CTR, p.373; 75 ILR, p. 595; y Principios 15 y 18 de los “</w:t>
      </w:r>
      <w:r w:rsidRPr="00026D1B">
        <w:rPr>
          <w:rFonts w:ascii="Verdana" w:hAnsi="Verdana"/>
          <w:i/>
          <w:iCs/>
          <w:sz w:val="16"/>
          <w:szCs w:val="16"/>
        </w:rPr>
        <w:t xml:space="preserve">Principios y directrices básicos sobre el derecho de las víctimas de violaciones manifiestas de las normas internacionales de derechos humanos y de violaciones graves del derecho internacional humanitario a interponer recursos y obtener reparaciones”, </w:t>
      </w:r>
      <w:proofErr w:type="spellStart"/>
      <w:r w:rsidRPr="00026D1B">
        <w:rPr>
          <w:rFonts w:ascii="Verdana" w:hAnsi="Verdana"/>
          <w:sz w:val="16"/>
          <w:szCs w:val="16"/>
        </w:rPr>
        <w:t>Resolución</w:t>
      </w:r>
      <w:proofErr w:type="spellEnd"/>
      <w:r w:rsidRPr="00026D1B">
        <w:rPr>
          <w:rFonts w:ascii="Verdana" w:hAnsi="Verdana"/>
          <w:sz w:val="16"/>
          <w:szCs w:val="16"/>
        </w:rPr>
        <w:t xml:space="preserve"> G.A. Res. 60/147, Preámbulo, UN.Doc. A/RES/60/147 (</w:t>
      </w:r>
      <w:proofErr w:type="spellStart"/>
      <w:r w:rsidRPr="00026D1B">
        <w:rPr>
          <w:rFonts w:ascii="Verdana" w:hAnsi="Verdana"/>
          <w:sz w:val="16"/>
          <w:szCs w:val="16"/>
        </w:rPr>
        <w:t>Dec</w:t>
      </w:r>
      <w:proofErr w:type="spellEnd"/>
      <w:r w:rsidRPr="00026D1B">
        <w:rPr>
          <w:rFonts w:ascii="Verdana" w:hAnsi="Verdana"/>
          <w:sz w:val="16"/>
          <w:szCs w:val="16"/>
        </w:rPr>
        <w:t xml:space="preserve">. 16, 2006). </w:t>
      </w:r>
      <w:proofErr w:type="spellStart"/>
      <w:r w:rsidRPr="00026D1B">
        <w:rPr>
          <w:rFonts w:ascii="Verdana" w:hAnsi="Verdana"/>
          <w:i/>
          <w:iCs/>
          <w:sz w:val="16"/>
          <w:szCs w:val="16"/>
          <w:lang w:val="en-US"/>
        </w:rPr>
        <w:t>Cfr</w:t>
      </w:r>
      <w:proofErr w:type="spellEnd"/>
      <w:r w:rsidRPr="00026D1B">
        <w:rPr>
          <w:rFonts w:ascii="Verdana" w:hAnsi="Verdana"/>
          <w:i/>
          <w:iCs/>
          <w:sz w:val="16"/>
          <w:szCs w:val="16"/>
          <w:lang w:val="en-US"/>
        </w:rPr>
        <w:t xml:space="preserve">. </w:t>
      </w:r>
      <w:proofErr w:type="spellStart"/>
      <w:r w:rsidRPr="00026D1B">
        <w:rPr>
          <w:rFonts w:ascii="Verdana" w:hAnsi="Verdana"/>
          <w:sz w:val="16"/>
          <w:szCs w:val="16"/>
          <w:lang w:val="en-US"/>
        </w:rPr>
        <w:t>también</w:t>
      </w:r>
      <w:proofErr w:type="spellEnd"/>
      <w:r w:rsidRPr="00026D1B">
        <w:rPr>
          <w:rFonts w:ascii="Verdana" w:hAnsi="Verdana"/>
          <w:sz w:val="16"/>
          <w:szCs w:val="16"/>
          <w:lang w:val="en-US"/>
        </w:rPr>
        <w:t xml:space="preserve">: the WB, Guidelines of the Treatment of Foreign Direct Investment; 1962. </w:t>
      </w:r>
      <w:r w:rsidRPr="00026D1B">
        <w:rPr>
          <w:rFonts w:ascii="Verdana" w:hAnsi="Verdana"/>
          <w:i/>
          <w:iCs/>
          <w:sz w:val="16"/>
          <w:szCs w:val="16"/>
          <w:lang w:val="en-US"/>
        </w:rPr>
        <w:t xml:space="preserve">Texaco </w:t>
      </w:r>
      <w:r w:rsidRPr="00026D1B">
        <w:rPr>
          <w:rFonts w:ascii="Verdana" w:hAnsi="Verdana"/>
          <w:sz w:val="16"/>
          <w:szCs w:val="16"/>
          <w:lang w:val="en-US"/>
        </w:rPr>
        <w:t xml:space="preserve">case 17 ILM, 1978, pp. 3, 29; 53 ILR, pp. 389, 489; </w:t>
      </w:r>
      <w:proofErr w:type="spellStart"/>
      <w:r w:rsidRPr="00026D1B">
        <w:rPr>
          <w:rFonts w:ascii="Verdana" w:hAnsi="Verdana"/>
          <w:i/>
          <w:iCs/>
          <w:sz w:val="16"/>
          <w:szCs w:val="16"/>
          <w:lang w:val="en-US"/>
        </w:rPr>
        <w:t>Aminoil</w:t>
      </w:r>
      <w:r w:rsidRPr="00026D1B">
        <w:rPr>
          <w:rFonts w:ascii="Verdana" w:hAnsi="Verdana"/>
          <w:sz w:val="16"/>
          <w:szCs w:val="16"/>
          <w:lang w:val="en-US"/>
        </w:rPr>
        <w:t>case</w:t>
      </w:r>
      <w:proofErr w:type="spellEnd"/>
      <w:r w:rsidRPr="00026D1B">
        <w:rPr>
          <w:rFonts w:ascii="Verdana" w:hAnsi="Verdana"/>
          <w:sz w:val="16"/>
          <w:szCs w:val="16"/>
          <w:lang w:val="en-US"/>
        </w:rPr>
        <w:t xml:space="preserve"> 21 ILM, 1982, p. 1032; 66 ILR, p. 601; Permanent Sovereignty Resolution, y 1974 Charter of Economic Rights Direct and Duties of States. </w:t>
      </w:r>
    </w:p>
  </w:footnote>
  <w:footnote w:id="123">
    <w:p w14:paraId="54D97A64" w14:textId="77777777" w:rsidR="008D3C6E" w:rsidRPr="00026D1B" w:rsidRDefault="008D3C6E" w:rsidP="00817CD9">
      <w:pPr>
        <w:pStyle w:val="NormalWeb"/>
        <w:spacing w:before="0" w:beforeAutospacing="0" w:after="120" w:afterAutospacing="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Caso Salvador Chiriboga Vs. Ecuador, supra</w:t>
      </w:r>
      <w:r w:rsidRPr="00026D1B">
        <w:rPr>
          <w:rFonts w:ascii="Verdana" w:hAnsi="Verdana"/>
          <w:sz w:val="16"/>
          <w:szCs w:val="16"/>
        </w:rPr>
        <w:t xml:space="preserve">, </w:t>
      </w:r>
      <w:proofErr w:type="spellStart"/>
      <w:r w:rsidRPr="00026D1B">
        <w:rPr>
          <w:rFonts w:ascii="Verdana" w:hAnsi="Verdana"/>
          <w:sz w:val="16"/>
          <w:szCs w:val="16"/>
        </w:rPr>
        <w:t>párr</w:t>
      </w:r>
      <w:proofErr w:type="spellEnd"/>
      <w:r w:rsidRPr="00026D1B">
        <w:rPr>
          <w:rFonts w:ascii="Verdana" w:hAnsi="Verdana"/>
          <w:sz w:val="16"/>
          <w:szCs w:val="16"/>
        </w:rPr>
        <w:t xml:space="preserve">. 97. </w:t>
      </w:r>
      <w:r w:rsidRPr="00026D1B">
        <w:rPr>
          <w:rFonts w:ascii="Verdana" w:hAnsi="Verdana"/>
          <w:i/>
          <w:iCs/>
          <w:sz w:val="16"/>
          <w:szCs w:val="16"/>
        </w:rPr>
        <w:t xml:space="preserve">Cfr. </w:t>
      </w:r>
      <w:r w:rsidRPr="00026D1B">
        <w:rPr>
          <w:rFonts w:ascii="Verdana" w:hAnsi="Verdana"/>
          <w:sz w:val="16"/>
          <w:szCs w:val="16"/>
        </w:rPr>
        <w:t xml:space="preserve">Resolución 1803 (XVII) de la Asamblea General, de 14 de diciembre de 1962, titulada "Soberanía Permanente sobre los Recursos Naturales " (1962). </w:t>
      </w:r>
    </w:p>
  </w:footnote>
  <w:footnote w:id="124">
    <w:p w14:paraId="36392C4A" w14:textId="77777777" w:rsidR="008D3C6E" w:rsidRPr="00026D1B" w:rsidRDefault="008D3C6E" w:rsidP="00817CD9">
      <w:pPr>
        <w:pStyle w:val="NormalWeb"/>
        <w:spacing w:before="0" w:beforeAutospacing="0" w:after="120" w:afterAutospacing="0"/>
        <w:jc w:val="both"/>
        <w:rPr>
          <w:rFonts w:ascii="Verdana" w:hAnsi="Verdana"/>
          <w:sz w:val="16"/>
          <w:szCs w:val="16"/>
          <w:lang w:val="es-MX"/>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sz w:val="16"/>
          <w:szCs w:val="16"/>
        </w:rPr>
        <w:t xml:space="preserve">Caso </w:t>
      </w:r>
      <w:proofErr w:type="spellStart"/>
      <w:r w:rsidRPr="00026D1B">
        <w:rPr>
          <w:rFonts w:ascii="Verdana" w:hAnsi="Verdana"/>
          <w:i/>
          <w:sz w:val="16"/>
          <w:szCs w:val="16"/>
        </w:rPr>
        <w:t>Ivcher</w:t>
      </w:r>
      <w:proofErr w:type="spellEnd"/>
      <w:r w:rsidRPr="00026D1B">
        <w:rPr>
          <w:rFonts w:ascii="Verdana" w:hAnsi="Verdana"/>
          <w:i/>
          <w:sz w:val="16"/>
          <w:szCs w:val="16"/>
        </w:rPr>
        <w:t xml:space="preserve"> </w:t>
      </w:r>
      <w:proofErr w:type="spellStart"/>
      <w:r w:rsidRPr="00026D1B">
        <w:rPr>
          <w:rFonts w:ascii="Verdana" w:hAnsi="Verdana"/>
          <w:i/>
          <w:sz w:val="16"/>
          <w:szCs w:val="16"/>
        </w:rPr>
        <w:t>Bronstein</w:t>
      </w:r>
      <w:proofErr w:type="spellEnd"/>
      <w:r w:rsidRPr="00026D1B">
        <w:rPr>
          <w:rFonts w:ascii="Verdana" w:hAnsi="Verdana"/>
          <w:i/>
          <w:sz w:val="16"/>
          <w:szCs w:val="16"/>
        </w:rPr>
        <w:t xml:space="preserve"> Vs. </w:t>
      </w:r>
      <w:proofErr w:type="spellStart"/>
      <w:r w:rsidRPr="00026D1B">
        <w:rPr>
          <w:rFonts w:ascii="Verdana" w:hAnsi="Verdana"/>
          <w:i/>
          <w:sz w:val="16"/>
          <w:szCs w:val="16"/>
        </w:rPr>
        <w:t>Peru</w:t>
      </w:r>
      <w:proofErr w:type="spellEnd"/>
      <w:r w:rsidRPr="00026D1B">
        <w:rPr>
          <w:rFonts w:ascii="Verdana" w:hAnsi="Verdana"/>
          <w:i/>
          <w:sz w:val="16"/>
          <w:szCs w:val="16"/>
        </w:rPr>
        <w:t xml:space="preserve">́. Fondo, Reparaciones y Costas. </w:t>
      </w:r>
      <w:r w:rsidRPr="00026D1B">
        <w:rPr>
          <w:rFonts w:ascii="Verdana" w:hAnsi="Verdana"/>
          <w:sz w:val="16"/>
          <w:szCs w:val="16"/>
        </w:rPr>
        <w:t xml:space="preserve">Sentencia de 6 de febrero de 2001. </w:t>
      </w:r>
      <w:r w:rsidRPr="00026D1B">
        <w:rPr>
          <w:rFonts w:ascii="Verdana" w:hAnsi="Verdana"/>
          <w:sz w:val="16"/>
          <w:szCs w:val="16"/>
          <w:lang w:val="es-MX"/>
        </w:rPr>
        <w:t xml:space="preserve">Serie C No. 74, párr. 124. </w:t>
      </w:r>
      <w:r w:rsidRPr="006F2A55">
        <w:rPr>
          <w:rFonts w:ascii="Verdana" w:hAnsi="Verdana"/>
          <w:i/>
          <w:iCs/>
          <w:sz w:val="16"/>
          <w:szCs w:val="16"/>
          <w:lang w:val="es-CR"/>
        </w:rPr>
        <w:t xml:space="preserve">Cfr. </w:t>
      </w:r>
      <w:r w:rsidRPr="006F2A55">
        <w:rPr>
          <w:rFonts w:ascii="Verdana" w:hAnsi="Verdana"/>
          <w:iCs/>
          <w:sz w:val="16"/>
          <w:szCs w:val="16"/>
          <w:lang w:val="es-CR"/>
        </w:rPr>
        <w:t>TEDH,</w:t>
      </w:r>
      <w:r w:rsidRPr="006F2A55">
        <w:rPr>
          <w:rFonts w:ascii="Verdana" w:hAnsi="Verdana"/>
          <w:i/>
          <w:iCs/>
          <w:sz w:val="16"/>
          <w:szCs w:val="16"/>
          <w:lang w:val="es-CR"/>
        </w:rPr>
        <w:t xml:space="preserve"> Caso de Belvedere Alberghiera S.R.L. vs. Italia</w:t>
      </w:r>
      <w:r w:rsidRPr="006F2A55">
        <w:rPr>
          <w:rFonts w:ascii="Verdana" w:hAnsi="Verdana"/>
          <w:iCs/>
          <w:sz w:val="16"/>
          <w:szCs w:val="16"/>
          <w:lang w:val="es-CR"/>
        </w:rPr>
        <w:t>, Sentencia de f 30</w:t>
      </w:r>
      <w:r w:rsidRPr="00026D1B">
        <w:rPr>
          <w:rFonts w:ascii="Verdana" w:hAnsi="Verdana"/>
          <w:iCs/>
          <w:sz w:val="16"/>
          <w:szCs w:val="16"/>
          <w:lang w:val="es-CR"/>
        </w:rPr>
        <w:t xml:space="preserve"> de</w:t>
      </w:r>
      <w:r w:rsidRPr="006F2A55">
        <w:rPr>
          <w:rFonts w:ascii="Verdana" w:hAnsi="Verdana"/>
          <w:iCs/>
          <w:sz w:val="16"/>
          <w:szCs w:val="16"/>
          <w:lang w:val="es-CR"/>
        </w:rPr>
        <w:t xml:space="preserve"> </w:t>
      </w:r>
      <w:r w:rsidRPr="00026D1B">
        <w:rPr>
          <w:rFonts w:ascii="Verdana" w:hAnsi="Verdana"/>
          <w:iCs/>
          <w:sz w:val="16"/>
          <w:szCs w:val="16"/>
          <w:lang w:val="es-CR"/>
        </w:rPr>
        <w:t>m</w:t>
      </w:r>
      <w:r w:rsidRPr="006F2A55">
        <w:rPr>
          <w:rFonts w:ascii="Verdana" w:hAnsi="Verdana"/>
          <w:iCs/>
          <w:sz w:val="16"/>
          <w:szCs w:val="16"/>
          <w:lang w:val="es-CR"/>
        </w:rPr>
        <w:t>ay</w:t>
      </w:r>
      <w:r w:rsidRPr="00026D1B">
        <w:rPr>
          <w:rFonts w:ascii="Verdana" w:hAnsi="Verdana"/>
          <w:iCs/>
          <w:sz w:val="16"/>
          <w:szCs w:val="16"/>
          <w:lang w:val="es-CR"/>
        </w:rPr>
        <w:t>o</w:t>
      </w:r>
      <w:r w:rsidRPr="006F2A55">
        <w:rPr>
          <w:rFonts w:ascii="Verdana" w:hAnsi="Verdana"/>
          <w:iCs/>
          <w:sz w:val="16"/>
          <w:szCs w:val="16"/>
          <w:lang w:val="es-CR"/>
        </w:rPr>
        <w:t xml:space="preserve"> </w:t>
      </w:r>
      <w:r w:rsidRPr="00026D1B">
        <w:rPr>
          <w:rFonts w:ascii="Verdana" w:hAnsi="Verdana"/>
          <w:iCs/>
          <w:sz w:val="16"/>
          <w:szCs w:val="16"/>
          <w:lang w:val="es-CR"/>
        </w:rPr>
        <w:t xml:space="preserve">de </w:t>
      </w:r>
      <w:r w:rsidRPr="006F2A55">
        <w:rPr>
          <w:rFonts w:ascii="Verdana" w:hAnsi="Verdana"/>
          <w:iCs/>
          <w:sz w:val="16"/>
          <w:szCs w:val="16"/>
          <w:lang w:val="es-CR"/>
        </w:rPr>
        <w:t xml:space="preserve">2000, </w:t>
      </w:r>
      <w:r w:rsidRPr="006F2A55">
        <w:rPr>
          <w:rFonts w:ascii="Verdana" w:hAnsi="Verdana"/>
          <w:sz w:val="16"/>
          <w:szCs w:val="16"/>
          <w:lang w:val="es-CR"/>
        </w:rPr>
        <w:t xml:space="preserve">párr. </w:t>
      </w:r>
      <w:r w:rsidRPr="00026D1B">
        <w:rPr>
          <w:rFonts w:ascii="Verdana" w:hAnsi="Verdana"/>
          <w:sz w:val="16"/>
          <w:szCs w:val="16"/>
          <w:lang w:val="es-MX"/>
        </w:rPr>
        <w:t xml:space="preserve">53. </w:t>
      </w:r>
    </w:p>
  </w:footnote>
  <w:footnote w:id="125">
    <w:p w14:paraId="4A64E42E"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94.</w:t>
      </w:r>
    </w:p>
  </w:footnote>
  <w:footnote w:id="126">
    <w:p w14:paraId="1B9295A0"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 xml:space="preserve">95. </w:t>
      </w:r>
    </w:p>
  </w:footnote>
  <w:footnote w:id="127">
    <w:p w14:paraId="6182D797"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 xml:space="preserve">99. </w:t>
      </w:r>
    </w:p>
  </w:footnote>
  <w:footnote w:id="128">
    <w:p w14:paraId="7395AC18"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lang w:val="es-ES_tradnl"/>
        </w:rPr>
        <w:t>112.</w:t>
      </w:r>
    </w:p>
  </w:footnote>
  <w:footnote w:id="129">
    <w:p w14:paraId="4FF818AB"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 xml:space="preserve">párr. </w:t>
      </w:r>
      <w:r w:rsidRPr="00026D1B">
        <w:rPr>
          <w:rFonts w:ascii="Verdana" w:hAnsi="Verdana"/>
          <w:sz w:val="16"/>
          <w:szCs w:val="16"/>
          <w:lang w:val="es-ES_tradnl"/>
        </w:rPr>
        <w:t>97.</w:t>
      </w:r>
    </w:p>
  </w:footnote>
  <w:footnote w:id="130">
    <w:p w14:paraId="7BD72D03"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CR"/>
        </w:rPr>
        <w:t>párr.</w:t>
      </w:r>
      <w:r w:rsidRPr="00026D1B">
        <w:rPr>
          <w:rFonts w:ascii="Verdana" w:hAnsi="Verdana"/>
          <w:sz w:val="16"/>
          <w:szCs w:val="16"/>
          <w:lang w:val="es-ES_tradnl"/>
        </w:rPr>
        <w:t xml:space="preserve"> 112.</w:t>
      </w:r>
    </w:p>
  </w:footnote>
  <w:footnote w:id="131">
    <w:p w14:paraId="08E6C494"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 xml:space="preserve">196. </w:t>
      </w:r>
    </w:p>
  </w:footnote>
  <w:footnote w:id="132">
    <w:p w14:paraId="1810183E"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t xml:space="preserve">Diario el Tiempo, </w:t>
      </w:r>
      <w:r w:rsidRPr="00026D1B">
        <w:rPr>
          <w:rFonts w:ascii="Verdana" w:hAnsi="Verdana"/>
          <w:i/>
          <w:sz w:val="16"/>
          <w:szCs w:val="16"/>
          <w:lang w:val="es-ES_tradnl"/>
        </w:rPr>
        <w:t>“</w:t>
      </w:r>
      <w:proofErr w:type="spellStart"/>
      <w:r w:rsidRPr="00026D1B">
        <w:rPr>
          <w:rFonts w:ascii="Verdana" w:hAnsi="Verdana"/>
          <w:i/>
          <w:sz w:val="16"/>
          <w:szCs w:val="16"/>
          <w:lang w:val="es-ES_tradnl"/>
        </w:rPr>
        <w:t>Jesse</w:t>
      </w:r>
      <w:proofErr w:type="spellEnd"/>
      <w:r w:rsidRPr="00026D1B">
        <w:rPr>
          <w:rFonts w:ascii="Verdana" w:hAnsi="Verdana"/>
          <w:i/>
          <w:sz w:val="16"/>
          <w:szCs w:val="16"/>
          <w:lang w:val="es-ES_tradnl"/>
        </w:rPr>
        <w:t xml:space="preserve"> chacón amenaza con expropiar transmisores de RCTV”</w:t>
      </w:r>
      <w:r w:rsidRPr="00026D1B">
        <w:rPr>
          <w:rFonts w:ascii="Verdana" w:hAnsi="Verdana"/>
          <w:sz w:val="16"/>
          <w:szCs w:val="16"/>
          <w:lang w:val="es-ES_tradnl"/>
        </w:rPr>
        <w:t>, 27 de febrero de 2007 (e</w:t>
      </w:r>
      <w:r w:rsidRPr="00026D1B">
        <w:rPr>
          <w:rFonts w:ascii="Verdana" w:hAnsi="Verdana"/>
          <w:sz w:val="16"/>
          <w:szCs w:val="16"/>
        </w:rPr>
        <w:t>xpediente de prueba, folio 466).</w:t>
      </w:r>
    </w:p>
  </w:footnote>
  <w:footnote w:id="133">
    <w:p w14:paraId="3C7EB806"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t>E</w:t>
      </w:r>
      <w:r w:rsidRPr="00026D1B">
        <w:rPr>
          <w:rFonts w:ascii="Verdana" w:hAnsi="Verdana"/>
          <w:sz w:val="16"/>
          <w:szCs w:val="16"/>
        </w:rPr>
        <w:t>xpediente de fondo, folio 3204.</w:t>
      </w:r>
    </w:p>
  </w:footnote>
  <w:footnote w:id="134">
    <w:p w14:paraId="64668C2E"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 xml:space="preserve">345. </w:t>
      </w:r>
    </w:p>
  </w:footnote>
  <w:footnote w:id="135">
    <w:p w14:paraId="4D1C9DEC" w14:textId="77777777" w:rsidR="008D3C6E" w:rsidRPr="00026D1B" w:rsidRDefault="008D3C6E" w:rsidP="005E42B6">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t>Al analizar el contexto del caso “el Tribunal considera que fueron probados en el presente caso ‘</w:t>
      </w:r>
      <w:r w:rsidRPr="00026D1B">
        <w:rPr>
          <w:rFonts w:ascii="Verdana" w:hAnsi="Verdana" w:cs="Arial"/>
          <w:sz w:val="16"/>
          <w:szCs w:val="16"/>
          <w:lang w:val="es-PE"/>
        </w:rPr>
        <w:t>el ‘ambiente de intimidación’ generado por las declaraciones de altas autoridades estatales en contra de medios de comunicación independientes’ y‘</w:t>
      </w:r>
      <w:r w:rsidRPr="00026D1B">
        <w:rPr>
          <w:rFonts w:ascii="Verdana" w:hAnsi="Verdana" w:cs="Arial"/>
          <w:sz w:val="16"/>
          <w:szCs w:val="16"/>
          <w:lang w:val="es-ES"/>
        </w:rPr>
        <w:t>un discurso proveniente de sectores oficialistas de descrédito profesional contra los periodistas’</w:t>
      </w:r>
      <w:r w:rsidRPr="00026D1B">
        <w:rPr>
          <w:rFonts w:ascii="Verdana" w:hAnsi="Verdana" w:cs="Arial"/>
          <w:sz w:val="16"/>
          <w:szCs w:val="16"/>
          <w:lang w:val="es-PE"/>
        </w:rPr>
        <w:t xml:space="preserve">”; véase </w:t>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cs="Arial"/>
          <w:sz w:val="16"/>
          <w:szCs w:val="16"/>
          <w:lang w:val="es-PE"/>
        </w:rPr>
        <w:t>párr. 61.</w:t>
      </w:r>
    </w:p>
  </w:footnote>
  <w:footnote w:id="136">
    <w:p w14:paraId="5DE33F13" w14:textId="77777777" w:rsidR="008D3C6E" w:rsidRPr="00026D1B" w:rsidRDefault="008D3C6E" w:rsidP="0075289B">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ab/>
      </w:r>
      <w:r w:rsidRPr="00026D1B">
        <w:rPr>
          <w:rFonts w:ascii="Verdana" w:hAnsi="Verdana"/>
          <w:i/>
          <w:iCs/>
          <w:sz w:val="16"/>
          <w:szCs w:val="16"/>
        </w:rPr>
        <w:t>Caso Ivcher Bronstein Vs. Perú́</w:t>
      </w:r>
      <w:r w:rsidRPr="00026D1B">
        <w:rPr>
          <w:rFonts w:ascii="Verdana" w:hAnsi="Verdana"/>
          <w:sz w:val="16"/>
          <w:szCs w:val="16"/>
        </w:rPr>
        <w:t>, párrs. 128 y 129.</w:t>
      </w:r>
    </w:p>
  </w:footnote>
  <w:footnote w:id="137">
    <w:p w14:paraId="71F79BA8" w14:textId="77777777" w:rsidR="008D3C6E" w:rsidRPr="00026D1B" w:rsidRDefault="008D3C6E" w:rsidP="0075289B">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t xml:space="preserve">Resolución del Presidente de la Corte IDH de 14 de abril de 2014. Véase </w:t>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rPr>
        <w:t>37.</w:t>
      </w:r>
    </w:p>
  </w:footnote>
  <w:footnote w:id="138">
    <w:p w14:paraId="431B817B" w14:textId="77777777" w:rsidR="008D3C6E" w:rsidRPr="00026D1B" w:rsidRDefault="008D3C6E" w:rsidP="0075289B">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i/>
          <w:sz w:val="16"/>
          <w:szCs w:val="16"/>
        </w:rPr>
        <w:t>Cfr.</w:t>
      </w:r>
      <w:r w:rsidRPr="00026D1B">
        <w:rPr>
          <w:rFonts w:ascii="Verdana" w:hAnsi="Verdana"/>
          <w:i/>
          <w:sz w:val="16"/>
          <w:szCs w:val="16"/>
          <w:lang w:val="es-CR"/>
        </w:rPr>
        <w:t xml:space="preserve"> </w:t>
      </w:r>
      <w:r w:rsidRPr="00026D1B">
        <w:rPr>
          <w:rStyle w:val="Strong"/>
          <w:rFonts w:ascii="Verdana" w:hAnsi="Verdana"/>
          <w:b w:val="0"/>
          <w:i/>
          <w:sz w:val="16"/>
          <w:szCs w:val="16"/>
          <w:lang w:val="es-CR"/>
        </w:rPr>
        <w:t>Caso Ríos y otros Vs. Venezuela</w:t>
      </w:r>
      <w:r w:rsidRPr="00026D1B">
        <w:rPr>
          <w:rFonts w:ascii="Verdana" w:hAnsi="Verdana"/>
          <w:sz w:val="16"/>
          <w:szCs w:val="16"/>
          <w:lang w:val="es-CR"/>
        </w:rPr>
        <w:t>, párr. 122;</w:t>
      </w:r>
      <w:r w:rsidRPr="00026D1B">
        <w:rPr>
          <w:rFonts w:ascii="Verdana" w:hAnsi="Verdana"/>
          <w:i/>
          <w:sz w:val="16"/>
          <w:szCs w:val="16"/>
        </w:rPr>
        <w:t xml:space="preserve"> </w:t>
      </w:r>
      <w:r w:rsidRPr="00026D1B">
        <w:rPr>
          <w:rFonts w:ascii="Verdana" w:hAnsi="Verdana"/>
          <w:sz w:val="16"/>
          <w:szCs w:val="16"/>
        </w:rPr>
        <w:t>CIDH. Informe sobre la Situación de los Derechos Humanos en Venezuela, OEA/Ser.L/V/II.118doc. 4 rev. 2, 29 de diciembre de 2003, párr. 367; Informe Anual de la Comisión Interamericana de Derechos Humanos 2005, Capítulo IV, “Desarrollo de los Derechos Humanos en la Región”, OEA/Ser.L/V/II.124, Doc. 7, 27 febrero 2006, e Informe Anual de la Comisión Interamericana de Derechos Humanos 2006, Capítulo IV, “Desarrollo de los Derechos Humanos en la Región” OEA/Ser.L/V/II.127, Doc. 4 rev. 1, 3 marzo 2007</w:t>
      </w:r>
      <w:r w:rsidRPr="00026D1B">
        <w:rPr>
          <w:rFonts w:ascii="Verdana" w:hAnsi="Verdana"/>
          <w:sz w:val="16"/>
          <w:szCs w:val="16"/>
          <w:lang w:val="es-SV"/>
        </w:rPr>
        <w:t>.</w:t>
      </w:r>
    </w:p>
  </w:footnote>
  <w:footnote w:id="139">
    <w:p w14:paraId="1143127E" w14:textId="77777777" w:rsidR="008D3C6E" w:rsidRPr="00026D1B" w:rsidRDefault="008D3C6E" w:rsidP="0075289B">
      <w:pPr>
        <w:pStyle w:val="FootnoteText"/>
        <w:spacing w:after="120"/>
        <w:jc w:val="both"/>
        <w:rPr>
          <w:rFonts w:ascii="Verdana" w:hAnsi="Verdana"/>
          <w:sz w:val="16"/>
          <w:szCs w:val="16"/>
          <w:lang w:val="es-CR"/>
        </w:rPr>
      </w:pPr>
      <w:r w:rsidRPr="00026D1B">
        <w:rPr>
          <w:rStyle w:val="FootnoteReference"/>
          <w:rFonts w:ascii="Verdana" w:hAnsi="Verdana"/>
          <w:sz w:val="16"/>
          <w:szCs w:val="16"/>
        </w:rPr>
        <w:footnoteRef/>
      </w:r>
      <w:r w:rsidRPr="00026D1B">
        <w:rPr>
          <w:rFonts w:ascii="Verdana" w:hAnsi="Verdana"/>
          <w:sz w:val="16"/>
          <w:szCs w:val="16"/>
          <w:lang w:val="es-CR"/>
        </w:rPr>
        <w:t xml:space="preserve">        </w:t>
      </w:r>
      <w:r w:rsidRPr="00026D1B">
        <w:rPr>
          <w:rFonts w:ascii="Verdana" w:hAnsi="Verdana"/>
          <w:i/>
          <w:sz w:val="16"/>
          <w:szCs w:val="16"/>
          <w:lang w:val="es-CR"/>
        </w:rPr>
        <w:t>Cfr.</w:t>
      </w:r>
      <w:r w:rsidRPr="00026D1B">
        <w:rPr>
          <w:rFonts w:ascii="Verdana" w:hAnsi="Verdana"/>
          <w:sz w:val="16"/>
          <w:szCs w:val="16"/>
          <w:lang w:val="es-CR"/>
        </w:rPr>
        <w:t xml:space="preserve"> </w:t>
      </w:r>
      <w:r w:rsidRPr="00026D1B">
        <w:rPr>
          <w:rStyle w:val="Strong"/>
          <w:rFonts w:ascii="Verdana" w:hAnsi="Verdana"/>
          <w:b w:val="0"/>
          <w:i/>
          <w:sz w:val="16"/>
          <w:szCs w:val="16"/>
          <w:lang w:val="es-CR"/>
        </w:rPr>
        <w:t>Caso Ríos y otros Vs. Venezuela</w:t>
      </w:r>
      <w:r w:rsidRPr="00026D1B">
        <w:rPr>
          <w:rFonts w:ascii="Verdana" w:hAnsi="Verdana"/>
          <w:sz w:val="16"/>
          <w:szCs w:val="16"/>
          <w:lang w:val="es-CR"/>
        </w:rPr>
        <w:t>, párr. 123</w:t>
      </w:r>
    </w:p>
  </w:footnote>
  <w:footnote w:id="140">
    <w:p w14:paraId="55293833" w14:textId="77777777" w:rsidR="008D3C6E" w:rsidRPr="00026D1B" w:rsidRDefault="008D3C6E" w:rsidP="0075289B">
      <w:pPr>
        <w:tabs>
          <w:tab w:val="left" w:pos="720"/>
          <w:tab w:val="left" w:pos="1440"/>
          <w:tab w:val="left" w:pos="2160"/>
          <w:tab w:val="left" w:pos="2880"/>
          <w:tab w:val="left" w:pos="7200"/>
          <w:tab w:val="left" w:pos="7920"/>
          <w:tab w:val="left" w:pos="8640"/>
        </w:tabs>
        <w:spacing w:after="120" w:line="240" w:lineRule="auto"/>
        <w:jc w:val="both"/>
        <w:rPr>
          <w:rFonts w:ascii="Verdana" w:hAnsi="Verdana"/>
          <w:sz w:val="16"/>
          <w:szCs w:val="16"/>
          <w:lang w:val="es-ES_tradnl"/>
        </w:rPr>
      </w:pPr>
      <w:r w:rsidRPr="00026D1B">
        <w:rPr>
          <w:rStyle w:val="FootnoteReference"/>
          <w:rFonts w:ascii="Verdana" w:hAnsi="Verdana"/>
          <w:sz w:val="16"/>
          <w:szCs w:val="16"/>
          <w:lang w:val="es-ES_tradnl"/>
        </w:rPr>
        <w:footnoteRef/>
      </w:r>
      <w:r w:rsidRPr="00026D1B">
        <w:rPr>
          <w:rFonts w:ascii="Verdana" w:hAnsi="Verdana"/>
          <w:sz w:val="16"/>
          <w:szCs w:val="16"/>
          <w:lang w:val="es-ES_tradnl"/>
        </w:rPr>
        <w:t xml:space="preserve"> </w:t>
      </w:r>
      <w:r w:rsidRPr="00026D1B">
        <w:rPr>
          <w:rFonts w:ascii="Verdana" w:hAnsi="Verdana"/>
          <w:sz w:val="16"/>
          <w:szCs w:val="16"/>
          <w:lang w:val="es-ES_tradnl"/>
        </w:rPr>
        <w:tab/>
      </w:r>
      <w:r w:rsidRPr="00026D1B">
        <w:rPr>
          <w:rFonts w:ascii="Verdana" w:hAnsi="Verdana"/>
          <w:i/>
          <w:sz w:val="16"/>
          <w:szCs w:val="16"/>
          <w:lang w:val="es-ES_tradnl"/>
        </w:rPr>
        <w:t xml:space="preserve">Cfr. </w:t>
      </w:r>
      <w:r w:rsidRPr="00026D1B">
        <w:rPr>
          <w:rFonts w:ascii="Verdana" w:hAnsi="Verdana"/>
          <w:sz w:val="16"/>
          <w:szCs w:val="16"/>
          <w:lang w:val="es-ES_tradnl"/>
        </w:rPr>
        <w:t>Organización de Estados Americanos, “Respaldo a la Institucionalidad Democrática en Venezuela y a la Gestión de Facilitación del Secretario General de la OEA”, OEA/</w:t>
      </w:r>
      <w:proofErr w:type="spellStart"/>
      <w:r w:rsidRPr="00026D1B">
        <w:rPr>
          <w:rFonts w:ascii="Verdana" w:hAnsi="Verdana"/>
          <w:sz w:val="16"/>
          <w:szCs w:val="16"/>
          <w:lang w:val="es-ES_tradnl"/>
        </w:rPr>
        <w:t>Ser.G</w:t>
      </w:r>
      <w:proofErr w:type="spellEnd"/>
      <w:r w:rsidRPr="00026D1B">
        <w:rPr>
          <w:rFonts w:ascii="Verdana" w:hAnsi="Verdana"/>
          <w:sz w:val="16"/>
          <w:szCs w:val="16"/>
          <w:lang w:val="es-ES_tradnl"/>
        </w:rPr>
        <w:t>. CP/RES. 833 (1348/02), 16 diciembre 2002.</w:t>
      </w:r>
    </w:p>
  </w:footnote>
  <w:footnote w:id="141">
    <w:p w14:paraId="295DE0DC" w14:textId="77777777" w:rsidR="008D3C6E" w:rsidRPr="00026D1B" w:rsidRDefault="008D3C6E" w:rsidP="0075289B">
      <w:pPr>
        <w:pStyle w:val="FootnoteText"/>
        <w:spacing w:after="120"/>
        <w:jc w:val="both"/>
        <w:rPr>
          <w:rFonts w:ascii="Verdana" w:hAnsi="Verdana"/>
          <w:bCs/>
          <w:sz w:val="16"/>
          <w:szCs w:val="16"/>
          <w:lang w:val="es-CR" w:bidi="en-US"/>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bCs/>
          <w:i/>
          <w:sz w:val="16"/>
          <w:szCs w:val="16"/>
          <w:lang w:bidi="en-US"/>
        </w:rPr>
        <w:t>Cfr.</w:t>
      </w:r>
      <w:r w:rsidRPr="00026D1B">
        <w:rPr>
          <w:rFonts w:ascii="Verdana" w:hAnsi="Verdana"/>
          <w:bCs/>
          <w:sz w:val="16"/>
          <w:szCs w:val="16"/>
          <w:lang w:bidi="en-US"/>
        </w:rPr>
        <w:t xml:space="preserve"> </w:t>
      </w:r>
      <w:r w:rsidRPr="00026D1B">
        <w:rPr>
          <w:rFonts w:ascii="Verdana" w:hAnsi="Verdana"/>
          <w:bCs/>
          <w:i/>
          <w:sz w:val="16"/>
          <w:szCs w:val="16"/>
          <w:lang w:bidi="en-US"/>
        </w:rPr>
        <w:t>Caso Luisiana Ríos y otros resp</w:t>
      </w:r>
      <w:bookmarkStart w:id="2" w:name="OLE_LINK9"/>
      <w:bookmarkStart w:id="3" w:name="OLE_LINK10"/>
      <w:r w:rsidRPr="00026D1B">
        <w:rPr>
          <w:rFonts w:ascii="Verdana" w:hAnsi="Verdana"/>
          <w:bCs/>
          <w:i/>
          <w:sz w:val="16"/>
          <w:szCs w:val="16"/>
          <w:lang w:bidi="en-US"/>
        </w:rPr>
        <w:t>ecto de Venezuela. Medidas Provisionales.</w:t>
      </w:r>
      <w:r w:rsidRPr="00026D1B">
        <w:rPr>
          <w:rFonts w:ascii="Verdana" w:hAnsi="Verdana"/>
          <w:bCs/>
          <w:sz w:val="16"/>
          <w:szCs w:val="16"/>
          <w:lang w:bidi="en-US"/>
        </w:rPr>
        <w:t xml:space="preserve"> Resolución de la C</w:t>
      </w:r>
      <w:bookmarkEnd w:id="2"/>
      <w:bookmarkEnd w:id="3"/>
      <w:r w:rsidRPr="00026D1B">
        <w:rPr>
          <w:rFonts w:ascii="Verdana" w:hAnsi="Verdana"/>
          <w:bCs/>
          <w:sz w:val="16"/>
          <w:szCs w:val="16"/>
          <w:lang w:bidi="en-US"/>
        </w:rPr>
        <w:t xml:space="preserve">orte Interamericana de Derechos Humanos de 27 de noviembre de 2002; </w:t>
      </w:r>
      <w:r w:rsidRPr="00026D1B">
        <w:rPr>
          <w:rFonts w:ascii="Verdana" w:hAnsi="Verdana"/>
          <w:bCs/>
          <w:i/>
          <w:sz w:val="16"/>
          <w:szCs w:val="16"/>
          <w:lang w:val="es-CR" w:bidi="en-US"/>
        </w:rPr>
        <w:t xml:space="preserve">Asunto Marta Colomina y Liliana Velásquez respecto de Venezuela. </w:t>
      </w:r>
      <w:r w:rsidRPr="00026D1B">
        <w:rPr>
          <w:rFonts w:ascii="Verdana" w:hAnsi="Verdana"/>
          <w:bCs/>
          <w:i/>
          <w:sz w:val="16"/>
          <w:szCs w:val="16"/>
          <w:lang w:bidi="en-US"/>
        </w:rPr>
        <w:t>Medidas Provisionales.</w:t>
      </w:r>
      <w:r w:rsidRPr="00026D1B">
        <w:rPr>
          <w:rFonts w:ascii="Verdana" w:hAnsi="Verdana"/>
          <w:bCs/>
          <w:sz w:val="16"/>
          <w:szCs w:val="16"/>
          <w:lang w:bidi="en-US"/>
        </w:rPr>
        <w:t xml:space="preserve"> Resolución de la Corte Interamericana de Derechos Humanos de 8 de septiembre de 2003; </w:t>
      </w:r>
      <w:r w:rsidRPr="00026D1B">
        <w:rPr>
          <w:rFonts w:ascii="Verdana" w:hAnsi="Verdana"/>
          <w:bCs/>
          <w:i/>
          <w:sz w:val="16"/>
          <w:szCs w:val="16"/>
          <w:lang w:val="es-CR" w:bidi="en-US"/>
        </w:rPr>
        <w:t>Asunto Diarios "El Nacional" y "Así es la Noticia" respecto de Venezuela.</w:t>
      </w:r>
      <w:r w:rsidRPr="00026D1B">
        <w:rPr>
          <w:rFonts w:ascii="Verdana" w:hAnsi="Verdana"/>
          <w:bCs/>
          <w:i/>
          <w:sz w:val="16"/>
          <w:szCs w:val="16"/>
          <w:lang w:bidi="en-US"/>
        </w:rPr>
        <w:t xml:space="preserve"> Medidas Provisionales.</w:t>
      </w:r>
      <w:r w:rsidRPr="00026D1B">
        <w:rPr>
          <w:rFonts w:ascii="Verdana" w:hAnsi="Verdana"/>
          <w:bCs/>
          <w:sz w:val="16"/>
          <w:szCs w:val="16"/>
          <w:lang w:bidi="en-US"/>
        </w:rPr>
        <w:t xml:space="preserve"> Resolución de la Corte Interamericana de Derechos Humanos de 6 de julio de 2004</w:t>
      </w:r>
      <w:r w:rsidRPr="00026D1B">
        <w:rPr>
          <w:rFonts w:ascii="Verdana" w:hAnsi="Verdana"/>
          <w:bCs/>
          <w:sz w:val="16"/>
          <w:szCs w:val="16"/>
          <w:lang w:val="es-CR" w:bidi="en-US"/>
        </w:rPr>
        <w:t>; y</w:t>
      </w:r>
      <w:r w:rsidRPr="00026D1B">
        <w:rPr>
          <w:rFonts w:ascii="Verdana" w:hAnsi="Verdana"/>
          <w:bCs/>
          <w:i/>
          <w:sz w:val="16"/>
          <w:szCs w:val="16"/>
          <w:lang w:bidi="en-US"/>
        </w:rPr>
        <w:t xml:space="preserve"> Caso de la Emisora de Televisión "Globovisión" respecto </w:t>
      </w:r>
      <w:r w:rsidRPr="00026D1B">
        <w:rPr>
          <w:rFonts w:ascii="Verdana" w:hAnsi="Verdana"/>
          <w:bCs/>
          <w:i/>
          <w:sz w:val="16"/>
          <w:szCs w:val="16"/>
          <w:lang w:val="es-CR" w:bidi="en-US"/>
        </w:rPr>
        <w:t xml:space="preserve">de </w:t>
      </w:r>
      <w:r w:rsidRPr="00026D1B">
        <w:rPr>
          <w:rFonts w:ascii="Verdana" w:hAnsi="Verdana"/>
          <w:bCs/>
          <w:i/>
          <w:sz w:val="16"/>
          <w:szCs w:val="16"/>
          <w:lang w:bidi="en-US"/>
        </w:rPr>
        <w:t>Venezuela. Medidas Provisionales.</w:t>
      </w:r>
      <w:r w:rsidRPr="00026D1B">
        <w:rPr>
          <w:rFonts w:ascii="Verdana" w:hAnsi="Verdana"/>
          <w:bCs/>
          <w:sz w:val="16"/>
          <w:szCs w:val="16"/>
          <w:lang w:bidi="en-US"/>
        </w:rPr>
        <w:t xml:space="preserve"> Resolución de la Corte Interamericana de Derechos Humanos de 4 de septiembre de 2004</w:t>
      </w:r>
      <w:r w:rsidRPr="00026D1B">
        <w:rPr>
          <w:rFonts w:ascii="Verdana" w:hAnsi="Verdana"/>
          <w:bCs/>
          <w:sz w:val="16"/>
          <w:szCs w:val="16"/>
          <w:lang w:val="es-CR" w:bidi="en-US"/>
        </w:rPr>
        <w:t>.</w:t>
      </w:r>
    </w:p>
  </w:footnote>
  <w:footnote w:id="142">
    <w:p w14:paraId="118813B8" w14:textId="77777777" w:rsidR="008D3C6E" w:rsidRPr="00026D1B" w:rsidRDefault="008D3C6E" w:rsidP="0075289B">
      <w:pPr>
        <w:pStyle w:val="FootnoteText"/>
        <w:spacing w:after="120"/>
        <w:jc w:val="both"/>
        <w:rPr>
          <w:rFonts w:ascii="Verdana" w:hAnsi="Verdana"/>
          <w:sz w:val="16"/>
          <w:szCs w:val="16"/>
          <w:lang w:val="es-CR"/>
        </w:rPr>
      </w:pPr>
      <w:r w:rsidRPr="00026D1B">
        <w:rPr>
          <w:rStyle w:val="FootnoteReference"/>
          <w:rFonts w:ascii="Verdana" w:hAnsi="Verdana"/>
          <w:sz w:val="16"/>
          <w:szCs w:val="16"/>
        </w:rPr>
        <w:footnoteRef/>
      </w:r>
      <w:r w:rsidRPr="00026D1B">
        <w:rPr>
          <w:rFonts w:ascii="Verdana" w:hAnsi="Verdana"/>
          <w:sz w:val="16"/>
          <w:szCs w:val="16"/>
          <w:lang w:val="es-CR"/>
        </w:rPr>
        <w:t xml:space="preserve"> </w:t>
      </w:r>
      <w:r w:rsidRPr="00026D1B">
        <w:rPr>
          <w:rFonts w:ascii="Verdana" w:hAnsi="Verdana"/>
          <w:sz w:val="16"/>
          <w:szCs w:val="16"/>
          <w:lang w:val="es-CR"/>
        </w:rPr>
        <w:tab/>
      </w:r>
      <w:r w:rsidRPr="00026D1B">
        <w:rPr>
          <w:rFonts w:ascii="Verdana" w:hAnsi="Verdana"/>
          <w:bCs/>
          <w:i/>
          <w:sz w:val="16"/>
          <w:szCs w:val="16"/>
          <w:lang w:bidi="en-US"/>
        </w:rPr>
        <w:t>Cfr.</w:t>
      </w:r>
      <w:r w:rsidRPr="00026D1B">
        <w:rPr>
          <w:rFonts w:ascii="Verdana" w:hAnsi="Verdana"/>
          <w:bCs/>
          <w:sz w:val="16"/>
          <w:szCs w:val="16"/>
          <w:lang w:bidi="en-US"/>
        </w:rPr>
        <w:t xml:space="preserve"> </w:t>
      </w:r>
      <w:r w:rsidRPr="00026D1B">
        <w:rPr>
          <w:rFonts w:ascii="Verdana" w:hAnsi="Verdana"/>
          <w:bCs/>
          <w:i/>
          <w:sz w:val="16"/>
          <w:szCs w:val="16"/>
          <w:lang w:bidi="en-US"/>
        </w:rPr>
        <w:t>Caso Luisiana Ríos y otros respecto de Venezuela. Medidas Provisionales.</w:t>
      </w:r>
      <w:r w:rsidRPr="00026D1B">
        <w:rPr>
          <w:rFonts w:ascii="Verdana" w:hAnsi="Verdana"/>
          <w:bCs/>
          <w:sz w:val="16"/>
          <w:szCs w:val="16"/>
          <w:lang w:bidi="en-US"/>
        </w:rPr>
        <w:t xml:space="preserve"> Resoluciones de la Corte Interamericana de Derechos Humanos de 20 de febrero de 2003, 21 de noviembre de 2003, 2 de diciembre de 2003, 8 de septiembre de 2004 y 12 de septiembre de 2005; </w:t>
      </w:r>
      <w:r w:rsidRPr="00026D1B">
        <w:rPr>
          <w:rFonts w:ascii="Verdana" w:hAnsi="Verdana"/>
          <w:bCs/>
          <w:i/>
          <w:sz w:val="16"/>
          <w:szCs w:val="16"/>
          <w:lang w:val="es-CR" w:bidi="en-US"/>
        </w:rPr>
        <w:t xml:space="preserve">Asunto Marta Colomina y Liliana Velásquez respecto de Venezuela. </w:t>
      </w:r>
      <w:r w:rsidRPr="00026D1B">
        <w:rPr>
          <w:rFonts w:ascii="Verdana" w:hAnsi="Verdana"/>
          <w:bCs/>
          <w:i/>
          <w:sz w:val="16"/>
          <w:szCs w:val="16"/>
          <w:lang w:bidi="en-US"/>
        </w:rPr>
        <w:t>Medidas Provisionales.</w:t>
      </w:r>
      <w:r w:rsidRPr="00026D1B">
        <w:rPr>
          <w:rFonts w:ascii="Verdana" w:hAnsi="Verdana"/>
          <w:bCs/>
          <w:sz w:val="16"/>
          <w:szCs w:val="16"/>
          <w:lang w:bidi="en-US"/>
        </w:rPr>
        <w:t xml:space="preserve"> Resoluciones de la Corte Interamericana de Derechos Humanos de 8 de septiembre de 2003, 2 de diciembre de 2003, y 4 de julio de 2006; y </w:t>
      </w:r>
      <w:r w:rsidRPr="00026D1B">
        <w:rPr>
          <w:rFonts w:ascii="Verdana" w:hAnsi="Verdana"/>
          <w:sz w:val="16"/>
          <w:szCs w:val="16"/>
          <w:lang w:val="es-CR"/>
        </w:rPr>
        <w:t>Resolución Conjunta de la Corte Interamericana de Derechos Humanos sobre varios asuntos (</w:t>
      </w:r>
      <w:r w:rsidRPr="00026D1B">
        <w:rPr>
          <w:rFonts w:ascii="Verdana" w:hAnsi="Verdana"/>
          <w:sz w:val="16"/>
          <w:szCs w:val="16"/>
        </w:rPr>
        <w:t>Liliana Ortega y otras; Luisiana Ríos y otros; Luis Uzcátegui; Marta Colomina y Liliana Velásquez)</w:t>
      </w:r>
      <w:r w:rsidRPr="00026D1B">
        <w:rPr>
          <w:rFonts w:ascii="Verdana" w:hAnsi="Verdana"/>
          <w:sz w:val="16"/>
          <w:szCs w:val="16"/>
          <w:lang w:val="es-CR"/>
        </w:rPr>
        <w:t xml:space="preserve"> respecto de Venezuela de 4 de mayo de 2004.</w:t>
      </w:r>
    </w:p>
  </w:footnote>
  <w:footnote w:id="143">
    <w:p w14:paraId="2C692B5F"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352.</w:t>
      </w:r>
    </w:p>
  </w:footnote>
  <w:footnote w:id="144">
    <w:p w14:paraId="59B1B7D2" w14:textId="77777777" w:rsidR="008D3C6E" w:rsidRPr="00026D1B" w:rsidRDefault="008D3C6E" w:rsidP="004112A4">
      <w:pPr>
        <w:tabs>
          <w:tab w:val="left" w:pos="709"/>
          <w:tab w:val="num" w:pos="12305"/>
        </w:tabs>
        <w:spacing w:after="120" w:line="240" w:lineRule="auto"/>
        <w:jc w:val="both"/>
        <w:rPr>
          <w:rFonts w:ascii="Verdana" w:hAnsi="Verdana" w:cs="Arial"/>
          <w:sz w:val="16"/>
          <w:szCs w:val="16"/>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t>En relación con el proceso judicial respecto de la incautación de bienes, la Comisión Interamericana alegó, sobre la falta de imparcialidad del Tribunal Supremo de Justicia, “</w:t>
      </w:r>
      <w:r w:rsidRPr="00026D1B">
        <w:rPr>
          <w:rFonts w:ascii="Verdana" w:hAnsi="Verdana"/>
          <w:sz w:val="16"/>
          <w:szCs w:val="16"/>
          <w:lang w:val="es-CL"/>
        </w:rPr>
        <w:t xml:space="preserve">algunos elementos de contexto [presentados en] su informe especial </w:t>
      </w:r>
      <w:r w:rsidRPr="00026D1B">
        <w:rPr>
          <w:rFonts w:ascii="Verdana" w:hAnsi="Verdana"/>
          <w:i/>
          <w:sz w:val="16"/>
          <w:szCs w:val="16"/>
          <w:lang w:val="es-CL"/>
        </w:rPr>
        <w:t>Democracia y Derechos Humanos en Venezuela</w:t>
      </w:r>
      <w:r w:rsidRPr="00026D1B">
        <w:rPr>
          <w:rFonts w:ascii="Verdana" w:hAnsi="Verdana"/>
          <w:sz w:val="16"/>
          <w:szCs w:val="16"/>
          <w:lang w:val="es-CL"/>
        </w:rPr>
        <w:t>, publicado en 2009, [en el cual] la CIDH caracterizó la ‘falta de independencia y autonomía del poder judicial frente al poder político’ como ‘uno de los puntos más débiles de la democracia venezolana’”. Además, la Comisión alegó que “</w:t>
      </w:r>
      <w:r w:rsidRPr="00026D1B">
        <w:rPr>
          <w:rFonts w:ascii="Verdana" w:hAnsi="Verdana"/>
          <w:sz w:val="16"/>
          <w:szCs w:val="16"/>
          <w:lang w:val="es-AR"/>
        </w:rPr>
        <w:t>en el presente caso los más altos funcionarios del poder ejecutivo venezolano manifestaron clara y reiteradamente sus opiniones sobre RCTV y su posición contraria a la renovación de la licencia de dicho canal”</w:t>
      </w:r>
      <w:r w:rsidRPr="00026D1B">
        <w:rPr>
          <w:rFonts w:ascii="Verdana" w:hAnsi="Verdana"/>
          <w:sz w:val="16"/>
          <w:szCs w:val="16"/>
        </w:rPr>
        <w:t>.</w:t>
      </w:r>
      <w:r w:rsidRPr="00026D1B">
        <w:rPr>
          <w:rFonts w:ascii="Verdana" w:hAnsi="Verdana"/>
          <w:sz w:val="16"/>
          <w:szCs w:val="16"/>
          <w:lang w:val="es-CL"/>
        </w:rPr>
        <w:t xml:space="preserve"> Finalmente, la Comisión alegó que “[las] </w:t>
      </w:r>
      <w:r w:rsidRPr="00026D1B">
        <w:rPr>
          <w:rFonts w:ascii="Verdana" w:hAnsi="Verdana"/>
          <w:sz w:val="16"/>
          <w:szCs w:val="16"/>
          <w:lang w:val="es-ES"/>
        </w:rPr>
        <w:t xml:space="preserve">actuaciones [del TSJ] analizadas en conjunto y en el contexto descrito, revelan el uso por parte del TSJ de procedimientos formalmente válidos para efectuar objetivos del poder ejecutivo”. </w:t>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szCs w:val="16"/>
          <w:lang w:val="es-ES_tradnl"/>
        </w:rPr>
        <w:t>párr. 299.</w:t>
      </w:r>
      <w:r w:rsidRPr="00026D1B">
        <w:rPr>
          <w:rFonts w:ascii="Verdana" w:hAnsi="Verdana"/>
          <w:sz w:val="16"/>
          <w:szCs w:val="16"/>
          <w:lang w:val="es-CL"/>
        </w:rPr>
        <w:t xml:space="preserve"> </w:t>
      </w:r>
    </w:p>
  </w:footnote>
  <w:footnote w:id="145">
    <w:p w14:paraId="11E5EB1A" w14:textId="77777777" w:rsidR="008D3C6E" w:rsidRPr="00026D1B" w:rsidRDefault="008D3C6E" w:rsidP="008E53D2">
      <w:pPr>
        <w:tabs>
          <w:tab w:val="left" w:pos="851"/>
          <w:tab w:val="num" w:pos="12305"/>
        </w:tabs>
        <w:spacing w:after="120" w:line="240" w:lineRule="auto"/>
        <w:jc w:val="both"/>
        <w:rPr>
          <w:rFonts w:ascii="Verdana" w:hAnsi="Verdana" w:cs="Arial"/>
          <w:sz w:val="16"/>
          <w:szCs w:val="20"/>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t>En relación con el proceso judicial respecto de la incautación de bienes, los representantes alegaron que “[e]l presente caso […] lo que revela es una verdadera instrumentalización de la justicia en beneficio de los intereses del Gobierno en el Poder Ejecutivo. Los hechos del caso representan una muestra clara de la falta de probidad procesal con la que actuaron las Salas del Tribunal Supremo de Justicia, revelando así una total falta de independencia por parte de ese máximo órgano judicial”</w:t>
      </w:r>
      <w:r w:rsidRPr="00026D1B">
        <w:rPr>
          <w:rFonts w:ascii="Verdana" w:hAnsi="Verdana" w:cs="BookAntiqua"/>
          <w:sz w:val="16"/>
          <w:szCs w:val="16"/>
        </w:rPr>
        <w:t>.</w:t>
      </w:r>
      <w:r w:rsidRPr="00026D1B">
        <w:rPr>
          <w:rFonts w:ascii="Verdana" w:hAnsi="Verdana"/>
          <w:sz w:val="16"/>
          <w:szCs w:val="16"/>
        </w:rPr>
        <w:t xml:space="preserve"> Los representantes concluyeron que “</w:t>
      </w:r>
      <w:r w:rsidRPr="00026D1B">
        <w:rPr>
          <w:rFonts w:ascii="Verdana" w:hAnsi="Verdana" w:cs="BookAntiqua"/>
          <w:sz w:val="16"/>
          <w:szCs w:val="16"/>
        </w:rPr>
        <w:t>[t]odos estos hechos procesales, irregulares y arbitrarios, que incumplieron con la legislación adjetiva, que no se corresponden con la práctica regular de un órgano imparcial de administración de justicia, han configurado y caracterizado una violación adicional de los derechos de RCTV, de sus accionistas, directivos y periodistas a acceder a una justicia efectiva, oportuna y expedita, consagrados en los artículos 8 y 25 de la Convención Americana”.</w:t>
      </w:r>
      <w:r w:rsidRPr="00026D1B">
        <w:rPr>
          <w:rFonts w:ascii="Verdana" w:hAnsi="Verdana" w:cs="BookAntiqua"/>
          <w:b/>
          <w:sz w:val="16"/>
          <w:szCs w:val="16"/>
        </w:rPr>
        <w:t xml:space="preserve"> </w:t>
      </w:r>
      <w:r w:rsidRPr="00026D1B">
        <w:rPr>
          <w:rFonts w:ascii="Verdana" w:hAnsi="Verdana"/>
          <w:i/>
          <w:sz w:val="16"/>
          <w:szCs w:val="16"/>
          <w:lang w:val="es-CR"/>
        </w:rPr>
        <w:t xml:space="preserve">Caso </w:t>
      </w:r>
      <w:r w:rsidRPr="00026D1B">
        <w:rPr>
          <w:rFonts w:ascii="Verdana" w:hAnsi="Verdana"/>
          <w:i/>
          <w:sz w:val="16"/>
          <w:szCs w:val="20"/>
          <w:lang w:val="es-CR"/>
        </w:rPr>
        <w:t>Granier y otros (Radio Caracas Televisión) Vs. Venezuela</w:t>
      </w:r>
      <w:r w:rsidRPr="00026D1B">
        <w:rPr>
          <w:rFonts w:ascii="Verdana" w:hAnsi="Verdana"/>
          <w:sz w:val="16"/>
          <w:szCs w:val="20"/>
          <w:lang w:val="es-CR"/>
        </w:rPr>
        <w:t xml:space="preserve">, </w:t>
      </w:r>
      <w:r w:rsidRPr="00026D1B">
        <w:rPr>
          <w:rFonts w:ascii="Verdana" w:hAnsi="Verdana"/>
          <w:sz w:val="16"/>
          <w:szCs w:val="20"/>
          <w:lang w:val="es-ES_tradnl"/>
        </w:rPr>
        <w:t>párr. 301.</w:t>
      </w:r>
    </w:p>
  </w:footnote>
  <w:footnote w:id="146">
    <w:p w14:paraId="3C7908EE" w14:textId="77777777" w:rsidR="008D3C6E" w:rsidRPr="00026D1B" w:rsidRDefault="008D3C6E" w:rsidP="00817CD9">
      <w:pPr>
        <w:pStyle w:val="FootnoteText"/>
        <w:spacing w:after="120"/>
        <w:jc w:val="both"/>
        <w:rPr>
          <w:rFonts w:ascii="Verdana" w:hAnsi="Verdana"/>
          <w:sz w:val="16"/>
          <w:lang w:val="es-ES_tradnl"/>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rPr>
        <w:tab/>
      </w:r>
      <w:r w:rsidRPr="00026D1B">
        <w:rPr>
          <w:rFonts w:ascii="Verdana" w:hAnsi="Verdana"/>
          <w:i/>
          <w:sz w:val="16"/>
          <w:lang w:val="es-CR"/>
        </w:rPr>
        <w:t>Caso Granier y otros (Radio Caracas Televisión) Vs. Venezuela</w:t>
      </w:r>
      <w:r w:rsidRPr="00026D1B">
        <w:rPr>
          <w:rFonts w:ascii="Verdana" w:hAnsi="Verdana"/>
          <w:sz w:val="16"/>
          <w:lang w:val="es-CR"/>
        </w:rPr>
        <w:t xml:space="preserve">, </w:t>
      </w:r>
      <w:proofErr w:type="spellStart"/>
      <w:r w:rsidRPr="00026D1B">
        <w:rPr>
          <w:rFonts w:ascii="Verdana" w:hAnsi="Verdana"/>
          <w:sz w:val="16"/>
          <w:lang w:val="es-ES_tradnl"/>
        </w:rPr>
        <w:t>párrs</w:t>
      </w:r>
      <w:proofErr w:type="spellEnd"/>
      <w:r w:rsidRPr="00026D1B">
        <w:rPr>
          <w:rFonts w:ascii="Verdana" w:hAnsi="Verdana"/>
          <w:sz w:val="16"/>
          <w:lang w:val="es-ES_tradnl"/>
        </w:rPr>
        <w:t>. 278 y 305, y</w:t>
      </w:r>
      <w:r w:rsidRPr="00026D1B">
        <w:rPr>
          <w:rFonts w:ascii="Verdana" w:hAnsi="Verdana"/>
          <w:sz w:val="16"/>
          <w:lang w:val="es-CR"/>
        </w:rPr>
        <w:t xml:space="preserve"> Puntos</w:t>
      </w:r>
      <w:r w:rsidRPr="006F2A55">
        <w:rPr>
          <w:rFonts w:ascii="Verdana" w:hAnsi="Verdana"/>
          <w:sz w:val="16"/>
          <w:lang w:val="es-CR"/>
        </w:rPr>
        <w:t xml:space="preserve"> </w:t>
      </w:r>
      <w:r w:rsidRPr="00026D1B">
        <w:rPr>
          <w:rFonts w:ascii="Verdana" w:hAnsi="Verdana"/>
          <w:sz w:val="16"/>
          <w:lang w:val="es-ES_tradnl"/>
        </w:rPr>
        <w:t>Resolutivos 11 y 12.</w:t>
      </w:r>
    </w:p>
  </w:footnote>
  <w:footnote w:id="147">
    <w:p w14:paraId="0A586D0E" w14:textId="77777777" w:rsidR="008D3C6E" w:rsidRPr="006F2A55" w:rsidRDefault="008D3C6E" w:rsidP="005A24B3">
      <w:pPr>
        <w:pStyle w:val="FootnoteText"/>
        <w:spacing w:after="120"/>
        <w:rPr>
          <w:rFonts w:ascii="Verdana" w:hAnsi="Verdana"/>
          <w:sz w:val="16"/>
        </w:rPr>
      </w:pPr>
      <w:r w:rsidRPr="006F2A55">
        <w:rPr>
          <w:rStyle w:val="FootnoteReference"/>
          <w:rFonts w:ascii="Verdana" w:hAnsi="Verdana"/>
          <w:sz w:val="16"/>
        </w:rPr>
        <w:footnoteRef/>
      </w:r>
      <w:r w:rsidRPr="006F2A55">
        <w:rPr>
          <w:rFonts w:ascii="Verdana" w:hAnsi="Verdana"/>
          <w:sz w:val="16"/>
        </w:rPr>
        <w:t xml:space="preserve"> </w:t>
      </w:r>
      <w:r w:rsidRPr="006F2A55">
        <w:rPr>
          <w:rFonts w:ascii="Verdana" w:hAnsi="Verdana"/>
          <w:sz w:val="16"/>
        </w:rPr>
        <w:tab/>
      </w:r>
      <w:r w:rsidRPr="00026D1B">
        <w:rPr>
          <w:rFonts w:ascii="Verdana" w:hAnsi="Verdana"/>
          <w:i/>
          <w:sz w:val="16"/>
          <w:lang w:val="es-CR"/>
        </w:rPr>
        <w:t>Caso Granier y otros (Radio Caracas Televisión) Vs. Venezuela</w:t>
      </w:r>
      <w:r w:rsidRPr="00026D1B">
        <w:rPr>
          <w:rFonts w:ascii="Verdana" w:hAnsi="Verdana"/>
          <w:sz w:val="16"/>
          <w:lang w:val="es-CR"/>
        </w:rPr>
        <w:t xml:space="preserve">, </w:t>
      </w:r>
      <w:r w:rsidRPr="00026D1B">
        <w:rPr>
          <w:rFonts w:ascii="Verdana" w:hAnsi="Verdana"/>
          <w:sz w:val="16"/>
          <w:lang w:val="es-ES_tradnl"/>
        </w:rPr>
        <w:t>párr. 199</w:t>
      </w:r>
    </w:p>
  </w:footnote>
  <w:footnote w:id="148">
    <w:p w14:paraId="7D5C5659" w14:textId="77777777" w:rsidR="008D3C6E" w:rsidRPr="00026D1B" w:rsidRDefault="008D3C6E" w:rsidP="004731B1">
      <w:pPr>
        <w:pStyle w:val="FootnoteText"/>
        <w:spacing w:after="120"/>
        <w:jc w:val="both"/>
        <w:rPr>
          <w:rFonts w:ascii="Verdana" w:hAnsi="Verdana"/>
          <w:sz w:val="16"/>
          <w:lang w:val="es-ES_tradnl"/>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ES_tradnl"/>
        </w:rPr>
        <w:tab/>
        <w:t xml:space="preserve">Varias de estas declaraciones quedaron transcritas en la Sentencia, véase </w:t>
      </w:r>
      <w:r w:rsidRPr="00026D1B">
        <w:rPr>
          <w:rFonts w:ascii="Verdana" w:hAnsi="Verdana"/>
          <w:i/>
          <w:sz w:val="16"/>
          <w:lang w:val="es-CR"/>
        </w:rPr>
        <w:t>Caso Granier y otros (Radio Caracas Televisión) Vs. Venezuela</w:t>
      </w:r>
      <w:r w:rsidRPr="00026D1B">
        <w:rPr>
          <w:rFonts w:ascii="Verdana" w:hAnsi="Verdana"/>
          <w:sz w:val="16"/>
          <w:lang w:val="es-CR"/>
        </w:rPr>
        <w:t xml:space="preserve">, </w:t>
      </w:r>
      <w:proofErr w:type="spellStart"/>
      <w:r w:rsidRPr="00026D1B">
        <w:rPr>
          <w:rFonts w:ascii="Verdana" w:hAnsi="Verdana"/>
          <w:sz w:val="16"/>
          <w:lang w:val="es-ES_tradnl"/>
        </w:rPr>
        <w:t>párrs</w:t>
      </w:r>
      <w:proofErr w:type="spellEnd"/>
      <w:r w:rsidRPr="00026D1B">
        <w:rPr>
          <w:rFonts w:ascii="Verdana" w:hAnsi="Verdana"/>
          <w:sz w:val="16"/>
          <w:lang w:val="es-ES_tradnl"/>
        </w:rPr>
        <w:t>. 75-86 y 190-191.</w:t>
      </w:r>
    </w:p>
  </w:footnote>
  <w:footnote w:id="149">
    <w:p w14:paraId="5A69913C" w14:textId="77777777" w:rsidR="008D3C6E" w:rsidRPr="00026D1B" w:rsidRDefault="008D3C6E" w:rsidP="00C26CAB">
      <w:pPr>
        <w:pStyle w:val="FootnoteText"/>
        <w:spacing w:after="120"/>
        <w:rPr>
          <w:rFonts w:ascii="Verdana" w:hAnsi="Verdana"/>
          <w:sz w:val="16"/>
          <w:lang w:val="es-ES_tradnl"/>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ES_tradnl"/>
        </w:rPr>
        <w:tab/>
      </w:r>
      <w:r w:rsidRPr="00026D1B">
        <w:rPr>
          <w:rFonts w:ascii="Verdana" w:hAnsi="Verdana"/>
          <w:i/>
          <w:sz w:val="16"/>
          <w:lang w:val="es-CR"/>
        </w:rPr>
        <w:t>Caso Granier y otros (Radio Caracas Televisión) Vs. Venezuela</w:t>
      </w:r>
      <w:r w:rsidRPr="00026D1B">
        <w:rPr>
          <w:rFonts w:ascii="Verdana" w:hAnsi="Verdana"/>
          <w:sz w:val="16"/>
          <w:lang w:val="es-CR"/>
        </w:rPr>
        <w:t>, párr.</w:t>
      </w:r>
      <w:r w:rsidRPr="006F2A55">
        <w:rPr>
          <w:rFonts w:ascii="Verdana" w:hAnsi="Verdana"/>
          <w:sz w:val="16"/>
          <w:lang w:val="es-CR"/>
        </w:rPr>
        <w:t xml:space="preserve"> </w:t>
      </w:r>
      <w:r w:rsidRPr="00026D1B">
        <w:rPr>
          <w:rFonts w:ascii="Verdana" w:hAnsi="Verdana"/>
          <w:sz w:val="16"/>
          <w:lang w:val="es-ES_tradnl"/>
        </w:rPr>
        <w:t>193.</w:t>
      </w:r>
    </w:p>
  </w:footnote>
  <w:footnote w:id="150">
    <w:p w14:paraId="1EF5A335" w14:textId="77777777" w:rsidR="008D3C6E" w:rsidRPr="00026D1B" w:rsidRDefault="008D3C6E" w:rsidP="004731B1">
      <w:pPr>
        <w:pStyle w:val="FootnoteText"/>
        <w:spacing w:after="120"/>
        <w:jc w:val="both"/>
        <w:rPr>
          <w:rFonts w:ascii="Verdana" w:hAnsi="Verdana"/>
          <w:sz w:val="16"/>
          <w:szCs w:val="16"/>
          <w:lang w:val="es-ES_tradnl"/>
        </w:rPr>
      </w:pPr>
      <w:r w:rsidRPr="00026D1B">
        <w:rPr>
          <w:rStyle w:val="FootnoteReference"/>
          <w:rFonts w:ascii="Verdana" w:hAnsi="Verdana"/>
          <w:sz w:val="16"/>
        </w:rPr>
        <w:footnoteRef/>
      </w:r>
      <w:r w:rsidRPr="00026D1B">
        <w:rPr>
          <w:rFonts w:ascii="Verdana" w:hAnsi="Verdana"/>
          <w:sz w:val="16"/>
        </w:rPr>
        <w:t xml:space="preserve"> </w:t>
      </w:r>
      <w:r w:rsidRPr="00026D1B">
        <w:rPr>
          <w:rFonts w:ascii="Verdana" w:hAnsi="Verdana"/>
          <w:sz w:val="16"/>
          <w:lang w:val="es-ES_tradnl"/>
        </w:rPr>
        <w:tab/>
        <w:t xml:space="preserve">Comunicación No 0424 emitida por el Ministerio del Poder Popular para la Telecomunicaciones y la Informática de 28 de marzo de 2007 (expediente de prueba, folio 3093-3105), y la Resolución No 002 </w:t>
      </w:r>
      <w:r w:rsidRPr="00026D1B">
        <w:rPr>
          <w:rFonts w:ascii="Verdana" w:hAnsi="Verdana"/>
          <w:sz w:val="16"/>
          <w:lang w:val="es-CL"/>
        </w:rPr>
        <w:t xml:space="preserve">del Ministerio del Poder Popular para las Telecomunicaciones y la Informática de 28 de marzo de 2007 </w:t>
      </w:r>
      <w:r w:rsidRPr="00026D1B">
        <w:rPr>
          <w:rFonts w:ascii="Verdana" w:hAnsi="Verdana"/>
          <w:sz w:val="16"/>
          <w:lang w:val="es-ES"/>
        </w:rPr>
        <w:t>(expediente de prueba</w:t>
      </w:r>
      <w:r w:rsidRPr="006F2A55">
        <w:rPr>
          <w:rFonts w:ascii="Verdana" w:hAnsi="Verdana"/>
          <w:sz w:val="16"/>
          <w:lang w:val="es-ES"/>
        </w:rPr>
        <w:t>, folios 3392 y 3393).</w:t>
      </w:r>
    </w:p>
  </w:footnote>
  <w:footnote w:id="151">
    <w:p w14:paraId="5082FE1F" w14:textId="77777777" w:rsidR="008D3C6E" w:rsidRPr="00026D1B" w:rsidRDefault="008D3C6E" w:rsidP="00365A7E">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lang w:val="es-ES_tradnl"/>
        </w:rPr>
        <w:t>196.</w:t>
      </w:r>
    </w:p>
  </w:footnote>
  <w:footnote w:id="152">
    <w:p w14:paraId="4C5BCB3F" w14:textId="77777777" w:rsidR="008D3C6E" w:rsidRPr="00026D1B" w:rsidRDefault="008D3C6E" w:rsidP="00FD5940">
      <w:pPr>
        <w:pStyle w:val="FootnoteText"/>
        <w:spacing w:after="120"/>
        <w:jc w:val="both"/>
        <w:rPr>
          <w:rFonts w:ascii="Verdana" w:hAnsi="Verdana" w:cs="Arial"/>
          <w:sz w:val="16"/>
          <w:szCs w:val="16"/>
          <w:lang w:val="es-ES_tradnl"/>
        </w:rPr>
      </w:pPr>
      <w:r w:rsidRPr="00026D1B">
        <w:rPr>
          <w:rStyle w:val="FootnoteReference"/>
          <w:rFonts w:ascii="Verdana" w:hAnsi="Verdana" w:cs="Arial"/>
          <w:sz w:val="16"/>
          <w:szCs w:val="16"/>
        </w:rPr>
        <w:footnoteRef/>
      </w:r>
      <w:r w:rsidRPr="00026D1B">
        <w:rPr>
          <w:rFonts w:ascii="Verdana" w:hAnsi="Verdana" w:cs="Arial"/>
          <w:sz w:val="16"/>
          <w:szCs w:val="16"/>
        </w:rPr>
        <w:t xml:space="preserve"> </w:t>
      </w:r>
      <w:r w:rsidRPr="00026D1B">
        <w:rPr>
          <w:rFonts w:ascii="Verdana" w:hAnsi="Verdana" w:cs="Arial"/>
          <w:sz w:val="16"/>
          <w:szCs w:val="16"/>
          <w:lang w:val="es-ES_tradnl"/>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xml:space="preserve">, párr. </w:t>
      </w:r>
      <w:r w:rsidRPr="00026D1B">
        <w:rPr>
          <w:rFonts w:ascii="Verdana" w:hAnsi="Verdana" w:cs="Arial"/>
          <w:sz w:val="16"/>
          <w:szCs w:val="16"/>
          <w:lang w:val="es-ES_tradnl"/>
        </w:rPr>
        <w:t>252.</w:t>
      </w:r>
    </w:p>
  </w:footnote>
  <w:footnote w:id="153">
    <w:p w14:paraId="7890FD82" w14:textId="2CE18FD8" w:rsidR="008D3C6E" w:rsidRPr="00026D1B" w:rsidRDefault="008D3C6E" w:rsidP="00817CD9">
      <w:pPr>
        <w:pStyle w:val="FootnoteText"/>
        <w:spacing w:after="120"/>
        <w:jc w:val="both"/>
        <w:rPr>
          <w:rFonts w:ascii="Verdana" w:hAnsi="Verdana"/>
          <w:sz w:val="16"/>
          <w:szCs w:val="16"/>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cs="Arial"/>
          <w:i/>
          <w:iCs/>
          <w:sz w:val="16"/>
          <w:szCs w:val="16"/>
          <w:lang w:val="es-ES"/>
        </w:rPr>
        <w:t>Cfr. Caso Herrera Ulloa</w:t>
      </w:r>
      <w:r w:rsidRPr="00026D1B">
        <w:rPr>
          <w:rFonts w:ascii="Verdana" w:hAnsi="Verdana"/>
          <w:i/>
          <w:iCs/>
          <w:sz w:val="16"/>
          <w:szCs w:val="16"/>
        </w:rPr>
        <w:t xml:space="preserve"> Vs. Costa Rica</w:t>
      </w:r>
      <w:r w:rsidRPr="00026D1B">
        <w:rPr>
          <w:rFonts w:ascii="Verdana" w:hAnsi="Verdana" w:cs="Arial"/>
          <w:sz w:val="16"/>
          <w:szCs w:val="16"/>
          <w:lang w:val="es-ES"/>
        </w:rPr>
        <w:t>, párr. 171</w:t>
      </w:r>
      <w:r>
        <w:rPr>
          <w:rFonts w:ascii="Verdana" w:hAnsi="Verdana" w:cs="Arial"/>
          <w:sz w:val="16"/>
          <w:szCs w:val="16"/>
          <w:lang w:val="es-ES"/>
        </w:rPr>
        <w:t>;</w:t>
      </w:r>
      <w:r w:rsidRPr="00026D1B">
        <w:rPr>
          <w:rFonts w:ascii="Verdana" w:hAnsi="Verdana" w:cs="Arial"/>
          <w:sz w:val="16"/>
          <w:szCs w:val="16"/>
          <w:lang w:val="es-ES"/>
        </w:rPr>
        <w:t xml:space="preserve"> y </w:t>
      </w:r>
      <w:r w:rsidRPr="00026D1B">
        <w:rPr>
          <w:rFonts w:ascii="Verdana" w:hAnsi="Verdana" w:cs="Arial"/>
          <w:i/>
          <w:iCs/>
          <w:sz w:val="16"/>
          <w:szCs w:val="16"/>
          <w:lang w:val="es-ES"/>
        </w:rPr>
        <w:t xml:space="preserve">Caso </w:t>
      </w:r>
      <w:proofErr w:type="spellStart"/>
      <w:r w:rsidRPr="00026D1B">
        <w:rPr>
          <w:rFonts w:ascii="Verdana" w:hAnsi="Verdana" w:cs="Arial"/>
          <w:i/>
          <w:iCs/>
          <w:sz w:val="16"/>
          <w:szCs w:val="16"/>
          <w:lang w:val="es-ES"/>
        </w:rPr>
        <w:t>Palamara</w:t>
      </w:r>
      <w:proofErr w:type="spellEnd"/>
      <w:r w:rsidRPr="00026D1B">
        <w:rPr>
          <w:rFonts w:ascii="Verdana" w:hAnsi="Verdana" w:cs="Arial"/>
          <w:i/>
          <w:iCs/>
          <w:sz w:val="16"/>
          <w:szCs w:val="16"/>
          <w:lang w:val="es-ES"/>
        </w:rPr>
        <w:t xml:space="preserve"> Iribarne</w:t>
      </w:r>
      <w:r w:rsidRPr="00026D1B">
        <w:rPr>
          <w:rFonts w:ascii="Verdana" w:hAnsi="Verdana"/>
          <w:i/>
          <w:iCs/>
          <w:sz w:val="16"/>
          <w:szCs w:val="16"/>
        </w:rPr>
        <w:t xml:space="preserve"> Vs. Chile</w:t>
      </w:r>
      <w:r w:rsidRPr="00026D1B">
        <w:rPr>
          <w:rFonts w:ascii="Verdana" w:hAnsi="Verdana" w:cs="Arial"/>
          <w:sz w:val="16"/>
          <w:szCs w:val="16"/>
          <w:lang w:val="es-ES"/>
        </w:rPr>
        <w:t>, párr. 145.</w:t>
      </w:r>
    </w:p>
  </w:footnote>
  <w:footnote w:id="154">
    <w:p w14:paraId="6D5A6B52" w14:textId="77777777" w:rsidR="008D3C6E" w:rsidRPr="00026D1B" w:rsidRDefault="008D3C6E" w:rsidP="00817CD9">
      <w:pPr>
        <w:pStyle w:val="FootnoteText"/>
        <w:spacing w:after="120"/>
        <w:jc w:val="both"/>
        <w:rPr>
          <w:rFonts w:ascii="Verdana" w:hAnsi="Verdana"/>
          <w:sz w:val="16"/>
          <w:szCs w:val="16"/>
          <w:lang w:val="es-AR"/>
        </w:rPr>
      </w:pPr>
      <w:r w:rsidRPr="00026D1B">
        <w:rPr>
          <w:rStyle w:val="FootnoteReference"/>
          <w:rFonts w:ascii="Verdana" w:eastAsia="Calibri" w:hAnsi="Verdana"/>
          <w:sz w:val="16"/>
          <w:szCs w:val="16"/>
        </w:rPr>
        <w:footnoteRef/>
      </w:r>
      <w:r w:rsidRPr="00026D1B">
        <w:rPr>
          <w:rFonts w:ascii="Verdana" w:hAnsi="Verdana"/>
          <w:sz w:val="16"/>
          <w:szCs w:val="16"/>
          <w:lang w:val="es-AR"/>
        </w:rPr>
        <w:t xml:space="preserve"> </w:t>
      </w:r>
      <w:r w:rsidRPr="00026D1B">
        <w:rPr>
          <w:rFonts w:ascii="Verdana" w:hAnsi="Verdana"/>
          <w:sz w:val="16"/>
          <w:szCs w:val="16"/>
          <w:lang w:val="es-AR"/>
        </w:rPr>
        <w:tab/>
      </w:r>
      <w:r w:rsidRPr="00026D1B">
        <w:rPr>
          <w:rFonts w:ascii="Verdana" w:hAnsi="Verdana"/>
          <w:i/>
          <w:sz w:val="16"/>
          <w:szCs w:val="16"/>
          <w:lang w:val="es-AR"/>
        </w:rPr>
        <w:t>Cfr. Caso Herrera Ulloa Vs. Costa Rica</w:t>
      </w:r>
      <w:r w:rsidRPr="00026D1B">
        <w:rPr>
          <w:rFonts w:ascii="Verdana" w:hAnsi="Verdana"/>
          <w:sz w:val="16"/>
          <w:szCs w:val="16"/>
          <w:lang w:val="es-AR"/>
        </w:rPr>
        <w:t>, párr. 171.</w:t>
      </w:r>
    </w:p>
  </w:footnote>
  <w:footnote w:id="155">
    <w:p w14:paraId="40D415CF" w14:textId="77777777" w:rsidR="008D3C6E" w:rsidRPr="00026D1B" w:rsidRDefault="008D3C6E" w:rsidP="00817CD9">
      <w:pPr>
        <w:spacing w:after="120" w:line="240" w:lineRule="auto"/>
        <w:jc w:val="both"/>
        <w:rPr>
          <w:rFonts w:ascii="Verdana" w:hAnsi="Verdana" w:cs="Arial"/>
          <w:sz w:val="16"/>
          <w:szCs w:val="16"/>
          <w:lang w:val="es-ES"/>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cs="Arial"/>
          <w:i/>
          <w:iCs/>
          <w:sz w:val="16"/>
          <w:szCs w:val="16"/>
          <w:lang w:val="es-ES"/>
        </w:rPr>
        <w:t xml:space="preserve">Cfr. Caso </w:t>
      </w:r>
      <w:proofErr w:type="spellStart"/>
      <w:r w:rsidRPr="00026D1B">
        <w:rPr>
          <w:rFonts w:ascii="Verdana" w:hAnsi="Verdana" w:cs="Arial"/>
          <w:i/>
          <w:iCs/>
          <w:sz w:val="16"/>
          <w:szCs w:val="16"/>
          <w:lang w:val="es-ES"/>
        </w:rPr>
        <w:t>Palamara</w:t>
      </w:r>
      <w:proofErr w:type="spellEnd"/>
      <w:r w:rsidRPr="00026D1B">
        <w:rPr>
          <w:rFonts w:ascii="Verdana" w:hAnsi="Verdana" w:cs="Arial"/>
          <w:i/>
          <w:iCs/>
          <w:sz w:val="16"/>
          <w:szCs w:val="16"/>
          <w:lang w:val="es-ES"/>
        </w:rPr>
        <w:t xml:space="preserve"> Iribarne</w:t>
      </w:r>
      <w:r w:rsidRPr="00026D1B">
        <w:t xml:space="preserve"> </w:t>
      </w:r>
      <w:r w:rsidRPr="00026D1B">
        <w:rPr>
          <w:rFonts w:ascii="Verdana" w:hAnsi="Verdana" w:cs="Arial"/>
          <w:i/>
          <w:iCs/>
          <w:sz w:val="16"/>
          <w:szCs w:val="16"/>
          <w:lang w:val="es-ES"/>
        </w:rPr>
        <w:t>Vs. Chile</w:t>
      </w:r>
      <w:r w:rsidRPr="00026D1B">
        <w:rPr>
          <w:rFonts w:ascii="Verdana" w:hAnsi="Verdana" w:cs="Arial"/>
          <w:sz w:val="16"/>
          <w:szCs w:val="16"/>
          <w:lang w:val="es-ES"/>
        </w:rPr>
        <w:t xml:space="preserve">, párr. 146; </w:t>
      </w:r>
      <w:hyperlink r:id="rId1" w:history="1">
        <w:r w:rsidRPr="00026D1B">
          <w:rPr>
            <w:rFonts w:ascii="Verdana" w:hAnsi="Verdana" w:cs="Arial"/>
            <w:i/>
            <w:sz w:val="16"/>
            <w:szCs w:val="16"/>
            <w:lang w:val="es-ES"/>
          </w:rPr>
          <w:t xml:space="preserve">Caso </w:t>
        </w:r>
        <w:proofErr w:type="spellStart"/>
        <w:r w:rsidRPr="00026D1B">
          <w:rPr>
            <w:rFonts w:ascii="Verdana" w:hAnsi="Verdana" w:cs="Arial"/>
            <w:i/>
            <w:sz w:val="16"/>
            <w:szCs w:val="16"/>
            <w:lang w:val="es-ES"/>
          </w:rPr>
          <w:t>Usón</w:t>
        </w:r>
        <w:proofErr w:type="spellEnd"/>
        <w:r w:rsidRPr="00026D1B">
          <w:rPr>
            <w:rFonts w:ascii="Verdana" w:hAnsi="Verdana" w:cs="Arial"/>
            <w:i/>
            <w:sz w:val="16"/>
            <w:szCs w:val="16"/>
            <w:lang w:val="es-ES"/>
          </w:rPr>
          <w:t xml:space="preserve"> Ramírez Vs. Venezuela. Excepción Preliminar, Fondo, Reparaciones y Costas</w:t>
        </w:r>
        <w:r w:rsidRPr="00026D1B">
          <w:rPr>
            <w:rFonts w:ascii="Verdana" w:hAnsi="Verdana" w:cs="Arial"/>
            <w:sz w:val="16"/>
            <w:szCs w:val="16"/>
            <w:lang w:val="es-ES"/>
          </w:rPr>
          <w:t>. Sentencia de 20 de noviembre de 2009. Serie C No. 207, párr. 117</w:t>
        </w:r>
      </w:hyperlink>
      <w:r w:rsidRPr="00026D1B">
        <w:rPr>
          <w:rFonts w:ascii="Verdana" w:hAnsi="Verdana" w:cs="Arial"/>
          <w:sz w:val="16"/>
          <w:szCs w:val="16"/>
          <w:lang w:val="es-ES"/>
        </w:rPr>
        <w:t>.</w:t>
      </w:r>
    </w:p>
  </w:footnote>
  <w:footnote w:id="156">
    <w:p w14:paraId="23558B21" w14:textId="77777777" w:rsidR="008D3C6E" w:rsidRPr="00026D1B" w:rsidRDefault="008D3C6E" w:rsidP="00817CD9">
      <w:pPr>
        <w:pStyle w:val="FootnoteText"/>
        <w:spacing w:after="120"/>
        <w:jc w:val="both"/>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párrs. 308 y</w:t>
      </w:r>
      <w:r w:rsidRPr="00026D1B">
        <w:rPr>
          <w:sz w:val="16"/>
          <w:lang w:val="es-CR"/>
        </w:rPr>
        <w:t xml:space="preserve"> </w:t>
      </w:r>
      <w:r w:rsidRPr="00026D1B">
        <w:rPr>
          <w:rFonts w:ascii="Verdana" w:hAnsi="Verdana"/>
          <w:sz w:val="16"/>
          <w:szCs w:val="16"/>
          <w:lang w:val="es-ES_tradnl"/>
        </w:rPr>
        <w:t>381.</w:t>
      </w:r>
    </w:p>
  </w:footnote>
  <w:footnote w:id="157">
    <w:p w14:paraId="23C73E2B" w14:textId="77777777" w:rsidR="008D3C6E" w:rsidRPr="00026D1B" w:rsidRDefault="008D3C6E" w:rsidP="004731B1">
      <w:pPr>
        <w:pStyle w:val="FootnoteText"/>
        <w:spacing w:after="120"/>
        <w:jc w:val="both"/>
        <w:rPr>
          <w:rFonts w:ascii="Verdana" w:hAnsi="Verdana" w:cs="Arial"/>
          <w:sz w:val="16"/>
          <w:szCs w:val="16"/>
          <w:lang w:val="es-ES_tradnl"/>
        </w:rPr>
      </w:pPr>
      <w:r w:rsidRPr="00026D1B">
        <w:rPr>
          <w:rStyle w:val="FootnoteReference"/>
          <w:rFonts w:ascii="Verdana" w:hAnsi="Verdana" w:cs="Arial"/>
          <w:sz w:val="16"/>
          <w:szCs w:val="16"/>
        </w:rPr>
        <w:footnoteRef/>
      </w:r>
      <w:r w:rsidRPr="00026D1B">
        <w:rPr>
          <w:rFonts w:ascii="Verdana" w:hAnsi="Verdana" w:cs="Arial"/>
          <w:sz w:val="16"/>
          <w:szCs w:val="16"/>
        </w:rPr>
        <w:t xml:space="preserve"> </w:t>
      </w:r>
      <w:r w:rsidRPr="00026D1B">
        <w:rPr>
          <w:rFonts w:ascii="Verdana" w:hAnsi="Verdana" w:cs="Arial"/>
          <w:sz w:val="16"/>
          <w:szCs w:val="16"/>
          <w:lang w:val="es-ES_tradnl"/>
        </w:rPr>
        <w:tab/>
      </w:r>
      <w:r w:rsidRPr="00026D1B">
        <w:rPr>
          <w:rFonts w:ascii="Verdana" w:hAnsi="Verdana" w:cs="Arial"/>
          <w:i/>
          <w:sz w:val="16"/>
          <w:szCs w:val="16"/>
          <w:lang w:val="es-ES_tradnl"/>
        </w:rPr>
        <w:t>Cfr</w:t>
      </w:r>
      <w:r w:rsidRPr="00026D1B">
        <w:rPr>
          <w:rFonts w:ascii="Verdana" w:hAnsi="Verdana" w:cs="Arial"/>
          <w:sz w:val="16"/>
          <w:szCs w:val="16"/>
          <w:lang w:val="es-ES_tradnl"/>
        </w:rPr>
        <w:t xml:space="preserve">. </w:t>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cs="Arial"/>
          <w:sz w:val="16"/>
          <w:szCs w:val="16"/>
          <w:lang w:val="es-ES_tradnl"/>
        </w:rPr>
        <w:t>62.</w:t>
      </w:r>
    </w:p>
  </w:footnote>
  <w:footnote w:id="158">
    <w:p w14:paraId="2DA8AE8C" w14:textId="77777777" w:rsidR="008D3C6E" w:rsidRPr="00026D1B" w:rsidRDefault="008D3C6E" w:rsidP="0007791A">
      <w:pPr>
        <w:pStyle w:val="FootnoteText"/>
        <w:spacing w:after="120"/>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sidRPr="00026D1B">
        <w:rPr>
          <w:rFonts w:ascii="Verdana" w:hAnsi="Verdana"/>
          <w:sz w:val="16"/>
          <w:szCs w:val="16"/>
        </w:rPr>
        <w:t>198.</w:t>
      </w:r>
    </w:p>
  </w:footnote>
  <w:footnote w:id="159">
    <w:p w14:paraId="3B3CE9CE" w14:textId="6FCB4BCC" w:rsidR="008D3C6E" w:rsidRPr="00026D1B" w:rsidRDefault="008D3C6E" w:rsidP="004731B1">
      <w:pPr>
        <w:pStyle w:val="FootnoteText"/>
        <w:spacing w:after="120"/>
        <w:rPr>
          <w:rFonts w:ascii="Verdana" w:hAnsi="Verdana"/>
          <w:sz w:val="16"/>
          <w:szCs w:val="16"/>
          <w:lang w:val="es-ES_tradnl"/>
        </w:rPr>
      </w:pPr>
      <w:r w:rsidRPr="00026D1B">
        <w:rPr>
          <w:rStyle w:val="FootnoteReference"/>
          <w:rFonts w:ascii="Verdana" w:hAnsi="Verdana"/>
          <w:sz w:val="16"/>
          <w:szCs w:val="16"/>
        </w:rPr>
        <w:footnoteRef/>
      </w:r>
      <w:r w:rsidRPr="00026D1B">
        <w:rPr>
          <w:rFonts w:ascii="Verdana" w:hAnsi="Verdana"/>
          <w:sz w:val="16"/>
          <w:szCs w:val="16"/>
        </w:rPr>
        <w:t xml:space="preserve"> </w:t>
      </w:r>
      <w:r w:rsidRPr="00026D1B">
        <w:rPr>
          <w:rFonts w:ascii="Verdana" w:hAnsi="Verdana"/>
          <w:sz w:val="16"/>
          <w:szCs w:val="16"/>
        </w:rPr>
        <w:tab/>
      </w:r>
      <w:r w:rsidRPr="00026D1B">
        <w:rPr>
          <w:rFonts w:ascii="Verdana" w:hAnsi="Verdana"/>
          <w:i/>
          <w:sz w:val="16"/>
          <w:szCs w:val="16"/>
          <w:lang w:val="es-CR"/>
        </w:rPr>
        <w:t>Caso Granier y otros (Radio Caracas Televisión) Vs. Venezuela</w:t>
      </w:r>
      <w:r w:rsidRPr="00026D1B">
        <w:rPr>
          <w:rFonts w:ascii="Verdana" w:hAnsi="Verdana"/>
          <w:sz w:val="16"/>
          <w:lang w:val="es-CR"/>
        </w:rPr>
        <w:t>, párr.</w:t>
      </w:r>
      <w:r w:rsidRPr="00026D1B">
        <w:rPr>
          <w:sz w:val="16"/>
          <w:lang w:val="es-CR"/>
        </w:rPr>
        <w:t xml:space="preserve"> </w:t>
      </w:r>
      <w:r>
        <w:rPr>
          <w:rFonts w:ascii="Verdana" w:hAnsi="Verdana"/>
          <w:sz w:val="16"/>
          <w:szCs w:val="16"/>
        </w:rPr>
        <w:t>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59595"/>
      <w:docPartObj>
        <w:docPartGallery w:val="Page Numbers (Top of Page)"/>
        <w:docPartUnique/>
      </w:docPartObj>
    </w:sdtPr>
    <w:sdtEndPr>
      <w:rPr>
        <w:noProof/>
      </w:rPr>
    </w:sdtEndPr>
    <w:sdtContent>
      <w:p w14:paraId="5D123306" w14:textId="0D882DEF" w:rsidR="00D65F02" w:rsidRDefault="00D65F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B35B01" w14:textId="77777777" w:rsidR="00D65F02" w:rsidRDefault="00D65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A5A"/>
    <w:multiLevelType w:val="hybridMultilevel"/>
    <w:tmpl w:val="BFDC1220"/>
    <w:lvl w:ilvl="0" w:tplc="CCE2A8FC">
      <w:start w:val="1"/>
      <w:numFmt w:val="decimal"/>
      <w:lvlText w:val="%1."/>
      <w:lvlJc w:val="left"/>
      <w:pPr>
        <w:ind w:left="360" w:hanging="360"/>
      </w:pPr>
      <w:rPr>
        <w:rFonts w:ascii="Verdana" w:hAnsi="Verdana"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9B606B"/>
    <w:multiLevelType w:val="hybridMultilevel"/>
    <w:tmpl w:val="58F2C7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CE5697"/>
    <w:multiLevelType w:val="hybridMultilevel"/>
    <w:tmpl w:val="443AB186"/>
    <w:lvl w:ilvl="0" w:tplc="DDCA201C">
      <w:start w:val="1"/>
      <w:numFmt w:val="none"/>
      <w:lvlText w:val="54."/>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F9562C"/>
    <w:multiLevelType w:val="hybridMultilevel"/>
    <w:tmpl w:val="5FD4DD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515E9E"/>
    <w:multiLevelType w:val="hybridMultilevel"/>
    <w:tmpl w:val="6DD6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F29A8"/>
    <w:multiLevelType w:val="hybridMultilevel"/>
    <w:tmpl w:val="A0486AB0"/>
    <w:lvl w:ilvl="0" w:tplc="46C46386">
      <w:start w:val="12"/>
      <w:numFmt w:val="decimal"/>
      <w:lvlText w:val="%1."/>
      <w:lvlJc w:val="left"/>
      <w:pPr>
        <w:ind w:left="720" w:hanging="360"/>
      </w:pPr>
      <w:rPr>
        <w:rFonts w:cs="Times New Roman"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DD0E07"/>
    <w:multiLevelType w:val="hybridMultilevel"/>
    <w:tmpl w:val="B0041374"/>
    <w:lvl w:ilvl="0" w:tplc="65E2F014">
      <w:start w:val="1"/>
      <w:numFmt w:val="decimal"/>
      <w:lvlText w:val="%1."/>
      <w:lvlJc w:val="left"/>
      <w:pPr>
        <w:ind w:left="2062" w:hanging="360"/>
      </w:pPr>
      <w:rPr>
        <w:rFonts w:ascii="Verdana" w:hAnsi="Verdan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1021A4"/>
    <w:multiLevelType w:val="hybridMultilevel"/>
    <w:tmpl w:val="B4EA2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7E2520"/>
    <w:multiLevelType w:val="hybridMultilevel"/>
    <w:tmpl w:val="CFD48DC6"/>
    <w:lvl w:ilvl="0" w:tplc="65E2F014">
      <w:start w:val="1"/>
      <w:numFmt w:val="decimal"/>
      <w:lvlText w:val="%1."/>
      <w:lvlJc w:val="left"/>
      <w:pPr>
        <w:ind w:left="2062" w:hanging="360"/>
      </w:pPr>
      <w:rPr>
        <w:rFonts w:ascii="Verdana" w:hAnsi="Verdan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C6751C"/>
    <w:multiLevelType w:val="hybridMultilevel"/>
    <w:tmpl w:val="21064D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7206672"/>
    <w:multiLevelType w:val="hybridMultilevel"/>
    <w:tmpl w:val="C608B11A"/>
    <w:lvl w:ilvl="0" w:tplc="DDCA201C">
      <w:start w:val="1"/>
      <w:numFmt w:val="none"/>
      <w:lvlText w:val="54."/>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A06983"/>
    <w:multiLevelType w:val="hybridMultilevel"/>
    <w:tmpl w:val="03787BCE"/>
    <w:lvl w:ilvl="0" w:tplc="223A6340">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2544D"/>
    <w:multiLevelType w:val="hybridMultilevel"/>
    <w:tmpl w:val="99E0C0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EB7DFD"/>
    <w:multiLevelType w:val="hybridMultilevel"/>
    <w:tmpl w:val="D26E3C6E"/>
    <w:lvl w:ilvl="0" w:tplc="EFCABBE4">
      <w:start w:val="98"/>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4">
    <w:nsid w:val="22746D8B"/>
    <w:multiLevelType w:val="hybridMultilevel"/>
    <w:tmpl w:val="7B9C97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0E5BFE"/>
    <w:multiLevelType w:val="hybridMultilevel"/>
    <w:tmpl w:val="4D227C6C"/>
    <w:lvl w:ilvl="0" w:tplc="0C0A000F">
      <w:start w:val="98"/>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F116C6F"/>
    <w:multiLevelType w:val="hybridMultilevel"/>
    <w:tmpl w:val="3CD08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EB0DF9"/>
    <w:multiLevelType w:val="multilevel"/>
    <w:tmpl w:val="58F2C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BC339E"/>
    <w:multiLevelType w:val="hybridMultilevel"/>
    <w:tmpl w:val="D90C5138"/>
    <w:lvl w:ilvl="0" w:tplc="65E2F014">
      <w:start w:val="1"/>
      <w:numFmt w:val="decimal"/>
      <w:lvlText w:val="%1."/>
      <w:lvlJc w:val="left"/>
      <w:pPr>
        <w:ind w:left="360" w:hanging="360"/>
      </w:pPr>
      <w:rPr>
        <w:rFonts w:ascii="Verdana" w:hAnsi="Verdan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212362"/>
    <w:multiLevelType w:val="hybridMultilevel"/>
    <w:tmpl w:val="4650F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7D4A8B"/>
    <w:multiLevelType w:val="hybridMultilevel"/>
    <w:tmpl w:val="D0BC4B10"/>
    <w:lvl w:ilvl="0" w:tplc="65E2F014">
      <w:start w:val="1"/>
      <w:numFmt w:val="decimal"/>
      <w:lvlText w:val="%1."/>
      <w:lvlJc w:val="left"/>
      <w:pPr>
        <w:ind w:left="2062" w:hanging="360"/>
      </w:pPr>
      <w:rPr>
        <w:rFonts w:ascii="Verdana" w:hAnsi="Verdana"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CA41A5"/>
    <w:multiLevelType w:val="hybridMultilevel"/>
    <w:tmpl w:val="9A3693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E5C0DE1"/>
    <w:multiLevelType w:val="hybridMultilevel"/>
    <w:tmpl w:val="50EE2CB6"/>
    <w:lvl w:ilvl="0" w:tplc="0EFACC5A">
      <w:start w:val="13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224F2F"/>
    <w:multiLevelType w:val="hybridMultilevel"/>
    <w:tmpl w:val="8D964370"/>
    <w:lvl w:ilvl="0" w:tplc="CACEEAAC">
      <w:start w:val="13"/>
      <w:numFmt w:val="decimal"/>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3FBC56D7"/>
    <w:multiLevelType w:val="hybridMultilevel"/>
    <w:tmpl w:val="96BC4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827468"/>
    <w:multiLevelType w:val="multilevel"/>
    <w:tmpl w:val="CAF48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2BD0201"/>
    <w:multiLevelType w:val="hybridMultilevel"/>
    <w:tmpl w:val="57747466"/>
    <w:lvl w:ilvl="0" w:tplc="7938CB0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481936BD"/>
    <w:multiLevelType w:val="hybridMultilevel"/>
    <w:tmpl w:val="71C27A26"/>
    <w:lvl w:ilvl="0" w:tplc="668C8036">
      <w:start w:val="1"/>
      <w:numFmt w:val="decimal"/>
      <w:lvlText w:val="%1."/>
      <w:lvlJc w:val="left"/>
      <w:pPr>
        <w:ind w:left="2062"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EF440E"/>
    <w:multiLevelType w:val="hybridMultilevel"/>
    <w:tmpl w:val="5950CC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B4D1C4D"/>
    <w:multiLevelType w:val="hybridMultilevel"/>
    <w:tmpl w:val="BD38B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B32158"/>
    <w:multiLevelType w:val="hybridMultilevel"/>
    <w:tmpl w:val="5A4A222C"/>
    <w:lvl w:ilvl="0" w:tplc="4F167D66">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F496A6A"/>
    <w:multiLevelType w:val="hybridMultilevel"/>
    <w:tmpl w:val="499441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3C6EC6"/>
    <w:multiLevelType w:val="hybridMultilevel"/>
    <w:tmpl w:val="035E6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F05797"/>
    <w:multiLevelType w:val="hybridMultilevel"/>
    <w:tmpl w:val="2C947E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84477D9"/>
    <w:multiLevelType w:val="hybridMultilevel"/>
    <w:tmpl w:val="C57479DC"/>
    <w:lvl w:ilvl="0" w:tplc="2404FE7E">
      <w:start w:val="1"/>
      <w:numFmt w:val="lowerLetter"/>
      <w:lvlText w:val="%1)"/>
      <w:lvlJc w:val="left"/>
      <w:pPr>
        <w:ind w:left="1768" w:hanging="10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5B300F27"/>
    <w:multiLevelType w:val="hybridMultilevel"/>
    <w:tmpl w:val="A890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EBF1C3D"/>
    <w:multiLevelType w:val="hybridMultilevel"/>
    <w:tmpl w:val="B13E3976"/>
    <w:lvl w:ilvl="0" w:tplc="ACAAAAB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EF115D"/>
    <w:multiLevelType w:val="hybridMultilevel"/>
    <w:tmpl w:val="37ECCCB4"/>
    <w:lvl w:ilvl="0" w:tplc="C1CC48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62A2705"/>
    <w:multiLevelType w:val="hybridMultilevel"/>
    <w:tmpl w:val="55FE66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97C1055"/>
    <w:multiLevelType w:val="hybridMultilevel"/>
    <w:tmpl w:val="63CCE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CA4F4E"/>
    <w:multiLevelType w:val="hybridMultilevel"/>
    <w:tmpl w:val="50A683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1D555C7"/>
    <w:multiLevelType w:val="hybridMultilevel"/>
    <w:tmpl w:val="E410D79C"/>
    <w:lvl w:ilvl="0" w:tplc="65E2F014">
      <w:start w:val="1"/>
      <w:numFmt w:val="decimal"/>
      <w:lvlText w:val="%1."/>
      <w:lvlJc w:val="left"/>
      <w:pPr>
        <w:ind w:left="360" w:hanging="360"/>
      </w:pPr>
      <w:rPr>
        <w:rFonts w:ascii="Verdana" w:hAnsi="Verdan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781EEF"/>
    <w:multiLevelType w:val="multilevel"/>
    <w:tmpl w:val="96BC4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BD434FF"/>
    <w:multiLevelType w:val="hybridMultilevel"/>
    <w:tmpl w:val="AFC8156A"/>
    <w:lvl w:ilvl="0" w:tplc="65E2F014">
      <w:start w:val="1"/>
      <w:numFmt w:val="decimal"/>
      <w:lvlText w:val="%1."/>
      <w:lvlJc w:val="left"/>
      <w:pPr>
        <w:ind w:left="360" w:hanging="360"/>
      </w:pPr>
      <w:rPr>
        <w:rFonts w:ascii="Verdana" w:hAnsi="Verdana" w:hint="default"/>
        <w:b w:val="0"/>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E54EBD"/>
    <w:multiLevelType w:val="hybridMultilevel"/>
    <w:tmpl w:val="FB8A9F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3A0965"/>
    <w:multiLevelType w:val="hybridMultilevel"/>
    <w:tmpl w:val="3542B03E"/>
    <w:lvl w:ilvl="0" w:tplc="0C0A000F">
      <w:start w:val="13"/>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7CE64D32"/>
    <w:multiLevelType w:val="hybridMultilevel"/>
    <w:tmpl w:val="72D6F5E4"/>
    <w:lvl w:ilvl="0" w:tplc="8612C280">
      <w:start w:val="1"/>
      <w:numFmt w:val="decimal"/>
      <w:lvlText w:val="%1."/>
      <w:lvlJc w:val="left"/>
      <w:pPr>
        <w:tabs>
          <w:tab w:val="num" w:pos="6261"/>
        </w:tabs>
      </w:pPr>
      <w:rPr>
        <w:rFonts w:ascii="Verdana" w:eastAsia="Times New Roman" w:hAnsi="Verdana" w:cs="Times New Roman" w:hint="default"/>
        <w:b w:val="0"/>
        <w:i w:val="0"/>
        <w:strike w:val="0"/>
        <w:color w:val="auto"/>
        <w:sz w:val="20"/>
        <w:szCs w:val="20"/>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color w:val="auto"/>
        <w:sz w:val="20"/>
        <w:vertAlign w:val="baseline"/>
      </w:rPr>
    </w:lvl>
    <w:lvl w:ilvl="2" w:tplc="0409001B">
      <w:start w:val="1"/>
      <w:numFmt w:val="lowerRoman"/>
      <w:lvlText w:val="%3."/>
      <w:lvlJc w:val="right"/>
      <w:pPr>
        <w:tabs>
          <w:tab w:val="num" w:pos="821"/>
        </w:tabs>
        <w:ind w:left="187" w:firstLine="44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E066F9F"/>
    <w:multiLevelType w:val="multilevel"/>
    <w:tmpl w:val="CFD48DC6"/>
    <w:lvl w:ilvl="0">
      <w:start w:val="1"/>
      <w:numFmt w:val="decimal"/>
      <w:lvlText w:val="%1."/>
      <w:lvlJc w:val="left"/>
      <w:pPr>
        <w:ind w:left="2062" w:hanging="360"/>
      </w:pPr>
      <w:rPr>
        <w:rFonts w:ascii="Verdana" w:hAnsi="Verdana"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F7C7C1C"/>
    <w:multiLevelType w:val="hybridMultilevel"/>
    <w:tmpl w:val="3CD2B780"/>
    <w:lvl w:ilvl="0" w:tplc="0C0A000F">
      <w:start w:val="13"/>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3"/>
  </w:num>
  <w:num w:numId="2">
    <w:abstractNumId w:val="12"/>
  </w:num>
  <w:num w:numId="3">
    <w:abstractNumId w:val="11"/>
  </w:num>
  <w:num w:numId="4">
    <w:abstractNumId w:val="16"/>
  </w:num>
  <w:num w:numId="5">
    <w:abstractNumId w:val="3"/>
  </w:num>
  <w:num w:numId="6">
    <w:abstractNumId w:val="14"/>
  </w:num>
  <w:num w:numId="7">
    <w:abstractNumId w:val="29"/>
  </w:num>
  <w:num w:numId="8">
    <w:abstractNumId w:val="36"/>
  </w:num>
  <w:num w:numId="9">
    <w:abstractNumId w:val="9"/>
  </w:num>
  <w:num w:numId="10">
    <w:abstractNumId w:val="24"/>
  </w:num>
  <w:num w:numId="11">
    <w:abstractNumId w:val="42"/>
  </w:num>
  <w:num w:numId="12">
    <w:abstractNumId w:val="19"/>
  </w:num>
  <w:num w:numId="13">
    <w:abstractNumId w:val="32"/>
  </w:num>
  <w:num w:numId="14">
    <w:abstractNumId w:val="1"/>
  </w:num>
  <w:num w:numId="15">
    <w:abstractNumId w:val="17"/>
  </w:num>
  <w:num w:numId="16">
    <w:abstractNumId w:val="27"/>
  </w:num>
  <w:num w:numId="17">
    <w:abstractNumId w:val="31"/>
  </w:num>
  <w:num w:numId="18">
    <w:abstractNumId w:val="44"/>
  </w:num>
  <w:num w:numId="19">
    <w:abstractNumId w:val="28"/>
  </w:num>
  <w:num w:numId="20">
    <w:abstractNumId w:val="7"/>
  </w:num>
  <w:num w:numId="21">
    <w:abstractNumId w:val="2"/>
  </w:num>
  <w:num w:numId="22">
    <w:abstractNumId w:val="10"/>
  </w:num>
  <w:num w:numId="23">
    <w:abstractNumId w:val="40"/>
  </w:num>
  <w:num w:numId="24">
    <w:abstractNumId w:val="21"/>
  </w:num>
  <w:num w:numId="25">
    <w:abstractNumId w:val="39"/>
  </w:num>
  <w:num w:numId="26">
    <w:abstractNumId w:val="20"/>
  </w:num>
  <w:num w:numId="27">
    <w:abstractNumId w:val="46"/>
  </w:num>
  <w:num w:numId="28">
    <w:abstractNumId w:val="38"/>
  </w:num>
  <w:num w:numId="29">
    <w:abstractNumId w:val="6"/>
  </w:num>
  <w:num w:numId="30">
    <w:abstractNumId w:val="8"/>
  </w:num>
  <w:num w:numId="31">
    <w:abstractNumId w:val="47"/>
  </w:num>
  <w:num w:numId="32">
    <w:abstractNumId w:val="33"/>
  </w:num>
  <w:num w:numId="33">
    <w:abstractNumId w:val="18"/>
  </w:num>
  <w:num w:numId="34">
    <w:abstractNumId w:val="41"/>
  </w:num>
  <w:num w:numId="35">
    <w:abstractNumId w:val="0"/>
  </w:num>
  <w:num w:numId="36">
    <w:abstractNumId w:val="35"/>
  </w:num>
  <w:num w:numId="37">
    <w:abstractNumId w:val="37"/>
  </w:num>
  <w:num w:numId="38">
    <w:abstractNumId w:val="26"/>
  </w:num>
  <w:num w:numId="39">
    <w:abstractNumId w:val="5"/>
  </w:num>
  <w:num w:numId="40">
    <w:abstractNumId w:val="48"/>
  </w:num>
  <w:num w:numId="41">
    <w:abstractNumId w:val="45"/>
  </w:num>
  <w:num w:numId="42">
    <w:abstractNumId w:val="23"/>
  </w:num>
  <w:num w:numId="43">
    <w:abstractNumId w:val="22"/>
  </w:num>
  <w:num w:numId="44">
    <w:abstractNumId w:val="34"/>
  </w:num>
  <w:num w:numId="45">
    <w:abstractNumId w:val="4"/>
  </w:num>
  <w:num w:numId="46">
    <w:abstractNumId w:val="25"/>
  </w:num>
  <w:num w:numId="47">
    <w:abstractNumId w:val="30"/>
  </w:num>
  <w:num w:numId="48">
    <w:abstractNumId w:val="1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A8"/>
    <w:rsid w:val="000043A8"/>
    <w:rsid w:val="0000646C"/>
    <w:rsid w:val="000151C2"/>
    <w:rsid w:val="00024AD4"/>
    <w:rsid w:val="0002526C"/>
    <w:rsid w:val="000328B4"/>
    <w:rsid w:val="00035AB7"/>
    <w:rsid w:val="0003696D"/>
    <w:rsid w:val="00041225"/>
    <w:rsid w:val="00041FD6"/>
    <w:rsid w:val="000428BA"/>
    <w:rsid w:val="000432C1"/>
    <w:rsid w:val="00044A63"/>
    <w:rsid w:val="000533C4"/>
    <w:rsid w:val="00054A96"/>
    <w:rsid w:val="00056D47"/>
    <w:rsid w:val="000629C7"/>
    <w:rsid w:val="0006647D"/>
    <w:rsid w:val="0007170D"/>
    <w:rsid w:val="0007791A"/>
    <w:rsid w:val="000810BA"/>
    <w:rsid w:val="00085741"/>
    <w:rsid w:val="00086368"/>
    <w:rsid w:val="00087E8C"/>
    <w:rsid w:val="00087EE1"/>
    <w:rsid w:val="00092235"/>
    <w:rsid w:val="000973F4"/>
    <w:rsid w:val="000A0618"/>
    <w:rsid w:val="000A1A9D"/>
    <w:rsid w:val="000A2DBB"/>
    <w:rsid w:val="000A622B"/>
    <w:rsid w:val="000A694C"/>
    <w:rsid w:val="000A74BF"/>
    <w:rsid w:val="000A7E9E"/>
    <w:rsid w:val="000B4E84"/>
    <w:rsid w:val="000C543B"/>
    <w:rsid w:val="000C76B1"/>
    <w:rsid w:val="000D5706"/>
    <w:rsid w:val="000D6072"/>
    <w:rsid w:val="000E04EA"/>
    <w:rsid w:val="000E0E8C"/>
    <w:rsid w:val="000E18FB"/>
    <w:rsid w:val="000E4BF8"/>
    <w:rsid w:val="000F3F11"/>
    <w:rsid w:val="000F6E2E"/>
    <w:rsid w:val="000F7EF7"/>
    <w:rsid w:val="00100C7D"/>
    <w:rsid w:val="00107D0E"/>
    <w:rsid w:val="0011317E"/>
    <w:rsid w:val="00115163"/>
    <w:rsid w:val="00122A36"/>
    <w:rsid w:val="001231A4"/>
    <w:rsid w:val="001341BB"/>
    <w:rsid w:val="0013649D"/>
    <w:rsid w:val="00140E6B"/>
    <w:rsid w:val="00152717"/>
    <w:rsid w:val="001655DD"/>
    <w:rsid w:val="00172FB4"/>
    <w:rsid w:val="00173E81"/>
    <w:rsid w:val="00174C0D"/>
    <w:rsid w:val="0017560E"/>
    <w:rsid w:val="0017692D"/>
    <w:rsid w:val="001807F1"/>
    <w:rsid w:val="001812B0"/>
    <w:rsid w:val="00182D2F"/>
    <w:rsid w:val="00183335"/>
    <w:rsid w:val="001848D2"/>
    <w:rsid w:val="00186584"/>
    <w:rsid w:val="001932A5"/>
    <w:rsid w:val="001934CA"/>
    <w:rsid w:val="0019361C"/>
    <w:rsid w:val="001A47E9"/>
    <w:rsid w:val="001B0FB1"/>
    <w:rsid w:val="001B203B"/>
    <w:rsid w:val="001C1A28"/>
    <w:rsid w:val="001C785E"/>
    <w:rsid w:val="001C7A20"/>
    <w:rsid w:val="001D13C2"/>
    <w:rsid w:val="001D190E"/>
    <w:rsid w:val="001D4233"/>
    <w:rsid w:val="001D6210"/>
    <w:rsid w:val="001E0A36"/>
    <w:rsid w:val="001E57A4"/>
    <w:rsid w:val="001E79BC"/>
    <w:rsid w:val="001F1A1A"/>
    <w:rsid w:val="001F21F6"/>
    <w:rsid w:val="001F31E3"/>
    <w:rsid w:val="001F6209"/>
    <w:rsid w:val="001F6ADA"/>
    <w:rsid w:val="0020658D"/>
    <w:rsid w:val="00210A32"/>
    <w:rsid w:val="00211C13"/>
    <w:rsid w:val="00213825"/>
    <w:rsid w:val="0022429B"/>
    <w:rsid w:val="002270F3"/>
    <w:rsid w:val="00230C7B"/>
    <w:rsid w:val="00234941"/>
    <w:rsid w:val="00234A02"/>
    <w:rsid w:val="00235032"/>
    <w:rsid w:val="002353E4"/>
    <w:rsid w:val="00235779"/>
    <w:rsid w:val="00235CB1"/>
    <w:rsid w:val="00237B64"/>
    <w:rsid w:val="00240651"/>
    <w:rsid w:val="00242B7A"/>
    <w:rsid w:val="00243EB1"/>
    <w:rsid w:val="00243FA0"/>
    <w:rsid w:val="00244048"/>
    <w:rsid w:val="0024514A"/>
    <w:rsid w:val="00245F62"/>
    <w:rsid w:val="002549D8"/>
    <w:rsid w:val="00261CD6"/>
    <w:rsid w:val="00264542"/>
    <w:rsid w:val="00264825"/>
    <w:rsid w:val="0026499C"/>
    <w:rsid w:val="00273314"/>
    <w:rsid w:val="00274EDE"/>
    <w:rsid w:val="002766CC"/>
    <w:rsid w:val="00280917"/>
    <w:rsid w:val="002810AB"/>
    <w:rsid w:val="002821F0"/>
    <w:rsid w:val="0028474E"/>
    <w:rsid w:val="002851A9"/>
    <w:rsid w:val="002861E0"/>
    <w:rsid w:val="00286D1F"/>
    <w:rsid w:val="00291C02"/>
    <w:rsid w:val="00292DEA"/>
    <w:rsid w:val="002947FE"/>
    <w:rsid w:val="002956F5"/>
    <w:rsid w:val="00297D8D"/>
    <w:rsid w:val="002A0F23"/>
    <w:rsid w:val="002A418E"/>
    <w:rsid w:val="002B5221"/>
    <w:rsid w:val="002C1574"/>
    <w:rsid w:val="002C4790"/>
    <w:rsid w:val="002C5736"/>
    <w:rsid w:val="002C59ED"/>
    <w:rsid w:val="002D51D8"/>
    <w:rsid w:val="002D5C28"/>
    <w:rsid w:val="002D6E86"/>
    <w:rsid w:val="002E0D29"/>
    <w:rsid w:val="002E3E31"/>
    <w:rsid w:val="002E46D2"/>
    <w:rsid w:val="002E7D45"/>
    <w:rsid w:val="002E7F16"/>
    <w:rsid w:val="002F3337"/>
    <w:rsid w:val="002F35CD"/>
    <w:rsid w:val="002F3AB3"/>
    <w:rsid w:val="002F74F2"/>
    <w:rsid w:val="00302350"/>
    <w:rsid w:val="003041DE"/>
    <w:rsid w:val="00304B63"/>
    <w:rsid w:val="00305EA0"/>
    <w:rsid w:val="00311C61"/>
    <w:rsid w:val="00315E92"/>
    <w:rsid w:val="0031784A"/>
    <w:rsid w:val="0031791E"/>
    <w:rsid w:val="0032154C"/>
    <w:rsid w:val="0032600F"/>
    <w:rsid w:val="00326BC5"/>
    <w:rsid w:val="00326D46"/>
    <w:rsid w:val="00326E7A"/>
    <w:rsid w:val="0033419A"/>
    <w:rsid w:val="0033560D"/>
    <w:rsid w:val="00335FF7"/>
    <w:rsid w:val="00336FDC"/>
    <w:rsid w:val="00343361"/>
    <w:rsid w:val="00343985"/>
    <w:rsid w:val="00343ED7"/>
    <w:rsid w:val="00345243"/>
    <w:rsid w:val="0034534D"/>
    <w:rsid w:val="00351AFE"/>
    <w:rsid w:val="003520DD"/>
    <w:rsid w:val="003529E3"/>
    <w:rsid w:val="00354FAF"/>
    <w:rsid w:val="00356F08"/>
    <w:rsid w:val="00360394"/>
    <w:rsid w:val="00360620"/>
    <w:rsid w:val="0036565E"/>
    <w:rsid w:val="00365A1C"/>
    <w:rsid w:val="00365A7E"/>
    <w:rsid w:val="003665FC"/>
    <w:rsid w:val="003708F7"/>
    <w:rsid w:val="00376F0B"/>
    <w:rsid w:val="00377C72"/>
    <w:rsid w:val="00380235"/>
    <w:rsid w:val="003818E8"/>
    <w:rsid w:val="0038503F"/>
    <w:rsid w:val="00392082"/>
    <w:rsid w:val="00393866"/>
    <w:rsid w:val="003A0CA8"/>
    <w:rsid w:val="003A0CEF"/>
    <w:rsid w:val="003A1C8D"/>
    <w:rsid w:val="003A22C2"/>
    <w:rsid w:val="003B0C7E"/>
    <w:rsid w:val="003B42BE"/>
    <w:rsid w:val="003C0DA9"/>
    <w:rsid w:val="003C3C12"/>
    <w:rsid w:val="003C4264"/>
    <w:rsid w:val="003D14FD"/>
    <w:rsid w:val="003D1942"/>
    <w:rsid w:val="003D1B6A"/>
    <w:rsid w:val="003D29F7"/>
    <w:rsid w:val="003D5AD7"/>
    <w:rsid w:val="003D68BF"/>
    <w:rsid w:val="003E021C"/>
    <w:rsid w:val="003E23A9"/>
    <w:rsid w:val="003E66CC"/>
    <w:rsid w:val="003E678C"/>
    <w:rsid w:val="003F0394"/>
    <w:rsid w:val="003F0A99"/>
    <w:rsid w:val="003F32C6"/>
    <w:rsid w:val="00407D89"/>
    <w:rsid w:val="004112A4"/>
    <w:rsid w:val="0041333D"/>
    <w:rsid w:val="00414622"/>
    <w:rsid w:val="00415193"/>
    <w:rsid w:val="00416C88"/>
    <w:rsid w:val="004237A6"/>
    <w:rsid w:val="00424225"/>
    <w:rsid w:val="00425188"/>
    <w:rsid w:val="004252C5"/>
    <w:rsid w:val="004254E1"/>
    <w:rsid w:val="00426FD4"/>
    <w:rsid w:val="00427FF5"/>
    <w:rsid w:val="00446F76"/>
    <w:rsid w:val="00451F16"/>
    <w:rsid w:val="00452BF8"/>
    <w:rsid w:val="004575D1"/>
    <w:rsid w:val="004621CC"/>
    <w:rsid w:val="0046224F"/>
    <w:rsid w:val="004648A5"/>
    <w:rsid w:val="00464BF3"/>
    <w:rsid w:val="00470910"/>
    <w:rsid w:val="004731B1"/>
    <w:rsid w:val="00477160"/>
    <w:rsid w:val="00481BCD"/>
    <w:rsid w:val="00483383"/>
    <w:rsid w:val="0048399A"/>
    <w:rsid w:val="00483D86"/>
    <w:rsid w:val="00490B12"/>
    <w:rsid w:val="0049237E"/>
    <w:rsid w:val="00493422"/>
    <w:rsid w:val="00495FE3"/>
    <w:rsid w:val="004A5BA5"/>
    <w:rsid w:val="004A7606"/>
    <w:rsid w:val="004B134A"/>
    <w:rsid w:val="004B54A8"/>
    <w:rsid w:val="004B744D"/>
    <w:rsid w:val="004C4590"/>
    <w:rsid w:val="004C6261"/>
    <w:rsid w:val="004C6EAC"/>
    <w:rsid w:val="004D1F8E"/>
    <w:rsid w:val="004D6072"/>
    <w:rsid w:val="004D7DDE"/>
    <w:rsid w:val="004E041E"/>
    <w:rsid w:val="004E56FA"/>
    <w:rsid w:val="004E7130"/>
    <w:rsid w:val="004E74E0"/>
    <w:rsid w:val="004F0301"/>
    <w:rsid w:val="004F26AA"/>
    <w:rsid w:val="004F41B7"/>
    <w:rsid w:val="004F7A1F"/>
    <w:rsid w:val="0050667A"/>
    <w:rsid w:val="00511B7E"/>
    <w:rsid w:val="00513315"/>
    <w:rsid w:val="00515460"/>
    <w:rsid w:val="00522433"/>
    <w:rsid w:val="0052278E"/>
    <w:rsid w:val="00524053"/>
    <w:rsid w:val="0052720A"/>
    <w:rsid w:val="0053165A"/>
    <w:rsid w:val="0053445F"/>
    <w:rsid w:val="0054208C"/>
    <w:rsid w:val="005430E5"/>
    <w:rsid w:val="00544E60"/>
    <w:rsid w:val="0054525F"/>
    <w:rsid w:val="0055072D"/>
    <w:rsid w:val="0055177A"/>
    <w:rsid w:val="0055727C"/>
    <w:rsid w:val="0056257D"/>
    <w:rsid w:val="00562AB6"/>
    <w:rsid w:val="00564755"/>
    <w:rsid w:val="00570F85"/>
    <w:rsid w:val="00572443"/>
    <w:rsid w:val="00572FC2"/>
    <w:rsid w:val="00574370"/>
    <w:rsid w:val="00581517"/>
    <w:rsid w:val="00583ABD"/>
    <w:rsid w:val="00587D53"/>
    <w:rsid w:val="0059034E"/>
    <w:rsid w:val="005908ED"/>
    <w:rsid w:val="005938D4"/>
    <w:rsid w:val="005957C9"/>
    <w:rsid w:val="005A0435"/>
    <w:rsid w:val="005A0485"/>
    <w:rsid w:val="005A24B3"/>
    <w:rsid w:val="005A5515"/>
    <w:rsid w:val="005A7011"/>
    <w:rsid w:val="005A7202"/>
    <w:rsid w:val="005C0BBD"/>
    <w:rsid w:val="005C34F0"/>
    <w:rsid w:val="005C7B7F"/>
    <w:rsid w:val="005C7B87"/>
    <w:rsid w:val="005D18D9"/>
    <w:rsid w:val="005D3030"/>
    <w:rsid w:val="005E2619"/>
    <w:rsid w:val="005E42B6"/>
    <w:rsid w:val="005F074D"/>
    <w:rsid w:val="005F13D2"/>
    <w:rsid w:val="005F31AE"/>
    <w:rsid w:val="005F48DC"/>
    <w:rsid w:val="005F7466"/>
    <w:rsid w:val="0060083D"/>
    <w:rsid w:val="00604363"/>
    <w:rsid w:val="006107B0"/>
    <w:rsid w:val="00612E91"/>
    <w:rsid w:val="006139CD"/>
    <w:rsid w:val="006306D5"/>
    <w:rsid w:val="00632891"/>
    <w:rsid w:val="00633FC8"/>
    <w:rsid w:val="00640960"/>
    <w:rsid w:val="006419E1"/>
    <w:rsid w:val="00644C37"/>
    <w:rsid w:val="006458BD"/>
    <w:rsid w:val="00654F1E"/>
    <w:rsid w:val="00654FB1"/>
    <w:rsid w:val="006551DB"/>
    <w:rsid w:val="00655224"/>
    <w:rsid w:val="0065576D"/>
    <w:rsid w:val="0065779C"/>
    <w:rsid w:val="006639F2"/>
    <w:rsid w:val="006703D3"/>
    <w:rsid w:val="00671437"/>
    <w:rsid w:val="00672079"/>
    <w:rsid w:val="00673AAD"/>
    <w:rsid w:val="00675A97"/>
    <w:rsid w:val="00686CDC"/>
    <w:rsid w:val="006874D1"/>
    <w:rsid w:val="00687637"/>
    <w:rsid w:val="00694007"/>
    <w:rsid w:val="0069595B"/>
    <w:rsid w:val="00695AD5"/>
    <w:rsid w:val="006B2DB0"/>
    <w:rsid w:val="006B4054"/>
    <w:rsid w:val="006B6A88"/>
    <w:rsid w:val="006B6F66"/>
    <w:rsid w:val="006C18BC"/>
    <w:rsid w:val="006C7D5F"/>
    <w:rsid w:val="006D45B9"/>
    <w:rsid w:val="006D4BFF"/>
    <w:rsid w:val="006D52AB"/>
    <w:rsid w:val="006E2185"/>
    <w:rsid w:val="006E7EDF"/>
    <w:rsid w:val="006F13A2"/>
    <w:rsid w:val="006F2A55"/>
    <w:rsid w:val="006F372C"/>
    <w:rsid w:val="006F4083"/>
    <w:rsid w:val="00700CEE"/>
    <w:rsid w:val="00701C79"/>
    <w:rsid w:val="0070398A"/>
    <w:rsid w:val="00713607"/>
    <w:rsid w:val="00714EA8"/>
    <w:rsid w:val="00715015"/>
    <w:rsid w:val="007179E6"/>
    <w:rsid w:val="00717D3B"/>
    <w:rsid w:val="0072014F"/>
    <w:rsid w:val="00723924"/>
    <w:rsid w:val="00724251"/>
    <w:rsid w:val="00725B51"/>
    <w:rsid w:val="00733F5C"/>
    <w:rsid w:val="00736689"/>
    <w:rsid w:val="00736F78"/>
    <w:rsid w:val="00752528"/>
    <w:rsid w:val="0075289B"/>
    <w:rsid w:val="007534D1"/>
    <w:rsid w:val="007542EA"/>
    <w:rsid w:val="00755F0D"/>
    <w:rsid w:val="007566D9"/>
    <w:rsid w:val="00757D06"/>
    <w:rsid w:val="00761B74"/>
    <w:rsid w:val="00765486"/>
    <w:rsid w:val="00767501"/>
    <w:rsid w:val="00786B09"/>
    <w:rsid w:val="00792834"/>
    <w:rsid w:val="00792DE2"/>
    <w:rsid w:val="00794E61"/>
    <w:rsid w:val="007965BD"/>
    <w:rsid w:val="00797413"/>
    <w:rsid w:val="007978E4"/>
    <w:rsid w:val="007A190E"/>
    <w:rsid w:val="007A32FD"/>
    <w:rsid w:val="007A4B7F"/>
    <w:rsid w:val="007C2CC9"/>
    <w:rsid w:val="007C7FE5"/>
    <w:rsid w:val="007D14F1"/>
    <w:rsid w:val="007D18BA"/>
    <w:rsid w:val="007D1AC8"/>
    <w:rsid w:val="007D6971"/>
    <w:rsid w:val="007E0955"/>
    <w:rsid w:val="007E1C8B"/>
    <w:rsid w:val="007E3F35"/>
    <w:rsid w:val="007E4BD4"/>
    <w:rsid w:val="007F407F"/>
    <w:rsid w:val="007F49C9"/>
    <w:rsid w:val="00800512"/>
    <w:rsid w:val="00800909"/>
    <w:rsid w:val="00804243"/>
    <w:rsid w:val="00814198"/>
    <w:rsid w:val="0081674C"/>
    <w:rsid w:val="00816C63"/>
    <w:rsid w:val="00817CD9"/>
    <w:rsid w:val="008210A6"/>
    <w:rsid w:val="00822EDF"/>
    <w:rsid w:val="008302F1"/>
    <w:rsid w:val="008329BA"/>
    <w:rsid w:val="008332C8"/>
    <w:rsid w:val="00835C66"/>
    <w:rsid w:val="00840272"/>
    <w:rsid w:val="0084093C"/>
    <w:rsid w:val="00845844"/>
    <w:rsid w:val="008468BF"/>
    <w:rsid w:val="008470D0"/>
    <w:rsid w:val="00847B39"/>
    <w:rsid w:val="00850725"/>
    <w:rsid w:val="0085169E"/>
    <w:rsid w:val="0086411C"/>
    <w:rsid w:val="00865387"/>
    <w:rsid w:val="008678C9"/>
    <w:rsid w:val="00871F7B"/>
    <w:rsid w:val="008722B0"/>
    <w:rsid w:val="008824D4"/>
    <w:rsid w:val="00882A48"/>
    <w:rsid w:val="00883177"/>
    <w:rsid w:val="0088372D"/>
    <w:rsid w:val="008904C3"/>
    <w:rsid w:val="0089128D"/>
    <w:rsid w:val="008912AE"/>
    <w:rsid w:val="00892F39"/>
    <w:rsid w:val="00897110"/>
    <w:rsid w:val="008A697D"/>
    <w:rsid w:val="008A6FE6"/>
    <w:rsid w:val="008B1C93"/>
    <w:rsid w:val="008B1D35"/>
    <w:rsid w:val="008B1D67"/>
    <w:rsid w:val="008B1F42"/>
    <w:rsid w:val="008B41D3"/>
    <w:rsid w:val="008B7853"/>
    <w:rsid w:val="008B7A56"/>
    <w:rsid w:val="008C1E56"/>
    <w:rsid w:val="008C2A1A"/>
    <w:rsid w:val="008C3195"/>
    <w:rsid w:val="008C4B35"/>
    <w:rsid w:val="008C70A3"/>
    <w:rsid w:val="008C7806"/>
    <w:rsid w:val="008D0C0C"/>
    <w:rsid w:val="008D2185"/>
    <w:rsid w:val="008D3C6E"/>
    <w:rsid w:val="008D4147"/>
    <w:rsid w:val="008D4320"/>
    <w:rsid w:val="008D547E"/>
    <w:rsid w:val="008D77BF"/>
    <w:rsid w:val="008E011A"/>
    <w:rsid w:val="008E163E"/>
    <w:rsid w:val="008E3F73"/>
    <w:rsid w:val="008E43AF"/>
    <w:rsid w:val="008E459A"/>
    <w:rsid w:val="008E50FA"/>
    <w:rsid w:val="008E53D2"/>
    <w:rsid w:val="008F18F3"/>
    <w:rsid w:val="008F1A5B"/>
    <w:rsid w:val="009000E7"/>
    <w:rsid w:val="00900F97"/>
    <w:rsid w:val="00903087"/>
    <w:rsid w:val="0090559E"/>
    <w:rsid w:val="009078CA"/>
    <w:rsid w:val="00910C88"/>
    <w:rsid w:val="009123CE"/>
    <w:rsid w:val="00913D34"/>
    <w:rsid w:val="009149EE"/>
    <w:rsid w:val="00914A98"/>
    <w:rsid w:val="009166E3"/>
    <w:rsid w:val="009219B0"/>
    <w:rsid w:val="00923E10"/>
    <w:rsid w:val="00926CC2"/>
    <w:rsid w:val="009318B1"/>
    <w:rsid w:val="009423A2"/>
    <w:rsid w:val="00943DBD"/>
    <w:rsid w:val="009454F2"/>
    <w:rsid w:val="009501B6"/>
    <w:rsid w:val="00950C85"/>
    <w:rsid w:val="00952604"/>
    <w:rsid w:val="00952643"/>
    <w:rsid w:val="0096173D"/>
    <w:rsid w:val="00974D66"/>
    <w:rsid w:val="00975EB6"/>
    <w:rsid w:val="009776C7"/>
    <w:rsid w:val="0098198E"/>
    <w:rsid w:val="0098201B"/>
    <w:rsid w:val="009825AC"/>
    <w:rsid w:val="009841DC"/>
    <w:rsid w:val="00985919"/>
    <w:rsid w:val="00987E40"/>
    <w:rsid w:val="009933BE"/>
    <w:rsid w:val="00993EA9"/>
    <w:rsid w:val="00994293"/>
    <w:rsid w:val="00994742"/>
    <w:rsid w:val="009A0516"/>
    <w:rsid w:val="009A3017"/>
    <w:rsid w:val="009A3214"/>
    <w:rsid w:val="009A47A4"/>
    <w:rsid w:val="009A4AA8"/>
    <w:rsid w:val="009B0D0B"/>
    <w:rsid w:val="009B1C35"/>
    <w:rsid w:val="009B30EE"/>
    <w:rsid w:val="009B5DCA"/>
    <w:rsid w:val="009C0D1D"/>
    <w:rsid w:val="009C342E"/>
    <w:rsid w:val="009C3C02"/>
    <w:rsid w:val="009C4086"/>
    <w:rsid w:val="009C6E91"/>
    <w:rsid w:val="009D139A"/>
    <w:rsid w:val="009D6247"/>
    <w:rsid w:val="009D7573"/>
    <w:rsid w:val="009E2F78"/>
    <w:rsid w:val="009E58FF"/>
    <w:rsid w:val="009E6C00"/>
    <w:rsid w:val="009E6C4C"/>
    <w:rsid w:val="009E7345"/>
    <w:rsid w:val="009E7EDB"/>
    <w:rsid w:val="009F49D1"/>
    <w:rsid w:val="00A00682"/>
    <w:rsid w:val="00A008AC"/>
    <w:rsid w:val="00A00B55"/>
    <w:rsid w:val="00A1155C"/>
    <w:rsid w:val="00A15890"/>
    <w:rsid w:val="00A16B5B"/>
    <w:rsid w:val="00A20C4A"/>
    <w:rsid w:val="00A3280D"/>
    <w:rsid w:val="00A3632E"/>
    <w:rsid w:val="00A3714A"/>
    <w:rsid w:val="00A456F8"/>
    <w:rsid w:val="00A53DAC"/>
    <w:rsid w:val="00A566B7"/>
    <w:rsid w:val="00A567BF"/>
    <w:rsid w:val="00A56A03"/>
    <w:rsid w:val="00A57C34"/>
    <w:rsid w:val="00A62196"/>
    <w:rsid w:val="00A64402"/>
    <w:rsid w:val="00A66E0F"/>
    <w:rsid w:val="00A7204B"/>
    <w:rsid w:val="00A722FE"/>
    <w:rsid w:val="00A7481A"/>
    <w:rsid w:val="00A75FD7"/>
    <w:rsid w:val="00A76442"/>
    <w:rsid w:val="00A77521"/>
    <w:rsid w:val="00A77912"/>
    <w:rsid w:val="00A81766"/>
    <w:rsid w:val="00A82C8C"/>
    <w:rsid w:val="00A870AC"/>
    <w:rsid w:val="00A9036F"/>
    <w:rsid w:val="00A9110B"/>
    <w:rsid w:val="00A94D30"/>
    <w:rsid w:val="00AA0C6C"/>
    <w:rsid w:val="00AA3A75"/>
    <w:rsid w:val="00AB1442"/>
    <w:rsid w:val="00AB58B9"/>
    <w:rsid w:val="00AB6B3D"/>
    <w:rsid w:val="00AC0FC7"/>
    <w:rsid w:val="00AC1615"/>
    <w:rsid w:val="00AC3650"/>
    <w:rsid w:val="00AC3E11"/>
    <w:rsid w:val="00AC3F0E"/>
    <w:rsid w:val="00AD5115"/>
    <w:rsid w:val="00AD656E"/>
    <w:rsid w:val="00AD6D37"/>
    <w:rsid w:val="00AD7A42"/>
    <w:rsid w:val="00AE0465"/>
    <w:rsid w:val="00AE108C"/>
    <w:rsid w:val="00AE5129"/>
    <w:rsid w:val="00AF20CD"/>
    <w:rsid w:val="00AF2565"/>
    <w:rsid w:val="00AF48D2"/>
    <w:rsid w:val="00AF4FCD"/>
    <w:rsid w:val="00AF5806"/>
    <w:rsid w:val="00AF67CE"/>
    <w:rsid w:val="00AF690E"/>
    <w:rsid w:val="00B04005"/>
    <w:rsid w:val="00B0683D"/>
    <w:rsid w:val="00B11F0F"/>
    <w:rsid w:val="00B134A6"/>
    <w:rsid w:val="00B14299"/>
    <w:rsid w:val="00B14F92"/>
    <w:rsid w:val="00B15B0B"/>
    <w:rsid w:val="00B21A80"/>
    <w:rsid w:val="00B26F0F"/>
    <w:rsid w:val="00B272D7"/>
    <w:rsid w:val="00B334CC"/>
    <w:rsid w:val="00B348DB"/>
    <w:rsid w:val="00B35085"/>
    <w:rsid w:val="00B37A97"/>
    <w:rsid w:val="00B42BE2"/>
    <w:rsid w:val="00B44523"/>
    <w:rsid w:val="00B44AA8"/>
    <w:rsid w:val="00B45B6B"/>
    <w:rsid w:val="00B465A4"/>
    <w:rsid w:val="00B55039"/>
    <w:rsid w:val="00B555FE"/>
    <w:rsid w:val="00B61615"/>
    <w:rsid w:val="00B619DA"/>
    <w:rsid w:val="00B64B18"/>
    <w:rsid w:val="00B67EB8"/>
    <w:rsid w:val="00B7113F"/>
    <w:rsid w:val="00B72BFB"/>
    <w:rsid w:val="00B753E9"/>
    <w:rsid w:val="00B8017B"/>
    <w:rsid w:val="00B812C4"/>
    <w:rsid w:val="00B84B3E"/>
    <w:rsid w:val="00B84C4A"/>
    <w:rsid w:val="00B87314"/>
    <w:rsid w:val="00B9351B"/>
    <w:rsid w:val="00B93530"/>
    <w:rsid w:val="00B93555"/>
    <w:rsid w:val="00B94012"/>
    <w:rsid w:val="00BA0E10"/>
    <w:rsid w:val="00BA3C01"/>
    <w:rsid w:val="00BA60C6"/>
    <w:rsid w:val="00BA61AA"/>
    <w:rsid w:val="00BB0B21"/>
    <w:rsid w:val="00BB100C"/>
    <w:rsid w:val="00BB7DF8"/>
    <w:rsid w:val="00BC1481"/>
    <w:rsid w:val="00BD490F"/>
    <w:rsid w:val="00BD55C8"/>
    <w:rsid w:val="00BE07D0"/>
    <w:rsid w:val="00BE0BF4"/>
    <w:rsid w:val="00BE1B8B"/>
    <w:rsid w:val="00BE37C3"/>
    <w:rsid w:val="00BE5318"/>
    <w:rsid w:val="00BE6F0D"/>
    <w:rsid w:val="00BF1012"/>
    <w:rsid w:val="00BF6E3B"/>
    <w:rsid w:val="00C0100F"/>
    <w:rsid w:val="00C04395"/>
    <w:rsid w:val="00C077D0"/>
    <w:rsid w:val="00C07FA1"/>
    <w:rsid w:val="00C10567"/>
    <w:rsid w:val="00C131DA"/>
    <w:rsid w:val="00C17954"/>
    <w:rsid w:val="00C2299C"/>
    <w:rsid w:val="00C2472C"/>
    <w:rsid w:val="00C26CAB"/>
    <w:rsid w:val="00C275D4"/>
    <w:rsid w:val="00C37DC0"/>
    <w:rsid w:val="00C37F57"/>
    <w:rsid w:val="00C4117A"/>
    <w:rsid w:val="00C50C03"/>
    <w:rsid w:val="00C52E87"/>
    <w:rsid w:val="00C55C57"/>
    <w:rsid w:val="00C60368"/>
    <w:rsid w:val="00C60758"/>
    <w:rsid w:val="00C678CD"/>
    <w:rsid w:val="00C71451"/>
    <w:rsid w:val="00C73C57"/>
    <w:rsid w:val="00C8678B"/>
    <w:rsid w:val="00C91A42"/>
    <w:rsid w:val="00C97861"/>
    <w:rsid w:val="00CA2EEE"/>
    <w:rsid w:val="00CA4EAC"/>
    <w:rsid w:val="00CA5368"/>
    <w:rsid w:val="00CA560C"/>
    <w:rsid w:val="00CB22B8"/>
    <w:rsid w:val="00CB6755"/>
    <w:rsid w:val="00CB710A"/>
    <w:rsid w:val="00CB7FF5"/>
    <w:rsid w:val="00CC02EA"/>
    <w:rsid w:val="00CC2B8C"/>
    <w:rsid w:val="00CC4E0F"/>
    <w:rsid w:val="00CC5E9D"/>
    <w:rsid w:val="00CC660C"/>
    <w:rsid w:val="00CC67E9"/>
    <w:rsid w:val="00CD0698"/>
    <w:rsid w:val="00CD193B"/>
    <w:rsid w:val="00CD2932"/>
    <w:rsid w:val="00CD533D"/>
    <w:rsid w:val="00CE0F24"/>
    <w:rsid w:val="00CE1D28"/>
    <w:rsid w:val="00CE3C0F"/>
    <w:rsid w:val="00CE7271"/>
    <w:rsid w:val="00CF1C0D"/>
    <w:rsid w:val="00CF3937"/>
    <w:rsid w:val="00CF3A2C"/>
    <w:rsid w:val="00CF4F72"/>
    <w:rsid w:val="00CF527C"/>
    <w:rsid w:val="00D01805"/>
    <w:rsid w:val="00D033BE"/>
    <w:rsid w:val="00D04230"/>
    <w:rsid w:val="00D070DD"/>
    <w:rsid w:val="00D07A88"/>
    <w:rsid w:val="00D10C55"/>
    <w:rsid w:val="00D10EA8"/>
    <w:rsid w:val="00D12846"/>
    <w:rsid w:val="00D157A0"/>
    <w:rsid w:val="00D162A7"/>
    <w:rsid w:val="00D23E45"/>
    <w:rsid w:val="00D2576B"/>
    <w:rsid w:val="00D265A5"/>
    <w:rsid w:val="00D26E89"/>
    <w:rsid w:val="00D278DA"/>
    <w:rsid w:val="00D3097B"/>
    <w:rsid w:val="00D31DAD"/>
    <w:rsid w:val="00D37FFA"/>
    <w:rsid w:val="00D4070A"/>
    <w:rsid w:val="00D42F2D"/>
    <w:rsid w:val="00D44BB6"/>
    <w:rsid w:val="00D45284"/>
    <w:rsid w:val="00D45823"/>
    <w:rsid w:val="00D522E4"/>
    <w:rsid w:val="00D530F0"/>
    <w:rsid w:val="00D54CE5"/>
    <w:rsid w:val="00D61174"/>
    <w:rsid w:val="00D62BA8"/>
    <w:rsid w:val="00D62C93"/>
    <w:rsid w:val="00D64B13"/>
    <w:rsid w:val="00D65F02"/>
    <w:rsid w:val="00D70951"/>
    <w:rsid w:val="00D75D60"/>
    <w:rsid w:val="00D81DB5"/>
    <w:rsid w:val="00D81DE4"/>
    <w:rsid w:val="00D856DF"/>
    <w:rsid w:val="00D86F72"/>
    <w:rsid w:val="00D94014"/>
    <w:rsid w:val="00DA3C91"/>
    <w:rsid w:val="00DA4719"/>
    <w:rsid w:val="00DA5618"/>
    <w:rsid w:val="00DA5D37"/>
    <w:rsid w:val="00DB081C"/>
    <w:rsid w:val="00DB2C08"/>
    <w:rsid w:val="00DB5277"/>
    <w:rsid w:val="00DB6AD7"/>
    <w:rsid w:val="00DB79A9"/>
    <w:rsid w:val="00DB7C82"/>
    <w:rsid w:val="00DC1402"/>
    <w:rsid w:val="00DC19ED"/>
    <w:rsid w:val="00DC454D"/>
    <w:rsid w:val="00DC5620"/>
    <w:rsid w:val="00DD21AA"/>
    <w:rsid w:val="00DD3292"/>
    <w:rsid w:val="00DD38FA"/>
    <w:rsid w:val="00DE5E41"/>
    <w:rsid w:val="00DE60A9"/>
    <w:rsid w:val="00DF39A4"/>
    <w:rsid w:val="00DF52A2"/>
    <w:rsid w:val="00DF79EE"/>
    <w:rsid w:val="00E005F5"/>
    <w:rsid w:val="00E10655"/>
    <w:rsid w:val="00E16886"/>
    <w:rsid w:val="00E217E7"/>
    <w:rsid w:val="00E25006"/>
    <w:rsid w:val="00E2636C"/>
    <w:rsid w:val="00E26A97"/>
    <w:rsid w:val="00E30169"/>
    <w:rsid w:val="00E358DD"/>
    <w:rsid w:val="00E35C84"/>
    <w:rsid w:val="00E412CE"/>
    <w:rsid w:val="00E5377C"/>
    <w:rsid w:val="00E547CF"/>
    <w:rsid w:val="00E55E36"/>
    <w:rsid w:val="00E57747"/>
    <w:rsid w:val="00E6010E"/>
    <w:rsid w:val="00E61C4F"/>
    <w:rsid w:val="00E635C1"/>
    <w:rsid w:val="00E647CB"/>
    <w:rsid w:val="00E70C9B"/>
    <w:rsid w:val="00E70F5D"/>
    <w:rsid w:val="00E823C8"/>
    <w:rsid w:val="00E913DF"/>
    <w:rsid w:val="00E923FF"/>
    <w:rsid w:val="00E92D8E"/>
    <w:rsid w:val="00EA2211"/>
    <w:rsid w:val="00EB0392"/>
    <w:rsid w:val="00EB3122"/>
    <w:rsid w:val="00EB41B7"/>
    <w:rsid w:val="00EB5625"/>
    <w:rsid w:val="00EB7CA3"/>
    <w:rsid w:val="00EC14E6"/>
    <w:rsid w:val="00EC46AE"/>
    <w:rsid w:val="00EC5451"/>
    <w:rsid w:val="00EC65F0"/>
    <w:rsid w:val="00ED0A78"/>
    <w:rsid w:val="00ED0D0A"/>
    <w:rsid w:val="00ED3DAE"/>
    <w:rsid w:val="00ED69C8"/>
    <w:rsid w:val="00EE5781"/>
    <w:rsid w:val="00EF08FE"/>
    <w:rsid w:val="00EF6EAF"/>
    <w:rsid w:val="00F06CE1"/>
    <w:rsid w:val="00F1338D"/>
    <w:rsid w:val="00F24959"/>
    <w:rsid w:val="00F26E12"/>
    <w:rsid w:val="00F27A81"/>
    <w:rsid w:val="00F32935"/>
    <w:rsid w:val="00F367C0"/>
    <w:rsid w:val="00F431E4"/>
    <w:rsid w:val="00F44E81"/>
    <w:rsid w:val="00F45EF3"/>
    <w:rsid w:val="00F50A53"/>
    <w:rsid w:val="00F552C7"/>
    <w:rsid w:val="00F561A7"/>
    <w:rsid w:val="00F60566"/>
    <w:rsid w:val="00F6612E"/>
    <w:rsid w:val="00F70B3F"/>
    <w:rsid w:val="00F713F2"/>
    <w:rsid w:val="00F81819"/>
    <w:rsid w:val="00F81EA0"/>
    <w:rsid w:val="00F82F37"/>
    <w:rsid w:val="00F83FAB"/>
    <w:rsid w:val="00F854DD"/>
    <w:rsid w:val="00F91970"/>
    <w:rsid w:val="00F92162"/>
    <w:rsid w:val="00F9369B"/>
    <w:rsid w:val="00F93AD6"/>
    <w:rsid w:val="00F964F3"/>
    <w:rsid w:val="00FA25C3"/>
    <w:rsid w:val="00FA3D71"/>
    <w:rsid w:val="00FA45C9"/>
    <w:rsid w:val="00FA5E0D"/>
    <w:rsid w:val="00FB1AA9"/>
    <w:rsid w:val="00FB2B0A"/>
    <w:rsid w:val="00FB39FA"/>
    <w:rsid w:val="00FB79C3"/>
    <w:rsid w:val="00FC0398"/>
    <w:rsid w:val="00FC0C4C"/>
    <w:rsid w:val="00FC27B0"/>
    <w:rsid w:val="00FC3FA5"/>
    <w:rsid w:val="00FC67F6"/>
    <w:rsid w:val="00FC6C35"/>
    <w:rsid w:val="00FD31F0"/>
    <w:rsid w:val="00FD5940"/>
    <w:rsid w:val="00FD6B67"/>
    <w:rsid w:val="00FE0B98"/>
    <w:rsid w:val="00FE12CD"/>
    <w:rsid w:val="00FE1D8D"/>
    <w:rsid w:val="00FE43F3"/>
    <w:rsid w:val="00FE440C"/>
    <w:rsid w:val="00FE5719"/>
    <w:rsid w:val="00FE78D5"/>
    <w:rsid w:val="00FF089D"/>
    <w:rsid w:val="00FF34C2"/>
    <w:rsid w:val="00FF56F3"/>
    <w:rsid w:val="00FF59FF"/>
    <w:rsid w:val="00FF72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5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F5"/>
  </w:style>
  <w:style w:type="paragraph" w:styleId="Heading3">
    <w:name w:val="heading 3"/>
    <w:basedOn w:val="Normal"/>
    <w:next w:val="Normal"/>
    <w:link w:val="Heading3Char1"/>
    <w:uiPriority w:val="9"/>
    <w:qFormat/>
    <w:rsid w:val="00D94014"/>
    <w:pPr>
      <w:tabs>
        <w:tab w:val="left" w:pos="567"/>
      </w:tabs>
      <w:autoSpaceDE w:val="0"/>
      <w:autoSpaceDN w:val="0"/>
      <w:spacing w:after="0" w:line="240" w:lineRule="auto"/>
      <w:ind w:left="1416"/>
      <w:contextualSpacing/>
      <w:jc w:val="both"/>
      <w:outlineLvl w:val="2"/>
    </w:pPr>
    <w:rPr>
      <w:rFonts w:ascii="Verdana" w:eastAsia="Calibri" w:hAnsi="Verdana" w:cs="Times New Roman"/>
      <w:b/>
      <w:spacing w:val="-2"/>
      <w:sz w:val="20"/>
      <w:szCs w:val="20"/>
      <w:lang w:val="es-ES" w:eastAsia="x-none"/>
    </w:rPr>
  </w:style>
  <w:style w:type="paragraph" w:styleId="Heading4">
    <w:name w:val="heading 4"/>
    <w:basedOn w:val="Normal"/>
    <w:next w:val="Normal"/>
    <w:link w:val="Heading4Char1"/>
    <w:uiPriority w:val="9"/>
    <w:qFormat/>
    <w:rsid w:val="00D94014"/>
    <w:pPr>
      <w:widowControl w:val="0"/>
      <w:adjustRightInd w:val="0"/>
      <w:spacing w:after="0" w:line="240" w:lineRule="auto"/>
      <w:ind w:left="708" w:firstLine="708"/>
      <w:jc w:val="both"/>
      <w:textAlignment w:val="baseline"/>
      <w:outlineLvl w:val="3"/>
    </w:pPr>
    <w:rPr>
      <w:rFonts w:ascii="Verdana" w:eastAsia="Times New Roman" w:hAnsi="Verdana" w:cs="Times New Roman"/>
      <w:i/>
      <w:spacing w:val="-2"/>
      <w:sz w:val="20"/>
      <w:szCs w:val="20"/>
      <w:lang w:val="es-VE" w:eastAsia="es-CR"/>
    </w:rPr>
  </w:style>
  <w:style w:type="paragraph" w:styleId="Heading5">
    <w:name w:val="heading 5"/>
    <w:basedOn w:val="Normal"/>
    <w:next w:val="Normal"/>
    <w:link w:val="Heading5Char"/>
    <w:uiPriority w:val="9"/>
    <w:semiHidden/>
    <w:unhideWhenUsed/>
    <w:qFormat/>
    <w:rsid w:val="00D9401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1"/>
    <w:uiPriority w:val="9"/>
    <w:qFormat/>
    <w:rsid w:val="00D94014"/>
    <w:pPr>
      <w:keepNext w:val="0"/>
      <w:keepLines w:val="0"/>
      <w:tabs>
        <w:tab w:val="num" w:pos="3600"/>
      </w:tabs>
      <w:spacing w:before="0" w:line="240" w:lineRule="auto"/>
      <w:ind w:left="3600" w:hanging="360"/>
      <w:jc w:val="both"/>
      <w:outlineLvl w:val="5"/>
    </w:pPr>
    <w:rPr>
      <w:rFonts w:ascii="Verdana" w:eastAsia="Times New Roman" w:hAnsi="Verdana" w:cs="Times New Roman"/>
      <w:color w:val="auto"/>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basedOn w:val="DefaultParagraphFont"/>
    <w:link w:val="Heading3"/>
    <w:uiPriority w:val="9"/>
    <w:rsid w:val="00D94014"/>
    <w:rPr>
      <w:rFonts w:ascii="Verdana" w:eastAsia="Calibri" w:hAnsi="Verdana" w:cs="Times New Roman"/>
      <w:b/>
      <w:spacing w:val="-2"/>
      <w:sz w:val="20"/>
      <w:szCs w:val="20"/>
      <w:lang w:val="es-ES" w:eastAsia="x-none"/>
    </w:rPr>
  </w:style>
  <w:style w:type="character" w:customStyle="1" w:styleId="Heading4Char1">
    <w:name w:val="Heading 4 Char1"/>
    <w:basedOn w:val="DefaultParagraphFont"/>
    <w:link w:val="Heading4"/>
    <w:uiPriority w:val="9"/>
    <w:rsid w:val="00D94014"/>
    <w:rPr>
      <w:rFonts w:ascii="Verdana" w:eastAsia="Times New Roman" w:hAnsi="Verdana" w:cs="Times New Roman"/>
      <w:i/>
      <w:spacing w:val="-2"/>
      <w:sz w:val="20"/>
      <w:szCs w:val="20"/>
      <w:lang w:val="es-VE" w:eastAsia="es-CR"/>
    </w:rPr>
  </w:style>
  <w:style w:type="character" w:customStyle="1" w:styleId="Heading5Char">
    <w:name w:val="Heading 5 Char"/>
    <w:basedOn w:val="DefaultParagraphFont"/>
    <w:link w:val="Heading5"/>
    <w:uiPriority w:val="9"/>
    <w:semiHidden/>
    <w:rsid w:val="00D94014"/>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rsid w:val="00D94014"/>
    <w:rPr>
      <w:rFonts w:ascii="Verdana" w:eastAsia="Times New Roman" w:hAnsi="Verdana" w:cs="Times New Roman"/>
      <w:spacing w:val="-2"/>
      <w:sz w:val="20"/>
      <w:szCs w:val="20"/>
      <w:lang w:val="es-ES_tradnl" w:eastAsia="x-none"/>
    </w:rPr>
  </w:style>
  <w:style w:type="paragraph" w:styleId="ListParagraph">
    <w:name w:val="List Paragraph"/>
    <w:aliases w:val="Párrafo de lista1,Footnote,Colorful List - Accent 11,List Paragraph1"/>
    <w:basedOn w:val="Normal"/>
    <w:link w:val="ListParagraphChar1"/>
    <w:uiPriority w:val="99"/>
    <w:qFormat/>
    <w:rsid w:val="009A4AA8"/>
    <w:pPr>
      <w:ind w:left="720"/>
      <w:contextualSpacing/>
    </w:pPr>
  </w:style>
  <w:style w:type="character" w:customStyle="1" w:styleId="ListParagraphChar1">
    <w:name w:val="List Paragraph Char1"/>
    <w:aliases w:val="Párrafo de lista1 Char1,Footnote Char1,Colorful List - Accent 11 Char1,List Paragraph1 Char1"/>
    <w:basedOn w:val="DefaultParagraphFont"/>
    <w:link w:val="ListParagraph"/>
    <w:uiPriority w:val="99"/>
    <w:locked/>
    <w:rsid w:val="00B04005"/>
  </w:style>
  <w:style w:type="paragraph" w:styleId="Header">
    <w:name w:val="header"/>
    <w:basedOn w:val="Normal"/>
    <w:link w:val="HeaderChar1"/>
    <w:uiPriority w:val="99"/>
    <w:unhideWhenUsed/>
    <w:rsid w:val="009A4AA8"/>
    <w:pPr>
      <w:tabs>
        <w:tab w:val="center" w:pos="4419"/>
        <w:tab w:val="right" w:pos="8838"/>
      </w:tabs>
      <w:spacing w:after="0" w:line="240" w:lineRule="auto"/>
    </w:pPr>
  </w:style>
  <w:style w:type="character" w:customStyle="1" w:styleId="HeaderChar1">
    <w:name w:val="Header Char1"/>
    <w:basedOn w:val="DefaultParagraphFont"/>
    <w:link w:val="Header"/>
    <w:uiPriority w:val="99"/>
    <w:rsid w:val="009A4AA8"/>
  </w:style>
  <w:style w:type="paragraph" w:styleId="Footer">
    <w:name w:val="footer"/>
    <w:basedOn w:val="Normal"/>
    <w:link w:val="FooterChar1"/>
    <w:uiPriority w:val="99"/>
    <w:unhideWhenUsed/>
    <w:rsid w:val="009A4AA8"/>
    <w:pPr>
      <w:tabs>
        <w:tab w:val="center" w:pos="4419"/>
        <w:tab w:val="right" w:pos="8838"/>
      </w:tabs>
      <w:spacing w:after="0" w:line="240" w:lineRule="auto"/>
    </w:pPr>
  </w:style>
  <w:style w:type="character" w:customStyle="1" w:styleId="FooterChar1">
    <w:name w:val="Footer Char1"/>
    <w:basedOn w:val="DefaultParagraphFont"/>
    <w:link w:val="Footer"/>
    <w:uiPriority w:val="99"/>
    <w:rsid w:val="009A4AA8"/>
  </w:style>
  <w:style w:type="paragraph" w:styleId="NormalWeb">
    <w:name w:val="Normal (Web)"/>
    <w:basedOn w:val="Normal"/>
    <w:uiPriority w:val="99"/>
    <w:unhideWhenUsed/>
    <w:rsid w:val="009A4AA8"/>
    <w:pPr>
      <w:spacing w:before="100" w:beforeAutospacing="1" w:after="100" w:afterAutospacing="1" w:line="240" w:lineRule="auto"/>
    </w:pPr>
    <w:rPr>
      <w:rFonts w:ascii="Times" w:hAnsi="Times" w:cs="Times New Roman"/>
      <w:sz w:val="20"/>
      <w:szCs w:val="20"/>
      <w:lang w:val="es-ES_tradnl" w:eastAsia="es-ES"/>
    </w:rPr>
  </w:style>
  <w:style w:type="paragraph" w:styleId="CommentText">
    <w:name w:val="annotation text"/>
    <w:basedOn w:val="Normal"/>
    <w:link w:val="CommentTextChar"/>
    <w:uiPriority w:val="99"/>
    <w:semiHidden/>
    <w:unhideWhenUsed/>
    <w:rsid w:val="009A4AA8"/>
    <w:pPr>
      <w:spacing w:line="240" w:lineRule="auto"/>
    </w:pPr>
    <w:rPr>
      <w:sz w:val="20"/>
      <w:szCs w:val="20"/>
    </w:rPr>
  </w:style>
  <w:style w:type="character" w:customStyle="1" w:styleId="CommentTextChar">
    <w:name w:val="Comment Text Char"/>
    <w:basedOn w:val="DefaultParagraphFont"/>
    <w:link w:val="CommentText"/>
    <w:uiPriority w:val="99"/>
    <w:semiHidden/>
    <w:rsid w:val="009A4AA8"/>
    <w:rPr>
      <w:sz w:val="20"/>
      <w:szCs w:val="20"/>
    </w:rPr>
  </w:style>
  <w:style w:type="paragraph" w:styleId="CommentSubject">
    <w:name w:val="annotation subject"/>
    <w:basedOn w:val="CommentText"/>
    <w:next w:val="CommentText"/>
    <w:link w:val="CommentSubjectChar"/>
    <w:uiPriority w:val="99"/>
    <w:semiHidden/>
    <w:unhideWhenUsed/>
    <w:rsid w:val="009A4AA8"/>
    <w:rPr>
      <w:b/>
      <w:bCs/>
    </w:rPr>
  </w:style>
  <w:style w:type="character" w:customStyle="1" w:styleId="CommentSubjectChar">
    <w:name w:val="Comment Subject Char"/>
    <w:basedOn w:val="CommentTextChar"/>
    <w:link w:val="CommentSubject"/>
    <w:uiPriority w:val="99"/>
    <w:semiHidden/>
    <w:rsid w:val="009A4AA8"/>
    <w:rPr>
      <w:b/>
      <w:bCs/>
      <w:sz w:val="20"/>
      <w:szCs w:val="20"/>
    </w:rPr>
  </w:style>
  <w:style w:type="paragraph" w:styleId="BalloonText">
    <w:name w:val="Balloon Text"/>
    <w:basedOn w:val="Normal"/>
    <w:link w:val="BalloonTextChar"/>
    <w:uiPriority w:val="99"/>
    <w:semiHidden/>
    <w:unhideWhenUsed/>
    <w:rsid w:val="009A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A8"/>
    <w:rPr>
      <w:rFonts w:ascii="Tahoma" w:hAnsi="Tahoma" w:cs="Tahoma"/>
      <w:sz w:val="16"/>
      <w:szCs w:val="16"/>
    </w:rPr>
  </w:style>
  <w:style w:type="character" w:customStyle="1" w:styleId="sb8d990e2">
    <w:name w:val="sb8d990e2"/>
    <w:basedOn w:val="DefaultParagraphFont"/>
    <w:rsid w:val="009A4AA8"/>
  </w:style>
  <w:style w:type="character" w:customStyle="1" w:styleId="apple-converted-space">
    <w:name w:val="apple-converted-space"/>
    <w:basedOn w:val="DefaultParagraphFont"/>
    <w:rsid w:val="009A4AA8"/>
  </w:style>
  <w:style w:type="character" w:customStyle="1" w:styleId="s6b621b36">
    <w:name w:val="s6b621b36"/>
    <w:basedOn w:val="DefaultParagraphFont"/>
    <w:rsid w:val="009A4AA8"/>
  </w:style>
  <w:style w:type="character" w:styleId="Hyperlink">
    <w:name w:val="Hyperlink"/>
    <w:basedOn w:val="DefaultParagraphFont"/>
    <w:uiPriority w:val="99"/>
    <w:unhideWhenUsed/>
    <w:rsid w:val="009A4AA8"/>
    <w:rPr>
      <w:color w:val="0000FF"/>
      <w:u w:val="singl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1"/>
    <w:uiPriority w:val="99"/>
    <w:unhideWhenUsed/>
    <w:qFormat/>
    <w:rsid w:val="009A4AA8"/>
    <w:pPr>
      <w:spacing w:after="0" w:line="240" w:lineRule="auto"/>
    </w:pPr>
    <w:rPr>
      <w:sz w:val="20"/>
      <w:szCs w:val="20"/>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rsid w:val="009A4AA8"/>
    <w:rPr>
      <w:sz w:val="20"/>
      <w:szCs w:val="20"/>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iPriority w:val="99"/>
    <w:unhideWhenUsed/>
    <w:qFormat/>
    <w:rsid w:val="009A4AA8"/>
    <w:rPr>
      <w:vertAlign w:val="superscript"/>
    </w:rPr>
  </w:style>
  <w:style w:type="paragraph" w:customStyle="1" w:styleId="s269b7f08">
    <w:name w:val="s269b7f08"/>
    <w:basedOn w:val="Normal"/>
    <w:rsid w:val="009A4A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f6541cea">
    <w:name w:val="sf6541cea"/>
    <w:basedOn w:val="DefaultParagraphFont"/>
    <w:rsid w:val="009A4AA8"/>
  </w:style>
  <w:style w:type="paragraph" w:customStyle="1" w:styleId="s30eec3f8">
    <w:name w:val="s30eec3f8"/>
    <w:basedOn w:val="Normal"/>
    <w:rsid w:val="009A4A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ordhighlighted">
    <w:name w:val="wordhighlighted"/>
    <w:basedOn w:val="DefaultParagraphFont"/>
    <w:rsid w:val="009A4AA8"/>
  </w:style>
  <w:style w:type="paragraph" w:customStyle="1" w:styleId="s8b146764">
    <w:name w:val="s8b146764"/>
    <w:basedOn w:val="Normal"/>
    <w:rsid w:val="009A4A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7d2086b4">
    <w:name w:val="s7d2086b4"/>
    <w:basedOn w:val="DefaultParagraphFont"/>
    <w:rsid w:val="009A4AA8"/>
  </w:style>
  <w:style w:type="paragraph" w:styleId="Revision">
    <w:name w:val="Revision"/>
    <w:hidden/>
    <w:uiPriority w:val="99"/>
    <w:semiHidden/>
    <w:rsid w:val="009A4AA8"/>
    <w:pPr>
      <w:spacing w:after="0" w:line="240" w:lineRule="auto"/>
    </w:pPr>
  </w:style>
  <w:style w:type="character" w:styleId="PageNumber">
    <w:name w:val="page number"/>
    <w:basedOn w:val="DefaultParagraphFont"/>
    <w:uiPriority w:val="99"/>
    <w:semiHidden/>
    <w:unhideWhenUsed/>
    <w:rsid w:val="009A4AA8"/>
  </w:style>
  <w:style w:type="paragraph" w:customStyle="1" w:styleId="Estilo2">
    <w:name w:val="Estilo2"/>
    <w:basedOn w:val="Normal"/>
    <w:link w:val="Estilo2Car"/>
    <w:qFormat/>
    <w:rsid w:val="009A4AA8"/>
    <w:pPr>
      <w:tabs>
        <w:tab w:val="left" w:pos="720"/>
        <w:tab w:val="num" w:pos="6261"/>
      </w:tabs>
      <w:spacing w:after="120" w:line="240" w:lineRule="auto"/>
      <w:ind w:right="-522"/>
      <w:jc w:val="both"/>
    </w:pPr>
    <w:rPr>
      <w:rFonts w:ascii="Verdana" w:eastAsia="Calibri" w:hAnsi="Verdana" w:cs="Times New Roman"/>
      <w:spacing w:val="-2"/>
      <w:sz w:val="20"/>
      <w:szCs w:val="20"/>
      <w:lang w:val="es-CR"/>
    </w:rPr>
  </w:style>
  <w:style w:type="character" w:customStyle="1" w:styleId="Estilo2Car">
    <w:name w:val="Estilo2 Car"/>
    <w:basedOn w:val="DefaultParagraphFont"/>
    <w:link w:val="Estilo2"/>
    <w:rsid w:val="009A4AA8"/>
    <w:rPr>
      <w:rFonts w:ascii="Verdana" w:eastAsia="Calibri" w:hAnsi="Verdana" w:cs="Times New Roman"/>
      <w:spacing w:val="-2"/>
      <w:sz w:val="20"/>
      <w:szCs w:val="20"/>
      <w:lang w:val="es-CR"/>
    </w:rPr>
  </w:style>
  <w:style w:type="paragraph" w:customStyle="1" w:styleId="s32b251d">
    <w:name w:val="s32b251d"/>
    <w:basedOn w:val="Normal"/>
    <w:rsid w:val="009A4AA8"/>
    <w:pPr>
      <w:spacing w:before="100" w:beforeAutospacing="1" w:after="100" w:afterAutospacing="1" w:line="240" w:lineRule="auto"/>
    </w:pPr>
    <w:rPr>
      <w:rFonts w:ascii="Times" w:hAnsi="Times"/>
      <w:sz w:val="20"/>
      <w:szCs w:val="20"/>
      <w:lang w:val="es-ES_tradnl" w:eastAsia="es-ES"/>
    </w:rPr>
  </w:style>
  <w:style w:type="character" w:customStyle="1" w:styleId="sae070d1d">
    <w:name w:val="sae070d1d"/>
    <w:basedOn w:val="DefaultParagraphFont"/>
    <w:rsid w:val="009A4AA8"/>
  </w:style>
  <w:style w:type="paragraph" w:styleId="EndnoteText">
    <w:name w:val="endnote text"/>
    <w:basedOn w:val="Normal"/>
    <w:link w:val="EndnoteTextChar1"/>
    <w:uiPriority w:val="99"/>
    <w:unhideWhenUsed/>
    <w:rsid w:val="009A4AA8"/>
    <w:pPr>
      <w:spacing w:after="0" w:line="240" w:lineRule="auto"/>
    </w:pPr>
    <w:rPr>
      <w:sz w:val="24"/>
      <w:szCs w:val="24"/>
    </w:rPr>
  </w:style>
  <w:style w:type="character" w:customStyle="1" w:styleId="EndnoteTextChar1">
    <w:name w:val="Endnote Text Char1"/>
    <w:basedOn w:val="DefaultParagraphFont"/>
    <w:link w:val="EndnoteText"/>
    <w:uiPriority w:val="99"/>
    <w:rsid w:val="009A4AA8"/>
    <w:rPr>
      <w:sz w:val="24"/>
      <w:szCs w:val="24"/>
    </w:rPr>
  </w:style>
  <w:style w:type="character" w:styleId="EndnoteReference">
    <w:name w:val="endnote reference"/>
    <w:basedOn w:val="DefaultParagraphFont"/>
    <w:uiPriority w:val="99"/>
    <w:unhideWhenUsed/>
    <w:rsid w:val="009A4AA8"/>
    <w:rPr>
      <w:vertAlign w:val="superscript"/>
    </w:rPr>
  </w:style>
  <w:style w:type="character" w:styleId="Strong">
    <w:name w:val="Strong"/>
    <w:basedOn w:val="DefaultParagraphFont"/>
    <w:uiPriority w:val="22"/>
    <w:qFormat/>
    <w:rsid w:val="009A4AA8"/>
    <w:rPr>
      <w:b/>
      <w:bCs/>
    </w:rPr>
  </w:style>
  <w:style w:type="paragraph" w:customStyle="1" w:styleId="Default">
    <w:name w:val="Default"/>
    <w:rsid w:val="00686CDC"/>
    <w:pPr>
      <w:autoSpaceDE w:val="0"/>
      <w:autoSpaceDN w:val="0"/>
      <w:adjustRightInd w:val="0"/>
      <w:spacing w:after="0" w:line="240" w:lineRule="auto"/>
    </w:pPr>
    <w:rPr>
      <w:rFonts w:ascii="Verdana" w:eastAsia="Calibri" w:hAnsi="Verdana" w:cs="Verdana"/>
      <w:color w:val="000000"/>
      <w:spacing w:val="-4"/>
      <w:sz w:val="24"/>
      <w:szCs w:val="24"/>
      <w:lang w:val="es-CR"/>
    </w:rPr>
  </w:style>
  <w:style w:type="character" w:customStyle="1" w:styleId="Cuadrculamediana1-nfasis2Car">
    <w:name w:val="Cuadrícula mediana 1 - Énfasis 2 Car"/>
    <w:link w:val="MediumGrid1-Accent2"/>
    <w:uiPriority w:val="99"/>
    <w:rsid w:val="00152717"/>
    <w:rPr>
      <w:rFonts w:eastAsia="Times New Roman"/>
      <w:spacing w:val="0"/>
      <w:lang w:eastAsia="es-CR"/>
    </w:rPr>
  </w:style>
  <w:style w:type="table" w:styleId="MediumGrid1-Accent2">
    <w:name w:val="Medium Grid 1 Accent 2"/>
    <w:basedOn w:val="TableNormal"/>
    <w:link w:val="Cuadrculamediana1-nfasis2Car"/>
    <w:uiPriority w:val="99"/>
    <w:rsid w:val="00152717"/>
    <w:pPr>
      <w:spacing w:after="0" w:line="240" w:lineRule="auto"/>
    </w:pPr>
    <w:rPr>
      <w:rFonts w:eastAsia="Times New Roman"/>
      <w:lang w:eastAsia="es-C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odyTextIndent2">
    <w:name w:val="Body Text Indent 2"/>
    <w:basedOn w:val="Normal"/>
    <w:link w:val="BodyTextIndent2Char"/>
    <w:uiPriority w:val="99"/>
    <w:semiHidden/>
    <w:unhideWhenUsed/>
    <w:rsid w:val="00CC2B8C"/>
    <w:pPr>
      <w:widowControl w:val="0"/>
      <w:adjustRightInd w:val="0"/>
      <w:spacing w:after="120" w:line="480" w:lineRule="auto"/>
      <w:ind w:left="283"/>
      <w:jc w:val="both"/>
      <w:textAlignment w:val="baseline"/>
    </w:pPr>
    <w:rPr>
      <w:rFonts w:ascii="Verdana" w:eastAsia="Times New Roman" w:hAnsi="Verdana" w:cs="Times New Roman"/>
      <w:sz w:val="24"/>
      <w:szCs w:val="24"/>
      <w:lang w:val="es-CR" w:eastAsia="es-CR"/>
    </w:rPr>
  </w:style>
  <w:style w:type="character" w:customStyle="1" w:styleId="BodyTextIndent2Char">
    <w:name w:val="Body Text Indent 2 Char"/>
    <w:basedOn w:val="DefaultParagraphFont"/>
    <w:link w:val="BodyTextIndent2"/>
    <w:uiPriority w:val="99"/>
    <w:semiHidden/>
    <w:rsid w:val="00CC2B8C"/>
    <w:rPr>
      <w:rFonts w:ascii="Verdana" w:eastAsia="Times New Roman" w:hAnsi="Verdana" w:cs="Times New Roman"/>
      <w:sz w:val="24"/>
      <w:szCs w:val="24"/>
      <w:lang w:val="es-CR" w:eastAsia="es-CR"/>
    </w:rPr>
  </w:style>
  <w:style w:type="character" w:styleId="CommentReference">
    <w:name w:val="annotation reference"/>
    <w:basedOn w:val="DefaultParagraphFont"/>
    <w:uiPriority w:val="99"/>
    <w:semiHidden/>
    <w:unhideWhenUsed/>
    <w:rsid w:val="00FE0B98"/>
    <w:rPr>
      <w:sz w:val="16"/>
      <w:szCs w:val="16"/>
    </w:rPr>
  </w:style>
  <w:style w:type="paragraph" w:customStyle="1" w:styleId="AutoCorrect">
    <w:name w:val="AutoCorrect"/>
    <w:rsid w:val="004731B1"/>
    <w:rPr>
      <w:rFonts w:eastAsiaTheme="minorEastAsia"/>
      <w:lang w:val="es-CR" w:eastAsia="es-CR"/>
    </w:rPr>
  </w:style>
  <w:style w:type="character" w:customStyle="1" w:styleId="Heading3Char">
    <w:name w:val="Heading 3 Char"/>
    <w:basedOn w:val="DefaultParagraphFont"/>
    <w:uiPriority w:val="9"/>
    <w:rsid w:val="004731B1"/>
    <w:rPr>
      <w:rFonts w:ascii="Verdana" w:eastAsia="Calibri" w:hAnsi="Verdana" w:cs="Times New Roman"/>
      <w:b/>
      <w:spacing w:val="-2"/>
      <w:sz w:val="20"/>
      <w:szCs w:val="20"/>
      <w:lang w:val="es-ES" w:eastAsia="x-none"/>
    </w:rPr>
  </w:style>
  <w:style w:type="character" w:customStyle="1" w:styleId="Heading4Char">
    <w:name w:val="Heading 4 Char"/>
    <w:basedOn w:val="DefaultParagraphFont"/>
    <w:uiPriority w:val="9"/>
    <w:rsid w:val="004731B1"/>
    <w:rPr>
      <w:rFonts w:ascii="Verdana" w:eastAsia="Times New Roman" w:hAnsi="Verdana" w:cs="Times New Roman"/>
      <w:i/>
      <w:spacing w:val="-2"/>
      <w:sz w:val="20"/>
      <w:szCs w:val="20"/>
      <w:lang w:val="es-VE"/>
    </w:rPr>
  </w:style>
  <w:style w:type="character" w:customStyle="1" w:styleId="Heading6Char">
    <w:name w:val="Heading 6 Char"/>
    <w:basedOn w:val="DefaultParagraphFont"/>
    <w:uiPriority w:val="9"/>
    <w:rsid w:val="004731B1"/>
    <w:rPr>
      <w:rFonts w:ascii="Verdana" w:eastAsia="Times New Roman" w:hAnsi="Verdana" w:cs="Times New Roman"/>
      <w:spacing w:val="-2"/>
      <w:sz w:val="20"/>
      <w:szCs w:val="20"/>
      <w:lang w:val="es-ES_tradnl" w:eastAsia="x-none"/>
    </w:rPr>
  </w:style>
  <w:style w:type="character" w:customStyle="1" w:styleId="HeaderChar">
    <w:name w:val="Header Char"/>
    <w:basedOn w:val="DefaultParagraphFont"/>
    <w:uiPriority w:val="99"/>
    <w:rsid w:val="004731B1"/>
    <w:rPr>
      <w:rFonts w:eastAsiaTheme="minorHAnsi"/>
      <w:lang w:val="es-MX" w:eastAsia="en-US"/>
    </w:rPr>
  </w:style>
  <w:style w:type="character" w:customStyle="1" w:styleId="FooterChar">
    <w:name w:val="Footer Char"/>
    <w:basedOn w:val="DefaultParagraphFont"/>
    <w:uiPriority w:val="99"/>
    <w:rsid w:val="004731B1"/>
    <w:rPr>
      <w:rFonts w:eastAsiaTheme="minorHAnsi"/>
      <w:lang w:val="es-MX"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uiPriority w:val="99"/>
    <w:rsid w:val="004731B1"/>
    <w:rPr>
      <w:rFonts w:eastAsiaTheme="minorHAnsi"/>
      <w:sz w:val="20"/>
      <w:szCs w:val="20"/>
      <w:lang w:val="es-MX" w:eastAsia="en-US"/>
    </w:rPr>
  </w:style>
  <w:style w:type="character" w:customStyle="1" w:styleId="EndnoteTextChar">
    <w:name w:val="Endnote Text Char"/>
    <w:basedOn w:val="DefaultParagraphFont"/>
    <w:uiPriority w:val="99"/>
    <w:rsid w:val="004731B1"/>
    <w:rPr>
      <w:rFonts w:eastAsiaTheme="minorHAnsi"/>
      <w:sz w:val="24"/>
      <w:szCs w:val="24"/>
      <w:lang w:val="es-MX" w:eastAsia="en-US"/>
    </w:rPr>
  </w:style>
  <w:style w:type="character" w:customStyle="1" w:styleId="ListParagraphChar">
    <w:name w:val="List Paragraph Char"/>
    <w:aliases w:val="Párrafo de lista1 Char,Footnote Char,Colorful List - Accent 11 Char,List Paragraph1 Char"/>
    <w:basedOn w:val="DefaultParagraphFont"/>
    <w:uiPriority w:val="99"/>
    <w:locked/>
    <w:rsid w:val="004731B1"/>
    <w:rPr>
      <w:rFonts w:eastAsiaTheme="minorHAnsi"/>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F5"/>
  </w:style>
  <w:style w:type="paragraph" w:styleId="Heading3">
    <w:name w:val="heading 3"/>
    <w:basedOn w:val="Normal"/>
    <w:next w:val="Normal"/>
    <w:link w:val="Heading3Char1"/>
    <w:uiPriority w:val="9"/>
    <w:qFormat/>
    <w:rsid w:val="00D94014"/>
    <w:pPr>
      <w:tabs>
        <w:tab w:val="left" w:pos="567"/>
      </w:tabs>
      <w:autoSpaceDE w:val="0"/>
      <w:autoSpaceDN w:val="0"/>
      <w:spacing w:after="0" w:line="240" w:lineRule="auto"/>
      <w:ind w:left="1416"/>
      <w:contextualSpacing/>
      <w:jc w:val="both"/>
      <w:outlineLvl w:val="2"/>
    </w:pPr>
    <w:rPr>
      <w:rFonts w:ascii="Verdana" w:eastAsia="Calibri" w:hAnsi="Verdana" w:cs="Times New Roman"/>
      <w:b/>
      <w:spacing w:val="-2"/>
      <w:sz w:val="20"/>
      <w:szCs w:val="20"/>
      <w:lang w:val="es-ES" w:eastAsia="x-none"/>
    </w:rPr>
  </w:style>
  <w:style w:type="paragraph" w:styleId="Heading4">
    <w:name w:val="heading 4"/>
    <w:basedOn w:val="Normal"/>
    <w:next w:val="Normal"/>
    <w:link w:val="Heading4Char1"/>
    <w:uiPriority w:val="9"/>
    <w:qFormat/>
    <w:rsid w:val="00D94014"/>
    <w:pPr>
      <w:widowControl w:val="0"/>
      <w:adjustRightInd w:val="0"/>
      <w:spacing w:after="0" w:line="240" w:lineRule="auto"/>
      <w:ind w:left="708" w:firstLine="708"/>
      <w:jc w:val="both"/>
      <w:textAlignment w:val="baseline"/>
      <w:outlineLvl w:val="3"/>
    </w:pPr>
    <w:rPr>
      <w:rFonts w:ascii="Verdana" w:eastAsia="Times New Roman" w:hAnsi="Verdana" w:cs="Times New Roman"/>
      <w:i/>
      <w:spacing w:val="-2"/>
      <w:sz w:val="20"/>
      <w:szCs w:val="20"/>
      <w:lang w:val="es-VE" w:eastAsia="es-CR"/>
    </w:rPr>
  </w:style>
  <w:style w:type="paragraph" w:styleId="Heading5">
    <w:name w:val="heading 5"/>
    <w:basedOn w:val="Normal"/>
    <w:next w:val="Normal"/>
    <w:link w:val="Heading5Char"/>
    <w:uiPriority w:val="9"/>
    <w:semiHidden/>
    <w:unhideWhenUsed/>
    <w:qFormat/>
    <w:rsid w:val="00D9401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1"/>
    <w:uiPriority w:val="9"/>
    <w:qFormat/>
    <w:rsid w:val="00D94014"/>
    <w:pPr>
      <w:keepNext w:val="0"/>
      <w:keepLines w:val="0"/>
      <w:tabs>
        <w:tab w:val="num" w:pos="3600"/>
      </w:tabs>
      <w:spacing w:before="0" w:line="240" w:lineRule="auto"/>
      <w:ind w:left="3600" w:hanging="360"/>
      <w:jc w:val="both"/>
      <w:outlineLvl w:val="5"/>
    </w:pPr>
    <w:rPr>
      <w:rFonts w:ascii="Verdana" w:eastAsia="Times New Roman" w:hAnsi="Verdana" w:cs="Times New Roman"/>
      <w:color w:val="auto"/>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basedOn w:val="DefaultParagraphFont"/>
    <w:link w:val="Heading3"/>
    <w:uiPriority w:val="9"/>
    <w:rsid w:val="00D94014"/>
    <w:rPr>
      <w:rFonts w:ascii="Verdana" w:eastAsia="Calibri" w:hAnsi="Verdana" w:cs="Times New Roman"/>
      <w:b/>
      <w:spacing w:val="-2"/>
      <w:sz w:val="20"/>
      <w:szCs w:val="20"/>
      <w:lang w:val="es-ES" w:eastAsia="x-none"/>
    </w:rPr>
  </w:style>
  <w:style w:type="character" w:customStyle="1" w:styleId="Heading4Char1">
    <w:name w:val="Heading 4 Char1"/>
    <w:basedOn w:val="DefaultParagraphFont"/>
    <w:link w:val="Heading4"/>
    <w:uiPriority w:val="9"/>
    <w:rsid w:val="00D94014"/>
    <w:rPr>
      <w:rFonts w:ascii="Verdana" w:eastAsia="Times New Roman" w:hAnsi="Verdana" w:cs="Times New Roman"/>
      <w:i/>
      <w:spacing w:val="-2"/>
      <w:sz w:val="20"/>
      <w:szCs w:val="20"/>
      <w:lang w:val="es-VE" w:eastAsia="es-CR"/>
    </w:rPr>
  </w:style>
  <w:style w:type="character" w:customStyle="1" w:styleId="Heading5Char">
    <w:name w:val="Heading 5 Char"/>
    <w:basedOn w:val="DefaultParagraphFont"/>
    <w:link w:val="Heading5"/>
    <w:uiPriority w:val="9"/>
    <w:semiHidden/>
    <w:rsid w:val="00D94014"/>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rsid w:val="00D94014"/>
    <w:rPr>
      <w:rFonts w:ascii="Verdana" w:eastAsia="Times New Roman" w:hAnsi="Verdana" w:cs="Times New Roman"/>
      <w:spacing w:val="-2"/>
      <w:sz w:val="20"/>
      <w:szCs w:val="20"/>
      <w:lang w:val="es-ES_tradnl" w:eastAsia="x-none"/>
    </w:rPr>
  </w:style>
  <w:style w:type="paragraph" w:styleId="ListParagraph">
    <w:name w:val="List Paragraph"/>
    <w:aliases w:val="Párrafo de lista1,Footnote,Colorful List - Accent 11,List Paragraph1"/>
    <w:basedOn w:val="Normal"/>
    <w:link w:val="ListParagraphChar1"/>
    <w:uiPriority w:val="99"/>
    <w:qFormat/>
    <w:rsid w:val="009A4AA8"/>
    <w:pPr>
      <w:ind w:left="720"/>
      <w:contextualSpacing/>
    </w:pPr>
  </w:style>
  <w:style w:type="character" w:customStyle="1" w:styleId="ListParagraphChar1">
    <w:name w:val="List Paragraph Char1"/>
    <w:aliases w:val="Párrafo de lista1 Char1,Footnote Char1,Colorful List - Accent 11 Char1,List Paragraph1 Char1"/>
    <w:basedOn w:val="DefaultParagraphFont"/>
    <w:link w:val="ListParagraph"/>
    <w:uiPriority w:val="99"/>
    <w:locked/>
    <w:rsid w:val="00B04005"/>
  </w:style>
  <w:style w:type="paragraph" w:styleId="Header">
    <w:name w:val="header"/>
    <w:basedOn w:val="Normal"/>
    <w:link w:val="HeaderChar1"/>
    <w:uiPriority w:val="99"/>
    <w:unhideWhenUsed/>
    <w:rsid w:val="009A4AA8"/>
    <w:pPr>
      <w:tabs>
        <w:tab w:val="center" w:pos="4419"/>
        <w:tab w:val="right" w:pos="8838"/>
      </w:tabs>
      <w:spacing w:after="0" w:line="240" w:lineRule="auto"/>
    </w:pPr>
  </w:style>
  <w:style w:type="character" w:customStyle="1" w:styleId="HeaderChar1">
    <w:name w:val="Header Char1"/>
    <w:basedOn w:val="DefaultParagraphFont"/>
    <w:link w:val="Header"/>
    <w:uiPriority w:val="99"/>
    <w:rsid w:val="009A4AA8"/>
  </w:style>
  <w:style w:type="paragraph" w:styleId="Footer">
    <w:name w:val="footer"/>
    <w:basedOn w:val="Normal"/>
    <w:link w:val="FooterChar1"/>
    <w:uiPriority w:val="99"/>
    <w:unhideWhenUsed/>
    <w:rsid w:val="009A4AA8"/>
    <w:pPr>
      <w:tabs>
        <w:tab w:val="center" w:pos="4419"/>
        <w:tab w:val="right" w:pos="8838"/>
      </w:tabs>
      <w:spacing w:after="0" w:line="240" w:lineRule="auto"/>
    </w:pPr>
  </w:style>
  <w:style w:type="character" w:customStyle="1" w:styleId="FooterChar1">
    <w:name w:val="Footer Char1"/>
    <w:basedOn w:val="DefaultParagraphFont"/>
    <w:link w:val="Footer"/>
    <w:uiPriority w:val="99"/>
    <w:rsid w:val="009A4AA8"/>
  </w:style>
  <w:style w:type="paragraph" w:styleId="NormalWeb">
    <w:name w:val="Normal (Web)"/>
    <w:basedOn w:val="Normal"/>
    <w:uiPriority w:val="99"/>
    <w:unhideWhenUsed/>
    <w:rsid w:val="009A4AA8"/>
    <w:pPr>
      <w:spacing w:before="100" w:beforeAutospacing="1" w:after="100" w:afterAutospacing="1" w:line="240" w:lineRule="auto"/>
    </w:pPr>
    <w:rPr>
      <w:rFonts w:ascii="Times" w:hAnsi="Times" w:cs="Times New Roman"/>
      <w:sz w:val="20"/>
      <w:szCs w:val="20"/>
      <w:lang w:val="es-ES_tradnl" w:eastAsia="es-ES"/>
    </w:rPr>
  </w:style>
  <w:style w:type="paragraph" w:styleId="CommentText">
    <w:name w:val="annotation text"/>
    <w:basedOn w:val="Normal"/>
    <w:link w:val="CommentTextChar"/>
    <w:uiPriority w:val="99"/>
    <w:semiHidden/>
    <w:unhideWhenUsed/>
    <w:rsid w:val="009A4AA8"/>
    <w:pPr>
      <w:spacing w:line="240" w:lineRule="auto"/>
    </w:pPr>
    <w:rPr>
      <w:sz w:val="20"/>
      <w:szCs w:val="20"/>
    </w:rPr>
  </w:style>
  <w:style w:type="character" w:customStyle="1" w:styleId="CommentTextChar">
    <w:name w:val="Comment Text Char"/>
    <w:basedOn w:val="DefaultParagraphFont"/>
    <w:link w:val="CommentText"/>
    <w:uiPriority w:val="99"/>
    <w:semiHidden/>
    <w:rsid w:val="009A4AA8"/>
    <w:rPr>
      <w:sz w:val="20"/>
      <w:szCs w:val="20"/>
    </w:rPr>
  </w:style>
  <w:style w:type="paragraph" w:styleId="CommentSubject">
    <w:name w:val="annotation subject"/>
    <w:basedOn w:val="CommentText"/>
    <w:next w:val="CommentText"/>
    <w:link w:val="CommentSubjectChar"/>
    <w:uiPriority w:val="99"/>
    <w:semiHidden/>
    <w:unhideWhenUsed/>
    <w:rsid w:val="009A4AA8"/>
    <w:rPr>
      <w:b/>
      <w:bCs/>
    </w:rPr>
  </w:style>
  <w:style w:type="character" w:customStyle="1" w:styleId="CommentSubjectChar">
    <w:name w:val="Comment Subject Char"/>
    <w:basedOn w:val="CommentTextChar"/>
    <w:link w:val="CommentSubject"/>
    <w:uiPriority w:val="99"/>
    <w:semiHidden/>
    <w:rsid w:val="009A4AA8"/>
    <w:rPr>
      <w:b/>
      <w:bCs/>
      <w:sz w:val="20"/>
      <w:szCs w:val="20"/>
    </w:rPr>
  </w:style>
  <w:style w:type="paragraph" w:styleId="BalloonText">
    <w:name w:val="Balloon Text"/>
    <w:basedOn w:val="Normal"/>
    <w:link w:val="BalloonTextChar"/>
    <w:uiPriority w:val="99"/>
    <w:semiHidden/>
    <w:unhideWhenUsed/>
    <w:rsid w:val="009A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A8"/>
    <w:rPr>
      <w:rFonts w:ascii="Tahoma" w:hAnsi="Tahoma" w:cs="Tahoma"/>
      <w:sz w:val="16"/>
      <w:szCs w:val="16"/>
    </w:rPr>
  </w:style>
  <w:style w:type="character" w:customStyle="1" w:styleId="sb8d990e2">
    <w:name w:val="sb8d990e2"/>
    <w:basedOn w:val="DefaultParagraphFont"/>
    <w:rsid w:val="009A4AA8"/>
  </w:style>
  <w:style w:type="character" w:customStyle="1" w:styleId="apple-converted-space">
    <w:name w:val="apple-converted-space"/>
    <w:basedOn w:val="DefaultParagraphFont"/>
    <w:rsid w:val="009A4AA8"/>
  </w:style>
  <w:style w:type="character" w:customStyle="1" w:styleId="s6b621b36">
    <w:name w:val="s6b621b36"/>
    <w:basedOn w:val="DefaultParagraphFont"/>
    <w:rsid w:val="009A4AA8"/>
  </w:style>
  <w:style w:type="character" w:styleId="Hyperlink">
    <w:name w:val="Hyperlink"/>
    <w:basedOn w:val="DefaultParagraphFont"/>
    <w:uiPriority w:val="99"/>
    <w:unhideWhenUsed/>
    <w:rsid w:val="009A4AA8"/>
    <w:rPr>
      <w:color w:val="0000FF"/>
      <w:u w:val="singl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1"/>
    <w:uiPriority w:val="99"/>
    <w:unhideWhenUsed/>
    <w:qFormat/>
    <w:rsid w:val="009A4AA8"/>
    <w:pPr>
      <w:spacing w:after="0" w:line="240" w:lineRule="auto"/>
    </w:pPr>
    <w:rPr>
      <w:sz w:val="20"/>
      <w:szCs w:val="20"/>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rsid w:val="009A4AA8"/>
    <w:rPr>
      <w:sz w:val="20"/>
      <w:szCs w:val="20"/>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iPriority w:val="99"/>
    <w:unhideWhenUsed/>
    <w:qFormat/>
    <w:rsid w:val="009A4AA8"/>
    <w:rPr>
      <w:vertAlign w:val="superscript"/>
    </w:rPr>
  </w:style>
  <w:style w:type="paragraph" w:customStyle="1" w:styleId="s269b7f08">
    <w:name w:val="s269b7f08"/>
    <w:basedOn w:val="Normal"/>
    <w:rsid w:val="009A4A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f6541cea">
    <w:name w:val="sf6541cea"/>
    <w:basedOn w:val="DefaultParagraphFont"/>
    <w:rsid w:val="009A4AA8"/>
  </w:style>
  <w:style w:type="paragraph" w:customStyle="1" w:styleId="s30eec3f8">
    <w:name w:val="s30eec3f8"/>
    <w:basedOn w:val="Normal"/>
    <w:rsid w:val="009A4A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ordhighlighted">
    <w:name w:val="wordhighlighted"/>
    <w:basedOn w:val="DefaultParagraphFont"/>
    <w:rsid w:val="009A4AA8"/>
  </w:style>
  <w:style w:type="paragraph" w:customStyle="1" w:styleId="s8b146764">
    <w:name w:val="s8b146764"/>
    <w:basedOn w:val="Normal"/>
    <w:rsid w:val="009A4A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7d2086b4">
    <w:name w:val="s7d2086b4"/>
    <w:basedOn w:val="DefaultParagraphFont"/>
    <w:rsid w:val="009A4AA8"/>
  </w:style>
  <w:style w:type="paragraph" w:styleId="Revision">
    <w:name w:val="Revision"/>
    <w:hidden/>
    <w:uiPriority w:val="99"/>
    <w:semiHidden/>
    <w:rsid w:val="009A4AA8"/>
    <w:pPr>
      <w:spacing w:after="0" w:line="240" w:lineRule="auto"/>
    </w:pPr>
  </w:style>
  <w:style w:type="character" w:styleId="PageNumber">
    <w:name w:val="page number"/>
    <w:basedOn w:val="DefaultParagraphFont"/>
    <w:uiPriority w:val="99"/>
    <w:semiHidden/>
    <w:unhideWhenUsed/>
    <w:rsid w:val="009A4AA8"/>
  </w:style>
  <w:style w:type="paragraph" w:customStyle="1" w:styleId="Estilo2">
    <w:name w:val="Estilo2"/>
    <w:basedOn w:val="Normal"/>
    <w:link w:val="Estilo2Car"/>
    <w:qFormat/>
    <w:rsid w:val="009A4AA8"/>
    <w:pPr>
      <w:tabs>
        <w:tab w:val="left" w:pos="720"/>
        <w:tab w:val="num" w:pos="6261"/>
      </w:tabs>
      <w:spacing w:after="120" w:line="240" w:lineRule="auto"/>
      <w:ind w:right="-522"/>
      <w:jc w:val="both"/>
    </w:pPr>
    <w:rPr>
      <w:rFonts w:ascii="Verdana" w:eastAsia="Calibri" w:hAnsi="Verdana" w:cs="Times New Roman"/>
      <w:spacing w:val="-2"/>
      <w:sz w:val="20"/>
      <w:szCs w:val="20"/>
      <w:lang w:val="es-CR"/>
    </w:rPr>
  </w:style>
  <w:style w:type="character" w:customStyle="1" w:styleId="Estilo2Car">
    <w:name w:val="Estilo2 Car"/>
    <w:basedOn w:val="DefaultParagraphFont"/>
    <w:link w:val="Estilo2"/>
    <w:rsid w:val="009A4AA8"/>
    <w:rPr>
      <w:rFonts w:ascii="Verdana" w:eastAsia="Calibri" w:hAnsi="Verdana" w:cs="Times New Roman"/>
      <w:spacing w:val="-2"/>
      <w:sz w:val="20"/>
      <w:szCs w:val="20"/>
      <w:lang w:val="es-CR"/>
    </w:rPr>
  </w:style>
  <w:style w:type="paragraph" w:customStyle="1" w:styleId="s32b251d">
    <w:name w:val="s32b251d"/>
    <w:basedOn w:val="Normal"/>
    <w:rsid w:val="009A4AA8"/>
    <w:pPr>
      <w:spacing w:before="100" w:beforeAutospacing="1" w:after="100" w:afterAutospacing="1" w:line="240" w:lineRule="auto"/>
    </w:pPr>
    <w:rPr>
      <w:rFonts w:ascii="Times" w:hAnsi="Times"/>
      <w:sz w:val="20"/>
      <w:szCs w:val="20"/>
      <w:lang w:val="es-ES_tradnl" w:eastAsia="es-ES"/>
    </w:rPr>
  </w:style>
  <w:style w:type="character" w:customStyle="1" w:styleId="sae070d1d">
    <w:name w:val="sae070d1d"/>
    <w:basedOn w:val="DefaultParagraphFont"/>
    <w:rsid w:val="009A4AA8"/>
  </w:style>
  <w:style w:type="paragraph" w:styleId="EndnoteText">
    <w:name w:val="endnote text"/>
    <w:basedOn w:val="Normal"/>
    <w:link w:val="EndnoteTextChar1"/>
    <w:uiPriority w:val="99"/>
    <w:unhideWhenUsed/>
    <w:rsid w:val="009A4AA8"/>
    <w:pPr>
      <w:spacing w:after="0" w:line="240" w:lineRule="auto"/>
    </w:pPr>
    <w:rPr>
      <w:sz w:val="24"/>
      <w:szCs w:val="24"/>
    </w:rPr>
  </w:style>
  <w:style w:type="character" w:customStyle="1" w:styleId="EndnoteTextChar1">
    <w:name w:val="Endnote Text Char1"/>
    <w:basedOn w:val="DefaultParagraphFont"/>
    <w:link w:val="EndnoteText"/>
    <w:uiPriority w:val="99"/>
    <w:rsid w:val="009A4AA8"/>
    <w:rPr>
      <w:sz w:val="24"/>
      <w:szCs w:val="24"/>
    </w:rPr>
  </w:style>
  <w:style w:type="character" w:styleId="EndnoteReference">
    <w:name w:val="endnote reference"/>
    <w:basedOn w:val="DefaultParagraphFont"/>
    <w:uiPriority w:val="99"/>
    <w:unhideWhenUsed/>
    <w:rsid w:val="009A4AA8"/>
    <w:rPr>
      <w:vertAlign w:val="superscript"/>
    </w:rPr>
  </w:style>
  <w:style w:type="character" w:styleId="Strong">
    <w:name w:val="Strong"/>
    <w:basedOn w:val="DefaultParagraphFont"/>
    <w:uiPriority w:val="22"/>
    <w:qFormat/>
    <w:rsid w:val="009A4AA8"/>
    <w:rPr>
      <w:b/>
      <w:bCs/>
    </w:rPr>
  </w:style>
  <w:style w:type="paragraph" w:customStyle="1" w:styleId="Default">
    <w:name w:val="Default"/>
    <w:rsid w:val="00686CDC"/>
    <w:pPr>
      <w:autoSpaceDE w:val="0"/>
      <w:autoSpaceDN w:val="0"/>
      <w:adjustRightInd w:val="0"/>
      <w:spacing w:after="0" w:line="240" w:lineRule="auto"/>
    </w:pPr>
    <w:rPr>
      <w:rFonts w:ascii="Verdana" w:eastAsia="Calibri" w:hAnsi="Verdana" w:cs="Verdana"/>
      <w:color w:val="000000"/>
      <w:spacing w:val="-4"/>
      <w:sz w:val="24"/>
      <w:szCs w:val="24"/>
      <w:lang w:val="es-CR"/>
    </w:rPr>
  </w:style>
  <w:style w:type="character" w:customStyle="1" w:styleId="Cuadrculamediana1-nfasis2Car">
    <w:name w:val="Cuadrícula mediana 1 - Énfasis 2 Car"/>
    <w:link w:val="MediumGrid1-Accent2"/>
    <w:uiPriority w:val="99"/>
    <w:rsid w:val="00152717"/>
    <w:rPr>
      <w:rFonts w:eastAsia="Times New Roman"/>
      <w:spacing w:val="0"/>
      <w:lang w:eastAsia="es-CR"/>
    </w:rPr>
  </w:style>
  <w:style w:type="table" w:styleId="MediumGrid1-Accent2">
    <w:name w:val="Medium Grid 1 Accent 2"/>
    <w:basedOn w:val="TableNormal"/>
    <w:link w:val="Cuadrculamediana1-nfasis2Car"/>
    <w:uiPriority w:val="99"/>
    <w:rsid w:val="00152717"/>
    <w:pPr>
      <w:spacing w:after="0" w:line="240" w:lineRule="auto"/>
    </w:pPr>
    <w:rPr>
      <w:rFonts w:eastAsia="Times New Roman"/>
      <w:lang w:eastAsia="es-C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odyTextIndent2">
    <w:name w:val="Body Text Indent 2"/>
    <w:basedOn w:val="Normal"/>
    <w:link w:val="BodyTextIndent2Char"/>
    <w:uiPriority w:val="99"/>
    <w:semiHidden/>
    <w:unhideWhenUsed/>
    <w:rsid w:val="00CC2B8C"/>
    <w:pPr>
      <w:widowControl w:val="0"/>
      <w:adjustRightInd w:val="0"/>
      <w:spacing w:after="120" w:line="480" w:lineRule="auto"/>
      <w:ind w:left="283"/>
      <w:jc w:val="both"/>
      <w:textAlignment w:val="baseline"/>
    </w:pPr>
    <w:rPr>
      <w:rFonts w:ascii="Verdana" w:eastAsia="Times New Roman" w:hAnsi="Verdana" w:cs="Times New Roman"/>
      <w:sz w:val="24"/>
      <w:szCs w:val="24"/>
      <w:lang w:val="es-CR" w:eastAsia="es-CR"/>
    </w:rPr>
  </w:style>
  <w:style w:type="character" w:customStyle="1" w:styleId="BodyTextIndent2Char">
    <w:name w:val="Body Text Indent 2 Char"/>
    <w:basedOn w:val="DefaultParagraphFont"/>
    <w:link w:val="BodyTextIndent2"/>
    <w:uiPriority w:val="99"/>
    <w:semiHidden/>
    <w:rsid w:val="00CC2B8C"/>
    <w:rPr>
      <w:rFonts w:ascii="Verdana" w:eastAsia="Times New Roman" w:hAnsi="Verdana" w:cs="Times New Roman"/>
      <w:sz w:val="24"/>
      <w:szCs w:val="24"/>
      <w:lang w:val="es-CR" w:eastAsia="es-CR"/>
    </w:rPr>
  </w:style>
  <w:style w:type="character" w:styleId="CommentReference">
    <w:name w:val="annotation reference"/>
    <w:basedOn w:val="DefaultParagraphFont"/>
    <w:uiPriority w:val="99"/>
    <w:semiHidden/>
    <w:unhideWhenUsed/>
    <w:rsid w:val="00FE0B98"/>
    <w:rPr>
      <w:sz w:val="16"/>
      <w:szCs w:val="16"/>
    </w:rPr>
  </w:style>
  <w:style w:type="paragraph" w:customStyle="1" w:styleId="AutoCorrect">
    <w:name w:val="AutoCorrect"/>
    <w:rsid w:val="004731B1"/>
    <w:rPr>
      <w:rFonts w:eastAsiaTheme="minorEastAsia"/>
      <w:lang w:val="es-CR" w:eastAsia="es-CR"/>
    </w:rPr>
  </w:style>
  <w:style w:type="character" w:customStyle="1" w:styleId="Heading3Char">
    <w:name w:val="Heading 3 Char"/>
    <w:basedOn w:val="DefaultParagraphFont"/>
    <w:uiPriority w:val="9"/>
    <w:rsid w:val="004731B1"/>
    <w:rPr>
      <w:rFonts w:ascii="Verdana" w:eastAsia="Calibri" w:hAnsi="Verdana" w:cs="Times New Roman"/>
      <w:b/>
      <w:spacing w:val="-2"/>
      <w:sz w:val="20"/>
      <w:szCs w:val="20"/>
      <w:lang w:val="es-ES" w:eastAsia="x-none"/>
    </w:rPr>
  </w:style>
  <w:style w:type="character" w:customStyle="1" w:styleId="Heading4Char">
    <w:name w:val="Heading 4 Char"/>
    <w:basedOn w:val="DefaultParagraphFont"/>
    <w:uiPriority w:val="9"/>
    <w:rsid w:val="004731B1"/>
    <w:rPr>
      <w:rFonts w:ascii="Verdana" w:eastAsia="Times New Roman" w:hAnsi="Verdana" w:cs="Times New Roman"/>
      <w:i/>
      <w:spacing w:val="-2"/>
      <w:sz w:val="20"/>
      <w:szCs w:val="20"/>
      <w:lang w:val="es-VE"/>
    </w:rPr>
  </w:style>
  <w:style w:type="character" w:customStyle="1" w:styleId="Heading6Char">
    <w:name w:val="Heading 6 Char"/>
    <w:basedOn w:val="DefaultParagraphFont"/>
    <w:uiPriority w:val="9"/>
    <w:rsid w:val="004731B1"/>
    <w:rPr>
      <w:rFonts w:ascii="Verdana" w:eastAsia="Times New Roman" w:hAnsi="Verdana" w:cs="Times New Roman"/>
      <w:spacing w:val="-2"/>
      <w:sz w:val="20"/>
      <w:szCs w:val="20"/>
      <w:lang w:val="es-ES_tradnl" w:eastAsia="x-none"/>
    </w:rPr>
  </w:style>
  <w:style w:type="character" w:customStyle="1" w:styleId="HeaderChar">
    <w:name w:val="Header Char"/>
    <w:basedOn w:val="DefaultParagraphFont"/>
    <w:uiPriority w:val="99"/>
    <w:rsid w:val="004731B1"/>
    <w:rPr>
      <w:rFonts w:eastAsiaTheme="minorHAnsi"/>
      <w:lang w:val="es-MX" w:eastAsia="en-US"/>
    </w:rPr>
  </w:style>
  <w:style w:type="character" w:customStyle="1" w:styleId="FooterChar">
    <w:name w:val="Footer Char"/>
    <w:basedOn w:val="DefaultParagraphFont"/>
    <w:uiPriority w:val="99"/>
    <w:rsid w:val="004731B1"/>
    <w:rPr>
      <w:rFonts w:eastAsiaTheme="minorHAnsi"/>
      <w:lang w:val="es-MX"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uiPriority w:val="99"/>
    <w:rsid w:val="004731B1"/>
    <w:rPr>
      <w:rFonts w:eastAsiaTheme="minorHAnsi"/>
      <w:sz w:val="20"/>
      <w:szCs w:val="20"/>
      <w:lang w:val="es-MX" w:eastAsia="en-US"/>
    </w:rPr>
  </w:style>
  <w:style w:type="character" w:customStyle="1" w:styleId="EndnoteTextChar">
    <w:name w:val="Endnote Text Char"/>
    <w:basedOn w:val="DefaultParagraphFont"/>
    <w:uiPriority w:val="99"/>
    <w:rsid w:val="004731B1"/>
    <w:rPr>
      <w:rFonts w:eastAsiaTheme="minorHAnsi"/>
      <w:sz w:val="24"/>
      <w:szCs w:val="24"/>
      <w:lang w:val="es-MX" w:eastAsia="en-US"/>
    </w:rPr>
  </w:style>
  <w:style w:type="character" w:customStyle="1" w:styleId="ListParagraphChar">
    <w:name w:val="List Paragraph Char"/>
    <w:aliases w:val="Párrafo de lista1 Char,Footnote Char,Colorful List - Accent 11 Char,List Paragraph1 Char"/>
    <w:basedOn w:val="DefaultParagraphFont"/>
    <w:uiPriority w:val="99"/>
    <w:locked/>
    <w:rsid w:val="004731B1"/>
    <w:rPr>
      <w:rFonts w:eastAsiaTheme="minorHAns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434">
      <w:bodyDiv w:val="1"/>
      <w:marLeft w:val="0"/>
      <w:marRight w:val="0"/>
      <w:marTop w:val="0"/>
      <w:marBottom w:val="0"/>
      <w:divBdr>
        <w:top w:val="none" w:sz="0" w:space="0" w:color="auto"/>
        <w:left w:val="none" w:sz="0" w:space="0" w:color="auto"/>
        <w:bottom w:val="none" w:sz="0" w:space="0" w:color="auto"/>
        <w:right w:val="none" w:sz="0" w:space="0" w:color="auto"/>
      </w:divBdr>
      <w:divsChild>
        <w:div w:id="1406147976">
          <w:marLeft w:val="0"/>
          <w:marRight w:val="0"/>
          <w:marTop w:val="0"/>
          <w:marBottom w:val="0"/>
          <w:divBdr>
            <w:top w:val="none" w:sz="0" w:space="0" w:color="auto"/>
            <w:left w:val="none" w:sz="0" w:space="0" w:color="auto"/>
            <w:bottom w:val="none" w:sz="0" w:space="0" w:color="auto"/>
            <w:right w:val="none" w:sz="0" w:space="0" w:color="auto"/>
          </w:divBdr>
          <w:divsChild>
            <w:div w:id="176388513">
              <w:marLeft w:val="0"/>
              <w:marRight w:val="0"/>
              <w:marTop w:val="0"/>
              <w:marBottom w:val="0"/>
              <w:divBdr>
                <w:top w:val="none" w:sz="0" w:space="0" w:color="auto"/>
                <w:left w:val="none" w:sz="0" w:space="0" w:color="auto"/>
                <w:bottom w:val="none" w:sz="0" w:space="0" w:color="auto"/>
                <w:right w:val="none" w:sz="0" w:space="0" w:color="auto"/>
              </w:divBdr>
              <w:divsChild>
                <w:div w:id="734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6933">
      <w:bodyDiv w:val="1"/>
      <w:marLeft w:val="0"/>
      <w:marRight w:val="0"/>
      <w:marTop w:val="0"/>
      <w:marBottom w:val="0"/>
      <w:divBdr>
        <w:top w:val="none" w:sz="0" w:space="0" w:color="auto"/>
        <w:left w:val="none" w:sz="0" w:space="0" w:color="auto"/>
        <w:bottom w:val="none" w:sz="0" w:space="0" w:color="auto"/>
        <w:right w:val="none" w:sz="0" w:space="0" w:color="auto"/>
      </w:divBdr>
      <w:divsChild>
        <w:div w:id="58216011">
          <w:marLeft w:val="0"/>
          <w:marRight w:val="0"/>
          <w:marTop w:val="0"/>
          <w:marBottom w:val="0"/>
          <w:divBdr>
            <w:top w:val="none" w:sz="0" w:space="0" w:color="auto"/>
            <w:left w:val="none" w:sz="0" w:space="0" w:color="auto"/>
            <w:bottom w:val="none" w:sz="0" w:space="0" w:color="auto"/>
            <w:right w:val="none" w:sz="0" w:space="0" w:color="auto"/>
          </w:divBdr>
          <w:divsChild>
            <w:div w:id="1866822010">
              <w:marLeft w:val="0"/>
              <w:marRight w:val="0"/>
              <w:marTop w:val="0"/>
              <w:marBottom w:val="0"/>
              <w:divBdr>
                <w:top w:val="none" w:sz="0" w:space="0" w:color="auto"/>
                <w:left w:val="none" w:sz="0" w:space="0" w:color="auto"/>
                <w:bottom w:val="none" w:sz="0" w:space="0" w:color="auto"/>
                <w:right w:val="none" w:sz="0" w:space="0" w:color="auto"/>
              </w:divBdr>
              <w:divsChild>
                <w:div w:id="13694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80536">
      <w:bodyDiv w:val="1"/>
      <w:marLeft w:val="0"/>
      <w:marRight w:val="0"/>
      <w:marTop w:val="0"/>
      <w:marBottom w:val="0"/>
      <w:divBdr>
        <w:top w:val="none" w:sz="0" w:space="0" w:color="auto"/>
        <w:left w:val="none" w:sz="0" w:space="0" w:color="auto"/>
        <w:bottom w:val="none" w:sz="0" w:space="0" w:color="auto"/>
        <w:right w:val="none" w:sz="0" w:space="0" w:color="auto"/>
      </w:divBdr>
      <w:divsChild>
        <w:div w:id="1133910883">
          <w:marLeft w:val="0"/>
          <w:marRight w:val="0"/>
          <w:marTop w:val="0"/>
          <w:marBottom w:val="0"/>
          <w:divBdr>
            <w:top w:val="none" w:sz="0" w:space="0" w:color="auto"/>
            <w:left w:val="none" w:sz="0" w:space="0" w:color="auto"/>
            <w:bottom w:val="none" w:sz="0" w:space="0" w:color="auto"/>
            <w:right w:val="none" w:sz="0" w:space="0" w:color="auto"/>
          </w:divBdr>
          <w:divsChild>
            <w:div w:id="1045757977">
              <w:marLeft w:val="0"/>
              <w:marRight w:val="0"/>
              <w:marTop w:val="0"/>
              <w:marBottom w:val="0"/>
              <w:divBdr>
                <w:top w:val="none" w:sz="0" w:space="0" w:color="auto"/>
                <w:left w:val="none" w:sz="0" w:space="0" w:color="auto"/>
                <w:bottom w:val="none" w:sz="0" w:space="0" w:color="auto"/>
                <w:right w:val="none" w:sz="0" w:space="0" w:color="auto"/>
              </w:divBdr>
              <w:divsChild>
                <w:div w:id="14211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5560">
      <w:bodyDiv w:val="1"/>
      <w:marLeft w:val="0"/>
      <w:marRight w:val="0"/>
      <w:marTop w:val="0"/>
      <w:marBottom w:val="0"/>
      <w:divBdr>
        <w:top w:val="none" w:sz="0" w:space="0" w:color="auto"/>
        <w:left w:val="none" w:sz="0" w:space="0" w:color="auto"/>
        <w:bottom w:val="none" w:sz="0" w:space="0" w:color="auto"/>
        <w:right w:val="none" w:sz="0" w:space="0" w:color="auto"/>
      </w:divBdr>
      <w:divsChild>
        <w:div w:id="428308303">
          <w:marLeft w:val="0"/>
          <w:marRight w:val="0"/>
          <w:marTop w:val="0"/>
          <w:marBottom w:val="0"/>
          <w:divBdr>
            <w:top w:val="none" w:sz="0" w:space="0" w:color="auto"/>
            <w:left w:val="none" w:sz="0" w:space="0" w:color="auto"/>
            <w:bottom w:val="none" w:sz="0" w:space="0" w:color="auto"/>
            <w:right w:val="none" w:sz="0" w:space="0" w:color="auto"/>
          </w:divBdr>
          <w:divsChild>
            <w:div w:id="2095398233">
              <w:marLeft w:val="0"/>
              <w:marRight w:val="0"/>
              <w:marTop w:val="0"/>
              <w:marBottom w:val="0"/>
              <w:divBdr>
                <w:top w:val="none" w:sz="0" w:space="0" w:color="auto"/>
                <w:left w:val="none" w:sz="0" w:space="0" w:color="auto"/>
                <w:bottom w:val="none" w:sz="0" w:space="0" w:color="auto"/>
                <w:right w:val="none" w:sz="0" w:space="0" w:color="auto"/>
              </w:divBdr>
              <w:divsChild>
                <w:div w:id="474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4070">
      <w:bodyDiv w:val="1"/>
      <w:marLeft w:val="0"/>
      <w:marRight w:val="0"/>
      <w:marTop w:val="0"/>
      <w:marBottom w:val="0"/>
      <w:divBdr>
        <w:top w:val="none" w:sz="0" w:space="0" w:color="auto"/>
        <w:left w:val="none" w:sz="0" w:space="0" w:color="auto"/>
        <w:bottom w:val="none" w:sz="0" w:space="0" w:color="auto"/>
        <w:right w:val="none" w:sz="0" w:space="0" w:color="auto"/>
      </w:divBdr>
      <w:divsChild>
        <w:div w:id="1730417607">
          <w:marLeft w:val="0"/>
          <w:marRight w:val="0"/>
          <w:marTop w:val="0"/>
          <w:marBottom w:val="0"/>
          <w:divBdr>
            <w:top w:val="none" w:sz="0" w:space="0" w:color="auto"/>
            <w:left w:val="none" w:sz="0" w:space="0" w:color="auto"/>
            <w:bottom w:val="none" w:sz="0" w:space="0" w:color="auto"/>
            <w:right w:val="none" w:sz="0" w:space="0" w:color="auto"/>
          </w:divBdr>
          <w:divsChild>
            <w:div w:id="2037383180">
              <w:marLeft w:val="0"/>
              <w:marRight w:val="0"/>
              <w:marTop w:val="0"/>
              <w:marBottom w:val="0"/>
              <w:divBdr>
                <w:top w:val="none" w:sz="0" w:space="0" w:color="auto"/>
                <w:left w:val="none" w:sz="0" w:space="0" w:color="auto"/>
                <w:bottom w:val="none" w:sz="0" w:space="0" w:color="auto"/>
                <w:right w:val="none" w:sz="0" w:space="0" w:color="auto"/>
              </w:divBdr>
              <w:divsChild>
                <w:div w:id="11399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3734">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5">
          <w:marLeft w:val="0"/>
          <w:marRight w:val="0"/>
          <w:marTop w:val="0"/>
          <w:marBottom w:val="0"/>
          <w:divBdr>
            <w:top w:val="none" w:sz="0" w:space="0" w:color="auto"/>
            <w:left w:val="none" w:sz="0" w:space="0" w:color="auto"/>
            <w:bottom w:val="none" w:sz="0" w:space="0" w:color="auto"/>
            <w:right w:val="none" w:sz="0" w:space="0" w:color="auto"/>
          </w:divBdr>
          <w:divsChild>
            <w:div w:id="1342930808">
              <w:marLeft w:val="0"/>
              <w:marRight w:val="0"/>
              <w:marTop w:val="0"/>
              <w:marBottom w:val="0"/>
              <w:divBdr>
                <w:top w:val="none" w:sz="0" w:space="0" w:color="auto"/>
                <w:left w:val="none" w:sz="0" w:space="0" w:color="auto"/>
                <w:bottom w:val="none" w:sz="0" w:space="0" w:color="auto"/>
                <w:right w:val="none" w:sz="0" w:space="0" w:color="auto"/>
              </w:divBdr>
              <w:divsChild>
                <w:div w:id="17636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351">
      <w:bodyDiv w:val="1"/>
      <w:marLeft w:val="0"/>
      <w:marRight w:val="0"/>
      <w:marTop w:val="0"/>
      <w:marBottom w:val="0"/>
      <w:divBdr>
        <w:top w:val="none" w:sz="0" w:space="0" w:color="auto"/>
        <w:left w:val="none" w:sz="0" w:space="0" w:color="auto"/>
        <w:bottom w:val="none" w:sz="0" w:space="0" w:color="auto"/>
        <w:right w:val="none" w:sz="0" w:space="0" w:color="auto"/>
      </w:divBdr>
      <w:divsChild>
        <w:div w:id="1149253508">
          <w:marLeft w:val="0"/>
          <w:marRight w:val="0"/>
          <w:marTop w:val="0"/>
          <w:marBottom w:val="0"/>
          <w:divBdr>
            <w:top w:val="none" w:sz="0" w:space="0" w:color="auto"/>
            <w:left w:val="none" w:sz="0" w:space="0" w:color="auto"/>
            <w:bottom w:val="none" w:sz="0" w:space="0" w:color="auto"/>
            <w:right w:val="none" w:sz="0" w:space="0" w:color="auto"/>
          </w:divBdr>
          <w:divsChild>
            <w:div w:id="565844859">
              <w:marLeft w:val="0"/>
              <w:marRight w:val="0"/>
              <w:marTop w:val="0"/>
              <w:marBottom w:val="0"/>
              <w:divBdr>
                <w:top w:val="none" w:sz="0" w:space="0" w:color="auto"/>
                <w:left w:val="none" w:sz="0" w:space="0" w:color="auto"/>
                <w:bottom w:val="none" w:sz="0" w:space="0" w:color="auto"/>
                <w:right w:val="none" w:sz="0" w:space="0" w:color="auto"/>
              </w:divBdr>
              <w:divsChild>
                <w:div w:id="18781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7067">
      <w:bodyDiv w:val="1"/>
      <w:marLeft w:val="0"/>
      <w:marRight w:val="0"/>
      <w:marTop w:val="0"/>
      <w:marBottom w:val="0"/>
      <w:divBdr>
        <w:top w:val="none" w:sz="0" w:space="0" w:color="auto"/>
        <w:left w:val="none" w:sz="0" w:space="0" w:color="auto"/>
        <w:bottom w:val="none" w:sz="0" w:space="0" w:color="auto"/>
        <w:right w:val="none" w:sz="0" w:space="0" w:color="auto"/>
      </w:divBdr>
      <w:divsChild>
        <w:div w:id="2089961520">
          <w:marLeft w:val="0"/>
          <w:marRight w:val="0"/>
          <w:marTop w:val="0"/>
          <w:marBottom w:val="0"/>
          <w:divBdr>
            <w:top w:val="none" w:sz="0" w:space="0" w:color="auto"/>
            <w:left w:val="none" w:sz="0" w:space="0" w:color="auto"/>
            <w:bottom w:val="none" w:sz="0" w:space="0" w:color="auto"/>
            <w:right w:val="none" w:sz="0" w:space="0" w:color="auto"/>
          </w:divBdr>
          <w:divsChild>
            <w:div w:id="1212887981">
              <w:marLeft w:val="0"/>
              <w:marRight w:val="0"/>
              <w:marTop w:val="0"/>
              <w:marBottom w:val="0"/>
              <w:divBdr>
                <w:top w:val="none" w:sz="0" w:space="0" w:color="auto"/>
                <w:left w:val="none" w:sz="0" w:space="0" w:color="auto"/>
                <w:bottom w:val="none" w:sz="0" w:space="0" w:color="auto"/>
                <w:right w:val="none" w:sz="0" w:space="0" w:color="auto"/>
              </w:divBdr>
              <w:divsChild>
                <w:div w:id="945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8792">
      <w:bodyDiv w:val="1"/>
      <w:marLeft w:val="0"/>
      <w:marRight w:val="0"/>
      <w:marTop w:val="0"/>
      <w:marBottom w:val="0"/>
      <w:divBdr>
        <w:top w:val="none" w:sz="0" w:space="0" w:color="auto"/>
        <w:left w:val="none" w:sz="0" w:space="0" w:color="auto"/>
        <w:bottom w:val="none" w:sz="0" w:space="0" w:color="auto"/>
        <w:right w:val="none" w:sz="0" w:space="0" w:color="auto"/>
      </w:divBdr>
      <w:divsChild>
        <w:div w:id="1112820608">
          <w:marLeft w:val="0"/>
          <w:marRight w:val="0"/>
          <w:marTop w:val="0"/>
          <w:marBottom w:val="0"/>
          <w:divBdr>
            <w:top w:val="none" w:sz="0" w:space="0" w:color="auto"/>
            <w:left w:val="none" w:sz="0" w:space="0" w:color="auto"/>
            <w:bottom w:val="none" w:sz="0" w:space="0" w:color="auto"/>
            <w:right w:val="none" w:sz="0" w:space="0" w:color="auto"/>
          </w:divBdr>
          <w:divsChild>
            <w:div w:id="1152910755">
              <w:marLeft w:val="0"/>
              <w:marRight w:val="0"/>
              <w:marTop w:val="0"/>
              <w:marBottom w:val="0"/>
              <w:divBdr>
                <w:top w:val="none" w:sz="0" w:space="0" w:color="auto"/>
                <w:left w:val="none" w:sz="0" w:space="0" w:color="auto"/>
                <w:bottom w:val="none" w:sz="0" w:space="0" w:color="auto"/>
                <w:right w:val="none" w:sz="0" w:space="0" w:color="auto"/>
              </w:divBdr>
              <w:divsChild>
                <w:div w:id="12270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jdh.org.mx/interamericano/busqu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B700-E2D6-47FE-B93D-3B328A99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18111</Words>
  <Characters>94903</Characters>
  <Application>Microsoft Office Word</Application>
  <DocSecurity>0</DocSecurity>
  <Lines>1608</Lines>
  <Paragraphs>279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3</cp:revision>
  <dcterms:created xsi:type="dcterms:W3CDTF">2015-09-07T16:42:00Z</dcterms:created>
  <dcterms:modified xsi:type="dcterms:W3CDTF">2015-09-07T21:23:00Z</dcterms:modified>
</cp:coreProperties>
</file>